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22" w:rsidRDefault="00165188" w:rsidP="00A35141">
      <w:pPr>
        <w:pStyle w:val="Heading1"/>
      </w:pPr>
      <w:bookmarkStart w:id="0" w:name="_Toc440620737"/>
      <w:bookmarkStart w:id="1" w:name="OLE_LINK2"/>
      <w:bookmarkStart w:id="2" w:name="OLE_LINK3"/>
      <w:r w:rsidRPr="00165188">
        <w:t xml:space="preserve">Enhancing transparency of beneficial ownership information of foreign companies </w:t>
      </w:r>
      <w:r w:rsidR="00FE1D94">
        <w:t xml:space="preserve">- </w:t>
      </w:r>
      <w:r w:rsidR="00B10922" w:rsidRPr="00B10922">
        <w:t>response form</w:t>
      </w:r>
      <w:bookmarkEnd w:id="0"/>
    </w:p>
    <w:p w:rsidR="009F2CD8" w:rsidRDefault="009F2CD8" w:rsidP="001F4F63"/>
    <w:p w:rsidR="001F4F63" w:rsidRDefault="001F4F63" w:rsidP="001F4F63">
      <w:r w:rsidRPr="001F4F63">
        <w:t xml:space="preserve">The </w:t>
      </w:r>
      <w:r w:rsidR="00165188">
        <w:t>discussion paper</w:t>
      </w:r>
      <w:r w:rsidRPr="001F4F63">
        <w:t xml:space="preserve"> is available </w:t>
      </w:r>
      <w:r>
        <w:t>at</w:t>
      </w:r>
      <w:r w:rsidRPr="001F4F63">
        <w:t>:</w:t>
      </w:r>
      <w:r w:rsidR="00165188">
        <w:t xml:space="preserve"> </w:t>
      </w:r>
      <w:hyperlink r:id="rId9" w:history="1">
        <w:r w:rsidR="00165188">
          <w:rPr>
            <w:rStyle w:val="Hyperlink"/>
          </w:rPr>
          <w:t>www.gov.uk/government/consultations/property-ownership-by-foreign-companies-improving-transparency</w:t>
        </w:r>
      </w:hyperlink>
      <w:r w:rsidR="00165188">
        <w:t xml:space="preserve"> </w:t>
      </w:r>
    </w:p>
    <w:p w:rsidR="00165188" w:rsidRDefault="00165188" w:rsidP="00165188">
      <w:r>
        <w:t xml:space="preserve">Submissions of evidence should be emailed to </w:t>
      </w:r>
      <w:hyperlink r:id="rId10" w:history="1">
        <w:r w:rsidRPr="00395850">
          <w:rPr>
            <w:rStyle w:val="Hyperlink"/>
          </w:rPr>
          <w:t>transparencyandtrust@bis.gsi.gov.uk</w:t>
        </w:r>
      </w:hyperlink>
      <w:r>
        <w:t xml:space="preserve">   clearly marked as a response to the ‘Beneficial Ownership Transparency discussion paper’. Evidence will be reviewed thereafter. If further information or clarification is required, we will make contact as appropriate.</w:t>
      </w:r>
    </w:p>
    <w:p w:rsidR="00165188" w:rsidRDefault="00165188" w:rsidP="00165188">
      <w:r>
        <w:t xml:space="preserve">We are therefore inviting submissions and evidence by </w:t>
      </w:r>
      <w:r w:rsidR="00C84408">
        <w:rPr>
          <w:b/>
        </w:rPr>
        <w:t>Monday 4</w:t>
      </w:r>
      <w:bookmarkStart w:id="3" w:name="_GoBack"/>
      <w:bookmarkEnd w:id="3"/>
      <w:r w:rsidRPr="00165188">
        <w:rPr>
          <w:b/>
        </w:rPr>
        <w:t xml:space="preserve"> April 2016</w:t>
      </w:r>
      <w:r>
        <w:t xml:space="preserve"> to inform our consideration of proposals to enhance.</w:t>
      </w:r>
    </w:p>
    <w:p w:rsidR="00165188" w:rsidRDefault="00165188" w:rsidP="00165188">
      <w:r>
        <w:t>When responding, please state whether you are responding as an individual or representing the views of an organisation. If you are responding on behalf of an organisation, where applicable, please make it clear who the organisation represents and how the views of members were assembled.</w:t>
      </w:r>
    </w:p>
    <w:p w:rsidR="00165188" w:rsidRDefault="00165188" w:rsidP="00165188">
      <w:r>
        <w:t>In exceptional circumstances we will accept submissions in hard copy. If you need to submit a hard copy, please provide two copies to the following address:</w:t>
      </w:r>
    </w:p>
    <w:p w:rsidR="00165188" w:rsidRDefault="00165188" w:rsidP="00165188">
      <w:r>
        <w:t>Transparency and Trust Team</w:t>
      </w:r>
      <w:r>
        <w:br/>
        <w:t xml:space="preserve">Department for Business, Innovation and Skills </w:t>
      </w:r>
      <w:r>
        <w:br/>
        <w:t>1 Victoria Street</w:t>
      </w:r>
      <w:r>
        <w:br/>
        <w:t>London</w:t>
      </w:r>
      <w:r>
        <w:br/>
        <w:t>SW1H 0ET</w:t>
      </w:r>
    </w:p>
    <w:p w:rsidR="00EA47A6" w:rsidRDefault="00165188" w:rsidP="00165188">
      <w:r>
        <w:t>We regret that we are not able to receive faxed documents.</w:t>
      </w:r>
    </w:p>
    <w:p w:rsidR="00165188" w:rsidRPr="00165188" w:rsidRDefault="00EA47A6" w:rsidP="00165188">
      <w:pPr>
        <w:spacing w:after="0"/>
        <w:rPr>
          <w:b/>
          <w:bCs/>
          <w:iCs/>
          <w:color w:val="003478"/>
          <w:sz w:val="28"/>
          <w:szCs w:val="28"/>
        </w:rPr>
      </w:pPr>
      <w:r>
        <w:br w:type="page"/>
      </w:r>
    </w:p>
    <w:tbl>
      <w:tblPr>
        <w:tblStyle w:val="TableGrid"/>
        <w:tblW w:w="3791" w:type="pct"/>
        <w:tblLayout w:type="fixed"/>
        <w:tblLook w:val="01E0" w:firstRow="1" w:lastRow="1" w:firstColumn="1" w:lastColumn="1" w:noHBand="0" w:noVBand="0"/>
      </w:tblPr>
      <w:tblGrid>
        <w:gridCol w:w="950"/>
        <w:gridCol w:w="6521"/>
      </w:tblGrid>
      <w:tr w:rsidR="00165188" w:rsidRPr="00165188" w:rsidTr="00BC5A94">
        <w:trPr>
          <w:trHeight w:val="382"/>
          <w:tblHeader/>
        </w:trPr>
        <w:tc>
          <w:tcPr>
            <w:tcW w:w="636" w:type="pct"/>
          </w:tcPr>
          <w:p w:rsidR="00165188" w:rsidRPr="00165188" w:rsidRDefault="00165188" w:rsidP="00165188">
            <w:pPr>
              <w:spacing w:after="0"/>
              <w:ind w:left="113" w:right="113"/>
              <w:rPr>
                <w:b/>
                <w:sz w:val="22"/>
              </w:rPr>
            </w:pPr>
          </w:p>
        </w:tc>
        <w:tc>
          <w:tcPr>
            <w:tcW w:w="4364" w:type="pct"/>
          </w:tcPr>
          <w:p w:rsidR="00165188" w:rsidRPr="00165188" w:rsidRDefault="00165188" w:rsidP="00165188">
            <w:pPr>
              <w:spacing w:after="0"/>
              <w:ind w:left="113" w:right="113"/>
              <w:rPr>
                <w:b/>
                <w:sz w:val="22"/>
              </w:rPr>
            </w:pPr>
            <w:r w:rsidRPr="00165188">
              <w:rPr>
                <w:b/>
                <w:sz w:val="22"/>
              </w:rPr>
              <w:t>Respondent type</w:t>
            </w:r>
          </w:p>
        </w:tc>
      </w:tr>
      <w:tr w:rsidR="00165188" w:rsidRPr="00165188" w:rsidTr="00BC5A94">
        <w:trPr>
          <w:trHeight w:val="442"/>
        </w:trPr>
        <w:tc>
          <w:tcPr>
            <w:tcW w:w="636" w:type="pct"/>
          </w:tcPr>
          <w:p w:rsidR="00165188" w:rsidRPr="00165188" w:rsidRDefault="00C84408" w:rsidP="00165188">
            <w:pPr>
              <w:spacing w:after="80"/>
              <w:ind w:left="113" w:right="113"/>
              <w:rPr>
                <w:sz w:val="22"/>
              </w:rPr>
            </w:pPr>
            <w:sdt>
              <w:sdtPr>
                <w:rPr>
                  <w:sz w:val="22"/>
                </w:rPr>
                <w:id w:val="1970017911"/>
                <w14:checkbox>
                  <w14:checked w14:val="0"/>
                  <w14:checkedState w14:val="2612" w14:font="MS Gothic"/>
                  <w14:uncheckedState w14:val="2610" w14:font="MS Gothic"/>
                </w14:checkbox>
              </w:sdtPr>
              <w:sdtEndPr/>
              <w:sdtContent>
                <w:r w:rsidR="00165188">
                  <w:rPr>
                    <w:rFonts w:ascii="MS Gothic" w:eastAsia="MS Gothic" w:hAnsi="MS Gothic" w:hint="eastAsia"/>
                    <w:sz w:val="22"/>
                  </w:rPr>
                  <w:t>☐</w:t>
                </w:r>
              </w:sdtContent>
            </w:sdt>
          </w:p>
        </w:tc>
        <w:tc>
          <w:tcPr>
            <w:tcW w:w="4364" w:type="pct"/>
          </w:tcPr>
          <w:p w:rsidR="00165188" w:rsidRPr="00165188" w:rsidRDefault="00165188" w:rsidP="00165188">
            <w:pPr>
              <w:spacing w:after="80"/>
              <w:ind w:left="113" w:right="113"/>
              <w:rPr>
                <w:sz w:val="22"/>
              </w:rPr>
            </w:pPr>
            <w:r w:rsidRPr="00165188">
              <w:rPr>
                <w:sz w:val="22"/>
              </w:rPr>
              <w:t>Business representative organisation/trade body</w:t>
            </w:r>
          </w:p>
        </w:tc>
      </w:tr>
      <w:tr w:rsidR="00165188" w:rsidRPr="00165188" w:rsidTr="00BC5A94">
        <w:trPr>
          <w:trHeight w:val="227"/>
        </w:trPr>
        <w:sdt>
          <w:sdtPr>
            <w:rPr>
              <w:sz w:val="22"/>
            </w:rPr>
            <w:id w:val="637066307"/>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Central government</w:t>
            </w:r>
          </w:p>
        </w:tc>
      </w:tr>
      <w:tr w:rsidR="00165188" w:rsidRPr="00165188" w:rsidTr="00BC5A94">
        <w:trPr>
          <w:trHeight w:val="227"/>
        </w:trPr>
        <w:sdt>
          <w:sdtPr>
            <w:rPr>
              <w:sz w:val="22"/>
            </w:rPr>
            <w:id w:val="1843582199"/>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Charity or social enterprise</w:t>
            </w:r>
          </w:p>
        </w:tc>
      </w:tr>
      <w:tr w:rsidR="00165188" w:rsidRPr="00165188" w:rsidTr="00BC5A94">
        <w:trPr>
          <w:trHeight w:val="227"/>
        </w:trPr>
        <w:sdt>
          <w:sdtPr>
            <w:rPr>
              <w:sz w:val="22"/>
            </w:rPr>
            <w:id w:val="2058816215"/>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Individual</w:t>
            </w:r>
          </w:p>
        </w:tc>
      </w:tr>
      <w:tr w:rsidR="00165188" w:rsidRPr="00165188" w:rsidTr="00BC5A94">
        <w:trPr>
          <w:trHeight w:val="227"/>
        </w:trPr>
        <w:sdt>
          <w:sdtPr>
            <w:rPr>
              <w:sz w:val="22"/>
            </w:rPr>
            <w:id w:val="343597460"/>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Large business (over 250 staff)</w:t>
            </w:r>
          </w:p>
        </w:tc>
      </w:tr>
      <w:tr w:rsidR="00165188" w:rsidRPr="00165188" w:rsidTr="00BC5A94">
        <w:trPr>
          <w:trHeight w:val="227"/>
        </w:trPr>
        <w:sdt>
          <w:sdtPr>
            <w:rPr>
              <w:sz w:val="22"/>
            </w:rPr>
            <w:id w:val="1234278044"/>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Legal representative</w:t>
            </w:r>
          </w:p>
        </w:tc>
      </w:tr>
      <w:tr w:rsidR="00165188" w:rsidRPr="00165188" w:rsidTr="00BC5A94">
        <w:trPr>
          <w:trHeight w:val="227"/>
        </w:trPr>
        <w:sdt>
          <w:sdtPr>
            <w:rPr>
              <w:sz w:val="22"/>
            </w:rPr>
            <w:id w:val="897776739"/>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Local government</w:t>
            </w:r>
          </w:p>
        </w:tc>
      </w:tr>
      <w:tr w:rsidR="00165188" w:rsidRPr="00165188" w:rsidTr="00BC5A94">
        <w:trPr>
          <w:trHeight w:val="227"/>
        </w:trPr>
        <w:sdt>
          <w:sdtPr>
            <w:rPr>
              <w:sz w:val="22"/>
            </w:rPr>
            <w:id w:val="-661013093"/>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Medium business (50 to 250 staff)</w:t>
            </w:r>
          </w:p>
        </w:tc>
      </w:tr>
      <w:tr w:rsidR="00165188" w:rsidRPr="00165188" w:rsidTr="00BC5A94">
        <w:trPr>
          <w:trHeight w:val="227"/>
        </w:trPr>
        <w:sdt>
          <w:sdtPr>
            <w:rPr>
              <w:sz w:val="22"/>
            </w:rPr>
            <w:id w:val="1396083471"/>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Micro business (up to 9 staff)</w:t>
            </w:r>
          </w:p>
        </w:tc>
      </w:tr>
      <w:tr w:rsidR="00165188" w:rsidRPr="00165188" w:rsidTr="00BC5A94">
        <w:trPr>
          <w:trHeight w:val="227"/>
        </w:trPr>
        <w:sdt>
          <w:sdtPr>
            <w:rPr>
              <w:sz w:val="22"/>
            </w:rPr>
            <w:id w:val="559525766"/>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Small business (10 to 49 staff)</w:t>
            </w:r>
          </w:p>
        </w:tc>
      </w:tr>
      <w:tr w:rsidR="00165188" w:rsidRPr="00165188" w:rsidTr="00BC5A94">
        <w:trPr>
          <w:trHeight w:val="227"/>
        </w:trPr>
        <w:sdt>
          <w:sdtPr>
            <w:rPr>
              <w:sz w:val="22"/>
            </w:rPr>
            <w:id w:val="-60789100"/>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Trade union or staff association</w:t>
            </w:r>
          </w:p>
        </w:tc>
      </w:tr>
      <w:tr w:rsidR="00165188" w:rsidRPr="00165188" w:rsidTr="00BC5A94">
        <w:trPr>
          <w:trHeight w:val="227"/>
        </w:trPr>
        <w:sdt>
          <w:sdtPr>
            <w:rPr>
              <w:sz w:val="22"/>
            </w:rPr>
            <w:id w:val="-1874069990"/>
            <w14:checkbox>
              <w14:checked w14:val="0"/>
              <w14:checkedState w14:val="2612" w14:font="MS Gothic"/>
              <w14:uncheckedState w14:val="2610" w14:font="MS Gothic"/>
            </w14:checkbox>
          </w:sdtPr>
          <w:sdtEndPr/>
          <w:sdtContent>
            <w:tc>
              <w:tcPr>
                <w:tcW w:w="636" w:type="pct"/>
              </w:tcPr>
              <w:p w:rsidR="00165188" w:rsidRPr="00165188" w:rsidRDefault="00165188" w:rsidP="00165188">
                <w:pPr>
                  <w:spacing w:after="80"/>
                  <w:ind w:left="113" w:right="113"/>
                  <w:rPr>
                    <w:sz w:val="22"/>
                  </w:rPr>
                </w:pPr>
                <w:r w:rsidRPr="00165188">
                  <w:rPr>
                    <w:rFonts w:eastAsia="MS Gothic" w:hint="eastAsia"/>
                    <w:sz w:val="22"/>
                  </w:rPr>
                  <w:t>☐</w:t>
                </w:r>
              </w:p>
            </w:tc>
          </w:sdtContent>
        </w:sdt>
        <w:tc>
          <w:tcPr>
            <w:tcW w:w="4364" w:type="pct"/>
          </w:tcPr>
          <w:p w:rsidR="00165188" w:rsidRPr="00165188" w:rsidRDefault="00165188" w:rsidP="00165188">
            <w:pPr>
              <w:spacing w:after="80"/>
              <w:ind w:left="113" w:right="113"/>
              <w:rPr>
                <w:sz w:val="22"/>
              </w:rPr>
            </w:pPr>
            <w:r w:rsidRPr="00165188">
              <w:rPr>
                <w:sz w:val="22"/>
              </w:rPr>
              <w:t>Other (please describe)</w:t>
            </w:r>
          </w:p>
        </w:tc>
      </w:tr>
    </w:tbl>
    <w:p w:rsidR="00165188" w:rsidRPr="00165188" w:rsidRDefault="00165188" w:rsidP="00165188"/>
    <w:p w:rsidR="00165188" w:rsidRPr="00165188" w:rsidRDefault="00165188" w:rsidP="00165188">
      <w:pPr>
        <w:pStyle w:val="Heading2"/>
      </w:pPr>
      <w:bookmarkStart w:id="4" w:name="_Toc444850743"/>
      <w:r w:rsidRPr="00165188">
        <w:t>Principle</w:t>
      </w:r>
      <w:bookmarkEnd w:id="4"/>
    </w:p>
    <w:p w:rsidR="00165188" w:rsidRPr="00165188" w:rsidRDefault="00165188" w:rsidP="00165188">
      <w:pPr>
        <w:pStyle w:val="Heading3"/>
      </w:pPr>
      <w:r w:rsidRPr="00165188">
        <w:t>Question 1 (Page 10)</w:t>
      </w:r>
    </w:p>
    <w:p w:rsidR="00165188" w:rsidRPr="00165188" w:rsidRDefault="00165188" w:rsidP="00165188">
      <w:pPr>
        <w:numPr>
          <w:ilvl w:val="0"/>
          <w:numId w:val="22"/>
        </w:numPr>
        <w:ind w:left="426" w:hanging="426"/>
        <w:rPr>
          <w:b/>
        </w:rPr>
      </w:pPr>
      <w:r w:rsidRPr="00165188">
        <w:rPr>
          <w:b/>
        </w:rPr>
        <w:t>UK companies will have to provide beneficial ownership information under domestic legislation or declare that there are no people with significant control. Do you agree that foreign companies who want to buy land or property in England and Wales should be under a similar obligation?</w:t>
      </w:r>
    </w:p>
    <w:p w:rsidR="00165188" w:rsidRPr="00165188" w:rsidRDefault="00C84408" w:rsidP="00165188">
      <w:pPr>
        <w:ind w:left="426"/>
      </w:pPr>
      <w:sdt>
        <w:sdtPr>
          <w:id w:val="-159617413"/>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Yes</w:t>
      </w:r>
      <w:r w:rsidR="00165188" w:rsidRPr="00165188">
        <w:tab/>
      </w:r>
      <w:r w:rsidR="00165188" w:rsidRPr="00165188">
        <w:tab/>
      </w:r>
      <w:sdt>
        <w:sdtPr>
          <w:id w:val="-926110894"/>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No</w:t>
      </w:r>
      <w:r w:rsidR="00165188" w:rsidRPr="00165188">
        <w:tab/>
      </w:r>
      <w:r w:rsidR="00165188" w:rsidRPr="00165188">
        <w:tab/>
      </w:r>
      <w:sdt>
        <w:sdtPr>
          <w:id w:val="-850265156"/>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proofErr w:type="gramStart"/>
      <w:r w:rsidR="00165188" w:rsidRPr="00165188">
        <w:t>Not</w:t>
      </w:r>
      <w:proofErr w:type="gramEnd"/>
      <w:r w:rsidR="00165188" w:rsidRPr="00165188">
        <w:t xml:space="preserve"> sure</w:t>
      </w:r>
    </w:p>
    <w:p w:rsidR="00165188" w:rsidRPr="00165188" w:rsidRDefault="00165188" w:rsidP="00165188">
      <w:pPr>
        <w:ind w:left="426"/>
      </w:pPr>
      <w:r w:rsidRPr="00165188">
        <w:t>Comments:</w:t>
      </w:r>
      <w:r>
        <w:t xml:space="preserve"> </w:t>
      </w:r>
      <w:sdt>
        <w:sdtPr>
          <w:id w:val="-837158404"/>
          <w:showingPlcHdr/>
        </w:sdtPr>
        <w:sdtEndPr/>
        <w:sdtContent>
          <w:r w:rsidR="009F2CD8" w:rsidRPr="00395850">
            <w:rPr>
              <w:rStyle w:val="PlaceholderText"/>
            </w:rPr>
            <w:t>Click here to enter text.</w:t>
          </w:r>
        </w:sdtContent>
      </w:sdt>
    </w:p>
    <w:p w:rsidR="00165188" w:rsidRPr="00165188" w:rsidRDefault="00165188" w:rsidP="00165188">
      <w:pPr>
        <w:ind w:left="426"/>
      </w:pPr>
    </w:p>
    <w:p w:rsidR="00165188" w:rsidRPr="00165188" w:rsidRDefault="00165188" w:rsidP="00165188">
      <w:pPr>
        <w:spacing w:after="0"/>
        <w:rPr>
          <w:b/>
          <w:bCs/>
          <w:color w:val="009BBB"/>
          <w:sz w:val="26"/>
          <w:szCs w:val="26"/>
        </w:rPr>
      </w:pPr>
      <w:r w:rsidRPr="00165188">
        <w:br w:type="page"/>
      </w:r>
    </w:p>
    <w:p w:rsidR="00165188" w:rsidRPr="00165188" w:rsidRDefault="00165188" w:rsidP="00165188">
      <w:pPr>
        <w:pStyle w:val="Heading3"/>
      </w:pPr>
      <w:r w:rsidRPr="00165188">
        <w:lastRenderedPageBreak/>
        <w:t>Question 2 (Page 10)</w:t>
      </w:r>
    </w:p>
    <w:p w:rsidR="00165188" w:rsidRPr="00165188" w:rsidRDefault="00165188" w:rsidP="00165188">
      <w:pPr>
        <w:numPr>
          <w:ilvl w:val="0"/>
          <w:numId w:val="22"/>
        </w:numPr>
        <w:ind w:left="426" w:hanging="426"/>
        <w:rPr>
          <w:b/>
        </w:rPr>
      </w:pPr>
      <w:r w:rsidRPr="00165188">
        <w:rPr>
          <w:b/>
        </w:rPr>
        <w:t>Do you have any views on the options for holding information set out above?</w:t>
      </w:r>
    </w:p>
    <w:p w:rsidR="00165188" w:rsidRPr="00165188" w:rsidRDefault="00165188" w:rsidP="00165188">
      <w:pPr>
        <w:ind w:left="426"/>
      </w:pPr>
      <w:r w:rsidRPr="00165188">
        <w:t>Comments:</w:t>
      </w:r>
      <w:r w:rsidR="009F2CD8">
        <w:t xml:space="preserve"> </w:t>
      </w:r>
      <w:sdt>
        <w:sdtPr>
          <w:id w:val="286244209"/>
          <w:showingPlcHdr/>
        </w:sdtPr>
        <w:sdtEndPr/>
        <w:sdtContent>
          <w:r w:rsidR="009F2CD8" w:rsidRPr="00395850">
            <w:rPr>
              <w:rStyle w:val="PlaceholderText"/>
            </w:rPr>
            <w:t>Click here to enter text.</w:t>
          </w:r>
        </w:sdtContent>
      </w:sdt>
    </w:p>
    <w:p w:rsidR="00165188" w:rsidRPr="00165188" w:rsidRDefault="00165188" w:rsidP="00165188"/>
    <w:p w:rsidR="00165188" w:rsidRPr="00165188" w:rsidRDefault="00165188" w:rsidP="00165188"/>
    <w:p w:rsidR="00165188" w:rsidRPr="00165188" w:rsidRDefault="00165188" w:rsidP="00165188"/>
    <w:p w:rsidR="00165188" w:rsidRPr="00165188" w:rsidRDefault="00165188" w:rsidP="00165188">
      <w:pPr>
        <w:spacing w:after="240"/>
        <w:outlineLvl w:val="2"/>
      </w:pPr>
    </w:p>
    <w:p w:rsidR="00165188" w:rsidRPr="00165188" w:rsidRDefault="00165188" w:rsidP="00165188">
      <w:pPr>
        <w:spacing w:after="240"/>
        <w:outlineLvl w:val="2"/>
        <w:rPr>
          <w:b/>
          <w:bCs/>
          <w:color w:val="009BBB"/>
          <w:sz w:val="26"/>
          <w:szCs w:val="26"/>
        </w:rPr>
      </w:pPr>
      <w:r w:rsidRPr="00165188">
        <w:rPr>
          <w:b/>
          <w:bCs/>
          <w:color w:val="009BBB"/>
          <w:sz w:val="26"/>
          <w:szCs w:val="26"/>
        </w:rPr>
        <w:t>Question 3 (Page 10)</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 xml:space="preserve">Are there any additional considerations for where and how the information is stored that we should consider at this stage? </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88992029"/>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pStyle w:val="Heading3"/>
      </w:pPr>
      <w:r w:rsidRPr="00165188">
        <w:t>Question 4 (Page 10)</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 xml:space="preserve">What information about their beneficial ownership should foreign companies </w:t>
      </w:r>
      <w:proofErr w:type="gramStart"/>
      <w:r w:rsidRPr="00165188">
        <w:rPr>
          <w:rFonts w:eastAsia="Calibri"/>
          <w:b/>
          <w:lang w:eastAsia="en-GB"/>
        </w:rPr>
        <w:t>be</w:t>
      </w:r>
      <w:proofErr w:type="gramEnd"/>
      <w:r w:rsidRPr="00165188">
        <w:rPr>
          <w:rFonts w:eastAsia="Calibri"/>
          <w:b/>
          <w:lang w:eastAsia="en-GB"/>
        </w:rPr>
        <w:t xml:space="preserve"> asked to provide?</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460329114"/>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spacing w:after="0"/>
        <w:rPr>
          <w:b/>
          <w:bCs/>
          <w:color w:val="009BBB"/>
          <w:sz w:val="26"/>
          <w:szCs w:val="26"/>
        </w:rPr>
      </w:pPr>
      <w:r w:rsidRPr="00165188">
        <w:br w:type="page"/>
      </w:r>
    </w:p>
    <w:p w:rsidR="00165188" w:rsidRPr="00165188" w:rsidRDefault="00165188" w:rsidP="00165188">
      <w:pPr>
        <w:pStyle w:val="Heading2"/>
        <w:rPr>
          <w:rFonts w:eastAsia="Calibri"/>
        </w:rPr>
      </w:pPr>
      <w:r w:rsidRPr="00165188">
        <w:t>Extent</w:t>
      </w:r>
    </w:p>
    <w:p w:rsidR="00165188" w:rsidRPr="00165188" w:rsidRDefault="00165188" w:rsidP="00165188">
      <w:pPr>
        <w:pStyle w:val="Heading3"/>
      </w:pPr>
      <w:r w:rsidRPr="00165188">
        <w:t>Question 5 (Page 10)</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 xml:space="preserve">Should the requirement to provide beneficial ownership information be applied to foreign companies that already own property or land in England and Wales? </w:t>
      </w:r>
    </w:p>
    <w:p w:rsidR="00165188" w:rsidRPr="00165188" w:rsidRDefault="00C84408" w:rsidP="00165188">
      <w:pPr>
        <w:ind w:left="426"/>
        <w:contextualSpacing/>
      </w:pPr>
      <w:sdt>
        <w:sdtPr>
          <w:rPr>
            <w:rFonts w:ascii="MS Gothic" w:eastAsia="MS Gothic" w:hAnsi="MS Gothic"/>
          </w:rPr>
          <w:id w:val="-121542704"/>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Yes</w:t>
      </w:r>
      <w:r w:rsidR="00165188" w:rsidRPr="00165188">
        <w:tab/>
      </w:r>
      <w:r w:rsidR="00165188" w:rsidRPr="00165188">
        <w:tab/>
      </w:r>
      <w:sdt>
        <w:sdtPr>
          <w:rPr>
            <w:rFonts w:ascii="MS Gothic" w:eastAsia="MS Gothic" w:hAnsi="MS Gothic"/>
          </w:rPr>
          <w:id w:val="-477531056"/>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No</w:t>
      </w:r>
      <w:r w:rsidR="00165188" w:rsidRPr="00165188">
        <w:tab/>
      </w:r>
      <w:r w:rsidR="00165188" w:rsidRPr="00165188">
        <w:tab/>
      </w:r>
      <w:r w:rsidR="00165188" w:rsidRPr="00165188">
        <w:tab/>
      </w:r>
      <w:sdt>
        <w:sdtPr>
          <w:rPr>
            <w:rFonts w:ascii="MS Gothic" w:eastAsia="MS Gothic" w:hAnsi="MS Gothic"/>
          </w:rPr>
          <w:id w:val="1892773628"/>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w:t>
      </w:r>
      <w:proofErr w:type="gramStart"/>
      <w:r w:rsidR="00165188" w:rsidRPr="00165188">
        <w:t>Not</w:t>
      </w:r>
      <w:proofErr w:type="gramEnd"/>
      <w:r w:rsidR="00165188" w:rsidRPr="00165188">
        <w:t xml:space="preserve"> sure</w:t>
      </w:r>
    </w:p>
    <w:p w:rsidR="00165188" w:rsidRPr="00165188" w:rsidRDefault="00165188" w:rsidP="00165188">
      <w:pPr>
        <w:ind w:left="862"/>
        <w:contextualSpacing/>
        <w:rPr>
          <w:rFonts w:eastAsia="Calibri" w:cs="Arial"/>
          <w:i/>
          <w:lang w:eastAsia="en-GB"/>
        </w:rPr>
      </w:pP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369652273"/>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pStyle w:val="Heading3"/>
      </w:pPr>
      <w:r w:rsidRPr="00165188">
        <w:t>Question 6 (Page 10)</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Should the Government work with Devolved Administrations to ensure a single approach across the whole of the UK?</w:t>
      </w:r>
    </w:p>
    <w:p w:rsidR="00165188" w:rsidRPr="00165188" w:rsidRDefault="00C84408" w:rsidP="00165188">
      <w:pPr>
        <w:ind w:left="426"/>
      </w:pPr>
      <w:sdt>
        <w:sdtPr>
          <w:rPr>
            <w:rFonts w:ascii="MS Gothic" w:eastAsia="MS Gothic" w:hAnsi="MS Gothic"/>
          </w:rPr>
          <w:id w:val="-1893723360"/>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Yes</w:t>
      </w:r>
      <w:r w:rsidR="00165188" w:rsidRPr="00165188">
        <w:tab/>
      </w:r>
      <w:r w:rsidR="00165188" w:rsidRPr="00165188">
        <w:tab/>
      </w:r>
      <w:sdt>
        <w:sdtPr>
          <w:rPr>
            <w:rFonts w:ascii="MS Gothic" w:eastAsia="MS Gothic" w:hAnsi="MS Gothic"/>
          </w:rPr>
          <w:id w:val="234128328"/>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No</w:t>
      </w:r>
      <w:r w:rsidR="00165188" w:rsidRPr="00165188">
        <w:tab/>
      </w:r>
      <w:r w:rsidR="00165188" w:rsidRPr="00165188">
        <w:tab/>
      </w:r>
      <w:r w:rsidR="00165188" w:rsidRPr="00165188">
        <w:tab/>
      </w:r>
      <w:sdt>
        <w:sdtPr>
          <w:rPr>
            <w:rFonts w:ascii="MS Gothic" w:eastAsia="MS Gothic" w:hAnsi="MS Gothic"/>
          </w:rPr>
          <w:id w:val="-456730472"/>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w:t>
      </w:r>
      <w:proofErr w:type="gramStart"/>
      <w:r w:rsidR="00165188" w:rsidRPr="00165188">
        <w:t>Not</w:t>
      </w:r>
      <w:proofErr w:type="gramEnd"/>
      <w:r w:rsidR="00165188" w:rsidRPr="00165188">
        <w:t xml:space="preserve"> sure</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829273921"/>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pStyle w:val="Heading2"/>
        <w:rPr>
          <w:rFonts w:eastAsia="Calibri"/>
        </w:rPr>
      </w:pPr>
      <w:r w:rsidRPr="00165188">
        <w:rPr>
          <w:rFonts w:eastAsia="Calibri"/>
        </w:rPr>
        <w:t xml:space="preserve">Costs </w:t>
      </w:r>
      <w:r w:rsidRPr="00165188">
        <w:t>and</w:t>
      </w:r>
      <w:r w:rsidRPr="00165188">
        <w:rPr>
          <w:rFonts w:eastAsia="Calibri"/>
        </w:rPr>
        <w:t xml:space="preserve"> benefits</w:t>
      </w:r>
    </w:p>
    <w:p w:rsidR="00165188" w:rsidRPr="00165188" w:rsidRDefault="00165188" w:rsidP="00165188">
      <w:pPr>
        <w:pStyle w:val="Heading3"/>
      </w:pPr>
      <w:r w:rsidRPr="00165188">
        <w:t>Question 7 (Page 10)</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What are the costs and benefits to business, the economy and society of transparency of the beneficial ownership of foreign companies that own land/property or wish to enter into the public contracts?</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258204704"/>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spacing w:before="120" w:after="240"/>
        <w:outlineLvl w:val="1"/>
        <w:rPr>
          <w:b/>
          <w:bCs/>
          <w:iCs/>
          <w:color w:val="003478"/>
          <w:sz w:val="32"/>
          <w:szCs w:val="28"/>
        </w:rPr>
      </w:pPr>
    </w:p>
    <w:p w:rsidR="00165188" w:rsidRPr="00165188" w:rsidRDefault="00165188" w:rsidP="00165188">
      <w:pPr>
        <w:spacing w:before="120" w:after="240"/>
        <w:outlineLvl w:val="1"/>
        <w:rPr>
          <w:b/>
          <w:bCs/>
          <w:iCs/>
          <w:color w:val="003478"/>
          <w:sz w:val="32"/>
          <w:szCs w:val="28"/>
        </w:rPr>
      </w:pPr>
    </w:p>
    <w:p w:rsidR="00165188" w:rsidRDefault="00165188" w:rsidP="00165188">
      <w:pPr>
        <w:pStyle w:val="Heading2"/>
      </w:pPr>
    </w:p>
    <w:p w:rsidR="00165188" w:rsidRPr="00165188" w:rsidRDefault="00165188" w:rsidP="00165188">
      <w:pPr>
        <w:pStyle w:val="Heading2"/>
      </w:pPr>
      <w:r w:rsidRPr="00165188">
        <w:t>What enforcement mechanisms should be used? (Section 5)</w:t>
      </w:r>
    </w:p>
    <w:p w:rsidR="00165188" w:rsidRPr="00165188" w:rsidRDefault="00165188" w:rsidP="00165188">
      <w:pPr>
        <w:pStyle w:val="Heading3"/>
      </w:pPr>
      <w:r w:rsidRPr="00165188">
        <w:t>Question 8 (Page 12)</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How should any new requirements to provide beneficial ownership information of foreign companies purchasing property in the UK be enforced?</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309277740"/>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pStyle w:val="Heading3"/>
      </w:pPr>
      <w:r w:rsidRPr="00165188">
        <w:t>Question 9 (Page 12)</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What type of sanctions do you think would be proportionate, effective and dissuasive to ensure beneficial ownership information is obtained:</w:t>
      </w:r>
    </w:p>
    <w:p w:rsidR="00165188" w:rsidRPr="00165188" w:rsidRDefault="00165188" w:rsidP="00165188">
      <w:pPr>
        <w:numPr>
          <w:ilvl w:val="1"/>
          <w:numId w:val="22"/>
        </w:numPr>
        <w:spacing w:after="120"/>
        <w:ind w:left="850" w:hanging="357"/>
        <w:rPr>
          <w:rFonts w:eastAsia="Calibri"/>
          <w:b/>
          <w:lang w:eastAsia="en-GB"/>
        </w:rPr>
      </w:pPr>
      <w:r w:rsidRPr="00165188">
        <w:rPr>
          <w:rFonts w:eastAsia="Calibri"/>
          <w:b/>
          <w:lang w:eastAsia="en-GB"/>
        </w:rPr>
        <w:t xml:space="preserve">in the case of new foreign companies acquiring land or property in England and Wales; and </w:t>
      </w:r>
    </w:p>
    <w:p w:rsidR="00165188" w:rsidRPr="00165188" w:rsidRDefault="00165188" w:rsidP="00165188">
      <w:pPr>
        <w:numPr>
          <w:ilvl w:val="1"/>
          <w:numId w:val="22"/>
        </w:numPr>
        <w:ind w:left="851"/>
        <w:rPr>
          <w:rFonts w:eastAsia="Calibri"/>
          <w:b/>
          <w:lang w:eastAsia="en-GB"/>
        </w:rPr>
      </w:pPr>
      <w:proofErr w:type="gramStart"/>
      <w:r w:rsidRPr="00165188">
        <w:rPr>
          <w:rFonts w:eastAsia="Calibri"/>
          <w:b/>
          <w:lang w:eastAsia="en-GB"/>
        </w:rPr>
        <w:t>in</w:t>
      </w:r>
      <w:proofErr w:type="gramEnd"/>
      <w:r w:rsidRPr="00165188">
        <w:rPr>
          <w:rFonts w:eastAsia="Calibri"/>
          <w:b/>
          <w:lang w:eastAsia="en-GB"/>
        </w:rPr>
        <w:t xml:space="preserve"> the case of existing foreign companies owning land or property in England and Wales (if the obligation to provide beneficial ownership information is extended to them)?</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252402570"/>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spacing w:after="0"/>
        <w:rPr>
          <w:b/>
          <w:bCs/>
          <w:iCs/>
          <w:color w:val="003478"/>
          <w:sz w:val="32"/>
          <w:szCs w:val="28"/>
        </w:rPr>
      </w:pPr>
      <w:r w:rsidRPr="00165188">
        <w:br w:type="page"/>
      </w:r>
    </w:p>
    <w:p w:rsidR="00165188" w:rsidRPr="00165188" w:rsidRDefault="00165188" w:rsidP="00165188">
      <w:pPr>
        <w:pStyle w:val="Heading2"/>
      </w:pPr>
      <w:r w:rsidRPr="00165188">
        <w:t>Public procurement (Section 7)</w:t>
      </w:r>
    </w:p>
    <w:p w:rsidR="00165188" w:rsidRPr="00165188" w:rsidRDefault="00165188" w:rsidP="00165188">
      <w:pPr>
        <w:pStyle w:val="Heading3"/>
      </w:pPr>
      <w:r w:rsidRPr="00165188">
        <w:t>Questions 10 (Page 16)</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Do you agree that knowing the beneficial ownership information of those companies participating in public contracting will help the contracting authorities operate a fair and straight forward approach towards the procurement?</w:t>
      </w:r>
    </w:p>
    <w:p w:rsidR="009F2CD8" w:rsidRPr="009F2CD8" w:rsidRDefault="00C84408" w:rsidP="009F2CD8">
      <w:pPr>
        <w:ind w:left="426"/>
        <w:contextualSpacing/>
      </w:pPr>
      <w:sdt>
        <w:sdtPr>
          <w:rPr>
            <w:rFonts w:ascii="MS Gothic" w:eastAsia="MS Gothic" w:hAnsi="MS Gothic"/>
          </w:rPr>
          <w:id w:val="997468428"/>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Yes</w:t>
      </w:r>
      <w:r w:rsidR="00165188" w:rsidRPr="00165188">
        <w:tab/>
      </w:r>
      <w:r w:rsidR="00165188" w:rsidRPr="00165188">
        <w:tab/>
      </w:r>
      <w:sdt>
        <w:sdtPr>
          <w:rPr>
            <w:rFonts w:ascii="MS Gothic" w:eastAsia="MS Gothic" w:hAnsi="MS Gothic"/>
          </w:rPr>
          <w:id w:val="-119545463"/>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No</w:t>
      </w:r>
      <w:r w:rsidR="00165188" w:rsidRPr="00165188">
        <w:tab/>
      </w:r>
      <w:r w:rsidR="00165188" w:rsidRPr="00165188">
        <w:tab/>
      </w:r>
      <w:r w:rsidR="00165188" w:rsidRPr="00165188">
        <w:tab/>
      </w:r>
      <w:sdt>
        <w:sdtPr>
          <w:rPr>
            <w:rFonts w:ascii="MS Gothic" w:eastAsia="MS Gothic" w:hAnsi="MS Gothic"/>
          </w:rPr>
          <w:id w:val="-1093925465"/>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w:t>
      </w:r>
      <w:proofErr w:type="gramStart"/>
      <w:r w:rsidR="00165188" w:rsidRPr="00165188">
        <w:t>Not</w:t>
      </w:r>
      <w:proofErr w:type="gramEnd"/>
      <w:r w:rsidR="00165188" w:rsidRPr="00165188">
        <w:t xml:space="preserve"> sure</w:t>
      </w:r>
      <w:r w:rsidR="009F2CD8">
        <w:br/>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77006183"/>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 w:rsidR="00165188" w:rsidRPr="00165188" w:rsidRDefault="00165188" w:rsidP="00165188">
      <w:pPr>
        <w:pStyle w:val="Heading3"/>
      </w:pPr>
      <w:r w:rsidRPr="00165188">
        <w:t>Question 11 (Page 17)</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Do you agree this £10million (procurement) threshold would be appropriate for the ideas set out below?</w:t>
      </w:r>
    </w:p>
    <w:p w:rsidR="00165188" w:rsidRPr="00165188" w:rsidRDefault="00C84408" w:rsidP="00165188">
      <w:pPr>
        <w:ind w:left="426"/>
        <w:contextualSpacing/>
      </w:pPr>
      <w:sdt>
        <w:sdtPr>
          <w:rPr>
            <w:rFonts w:ascii="MS Gothic" w:eastAsia="MS Gothic" w:hAnsi="MS Gothic"/>
          </w:rPr>
          <w:id w:val="1710289038"/>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Yes</w:t>
      </w:r>
      <w:r w:rsidR="00165188" w:rsidRPr="00165188">
        <w:tab/>
      </w:r>
      <w:r w:rsidR="00165188" w:rsidRPr="00165188">
        <w:tab/>
      </w:r>
      <w:sdt>
        <w:sdtPr>
          <w:rPr>
            <w:rFonts w:ascii="MS Gothic" w:eastAsia="MS Gothic" w:hAnsi="MS Gothic"/>
          </w:rPr>
          <w:id w:val="-742408200"/>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No</w:t>
      </w:r>
      <w:r w:rsidR="00165188" w:rsidRPr="00165188">
        <w:tab/>
      </w:r>
      <w:r w:rsidR="00165188" w:rsidRPr="00165188">
        <w:tab/>
      </w:r>
      <w:r w:rsidR="00165188" w:rsidRPr="00165188">
        <w:tab/>
      </w:r>
      <w:sdt>
        <w:sdtPr>
          <w:rPr>
            <w:rFonts w:ascii="MS Gothic" w:eastAsia="MS Gothic" w:hAnsi="MS Gothic"/>
          </w:rPr>
          <w:id w:val="-332532229"/>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w:t>
      </w:r>
      <w:proofErr w:type="gramStart"/>
      <w:r w:rsidR="00165188" w:rsidRPr="00165188">
        <w:t>Not</w:t>
      </w:r>
      <w:proofErr w:type="gramEnd"/>
      <w:r w:rsidR="00165188" w:rsidRPr="00165188">
        <w:t xml:space="preserve"> sure</w:t>
      </w:r>
    </w:p>
    <w:p w:rsidR="00165188" w:rsidRPr="00165188" w:rsidRDefault="00165188" w:rsidP="00165188">
      <w:pPr>
        <w:ind w:left="862"/>
        <w:contextualSpacing/>
        <w:rPr>
          <w:rFonts w:eastAsia="Calibri" w:cs="Arial"/>
          <w:i/>
          <w:lang w:eastAsia="en-GB"/>
        </w:rPr>
      </w:pP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943035774"/>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pStyle w:val="Heading3"/>
      </w:pPr>
      <w:r w:rsidRPr="00165188">
        <w:t>Question 12 (Page 19)</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 xml:space="preserve">What are the potential benefits and burdens for contracting authorities and for bidders of this approach in option </w:t>
      </w:r>
      <w:proofErr w:type="gramStart"/>
      <w:r w:rsidRPr="00165188">
        <w:rPr>
          <w:rFonts w:eastAsia="Calibri"/>
          <w:b/>
          <w:lang w:eastAsia="en-GB"/>
        </w:rPr>
        <w:t>A</w:t>
      </w:r>
      <w:proofErr w:type="gramEnd"/>
      <w:r w:rsidRPr="00165188">
        <w:rPr>
          <w:rFonts w:eastAsia="Calibri"/>
          <w:b/>
          <w:lang w:eastAsia="en-GB"/>
        </w:rPr>
        <w:t xml:space="preserve"> (procurement)? Would it provide a proportionate way to deliver the proposal taking into account the 3-year exclusion that would apply for not providing a beneficial ownership unique identifier number?</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1774281916"/>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Default="00165188" w:rsidP="00165188">
      <w:pPr>
        <w:spacing w:after="240"/>
        <w:outlineLvl w:val="2"/>
        <w:rPr>
          <w:b/>
          <w:bCs/>
          <w:color w:val="009BBB"/>
          <w:sz w:val="26"/>
          <w:szCs w:val="26"/>
        </w:rPr>
      </w:pPr>
    </w:p>
    <w:p w:rsidR="00165188" w:rsidRPr="00165188" w:rsidRDefault="00165188" w:rsidP="00165188">
      <w:pPr>
        <w:pStyle w:val="Heading3"/>
      </w:pPr>
      <w:r w:rsidRPr="00165188">
        <w:t>Question 13 (Page 19)</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What are the potential benefits and burdens for contracting authorities and bidders of the approach in option B (procurement)? Would the 3 year exclusion period be proportionate?</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646281902"/>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spacing w:after="240"/>
        <w:outlineLvl w:val="2"/>
        <w:rPr>
          <w:b/>
          <w:bCs/>
          <w:color w:val="009BBB"/>
          <w:sz w:val="26"/>
          <w:szCs w:val="26"/>
        </w:rPr>
      </w:pPr>
    </w:p>
    <w:p w:rsidR="00165188" w:rsidRPr="00165188" w:rsidRDefault="00165188" w:rsidP="00165188">
      <w:pPr>
        <w:spacing w:after="240"/>
        <w:outlineLvl w:val="2"/>
        <w:rPr>
          <w:b/>
          <w:bCs/>
          <w:color w:val="009BBB"/>
          <w:sz w:val="26"/>
          <w:szCs w:val="26"/>
        </w:rPr>
      </w:pPr>
    </w:p>
    <w:p w:rsidR="00165188" w:rsidRPr="00165188" w:rsidRDefault="00165188" w:rsidP="00165188">
      <w:pPr>
        <w:pStyle w:val="Heading3"/>
      </w:pPr>
      <w:r w:rsidRPr="00165188">
        <w:t>Questions 14 (Page 20)</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 xml:space="preserve">What are the potential benefits and burdens for contracting authorities and bidders of the approach in option C (procurement)? </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280189435"/>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Default="00165188" w:rsidP="00165188">
      <w:pPr>
        <w:pStyle w:val="Heading3"/>
      </w:pPr>
    </w:p>
    <w:p w:rsidR="00165188" w:rsidRDefault="00165188" w:rsidP="00165188">
      <w:pPr>
        <w:pStyle w:val="Heading3"/>
      </w:pPr>
    </w:p>
    <w:p w:rsidR="00165188" w:rsidRPr="00165188" w:rsidRDefault="00165188" w:rsidP="00165188">
      <w:pPr>
        <w:pStyle w:val="Heading3"/>
      </w:pPr>
      <w:r w:rsidRPr="00165188">
        <w:t>Questions 15 (Page 20)</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What are the potential benefits and burdens for contracting authorities and bidders of this variation of option C (procurement)?</w:t>
      </w:r>
    </w:p>
    <w:p w:rsidR="00165188" w:rsidRPr="00165188" w:rsidRDefault="00165188" w:rsidP="00165188">
      <w:pPr>
        <w:ind w:left="426"/>
      </w:pPr>
      <w:r w:rsidRPr="00165188">
        <w:t>Comments:</w:t>
      </w:r>
      <w:r w:rsidR="009F2CD8">
        <w:t xml:space="preserve"> </w:t>
      </w:r>
      <w:sdt>
        <w:sdtPr>
          <w:id w:val="1782846926"/>
          <w:showingPlcHdr/>
        </w:sdtPr>
        <w:sdtEndPr/>
        <w:sdtContent>
          <w:r w:rsidR="009F2CD8" w:rsidRPr="00395850">
            <w:rPr>
              <w:rStyle w:val="PlaceholderText"/>
            </w:rPr>
            <w:t>Click here to enter text.</w:t>
          </w:r>
        </w:sdtContent>
      </w:sdt>
    </w:p>
    <w:p w:rsidR="00165188" w:rsidRPr="00165188" w:rsidRDefault="00165188" w:rsidP="00165188">
      <w:pPr>
        <w:ind w:left="720"/>
        <w:rPr>
          <w:rFonts w:eastAsia="Calibri"/>
          <w:b/>
          <w:lang w:eastAsia="en-GB"/>
        </w:rPr>
      </w:pPr>
    </w:p>
    <w:p w:rsidR="00165188" w:rsidRPr="00165188" w:rsidRDefault="00165188" w:rsidP="00165188">
      <w:pPr>
        <w:ind w:left="720"/>
        <w:rPr>
          <w:rFonts w:eastAsia="Calibri"/>
          <w:b/>
          <w:lang w:eastAsia="en-GB"/>
        </w:rPr>
      </w:pPr>
    </w:p>
    <w:p w:rsidR="00165188" w:rsidRPr="00165188" w:rsidRDefault="00165188" w:rsidP="00165188">
      <w:pPr>
        <w:ind w:left="720"/>
        <w:rPr>
          <w:rFonts w:eastAsia="Calibri"/>
          <w:b/>
          <w:lang w:eastAsia="en-GB"/>
        </w:rPr>
      </w:pPr>
    </w:p>
    <w:p w:rsidR="00165188" w:rsidRDefault="00165188" w:rsidP="00165188">
      <w:pPr>
        <w:pStyle w:val="Heading3"/>
      </w:pPr>
    </w:p>
    <w:p w:rsidR="00165188" w:rsidRDefault="00165188" w:rsidP="00165188">
      <w:pPr>
        <w:pStyle w:val="Heading3"/>
      </w:pPr>
    </w:p>
    <w:p w:rsidR="00165188" w:rsidRDefault="00165188" w:rsidP="00165188">
      <w:pPr>
        <w:pStyle w:val="Heading3"/>
      </w:pPr>
    </w:p>
    <w:p w:rsidR="00165188" w:rsidRPr="00165188" w:rsidRDefault="00165188" w:rsidP="00165188">
      <w:pPr>
        <w:pStyle w:val="Heading3"/>
      </w:pPr>
      <w:r w:rsidRPr="00165188">
        <w:t>Questions 16 (Page 21)</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 xml:space="preserve">How does the approach in option D compare with options A-C in practical terms? What are the potential benefits and burdens of option D for contracting authorities and bidders? </w:t>
      </w:r>
    </w:p>
    <w:p w:rsidR="00165188" w:rsidRDefault="00165188" w:rsidP="00165188">
      <w:pPr>
        <w:ind w:left="426"/>
      </w:pPr>
      <w:r w:rsidRPr="00165188">
        <w:rPr>
          <w:rFonts w:eastAsia="Calibri"/>
          <w:lang w:eastAsia="en-GB"/>
        </w:rPr>
        <w:t>Comments:</w:t>
      </w:r>
      <w:r w:rsidR="009F2CD8">
        <w:rPr>
          <w:rFonts w:eastAsia="Calibri"/>
          <w:lang w:eastAsia="en-GB"/>
        </w:rPr>
        <w:t xml:space="preserve"> </w:t>
      </w:r>
      <w:sdt>
        <w:sdtPr>
          <w:rPr>
            <w:rFonts w:eastAsia="Calibri"/>
            <w:lang w:eastAsia="en-GB"/>
          </w:rPr>
          <w:id w:val="-1174883081"/>
          <w:showingPlcHdr/>
        </w:sdtPr>
        <w:sdtEndPr/>
        <w:sdtContent>
          <w:r w:rsidR="009F2CD8" w:rsidRPr="00395850">
            <w:rPr>
              <w:rStyle w:val="PlaceholderText"/>
            </w:rPr>
            <w:t>Click here to enter text.</w:t>
          </w:r>
        </w:sdtContent>
      </w:sdt>
    </w:p>
    <w:p w:rsidR="00165188" w:rsidRDefault="00165188" w:rsidP="00165188">
      <w:pPr>
        <w:ind w:left="426"/>
      </w:pPr>
    </w:p>
    <w:p w:rsidR="00165188" w:rsidRDefault="00165188" w:rsidP="00165188">
      <w:pPr>
        <w:ind w:left="426"/>
      </w:pPr>
    </w:p>
    <w:p w:rsidR="00165188" w:rsidRDefault="00165188" w:rsidP="00165188">
      <w:pPr>
        <w:ind w:left="426"/>
      </w:pPr>
    </w:p>
    <w:p w:rsidR="00165188" w:rsidRPr="00165188" w:rsidRDefault="00165188" w:rsidP="00165188">
      <w:pPr>
        <w:pStyle w:val="Heading3"/>
        <w:rPr>
          <w:rFonts w:eastAsia="Calibri"/>
        </w:rPr>
      </w:pPr>
      <w:r w:rsidRPr="00165188">
        <w:t>Questions 17 (Page 21)</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What other issues should be taken into account when considering the options outlined about procurement in the discussion paper?</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958948866"/>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spacing w:after="0"/>
      </w:pPr>
    </w:p>
    <w:p w:rsidR="00165188" w:rsidRPr="00165188" w:rsidRDefault="00165188" w:rsidP="00165188">
      <w:pPr>
        <w:spacing w:after="0"/>
      </w:pPr>
    </w:p>
    <w:p w:rsidR="00165188" w:rsidRPr="00165188" w:rsidRDefault="00165188" w:rsidP="00165188">
      <w:pPr>
        <w:spacing w:after="240"/>
        <w:outlineLvl w:val="2"/>
        <w:rPr>
          <w:b/>
          <w:bCs/>
          <w:color w:val="009BBB"/>
          <w:sz w:val="26"/>
          <w:szCs w:val="26"/>
        </w:rPr>
      </w:pPr>
    </w:p>
    <w:p w:rsidR="00165188" w:rsidRPr="00165188" w:rsidRDefault="00165188" w:rsidP="00165188">
      <w:pPr>
        <w:pStyle w:val="Heading3"/>
      </w:pPr>
      <w:r w:rsidRPr="00165188">
        <w:t>Questions 18 (Page 21)</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 xml:space="preserve">Are there other options potentially available to Government regarding procurement, which would achieve the same aims overall, that have not been set out here? If so, what are the associated likely practical constraints and benefits?  </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4984793"/>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spacing w:after="0"/>
        <w:rPr>
          <w:b/>
        </w:rPr>
      </w:pPr>
      <w:r w:rsidRPr="00165188">
        <w:br w:type="page"/>
      </w:r>
    </w:p>
    <w:p w:rsidR="00165188" w:rsidRPr="00165188" w:rsidRDefault="00165188" w:rsidP="00165188">
      <w:pPr>
        <w:pStyle w:val="Heading2"/>
      </w:pPr>
      <w:r w:rsidRPr="00165188">
        <w:t>International benefits from the new approach (Section 8)</w:t>
      </w:r>
    </w:p>
    <w:p w:rsidR="00165188" w:rsidRPr="00165188" w:rsidRDefault="00165188" w:rsidP="00165188">
      <w:pPr>
        <w:pStyle w:val="Heading3"/>
      </w:pPr>
      <w:r w:rsidRPr="00165188">
        <w:t>Questions 19 (Page 22)</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Would the approach proposed in this paper help developing countries combat corruption in the manner described above?</w:t>
      </w:r>
    </w:p>
    <w:p w:rsidR="00165188" w:rsidRPr="00165188" w:rsidRDefault="00C84408" w:rsidP="00165188">
      <w:pPr>
        <w:ind w:left="426"/>
        <w:contextualSpacing/>
      </w:pPr>
      <w:sdt>
        <w:sdtPr>
          <w:rPr>
            <w:rFonts w:ascii="MS Gothic" w:eastAsia="MS Gothic" w:hAnsi="MS Gothic"/>
          </w:rPr>
          <w:id w:val="-379625471"/>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Yes</w:t>
      </w:r>
      <w:r w:rsidR="00165188" w:rsidRPr="00165188">
        <w:tab/>
      </w:r>
      <w:r w:rsidR="00165188" w:rsidRPr="00165188">
        <w:tab/>
      </w:r>
      <w:sdt>
        <w:sdtPr>
          <w:rPr>
            <w:rFonts w:ascii="MS Gothic" w:eastAsia="MS Gothic" w:hAnsi="MS Gothic"/>
          </w:rPr>
          <w:id w:val="1447270435"/>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No</w:t>
      </w:r>
      <w:r w:rsidR="00165188" w:rsidRPr="00165188">
        <w:tab/>
      </w:r>
      <w:r w:rsidR="00165188" w:rsidRPr="00165188">
        <w:tab/>
      </w:r>
      <w:r w:rsidR="00165188" w:rsidRPr="00165188">
        <w:tab/>
      </w:r>
      <w:sdt>
        <w:sdtPr>
          <w:rPr>
            <w:rFonts w:ascii="MS Gothic" w:eastAsia="MS Gothic" w:hAnsi="MS Gothic"/>
          </w:rPr>
          <w:id w:val="-1011679054"/>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 </w:t>
      </w:r>
      <w:proofErr w:type="gramStart"/>
      <w:r w:rsidR="00165188" w:rsidRPr="00165188">
        <w:t>Not</w:t>
      </w:r>
      <w:proofErr w:type="gramEnd"/>
      <w:r w:rsidR="00165188" w:rsidRPr="00165188">
        <w:t xml:space="preserve"> sure</w:t>
      </w:r>
    </w:p>
    <w:p w:rsidR="00165188" w:rsidRPr="00165188" w:rsidRDefault="00165188" w:rsidP="00165188">
      <w:pPr>
        <w:ind w:left="862"/>
        <w:contextualSpacing/>
        <w:rPr>
          <w:rFonts w:eastAsia="Calibri" w:cs="Arial"/>
          <w:i/>
          <w:lang w:eastAsia="en-GB"/>
        </w:rPr>
      </w:pP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708337715"/>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pStyle w:val="Heading3"/>
      </w:pPr>
      <w:r w:rsidRPr="00165188">
        <w:t>Questions 20 (Page 22)</w:t>
      </w:r>
    </w:p>
    <w:p w:rsidR="00165188" w:rsidRPr="00165188" w:rsidRDefault="00165188" w:rsidP="00165188">
      <w:pPr>
        <w:numPr>
          <w:ilvl w:val="0"/>
          <w:numId w:val="22"/>
        </w:numPr>
        <w:ind w:left="426" w:hanging="426"/>
        <w:rPr>
          <w:rFonts w:eastAsia="Calibri"/>
          <w:b/>
          <w:lang w:eastAsia="en-GB"/>
        </w:rPr>
      </w:pPr>
      <w:r w:rsidRPr="00165188">
        <w:rPr>
          <w:rFonts w:eastAsia="Calibri"/>
          <w:b/>
          <w:lang w:eastAsia="en-GB"/>
        </w:rPr>
        <w:t>What would be required from foreign governments in terms of access to local company and personal records in order for the England and Wales register to operate in support of developing countries?</w:t>
      </w:r>
    </w:p>
    <w:p w:rsidR="00165188" w:rsidRPr="00165188" w:rsidRDefault="00165188" w:rsidP="00165188">
      <w:pPr>
        <w:ind w:left="426"/>
        <w:rPr>
          <w:rFonts w:eastAsia="Calibri"/>
          <w:lang w:eastAsia="en-GB"/>
        </w:rPr>
      </w:pPr>
      <w:r w:rsidRPr="00165188">
        <w:rPr>
          <w:rFonts w:eastAsia="Calibri"/>
          <w:lang w:eastAsia="en-GB"/>
        </w:rPr>
        <w:t>Comments:</w:t>
      </w:r>
      <w:r w:rsidR="009F2CD8">
        <w:rPr>
          <w:rFonts w:eastAsia="Calibri"/>
          <w:lang w:eastAsia="en-GB"/>
        </w:rPr>
        <w:t xml:space="preserve"> </w:t>
      </w:r>
      <w:sdt>
        <w:sdtPr>
          <w:rPr>
            <w:rFonts w:eastAsia="Calibri"/>
            <w:lang w:eastAsia="en-GB"/>
          </w:rPr>
          <w:id w:val="-815881075"/>
          <w:showingPlcHdr/>
        </w:sdtPr>
        <w:sdtEndPr/>
        <w:sdtContent>
          <w:r w:rsidR="009F2CD8" w:rsidRPr="00395850">
            <w:rPr>
              <w:rStyle w:val="PlaceholderText"/>
            </w:rPr>
            <w:t>Click here to enter text.</w:t>
          </w:r>
        </w:sdtContent>
      </w:sdt>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Pr>
        <w:rPr>
          <w:rFonts w:eastAsia="Calibri" w:cs="Arial"/>
          <w:i/>
          <w:lang w:eastAsia="en-GB"/>
        </w:rPr>
      </w:pPr>
    </w:p>
    <w:p w:rsidR="00165188" w:rsidRPr="00165188" w:rsidRDefault="00165188" w:rsidP="00165188"/>
    <w:p w:rsidR="00165188" w:rsidRPr="00165188" w:rsidRDefault="00165188" w:rsidP="00165188"/>
    <w:p w:rsidR="00165188" w:rsidRPr="00165188" w:rsidRDefault="00165188" w:rsidP="00165188"/>
    <w:p w:rsidR="00165188" w:rsidRPr="00165188" w:rsidRDefault="00165188" w:rsidP="00165188"/>
    <w:p w:rsidR="00165188" w:rsidRPr="00165188" w:rsidRDefault="00165188" w:rsidP="00165188">
      <w:pPr>
        <w:spacing w:after="240"/>
        <w:outlineLvl w:val="2"/>
        <w:rPr>
          <w:b/>
          <w:bCs/>
          <w:color w:val="009BBB"/>
          <w:sz w:val="26"/>
          <w:szCs w:val="26"/>
        </w:rPr>
      </w:pPr>
      <w:bookmarkStart w:id="5" w:name="_Toc444786465"/>
      <w:bookmarkStart w:id="6" w:name="_Toc444788094"/>
    </w:p>
    <w:p w:rsidR="00165188" w:rsidRPr="00165188" w:rsidRDefault="00165188" w:rsidP="00165188">
      <w:pPr>
        <w:spacing w:after="240"/>
        <w:outlineLvl w:val="2"/>
        <w:rPr>
          <w:b/>
          <w:bCs/>
          <w:color w:val="009BBB"/>
          <w:sz w:val="26"/>
          <w:szCs w:val="26"/>
        </w:rPr>
      </w:pPr>
    </w:p>
    <w:p w:rsidR="00165188" w:rsidRPr="00165188" w:rsidRDefault="00165188" w:rsidP="00165188">
      <w:pPr>
        <w:spacing w:after="240"/>
        <w:outlineLvl w:val="2"/>
        <w:rPr>
          <w:b/>
          <w:bCs/>
          <w:color w:val="009BBB"/>
          <w:sz w:val="26"/>
          <w:szCs w:val="26"/>
        </w:rPr>
      </w:pPr>
    </w:p>
    <w:p w:rsidR="00165188" w:rsidRPr="00165188" w:rsidRDefault="00165188" w:rsidP="00165188">
      <w:pPr>
        <w:spacing w:after="240"/>
        <w:outlineLvl w:val="2"/>
        <w:rPr>
          <w:b/>
          <w:bCs/>
          <w:color w:val="009BBB"/>
          <w:sz w:val="26"/>
          <w:szCs w:val="26"/>
        </w:rPr>
      </w:pPr>
    </w:p>
    <w:p w:rsidR="00165188" w:rsidRDefault="00165188" w:rsidP="00165188">
      <w:pPr>
        <w:spacing w:after="240"/>
        <w:outlineLvl w:val="2"/>
        <w:rPr>
          <w:b/>
          <w:bCs/>
          <w:color w:val="009BBB"/>
          <w:sz w:val="26"/>
          <w:szCs w:val="26"/>
        </w:rPr>
      </w:pPr>
    </w:p>
    <w:p w:rsidR="00165188" w:rsidRPr="00165188" w:rsidRDefault="00165188" w:rsidP="00165188">
      <w:pPr>
        <w:pStyle w:val="Heading3"/>
      </w:pPr>
      <w:r w:rsidRPr="00165188">
        <w:t>Do you have any other comments that might aid the consultation process as a whole?</w:t>
      </w:r>
      <w:bookmarkEnd w:id="5"/>
      <w:bookmarkEnd w:id="6"/>
    </w:p>
    <w:p w:rsidR="00165188" w:rsidRDefault="00165188" w:rsidP="009F2CD8">
      <w:r w:rsidRPr="00165188">
        <w:t>Please use this space for any general comments that you may have, comments on the layout of this consultation would also be welcomed.</w:t>
      </w:r>
    </w:p>
    <w:sdt>
      <w:sdtPr>
        <w:id w:val="-67106090"/>
        <w:showingPlcHdr/>
      </w:sdtPr>
      <w:sdtEndPr/>
      <w:sdtContent>
        <w:p w:rsidR="009F2CD8" w:rsidRPr="00165188" w:rsidRDefault="009F2CD8" w:rsidP="00165188">
          <w:pPr>
            <w:spacing w:after="0"/>
          </w:pPr>
          <w:r w:rsidRPr="00395850">
            <w:rPr>
              <w:rStyle w:val="PlaceholderText"/>
            </w:rPr>
            <w:t>Click here to enter text.</w:t>
          </w:r>
        </w:p>
      </w:sdtContent>
    </w:sdt>
    <w:p w:rsidR="00165188" w:rsidRPr="00165188" w:rsidRDefault="00165188" w:rsidP="00165188">
      <w:pPr>
        <w:spacing w:after="0"/>
      </w:pPr>
    </w:p>
    <w:p w:rsidR="00165188" w:rsidRPr="00165188" w:rsidRDefault="00165188" w:rsidP="00165188"/>
    <w:p w:rsidR="00165188" w:rsidRPr="00165188" w:rsidRDefault="00165188" w:rsidP="00165188"/>
    <w:p w:rsidR="00165188" w:rsidRPr="00165188" w:rsidRDefault="00165188" w:rsidP="00165188"/>
    <w:p w:rsidR="00165188" w:rsidRPr="00165188" w:rsidRDefault="00165188" w:rsidP="00165188"/>
    <w:p w:rsidR="00165188" w:rsidRPr="00165188" w:rsidRDefault="00165188" w:rsidP="00165188">
      <w:r w:rsidRPr="00165188">
        <w:t>Thank you for your views on this discussion paper. Please be aware that we intend to publish the responses.</w:t>
      </w:r>
    </w:p>
    <w:p w:rsidR="00165188" w:rsidRPr="00165188" w:rsidRDefault="00165188" w:rsidP="00165188">
      <w:r w:rsidRPr="00165188">
        <w:t xml:space="preserve">Information provided in response to this discussion paper, including personal </w:t>
      </w:r>
      <w:proofErr w:type="gramStart"/>
      <w:r w:rsidRPr="00165188">
        <w:t>information,</w:t>
      </w:r>
      <w:proofErr w:type="gramEnd"/>
      <w:r w:rsidRPr="00165188">
        <w:t xml:space="preserve"> may be subject to publication or release to other parties or to disclosure in accordance with the access to information regimes. Please see section 12 </w:t>
      </w:r>
      <w:r w:rsidR="009F2CD8">
        <w:t xml:space="preserve">of the paper </w:t>
      </w:r>
      <w:r w:rsidRPr="00165188">
        <w:t>for further information.</w:t>
      </w:r>
    </w:p>
    <w:p w:rsidR="00165188" w:rsidRPr="00165188" w:rsidRDefault="00165188" w:rsidP="00165188">
      <w:r w:rsidRPr="00165188">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165188" w:rsidRPr="00165188" w:rsidRDefault="00165188" w:rsidP="00165188">
      <w:r w:rsidRPr="00165188">
        <w:t xml:space="preserve">I want my response to be treated as confidential </w:t>
      </w:r>
      <w:sdt>
        <w:sdtPr>
          <w:id w:val="820544963"/>
          <w14:checkbox>
            <w14:checked w14:val="0"/>
            <w14:checkedState w14:val="2612" w14:font="MS Gothic"/>
            <w14:uncheckedState w14:val="2610" w14:font="MS Gothic"/>
          </w14:checkbox>
        </w:sdtPr>
        <w:sdtEndPr/>
        <w:sdtContent>
          <w:r w:rsidRPr="00165188">
            <w:rPr>
              <w:rFonts w:eastAsia="MS Gothic" w:hint="eastAsia"/>
            </w:rPr>
            <w:t>☐</w:t>
          </w:r>
        </w:sdtContent>
      </w:sdt>
    </w:p>
    <w:p w:rsidR="00165188" w:rsidRPr="00165188" w:rsidRDefault="00165188" w:rsidP="00165188">
      <w:r w:rsidRPr="00165188">
        <w:t xml:space="preserve">Comments: </w:t>
      </w:r>
      <w:sdt>
        <w:sdtPr>
          <w:id w:val="661356975"/>
          <w:showingPlcHdr/>
        </w:sdtPr>
        <w:sdtEndPr/>
        <w:sdtContent>
          <w:r w:rsidR="009F2CD8" w:rsidRPr="00395850">
            <w:rPr>
              <w:rStyle w:val="PlaceholderText"/>
            </w:rPr>
            <w:t>Click here to enter text.</w:t>
          </w:r>
        </w:sdtContent>
      </w:sdt>
    </w:p>
    <w:p w:rsidR="00165188" w:rsidRPr="00165188" w:rsidRDefault="00165188" w:rsidP="00165188"/>
    <w:p w:rsidR="00165188" w:rsidRPr="00165188" w:rsidRDefault="00165188" w:rsidP="00165188">
      <w:r w:rsidRPr="00165188">
        <w:t xml:space="preserve">Thank you for taking the time to let us have your views. We do not intend to acknowledge receipt of individual responses. </w:t>
      </w:r>
    </w:p>
    <w:p w:rsidR="00165188" w:rsidRPr="00165188" w:rsidRDefault="00165188" w:rsidP="00165188">
      <w:r w:rsidRPr="00165188">
        <w:t xml:space="preserve">At BIS we carry out our research on many different topics and consultations. As your views are valuable to us, would it be okay if we were to contact you again from time to time either for research or to send through consultation documents? </w:t>
      </w:r>
    </w:p>
    <w:p w:rsidR="00165188" w:rsidRPr="00165188" w:rsidRDefault="00C84408" w:rsidP="00165188">
      <w:sdt>
        <w:sdtPr>
          <w:id w:val="962384660"/>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 xml:space="preserve">Yes    </w:t>
      </w:r>
      <w:r w:rsidR="00165188" w:rsidRPr="00165188">
        <w:tab/>
      </w:r>
      <w:r w:rsidR="00165188" w:rsidRPr="00165188">
        <w:tab/>
      </w:r>
      <w:sdt>
        <w:sdtPr>
          <w:id w:val="964702443"/>
          <w14:checkbox>
            <w14:checked w14:val="0"/>
            <w14:checkedState w14:val="2612" w14:font="MS Gothic"/>
            <w14:uncheckedState w14:val="2610" w14:font="MS Gothic"/>
          </w14:checkbox>
        </w:sdtPr>
        <w:sdtEndPr/>
        <w:sdtContent>
          <w:r w:rsidR="009F2CD8">
            <w:rPr>
              <w:rFonts w:ascii="MS Gothic" w:eastAsia="MS Gothic" w:hAnsi="MS Gothic" w:hint="eastAsia"/>
            </w:rPr>
            <w:t>☐</w:t>
          </w:r>
        </w:sdtContent>
      </w:sdt>
      <w:r w:rsidR="00165188" w:rsidRPr="00165188">
        <w:t>No</w:t>
      </w:r>
    </w:p>
    <w:bookmarkEnd w:id="1"/>
    <w:bookmarkEnd w:id="2"/>
    <w:p w:rsidR="009F2CD8" w:rsidRDefault="009F2CD8" w:rsidP="009F2CD8">
      <w:pPr>
        <w:pStyle w:val="URN"/>
        <w:spacing w:after="0"/>
      </w:pPr>
    </w:p>
    <w:p w:rsidR="002032DA" w:rsidRPr="00DB3212" w:rsidRDefault="00FE1D94" w:rsidP="009F2CD8">
      <w:pPr>
        <w:pStyle w:val="URN"/>
        <w:spacing w:after="0"/>
      </w:pPr>
      <w:r>
        <w:t>BIS/16/</w:t>
      </w:r>
      <w:r w:rsidR="009F2CD8">
        <w:t>161RF</w:t>
      </w:r>
    </w:p>
    <w:sectPr w:rsidR="002032DA" w:rsidRPr="00DB3212" w:rsidSect="00FE1D94">
      <w:headerReference w:type="first" r:id="rId11"/>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88" w:rsidRDefault="00165188">
      <w:r>
        <w:separator/>
      </w:r>
    </w:p>
  </w:endnote>
  <w:endnote w:type="continuationSeparator" w:id="0">
    <w:p w:rsidR="00165188" w:rsidRDefault="0016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88" w:rsidRDefault="00165188">
      <w:r>
        <w:separator/>
      </w:r>
    </w:p>
  </w:footnote>
  <w:footnote w:type="continuationSeparator" w:id="0">
    <w:p w:rsidR="00165188" w:rsidRDefault="0016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FE1D94" w:rsidP="00FE1D94">
    <w:pPr>
      <w:spacing w:after="0"/>
    </w:pPr>
    <w:r>
      <w:rPr>
        <w:noProof/>
        <w:lang w:eastAsia="en-GB"/>
      </w:rPr>
      <w:drawing>
        <wp:inline distT="0" distB="0" distL="0" distR="0" wp14:anchorId="57645DA1" wp14:editId="4068D982">
          <wp:extent cx="5385600" cy="522000"/>
          <wp:effectExtent l="0" t="0" r="5715" b="0"/>
          <wp:docPr id="5" name="Picture 5" descr="Logo - Department for Business, Innovation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Logo-landscapecolour-highresjpg.jpg"/>
                  <pic:cNvPicPr/>
                </pic:nvPicPr>
                <pic:blipFill>
                  <a:blip r:embed="rId1">
                    <a:extLst>
                      <a:ext uri="{28A0092B-C50C-407E-A947-70E740481C1C}">
                        <a14:useLocalDpi xmlns:a14="http://schemas.microsoft.com/office/drawing/2010/main" val="0"/>
                      </a:ext>
                    </a:extLst>
                  </a:blip>
                  <a:stretch>
                    <a:fillRect/>
                  </a:stretch>
                </pic:blipFill>
                <pic:spPr>
                  <a:xfrm>
                    <a:off x="0" y="0"/>
                    <a:ext cx="5385600" cy="522000"/>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116D18E9" wp14:editId="21615D77">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E95EB6"/>
    <w:multiLevelType w:val="hybridMultilevel"/>
    <w:tmpl w:val="AE789D0C"/>
    <w:lvl w:ilvl="0" w:tplc="B46ADBE0">
      <w:start w:val="1"/>
      <w:numFmt w:val="decimal"/>
      <w:lvlText w:val="%1."/>
      <w:lvlJc w:val="left"/>
      <w:pPr>
        <w:ind w:left="720" w:hanging="360"/>
      </w:pPr>
      <w:rPr>
        <w:rFonts w:hint="default"/>
      </w:rPr>
    </w:lvl>
    <w:lvl w:ilvl="1" w:tplc="83C0F940">
      <w:start w:val="1"/>
      <w:numFmt w:val="lowerLetter"/>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0"/>
  </w:num>
  <w:num w:numId="3">
    <w:abstractNumId w:val="12"/>
  </w:num>
  <w:num w:numId="4">
    <w:abstractNumId w:val="13"/>
  </w:num>
  <w:num w:numId="5">
    <w:abstractNumId w:val="21"/>
  </w:num>
  <w:num w:numId="6">
    <w:abstractNumId w:val="18"/>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9"/>
  </w:num>
  <w:num w:numId="19">
    <w:abstractNumId w:val="14"/>
  </w:num>
  <w:num w:numId="20">
    <w:abstractNumId w:val="15"/>
  </w:num>
  <w:num w:numId="21">
    <w:abstractNumId w:val="10"/>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88"/>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4731E"/>
    <w:rsid w:val="00155A9C"/>
    <w:rsid w:val="00162142"/>
    <w:rsid w:val="001634C8"/>
    <w:rsid w:val="00165188"/>
    <w:rsid w:val="001700BE"/>
    <w:rsid w:val="001705EB"/>
    <w:rsid w:val="001726DF"/>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2CD8"/>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24E2C"/>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74967"/>
    <w:rsid w:val="00C81B52"/>
    <w:rsid w:val="00C84408"/>
    <w:rsid w:val="00C910F8"/>
    <w:rsid w:val="00C913EC"/>
    <w:rsid w:val="00CB1BC4"/>
    <w:rsid w:val="00CC08BD"/>
    <w:rsid w:val="00CC2842"/>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nsparencyandtrust@bis.gsi.gov.uk" TargetMode="External"/><Relationship Id="rId4" Type="http://schemas.microsoft.com/office/2007/relationships/stylesWithEffects" Target="stylesWithEffects.xml"/><Relationship Id="rId9" Type="http://schemas.openxmlformats.org/officeDocument/2006/relationships/hyperlink" Target="https://www.gov.uk/government/consultations/property-ownership-by-foreign-companies-improving-transpar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F40F1C9-0048-4354-BDCF-7AC4C723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Ricketts Simon (GO-Science)</dc:creator>
  <cp:lastModifiedBy>Longstaff Rachel (CED)</cp:lastModifiedBy>
  <cp:revision>2</cp:revision>
  <cp:lastPrinted>2012-11-01T14:25:00Z</cp:lastPrinted>
  <dcterms:created xsi:type="dcterms:W3CDTF">2016-03-30T12:52:00Z</dcterms:created>
  <dcterms:modified xsi:type="dcterms:W3CDTF">2016-03-30T12:52:00Z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