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EA3" w:rsidRDefault="007C1EA3" w:rsidP="007C1EA3">
      <w:pPr>
        <w:pStyle w:val="Heading2"/>
      </w:pPr>
      <w:bookmarkStart w:id="0" w:name="_Toc421797265"/>
      <w:r>
        <w:rPr>
          <w:noProof/>
          <w:lang w:eastAsia="en-GB"/>
        </w:rPr>
        <w:drawing>
          <wp:inline distT="0" distB="0" distL="0" distR="0" wp14:anchorId="3E7328FF" wp14:editId="62F88691">
            <wp:extent cx="5044440" cy="449580"/>
            <wp:effectExtent l="0" t="0" r="3810" b="7620"/>
            <wp:docPr id="1" name="Picture 1" descr="Department for Business, Innovation &amp; Skil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partment for Business, Innovation &amp; Skill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44440" cy="449580"/>
                    </a:xfrm>
                    <a:prstGeom prst="rect">
                      <a:avLst/>
                    </a:prstGeom>
                    <a:noFill/>
                    <a:ln>
                      <a:noFill/>
                    </a:ln>
                  </pic:spPr>
                </pic:pic>
              </a:graphicData>
            </a:graphic>
          </wp:inline>
        </w:drawing>
      </w:r>
    </w:p>
    <w:p w:rsidR="007C1EA3" w:rsidRDefault="007C1EA3" w:rsidP="007C1EA3">
      <w:pPr>
        <w:pStyle w:val="Heading2"/>
      </w:pPr>
    </w:p>
    <w:p w:rsidR="007C1EA3" w:rsidRDefault="007C1EA3" w:rsidP="007C1EA3">
      <w:pPr>
        <w:pStyle w:val="Heading2"/>
      </w:pPr>
      <w:r>
        <w:t>Annex D</w:t>
      </w:r>
      <w:r w:rsidRPr="000950CF">
        <w:t xml:space="preserve">: </w:t>
      </w:r>
      <w:r>
        <w:t xml:space="preserve">The </w:t>
      </w:r>
      <w:bookmarkStart w:id="1" w:name="_GoBack"/>
      <w:r>
        <w:t>Register of People with Significant Control Regulations 2015 consultation response form</w:t>
      </w:r>
      <w:bookmarkEnd w:id="0"/>
      <w:bookmarkEnd w:id="1"/>
    </w:p>
    <w:p w:rsidR="007C1EA3" w:rsidRPr="000950CF" w:rsidRDefault="007C1EA3" w:rsidP="007C1EA3">
      <w:r>
        <w:t xml:space="preserve">The </w:t>
      </w:r>
      <w:r w:rsidRPr="000950CF">
        <w:t xml:space="preserve">Department may, in accordance with the Code of Practice on Access to Government Information, make available, on public request, individual </w:t>
      </w:r>
      <w:r>
        <w:t>responses.</w:t>
      </w:r>
    </w:p>
    <w:p w:rsidR="007C1EA3" w:rsidRPr="008F0367" w:rsidRDefault="007C1EA3" w:rsidP="007C1EA3">
      <w:r w:rsidRPr="008F0367">
        <w:t xml:space="preserve">The closing date for this consultation is </w:t>
      </w:r>
      <w:r>
        <w:t>17/07/2015</w:t>
      </w:r>
    </w:p>
    <w:p w:rsidR="007C1EA3" w:rsidRDefault="007C1EA3" w:rsidP="007C1EA3">
      <w:pPr>
        <w:spacing w:after="0"/>
      </w:pPr>
      <w:r w:rsidRPr="000950CF">
        <w:t>Name</w:t>
      </w:r>
      <w:r>
        <w:t>:</w:t>
      </w:r>
    </w:p>
    <w:p w:rsidR="007C1EA3" w:rsidRPr="000950CF" w:rsidRDefault="007C1EA3" w:rsidP="007C1EA3">
      <w:pPr>
        <w:spacing w:after="0"/>
      </w:pPr>
      <w:r>
        <w:t>Organisation (if applicable):</w:t>
      </w:r>
    </w:p>
    <w:p w:rsidR="007C1EA3" w:rsidRPr="000950CF" w:rsidRDefault="007C1EA3" w:rsidP="007C1EA3">
      <w:pPr>
        <w:spacing w:after="0"/>
      </w:pPr>
      <w:r w:rsidRPr="000950CF">
        <w:t>Address</w:t>
      </w:r>
      <w:r>
        <w:t>:</w:t>
      </w:r>
    </w:p>
    <w:p w:rsidR="007C1EA3" w:rsidRPr="000950CF" w:rsidRDefault="007C1EA3" w:rsidP="007C1EA3">
      <w:pPr>
        <w:spacing w:after="0"/>
      </w:pPr>
    </w:p>
    <w:p w:rsidR="007C1EA3" w:rsidRDefault="007C1EA3" w:rsidP="007C1EA3">
      <w:pPr>
        <w:spacing w:after="0"/>
        <w:ind w:firstLine="709"/>
      </w:pPr>
      <w:r w:rsidRPr="000950CF">
        <w:t>Email</w:t>
      </w:r>
      <w:r>
        <w:t xml:space="preserve">: </w:t>
      </w:r>
      <w:hyperlink r:id="rId7" w:history="1">
        <w:r w:rsidRPr="00F53D28">
          <w:t>transparencyandtrust@bis.gsi.gov.uk</w:t>
        </w:r>
      </w:hyperlink>
    </w:p>
    <w:p w:rsidR="007C1EA3" w:rsidRDefault="007C1EA3" w:rsidP="007C1EA3">
      <w:pPr>
        <w:spacing w:after="0"/>
        <w:ind w:firstLine="709"/>
      </w:pPr>
    </w:p>
    <w:p w:rsidR="007C1EA3" w:rsidRPr="000950CF" w:rsidRDefault="007C1EA3" w:rsidP="007C1EA3">
      <w:pPr>
        <w:spacing w:after="0"/>
        <w:ind w:firstLine="709"/>
      </w:pPr>
      <w:r>
        <w:t>The Transparency and Trust team</w:t>
      </w:r>
    </w:p>
    <w:p w:rsidR="007C1EA3" w:rsidRDefault="007C1EA3" w:rsidP="007C1EA3">
      <w:pPr>
        <w:spacing w:after="0"/>
        <w:ind w:firstLine="709"/>
      </w:pPr>
      <w:r>
        <w:t>3</w:t>
      </w:r>
      <w:r w:rsidRPr="00510E42">
        <w:rPr>
          <w:vertAlign w:val="superscript"/>
        </w:rPr>
        <w:t>rd</w:t>
      </w:r>
      <w:r>
        <w:t xml:space="preserve"> Floor Spur</w:t>
      </w:r>
    </w:p>
    <w:p w:rsidR="007C1EA3" w:rsidRDefault="007C1EA3" w:rsidP="007C1EA3">
      <w:pPr>
        <w:spacing w:after="0"/>
        <w:ind w:firstLine="709"/>
      </w:pPr>
      <w:r w:rsidRPr="000950CF">
        <w:t xml:space="preserve">Department of Business, </w:t>
      </w:r>
      <w:r>
        <w:t xml:space="preserve">Innovation and Skills </w:t>
      </w:r>
    </w:p>
    <w:p w:rsidR="007C1EA3" w:rsidRDefault="007C1EA3" w:rsidP="007C1EA3">
      <w:pPr>
        <w:spacing w:after="0"/>
        <w:ind w:firstLine="709"/>
      </w:pPr>
      <w:r>
        <w:t>1 Victoria Street</w:t>
      </w:r>
    </w:p>
    <w:p w:rsidR="007C1EA3" w:rsidRDefault="007C1EA3" w:rsidP="007C1EA3">
      <w:pPr>
        <w:spacing w:after="0"/>
        <w:ind w:firstLine="709"/>
      </w:pPr>
      <w:r>
        <w:t>London</w:t>
      </w:r>
    </w:p>
    <w:p w:rsidR="007C1EA3" w:rsidRPr="000950CF" w:rsidRDefault="007C1EA3" w:rsidP="007C1EA3">
      <w:pPr>
        <w:spacing w:after="0"/>
        <w:ind w:firstLine="709"/>
      </w:pPr>
      <w:r>
        <w:rPr>
          <w:rStyle w:val="postal-code"/>
          <w:lang w:val="en"/>
        </w:rPr>
        <w:t>SW1H 0ET</w:t>
      </w:r>
    </w:p>
    <w:p w:rsidR="007C1EA3" w:rsidRDefault="007C1EA3" w:rsidP="007C1EA3">
      <w:pPr>
        <w:spacing w:after="0"/>
      </w:pPr>
    </w:p>
    <w:p w:rsidR="007C1EA3" w:rsidRDefault="007C1EA3" w:rsidP="007C1EA3">
      <w:pPr>
        <w:spacing w:after="0"/>
      </w:pPr>
    </w:p>
    <w:p w:rsidR="007C1EA3" w:rsidRDefault="007C1EA3" w:rsidP="007C1EA3">
      <w:r>
        <w:t xml:space="preserve">Please </w:t>
      </w:r>
      <w:proofErr w:type="gramStart"/>
      <w:r>
        <w:t>tick to indicate what type of organisation you represent</w:t>
      </w:r>
      <w:proofErr w:type="gramEnd"/>
      <w:r>
        <w:t xml:space="preserve"> or if you are responding as an individual:</w:t>
      </w:r>
    </w:p>
    <w:tbl>
      <w:tblPr>
        <w:tblW w:w="3791" w:type="pct"/>
        <w:tblInd w:w="294" w:type="dxa"/>
        <w:tblBorders>
          <w:top w:val="single" w:sz="8" w:space="0" w:color="00CCFF"/>
          <w:left w:val="single" w:sz="8" w:space="0" w:color="00CCFF"/>
          <w:bottom w:val="single" w:sz="8" w:space="0" w:color="00CCFF"/>
          <w:right w:val="single" w:sz="8" w:space="0" w:color="00CCFF"/>
          <w:insideH w:val="single" w:sz="8" w:space="0" w:color="00CCFF"/>
          <w:insideV w:val="single" w:sz="8" w:space="0" w:color="00CCFF"/>
        </w:tblBorders>
        <w:tblLayout w:type="fixed"/>
        <w:tblCellMar>
          <w:left w:w="0" w:type="dxa"/>
          <w:right w:w="0" w:type="dxa"/>
        </w:tblCellMar>
        <w:tblLook w:val="01E0" w:firstRow="1" w:lastRow="1" w:firstColumn="1" w:lastColumn="1" w:noHBand="0" w:noVBand="0"/>
      </w:tblPr>
      <w:tblGrid>
        <w:gridCol w:w="872"/>
        <w:gridCol w:w="5987"/>
      </w:tblGrid>
      <w:tr w:rsidR="007C1EA3" w:rsidRPr="00015C4E" w:rsidTr="00C32666">
        <w:trPr>
          <w:trHeight w:val="227"/>
        </w:trPr>
        <w:tc>
          <w:tcPr>
            <w:tcW w:w="636" w:type="pct"/>
            <w:shd w:val="clear" w:color="auto" w:fill="auto"/>
            <w:tcMar>
              <w:top w:w="113" w:type="dxa"/>
              <w:bottom w:w="113" w:type="dxa"/>
            </w:tcMar>
          </w:tcPr>
          <w:p w:rsidR="007C1EA3" w:rsidRPr="003654E6" w:rsidRDefault="007C1EA3" w:rsidP="00C32666">
            <w:pPr>
              <w:pStyle w:val="TableText"/>
              <w:tabs>
                <w:tab w:val="left" w:pos="825"/>
              </w:tabs>
              <w:spacing w:after="0"/>
            </w:pPr>
            <w:r>
              <w:tab/>
            </w:r>
          </w:p>
        </w:tc>
        <w:tc>
          <w:tcPr>
            <w:tcW w:w="4364" w:type="pct"/>
            <w:shd w:val="clear" w:color="auto" w:fill="auto"/>
            <w:tcMar>
              <w:top w:w="113" w:type="dxa"/>
              <w:bottom w:w="113" w:type="dxa"/>
            </w:tcMar>
          </w:tcPr>
          <w:p w:rsidR="007C1EA3" w:rsidRPr="00015C4E" w:rsidRDefault="007C1EA3" w:rsidP="00C32666">
            <w:pPr>
              <w:pStyle w:val="Tabletextnon-bold"/>
              <w:spacing w:after="0"/>
            </w:pPr>
            <w:r>
              <w:t>Bu</w:t>
            </w:r>
            <w:r w:rsidRPr="00015C4E">
              <w:t>si</w:t>
            </w:r>
            <w:r>
              <w:t>ness representative organisation/trade body</w:t>
            </w:r>
          </w:p>
        </w:tc>
      </w:tr>
      <w:tr w:rsidR="007C1EA3" w:rsidRPr="00015C4E" w:rsidTr="00C32666">
        <w:trPr>
          <w:trHeight w:val="227"/>
        </w:trPr>
        <w:tc>
          <w:tcPr>
            <w:tcW w:w="636" w:type="pct"/>
            <w:shd w:val="clear" w:color="auto" w:fill="auto"/>
            <w:tcMar>
              <w:top w:w="113" w:type="dxa"/>
              <w:bottom w:w="113" w:type="dxa"/>
            </w:tcMar>
          </w:tcPr>
          <w:p w:rsidR="007C1EA3" w:rsidRDefault="007C1EA3" w:rsidP="00C32666">
            <w:pPr>
              <w:pStyle w:val="TableText"/>
              <w:spacing w:after="0"/>
            </w:pPr>
          </w:p>
        </w:tc>
        <w:tc>
          <w:tcPr>
            <w:tcW w:w="4364" w:type="pct"/>
            <w:shd w:val="clear" w:color="auto" w:fill="auto"/>
            <w:tcMar>
              <w:top w:w="113" w:type="dxa"/>
              <w:bottom w:w="113" w:type="dxa"/>
            </w:tcMar>
          </w:tcPr>
          <w:p w:rsidR="007C1EA3" w:rsidRPr="00015C4E" w:rsidRDefault="007C1EA3" w:rsidP="00C32666">
            <w:pPr>
              <w:pStyle w:val="Tabletextnon-bold"/>
              <w:spacing w:after="0"/>
            </w:pPr>
            <w:r>
              <w:t>Central government</w:t>
            </w:r>
          </w:p>
        </w:tc>
      </w:tr>
      <w:tr w:rsidR="007C1EA3" w:rsidRPr="00015C4E" w:rsidTr="00C32666">
        <w:trPr>
          <w:trHeight w:val="227"/>
        </w:trPr>
        <w:tc>
          <w:tcPr>
            <w:tcW w:w="636" w:type="pct"/>
            <w:shd w:val="clear" w:color="auto" w:fill="auto"/>
            <w:tcMar>
              <w:top w:w="113" w:type="dxa"/>
              <w:bottom w:w="113" w:type="dxa"/>
            </w:tcMar>
          </w:tcPr>
          <w:p w:rsidR="007C1EA3" w:rsidRDefault="007C1EA3" w:rsidP="00C32666">
            <w:pPr>
              <w:pStyle w:val="TableText"/>
              <w:spacing w:after="0"/>
            </w:pPr>
          </w:p>
        </w:tc>
        <w:tc>
          <w:tcPr>
            <w:tcW w:w="4364" w:type="pct"/>
            <w:shd w:val="clear" w:color="auto" w:fill="auto"/>
            <w:tcMar>
              <w:top w:w="113" w:type="dxa"/>
              <w:bottom w:w="113" w:type="dxa"/>
            </w:tcMar>
          </w:tcPr>
          <w:p w:rsidR="007C1EA3" w:rsidRDefault="007C1EA3" w:rsidP="00C32666">
            <w:pPr>
              <w:pStyle w:val="Tabletextnon-bold"/>
              <w:spacing w:after="0"/>
            </w:pPr>
            <w:r>
              <w:t>Charity or social enterprise</w:t>
            </w:r>
          </w:p>
        </w:tc>
      </w:tr>
      <w:tr w:rsidR="007C1EA3" w:rsidRPr="00015C4E" w:rsidTr="00C32666">
        <w:trPr>
          <w:trHeight w:val="227"/>
        </w:trPr>
        <w:tc>
          <w:tcPr>
            <w:tcW w:w="636" w:type="pct"/>
            <w:shd w:val="clear" w:color="auto" w:fill="auto"/>
            <w:tcMar>
              <w:top w:w="113" w:type="dxa"/>
              <w:bottom w:w="113" w:type="dxa"/>
            </w:tcMar>
          </w:tcPr>
          <w:p w:rsidR="007C1EA3" w:rsidRDefault="007C1EA3" w:rsidP="00C32666">
            <w:pPr>
              <w:pStyle w:val="TableText"/>
              <w:spacing w:after="0"/>
            </w:pPr>
          </w:p>
        </w:tc>
        <w:tc>
          <w:tcPr>
            <w:tcW w:w="4364" w:type="pct"/>
            <w:shd w:val="clear" w:color="auto" w:fill="auto"/>
            <w:tcMar>
              <w:top w:w="113" w:type="dxa"/>
              <w:bottom w:w="113" w:type="dxa"/>
            </w:tcMar>
          </w:tcPr>
          <w:p w:rsidR="007C1EA3" w:rsidRDefault="007C1EA3" w:rsidP="00C32666">
            <w:pPr>
              <w:pStyle w:val="Tabletextnon-bold"/>
              <w:spacing w:after="0"/>
            </w:pPr>
            <w:r>
              <w:t>Individual</w:t>
            </w:r>
          </w:p>
        </w:tc>
      </w:tr>
      <w:tr w:rsidR="007C1EA3" w:rsidRPr="00015C4E" w:rsidTr="00C32666">
        <w:trPr>
          <w:trHeight w:val="227"/>
        </w:trPr>
        <w:tc>
          <w:tcPr>
            <w:tcW w:w="636" w:type="pct"/>
            <w:shd w:val="clear" w:color="auto" w:fill="auto"/>
            <w:tcMar>
              <w:top w:w="113" w:type="dxa"/>
              <w:bottom w:w="113" w:type="dxa"/>
            </w:tcMar>
          </w:tcPr>
          <w:p w:rsidR="007C1EA3" w:rsidRDefault="007C1EA3" w:rsidP="00C32666">
            <w:pPr>
              <w:pStyle w:val="TableText"/>
              <w:spacing w:after="0"/>
            </w:pPr>
          </w:p>
        </w:tc>
        <w:tc>
          <w:tcPr>
            <w:tcW w:w="4364" w:type="pct"/>
            <w:shd w:val="clear" w:color="auto" w:fill="auto"/>
            <w:tcMar>
              <w:top w:w="113" w:type="dxa"/>
              <w:bottom w:w="113" w:type="dxa"/>
            </w:tcMar>
          </w:tcPr>
          <w:p w:rsidR="007C1EA3" w:rsidRDefault="007C1EA3" w:rsidP="00C32666">
            <w:pPr>
              <w:pStyle w:val="Tabletextnon-bold"/>
              <w:spacing w:after="0"/>
            </w:pPr>
            <w:r>
              <w:t>Large business (over 250 staff)</w:t>
            </w:r>
          </w:p>
        </w:tc>
      </w:tr>
      <w:tr w:rsidR="007C1EA3" w:rsidRPr="00015C4E" w:rsidTr="00C32666">
        <w:trPr>
          <w:trHeight w:val="227"/>
        </w:trPr>
        <w:tc>
          <w:tcPr>
            <w:tcW w:w="636" w:type="pct"/>
            <w:shd w:val="clear" w:color="auto" w:fill="auto"/>
            <w:tcMar>
              <w:top w:w="113" w:type="dxa"/>
              <w:bottom w:w="113" w:type="dxa"/>
            </w:tcMar>
          </w:tcPr>
          <w:p w:rsidR="007C1EA3" w:rsidRDefault="007C1EA3" w:rsidP="00C32666">
            <w:pPr>
              <w:pStyle w:val="TableText"/>
              <w:spacing w:after="0"/>
            </w:pPr>
          </w:p>
        </w:tc>
        <w:tc>
          <w:tcPr>
            <w:tcW w:w="4364" w:type="pct"/>
            <w:shd w:val="clear" w:color="auto" w:fill="auto"/>
            <w:tcMar>
              <w:top w:w="113" w:type="dxa"/>
              <w:bottom w:w="113" w:type="dxa"/>
            </w:tcMar>
          </w:tcPr>
          <w:p w:rsidR="007C1EA3" w:rsidRDefault="007C1EA3" w:rsidP="00C32666">
            <w:pPr>
              <w:pStyle w:val="Tabletextnon-bold"/>
              <w:spacing w:after="0"/>
            </w:pPr>
            <w:r>
              <w:t>Legal representative</w:t>
            </w:r>
          </w:p>
        </w:tc>
      </w:tr>
      <w:tr w:rsidR="007C1EA3" w:rsidRPr="00015C4E" w:rsidTr="00C32666">
        <w:trPr>
          <w:trHeight w:val="227"/>
        </w:trPr>
        <w:tc>
          <w:tcPr>
            <w:tcW w:w="636" w:type="pct"/>
            <w:shd w:val="clear" w:color="auto" w:fill="auto"/>
            <w:tcMar>
              <w:top w:w="113" w:type="dxa"/>
              <w:bottom w:w="113" w:type="dxa"/>
            </w:tcMar>
          </w:tcPr>
          <w:p w:rsidR="007C1EA3" w:rsidRDefault="007C1EA3" w:rsidP="00C32666">
            <w:pPr>
              <w:pStyle w:val="TableText"/>
              <w:spacing w:after="0"/>
            </w:pPr>
          </w:p>
        </w:tc>
        <w:tc>
          <w:tcPr>
            <w:tcW w:w="4364" w:type="pct"/>
            <w:shd w:val="clear" w:color="auto" w:fill="auto"/>
            <w:tcMar>
              <w:top w:w="113" w:type="dxa"/>
              <w:bottom w:w="113" w:type="dxa"/>
            </w:tcMar>
          </w:tcPr>
          <w:p w:rsidR="007C1EA3" w:rsidRDefault="007C1EA3" w:rsidP="00C32666">
            <w:pPr>
              <w:pStyle w:val="Tabletextnon-bold"/>
              <w:spacing w:after="0"/>
            </w:pPr>
            <w:r>
              <w:t>Local Government</w:t>
            </w:r>
          </w:p>
        </w:tc>
      </w:tr>
      <w:tr w:rsidR="007C1EA3" w:rsidRPr="00015C4E" w:rsidTr="00C32666">
        <w:trPr>
          <w:trHeight w:val="227"/>
        </w:trPr>
        <w:tc>
          <w:tcPr>
            <w:tcW w:w="636" w:type="pct"/>
            <w:shd w:val="clear" w:color="auto" w:fill="auto"/>
            <w:tcMar>
              <w:top w:w="113" w:type="dxa"/>
              <w:bottom w:w="113" w:type="dxa"/>
            </w:tcMar>
          </w:tcPr>
          <w:p w:rsidR="007C1EA3" w:rsidRDefault="007C1EA3" w:rsidP="00C32666">
            <w:pPr>
              <w:pStyle w:val="TableText"/>
              <w:spacing w:after="0"/>
            </w:pPr>
          </w:p>
        </w:tc>
        <w:tc>
          <w:tcPr>
            <w:tcW w:w="4364" w:type="pct"/>
            <w:shd w:val="clear" w:color="auto" w:fill="auto"/>
            <w:tcMar>
              <w:top w:w="113" w:type="dxa"/>
              <w:bottom w:w="113" w:type="dxa"/>
            </w:tcMar>
          </w:tcPr>
          <w:p w:rsidR="007C1EA3" w:rsidRDefault="007C1EA3" w:rsidP="00C32666">
            <w:pPr>
              <w:pStyle w:val="Tabletextnon-bold"/>
              <w:spacing w:after="0"/>
            </w:pPr>
            <w:r>
              <w:t>Medium business (50 to 250 staff)</w:t>
            </w:r>
          </w:p>
        </w:tc>
      </w:tr>
      <w:tr w:rsidR="007C1EA3" w:rsidRPr="00015C4E" w:rsidTr="00C32666">
        <w:trPr>
          <w:trHeight w:val="227"/>
        </w:trPr>
        <w:tc>
          <w:tcPr>
            <w:tcW w:w="636" w:type="pct"/>
            <w:shd w:val="clear" w:color="auto" w:fill="auto"/>
            <w:tcMar>
              <w:top w:w="113" w:type="dxa"/>
              <w:bottom w:w="113" w:type="dxa"/>
            </w:tcMar>
          </w:tcPr>
          <w:p w:rsidR="007C1EA3" w:rsidRDefault="007C1EA3" w:rsidP="00C32666">
            <w:pPr>
              <w:pStyle w:val="TableText"/>
              <w:spacing w:after="0"/>
            </w:pPr>
          </w:p>
        </w:tc>
        <w:tc>
          <w:tcPr>
            <w:tcW w:w="4364" w:type="pct"/>
            <w:shd w:val="clear" w:color="auto" w:fill="auto"/>
            <w:tcMar>
              <w:top w:w="113" w:type="dxa"/>
              <w:bottom w:w="113" w:type="dxa"/>
            </w:tcMar>
          </w:tcPr>
          <w:p w:rsidR="007C1EA3" w:rsidRDefault="007C1EA3" w:rsidP="00C32666">
            <w:pPr>
              <w:pStyle w:val="Tabletextnon-bold"/>
              <w:spacing w:after="0"/>
            </w:pPr>
            <w:r>
              <w:t>Micro business (up to 9 staff)</w:t>
            </w:r>
          </w:p>
        </w:tc>
      </w:tr>
      <w:tr w:rsidR="007C1EA3" w:rsidRPr="00015C4E" w:rsidTr="00C32666">
        <w:trPr>
          <w:trHeight w:val="227"/>
        </w:trPr>
        <w:tc>
          <w:tcPr>
            <w:tcW w:w="636" w:type="pct"/>
            <w:shd w:val="clear" w:color="auto" w:fill="auto"/>
            <w:tcMar>
              <w:top w:w="113" w:type="dxa"/>
              <w:bottom w:w="113" w:type="dxa"/>
            </w:tcMar>
          </w:tcPr>
          <w:p w:rsidR="007C1EA3" w:rsidRDefault="007C1EA3" w:rsidP="00C32666">
            <w:pPr>
              <w:pStyle w:val="TableText"/>
              <w:spacing w:after="0"/>
            </w:pPr>
          </w:p>
        </w:tc>
        <w:tc>
          <w:tcPr>
            <w:tcW w:w="4364" w:type="pct"/>
            <w:shd w:val="clear" w:color="auto" w:fill="auto"/>
            <w:tcMar>
              <w:top w:w="113" w:type="dxa"/>
              <w:bottom w:w="113" w:type="dxa"/>
            </w:tcMar>
          </w:tcPr>
          <w:p w:rsidR="007C1EA3" w:rsidRDefault="007C1EA3" w:rsidP="00C32666">
            <w:pPr>
              <w:pStyle w:val="Tabletextnon-bold"/>
              <w:spacing w:after="0"/>
            </w:pPr>
            <w:r>
              <w:t>Small business (10 to 49 staff)</w:t>
            </w:r>
          </w:p>
        </w:tc>
      </w:tr>
      <w:tr w:rsidR="007C1EA3" w:rsidRPr="00015C4E" w:rsidTr="00C32666">
        <w:trPr>
          <w:trHeight w:val="227"/>
        </w:trPr>
        <w:tc>
          <w:tcPr>
            <w:tcW w:w="636" w:type="pct"/>
            <w:shd w:val="clear" w:color="auto" w:fill="auto"/>
            <w:tcMar>
              <w:top w:w="113" w:type="dxa"/>
              <w:bottom w:w="113" w:type="dxa"/>
            </w:tcMar>
          </w:tcPr>
          <w:p w:rsidR="007C1EA3" w:rsidRDefault="007C1EA3" w:rsidP="00C32666">
            <w:pPr>
              <w:pStyle w:val="TableText"/>
              <w:spacing w:after="0"/>
            </w:pPr>
          </w:p>
        </w:tc>
        <w:tc>
          <w:tcPr>
            <w:tcW w:w="4364" w:type="pct"/>
            <w:shd w:val="clear" w:color="auto" w:fill="auto"/>
            <w:tcMar>
              <w:top w:w="113" w:type="dxa"/>
              <w:bottom w:w="113" w:type="dxa"/>
            </w:tcMar>
          </w:tcPr>
          <w:p w:rsidR="007C1EA3" w:rsidRDefault="007C1EA3" w:rsidP="00C32666">
            <w:pPr>
              <w:pStyle w:val="Tabletextnon-bold"/>
              <w:spacing w:after="0"/>
            </w:pPr>
            <w:r>
              <w:t>Trade union or staff association</w:t>
            </w:r>
          </w:p>
        </w:tc>
      </w:tr>
      <w:tr w:rsidR="007C1EA3" w:rsidRPr="00015C4E" w:rsidTr="00C32666">
        <w:trPr>
          <w:trHeight w:val="227"/>
        </w:trPr>
        <w:tc>
          <w:tcPr>
            <w:tcW w:w="636" w:type="pct"/>
            <w:shd w:val="clear" w:color="auto" w:fill="auto"/>
            <w:tcMar>
              <w:top w:w="113" w:type="dxa"/>
              <w:bottom w:w="113" w:type="dxa"/>
            </w:tcMar>
          </w:tcPr>
          <w:p w:rsidR="007C1EA3" w:rsidRDefault="007C1EA3" w:rsidP="00C32666">
            <w:pPr>
              <w:pStyle w:val="TableText"/>
              <w:spacing w:after="0"/>
            </w:pPr>
          </w:p>
        </w:tc>
        <w:tc>
          <w:tcPr>
            <w:tcW w:w="4364" w:type="pct"/>
            <w:shd w:val="clear" w:color="auto" w:fill="auto"/>
            <w:tcMar>
              <w:top w:w="113" w:type="dxa"/>
              <w:bottom w:w="113" w:type="dxa"/>
            </w:tcMar>
          </w:tcPr>
          <w:p w:rsidR="007C1EA3" w:rsidRDefault="007C1EA3" w:rsidP="00C32666">
            <w:pPr>
              <w:pStyle w:val="Tabletextnon-bold"/>
              <w:spacing w:after="0"/>
            </w:pPr>
            <w:r>
              <w:t>Other (please describe)</w:t>
            </w:r>
          </w:p>
        </w:tc>
      </w:tr>
    </w:tbl>
    <w:p w:rsidR="007C1EA3" w:rsidRPr="00484B18" w:rsidRDefault="007C1EA3" w:rsidP="007C1EA3"/>
    <w:p w:rsidR="007C1EA3" w:rsidRDefault="007C1EA3" w:rsidP="007C1EA3">
      <w:r w:rsidRPr="001535FD">
        <w:rPr>
          <w:b/>
        </w:rPr>
        <w:t>Question</w:t>
      </w:r>
      <w:r>
        <w:t xml:space="preserve"> </w:t>
      </w:r>
      <w:r w:rsidRPr="001535FD">
        <w:rPr>
          <w:b/>
        </w:rPr>
        <w:t>1</w:t>
      </w:r>
      <w:r>
        <w:t xml:space="preserve"> Do you have any comments on the impact assessments covering the protection regime and the costs of making registers publicly available?</w:t>
      </w:r>
    </w:p>
    <w:p w:rsidR="007C1EA3" w:rsidRDefault="007C1EA3" w:rsidP="007C1EA3">
      <w:pPr>
        <w:pStyle w:val="BISnumberingBold"/>
        <w:numPr>
          <w:ilvl w:val="0"/>
          <w:numId w:val="0"/>
        </w:numPr>
      </w:pPr>
      <w:r>
        <w:t>Comments:</w:t>
      </w:r>
    </w:p>
    <w:p w:rsidR="007C1EA3" w:rsidRDefault="007C1EA3" w:rsidP="007C1EA3">
      <w:pPr>
        <w:rPr>
          <w:b/>
        </w:rPr>
      </w:pPr>
    </w:p>
    <w:p w:rsidR="007C1EA3" w:rsidRDefault="007C1EA3" w:rsidP="007C1EA3">
      <w:pPr>
        <w:rPr>
          <w:b/>
        </w:rPr>
      </w:pPr>
    </w:p>
    <w:p w:rsidR="007C1EA3" w:rsidRDefault="007C1EA3" w:rsidP="007C1EA3">
      <w:pPr>
        <w:rPr>
          <w:b/>
        </w:rPr>
      </w:pPr>
    </w:p>
    <w:p w:rsidR="007C1EA3" w:rsidRDefault="007C1EA3" w:rsidP="007C1EA3">
      <w:pPr>
        <w:rPr>
          <w:b/>
        </w:rPr>
      </w:pPr>
    </w:p>
    <w:p w:rsidR="007C1EA3" w:rsidRDefault="007C1EA3" w:rsidP="007C1EA3">
      <w:pPr>
        <w:rPr>
          <w:b/>
        </w:rPr>
      </w:pPr>
    </w:p>
    <w:p w:rsidR="007C1EA3" w:rsidRDefault="007C1EA3" w:rsidP="007C1EA3">
      <w:pPr>
        <w:rPr>
          <w:b/>
        </w:rPr>
      </w:pPr>
    </w:p>
    <w:p w:rsidR="007C1EA3" w:rsidRDefault="007C1EA3" w:rsidP="007C1EA3">
      <w:r w:rsidRPr="00960C38">
        <w:rPr>
          <w:b/>
        </w:rPr>
        <w:t>Question 2</w:t>
      </w:r>
      <w:r>
        <w:t xml:space="preserve"> Do you agree with the proposed exemptions? </w:t>
      </w:r>
    </w:p>
    <w:p w:rsidR="007C1EA3" w:rsidRDefault="007C1EA3" w:rsidP="007C1EA3">
      <w:r>
        <w:fldChar w:fldCharType="begin">
          <w:ffData>
            <w:name w:val="Check5"/>
            <w:enabled/>
            <w:calcOnExit w:val="0"/>
            <w:checkBox>
              <w:sizeAuto/>
              <w:default w:val="0"/>
            </w:checkBox>
          </w:ffData>
        </w:fldChar>
      </w:r>
      <w:r>
        <w:instrText xml:space="preserve"> FORMCHECKBOX </w:instrText>
      </w:r>
      <w:r>
        <w:fldChar w:fldCharType="separate"/>
      </w:r>
      <w:r>
        <w:fldChar w:fldCharType="end"/>
      </w:r>
      <w:r>
        <w:t xml:space="preserve"> Yes</w:t>
      </w:r>
      <w:r>
        <w:tab/>
      </w:r>
      <w:r>
        <w:tab/>
      </w:r>
      <w:r>
        <w:fldChar w:fldCharType="begin">
          <w:ffData>
            <w:name w:val="Check6"/>
            <w:enabled/>
            <w:calcOnExit w:val="0"/>
            <w:checkBox>
              <w:sizeAuto/>
              <w:default w:val="0"/>
            </w:checkBox>
          </w:ffData>
        </w:fldChar>
      </w:r>
      <w:r>
        <w:instrText xml:space="preserve"> FORMCHECKBOX </w:instrText>
      </w:r>
      <w:r>
        <w:fldChar w:fldCharType="separate"/>
      </w:r>
      <w:r>
        <w:fldChar w:fldCharType="end"/>
      </w:r>
      <w:r>
        <w:t xml:space="preserve"> No</w:t>
      </w:r>
      <w:r>
        <w:tab/>
      </w:r>
      <w:r>
        <w:tab/>
      </w:r>
      <w:r>
        <w:tab/>
      </w:r>
      <w:r>
        <w:fldChar w:fldCharType="begin">
          <w:ffData>
            <w:name w:val="Check7"/>
            <w:enabled/>
            <w:calcOnExit w:val="0"/>
            <w:checkBox>
              <w:sizeAuto/>
              <w:default w:val="0"/>
            </w:checkBox>
          </w:ffData>
        </w:fldChar>
      </w:r>
      <w:r>
        <w:instrText xml:space="preserve"> FORMCHECKBOX </w:instrText>
      </w:r>
      <w:r>
        <w:fldChar w:fldCharType="separate"/>
      </w:r>
      <w:r>
        <w:fldChar w:fldCharType="end"/>
      </w:r>
      <w:r>
        <w:t xml:space="preserve"> </w:t>
      </w:r>
      <w:proofErr w:type="gramStart"/>
      <w:r>
        <w:t>Not</w:t>
      </w:r>
      <w:proofErr w:type="gramEnd"/>
      <w:r>
        <w:t xml:space="preserve"> sure</w:t>
      </w:r>
    </w:p>
    <w:p w:rsidR="007C1EA3" w:rsidRDefault="007C1EA3" w:rsidP="007C1EA3">
      <w:r>
        <w:t>Comments:</w:t>
      </w:r>
    </w:p>
    <w:p w:rsidR="007C1EA3" w:rsidRDefault="007C1EA3" w:rsidP="007C1EA3"/>
    <w:p w:rsidR="007C1EA3" w:rsidRDefault="007C1EA3" w:rsidP="007C1EA3"/>
    <w:p w:rsidR="007C1EA3" w:rsidRDefault="007C1EA3" w:rsidP="007C1EA3"/>
    <w:p w:rsidR="007C1EA3" w:rsidRDefault="007C1EA3" w:rsidP="007C1EA3"/>
    <w:p w:rsidR="007C1EA3" w:rsidRDefault="007C1EA3" w:rsidP="007C1EA3"/>
    <w:p w:rsidR="007C1EA3" w:rsidRDefault="007C1EA3" w:rsidP="007C1EA3"/>
    <w:p w:rsidR="007C1EA3" w:rsidRDefault="007C1EA3" w:rsidP="007C1EA3">
      <w:r w:rsidRPr="00960C38">
        <w:rPr>
          <w:b/>
        </w:rPr>
        <w:t>Question 3</w:t>
      </w:r>
      <w:r w:rsidRPr="00960C38">
        <w:t xml:space="preserve"> </w:t>
      </w:r>
      <w:r>
        <w:t xml:space="preserve">Should other companies be exempted, and why? </w:t>
      </w:r>
    </w:p>
    <w:p w:rsidR="007C1EA3" w:rsidRDefault="007C1EA3" w:rsidP="007C1EA3">
      <w:r>
        <w:fldChar w:fldCharType="begin">
          <w:ffData>
            <w:name w:val="Check5"/>
            <w:enabled/>
            <w:calcOnExit w:val="0"/>
            <w:checkBox>
              <w:sizeAuto/>
              <w:default w:val="0"/>
            </w:checkBox>
          </w:ffData>
        </w:fldChar>
      </w:r>
      <w:r>
        <w:instrText xml:space="preserve"> FORMCHECKBOX </w:instrText>
      </w:r>
      <w:r>
        <w:fldChar w:fldCharType="separate"/>
      </w:r>
      <w:r>
        <w:fldChar w:fldCharType="end"/>
      </w:r>
      <w:r>
        <w:t xml:space="preserve"> Yes</w:t>
      </w:r>
      <w:r>
        <w:tab/>
      </w:r>
      <w:r>
        <w:tab/>
      </w:r>
      <w:r>
        <w:fldChar w:fldCharType="begin">
          <w:ffData>
            <w:name w:val="Check6"/>
            <w:enabled/>
            <w:calcOnExit w:val="0"/>
            <w:checkBox>
              <w:sizeAuto/>
              <w:default w:val="0"/>
            </w:checkBox>
          </w:ffData>
        </w:fldChar>
      </w:r>
      <w:r>
        <w:instrText xml:space="preserve"> FORMCHECKBOX </w:instrText>
      </w:r>
      <w:r>
        <w:fldChar w:fldCharType="separate"/>
      </w:r>
      <w:r>
        <w:fldChar w:fldCharType="end"/>
      </w:r>
      <w:r>
        <w:t xml:space="preserve"> No</w:t>
      </w:r>
      <w:r>
        <w:tab/>
      </w:r>
      <w:r>
        <w:tab/>
      </w:r>
      <w:r>
        <w:tab/>
      </w:r>
      <w:r>
        <w:fldChar w:fldCharType="begin">
          <w:ffData>
            <w:name w:val="Check7"/>
            <w:enabled/>
            <w:calcOnExit w:val="0"/>
            <w:checkBox>
              <w:sizeAuto/>
              <w:default w:val="0"/>
            </w:checkBox>
          </w:ffData>
        </w:fldChar>
      </w:r>
      <w:r>
        <w:instrText xml:space="preserve"> FORMCHECKBOX </w:instrText>
      </w:r>
      <w:r>
        <w:fldChar w:fldCharType="separate"/>
      </w:r>
      <w:r>
        <w:fldChar w:fldCharType="end"/>
      </w:r>
      <w:r>
        <w:t xml:space="preserve"> </w:t>
      </w:r>
      <w:proofErr w:type="gramStart"/>
      <w:r>
        <w:t>Not</w:t>
      </w:r>
      <w:proofErr w:type="gramEnd"/>
      <w:r>
        <w:t xml:space="preserve"> sure</w:t>
      </w:r>
    </w:p>
    <w:p w:rsidR="007C1EA3" w:rsidRDefault="007C1EA3" w:rsidP="007C1EA3">
      <w:r>
        <w:t>Comments:</w:t>
      </w:r>
    </w:p>
    <w:p w:rsidR="007C1EA3" w:rsidRDefault="007C1EA3" w:rsidP="007C1EA3"/>
    <w:p w:rsidR="007C1EA3" w:rsidRDefault="007C1EA3" w:rsidP="007C1EA3">
      <w:pPr>
        <w:ind w:left="0"/>
      </w:pPr>
    </w:p>
    <w:p w:rsidR="007C1EA3" w:rsidRDefault="007C1EA3" w:rsidP="007C1EA3">
      <w:pPr>
        <w:ind w:left="0"/>
      </w:pPr>
    </w:p>
    <w:p w:rsidR="007C1EA3" w:rsidRDefault="007C1EA3" w:rsidP="007C1EA3">
      <w:pPr>
        <w:ind w:left="0"/>
      </w:pPr>
    </w:p>
    <w:p w:rsidR="007C1EA3" w:rsidRDefault="007C1EA3" w:rsidP="007C1EA3">
      <w:pPr>
        <w:ind w:left="0"/>
        <w:rPr>
          <w:b/>
        </w:rPr>
      </w:pPr>
    </w:p>
    <w:p w:rsidR="007C1EA3" w:rsidRDefault="007C1EA3" w:rsidP="007C1EA3">
      <w:pPr>
        <w:ind w:left="0"/>
      </w:pPr>
      <w:r w:rsidRPr="008B3D3F">
        <w:rPr>
          <w:b/>
        </w:rPr>
        <w:t xml:space="preserve">Question </w:t>
      </w:r>
      <w:r>
        <w:rPr>
          <w:b/>
        </w:rPr>
        <w:t>4</w:t>
      </w:r>
      <w:r>
        <w:t xml:space="preserve"> Should an exemption be applied to issuers on any of the regulated markets outside the EEA? If so, which markets and why? </w:t>
      </w:r>
    </w:p>
    <w:p w:rsidR="007C1EA3" w:rsidRDefault="007C1EA3" w:rsidP="007C1EA3">
      <w:r>
        <w:fldChar w:fldCharType="begin">
          <w:ffData>
            <w:name w:val="Check5"/>
            <w:enabled/>
            <w:calcOnExit w:val="0"/>
            <w:checkBox>
              <w:sizeAuto/>
              <w:default w:val="0"/>
            </w:checkBox>
          </w:ffData>
        </w:fldChar>
      </w:r>
      <w:r>
        <w:instrText xml:space="preserve"> FORMCHECKBOX </w:instrText>
      </w:r>
      <w:r>
        <w:fldChar w:fldCharType="separate"/>
      </w:r>
      <w:r>
        <w:fldChar w:fldCharType="end"/>
      </w:r>
      <w:r>
        <w:t xml:space="preserve"> Yes</w:t>
      </w:r>
      <w:r>
        <w:tab/>
      </w:r>
      <w:r>
        <w:tab/>
      </w:r>
      <w:r>
        <w:fldChar w:fldCharType="begin">
          <w:ffData>
            <w:name w:val="Check6"/>
            <w:enabled/>
            <w:calcOnExit w:val="0"/>
            <w:checkBox>
              <w:sizeAuto/>
              <w:default w:val="0"/>
            </w:checkBox>
          </w:ffData>
        </w:fldChar>
      </w:r>
      <w:r>
        <w:instrText xml:space="preserve"> FORMCHECKBOX </w:instrText>
      </w:r>
      <w:r>
        <w:fldChar w:fldCharType="separate"/>
      </w:r>
      <w:r>
        <w:fldChar w:fldCharType="end"/>
      </w:r>
      <w:r>
        <w:t xml:space="preserve"> No</w:t>
      </w:r>
      <w:r>
        <w:tab/>
      </w:r>
      <w:r>
        <w:tab/>
      </w:r>
      <w:r>
        <w:tab/>
      </w:r>
      <w:r>
        <w:fldChar w:fldCharType="begin">
          <w:ffData>
            <w:name w:val="Check7"/>
            <w:enabled/>
            <w:calcOnExit w:val="0"/>
            <w:checkBox>
              <w:sizeAuto/>
              <w:default w:val="0"/>
            </w:checkBox>
          </w:ffData>
        </w:fldChar>
      </w:r>
      <w:r>
        <w:instrText xml:space="preserve"> FORMCHECKBOX </w:instrText>
      </w:r>
      <w:r>
        <w:fldChar w:fldCharType="separate"/>
      </w:r>
      <w:r>
        <w:fldChar w:fldCharType="end"/>
      </w:r>
      <w:r>
        <w:t xml:space="preserve"> </w:t>
      </w:r>
      <w:proofErr w:type="gramStart"/>
      <w:r>
        <w:t>Not</w:t>
      </w:r>
      <w:proofErr w:type="gramEnd"/>
      <w:r>
        <w:t xml:space="preserve"> sure</w:t>
      </w:r>
    </w:p>
    <w:p w:rsidR="007C1EA3" w:rsidRDefault="007C1EA3" w:rsidP="007C1EA3">
      <w:r>
        <w:t>Which markets and why</w:t>
      </w:r>
      <w:proofErr w:type="gramStart"/>
      <w:r>
        <w:t>?:</w:t>
      </w:r>
      <w:proofErr w:type="gramEnd"/>
    </w:p>
    <w:p w:rsidR="007C1EA3" w:rsidRDefault="007C1EA3" w:rsidP="007C1EA3"/>
    <w:p w:rsidR="007C1EA3" w:rsidRDefault="007C1EA3" w:rsidP="007C1EA3"/>
    <w:p w:rsidR="007C1EA3" w:rsidRDefault="007C1EA3" w:rsidP="007C1EA3">
      <w:pPr>
        <w:ind w:left="0"/>
        <w:rPr>
          <w:b/>
        </w:rPr>
      </w:pPr>
    </w:p>
    <w:p w:rsidR="007C1EA3" w:rsidRDefault="007C1EA3" w:rsidP="007C1EA3">
      <w:pPr>
        <w:ind w:left="0"/>
        <w:rPr>
          <w:b/>
        </w:rPr>
      </w:pPr>
    </w:p>
    <w:p w:rsidR="007C1EA3" w:rsidRDefault="007C1EA3" w:rsidP="007C1EA3">
      <w:pPr>
        <w:ind w:left="0"/>
        <w:rPr>
          <w:b/>
        </w:rPr>
      </w:pPr>
    </w:p>
    <w:p w:rsidR="007C1EA3" w:rsidRDefault="007C1EA3" w:rsidP="007C1EA3">
      <w:pPr>
        <w:ind w:left="0"/>
      </w:pPr>
      <w:r w:rsidRPr="006709D0">
        <w:rPr>
          <w:b/>
        </w:rPr>
        <w:t>Question</w:t>
      </w:r>
      <w:r>
        <w:rPr>
          <w:b/>
        </w:rPr>
        <w:t xml:space="preserve"> 5</w:t>
      </w:r>
      <w:r>
        <w:t xml:space="preserve"> Are there other entities not included in this list which you believe to be subject to very similar disclosure and transparency rules as DTR5 issuers? If so, please explain with reference to relevant legislation.  </w:t>
      </w:r>
    </w:p>
    <w:p w:rsidR="007C1EA3" w:rsidRDefault="007C1EA3" w:rsidP="007C1EA3">
      <w:r>
        <w:fldChar w:fldCharType="begin">
          <w:ffData>
            <w:name w:val="Check5"/>
            <w:enabled/>
            <w:calcOnExit w:val="0"/>
            <w:checkBox>
              <w:sizeAuto/>
              <w:default w:val="0"/>
            </w:checkBox>
          </w:ffData>
        </w:fldChar>
      </w:r>
      <w:r>
        <w:instrText xml:space="preserve"> FORMCHECKBOX </w:instrText>
      </w:r>
      <w:r>
        <w:fldChar w:fldCharType="separate"/>
      </w:r>
      <w:r>
        <w:fldChar w:fldCharType="end"/>
      </w:r>
      <w:r>
        <w:t xml:space="preserve"> Yes</w:t>
      </w:r>
      <w:r>
        <w:tab/>
      </w:r>
      <w:r>
        <w:tab/>
      </w:r>
      <w:r>
        <w:fldChar w:fldCharType="begin">
          <w:ffData>
            <w:name w:val="Check6"/>
            <w:enabled/>
            <w:calcOnExit w:val="0"/>
            <w:checkBox>
              <w:sizeAuto/>
              <w:default w:val="0"/>
            </w:checkBox>
          </w:ffData>
        </w:fldChar>
      </w:r>
      <w:r>
        <w:instrText xml:space="preserve"> FORMCHECKBOX </w:instrText>
      </w:r>
      <w:r>
        <w:fldChar w:fldCharType="separate"/>
      </w:r>
      <w:r>
        <w:fldChar w:fldCharType="end"/>
      </w:r>
      <w:r>
        <w:t xml:space="preserve"> No</w:t>
      </w:r>
      <w:r>
        <w:tab/>
      </w:r>
      <w:r>
        <w:tab/>
      </w:r>
      <w:r>
        <w:tab/>
      </w:r>
      <w:r>
        <w:fldChar w:fldCharType="begin">
          <w:ffData>
            <w:name w:val="Check7"/>
            <w:enabled/>
            <w:calcOnExit w:val="0"/>
            <w:checkBox>
              <w:sizeAuto/>
              <w:default w:val="0"/>
            </w:checkBox>
          </w:ffData>
        </w:fldChar>
      </w:r>
      <w:r>
        <w:instrText xml:space="preserve"> FORMCHECKBOX </w:instrText>
      </w:r>
      <w:r>
        <w:fldChar w:fldCharType="separate"/>
      </w:r>
      <w:r>
        <w:fldChar w:fldCharType="end"/>
      </w:r>
      <w:r>
        <w:t xml:space="preserve"> </w:t>
      </w:r>
      <w:proofErr w:type="gramStart"/>
      <w:r>
        <w:t>Not</w:t>
      </w:r>
      <w:proofErr w:type="gramEnd"/>
      <w:r>
        <w:t xml:space="preserve"> sure</w:t>
      </w:r>
    </w:p>
    <w:p w:rsidR="007C1EA3" w:rsidRDefault="007C1EA3" w:rsidP="007C1EA3">
      <w:r>
        <w:t>Which other entities:</w:t>
      </w:r>
    </w:p>
    <w:p w:rsidR="007C1EA3" w:rsidRDefault="007C1EA3" w:rsidP="007C1EA3"/>
    <w:p w:rsidR="007C1EA3" w:rsidRDefault="007C1EA3" w:rsidP="007C1EA3"/>
    <w:p w:rsidR="007C1EA3" w:rsidRDefault="007C1EA3" w:rsidP="007C1EA3"/>
    <w:p w:rsidR="007C1EA3" w:rsidRDefault="007C1EA3" w:rsidP="007C1EA3"/>
    <w:p w:rsidR="007C1EA3" w:rsidRDefault="007C1EA3" w:rsidP="007C1EA3">
      <w:pPr>
        <w:pStyle w:val="BISnumberingBold"/>
        <w:numPr>
          <w:ilvl w:val="0"/>
          <w:numId w:val="0"/>
        </w:numPr>
        <w:ind w:left="862"/>
      </w:pPr>
    </w:p>
    <w:p w:rsidR="007C1EA3" w:rsidRDefault="007C1EA3" w:rsidP="007C1EA3">
      <w:pPr>
        <w:ind w:left="0"/>
      </w:pPr>
      <w:r w:rsidRPr="00EA39CD">
        <w:rPr>
          <w:b/>
        </w:rPr>
        <w:t xml:space="preserve">Question </w:t>
      </w:r>
      <w:r>
        <w:rPr>
          <w:b/>
        </w:rPr>
        <w:t>6</w:t>
      </w:r>
      <w:r>
        <w:t xml:space="preserve"> Do you agree with the proposed dual approach for recording the relationship between the PSC and the company, showing which condition or conditions are met and to what extent?  If not, what alternative would you propose?</w:t>
      </w:r>
    </w:p>
    <w:p w:rsidR="007C1EA3" w:rsidRDefault="007C1EA3" w:rsidP="007C1EA3">
      <w:pPr>
        <w:ind w:left="0"/>
      </w:pPr>
      <w:r>
        <w:lastRenderedPageBreak/>
        <w:fldChar w:fldCharType="begin">
          <w:ffData>
            <w:name w:val="Check5"/>
            <w:enabled/>
            <w:calcOnExit w:val="0"/>
            <w:checkBox>
              <w:sizeAuto/>
              <w:default w:val="0"/>
            </w:checkBox>
          </w:ffData>
        </w:fldChar>
      </w:r>
      <w:r>
        <w:instrText xml:space="preserve"> FORMCHECKBOX </w:instrText>
      </w:r>
      <w:r>
        <w:fldChar w:fldCharType="separate"/>
      </w:r>
      <w:r>
        <w:fldChar w:fldCharType="end"/>
      </w:r>
      <w:r>
        <w:t xml:space="preserve"> Yes</w:t>
      </w:r>
      <w:r>
        <w:tab/>
      </w:r>
      <w:r>
        <w:tab/>
      </w:r>
      <w:r>
        <w:fldChar w:fldCharType="begin">
          <w:ffData>
            <w:name w:val="Check6"/>
            <w:enabled/>
            <w:calcOnExit w:val="0"/>
            <w:checkBox>
              <w:sizeAuto/>
              <w:default w:val="0"/>
            </w:checkBox>
          </w:ffData>
        </w:fldChar>
      </w:r>
      <w:r>
        <w:instrText xml:space="preserve"> FORMCHECKBOX </w:instrText>
      </w:r>
      <w:r>
        <w:fldChar w:fldCharType="separate"/>
      </w:r>
      <w:r>
        <w:fldChar w:fldCharType="end"/>
      </w:r>
      <w:r>
        <w:t xml:space="preserve"> No</w:t>
      </w:r>
      <w:r>
        <w:tab/>
      </w:r>
      <w:r>
        <w:tab/>
      </w:r>
      <w:r>
        <w:tab/>
      </w:r>
      <w:r>
        <w:fldChar w:fldCharType="begin">
          <w:ffData>
            <w:name w:val="Check7"/>
            <w:enabled/>
            <w:calcOnExit w:val="0"/>
            <w:checkBox>
              <w:sizeAuto/>
              <w:default w:val="0"/>
            </w:checkBox>
          </w:ffData>
        </w:fldChar>
      </w:r>
      <w:r>
        <w:instrText xml:space="preserve"> FORMCHECKBOX </w:instrText>
      </w:r>
      <w:r>
        <w:fldChar w:fldCharType="separate"/>
      </w:r>
      <w:r>
        <w:fldChar w:fldCharType="end"/>
      </w:r>
      <w:r>
        <w:t xml:space="preserve"> </w:t>
      </w:r>
      <w:proofErr w:type="gramStart"/>
      <w:r>
        <w:t>Not</w:t>
      </w:r>
      <w:proofErr w:type="gramEnd"/>
      <w:r>
        <w:t xml:space="preserve"> sure</w:t>
      </w:r>
    </w:p>
    <w:p w:rsidR="007C1EA3" w:rsidRDefault="007C1EA3" w:rsidP="007C1EA3">
      <w:pPr>
        <w:ind w:left="0"/>
      </w:pPr>
      <w:r>
        <w:t>Comments:</w:t>
      </w:r>
    </w:p>
    <w:p w:rsidR="007C1EA3" w:rsidRDefault="007C1EA3" w:rsidP="007C1EA3">
      <w:pPr>
        <w:pStyle w:val="BISnumberingBold"/>
        <w:numPr>
          <w:ilvl w:val="0"/>
          <w:numId w:val="0"/>
        </w:numPr>
        <w:ind w:left="862"/>
      </w:pPr>
    </w:p>
    <w:p w:rsidR="007C1EA3" w:rsidRDefault="007C1EA3" w:rsidP="007C1EA3">
      <w:pPr>
        <w:pStyle w:val="BISnumberingBold"/>
        <w:numPr>
          <w:ilvl w:val="0"/>
          <w:numId w:val="0"/>
        </w:numPr>
        <w:ind w:left="862"/>
      </w:pPr>
    </w:p>
    <w:p w:rsidR="007C1EA3" w:rsidRDefault="007C1EA3" w:rsidP="007C1EA3">
      <w:pPr>
        <w:pStyle w:val="BISnumberingBold"/>
        <w:numPr>
          <w:ilvl w:val="0"/>
          <w:numId w:val="0"/>
        </w:numPr>
        <w:ind w:left="862"/>
      </w:pPr>
    </w:p>
    <w:p w:rsidR="007C1EA3" w:rsidRDefault="007C1EA3" w:rsidP="007C1EA3">
      <w:pPr>
        <w:pStyle w:val="BISnumberingBold"/>
        <w:numPr>
          <w:ilvl w:val="0"/>
          <w:numId w:val="0"/>
        </w:numPr>
        <w:ind w:left="862"/>
      </w:pPr>
    </w:p>
    <w:p w:rsidR="007C1EA3" w:rsidRDefault="007C1EA3" w:rsidP="007C1EA3">
      <w:pPr>
        <w:ind w:left="0"/>
      </w:pPr>
      <w:r w:rsidRPr="00B061A4">
        <w:rPr>
          <w:b/>
        </w:rPr>
        <w:t>Question 7</w:t>
      </w:r>
      <w:r w:rsidRPr="00B061A4">
        <w:t xml:space="preserve"> </w:t>
      </w:r>
      <w:r>
        <w:t>Are the proposed 25% bands for share ownership and voting rights too narrow, too broad or and at the right level? Is there merit in a separate category for 100% control?</w:t>
      </w:r>
    </w:p>
    <w:p w:rsidR="007C1EA3" w:rsidRPr="000950CF" w:rsidRDefault="007C1EA3" w:rsidP="007C1EA3">
      <w:pPr>
        <w:ind w:left="0"/>
      </w:pPr>
      <w:r>
        <w:fldChar w:fldCharType="begin">
          <w:ffData>
            <w:name w:val="Check4"/>
            <w:enabled/>
            <w:calcOnExit w:val="0"/>
            <w:checkBox>
              <w:sizeAuto/>
              <w:default w:val="0"/>
            </w:checkBox>
          </w:ffData>
        </w:fldChar>
      </w:r>
      <w:r>
        <w:instrText xml:space="preserve"> FORMCHECKBOX </w:instrText>
      </w:r>
      <w:r>
        <w:fldChar w:fldCharType="separate"/>
      </w:r>
      <w:r>
        <w:fldChar w:fldCharType="end"/>
      </w:r>
      <w:r w:rsidRPr="00094D4F">
        <w:t xml:space="preserve"> </w:t>
      </w:r>
      <w:proofErr w:type="gramStart"/>
      <w:r>
        <w:t>too</w:t>
      </w:r>
      <w:proofErr w:type="gramEnd"/>
      <w:r>
        <w:t xml:space="preserve"> narrow</w:t>
      </w:r>
      <w:r>
        <w:tab/>
      </w:r>
      <w:r>
        <w:fldChar w:fldCharType="begin">
          <w:ffData>
            <w:name w:val="Check3"/>
            <w:enabled/>
            <w:calcOnExit w:val="0"/>
            <w:checkBox>
              <w:sizeAuto/>
              <w:default w:val="0"/>
            </w:checkBox>
          </w:ffData>
        </w:fldChar>
      </w:r>
      <w:r>
        <w:instrText xml:space="preserve"> FORMCHECKBOX </w:instrText>
      </w:r>
      <w:r>
        <w:fldChar w:fldCharType="separate"/>
      </w:r>
      <w:r>
        <w:fldChar w:fldCharType="end"/>
      </w:r>
      <w:r w:rsidRPr="00094D4F">
        <w:t xml:space="preserve"> </w:t>
      </w:r>
      <w:r>
        <w:t xml:space="preserve">too broad   </w:t>
      </w:r>
      <w:r>
        <w:tab/>
      </w:r>
      <w:r>
        <w:fldChar w:fldCharType="begin">
          <w:ffData>
            <w:name w:val="Check1"/>
            <w:enabled/>
            <w:calcOnExit w:val="0"/>
            <w:checkBox>
              <w:sizeAuto/>
              <w:default w:val="0"/>
            </w:checkBox>
          </w:ffData>
        </w:fldChar>
      </w:r>
      <w:r>
        <w:instrText xml:space="preserve"> FORMCHECKBOX </w:instrText>
      </w:r>
      <w:r>
        <w:fldChar w:fldCharType="separate"/>
      </w:r>
      <w:r>
        <w:fldChar w:fldCharType="end"/>
      </w:r>
      <w:r>
        <w:t xml:space="preserve"> right level   </w:t>
      </w:r>
      <w:r>
        <w:tab/>
      </w:r>
      <w:r>
        <w:fldChar w:fldCharType="begin">
          <w:ffData>
            <w:name w:val="Check2"/>
            <w:enabled/>
            <w:calcOnExit w:val="0"/>
            <w:checkBox>
              <w:sizeAuto/>
              <w:default w:val="0"/>
            </w:checkBox>
          </w:ffData>
        </w:fldChar>
      </w:r>
      <w:r>
        <w:instrText xml:space="preserve"> FORMCHECKBOX </w:instrText>
      </w:r>
      <w:r>
        <w:fldChar w:fldCharType="separate"/>
      </w:r>
      <w:r>
        <w:fldChar w:fldCharType="end"/>
      </w:r>
      <w:r>
        <w:t xml:space="preserve"> 100%</w:t>
      </w:r>
    </w:p>
    <w:p w:rsidR="007C1EA3" w:rsidRDefault="007C1EA3" w:rsidP="007C1EA3">
      <w:pPr>
        <w:pStyle w:val="BISnumberingBold"/>
        <w:numPr>
          <w:ilvl w:val="0"/>
          <w:numId w:val="0"/>
        </w:numPr>
      </w:pPr>
      <w:r>
        <w:t>Comments:</w:t>
      </w:r>
    </w:p>
    <w:p w:rsidR="007C1EA3" w:rsidRDefault="007C1EA3" w:rsidP="007C1EA3">
      <w:pPr>
        <w:pStyle w:val="BISnumberingBold"/>
        <w:numPr>
          <w:ilvl w:val="0"/>
          <w:numId w:val="0"/>
        </w:numPr>
        <w:ind w:left="502"/>
      </w:pPr>
    </w:p>
    <w:p w:rsidR="007C1EA3" w:rsidRDefault="007C1EA3" w:rsidP="007C1EA3">
      <w:pPr>
        <w:pStyle w:val="BISnumberingBold"/>
        <w:numPr>
          <w:ilvl w:val="0"/>
          <w:numId w:val="0"/>
        </w:numPr>
        <w:ind w:left="862"/>
      </w:pPr>
    </w:p>
    <w:p w:rsidR="007C1EA3" w:rsidRDefault="007C1EA3" w:rsidP="007C1EA3">
      <w:pPr>
        <w:pStyle w:val="BISnumberingBold"/>
        <w:numPr>
          <w:ilvl w:val="0"/>
          <w:numId w:val="0"/>
        </w:numPr>
        <w:ind w:left="862"/>
      </w:pPr>
    </w:p>
    <w:p w:rsidR="007C1EA3" w:rsidRDefault="007C1EA3" w:rsidP="007C1EA3">
      <w:pPr>
        <w:pStyle w:val="BISnumberingBold"/>
        <w:numPr>
          <w:ilvl w:val="0"/>
          <w:numId w:val="0"/>
        </w:numPr>
        <w:ind w:left="862"/>
      </w:pPr>
    </w:p>
    <w:p w:rsidR="007C1EA3" w:rsidRDefault="007C1EA3" w:rsidP="007C1EA3">
      <w:pPr>
        <w:ind w:left="0"/>
      </w:pPr>
      <w:r w:rsidRPr="008B3D3F">
        <w:rPr>
          <w:b/>
        </w:rPr>
        <w:t xml:space="preserve">Question </w:t>
      </w:r>
      <w:r>
        <w:rPr>
          <w:b/>
        </w:rPr>
        <w:t>8</w:t>
      </w:r>
      <w:r>
        <w:t xml:space="preserve"> Would it be simpler to require companies to state the exact proportion of shares or voting rights controlled?  If so, do you have any views on how the impact might be mitigated for the small percentage of companies whose register would be subject to frequent updating?</w:t>
      </w:r>
    </w:p>
    <w:p w:rsidR="007C1EA3" w:rsidRDefault="007C1EA3" w:rsidP="007C1EA3">
      <w:pPr>
        <w:pStyle w:val="BISnumberingBold"/>
        <w:numPr>
          <w:ilvl w:val="0"/>
          <w:numId w:val="0"/>
        </w:numPr>
      </w:pPr>
      <w:r>
        <w:fldChar w:fldCharType="begin">
          <w:ffData>
            <w:name w:val="Check4"/>
            <w:enabled/>
            <w:calcOnExit w:val="0"/>
            <w:checkBox>
              <w:sizeAuto/>
              <w:default w:val="0"/>
            </w:checkBox>
          </w:ffData>
        </w:fldChar>
      </w:r>
      <w:r>
        <w:instrText xml:space="preserve"> FORMCHECKBOX </w:instrText>
      </w:r>
      <w:r>
        <w:fldChar w:fldCharType="separate"/>
      </w:r>
      <w:r>
        <w:fldChar w:fldCharType="end"/>
      </w:r>
      <w:r w:rsidRPr="00094D4F">
        <w:t xml:space="preserve"> </w:t>
      </w:r>
      <w:proofErr w:type="gramStart"/>
      <w:r>
        <w:t>companies</w:t>
      </w:r>
      <w:proofErr w:type="gramEnd"/>
      <w:r>
        <w:t xml:space="preserve"> should be asked to state the exact proportion instead</w:t>
      </w:r>
    </w:p>
    <w:p w:rsidR="007C1EA3" w:rsidRDefault="007C1EA3" w:rsidP="007C1EA3">
      <w:pPr>
        <w:pStyle w:val="BISnumberingBold"/>
        <w:numPr>
          <w:ilvl w:val="0"/>
          <w:numId w:val="0"/>
        </w:numPr>
      </w:pPr>
      <w:r>
        <w:t xml:space="preserve">Can mitigate this by:      </w:t>
      </w:r>
      <w:r>
        <w:tab/>
        <w:t xml:space="preserve"> </w:t>
      </w:r>
    </w:p>
    <w:p w:rsidR="007C1EA3" w:rsidRDefault="007C1EA3" w:rsidP="007C1EA3">
      <w:pPr>
        <w:pStyle w:val="BISnumberingBold"/>
        <w:numPr>
          <w:ilvl w:val="0"/>
          <w:numId w:val="0"/>
        </w:numPr>
        <w:ind w:left="862"/>
      </w:pPr>
    </w:p>
    <w:p w:rsidR="007C1EA3" w:rsidRDefault="007C1EA3" w:rsidP="007C1EA3">
      <w:pPr>
        <w:pStyle w:val="BISnumberingBold"/>
        <w:numPr>
          <w:ilvl w:val="0"/>
          <w:numId w:val="0"/>
        </w:numPr>
        <w:ind w:left="862"/>
      </w:pPr>
    </w:p>
    <w:p w:rsidR="007C1EA3" w:rsidRDefault="007C1EA3" w:rsidP="007C1EA3">
      <w:pPr>
        <w:pStyle w:val="BISnumberingBold"/>
        <w:numPr>
          <w:ilvl w:val="0"/>
          <w:numId w:val="0"/>
        </w:numPr>
        <w:ind w:left="502"/>
      </w:pPr>
    </w:p>
    <w:p w:rsidR="007C1EA3" w:rsidRDefault="007C1EA3" w:rsidP="007C1EA3">
      <w:pPr>
        <w:pStyle w:val="BISnumberingBold"/>
        <w:numPr>
          <w:ilvl w:val="0"/>
          <w:numId w:val="0"/>
        </w:numPr>
        <w:ind w:left="862"/>
      </w:pPr>
    </w:p>
    <w:p w:rsidR="007C1EA3" w:rsidRDefault="007C1EA3" w:rsidP="007C1EA3">
      <w:pPr>
        <w:pStyle w:val="BISnumberingBold"/>
        <w:numPr>
          <w:ilvl w:val="0"/>
          <w:numId w:val="0"/>
        </w:numPr>
        <w:ind w:left="862"/>
      </w:pPr>
    </w:p>
    <w:p w:rsidR="007C1EA3" w:rsidRDefault="007C1EA3" w:rsidP="007C1EA3">
      <w:pPr>
        <w:ind w:left="0"/>
      </w:pPr>
      <w:r w:rsidRPr="008B3D3F">
        <w:rPr>
          <w:b/>
        </w:rPr>
        <w:t xml:space="preserve">Question </w:t>
      </w:r>
      <w:r>
        <w:rPr>
          <w:b/>
        </w:rPr>
        <w:t>9</w:t>
      </w:r>
      <w:r>
        <w:t xml:space="preserve"> </w:t>
      </w:r>
      <w:r w:rsidRPr="0074408D">
        <w:t>Do you agree with the proposed approach for requiring companies to note other information on their register</w:t>
      </w:r>
      <w:r>
        <w:t>?</w:t>
      </w:r>
      <w:r w:rsidRPr="0074408D">
        <w:t xml:space="preserve"> If not, </w:t>
      </w:r>
      <w:r>
        <w:t>please explain why.</w:t>
      </w:r>
    </w:p>
    <w:p w:rsidR="007C1EA3" w:rsidRDefault="007C1EA3" w:rsidP="007C1EA3">
      <w:pPr>
        <w:ind w:left="0"/>
      </w:pPr>
      <w:r>
        <w:lastRenderedPageBreak/>
        <w:fldChar w:fldCharType="begin">
          <w:ffData>
            <w:name w:val="Check5"/>
            <w:enabled/>
            <w:calcOnExit w:val="0"/>
            <w:checkBox>
              <w:sizeAuto/>
              <w:default w:val="0"/>
            </w:checkBox>
          </w:ffData>
        </w:fldChar>
      </w:r>
      <w:r>
        <w:instrText xml:space="preserve"> FORMCHECKBOX </w:instrText>
      </w:r>
      <w:r>
        <w:fldChar w:fldCharType="separate"/>
      </w:r>
      <w:r>
        <w:fldChar w:fldCharType="end"/>
      </w:r>
      <w:r>
        <w:t xml:space="preserve"> Yes</w:t>
      </w:r>
      <w:r>
        <w:tab/>
      </w:r>
      <w:r>
        <w:tab/>
      </w:r>
      <w:r>
        <w:fldChar w:fldCharType="begin">
          <w:ffData>
            <w:name w:val="Check6"/>
            <w:enabled/>
            <w:calcOnExit w:val="0"/>
            <w:checkBox>
              <w:sizeAuto/>
              <w:default w:val="0"/>
            </w:checkBox>
          </w:ffData>
        </w:fldChar>
      </w:r>
      <w:r>
        <w:instrText xml:space="preserve"> FORMCHECKBOX </w:instrText>
      </w:r>
      <w:r>
        <w:fldChar w:fldCharType="separate"/>
      </w:r>
      <w:r>
        <w:fldChar w:fldCharType="end"/>
      </w:r>
      <w:r>
        <w:t xml:space="preserve"> No</w:t>
      </w:r>
      <w:r>
        <w:tab/>
      </w:r>
      <w:r>
        <w:tab/>
      </w:r>
      <w:r>
        <w:tab/>
      </w:r>
      <w:r>
        <w:fldChar w:fldCharType="begin">
          <w:ffData>
            <w:name w:val="Check7"/>
            <w:enabled/>
            <w:calcOnExit w:val="0"/>
            <w:checkBox>
              <w:sizeAuto/>
              <w:default w:val="0"/>
            </w:checkBox>
          </w:ffData>
        </w:fldChar>
      </w:r>
      <w:r>
        <w:instrText xml:space="preserve"> FORMCHECKBOX </w:instrText>
      </w:r>
      <w:r>
        <w:fldChar w:fldCharType="separate"/>
      </w:r>
      <w:r>
        <w:fldChar w:fldCharType="end"/>
      </w:r>
      <w:r>
        <w:t xml:space="preserve"> </w:t>
      </w:r>
      <w:proofErr w:type="gramStart"/>
      <w:r>
        <w:t>Not</w:t>
      </w:r>
      <w:proofErr w:type="gramEnd"/>
      <w:r>
        <w:t xml:space="preserve"> sure</w:t>
      </w:r>
    </w:p>
    <w:p w:rsidR="007C1EA3" w:rsidRDefault="007C1EA3" w:rsidP="007C1EA3">
      <w:pPr>
        <w:ind w:left="0"/>
      </w:pPr>
      <w:r>
        <w:t>Comments:</w:t>
      </w:r>
    </w:p>
    <w:p w:rsidR="007C1EA3" w:rsidRDefault="007C1EA3" w:rsidP="007C1EA3"/>
    <w:p w:rsidR="007C1EA3" w:rsidRDefault="007C1EA3" w:rsidP="007C1EA3"/>
    <w:p w:rsidR="007C1EA3" w:rsidRDefault="007C1EA3" w:rsidP="007C1EA3"/>
    <w:p w:rsidR="007C1EA3" w:rsidRDefault="007C1EA3" w:rsidP="007C1EA3"/>
    <w:p w:rsidR="007C1EA3" w:rsidRDefault="007C1EA3" w:rsidP="007C1EA3">
      <w:pPr>
        <w:pStyle w:val="BISnumberingBold"/>
        <w:numPr>
          <w:ilvl w:val="0"/>
          <w:numId w:val="0"/>
        </w:numPr>
        <w:ind w:left="862"/>
      </w:pPr>
    </w:p>
    <w:p w:rsidR="007C1EA3" w:rsidRDefault="007C1EA3" w:rsidP="007C1EA3">
      <w:pPr>
        <w:pStyle w:val="BISnumberingBold"/>
        <w:numPr>
          <w:ilvl w:val="0"/>
          <w:numId w:val="0"/>
        </w:numPr>
      </w:pPr>
      <w:r w:rsidRPr="008B3D3F">
        <w:rPr>
          <w:b/>
        </w:rPr>
        <w:t>Question</w:t>
      </w:r>
      <w:r>
        <w:rPr>
          <w:b/>
        </w:rPr>
        <w:t xml:space="preserve"> 10</w:t>
      </w:r>
      <w:r w:rsidRPr="008B3D3F">
        <w:rPr>
          <w:b/>
        </w:rPr>
        <w:t xml:space="preserve"> </w:t>
      </w:r>
      <w:r>
        <w:t xml:space="preserve">Which fee structure, Option 1 or Option 2, do you prefer and why? </w:t>
      </w:r>
    </w:p>
    <w:p w:rsidR="007C1EA3" w:rsidRDefault="007C1EA3" w:rsidP="007C1EA3">
      <w:r>
        <w:fldChar w:fldCharType="begin">
          <w:ffData>
            <w:name w:val="Check5"/>
            <w:enabled/>
            <w:calcOnExit w:val="0"/>
            <w:checkBox>
              <w:sizeAuto/>
              <w:default w:val="0"/>
            </w:checkBox>
          </w:ffData>
        </w:fldChar>
      </w:r>
      <w:r>
        <w:instrText xml:space="preserve"> FORMCHECKBOX </w:instrText>
      </w:r>
      <w:r>
        <w:fldChar w:fldCharType="separate"/>
      </w:r>
      <w:r>
        <w:fldChar w:fldCharType="end"/>
      </w:r>
      <w:r>
        <w:t xml:space="preserve"> Option 1</w:t>
      </w:r>
      <w:r>
        <w:tab/>
        <w:t xml:space="preserve"> (proportionate fee per entry)  </w:t>
      </w:r>
      <w:r>
        <w:fldChar w:fldCharType="begin">
          <w:ffData>
            <w:name w:val="Check6"/>
            <w:enabled/>
            <w:calcOnExit w:val="0"/>
            <w:checkBox>
              <w:sizeAuto/>
              <w:default w:val="0"/>
            </w:checkBox>
          </w:ffData>
        </w:fldChar>
      </w:r>
      <w:r>
        <w:instrText xml:space="preserve"> FORMCHECKBOX </w:instrText>
      </w:r>
      <w:r>
        <w:fldChar w:fldCharType="separate"/>
      </w:r>
      <w:r>
        <w:fldChar w:fldCharType="end"/>
      </w:r>
      <w:r>
        <w:t xml:space="preserve"> Option 2 (fixed fee for request)</w:t>
      </w:r>
      <w:r>
        <w:tab/>
      </w:r>
      <w:r>
        <w:fldChar w:fldCharType="begin">
          <w:ffData>
            <w:name w:val="Check7"/>
            <w:enabled/>
            <w:calcOnExit w:val="0"/>
            <w:checkBox>
              <w:sizeAuto/>
              <w:default w:val="0"/>
            </w:checkBox>
          </w:ffData>
        </w:fldChar>
      </w:r>
      <w:r>
        <w:instrText xml:space="preserve"> FORMCHECKBOX </w:instrText>
      </w:r>
      <w:r>
        <w:fldChar w:fldCharType="separate"/>
      </w:r>
      <w:r>
        <w:fldChar w:fldCharType="end"/>
      </w:r>
      <w:r>
        <w:t xml:space="preserve"> Not sure</w:t>
      </w:r>
    </w:p>
    <w:p w:rsidR="007C1EA3" w:rsidRDefault="007C1EA3" w:rsidP="007C1EA3">
      <w:r>
        <w:t>Comments:</w:t>
      </w:r>
    </w:p>
    <w:p w:rsidR="007C1EA3" w:rsidRDefault="007C1EA3" w:rsidP="007C1EA3"/>
    <w:p w:rsidR="007C1EA3" w:rsidRDefault="007C1EA3" w:rsidP="007C1EA3"/>
    <w:p w:rsidR="007C1EA3" w:rsidRDefault="007C1EA3" w:rsidP="007C1EA3">
      <w:pPr>
        <w:pStyle w:val="BISnumberingBold"/>
        <w:numPr>
          <w:ilvl w:val="0"/>
          <w:numId w:val="0"/>
        </w:numPr>
        <w:ind w:left="862"/>
      </w:pPr>
    </w:p>
    <w:p w:rsidR="007C1EA3" w:rsidRDefault="007C1EA3" w:rsidP="007C1EA3">
      <w:pPr>
        <w:pStyle w:val="BISnumberingBold"/>
        <w:numPr>
          <w:ilvl w:val="0"/>
          <w:numId w:val="0"/>
        </w:numPr>
        <w:ind w:left="862"/>
      </w:pPr>
    </w:p>
    <w:p w:rsidR="007C1EA3" w:rsidRDefault="007C1EA3" w:rsidP="007C1EA3">
      <w:pPr>
        <w:pStyle w:val="BISnumberingBold"/>
        <w:numPr>
          <w:ilvl w:val="0"/>
          <w:numId w:val="0"/>
        </w:numPr>
        <w:ind w:left="862"/>
      </w:pPr>
    </w:p>
    <w:p w:rsidR="007C1EA3" w:rsidRDefault="007C1EA3" w:rsidP="007C1EA3">
      <w:pPr>
        <w:pStyle w:val="BISnumberingBold"/>
        <w:numPr>
          <w:ilvl w:val="0"/>
          <w:numId w:val="0"/>
        </w:numPr>
        <w:ind w:left="862"/>
      </w:pPr>
    </w:p>
    <w:p w:rsidR="007C1EA3" w:rsidRDefault="007C1EA3" w:rsidP="007C1EA3">
      <w:pPr>
        <w:pStyle w:val="BISnumberingBold"/>
        <w:numPr>
          <w:ilvl w:val="0"/>
          <w:numId w:val="0"/>
        </w:numPr>
      </w:pPr>
      <w:r w:rsidRPr="008B3D3F">
        <w:rPr>
          <w:b/>
        </w:rPr>
        <w:t xml:space="preserve">Question </w:t>
      </w:r>
      <w:r>
        <w:rPr>
          <w:b/>
        </w:rPr>
        <w:t xml:space="preserve">11 </w:t>
      </w:r>
      <w:r>
        <w:t>Do you think the level of the fees in the options is correct? If not, please explain why.</w:t>
      </w:r>
    </w:p>
    <w:p w:rsidR="007C1EA3" w:rsidRDefault="007C1EA3" w:rsidP="007C1EA3">
      <w:pPr>
        <w:ind w:left="0"/>
      </w:pPr>
      <w:r>
        <w:fldChar w:fldCharType="begin">
          <w:ffData>
            <w:name w:val="Check5"/>
            <w:enabled/>
            <w:calcOnExit w:val="0"/>
            <w:checkBox>
              <w:sizeAuto/>
              <w:default w:val="0"/>
            </w:checkBox>
          </w:ffData>
        </w:fldChar>
      </w:r>
      <w:r>
        <w:instrText xml:space="preserve"> FORMCHECKBOX </w:instrText>
      </w:r>
      <w:r>
        <w:fldChar w:fldCharType="separate"/>
      </w:r>
      <w:r>
        <w:fldChar w:fldCharType="end"/>
      </w:r>
      <w:r>
        <w:t xml:space="preserve"> Yes</w:t>
      </w:r>
      <w:r>
        <w:tab/>
      </w:r>
      <w:r>
        <w:tab/>
      </w:r>
      <w:r>
        <w:fldChar w:fldCharType="begin">
          <w:ffData>
            <w:name w:val="Check6"/>
            <w:enabled/>
            <w:calcOnExit w:val="0"/>
            <w:checkBox>
              <w:sizeAuto/>
              <w:default w:val="0"/>
            </w:checkBox>
          </w:ffData>
        </w:fldChar>
      </w:r>
      <w:r>
        <w:instrText xml:space="preserve"> FORMCHECKBOX </w:instrText>
      </w:r>
      <w:r>
        <w:fldChar w:fldCharType="separate"/>
      </w:r>
      <w:r>
        <w:fldChar w:fldCharType="end"/>
      </w:r>
      <w:r>
        <w:t xml:space="preserve"> No</w:t>
      </w:r>
      <w:r>
        <w:tab/>
      </w:r>
      <w:r>
        <w:tab/>
      </w:r>
      <w:r>
        <w:tab/>
      </w:r>
      <w:r>
        <w:fldChar w:fldCharType="begin">
          <w:ffData>
            <w:name w:val="Check7"/>
            <w:enabled/>
            <w:calcOnExit w:val="0"/>
            <w:checkBox>
              <w:sizeAuto/>
              <w:default w:val="0"/>
            </w:checkBox>
          </w:ffData>
        </w:fldChar>
      </w:r>
      <w:r>
        <w:instrText xml:space="preserve"> FORMCHECKBOX </w:instrText>
      </w:r>
      <w:r>
        <w:fldChar w:fldCharType="separate"/>
      </w:r>
      <w:r>
        <w:fldChar w:fldCharType="end"/>
      </w:r>
      <w:r>
        <w:t xml:space="preserve"> </w:t>
      </w:r>
      <w:proofErr w:type="gramStart"/>
      <w:r>
        <w:t>Not</w:t>
      </w:r>
      <w:proofErr w:type="gramEnd"/>
      <w:r>
        <w:t xml:space="preserve"> sure</w:t>
      </w:r>
    </w:p>
    <w:p w:rsidR="007C1EA3" w:rsidRDefault="007C1EA3" w:rsidP="007C1EA3">
      <w:pPr>
        <w:ind w:left="0"/>
      </w:pPr>
      <w:r>
        <w:t>Comments:</w:t>
      </w:r>
    </w:p>
    <w:p w:rsidR="007C1EA3" w:rsidRDefault="007C1EA3" w:rsidP="007C1EA3">
      <w:pPr>
        <w:pStyle w:val="BISnumberingBold"/>
        <w:numPr>
          <w:ilvl w:val="0"/>
          <w:numId w:val="0"/>
        </w:numPr>
        <w:ind w:left="862"/>
      </w:pPr>
    </w:p>
    <w:p w:rsidR="007C1EA3" w:rsidRDefault="007C1EA3" w:rsidP="007C1EA3">
      <w:pPr>
        <w:pStyle w:val="BISnumberingBold"/>
        <w:numPr>
          <w:ilvl w:val="0"/>
          <w:numId w:val="0"/>
        </w:numPr>
        <w:ind w:left="862"/>
      </w:pPr>
    </w:p>
    <w:p w:rsidR="007C1EA3" w:rsidRDefault="007C1EA3" w:rsidP="007C1EA3">
      <w:pPr>
        <w:pStyle w:val="BISnumberingBold"/>
        <w:numPr>
          <w:ilvl w:val="0"/>
          <w:numId w:val="0"/>
        </w:numPr>
        <w:ind w:left="502"/>
      </w:pPr>
    </w:p>
    <w:p w:rsidR="007C1EA3" w:rsidRDefault="007C1EA3" w:rsidP="007C1EA3">
      <w:pPr>
        <w:pStyle w:val="BISnumberingBold"/>
        <w:numPr>
          <w:ilvl w:val="0"/>
          <w:numId w:val="0"/>
        </w:numPr>
        <w:ind w:left="862"/>
      </w:pPr>
    </w:p>
    <w:p w:rsidR="007C1EA3" w:rsidRDefault="007C1EA3" w:rsidP="007C1EA3">
      <w:pPr>
        <w:pStyle w:val="BISnumberingBold"/>
        <w:numPr>
          <w:ilvl w:val="0"/>
          <w:numId w:val="0"/>
        </w:numPr>
        <w:ind w:left="862"/>
      </w:pPr>
    </w:p>
    <w:p w:rsidR="007C1EA3" w:rsidRDefault="007C1EA3" w:rsidP="007C1EA3">
      <w:pPr>
        <w:pStyle w:val="BISnumberingBold"/>
        <w:numPr>
          <w:ilvl w:val="0"/>
          <w:numId w:val="0"/>
        </w:numPr>
      </w:pPr>
      <w:r w:rsidRPr="008B3D3F">
        <w:rPr>
          <w:b/>
        </w:rPr>
        <w:lastRenderedPageBreak/>
        <w:t xml:space="preserve">Question </w:t>
      </w:r>
      <w:r>
        <w:rPr>
          <w:b/>
        </w:rPr>
        <w:t>12</w:t>
      </w:r>
      <w:r>
        <w:t xml:space="preserve"> Do you think the definition of ‘an entry’ in the draft regulations is correct? If not, please explain why. </w:t>
      </w:r>
    </w:p>
    <w:p w:rsidR="007C1EA3" w:rsidRDefault="007C1EA3" w:rsidP="007C1EA3">
      <w:pPr>
        <w:ind w:left="0"/>
      </w:pPr>
      <w:r>
        <w:fldChar w:fldCharType="begin">
          <w:ffData>
            <w:name w:val="Check5"/>
            <w:enabled/>
            <w:calcOnExit w:val="0"/>
            <w:checkBox>
              <w:sizeAuto/>
              <w:default w:val="0"/>
            </w:checkBox>
          </w:ffData>
        </w:fldChar>
      </w:r>
      <w:r>
        <w:instrText xml:space="preserve"> FORMCHECKBOX </w:instrText>
      </w:r>
      <w:r>
        <w:fldChar w:fldCharType="separate"/>
      </w:r>
      <w:r>
        <w:fldChar w:fldCharType="end"/>
      </w:r>
      <w:r>
        <w:t xml:space="preserve"> Yes</w:t>
      </w:r>
      <w:r>
        <w:tab/>
      </w:r>
      <w:r>
        <w:tab/>
      </w:r>
      <w:r>
        <w:fldChar w:fldCharType="begin">
          <w:ffData>
            <w:name w:val="Check6"/>
            <w:enabled/>
            <w:calcOnExit w:val="0"/>
            <w:checkBox>
              <w:sizeAuto/>
              <w:default w:val="0"/>
            </w:checkBox>
          </w:ffData>
        </w:fldChar>
      </w:r>
      <w:r>
        <w:instrText xml:space="preserve"> FORMCHECKBOX </w:instrText>
      </w:r>
      <w:r>
        <w:fldChar w:fldCharType="separate"/>
      </w:r>
      <w:r>
        <w:fldChar w:fldCharType="end"/>
      </w:r>
      <w:r>
        <w:t xml:space="preserve"> No</w:t>
      </w:r>
      <w:r>
        <w:tab/>
      </w:r>
      <w:r>
        <w:tab/>
      </w:r>
      <w:r>
        <w:tab/>
      </w:r>
      <w:r>
        <w:fldChar w:fldCharType="begin">
          <w:ffData>
            <w:name w:val="Check7"/>
            <w:enabled/>
            <w:calcOnExit w:val="0"/>
            <w:checkBox>
              <w:sizeAuto/>
              <w:default w:val="0"/>
            </w:checkBox>
          </w:ffData>
        </w:fldChar>
      </w:r>
      <w:r>
        <w:instrText xml:space="preserve"> FORMCHECKBOX </w:instrText>
      </w:r>
      <w:r>
        <w:fldChar w:fldCharType="separate"/>
      </w:r>
      <w:r>
        <w:fldChar w:fldCharType="end"/>
      </w:r>
      <w:r>
        <w:t xml:space="preserve"> </w:t>
      </w:r>
      <w:proofErr w:type="gramStart"/>
      <w:r>
        <w:t>Not</w:t>
      </w:r>
      <w:proofErr w:type="gramEnd"/>
      <w:r>
        <w:t xml:space="preserve"> sure</w:t>
      </w:r>
    </w:p>
    <w:p w:rsidR="007C1EA3" w:rsidRDefault="007C1EA3" w:rsidP="007C1EA3">
      <w:pPr>
        <w:ind w:left="0"/>
      </w:pPr>
      <w:r>
        <w:t>Comments:</w:t>
      </w:r>
    </w:p>
    <w:p w:rsidR="007C1EA3" w:rsidRDefault="007C1EA3" w:rsidP="007C1EA3">
      <w:pPr>
        <w:pStyle w:val="BISnumberingBold"/>
        <w:numPr>
          <w:ilvl w:val="0"/>
          <w:numId w:val="0"/>
        </w:numPr>
        <w:ind w:left="862"/>
      </w:pPr>
    </w:p>
    <w:p w:rsidR="007C1EA3" w:rsidRDefault="007C1EA3" w:rsidP="007C1EA3">
      <w:pPr>
        <w:pStyle w:val="BISnumberingBold"/>
        <w:numPr>
          <w:ilvl w:val="0"/>
          <w:numId w:val="0"/>
        </w:numPr>
        <w:ind w:left="862"/>
      </w:pPr>
    </w:p>
    <w:p w:rsidR="007C1EA3" w:rsidRDefault="007C1EA3" w:rsidP="007C1EA3">
      <w:pPr>
        <w:pStyle w:val="BISnumberingBold"/>
        <w:numPr>
          <w:ilvl w:val="0"/>
          <w:numId w:val="0"/>
        </w:numPr>
        <w:ind w:left="862"/>
      </w:pPr>
    </w:p>
    <w:p w:rsidR="007C1EA3" w:rsidRDefault="007C1EA3" w:rsidP="007C1EA3">
      <w:pPr>
        <w:pStyle w:val="BISnumberingBold"/>
        <w:numPr>
          <w:ilvl w:val="0"/>
          <w:numId w:val="0"/>
        </w:numPr>
        <w:ind w:left="862"/>
      </w:pPr>
    </w:p>
    <w:p w:rsidR="007C1EA3" w:rsidRDefault="007C1EA3" w:rsidP="007C1EA3">
      <w:pPr>
        <w:pStyle w:val="BISnumberingBold"/>
        <w:numPr>
          <w:ilvl w:val="0"/>
          <w:numId w:val="0"/>
        </w:numPr>
        <w:ind w:left="502"/>
      </w:pPr>
      <w:r>
        <w:rPr>
          <w:b/>
        </w:rPr>
        <w:t>Question 13</w:t>
      </w:r>
      <w:r>
        <w:t xml:space="preserve"> Is the process for protecting residential addresses from credit reference agencies appropriate and complete?</w:t>
      </w:r>
    </w:p>
    <w:p w:rsidR="007C1EA3" w:rsidRDefault="007C1EA3" w:rsidP="007C1EA3">
      <w:pPr>
        <w:ind w:firstLine="360"/>
      </w:pPr>
      <w:r>
        <w:fldChar w:fldCharType="begin">
          <w:ffData>
            <w:name w:val="Check5"/>
            <w:enabled/>
            <w:calcOnExit w:val="0"/>
            <w:checkBox>
              <w:sizeAuto/>
              <w:default w:val="0"/>
            </w:checkBox>
          </w:ffData>
        </w:fldChar>
      </w:r>
      <w:r>
        <w:instrText xml:space="preserve"> FORMCHECKBOX </w:instrText>
      </w:r>
      <w:r>
        <w:fldChar w:fldCharType="separate"/>
      </w:r>
      <w:r>
        <w:fldChar w:fldCharType="end"/>
      </w:r>
      <w:r>
        <w:t xml:space="preserve"> Yes</w:t>
      </w:r>
      <w:r>
        <w:tab/>
      </w:r>
      <w:r>
        <w:tab/>
      </w:r>
      <w:r>
        <w:fldChar w:fldCharType="begin">
          <w:ffData>
            <w:name w:val="Check6"/>
            <w:enabled/>
            <w:calcOnExit w:val="0"/>
            <w:checkBox>
              <w:sizeAuto/>
              <w:default w:val="0"/>
            </w:checkBox>
          </w:ffData>
        </w:fldChar>
      </w:r>
      <w:r>
        <w:instrText xml:space="preserve"> FORMCHECKBOX </w:instrText>
      </w:r>
      <w:r>
        <w:fldChar w:fldCharType="separate"/>
      </w:r>
      <w:r>
        <w:fldChar w:fldCharType="end"/>
      </w:r>
      <w:r>
        <w:t xml:space="preserve"> No</w:t>
      </w:r>
      <w:r>
        <w:tab/>
      </w:r>
      <w:r>
        <w:tab/>
      </w:r>
      <w:r>
        <w:tab/>
      </w:r>
      <w:r>
        <w:fldChar w:fldCharType="begin">
          <w:ffData>
            <w:name w:val="Check7"/>
            <w:enabled/>
            <w:calcOnExit w:val="0"/>
            <w:checkBox>
              <w:sizeAuto/>
              <w:default w:val="0"/>
            </w:checkBox>
          </w:ffData>
        </w:fldChar>
      </w:r>
      <w:r>
        <w:instrText xml:space="preserve"> FORMCHECKBOX </w:instrText>
      </w:r>
      <w:r>
        <w:fldChar w:fldCharType="separate"/>
      </w:r>
      <w:r>
        <w:fldChar w:fldCharType="end"/>
      </w:r>
      <w:r>
        <w:t xml:space="preserve"> </w:t>
      </w:r>
      <w:proofErr w:type="gramStart"/>
      <w:r>
        <w:t>Not</w:t>
      </w:r>
      <w:proofErr w:type="gramEnd"/>
      <w:r>
        <w:t xml:space="preserve"> sure</w:t>
      </w:r>
    </w:p>
    <w:p w:rsidR="007C1EA3" w:rsidRDefault="007C1EA3" w:rsidP="007C1EA3">
      <w:pPr>
        <w:ind w:firstLine="360"/>
      </w:pPr>
      <w:r>
        <w:t>Comments:</w:t>
      </w:r>
    </w:p>
    <w:p w:rsidR="007C1EA3" w:rsidRDefault="007C1EA3" w:rsidP="007C1EA3">
      <w:pPr>
        <w:pStyle w:val="BISnumberingBold"/>
        <w:numPr>
          <w:ilvl w:val="0"/>
          <w:numId w:val="0"/>
        </w:numPr>
        <w:ind w:left="862"/>
      </w:pPr>
    </w:p>
    <w:p w:rsidR="007C1EA3" w:rsidRDefault="007C1EA3" w:rsidP="007C1EA3">
      <w:pPr>
        <w:pStyle w:val="BISnumberingBold"/>
        <w:numPr>
          <w:ilvl w:val="0"/>
          <w:numId w:val="0"/>
        </w:numPr>
        <w:ind w:left="862"/>
      </w:pPr>
    </w:p>
    <w:p w:rsidR="007C1EA3" w:rsidRDefault="007C1EA3" w:rsidP="007C1EA3">
      <w:pPr>
        <w:pStyle w:val="BISnumberingBold"/>
        <w:numPr>
          <w:ilvl w:val="0"/>
          <w:numId w:val="0"/>
        </w:numPr>
        <w:ind w:left="862"/>
      </w:pPr>
    </w:p>
    <w:p w:rsidR="007C1EA3" w:rsidRDefault="007C1EA3" w:rsidP="007C1EA3">
      <w:pPr>
        <w:pStyle w:val="BISnumberingBold"/>
        <w:numPr>
          <w:ilvl w:val="0"/>
          <w:numId w:val="0"/>
        </w:numPr>
        <w:ind w:left="862"/>
      </w:pPr>
    </w:p>
    <w:p w:rsidR="007C1EA3" w:rsidRDefault="007C1EA3" w:rsidP="007C1EA3">
      <w:pPr>
        <w:pStyle w:val="BISnumberingBold"/>
        <w:numPr>
          <w:ilvl w:val="0"/>
          <w:numId w:val="0"/>
        </w:numPr>
        <w:ind w:left="862"/>
      </w:pPr>
    </w:p>
    <w:p w:rsidR="007C1EA3" w:rsidRDefault="007C1EA3" w:rsidP="007C1EA3">
      <w:pPr>
        <w:pStyle w:val="BISnumberingBold"/>
        <w:numPr>
          <w:ilvl w:val="0"/>
          <w:numId w:val="0"/>
        </w:numPr>
        <w:ind w:left="862"/>
      </w:pPr>
      <w:r>
        <w:rPr>
          <w:b/>
        </w:rPr>
        <w:t>Question 14</w:t>
      </w:r>
      <w:r>
        <w:t xml:space="preserve"> Is the process set out </w:t>
      </w:r>
      <w:r w:rsidRPr="00EB1BDF">
        <w:t>in draft regulations 25-36 appropriate</w:t>
      </w:r>
      <w:r>
        <w:t xml:space="preserve"> and complete?</w:t>
      </w:r>
    </w:p>
    <w:p w:rsidR="007C1EA3" w:rsidRDefault="007C1EA3" w:rsidP="007C1EA3">
      <w:pPr>
        <w:ind w:firstLine="360"/>
      </w:pPr>
      <w:r>
        <w:fldChar w:fldCharType="begin">
          <w:ffData>
            <w:name w:val="Check5"/>
            <w:enabled/>
            <w:calcOnExit w:val="0"/>
            <w:checkBox>
              <w:sizeAuto/>
              <w:default w:val="0"/>
            </w:checkBox>
          </w:ffData>
        </w:fldChar>
      </w:r>
      <w:r>
        <w:instrText xml:space="preserve"> FORMCHECKBOX </w:instrText>
      </w:r>
      <w:r>
        <w:fldChar w:fldCharType="separate"/>
      </w:r>
      <w:r>
        <w:fldChar w:fldCharType="end"/>
      </w:r>
      <w:r>
        <w:t xml:space="preserve"> Yes</w:t>
      </w:r>
      <w:r>
        <w:tab/>
      </w:r>
      <w:r>
        <w:tab/>
      </w:r>
      <w:r>
        <w:fldChar w:fldCharType="begin">
          <w:ffData>
            <w:name w:val="Check6"/>
            <w:enabled/>
            <w:calcOnExit w:val="0"/>
            <w:checkBox>
              <w:sizeAuto/>
              <w:default w:val="0"/>
            </w:checkBox>
          </w:ffData>
        </w:fldChar>
      </w:r>
      <w:r>
        <w:instrText xml:space="preserve"> FORMCHECKBOX </w:instrText>
      </w:r>
      <w:r>
        <w:fldChar w:fldCharType="separate"/>
      </w:r>
      <w:r>
        <w:fldChar w:fldCharType="end"/>
      </w:r>
      <w:r>
        <w:t xml:space="preserve"> No</w:t>
      </w:r>
      <w:r>
        <w:tab/>
      </w:r>
      <w:r>
        <w:tab/>
      </w:r>
      <w:r>
        <w:tab/>
      </w:r>
      <w:r>
        <w:fldChar w:fldCharType="begin">
          <w:ffData>
            <w:name w:val="Check7"/>
            <w:enabled/>
            <w:calcOnExit w:val="0"/>
            <w:checkBox>
              <w:sizeAuto/>
              <w:default w:val="0"/>
            </w:checkBox>
          </w:ffData>
        </w:fldChar>
      </w:r>
      <w:r>
        <w:instrText xml:space="preserve"> FORMCHECKBOX </w:instrText>
      </w:r>
      <w:r>
        <w:fldChar w:fldCharType="separate"/>
      </w:r>
      <w:r>
        <w:fldChar w:fldCharType="end"/>
      </w:r>
      <w:r>
        <w:t xml:space="preserve"> </w:t>
      </w:r>
      <w:proofErr w:type="gramStart"/>
      <w:r>
        <w:t>Not</w:t>
      </w:r>
      <w:proofErr w:type="gramEnd"/>
      <w:r>
        <w:t xml:space="preserve"> sure</w:t>
      </w:r>
    </w:p>
    <w:p w:rsidR="007C1EA3" w:rsidRDefault="007C1EA3" w:rsidP="007C1EA3">
      <w:pPr>
        <w:ind w:firstLine="360"/>
      </w:pPr>
      <w:r>
        <w:t>Comments:</w:t>
      </w:r>
    </w:p>
    <w:p w:rsidR="007C1EA3" w:rsidRDefault="007C1EA3" w:rsidP="007C1EA3">
      <w:pPr>
        <w:pStyle w:val="BISnumberingBold"/>
        <w:numPr>
          <w:ilvl w:val="0"/>
          <w:numId w:val="0"/>
        </w:numPr>
        <w:ind w:left="862"/>
      </w:pPr>
    </w:p>
    <w:p w:rsidR="007C1EA3" w:rsidRDefault="007C1EA3" w:rsidP="007C1EA3">
      <w:pPr>
        <w:pStyle w:val="BISnumberingBold"/>
        <w:numPr>
          <w:ilvl w:val="0"/>
          <w:numId w:val="0"/>
        </w:numPr>
        <w:ind w:left="862"/>
      </w:pPr>
    </w:p>
    <w:p w:rsidR="007C1EA3" w:rsidRDefault="007C1EA3" w:rsidP="007C1EA3">
      <w:pPr>
        <w:pStyle w:val="BISnumberingBold"/>
        <w:numPr>
          <w:ilvl w:val="0"/>
          <w:numId w:val="0"/>
        </w:numPr>
        <w:ind w:left="862"/>
      </w:pPr>
    </w:p>
    <w:p w:rsidR="007C1EA3" w:rsidRDefault="007C1EA3" w:rsidP="007C1EA3">
      <w:pPr>
        <w:pStyle w:val="BISnumberingBold"/>
        <w:numPr>
          <w:ilvl w:val="0"/>
          <w:numId w:val="0"/>
        </w:numPr>
        <w:ind w:left="862"/>
      </w:pPr>
    </w:p>
    <w:p w:rsidR="007C1EA3" w:rsidRDefault="007C1EA3" w:rsidP="007C1EA3">
      <w:pPr>
        <w:pStyle w:val="BISnumberingBold"/>
        <w:numPr>
          <w:ilvl w:val="0"/>
          <w:numId w:val="0"/>
        </w:numPr>
        <w:ind w:left="862"/>
      </w:pPr>
    </w:p>
    <w:p w:rsidR="007C1EA3" w:rsidRDefault="007C1EA3" w:rsidP="007C1EA3">
      <w:pPr>
        <w:pStyle w:val="BISnumberingBold"/>
        <w:numPr>
          <w:ilvl w:val="0"/>
          <w:numId w:val="0"/>
        </w:numPr>
        <w:ind w:left="502"/>
      </w:pPr>
      <w:r>
        <w:rPr>
          <w:b/>
        </w:rPr>
        <w:lastRenderedPageBreak/>
        <w:t>Question 15</w:t>
      </w:r>
      <w:r>
        <w:t xml:space="preserve"> Are the grounds for making an application clearly defined? If not, please explain.  </w:t>
      </w:r>
    </w:p>
    <w:p w:rsidR="007C1EA3" w:rsidRDefault="007C1EA3" w:rsidP="007C1EA3">
      <w:pPr>
        <w:ind w:firstLine="360"/>
      </w:pPr>
      <w:r>
        <w:fldChar w:fldCharType="begin">
          <w:ffData>
            <w:name w:val="Check5"/>
            <w:enabled/>
            <w:calcOnExit w:val="0"/>
            <w:checkBox>
              <w:sizeAuto/>
              <w:default w:val="0"/>
            </w:checkBox>
          </w:ffData>
        </w:fldChar>
      </w:r>
      <w:r>
        <w:instrText xml:space="preserve"> FORMCHECKBOX </w:instrText>
      </w:r>
      <w:r>
        <w:fldChar w:fldCharType="separate"/>
      </w:r>
      <w:r>
        <w:fldChar w:fldCharType="end"/>
      </w:r>
      <w:r>
        <w:t xml:space="preserve"> Yes</w:t>
      </w:r>
      <w:r>
        <w:tab/>
      </w:r>
      <w:r>
        <w:tab/>
      </w:r>
      <w:r>
        <w:fldChar w:fldCharType="begin">
          <w:ffData>
            <w:name w:val="Check6"/>
            <w:enabled/>
            <w:calcOnExit w:val="0"/>
            <w:checkBox>
              <w:sizeAuto/>
              <w:default w:val="0"/>
            </w:checkBox>
          </w:ffData>
        </w:fldChar>
      </w:r>
      <w:r>
        <w:instrText xml:space="preserve"> FORMCHECKBOX </w:instrText>
      </w:r>
      <w:r>
        <w:fldChar w:fldCharType="separate"/>
      </w:r>
      <w:r>
        <w:fldChar w:fldCharType="end"/>
      </w:r>
      <w:r>
        <w:t xml:space="preserve"> No</w:t>
      </w:r>
      <w:r>
        <w:tab/>
      </w:r>
      <w:r>
        <w:tab/>
      </w:r>
      <w:r>
        <w:tab/>
      </w:r>
      <w:r>
        <w:fldChar w:fldCharType="begin">
          <w:ffData>
            <w:name w:val="Check7"/>
            <w:enabled/>
            <w:calcOnExit w:val="0"/>
            <w:checkBox>
              <w:sizeAuto/>
              <w:default w:val="0"/>
            </w:checkBox>
          </w:ffData>
        </w:fldChar>
      </w:r>
      <w:r>
        <w:instrText xml:space="preserve"> FORMCHECKBOX </w:instrText>
      </w:r>
      <w:r>
        <w:fldChar w:fldCharType="separate"/>
      </w:r>
      <w:r>
        <w:fldChar w:fldCharType="end"/>
      </w:r>
      <w:r>
        <w:t xml:space="preserve"> </w:t>
      </w:r>
      <w:proofErr w:type="gramStart"/>
      <w:r>
        <w:t>Not</w:t>
      </w:r>
      <w:proofErr w:type="gramEnd"/>
      <w:r>
        <w:t xml:space="preserve"> sure</w:t>
      </w:r>
    </w:p>
    <w:p w:rsidR="007C1EA3" w:rsidRDefault="007C1EA3" w:rsidP="007C1EA3">
      <w:pPr>
        <w:ind w:firstLine="360"/>
      </w:pPr>
      <w:r>
        <w:t>Comments:</w:t>
      </w:r>
    </w:p>
    <w:p w:rsidR="007C1EA3" w:rsidRDefault="007C1EA3" w:rsidP="007C1EA3">
      <w:pPr>
        <w:pStyle w:val="BISnumberingBold"/>
        <w:numPr>
          <w:ilvl w:val="0"/>
          <w:numId w:val="0"/>
        </w:numPr>
        <w:ind w:left="862"/>
      </w:pPr>
    </w:p>
    <w:p w:rsidR="007C1EA3" w:rsidRDefault="007C1EA3" w:rsidP="007C1EA3">
      <w:pPr>
        <w:pStyle w:val="BISnumberingBold"/>
        <w:numPr>
          <w:ilvl w:val="0"/>
          <w:numId w:val="0"/>
        </w:numPr>
        <w:ind w:left="862"/>
      </w:pPr>
    </w:p>
    <w:p w:rsidR="007C1EA3" w:rsidRDefault="007C1EA3" w:rsidP="007C1EA3">
      <w:pPr>
        <w:spacing w:after="0"/>
        <w:ind w:left="0"/>
      </w:pPr>
      <w:r>
        <w:br w:type="page"/>
      </w:r>
      <w:r>
        <w:rPr>
          <w:b/>
        </w:rPr>
        <w:lastRenderedPageBreak/>
        <w:t xml:space="preserve">Question 16 </w:t>
      </w:r>
      <w:r>
        <w:t>Are the transitional arrangements appropriate?</w:t>
      </w:r>
    </w:p>
    <w:p w:rsidR="007C1EA3" w:rsidRDefault="007C1EA3" w:rsidP="007C1EA3">
      <w:pPr>
        <w:ind w:left="0"/>
      </w:pPr>
    </w:p>
    <w:p w:rsidR="007C1EA3" w:rsidRDefault="007C1EA3" w:rsidP="007C1EA3">
      <w:pPr>
        <w:ind w:left="0"/>
      </w:pPr>
      <w:r>
        <w:fldChar w:fldCharType="begin">
          <w:ffData>
            <w:name w:val="Check5"/>
            <w:enabled/>
            <w:calcOnExit w:val="0"/>
            <w:checkBox>
              <w:sizeAuto/>
              <w:default w:val="0"/>
            </w:checkBox>
          </w:ffData>
        </w:fldChar>
      </w:r>
      <w:r>
        <w:instrText xml:space="preserve"> FORMCHECKBOX </w:instrText>
      </w:r>
      <w:r>
        <w:fldChar w:fldCharType="separate"/>
      </w:r>
      <w:r>
        <w:fldChar w:fldCharType="end"/>
      </w:r>
      <w:r>
        <w:t xml:space="preserve"> Yes</w:t>
      </w:r>
      <w:r>
        <w:tab/>
      </w:r>
      <w:r>
        <w:tab/>
      </w:r>
      <w:r>
        <w:fldChar w:fldCharType="begin">
          <w:ffData>
            <w:name w:val="Check6"/>
            <w:enabled/>
            <w:calcOnExit w:val="0"/>
            <w:checkBox>
              <w:sizeAuto/>
              <w:default w:val="0"/>
            </w:checkBox>
          </w:ffData>
        </w:fldChar>
      </w:r>
      <w:r>
        <w:instrText xml:space="preserve"> FORMCHECKBOX </w:instrText>
      </w:r>
      <w:r>
        <w:fldChar w:fldCharType="separate"/>
      </w:r>
      <w:r>
        <w:fldChar w:fldCharType="end"/>
      </w:r>
      <w:r>
        <w:t xml:space="preserve"> No</w:t>
      </w:r>
      <w:r>
        <w:tab/>
      </w:r>
      <w:r>
        <w:tab/>
      </w:r>
      <w:r>
        <w:tab/>
      </w:r>
      <w:r>
        <w:fldChar w:fldCharType="begin">
          <w:ffData>
            <w:name w:val="Check7"/>
            <w:enabled/>
            <w:calcOnExit w:val="0"/>
            <w:checkBox>
              <w:sizeAuto/>
              <w:default w:val="0"/>
            </w:checkBox>
          </w:ffData>
        </w:fldChar>
      </w:r>
      <w:r>
        <w:instrText xml:space="preserve"> FORMCHECKBOX </w:instrText>
      </w:r>
      <w:r>
        <w:fldChar w:fldCharType="separate"/>
      </w:r>
      <w:r>
        <w:fldChar w:fldCharType="end"/>
      </w:r>
      <w:r>
        <w:t xml:space="preserve"> </w:t>
      </w:r>
      <w:proofErr w:type="gramStart"/>
      <w:r>
        <w:t>Not</w:t>
      </w:r>
      <w:proofErr w:type="gramEnd"/>
      <w:r>
        <w:t xml:space="preserve"> sure</w:t>
      </w:r>
    </w:p>
    <w:p w:rsidR="007C1EA3" w:rsidRDefault="007C1EA3" w:rsidP="007C1EA3">
      <w:pPr>
        <w:ind w:left="0"/>
      </w:pPr>
      <w:r>
        <w:t>Comments:</w:t>
      </w:r>
    </w:p>
    <w:p w:rsidR="007C1EA3" w:rsidRDefault="007C1EA3" w:rsidP="007C1EA3">
      <w:pPr>
        <w:pStyle w:val="BISnumberingBold"/>
        <w:numPr>
          <w:ilvl w:val="0"/>
          <w:numId w:val="0"/>
        </w:numPr>
        <w:ind w:left="862"/>
      </w:pPr>
    </w:p>
    <w:p w:rsidR="007C1EA3" w:rsidRDefault="007C1EA3" w:rsidP="007C1EA3">
      <w:pPr>
        <w:pStyle w:val="BISnumberingBold"/>
        <w:numPr>
          <w:ilvl w:val="0"/>
          <w:numId w:val="0"/>
        </w:numPr>
        <w:ind w:left="862"/>
      </w:pPr>
    </w:p>
    <w:p w:rsidR="007C1EA3" w:rsidRDefault="007C1EA3" w:rsidP="007C1EA3">
      <w:pPr>
        <w:pStyle w:val="BISnumberingBold"/>
        <w:numPr>
          <w:ilvl w:val="0"/>
          <w:numId w:val="0"/>
        </w:numPr>
        <w:ind w:left="862"/>
      </w:pPr>
    </w:p>
    <w:p w:rsidR="007C1EA3" w:rsidRDefault="007C1EA3" w:rsidP="007C1EA3">
      <w:pPr>
        <w:pStyle w:val="BISnumberingBold"/>
        <w:numPr>
          <w:ilvl w:val="0"/>
          <w:numId w:val="0"/>
        </w:numPr>
        <w:ind w:left="862"/>
      </w:pPr>
    </w:p>
    <w:p w:rsidR="007C1EA3" w:rsidRDefault="007C1EA3" w:rsidP="007C1EA3">
      <w:pPr>
        <w:pStyle w:val="BISnumberingBold"/>
        <w:numPr>
          <w:ilvl w:val="0"/>
          <w:numId w:val="0"/>
        </w:numPr>
        <w:ind w:left="502"/>
      </w:pPr>
    </w:p>
    <w:p w:rsidR="007C1EA3" w:rsidRDefault="007C1EA3" w:rsidP="007C1EA3">
      <w:pPr>
        <w:pStyle w:val="BISnumberingBold"/>
        <w:numPr>
          <w:ilvl w:val="0"/>
          <w:numId w:val="0"/>
        </w:numPr>
        <w:ind w:left="862"/>
      </w:pPr>
    </w:p>
    <w:p w:rsidR="007C1EA3" w:rsidRDefault="007C1EA3" w:rsidP="007C1EA3">
      <w:pPr>
        <w:spacing w:after="0"/>
        <w:ind w:left="0"/>
      </w:pPr>
      <w:r>
        <w:rPr>
          <w:b/>
        </w:rPr>
        <w:t xml:space="preserve">Question 17 </w:t>
      </w:r>
      <w:r>
        <w:t>Is the 28 day limit for an individual to cease to be a PSC appropriate? If not, please explain why not.</w:t>
      </w:r>
    </w:p>
    <w:p w:rsidR="007C1EA3" w:rsidRDefault="007C1EA3" w:rsidP="007C1EA3">
      <w:pPr>
        <w:ind w:left="0"/>
      </w:pPr>
    </w:p>
    <w:p w:rsidR="007C1EA3" w:rsidRDefault="007C1EA3" w:rsidP="007C1EA3">
      <w:pPr>
        <w:ind w:left="0"/>
      </w:pPr>
      <w:r>
        <w:fldChar w:fldCharType="begin">
          <w:ffData>
            <w:name w:val="Check5"/>
            <w:enabled/>
            <w:calcOnExit w:val="0"/>
            <w:checkBox>
              <w:sizeAuto/>
              <w:default w:val="0"/>
            </w:checkBox>
          </w:ffData>
        </w:fldChar>
      </w:r>
      <w:r>
        <w:instrText xml:space="preserve"> FORMCHECKBOX </w:instrText>
      </w:r>
      <w:r>
        <w:fldChar w:fldCharType="separate"/>
      </w:r>
      <w:r>
        <w:fldChar w:fldCharType="end"/>
      </w:r>
      <w:r>
        <w:t xml:space="preserve"> Yes</w:t>
      </w:r>
      <w:r>
        <w:tab/>
      </w:r>
      <w:r>
        <w:tab/>
      </w:r>
      <w:r>
        <w:fldChar w:fldCharType="begin">
          <w:ffData>
            <w:name w:val="Check6"/>
            <w:enabled/>
            <w:calcOnExit w:val="0"/>
            <w:checkBox>
              <w:sizeAuto/>
              <w:default w:val="0"/>
            </w:checkBox>
          </w:ffData>
        </w:fldChar>
      </w:r>
      <w:r>
        <w:instrText xml:space="preserve"> FORMCHECKBOX </w:instrText>
      </w:r>
      <w:r>
        <w:fldChar w:fldCharType="separate"/>
      </w:r>
      <w:r>
        <w:fldChar w:fldCharType="end"/>
      </w:r>
      <w:r>
        <w:t xml:space="preserve"> No</w:t>
      </w:r>
      <w:r>
        <w:tab/>
      </w:r>
      <w:r>
        <w:tab/>
      </w:r>
      <w:r>
        <w:tab/>
      </w:r>
      <w:r>
        <w:fldChar w:fldCharType="begin">
          <w:ffData>
            <w:name w:val="Check7"/>
            <w:enabled/>
            <w:calcOnExit w:val="0"/>
            <w:checkBox>
              <w:sizeAuto/>
              <w:default w:val="0"/>
            </w:checkBox>
          </w:ffData>
        </w:fldChar>
      </w:r>
      <w:r>
        <w:instrText xml:space="preserve"> FORMCHECKBOX </w:instrText>
      </w:r>
      <w:r>
        <w:fldChar w:fldCharType="separate"/>
      </w:r>
      <w:r>
        <w:fldChar w:fldCharType="end"/>
      </w:r>
      <w:r>
        <w:t xml:space="preserve"> </w:t>
      </w:r>
      <w:proofErr w:type="gramStart"/>
      <w:r>
        <w:t>Not</w:t>
      </w:r>
      <w:proofErr w:type="gramEnd"/>
      <w:r>
        <w:t xml:space="preserve"> sure</w:t>
      </w:r>
    </w:p>
    <w:p w:rsidR="007C1EA3" w:rsidRDefault="007C1EA3" w:rsidP="007C1EA3">
      <w:pPr>
        <w:ind w:left="0"/>
      </w:pPr>
      <w:r>
        <w:t>Comments:</w:t>
      </w:r>
    </w:p>
    <w:p w:rsidR="007C1EA3" w:rsidRDefault="007C1EA3" w:rsidP="007C1EA3">
      <w:pPr>
        <w:pStyle w:val="BISnumberingBold"/>
        <w:numPr>
          <w:ilvl w:val="0"/>
          <w:numId w:val="0"/>
        </w:numPr>
        <w:ind w:left="862"/>
      </w:pPr>
    </w:p>
    <w:p w:rsidR="007C1EA3" w:rsidRDefault="007C1EA3" w:rsidP="007C1EA3">
      <w:pPr>
        <w:pStyle w:val="BISnumberingBold"/>
        <w:numPr>
          <w:ilvl w:val="0"/>
          <w:numId w:val="0"/>
        </w:numPr>
        <w:ind w:left="862"/>
      </w:pPr>
    </w:p>
    <w:p w:rsidR="007C1EA3" w:rsidRDefault="007C1EA3" w:rsidP="007C1EA3">
      <w:pPr>
        <w:pStyle w:val="BISnumberingBold"/>
        <w:numPr>
          <w:ilvl w:val="0"/>
          <w:numId w:val="0"/>
        </w:numPr>
        <w:ind w:left="862"/>
      </w:pPr>
    </w:p>
    <w:p w:rsidR="007C1EA3" w:rsidRDefault="007C1EA3" w:rsidP="007C1EA3">
      <w:pPr>
        <w:pStyle w:val="BISnumberingBold"/>
        <w:numPr>
          <w:ilvl w:val="0"/>
          <w:numId w:val="0"/>
        </w:numPr>
        <w:ind w:left="862"/>
      </w:pPr>
    </w:p>
    <w:p w:rsidR="007C1EA3" w:rsidRDefault="007C1EA3" w:rsidP="007C1EA3">
      <w:pPr>
        <w:pStyle w:val="BISnumberingBold"/>
        <w:numPr>
          <w:ilvl w:val="0"/>
          <w:numId w:val="0"/>
        </w:numPr>
        <w:ind w:left="862"/>
      </w:pPr>
    </w:p>
    <w:p w:rsidR="007C1EA3" w:rsidRDefault="007C1EA3" w:rsidP="007C1EA3">
      <w:pPr>
        <w:spacing w:after="0"/>
        <w:ind w:left="0"/>
      </w:pPr>
      <w:r w:rsidRPr="008B3D3F">
        <w:rPr>
          <w:b/>
        </w:rPr>
        <w:t xml:space="preserve">Question </w:t>
      </w:r>
      <w:r>
        <w:rPr>
          <w:b/>
        </w:rPr>
        <w:t>18</w:t>
      </w:r>
      <w:r>
        <w:t xml:space="preserve"> Is the mandated content of the warning and restrictions notices useful? Are the notices too detailed or are there elements that can be omitted?</w:t>
      </w:r>
    </w:p>
    <w:p w:rsidR="007C1EA3" w:rsidRDefault="007C1EA3" w:rsidP="007C1EA3">
      <w:pPr>
        <w:ind w:left="0"/>
      </w:pPr>
    </w:p>
    <w:p w:rsidR="007C1EA3" w:rsidRDefault="007C1EA3" w:rsidP="007C1EA3">
      <w:pPr>
        <w:ind w:left="0"/>
      </w:pPr>
      <w:r>
        <w:t>Comments:</w:t>
      </w:r>
    </w:p>
    <w:p w:rsidR="007C1EA3" w:rsidRDefault="007C1EA3" w:rsidP="007C1EA3">
      <w:pPr>
        <w:pStyle w:val="BISnumberingBold"/>
        <w:numPr>
          <w:ilvl w:val="0"/>
          <w:numId w:val="0"/>
        </w:numPr>
        <w:ind w:left="862"/>
      </w:pPr>
    </w:p>
    <w:p w:rsidR="007C1EA3" w:rsidRDefault="007C1EA3" w:rsidP="007C1EA3">
      <w:pPr>
        <w:pStyle w:val="BISnumberingBold"/>
        <w:numPr>
          <w:ilvl w:val="0"/>
          <w:numId w:val="0"/>
        </w:numPr>
        <w:ind w:left="862"/>
      </w:pPr>
    </w:p>
    <w:p w:rsidR="007C1EA3" w:rsidRDefault="007C1EA3" w:rsidP="007C1EA3">
      <w:pPr>
        <w:pStyle w:val="BISnumberingBold"/>
        <w:numPr>
          <w:ilvl w:val="0"/>
          <w:numId w:val="0"/>
        </w:numPr>
        <w:ind w:left="502"/>
      </w:pPr>
    </w:p>
    <w:p w:rsidR="007C1EA3" w:rsidRDefault="007C1EA3" w:rsidP="007C1EA3">
      <w:pPr>
        <w:pStyle w:val="BISnumberingBold"/>
        <w:numPr>
          <w:ilvl w:val="0"/>
          <w:numId w:val="0"/>
        </w:numPr>
        <w:ind w:left="862"/>
      </w:pPr>
    </w:p>
    <w:p w:rsidR="007C1EA3" w:rsidRDefault="007C1EA3" w:rsidP="007C1EA3">
      <w:pPr>
        <w:spacing w:after="0"/>
        <w:ind w:left="0"/>
      </w:pPr>
      <w:r w:rsidRPr="008B3D3F">
        <w:rPr>
          <w:b/>
        </w:rPr>
        <w:t xml:space="preserve">Question </w:t>
      </w:r>
      <w:r>
        <w:rPr>
          <w:b/>
        </w:rPr>
        <w:t>19</w:t>
      </w:r>
      <w:r>
        <w:t xml:space="preserve"> Do you agree that capacity to respond should be the only factor a company must take into account in considering reasons for non-compliance? If not, please indicate what other factors a company should take into consideration and in what circumstances this would be appropriate.</w:t>
      </w:r>
    </w:p>
    <w:p w:rsidR="007C1EA3" w:rsidRDefault="007C1EA3" w:rsidP="007C1EA3">
      <w:pPr>
        <w:ind w:left="0"/>
      </w:pPr>
    </w:p>
    <w:p w:rsidR="007C1EA3" w:rsidRDefault="007C1EA3" w:rsidP="007C1EA3">
      <w:pPr>
        <w:ind w:left="0"/>
      </w:pPr>
      <w:r>
        <w:fldChar w:fldCharType="begin">
          <w:ffData>
            <w:name w:val="Check5"/>
            <w:enabled/>
            <w:calcOnExit w:val="0"/>
            <w:checkBox>
              <w:sizeAuto/>
              <w:default w:val="0"/>
            </w:checkBox>
          </w:ffData>
        </w:fldChar>
      </w:r>
      <w:r>
        <w:instrText xml:space="preserve"> FORMCHECKBOX </w:instrText>
      </w:r>
      <w:r>
        <w:fldChar w:fldCharType="separate"/>
      </w:r>
      <w:r>
        <w:fldChar w:fldCharType="end"/>
      </w:r>
      <w:r>
        <w:t xml:space="preserve"> Yes – it should be the only factor</w:t>
      </w:r>
      <w:r>
        <w:tab/>
      </w:r>
      <w:r>
        <w:tab/>
      </w:r>
      <w:r>
        <w:fldChar w:fldCharType="begin">
          <w:ffData>
            <w:name w:val="Check6"/>
            <w:enabled/>
            <w:calcOnExit w:val="0"/>
            <w:checkBox>
              <w:sizeAuto/>
              <w:default w:val="0"/>
            </w:checkBox>
          </w:ffData>
        </w:fldChar>
      </w:r>
      <w:r>
        <w:instrText xml:space="preserve"> FORMCHECKBOX </w:instrText>
      </w:r>
      <w:r>
        <w:fldChar w:fldCharType="separate"/>
      </w:r>
      <w:r>
        <w:fldChar w:fldCharType="end"/>
      </w:r>
      <w:r>
        <w:t xml:space="preserve"> No</w:t>
      </w:r>
      <w:r>
        <w:tab/>
      </w:r>
      <w:r>
        <w:tab/>
      </w:r>
      <w:r>
        <w:tab/>
      </w:r>
      <w:r>
        <w:fldChar w:fldCharType="begin">
          <w:ffData>
            <w:name w:val="Check7"/>
            <w:enabled/>
            <w:calcOnExit w:val="0"/>
            <w:checkBox>
              <w:sizeAuto/>
              <w:default w:val="0"/>
            </w:checkBox>
          </w:ffData>
        </w:fldChar>
      </w:r>
      <w:r>
        <w:instrText xml:space="preserve"> FORMCHECKBOX </w:instrText>
      </w:r>
      <w:r>
        <w:fldChar w:fldCharType="separate"/>
      </w:r>
      <w:r>
        <w:fldChar w:fldCharType="end"/>
      </w:r>
      <w:r>
        <w:t xml:space="preserve"> Not sure</w:t>
      </w:r>
    </w:p>
    <w:p w:rsidR="007C1EA3" w:rsidRDefault="007C1EA3" w:rsidP="007C1EA3">
      <w:pPr>
        <w:ind w:left="0"/>
      </w:pPr>
      <w:r>
        <w:t>Comments:</w:t>
      </w:r>
    </w:p>
    <w:p w:rsidR="007C1EA3" w:rsidRDefault="007C1EA3" w:rsidP="007C1EA3">
      <w:pPr>
        <w:pStyle w:val="BISnumberingBold"/>
        <w:numPr>
          <w:ilvl w:val="0"/>
          <w:numId w:val="0"/>
        </w:numPr>
        <w:ind w:left="862"/>
      </w:pPr>
    </w:p>
    <w:p w:rsidR="007C1EA3" w:rsidRDefault="007C1EA3" w:rsidP="007C1EA3">
      <w:pPr>
        <w:pStyle w:val="BISnumberingBold"/>
        <w:numPr>
          <w:ilvl w:val="0"/>
          <w:numId w:val="0"/>
        </w:numPr>
        <w:ind w:left="862"/>
      </w:pPr>
    </w:p>
    <w:p w:rsidR="007C1EA3" w:rsidRDefault="007C1EA3" w:rsidP="007C1EA3">
      <w:pPr>
        <w:pStyle w:val="BISnumberingBold"/>
        <w:numPr>
          <w:ilvl w:val="0"/>
          <w:numId w:val="0"/>
        </w:numPr>
        <w:ind w:left="862"/>
      </w:pPr>
    </w:p>
    <w:p w:rsidR="007C1EA3" w:rsidRDefault="007C1EA3" w:rsidP="007C1EA3"/>
    <w:p w:rsidR="007C1EA3" w:rsidRDefault="007C1EA3" w:rsidP="007C1EA3"/>
    <w:p w:rsidR="007C1EA3" w:rsidRDefault="007C1EA3" w:rsidP="007C1EA3"/>
    <w:p w:rsidR="007C1EA3" w:rsidRDefault="007C1EA3" w:rsidP="007C1EA3">
      <w:r>
        <w:tab/>
      </w:r>
    </w:p>
    <w:p w:rsidR="007C1EA3" w:rsidRDefault="007C1EA3" w:rsidP="007C1EA3">
      <w:pPr>
        <w:rPr>
          <w:b/>
        </w:rPr>
      </w:pPr>
      <w:r w:rsidRPr="00671A52">
        <w:rPr>
          <w:b/>
        </w:rPr>
        <w:t xml:space="preserve">Do you have any other comments </w:t>
      </w:r>
      <w:r>
        <w:rPr>
          <w:b/>
        </w:rPr>
        <w:t>on the consultation?</w:t>
      </w:r>
    </w:p>
    <w:p w:rsidR="007C1EA3" w:rsidRPr="004B1F2C" w:rsidRDefault="007C1EA3" w:rsidP="007C1EA3">
      <w:r w:rsidRPr="004B1F2C">
        <w:t>Comments:</w:t>
      </w:r>
    </w:p>
    <w:p w:rsidR="007C1EA3" w:rsidRPr="000950CF" w:rsidRDefault="007C1EA3" w:rsidP="007C1EA3"/>
    <w:p w:rsidR="007C1EA3" w:rsidRDefault="007C1EA3" w:rsidP="007C1EA3"/>
    <w:p w:rsidR="007C1EA3" w:rsidRDefault="007C1EA3" w:rsidP="007C1EA3"/>
    <w:p w:rsidR="007C1EA3" w:rsidRDefault="007C1EA3" w:rsidP="007C1EA3"/>
    <w:p w:rsidR="007C1EA3" w:rsidRDefault="007C1EA3" w:rsidP="007C1EA3"/>
    <w:p w:rsidR="007C1EA3" w:rsidRPr="000950CF" w:rsidRDefault="007C1EA3" w:rsidP="007C1EA3"/>
    <w:p w:rsidR="007C1EA3" w:rsidRPr="000950CF" w:rsidRDefault="007C1EA3" w:rsidP="007C1EA3">
      <w:r w:rsidRPr="000950CF">
        <w:t xml:space="preserve">Thank you for your views on this consultation. </w:t>
      </w:r>
    </w:p>
    <w:p w:rsidR="00AA0002" w:rsidRDefault="00AA0002"/>
    <w:sectPr w:rsidR="00AA00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B13998"/>
    <w:multiLevelType w:val="hybridMultilevel"/>
    <w:tmpl w:val="2544F068"/>
    <w:lvl w:ilvl="0" w:tplc="5AB89D18">
      <w:start w:val="1"/>
      <w:numFmt w:val="decimal"/>
      <w:pStyle w:val="BISnumberingBold"/>
      <w:lvlText w:val="%1."/>
      <w:lvlJc w:val="left"/>
      <w:pPr>
        <w:ind w:left="1211"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EA3"/>
    <w:rsid w:val="007C1EA3"/>
    <w:rsid w:val="00AA0002"/>
    <w:rsid w:val="00EE58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EA3"/>
    <w:pPr>
      <w:spacing w:after="288" w:line="240" w:lineRule="auto"/>
      <w:ind w:left="142"/>
    </w:pPr>
    <w:rPr>
      <w:rFonts w:ascii="Arial" w:eastAsia="Times New Roman" w:hAnsi="Arial" w:cs="Times New Roman"/>
      <w:sz w:val="24"/>
      <w:szCs w:val="24"/>
    </w:rPr>
  </w:style>
  <w:style w:type="paragraph" w:styleId="Heading2">
    <w:name w:val="heading 2"/>
    <w:basedOn w:val="Normal"/>
    <w:next w:val="Normal"/>
    <w:link w:val="Heading2Char"/>
    <w:qFormat/>
    <w:rsid w:val="007C1EA3"/>
    <w:pPr>
      <w:keepNext/>
      <w:spacing w:before="120" w:after="240"/>
      <w:outlineLvl w:val="1"/>
    </w:pPr>
    <w:rPr>
      <w:b/>
      <w:bCs/>
      <w:iCs/>
      <w:color w:val="003478"/>
      <w:kern w:val="32"/>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C1EA3"/>
    <w:rPr>
      <w:rFonts w:ascii="Arial" w:eastAsia="Times New Roman" w:hAnsi="Arial" w:cs="Times New Roman"/>
      <w:b/>
      <w:bCs/>
      <w:iCs/>
      <w:color w:val="003478"/>
      <w:kern w:val="32"/>
      <w:sz w:val="32"/>
      <w:szCs w:val="28"/>
    </w:rPr>
  </w:style>
  <w:style w:type="paragraph" w:customStyle="1" w:styleId="BISnumberingBold">
    <w:name w:val="BIS numbering Bold"/>
    <w:basedOn w:val="Normal"/>
    <w:autoRedefine/>
    <w:rsid w:val="007C1EA3"/>
    <w:pPr>
      <w:numPr>
        <w:numId w:val="1"/>
      </w:numPr>
      <w:tabs>
        <w:tab w:val="left" w:pos="851"/>
      </w:tabs>
      <w:ind w:left="862" w:right="11" w:hanging="720"/>
    </w:pPr>
  </w:style>
  <w:style w:type="paragraph" w:customStyle="1" w:styleId="TableText">
    <w:name w:val="Table Text"/>
    <w:basedOn w:val="Normal"/>
    <w:rsid w:val="007C1EA3"/>
    <w:pPr>
      <w:spacing w:after="80"/>
      <w:ind w:left="113" w:right="113"/>
    </w:pPr>
    <w:rPr>
      <w:b/>
    </w:rPr>
  </w:style>
  <w:style w:type="paragraph" w:customStyle="1" w:styleId="Tabletextnon-bold">
    <w:name w:val="Table text non-bold"/>
    <w:basedOn w:val="TableText"/>
    <w:qFormat/>
    <w:rsid w:val="007C1EA3"/>
    <w:rPr>
      <w:b w:val="0"/>
    </w:rPr>
  </w:style>
  <w:style w:type="character" w:customStyle="1" w:styleId="postal-code">
    <w:name w:val="postal-code"/>
    <w:basedOn w:val="DefaultParagraphFont"/>
    <w:rsid w:val="007C1EA3"/>
  </w:style>
  <w:style w:type="paragraph" w:styleId="BalloonText">
    <w:name w:val="Balloon Text"/>
    <w:basedOn w:val="Normal"/>
    <w:link w:val="BalloonTextChar"/>
    <w:uiPriority w:val="99"/>
    <w:semiHidden/>
    <w:unhideWhenUsed/>
    <w:rsid w:val="007C1EA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1EA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EA3"/>
    <w:pPr>
      <w:spacing w:after="288" w:line="240" w:lineRule="auto"/>
      <w:ind w:left="142"/>
    </w:pPr>
    <w:rPr>
      <w:rFonts w:ascii="Arial" w:eastAsia="Times New Roman" w:hAnsi="Arial" w:cs="Times New Roman"/>
      <w:sz w:val="24"/>
      <w:szCs w:val="24"/>
    </w:rPr>
  </w:style>
  <w:style w:type="paragraph" w:styleId="Heading2">
    <w:name w:val="heading 2"/>
    <w:basedOn w:val="Normal"/>
    <w:next w:val="Normal"/>
    <w:link w:val="Heading2Char"/>
    <w:qFormat/>
    <w:rsid w:val="007C1EA3"/>
    <w:pPr>
      <w:keepNext/>
      <w:spacing w:before="120" w:after="240"/>
      <w:outlineLvl w:val="1"/>
    </w:pPr>
    <w:rPr>
      <w:b/>
      <w:bCs/>
      <w:iCs/>
      <w:color w:val="003478"/>
      <w:kern w:val="32"/>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C1EA3"/>
    <w:rPr>
      <w:rFonts w:ascii="Arial" w:eastAsia="Times New Roman" w:hAnsi="Arial" w:cs="Times New Roman"/>
      <w:b/>
      <w:bCs/>
      <w:iCs/>
      <w:color w:val="003478"/>
      <w:kern w:val="32"/>
      <w:sz w:val="32"/>
      <w:szCs w:val="28"/>
    </w:rPr>
  </w:style>
  <w:style w:type="paragraph" w:customStyle="1" w:styleId="BISnumberingBold">
    <w:name w:val="BIS numbering Bold"/>
    <w:basedOn w:val="Normal"/>
    <w:autoRedefine/>
    <w:rsid w:val="007C1EA3"/>
    <w:pPr>
      <w:numPr>
        <w:numId w:val="1"/>
      </w:numPr>
      <w:tabs>
        <w:tab w:val="left" w:pos="851"/>
      </w:tabs>
      <w:ind w:left="862" w:right="11" w:hanging="720"/>
    </w:pPr>
  </w:style>
  <w:style w:type="paragraph" w:customStyle="1" w:styleId="TableText">
    <w:name w:val="Table Text"/>
    <w:basedOn w:val="Normal"/>
    <w:rsid w:val="007C1EA3"/>
    <w:pPr>
      <w:spacing w:after="80"/>
      <w:ind w:left="113" w:right="113"/>
    </w:pPr>
    <w:rPr>
      <w:b/>
    </w:rPr>
  </w:style>
  <w:style w:type="paragraph" w:customStyle="1" w:styleId="Tabletextnon-bold">
    <w:name w:val="Table text non-bold"/>
    <w:basedOn w:val="TableText"/>
    <w:qFormat/>
    <w:rsid w:val="007C1EA3"/>
    <w:rPr>
      <w:b w:val="0"/>
    </w:rPr>
  </w:style>
  <w:style w:type="character" w:customStyle="1" w:styleId="postal-code">
    <w:name w:val="postal-code"/>
    <w:basedOn w:val="DefaultParagraphFont"/>
    <w:rsid w:val="007C1EA3"/>
  </w:style>
  <w:style w:type="paragraph" w:styleId="BalloonText">
    <w:name w:val="Balloon Text"/>
    <w:basedOn w:val="Normal"/>
    <w:link w:val="BalloonTextChar"/>
    <w:uiPriority w:val="99"/>
    <w:semiHidden/>
    <w:unhideWhenUsed/>
    <w:rsid w:val="007C1EA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1EA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transparencyandtrust@bis.gsi.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840</Words>
  <Characters>4789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BIS</Company>
  <LinksUpToDate>false</LinksUpToDate>
  <CharactersWithSpaces>5618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Register of People with Significant Control Regulations 2015 consultation response form</dc:title>
  <dc:creator>Pitkin Jeni (Communications)</dc:creator>
  <cp:lastModifiedBy>Pitkin Jeni (Communications)</cp:lastModifiedBy>
  <cp:revision>2</cp:revision>
  <dcterms:created xsi:type="dcterms:W3CDTF">2015-06-19T14:07:00Z</dcterms:created>
  <dcterms:modified xsi:type="dcterms:W3CDTF">2015-06-19T14:11:00Z</dcterms:modified>
</cp:coreProperties>
</file>