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436A04" w14:paraId="1F4A4072" w14:textId="77777777" w:rsidTr="00436A04">
        <w:trPr>
          <w:gridBefore w:val="1"/>
          <w:gridAfter w:val="1"/>
          <w:wBefore w:w="1134" w:type="dxa"/>
          <w:wAfter w:w="1145" w:type="dxa"/>
          <w:trHeight w:val="3459"/>
        </w:trPr>
        <w:tc>
          <w:tcPr>
            <w:tcW w:w="9628" w:type="dxa"/>
            <w:hideMark/>
          </w:tcPr>
          <w:p w14:paraId="29C90179" w14:textId="77777777" w:rsidR="00436A04" w:rsidRDefault="00436A04">
            <w:pPr>
              <w:spacing w:after="240" w:line="320" w:lineRule="atLeast"/>
            </w:pPr>
            <w:bookmarkStart w:id="0" w:name="_GoBack"/>
            <w:bookmarkEnd w:id="0"/>
            <w:r>
              <w:rPr>
                <w:noProof/>
                <w:lang w:eastAsia="en-GB"/>
              </w:rPr>
              <w:drawing>
                <wp:inline distT="0" distB="0" distL="0" distR="0" wp14:anchorId="2E6A07E3" wp14:editId="34BD512E">
                  <wp:extent cx="2171700" cy="1152525"/>
                  <wp:effectExtent l="0" t="0" r="0" b="0"/>
                  <wp:docPr id="18" name="Picture 18" descr="Department for Business, Energy &amp; Industrial Strategy logo" title="Department for Business, Energy &amp; Industrial Strategy logo"/>
                  <wp:cNvGraphicFramePr/>
                  <a:graphic xmlns:a="http://schemas.openxmlformats.org/drawingml/2006/main">
                    <a:graphicData uri="http://schemas.openxmlformats.org/drawingml/2006/picture">
                      <pic:pic xmlns:pic="http://schemas.openxmlformats.org/drawingml/2006/picture">
                        <pic:nvPicPr>
                          <pic:cNvPr id="18" name="Picture 2" descr="Department for Business, Energy &amp; Industrial Strategy logo" title="Department for Business, Energy &amp; Industrial Strateg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970" cy="1151890"/>
                          </a:xfrm>
                          <a:prstGeom prst="rect">
                            <a:avLst/>
                          </a:prstGeom>
                        </pic:spPr>
                      </pic:pic>
                    </a:graphicData>
                  </a:graphic>
                </wp:inline>
              </w:drawing>
            </w:r>
          </w:p>
        </w:tc>
      </w:tr>
      <w:tr w:rsidR="00436A04" w14:paraId="184285B0" w14:textId="77777777" w:rsidTr="00436A04">
        <w:trPr>
          <w:gridBefore w:val="1"/>
          <w:gridAfter w:val="1"/>
          <w:wBefore w:w="1134" w:type="dxa"/>
          <w:wAfter w:w="1145" w:type="dxa"/>
          <w:cantSplit/>
          <w:trHeight w:val="2977"/>
        </w:trPr>
        <w:tc>
          <w:tcPr>
            <w:tcW w:w="9628" w:type="dxa"/>
            <w:hideMark/>
          </w:tcPr>
          <w:p w14:paraId="7E9725CF" w14:textId="77777777" w:rsidR="00D148B7" w:rsidRPr="00502E61" w:rsidRDefault="00502E61" w:rsidP="00D148B7">
            <w:pPr>
              <w:rPr>
                <w:caps/>
                <w:color w:val="00447C"/>
                <w:sz w:val="68"/>
                <w:szCs w:val="68"/>
              </w:rPr>
            </w:pPr>
            <w:r w:rsidRPr="00502E61">
              <w:rPr>
                <w:caps/>
                <w:color w:val="00447C"/>
                <w:sz w:val="68"/>
                <w:szCs w:val="68"/>
              </w:rPr>
              <w:t>BUSINESS IMPACT TARGET:</w:t>
            </w:r>
          </w:p>
          <w:p w14:paraId="07927295" w14:textId="77777777" w:rsidR="00436A04" w:rsidRDefault="00436A04" w:rsidP="00436A04">
            <w:pPr>
              <w:rPr>
                <w:caps/>
                <w:color w:val="00447C"/>
                <w:sz w:val="84"/>
              </w:rPr>
            </w:pPr>
            <w:r w:rsidRPr="00502E61">
              <w:rPr>
                <w:caps/>
                <w:color w:val="00447C"/>
                <w:sz w:val="68"/>
                <w:szCs w:val="68"/>
              </w:rPr>
              <w:t xml:space="preserve">SUMMARY </w:t>
            </w:r>
          </w:p>
        </w:tc>
      </w:tr>
      <w:tr w:rsidR="00436A04" w14:paraId="12DF81F9" w14:textId="77777777" w:rsidTr="00436A04">
        <w:trPr>
          <w:gridBefore w:val="1"/>
          <w:gridAfter w:val="1"/>
          <w:wBefore w:w="1134" w:type="dxa"/>
          <w:wAfter w:w="1145" w:type="dxa"/>
          <w:trHeight w:val="2643"/>
        </w:trPr>
        <w:tc>
          <w:tcPr>
            <w:tcW w:w="9628" w:type="dxa"/>
            <w:hideMark/>
          </w:tcPr>
          <w:p w14:paraId="4B0F7652" w14:textId="77777777" w:rsidR="00436A04" w:rsidRPr="00502E61" w:rsidRDefault="00502E61" w:rsidP="00502E61">
            <w:pPr>
              <w:spacing w:before="240"/>
              <w:rPr>
                <w:color w:val="A6A6A6" w:themeColor="background1" w:themeShade="A6"/>
                <w:sz w:val="48"/>
              </w:rPr>
            </w:pPr>
            <w:r w:rsidRPr="00502E61">
              <w:rPr>
                <w:color w:val="A6A6A6" w:themeColor="background1" w:themeShade="A6"/>
                <w:sz w:val="48"/>
              </w:rPr>
              <w:t>Non-qualifying Regulatory Provisions</w:t>
            </w:r>
            <w:r>
              <w:rPr>
                <w:color w:val="A6A6A6" w:themeColor="background1" w:themeShade="A6"/>
                <w:sz w:val="48"/>
              </w:rPr>
              <w:t xml:space="preserve"> (NQRP)</w:t>
            </w:r>
            <w:r w:rsidRPr="00502E61">
              <w:rPr>
                <w:color w:val="A6A6A6" w:themeColor="background1" w:themeShade="A6"/>
                <w:sz w:val="48"/>
              </w:rPr>
              <w:t xml:space="preserve"> </w:t>
            </w:r>
            <w:r>
              <w:rPr>
                <w:color w:val="A6A6A6" w:themeColor="background1" w:themeShade="A6"/>
                <w:sz w:val="48"/>
              </w:rPr>
              <w:t>s</w:t>
            </w:r>
            <w:r w:rsidRPr="00502E61">
              <w:rPr>
                <w:color w:val="A6A6A6" w:themeColor="background1" w:themeShade="A6"/>
                <w:sz w:val="48"/>
              </w:rPr>
              <w:t xml:space="preserve">ummary </w:t>
            </w:r>
            <w:r>
              <w:rPr>
                <w:color w:val="A6A6A6" w:themeColor="background1" w:themeShade="A6"/>
                <w:sz w:val="48"/>
              </w:rPr>
              <w:t>r</w:t>
            </w:r>
            <w:r w:rsidRPr="00502E61">
              <w:rPr>
                <w:color w:val="A6A6A6" w:themeColor="background1" w:themeShade="A6"/>
                <w:sz w:val="48"/>
              </w:rPr>
              <w:t xml:space="preserve">eporting </w:t>
            </w:r>
          </w:p>
          <w:p w14:paraId="2B3B0946" w14:textId="77777777" w:rsidR="00436A04" w:rsidRDefault="00436A04" w:rsidP="00D148B7">
            <w:pPr>
              <w:spacing w:before="240"/>
              <w:rPr>
                <w:color w:val="00447C"/>
                <w:sz w:val="48"/>
              </w:rPr>
            </w:pPr>
          </w:p>
        </w:tc>
      </w:tr>
      <w:tr w:rsidR="00436A04" w14:paraId="7BB5006C" w14:textId="77777777" w:rsidTr="00436A04">
        <w:trPr>
          <w:cantSplit/>
          <w:trHeight w:val="3402"/>
        </w:trPr>
        <w:tc>
          <w:tcPr>
            <w:tcW w:w="11907" w:type="dxa"/>
            <w:gridSpan w:val="3"/>
            <w:hideMark/>
          </w:tcPr>
          <w:p w14:paraId="2389E222" w14:textId="77777777" w:rsidR="00436A04" w:rsidRDefault="00436A04">
            <w:pPr>
              <w:spacing w:after="240" w:line="320" w:lineRule="atLeast"/>
            </w:pPr>
            <w:r>
              <w:rPr>
                <w:noProof/>
                <w:lang w:eastAsia="en-GB"/>
              </w:rPr>
              <w:lastRenderedPageBreak/>
              <w:drawing>
                <wp:inline distT="0" distB="0" distL="0" distR="0" wp14:anchorId="5DE010A6" wp14:editId="77EBA052">
                  <wp:extent cx="6124575" cy="1762125"/>
                  <wp:effectExtent l="0" t="0" r="9525" b="0"/>
                  <wp:docPr id="19" name="Picture 19" descr="Curve image" title="Curve image"/>
                  <wp:cNvGraphicFramePr/>
                  <a:graphic xmlns:a="http://schemas.openxmlformats.org/drawingml/2006/main">
                    <a:graphicData uri="http://schemas.openxmlformats.org/drawingml/2006/picture">
                      <pic:pic xmlns:pic="http://schemas.openxmlformats.org/drawingml/2006/picture">
                        <pic:nvPicPr>
                          <pic:cNvPr id="19" name="Picture 1" descr="Curve image" title="Curve imag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0" cy="1757680"/>
                          </a:xfrm>
                          <a:prstGeom prst="rect">
                            <a:avLst/>
                          </a:prstGeom>
                          <a:noFill/>
                          <a:ln>
                            <a:noFill/>
                          </a:ln>
                        </pic:spPr>
                      </pic:pic>
                    </a:graphicData>
                  </a:graphic>
                </wp:inline>
              </w:drawing>
            </w:r>
          </w:p>
        </w:tc>
      </w:tr>
      <w:tr w:rsidR="00436A04" w14:paraId="0D5B5B97" w14:textId="77777777" w:rsidTr="00CE6E24">
        <w:trPr>
          <w:gridBefore w:val="1"/>
          <w:gridAfter w:val="1"/>
          <w:wBefore w:w="1134" w:type="dxa"/>
          <w:wAfter w:w="1145" w:type="dxa"/>
        </w:trPr>
        <w:tc>
          <w:tcPr>
            <w:tcW w:w="9628" w:type="dxa"/>
          </w:tcPr>
          <w:p w14:paraId="69DE39C6" w14:textId="77777777" w:rsidR="00436A04" w:rsidRDefault="00436A04">
            <w:pPr>
              <w:rPr>
                <w:sz w:val="32"/>
              </w:rPr>
            </w:pPr>
          </w:p>
        </w:tc>
      </w:tr>
    </w:tbl>
    <w:p w14:paraId="04D57099" w14:textId="77777777" w:rsidR="00E51930" w:rsidRPr="00F60139" w:rsidRDefault="00E51930" w:rsidP="00E51930">
      <w:pPr>
        <w:rPr>
          <w:rFonts w:ascii="Calibri" w:hAnsi="Calibri"/>
          <w:sz w:val="22"/>
        </w:rPr>
      </w:pPr>
      <w:r>
        <w:rPr>
          <w:rFonts w:ascii="Calibri" w:hAnsi="Calibri"/>
          <w:b/>
          <w:sz w:val="22"/>
        </w:rPr>
        <w:t xml:space="preserve">Regulator: </w:t>
      </w:r>
      <w:r w:rsidR="00CC2B95">
        <w:rPr>
          <w:rFonts w:ascii="Calibri" w:hAnsi="Calibri"/>
          <w:b/>
          <w:sz w:val="22"/>
        </w:rPr>
        <w:t>HM Land Registry</w:t>
      </w:r>
      <w:r w:rsidR="00E46C2D">
        <w:rPr>
          <w:rFonts w:ascii="Calibri" w:hAnsi="Calibri"/>
          <w:b/>
          <w:sz w:val="22"/>
        </w:rPr>
        <w:t xml:space="preserve"> </w:t>
      </w:r>
    </w:p>
    <w:p w14:paraId="0B4D4EAA" w14:textId="60BD520E" w:rsidR="00E51930" w:rsidRDefault="00E51930" w:rsidP="00E51930">
      <w:pPr>
        <w:rPr>
          <w:rFonts w:ascii="Calibri" w:hAnsi="Calibri"/>
          <w:b/>
          <w:sz w:val="22"/>
        </w:rPr>
      </w:pPr>
      <w:r>
        <w:rPr>
          <w:rFonts w:ascii="Calibri" w:hAnsi="Calibri"/>
          <w:b/>
          <w:sz w:val="22"/>
        </w:rPr>
        <w:t xml:space="preserve">Business Impact Target Reporting </w:t>
      </w:r>
      <w:r w:rsidR="003A6196">
        <w:rPr>
          <w:rFonts w:ascii="Calibri" w:hAnsi="Calibri"/>
          <w:b/>
          <w:sz w:val="22"/>
        </w:rPr>
        <w:t>p</w:t>
      </w:r>
      <w:r>
        <w:rPr>
          <w:rFonts w:ascii="Calibri" w:hAnsi="Calibri"/>
          <w:b/>
          <w:sz w:val="22"/>
        </w:rPr>
        <w:t xml:space="preserve">eriod </w:t>
      </w:r>
      <w:r w:rsidR="003A6196">
        <w:rPr>
          <w:rFonts w:ascii="Calibri" w:hAnsi="Calibri"/>
          <w:b/>
          <w:sz w:val="22"/>
        </w:rPr>
        <w:t>c</w:t>
      </w:r>
      <w:r>
        <w:rPr>
          <w:rFonts w:ascii="Calibri" w:hAnsi="Calibri"/>
          <w:b/>
          <w:sz w:val="22"/>
        </w:rPr>
        <w:t xml:space="preserve">overed: </w:t>
      </w:r>
      <w:r w:rsidR="00B97C6B">
        <w:rPr>
          <w:rFonts w:ascii="Calibri" w:hAnsi="Calibri"/>
          <w:sz w:val="22"/>
        </w:rPr>
        <w:t>9</w:t>
      </w:r>
      <w:r w:rsidR="004737AE" w:rsidRPr="004B69B6">
        <w:rPr>
          <w:rFonts w:ascii="Calibri" w:hAnsi="Calibri"/>
          <w:sz w:val="22"/>
        </w:rPr>
        <w:t xml:space="preserve"> June 2017 to 20 June 2018</w:t>
      </w: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765"/>
      </w:tblGrid>
      <w:tr w:rsidR="00E51930" w14:paraId="0FD68268" w14:textId="77777777" w:rsidTr="00E97ABE">
        <w:trPr>
          <w:tblHeader/>
        </w:trPr>
        <w:tc>
          <w:tcPr>
            <w:tcW w:w="2411" w:type="dxa"/>
            <w:tcBorders>
              <w:top w:val="single" w:sz="4" w:space="0" w:color="auto"/>
              <w:left w:val="single" w:sz="4" w:space="0" w:color="auto"/>
              <w:bottom w:val="single" w:sz="4" w:space="0" w:color="auto"/>
              <w:right w:val="single" w:sz="4" w:space="0" w:color="auto"/>
            </w:tcBorders>
            <w:hideMark/>
          </w:tcPr>
          <w:p w14:paraId="2FCF8243" w14:textId="7BA8035E" w:rsidR="00E51930" w:rsidRDefault="00E51930">
            <w:pPr>
              <w:spacing w:after="0" w:line="240" w:lineRule="auto"/>
              <w:rPr>
                <w:rFonts w:ascii="Calibri" w:hAnsi="Calibri"/>
                <w:b/>
                <w:sz w:val="22"/>
              </w:rPr>
            </w:pPr>
            <w:r>
              <w:rPr>
                <w:rFonts w:ascii="Calibri" w:hAnsi="Calibri"/>
                <w:b/>
                <w:sz w:val="22"/>
              </w:rPr>
              <w:t>Excluded Category</w:t>
            </w:r>
          </w:p>
        </w:tc>
        <w:tc>
          <w:tcPr>
            <w:tcW w:w="11765" w:type="dxa"/>
            <w:tcBorders>
              <w:top w:val="single" w:sz="4" w:space="0" w:color="auto"/>
              <w:left w:val="single" w:sz="4" w:space="0" w:color="auto"/>
              <w:bottom w:val="single" w:sz="4" w:space="0" w:color="auto"/>
              <w:right w:val="single" w:sz="4" w:space="0" w:color="auto"/>
            </w:tcBorders>
            <w:hideMark/>
          </w:tcPr>
          <w:p w14:paraId="46C50826" w14:textId="77777777" w:rsidR="00E51930" w:rsidRDefault="00E51930">
            <w:pPr>
              <w:spacing w:after="0" w:line="240" w:lineRule="auto"/>
              <w:rPr>
                <w:rFonts w:ascii="Calibri" w:hAnsi="Calibri"/>
                <w:b/>
                <w:sz w:val="22"/>
              </w:rPr>
            </w:pPr>
            <w:r>
              <w:rPr>
                <w:rFonts w:ascii="Calibri" w:hAnsi="Calibri"/>
                <w:b/>
                <w:sz w:val="22"/>
              </w:rPr>
              <w:t>Summary of measure(s), including any impact data where available</w:t>
            </w:r>
          </w:p>
        </w:tc>
      </w:tr>
      <w:tr w:rsidR="00E51930" w14:paraId="166AA04A" w14:textId="77777777" w:rsidTr="00E97ABE">
        <w:tc>
          <w:tcPr>
            <w:tcW w:w="2411" w:type="dxa"/>
            <w:tcBorders>
              <w:top w:val="single" w:sz="4" w:space="0" w:color="auto"/>
              <w:left w:val="single" w:sz="4" w:space="0" w:color="auto"/>
              <w:bottom w:val="single" w:sz="4" w:space="0" w:color="auto"/>
              <w:right w:val="single" w:sz="4" w:space="0" w:color="auto"/>
            </w:tcBorders>
            <w:hideMark/>
          </w:tcPr>
          <w:p w14:paraId="33559923" w14:textId="0483DDA3" w:rsidR="00E51930" w:rsidRDefault="00C202E1">
            <w:pPr>
              <w:spacing w:after="0" w:line="240" w:lineRule="auto"/>
              <w:rPr>
                <w:rFonts w:ascii="Calibri" w:hAnsi="Calibri"/>
                <w:sz w:val="22"/>
              </w:rPr>
            </w:pPr>
            <w:r w:rsidRPr="00C202E1">
              <w:rPr>
                <w:rFonts w:ascii="Calibri" w:hAnsi="Calibri"/>
                <w:sz w:val="22"/>
              </w:rPr>
              <w:t>Measures certified as being below de minimis (measures with an EANDCB below +/- £5 million)</w:t>
            </w:r>
          </w:p>
        </w:tc>
        <w:tc>
          <w:tcPr>
            <w:tcW w:w="11765" w:type="dxa"/>
            <w:tcBorders>
              <w:top w:val="single" w:sz="4" w:space="0" w:color="auto"/>
              <w:left w:val="single" w:sz="4" w:space="0" w:color="auto"/>
              <w:bottom w:val="single" w:sz="4" w:space="0" w:color="auto"/>
              <w:right w:val="single" w:sz="4" w:space="0" w:color="auto"/>
            </w:tcBorders>
          </w:tcPr>
          <w:p w14:paraId="75E0A6E2" w14:textId="77777777" w:rsidR="007E5A15" w:rsidRDefault="00CC2B95" w:rsidP="007E5A15">
            <w:pPr>
              <w:spacing w:after="0" w:line="240" w:lineRule="auto"/>
              <w:rPr>
                <w:rFonts w:ascii="Calibri" w:hAnsi="Calibri"/>
                <w:sz w:val="22"/>
              </w:rPr>
            </w:pPr>
            <w:bookmarkStart w:id="1" w:name="_Hlk515445651"/>
            <w:r>
              <w:rPr>
                <w:rFonts w:ascii="Calibri" w:hAnsi="Calibri"/>
                <w:sz w:val="22"/>
              </w:rPr>
              <w:t>HM Land Registry</w:t>
            </w:r>
            <w:r w:rsidR="007E5A15" w:rsidRPr="007E5A15">
              <w:rPr>
                <w:rFonts w:ascii="Calibri" w:hAnsi="Calibri"/>
                <w:sz w:val="22"/>
              </w:rPr>
              <w:t xml:space="preserve"> considers that all its changes fall within the de minimis exclusion</w:t>
            </w:r>
            <w:r w:rsidR="00F15E4D">
              <w:rPr>
                <w:rFonts w:ascii="Calibri" w:hAnsi="Calibri"/>
                <w:sz w:val="22"/>
              </w:rPr>
              <w:t>.</w:t>
            </w:r>
            <w:r w:rsidR="003E0BE9">
              <w:rPr>
                <w:rFonts w:ascii="Calibri" w:hAnsi="Calibri"/>
                <w:sz w:val="22"/>
              </w:rPr>
              <w:t xml:space="preserve"> </w:t>
            </w:r>
            <w:r w:rsidR="003E0BE9" w:rsidRPr="000426A2">
              <w:rPr>
                <w:rFonts w:ascii="Calibri" w:hAnsi="Calibri"/>
                <w:sz w:val="22"/>
              </w:rPr>
              <w:t xml:space="preserve">Analysis has been undertaken that evidences </w:t>
            </w:r>
            <w:r>
              <w:rPr>
                <w:rFonts w:ascii="Calibri" w:hAnsi="Calibri"/>
                <w:sz w:val="22"/>
              </w:rPr>
              <w:t>HM Land Registry</w:t>
            </w:r>
            <w:r w:rsidR="003E0BE9" w:rsidRPr="000426A2">
              <w:rPr>
                <w:rFonts w:ascii="Calibri" w:hAnsi="Calibri"/>
                <w:sz w:val="22"/>
              </w:rPr>
              <w:t>’s changes are so significantly below this threshold that further analysis would be disproportionate.</w:t>
            </w:r>
          </w:p>
          <w:p w14:paraId="466F1DC5" w14:textId="77777777" w:rsidR="00A900F3" w:rsidRDefault="00A900F3" w:rsidP="007E5A15">
            <w:pPr>
              <w:spacing w:after="0" w:line="240" w:lineRule="auto"/>
              <w:rPr>
                <w:rFonts w:ascii="Calibri" w:hAnsi="Calibri"/>
                <w:sz w:val="22"/>
              </w:rPr>
            </w:pPr>
          </w:p>
          <w:p w14:paraId="2FD5D72C" w14:textId="77777777" w:rsidR="004F06FF" w:rsidRDefault="006B3BF8" w:rsidP="004F06FF">
            <w:pPr>
              <w:spacing w:after="0" w:line="240" w:lineRule="auto"/>
              <w:rPr>
                <w:rFonts w:ascii="Calibri" w:hAnsi="Calibri"/>
                <w:sz w:val="22"/>
              </w:rPr>
            </w:pPr>
            <w:r>
              <w:rPr>
                <w:rFonts w:ascii="Calibri" w:hAnsi="Calibri"/>
                <w:sz w:val="22"/>
              </w:rPr>
              <w:t xml:space="preserve">In this reporting period </w:t>
            </w:r>
            <w:r w:rsidR="00CC2B95">
              <w:rPr>
                <w:rFonts w:ascii="Calibri" w:hAnsi="Calibri"/>
                <w:sz w:val="22"/>
              </w:rPr>
              <w:t>HM Land Registry</w:t>
            </w:r>
            <w:r>
              <w:rPr>
                <w:rFonts w:ascii="Calibri" w:hAnsi="Calibri"/>
                <w:sz w:val="22"/>
              </w:rPr>
              <w:t xml:space="preserve"> has:</w:t>
            </w:r>
          </w:p>
          <w:p w14:paraId="39AC8D33" w14:textId="77777777" w:rsidR="006B3BF8" w:rsidRDefault="00681D87" w:rsidP="006B3BF8">
            <w:pPr>
              <w:pStyle w:val="ListParagraph"/>
              <w:numPr>
                <w:ilvl w:val="0"/>
                <w:numId w:val="21"/>
              </w:numPr>
              <w:spacing w:after="0" w:line="240" w:lineRule="auto"/>
              <w:rPr>
                <w:rFonts w:ascii="Calibri" w:hAnsi="Calibri"/>
                <w:sz w:val="22"/>
              </w:rPr>
            </w:pPr>
            <w:r>
              <w:rPr>
                <w:rFonts w:ascii="Calibri" w:hAnsi="Calibri"/>
                <w:sz w:val="22"/>
              </w:rPr>
              <w:t xml:space="preserve">Introduced a change in practice resulting in </w:t>
            </w:r>
            <w:r w:rsidR="00CC2B95">
              <w:rPr>
                <w:rFonts w:ascii="Calibri" w:hAnsi="Calibri"/>
                <w:sz w:val="22"/>
              </w:rPr>
              <w:t>HM Land Registry</w:t>
            </w:r>
            <w:r>
              <w:rPr>
                <w:rFonts w:ascii="Calibri" w:hAnsi="Calibri"/>
                <w:sz w:val="22"/>
              </w:rPr>
              <w:t xml:space="preserve"> </w:t>
            </w:r>
            <w:r w:rsidR="006B3BF8" w:rsidRPr="006B3BF8">
              <w:rPr>
                <w:rFonts w:ascii="Calibri" w:hAnsi="Calibri"/>
                <w:sz w:val="22"/>
              </w:rPr>
              <w:t xml:space="preserve">contacting the mortgage lender applicant on more occasions where a discharge of whole is in paper form allowing the lender to object to the application if they consider the discharge to be fraudulent. </w:t>
            </w:r>
          </w:p>
          <w:p w14:paraId="2BB1ABAE" w14:textId="77777777" w:rsidR="00681D87" w:rsidRPr="00681D87" w:rsidRDefault="00681D87" w:rsidP="00681D87">
            <w:pPr>
              <w:pStyle w:val="ListParagraph"/>
              <w:numPr>
                <w:ilvl w:val="0"/>
                <w:numId w:val="21"/>
              </w:numPr>
              <w:spacing w:after="0" w:line="240" w:lineRule="auto"/>
              <w:rPr>
                <w:rFonts w:ascii="Calibri" w:hAnsi="Calibri"/>
                <w:sz w:val="22"/>
              </w:rPr>
            </w:pPr>
            <w:r>
              <w:rPr>
                <w:rFonts w:ascii="Calibri" w:hAnsi="Calibri"/>
                <w:sz w:val="22"/>
              </w:rPr>
              <w:t>Simplified its practice in carrying forward easement entries on transfers and leases.</w:t>
            </w:r>
          </w:p>
          <w:p w14:paraId="5A13F6FE" w14:textId="77777777" w:rsidR="00896761" w:rsidRPr="006A0789" w:rsidRDefault="00896761" w:rsidP="00896761">
            <w:pPr>
              <w:pStyle w:val="ListParagraph"/>
              <w:numPr>
                <w:ilvl w:val="0"/>
                <w:numId w:val="21"/>
              </w:numPr>
              <w:spacing w:after="0" w:line="240" w:lineRule="auto"/>
              <w:rPr>
                <w:rFonts w:ascii="Calibri" w:hAnsi="Calibri"/>
                <w:sz w:val="22"/>
              </w:rPr>
            </w:pPr>
            <w:r>
              <w:rPr>
                <w:rFonts w:ascii="Calibri" w:hAnsi="Calibri"/>
                <w:sz w:val="22"/>
              </w:rPr>
              <w:t>Introduced t</w:t>
            </w:r>
            <w:r w:rsidRPr="009759D0">
              <w:rPr>
                <w:rFonts w:ascii="Calibri" w:hAnsi="Calibri"/>
                <w:sz w:val="22"/>
              </w:rPr>
              <w:t xml:space="preserve">he requirement </w:t>
            </w:r>
            <w:r>
              <w:rPr>
                <w:rFonts w:ascii="Calibri" w:hAnsi="Calibri"/>
                <w:sz w:val="22"/>
              </w:rPr>
              <w:t>for a</w:t>
            </w:r>
            <w:r w:rsidRPr="006C166F">
              <w:rPr>
                <w:rFonts w:ascii="Calibri" w:hAnsi="Calibri"/>
                <w:sz w:val="22"/>
              </w:rPr>
              <w:t xml:space="preserve">pplication fees </w:t>
            </w:r>
            <w:r>
              <w:rPr>
                <w:rFonts w:ascii="Calibri" w:hAnsi="Calibri"/>
                <w:sz w:val="22"/>
              </w:rPr>
              <w:t>to</w:t>
            </w:r>
            <w:r w:rsidRPr="006C166F">
              <w:rPr>
                <w:rFonts w:ascii="Calibri" w:hAnsi="Calibri"/>
                <w:sz w:val="22"/>
              </w:rPr>
              <w:t xml:space="preserve"> now </w:t>
            </w:r>
            <w:r>
              <w:rPr>
                <w:rFonts w:ascii="Calibri" w:hAnsi="Calibri"/>
                <w:sz w:val="22"/>
              </w:rPr>
              <w:t xml:space="preserve">be </w:t>
            </w:r>
            <w:r w:rsidRPr="006C166F">
              <w:rPr>
                <w:rFonts w:ascii="Calibri" w:hAnsi="Calibri"/>
                <w:sz w:val="22"/>
              </w:rPr>
              <w:t>automatically taken on the day of receipt of the application</w:t>
            </w:r>
            <w:r>
              <w:rPr>
                <w:rFonts w:ascii="Calibri" w:hAnsi="Calibri"/>
                <w:sz w:val="22"/>
              </w:rPr>
              <w:t xml:space="preserve"> when </w:t>
            </w:r>
            <w:r w:rsidR="00681D87">
              <w:rPr>
                <w:rFonts w:ascii="Calibri" w:hAnsi="Calibri"/>
                <w:sz w:val="22"/>
              </w:rPr>
              <w:t xml:space="preserve">sent </w:t>
            </w:r>
            <w:r>
              <w:rPr>
                <w:rFonts w:ascii="Calibri" w:hAnsi="Calibri"/>
                <w:sz w:val="22"/>
              </w:rPr>
              <w:t xml:space="preserve">through </w:t>
            </w:r>
            <w:r w:rsidR="00CC2B95">
              <w:rPr>
                <w:rFonts w:ascii="Calibri" w:hAnsi="Calibri"/>
                <w:sz w:val="22"/>
              </w:rPr>
              <w:t>HM Land Registry</w:t>
            </w:r>
            <w:r w:rsidR="003C19B8">
              <w:rPr>
                <w:rFonts w:ascii="Calibri" w:hAnsi="Calibri"/>
                <w:sz w:val="22"/>
              </w:rPr>
              <w:t>’s</w:t>
            </w:r>
            <w:r>
              <w:rPr>
                <w:rFonts w:ascii="Calibri" w:hAnsi="Calibri"/>
                <w:sz w:val="22"/>
              </w:rPr>
              <w:t xml:space="preserve"> Portal</w:t>
            </w:r>
            <w:r w:rsidRPr="006C166F">
              <w:rPr>
                <w:rFonts w:ascii="Calibri" w:hAnsi="Calibri"/>
                <w:sz w:val="22"/>
              </w:rPr>
              <w:t>.  A new mandatory field is presented which requires customers to reconfirm during submission the fee for the application. Benefits to the customer will be that the fee will be consistently taken via direct debit on day one, removing inconsistency in service</w:t>
            </w:r>
            <w:r w:rsidR="005431A6">
              <w:rPr>
                <w:rFonts w:ascii="Calibri" w:hAnsi="Calibri"/>
                <w:sz w:val="22"/>
              </w:rPr>
              <w:t xml:space="preserve"> and</w:t>
            </w:r>
            <w:r w:rsidRPr="006C166F">
              <w:rPr>
                <w:rFonts w:ascii="Calibri" w:hAnsi="Calibri"/>
                <w:sz w:val="22"/>
              </w:rPr>
              <w:t xml:space="preserve"> will reduce the need for the customers to contact </w:t>
            </w:r>
            <w:r w:rsidR="00CC2B95">
              <w:rPr>
                <w:rFonts w:ascii="Calibri" w:hAnsi="Calibri"/>
                <w:sz w:val="22"/>
              </w:rPr>
              <w:t>HM Land Registry</w:t>
            </w:r>
            <w:r w:rsidRPr="006C166F">
              <w:rPr>
                <w:rFonts w:ascii="Calibri" w:hAnsi="Calibri"/>
                <w:sz w:val="22"/>
              </w:rPr>
              <w:t xml:space="preserve"> to enquire </w:t>
            </w:r>
            <w:r w:rsidR="005431A6" w:rsidRPr="006A0789">
              <w:rPr>
                <w:rFonts w:ascii="Calibri" w:hAnsi="Calibri"/>
                <w:sz w:val="22"/>
              </w:rPr>
              <w:t xml:space="preserve">on </w:t>
            </w:r>
            <w:r w:rsidRPr="006A0789">
              <w:rPr>
                <w:rFonts w:ascii="Calibri" w:hAnsi="Calibri"/>
                <w:sz w:val="22"/>
              </w:rPr>
              <w:t xml:space="preserve">progress.  </w:t>
            </w:r>
          </w:p>
          <w:p w14:paraId="4AF764BC" w14:textId="77777777" w:rsidR="00681D87" w:rsidRPr="006A0789" w:rsidRDefault="006B3BF8" w:rsidP="006B3BF8">
            <w:pPr>
              <w:pStyle w:val="ListParagraph"/>
              <w:numPr>
                <w:ilvl w:val="0"/>
                <w:numId w:val="21"/>
              </w:numPr>
              <w:spacing w:after="0" w:line="240" w:lineRule="auto"/>
              <w:rPr>
                <w:rFonts w:ascii="Calibri" w:hAnsi="Calibri"/>
                <w:sz w:val="22"/>
              </w:rPr>
            </w:pPr>
            <w:r w:rsidRPr="006A0789">
              <w:rPr>
                <w:rFonts w:ascii="Calibri" w:hAnsi="Calibri"/>
                <w:sz w:val="22"/>
              </w:rPr>
              <w:t xml:space="preserve">Introduced </w:t>
            </w:r>
            <w:r w:rsidR="00681D87" w:rsidRPr="006A0789">
              <w:rPr>
                <w:rFonts w:ascii="Calibri" w:hAnsi="Calibri"/>
                <w:sz w:val="22"/>
              </w:rPr>
              <w:t>the ability for</w:t>
            </w:r>
            <w:r w:rsidRPr="006A0789">
              <w:rPr>
                <w:rFonts w:ascii="Calibri" w:hAnsi="Calibri"/>
                <w:sz w:val="22"/>
              </w:rPr>
              <w:t xml:space="preserve"> business customers to lodge applications for historic copies of the title registers and title plans via the portal</w:t>
            </w:r>
            <w:r w:rsidR="00681D87" w:rsidRPr="006A0789">
              <w:rPr>
                <w:rFonts w:ascii="Calibri" w:hAnsi="Calibri"/>
                <w:sz w:val="22"/>
              </w:rPr>
              <w:t xml:space="preserve"> and</w:t>
            </w:r>
            <w:r w:rsidR="00896761" w:rsidRPr="006A0789">
              <w:rPr>
                <w:rFonts w:ascii="Calibri" w:hAnsi="Calibri"/>
                <w:sz w:val="22"/>
              </w:rPr>
              <w:t xml:space="preserve"> </w:t>
            </w:r>
            <w:r w:rsidRPr="006A0789">
              <w:rPr>
                <w:rFonts w:ascii="Calibri" w:hAnsi="Calibri"/>
                <w:sz w:val="22"/>
              </w:rPr>
              <w:t xml:space="preserve">for some customers to lodge </w:t>
            </w:r>
            <w:r w:rsidR="007F36E5" w:rsidRPr="006A0789">
              <w:rPr>
                <w:rFonts w:ascii="Calibri" w:hAnsi="Calibri"/>
                <w:sz w:val="22"/>
              </w:rPr>
              <w:t xml:space="preserve">large scale </w:t>
            </w:r>
            <w:r w:rsidR="008A3BCE">
              <w:rPr>
                <w:rFonts w:ascii="Calibri" w:hAnsi="Calibri"/>
                <w:sz w:val="22"/>
              </w:rPr>
              <w:t xml:space="preserve">voluntary </w:t>
            </w:r>
            <w:r w:rsidR="007F36E5" w:rsidRPr="006A0789">
              <w:rPr>
                <w:rFonts w:ascii="Calibri" w:hAnsi="Calibri"/>
                <w:sz w:val="22"/>
              </w:rPr>
              <w:t>f</w:t>
            </w:r>
            <w:r w:rsidRPr="006A0789">
              <w:rPr>
                <w:rFonts w:ascii="Calibri" w:hAnsi="Calibri"/>
                <w:sz w:val="22"/>
              </w:rPr>
              <w:t>irst registration applications electronically</w:t>
            </w:r>
            <w:r w:rsidR="00681D87" w:rsidRPr="006A0789">
              <w:rPr>
                <w:rFonts w:ascii="Calibri" w:hAnsi="Calibri"/>
                <w:sz w:val="22"/>
              </w:rPr>
              <w:t xml:space="preserve">. </w:t>
            </w:r>
          </w:p>
          <w:p w14:paraId="0FE060CF" w14:textId="77777777" w:rsidR="006B3BF8" w:rsidRPr="006A0789" w:rsidRDefault="00681D87" w:rsidP="006B3BF8">
            <w:pPr>
              <w:pStyle w:val="ListParagraph"/>
              <w:numPr>
                <w:ilvl w:val="0"/>
                <w:numId w:val="21"/>
              </w:numPr>
              <w:spacing w:after="0" w:line="240" w:lineRule="auto"/>
              <w:rPr>
                <w:rFonts w:ascii="Calibri" w:hAnsi="Calibri"/>
                <w:sz w:val="22"/>
              </w:rPr>
            </w:pPr>
            <w:r w:rsidRPr="006A0789">
              <w:rPr>
                <w:rFonts w:ascii="Calibri" w:hAnsi="Calibri"/>
                <w:sz w:val="22"/>
              </w:rPr>
              <w:t>I</w:t>
            </w:r>
            <w:r w:rsidR="009759D0" w:rsidRPr="006A0789">
              <w:rPr>
                <w:rFonts w:ascii="Calibri" w:hAnsi="Calibri"/>
                <w:sz w:val="22"/>
              </w:rPr>
              <w:t>mprov</w:t>
            </w:r>
            <w:r w:rsidRPr="006A0789">
              <w:rPr>
                <w:rFonts w:ascii="Calibri" w:hAnsi="Calibri"/>
                <w:sz w:val="22"/>
              </w:rPr>
              <w:t>ed</w:t>
            </w:r>
            <w:r w:rsidR="006B3BF8" w:rsidRPr="006A0789">
              <w:rPr>
                <w:rFonts w:ascii="Calibri" w:hAnsi="Calibri"/>
                <w:sz w:val="22"/>
              </w:rPr>
              <w:t xml:space="preserve"> the functionality of its existing Application Enquiry Service which business customers use to check details of any application.</w:t>
            </w:r>
          </w:p>
          <w:p w14:paraId="2DEE96E1" w14:textId="77777777" w:rsidR="004F06FF" w:rsidRDefault="006B3BF8" w:rsidP="00896761">
            <w:pPr>
              <w:pStyle w:val="ListParagraph"/>
              <w:numPr>
                <w:ilvl w:val="0"/>
                <w:numId w:val="21"/>
              </w:numPr>
              <w:spacing w:after="0" w:line="240" w:lineRule="auto"/>
              <w:rPr>
                <w:rFonts w:ascii="Calibri" w:hAnsi="Calibri"/>
                <w:sz w:val="22"/>
              </w:rPr>
            </w:pPr>
            <w:r>
              <w:rPr>
                <w:rFonts w:ascii="Calibri" w:hAnsi="Calibri"/>
                <w:sz w:val="22"/>
              </w:rPr>
              <w:lastRenderedPageBreak/>
              <w:t>U</w:t>
            </w:r>
            <w:r w:rsidR="00583748">
              <w:rPr>
                <w:rFonts w:ascii="Calibri" w:hAnsi="Calibri"/>
                <w:sz w:val="22"/>
              </w:rPr>
              <w:t>ndertaken</w:t>
            </w:r>
            <w:r w:rsidR="004F06FF">
              <w:rPr>
                <w:rFonts w:ascii="Calibri" w:hAnsi="Calibri"/>
                <w:sz w:val="22"/>
              </w:rPr>
              <w:t xml:space="preserve"> </w:t>
            </w:r>
            <w:r w:rsidR="00896761">
              <w:rPr>
                <w:rFonts w:ascii="Calibri" w:hAnsi="Calibri"/>
                <w:sz w:val="22"/>
              </w:rPr>
              <w:t xml:space="preserve">activity related to policy development </w:t>
            </w:r>
            <w:r w:rsidR="00681D87">
              <w:rPr>
                <w:rFonts w:ascii="Calibri" w:hAnsi="Calibri"/>
                <w:sz w:val="22"/>
              </w:rPr>
              <w:t>including</w:t>
            </w:r>
            <w:r w:rsidR="004F06FF">
              <w:rPr>
                <w:rFonts w:ascii="Calibri" w:hAnsi="Calibri"/>
                <w:sz w:val="22"/>
              </w:rPr>
              <w:t>:</w:t>
            </w:r>
          </w:p>
          <w:p w14:paraId="351EF9A0" w14:textId="77777777" w:rsidR="004F06FF" w:rsidRDefault="00C40257" w:rsidP="00985B4B">
            <w:pPr>
              <w:pStyle w:val="ListParagraph"/>
              <w:numPr>
                <w:ilvl w:val="0"/>
                <w:numId w:val="25"/>
              </w:numPr>
              <w:spacing w:after="0" w:line="240" w:lineRule="auto"/>
              <w:rPr>
                <w:rFonts w:ascii="Calibri" w:hAnsi="Calibri"/>
                <w:sz w:val="22"/>
              </w:rPr>
            </w:pPr>
            <w:r>
              <w:rPr>
                <w:rFonts w:ascii="Calibri" w:hAnsi="Calibri"/>
                <w:sz w:val="22"/>
              </w:rPr>
              <w:t>looking at</w:t>
            </w:r>
            <w:r w:rsidR="00896761">
              <w:rPr>
                <w:rFonts w:ascii="Calibri" w:hAnsi="Calibri"/>
                <w:sz w:val="22"/>
              </w:rPr>
              <w:t xml:space="preserve"> widen</w:t>
            </w:r>
            <w:r>
              <w:rPr>
                <w:rFonts w:ascii="Calibri" w:hAnsi="Calibri"/>
                <w:sz w:val="22"/>
              </w:rPr>
              <w:t>ing</w:t>
            </w:r>
            <w:r w:rsidR="00896761">
              <w:rPr>
                <w:rFonts w:ascii="Calibri" w:hAnsi="Calibri"/>
                <w:sz w:val="22"/>
              </w:rPr>
              <w:t xml:space="preserve"> </w:t>
            </w:r>
            <w:r w:rsidR="004F06FF">
              <w:rPr>
                <w:rFonts w:ascii="Calibri" w:hAnsi="Calibri"/>
                <w:sz w:val="22"/>
              </w:rPr>
              <w:t>the rejection criteria for applications to create new freehold or leasehold titles</w:t>
            </w:r>
            <w:r w:rsidR="003671C3">
              <w:rPr>
                <w:rFonts w:ascii="Calibri" w:hAnsi="Calibri"/>
                <w:sz w:val="22"/>
              </w:rPr>
              <w:t xml:space="preserve"> (first registrations)</w:t>
            </w:r>
            <w:r w:rsidR="004F06FF">
              <w:rPr>
                <w:rFonts w:ascii="Calibri" w:hAnsi="Calibri"/>
                <w:sz w:val="22"/>
              </w:rPr>
              <w:t>.</w:t>
            </w:r>
          </w:p>
          <w:p w14:paraId="005B3856" w14:textId="5532ED73" w:rsidR="004F06FF" w:rsidRPr="004F06FF" w:rsidRDefault="00C40257" w:rsidP="006B3BF8">
            <w:pPr>
              <w:pStyle w:val="ListParagraph"/>
              <w:numPr>
                <w:ilvl w:val="0"/>
                <w:numId w:val="25"/>
              </w:numPr>
              <w:spacing w:after="0" w:line="240" w:lineRule="auto"/>
              <w:rPr>
                <w:rFonts w:ascii="Calibri" w:hAnsi="Calibri"/>
                <w:sz w:val="22"/>
              </w:rPr>
            </w:pPr>
            <w:r>
              <w:rPr>
                <w:rFonts w:ascii="Calibri" w:hAnsi="Calibri"/>
                <w:sz w:val="22"/>
              </w:rPr>
              <w:t xml:space="preserve">reviewing its </w:t>
            </w:r>
            <w:r w:rsidR="004F06FF" w:rsidRPr="004F06FF">
              <w:rPr>
                <w:rFonts w:ascii="Calibri" w:hAnsi="Calibri"/>
                <w:sz w:val="22"/>
              </w:rPr>
              <w:t xml:space="preserve">policy and processing methods on management company restrictions. In conjunction with </w:t>
            </w:r>
            <w:r w:rsidR="00A85797">
              <w:rPr>
                <w:rFonts w:ascii="Calibri" w:hAnsi="Calibri"/>
                <w:sz w:val="22"/>
              </w:rPr>
              <w:t>t</w:t>
            </w:r>
            <w:r w:rsidR="004F06FF" w:rsidRPr="004F06FF">
              <w:rPr>
                <w:rFonts w:ascii="Calibri" w:hAnsi="Calibri"/>
                <w:sz w:val="22"/>
              </w:rPr>
              <w:t xml:space="preserve">he Conveyancing Association and the Law Society, </w:t>
            </w:r>
            <w:r w:rsidR="00CC2B95">
              <w:rPr>
                <w:rFonts w:ascii="Calibri" w:hAnsi="Calibri"/>
                <w:sz w:val="22"/>
              </w:rPr>
              <w:t>HM Land Registry</w:t>
            </w:r>
            <w:r w:rsidR="00CC2B95" w:rsidRPr="004F06FF">
              <w:rPr>
                <w:rFonts w:ascii="Calibri" w:hAnsi="Calibri"/>
                <w:sz w:val="22"/>
              </w:rPr>
              <w:t xml:space="preserve"> </w:t>
            </w:r>
            <w:r w:rsidR="004F06FF" w:rsidRPr="004F06FF">
              <w:rPr>
                <w:rFonts w:ascii="Calibri" w:hAnsi="Calibri"/>
                <w:sz w:val="22"/>
              </w:rPr>
              <w:t>launched a survey as part of an informal consultation to gather views on landlord</w:t>
            </w:r>
            <w:r w:rsidR="00D22CFB">
              <w:rPr>
                <w:rFonts w:ascii="Calibri" w:hAnsi="Calibri"/>
                <w:sz w:val="22"/>
              </w:rPr>
              <w:t xml:space="preserve"> and</w:t>
            </w:r>
            <w:r w:rsidR="004F06FF" w:rsidRPr="004F06FF">
              <w:rPr>
                <w:rFonts w:ascii="Calibri" w:hAnsi="Calibri"/>
                <w:sz w:val="22"/>
              </w:rPr>
              <w:t>/</w:t>
            </w:r>
            <w:r w:rsidR="00D22CFB">
              <w:rPr>
                <w:rFonts w:ascii="Calibri" w:hAnsi="Calibri"/>
                <w:sz w:val="22"/>
              </w:rPr>
              <w:t xml:space="preserve">or </w:t>
            </w:r>
            <w:r w:rsidR="004F06FF" w:rsidRPr="004F06FF">
              <w:rPr>
                <w:rFonts w:ascii="Calibri" w:hAnsi="Calibri"/>
                <w:sz w:val="22"/>
              </w:rPr>
              <w:t>management company restrictions used to enforce covenants in leases.</w:t>
            </w:r>
          </w:p>
          <w:p w14:paraId="468CDA1D" w14:textId="5F474D76" w:rsidR="004F06FF" w:rsidRPr="004F06FF" w:rsidRDefault="00096D83" w:rsidP="006B3BF8">
            <w:pPr>
              <w:pStyle w:val="ListParagraph"/>
              <w:numPr>
                <w:ilvl w:val="0"/>
                <w:numId w:val="25"/>
              </w:numPr>
              <w:spacing w:after="0" w:line="240" w:lineRule="auto"/>
              <w:rPr>
                <w:rFonts w:ascii="Calibri" w:hAnsi="Calibri"/>
                <w:sz w:val="22"/>
              </w:rPr>
            </w:pPr>
            <w:r>
              <w:rPr>
                <w:rFonts w:ascii="Calibri" w:hAnsi="Calibri"/>
                <w:sz w:val="22"/>
              </w:rPr>
              <w:t>l</w:t>
            </w:r>
            <w:r w:rsidR="005431A6">
              <w:rPr>
                <w:rFonts w:ascii="Calibri" w:hAnsi="Calibri"/>
                <w:sz w:val="22"/>
              </w:rPr>
              <w:t xml:space="preserve">ooking at </w:t>
            </w:r>
            <w:r w:rsidR="004F06FF" w:rsidRPr="007E5A15">
              <w:rPr>
                <w:rFonts w:ascii="Calibri" w:hAnsi="Calibri"/>
                <w:sz w:val="22"/>
              </w:rPr>
              <w:t>changes in the way in which surrender and re-grant applications which extend the term</w:t>
            </w:r>
            <w:r w:rsidR="00D22CFB">
              <w:rPr>
                <w:rFonts w:ascii="Calibri" w:hAnsi="Calibri"/>
                <w:sz w:val="22"/>
              </w:rPr>
              <w:t xml:space="preserve"> and</w:t>
            </w:r>
            <w:r w:rsidR="004F06FF" w:rsidRPr="007E5A15">
              <w:rPr>
                <w:rFonts w:ascii="Calibri" w:hAnsi="Calibri"/>
                <w:sz w:val="22"/>
              </w:rPr>
              <w:t>/</w:t>
            </w:r>
            <w:r w:rsidR="00D22CFB">
              <w:rPr>
                <w:rFonts w:ascii="Calibri" w:hAnsi="Calibri"/>
                <w:sz w:val="22"/>
              </w:rPr>
              <w:t xml:space="preserve">or </w:t>
            </w:r>
            <w:r w:rsidR="004F06FF" w:rsidRPr="007E5A15">
              <w:rPr>
                <w:rFonts w:ascii="Calibri" w:hAnsi="Calibri"/>
                <w:sz w:val="22"/>
              </w:rPr>
              <w:t xml:space="preserve">extent of a leasehold interest in a property </w:t>
            </w:r>
            <w:r w:rsidR="00D22CFB">
              <w:rPr>
                <w:rFonts w:ascii="Calibri" w:hAnsi="Calibri"/>
                <w:sz w:val="22"/>
              </w:rPr>
              <w:t xml:space="preserve">are </w:t>
            </w:r>
            <w:r w:rsidR="004F06FF" w:rsidRPr="007E5A15">
              <w:rPr>
                <w:rFonts w:ascii="Calibri" w:hAnsi="Calibri"/>
                <w:sz w:val="22"/>
              </w:rPr>
              <w:t xml:space="preserve">processed.  </w:t>
            </w:r>
          </w:p>
          <w:p w14:paraId="24985E15" w14:textId="77777777" w:rsidR="006A0789" w:rsidRDefault="00C40257" w:rsidP="000A090E">
            <w:pPr>
              <w:pStyle w:val="ListParagraph"/>
              <w:numPr>
                <w:ilvl w:val="0"/>
                <w:numId w:val="21"/>
              </w:numPr>
              <w:spacing w:after="0" w:line="240" w:lineRule="auto"/>
              <w:rPr>
                <w:rFonts w:ascii="Calibri" w:hAnsi="Calibri"/>
                <w:sz w:val="22"/>
              </w:rPr>
            </w:pPr>
            <w:r w:rsidRPr="00577341">
              <w:rPr>
                <w:rFonts w:ascii="Calibri" w:hAnsi="Calibri"/>
                <w:sz w:val="22"/>
              </w:rPr>
              <w:t>Made</w:t>
            </w:r>
            <w:r w:rsidR="004F06FF" w:rsidRPr="00577341">
              <w:rPr>
                <w:rFonts w:ascii="Calibri" w:hAnsi="Calibri"/>
                <w:sz w:val="22"/>
              </w:rPr>
              <w:t xml:space="preserve"> </w:t>
            </w:r>
            <w:r w:rsidRPr="00577341">
              <w:rPr>
                <w:rFonts w:ascii="Calibri" w:hAnsi="Calibri"/>
                <w:sz w:val="22"/>
              </w:rPr>
              <w:t>over 130 updates to its practice guides to reflect changes in the law, practice, processing and to further clarify requirements to support customers in making applications</w:t>
            </w:r>
            <w:r w:rsidR="00577341" w:rsidRPr="00577341">
              <w:rPr>
                <w:rFonts w:ascii="Calibri" w:hAnsi="Calibri"/>
                <w:sz w:val="22"/>
              </w:rPr>
              <w:t>.</w:t>
            </w:r>
            <w:r w:rsidR="006E0AE7" w:rsidRPr="00577341">
              <w:rPr>
                <w:rFonts w:ascii="Calibri" w:hAnsi="Calibri"/>
                <w:sz w:val="22"/>
              </w:rPr>
              <w:t xml:space="preserve"> </w:t>
            </w:r>
            <w:r w:rsidR="005431A6" w:rsidRPr="00577341">
              <w:rPr>
                <w:rFonts w:ascii="Calibri" w:hAnsi="Calibri"/>
                <w:sz w:val="22"/>
              </w:rPr>
              <w:t xml:space="preserve">Also introduced </w:t>
            </w:r>
            <w:r w:rsidR="006E0AE7" w:rsidRPr="00577341">
              <w:rPr>
                <w:rFonts w:ascii="Calibri" w:hAnsi="Calibri"/>
                <w:sz w:val="22"/>
              </w:rPr>
              <w:t>a new guide on overseas companies and limited liability partnerships</w:t>
            </w:r>
            <w:r w:rsidR="003671C3">
              <w:rPr>
                <w:rFonts w:ascii="Calibri" w:hAnsi="Calibri"/>
                <w:sz w:val="22"/>
              </w:rPr>
              <w:t xml:space="preserve"> and developed jointly with the Law Society new advice to help solicitors spot ever-evolving threats of fraud</w:t>
            </w:r>
            <w:r w:rsidR="00CA72FE" w:rsidRPr="00577341">
              <w:rPr>
                <w:rFonts w:ascii="Calibri" w:hAnsi="Calibri"/>
                <w:sz w:val="22"/>
              </w:rPr>
              <w:t>.</w:t>
            </w:r>
            <w:r w:rsidR="00577341" w:rsidRPr="00577341">
              <w:rPr>
                <w:rFonts w:ascii="Calibri" w:hAnsi="Calibri"/>
                <w:sz w:val="22"/>
              </w:rPr>
              <w:t xml:space="preserve"> </w:t>
            </w:r>
          </w:p>
          <w:p w14:paraId="045E21CD" w14:textId="77777777" w:rsidR="00A85797" w:rsidRDefault="00A85797" w:rsidP="009F3F9F">
            <w:pPr>
              <w:spacing w:after="0" w:line="240" w:lineRule="auto"/>
              <w:rPr>
                <w:rFonts w:ascii="Calibri" w:hAnsi="Calibri"/>
                <w:sz w:val="22"/>
              </w:rPr>
            </w:pPr>
          </w:p>
          <w:p w14:paraId="2A43649B" w14:textId="77777777" w:rsidR="007E5A15" w:rsidRPr="009F3F9F" w:rsidRDefault="00CC2B95" w:rsidP="009F3F9F">
            <w:pPr>
              <w:spacing w:after="0" w:line="240" w:lineRule="auto"/>
              <w:rPr>
                <w:rFonts w:ascii="Calibri" w:hAnsi="Calibri"/>
                <w:sz w:val="22"/>
              </w:rPr>
            </w:pPr>
            <w:r>
              <w:rPr>
                <w:rFonts w:ascii="Calibri" w:hAnsi="Calibri"/>
                <w:sz w:val="22"/>
              </w:rPr>
              <w:t>HM Land Registry</w:t>
            </w:r>
            <w:r w:rsidRPr="009F3F9F">
              <w:rPr>
                <w:rFonts w:ascii="Calibri" w:hAnsi="Calibri"/>
                <w:sz w:val="22"/>
              </w:rPr>
              <w:t xml:space="preserve"> </w:t>
            </w:r>
            <w:r w:rsidR="009F3F9F" w:rsidRPr="009F3F9F">
              <w:rPr>
                <w:rFonts w:ascii="Calibri" w:hAnsi="Calibri"/>
                <w:sz w:val="22"/>
              </w:rPr>
              <w:t xml:space="preserve">has </w:t>
            </w:r>
            <w:r w:rsidR="00244B4C">
              <w:rPr>
                <w:rFonts w:ascii="Calibri" w:hAnsi="Calibri"/>
                <w:sz w:val="22"/>
              </w:rPr>
              <w:t xml:space="preserve">also </w:t>
            </w:r>
            <w:r w:rsidR="007E5A15" w:rsidRPr="009F3F9F">
              <w:rPr>
                <w:rFonts w:ascii="Calibri" w:hAnsi="Calibri"/>
                <w:sz w:val="22"/>
              </w:rPr>
              <w:t>undert</w:t>
            </w:r>
            <w:r w:rsidR="00577341">
              <w:rPr>
                <w:rFonts w:ascii="Calibri" w:hAnsi="Calibri"/>
                <w:sz w:val="22"/>
              </w:rPr>
              <w:t>aken</w:t>
            </w:r>
            <w:r w:rsidR="007E5A15" w:rsidRPr="009F3F9F">
              <w:rPr>
                <w:rFonts w:ascii="Calibri" w:hAnsi="Calibri"/>
                <w:sz w:val="22"/>
              </w:rPr>
              <w:t xml:space="preserve"> some internal organisational reform which resulted in:</w:t>
            </w:r>
          </w:p>
          <w:p w14:paraId="76774B72" w14:textId="77777777" w:rsidR="007E5A15" w:rsidRPr="00244B4C" w:rsidRDefault="007E5A15" w:rsidP="00244B4C">
            <w:pPr>
              <w:pStyle w:val="ListParagraph"/>
              <w:numPr>
                <w:ilvl w:val="0"/>
                <w:numId w:val="26"/>
              </w:numPr>
              <w:spacing w:after="0" w:line="240" w:lineRule="auto"/>
              <w:rPr>
                <w:rFonts w:ascii="Calibri" w:hAnsi="Calibri"/>
                <w:sz w:val="22"/>
              </w:rPr>
            </w:pPr>
            <w:r w:rsidRPr="00244B4C">
              <w:rPr>
                <w:rFonts w:ascii="Calibri" w:hAnsi="Calibri"/>
                <w:sz w:val="22"/>
              </w:rPr>
              <w:t xml:space="preserve">All Historical Copy </w:t>
            </w:r>
            <w:r w:rsidR="00577341" w:rsidRPr="00244B4C">
              <w:rPr>
                <w:rFonts w:ascii="Calibri" w:hAnsi="Calibri"/>
                <w:sz w:val="22"/>
              </w:rPr>
              <w:t>a</w:t>
            </w:r>
            <w:r w:rsidRPr="00244B4C">
              <w:rPr>
                <w:rFonts w:ascii="Calibri" w:hAnsi="Calibri"/>
                <w:sz w:val="22"/>
              </w:rPr>
              <w:t xml:space="preserve">pplications to be sent to the Durham Office. </w:t>
            </w:r>
          </w:p>
          <w:p w14:paraId="59965D02" w14:textId="77777777" w:rsidR="009B6838" w:rsidRPr="00244B4C" w:rsidRDefault="007E5A15" w:rsidP="00244B4C">
            <w:pPr>
              <w:pStyle w:val="ListParagraph"/>
              <w:numPr>
                <w:ilvl w:val="0"/>
                <w:numId w:val="26"/>
              </w:numPr>
              <w:spacing w:after="0" w:line="240" w:lineRule="auto"/>
              <w:rPr>
                <w:rFonts w:ascii="Calibri" w:hAnsi="Calibri"/>
                <w:sz w:val="22"/>
              </w:rPr>
            </w:pPr>
            <w:r w:rsidRPr="00244B4C">
              <w:rPr>
                <w:rFonts w:ascii="Calibri" w:hAnsi="Calibri"/>
                <w:sz w:val="22"/>
              </w:rPr>
              <w:t xml:space="preserve">All customer requests now being handled by the Customer Support Centre. There is no longer the option to be allocated </w:t>
            </w:r>
            <w:r w:rsidR="009B6838" w:rsidRPr="00244B4C">
              <w:rPr>
                <w:rFonts w:ascii="Calibri" w:hAnsi="Calibri"/>
                <w:sz w:val="22"/>
              </w:rPr>
              <w:t xml:space="preserve">  </w:t>
            </w:r>
          </w:p>
          <w:p w14:paraId="787AF4A8" w14:textId="77777777" w:rsidR="007E5A15" w:rsidRPr="00244B4C" w:rsidRDefault="007E5A15" w:rsidP="008A3BCE">
            <w:pPr>
              <w:pStyle w:val="ListParagraph"/>
              <w:spacing w:after="0" w:line="240" w:lineRule="auto"/>
              <w:ind w:left="360"/>
              <w:rPr>
                <w:rFonts w:ascii="Calibri" w:hAnsi="Calibri"/>
                <w:sz w:val="22"/>
              </w:rPr>
            </w:pPr>
            <w:r w:rsidRPr="00244B4C">
              <w:rPr>
                <w:rFonts w:ascii="Calibri" w:hAnsi="Calibri"/>
                <w:sz w:val="22"/>
              </w:rPr>
              <w:t>to a customer team.</w:t>
            </w:r>
          </w:p>
          <w:p w14:paraId="2008D68E" w14:textId="77777777" w:rsidR="007E5A15" w:rsidRPr="00244B4C" w:rsidRDefault="007E5A15" w:rsidP="00244B4C">
            <w:pPr>
              <w:pStyle w:val="ListParagraph"/>
              <w:numPr>
                <w:ilvl w:val="0"/>
                <w:numId w:val="26"/>
              </w:numPr>
              <w:spacing w:after="0" w:line="240" w:lineRule="auto"/>
              <w:rPr>
                <w:rFonts w:ascii="Calibri" w:hAnsi="Calibri"/>
                <w:sz w:val="22"/>
              </w:rPr>
            </w:pPr>
            <w:r w:rsidRPr="00244B4C">
              <w:rPr>
                <w:rFonts w:ascii="Calibri" w:hAnsi="Calibri"/>
                <w:sz w:val="22"/>
              </w:rPr>
              <w:t>The call handling improvement project aimed at improving customer service.</w:t>
            </w:r>
          </w:p>
          <w:p w14:paraId="0E1BD371" w14:textId="77777777" w:rsidR="00F85DB5" w:rsidRPr="00244B4C" w:rsidRDefault="00CC2B95" w:rsidP="00244B4C">
            <w:pPr>
              <w:pStyle w:val="ListParagraph"/>
              <w:numPr>
                <w:ilvl w:val="0"/>
                <w:numId w:val="26"/>
              </w:numPr>
              <w:spacing w:after="0" w:line="240" w:lineRule="auto"/>
              <w:rPr>
                <w:rFonts w:ascii="Calibri" w:hAnsi="Calibri"/>
                <w:sz w:val="22"/>
              </w:rPr>
            </w:pPr>
            <w:r>
              <w:rPr>
                <w:rFonts w:ascii="Calibri" w:hAnsi="Calibri"/>
                <w:sz w:val="22"/>
              </w:rPr>
              <w:t>HM Land Registry</w:t>
            </w:r>
            <w:r w:rsidR="00F85DB5" w:rsidRPr="00244B4C">
              <w:rPr>
                <w:rFonts w:ascii="Calibri" w:hAnsi="Calibri"/>
                <w:sz w:val="22"/>
              </w:rPr>
              <w:t xml:space="preserve"> being able to send the results of some first registration applications online.</w:t>
            </w:r>
          </w:p>
          <w:p w14:paraId="5C8B3EF6" w14:textId="77777777" w:rsidR="006A0789" w:rsidRDefault="006A0789" w:rsidP="006A0789">
            <w:pPr>
              <w:spacing w:after="0" w:line="240" w:lineRule="auto"/>
              <w:rPr>
                <w:rFonts w:ascii="Calibri" w:hAnsi="Calibri"/>
                <w:sz w:val="22"/>
              </w:rPr>
            </w:pPr>
          </w:p>
          <w:p w14:paraId="64FB43F3" w14:textId="77777777" w:rsidR="00B07A5D" w:rsidRDefault="00CC2B95" w:rsidP="006A0789">
            <w:pPr>
              <w:spacing w:after="0" w:line="240" w:lineRule="auto"/>
              <w:rPr>
                <w:rFonts w:ascii="Calibri" w:hAnsi="Calibri"/>
                <w:sz w:val="22"/>
              </w:rPr>
            </w:pPr>
            <w:r>
              <w:rPr>
                <w:rFonts w:ascii="Calibri" w:hAnsi="Calibri"/>
                <w:sz w:val="22"/>
              </w:rPr>
              <w:t xml:space="preserve">HM Land Registry </w:t>
            </w:r>
            <w:r w:rsidR="006A0789">
              <w:rPr>
                <w:rFonts w:ascii="Calibri" w:hAnsi="Calibri"/>
                <w:sz w:val="22"/>
              </w:rPr>
              <w:t xml:space="preserve">has </w:t>
            </w:r>
            <w:r w:rsidR="006A0789" w:rsidRPr="006A0789">
              <w:rPr>
                <w:rFonts w:ascii="Calibri" w:hAnsi="Calibri"/>
                <w:sz w:val="22"/>
              </w:rPr>
              <w:t xml:space="preserve">published news articles and revised other material in support of </w:t>
            </w:r>
            <w:r w:rsidR="00672F5F">
              <w:rPr>
                <w:rFonts w:ascii="Calibri" w:hAnsi="Calibri"/>
                <w:sz w:val="22"/>
              </w:rPr>
              <w:t xml:space="preserve">the </w:t>
            </w:r>
            <w:r w:rsidR="006A0789" w:rsidRPr="006A0789">
              <w:rPr>
                <w:rFonts w:ascii="Calibri" w:hAnsi="Calibri"/>
                <w:sz w:val="22"/>
              </w:rPr>
              <w:t>changes</w:t>
            </w:r>
            <w:r w:rsidR="006A0789">
              <w:rPr>
                <w:rFonts w:ascii="Calibri" w:hAnsi="Calibri"/>
                <w:sz w:val="22"/>
              </w:rPr>
              <w:t xml:space="preserve"> and recently </w:t>
            </w:r>
            <w:r w:rsidR="00B07A5D">
              <w:rPr>
                <w:rFonts w:ascii="Calibri" w:hAnsi="Calibri"/>
                <w:sz w:val="22"/>
              </w:rPr>
              <w:t xml:space="preserve">amended their forms to sign post external customers to its Personal Information Charter that was updated to comply with the </w:t>
            </w:r>
            <w:r w:rsidR="00804026">
              <w:rPr>
                <w:rFonts w:ascii="Calibri" w:hAnsi="Calibri"/>
                <w:sz w:val="22"/>
              </w:rPr>
              <w:t xml:space="preserve">General </w:t>
            </w:r>
            <w:r w:rsidR="00B07A5D">
              <w:rPr>
                <w:rFonts w:ascii="Calibri" w:hAnsi="Calibri"/>
                <w:sz w:val="22"/>
              </w:rPr>
              <w:t xml:space="preserve">Data Protection Regulation. </w:t>
            </w:r>
            <w:bookmarkEnd w:id="1"/>
          </w:p>
        </w:tc>
      </w:tr>
      <w:tr w:rsidR="00C202E1" w14:paraId="0060D92F" w14:textId="77777777" w:rsidTr="00E97ABE">
        <w:tc>
          <w:tcPr>
            <w:tcW w:w="2411" w:type="dxa"/>
            <w:tcBorders>
              <w:top w:val="single" w:sz="4" w:space="0" w:color="auto"/>
              <w:left w:val="single" w:sz="4" w:space="0" w:color="auto"/>
              <w:bottom w:val="single" w:sz="4" w:space="0" w:color="auto"/>
              <w:right w:val="single" w:sz="4" w:space="0" w:color="auto"/>
            </w:tcBorders>
          </w:tcPr>
          <w:p w14:paraId="23F778A5" w14:textId="55FAD181" w:rsidR="00C202E1" w:rsidRDefault="00C202E1">
            <w:pPr>
              <w:spacing w:after="0" w:line="240" w:lineRule="auto"/>
              <w:rPr>
                <w:rFonts w:ascii="Calibri" w:hAnsi="Calibri"/>
                <w:sz w:val="22"/>
              </w:rPr>
            </w:pPr>
            <w:r>
              <w:rPr>
                <w:rFonts w:ascii="Calibri" w:hAnsi="Calibri"/>
                <w:sz w:val="22"/>
              </w:rPr>
              <w:lastRenderedPageBreak/>
              <w:t>All other excluded categories</w:t>
            </w:r>
          </w:p>
        </w:tc>
        <w:tc>
          <w:tcPr>
            <w:tcW w:w="11765" w:type="dxa"/>
            <w:tcBorders>
              <w:top w:val="single" w:sz="4" w:space="0" w:color="auto"/>
              <w:left w:val="single" w:sz="4" w:space="0" w:color="auto"/>
              <w:bottom w:val="single" w:sz="4" w:space="0" w:color="auto"/>
              <w:right w:val="single" w:sz="4" w:space="0" w:color="auto"/>
            </w:tcBorders>
          </w:tcPr>
          <w:p w14:paraId="67DC100E" w14:textId="10944663" w:rsidR="00C202E1" w:rsidRDefault="00C202E1" w:rsidP="007E5A15">
            <w:pPr>
              <w:spacing w:after="0" w:line="240" w:lineRule="auto"/>
              <w:rPr>
                <w:rFonts w:ascii="Calibri" w:hAnsi="Calibri"/>
                <w:sz w:val="22"/>
              </w:rPr>
            </w:pPr>
            <w:r w:rsidRPr="00C202E1">
              <w:rPr>
                <w:rFonts w:ascii="Calibri" w:hAnsi="Calibri"/>
                <w:sz w:val="22"/>
              </w:rPr>
              <w:t>Following consideration of the other exclusion categories there are no measures for the reporting period that qualify for the exclusions</w:t>
            </w:r>
            <w:r w:rsidR="003C1766">
              <w:rPr>
                <w:rFonts w:ascii="Calibri" w:hAnsi="Calibri"/>
                <w:sz w:val="22"/>
              </w:rPr>
              <w:t>.</w:t>
            </w:r>
          </w:p>
        </w:tc>
      </w:tr>
    </w:tbl>
    <w:p w14:paraId="1393F6A6" w14:textId="77777777" w:rsidR="005C3F3E" w:rsidRDefault="005C3F3E"/>
    <w:sectPr w:rsidR="005C3F3E" w:rsidSect="00F2243C">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7251" w14:textId="77777777" w:rsidR="00AE3F06" w:rsidRDefault="00AE3F06" w:rsidP="00D21385">
      <w:pPr>
        <w:spacing w:after="0" w:line="240" w:lineRule="auto"/>
      </w:pPr>
      <w:r>
        <w:separator/>
      </w:r>
    </w:p>
  </w:endnote>
  <w:endnote w:type="continuationSeparator" w:id="0">
    <w:p w14:paraId="392C1229" w14:textId="77777777" w:rsidR="00AE3F06" w:rsidRDefault="00AE3F06" w:rsidP="00D2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C4B6" w14:textId="77777777" w:rsidR="00AE3F06" w:rsidRDefault="00AE3F06" w:rsidP="00D21385">
      <w:pPr>
        <w:spacing w:after="0" w:line="240" w:lineRule="auto"/>
      </w:pPr>
      <w:r>
        <w:separator/>
      </w:r>
    </w:p>
  </w:footnote>
  <w:footnote w:type="continuationSeparator" w:id="0">
    <w:p w14:paraId="21DAD2E9" w14:textId="77777777" w:rsidR="00AE3F06" w:rsidRDefault="00AE3F06" w:rsidP="00D2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AAB"/>
    <w:multiLevelType w:val="hybridMultilevel"/>
    <w:tmpl w:val="6C9885CE"/>
    <w:lvl w:ilvl="0" w:tplc="A2B0DCC2">
      <w:start w:val="40"/>
      <w:numFmt w:val="bullet"/>
      <w:lvlText w:val="-"/>
      <w:lvlJc w:val="left"/>
      <w:pPr>
        <w:ind w:left="816" w:hanging="360"/>
      </w:pPr>
      <w:rPr>
        <w:rFonts w:ascii="Calibri" w:eastAsia="Calibri" w:hAnsi="Calibri" w:cs="Times New Roman"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0AE65218"/>
    <w:multiLevelType w:val="hybridMultilevel"/>
    <w:tmpl w:val="76DC3F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63431"/>
    <w:multiLevelType w:val="hybridMultilevel"/>
    <w:tmpl w:val="F1A631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1CF8"/>
    <w:multiLevelType w:val="hybridMultilevel"/>
    <w:tmpl w:val="2CCA993E"/>
    <w:lvl w:ilvl="0" w:tplc="A2B0DCC2">
      <w:start w:val="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350A7"/>
    <w:multiLevelType w:val="hybridMultilevel"/>
    <w:tmpl w:val="1EA891A8"/>
    <w:lvl w:ilvl="0" w:tplc="9280B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436C8"/>
    <w:multiLevelType w:val="hybridMultilevel"/>
    <w:tmpl w:val="9E04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00E5F"/>
    <w:multiLevelType w:val="hybridMultilevel"/>
    <w:tmpl w:val="95F69FDE"/>
    <w:lvl w:ilvl="0" w:tplc="A2B0DCC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1637"/>
    <w:multiLevelType w:val="hybridMultilevel"/>
    <w:tmpl w:val="8A58FD82"/>
    <w:lvl w:ilvl="0" w:tplc="A2B0DCC2">
      <w:start w:val="3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70D9D"/>
    <w:multiLevelType w:val="hybridMultilevel"/>
    <w:tmpl w:val="FE3852FA"/>
    <w:lvl w:ilvl="0" w:tplc="A2B0DCC2">
      <w:start w:val="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14F8C"/>
    <w:multiLevelType w:val="hybridMultilevel"/>
    <w:tmpl w:val="376A6A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6E2B2F"/>
    <w:multiLevelType w:val="hybridMultilevel"/>
    <w:tmpl w:val="9482E8B4"/>
    <w:lvl w:ilvl="0" w:tplc="A2B0DCC2">
      <w:start w:val="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E2AD6"/>
    <w:multiLevelType w:val="hybridMultilevel"/>
    <w:tmpl w:val="374E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FD67D7"/>
    <w:multiLevelType w:val="hybridMultilevel"/>
    <w:tmpl w:val="FDF2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3F82"/>
    <w:multiLevelType w:val="hybridMultilevel"/>
    <w:tmpl w:val="534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24278"/>
    <w:multiLevelType w:val="hybridMultilevel"/>
    <w:tmpl w:val="D3D4F7CC"/>
    <w:lvl w:ilvl="0" w:tplc="7AC42DA8">
      <w:start w:val="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75EE1"/>
    <w:multiLevelType w:val="hybridMultilevel"/>
    <w:tmpl w:val="4D8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90351"/>
    <w:multiLevelType w:val="hybridMultilevel"/>
    <w:tmpl w:val="4388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216DD"/>
    <w:multiLevelType w:val="multilevel"/>
    <w:tmpl w:val="9B34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786889"/>
    <w:multiLevelType w:val="hybridMultilevel"/>
    <w:tmpl w:val="42681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52A7D"/>
    <w:multiLevelType w:val="hybridMultilevel"/>
    <w:tmpl w:val="756E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A069D"/>
    <w:multiLevelType w:val="hybridMultilevel"/>
    <w:tmpl w:val="08B2D09A"/>
    <w:lvl w:ilvl="0" w:tplc="A2B0DCC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F3B1A"/>
    <w:multiLevelType w:val="hybridMultilevel"/>
    <w:tmpl w:val="A6FC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100C1"/>
    <w:multiLevelType w:val="hybridMultilevel"/>
    <w:tmpl w:val="BC0CBD28"/>
    <w:lvl w:ilvl="0" w:tplc="A2B0DCC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B16F1"/>
    <w:multiLevelType w:val="hybridMultilevel"/>
    <w:tmpl w:val="D320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B00C9"/>
    <w:multiLevelType w:val="hybridMultilevel"/>
    <w:tmpl w:val="9C96C0C4"/>
    <w:lvl w:ilvl="0" w:tplc="A2B0DCC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36E34"/>
    <w:multiLevelType w:val="hybridMultilevel"/>
    <w:tmpl w:val="DC566FBA"/>
    <w:lvl w:ilvl="0" w:tplc="A2B0DCC2">
      <w:start w:val="3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B23A0"/>
    <w:multiLevelType w:val="hybridMultilevel"/>
    <w:tmpl w:val="BAD63EEA"/>
    <w:lvl w:ilvl="0" w:tplc="A2B0DCC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0"/>
  </w:num>
  <w:num w:numId="4">
    <w:abstractNumId w:val="0"/>
  </w:num>
  <w:num w:numId="5">
    <w:abstractNumId w:val="7"/>
  </w:num>
  <w:num w:numId="6">
    <w:abstractNumId w:val="25"/>
  </w:num>
  <w:num w:numId="7">
    <w:abstractNumId w:val="20"/>
  </w:num>
  <w:num w:numId="8">
    <w:abstractNumId w:val="8"/>
  </w:num>
  <w:num w:numId="9">
    <w:abstractNumId w:val="3"/>
  </w:num>
  <w:num w:numId="10">
    <w:abstractNumId w:val="13"/>
  </w:num>
  <w:num w:numId="11">
    <w:abstractNumId w:val="5"/>
  </w:num>
  <w:num w:numId="12">
    <w:abstractNumId w:val="6"/>
  </w:num>
  <w:num w:numId="13">
    <w:abstractNumId w:val="26"/>
  </w:num>
  <w:num w:numId="14">
    <w:abstractNumId w:val="22"/>
  </w:num>
  <w:num w:numId="15">
    <w:abstractNumId w:val="24"/>
  </w:num>
  <w:num w:numId="16">
    <w:abstractNumId w:val="16"/>
  </w:num>
  <w:num w:numId="17">
    <w:abstractNumId w:val="21"/>
  </w:num>
  <w:num w:numId="18">
    <w:abstractNumId w:val="17"/>
  </w:num>
  <w:num w:numId="19">
    <w:abstractNumId w:val="19"/>
  </w:num>
  <w:num w:numId="20">
    <w:abstractNumId w:val="15"/>
  </w:num>
  <w:num w:numId="21">
    <w:abstractNumId w:val="18"/>
  </w:num>
  <w:num w:numId="22">
    <w:abstractNumId w:val="9"/>
  </w:num>
  <w:num w:numId="23">
    <w:abstractNumId w:val="1"/>
  </w:num>
  <w:num w:numId="24">
    <w:abstractNumId w:val="12"/>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30"/>
    <w:rsid w:val="0002171F"/>
    <w:rsid w:val="00021D5D"/>
    <w:rsid w:val="00026B09"/>
    <w:rsid w:val="00032B9F"/>
    <w:rsid w:val="000426A2"/>
    <w:rsid w:val="00050567"/>
    <w:rsid w:val="000508DE"/>
    <w:rsid w:val="0005172E"/>
    <w:rsid w:val="000575BE"/>
    <w:rsid w:val="00062964"/>
    <w:rsid w:val="00062F7D"/>
    <w:rsid w:val="000849E8"/>
    <w:rsid w:val="000942E6"/>
    <w:rsid w:val="00096D83"/>
    <w:rsid w:val="000A677B"/>
    <w:rsid w:val="000A699F"/>
    <w:rsid w:val="000B7C23"/>
    <w:rsid w:val="000C3DB7"/>
    <w:rsid w:val="000C4699"/>
    <w:rsid w:val="000D6B8C"/>
    <w:rsid w:val="000F6126"/>
    <w:rsid w:val="00101079"/>
    <w:rsid w:val="00111872"/>
    <w:rsid w:val="001124C8"/>
    <w:rsid w:val="00115C73"/>
    <w:rsid w:val="00131242"/>
    <w:rsid w:val="00132B65"/>
    <w:rsid w:val="001420D9"/>
    <w:rsid w:val="00151DD5"/>
    <w:rsid w:val="00154522"/>
    <w:rsid w:val="0015476E"/>
    <w:rsid w:val="001745D2"/>
    <w:rsid w:val="00181290"/>
    <w:rsid w:val="00182E6A"/>
    <w:rsid w:val="00185D58"/>
    <w:rsid w:val="00191896"/>
    <w:rsid w:val="001940BC"/>
    <w:rsid w:val="001D088B"/>
    <w:rsid w:val="001D0B7B"/>
    <w:rsid w:val="001D54C3"/>
    <w:rsid w:val="001E123C"/>
    <w:rsid w:val="001E3696"/>
    <w:rsid w:val="001E4C3C"/>
    <w:rsid w:val="001F0622"/>
    <w:rsid w:val="002039E2"/>
    <w:rsid w:val="00217AC1"/>
    <w:rsid w:val="00230CD3"/>
    <w:rsid w:val="002353E5"/>
    <w:rsid w:val="00244B4C"/>
    <w:rsid w:val="00250DF3"/>
    <w:rsid w:val="00253C81"/>
    <w:rsid w:val="00260E15"/>
    <w:rsid w:val="002620D3"/>
    <w:rsid w:val="00280623"/>
    <w:rsid w:val="00282DFB"/>
    <w:rsid w:val="002A7FBA"/>
    <w:rsid w:val="002C2470"/>
    <w:rsid w:val="002C3E1B"/>
    <w:rsid w:val="002C459C"/>
    <w:rsid w:val="002F0117"/>
    <w:rsid w:val="002F3A63"/>
    <w:rsid w:val="002F3D47"/>
    <w:rsid w:val="002F6150"/>
    <w:rsid w:val="002F629B"/>
    <w:rsid w:val="002F789E"/>
    <w:rsid w:val="00330C69"/>
    <w:rsid w:val="0033553E"/>
    <w:rsid w:val="0034030B"/>
    <w:rsid w:val="003502FA"/>
    <w:rsid w:val="00354533"/>
    <w:rsid w:val="0035670C"/>
    <w:rsid w:val="00360382"/>
    <w:rsid w:val="00361FB9"/>
    <w:rsid w:val="003671C3"/>
    <w:rsid w:val="003676BD"/>
    <w:rsid w:val="00370A95"/>
    <w:rsid w:val="00371D5C"/>
    <w:rsid w:val="003760FB"/>
    <w:rsid w:val="00391D2A"/>
    <w:rsid w:val="003A1847"/>
    <w:rsid w:val="003A6196"/>
    <w:rsid w:val="003C1766"/>
    <w:rsid w:val="003C19B8"/>
    <w:rsid w:val="003E0BE9"/>
    <w:rsid w:val="003E15C3"/>
    <w:rsid w:val="003F0EEE"/>
    <w:rsid w:val="003F1ADA"/>
    <w:rsid w:val="003F68D8"/>
    <w:rsid w:val="0040002E"/>
    <w:rsid w:val="00404E2F"/>
    <w:rsid w:val="0040777F"/>
    <w:rsid w:val="004161E3"/>
    <w:rsid w:val="00433992"/>
    <w:rsid w:val="00433F78"/>
    <w:rsid w:val="00436A04"/>
    <w:rsid w:val="00441620"/>
    <w:rsid w:val="00441D73"/>
    <w:rsid w:val="0044385D"/>
    <w:rsid w:val="0044586B"/>
    <w:rsid w:val="00460667"/>
    <w:rsid w:val="004640AB"/>
    <w:rsid w:val="004737AE"/>
    <w:rsid w:val="0047629A"/>
    <w:rsid w:val="00481A70"/>
    <w:rsid w:val="0048240E"/>
    <w:rsid w:val="00483411"/>
    <w:rsid w:val="00487714"/>
    <w:rsid w:val="00490CF9"/>
    <w:rsid w:val="00494603"/>
    <w:rsid w:val="004960A3"/>
    <w:rsid w:val="00497961"/>
    <w:rsid w:val="004A70F4"/>
    <w:rsid w:val="004B69B6"/>
    <w:rsid w:val="004D276C"/>
    <w:rsid w:val="004D3B46"/>
    <w:rsid w:val="004E4DCB"/>
    <w:rsid w:val="004E78AB"/>
    <w:rsid w:val="004F06D2"/>
    <w:rsid w:val="004F06FF"/>
    <w:rsid w:val="004F32AC"/>
    <w:rsid w:val="004F3A59"/>
    <w:rsid w:val="004F55A0"/>
    <w:rsid w:val="00502E61"/>
    <w:rsid w:val="00504521"/>
    <w:rsid w:val="00505A3F"/>
    <w:rsid w:val="00521333"/>
    <w:rsid w:val="0052515A"/>
    <w:rsid w:val="00525EEB"/>
    <w:rsid w:val="005261BC"/>
    <w:rsid w:val="00526FEE"/>
    <w:rsid w:val="005330E8"/>
    <w:rsid w:val="005431A6"/>
    <w:rsid w:val="0054595A"/>
    <w:rsid w:val="00551BAE"/>
    <w:rsid w:val="00565957"/>
    <w:rsid w:val="0056752E"/>
    <w:rsid w:val="00571011"/>
    <w:rsid w:val="00572EE3"/>
    <w:rsid w:val="00577341"/>
    <w:rsid w:val="00580E46"/>
    <w:rsid w:val="00583748"/>
    <w:rsid w:val="00584051"/>
    <w:rsid w:val="005842BD"/>
    <w:rsid w:val="005A7C28"/>
    <w:rsid w:val="005B425A"/>
    <w:rsid w:val="005C3F3E"/>
    <w:rsid w:val="005D3DF9"/>
    <w:rsid w:val="005D7603"/>
    <w:rsid w:val="005E7E0C"/>
    <w:rsid w:val="00615456"/>
    <w:rsid w:val="006335D4"/>
    <w:rsid w:val="00645127"/>
    <w:rsid w:val="0064544B"/>
    <w:rsid w:val="006573CF"/>
    <w:rsid w:val="006631E4"/>
    <w:rsid w:val="0066349A"/>
    <w:rsid w:val="0067229C"/>
    <w:rsid w:val="00672F5F"/>
    <w:rsid w:val="00674C65"/>
    <w:rsid w:val="00681D87"/>
    <w:rsid w:val="006820DC"/>
    <w:rsid w:val="0069510D"/>
    <w:rsid w:val="00696B92"/>
    <w:rsid w:val="006A0789"/>
    <w:rsid w:val="006A2DFE"/>
    <w:rsid w:val="006B3BF8"/>
    <w:rsid w:val="006B668A"/>
    <w:rsid w:val="006C166F"/>
    <w:rsid w:val="006C1FB1"/>
    <w:rsid w:val="006C5AD5"/>
    <w:rsid w:val="006D1A40"/>
    <w:rsid w:val="006E0AE7"/>
    <w:rsid w:val="006E1811"/>
    <w:rsid w:val="006E31C1"/>
    <w:rsid w:val="0070380B"/>
    <w:rsid w:val="00705E8D"/>
    <w:rsid w:val="0071097C"/>
    <w:rsid w:val="00714D19"/>
    <w:rsid w:val="007155A5"/>
    <w:rsid w:val="00726019"/>
    <w:rsid w:val="007328E4"/>
    <w:rsid w:val="007344E1"/>
    <w:rsid w:val="00735F80"/>
    <w:rsid w:val="00740360"/>
    <w:rsid w:val="00741074"/>
    <w:rsid w:val="00745392"/>
    <w:rsid w:val="007456B6"/>
    <w:rsid w:val="00747974"/>
    <w:rsid w:val="00753A57"/>
    <w:rsid w:val="00765253"/>
    <w:rsid w:val="00765AD0"/>
    <w:rsid w:val="00791639"/>
    <w:rsid w:val="007B5AC0"/>
    <w:rsid w:val="007D222C"/>
    <w:rsid w:val="007D2E5E"/>
    <w:rsid w:val="007E5A15"/>
    <w:rsid w:val="007F36E5"/>
    <w:rsid w:val="007F43C3"/>
    <w:rsid w:val="00802C10"/>
    <w:rsid w:val="00804026"/>
    <w:rsid w:val="00804B74"/>
    <w:rsid w:val="00812CE6"/>
    <w:rsid w:val="00825B10"/>
    <w:rsid w:val="008355F0"/>
    <w:rsid w:val="008366A8"/>
    <w:rsid w:val="0083686A"/>
    <w:rsid w:val="0087539F"/>
    <w:rsid w:val="00875468"/>
    <w:rsid w:val="00875856"/>
    <w:rsid w:val="0087751B"/>
    <w:rsid w:val="00883E38"/>
    <w:rsid w:val="00886496"/>
    <w:rsid w:val="00890D5D"/>
    <w:rsid w:val="00891F72"/>
    <w:rsid w:val="00893534"/>
    <w:rsid w:val="00896761"/>
    <w:rsid w:val="008A3BCE"/>
    <w:rsid w:val="008B77F6"/>
    <w:rsid w:val="008C3299"/>
    <w:rsid w:val="008C5C04"/>
    <w:rsid w:val="008D31EB"/>
    <w:rsid w:val="008E17AB"/>
    <w:rsid w:val="008E3FD7"/>
    <w:rsid w:val="008F3897"/>
    <w:rsid w:val="0090662D"/>
    <w:rsid w:val="009078A1"/>
    <w:rsid w:val="00920BF8"/>
    <w:rsid w:val="009211CC"/>
    <w:rsid w:val="00922A7B"/>
    <w:rsid w:val="00926D31"/>
    <w:rsid w:val="00927096"/>
    <w:rsid w:val="00930E7E"/>
    <w:rsid w:val="00934064"/>
    <w:rsid w:val="009364B6"/>
    <w:rsid w:val="009454A0"/>
    <w:rsid w:val="00954160"/>
    <w:rsid w:val="00964DCD"/>
    <w:rsid w:val="0097158F"/>
    <w:rsid w:val="009759D0"/>
    <w:rsid w:val="00976538"/>
    <w:rsid w:val="00984B3C"/>
    <w:rsid w:val="00985837"/>
    <w:rsid w:val="00985B4B"/>
    <w:rsid w:val="0099210A"/>
    <w:rsid w:val="009A7294"/>
    <w:rsid w:val="009A7EC3"/>
    <w:rsid w:val="009B6838"/>
    <w:rsid w:val="009C24AB"/>
    <w:rsid w:val="009C57EE"/>
    <w:rsid w:val="009D0613"/>
    <w:rsid w:val="009D5FA3"/>
    <w:rsid w:val="009D66AD"/>
    <w:rsid w:val="009E58B8"/>
    <w:rsid w:val="009F3F9F"/>
    <w:rsid w:val="009F478A"/>
    <w:rsid w:val="00A0158D"/>
    <w:rsid w:val="00A43A87"/>
    <w:rsid w:val="00A45996"/>
    <w:rsid w:val="00A511D5"/>
    <w:rsid w:val="00A52CAF"/>
    <w:rsid w:val="00A57EB0"/>
    <w:rsid w:val="00A657B8"/>
    <w:rsid w:val="00A7035A"/>
    <w:rsid w:val="00A72581"/>
    <w:rsid w:val="00A85797"/>
    <w:rsid w:val="00A900F3"/>
    <w:rsid w:val="00A95CFE"/>
    <w:rsid w:val="00AA2DB6"/>
    <w:rsid w:val="00AB3573"/>
    <w:rsid w:val="00AB68C9"/>
    <w:rsid w:val="00AD126E"/>
    <w:rsid w:val="00AD3417"/>
    <w:rsid w:val="00AD3C92"/>
    <w:rsid w:val="00AE3F06"/>
    <w:rsid w:val="00AF131D"/>
    <w:rsid w:val="00AF3BF2"/>
    <w:rsid w:val="00AF5626"/>
    <w:rsid w:val="00AF6199"/>
    <w:rsid w:val="00B07A5D"/>
    <w:rsid w:val="00B11DEE"/>
    <w:rsid w:val="00B14809"/>
    <w:rsid w:val="00B3238B"/>
    <w:rsid w:val="00B43378"/>
    <w:rsid w:val="00B74E82"/>
    <w:rsid w:val="00B87B4D"/>
    <w:rsid w:val="00B90763"/>
    <w:rsid w:val="00B91E9D"/>
    <w:rsid w:val="00B920BA"/>
    <w:rsid w:val="00B97C6B"/>
    <w:rsid w:val="00BA2975"/>
    <w:rsid w:val="00BC500F"/>
    <w:rsid w:val="00BD059E"/>
    <w:rsid w:val="00BD7C5F"/>
    <w:rsid w:val="00BE4265"/>
    <w:rsid w:val="00BF0B51"/>
    <w:rsid w:val="00BF1201"/>
    <w:rsid w:val="00BF2C7A"/>
    <w:rsid w:val="00C022A6"/>
    <w:rsid w:val="00C110DB"/>
    <w:rsid w:val="00C130BE"/>
    <w:rsid w:val="00C202E1"/>
    <w:rsid w:val="00C20B04"/>
    <w:rsid w:val="00C32699"/>
    <w:rsid w:val="00C33339"/>
    <w:rsid w:val="00C40257"/>
    <w:rsid w:val="00C5216C"/>
    <w:rsid w:val="00C6633E"/>
    <w:rsid w:val="00C665F5"/>
    <w:rsid w:val="00C958C8"/>
    <w:rsid w:val="00C967F3"/>
    <w:rsid w:val="00CA2C22"/>
    <w:rsid w:val="00CA5578"/>
    <w:rsid w:val="00CA72FE"/>
    <w:rsid w:val="00CB401F"/>
    <w:rsid w:val="00CC2B95"/>
    <w:rsid w:val="00CD0E08"/>
    <w:rsid w:val="00CE2BF3"/>
    <w:rsid w:val="00CE6E24"/>
    <w:rsid w:val="00CF1A9F"/>
    <w:rsid w:val="00D010E0"/>
    <w:rsid w:val="00D13E3B"/>
    <w:rsid w:val="00D148B7"/>
    <w:rsid w:val="00D17277"/>
    <w:rsid w:val="00D21385"/>
    <w:rsid w:val="00D22CFB"/>
    <w:rsid w:val="00D270C5"/>
    <w:rsid w:val="00D30427"/>
    <w:rsid w:val="00D500CF"/>
    <w:rsid w:val="00D54C46"/>
    <w:rsid w:val="00D63E55"/>
    <w:rsid w:val="00D71A04"/>
    <w:rsid w:val="00D77779"/>
    <w:rsid w:val="00D862BA"/>
    <w:rsid w:val="00D95A5D"/>
    <w:rsid w:val="00DA4AE0"/>
    <w:rsid w:val="00DA789E"/>
    <w:rsid w:val="00DB6A08"/>
    <w:rsid w:val="00DC0616"/>
    <w:rsid w:val="00DC39E0"/>
    <w:rsid w:val="00DC3A6B"/>
    <w:rsid w:val="00DE418E"/>
    <w:rsid w:val="00DF2ACF"/>
    <w:rsid w:val="00E17803"/>
    <w:rsid w:val="00E325E7"/>
    <w:rsid w:val="00E34D8F"/>
    <w:rsid w:val="00E404F7"/>
    <w:rsid w:val="00E418B1"/>
    <w:rsid w:val="00E457FD"/>
    <w:rsid w:val="00E46C2D"/>
    <w:rsid w:val="00E51930"/>
    <w:rsid w:val="00E61537"/>
    <w:rsid w:val="00E64795"/>
    <w:rsid w:val="00E64F53"/>
    <w:rsid w:val="00E66290"/>
    <w:rsid w:val="00E6741A"/>
    <w:rsid w:val="00E734FE"/>
    <w:rsid w:val="00E7493F"/>
    <w:rsid w:val="00E74FC1"/>
    <w:rsid w:val="00E83027"/>
    <w:rsid w:val="00E86698"/>
    <w:rsid w:val="00E92A25"/>
    <w:rsid w:val="00E93B68"/>
    <w:rsid w:val="00E95D23"/>
    <w:rsid w:val="00E97715"/>
    <w:rsid w:val="00E97ABE"/>
    <w:rsid w:val="00EA14DD"/>
    <w:rsid w:val="00EA4F92"/>
    <w:rsid w:val="00EC23D2"/>
    <w:rsid w:val="00EC5B33"/>
    <w:rsid w:val="00ED0C7F"/>
    <w:rsid w:val="00ED6CB1"/>
    <w:rsid w:val="00EE6AB4"/>
    <w:rsid w:val="00EF441A"/>
    <w:rsid w:val="00EF7140"/>
    <w:rsid w:val="00EF7AA2"/>
    <w:rsid w:val="00F002AD"/>
    <w:rsid w:val="00F00636"/>
    <w:rsid w:val="00F01ADE"/>
    <w:rsid w:val="00F15A9E"/>
    <w:rsid w:val="00F15E4D"/>
    <w:rsid w:val="00F2243C"/>
    <w:rsid w:val="00F24D05"/>
    <w:rsid w:val="00F34F2B"/>
    <w:rsid w:val="00F44A6C"/>
    <w:rsid w:val="00F514C2"/>
    <w:rsid w:val="00F559DB"/>
    <w:rsid w:val="00F5736C"/>
    <w:rsid w:val="00F60139"/>
    <w:rsid w:val="00F61BE2"/>
    <w:rsid w:val="00F67C17"/>
    <w:rsid w:val="00F73E02"/>
    <w:rsid w:val="00F85192"/>
    <w:rsid w:val="00F85DB5"/>
    <w:rsid w:val="00F92599"/>
    <w:rsid w:val="00FA2C54"/>
    <w:rsid w:val="00FC1F6A"/>
    <w:rsid w:val="00FD1218"/>
    <w:rsid w:val="00FF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1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30"/>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6820DC"/>
  </w:style>
  <w:style w:type="paragraph" w:styleId="ListParagraph">
    <w:name w:val="List Paragraph"/>
    <w:basedOn w:val="Normal"/>
    <w:uiPriority w:val="34"/>
    <w:qFormat/>
    <w:rsid w:val="0035670C"/>
    <w:pPr>
      <w:ind w:left="720"/>
      <w:contextualSpacing/>
    </w:pPr>
  </w:style>
  <w:style w:type="character" w:styleId="Hyperlink">
    <w:name w:val="Hyperlink"/>
    <w:basedOn w:val="DefaultParagraphFont"/>
    <w:uiPriority w:val="99"/>
    <w:unhideWhenUsed/>
    <w:rsid w:val="0090662D"/>
    <w:rPr>
      <w:color w:val="0000FF"/>
      <w:u w:val="single"/>
    </w:rPr>
  </w:style>
  <w:style w:type="paragraph" w:styleId="Header">
    <w:name w:val="header"/>
    <w:basedOn w:val="Normal"/>
    <w:link w:val="HeaderChar"/>
    <w:uiPriority w:val="99"/>
    <w:unhideWhenUsed/>
    <w:rsid w:val="00D2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85"/>
    <w:rPr>
      <w:rFonts w:ascii="Arial" w:eastAsia="Calibri" w:hAnsi="Arial" w:cs="Times New Roman"/>
      <w:sz w:val="24"/>
    </w:rPr>
  </w:style>
  <w:style w:type="paragraph" w:styleId="Footer">
    <w:name w:val="footer"/>
    <w:basedOn w:val="Normal"/>
    <w:link w:val="FooterChar"/>
    <w:uiPriority w:val="99"/>
    <w:unhideWhenUsed/>
    <w:rsid w:val="00D2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85"/>
    <w:rPr>
      <w:rFonts w:ascii="Arial" w:eastAsia="Calibri" w:hAnsi="Arial" w:cs="Times New Roman"/>
      <w:sz w:val="24"/>
    </w:rPr>
  </w:style>
  <w:style w:type="paragraph" w:styleId="BalloonText">
    <w:name w:val="Balloon Text"/>
    <w:basedOn w:val="Normal"/>
    <w:link w:val="BalloonTextChar"/>
    <w:uiPriority w:val="99"/>
    <w:semiHidden/>
    <w:unhideWhenUsed/>
    <w:rsid w:val="00A7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81"/>
    <w:rPr>
      <w:rFonts w:ascii="Tahoma" w:eastAsia="Calibri" w:hAnsi="Tahoma" w:cs="Tahoma"/>
      <w:sz w:val="16"/>
      <w:szCs w:val="16"/>
    </w:rPr>
  </w:style>
  <w:style w:type="table" w:customStyle="1" w:styleId="TableGrid1">
    <w:name w:val="Table Grid1"/>
    <w:basedOn w:val="TableNormal"/>
    <w:uiPriority w:val="39"/>
    <w:rsid w:val="00436A0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0139"/>
    <w:rPr>
      <w:sz w:val="16"/>
      <w:szCs w:val="16"/>
    </w:rPr>
  </w:style>
  <w:style w:type="paragraph" w:styleId="CommentText">
    <w:name w:val="annotation text"/>
    <w:basedOn w:val="Normal"/>
    <w:link w:val="CommentTextChar"/>
    <w:uiPriority w:val="99"/>
    <w:semiHidden/>
    <w:unhideWhenUsed/>
    <w:rsid w:val="00F60139"/>
    <w:pPr>
      <w:spacing w:line="240" w:lineRule="auto"/>
    </w:pPr>
    <w:rPr>
      <w:sz w:val="20"/>
      <w:szCs w:val="20"/>
    </w:rPr>
  </w:style>
  <w:style w:type="character" w:customStyle="1" w:styleId="CommentTextChar">
    <w:name w:val="Comment Text Char"/>
    <w:basedOn w:val="DefaultParagraphFont"/>
    <w:link w:val="CommentText"/>
    <w:uiPriority w:val="99"/>
    <w:semiHidden/>
    <w:rsid w:val="00F6013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60139"/>
    <w:rPr>
      <w:b/>
      <w:bCs/>
    </w:rPr>
  </w:style>
  <w:style w:type="character" w:customStyle="1" w:styleId="CommentSubjectChar">
    <w:name w:val="Comment Subject Char"/>
    <w:basedOn w:val="CommentTextChar"/>
    <w:link w:val="CommentSubject"/>
    <w:uiPriority w:val="99"/>
    <w:semiHidden/>
    <w:rsid w:val="00F60139"/>
    <w:rPr>
      <w:rFonts w:ascii="Arial" w:eastAsia="Calibri" w:hAnsi="Arial" w:cs="Times New Roman"/>
      <w:b/>
      <w:bCs/>
      <w:sz w:val="20"/>
      <w:szCs w:val="20"/>
    </w:rPr>
  </w:style>
  <w:style w:type="paragraph" w:styleId="Revision">
    <w:name w:val="Revision"/>
    <w:hidden/>
    <w:uiPriority w:val="99"/>
    <w:semiHidden/>
    <w:rsid w:val="00CE6E24"/>
    <w:pPr>
      <w:spacing w:after="0" w:line="240" w:lineRule="auto"/>
    </w:pPr>
    <w:rPr>
      <w:rFonts w:ascii="Arial" w:eastAsia="Calibri" w:hAnsi="Arial" w:cs="Times New Roman"/>
      <w:sz w:val="24"/>
    </w:rPr>
  </w:style>
  <w:style w:type="character" w:styleId="UnresolvedMention">
    <w:name w:val="Unresolved Mention"/>
    <w:basedOn w:val="DefaultParagraphFont"/>
    <w:uiPriority w:val="99"/>
    <w:semiHidden/>
    <w:unhideWhenUsed/>
    <w:rsid w:val="003F68D8"/>
    <w:rPr>
      <w:color w:val="808080"/>
      <w:shd w:val="clear" w:color="auto" w:fill="E6E6E6"/>
    </w:rPr>
  </w:style>
  <w:style w:type="character" w:styleId="FollowedHyperlink">
    <w:name w:val="FollowedHyperlink"/>
    <w:basedOn w:val="DefaultParagraphFont"/>
    <w:uiPriority w:val="99"/>
    <w:semiHidden/>
    <w:unhideWhenUsed/>
    <w:rsid w:val="00E404F7"/>
    <w:rPr>
      <w:color w:val="800080" w:themeColor="followedHyperlink"/>
      <w:u w:val="single"/>
    </w:rPr>
  </w:style>
  <w:style w:type="paragraph" w:styleId="NoSpacing">
    <w:name w:val="No Spacing"/>
    <w:uiPriority w:val="1"/>
    <w:qFormat/>
    <w:rsid w:val="00E46C2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E46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C2D"/>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46C2D"/>
    <w:rPr>
      <w:vertAlign w:val="superscript"/>
    </w:rPr>
  </w:style>
  <w:style w:type="paragraph" w:styleId="NormalWeb">
    <w:name w:val="Normal (Web)"/>
    <w:basedOn w:val="Normal"/>
    <w:uiPriority w:val="99"/>
    <w:semiHidden/>
    <w:unhideWhenUsed/>
    <w:rsid w:val="006D1A40"/>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0784">
      <w:bodyDiv w:val="1"/>
      <w:marLeft w:val="0"/>
      <w:marRight w:val="0"/>
      <w:marTop w:val="0"/>
      <w:marBottom w:val="0"/>
      <w:divBdr>
        <w:top w:val="none" w:sz="0" w:space="0" w:color="auto"/>
        <w:left w:val="none" w:sz="0" w:space="0" w:color="auto"/>
        <w:bottom w:val="none" w:sz="0" w:space="0" w:color="auto"/>
        <w:right w:val="none" w:sz="0" w:space="0" w:color="auto"/>
      </w:divBdr>
    </w:div>
    <w:div w:id="1345010325">
      <w:bodyDiv w:val="1"/>
      <w:marLeft w:val="0"/>
      <w:marRight w:val="0"/>
      <w:marTop w:val="0"/>
      <w:marBottom w:val="0"/>
      <w:divBdr>
        <w:top w:val="none" w:sz="0" w:space="0" w:color="auto"/>
        <w:left w:val="none" w:sz="0" w:space="0" w:color="auto"/>
        <w:bottom w:val="none" w:sz="0" w:space="0" w:color="auto"/>
        <w:right w:val="none" w:sz="0" w:space="0" w:color="auto"/>
      </w:divBdr>
    </w:div>
    <w:div w:id="1558469939">
      <w:bodyDiv w:val="1"/>
      <w:marLeft w:val="0"/>
      <w:marRight w:val="0"/>
      <w:marTop w:val="0"/>
      <w:marBottom w:val="0"/>
      <w:divBdr>
        <w:top w:val="none" w:sz="0" w:space="0" w:color="auto"/>
        <w:left w:val="none" w:sz="0" w:space="0" w:color="auto"/>
        <w:bottom w:val="none" w:sz="0" w:space="0" w:color="auto"/>
        <w:right w:val="none" w:sz="0" w:space="0" w:color="auto"/>
      </w:divBdr>
    </w:div>
    <w:div w:id="17907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3057-263F-4444-B50E-47F05143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2018-06-22T07:29:00Z</dcterms:created>
  <dcterms:modified xsi:type="dcterms:W3CDTF">2018-06-22T07:29:00Z</dcterms:modified>
</cp:coreProperties>
</file>