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1A" w:rsidRPr="00423190" w:rsidRDefault="0046701A" w:rsidP="0046701A">
      <w:pPr>
        <w:rPr>
          <w:b/>
          <w:sz w:val="12"/>
          <w:szCs w:val="12"/>
        </w:rPr>
      </w:pPr>
    </w:p>
    <w:p w:rsidR="00971436" w:rsidRDefault="00971436" w:rsidP="0046701A">
      <w:pPr>
        <w:rPr>
          <w:b/>
          <w:szCs w:val="24"/>
        </w:rPr>
      </w:pPr>
    </w:p>
    <w:p w:rsidR="00971436" w:rsidRDefault="00971436" w:rsidP="0046701A">
      <w:pPr>
        <w:rPr>
          <w:b/>
          <w:szCs w:val="24"/>
        </w:rPr>
      </w:pPr>
    </w:p>
    <w:p w:rsidR="00971436" w:rsidRDefault="00971436" w:rsidP="0046701A">
      <w:pPr>
        <w:rPr>
          <w:b/>
          <w:szCs w:val="24"/>
        </w:rPr>
      </w:pPr>
    </w:p>
    <w:p w:rsidR="0046701A" w:rsidRPr="00423190" w:rsidRDefault="0046701A" w:rsidP="0046701A">
      <w:pPr>
        <w:rPr>
          <w:b/>
          <w:szCs w:val="24"/>
        </w:rPr>
      </w:pPr>
      <w:r w:rsidRPr="00E161EA">
        <w:rPr>
          <w:rFonts w:cs="Arial"/>
          <w:b/>
          <w:noProof/>
          <w:szCs w:val="24"/>
        </w:rPr>
        <mc:AlternateContent>
          <mc:Choice Requires="wps">
            <w:drawing>
              <wp:anchor distT="0" distB="0" distL="114300" distR="114300" simplePos="0" relativeHeight="251659264" behindDoc="0" locked="0" layoutInCell="1" allowOverlap="1" wp14:anchorId="317F8A4F" wp14:editId="04E9CDBF">
                <wp:simplePos x="0" y="0"/>
                <wp:positionH relativeFrom="column">
                  <wp:posOffset>6985</wp:posOffset>
                </wp:positionH>
                <wp:positionV relativeFrom="paragraph">
                  <wp:posOffset>238760</wp:posOffset>
                </wp:positionV>
                <wp:extent cx="6248400" cy="1252855"/>
                <wp:effectExtent l="19050" t="19050" r="19050" b="2349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52855"/>
                        </a:xfrm>
                        <a:prstGeom prst="rect">
                          <a:avLst/>
                        </a:prstGeom>
                        <a:solidFill>
                          <a:srgbClr val="FFFFFF"/>
                        </a:solidFill>
                        <a:ln w="38100" cmpd="dbl">
                          <a:solidFill>
                            <a:srgbClr val="000000"/>
                          </a:solidFill>
                          <a:miter lim="800000"/>
                          <a:headEnd/>
                          <a:tailEnd/>
                        </a:ln>
                      </wps:spPr>
                      <wps:txbx>
                        <w:txbxContent>
                          <w:p w:rsidR="006E29D6" w:rsidRDefault="006E29D6" w:rsidP="0046701A">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6E29D6" w:rsidRPr="00223DBE" w:rsidRDefault="006E29D6" w:rsidP="0046701A">
                            <w:pPr>
                              <w:jc w:val="center"/>
                              <w:rPr>
                                <w:sz w:val="16"/>
                                <w:szCs w:val="16"/>
                              </w:rPr>
                            </w:pPr>
                          </w:p>
                          <w:p w:rsidR="006E29D6" w:rsidRPr="00223DBE" w:rsidRDefault="006E29D6" w:rsidP="007319C3">
                            <w:pPr>
                              <w:jc w:val="center"/>
                            </w:pPr>
                            <w:r w:rsidRPr="00223DBE">
                              <w:t xml:space="preserve">Administration of </w:t>
                            </w:r>
                            <w:r w:rsidRPr="00223DBE">
                              <w:rPr>
                                <w:rFonts w:cs="Arial"/>
                                <w:lang w:val="en"/>
                              </w:rPr>
                              <w:t>human papillomavirus vaccine [Types 6, 11, 16, 18] (Recombinant, adsorbed)</w:t>
                            </w:r>
                            <w:r w:rsidRPr="00223DBE">
                              <w:t xml:space="preserve"> (HPV)</w:t>
                            </w:r>
                            <w:r>
                              <w:t xml:space="preserve"> to females</w:t>
                            </w:r>
                            <w:r w:rsidRPr="00223DBE">
                              <w:t xml:space="preserve"> from 12 years of age</w:t>
                            </w:r>
                            <w:r>
                              <w:t xml:space="preserve"> or from school year 8</w:t>
                            </w:r>
                            <w:r w:rsidRPr="00223DBE">
                              <w:t xml:space="preserve"> in accordance with the national immunisation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8A4F" id="Rectangle 2" o:spid="_x0000_s1026" style="position:absolute;margin-left:.55pt;margin-top:18.8pt;width:492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" strokeweight="3pt">
                <v:stroke linestyle="thinThin"/>
                <v:textbox>
                  <w:txbxContent>
                    <w:p w:rsidR="006E29D6" w:rsidRDefault="006E29D6" w:rsidP="0046701A">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6E29D6" w:rsidRPr="00223DBE" w:rsidRDefault="006E29D6" w:rsidP="0046701A">
                      <w:pPr>
                        <w:jc w:val="center"/>
                        <w:rPr>
                          <w:sz w:val="16"/>
                          <w:szCs w:val="16"/>
                        </w:rPr>
                      </w:pPr>
                    </w:p>
                    <w:p w:rsidR="006E29D6" w:rsidRPr="00223DBE" w:rsidRDefault="006E29D6" w:rsidP="007319C3">
                      <w:pPr>
                        <w:jc w:val="center"/>
                      </w:pPr>
                      <w:r w:rsidRPr="00223DBE">
                        <w:t xml:space="preserve">Administration of </w:t>
                      </w:r>
                      <w:r w:rsidRPr="00223DBE">
                        <w:rPr>
                          <w:rFonts w:cs="Arial"/>
                          <w:lang w:val="en"/>
                        </w:rPr>
                        <w:t>human papillomavirus vaccine [Types 6, 11, 16, 18] (Recombinant, adsorbed)</w:t>
                      </w:r>
                      <w:r w:rsidRPr="00223DBE">
                        <w:t xml:space="preserve"> (HPV)</w:t>
                      </w:r>
                      <w:r>
                        <w:t xml:space="preserve"> to females</w:t>
                      </w:r>
                      <w:r w:rsidRPr="00223DBE">
                        <w:t xml:space="preserve"> from 12 years of age</w:t>
                      </w:r>
                      <w:r>
                        <w:t xml:space="preserve"> or from school year 8</w:t>
                      </w:r>
                      <w:r w:rsidRPr="00223DBE">
                        <w:t xml:space="preserve"> in accordance with the national immunisation programme</w:t>
                      </w:r>
                    </w:p>
                  </w:txbxContent>
                </v:textbox>
                <w10:wrap type="topAndBottom"/>
              </v:rect>
            </w:pict>
          </mc:Fallback>
        </mc:AlternateContent>
      </w:r>
      <w:r w:rsidRPr="00E161EA">
        <w:rPr>
          <w:b/>
          <w:szCs w:val="24"/>
        </w:rPr>
        <w:t>PHE publ</w:t>
      </w:r>
      <w:r w:rsidR="00016711">
        <w:rPr>
          <w:b/>
          <w:szCs w:val="24"/>
        </w:rPr>
        <w:t>ications gateway number:</w:t>
      </w:r>
      <w:r w:rsidR="00446A70" w:rsidRPr="00446A70">
        <w:rPr>
          <w:b/>
          <w:szCs w:val="24"/>
        </w:rPr>
        <w:t xml:space="preserve"> 2016044</w:t>
      </w:r>
    </w:p>
    <w:p w:rsidR="0046701A" w:rsidRPr="00223DBE" w:rsidRDefault="007319C3" w:rsidP="0046701A">
      <w:pPr>
        <w:pStyle w:val="Default"/>
        <w:spacing w:before="120"/>
        <w:rPr>
          <w:color w:val="auto"/>
        </w:rPr>
      </w:pPr>
      <w:r>
        <w:rPr>
          <w:color w:val="auto"/>
        </w:rPr>
        <w:t>This PGD is f</w:t>
      </w:r>
      <w:r w:rsidR="0046701A" w:rsidRPr="00223DBE">
        <w:rPr>
          <w:color w:val="auto"/>
        </w:rPr>
        <w:t xml:space="preserve">or the administration of </w:t>
      </w:r>
      <w:r w:rsidR="0046701A" w:rsidRPr="00223DBE">
        <w:rPr>
          <w:color w:val="auto"/>
          <w:lang w:val="en"/>
        </w:rPr>
        <w:t>human papillomavirus vaccine [Types 6, 11, 16, 18] (Recombinant, adsorbed)</w:t>
      </w:r>
      <w:r w:rsidR="0046701A" w:rsidRPr="00223DBE">
        <w:rPr>
          <w:color w:val="auto"/>
        </w:rPr>
        <w:t xml:space="preserve"> (HPV) by </w:t>
      </w:r>
      <w:r w:rsidR="00684FD5" w:rsidRPr="005D1F4C">
        <w:rPr>
          <w:color w:val="auto"/>
        </w:rPr>
        <w:t>registered healthcare practitioners identified in Section 3, subject to any limitations to authorisation detailed in Section 2.</w:t>
      </w:r>
    </w:p>
    <w:p w:rsidR="0046701A" w:rsidRPr="00E161EA" w:rsidRDefault="0046701A" w:rsidP="0046701A">
      <w:pPr>
        <w:ind w:rightChars="-375" w:right="-900"/>
        <w:rPr>
          <w:color w:val="000000"/>
          <w:szCs w:val="24"/>
        </w:rPr>
      </w:pPr>
      <w:r w:rsidRPr="00E161EA">
        <w:rPr>
          <w:color w:val="000000"/>
          <w:szCs w:val="24"/>
        </w:rPr>
        <w:tab/>
      </w:r>
    </w:p>
    <w:p w:rsidR="0046701A" w:rsidRPr="00A26527" w:rsidRDefault="0046701A" w:rsidP="0046701A">
      <w:pPr>
        <w:ind w:rightChars="-375" w:right="-900"/>
        <w:rPr>
          <w:rFonts w:cs="Arial"/>
          <w:szCs w:val="24"/>
        </w:rPr>
      </w:pPr>
      <w:r w:rsidRPr="00E161EA">
        <w:rPr>
          <w:rFonts w:cs="Arial"/>
          <w:color w:val="000000"/>
          <w:szCs w:val="24"/>
        </w:rPr>
        <w:t>Reference no:</w:t>
      </w:r>
      <w:r w:rsidRPr="00A26527">
        <w:rPr>
          <w:rFonts w:cs="Arial"/>
          <w:color w:val="000000"/>
          <w:szCs w:val="24"/>
        </w:rPr>
        <w:tab/>
      </w:r>
      <w:r w:rsidRPr="00A26527">
        <w:rPr>
          <w:rFonts w:cs="Arial"/>
          <w:szCs w:val="24"/>
        </w:rPr>
        <w:t>HPV PGD</w:t>
      </w:r>
    </w:p>
    <w:p w:rsidR="0046701A" w:rsidRPr="00A26527" w:rsidRDefault="0046701A" w:rsidP="0046701A">
      <w:pPr>
        <w:spacing w:line="320" w:lineRule="exact"/>
        <w:ind w:rightChars="-375" w:right="-900"/>
        <w:rPr>
          <w:rFonts w:cs="Arial"/>
          <w:color w:val="FF0000"/>
          <w:szCs w:val="24"/>
        </w:rPr>
      </w:pPr>
      <w:r w:rsidRPr="00A26527">
        <w:rPr>
          <w:szCs w:val="24"/>
        </w:rPr>
        <w:t>Version no:</w:t>
      </w:r>
      <w:r w:rsidRPr="00A26527">
        <w:rPr>
          <w:rFonts w:cs="Arial"/>
          <w:szCs w:val="24"/>
        </w:rPr>
        <w:t xml:space="preserve"> </w:t>
      </w:r>
      <w:r w:rsidRPr="00A26527">
        <w:rPr>
          <w:rFonts w:cs="Arial"/>
          <w:szCs w:val="24"/>
        </w:rPr>
        <w:tab/>
      </w:r>
      <w:r w:rsidRPr="00A26527">
        <w:rPr>
          <w:rFonts w:cs="Arial"/>
          <w:szCs w:val="24"/>
        </w:rPr>
        <w:tab/>
        <w:t>v0</w:t>
      </w:r>
      <w:r w:rsidR="006249B3">
        <w:rPr>
          <w:rFonts w:cs="Arial"/>
          <w:szCs w:val="24"/>
        </w:rPr>
        <w:t>2</w:t>
      </w:r>
      <w:r w:rsidRPr="00A26527">
        <w:rPr>
          <w:rFonts w:cs="Arial"/>
          <w:szCs w:val="24"/>
        </w:rPr>
        <w:t>.0</w:t>
      </w:r>
      <w:r w:rsidR="006249B3">
        <w:rPr>
          <w:rFonts w:cs="Arial"/>
          <w:szCs w:val="24"/>
        </w:rPr>
        <w:t>0</w:t>
      </w:r>
    </w:p>
    <w:p w:rsidR="0046701A" w:rsidRPr="00A26527" w:rsidRDefault="0046701A" w:rsidP="0046701A">
      <w:pPr>
        <w:spacing w:line="320" w:lineRule="exact"/>
        <w:ind w:rightChars="-375" w:right="-900"/>
        <w:rPr>
          <w:rFonts w:cs="Arial"/>
          <w:szCs w:val="24"/>
        </w:rPr>
      </w:pPr>
      <w:r w:rsidRPr="00A26527">
        <w:rPr>
          <w:rFonts w:cs="Arial"/>
          <w:szCs w:val="24"/>
        </w:rPr>
        <w:t>Valid from:</w:t>
      </w:r>
      <w:r w:rsidRPr="00A26527">
        <w:rPr>
          <w:rFonts w:cs="Arial"/>
          <w:szCs w:val="24"/>
        </w:rPr>
        <w:tab/>
      </w:r>
      <w:r w:rsidRPr="00A26527">
        <w:rPr>
          <w:rFonts w:cs="Arial"/>
          <w:szCs w:val="24"/>
        </w:rPr>
        <w:tab/>
      </w:r>
      <w:r w:rsidR="00ED0028" w:rsidRPr="00A26527">
        <w:rPr>
          <w:rFonts w:cs="Arial"/>
          <w:szCs w:val="24"/>
        </w:rPr>
        <w:t>1</w:t>
      </w:r>
      <w:r w:rsidRPr="00A26527">
        <w:rPr>
          <w:rFonts w:cs="Arial"/>
          <w:szCs w:val="24"/>
        </w:rPr>
        <w:t xml:space="preserve"> May 201</w:t>
      </w:r>
      <w:r w:rsidR="00A26527" w:rsidRPr="00A26527">
        <w:rPr>
          <w:rFonts w:cs="Arial"/>
          <w:szCs w:val="24"/>
        </w:rPr>
        <w:t>8</w:t>
      </w:r>
    </w:p>
    <w:p w:rsidR="0046701A" w:rsidRPr="00A26527" w:rsidRDefault="0046701A" w:rsidP="0046701A">
      <w:pPr>
        <w:spacing w:line="320" w:lineRule="exact"/>
        <w:ind w:rightChars="-375" w:right="-900"/>
        <w:rPr>
          <w:rFonts w:cs="Arial"/>
          <w:szCs w:val="24"/>
        </w:rPr>
      </w:pPr>
      <w:r w:rsidRPr="00A26527">
        <w:rPr>
          <w:rFonts w:cs="Arial"/>
          <w:szCs w:val="24"/>
        </w:rPr>
        <w:t>Review date:</w:t>
      </w:r>
      <w:r w:rsidRPr="00A26527">
        <w:rPr>
          <w:rFonts w:cs="Arial"/>
          <w:szCs w:val="24"/>
        </w:rPr>
        <w:tab/>
      </w:r>
      <w:r w:rsidRPr="00A26527">
        <w:rPr>
          <w:rFonts w:cs="Arial"/>
          <w:szCs w:val="24"/>
        </w:rPr>
        <w:tab/>
      </w:r>
      <w:r w:rsidR="00ED0028" w:rsidRPr="00A26527">
        <w:rPr>
          <w:rFonts w:cs="Arial"/>
          <w:szCs w:val="24"/>
        </w:rPr>
        <w:t xml:space="preserve">31 </w:t>
      </w:r>
      <w:r w:rsidRPr="00A26527">
        <w:rPr>
          <w:rFonts w:cs="Arial"/>
          <w:szCs w:val="24"/>
        </w:rPr>
        <w:t>October 201</w:t>
      </w:r>
      <w:r w:rsidR="00A26527" w:rsidRPr="00A26527">
        <w:rPr>
          <w:rFonts w:cs="Arial"/>
          <w:szCs w:val="24"/>
        </w:rPr>
        <w:t>9</w:t>
      </w:r>
      <w:r w:rsidRPr="00A26527">
        <w:rPr>
          <w:rFonts w:cs="Arial"/>
          <w:szCs w:val="24"/>
        </w:rPr>
        <w:t xml:space="preserve"> </w:t>
      </w:r>
    </w:p>
    <w:p w:rsidR="0046701A" w:rsidRPr="00A26527" w:rsidRDefault="0046701A" w:rsidP="0046701A">
      <w:pPr>
        <w:spacing w:line="320" w:lineRule="exact"/>
        <w:ind w:rightChars="-375" w:right="-900"/>
        <w:rPr>
          <w:rFonts w:cs="Arial"/>
          <w:szCs w:val="24"/>
        </w:rPr>
      </w:pPr>
      <w:r w:rsidRPr="00A26527">
        <w:rPr>
          <w:rFonts w:cs="Arial"/>
          <w:szCs w:val="24"/>
        </w:rPr>
        <w:t>Expiry date:</w:t>
      </w:r>
      <w:r w:rsidRPr="00A26527">
        <w:rPr>
          <w:rFonts w:cs="Arial"/>
          <w:szCs w:val="24"/>
        </w:rPr>
        <w:tab/>
      </w:r>
      <w:r w:rsidRPr="00A26527">
        <w:rPr>
          <w:rFonts w:cs="Arial"/>
          <w:szCs w:val="24"/>
        </w:rPr>
        <w:tab/>
      </w:r>
      <w:r w:rsidR="00ED0028" w:rsidRPr="00A26527">
        <w:rPr>
          <w:rFonts w:cs="Arial"/>
          <w:szCs w:val="24"/>
        </w:rPr>
        <w:t xml:space="preserve">30 </w:t>
      </w:r>
      <w:r w:rsidRPr="00A26527">
        <w:rPr>
          <w:rFonts w:cs="Arial"/>
          <w:szCs w:val="24"/>
        </w:rPr>
        <w:t>April 20</w:t>
      </w:r>
      <w:r w:rsidR="00A26527" w:rsidRPr="00A26527">
        <w:rPr>
          <w:rFonts w:cs="Arial"/>
          <w:szCs w:val="24"/>
        </w:rPr>
        <w:t>20</w:t>
      </w:r>
    </w:p>
    <w:p w:rsidR="0046701A" w:rsidRPr="00A26527" w:rsidRDefault="0046701A" w:rsidP="0046701A">
      <w:pPr>
        <w:rPr>
          <w:rFonts w:cs="Arial"/>
          <w:b/>
          <w:szCs w:val="24"/>
        </w:rPr>
      </w:pPr>
      <w:r w:rsidRPr="00A26527" w:rsidDel="00815487">
        <w:rPr>
          <w:rFonts w:cs="Arial"/>
          <w:b/>
          <w:color w:val="000000"/>
          <w:szCs w:val="24"/>
        </w:rPr>
        <w:t xml:space="preserve"> </w:t>
      </w:r>
    </w:p>
    <w:p w:rsidR="00684FD5" w:rsidRPr="0051753E" w:rsidRDefault="00684FD5" w:rsidP="00684FD5">
      <w:pPr>
        <w:rPr>
          <w:b/>
          <w:bCs/>
        </w:rPr>
      </w:pPr>
      <w:r w:rsidRPr="00E161EA">
        <w:rPr>
          <w:rFonts w:cs="Arial"/>
          <w:b/>
          <w:szCs w:val="24"/>
        </w:rPr>
        <w:t xml:space="preserve">Public Health England has developed this PGD </w:t>
      </w:r>
      <w:r>
        <w:rPr>
          <w:rFonts w:cs="Arial"/>
          <w:b/>
          <w:szCs w:val="24"/>
        </w:rPr>
        <w:t xml:space="preserve">template </w:t>
      </w:r>
      <w:r>
        <w:rPr>
          <w:b/>
          <w:bCs/>
        </w:rPr>
        <w:t xml:space="preserve">to facilitate the delivery of </w:t>
      </w:r>
      <w:proofErr w:type="spellStart"/>
      <w:r w:rsidR="00F75142">
        <w:rPr>
          <w:b/>
          <w:bCs/>
        </w:rPr>
        <w:t>publically</w:t>
      </w:r>
      <w:proofErr w:type="spellEnd"/>
      <w:r w:rsidR="00F75142">
        <w:rPr>
          <w:b/>
          <w:bCs/>
        </w:rPr>
        <w:t xml:space="preserve"> funded immunisation</w:t>
      </w:r>
      <w:r>
        <w:rPr>
          <w:b/>
          <w:bCs/>
        </w:rPr>
        <w:t xml:space="preserve"> in line with national recommendations. </w:t>
      </w:r>
    </w:p>
    <w:p w:rsidR="00684FD5" w:rsidRPr="00E161EA" w:rsidRDefault="00684FD5" w:rsidP="00684FD5">
      <w:pPr>
        <w:rPr>
          <w:rFonts w:cs="Arial"/>
          <w:b/>
          <w:szCs w:val="24"/>
        </w:rPr>
      </w:pPr>
    </w:p>
    <w:p w:rsidR="00684FD5" w:rsidRDefault="00684FD5" w:rsidP="00684FD5">
      <w:pPr>
        <w:overflowPunct/>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bookmarkStart w:id="0" w:name="_Ref507065598"/>
      <w:r>
        <w:rPr>
          <w:rStyle w:val="FootnoteReference"/>
        </w:rPr>
        <w:footnoteReference w:id="1"/>
      </w:r>
      <w:bookmarkEnd w:id="0"/>
      <w:r w:rsidRPr="0051753E">
        <w:t xml:space="preserve">. </w:t>
      </w:r>
      <w:r w:rsidRPr="0051753E">
        <w:rPr>
          <w:rFonts w:cs="Arial"/>
          <w:b/>
          <w:szCs w:val="24"/>
        </w:rPr>
        <w:t xml:space="preserve">THE PGD </w:t>
      </w:r>
      <w:r w:rsidRPr="00E161EA">
        <w:rPr>
          <w:rFonts w:cs="Arial"/>
          <w:b/>
          <w:szCs w:val="24"/>
        </w:rPr>
        <w:t xml:space="preserve">IS NOT LEGAL OR VALID WITHOUT </w:t>
      </w:r>
      <w:r>
        <w:rPr>
          <w:rFonts w:cs="Arial"/>
          <w:b/>
          <w:szCs w:val="24"/>
        </w:rPr>
        <w:t xml:space="preserve">SIGNED AUTHORISATION IN ACCORDANCE WITH </w:t>
      </w:r>
      <w:hyperlink r:id="rId8" w:history="1">
        <w:r w:rsidRPr="00FA7CD3">
          <w:rPr>
            <w:rStyle w:val="Hyperlink"/>
            <w:rFonts w:cs="Arial"/>
            <w:b/>
            <w:szCs w:val="24"/>
          </w:rPr>
          <w:t>HMR2012 SCHEDULE 16 Part 2</w:t>
        </w:r>
      </w:hyperlink>
      <w:r>
        <w:rPr>
          <w:rFonts w:cs="Arial"/>
          <w:b/>
          <w:szCs w:val="24"/>
        </w:rPr>
        <w:t xml:space="preserve">. </w:t>
      </w:r>
    </w:p>
    <w:p w:rsidR="00684FD5" w:rsidRPr="00E161EA" w:rsidRDefault="00684FD5" w:rsidP="00684FD5">
      <w:pPr>
        <w:rPr>
          <w:rFonts w:cs="Arial"/>
          <w:szCs w:val="24"/>
        </w:rPr>
      </w:pPr>
    </w:p>
    <w:p w:rsidR="00684FD5" w:rsidRDefault="00684FD5" w:rsidP="00684FD5">
      <w:r>
        <w:t xml:space="preserve">Authorising organisations must not alter, amend or add to </w:t>
      </w:r>
      <w:r w:rsidRPr="00CB72FE">
        <w:t xml:space="preserve">the </w:t>
      </w:r>
      <w:r w:rsidRPr="00CB72FE">
        <w:rPr>
          <w:iCs/>
        </w:rPr>
        <w:t>clinical</w:t>
      </w:r>
      <w:r w:rsidRPr="00CB72FE">
        <w:t xml:space="preserve"> content of this document (sections 4, 5 and 6); such action will invalidate the </w:t>
      </w:r>
      <w:r w:rsidRPr="00CB72FE">
        <w:rPr>
          <w:iCs/>
        </w:rPr>
        <w:t>clinical sign-off</w:t>
      </w:r>
      <w:r>
        <w:t xml:space="preserve"> with which it is provided. In </w:t>
      </w:r>
      <w:proofErr w:type="gramStart"/>
      <w:r>
        <w:t>addition</w:t>
      </w:r>
      <w:proofErr w:type="gramEnd"/>
      <w:r>
        <w:t xml:space="preserve"> authorising organisations must not alter section 3 ‘Characteristics of staff’. Only sections 2 and 7 can be amended.</w:t>
      </w:r>
    </w:p>
    <w:p w:rsidR="00684FD5" w:rsidRDefault="00684FD5" w:rsidP="00684FD5"/>
    <w:p w:rsidR="00684FD5" w:rsidRDefault="00684FD5" w:rsidP="00684FD5">
      <w:r>
        <w:t>Operation of this PGD is the responsibility of commissioners and service providers.</w:t>
      </w:r>
    </w:p>
    <w:p w:rsidR="00684FD5" w:rsidRPr="00E161EA" w:rsidRDefault="00684FD5" w:rsidP="00684FD5">
      <w:pPr>
        <w:rPr>
          <w:rFonts w:cs="Arial"/>
          <w:b/>
          <w:bCs/>
          <w:szCs w:val="24"/>
        </w:rPr>
      </w:pPr>
    </w:p>
    <w:p w:rsidR="00684FD5" w:rsidRPr="00E161EA" w:rsidRDefault="00684FD5" w:rsidP="00684FD5">
      <w:pPr>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rsidR="00684FD5" w:rsidRPr="00E161EA" w:rsidRDefault="00684FD5" w:rsidP="00684FD5">
      <w:pPr>
        <w:rPr>
          <w:rFonts w:cs="Arial"/>
          <w:b/>
          <w:bCs/>
          <w:szCs w:val="24"/>
        </w:rPr>
      </w:pPr>
    </w:p>
    <w:p w:rsidR="00684FD5" w:rsidRPr="00E161EA" w:rsidRDefault="00684FD5" w:rsidP="00684FD5">
      <w:pPr>
        <w:rPr>
          <w:rFonts w:cs="Arial"/>
          <w:bCs/>
          <w:szCs w:val="24"/>
        </w:rPr>
      </w:pPr>
      <w:r w:rsidRPr="00E161EA">
        <w:rPr>
          <w:rFonts w:cs="Arial"/>
          <w:bCs/>
          <w:szCs w:val="24"/>
        </w:rPr>
        <w:t>Practitioners and organisations must check that they are using the current version of the PGD. Amendments may become necessary prior to the published expiry date. Current versions of PHE PGD templates for authorisation can be found from:</w:t>
      </w:r>
    </w:p>
    <w:p w:rsidR="00684FD5" w:rsidRPr="00E161EA" w:rsidRDefault="00AD6214" w:rsidP="00684FD5">
      <w:pPr>
        <w:rPr>
          <w:rFonts w:cs="Arial"/>
          <w:b/>
          <w:bCs/>
          <w:color w:val="FF0000"/>
          <w:szCs w:val="24"/>
        </w:rPr>
      </w:pPr>
      <w:hyperlink r:id="rId9" w:history="1">
        <w:r w:rsidR="00684FD5" w:rsidRPr="00E161EA">
          <w:rPr>
            <w:rStyle w:val="Hyperlink"/>
            <w:rFonts w:cs="Arial"/>
            <w:bCs/>
            <w:szCs w:val="24"/>
          </w:rPr>
          <w:t>https://www.gov.uk/government/collections/immunisation</w:t>
        </w:r>
      </w:hyperlink>
      <w:r w:rsidR="00684FD5" w:rsidRPr="00E161EA">
        <w:rPr>
          <w:rFonts w:cs="Arial"/>
          <w:bCs/>
          <w:szCs w:val="24"/>
        </w:rPr>
        <w:t xml:space="preserve"> </w:t>
      </w:r>
    </w:p>
    <w:p w:rsidR="00684FD5" w:rsidRDefault="00684FD5" w:rsidP="00684FD5">
      <w:pPr>
        <w:rPr>
          <w:rFonts w:cs="Arial"/>
          <w:color w:val="000000"/>
          <w:szCs w:val="24"/>
        </w:rPr>
      </w:pPr>
    </w:p>
    <w:p w:rsidR="00684FD5" w:rsidRPr="00E161EA" w:rsidRDefault="00684FD5" w:rsidP="00684FD5">
      <w:pPr>
        <w:rPr>
          <w:rFonts w:cs="Arial"/>
          <w:color w:val="000000"/>
          <w:szCs w:val="24"/>
        </w:rPr>
      </w:pPr>
      <w:r w:rsidRPr="00E161EA">
        <w:rPr>
          <w:rFonts w:cs="Arial"/>
          <w:color w:val="000000"/>
          <w:szCs w:val="24"/>
        </w:rPr>
        <w:t>Any concerns regarding the content of this PGD should be addressed to:</w:t>
      </w:r>
    </w:p>
    <w:p w:rsidR="0046701A" w:rsidRDefault="00AD6214" w:rsidP="0046701A">
      <w:pPr>
        <w:rPr>
          <w:rFonts w:cs="Arial"/>
          <w:b/>
          <w:sz w:val="28"/>
          <w:lang w:val="en-US" w:eastAsia="en-US"/>
        </w:rPr>
      </w:pPr>
      <w:hyperlink r:id="rId10" w:history="1">
        <w:r w:rsidR="00684FD5">
          <w:rPr>
            <w:rStyle w:val="Hyperlink"/>
            <w:rFonts w:cs="Arial"/>
            <w:szCs w:val="24"/>
          </w:rPr>
          <w:t>i</w:t>
        </w:r>
        <w:r w:rsidR="00684FD5" w:rsidRPr="00E161EA">
          <w:rPr>
            <w:rStyle w:val="Hyperlink"/>
            <w:rFonts w:cs="Arial"/>
            <w:szCs w:val="24"/>
          </w:rPr>
          <w:t>mmunisation@phe.gov.uk</w:t>
        </w:r>
      </w:hyperlink>
      <w:r w:rsidR="0046701A">
        <w:rPr>
          <w:rFonts w:cs="Arial"/>
          <w:b/>
          <w:lang w:val="en-US" w:eastAsia="en-US"/>
        </w:rPr>
        <w:br w:type="page"/>
      </w:r>
    </w:p>
    <w:p w:rsidR="0046701A" w:rsidRPr="00890A0E" w:rsidRDefault="0046701A" w:rsidP="0046701A">
      <w:pPr>
        <w:pStyle w:val="Heading1"/>
        <w:rPr>
          <w:rFonts w:cs="Arial"/>
          <w:b/>
          <w:bCs/>
          <w:color w:val="FF0000"/>
          <w:sz w:val="24"/>
          <w:szCs w:val="24"/>
        </w:rPr>
      </w:pPr>
      <w:r>
        <w:rPr>
          <w:rFonts w:ascii="Arial" w:hAnsi="Arial" w:cs="Arial"/>
          <w:b/>
          <w:lang w:val="en-US" w:eastAsia="en-US"/>
        </w:rPr>
        <w:lastRenderedPageBreak/>
        <w:t>Change h</w:t>
      </w:r>
      <w:r w:rsidRPr="001C305E">
        <w:rPr>
          <w:rFonts w:ascii="Arial" w:hAnsi="Arial" w:cs="Arial"/>
          <w:b/>
          <w:lang w:val="en-US" w:eastAsia="en-US"/>
        </w:rPr>
        <w:t>istory</w:t>
      </w:r>
    </w:p>
    <w:p w:rsidR="0046701A" w:rsidRPr="001C305E" w:rsidRDefault="0046701A" w:rsidP="0046701A">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46701A" w:rsidRPr="007A1448" w:rsidTr="0046701A">
        <w:tc>
          <w:tcPr>
            <w:tcW w:w="875" w:type="pct"/>
            <w:tcBorders>
              <w:top w:val="single" w:sz="4" w:space="0" w:color="auto"/>
              <w:left w:val="single" w:sz="4" w:space="0" w:color="auto"/>
              <w:bottom w:val="single" w:sz="4" w:space="0" w:color="auto"/>
              <w:right w:val="single" w:sz="4" w:space="0" w:color="auto"/>
            </w:tcBorders>
            <w:shd w:val="clear" w:color="auto" w:fill="D9D9D9"/>
          </w:tcPr>
          <w:p w:rsidR="0046701A" w:rsidRPr="007A1448" w:rsidRDefault="0046701A" w:rsidP="0046701A">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46701A" w:rsidRPr="007A1448" w:rsidRDefault="0046701A" w:rsidP="0046701A">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46701A" w:rsidRPr="007A1448" w:rsidRDefault="0046701A" w:rsidP="0046701A">
            <w:pPr>
              <w:pStyle w:val="Tabletext"/>
              <w:rPr>
                <w:b/>
                <w:bCs/>
              </w:rPr>
            </w:pPr>
            <w:r w:rsidRPr="007A1448">
              <w:rPr>
                <w:b/>
                <w:bCs/>
              </w:rPr>
              <w:t>Date</w:t>
            </w:r>
          </w:p>
        </w:tc>
      </w:tr>
      <w:tr w:rsidR="0046701A" w:rsidRPr="007A1448" w:rsidTr="0046701A">
        <w:tc>
          <w:tcPr>
            <w:tcW w:w="875" w:type="pct"/>
            <w:tcBorders>
              <w:top w:val="single" w:sz="4" w:space="0" w:color="auto"/>
              <w:left w:val="single" w:sz="4" w:space="0" w:color="auto"/>
              <w:bottom w:val="single" w:sz="4" w:space="0" w:color="auto"/>
              <w:right w:val="single" w:sz="4" w:space="0" w:color="auto"/>
            </w:tcBorders>
            <w:shd w:val="clear" w:color="auto" w:fill="auto"/>
          </w:tcPr>
          <w:p w:rsidR="0046701A" w:rsidRPr="0000799E" w:rsidRDefault="0046701A" w:rsidP="0034679C">
            <w:pPr>
              <w:pStyle w:val="Tabletext"/>
              <w:spacing w:before="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46701A" w:rsidRPr="0000799E" w:rsidRDefault="0046701A" w:rsidP="0034679C">
            <w:pPr>
              <w:pStyle w:val="Tabletext"/>
              <w:spacing w:before="120"/>
            </w:pPr>
            <w:r>
              <w:t>New PHE PGD template</w:t>
            </w:r>
          </w:p>
        </w:tc>
        <w:tc>
          <w:tcPr>
            <w:tcW w:w="917" w:type="pct"/>
            <w:tcBorders>
              <w:top w:val="single" w:sz="4" w:space="0" w:color="auto"/>
              <w:left w:val="single" w:sz="4" w:space="0" w:color="auto"/>
              <w:bottom w:val="single" w:sz="4" w:space="0" w:color="auto"/>
              <w:right w:val="single" w:sz="4" w:space="0" w:color="auto"/>
            </w:tcBorders>
          </w:tcPr>
          <w:p w:rsidR="0046701A" w:rsidRPr="00ED0028" w:rsidRDefault="00ED0028" w:rsidP="0034679C">
            <w:pPr>
              <w:pStyle w:val="Tabletext"/>
              <w:spacing w:before="120"/>
            </w:pPr>
            <w:r w:rsidRPr="00ED0028">
              <w:t>06 April 2016</w:t>
            </w:r>
          </w:p>
        </w:tc>
      </w:tr>
      <w:tr w:rsidR="0046701A" w:rsidRPr="007A1448" w:rsidTr="0046701A">
        <w:tc>
          <w:tcPr>
            <w:tcW w:w="875" w:type="pct"/>
            <w:tcBorders>
              <w:top w:val="single" w:sz="4" w:space="0" w:color="auto"/>
              <w:left w:val="single" w:sz="4" w:space="0" w:color="auto"/>
              <w:bottom w:val="single" w:sz="4" w:space="0" w:color="auto"/>
              <w:right w:val="single" w:sz="4" w:space="0" w:color="auto"/>
            </w:tcBorders>
            <w:shd w:val="clear" w:color="auto" w:fill="auto"/>
          </w:tcPr>
          <w:p w:rsidR="0046701A" w:rsidRPr="0000799E" w:rsidRDefault="00684FD5" w:rsidP="0034679C">
            <w:pPr>
              <w:pStyle w:val="Tabletext"/>
              <w:spacing w:before="120"/>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684FD5" w:rsidRPr="008F15BF" w:rsidRDefault="00684FD5" w:rsidP="0034679C">
            <w:pPr>
              <w:pStyle w:val="Tabletext"/>
              <w:spacing w:before="120" w:after="0"/>
              <w:rPr>
                <w:szCs w:val="22"/>
              </w:rPr>
            </w:pPr>
            <w:r w:rsidRPr="008F15BF">
              <w:rPr>
                <w:szCs w:val="22"/>
              </w:rPr>
              <w:t xml:space="preserve">PHE </w:t>
            </w:r>
            <w:r w:rsidRPr="008F15BF">
              <w:t xml:space="preserve">HPV PGD </w:t>
            </w:r>
            <w:r w:rsidRPr="008F15BF">
              <w:rPr>
                <w:szCs w:val="22"/>
              </w:rPr>
              <w:t>amended to:</w:t>
            </w:r>
          </w:p>
          <w:p w:rsidR="00557EA1" w:rsidRPr="008F15BF" w:rsidRDefault="00557EA1" w:rsidP="0034679C">
            <w:pPr>
              <w:pStyle w:val="Tabletext"/>
              <w:numPr>
                <w:ilvl w:val="0"/>
                <w:numId w:val="43"/>
              </w:numPr>
              <w:spacing w:before="120" w:after="120"/>
              <w:ind w:left="221" w:hanging="221"/>
              <w:contextualSpacing/>
              <w:rPr>
                <w:szCs w:val="22"/>
              </w:rPr>
            </w:pPr>
            <w:r w:rsidRPr="008F15BF">
              <w:rPr>
                <w:szCs w:val="22"/>
              </w:rPr>
              <w:t xml:space="preserve">include </w:t>
            </w:r>
            <w:proofErr w:type="spellStart"/>
            <w:r w:rsidRPr="008F15BF">
              <w:rPr>
                <w:szCs w:val="22"/>
              </w:rPr>
              <w:t>immunisation</w:t>
            </w:r>
            <w:proofErr w:type="spellEnd"/>
            <w:r w:rsidRPr="008F15BF">
              <w:rPr>
                <w:szCs w:val="22"/>
              </w:rPr>
              <w:t xml:space="preserve"> of transgender boy</w:t>
            </w:r>
            <w:r w:rsidR="00F75142">
              <w:rPr>
                <w:szCs w:val="22"/>
              </w:rPr>
              <w:t>s</w:t>
            </w:r>
            <w:r w:rsidRPr="008F15BF">
              <w:rPr>
                <w:szCs w:val="22"/>
              </w:rPr>
              <w:t xml:space="preserve"> and </w:t>
            </w:r>
            <w:r w:rsidR="00F75142">
              <w:rPr>
                <w:szCs w:val="22"/>
              </w:rPr>
              <w:t xml:space="preserve">transgender </w:t>
            </w:r>
            <w:r w:rsidRPr="008F15BF">
              <w:rPr>
                <w:szCs w:val="22"/>
              </w:rPr>
              <w:t>girls as appropriate</w:t>
            </w:r>
          </w:p>
          <w:p w:rsidR="00557EA1" w:rsidRPr="008F15BF" w:rsidRDefault="00557EA1" w:rsidP="0034679C">
            <w:pPr>
              <w:pStyle w:val="Tabletext"/>
              <w:numPr>
                <w:ilvl w:val="0"/>
                <w:numId w:val="43"/>
              </w:numPr>
              <w:spacing w:before="120" w:after="120"/>
              <w:ind w:left="221" w:hanging="221"/>
              <w:contextualSpacing/>
              <w:rPr>
                <w:szCs w:val="22"/>
              </w:rPr>
            </w:pPr>
            <w:r w:rsidRPr="008F15BF">
              <w:rPr>
                <w:szCs w:val="22"/>
              </w:rPr>
              <w:t xml:space="preserve">provide additional information on capacity to consent </w:t>
            </w:r>
            <w:r w:rsidR="008F15BF" w:rsidRPr="008F15BF">
              <w:rPr>
                <w:szCs w:val="22"/>
              </w:rPr>
              <w:t>with</w:t>
            </w:r>
            <w:r w:rsidRPr="008F15BF">
              <w:rPr>
                <w:szCs w:val="22"/>
              </w:rPr>
              <w:t xml:space="preserve"> link to </w:t>
            </w:r>
            <w:r w:rsidR="008F15BF" w:rsidRPr="008F15BF">
              <w:rPr>
                <w:szCs w:val="22"/>
              </w:rPr>
              <w:t xml:space="preserve">the </w:t>
            </w:r>
            <w:r w:rsidRPr="008F15BF">
              <w:rPr>
                <w:szCs w:val="22"/>
              </w:rPr>
              <w:t xml:space="preserve">DH </w:t>
            </w:r>
            <w:r w:rsidR="008F15BF" w:rsidRPr="008F15BF">
              <w:rPr>
                <w:szCs w:val="22"/>
              </w:rPr>
              <w:t>‘</w:t>
            </w:r>
            <w:r w:rsidR="008F15BF" w:rsidRPr="008F15BF">
              <w:rPr>
                <w:rFonts w:eastAsiaTheme="minorHAnsi"/>
                <w:szCs w:val="22"/>
              </w:rPr>
              <w:t>Reference guide to consent for examination or treatment’</w:t>
            </w:r>
            <w:r w:rsidR="008F15BF" w:rsidRPr="008F15BF">
              <w:rPr>
                <w:szCs w:val="22"/>
              </w:rPr>
              <w:t xml:space="preserve"> </w:t>
            </w:r>
          </w:p>
          <w:p w:rsidR="00684FD5" w:rsidRPr="008F15BF" w:rsidRDefault="00684FD5" w:rsidP="0034679C">
            <w:pPr>
              <w:pStyle w:val="Tabletext"/>
              <w:numPr>
                <w:ilvl w:val="0"/>
                <w:numId w:val="43"/>
              </w:numPr>
              <w:spacing w:before="120" w:after="120"/>
              <w:ind w:left="221" w:hanging="221"/>
              <w:contextualSpacing/>
              <w:rPr>
                <w:szCs w:val="22"/>
              </w:rPr>
            </w:pPr>
            <w:r w:rsidRPr="008F15BF">
              <w:rPr>
                <w:szCs w:val="22"/>
              </w:rPr>
              <w:t xml:space="preserve">include </w:t>
            </w:r>
            <w:r w:rsidRPr="008F15BF">
              <w:rPr>
                <w:rFonts w:eastAsiaTheme="minorHAnsi" w:cs="Arial"/>
                <w:szCs w:val="22"/>
              </w:rPr>
              <w:t>additional healthcare practitioners (midwives, pharmacists, paramedics, physiotherapists) in Section 3</w:t>
            </w:r>
          </w:p>
          <w:p w:rsidR="00684FD5" w:rsidRPr="008F15BF" w:rsidRDefault="00684FD5" w:rsidP="0034679C">
            <w:pPr>
              <w:pStyle w:val="Tabletext"/>
              <w:numPr>
                <w:ilvl w:val="0"/>
                <w:numId w:val="43"/>
              </w:numPr>
              <w:spacing w:before="120" w:after="120"/>
              <w:ind w:left="221" w:hanging="221"/>
              <w:contextualSpacing/>
              <w:rPr>
                <w:szCs w:val="22"/>
              </w:rPr>
            </w:pPr>
            <w:r w:rsidRPr="008F15BF">
              <w:rPr>
                <w:szCs w:val="22"/>
              </w:rPr>
              <w:t xml:space="preserve">reference the protocol for </w:t>
            </w:r>
            <w:r w:rsidRPr="008F15BF">
              <w:rPr>
                <w:rFonts w:cs="Arial"/>
                <w:szCs w:val="22"/>
              </w:rPr>
              <w:t>ordering storage and handling of vaccines</w:t>
            </w:r>
          </w:p>
          <w:p w:rsidR="008F15BF" w:rsidRPr="008F15BF" w:rsidRDefault="008F15BF" w:rsidP="0034679C">
            <w:pPr>
              <w:pStyle w:val="Tabletext"/>
              <w:numPr>
                <w:ilvl w:val="0"/>
                <w:numId w:val="43"/>
              </w:numPr>
              <w:spacing w:before="120" w:after="120"/>
              <w:ind w:left="221" w:hanging="221"/>
              <w:contextualSpacing/>
              <w:rPr>
                <w:szCs w:val="22"/>
              </w:rPr>
            </w:pPr>
            <w:r w:rsidRPr="008F15BF">
              <w:rPr>
                <w:rFonts w:eastAsiaTheme="minorHAnsi" w:cs="Arial"/>
                <w:szCs w:val="22"/>
              </w:rPr>
              <w:t xml:space="preserve">add additional </w:t>
            </w:r>
            <w:r w:rsidRPr="008F15BF">
              <w:rPr>
                <w:szCs w:val="22"/>
              </w:rPr>
              <w:t>paragraphs to the off-label section</w:t>
            </w:r>
            <w:r w:rsidR="006E29D6">
              <w:rPr>
                <w:szCs w:val="22"/>
              </w:rPr>
              <w:t xml:space="preserve"> on storage and consent</w:t>
            </w:r>
          </w:p>
          <w:p w:rsidR="00684FD5" w:rsidRDefault="00684FD5" w:rsidP="0034679C">
            <w:pPr>
              <w:pStyle w:val="Tabletext"/>
              <w:numPr>
                <w:ilvl w:val="0"/>
                <w:numId w:val="43"/>
              </w:numPr>
              <w:spacing w:before="120" w:after="120"/>
              <w:ind w:left="221" w:hanging="221"/>
              <w:contextualSpacing/>
              <w:rPr>
                <w:szCs w:val="22"/>
              </w:rPr>
            </w:pPr>
            <w:r w:rsidRPr="008F15BF">
              <w:rPr>
                <w:szCs w:val="22"/>
              </w:rPr>
              <w:t>refer to vaccine incident guidelines</w:t>
            </w:r>
          </w:p>
          <w:p w:rsidR="00D113AE" w:rsidRPr="008F15BF" w:rsidRDefault="00D113AE" w:rsidP="0034679C">
            <w:pPr>
              <w:pStyle w:val="Tabletext"/>
              <w:numPr>
                <w:ilvl w:val="0"/>
                <w:numId w:val="43"/>
              </w:numPr>
              <w:spacing w:before="120" w:after="120"/>
              <w:ind w:left="221" w:hanging="221"/>
              <w:contextualSpacing/>
              <w:rPr>
                <w:szCs w:val="22"/>
              </w:rPr>
            </w:pPr>
            <w:r>
              <w:rPr>
                <w:szCs w:val="22"/>
              </w:rPr>
              <w:t xml:space="preserve">refer to upload of records onto </w:t>
            </w:r>
            <w:r w:rsidRPr="00BC4017">
              <w:rPr>
                <w:szCs w:val="22"/>
              </w:rPr>
              <w:t>National Health Application Infrastructure Services</w:t>
            </w:r>
          </w:p>
          <w:p w:rsidR="0046701A" w:rsidRPr="008F15BF" w:rsidRDefault="00684FD5" w:rsidP="0034679C">
            <w:pPr>
              <w:pStyle w:val="Tabletext"/>
              <w:numPr>
                <w:ilvl w:val="0"/>
                <w:numId w:val="43"/>
              </w:numPr>
              <w:spacing w:before="120" w:after="120"/>
              <w:ind w:left="221" w:hanging="221"/>
              <w:rPr>
                <w:color w:val="FF0000"/>
                <w:szCs w:val="22"/>
              </w:rPr>
            </w:pPr>
            <w:r w:rsidRPr="008F15BF">
              <w:rPr>
                <w:szCs w:val="22"/>
              </w:rPr>
              <w:t>include rewording, layout and formatting changes for clarity and consistency with other PHE PGD templates</w:t>
            </w:r>
            <w:r w:rsidRPr="008F15BF">
              <w:rPr>
                <w:rFonts w:ascii="Times New Roman" w:eastAsiaTheme="minorHAnsi" w:hAnsi="Times New Roman"/>
              </w:rPr>
              <w:t xml:space="preserve"> </w:t>
            </w:r>
          </w:p>
        </w:tc>
        <w:tc>
          <w:tcPr>
            <w:tcW w:w="917" w:type="pct"/>
            <w:tcBorders>
              <w:top w:val="single" w:sz="4" w:space="0" w:color="auto"/>
              <w:left w:val="single" w:sz="4" w:space="0" w:color="auto"/>
              <w:bottom w:val="single" w:sz="4" w:space="0" w:color="auto"/>
              <w:right w:val="single" w:sz="4" w:space="0" w:color="auto"/>
            </w:tcBorders>
          </w:tcPr>
          <w:p w:rsidR="0046701A" w:rsidRPr="007A1448" w:rsidRDefault="006E29D6" w:rsidP="0034679C">
            <w:pPr>
              <w:pStyle w:val="Tabletext"/>
              <w:spacing w:before="120"/>
            </w:pPr>
            <w:r>
              <w:t>21 March 2018</w:t>
            </w:r>
          </w:p>
        </w:tc>
      </w:tr>
    </w:tbl>
    <w:p w:rsidR="0046701A" w:rsidRDefault="0046701A" w:rsidP="0046701A">
      <w:pPr>
        <w:pStyle w:val="Header"/>
        <w:tabs>
          <w:tab w:val="left" w:pos="720"/>
        </w:tabs>
        <w:jc w:val="both"/>
        <w:rPr>
          <w:rFonts w:ascii="Arial" w:hAnsi="Arial"/>
          <w:i/>
          <w:sz w:val="20"/>
          <w:vertAlign w:val="superscript"/>
        </w:rPr>
      </w:pPr>
    </w:p>
    <w:p w:rsidR="0046701A" w:rsidRDefault="0046701A" w:rsidP="0046701A">
      <w:pPr>
        <w:pStyle w:val="Header"/>
        <w:tabs>
          <w:tab w:val="left" w:pos="720"/>
        </w:tabs>
        <w:jc w:val="both"/>
        <w:rPr>
          <w:rFonts w:ascii="Arial" w:hAnsi="Arial"/>
          <w:i/>
          <w:sz w:val="20"/>
          <w:vertAlign w:val="superscript"/>
        </w:rPr>
      </w:pPr>
    </w:p>
    <w:p w:rsidR="0046701A" w:rsidRDefault="0046701A" w:rsidP="0046701A">
      <w:pPr>
        <w:overflowPunct/>
        <w:autoSpaceDE/>
        <w:autoSpaceDN/>
        <w:adjustRightInd/>
        <w:jc w:val="center"/>
        <w:textAlignment w:val="auto"/>
        <w:rPr>
          <w:rFonts w:cs="Arial"/>
          <w:b/>
          <w:szCs w:val="24"/>
        </w:rPr>
      </w:pPr>
      <w:r>
        <w:rPr>
          <w:rFonts w:cs="Arial"/>
          <w:b/>
          <w:szCs w:val="24"/>
        </w:rPr>
        <w:br w:type="page"/>
      </w:r>
    </w:p>
    <w:p w:rsidR="0046701A" w:rsidRPr="00E161EA" w:rsidRDefault="0046701A" w:rsidP="0046701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t</w:t>
      </w:r>
      <w:r w:rsidRPr="00E161EA">
        <w:rPr>
          <w:rFonts w:ascii="Arial" w:hAnsi="Arial" w:cs="Arial"/>
          <w:b/>
          <w:szCs w:val="24"/>
        </w:rPr>
        <w:t xml:space="preserve">emplate </w:t>
      </w:r>
      <w:r>
        <w:rPr>
          <w:rFonts w:ascii="Arial" w:hAnsi="Arial" w:cs="Arial"/>
          <w:b/>
          <w:szCs w:val="24"/>
        </w:rPr>
        <w:t>d</w:t>
      </w:r>
      <w:r w:rsidRPr="00E161EA">
        <w:rPr>
          <w:rFonts w:ascii="Arial" w:hAnsi="Arial" w:cs="Arial"/>
          <w:b/>
          <w:szCs w:val="24"/>
        </w:rPr>
        <w:t>evelopment</w:t>
      </w:r>
    </w:p>
    <w:p w:rsidR="0046701A" w:rsidRPr="00E161EA" w:rsidRDefault="0046701A" w:rsidP="0046701A">
      <w:pPr>
        <w:pStyle w:val="Header"/>
        <w:spacing w:line="276" w:lineRule="auto"/>
        <w:rPr>
          <w:rFonts w:ascii="Arial" w:hAnsi="Arial" w:cs="Arial"/>
          <w:szCs w:val="24"/>
        </w:rPr>
      </w:pPr>
    </w:p>
    <w:p w:rsidR="0046701A" w:rsidRPr="00CB5D91" w:rsidRDefault="0046701A" w:rsidP="00FA2E6C">
      <w:pPr>
        <w:pStyle w:val="Header"/>
        <w:spacing w:after="200" w:line="276" w:lineRule="auto"/>
        <w:rPr>
          <w:rFonts w:ascii="Arial" w:hAnsi="Arial" w:cs="Arial"/>
          <w:szCs w:val="24"/>
        </w:rPr>
      </w:pPr>
      <w:r w:rsidRPr="00E161EA">
        <w:rPr>
          <w:rFonts w:ascii="Arial" w:hAnsi="Arial" w:cs="Arial"/>
          <w:szCs w:val="24"/>
        </w:rPr>
        <w:t>This PGD template has been developed by the following</w:t>
      </w:r>
      <w:r w:rsidR="00684FD5">
        <w:rPr>
          <w:rFonts w:ascii="Arial" w:hAnsi="Arial" w:cs="Arial"/>
          <w:szCs w:val="24"/>
        </w:rPr>
        <w:t xml:space="preserve"> health professionals</w:t>
      </w:r>
      <w:r w:rsidRPr="00E161EA">
        <w:rPr>
          <w:rFonts w:ascii="Arial" w:hAnsi="Arial" w:cs="Arial"/>
          <w:szCs w:val="24"/>
        </w:rPr>
        <w:t xml:space="preserve"> on behalf of Public Health England:</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46701A" w:rsidRPr="0036347F" w:rsidTr="0046701A">
        <w:trPr>
          <w:trHeight w:val="549"/>
        </w:trPr>
        <w:tc>
          <w:tcPr>
            <w:tcW w:w="2694" w:type="dxa"/>
            <w:shd w:val="clear" w:color="auto" w:fill="F2F2F2" w:themeFill="background1" w:themeFillShade="F2"/>
            <w:vAlign w:val="center"/>
          </w:tcPr>
          <w:p w:rsidR="0046701A" w:rsidRPr="00FA2E6C" w:rsidRDefault="0046701A" w:rsidP="0046701A">
            <w:pPr>
              <w:rPr>
                <w:rFonts w:cs="Arial"/>
                <w:color w:val="FF0000"/>
                <w:sz w:val="22"/>
                <w:szCs w:val="22"/>
              </w:rPr>
            </w:pPr>
            <w:r w:rsidRPr="00FA2E6C">
              <w:rPr>
                <w:rFonts w:cs="Arial"/>
                <w:b/>
                <w:sz w:val="22"/>
                <w:szCs w:val="22"/>
              </w:rPr>
              <w:t>Developed by:</w:t>
            </w:r>
          </w:p>
        </w:tc>
        <w:tc>
          <w:tcPr>
            <w:tcW w:w="3118" w:type="dxa"/>
            <w:shd w:val="clear" w:color="auto" w:fill="F2F2F2" w:themeFill="background1" w:themeFillShade="F2"/>
            <w:vAlign w:val="center"/>
          </w:tcPr>
          <w:p w:rsidR="0046701A" w:rsidRPr="00FA2E6C" w:rsidRDefault="0046701A" w:rsidP="0046701A">
            <w:pPr>
              <w:rPr>
                <w:rFonts w:cs="Arial"/>
                <w:b/>
                <w:sz w:val="22"/>
                <w:szCs w:val="22"/>
              </w:rPr>
            </w:pPr>
            <w:r w:rsidRPr="00FA2E6C">
              <w:rPr>
                <w:rFonts w:cs="Arial"/>
                <w:b/>
                <w:sz w:val="22"/>
                <w:szCs w:val="22"/>
              </w:rPr>
              <w:t>Name</w:t>
            </w:r>
          </w:p>
        </w:tc>
        <w:tc>
          <w:tcPr>
            <w:tcW w:w="2126" w:type="dxa"/>
            <w:shd w:val="clear" w:color="auto" w:fill="F2F2F2" w:themeFill="background1" w:themeFillShade="F2"/>
            <w:vAlign w:val="center"/>
          </w:tcPr>
          <w:p w:rsidR="0046701A" w:rsidRPr="00FA2E6C" w:rsidRDefault="0046701A" w:rsidP="0046701A">
            <w:pPr>
              <w:rPr>
                <w:rFonts w:cs="Arial"/>
                <w:b/>
                <w:sz w:val="22"/>
                <w:szCs w:val="22"/>
              </w:rPr>
            </w:pPr>
            <w:r w:rsidRPr="00FA2E6C">
              <w:rPr>
                <w:rFonts w:cs="Arial"/>
                <w:b/>
                <w:sz w:val="22"/>
                <w:szCs w:val="22"/>
              </w:rPr>
              <w:t>Signature</w:t>
            </w:r>
          </w:p>
        </w:tc>
        <w:tc>
          <w:tcPr>
            <w:tcW w:w="1985" w:type="dxa"/>
            <w:shd w:val="clear" w:color="auto" w:fill="F2F2F2" w:themeFill="background1" w:themeFillShade="F2"/>
            <w:vAlign w:val="center"/>
          </w:tcPr>
          <w:p w:rsidR="0046701A" w:rsidRPr="00FA2E6C" w:rsidRDefault="0046701A" w:rsidP="0046701A">
            <w:pPr>
              <w:rPr>
                <w:rFonts w:cs="Arial"/>
                <w:b/>
                <w:sz w:val="22"/>
                <w:szCs w:val="22"/>
              </w:rPr>
            </w:pPr>
            <w:r w:rsidRPr="00FA2E6C">
              <w:rPr>
                <w:rFonts w:cs="Arial"/>
                <w:b/>
                <w:sz w:val="22"/>
                <w:szCs w:val="22"/>
              </w:rPr>
              <w:t>Date</w:t>
            </w:r>
          </w:p>
        </w:tc>
      </w:tr>
      <w:tr w:rsidR="0034679C" w:rsidRPr="0036347F" w:rsidTr="0046701A">
        <w:trPr>
          <w:trHeight w:val="720"/>
        </w:trPr>
        <w:tc>
          <w:tcPr>
            <w:tcW w:w="2694" w:type="dxa"/>
          </w:tcPr>
          <w:p w:rsidR="0034679C" w:rsidRPr="00FA2E6C" w:rsidRDefault="0034679C" w:rsidP="0046701A">
            <w:pPr>
              <w:pStyle w:val="Heading6"/>
              <w:spacing w:before="0" w:after="0"/>
              <w:jc w:val="left"/>
              <w:rPr>
                <w:rFonts w:ascii="Arial" w:hAnsi="Arial" w:cs="Arial"/>
                <w:i w:val="0"/>
                <w:sz w:val="22"/>
                <w:szCs w:val="22"/>
              </w:rPr>
            </w:pPr>
          </w:p>
          <w:p w:rsidR="0034679C" w:rsidRPr="00FA2E6C" w:rsidRDefault="0034679C" w:rsidP="0046701A">
            <w:pPr>
              <w:pStyle w:val="Heading6"/>
              <w:spacing w:before="0" w:after="0"/>
              <w:jc w:val="left"/>
              <w:rPr>
                <w:rFonts w:ascii="Arial" w:hAnsi="Arial" w:cs="Arial"/>
                <w:i w:val="0"/>
                <w:sz w:val="22"/>
                <w:szCs w:val="22"/>
              </w:rPr>
            </w:pPr>
            <w:r w:rsidRPr="00FA2E6C">
              <w:rPr>
                <w:rFonts w:ascii="Arial" w:hAnsi="Arial" w:cs="Arial"/>
                <w:i w:val="0"/>
                <w:sz w:val="22"/>
                <w:szCs w:val="22"/>
              </w:rPr>
              <w:t>Pharmacist</w:t>
            </w:r>
          </w:p>
          <w:p w:rsidR="0034679C" w:rsidRPr="00FA2E6C" w:rsidRDefault="0034679C" w:rsidP="0046701A">
            <w:pPr>
              <w:rPr>
                <w:rFonts w:cs="Arial"/>
                <w:sz w:val="22"/>
                <w:szCs w:val="22"/>
              </w:rPr>
            </w:pPr>
            <w:r w:rsidRPr="00FA2E6C">
              <w:rPr>
                <w:rFonts w:cs="Arial"/>
                <w:sz w:val="22"/>
                <w:szCs w:val="22"/>
              </w:rPr>
              <w:t>(Lead Author)</w:t>
            </w:r>
          </w:p>
        </w:tc>
        <w:tc>
          <w:tcPr>
            <w:tcW w:w="3118" w:type="dxa"/>
            <w:shd w:val="clear" w:color="auto" w:fill="auto"/>
            <w:vAlign w:val="center"/>
          </w:tcPr>
          <w:p w:rsidR="0034679C" w:rsidRPr="00FA2E6C" w:rsidRDefault="0034679C" w:rsidP="0046701A">
            <w:pPr>
              <w:rPr>
                <w:rFonts w:cs="Arial"/>
                <w:sz w:val="22"/>
                <w:szCs w:val="22"/>
              </w:rPr>
            </w:pPr>
            <w:r w:rsidRPr="00FA2E6C">
              <w:rPr>
                <w:rFonts w:cs="Arial"/>
                <w:sz w:val="22"/>
                <w:szCs w:val="22"/>
              </w:rPr>
              <w:t>Elizabeth Graham</w:t>
            </w:r>
          </w:p>
          <w:p w:rsidR="0034679C" w:rsidRPr="00A22165" w:rsidRDefault="0034679C" w:rsidP="0046701A">
            <w:pPr>
              <w:rPr>
                <w:rFonts w:cs="Arial"/>
                <w:sz w:val="18"/>
                <w:szCs w:val="18"/>
              </w:rPr>
            </w:pPr>
            <w:r w:rsidRPr="00A22165">
              <w:rPr>
                <w:rFonts w:cs="Arial"/>
                <w:sz w:val="18"/>
                <w:szCs w:val="18"/>
              </w:rPr>
              <w:t>Lead Pharmacist Immunisation Services, PHE</w:t>
            </w:r>
          </w:p>
        </w:tc>
        <w:tc>
          <w:tcPr>
            <w:tcW w:w="2126" w:type="dxa"/>
          </w:tcPr>
          <w:p w:rsidR="0034679C" w:rsidRPr="0036347F" w:rsidRDefault="00433EC2" w:rsidP="001E271F">
            <w:pPr>
              <w:ind w:left="-108"/>
              <w:rPr>
                <w:rFonts w:cs="Arial"/>
                <w:i/>
                <w:color w:val="FF0000"/>
                <w:sz w:val="22"/>
                <w:szCs w:val="22"/>
              </w:rPr>
            </w:pPr>
            <w:r>
              <w:rPr>
                <w:noProof/>
                <w:lang w:eastAsia="en-US"/>
              </w:rPr>
              <w:drawing>
                <wp:anchor distT="0" distB="0" distL="114300" distR="114300" simplePos="0" relativeHeight="251661312" behindDoc="1" locked="0" layoutInCell="1" allowOverlap="1" wp14:anchorId="17A9FC75">
                  <wp:simplePos x="0" y="0"/>
                  <wp:positionH relativeFrom="column">
                    <wp:posOffset>-68580</wp:posOffset>
                  </wp:positionH>
                  <wp:positionV relativeFrom="paragraph">
                    <wp:posOffset>-1905</wp:posOffset>
                  </wp:positionV>
                  <wp:extent cx="1483995" cy="561340"/>
                  <wp:effectExtent l="0" t="0" r="1905" b="0"/>
                  <wp:wrapNone/>
                  <wp:docPr id="5" name="Picture 8" descr="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995" cy="56134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rsidR="0034679C" w:rsidRPr="0036347F" w:rsidRDefault="0034679C" w:rsidP="001E271F">
            <w:pPr>
              <w:rPr>
                <w:rFonts w:cs="Arial"/>
              </w:rPr>
            </w:pPr>
            <w:r>
              <w:rPr>
                <w:rFonts w:cs="Arial"/>
                <w:lang w:eastAsia="en-US"/>
              </w:rPr>
              <w:t>23/03/2018</w:t>
            </w:r>
          </w:p>
        </w:tc>
      </w:tr>
      <w:tr w:rsidR="0034679C" w:rsidRPr="0036347F" w:rsidTr="0046701A">
        <w:trPr>
          <w:trHeight w:val="621"/>
        </w:trPr>
        <w:tc>
          <w:tcPr>
            <w:tcW w:w="2694" w:type="dxa"/>
          </w:tcPr>
          <w:p w:rsidR="0034679C" w:rsidRPr="00FA2E6C" w:rsidRDefault="0034679C" w:rsidP="0046701A">
            <w:pPr>
              <w:pStyle w:val="Heading5"/>
              <w:spacing w:before="0" w:after="0"/>
              <w:rPr>
                <w:rFonts w:ascii="Arial" w:hAnsi="Arial" w:cs="Arial"/>
                <w:i w:val="0"/>
                <w:sz w:val="22"/>
                <w:szCs w:val="22"/>
              </w:rPr>
            </w:pPr>
          </w:p>
          <w:p w:rsidR="0034679C" w:rsidRPr="00FA2E6C" w:rsidRDefault="0034679C" w:rsidP="0046701A">
            <w:pPr>
              <w:pStyle w:val="Heading5"/>
              <w:spacing w:before="0" w:after="0"/>
              <w:rPr>
                <w:rFonts w:ascii="Arial" w:hAnsi="Arial" w:cs="Arial"/>
                <w:i w:val="0"/>
                <w:sz w:val="22"/>
                <w:szCs w:val="22"/>
              </w:rPr>
            </w:pPr>
            <w:r w:rsidRPr="00FA2E6C">
              <w:rPr>
                <w:rFonts w:ascii="Arial" w:hAnsi="Arial" w:cs="Arial"/>
                <w:i w:val="0"/>
                <w:sz w:val="22"/>
                <w:szCs w:val="22"/>
              </w:rPr>
              <w:t>Doctor</w:t>
            </w:r>
          </w:p>
          <w:p w:rsidR="0034679C" w:rsidRPr="00FA2E6C" w:rsidRDefault="0034679C" w:rsidP="0046701A">
            <w:pPr>
              <w:rPr>
                <w:rFonts w:cs="Arial"/>
                <w:sz w:val="22"/>
                <w:szCs w:val="22"/>
              </w:rPr>
            </w:pPr>
          </w:p>
        </w:tc>
        <w:tc>
          <w:tcPr>
            <w:tcW w:w="3118" w:type="dxa"/>
            <w:vAlign w:val="center"/>
          </w:tcPr>
          <w:p w:rsidR="0034679C" w:rsidRPr="00FA2E6C" w:rsidRDefault="0034679C" w:rsidP="0046701A">
            <w:pPr>
              <w:rPr>
                <w:rFonts w:cs="Arial"/>
                <w:sz w:val="22"/>
                <w:szCs w:val="22"/>
              </w:rPr>
            </w:pPr>
            <w:r w:rsidRPr="00FA2E6C">
              <w:rPr>
                <w:rFonts w:cs="Arial"/>
                <w:sz w:val="22"/>
                <w:szCs w:val="22"/>
              </w:rPr>
              <w:t>Mary Ramsay</w:t>
            </w:r>
          </w:p>
          <w:p w:rsidR="0034679C" w:rsidRPr="00A22165" w:rsidRDefault="0034679C" w:rsidP="0046701A">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rsidR="0034679C" w:rsidRPr="0036347F" w:rsidRDefault="0092694B" w:rsidP="001E271F">
            <w:pPr>
              <w:rPr>
                <w:rFonts w:cs="Arial"/>
                <w:i/>
                <w:color w:val="FF0000"/>
                <w:sz w:val="22"/>
                <w:szCs w:val="22"/>
              </w:rPr>
            </w:pPr>
            <w:r>
              <w:rPr>
                <w:noProof/>
              </w:rPr>
              <w:drawing>
                <wp:anchor distT="0" distB="0" distL="114300" distR="114300" simplePos="0" relativeHeight="251664384" behindDoc="1" locked="0" layoutInCell="1" allowOverlap="1">
                  <wp:simplePos x="0" y="0"/>
                  <wp:positionH relativeFrom="column">
                    <wp:posOffset>4977</wp:posOffset>
                  </wp:positionH>
                  <wp:positionV relativeFrom="paragraph">
                    <wp:posOffset>2466</wp:posOffset>
                  </wp:positionV>
                  <wp:extent cx="1419860" cy="499745"/>
                  <wp:effectExtent l="0" t="0" r="889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8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rsidR="0034679C" w:rsidRPr="0036347F" w:rsidRDefault="0092694B" w:rsidP="001E271F">
            <w:pPr>
              <w:rPr>
                <w:rFonts w:cs="Arial"/>
              </w:rPr>
            </w:pPr>
            <w:r>
              <w:rPr>
                <w:rFonts w:cs="Arial"/>
              </w:rPr>
              <w:t>04/04/2018</w:t>
            </w:r>
          </w:p>
        </w:tc>
      </w:tr>
      <w:tr w:rsidR="0034679C" w:rsidRPr="0036347F" w:rsidTr="0046701A">
        <w:trPr>
          <w:trHeight w:val="621"/>
        </w:trPr>
        <w:tc>
          <w:tcPr>
            <w:tcW w:w="2694" w:type="dxa"/>
          </w:tcPr>
          <w:p w:rsidR="0034679C" w:rsidRPr="00FA2E6C" w:rsidRDefault="0034679C" w:rsidP="0046701A">
            <w:pPr>
              <w:pStyle w:val="Heading5"/>
              <w:spacing w:before="0" w:after="0"/>
              <w:rPr>
                <w:rFonts w:ascii="Arial" w:hAnsi="Arial" w:cs="Arial"/>
                <w:i w:val="0"/>
                <w:color w:val="FF0000"/>
                <w:sz w:val="22"/>
                <w:szCs w:val="22"/>
              </w:rPr>
            </w:pPr>
          </w:p>
          <w:p w:rsidR="0034679C" w:rsidRPr="00FA2E6C" w:rsidRDefault="0034679C" w:rsidP="0046701A">
            <w:pPr>
              <w:pStyle w:val="Heading5"/>
              <w:spacing w:before="0" w:after="0"/>
              <w:rPr>
                <w:rFonts w:ascii="Arial" w:hAnsi="Arial" w:cs="Arial"/>
                <w:i w:val="0"/>
                <w:sz w:val="22"/>
                <w:szCs w:val="22"/>
              </w:rPr>
            </w:pPr>
            <w:r w:rsidRPr="00FA2E6C">
              <w:rPr>
                <w:rFonts w:ascii="Arial" w:hAnsi="Arial" w:cs="Arial"/>
                <w:i w:val="0"/>
                <w:sz w:val="22"/>
                <w:szCs w:val="22"/>
              </w:rPr>
              <w:t>Registered Nurse</w:t>
            </w:r>
          </w:p>
          <w:p w:rsidR="0034679C" w:rsidRPr="00FA2E6C" w:rsidRDefault="0034679C" w:rsidP="0046701A">
            <w:pPr>
              <w:rPr>
                <w:rFonts w:cs="Arial"/>
                <w:sz w:val="22"/>
                <w:szCs w:val="22"/>
              </w:rPr>
            </w:pPr>
            <w:r w:rsidRPr="00FA2E6C">
              <w:rPr>
                <w:rFonts w:cs="Arial"/>
                <w:sz w:val="22"/>
                <w:szCs w:val="22"/>
              </w:rPr>
              <w:t>(Chair of Expert Panel</w:t>
            </w:r>
            <w:r>
              <w:rPr>
                <w:rFonts w:cs="Arial"/>
                <w:sz w:val="22"/>
                <w:szCs w:val="22"/>
              </w:rPr>
              <w:t>)</w:t>
            </w:r>
          </w:p>
        </w:tc>
        <w:tc>
          <w:tcPr>
            <w:tcW w:w="3118" w:type="dxa"/>
            <w:vAlign w:val="center"/>
          </w:tcPr>
          <w:p w:rsidR="0034679C" w:rsidRPr="00FA2E6C" w:rsidRDefault="0034679C" w:rsidP="0046701A">
            <w:pPr>
              <w:rPr>
                <w:rFonts w:cs="Arial"/>
                <w:sz w:val="22"/>
                <w:szCs w:val="22"/>
              </w:rPr>
            </w:pPr>
            <w:r w:rsidRPr="00FA2E6C">
              <w:rPr>
                <w:rFonts w:cs="Arial"/>
                <w:sz w:val="22"/>
                <w:szCs w:val="22"/>
              </w:rPr>
              <w:t>David Green</w:t>
            </w:r>
          </w:p>
          <w:p w:rsidR="0034679C" w:rsidRPr="00A22165" w:rsidRDefault="0034679C" w:rsidP="0046701A">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rsidR="0034679C" w:rsidRPr="0036347F" w:rsidRDefault="00433EC2" w:rsidP="001E271F">
            <w:pPr>
              <w:rPr>
                <w:rFonts w:cs="Arial"/>
                <w:i/>
                <w:color w:val="FF0000"/>
                <w:sz w:val="22"/>
                <w:szCs w:val="22"/>
              </w:rPr>
            </w:pPr>
            <w:r>
              <w:rPr>
                <w:noProof/>
                <w:lang w:eastAsia="en-US"/>
              </w:rPr>
              <w:drawing>
                <wp:anchor distT="0" distB="0" distL="114300" distR="114300" simplePos="0" relativeHeight="251663360" behindDoc="1" locked="0" layoutInCell="1" allowOverlap="1" wp14:anchorId="3F131BBC">
                  <wp:simplePos x="0" y="0"/>
                  <wp:positionH relativeFrom="column">
                    <wp:posOffset>-68580</wp:posOffset>
                  </wp:positionH>
                  <wp:positionV relativeFrom="paragraph">
                    <wp:posOffset>-1270</wp:posOffset>
                  </wp:positionV>
                  <wp:extent cx="1423670" cy="513080"/>
                  <wp:effectExtent l="0" t="0" r="5080" b="127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670" cy="51308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34679C" w:rsidRPr="0036347F" w:rsidRDefault="0034679C" w:rsidP="001E271F">
            <w:pPr>
              <w:rPr>
                <w:rFonts w:cs="Arial"/>
              </w:rPr>
            </w:pPr>
            <w:r>
              <w:rPr>
                <w:rFonts w:cs="Arial"/>
                <w:lang w:eastAsia="en-US"/>
              </w:rPr>
              <w:t>22/03/2018</w:t>
            </w:r>
          </w:p>
        </w:tc>
      </w:tr>
    </w:tbl>
    <w:p w:rsidR="0046701A" w:rsidRDefault="0046701A" w:rsidP="0046701A">
      <w:pPr>
        <w:rPr>
          <w:rFonts w:cs="Arial"/>
          <w:i/>
          <w:sz w:val="16"/>
          <w:szCs w:val="16"/>
        </w:rPr>
      </w:pPr>
    </w:p>
    <w:p w:rsidR="0046701A" w:rsidRPr="00E161EA" w:rsidRDefault="0046701A" w:rsidP="0046701A">
      <w:pPr>
        <w:rPr>
          <w:rFonts w:cs="Arial"/>
          <w:szCs w:val="24"/>
        </w:rPr>
      </w:pPr>
      <w:r w:rsidRPr="00E161EA">
        <w:rPr>
          <w:rFonts w:cs="Arial"/>
          <w:szCs w:val="24"/>
        </w:rPr>
        <w:t xml:space="preserve">This PGD template has been peer reviewed by the PHE Immunisations PGD Expert Panel in accordance with PHE </w:t>
      </w:r>
      <w:r w:rsidR="00E65B41">
        <w:rPr>
          <w:rFonts w:cs="Arial"/>
          <w:szCs w:val="24"/>
        </w:rPr>
        <w:t xml:space="preserve">PGD </w:t>
      </w:r>
      <w:r w:rsidRPr="00E161EA">
        <w:rPr>
          <w:rFonts w:cs="Arial"/>
          <w:szCs w:val="24"/>
        </w:rPr>
        <w:t xml:space="preserve">Policy. It has been ratified by </w:t>
      </w:r>
      <w:r w:rsidR="00684FD5">
        <w:rPr>
          <w:rFonts w:cs="Arial"/>
          <w:szCs w:val="24"/>
        </w:rPr>
        <w:t xml:space="preserve">the </w:t>
      </w:r>
      <w:r w:rsidRPr="00E161EA">
        <w:rPr>
          <w:rFonts w:cs="Arial"/>
          <w:szCs w:val="24"/>
        </w:rPr>
        <w:t xml:space="preserve">PHE Medicines Management Group and </w:t>
      </w:r>
      <w:r w:rsidR="00684FD5">
        <w:rPr>
          <w:rFonts w:cs="Arial"/>
          <w:szCs w:val="24"/>
        </w:rPr>
        <w:t xml:space="preserve">the </w:t>
      </w:r>
      <w:r w:rsidRPr="00E161EA">
        <w:rPr>
          <w:rFonts w:cs="Arial"/>
          <w:szCs w:val="24"/>
        </w:rPr>
        <w:t xml:space="preserve">PHE </w:t>
      </w:r>
      <w:r w:rsidR="00E65B41" w:rsidRPr="00206D7C">
        <w:rPr>
          <w:rFonts w:cs="Arial"/>
        </w:rPr>
        <w:t xml:space="preserve">Quality and Clinical Governance </w:t>
      </w:r>
      <w:r w:rsidR="00684FD5">
        <w:rPr>
          <w:rFonts w:cs="Arial"/>
        </w:rPr>
        <w:t>Delivery Board</w:t>
      </w:r>
      <w:r w:rsidRPr="00E161EA">
        <w:rPr>
          <w:rFonts w:cs="Arial"/>
          <w:szCs w:val="24"/>
        </w:rPr>
        <w:t>.</w:t>
      </w:r>
    </w:p>
    <w:p w:rsidR="0046701A" w:rsidRPr="00E161EA" w:rsidRDefault="0046701A" w:rsidP="0046701A">
      <w:pPr>
        <w:rPr>
          <w:szCs w:val="24"/>
        </w:rPr>
      </w:pPr>
    </w:p>
    <w:p w:rsidR="0046701A" w:rsidRPr="00E161EA" w:rsidRDefault="00684FD5" w:rsidP="00FA2E6C">
      <w:pPr>
        <w:spacing w:after="200" w:line="276" w:lineRule="auto"/>
        <w:rPr>
          <w:rFonts w:cs="Arial"/>
          <w:b/>
          <w:szCs w:val="24"/>
        </w:rPr>
      </w:pPr>
      <w:r>
        <w:rPr>
          <w:rFonts w:cs="Arial"/>
          <w:b/>
          <w:szCs w:val="24"/>
        </w:rPr>
        <w:t>Expert Panel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368"/>
      </w:tblGrid>
      <w:tr w:rsidR="0046701A" w:rsidRPr="00626654" w:rsidTr="00971436">
        <w:trPr>
          <w:trHeight w:val="254"/>
        </w:trPr>
        <w:tc>
          <w:tcPr>
            <w:tcW w:w="2410" w:type="dxa"/>
            <w:vAlign w:val="center"/>
          </w:tcPr>
          <w:p w:rsidR="0046701A" w:rsidRPr="00626654" w:rsidRDefault="0046701A" w:rsidP="0046701A">
            <w:pPr>
              <w:spacing w:line="276" w:lineRule="auto"/>
              <w:rPr>
                <w:rFonts w:cs="Arial"/>
                <w:b/>
                <w:sz w:val="22"/>
                <w:szCs w:val="22"/>
              </w:rPr>
            </w:pPr>
            <w:r w:rsidRPr="00626654">
              <w:rPr>
                <w:rFonts w:cs="Arial"/>
                <w:b/>
                <w:sz w:val="22"/>
                <w:szCs w:val="22"/>
              </w:rPr>
              <w:t>Name</w:t>
            </w:r>
          </w:p>
        </w:tc>
        <w:tc>
          <w:tcPr>
            <w:tcW w:w="7513" w:type="dxa"/>
            <w:vAlign w:val="center"/>
          </w:tcPr>
          <w:p w:rsidR="0046701A" w:rsidRPr="00626654" w:rsidRDefault="0046701A" w:rsidP="0046701A">
            <w:pPr>
              <w:spacing w:line="276" w:lineRule="auto"/>
              <w:rPr>
                <w:rFonts w:cs="Arial"/>
                <w:b/>
                <w:sz w:val="22"/>
                <w:szCs w:val="22"/>
              </w:rPr>
            </w:pPr>
            <w:r w:rsidRPr="00626654">
              <w:rPr>
                <w:rFonts w:cs="Arial"/>
                <w:b/>
                <w:sz w:val="22"/>
                <w:szCs w:val="22"/>
              </w:rPr>
              <w:t>Designation</w:t>
            </w:r>
          </w:p>
        </w:tc>
      </w:tr>
      <w:tr w:rsidR="00684FD5" w:rsidRPr="00626654" w:rsidTr="00C16E78">
        <w:trPr>
          <w:trHeight w:val="267"/>
        </w:trPr>
        <w:tc>
          <w:tcPr>
            <w:tcW w:w="2410" w:type="dxa"/>
            <w:vAlign w:val="center"/>
          </w:tcPr>
          <w:p w:rsidR="00684FD5" w:rsidRPr="00626654" w:rsidRDefault="00684FD5" w:rsidP="0046701A">
            <w:pPr>
              <w:spacing w:before="60" w:after="60" w:line="276" w:lineRule="auto"/>
              <w:rPr>
                <w:sz w:val="22"/>
                <w:szCs w:val="22"/>
              </w:rPr>
            </w:pPr>
            <w:r w:rsidRPr="00626654">
              <w:rPr>
                <w:sz w:val="22"/>
                <w:szCs w:val="22"/>
              </w:rPr>
              <w:t>Ed Gardner</w:t>
            </w:r>
          </w:p>
        </w:tc>
        <w:tc>
          <w:tcPr>
            <w:tcW w:w="7513" w:type="dxa"/>
            <w:vAlign w:val="center"/>
          </w:tcPr>
          <w:p w:rsidR="00684FD5" w:rsidRPr="00626654" w:rsidRDefault="00684FD5" w:rsidP="0046701A">
            <w:pPr>
              <w:tabs>
                <w:tab w:val="left" w:pos="2320"/>
              </w:tabs>
              <w:spacing w:before="60" w:after="60" w:line="276" w:lineRule="auto"/>
              <w:rPr>
                <w:rFonts w:cs="Arial"/>
                <w:sz w:val="22"/>
                <w:szCs w:val="22"/>
              </w:rPr>
            </w:pPr>
            <w:r w:rsidRPr="00626654">
              <w:rPr>
                <w:sz w:val="22"/>
                <w:szCs w:val="22"/>
              </w:rPr>
              <w:t>Advanced Paramedic Practitioner/Emergency Care Practitioner, Medicines Manager, Proactive Care Lead</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Jacqueline Lamberty</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Style w:val="st1"/>
                <w:sz w:val="22"/>
                <w:szCs w:val="22"/>
              </w:rPr>
              <w:t>Lead Pharmacist Medicines Management Services, Public Health England</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Vanessa MacGregor</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Style w:val="st1"/>
                <w:sz w:val="22"/>
                <w:szCs w:val="22"/>
                <w:lang w:eastAsia="en-US"/>
              </w:rPr>
              <w:t>Consultant in Communicable Disease Control, Public Health England, East Midlands Health Protection Team</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Alison Mackenzie</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Style w:val="st1"/>
                <w:sz w:val="22"/>
                <w:szCs w:val="22"/>
                <w:lang w:eastAsia="en-US"/>
              </w:rPr>
              <w:t>Consultant in Public Health Medicine, Screening and Immunisation Lead, Public Health England / NHS England South (South West)</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Gill Marsh</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sz w:val="22"/>
                <w:szCs w:val="22"/>
              </w:rPr>
              <w:t>Senior Screening and Immunisation Manager Public Health England / NHS England Lancashire and South Cumbria</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Lesley McFarlane</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Fonts w:cs="Arial"/>
                <w:sz w:val="22"/>
                <w:szCs w:val="22"/>
              </w:rPr>
              <w:t xml:space="preserve">Screening and Immunisation Co-ordinator (SIC) </w:t>
            </w:r>
            <w:r w:rsidRPr="00626654">
              <w:rPr>
                <w:color w:val="000000"/>
                <w:sz w:val="22"/>
                <w:szCs w:val="22"/>
              </w:rPr>
              <w:t xml:space="preserve">NHS England Leicestershire, Lincolnshire and </w:t>
            </w:r>
            <w:r w:rsidRPr="00626654">
              <w:rPr>
                <w:sz w:val="22"/>
                <w:szCs w:val="22"/>
              </w:rPr>
              <w:t>Northamptonshire</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Sally Millership</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color w:val="000000"/>
                <w:sz w:val="22"/>
                <w:szCs w:val="22"/>
              </w:rPr>
              <w:t>Consultant in Communicable Disease Control, Public Health England, East of England Health Protection Team</w:t>
            </w:r>
          </w:p>
        </w:tc>
      </w:tr>
      <w:tr w:rsidR="00C16E78" w:rsidRPr="00626654" w:rsidTr="00971436">
        <w:trPr>
          <w:trHeight w:val="267"/>
        </w:trPr>
        <w:tc>
          <w:tcPr>
            <w:tcW w:w="2410" w:type="dxa"/>
          </w:tcPr>
          <w:p w:rsidR="00C16E78" w:rsidRPr="00626654" w:rsidRDefault="00C16E78" w:rsidP="0046701A">
            <w:pPr>
              <w:spacing w:before="60" w:after="60" w:line="276" w:lineRule="auto"/>
              <w:rPr>
                <w:sz w:val="22"/>
                <w:szCs w:val="22"/>
              </w:rPr>
            </w:pPr>
            <w:r w:rsidRPr="00C16E78">
              <w:rPr>
                <w:sz w:val="22"/>
                <w:szCs w:val="22"/>
              </w:rPr>
              <w:t>Vanessa Saliba</w:t>
            </w:r>
          </w:p>
        </w:tc>
        <w:tc>
          <w:tcPr>
            <w:tcW w:w="7513" w:type="dxa"/>
          </w:tcPr>
          <w:p w:rsidR="00C16E78" w:rsidRPr="00C16E78" w:rsidRDefault="00C16E78" w:rsidP="0046701A">
            <w:pPr>
              <w:tabs>
                <w:tab w:val="left" w:pos="2320"/>
              </w:tabs>
              <w:spacing w:before="60" w:after="60" w:line="276" w:lineRule="auto"/>
              <w:rPr>
                <w:sz w:val="22"/>
                <w:szCs w:val="22"/>
              </w:rPr>
            </w:pPr>
            <w:r w:rsidRPr="00C16E78">
              <w:rPr>
                <w:sz w:val="22"/>
                <w:szCs w:val="22"/>
              </w:rPr>
              <w:t xml:space="preserve">Consultant </w:t>
            </w:r>
            <w:proofErr w:type="gramStart"/>
            <w:r w:rsidRPr="00C16E78">
              <w:rPr>
                <w:sz w:val="22"/>
                <w:szCs w:val="22"/>
              </w:rPr>
              <w:t>Epidemiologist ,</w:t>
            </w:r>
            <w:proofErr w:type="gramEnd"/>
            <w:r w:rsidRPr="00C16E78">
              <w:rPr>
                <w:sz w:val="22"/>
                <w:szCs w:val="22"/>
              </w:rPr>
              <w:t xml:space="preserve"> Public Health England</w:t>
            </w:r>
          </w:p>
        </w:tc>
      </w:tr>
      <w:tr w:rsidR="00684FD5" w:rsidRPr="00626654" w:rsidTr="00971436">
        <w:trPr>
          <w:trHeight w:val="267"/>
        </w:trPr>
        <w:tc>
          <w:tcPr>
            <w:tcW w:w="2410" w:type="dxa"/>
          </w:tcPr>
          <w:p w:rsidR="00684FD5" w:rsidRPr="00FA2E6C" w:rsidRDefault="00971436" w:rsidP="0046701A">
            <w:pPr>
              <w:spacing w:before="60" w:after="60" w:line="276" w:lineRule="auto"/>
              <w:rPr>
                <w:color w:val="000000"/>
                <w:sz w:val="22"/>
                <w:szCs w:val="22"/>
              </w:rPr>
            </w:pPr>
            <w:r w:rsidRPr="00FA2E6C">
              <w:rPr>
                <w:color w:val="000000"/>
                <w:sz w:val="22"/>
                <w:szCs w:val="22"/>
              </w:rPr>
              <w:t>Helen Wilkinson</w:t>
            </w:r>
          </w:p>
        </w:tc>
        <w:tc>
          <w:tcPr>
            <w:tcW w:w="7513" w:type="dxa"/>
          </w:tcPr>
          <w:p w:rsidR="00684FD5" w:rsidRPr="00FA2E6C" w:rsidRDefault="00971436" w:rsidP="00FA2E6C">
            <w:pPr>
              <w:spacing w:before="60" w:after="60"/>
              <w:rPr>
                <w:color w:val="000000"/>
                <w:sz w:val="22"/>
                <w:szCs w:val="22"/>
              </w:rPr>
            </w:pPr>
            <w:r w:rsidRPr="00FA2E6C">
              <w:rPr>
                <w:color w:val="000000"/>
                <w:sz w:val="22"/>
                <w:szCs w:val="22"/>
              </w:rPr>
              <w:t>Deputy Head of Medicines Management</w:t>
            </w:r>
            <w:r w:rsidR="00FA2E6C" w:rsidRPr="00FA2E6C">
              <w:rPr>
                <w:color w:val="000000"/>
                <w:sz w:val="22"/>
                <w:szCs w:val="22"/>
              </w:rPr>
              <w:t xml:space="preserve">, </w:t>
            </w:r>
            <w:r w:rsidRPr="00FA2E6C">
              <w:rPr>
                <w:color w:val="000000"/>
                <w:sz w:val="22"/>
                <w:szCs w:val="22"/>
              </w:rPr>
              <w:t>NHS South Gloucestershire</w:t>
            </w:r>
            <w:r w:rsidR="00684FD5" w:rsidRPr="00FA2E6C">
              <w:rPr>
                <w:color w:val="000000"/>
                <w:sz w:val="22"/>
                <w:szCs w:val="22"/>
              </w:rPr>
              <w:t xml:space="preserve"> Clinical Commissioning Group</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Tushar Shah</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color w:val="000000"/>
                <w:sz w:val="22"/>
                <w:szCs w:val="22"/>
              </w:rPr>
              <w:t>Pharmacy Advisor, NHS England London Region</w:t>
            </w:r>
            <w:r w:rsidRPr="00626654">
              <w:rPr>
                <w:color w:val="1F497D"/>
                <w:sz w:val="22"/>
                <w:szCs w:val="22"/>
              </w:rPr>
              <w:t xml:space="preserve"> </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Kelly Stoker</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Fonts w:cs="Arial"/>
                <w:sz w:val="22"/>
                <w:szCs w:val="22"/>
              </w:rPr>
              <w:t>Senior Health Protection Nurse, North East Health Protection Team, Public Health England Centre North East</w:t>
            </w:r>
          </w:p>
        </w:tc>
      </w:tr>
      <w:tr w:rsidR="00684FD5" w:rsidRPr="00626654" w:rsidTr="006249B3">
        <w:trPr>
          <w:trHeight w:val="267"/>
        </w:trPr>
        <w:tc>
          <w:tcPr>
            <w:tcW w:w="2410" w:type="dxa"/>
            <w:vAlign w:val="center"/>
          </w:tcPr>
          <w:p w:rsidR="00684FD5" w:rsidRPr="00626654" w:rsidRDefault="00684FD5" w:rsidP="0046701A">
            <w:pPr>
              <w:spacing w:before="60" w:after="60" w:line="276" w:lineRule="auto"/>
              <w:rPr>
                <w:sz w:val="22"/>
                <w:szCs w:val="22"/>
              </w:rPr>
            </w:pPr>
            <w:r w:rsidRPr="00626654">
              <w:rPr>
                <w:sz w:val="22"/>
                <w:szCs w:val="22"/>
                <w:lang w:eastAsia="en-US"/>
              </w:rPr>
              <w:t>Sharon Webb</w:t>
            </w:r>
          </w:p>
        </w:tc>
        <w:tc>
          <w:tcPr>
            <w:tcW w:w="7513" w:type="dxa"/>
            <w:vAlign w:val="center"/>
          </w:tcPr>
          <w:p w:rsidR="00684FD5" w:rsidRPr="00626654" w:rsidRDefault="00FA2E6C" w:rsidP="00FA2E6C">
            <w:pPr>
              <w:tabs>
                <w:tab w:val="left" w:pos="2320"/>
              </w:tabs>
              <w:spacing w:before="60" w:line="276" w:lineRule="auto"/>
              <w:rPr>
                <w:rFonts w:cs="Arial"/>
                <w:sz w:val="22"/>
                <w:szCs w:val="22"/>
              </w:rPr>
            </w:pPr>
            <w:r w:rsidRPr="0043494A">
              <w:rPr>
                <w:rFonts w:cs="Arial"/>
                <w:sz w:val="22"/>
                <w:szCs w:val="22"/>
              </w:rPr>
              <w:t>Programme Manager/Registered Midwife, NBHS Infectious Diseases in Pregnancy Screening Programme, Public Health England</w:t>
            </w:r>
          </w:p>
        </w:tc>
      </w:tr>
    </w:tbl>
    <w:p w:rsidR="00072B1F" w:rsidRDefault="00072B1F" w:rsidP="00072B1F">
      <w:pPr>
        <w:pStyle w:val="ListParagraph"/>
        <w:rPr>
          <w:szCs w:val="24"/>
        </w:rPr>
      </w:pPr>
    </w:p>
    <w:p w:rsidR="00072B1F" w:rsidRDefault="00072B1F">
      <w:pPr>
        <w:overflowPunct/>
        <w:autoSpaceDE/>
        <w:autoSpaceDN/>
        <w:adjustRightInd/>
        <w:spacing w:after="200" w:line="276" w:lineRule="auto"/>
        <w:textAlignment w:val="auto"/>
        <w:rPr>
          <w:szCs w:val="24"/>
        </w:rPr>
      </w:pPr>
      <w:r>
        <w:rPr>
          <w:szCs w:val="24"/>
        </w:rPr>
        <w:lastRenderedPageBreak/>
        <w:br w:type="page"/>
      </w:r>
    </w:p>
    <w:p w:rsidR="0046701A" w:rsidRPr="00E161EA" w:rsidRDefault="0046701A" w:rsidP="00FA2E6C">
      <w:pPr>
        <w:pStyle w:val="ListParagraph"/>
        <w:numPr>
          <w:ilvl w:val="0"/>
          <w:numId w:val="5"/>
        </w:numPr>
        <w:rPr>
          <w:rFonts w:cs="Arial"/>
          <w:b/>
          <w:szCs w:val="24"/>
        </w:rPr>
      </w:pPr>
      <w:r w:rsidRPr="00E161EA">
        <w:rPr>
          <w:rFonts w:cs="Arial"/>
          <w:b/>
          <w:szCs w:val="24"/>
        </w:rPr>
        <w:lastRenderedPageBreak/>
        <w:t xml:space="preserve">Organisational </w:t>
      </w:r>
      <w:r>
        <w:rPr>
          <w:rFonts w:cs="Arial"/>
          <w:b/>
          <w:szCs w:val="24"/>
        </w:rPr>
        <w:t>a</w:t>
      </w:r>
      <w:r w:rsidRPr="00E161EA">
        <w:rPr>
          <w:rFonts w:cs="Arial"/>
          <w:b/>
          <w:szCs w:val="24"/>
        </w:rPr>
        <w:t>uthorisations</w:t>
      </w:r>
    </w:p>
    <w:p w:rsidR="0046701A" w:rsidRPr="00E161EA" w:rsidRDefault="0046701A" w:rsidP="0046701A">
      <w:pPr>
        <w:rPr>
          <w:rFonts w:cs="Arial"/>
          <w:szCs w:val="24"/>
        </w:rPr>
      </w:pPr>
    </w:p>
    <w:p w:rsidR="0046701A" w:rsidRPr="00E161EA" w:rsidRDefault="0046701A" w:rsidP="0046701A">
      <w:pPr>
        <w:rPr>
          <w:rFonts w:cs="Arial"/>
          <w:b/>
          <w:szCs w:val="24"/>
        </w:rPr>
      </w:pPr>
      <w:r w:rsidRPr="00E161EA">
        <w:rPr>
          <w:rFonts w:cs="Arial"/>
          <w:szCs w:val="24"/>
        </w:rPr>
        <w:t xml:space="preserve">The PGD is not legally valid until it has had the relevant organisational authorisation.  </w:t>
      </w:r>
    </w:p>
    <w:p w:rsidR="0046701A" w:rsidRPr="00E161EA" w:rsidRDefault="0046701A" w:rsidP="0046701A">
      <w:pPr>
        <w:rPr>
          <w:rFonts w:cs="Arial"/>
          <w:b/>
          <w:szCs w:val="24"/>
        </w:rPr>
      </w:pPr>
    </w:p>
    <w:p w:rsidR="0046701A" w:rsidRPr="00E161EA" w:rsidRDefault="0046701A" w:rsidP="0046701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rsidR="0046701A" w:rsidRPr="00E161EA" w:rsidRDefault="0046701A" w:rsidP="0046701A">
      <w:pPr>
        <w:pStyle w:val="Title"/>
        <w:jc w:val="left"/>
        <w:rPr>
          <w:rStyle w:val="yiv436687422763514114-05042013"/>
          <w:rFonts w:ascii="Arial" w:hAnsi="Arial" w:cs="Arial"/>
          <w:b w:val="0"/>
          <w:szCs w:val="24"/>
          <w:lang w:eastAsia="en-GB"/>
        </w:rPr>
      </w:pPr>
    </w:p>
    <w:p w:rsidR="0046701A" w:rsidRPr="00E161EA" w:rsidRDefault="0046701A" w:rsidP="0046701A">
      <w:pPr>
        <w:pStyle w:val="Title"/>
        <w:jc w:val="left"/>
        <w:rPr>
          <w:rStyle w:val="yiv436687422763514114-05042013"/>
          <w:rFonts w:ascii="Arial" w:hAnsi="Arial" w:cs="Arial"/>
          <w:b w:val="0"/>
          <w:szCs w:val="24"/>
          <w:lang w:eastAsia="en-GB"/>
        </w:rPr>
      </w:pPr>
      <w:permStart w:id="1401109943" w:edGrp="everyone"/>
      <w:r w:rsidRPr="00E161EA">
        <w:rPr>
          <w:rStyle w:val="yiv436687422763514114-05042013"/>
          <w:rFonts w:ascii="Arial" w:hAnsi="Arial" w:cs="Arial"/>
          <w:szCs w:val="24"/>
        </w:rPr>
        <w:t xml:space="preserve">INSERT AUTHORISING BODY NAME </w:t>
      </w:r>
      <w:r w:rsidRPr="00E161EA">
        <w:rPr>
          <w:rStyle w:val="yiv436687422763514114-05042013"/>
          <w:rFonts w:ascii="Arial" w:hAnsi="Arial" w:cs="Arial"/>
          <w:b w:val="0"/>
          <w:szCs w:val="24"/>
        </w:rPr>
        <w:t xml:space="preserve"> </w:t>
      </w:r>
      <w:permEnd w:id="1401109943"/>
      <w:r w:rsidRPr="00E161EA">
        <w:rPr>
          <w:rStyle w:val="yiv436687422763514114-05042013"/>
          <w:rFonts w:ascii="Arial" w:hAnsi="Arial" w:cs="Arial"/>
          <w:b w:val="0"/>
          <w:szCs w:val="24"/>
        </w:rPr>
        <w:t>authorise</w:t>
      </w:r>
      <w:r w:rsidR="00FA2E6C">
        <w:rPr>
          <w:rStyle w:val="yiv436687422763514114-05042013"/>
          <w:rFonts w:ascii="Arial" w:hAnsi="Arial" w:cs="Arial"/>
          <w:b w:val="0"/>
          <w:szCs w:val="24"/>
        </w:rPr>
        <w:t>s</w:t>
      </w:r>
      <w:r w:rsidRPr="00E161EA">
        <w:rPr>
          <w:rStyle w:val="yiv436687422763514114-05042013"/>
          <w:rFonts w:ascii="Arial" w:hAnsi="Arial" w:cs="Arial"/>
          <w:b w:val="0"/>
          <w:szCs w:val="24"/>
        </w:rPr>
        <w:t xml:space="preserve"> this PGD for use by the services or providers listed below:</w:t>
      </w:r>
    </w:p>
    <w:p w:rsidR="0046701A" w:rsidRPr="00BF617E" w:rsidRDefault="0046701A" w:rsidP="0046701A">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46701A" w:rsidRPr="00BF617E" w:rsidTr="0046701A">
        <w:tc>
          <w:tcPr>
            <w:tcW w:w="9923" w:type="dxa"/>
            <w:shd w:val="clear" w:color="auto" w:fill="F2F2F2" w:themeFill="background1" w:themeFillShade="F2"/>
          </w:tcPr>
          <w:p w:rsidR="0046701A" w:rsidRPr="00E161EA" w:rsidRDefault="0046701A" w:rsidP="0046701A">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46701A" w:rsidRPr="00BF617E" w:rsidTr="0046701A">
        <w:tc>
          <w:tcPr>
            <w:tcW w:w="9923" w:type="dxa"/>
          </w:tcPr>
          <w:p w:rsidR="00FA2E6C" w:rsidRPr="00BF617E" w:rsidRDefault="00FA2E6C" w:rsidP="00FA2E6C">
            <w:pPr>
              <w:pStyle w:val="Title"/>
              <w:jc w:val="left"/>
              <w:rPr>
                <w:rFonts w:ascii="Arial" w:hAnsi="Arial" w:cs="Arial"/>
                <w:b w:val="0"/>
                <w:sz w:val="22"/>
                <w:szCs w:val="22"/>
              </w:rPr>
            </w:pPr>
            <w:permStart w:id="338237791" w:edGrp="everyone" w:colFirst="0" w:colLast="0"/>
            <w:proofErr w:type="spellStart"/>
            <w:r w:rsidRPr="00BF617E">
              <w:rPr>
                <w:rFonts w:ascii="Arial" w:hAnsi="Arial" w:cs="Arial"/>
                <w:b w:val="0"/>
                <w:sz w:val="22"/>
                <w:szCs w:val="22"/>
              </w:rPr>
              <w:t>eg</w:t>
            </w:r>
            <w:proofErr w:type="spellEnd"/>
            <w:r w:rsidRPr="00BF617E">
              <w:rPr>
                <w:rFonts w:ascii="Arial" w:hAnsi="Arial" w:cs="Arial"/>
                <w:b w:val="0"/>
                <w:sz w:val="22"/>
                <w:szCs w:val="22"/>
              </w:rPr>
              <w:t xml:space="preserve"> </w:t>
            </w:r>
            <w:r>
              <w:rPr>
                <w:rFonts w:ascii="Arial" w:hAnsi="Arial" w:cs="Arial"/>
                <w:b w:val="0"/>
                <w:sz w:val="22"/>
                <w:szCs w:val="22"/>
              </w:rPr>
              <w:t xml:space="preserve">All NHS England commissioned immunisation services or NHS Trust providing immunisation services. </w:t>
            </w:r>
          </w:p>
          <w:p w:rsidR="0046701A" w:rsidRDefault="0046701A" w:rsidP="0046701A">
            <w:pPr>
              <w:pStyle w:val="Title"/>
              <w:jc w:val="left"/>
              <w:rPr>
                <w:rFonts w:ascii="Arial" w:hAnsi="Arial" w:cs="Arial"/>
                <w:b w:val="0"/>
                <w:sz w:val="22"/>
                <w:szCs w:val="22"/>
              </w:rPr>
            </w:pPr>
          </w:p>
          <w:p w:rsidR="0046701A"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tc>
      </w:tr>
      <w:tr w:rsidR="0046701A" w:rsidRPr="00BF617E" w:rsidTr="0046701A">
        <w:tc>
          <w:tcPr>
            <w:tcW w:w="9923" w:type="dxa"/>
            <w:shd w:val="clear" w:color="auto" w:fill="F2F2F2" w:themeFill="background1" w:themeFillShade="F2"/>
          </w:tcPr>
          <w:p w:rsidR="0046701A" w:rsidRPr="00E161EA" w:rsidRDefault="0046701A" w:rsidP="0046701A">
            <w:pPr>
              <w:pStyle w:val="Title"/>
              <w:jc w:val="left"/>
              <w:rPr>
                <w:rFonts w:ascii="Arial" w:hAnsi="Arial" w:cs="Arial"/>
                <w:b w:val="0"/>
                <w:szCs w:val="24"/>
              </w:rPr>
            </w:pPr>
            <w:bookmarkStart w:id="1" w:name="LimitationsToAuthorisation"/>
            <w:bookmarkEnd w:id="1"/>
            <w:permEnd w:id="338237791"/>
            <w:r w:rsidRPr="00E161EA">
              <w:rPr>
                <w:rFonts w:ascii="Arial" w:hAnsi="Arial" w:cs="Arial"/>
                <w:b w:val="0"/>
                <w:szCs w:val="24"/>
              </w:rPr>
              <w:t>Limitations to authorisation</w:t>
            </w:r>
          </w:p>
        </w:tc>
      </w:tr>
      <w:tr w:rsidR="0046701A" w:rsidRPr="00BF617E" w:rsidTr="0046701A">
        <w:trPr>
          <w:trHeight w:val="1561"/>
        </w:trPr>
        <w:tc>
          <w:tcPr>
            <w:tcW w:w="9923" w:type="dxa"/>
          </w:tcPr>
          <w:p w:rsidR="0046701A" w:rsidRDefault="0046701A" w:rsidP="0046701A">
            <w:pPr>
              <w:pStyle w:val="Title"/>
              <w:jc w:val="left"/>
              <w:rPr>
                <w:rFonts w:ascii="Arial" w:hAnsi="Arial" w:cs="Arial"/>
                <w:b w:val="0"/>
                <w:sz w:val="22"/>
                <w:szCs w:val="22"/>
              </w:rPr>
            </w:pPr>
            <w:permStart w:id="765405927" w:edGrp="everyone" w:colFirst="0" w:colLast="0"/>
            <w:proofErr w:type="spellStart"/>
            <w:r w:rsidRPr="00BF617E">
              <w:rPr>
                <w:rFonts w:ascii="Arial" w:hAnsi="Arial" w:cs="Arial"/>
                <w:b w:val="0"/>
                <w:sz w:val="22"/>
                <w:szCs w:val="22"/>
              </w:rPr>
              <w:t>eg</w:t>
            </w:r>
            <w:proofErr w:type="spellEnd"/>
            <w:r w:rsidRPr="00BF617E">
              <w:rPr>
                <w:rFonts w:ascii="Arial" w:hAnsi="Arial" w:cs="Arial"/>
                <w:b w:val="0"/>
                <w:sz w:val="22"/>
                <w:szCs w:val="22"/>
              </w:rPr>
              <w:t xml:space="preserve"> </w:t>
            </w:r>
            <w:r>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Pr>
                <w:rFonts w:ascii="Arial" w:hAnsi="Arial" w:cs="Arial"/>
                <w:b w:val="0"/>
                <w:sz w:val="22"/>
                <w:szCs w:val="22"/>
              </w:rPr>
              <w:t>….</w:t>
            </w:r>
            <w:r w:rsidRPr="00BF617E" w:rsidDel="00C27D2A">
              <w:rPr>
                <w:rFonts w:ascii="Arial" w:hAnsi="Arial" w:cs="Arial"/>
                <w:b w:val="0"/>
                <w:sz w:val="22"/>
                <w:szCs w:val="22"/>
              </w:rPr>
              <w:t xml:space="preserve"> </w:t>
            </w:r>
            <w:r>
              <w:rPr>
                <w:rFonts w:ascii="Arial" w:hAnsi="Arial" w:cs="Arial"/>
                <w:b w:val="0"/>
                <w:sz w:val="22"/>
                <w:szCs w:val="22"/>
              </w:rPr>
              <w:t xml:space="preserve">                                                                                                       </w:t>
            </w:r>
          </w:p>
          <w:p w:rsidR="0046701A" w:rsidRDefault="0046701A" w:rsidP="0046701A">
            <w:pPr>
              <w:pStyle w:val="Title"/>
              <w:jc w:val="left"/>
              <w:rPr>
                <w:rFonts w:ascii="Arial" w:hAnsi="Arial" w:cs="Arial"/>
                <w:b w:val="0"/>
                <w:sz w:val="22"/>
                <w:szCs w:val="22"/>
              </w:rPr>
            </w:pPr>
          </w:p>
          <w:p w:rsidR="0046701A" w:rsidRDefault="0046701A" w:rsidP="0046701A">
            <w:pPr>
              <w:pStyle w:val="Title"/>
              <w:jc w:val="left"/>
              <w:rPr>
                <w:rFonts w:ascii="Arial" w:hAnsi="Arial" w:cs="Arial"/>
                <w:b w:val="0"/>
                <w:sz w:val="22"/>
                <w:szCs w:val="22"/>
              </w:rPr>
            </w:pPr>
          </w:p>
          <w:p w:rsidR="0046701A"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tc>
      </w:tr>
      <w:permEnd w:id="765405927"/>
    </w:tbl>
    <w:p w:rsidR="0046701A" w:rsidRDefault="0046701A" w:rsidP="0046701A">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46701A" w:rsidRPr="001D1F5D" w:rsidTr="0046701A">
        <w:tc>
          <w:tcPr>
            <w:tcW w:w="9923" w:type="dxa"/>
            <w:gridSpan w:val="4"/>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46701A" w:rsidRPr="001D1F5D" w:rsidTr="0046701A">
        <w:tc>
          <w:tcPr>
            <w:tcW w:w="3261"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rsidRPr="001D1F5D" w:rsidTr="0046701A">
        <w:tc>
          <w:tcPr>
            <w:tcW w:w="3261" w:type="dxa"/>
          </w:tcPr>
          <w:p w:rsidR="0046701A" w:rsidRPr="00080471" w:rsidRDefault="0046701A" w:rsidP="0046701A">
            <w:pPr>
              <w:pStyle w:val="Title"/>
              <w:jc w:val="left"/>
              <w:rPr>
                <w:rFonts w:ascii="Arial" w:hAnsi="Arial" w:cs="Arial"/>
                <w:b w:val="0"/>
                <w:color w:val="D9D9D9" w:themeColor="background1" w:themeShade="D9"/>
                <w:sz w:val="22"/>
                <w:szCs w:val="22"/>
              </w:rPr>
            </w:pPr>
            <w:permStart w:id="510487936" w:edGrp="everyone" w:colFirst="0" w:colLast="0"/>
            <w:permStart w:id="85352667" w:edGrp="everyone" w:colFirst="1" w:colLast="1"/>
            <w:permStart w:id="1425100029" w:edGrp="everyone" w:colFirst="2" w:colLast="2"/>
            <w:permStart w:id="5593313" w:edGrp="everyone" w:colFirst="3" w:colLast="3"/>
            <w:r w:rsidRPr="00080471">
              <w:rPr>
                <w:rFonts w:ascii="Arial" w:hAnsi="Arial" w:cs="Arial"/>
                <w:b w:val="0"/>
                <w:color w:val="D9D9D9" w:themeColor="background1" w:themeShade="D9"/>
                <w:sz w:val="22"/>
                <w:szCs w:val="22"/>
              </w:rPr>
              <w:t xml:space="preserve">Complete </w:t>
            </w:r>
            <w:proofErr w:type="spellStart"/>
            <w:r w:rsidRPr="00080471">
              <w:rPr>
                <w:rFonts w:ascii="Arial" w:hAnsi="Arial" w:cs="Arial"/>
                <w:b w:val="0"/>
                <w:color w:val="D9D9D9" w:themeColor="background1" w:themeShade="D9"/>
                <w:sz w:val="22"/>
                <w:szCs w:val="22"/>
              </w:rPr>
              <w:t>eg</w:t>
            </w:r>
            <w:proofErr w:type="spellEnd"/>
            <w:r w:rsidRPr="00080471">
              <w:rPr>
                <w:rFonts w:ascii="Arial" w:hAnsi="Arial" w:cs="Arial"/>
                <w:b w:val="0"/>
                <w:color w:val="D9D9D9" w:themeColor="background1" w:themeShade="D9"/>
                <w:sz w:val="22"/>
                <w:szCs w:val="22"/>
              </w:rPr>
              <w:t xml:space="preserve"> NHS</w:t>
            </w:r>
            <w:r w:rsidR="00FA2E6C">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FA2E6C">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rsidR="0046701A" w:rsidRPr="001D1F5D" w:rsidRDefault="0046701A" w:rsidP="0046701A">
            <w:pPr>
              <w:pStyle w:val="Title"/>
              <w:jc w:val="left"/>
              <w:rPr>
                <w:rFonts w:ascii="Arial" w:hAnsi="Arial" w:cs="Arial"/>
                <w:b w:val="0"/>
                <w:sz w:val="16"/>
                <w:szCs w:val="16"/>
              </w:rPr>
            </w:pPr>
          </w:p>
        </w:tc>
        <w:tc>
          <w:tcPr>
            <w:tcW w:w="2409" w:type="dxa"/>
          </w:tcPr>
          <w:p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2410" w:type="dxa"/>
          </w:tcPr>
          <w:p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1843" w:type="dxa"/>
          </w:tcPr>
          <w:p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r>
      <w:permEnd w:id="510487936"/>
      <w:permEnd w:id="85352667"/>
      <w:permEnd w:id="1425100029"/>
      <w:permEnd w:id="5593313"/>
    </w:tbl>
    <w:p w:rsidR="0046701A" w:rsidRPr="001D1F5D" w:rsidRDefault="0046701A" w:rsidP="0046701A">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46701A" w:rsidRPr="001D1F5D" w:rsidTr="0046701A">
        <w:tc>
          <w:tcPr>
            <w:tcW w:w="9923" w:type="dxa"/>
            <w:gridSpan w:val="4"/>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Additional signatories according to locally agreed policy</w:t>
            </w:r>
          </w:p>
        </w:tc>
      </w:tr>
      <w:tr w:rsidR="0046701A" w:rsidRPr="001D1F5D" w:rsidTr="0046701A">
        <w:tc>
          <w:tcPr>
            <w:tcW w:w="3261"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99447728" w:edGrp="everyone" w:colFirst="0" w:colLast="0"/>
            <w:permStart w:id="2053603035" w:edGrp="everyone" w:colFirst="1" w:colLast="1"/>
            <w:permStart w:id="826807911" w:edGrp="everyone" w:colFirst="2" w:colLast="2"/>
            <w:permStart w:id="2139244271" w:edGrp="everyone" w:colFirst="3" w:colLast="3"/>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1312555693" w:edGrp="everyone" w:colFirst="0" w:colLast="0"/>
            <w:permStart w:id="877799334" w:edGrp="everyone" w:colFirst="1" w:colLast="1"/>
            <w:permStart w:id="1264283456" w:edGrp="everyone" w:colFirst="2" w:colLast="2"/>
            <w:permStart w:id="1245261061" w:edGrp="everyone" w:colFirst="3" w:colLast="3"/>
            <w:permEnd w:id="99447728"/>
            <w:permEnd w:id="2053603035"/>
            <w:permEnd w:id="826807911"/>
            <w:permEnd w:id="2139244271"/>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862402724" w:edGrp="everyone" w:colFirst="0" w:colLast="0"/>
            <w:permStart w:id="2087600421" w:edGrp="everyone" w:colFirst="1" w:colLast="1"/>
            <w:permStart w:id="642344760" w:edGrp="everyone" w:colFirst="2" w:colLast="2"/>
            <w:permStart w:id="1658220343" w:edGrp="everyone" w:colFirst="3" w:colLast="3"/>
            <w:permEnd w:id="1312555693"/>
            <w:permEnd w:id="877799334"/>
            <w:permEnd w:id="1264283456"/>
            <w:permEnd w:id="1245261061"/>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1554932938" w:edGrp="everyone" w:colFirst="0" w:colLast="0"/>
            <w:permStart w:id="487341100" w:edGrp="everyone" w:colFirst="1" w:colLast="1"/>
            <w:permStart w:id="102041916" w:edGrp="everyone" w:colFirst="2" w:colLast="2"/>
            <w:permStart w:id="794822089" w:edGrp="everyone" w:colFirst="3" w:colLast="3"/>
            <w:permEnd w:id="862402724"/>
            <w:permEnd w:id="2087600421"/>
            <w:permEnd w:id="642344760"/>
            <w:permEnd w:id="1658220343"/>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permEnd w:id="1554932938"/>
      <w:permEnd w:id="487341100"/>
      <w:permEnd w:id="102041916"/>
      <w:permEnd w:id="794822089"/>
    </w:tbl>
    <w:p w:rsidR="0046701A" w:rsidRDefault="0046701A" w:rsidP="0046701A">
      <w:pPr>
        <w:jc w:val="both"/>
        <w:rPr>
          <w:rFonts w:cs="Arial"/>
          <w:sz w:val="22"/>
          <w:szCs w:val="22"/>
        </w:rPr>
      </w:pPr>
    </w:p>
    <w:p w:rsidR="0046701A" w:rsidRPr="00080471" w:rsidRDefault="0046701A" w:rsidP="0046701A">
      <w:pPr>
        <w:rPr>
          <w:rFonts w:cs="Arial"/>
          <w:szCs w:val="24"/>
        </w:rPr>
      </w:pPr>
      <w:r w:rsidRPr="00080471">
        <w:rPr>
          <w:rFonts w:cs="Arial"/>
          <w:szCs w:val="24"/>
        </w:rPr>
        <w:t>Local enquiries regarding the use of this PGD may be directed to</w:t>
      </w:r>
      <w:permStart w:id="793130501" w:edGrp="everyone"/>
      <w:r w:rsidRPr="00080471">
        <w:rPr>
          <w:rFonts w:cs="Arial"/>
          <w:szCs w:val="24"/>
        </w:rPr>
        <w:t>…………….</w:t>
      </w:r>
    </w:p>
    <w:permEnd w:id="793130501"/>
    <w:p w:rsidR="0046701A" w:rsidRDefault="00FA2E6C" w:rsidP="00FA2E6C">
      <w:pPr>
        <w:overflowPunct/>
        <w:autoSpaceDE/>
        <w:autoSpaceDN/>
        <w:adjustRightInd/>
        <w:spacing w:before="120"/>
        <w:textAlignment w:val="auto"/>
        <w:rPr>
          <w:rFonts w:cs="Arial"/>
          <w:b/>
          <w:szCs w:val="24"/>
        </w:rPr>
      </w:pPr>
      <w:r>
        <w:rPr>
          <w:rFonts w:cs="Arial"/>
          <w:szCs w:val="24"/>
        </w:rPr>
        <w:t>Section 7 provides a p</w:t>
      </w:r>
      <w:r w:rsidRPr="00080471">
        <w:rPr>
          <w:rFonts w:cs="Arial"/>
          <w:szCs w:val="24"/>
        </w:rPr>
        <w:t xml:space="preserve">ractitioner </w:t>
      </w:r>
      <w:r>
        <w:rPr>
          <w:rFonts w:cs="Arial"/>
          <w:szCs w:val="24"/>
        </w:rPr>
        <w:t>a</w:t>
      </w:r>
      <w:r w:rsidRPr="00080471">
        <w:rPr>
          <w:rFonts w:cs="Arial"/>
          <w:szCs w:val="24"/>
        </w:rPr>
        <w:t>uthorisation sheet</w:t>
      </w:r>
      <w:r>
        <w:rPr>
          <w:rFonts w:cs="Arial"/>
          <w:szCs w:val="24"/>
        </w:rPr>
        <w:t xml:space="preserve">. Individual practitioners must be authorised by name to work to this PGD. Alternative practitioner authorisation sheets may be used where appropriate in accordance with local policy </w:t>
      </w:r>
      <w:r w:rsidRPr="00080471">
        <w:rPr>
          <w:rFonts w:cs="Arial"/>
          <w:szCs w:val="24"/>
        </w:rPr>
        <w:t>but this should be an individual agreement</w:t>
      </w:r>
      <w:r>
        <w:rPr>
          <w:rFonts w:cs="Arial"/>
          <w:szCs w:val="24"/>
        </w:rPr>
        <w:t xml:space="preserve"> or a multiple practitioner authorisation sheet</w:t>
      </w:r>
      <w:r w:rsidRPr="00080471">
        <w:rPr>
          <w:rFonts w:cs="Arial"/>
          <w:szCs w:val="24"/>
        </w:rPr>
        <w:t xml:space="preserve"> as included at the end of this PGD.</w:t>
      </w:r>
      <w:r w:rsidR="0046701A">
        <w:rPr>
          <w:rFonts w:cs="Arial"/>
          <w:szCs w:val="24"/>
        </w:rPr>
        <w:br w:type="page"/>
      </w:r>
    </w:p>
    <w:p w:rsidR="0046701A" w:rsidRDefault="0046701A" w:rsidP="0046701A">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rsidR="0046701A" w:rsidRPr="00FE6654" w:rsidRDefault="0046701A" w:rsidP="0046701A">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46701A" w:rsidRPr="00CB5D91" w:rsidTr="0046701A">
        <w:tc>
          <w:tcPr>
            <w:tcW w:w="2970" w:type="dxa"/>
          </w:tcPr>
          <w:p w:rsidR="0046701A" w:rsidRPr="00DF40E8" w:rsidRDefault="0046701A" w:rsidP="0046701A">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01568E" w:rsidRDefault="0001568E" w:rsidP="0001568E">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rsidR="0001568E" w:rsidRPr="005D31C3" w:rsidRDefault="0001568E" w:rsidP="0001568E">
            <w:pPr>
              <w:pStyle w:val="ListParagraph"/>
              <w:numPr>
                <w:ilvl w:val="0"/>
                <w:numId w:val="27"/>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rsidR="0001568E" w:rsidRPr="005D31C3" w:rsidRDefault="0001568E" w:rsidP="0001568E">
            <w:pPr>
              <w:pStyle w:val="ListParagraph"/>
              <w:numPr>
                <w:ilvl w:val="0"/>
                <w:numId w:val="27"/>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rsidR="0001568E" w:rsidRPr="00F92CAB" w:rsidRDefault="0001568E" w:rsidP="0001568E">
            <w:pPr>
              <w:pStyle w:val="ListParagraph"/>
              <w:numPr>
                <w:ilvl w:val="0"/>
                <w:numId w:val="27"/>
              </w:numPr>
              <w:spacing w:before="120"/>
              <w:ind w:left="324"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rsidR="0001568E" w:rsidRPr="00F92CAB" w:rsidRDefault="0001568E" w:rsidP="0001568E">
            <w:pPr>
              <w:spacing w:before="120" w:after="12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rsidR="0046701A" w:rsidRPr="005D6050" w:rsidRDefault="0001568E" w:rsidP="00072B1F">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46701A" w:rsidRPr="00CB5D91" w:rsidTr="0046701A">
        <w:tc>
          <w:tcPr>
            <w:tcW w:w="2970" w:type="dxa"/>
          </w:tcPr>
          <w:p w:rsidR="0046701A" w:rsidRPr="00DF40E8" w:rsidRDefault="0046701A" w:rsidP="0046701A">
            <w:pPr>
              <w:pStyle w:val="Header"/>
              <w:tabs>
                <w:tab w:val="left" w:pos="720"/>
              </w:tabs>
              <w:spacing w:before="120" w:after="120"/>
              <w:rPr>
                <w:rFonts w:ascii="Arial" w:hAnsi="Arial" w:cs="Arial"/>
                <w:b/>
                <w:sz w:val="22"/>
                <w:szCs w:val="22"/>
              </w:rPr>
            </w:pPr>
            <w:bookmarkStart w:id="2" w:name="StaffAdditionalRequirements"/>
            <w:bookmarkEnd w:id="2"/>
            <w:r w:rsidRPr="00DF40E8">
              <w:rPr>
                <w:rFonts w:ascii="Arial" w:hAnsi="Arial" w:cs="Arial"/>
                <w:b/>
                <w:sz w:val="22"/>
                <w:szCs w:val="22"/>
              </w:rPr>
              <w:t>Additional requirements</w:t>
            </w:r>
          </w:p>
        </w:tc>
        <w:tc>
          <w:tcPr>
            <w:tcW w:w="6953" w:type="dxa"/>
          </w:tcPr>
          <w:p w:rsidR="0046701A" w:rsidRPr="0001568E" w:rsidRDefault="0046701A" w:rsidP="0046701A">
            <w:pPr>
              <w:spacing w:before="120"/>
              <w:contextualSpacing/>
              <w:rPr>
                <w:rFonts w:cs="Arial"/>
                <w:sz w:val="22"/>
                <w:szCs w:val="22"/>
              </w:rPr>
            </w:pPr>
            <w:r w:rsidRPr="0001568E">
              <w:rPr>
                <w:rFonts w:cs="Arial"/>
                <w:sz w:val="22"/>
                <w:szCs w:val="22"/>
              </w:rPr>
              <w:t>Additionally practitioners:</w:t>
            </w:r>
          </w:p>
          <w:p w:rsidR="0046701A" w:rsidRPr="0001568E" w:rsidRDefault="0046701A" w:rsidP="0046701A">
            <w:pPr>
              <w:pStyle w:val="ListParagraph"/>
              <w:numPr>
                <w:ilvl w:val="0"/>
                <w:numId w:val="2"/>
              </w:numPr>
              <w:ind w:left="323" w:hanging="323"/>
              <w:rPr>
                <w:rFonts w:cs="Arial"/>
                <w:sz w:val="22"/>
                <w:szCs w:val="22"/>
              </w:rPr>
            </w:pPr>
            <w:r w:rsidRPr="0001568E">
              <w:rPr>
                <w:rFonts w:cs="Arial"/>
                <w:sz w:val="22"/>
                <w:szCs w:val="22"/>
              </w:rPr>
              <w:t xml:space="preserve">must be authorised by name as an approved practitioner under the current terms of this </w:t>
            </w:r>
            <w:r w:rsidR="0001568E" w:rsidRPr="0001568E">
              <w:rPr>
                <w:rFonts w:cs="Arial"/>
                <w:sz w:val="22"/>
                <w:szCs w:val="22"/>
              </w:rPr>
              <w:t>PGD</w:t>
            </w:r>
            <w:r w:rsidRPr="0001568E">
              <w:rPr>
                <w:rFonts w:cs="Arial"/>
                <w:sz w:val="22"/>
                <w:szCs w:val="22"/>
              </w:rPr>
              <w:t xml:space="preserve"> before working to it</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undertaken appropriate training for working under PGDs for supply/administration of medicines</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 xml:space="preserve">must be competent in the use of PGDs (see </w:t>
            </w:r>
            <w:hyperlink r:id="rId14" w:history="1">
              <w:r w:rsidRPr="0001568E">
                <w:rPr>
                  <w:rStyle w:val="Hyperlink"/>
                  <w:rFonts w:ascii="Arial" w:hAnsi="Arial" w:cs="Arial"/>
                  <w:sz w:val="22"/>
                  <w:szCs w:val="22"/>
                </w:rPr>
                <w:t>NICE Competency framework</w:t>
              </w:r>
            </w:hyperlink>
            <w:r w:rsidRPr="0001568E">
              <w:rPr>
                <w:rFonts w:ascii="Arial" w:hAnsi="Arial" w:cs="Arial"/>
                <w:sz w:val="22"/>
                <w:szCs w:val="22"/>
              </w:rPr>
              <w:t xml:space="preserve"> for health professionals using </w:t>
            </w:r>
            <w:r w:rsidR="0001568E" w:rsidRPr="0001568E">
              <w:rPr>
                <w:rFonts w:ascii="Arial" w:hAnsi="Arial" w:cs="Arial"/>
                <w:sz w:val="22"/>
                <w:szCs w:val="22"/>
              </w:rPr>
              <w:t>PGDs</w:t>
            </w:r>
            <w:r w:rsidRPr="0001568E">
              <w:rPr>
                <w:rFonts w:ascii="Arial" w:hAnsi="Arial" w:cs="Arial"/>
                <w:sz w:val="22"/>
                <w:szCs w:val="22"/>
              </w:rPr>
              <w:t>)</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be familiar with the vaccine product and alert to changes in the Summary of Product Characteristics</w:t>
            </w:r>
            <w:r w:rsidR="0001568E" w:rsidRPr="0001568E">
              <w:rPr>
                <w:rFonts w:ascii="Arial" w:hAnsi="Arial" w:cs="Arial"/>
                <w:sz w:val="22"/>
                <w:szCs w:val="22"/>
              </w:rPr>
              <w:t xml:space="preserve"> (SPC)</w:t>
            </w:r>
            <w:r w:rsidRPr="0001568E">
              <w:rPr>
                <w:rFonts w:ascii="Arial" w:hAnsi="Arial" w:cs="Arial"/>
                <w:sz w:val="22"/>
                <w:szCs w:val="22"/>
              </w:rPr>
              <w:t>, Immunisation Against Infectious Disease (“</w:t>
            </w:r>
            <w:hyperlink r:id="rId15" w:history="1">
              <w:r w:rsidRPr="0001568E">
                <w:rPr>
                  <w:rStyle w:val="Hyperlink"/>
                  <w:rFonts w:ascii="Arial" w:hAnsi="Arial" w:cs="Arial"/>
                  <w:sz w:val="22"/>
                  <w:szCs w:val="22"/>
                </w:rPr>
                <w:t>The Green Book</w:t>
              </w:r>
            </w:hyperlink>
            <w:r w:rsidRPr="0001568E">
              <w:rPr>
                <w:rFonts w:ascii="Arial" w:hAnsi="Arial" w:cs="Arial"/>
                <w:sz w:val="22"/>
                <w:szCs w:val="22"/>
              </w:rPr>
              <w:t>”), and national and local immunisation programmes</w:t>
            </w:r>
          </w:p>
          <w:p w:rsidR="0001568E"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und</w:t>
            </w:r>
            <w:r w:rsidRPr="00C16E78">
              <w:rPr>
                <w:rFonts w:ascii="Arial" w:hAnsi="Arial" w:cs="Arial"/>
                <w:sz w:val="22"/>
                <w:szCs w:val="22"/>
              </w:rPr>
              <w:t xml:space="preserve">ertaken training appropriate to this PGD as required by local policy and in line with the </w:t>
            </w:r>
            <w:hyperlink r:id="rId16" w:history="1">
              <w:r w:rsidR="00C16E78" w:rsidRPr="00C16E78">
                <w:rPr>
                  <w:rStyle w:val="Hyperlink"/>
                  <w:rFonts w:ascii="Arial" w:hAnsi="Arial" w:cs="Arial"/>
                  <w:sz w:val="22"/>
                  <w:szCs w:val="22"/>
                </w:rPr>
                <w:t>National Minimum Standards and Core Curriculum for Immunisation Training</w:t>
              </w:r>
            </w:hyperlink>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eastAsia="Arial" w:hAnsi="Arial" w:cs="Arial"/>
                <w:sz w:val="22"/>
                <w:szCs w:val="22"/>
              </w:rPr>
              <w:t>must be competent to</w:t>
            </w:r>
            <w:r w:rsidRPr="0001568E">
              <w:rPr>
                <w:rFonts w:ascii="Arial" w:eastAsia="Arial" w:hAnsi="Arial" w:cs="Arial"/>
                <w:spacing w:val="23"/>
                <w:sz w:val="22"/>
                <w:szCs w:val="22"/>
              </w:rPr>
              <w:t xml:space="preserve"> </w:t>
            </w:r>
            <w:r w:rsidRPr="0001568E">
              <w:rPr>
                <w:rFonts w:ascii="Arial" w:eastAsia="Arial" w:hAnsi="Arial" w:cs="Arial"/>
                <w:sz w:val="22"/>
                <w:szCs w:val="22"/>
              </w:rPr>
              <w:t>undertake</w:t>
            </w:r>
            <w:r w:rsidRPr="0001568E">
              <w:rPr>
                <w:rFonts w:ascii="Arial" w:eastAsia="Arial" w:hAnsi="Arial" w:cs="Arial"/>
                <w:spacing w:val="26"/>
                <w:sz w:val="22"/>
                <w:szCs w:val="22"/>
              </w:rPr>
              <w:t xml:space="preserve"> </w:t>
            </w:r>
            <w:r w:rsidRPr="0001568E">
              <w:rPr>
                <w:rFonts w:ascii="Arial" w:eastAsia="Arial" w:hAnsi="Arial" w:cs="Arial"/>
                <w:sz w:val="22"/>
                <w:szCs w:val="22"/>
              </w:rPr>
              <w:t>immunisat</w:t>
            </w:r>
            <w:r w:rsidRPr="0001568E">
              <w:rPr>
                <w:rFonts w:ascii="Arial" w:eastAsia="Arial" w:hAnsi="Arial" w:cs="Arial"/>
                <w:spacing w:val="-10"/>
                <w:sz w:val="22"/>
                <w:szCs w:val="22"/>
              </w:rPr>
              <w:t>i</w:t>
            </w:r>
            <w:r w:rsidRPr="0001568E">
              <w:rPr>
                <w:rFonts w:ascii="Arial" w:eastAsia="Arial" w:hAnsi="Arial" w:cs="Arial"/>
                <w:sz w:val="22"/>
                <w:szCs w:val="22"/>
              </w:rPr>
              <w:t>on</w:t>
            </w:r>
            <w:r w:rsidRPr="0001568E">
              <w:rPr>
                <w:rFonts w:ascii="Arial" w:eastAsia="Arial" w:hAnsi="Arial" w:cs="Arial"/>
                <w:spacing w:val="16"/>
                <w:sz w:val="22"/>
                <w:szCs w:val="22"/>
              </w:rPr>
              <w:t xml:space="preserve"> </w:t>
            </w:r>
            <w:r w:rsidRPr="0001568E">
              <w:rPr>
                <w:rFonts w:ascii="Arial" w:eastAsia="Arial" w:hAnsi="Arial" w:cs="Arial"/>
                <w:sz w:val="22"/>
                <w:szCs w:val="22"/>
              </w:rPr>
              <w:t>and</w:t>
            </w:r>
            <w:r w:rsidRPr="0001568E">
              <w:rPr>
                <w:rFonts w:ascii="Arial" w:eastAsia="Arial" w:hAnsi="Arial" w:cs="Arial"/>
                <w:spacing w:val="10"/>
                <w:sz w:val="22"/>
                <w:szCs w:val="22"/>
              </w:rPr>
              <w:t xml:space="preserve"> to </w:t>
            </w:r>
            <w:r w:rsidRPr="0001568E">
              <w:rPr>
                <w:rFonts w:ascii="Arial" w:eastAsia="Arial" w:hAnsi="Arial" w:cs="Arial"/>
                <w:sz w:val="22"/>
                <w:szCs w:val="22"/>
              </w:rPr>
              <w:t>discuss</w:t>
            </w:r>
            <w:r w:rsidRPr="0001568E">
              <w:rPr>
                <w:rFonts w:ascii="Arial" w:eastAsia="Arial" w:hAnsi="Arial" w:cs="Arial"/>
                <w:spacing w:val="24"/>
                <w:sz w:val="22"/>
                <w:szCs w:val="22"/>
              </w:rPr>
              <w:t xml:space="preserve"> </w:t>
            </w:r>
            <w:r w:rsidRPr="0001568E">
              <w:rPr>
                <w:rFonts w:ascii="Arial" w:eastAsia="Arial" w:hAnsi="Arial" w:cs="Arial"/>
                <w:sz w:val="22"/>
                <w:szCs w:val="22"/>
              </w:rPr>
              <w:t>issues</w:t>
            </w:r>
            <w:r w:rsidRPr="0001568E">
              <w:rPr>
                <w:rFonts w:ascii="Arial" w:eastAsia="Arial" w:hAnsi="Arial" w:cs="Arial"/>
                <w:spacing w:val="16"/>
                <w:sz w:val="22"/>
                <w:szCs w:val="22"/>
              </w:rPr>
              <w:t xml:space="preserve"> </w:t>
            </w:r>
            <w:r w:rsidRPr="0001568E">
              <w:rPr>
                <w:rFonts w:ascii="Arial" w:eastAsia="Arial" w:hAnsi="Arial" w:cs="Arial"/>
                <w:sz w:val="22"/>
                <w:szCs w:val="22"/>
              </w:rPr>
              <w:t>related</w:t>
            </w:r>
            <w:r w:rsidRPr="0001568E">
              <w:rPr>
                <w:rFonts w:ascii="Arial" w:eastAsia="Arial" w:hAnsi="Arial" w:cs="Arial"/>
                <w:spacing w:val="-2"/>
                <w:sz w:val="22"/>
                <w:szCs w:val="22"/>
              </w:rPr>
              <w:t xml:space="preserve"> </w:t>
            </w:r>
            <w:r w:rsidRPr="0001568E">
              <w:rPr>
                <w:rFonts w:ascii="Arial" w:eastAsia="Arial" w:hAnsi="Arial" w:cs="Arial"/>
                <w:sz w:val="22"/>
                <w:szCs w:val="22"/>
              </w:rPr>
              <w:t>to</w:t>
            </w:r>
            <w:r w:rsidRPr="0001568E">
              <w:rPr>
                <w:rFonts w:ascii="Arial" w:eastAsia="Arial" w:hAnsi="Arial" w:cs="Arial"/>
                <w:w w:val="99"/>
                <w:sz w:val="22"/>
                <w:szCs w:val="22"/>
              </w:rPr>
              <w:t xml:space="preserve"> </w:t>
            </w:r>
            <w:r w:rsidRPr="0001568E">
              <w:rPr>
                <w:rFonts w:ascii="Arial" w:eastAsia="Arial" w:hAnsi="Arial" w:cs="Arial"/>
                <w:sz w:val="22"/>
                <w:szCs w:val="22"/>
              </w:rPr>
              <w:t>immunisation</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eastAsia="Arial" w:hAnsi="Arial" w:cs="Arial"/>
                <w:sz w:val="22"/>
                <w:szCs w:val="22"/>
              </w:rPr>
              <w:t xml:space="preserve">must be competent in the handling and storage of vaccines, and </w:t>
            </w:r>
            <w:r w:rsidRPr="0001568E">
              <w:rPr>
                <w:rFonts w:ascii="Arial" w:hAnsi="Arial" w:cs="Arial"/>
                <w:sz w:val="22"/>
                <w:szCs w:val="22"/>
              </w:rPr>
              <w:t>management of the “cold chain”</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be competent in the recognition and management of anaphylaxis</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access to the P</w:t>
            </w:r>
            <w:r w:rsidR="00342DFB">
              <w:rPr>
                <w:rFonts w:ascii="Arial" w:hAnsi="Arial" w:cs="Arial"/>
                <w:sz w:val="22"/>
                <w:szCs w:val="22"/>
              </w:rPr>
              <w:t>GD</w:t>
            </w:r>
            <w:r w:rsidRPr="0001568E">
              <w:rPr>
                <w:rFonts w:ascii="Arial" w:hAnsi="Arial" w:cs="Arial"/>
                <w:sz w:val="22"/>
                <w:szCs w:val="22"/>
              </w:rPr>
              <w:t xml:space="preserve"> and associated online resources</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should fulfil any additional requirements defined by local policy</w:t>
            </w:r>
          </w:p>
          <w:p w:rsidR="0046701A" w:rsidRPr="0001568E" w:rsidRDefault="0046701A" w:rsidP="0046701A">
            <w:pPr>
              <w:spacing w:after="120"/>
              <w:rPr>
                <w:rFonts w:cs="Arial"/>
                <w:b/>
                <w:bCs/>
                <w:sz w:val="22"/>
                <w:szCs w:val="22"/>
              </w:rPr>
            </w:pPr>
            <w:r w:rsidRPr="0001568E">
              <w:rPr>
                <w:rFonts w:cs="Arial"/>
                <w:b/>
                <w:bCs/>
                <w:sz w:val="22"/>
                <w:szCs w:val="22"/>
              </w:rPr>
              <w:t xml:space="preserve">THE </w:t>
            </w:r>
            <w:r w:rsidR="0001568E" w:rsidRPr="0001568E">
              <w:rPr>
                <w:rFonts w:cs="Arial"/>
                <w:b/>
                <w:bCs/>
                <w:sz w:val="22"/>
                <w:szCs w:val="22"/>
              </w:rPr>
              <w:t xml:space="preserve">INDIVIDUAL </w:t>
            </w:r>
            <w:r w:rsidRPr="0001568E">
              <w:rPr>
                <w:rFonts w:cs="Arial"/>
                <w:b/>
                <w:bCs/>
                <w:sz w:val="22"/>
                <w:szCs w:val="22"/>
              </w:rPr>
              <w:t>PRACTITIONER MUST BE AUTHORISED BY NAME, UNDER THE CURRENT VERSION OF THIS PGD BEFORE WORKING ACCORDING TO IT.</w:t>
            </w:r>
          </w:p>
        </w:tc>
      </w:tr>
      <w:tr w:rsidR="0046701A" w:rsidRPr="00D06525" w:rsidTr="0046701A">
        <w:tc>
          <w:tcPr>
            <w:tcW w:w="2970" w:type="dxa"/>
          </w:tcPr>
          <w:p w:rsidR="0046701A" w:rsidRPr="00D06525" w:rsidRDefault="0046701A" w:rsidP="0046701A">
            <w:pPr>
              <w:spacing w:before="120" w:after="120"/>
              <w:rPr>
                <w:rFonts w:cs="Arial"/>
                <w:b/>
                <w:sz w:val="22"/>
                <w:szCs w:val="22"/>
              </w:rPr>
            </w:pPr>
            <w:r w:rsidRPr="00D06525">
              <w:rPr>
                <w:rFonts w:cs="Arial"/>
                <w:b/>
                <w:sz w:val="22"/>
                <w:szCs w:val="22"/>
              </w:rPr>
              <w:t>Continued training requirements</w:t>
            </w:r>
          </w:p>
        </w:tc>
        <w:tc>
          <w:tcPr>
            <w:tcW w:w="6953" w:type="dxa"/>
          </w:tcPr>
          <w:p w:rsidR="0046701A" w:rsidRPr="00D06525" w:rsidRDefault="0046701A" w:rsidP="0046701A">
            <w:pPr>
              <w:spacing w:before="120" w:after="120"/>
              <w:rPr>
                <w:rFonts w:cs="Arial"/>
                <w:sz w:val="22"/>
                <w:szCs w:val="22"/>
              </w:rPr>
            </w:pPr>
            <w:r w:rsidRPr="00D06525">
              <w:rPr>
                <w:rFonts w:cs="Arial"/>
                <w:sz w:val="22"/>
                <w:szCs w:val="22"/>
              </w:rPr>
              <w:t>Practitioners must ensure they are up to date with relevant issues and clinical skills relating to immunisation and management of anaphylaxis, with evidence of appropriate Continued Professional Development (CPD).</w:t>
            </w:r>
          </w:p>
          <w:p w:rsidR="0046701A" w:rsidRPr="00D06525" w:rsidRDefault="0046701A" w:rsidP="0046701A">
            <w:pPr>
              <w:spacing w:before="120" w:after="120"/>
              <w:contextualSpacing/>
              <w:rPr>
                <w:rFonts w:cs="Arial"/>
                <w:sz w:val="22"/>
                <w:szCs w:val="22"/>
              </w:rPr>
            </w:pPr>
            <w:r w:rsidRPr="00D06525">
              <w:rPr>
                <w:rFonts w:cs="Arial"/>
                <w:sz w:val="22"/>
              </w:rPr>
              <w:t xml:space="preserve">Practitioners should be constantly alert to any subsequent recommendations from Public Health England and/or NHS England and other sources of medicines information. </w:t>
            </w:r>
          </w:p>
          <w:p w:rsidR="0046701A" w:rsidRPr="00D06525" w:rsidRDefault="0046701A" w:rsidP="0046701A">
            <w:pPr>
              <w:spacing w:before="120" w:after="120"/>
              <w:rPr>
                <w:rFonts w:cs="Arial"/>
                <w:sz w:val="22"/>
                <w:szCs w:val="22"/>
              </w:rPr>
            </w:pPr>
            <w:r w:rsidRPr="00D06525">
              <w:rPr>
                <w:rFonts w:cs="Arial"/>
                <w:sz w:val="22"/>
              </w:rPr>
              <w:t xml:space="preserve">Note: </w:t>
            </w:r>
            <w:r w:rsidRPr="00D06525">
              <w:rPr>
                <w:rFonts w:cs="Arial"/>
                <w:sz w:val="22"/>
                <w:szCs w:val="22"/>
              </w:rPr>
              <w:t xml:space="preserve">The most current national recommendations should be followed but a Patient Specific Direction (PSD) </w:t>
            </w:r>
            <w:r w:rsidRPr="00D06525">
              <w:rPr>
                <w:sz w:val="22"/>
                <w:szCs w:val="22"/>
              </w:rPr>
              <w:t>may be required to administer the vaccine in line with updated recommendations that are outside the criteria specified in this PGD.</w:t>
            </w:r>
          </w:p>
        </w:tc>
      </w:tr>
    </w:tbl>
    <w:p w:rsidR="0046701A" w:rsidRPr="00D06525" w:rsidRDefault="0046701A" w:rsidP="0046701A">
      <w:pPr>
        <w:rPr>
          <w:rFonts w:cs="Arial"/>
          <w:b/>
          <w:color w:val="FF0000"/>
          <w:sz w:val="2"/>
          <w:szCs w:val="2"/>
        </w:rPr>
      </w:pPr>
      <w:r w:rsidRPr="00D06525">
        <w:rPr>
          <w:rFonts w:cs="Arial"/>
          <w:b/>
          <w:color w:val="FF0000"/>
          <w:sz w:val="2"/>
          <w:szCs w:val="2"/>
        </w:rPr>
        <w:t xml:space="preserve"> </w:t>
      </w:r>
    </w:p>
    <w:p w:rsidR="0046701A" w:rsidRPr="00D06525" w:rsidRDefault="0046701A" w:rsidP="0046701A">
      <w:pPr>
        <w:overflowPunct/>
        <w:autoSpaceDE/>
        <w:autoSpaceDN/>
        <w:adjustRightInd/>
        <w:jc w:val="center"/>
        <w:textAlignment w:val="auto"/>
        <w:rPr>
          <w:rFonts w:cs="Arial"/>
          <w:b/>
          <w:color w:val="FF0000"/>
          <w:sz w:val="2"/>
          <w:szCs w:val="2"/>
        </w:rPr>
      </w:pPr>
      <w:r w:rsidRPr="00D06525">
        <w:rPr>
          <w:rFonts w:cs="Arial"/>
          <w:b/>
          <w:color w:val="FF0000"/>
          <w:sz w:val="2"/>
          <w:szCs w:val="2"/>
        </w:rPr>
        <w:br w:type="page"/>
      </w:r>
    </w:p>
    <w:p w:rsidR="0046701A" w:rsidRPr="00223DBE" w:rsidRDefault="0046701A" w:rsidP="0046701A">
      <w:pPr>
        <w:pStyle w:val="ListParagraph"/>
        <w:numPr>
          <w:ilvl w:val="0"/>
          <w:numId w:val="5"/>
        </w:numPr>
        <w:rPr>
          <w:b/>
          <w:szCs w:val="24"/>
        </w:rPr>
      </w:pPr>
      <w:r w:rsidRPr="00223DBE">
        <w:rPr>
          <w:b/>
          <w:szCs w:val="24"/>
        </w:rPr>
        <w:lastRenderedPageBreak/>
        <w:t>Clinical condition or situation to which this PGD applies</w:t>
      </w:r>
    </w:p>
    <w:p w:rsidR="0046701A" w:rsidRPr="00D06525" w:rsidRDefault="0046701A" w:rsidP="0046701A">
      <w:pPr>
        <w:pStyle w:val="ListParagraph"/>
        <w:ind w:left="1080"/>
        <w:rPr>
          <w:rFonts w:cs="Arial"/>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46701A" w:rsidRPr="00D06525" w:rsidTr="0046701A">
        <w:tc>
          <w:tcPr>
            <w:tcW w:w="2977" w:type="dxa"/>
          </w:tcPr>
          <w:p w:rsidR="0046701A" w:rsidRPr="00D06525" w:rsidRDefault="0046701A" w:rsidP="0046701A">
            <w:pPr>
              <w:pStyle w:val="Header"/>
              <w:tabs>
                <w:tab w:val="clear" w:pos="4153"/>
                <w:tab w:val="clear" w:pos="8306"/>
              </w:tabs>
              <w:spacing w:before="120" w:after="120"/>
              <w:rPr>
                <w:rFonts w:ascii="Arial" w:hAnsi="Arial" w:cs="Arial"/>
                <w:b/>
                <w:color w:val="FF0000"/>
                <w:sz w:val="22"/>
                <w:szCs w:val="22"/>
              </w:rPr>
            </w:pPr>
            <w:r w:rsidRPr="00223DBE">
              <w:rPr>
                <w:rFonts w:ascii="Arial" w:hAnsi="Arial" w:cs="Arial"/>
                <w:b/>
                <w:sz w:val="22"/>
                <w:szCs w:val="22"/>
              </w:rPr>
              <w:t>Clinical condition or situation to which this PGD applies</w:t>
            </w:r>
          </w:p>
        </w:tc>
        <w:tc>
          <w:tcPr>
            <w:tcW w:w="6946" w:type="dxa"/>
          </w:tcPr>
          <w:p w:rsidR="0046701A" w:rsidRPr="00D06525" w:rsidRDefault="0046701A" w:rsidP="000C525D">
            <w:pPr>
              <w:spacing w:before="120" w:after="120"/>
              <w:rPr>
                <w:rFonts w:cs="Arial"/>
                <w:color w:val="FF0000"/>
                <w:sz w:val="22"/>
                <w:szCs w:val="22"/>
              </w:rPr>
            </w:pPr>
            <w:r w:rsidRPr="00A974A8">
              <w:rPr>
                <w:rFonts w:cs="Arial"/>
                <w:sz w:val="22"/>
                <w:szCs w:val="22"/>
              </w:rPr>
              <w:t xml:space="preserve">Indicated for the active immunisation of </w:t>
            </w:r>
            <w:r w:rsidR="000C525D">
              <w:rPr>
                <w:rFonts w:cs="Arial"/>
                <w:sz w:val="22"/>
                <w:szCs w:val="22"/>
              </w:rPr>
              <w:t>females</w:t>
            </w:r>
            <w:r w:rsidR="000C525D" w:rsidRPr="00A974A8">
              <w:rPr>
                <w:rFonts w:cs="Arial"/>
                <w:sz w:val="22"/>
                <w:szCs w:val="22"/>
              </w:rPr>
              <w:t xml:space="preserve"> </w:t>
            </w:r>
            <w:r w:rsidRPr="00A974A8">
              <w:rPr>
                <w:rFonts w:cs="Arial"/>
                <w:sz w:val="22"/>
                <w:szCs w:val="22"/>
              </w:rPr>
              <w:t xml:space="preserve">from 12 years of age </w:t>
            </w:r>
            <w:r w:rsidR="005B7497">
              <w:rPr>
                <w:rFonts w:cs="Arial"/>
                <w:sz w:val="22"/>
                <w:szCs w:val="22"/>
              </w:rPr>
              <w:t xml:space="preserve">or from school year 8 </w:t>
            </w:r>
            <w:r w:rsidRPr="00A974A8">
              <w:rPr>
                <w:rFonts w:cs="Arial"/>
                <w:sz w:val="22"/>
                <w:szCs w:val="22"/>
              </w:rPr>
              <w:t>for the prevention of</w:t>
            </w:r>
            <w:r w:rsidRPr="00A974A8">
              <w:rPr>
                <w:sz w:val="22"/>
                <w:szCs w:val="22"/>
              </w:rPr>
              <w:t xml:space="preserve"> </w:t>
            </w:r>
            <w:r w:rsidRPr="00A974A8">
              <w:rPr>
                <w:rFonts w:cs="Arial"/>
                <w:sz w:val="22"/>
                <w:szCs w:val="22"/>
                <w:lang w:val="en"/>
              </w:rPr>
              <w:t>human papillomavirus</w:t>
            </w:r>
            <w:r w:rsidRPr="00A974A8">
              <w:rPr>
                <w:rFonts w:cs="Arial"/>
                <w:sz w:val="22"/>
                <w:szCs w:val="22"/>
              </w:rPr>
              <w:t xml:space="preserve"> (types 6, 11, 16,</w:t>
            </w:r>
            <w:r w:rsidR="00E65B41">
              <w:rPr>
                <w:rFonts w:cs="Arial"/>
                <w:sz w:val="22"/>
                <w:szCs w:val="22"/>
              </w:rPr>
              <w:t xml:space="preserve"> </w:t>
            </w:r>
            <w:r w:rsidRPr="00A974A8">
              <w:rPr>
                <w:rFonts w:cs="Arial"/>
                <w:sz w:val="22"/>
                <w:szCs w:val="22"/>
              </w:rPr>
              <w:t xml:space="preserve">18) infection in accordance with the national immunisation programme and recommendations given in </w:t>
            </w:r>
            <w:hyperlink r:id="rId17" w:history="1">
              <w:r w:rsidRPr="00A974A8">
                <w:rPr>
                  <w:rStyle w:val="Hyperlink"/>
                  <w:rFonts w:cs="Arial"/>
                  <w:sz w:val="22"/>
                  <w:szCs w:val="22"/>
                </w:rPr>
                <w:t>Chapter 18a</w:t>
              </w:r>
            </w:hyperlink>
            <w:r w:rsidRPr="00A974A8">
              <w:rPr>
                <w:rFonts w:cs="Arial"/>
                <w:sz w:val="22"/>
                <w:szCs w:val="22"/>
              </w:rPr>
              <w:t xml:space="preserve"> of Immunisation Against Infectious Disease: “The Green Book”. </w:t>
            </w:r>
          </w:p>
        </w:tc>
      </w:tr>
      <w:tr w:rsidR="0046701A" w:rsidRPr="00D06525" w:rsidTr="0046701A">
        <w:tc>
          <w:tcPr>
            <w:tcW w:w="2977" w:type="dxa"/>
            <w:tcBorders>
              <w:bottom w:val="single" w:sz="6" w:space="0" w:color="auto"/>
            </w:tcBorders>
          </w:tcPr>
          <w:p w:rsidR="0046701A" w:rsidRPr="00D70083" w:rsidRDefault="0046701A" w:rsidP="0046701A">
            <w:pPr>
              <w:spacing w:before="120" w:after="120"/>
              <w:rPr>
                <w:rFonts w:cs="Arial"/>
                <w:b/>
                <w:sz w:val="22"/>
                <w:szCs w:val="22"/>
              </w:rPr>
            </w:pPr>
            <w:r w:rsidRPr="00D70083">
              <w:rPr>
                <w:rFonts w:cs="Arial"/>
                <w:b/>
                <w:sz w:val="22"/>
                <w:szCs w:val="22"/>
              </w:rPr>
              <w:t>Criteria for inclusion</w:t>
            </w:r>
          </w:p>
        </w:tc>
        <w:tc>
          <w:tcPr>
            <w:tcW w:w="6946" w:type="dxa"/>
            <w:tcBorders>
              <w:bottom w:val="single" w:sz="6" w:space="0" w:color="auto"/>
            </w:tcBorders>
          </w:tcPr>
          <w:p w:rsidR="0046701A" w:rsidRPr="00D70083" w:rsidRDefault="0046701A" w:rsidP="0046701A">
            <w:pPr>
              <w:overflowPunct/>
              <w:spacing w:before="120"/>
              <w:textAlignment w:val="auto"/>
              <w:rPr>
                <w:rFonts w:cs="Arial"/>
                <w:sz w:val="22"/>
                <w:szCs w:val="22"/>
              </w:rPr>
            </w:pPr>
            <w:r w:rsidRPr="00D70083">
              <w:rPr>
                <w:rFonts w:cs="Arial"/>
                <w:sz w:val="22"/>
                <w:szCs w:val="22"/>
              </w:rPr>
              <w:t>Individuals who:</w:t>
            </w:r>
          </w:p>
          <w:p w:rsidR="0046701A" w:rsidRPr="00717B5E" w:rsidRDefault="0046701A" w:rsidP="0046701A">
            <w:pPr>
              <w:pStyle w:val="ListParagraph"/>
              <w:numPr>
                <w:ilvl w:val="0"/>
                <w:numId w:val="24"/>
              </w:numPr>
              <w:overflowPunct/>
              <w:spacing w:after="64"/>
              <w:ind w:left="317" w:hanging="283"/>
              <w:textAlignment w:val="auto"/>
              <w:rPr>
                <w:rFonts w:eastAsiaTheme="minorHAnsi" w:cs="Arial"/>
                <w:sz w:val="22"/>
                <w:szCs w:val="22"/>
                <w:lang w:eastAsia="en-US"/>
              </w:rPr>
            </w:pPr>
            <w:r w:rsidRPr="00717B5E">
              <w:rPr>
                <w:rFonts w:cs="Arial"/>
                <w:sz w:val="22"/>
                <w:szCs w:val="22"/>
              </w:rPr>
              <w:t xml:space="preserve">are </w:t>
            </w:r>
            <w:r w:rsidR="000C525D">
              <w:rPr>
                <w:rFonts w:cs="Arial"/>
                <w:sz w:val="22"/>
                <w:szCs w:val="22"/>
              </w:rPr>
              <w:t>females</w:t>
            </w:r>
            <w:r w:rsidR="00203160">
              <w:rPr>
                <w:rStyle w:val="FootnoteReference"/>
                <w:rFonts w:cs="Arial"/>
                <w:sz w:val="22"/>
                <w:szCs w:val="22"/>
              </w:rPr>
              <w:footnoteReference w:id="2"/>
            </w:r>
            <w:r w:rsidR="000C525D" w:rsidRPr="00717B5E">
              <w:rPr>
                <w:rFonts w:cs="Arial"/>
                <w:sz w:val="22"/>
                <w:szCs w:val="22"/>
              </w:rPr>
              <w:t xml:space="preserve"> </w:t>
            </w:r>
            <w:r w:rsidRPr="00717B5E">
              <w:rPr>
                <w:rFonts w:cs="Arial"/>
                <w:sz w:val="22"/>
                <w:szCs w:val="22"/>
              </w:rPr>
              <w:t xml:space="preserve">aged </w:t>
            </w:r>
            <w:r w:rsidRPr="00D70083">
              <w:rPr>
                <w:rFonts w:cs="Arial"/>
                <w:sz w:val="22"/>
                <w:szCs w:val="22"/>
              </w:rPr>
              <w:t>12 years to under 18 years of age</w:t>
            </w:r>
            <w:r w:rsidR="0014042A">
              <w:rPr>
                <w:rFonts w:cs="Arial"/>
                <w:sz w:val="22"/>
                <w:szCs w:val="22"/>
              </w:rPr>
              <w:t xml:space="preserve"> </w:t>
            </w:r>
            <w:r w:rsidR="0014042A" w:rsidRPr="004A207C">
              <w:rPr>
                <w:rFonts w:cs="Arial"/>
                <w:sz w:val="22"/>
                <w:szCs w:val="22"/>
              </w:rPr>
              <w:t>when starting a course of HPV immunisation</w:t>
            </w:r>
            <w:r w:rsidRPr="00D70083">
              <w:rPr>
                <w:rFonts w:cs="Arial"/>
                <w:sz w:val="22"/>
                <w:szCs w:val="22"/>
              </w:rPr>
              <w:t xml:space="preserve"> </w:t>
            </w:r>
          </w:p>
          <w:p w:rsidR="000D7D56" w:rsidRPr="004C36D8" w:rsidRDefault="000D7D56" w:rsidP="0046701A">
            <w:pPr>
              <w:pStyle w:val="ListParagraph"/>
              <w:numPr>
                <w:ilvl w:val="0"/>
                <w:numId w:val="24"/>
              </w:numPr>
              <w:overflowPunct/>
              <w:spacing w:after="64"/>
              <w:ind w:left="317" w:hanging="283"/>
              <w:textAlignment w:val="auto"/>
              <w:rPr>
                <w:rFonts w:eastAsiaTheme="minorHAnsi" w:cs="Arial"/>
                <w:sz w:val="22"/>
                <w:szCs w:val="22"/>
                <w:lang w:eastAsia="en-US"/>
              </w:rPr>
            </w:pPr>
            <w:r>
              <w:rPr>
                <w:rFonts w:cs="Arial"/>
                <w:sz w:val="22"/>
                <w:szCs w:val="22"/>
              </w:rPr>
              <w:t xml:space="preserve">are </w:t>
            </w:r>
            <w:r w:rsidR="000C525D">
              <w:rPr>
                <w:rFonts w:cs="Arial"/>
                <w:sz w:val="22"/>
                <w:szCs w:val="22"/>
              </w:rPr>
              <w:t>females</w:t>
            </w:r>
            <w:r w:rsidR="003D0FCA" w:rsidRPr="003D0FCA">
              <w:rPr>
                <w:rFonts w:cs="Arial"/>
                <w:sz w:val="22"/>
                <w:szCs w:val="22"/>
                <w:vertAlign w:val="superscript"/>
              </w:rPr>
              <w:t>2</w:t>
            </w:r>
            <w:r w:rsidR="000C525D">
              <w:rPr>
                <w:rFonts w:cs="Arial"/>
                <w:sz w:val="22"/>
                <w:szCs w:val="22"/>
              </w:rPr>
              <w:t xml:space="preserve"> </w:t>
            </w:r>
            <w:r>
              <w:rPr>
                <w:rFonts w:cs="Arial"/>
                <w:sz w:val="22"/>
                <w:szCs w:val="22"/>
              </w:rPr>
              <w:t xml:space="preserve">aged less than 12 years </w:t>
            </w:r>
            <w:r w:rsidR="0014042A">
              <w:rPr>
                <w:rFonts w:cs="Arial"/>
                <w:sz w:val="22"/>
                <w:szCs w:val="22"/>
              </w:rPr>
              <w:t>of age</w:t>
            </w:r>
            <w:r>
              <w:rPr>
                <w:rFonts w:cs="Arial"/>
                <w:sz w:val="22"/>
                <w:szCs w:val="22"/>
              </w:rPr>
              <w:t xml:space="preserve"> who are in school year 8, 9, 10 or 11</w:t>
            </w:r>
          </w:p>
          <w:p w:rsidR="0046701A" w:rsidRPr="004C36D8" w:rsidRDefault="0046701A" w:rsidP="0014042A">
            <w:pPr>
              <w:pStyle w:val="ListParagraph"/>
              <w:numPr>
                <w:ilvl w:val="0"/>
                <w:numId w:val="24"/>
              </w:numPr>
              <w:overflowPunct/>
              <w:spacing w:after="64"/>
              <w:ind w:left="317" w:hanging="283"/>
              <w:textAlignment w:val="auto"/>
              <w:rPr>
                <w:rFonts w:eastAsiaTheme="minorHAnsi" w:cs="Arial"/>
                <w:sz w:val="22"/>
                <w:szCs w:val="22"/>
                <w:lang w:eastAsia="en-US"/>
              </w:rPr>
            </w:pPr>
            <w:r>
              <w:rPr>
                <w:rFonts w:cs="Arial"/>
                <w:sz w:val="22"/>
                <w:szCs w:val="22"/>
              </w:rPr>
              <w:t xml:space="preserve">are </w:t>
            </w:r>
            <w:r w:rsidR="00717B5E">
              <w:rPr>
                <w:rFonts w:cs="Arial"/>
                <w:sz w:val="22"/>
                <w:szCs w:val="22"/>
              </w:rPr>
              <w:t>females</w:t>
            </w:r>
            <w:r w:rsidR="003D0FCA">
              <w:rPr>
                <w:rFonts w:cs="Arial"/>
                <w:sz w:val="22"/>
                <w:szCs w:val="22"/>
                <w:vertAlign w:val="superscript"/>
              </w:rPr>
              <w:t>2</w:t>
            </w:r>
            <w:r w:rsidR="00717B5E">
              <w:rPr>
                <w:rFonts w:cs="Arial"/>
                <w:sz w:val="22"/>
                <w:szCs w:val="22"/>
              </w:rPr>
              <w:t xml:space="preserve"> </w:t>
            </w:r>
            <w:r>
              <w:rPr>
                <w:rFonts w:cs="Arial"/>
                <w:sz w:val="22"/>
                <w:szCs w:val="22"/>
              </w:rPr>
              <w:t>aged 18 years</w:t>
            </w:r>
            <w:r w:rsidR="00CB7872">
              <w:rPr>
                <w:rFonts w:cs="Arial"/>
                <w:sz w:val="22"/>
                <w:szCs w:val="22"/>
              </w:rPr>
              <w:t xml:space="preserve"> and over</w:t>
            </w:r>
            <w:r>
              <w:rPr>
                <w:rFonts w:cs="Arial"/>
                <w:sz w:val="22"/>
                <w:szCs w:val="22"/>
              </w:rPr>
              <w:t xml:space="preserve"> </w:t>
            </w:r>
            <w:r w:rsidR="0014042A">
              <w:rPr>
                <w:rFonts w:cs="Arial"/>
                <w:sz w:val="22"/>
                <w:szCs w:val="22"/>
              </w:rPr>
              <w:t xml:space="preserve">who have </w:t>
            </w:r>
            <w:r w:rsidR="0014042A" w:rsidRPr="004A207C">
              <w:rPr>
                <w:rFonts w:cs="Arial"/>
                <w:sz w:val="22"/>
                <w:szCs w:val="22"/>
              </w:rPr>
              <w:t>started but not co</w:t>
            </w:r>
            <w:r w:rsidR="0014042A">
              <w:rPr>
                <w:rFonts w:cs="Arial"/>
                <w:sz w:val="22"/>
                <w:szCs w:val="22"/>
              </w:rPr>
              <w:t xml:space="preserve">mpleted a course of HPV immunisation </w:t>
            </w:r>
            <w:r w:rsidR="0014042A" w:rsidRPr="004A207C">
              <w:rPr>
                <w:rFonts w:cs="Arial"/>
                <w:sz w:val="22"/>
                <w:szCs w:val="22"/>
              </w:rPr>
              <w:t>before their 18</w:t>
            </w:r>
            <w:r w:rsidR="0014042A" w:rsidRPr="004A207C">
              <w:rPr>
                <w:rFonts w:cs="Arial"/>
                <w:sz w:val="22"/>
                <w:szCs w:val="22"/>
                <w:vertAlign w:val="superscript"/>
              </w:rPr>
              <w:t>th</w:t>
            </w:r>
            <w:r w:rsidR="0014042A" w:rsidRPr="004A207C">
              <w:rPr>
                <w:rFonts w:cs="Arial"/>
                <w:sz w:val="22"/>
                <w:szCs w:val="22"/>
              </w:rPr>
              <w:t xml:space="preserve"> birthday</w:t>
            </w:r>
          </w:p>
        </w:tc>
      </w:tr>
      <w:tr w:rsidR="0046701A" w:rsidRPr="00D06525" w:rsidTr="0046701A">
        <w:tc>
          <w:tcPr>
            <w:tcW w:w="2977" w:type="dxa"/>
            <w:tcBorders>
              <w:bottom w:val="single" w:sz="4" w:space="0" w:color="auto"/>
            </w:tcBorders>
          </w:tcPr>
          <w:p w:rsidR="0046701A" w:rsidRPr="00D70083" w:rsidRDefault="0046701A" w:rsidP="0046701A">
            <w:pPr>
              <w:spacing w:before="120" w:after="120"/>
              <w:rPr>
                <w:rFonts w:cs="Arial"/>
                <w:b/>
                <w:sz w:val="22"/>
                <w:szCs w:val="22"/>
              </w:rPr>
            </w:pPr>
            <w:r w:rsidRPr="00D70083">
              <w:rPr>
                <w:rFonts w:cs="Arial"/>
                <w:b/>
                <w:sz w:val="22"/>
                <w:szCs w:val="22"/>
              </w:rPr>
              <w:t>Criteria for exclusion</w:t>
            </w:r>
            <w:r w:rsidRPr="00D70083">
              <w:rPr>
                <w:rStyle w:val="FootnoteReference"/>
                <w:rFonts w:cs="Arial"/>
                <w:b/>
                <w:sz w:val="22"/>
                <w:szCs w:val="22"/>
              </w:rPr>
              <w:footnoteReference w:id="3"/>
            </w: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tc>
        <w:tc>
          <w:tcPr>
            <w:tcW w:w="6946" w:type="dxa"/>
            <w:tcBorders>
              <w:bottom w:val="single" w:sz="4" w:space="0" w:color="auto"/>
            </w:tcBorders>
          </w:tcPr>
          <w:p w:rsidR="0046701A" w:rsidRPr="00D70083" w:rsidRDefault="0046701A" w:rsidP="0046701A">
            <w:pPr>
              <w:pStyle w:val="Pa4"/>
              <w:spacing w:before="120" w:after="120" w:line="240" w:lineRule="auto"/>
              <w:contextualSpacing/>
              <w:rPr>
                <w:rFonts w:ascii="Arial" w:hAnsi="Arial" w:cs="Arial"/>
                <w:sz w:val="22"/>
                <w:szCs w:val="22"/>
              </w:rPr>
            </w:pPr>
            <w:r w:rsidRPr="00D70083">
              <w:rPr>
                <w:rFonts w:ascii="Arial" w:hAnsi="Arial" w:cs="Arial"/>
                <w:sz w:val="22"/>
                <w:szCs w:val="22"/>
              </w:rPr>
              <w:t xml:space="preserve">Individuals for whom no valid consent has been </w:t>
            </w:r>
            <w:r w:rsidRPr="00D5175E">
              <w:rPr>
                <w:rFonts w:ascii="Arial" w:hAnsi="Arial" w:cs="Arial"/>
                <w:sz w:val="22"/>
                <w:szCs w:val="22"/>
              </w:rPr>
              <w:t>received</w:t>
            </w:r>
            <w:r w:rsidR="00D5175E">
              <w:rPr>
                <w:rFonts w:ascii="Arial" w:hAnsi="Arial" w:cs="Arial"/>
                <w:sz w:val="22"/>
                <w:szCs w:val="22"/>
              </w:rPr>
              <w:t xml:space="preserve"> (see </w:t>
            </w:r>
            <w:r w:rsidR="00D5175E" w:rsidRPr="00D5175E">
              <w:rPr>
                <w:rFonts w:ascii="Arial" w:eastAsiaTheme="minorHAnsi" w:hAnsi="Arial" w:cs="Arial"/>
                <w:sz w:val="22"/>
                <w:szCs w:val="22"/>
              </w:rPr>
              <w:t xml:space="preserve">DH </w:t>
            </w:r>
            <w:hyperlink r:id="rId18" w:history="1">
              <w:r w:rsidR="00D5175E" w:rsidRPr="00D5175E">
                <w:rPr>
                  <w:rStyle w:val="Hyperlink"/>
                  <w:rFonts w:ascii="Arial" w:eastAsiaTheme="minorHAnsi" w:hAnsi="Arial" w:cs="Arial"/>
                  <w:sz w:val="22"/>
                  <w:szCs w:val="22"/>
                </w:rPr>
                <w:t>Reference guide to consent for examination or treatment</w:t>
              </w:r>
            </w:hyperlink>
            <w:r w:rsidR="00D5175E" w:rsidRPr="00D5175E">
              <w:rPr>
                <w:rFonts w:ascii="Arial" w:eastAsiaTheme="minorHAnsi" w:hAnsi="Arial" w:cs="Arial"/>
                <w:sz w:val="22"/>
                <w:szCs w:val="22"/>
              </w:rPr>
              <w:t>)</w:t>
            </w:r>
            <w:r w:rsidRPr="00D5175E">
              <w:rPr>
                <w:rFonts w:ascii="Arial" w:hAnsi="Arial" w:cs="Arial"/>
                <w:sz w:val="22"/>
                <w:szCs w:val="22"/>
              </w:rPr>
              <w:t>.</w:t>
            </w:r>
          </w:p>
          <w:p w:rsidR="0046701A" w:rsidRPr="00D70083" w:rsidRDefault="0046701A" w:rsidP="0046701A">
            <w:pPr>
              <w:pStyle w:val="Default"/>
              <w:spacing w:before="120"/>
              <w:contextualSpacing/>
              <w:rPr>
                <w:color w:val="auto"/>
                <w:sz w:val="22"/>
                <w:szCs w:val="22"/>
                <w:lang w:eastAsia="en-US"/>
              </w:rPr>
            </w:pPr>
            <w:r w:rsidRPr="00D70083">
              <w:rPr>
                <w:color w:val="auto"/>
                <w:sz w:val="22"/>
                <w:szCs w:val="22"/>
                <w:lang w:eastAsia="en-US"/>
              </w:rPr>
              <w:t>Individuals who:</w:t>
            </w:r>
          </w:p>
          <w:p w:rsidR="0046701A" w:rsidRDefault="0046701A" w:rsidP="0046701A">
            <w:pPr>
              <w:numPr>
                <w:ilvl w:val="0"/>
                <w:numId w:val="9"/>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are less than 12 years of age</w:t>
            </w:r>
            <w:r w:rsidR="000D7D56">
              <w:rPr>
                <w:rFonts w:eastAsiaTheme="minorHAnsi" w:cs="Arial"/>
                <w:sz w:val="22"/>
                <w:szCs w:val="22"/>
                <w:lang w:eastAsia="en-US"/>
              </w:rPr>
              <w:t xml:space="preserve"> and in school year 7 or </w:t>
            </w:r>
            <w:r w:rsidR="009C6D22">
              <w:rPr>
                <w:rFonts w:eastAsiaTheme="minorHAnsi" w:cs="Arial"/>
                <w:sz w:val="22"/>
                <w:szCs w:val="22"/>
                <w:lang w:eastAsia="en-US"/>
              </w:rPr>
              <w:t>lower</w:t>
            </w:r>
          </w:p>
          <w:p w:rsidR="008A4890" w:rsidRPr="00D70083" w:rsidRDefault="008A4890" w:rsidP="0046701A">
            <w:pPr>
              <w:numPr>
                <w:ilvl w:val="0"/>
                <w:numId w:val="9"/>
              </w:numPr>
              <w:overflowPunct/>
              <w:spacing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less than 9 years of age</w:t>
            </w:r>
          </w:p>
          <w:p w:rsidR="0046701A" w:rsidRPr="00D70083" w:rsidRDefault="0046701A" w:rsidP="0046701A">
            <w:pPr>
              <w:numPr>
                <w:ilvl w:val="0"/>
                <w:numId w:val="9"/>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are aged 18 years and over</w:t>
            </w:r>
            <w:r>
              <w:rPr>
                <w:rFonts w:eastAsiaTheme="minorHAnsi" w:cs="Arial"/>
                <w:sz w:val="22"/>
                <w:szCs w:val="22"/>
                <w:lang w:eastAsia="en-US"/>
              </w:rPr>
              <w:t>, except those who have received a partial course of HPV immunisation</w:t>
            </w:r>
          </w:p>
          <w:p w:rsidR="0046701A" w:rsidRPr="00D70083" w:rsidRDefault="0046701A" w:rsidP="0046701A">
            <w:pPr>
              <w:numPr>
                <w:ilvl w:val="0"/>
                <w:numId w:val="9"/>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are male</w:t>
            </w:r>
            <w:r w:rsidR="003D0FCA" w:rsidRPr="003D0FCA">
              <w:rPr>
                <w:rFonts w:eastAsiaTheme="minorHAnsi" w:cs="Arial"/>
                <w:sz w:val="22"/>
                <w:szCs w:val="22"/>
                <w:vertAlign w:val="superscript"/>
                <w:lang w:eastAsia="en-US"/>
              </w:rPr>
              <w:t>2</w:t>
            </w:r>
            <w:r w:rsidRPr="00D70083">
              <w:rPr>
                <w:rFonts w:eastAsiaTheme="minorHAnsi" w:cs="Arial"/>
                <w:sz w:val="22"/>
                <w:szCs w:val="22"/>
                <w:lang w:eastAsia="en-US"/>
              </w:rPr>
              <w:t xml:space="preserve"> </w:t>
            </w:r>
          </w:p>
          <w:p w:rsidR="0046701A" w:rsidRPr="0093162E" w:rsidRDefault="0046701A" w:rsidP="0046701A">
            <w:pPr>
              <w:numPr>
                <w:ilvl w:val="0"/>
                <w:numId w:val="9"/>
              </w:numPr>
              <w:overflowPunct/>
              <w:spacing w:before="120" w:after="120"/>
              <w:ind w:left="318" w:hanging="284"/>
              <w:contextualSpacing/>
              <w:textAlignment w:val="auto"/>
              <w:rPr>
                <w:rFonts w:eastAsiaTheme="minorHAnsi" w:cs="Arial"/>
                <w:color w:val="FF0000"/>
                <w:sz w:val="22"/>
                <w:szCs w:val="22"/>
                <w:lang w:eastAsia="en-US"/>
              </w:rPr>
            </w:pPr>
            <w:r w:rsidRPr="00D70083">
              <w:rPr>
                <w:rFonts w:eastAsiaTheme="minorHAnsi" w:cs="Arial"/>
                <w:sz w:val="22"/>
                <w:szCs w:val="22"/>
                <w:lang w:eastAsia="en-US"/>
              </w:rPr>
              <w:t>have had a confirmed anaphylactic reaction to a previous dose of HPV vaccine or to any components of the vaccine</w:t>
            </w:r>
          </w:p>
          <w:p w:rsidR="0046701A" w:rsidRPr="00A76482" w:rsidRDefault="0046701A" w:rsidP="0046701A">
            <w:pPr>
              <w:numPr>
                <w:ilvl w:val="0"/>
                <w:numId w:val="9"/>
              </w:numPr>
              <w:overflowPunct/>
              <w:spacing w:before="120" w:after="120"/>
              <w:ind w:left="318" w:hanging="284"/>
              <w:contextualSpacing/>
              <w:textAlignment w:val="auto"/>
              <w:rPr>
                <w:rFonts w:eastAsiaTheme="minorHAnsi" w:cs="Arial"/>
                <w:color w:val="FF0000"/>
                <w:sz w:val="22"/>
                <w:szCs w:val="22"/>
                <w:lang w:eastAsia="en-US"/>
              </w:rPr>
            </w:pPr>
            <w:r>
              <w:rPr>
                <w:rFonts w:eastAsiaTheme="minorHAnsi" w:cs="Arial"/>
                <w:sz w:val="22"/>
                <w:szCs w:val="22"/>
                <w:lang w:eastAsia="en-US"/>
              </w:rPr>
              <w:t>have completed a course of HPV vaccine, with either HPV types 16, 18 (Cervarix</w:t>
            </w:r>
            <w:r w:rsidRPr="0093162E">
              <w:rPr>
                <w:rFonts w:eastAsiaTheme="minorHAnsi" w:cs="Arial"/>
                <w:sz w:val="22"/>
                <w:szCs w:val="22"/>
                <w:vertAlign w:val="superscript"/>
                <w:lang w:eastAsia="en-US"/>
              </w:rPr>
              <w:t>®</w:t>
            </w:r>
            <w:r>
              <w:rPr>
                <w:rFonts w:eastAsiaTheme="minorHAnsi" w:cs="Arial"/>
                <w:sz w:val="22"/>
                <w:szCs w:val="22"/>
                <w:lang w:eastAsia="en-US"/>
              </w:rPr>
              <w:t>) or HPV types 6, 11,16, 18 (Gardasil</w:t>
            </w:r>
            <w:r w:rsidRPr="0093162E">
              <w:rPr>
                <w:rFonts w:eastAsiaTheme="minorHAnsi" w:cs="Arial"/>
                <w:sz w:val="22"/>
                <w:szCs w:val="22"/>
                <w:vertAlign w:val="superscript"/>
                <w:lang w:eastAsia="en-US"/>
              </w:rPr>
              <w:t>®</w:t>
            </w:r>
            <w:r>
              <w:rPr>
                <w:rFonts w:eastAsiaTheme="minorHAnsi" w:cs="Arial"/>
                <w:sz w:val="22"/>
                <w:szCs w:val="22"/>
                <w:lang w:eastAsia="en-US"/>
              </w:rPr>
              <w:t>)</w:t>
            </w:r>
          </w:p>
          <w:p w:rsidR="0046701A" w:rsidRDefault="0046701A" w:rsidP="0046701A">
            <w:pPr>
              <w:numPr>
                <w:ilvl w:val="0"/>
                <w:numId w:val="9"/>
              </w:numPr>
              <w:overflowPunct/>
              <w:spacing w:before="120"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known to be pregnant (Note:</w:t>
            </w:r>
            <w:r w:rsidRPr="00A76482">
              <w:rPr>
                <w:rFonts w:eastAsiaTheme="minorHAnsi" w:cs="Arial"/>
                <w:b/>
                <w:sz w:val="22"/>
                <w:szCs w:val="22"/>
                <w:lang w:eastAsia="en-US"/>
              </w:rPr>
              <w:t xml:space="preserve"> </w:t>
            </w:r>
            <w:r w:rsidRPr="00A76482">
              <w:rPr>
                <w:rFonts w:eastAsiaTheme="minorHAnsi" w:cs="Arial"/>
                <w:sz w:val="22"/>
                <w:szCs w:val="22"/>
                <w:lang w:eastAsia="en-US"/>
              </w:rPr>
              <w:t>routine questioning about last menstrual period and/or pregnancy testing is not required before offering HPV vaccine)</w:t>
            </w:r>
          </w:p>
          <w:p w:rsidR="0046701A" w:rsidRPr="0093162E" w:rsidRDefault="0046701A" w:rsidP="0046701A">
            <w:pPr>
              <w:numPr>
                <w:ilvl w:val="0"/>
                <w:numId w:val="9"/>
              </w:numPr>
              <w:overflowPunct/>
              <w:spacing w:after="120"/>
              <w:ind w:left="318" w:hanging="284"/>
              <w:textAlignment w:val="auto"/>
              <w:rPr>
                <w:rFonts w:eastAsiaTheme="minorHAnsi" w:cs="Arial"/>
                <w:color w:val="FF0000"/>
                <w:sz w:val="22"/>
                <w:szCs w:val="22"/>
                <w:lang w:eastAsia="en-US"/>
              </w:rPr>
            </w:pPr>
            <w:r w:rsidRPr="00D70083">
              <w:rPr>
                <w:sz w:val="22"/>
                <w:szCs w:val="22"/>
              </w:rPr>
              <w:t xml:space="preserve">are </w:t>
            </w:r>
            <w:r w:rsidRPr="00D70083">
              <w:rPr>
                <w:rFonts w:cs="Arial"/>
                <w:sz w:val="22"/>
                <w:szCs w:val="22"/>
              </w:rPr>
              <w:t>suffering from acute severe febrile illness (the presence of a minor infection is not a contraindication for immunisation)</w:t>
            </w:r>
          </w:p>
        </w:tc>
      </w:tr>
      <w:tr w:rsidR="0046701A" w:rsidRPr="00D06525" w:rsidTr="0046701A">
        <w:tc>
          <w:tcPr>
            <w:tcW w:w="2977" w:type="dxa"/>
          </w:tcPr>
          <w:p w:rsidR="0046701A" w:rsidRPr="00D06525" w:rsidRDefault="0046701A" w:rsidP="0046701A">
            <w:pPr>
              <w:spacing w:before="120" w:after="120"/>
              <w:rPr>
                <w:rFonts w:cs="Arial"/>
                <w:b/>
                <w:color w:val="FF0000"/>
                <w:sz w:val="22"/>
                <w:szCs w:val="22"/>
              </w:rPr>
            </w:pPr>
            <w:r w:rsidRPr="0095150C">
              <w:rPr>
                <w:rFonts w:cs="Arial"/>
                <w:b/>
                <w:sz w:val="22"/>
                <w:szCs w:val="22"/>
              </w:rPr>
              <w:t>Cautions including any relevant action to be taken</w:t>
            </w:r>
          </w:p>
          <w:p w:rsidR="0046701A" w:rsidRPr="00D06525" w:rsidRDefault="0046701A" w:rsidP="0046701A">
            <w:pPr>
              <w:spacing w:before="120" w:after="120"/>
              <w:rPr>
                <w:rFonts w:cs="Arial"/>
                <w:b/>
                <w:color w:val="FF0000"/>
                <w:sz w:val="22"/>
                <w:szCs w:val="22"/>
              </w:rPr>
            </w:pPr>
          </w:p>
          <w:p w:rsidR="0046701A" w:rsidRPr="00D06525" w:rsidRDefault="0046701A" w:rsidP="0046701A">
            <w:pPr>
              <w:spacing w:before="120" w:after="120"/>
              <w:rPr>
                <w:rFonts w:cs="Arial"/>
                <w:b/>
                <w:color w:val="FF0000"/>
                <w:sz w:val="22"/>
                <w:szCs w:val="22"/>
              </w:rPr>
            </w:pPr>
          </w:p>
          <w:p w:rsidR="0046701A" w:rsidRPr="00D06525" w:rsidRDefault="0046701A" w:rsidP="0046701A">
            <w:pPr>
              <w:spacing w:before="120" w:after="120"/>
              <w:contextualSpacing/>
              <w:rPr>
                <w:rFonts w:cs="Arial"/>
                <w:color w:val="FF0000"/>
                <w:sz w:val="22"/>
                <w:szCs w:val="22"/>
              </w:rPr>
            </w:pPr>
          </w:p>
        </w:tc>
        <w:tc>
          <w:tcPr>
            <w:tcW w:w="6946" w:type="dxa"/>
          </w:tcPr>
          <w:p w:rsidR="0046701A" w:rsidRDefault="0046701A" w:rsidP="0046701A">
            <w:pPr>
              <w:shd w:val="clear" w:color="auto" w:fill="FFFFFF"/>
              <w:overflowPunct/>
              <w:autoSpaceDE/>
              <w:autoSpaceDN/>
              <w:adjustRightInd/>
              <w:spacing w:before="120" w:after="120"/>
              <w:textAlignment w:val="auto"/>
              <w:rPr>
                <w:rFonts w:cs="Arial"/>
                <w:color w:val="FF0000"/>
                <w:sz w:val="22"/>
                <w:szCs w:val="22"/>
              </w:rPr>
            </w:pPr>
            <w:r>
              <w:rPr>
                <w:rFonts w:cs="Arial"/>
                <w:color w:val="000000"/>
                <w:sz w:val="22"/>
                <w:szCs w:val="22"/>
              </w:rPr>
              <w:t>Syncope (</w:t>
            </w:r>
            <w:r w:rsidRPr="007B56AB">
              <w:rPr>
                <w:rFonts w:cs="Arial"/>
                <w:color w:val="000000"/>
                <w:sz w:val="22"/>
                <w:szCs w:val="22"/>
              </w:rPr>
              <w:t xml:space="preserve">fainting) </w:t>
            </w:r>
            <w:r w:rsidRPr="007B56AB">
              <w:rPr>
                <w:rFonts w:cs="Arial"/>
                <w:color w:val="000000"/>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r>
              <w:rPr>
                <w:rFonts w:cs="Arial"/>
                <w:color w:val="000000"/>
                <w:sz w:val="22"/>
                <w:szCs w:val="22"/>
                <w:lang w:val="en"/>
              </w:rPr>
              <w:t>.</w:t>
            </w:r>
          </w:p>
          <w:p w:rsidR="0046701A" w:rsidRPr="00D06525" w:rsidRDefault="0046701A" w:rsidP="0046701A">
            <w:pPr>
              <w:shd w:val="clear" w:color="auto" w:fill="FFFFFF"/>
              <w:overflowPunct/>
              <w:autoSpaceDE/>
              <w:autoSpaceDN/>
              <w:adjustRightInd/>
              <w:spacing w:before="120" w:after="120"/>
              <w:textAlignment w:val="auto"/>
              <w:rPr>
                <w:rFonts w:eastAsiaTheme="minorHAnsi" w:cs="Arial"/>
                <w:color w:val="FF0000"/>
                <w:sz w:val="22"/>
                <w:szCs w:val="22"/>
                <w:lang w:eastAsia="en-US"/>
              </w:rPr>
            </w:pPr>
            <w:r w:rsidRPr="0095150C">
              <w:rPr>
                <w:rFonts w:eastAsiaTheme="minorHAnsi" w:cs="Arial"/>
                <w:sz w:val="22"/>
                <w:szCs w:val="22"/>
                <w:lang w:eastAsia="en-US"/>
              </w:rPr>
              <w:t xml:space="preserve">The immunogenicity of the vaccine could be reduced in immunosuppressed subjects. Vaccination should proceed in accordance with the national recommendations. However, re-immunisation may need to be considered. Seek medical advice as appropriate. </w:t>
            </w:r>
          </w:p>
        </w:tc>
      </w:tr>
      <w:tr w:rsidR="0046701A" w:rsidRPr="00D06525" w:rsidTr="0046701A">
        <w:tc>
          <w:tcPr>
            <w:tcW w:w="2977" w:type="dxa"/>
          </w:tcPr>
          <w:p w:rsidR="0046701A" w:rsidRPr="004C36D8" w:rsidRDefault="0046701A" w:rsidP="0046701A">
            <w:pPr>
              <w:pStyle w:val="Header"/>
              <w:tabs>
                <w:tab w:val="clear" w:pos="4153"/>
                <w:tab w:val="clear" w:pos="8306"/>
              </w:tabs>
              <w:spacing w:before="120" w:after="120"/>
              <w:rPr>
                <w:rFonts w:ascii="Arial" w:hAnsi="Arial" w:cs="Arial"/>
                <w:sz w:val="22"/>
                <w:szCs w:val="22"/>
              </w:rPr>
            </w:pPr>
            <w:r w:rsidRPr="004C36D8">
              <w:rPr>
                <w:rFonts w:ascii="Arial" w:hAnsi="Arial" w:cs="Arial"/>
                <w:b/>
                <w:sz w:val="22"/>
                <w:szCs w:val="22"/>
              </w:rPr>
              <w:t>Action to be taken if the patient is excluded</w:t>
            </w:r>
          </w:p>
          <w:p w:rsidR="0046701A" w:rsidRPr="004C36D8" w:rsidRDefault="0046701A" w:rsidP="0046701A">
            <w:pPr>
              <w:pStyle w:val="Header"/>
              <w:tabs>
                <w:tab w:val="clear" w:pos="4153"/>
                <w:tab w:val="clear" w:pos="8306"/>
              </w:tabs>
              <w:spacing w:before="120" w:after="120"/>
              <w:contextualSpacing/>
              <w:rPr>
                <w:rFonts w:ascii="Arial" w:hAnsi="Arial" w:cs="Arial"/>
                <w:sz w:val="22"/>
                <w:szCs w:val="22"/>
              </w:rPr>
            </w:pPr>
          </w:p>
          <w:p w:rsidR="0046701A" w:rsidRPr="004C36D8" w:rsidRDefault="0046701A" w:rsidP="0046701A">
            <w:pPr>
              <w:pStyle w:val="Header"/>
              <w:tabs>
                <w:tab w:val="clear" w:pos="4153"/>
                <w:tab w:val="clear" w:pos="8306"/>
              </w:tabs>
              <w:spacing w:before="120" w:after="120"/>
              <w:contextualSpacing/>
              <w:rPr>
                <w:rFonts w:ascii="Arial" w:hAnsi="Arial" w:cs="Arial"/>
                <w:b/>
                <w:sz w:val="22"/>
                <w:szCs w:val="22"/>
              </w:rPr>
            </w:pPr>
          </w:p>
          <w:p w:rsidR="00B8676F" w:rsidRPr="00B8676F" w:rsidRDefault="00B8676F" w:rsidP="00B8676F">
            <w:pPr>
              <w:pStyle w:val="Header"/>
              <w:tabs>
                <w:tab w:val="clear" w:pos="4153"/>
                <w:tab w:val="clear" w:pos="8306"/>
              </w:tabs>
              <w:spacing w:before="120" w:after="120"/>
              <w:contextualSpacing/>
              <w:rPr>
                <w:rFonts w:ascii="Arial" w:hAnsi="Arial" w:cs="Arial"/>
                <w:sz w:val="22"/>
                <w:szCs w:val="22"/>
              </w:rPr>
            </w:pPr>
            <w:r w:rsidRPr="00B8676F">
              <w:rPr>
                <w:rFonts w:ascii="Arial" w:hAnsi="Arial" w:cs="Arial"/>
                <w:sz w:val="22"/>
                <w:szCs w:val="22"/>
              </w:rPr>
              <w:t>Continued over page</w:t>
            </w:r>
          </w:p>
          <w:p w:rsidR="00B8676F" w:rsidRDefault="00B8676F" w:rsidP="00B8676F">
            <w:pPr>
              <w:pStyle w:val="Header"/>
              <w:tabs>
                <w:tab w:val="clear" w:pos="4153"/>
                <w:tab w:val="clear" w:pos="8306"/>
              </w:tabs>
              <w:spacing w:before="120" w:after="120"/>
              <w:contextualSpacing/>
              <w:rPr>
                <w:rFonts w:ascii="Arial" w:hAnsi="Arial" w:cs="Arial"/>
                <w:b/>
                <w:sz w:val="22"/>
                <w:szCs w:val="22"/>
              </w:rPr>
            </w:pPr>
            <w:r w:rsidRPr="004C36D8">
              <w:rPr>
                <w:rFonts w:ascii="Arial" w:hAnsi="Arial" w:cs="Arial"/>
                <w:b/>
                <w:sz w:val="22"/>
                <w:szCs w:val="22"/>
              </w:rPr>
              <w:lastRenderedPageBreak/>
              <w:t>Action to be taken if the patient is excluded</w:t>
            </w:r>
          </w:p>
          <w:p w:rsidR="00B8676F" w:rsidRPr="00B8676F" w:rsidRDefault="00B8676F" w:rsidP="00B8676F">
            <w:pPr>
              <w:pStyle w:val="Header"/>
              <w:tabs>
                <w:tab w:val="clear" w:pos="4153"/>
                <w:tab w:val="clear" w:pos="8306"/>
              </w:tabs>
              <w:spacing w:before="120" w:after="120"/>
              <w:contextualSpacing/>
              <w:rPr>
                <w:rFonts w:ascii="Arial" w:hAnsi="Arial" w:cs="Arial"/>
                <w:sz w:val="22"/>
                <w:szCs w:val="22"/>
              </w:rPr>
            </w:pPr>
            <w:r w:rsidRPr="00B8676F">
              <w:rPr>
                <w:rFonts w:ascii="Arial" w:hAnsi="Arial" w:cs="Arial"/>
                <w:sz w:val="22"/>
                <w:szCs w:val="22"/>
              </w:rPr>
              <w:t>(Continued)</w:t>
            </w:r>
          </w:p>
          <w:p w:rsidR="0046701A" w:rsidRPr="004C36D8" w:rsidRDefault="0046701A" w:rsidP="0046701A">
            <w:pPr>
              <w:pStyle w:val="Header"/>
              <w:tabs>
                <w:tab w:val="clear" w:pos="4153"/>
                <w:tab w:val="clear" w:pos="8306"/>
              </w:tabs>
              <w:spacing w:before="120" w:after="120"/>
              <w:rPr>
                <w:rFonts w:ascii="Arial" w:hAnsi="Arial" w:cs="Arial"/>
                <w:b/>
                <w:sz w:val="22"/>
                <w:szCs w:val="22"/>
              </w:rPr>
            </w:pPr>
          </w:p>
          <w:p w:rsidR="0046701A" w:rsidRPr="004C36D8" w:rsidRDefault="0046701A" w:rsidP="0046701A">
            <w:pPr>
              <w:pStyle w:val="Header"/>
              <w:tabs>
                <w:tab w:val="clear" w:pos="4153"/>
                <w:tab w:val="clear" w:pos="8306"/>
              </w:tabs>
              <w:spacing w:before="120" w:after="120"/>
              <w:contextualSpacing/>
              <w:rPr>
                <w:rFonts w:ascii="Arial" w:hAnsi="Arial" w:cs="Arial"/>
                <w:sz w:val="22"/>
                <w:szCs w:val="22"/>
              </w:rPr>
            </w:pPr>
          </w:p>
        </w:tc>
        <w:tc>
          <w:tcPr>
            <w:tcW w:w="6946" w:type="dxa"/>
          </w:tcPr>
          <w:p w:rsidR="00D51EA3" w:rsidRDefault="0046701A" w:rsidP="0046701A">
            <w:pPr>
              <w:overflowPunct/>
              <w:spacing w:before="120" w:after="120"/>
              <w:textAlignment w:val="auto"/>
              <w:rPr>
                <w:rFonts w:eastAsiaTheme="minorHAnsi" w:cs="Arial"/>
                <w:sz w:val="22"/>
                <w:szCs w:val="22"/>
                <w:lang w:eastAsia="en-US"/>
              </w:rPr>
            </w:pPr>
            <w:r w:rsidRPr="00961B9B">
              <w:rPr>
                <w:rFonts w:eastAsiaTheme="minorHAnsi" w:cs="Arial"/>
                <w:sz w:val="22"/>
                <w:szCs w:val="22"/>
                <w:lang w:eastAsia="en-US"/>
              </w:rPr>
              <w:lastRenderedPageBreak/>
              <w:t>If aged less than 12 years</w:t>
            </w:r>
            <w:r w:rsidR="000D7D56">
              <w:rPr>
                <w:rFonts w:eastAsiaTheme="minorHAnsi" w:cs="Arial"/>
                <w:sz w:val="22"/>
                <w:szCs w:val="22"/>
                <w:lang w:eastAsia="en-US"/>
              </w:rPr>
              <w:t xml:space="preserve"> </w:t>
            </w:r>
            <w:r w:rsidR="00717B5E">
              <w:rPr>
                <w:rFonts w:eastAsiaTheme="minorHAnsi" w:cs="Arial"/>
                <w:sz w:val="22"/>
                <w:szCs w:val="22"/>
                <w:lang w:eastAsia="en-US"/>
              </w:rPr>
              <w:t>and</w:t>
            </w:r>
            <w:r w:rsidR="000D7D56">
              <w:rPr>
                <w:rFonts w:eastAsiaTheme="minorHAnsi" w:cs="Arial"/>
                <w:sz w:val="22"/>
                <w:szCs w:val="22"/>
                <w:lang w:eastAsia="en-US"/>
              </w:rPr>
              <w:t xml:space="preserve"> in</w:t>
            </w:r>
            <w:r w:rsidR="00717B5E">
              <w:rPr>
                <w:rFonts w:eastAsiaTheme="minorHAnsi" w:cs="Arial"/>
                <w:sz w:val="22"/>
                <w:szCs w:val="22"/>
                <w:lang w:eastAsia="en-US"/>
              </w:rPr>
              <w:t xml:space="preserve"> a</w:t>
            </w:r>
            <w:r w:rsidR="000D7D56">
              <w:rPr>
                <w:rFonts w:eastAsiaTheme="minorHAnsi" w:cs="Arial"/>
                <w:sz w:val="22"/>
                <w:szCs w:val="22"/>
                <w:lang w:eastAsia="en-US"/>
              </w:rPr>
              <w:t xml:space="preserve"> school year below year 8,</w:t>
            </w:r>
            <w:r w:rsidRPr="00961B9B">
              <w:rPr>
                <w:rFonts w:eastAsiaTheme="minorHAnsi" w:cs="Arial"/>
                <w:sz w:val="22"/>
                <w:szCs w:val="22"/>
                <w:lang w:eastAsia="en-US"/>
              </w:rPr>
              <w:t xml:space="preserve"> advise when national routine immunisation is indicated. </w:t>
            </w:r>
          </w:p>
          <w:p w:rsidR="0046701A" w:rsidRPr="00961B9B" w:rsidRDefault="008A4890"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If aged less than 9 years HPV vaccination is off-label</w:t>
            </w:r>
            <w:r w:rsidR="00D51EA3">
              <w:rPr>
                <w:rFonts w:eastAsiaTheme="minorHAnsi" w:cs="Arial"/>
                <w:sz w:val="22"/>
                <w:szCs w:val="22"/>
                <w:lang w:eastAsia="en-US"/>
              </w:rPr>
              <w:t>. Immunisation is not indicated unless in school year 8 or above and a PSD would be required.</w:t>
            </w:r>
          </w:p>
          <w:p w:rsidR="0046701A" w:rsidRDefault="0046701A" w:rsidP="0046701A">
            <w:pPr>
              <w:overflowPunct/>
              <w:spacing w:before="120" w:after="120"/>
              <w:textAlignment w:val="auto"/>
              <w:rPr>
                <w:rFonts w:eastAsiaTheme="minorHAnsi" w:cs="Arial"/>
                <w:sz w:val="22"/>
                <w:szCs w:val="22"/>
                <w:lang w:eastAsia="en-US"/>
              </w:rPr>
            </w:pPr>
            <w:r w:rsidRPr="004C36D8">
              <w:rPr>
                <w:rFonts w:eastAsiaTheme="minorHAnsi" w:cs="Arial"/>
                <w:sz w:val="22"/>
                <w:szCs w:val="22"/>
                <w:lang w:eastAsia="en-US"/>
              </w:rPr>
              <w:lastRenderedPageBreak/>
              <w:t>I</w:t>
            </w:r>
            <w:r w:rsidR="00842897">
              <w:rPr>
                <w:rFonts w:eastAsiaTheme="minorHAnsi" w:cs="Arial"/>
                <w:sz w:val="22"/>
                <w:szCs w:val="22"/>
                <w:lang w:eastAsia="en-US"/>
              </w:rPr>
              <w:t xml:space="preserve">f aged </w:t>
            </w:r>
            <w:r w:rsidRPr="004C36D8">
              <w:rPr>
                <w:rFonts w:eastAsiaTheme="minorHAnsi" w:cs="Arial"/>
                <w:sz w:val="22"/>
                <w:szCs w:val="22"/>
                <w:lang w:eastAsia="en-US"/>
              </w:rPr>
              <w:t xml:space="preserve">18 years </w:t>
            </w:r>
            <w:r w:rsidR="00842897">
              <w:rPr>
                <w:rFonts w:eastAsiaTheme="minorHAnsi" w:cs="Arial"/>
                <w:sz w:val="22"/>
                <w:szCs w:val="22"/>
                <w:lang w:eastAsia="en-US"/>
              </w:rPr>
              <w:t xml:space="preserve">and over </w:t>
            </w:r>
            <w:r w:rsidR="00CB7872">
              <w:rPr>
                <w:rFonts w:eastAsiaTheme="minorHAnsi" w:cs="Arial"/>
                <w:sz w:val="22"/>
                <w:szCs w:val="22"/>
                <w:lang w:eastAsia="en-US"/>
              </w:rPr>
              <w:t xml:space="preserve">and </w:t>
            </w:r>
            <w:r w:rsidR="0014042A">
              <w:rPr>
                <w:rFonts w:eastAsiaTheme="minorHAnsi" w:cs="Arial"/>
                <w:sz w:val="22"/>
                <w:szCs w:val="22"/>
                <w:lang w:eastAsia="en-US"/>
              </w:rPr>
              <w:t xml:space="preserve">previously </w:t>
            </w:r>
            <w:r w:rsidR="00CB7872">
              <w:rPr>
                <w:rFonts w:eastAsiaTheme="minorHAnsi" w:cs="Arial"/>
                <w:sz w:val="22"/>
                <w:szCs w:val="22"/>
                <w:lang w:eastAsia="en-US"/>
              </w:rPr>
              <w:t xml:space="preserve">unimmunised against HPV advise that </w:t>
            </w:r>
            <w:r w:rsidRPr="004C36D8">
              <w:rPr>
                <w:rFonts w:eastAsiaTheme="minorHAnsi" w:cs="Arial"/>
                <w:sz w:val="22"/>
                <w:szCs w:val="22"/>
                <w:lang w:eastAsia="en-US"/>
              </w:rPr>
              <w:t xml:space="preserve">vaccination against HPV is not covered by the national HPV vaccination programme. </w:t>
            </w:r>
          </w:p>
          <w:p w:rsidR="00432FE5" w:rsidRDefault="00432FE5"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If a confirmed anaphylactic reaction has been experienced after a previous dose of HPV vaccine specialist advice should be sought.</w:t>
            </w:r>
          </w:p>
          <w:p w:rsidR="0046701A" w:rsidRPr="004C36D8" w:rsidRDefault="0046701A"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Individuals known to be pregnant should complete immunisation after their pregnancy.</w:t>
            </w:r>
            <w:r w:rsidR="0096024C">
              <w:rPr>
                <w:rFonts w:eastAsiaTheme="minorHAnsi" w:cs="Arial"/>
                <w:sz w:val="22"/>
                <w:szCs w:val="22"/>
                <w:lang w:eastAsia="en-US"/>
              </w:rPr>
              <w:t xml:space="preserve"> </w:t>
            </w:r>
            <w:r w:rsidR="0096024C" w:rsidRPr="0096024C">
              <w:rPr>
                <w:rFonts w:eastAsiaTheme="minorHAnsi" w:cs="Arial"/>
                <w:sz w:val="22"/>
                <w:szCs w:val="22"/>
                <w:lang w:eastAsia="en-US"/>
              </w:rPr>
              <w:t>If high-risk sexual activity continues during pregnancy, and the opportunity for vaccination after pregnancy is uncertain, the benefit of vaccination during pregnancy is likely to outweigh any potential risk. Vaccination during pregnan</w:t>
            </w:r>
            <w:r w:rsidR="002F306A">
              <w:rPr>
                <w:rFonts w:eastAsiaTheme="minorHAnsi" w:cs="Arial"/>
                <w:sz w:val="22"/>
                <w:szCs w:val="22"/>
                <w:lang w:eastAsia="en-US"/>
              </w:rPr>
              <w:t>cy is not covered by this PGD so in such instances t</w:t>
            </w:r>
            <w:r w:rsidR="0096024C" w:rsidRPr="0096024C">
              <w:rPr>
                <w:rFonts w:eastAsiaTheme="minorHAnsi" w:cs="Arial"/>
                <w:sz w:val="22"/>
                <w:szCs w:val="22"/>
                <w:lang w:eastAsia="en-US"/>
              </w:rPr>
              <w:t>he individual may need to be referred and/or a PSD may be required.</w:t>
            </w:r>
            <w:r w:rsidR="0096024C" w:rsidRPr="0096024C">
              <w:rPr>
                <w:rFonts w:ascii="TimesNewRomanPS" w:eastAsiaTheme="minorHAnsi" w:hAnsi="TimesNewRomanPS" w:cs="TimesNewRomanPS"/>
                <w:color w:val="000000"/>
                <w:sz w:val="21"/>
                <w:szCs w:val="21"/>
                <w:lang w:eastAsia="en-US"/>
              </w:rPr>
              <w:t xml:space="preserve"> </w:t>
            </w:r>
          </w:p>
          <w:p w:rsidR="00342DFB" w:rsidRPr="00477229" w:rsidRDefault="00342DFB" w:rsidP="00342DFB">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r w:rsidR="00FB2594">
              <w:rPr>
                <w:rFonts w:eastAsia="Arial" w:cs="Arial"/>
                <w:sz w:val="22"/>
                <w:szCs w:val="22"/>
              </w:rPr>
              <w:t xml:space="preserve"> at the earliest opportunity</w:t>
            </w:r>
            <w:r w:rsidRPr="006805F2">
              <w:rPr>
                <w:rFonts w:eastAsia="Arial" w:cs="Arial"/>
                <w:sz w:val="22"/>
                <w:szCs w:val="22"/>
              </w:rPr>
              <w:t>.</w:t>
            </w:r>
          </w:p>
          <w:p w:rsidR="0046701A" w:rsidRPr="004C36D8" w:rsidRDefault="0046701A" w:rsidP="0046701A">
            <w:pPr>
              <w:pStyle w:val="TableParagraph"/>
              <w:spacing w:before="120" w:after="120"/>
              <w:rPr>
                <w:rFonts w:ascii="Arial" w:eastAsiaTheme="minorHAnsi" w:hAnsi="Arial" w:cs="Arial"/>
                <w:lang w:val="en-GB"/>
              </w:rPr>
            </w:pPr>
            <w:r w:rsidRPr="004C36D8">
              <w:rPr>
                <w:rFonts w:ascii="Arial" w:eastAsiaTheme="minorHAnsi" w:hAnsi="Arial" w:cs="Arial"/>
                <w:lang w:val="en-GB"/>
              </w:rPr>
              <w:t xml:space="preserve">Seek appropriate advice from the local Screening and Immunisation Team, </w:t>
            </w:r>
            <w:r w:rsidR="00342DFB">
              <w:rPr>
                <w:rFonts w:ascii="Arial" w:eastAsiaTheme="minorHAnsi" w:hAnsi="Arial" w:cs="Arial"/>
                <w:lang w:val="en-GB"/>
              </w:rPr>
              <w:t>local</w:t>
            </w:r>
            <w:r w:rsidRPr="004C36D8">
              <w:rPr>
                <w:rFonts w:ascii="Arial" w:eastAsiaTheme="minorHAnsi" w:hAnsi="Arial" w:cs="Arial"/>
                <w:lang w:val="en-GB"/>
              </w:rPr>
              <w:t xml:space="preserve"> Health Protection</w:t>
            </w:r>
            <w:r w:rsidR="00342DFB">
              <w:rPr>
                <w:rFonts w:ascii="Arial" w:eastAsiaTheme="minorHAnsi" w:hAnsi="Arial" w:cs="Arial"/>
                <w:lang w:val="en-GB"/>
              </w:rPr>
              <w:t xml:space="preserve"> Team</w:t>
            </w:r>
            <w:r w:rsidRPr="004C36D8">
              <w:rPr>
                <w:rFonts w:ascii="Arial" w:eastAsiaTheme="minorHAnsi" w:hAnsi="Arial" w:cs="Arial"/>
                <w:lang w:val="en-GB"/>
              </w:rPr>
              <w:t xml:space="preserve"> or the individual’s clinician </w:t>
            </w:r>
            <w:r w:rsidR="00342DFB">
              <w:rPr>
                <w:rFonts w:ascii="Arial" w:eastAsiaTheme="minorHAnsi" w:hAnsi="Arial" w:cs="Arial"/>
                <w:lang w:val="en-GB"/>
              </w:rPr>
              <w:t>as required</w:t>
            </w:r>
            <w:r w:rsidRPr="004C36D8">
              <w:rPr>
                <w:rFonts w:ascii="Arial" w:eastAsiaTheme="minorHAnsi" w:hAnsi="Arial" w:cs="Arial"/>
                <w:lang w:val="en-GB"/>
              </w:rPr>
              <w:t>.</w:t>
            </w:r>
          </w:p>
          <w:p w:rsidR="0046701A" w:rsidRPr="004C36D8" w:rsidRDefault="0046701A" w:rsidP="0046701A">
            <w:pPr>
              <w:pStyle w:val="TableParagraph"/>
              <w:spacing w:before="120" w:after="120"/>
              <w:ind w:right="164"/>
              <w:rPr>
                <w:rFonts w:ascii="Arial" w:eastAsiaTheme="minorHAnsi" w:hAnsi="Arial" w:cs="Arial"/>
                <w:lang w:val="en-GB"/>
              </w:rPr>
            </w:pPr>
            <w:r w:rsidRPr="004C36D8">
              <w:rPr>
                <w:rFonts w:ascii="Arial" w:eastAsiaTheme="minorHAnsi" w:hAnsi="Arial" w:cs="Arial"/>
                <w:lang w:val="en-GB"/>
              </w:rPr>
              <w:t>The risk to the individual of not being immunised must be taken into account.</w:t>
            </w:r>
          </w:p>
          <w:p w:rsidR="0046701A" w:rsidRPr="004C36D8" w:rsidRDefault="0046701A" w:rsidP="0046701A">
            <w:pPr>
              <w:pStyle w:val="Header"/>
              <w:spacing w:before="120" w:after="120"/>
              <w:rPr>
                <w:rFonts w:ascii="Arial" w:eastAsia="Calibri" w:hAnsi="Arial" w:cs="Arial"/>
                <w:sz w:val="22"/>
                <w:szCs w:val="22"/>
                <w:lang w:val="en-US" w:eastAsia="en-US"/>
              </w:rPr>
            </w:pPr>
            <w:r w:rsidRPr="004C36D8">
              <w:rPr>
                <w:rFonts w:ascii="Arial" w:eastAsia="Calibri" w:hAnsi="Arial" w:cs="Arial"/>
                <w:sz w:val="22"/>
                <w:szCs w:val="22"/>
                <w:lang w:val="en-US" w:eastAsia="en-US"/>
              </w:rPr>
              <w:t>Document the reason for exclusion and any action taken in the individual’s clinical records.</w:t>
            </w:r>
          </w:p>
          <w:p w:rsidR="0046701A" w:rsidRPr="00D06525" w:rsidRDefault="0046701A" w:rsidP="00342DFB">
            <w:pPr>
              <w:pStyle w:val="Header"/>
              <w:spacing w:before="120" w:after="120"/>
              <w:rPr>
                <w:rFonts w:ascii="Arial" w:eastAsia="Arial" w:hAnsi="Arial" w:cs="Arial"/>
                <w:color w:val="FF0000"/>
              </w:rPr>
            </w:pPr>
            <w:r w:rsidRPr="004C36D8">
              <w:rPr>
                <w:rFonts w:ascii="Arial" w:eastAsia="Calibri" w:hAnsi="Arial" w:cs="Arial"/>
                <w:sz w:val="22"/>
                <w:szCs w:val="22"/>
                <w:lang w:val="en-US" w:eastAsia="en-US"/>
              </w:rPr>
              <w:t>In a GP practice setting, inform or refer to the GP or a prescriber as appropriate.</w:t>
            </w:r>
            <w:r w:rsidRPr="004C36D8">
              <w:rPr>
                <w:rFonts w:ascii="Arial" w:eastAsia="Arial" w:hAnsi="Arial" w:cs="Arial"/>
              </w:rPr>
              <w:t xml:space="preserve"> </w:t>
            </w:r>
          </w:p>
        </w:tc>
      </w:tr>
      <w:tr w:rsidR="0046701A" w:rsidRPr="00D06525" w:rsidTr="0046701A">
        <w:tc>
          <w:tcPr>
            <w:tcW w:w="2977" w:type="dxa"/>
          </w:tcPr>
          <w:p w:rsidR="0046701A" w:rsidRPr="004C36D8" w:rsidRDefault="0046701A" w:rsidP="0046701A">
            <w:pPr>
              <w:pStyle w:val="Header"/>
              <w:tabs>
                <w:tab w:val="left" w:pos="720"/>
              </w:tabs>
              <w:spacing w:before="120" w:after="120"/>
              <w:rPr>
                <w:rFonts w:ascii="Arial" w:hAnsi="Arial" w:cs="Arial"/>
                <w:b/>
                <w:sz w:val="22"/>
                <w:szCs w:val="22"/>
              </w:rPr>
            </w:pPr>
            <w:r w:rsidRPr="004C36D8">
              <w:lastRenderedPageBreak/>
              <w:br w:type="page"/>
            </w:r>
            <w:r w:rsidRPr="004C36D8">
              <w:rPr>
                <w:rFonts w:ascii="Arial" w:hAnsi="Arial" w:cs="Arial"/>
                <w:b/>
                <w:sz w:val="22"/>
                <w:szCs w:val="22"/>
              </w:rPr>
              <w:t>Action to be taken if the patient or carer declines treatment</w:t>
            </w:r>
          </w:p>
        </w:tc>
        <w:tc>
          <w:tcPr>
            <w:tcW w:w="6946" w:type="dxa"/>
          </w:tcPr>
          <w:p w:rsidR="0046701A" w:rsidRPr="004C36D8" w:rsidRDefault="0046701A" w:rsidP="0046701A">
            <w:pPr>
              <w:spacing w:before="120" w:after="120"/>
              <w:rPr>
                <w:rFonts w:cs="Arial"/>
                <w:sz w:val="22"/>
                <w:szCs w:val="22"/>
                <w:lang w:val="en-US"/>
              </w:rPr>
            </w:pPr>
            <w:r w:rsidRPr="004C36D8">
              <w:rPr>
                <w:rFonts w:cs="Arial"/>
                <w:sz w:val="22"/>
                <w:szCs w:val="22"/>
                <w:lang w:val="en-US"/>
              </w:rPr>
              <w:t>Informed consent, from the individual or a person legally able to act on the person’s behalf, must be obtained for each administration</w:t>
            </w:r>
            <w:r w:rsidR="002C66B3">
              <w:rPr>
                <w:rFonts w:cs="Arial"/>
                <w:sz w:val="22"/>
                <w:szCs w:val="22"/>
                <w:lang w:val="en-US"/>
              </w:rPr>
              <w:t xml:space="preserve"> (see </w:t>
            </w:r>
            <w:hyperlink w:anchor="AdditionalInformation" w:history="1">
              <w:r w:rsidR="002C66B3" w:rsidRPr="002C66B3">
                <w:rPr>
                  <w:rStyle w:val="Hyperlink"/>
                  <w:rFonts w:cs="Arial"/>
                  <w:sz w:val="22"/>
                  <w:szCs w:val="22"/>
                  <w:lang w:val="en-US"/>
                </w:rPr>
                <w:t>Additional Information</w:t>
              </w:r>
            </w:hyperlink>
            <w:r w:rsidR="002C66B3">
              <w:rPr>
                <w:rFonts w:cs="Arial"/>
                <w:sz w:val="22"/>
                <w:szCs w:val="22"/>
                <w:lang w:val="en-US"/>
              </w:rPr>
              <w:t>)</w:t>
            </w:r>
            <w:r w:rsidRPr="004C36D8">
              <w:rPr>
                <w:rFonts w:cs="Arial"/>
                <w:sz w:val="22"/>
                <w:szCs w:val="22"/>
                <w:lang w:val="en-US"/>
              </w:rPr>
              <w:t>.</w:t>
            </w:r>
          </w:p>
          <w:p w:rsidR="0046701A" w:rsidRPr="004C36D8" w:rsidRDefault="0046701A" w:rsidP="0046701A">
            <w:pPr>
              <w:spacing w:after="120"/>
              <w:rPr>
                <w:rFonts w:cs="Arial"/>
                <w:sz w:val="22"/>
                <w:szCs w:val="22"/>
                <w:lang w:val="en-US"/>
              </w:rPr>
            </w:pPr>
            <w:r w:rsidRPr="004C36D8">
              <w:rPr>
                <w:rFonts w:cs="Arial"/>
                <w:sz w:val="22"/>
                <w:szCs w:val="22"/>
                <w:lang w:val="en-US"/>
              </w:rPr>
              <w:t>Advise the individual/parent/carer about the protective effects of the vaccine, the risks of infection and potential complications.</w:t>
            </w:r>
          </w:p>
          <w:p w:rsidR="0046701A" w:rsidRPr="004C36D8" w:rsidRDefault="0046701A" w:rsidP="0046701A">
            <w:pPr>
              <w:spacing w:after="120"/>
              <w:rPr>
                <w:rFonts w:cs="Arial"/>
                <w:sz w:val="22"/>
                <w:szCs w:val="22"/>
              </w:rPr>
            </w:pPr>
            <w:r w:rsidRPr="004C36D8">
              <w:rPr>
                <w:rFonts w:cs="Arial"/>
                <w:sz w:val="22"/>
                <w:szCs w:val="22"/>
              </w:rPr>
              <w:t xml:space="preserve">Document advice given and the decision reached. </w:t>
            </w:r>
          </w:p>
          <w:p w:rsidR="0046701A" w:rsidRPr="004C36D8" w:rsidRDefault="0046701A" w:rsidP="0046701A">
            <w:pPr>
              <w:spacing w:after="120"/>
              <w:rPr>
                <w:rFonts w:cs="Arial"/>
                <w:sz w:val="22"/>
                <w:szCs w:val="22"/>
              </w:rPr>
            </w:pPr>
            <w:r w:rsidRPr="004C36D8">
              <w:rPr>
                <w:rFonts w:cs="Arial"/>
                <w:sz w:val="22"/>
                <w:szCs w:val="22"/>
              </w:rPr>
              <w:t>In a GP practice setting, inform or refer to the GP as appropriate.</w:t>
            </w:r>
          </w:p>
        </w:tc>
      </w:tr>
      <w:tr w:rsidR="0046701A" w:rsidRPr="00D06525" w:rsidTr="0046701A">
        <w:tc>
          <w:tcPr>
            <w:tcW w:w="2977" w:type="dxa"/>
          </w:tcPr>
          <w:p w:rsidR="0046701A" w:rsidRPr="00ED7DDF" w:rsidRDefault="0046701A" w:rsidP="0046701A">
            <w:pPr>
              <w:spacing w:before="120" w:after="120"/>
              <w:rPr>
                <w:rFonts w:cs="Arial"/>
                <w:b/>
                <w:sz w:val="22"/>
                <w:szCs w:val="22"/>
              </w:rPr>
            </w:pPr>
            <w:r w:rsidRPr="00ED7DDF">
              <w:rPr>
                <w:rFonts w:cs="Arial"/>
                <w:b/>
                <w:sz w:val="22"/>
                <w:szCs w:val="22"/>
              </w:rPr>
              <w:t>Arrangements for referral for medical advice</w:t>
            </w:r>
          </w:p>
        </w:tc>
        <w:tc>
          <w:tcPr>
            <w:tcW w:w="6946" w:type="dxa"/>
          </w:tcPr>
          <w:p w:rsidR="0046701A" w:rsidRPr="00ED7DDF" w:rsidRDefault="0046701A" w:rsidP="0046701A">
            <w:pPr>
              <w:spacing w:before="120" w:after="120"/>
              <w:rPr>
                <w:rFonts w:cs="Arial"/>
                <w:sz w:val="22"/>
                <w:szCs w:val="22"/>
              </w:rPr>
            </w:pPr>
            <w:r w:rsidRPr="00ED7DDF">
              <w:rPr>
                <w:rFonts w:cs="Arial"/>
                <w:sz w:val="22"/>
                <w:szCs w:val="22"/>
              </w:rPr>
              <w:t>As per local policy</w:t>
            </w:r>
          </w:p>
        </w:tc>
      </w:tr>
    </w:tbl>
    <w:p w:rsidR="0046701A" w:rsidRPr="00D06525" w:rsidRDefault="0046701A" w:rsidP="0046701A">
      <w:pPr>
        <w:overflowPunct/>
        <w:autoSpaceDE/>
        <w:autoSpaceDN/>
        <w:adjustRightInd/>
        <w:textAlignment w:val="auto"/>
        <w:rPr>
          <w:rFonts w:cs="Arial"/>
          <w:color w:val="FF0000"/>
          <w:szCs w:val="24"/>
        </w:rPr>
      </w:pPr>
    </w:p>
    <w:p w:rsidR="0046701A" w:rsidRPr="00D06525" w:rsidRDefault="0046701A" w:rsidP="0046701A">
      <w:pPr>
        <w:overflowPunct/>
        <w:autoSpaceDE/>
        <w:autoSpaceDN/>
        <w:adjustRightInd/>
        <w:jc w:val="center"/>
        <w:textAlignment w:val="auto"/>
        <w:rPr>
          <w:rFonts w:cs="Arial"/>
          <w:b/>
          <w:color w:val="FF0000"/>
          <w:szCs w:val="24"/>
        </w:rPr>
      </w:pPr>
      <w:r w:rsidRPr="00D06525">
        <w:rPr>
          <w:rFonts w:cs="Arial"/>
          <w:b/>
          <w:color w:val="FF0000"/>
          <w:szCs w:val="24"/>
        </w:rPr>
        <w:br w:type="page"/>
      </w:r>
    </w:p>
    <w:p w:rsidR="0046701A" w:rsidRPr="00F000BB" w:rsidRDefault="0046701A" w:rsidP="0046701A">
      <w:pPr>
        <w:pStyle w:val="ListParagraph"/>
        <w:numPr>
          <w:ilvl w:val="0"/>
          <w:numId w:val="5"/>
        </w:numPr>
        <w:overflowPunct/>
        <w:autoSpaceDE/>
        <w:autoSpaceDN/>
        <w:adjustRightInd/>
        <w:textAlignment w:val="auto"/>
        <w:rPr>
          <w:rFonts w:cs="Arial"/>
          <w:b/>
          <w:szCs w:val="24"/>
        </w:rPr>
      </w:pPr>
      <w:r w:rsidRPr="00F000BB">
        <w:rPr>
          <w:rFonts w:cs="Arial"/>
          <w:b/>
          <w:szCs w:val="24"/>
        </w:rPr>
        <w:lastRenderedPageBreak/>
        <w:t>Description of treatment</w:t>
      </w:r>
    </w:p>
    <w:p w:rsidR="0046701A" w:rsidRPr="00D06525" w:rsidRDefault="0046701A" w:rsidP="0046701A">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7088"/>
      </w:tblGrid>
      <w:tr w:rsidR="0046701A" w:rsidRPr="00D06525" w:rsidTr="00B8676F">
        <w:tc>
          <w:tcPr>
            <w:tcW w:w="2835" w:type="dxa"/>
          </w:tcPr>
          <w:p w:rsidR="0046701A" w:rsidRPr="00F000BB" w:rsidRDefault="0046701A" w:rsidP="0046701A">
            <w:pPr>
              <w:spacing w:before="120" w:after="120"/>
              <w:rPr>
                <w:rFonts w:cs="Arial"/>
                <w:b/>
                <w:sz w:val="22"/>
                <w:szCs w:val="22"/>
              </w:rPr>
            </w:pPr>
            <w:r w:rsidRPr="00F000BB">
              <w:rPr>
                <w:rFonts w:cs="Arial"/>
                <w:b/>
                <w:sz w:val="22"/>
                <w:szCs w:val="22"/>
              </w:rPr>
              <w:t>Name, strength &amp; formulation of drug</w:t>
            </w:r>
          </w:p>
        </w:tc>
        <w:tc>
          <w:tcPr>
            <w:tcW w:w="7088" w:type="dxa"/>
          </w:tcPr>
          <w:p w:rsidR="0046701A" w:rsidRPr="00DB4EAF" w:rsidRDefault="0046701A" w:rsidP="002F07F3">
            <w:pPr>
              <w:shd w:val="clear" w:color="auto" w:fill="FFFFFF"/>
              <w:overflowPunct/>
              <w:autoSpaceDE/>
              <w:autoSpaceDN/>
              <w:adjustRightInd/>
              <w:spacing w:before="120" w:after="120"/>
              <w:textAlignment w:val="auto"/>
              <w:rPr>
                <w:rFonts w:cs="Arial"/>
                <w:sz w:val="22"/>
                <w:szCs w:val="22"/>
                <w:lang w:val="en"/>
              </w:rPr>
            </w:pPr>
            <w:r>
              <w:rPr>
                <w:rFonts w:cs="Arial"/>
                <w:sz w:val="22"/>
                <w:szCs w:val="22"/>
                <w:lang w:val="en"/>
              </w:rPr>
              <w:t>Human papillomavirus vaccine [</w:t>
            </w:r>
            <w:r w:rsidRPr="00021D1F">
              <w:rPr>
                <w:rFonts w:cs="Arial"/>
                <w:sz w:val="22"/>
                <w:szCs w:val="22"/>
                <w:lang w:val="en"/>
              </w:rPr>
              <w:t>types 6, 11, 16, 18</w:t>
            </w:r>
            <w:r>
              <w:rPr>
                <w:rFonts w:cs="Arial"/>
                <w:sz w:val="22"/>
                <w:szCs w:val="22"/>
                <w:lang w:val="en"/>
              </w:rPr>
              <w:t>]</w:t>
            </w:r>
            <w:r w:rsidRPr="00021D1F">
              <w:rPr>
                <w:rFonts w:cs="Arial"/>
                <w:sz w:val="22"/>
                <w:szCs w:val="22"/>
                <w:lang w:val="en"/>
              </w:rPr>
              <w:t xml:space="preserve"> (recombinant, adsorbed)</w:t>
            </w:r>
            <w:r w:rsidR="002F07F3">
              <w:rPr>
                <w:rFonts w:cs="Arial"/>
                <w:sz w:val="22"/>
                <w:szCs w:val="22"/>
                <w:lang w:val="en"/>
              </w:rPr>
              <w:t>, e</w:t>
            </w:r>
            <w:r w:rsidRPr="00DB4EAF">
              <w:rPr>
                <w:rFonts w:cs="Arial"/>
                <w:sz w:val="22"/>
                <w:szCs w:val="22"/>
                <w:lang w:val="en"/>
              </w:rPr>
              <w:t>g:</w:t>
            </w:r>
          </w:p>
          <w:p w:rsidR="00FF3E66" w:rsidRPr="00FF3E66" w:rsidRDefault="0046701A" w:rsidP="00FF3E66">
            <w:pPr>
              <w:pStyle w:val="ListParagraph"/>
              <w:numPr>
                <w:ilvl w:val="0"/>
                <w:numId w:val="34"/>
              </w:numPr>
              <w:shd w:val="clear" w:color="auto" w:fill="FFFFFF"/>
              <w:overflowPunct/>
              <w:autoSpaceDE/>
              <w:autoSpaceDN/>
              <w:adjustRightInd/>
              <w:spacing w:after="120"/>
              <w:ind w:left="363" w:hanging="363"/>
              <w:textAlignment w:val="auto"/>
              <w:rPr>
                <w:rFonts w:cs="Arial"/>
                <w:color w:val="FF0000"/>
                <w:sz w:val="22"/>
                <w:szCs w:val="22"/>
                <w:lang w:val="en"/>
              </w:rPr>
            </w:pPr>
            <w:r w:rsidRPr="00DB4EAF">
              <w:rPr>
                <w:rFonts w:cs="Arial"/>
                <w:sz w:val="22"/>
                <w:szCs w:val="22"/>
                <w:lang w:val="en"/>
              </w:rPr>
              <w:t>Gardasil</w:t>
            </w:r>
            <w:r w:rsidRPr="00DB4EAF">
              <w:rPr>
                <w:rFonts w:cs="Arial"/>
                <w:sz w:val="22"/>
                <w:szCs w:val="22"/>
                <w:vertAlign w:val="superscript"/>
                <w:lang w:val="en"/>
              </w:rPr>
              <w:t>®</w:t>
            </w:r>
            <w:r w:rsidRPr="00DB4EAF">
              <w:rPr>
                <w:rFonts w:cs="Arial"/>
                <w:sz w:val="22"/>
                <w:szCs w:val="22"/>
                <w:lang w:val="en"/>
              </w:rPr>
              <w:t>, suspension for injection in a prefilled syringe</w:t>
            </w:r>
            <w:r w:rsidR="00EF63D2">
              <w:rPr>
                <w:rFonts w:cs="Arial"/>
                <w:sz w:val="22"/>
                <w:szCs w:val="22"/>
                <w:lang w:val="en"/>
              </w:rPr>
              <w:t xml:space="preserve"> or vial</w:t>
            </w:r>
          </w:p>
          <w:p w:rsidR="00FF3E66" w:rsidRPr="00FF3E66" w:rsidRDefault="00FF3E66" w:rsidP="00FF3E66">
            <w:pPr>
              <w:shd w:val="clear" w:color="auto" w:fill="FFFFFF"/>
              <w:overflowPunct/>
              <w:autoSpaceDE/>
              <w:autoSpaceDN/>
              <w:adjustRightInd/>
              <w:spacing w:after="120"/>
              <w:textAlignment w:val="auto"/>
              <w:rPr>
                <w:rFonts w:cs="Arial"/>
                <w:color w:val="FF0000"/>
                <w:sz w:val="22"/>
                <w:szCs w:val="22"/>
                <w:lang w:val="en"/>
              </w:rPr>
            </w:pPr>
            <w:r w:rsidRPr="00FF3E66">
              <w:rPr>
                <w:rFonts w:cs="Arial"/>
                <w:sz w:val="22"/>
                <w:szCs w:val="22"/>
                <w:lang w:val="en"/>
              </w:rPr>
              <w:t>Note: This PGD does not c</w:t>
            </w:r>
            <w:r w:rsidR="00072B1F">
              <w:rPr>
                <w:rFonts w:cs="Arial"/>
                <w:sz w:val="22"/>
                <w:szCs w:val="22"/>
                <w:lang w:val="en"/>
              </w:rPr>
              <w:t>over the administration of the human papillomavirus 9-valent v</w:t>
            </w:r>
            <w:r w:rsidRPr="00FF3E66">
              <w:rPr>
                <w:rFonts w:cs="Arial"/>
                <w:sz w:val="22"/>
                <w:szCs w:val="22"/>
                <w:lang w:val="en"/>
              </w:rPr>
              <w:t>accine, Gardasil</w:t>
            </w:r>
            <w:r w:rsidR="00F75142" w:rsidRPr="00BC4017">
              <w:rPr>
                <w:rFonts w:eastAsiaTheme="minorHAnsi" w:cs="Arial"/>
                <w:sz w:val="22"/>
                <w:szCs w:val="22"/>
                <w:vertAlign w:val="superscript"/>
                <w:lang w:eastAsia="en-US"/>
              </w:rPr>
              <w:t>®</w:t>
            </w:r>
            <w:r w:rsidRPr="00FF3E66">
              <w:rPr>
                <w:rFonts w:cs="Arial"/>
                <w:sz w:val="22"/>
                <w:szCs w:val="22"/>
                <w:lang w:val="en"/>
              </w:rPr>
              <w:t xml:space="preserve"> 9.</w:t>
            </w:r>
          </w:p>
        </w:tc>
      </w:tr>
      <w:tr w:rsidR="0046701A" w:rsidRPr="00D06525" w:rsidTr="00B8676F">
        <w:tc>
          <w:tcPr>
            <w:tcW w:w="2835" w:type="dxa"/>
          </w:tcPr>
          <w:p w:rsidR="0046701A" w:rsidRPr="00F000BB" w:rsidRDefault="0046701A" w:rsidP="0046701A">
            <w:pPr>
              <w:spacing w:before="120" w:after="120"/>
              <w:rPr>
                <w:rFonts w:cs="Arial"/>
                <w:b/>
                <w:sz w:val="22"/>
                <w:szCs w:val="22"/>
              </w:rPr>
            </w:pPr>
            <w:r w:rsidRPr="00F000BB">
              <w:rPr>
                <w:rFonts w:cs="Arial"/>
                <w:b/>
                <w:sz w:val="22"/>
                <w:szCs w:val="22"/>
              </w:rPr>
              <w:t>Legal category</w:t>
            </w:r>
          </w:p>
        </w:tc>
        <w:tc>
          <w:tcPr>
            <w:tcW w:w="7088" w:type="dxa"/>
          </w:tcPr>
          <w:p w:rsidR="0046701A" w:rsidRPr="00F000BB" w:rsidRDefault="0046701A" w:rsidP="0046701A">
            <w:pPr>
              <w:spacing w:before="120" w:after="120"/>
            </w:pPr>
            <w:r w:rsidRPr="00F000BB">
              <w:rPr>
                <w:rFonts w:eastAsia="Arial" w:cs="Arial"/>
                <w:w w:val="105"/>
                <w:sz w:val="22"/>
                <w:szCs w:val="22"/>
              </w:rPr>
              <w:t>Prescription</w:t>
            </w:r>
            <w:r w:rsidRPr="00F000BB">
              <w:rPr>
                <w:rFonts w:eastAsia="Arial" w:cs="Arial"/>
                <w:spacing w:val="-3"/>
                <w:w w:val="105"/>
                <w:sz w:val="22"/>
                <w:szCs w:val="22"/>
              </w:rPr>
              <w:t xml:space="preserve"> o</w:t>
            </w:r>
            <w:r w:rsidRPr="00F000BB">
              <w:rPr>
                <w:rFonts w:eastAsia="Arial" w:cs="Arial"/>
                <w:w w:val="105"/>
                <w:sz w:val="22"/>
                <w:szCs w:val="22"/>
              </w:rPr>
              <w:t>nly</w:t>
            </w:r>
            <w:r w:rsidRPr="00F000BB">
              <w:rPr>
                <w:rFonts w:eastAsia="Arial" w:cs="Arial"/>
                <w:spacing w:val="-2"/>
                <w:w w:val="105"/>
                <w:sz w:val="22"/>
                <w:szCs w:val="22"/>
              </w:rPr>
              <w:t xml:space="preserve"> m</w:t>
            </w:r>
            <w:r w:rsidRPr="00F000BB">
              <w:rPr>
                <w:rFonts w:eastAsia="Arial" w:cs="Arial"/>
                <w:w w:val="105"/>
                <w:sz w:val="22"/>
                <w:szCs w:val="22"/>
              </w:rPr>
              <w:t>edicine (POM)</w:t>
            </w:r>
          </w:p>
        </w:tc>
      </w:tr>
      <w:tr w:rsidR="0046701A" w:rsidRPr="00D06525" w:rsidTr="00B8676F">
        <w:tc>
          <w:tcPr>
            <w:tcW w:w="2835" w:type="dxa"/>
          </w:tcPr>
          <w:p w:rsidR="0046701A" w:rsidRPr="00F000BB" w:rsidRDefault="0046701A" w:rsidP="0046701A">
            <w:pPr>
              <w:spacing w:before="120" w:after="120"/>
              <w:rPr>
                <w:rFonts w:cs="Arial"/>
                <w:b/>
                <w:sz w:val="22"/>
                <w:szCs w:val="22"/>
              </w:rPr>
            </w:pPr>
            <w:r w:rsidRPr="00F000BB">
              <w:rPr>
                <w:rFonts w:cs="Arial"/>
                <w:b/>
                <w:sz w:val="22"/>
                <w:szCs w:val="22"/>
              </w:rPr>
              <w:t>Black triangle</w:t>
            </w:r>
            <w:r w:rsidRPr="00F000BB">
              <w:rPr>
                <w:rFonts w:cs="Arial"/>
                <w:b/>
                <w:sz w:val="22"/>
                <w:szCs w:val="22"/>
              </w:rPr>
              <w:sym w:font="Wingdings 3" w:char="F071"/>
            </w:r>
            <w:r w:rsidRPr="00F000BB">
              <w:rPr>
                <w:rFonts w:cs="Arial"/>
                <w:b/>
                <w:sz w:val="22"/>
                <w:szCs w:val="22"/>
              </w:rPr>
              <w:t xml:space="preserve"> </w:t>
            </w:r>
          </w:p>
        </w:tc>
        <w:tc>
          <w:tcPr>
            <w:tcW w:w="7088" w:type="dxa"/>
          </w:tcPr>
          <w:p w:rsidR="0046701A" w:rsidRPr="00F000BB" w:rsidRDefault="0046701A" w:rsidP="0046701A">
            <w:pPr>
              <w:spacing w:before="120" w:after="120"/>
            </w:pPr>
            <w:r w:rsidRPr="00F000BB">
              <w:rPr>
                <w:sz w:val="22"/>
                <w:szCs w:val="22"/>
              </w:rPr>
              <w:t>No</w:t>
            </w:r>
          </w:p>
        </w:tc>
      </w:tr>
      <w:tr w:rsidR="0046701A" w:rsidRPr="00D06525" w:rsidTr="00B8676F">
        <w:tc>
          <w:tcPr>
            <w:tcW w:w="2835" w:type="dxa"/>
          </w:tcPr>
          <w:p w:rsidR="0046701A" w:rsidRPr="00F000BB" w:rsidRDefault="0046701A" w:rsidP="0046701A">
            <w:pPr>
              <w:spacing w:before="120" w:after="120"/>
              <w:rPr>
                <w:rFonts w:cs="Arial"/>
                <w:b/>
                <w:sz w:val="22"/>
                <w:szCs w:val="22"/>
              </w:rPr>
            </w:pPr>
            <w:bookmarkStart w:id="3" w:name="OffLabel"/>
            <w:bookmarkEnd w:id="3"/>
            <w:r w:rsidRPr="00F000BB">
              <w:rPr>
                <w:rFonts w:cs="Arial"/>
                <w:b/>
                <w:sz w:val="22"/>
                <w:szCs w:val="22"/>
              </w:rPr>
              <w:t>Off-label use</w:t>
            </w:r>
          </w:p>
        </w:tc>
        <w:tc>
          <w:tcPr>
            <w:tcW w:w="7088" w:type="dxa"/>
          </w:tcPr>
          <w:p w:rsidR="0046701A" w:rsidRDefault="0046701A" w:rsidP="0046701A">
            <w:pPr>
              <w:spacing w:before="120"/>
              <w:rPr>
                <w:rFonts w:cs="Arial"/>
                <w:sz w:val="22"/>
                <w:szCs w:val="22"/>
                <w:lang w:val="en"/>
              </w:rPr>
            </w:pPr>
            <w:r w:rsidRPr="00F000BB">
              <w:rPr>
                <w:rFonts w:cs="Arial"/>
                <w:sz w:val="22"/>
                <w:szCs w:val="22"/>
                <w:lang w:val="en"/>
              </w:rPr>
              <w:t xml:space="preserve">Administration of </w:t>
            </w:r>
            <w:r>
              <w:rPr>
                <w:rFonts w:cs="Arial"/>
                <w:sz w:val="22"/>
                <w:szCs w:val="22"/>
                <w:lang w:val="en"/>
              </w:rPr>
              <w:t>a two-</w:t>
            </w:r>
            <w:r w:rsidRPr="00F000BB">
              <w:rPr>
                <w:rFonts w:cs="Arial"/>
                <w:sz w:val="22"/>
                <w:szCs w:val="22"/>
                <w:lang w:val="en"/>
              </w:rPr>
              <w:t xml:space="preserve">dose schedule to </w:t>
            </w:r>
            <w:r w:rsidR="000C525D">
              <w:rPr>
                <w:rFonts w:cs="Arial"/>
                <w:sz w:val="22"/>
                <w:szCs w:val="22"/>
                <w:lang w:val="en"/>
              </w:rPr>
              <w:t>females</w:t>
            </w:r>
            <w:r w:rsidRPr="00F000BB">
              <w:rPr>
                <w:rFonts w:cs="Arial"/>
                <w:sz w:val="22"/>
                <w:szCs w:val="22"/>
                <w:lang w:val="en"/>
              </w:rPr>
              <w:t xml:space="preserve"> aged from 14 years</w:t>
            </w:r>
            <w:r>
              <w:rPr>
                <w:rFonts w:cs="Arial"/>
                <w:sz w:val="22"/>
                <w:szCs w:val="22"/>
                <w:lang w:val="en"/>
              </w:rPr>
              <w:t xml:space="preserve"> of age</w:t>
            </w:r>
            <w:r w:rsidRPr="00F000BB">
              <w:rPr>
                <w:rFonts w:cs="Arial"/>
                <w:sz w:val="22"/>
                <w:szCs w:val="22"/>
                <w:lang w:val="en"/>
              </w:rPr>
              <w:t xml:space="preserve"> to under 15 years of age is off-label</w:t>
            </w:r>
            <w:r w:rsidR="00BF68A9">
              <w:rPr>
                <w:rFonts w:cs="Arial"/>
                <w:sz w:val="22"/>
                <w:szCs w:val="22"/>
                <w:lang w:val="en"/>
              </w:rPr>
              <w:t xml:space="preserve"> but is</w:t>
            </w:r>
            <w:r w:rsidRPr="00F000BB">
              <w:rPr>
                <w:rFonts w:cs="Arial"/>
                <w:sz w:val="22"/>
                <w:szCs w:val="22"/>
                <w:lang w:val="en"/>
              </w:rPr>
              <w:t xml:space="preserve"> </w:t>
            </w:r>
            <w:r>
              <w:rPr>
                <w:rFonts w:cs="Arial"/>
                <w:sz w:val="22"/>
                <w:szCs w:val="22"/>
                <w:lang w:val="en"/>
              </w:rPr>
              <w:t>in</w:t>
            </w:r>
            <w:r w:rsidRPr="00F000BB">
              <w:rPr>
                <w:rFonts w:cs="Arial"/>
                <w:sz w:val="22"/>
                <w:szCs w:val="22"/>
                <w:lang w:val="en"/>
              </w:rPr>
              <w:t xml:space="preserve"> accordance with PHE recommendations and </w:t>
            </w:r>
            <w:hyperlink r:id="rId19" w:history="1">
              <w:r w:rsidRPr="00F000BB">
                <w:rPr>
                  <w:rStyle w:val="Hyperlink"/>
                  <w:rFonts w:eastAsia="Arial" w:cs="Arial"/>
                  <w:sz w:val="22"/>
                  <w:szCs w:val="22"/>
                </w:rPr>
                <w:t>Chapter 18a</w:t>
              </w:r>
            </w:hyperlink>
            <w:r>
              <w:rPr>
                <w:rFonts w:cs="Arial"/>
                <w:sz w:val="22"/>
                <w:szCs w:val="22"/>
                <w:lang w:val="en"/>
              </w:rPr>
              <w:t xml:space="preserve"> of</w:t>
            </w:r>
            <w:r w:rsidRPr="00F000BB">
              <w:rPr>
                <w:rFonts w:cs="Arial"/>
                <w:sz w:val="22"/>
                <w:szCs w:val="22"/>
                <w:lang w:val="en"/>
              </w:rPr>
              <w:t xml:space="preserve"> “The Green Book”.</w:t>
            </w:r>
          </w:p>
          <w:p w:rsidR="005E795B" w:rsidRDefault="005E795B" w:rsidP="005E795B">
            <w:pPr>
              <w:spacing w:before="120"/>
              <w:rPr>
                <w:rFonts w:cs="Arial"/>
                <w:sz w:val="22"/>
                <w:szCs w:val="22"/>
                <w:lang w:val="en"/>
              </w:rPr>
            </w:pPr>
            <w:r>
              <w:rPr>
                <w:rFonts w:cs="Arial"/>
                <w:sz w:val="22"/>
                <w:szCs w:val="22"/>
                <w:lang w:val="en"/>
              </w:rPr>
              <w:t>Completion of a vaccine course using Gardasil</w:t>
            </w:r>
            <w:r w:rsidRPr="009D6BBA">
              <w:rPr>
                <w:rFonts w:cs="Arial"/>
                <w:sz w:val="22"/>
                <w:szCs w:val="22"/>
                <w:vertAlign w:val="superscript"/>
                <w:lang w:val="en"/>
              </w:rPr>
              <w:t>®</w:t>
            </w:r>
            <w:r>
              <w:rPr>
                <w:rFonts w:cs="Arial"/>
                <w:sz w:val="22"/>
                <w:szCs w:val="22"/>
                <w:vertAlign w:val="superscript"/>
                <w:lang w:val="en"/>
              </w:rPr>
              <w:t xml:space="preserve"> </w:t>
            </w:r>
            <w:r>
              <w:rPr>
                <w:rFonts w:cs="Arial"/>
                <w:sz w:val="22"/>
                <w:szCs w:val="22"/>
                <w:lang w:val="en"/>
              </w:rPr>
              <w:t>where it was commenced with Cervarix</w:t>
            </w:r>
            <w:r w:rsidRPr="00B51C6D">
              <w:rPr>
                <w:rFonts w:cs="Arial"/>
                <w:sz w:val="22"/>
                <w:szCs w:val="22"/>
                <w:vertAlign w:val="superscript"/>
                <w:lang w:val="en"/>
              </w:rPr>
              <w:t>®</w:t>
            </w:r>
            <w:r>
              <w:rPr>
                <w:rFonts w:cs="Arial"/>
                <w:sz w:val="22"/>
                <w:szCs w:val="22"/>
                <w:lang w:val="en"/>
              </w:rPr>
              <w:t xml:space="preserve"> is off-label</w:t>
            </w:r>
            <w:r w:rsidR="00BF68A9">
              <w:rPr>
                <w:rFonts w:cs="Arial"/>
                <w:sz w:val="22"/>
                <w:szCs w:val="22"/>
                <w:lang w:val="en"/>
              </w:rPr>
              <w:t xml:space="preserve"> but is</w:t>
            </w:r>
            <w:r>
              <w:rPr>
                <w:rFonts w:cs="Arial"/>
                <w:sz w:val="22"/>
                <w:szCs w:val="22"/>
                <w:lang w:val="en"/>
              </w:rPr>
              <w:t xml:space="preserve"> in</w:t>
            </w:r>
            <w:r w:rsidRPr="00F000BB">
              <w:rPr>
                <w:rFonts w:cs="Arial"/>
                <w:sz w:val="22"/>
                <w:szCs w:val="22"/>
                <w:lang w:val="en"/>
              </w:rPr>
              <w:t xml:space="preserve"> accordance with PHE recommendations and </w:t>
            </w:r>
            <w:hyperlink r:id="rId20" w:history="1">
              <w:r w:rsidRPr="00F000BB">
                <w:rPr>
                  <w:rStyle w:val="Hyperlink"/>
                  <w:rFonts w:eastAsia="Arial" w:cs="Arial"/>
                  <w:sz w:val="22"/>
                  <w:szCs w:val="22"/>
                </w:rPr>
                <w:t>Chapter 18a</w:t>
              </w:r>
            </w:hyperlink>
            <w:r>
              <w:rPr>
                <w:rFonts w:cs="Arial"/>
                <w:sz w:val="22"/>
                <w:szCs w:val="22"/>
                <w:lang w:val="en"/>
              </w:rPr>
              <w:t xml:space="preserve"> of</w:t>
            </w:r>
            <w:r w:rsidRPr="00F000BB">
              <w:rPr>
                <w:rFonts w:cs="Arial"/>
                <w:sz w:val="22"/>
                <w:szCs w:val="22"/>
                <w:lang w:val="en"/>
              </w:rPr>
              <w:t xml:space="preserve"> “The Green Book”.</w:t>
            </w:r>
          </w:p>
          <w:p w:rsidR="0046701A" w:rsidRDefault="0046701A" w:rsidP="0046701A">
            <w:pPr>
              <w:spacing w:before="120" w:after="120"/>
              <w:rPr>
                <w:rFonts w:cs="Arial"/>
                <w:sz w:val="22"/>
                <w:szCs w:val="22"/>
                <w:lang w:val="en"/>
              </w:rPr>
            </w:pPr>
            <w:r w:rsidRPr="00F000BB">
              <w:rPr>
                <w:rFonts w:cs="Arial"/>
                <w:sz w:val="22"/>
                <w:szCs w:val="22"/>
                <w:lang w:val="en"/>
              </w:rPr>
              <w:t xml:space="preserve">Administration of </w:t>
            </w:r>
            <w:r w:rsidR="005E795B">
              <w:rPr>
                <w:rFonts w:cs="Arial"/>
                <w:sz w:val="22"/>
                <w:szCs w:val="22"/>
                <w:lang w:val="en"/>
              </w:rPr>
              <w:t>Gardasil</w:t>
            </w:r>
            <w:r w:rsidR="005E795B" w:rsidRPr="009D6BBA">
              <w:rPr>
                <w:rFonts w:cs="Arial"/>
                <w:sz w:val="22"/>
                <w:szCs w:val="22"/>
                <w:vertAlign w:val="superscript"/>
                <w:lang w:val="en"/>
              </w:rPr>
              <w:t>®</w:t>
            </w:r>
            <w:r w:rsidRPr="00F000BB">
              <w:rPr>
                <w:rFonts w:cs="Arial"/>
                <w:sz w:val="22"/>
                <w:szCs w:val="22"/>
                <w:lang w:val="en"/>
              </w:rPr>
              <w:t xml:space="preserve"> by deep subcutaneous injection to patients with a bleeding disorder is off-label administration</w:t>
            </w:r>
            <w:r w:rsidR="00BF68A9">
              <w:rPr>
                <w:rFonts w:cs="Arial"/>
                <w:sz w:val="22"/>
                <w:szCs w:val="22"/>
                <w:lang w:val="en"/>
              </w:rPr>
              <w:t xml:space="preserve"> but is</w:t>
            </w:r>
            <w:r w:rsidRPr="00F000BB">
              <w:rPr>
                <w:rFonts w:cs="Arial"/>
                <w:sz w:val="22"/>
                <w:szCs w:val="22"/>
                <w:lang w:val="en"/>
              </w:rPr>
              <w:t xml:space="preserve"> in line with advice in </w:t>
            </w:r>
            <w:hyperlink r:id="rId21" w:history="1">
              <w:r w:rsidRPr="00F000BB">
                <w:rPr>
                  <w:rStyle w:val="Hyperlink"/>
                  <w:rFonts w:eastAsia="Arial" w:cs="Arial"/>
                  <w:sz w:val="22"/>
                  <w:szCs w:val="22"/>
                </w:rPr>
                <w:t>Chapter 4</w:t>
              </w:r>
            </w:hyperlink>
            <w:r w:rsidRPr="00F000BB">
              <w:rPr>
                <w:rFonts w:cs="Arial"/>
                <w:sz w:val="22"/>
                <w:szCs w:val="22"/>
                <w:lang w:val="en"/>
              </w:rPr>
              <w:t xml:space="preserve"> and </w:t>
            </w:r>
            <w:hyperlink r:id="rId22" w:history="1">
              <w:r w:rsidRPr="00F000BB">
                <w:rPr>
                  <w:rStyle w:val="Hyperlink"/>
                  <w:rFonts w:eastAsia="Arial" w:cs="Arial"/>
                  <w:sz w:val="22"/>
                  <w:szCs w:val="22"/>
                </w:rPr>
                <w:t>Chapter 18a</w:t>
              </w:r>
            </w:hyperlink>
            <w:r w:rsidRPr="00F000BB">
              <w:rPr>
                <w:rFonts w:cs="Arial"/>
                <w:sz w:val="22"/>
                <w:szCs w:val="22"/>
                <w:lang w:val="en"/>
              </w:rPr>
              <w:t xml:space="preserve"> of “The Green Book”.  </w:t>
            </w:r>
          </w:p>
          <w:p w:rsidR="002F07F3" w:rsidRPr="006805F2" w:rsidRDefault="002F07F3" w:rsidP="002F07F3">
            <w:pPr>
              <w:spacing w:before="120" w:after="120"/>
              <w:rPr>
                <w:rFonts w:cs="Arial"/>
                <w:iCs/>
                <w:sz w:val="22"/>
                <w:szCs w:val="22"/>
              </w:rPr>
            </w:pPr>
            <w:r w:rsidRPr="006805F2">
              <w:rPr>
                <w:rFonts w:cs="Arial"/>
                <w:sz w:val="22"/>
                <w:szCs w:val="22"/>
                <w:lang w:val="en"/>
              </w:rPr>
              <w:t xml:space="preserve">Vaccine should be stored according to the conditions detailed in the </w:t>
            </w:r>
            <w:hyperlink w:anchor="Storage" w:history="1">
              <w:r w:rsidRPr="006805F2">
                <w:rPr>
                  <w:rStyle w:val="Hyperlink"/>
                  <w:rFonts w:cs="Arial"/>
                  <w:sz w:val="22"/>
                  <w:szCs w:val="22"/>
                  <w:lang w:val="en"/>
                </w:rPr>
                <w:t>Storage section</w:t>
              </w:r>
            </w:hyperlink>
            <w:r w:rsidRPr="006805F2">
              <w:rPr>
                <w:rFonts w:cs="Arial"/>
                <w:sz w:val="22"/>
                <w:szCs w:val="22"/>
                <w:lang w:val="en"/>
              </w:rPr>
              <w:t xml:space="preserve"> below. However, in the event of an inadvertent or unavoidable deviation of these conditions refer to </w:t>
            </w:r>
            <w:hyperlink r:id="rId23" w:history="1">
              <w:r w:rsidRPr="006805F2">
                <w:rPr>
                  <w:rStyle w:val="Hyperlink"/>
                  <w:rFonts w:cs="Arial"/>
                  <w:sz w:val="22"/>
                  <w:szCs w:val="22"/>
                  <w:lang w:val="en"/>
                </w:rPr>
                <w:t>PHE Vaccine Incident Guidance</w:t>
              </w:r>
            </w:hyperlink>
            <w:r w:rsidRPr="006805F2">
              <w:rPr>
                <w:rFonts w:cs="Arial"/>
                <w:sz w:val="22"/>
                <w:szCs w:val="22"/>
                <w:lang w:val="en"/>
              </w:rPr>
              <w:t>. Where vaccine is assessed in accordance with these guidelines as appropriate for continued use this would constitute off-label administration under this PGD.</w:t>
            </w:r>
          </w:p>
          <w:p w:rsidR="002F07F3" w:rsidRPr="00D06525" w:rsidRDefault="002F07F3" w:rsidP="002F07F3">
            <w:pPr>
              <w:spacing w:before="120" w:after="120"/>
              <w:rPr>
                <w:rFonts w:cs="Arial"/>
                <w:color w:val="FF0000"/>
                <w:sz w:val="22"/>
                <w:szCs w:val="22"/>
                <w:lang w:val="en"/>
              </w:rPr>
            </w:pPr>
            <w:r w:rsidRPr="006805F2">
              <w:rPr>
                <w:rFonts w:cs="Arial"/>
                <w:iCs/>
                <w:sz w:val="22"/>
                <w:szCs w:val="22"/>
              </w:rPr>
              <w:t>Where a vaccine is recommended off-label consider, as part of the consent process, informing the individual/parent/carer that the vaccine is being offered in accordance with national guidance but that this is outside the product licence.</w:t>
            </w:r>
          </w:p>
        </w:tc>
      </w:tr>
      <w:tr w:rsidR="0046701A" w:rsidRPr="00D06525" w:rsidTr="00B8676F">
        <w:tc>
          <w:tcPr>
            <w:tcW w:w="2835" w:type="dxa"/>
          </w:tcPr>
          <w:p w:rsidR="0046701A" w:rsidRPr="00D06525" w:rsidRDefault="0046701A" w:rsidP="0046701A">
            <w:pPr>
              <w:spacing w:before="120" w:after="120"/>
              <w:rPr>
                <w:rFonts w:cs="Arial"/>
                <w:b/>
                <w:color w:val="FF0000"/>
                <w:sz w:val="22"/>
                <w:szCs w:val="22"/>
              </w:rPr>
            </w:pPr>
            <w:r w:rsidRPr="00FB6FC7">
              <w:rPr>
                <w:rFonts w:cs="Arial"/>
                <w:b/>
                <w:sz w:val="22"/>
                <w:szCs w:val="22"/>
              </w:rPr>
              <w:t>Route / method of administration</w:t>
            </w:r>
          </w:p>
        </w:tc>
        <w:tc>
          <w:tcPr>
            <w:tcW w:w="7088" w:type="dxa"/>
          </w:tcPr>
          <w:p w:rsidR="0046701A" w:rsidRPr="00FB6FC7" w:rsidRDefault="0046701A" w:rsidP="0046701A">
            <w:pPr>
              <w:shd w:val="clear" w:color="auto" w:fill="FFFFFF"/>
              <w:overflowPunct/>
              <w:autoSpaceDE/>
              <w:autoSpaceDN/>
              <w:adjustRightInd/>
              <w:spacing w:before="120" w:after="120"/>
              <w:textAlignment w:val="auto"/>
              <w:rPr>
                <w:rFonts w:cs="Arial"/>
                <w:sz w:val="22"/>
                <w:szCs w:val="22"/>
              </w:rPr>
            </w:pPr>
            <w:r w:rsidRPr="00FB6FC7">
              <w:rPr>
                <w:rFonts w:cs="Arial"/>
                <w:sz w:val="22"/>
                <w:szCs w:val="22"/>
              </w:rPr>
              <w:t xml:space="preserve">Administer </w:t>
            </w:r>
            <w:r w:rsidRPr="002F07F3">
              <w:rPr>
                <w:rFonts w:cs="Arial"/>
                <w:sz w:val="22"/>
                <w:szCs w:val="22"/>
              </w:rPr>
              <w:t>by intramuscular injection.</w:t>
            </w:r>
            <w:r w:rsidRPr="00060244">
              <w:rPr>
                <w:rFonts w:cs="Arial"/>
                <w:sz w:val="22"/>
                <w:szCs w:val="22"/>
              </w:rPr>
              <w:t xml:space="preserve"> </w:t>
            </w:r>
            <w:r w:rsidRPr="00FB6FC7">
              <w:rPr>
                <w:rFonts w:cs="Arial"/>
                <w:sz w:val="22"/>
                <w:szCs w:val="22"/>
              </w:rPr>
              <w:t>The preferred site is the deltoid region of the upper arm.</w:t>
            </w:r>
          </w:p>
          <w:p w:rsidR="0046701A" w:rsidRPr="00FB6FC7" w:rsidRDefault="0046701A" w:rsidP="0046701A">
            <w:pPr>
              <w:spacing w:before="120" w:after="120"/>
              <w:rPr>
                <w:rFonts w:cs="Arial"/>
                <w:sz w:val="22"/>
                <w:szCs w:val="22"/>
              </w:rPr>
            </w:pPr>
            <w:r w:rsidRPr="00FB6FC7">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rsidR="0046701A" w:rsidRPr="00FB6FC7" w:rsidRDefault="0046701A" w:rsidP="0046701A">
            <w:pPr>
              <w:spacing w:before="120" w:after="120"/>
              <w:rPr>
                <w:rFonts w:cs="Arial"/>
                <w:sz w:val="22"/>
                <w:szCs w:val="22"/>
              </w:rPr>
            </w:pPr>
            <w:r w:rsidRPr="00FB6FC7">
              <w:rPr>
                <w:rFonts w:cs="Arial"/>
                <w:sz w:val="22"/>
                <w:szCs w:val="22"/>
              </w:rPr>
              <w:t>For individuals with a</w:t>
            </w:r>
            <w:bookmarkStart w:id="4" w:name="_GoBack"/>
            <w:bookmarkEnd w:id="4"/>
            <w:r w:rsidRPr="00FB6FC7">
              <w:rPr>
                <w:rFonts w:cs="Arial"/>
                <w:sz w:val="22"/>
                <w:szCs w:val="22"/>
              </w:rPr>
              <w:t xml:space="preserve"> bleeding disorder, vaccines normally given by an intramuscular route should be given by deep subcutaneous injection to reduce the risk of bleeding (see “The Green Book” </w:t>
            </w:r>
            <w:hyperlink r:id="rId24" w:history="1">
              <w:r w:rsidRPr="00FB6FC7">
                <w:rPr>
                  <w:rStyle w:val="Hyperlink"/>
                  <w:rFonts w:eastAsia="Arial" w:cs="Arial"/>
                  <w:sz w:val="22"/>
                  <w:szCs w:val="22"/>
                </w:rPr>
                <w:t>Chapter 4</w:t>
              </w:r>
            </w:hyperlink>
            <w:r w:rsidRPr="00FB6FC7">
              <w:rPr>
                <w:rFonts w:cs="Arial"/>
                <w:sz w:val="22"/>
                <w:szCs w:val="22"/>
              </w:rPr>
              <w:t>).</w:t>
            </w:r>
          </w:p>
          <w:p w:rsidR="0046701A" w:rsidRPr="00FB6FC7" w:rsidRDefault="0046701A" w:rsidP="0046701A">
            <w:pPr>
              <w:shd w:val="clear" w:color="auto" w:fill="FFFFFF"/>
              <w:overflowPunct/>
              <w:autoSpaceDE/>
              <w:autoSpaceDN/>
              <w:adjustRightInd/>
              <w:spacing w:before="120" w:after="120"/>
              <w:textAlignment w:val="auto"/>
              <w:rPr>
                <w:rFonts w:cs="Arial"/>
                <w:sz w:val="22"/>
                <w:szCs w:val="22"/>
              </w:rPr>
            </w:pPr>
            <w:r w:rsidRPr="00FB6FC7">
              <w:rPr>
                <w:rFonts w:cs="Arial"/>
                <w:sz w:val="22"/>
                <w:szCs w:val="22"/>
              </w:rPr>
              <w:t xml:space="preserve">The vaccine's normal appearance is a white cloudy liquid which may settle to a clear liquid and white precipitate. Shake well before use. </w:t>
            </w:r>
          </w:p>
          <w:p w:rsidR="0046701A" w:rsidRPr="00FB6FC7" w:rsidRDefault="0046701A" w:rsidP="0046701A">
            <w:pPr>
              <w:shd w:val="clear" w:color="auto" w:fill="FFFFFF"/>
              <w:overflowPunct/>
              <w:autoSpaceDE/>
              <w:autoSpaceDN/>
              <w:adjustRightInd/>
              <w:spacing w:before="120" w:after="120"/>
              <w:textAlignment w:val="auto"/>
              <w:rPr>
                <w:rFonts w:cs="Arial"/>
                <w:sz w:val="22"/>
                <w:szCs w:val="22"/>
                <w:lang w:val="en"/>
              </w:rPr>
            </w:pPr>
            <w:r w:rsidRPr="00FB6FC7">
              <w:rPr>
                <w:rFonts w:cs="Arial"/>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rsidR="0046701A" w:rsidRPr="00D06525" w:rsidRDefault="0046701A" w:rsidP="00B8676F">
            <w:pPr>
              <w:shd w:val="clear" w:color="auto" w:fill="FFFFFF"/>
              <w:overflowPunct/>
              <w:autoSpaceDE/>
              <w:autoSpaceDN/>
              <w:adjustRightInd/>
              <w:spacing w:after="120"/>
              <w:textAlignment w:val="auto"/>
              <w:rPr>
                <w:rFonts w:cs="Arial"/>
                <w:b/>
                <w:color w:val="FF0000"/>
                <w:spacing w:val="-2"/>
                <w:sz w:val="22"/>
                <w:szCs w:val="22"/>
              </w:rPr>
            </w:pPr>
            <w:r w:rsidRPr="00FB6FC7">
              <w:rPr>
                <w:rFonts w:cs="Arial"/>
                <w:sz w:val="22"/>
                <w:szCs w:val="22"/>
              </w:rPr>
              <w:t xml:space="preserve">The vaccine’s SPC provides further guidance on administration and is available from the electronic Medicines Compendium website: </w:t>
            </w:r>
            <w:hyperlink r:id="rId25" w:history="1">
              <w:r w:rsidRPr="00FB6FC7">
                <w:rPr>
                  <w:rStyle w:val="Hyperlink"/>
                  <w:rFonts w:eastAsia="Arial" w:cs="Arial"/>
                  <w:sz w:val="22"/>
                  <w:szCs w:val="22"/>
                </w:rPr>
                <w:t>www.medicines.org.uk</w:t>
              </w:r>
            </w:hyperlink>
            <w:r w:rsidRPr="00FB6FC7">
              <w:rPr>
                <w:sz w:val="22"/>
                <w:szCs w:val="22"/>
              </w:rPr>
              <w:t xml:space="preserve">  </w:t>
            </w:r>
            <w:r w:rsidRPr="00FB6FC7">
              <w:rPr>
                <w:rFonts w:cs="Arial"/>
                <w:spacing w:val="-2"/>
                <w:sz w:val="22"/>
                <w:szCs w:val="22"/>
              </w:rPr>
              <w:t xml:space="preserve"> </w:t>
            </w:r>
            <w:r w:rsidRPr="00FB6FC7">
              <w:rPr>
                <w:rFonts w:cs="Arial"/>
                <w:b/>
                <w:spacing w:val="-2"/>
                <w:sz w:val="22"/>
                <w:szCs w:val="22"/>
              </w:rPr>
              <w:t xml:space="preserve"> </w:t>
            </w:r>
          </w:p>
        </w:tc>
      </w:tr>
      <w:tr w:rsidR="0046701A" w:rsidRPr="00D06525" w:rsidTr="00B8676F">
        <w:tc>
          <w:tcPr>
            <w:tcW w:w="2835" w:type="dxa"/>
          </w:tcPr>
          <w:p w:rsidR="0046701A" w:rsidRPr="00586C51" w:rsidRDefault="0046701A" w:rsidP="0046701A">
            <w:pPr>
              <w:pStyle w:val="Header"/>
              <w:tabs>
                <w:tab w:val="clear" w:pos="4153"/>
                <w:tab w:val="clear" w:pos="8306"/>
              </w:tabs>
              <w:spacing w:before="120" w:after="120"/>
              <w:rPr>
                <w:rFonts w:ascii="Arial" w:hAnsi="Arial" w:cs="Arial"/>
                <w:b/>
                <w:sz w:val="22"/>
                <w:szCs w:val="22"/>
              </w:rPr>
            </w:pPr>
            <w:bookmarkStart w:id="5" w:name="DoseAndFrequency"/>
            <w:bookmarkEnd w:id="5"/>
            <w:r w:rsidRPr="00586C51">
              <w:rPr>
                <w:rFonts w:ascii="Arial" w:hAnsi="Arial" w:cs="Arial"/>
                <w:b/>
                <w:sz w:val="22"/>
                <w:szCs w:val="22"/>
              </w:rPr>
              <w:lastRenderedPageBreak/>
              <w:t>Dose and frequency of administration</w:t>
            </w:r>
          </w:p>
          <w:p w:rsidR="0046701A" w:rsidRPr="00D06525" w:rsidRDefault="0046701A" w:rsidP="0046701A">
            <w:pPr>
              <w:pStyle w:val="Header"/>
              <w:tabs>
                <w:tab w:val="clear" w:pos="4153"/>
                <w:tab w:val="clear" w:pos="8306"/>
              </w:tabs>
              <w:spacing w:before="120" w:after="120"/>
              <w:rPr>
                <w:rFonts w:ascii="Arial" w:hAnsi="Arial" w:cs="Arial"/>
                <w:color w:val="FF0000"/>
                <w:sz w:val="22"/>
                <w:szCs w:val="22"/>
              </w:rPr>
            </w:pPr>
          </w:p>
          <w:p w:rsidR="0046701A" w:rsidRPr="00D06525"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46701A" w:rsidRPr="00D06525" w:rsidRDefault="0046701A" w:rsidP="00DB5947">
            <w:pPr>
              <w:pStyle w:val="Header"/>
              <w:tabs>
                <w:tab w:val="clear" w:pos="4153"/>
                <w:tab w:val="clear" w:pos="8306"/>
              </w:tabs>
              <w:spacing w:before="120" w:after="120"/>
              <w:contextualSpacing/>
              <w:rPr>
                <w:rFonts w:ascii="Arial" w:hAnsi="Arial" w:cs="Arial"/>
                <w:color w:val="FF0000"/>
                <w:sz w:val="22"/>
                <w:szCs w:val="22"/>
              </w:rPr>
            </w:pPr>
          </w:p>
        </w:tc>
        <w:tc>
          <w:tcPr>
            <w:tcW w:w="7088" w:type="dxa"/>
          </w:tcPr>
          <w:p w:rsidR="0046701A" w:rsidRPr="00B8676F" w:rsidRDefault="0046701A" w:rsidP="0046701A">
            <w:pPr>
              <w:spacing w:before="120" w:after="120"/>
              <w:rPr>
                <w:rFonts w:cs="Arial"/>
                <w:sz w:val="22"/>
                <w:szCs w:val="22"/>
              </w:rPr>
            </w:pPr>
            <w:r w:rsidRPr="00B8676F">
              <w:rPr>
                <w:rFonts w:cs="Arial"/>
                <w:sz w:val="22"/>
                <w:szCs w:val="22"/>
              </w:rPr>
              <w:t>Single 0.5ml dose per administration</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 xml:space="preserve">HPV vaccination should be routinely offered to </w:t>
            </w:r>
            <w:r w:rsidR="000C525D" w:rsidRPr="00B8676F">
              <w:rPr>
                <w:rFonts w:eastAsiaTheme="minorHAnsi" w:cs="Arial"/>
                <w:sz w:val="22"/>
                <w:szCs w:val="22"/>
                <w:lang w:eastAsia="en-US"/>
              </w:rPr>
              <w:t xml:space="preserve">females </w:t>
            </w:r>
            <w:r w:rsidRPr="00B8676F">
              <w:rPr>
                <w:rFonts w:eastAsiaTheme="minorHAnsi" w:cs="Arial"/>
                <w:sz w:val="22"/>
                <w:szCs w:val="22"/>
                <w:lang w:eastAsia="en-US"/>
              </w:rPr>
              <w:t>in school year 8.</w:t>
            </w:r>
          </w:p>
          <w:p w:rsidR="0046701A" w:rsidRPr="00B8676F" w:rsidRDefault="00F5532B" w:rsidP="0046701A">
            <w:pPr>
              <w:spacing w:before="120" w:after="60"/>
              <w:rPr>
                <w:rFonts w:eastAsiaTheme="minorHAnsi" w:cs="Arial"/>
                <w:b/>
                <w:sz w:val="22"/>
                <w:szCs w:val="22"/>
                <w:lang w:eastAsia="en-US"/>
              </w:rPr>
            </w:pPr>
            <w:r w:rsidRPr="00B8676F">
              <w:rPr>
                <w:rFonts w:eastAsiaTheme="minorHAnsi" w:cs="Arial"/>
                <w:b/>
                <w:sz w:val="22"/>
                <w:szCs w:val="22"/>
                <w:lang w:eastAsia="en-US"/>
              </w:rPr>
              <w:t xml:space="preserve">Immunocompetent </w:t>
            </w:r>
            <w:r w:rsidR="000C525D" w:rsidRPr="00B8676F">
              <w:rPr>
                <w:rFonts w:eastAsiaTheme="minorHAnsi" w:cs="Arial"/>
                <w:b/>
                <w:sz w:val="22"/>
                <w:szCs w:val="22"/>
                <w:lang w:eastAsia="en-US"/>
              </w:rPr>
              <w:t xml:space="preserve">females </w:t>
            </w:r>
            <w:r w:rsidR="006733D5" w:rsidRPr="00B8676F">
              <w:rPr>
                <w:rFonts w:eastAsiaTheme="minorHAnsi" w:cs="Arial"/>
                <w:b/>
                <w:sz w:val="22"/>
                <w:szCs w:val="22"/>
                <w:lang w:eastAsia="en-US"/>
              </w:rPr>
              <w:t xml:space="preserve">aged </w:t>
            </w:r>
            <w:r w:rsidR="0046701A" w:rsidRPr="00B8676F">
              <w:rPr>
                <w:rFonts w:eastAsiaTheme="minorHAnsi" w:cs="Arial"/>
                <w:b/>
                <w:sz w:val="22"/>
                <w:szCs w:val="22"/>
                <w:lang w:eastAsia="en-US"/>
              </w:rPr>
              <w:t>under</w:t>
            </w:r>
            <w:r w:rsidR="00C442E9" w:rsidRPr="00B8676F">
              <w:rPr>
                <w:rFonts w:eastAsiaTheme="minorHAnsi" w:cs="Arial"/>
                <w:b/>
                <w:sz w:val="22"/>
                <w:szCs w:val="22"/>
                <w:lang w:eastAsia="en-US"/>
              </w:rPr>
              <w:t xml:space="preserve"> </w:t>
            </w:r>
            <w:r w:rsidR="0046701A" w:rsidRPr="00B8676F">
              <w:rPr>
                <w:rFonts w:eastAsiaTheme="minorHAnsi" w:cs="Arial"/>
                <w:b/>
                <w:sz w:val="22"/>
                <w:szCs w:val="22"/>
                <w:lang w:eastAsia="en-US"/>
              </w:rPr>
              <w:t>15 years</w:t>
            </w:r>
            <w:r w:rsidR="006733D5" w:rsidRPr="00B8676F">
              <w:rPr>
                <w:rFonts w:eastAsiaTheme="minorHAnsi" w:cs="Arial"/>
                <w:b/>
                <w:sz w:val="22"/>
                <w:szCs w:val="22"/>
                <w:lang w:eastAsia="en-US"/>
              </w:rPr>
              <w:t xml:space="preserve"> </w:t>
            </w:r>
            <w:r w:rsidR="0046701A" w:rsidRPr="00B8676F">
              <w:rPr>
                <w:rFonts w:eastAsiaTheme="minorHAnsi" w:cs="Arial"/>
                <w:b/>
                <w:sz w:val="22"/>
                <w:szCs w:val="22"/>
                <w:lang w:eastAsia="en-US"/>
              </w:rPr>
              <w:t>at time of first dose</w:t>
            </w:r>
          </w:p>
          <w:p w:rsidR="0046701A" w:rsidRPr="00B8676F" w:rsidRDefault="0046701A" w:rsidP="00B8676F">
            <w:pPr>
              <w:spacing w:before="120"/>
              <w:rPr>
                <w:rFonts w:eastAsiaTheme="minorHAnsi" w:cs="Arial"/>
                <w:sz w:val="22"/>
                <w:szCs w:val="22"/>
                <w:lang w:eastAsia="en-US"/>
              </w:rPr>
            </w:pPr>
            <w:r w:rsidRPr="00B8676F">
              <w:rPr>
                <w:rFonts w:eastAsiaTheme="minorHAnsi" w:cs="Arial"/>
                <w:sz w:val="22"/>
                <w:szCs w:val="22"/>
                <w:lang w:eastAsia="en-US"/>
              </w:rPr>
              <w:t>Administer a course of two doses with a 6 month to 24 month interval between doses</w:t>
            </w:r>
            <w:r w:rsidR="00ED6BD3" w:rsidRPr="00B8676F">
              <w:rPr>
                <w:rFonts w:eastAsiaTheme="minorHAnsi" w:cs="Arial"/>
                <w:sz w:val="22"/>
                <w:szCs w:val="22"/>
                <w:lang w:eastAsia="en-US"/>
              </w:rPr>
              <w:t xml:space="preserve"> ie:</w:t>
            </w:r>
          </w:p>
          <w:p w:rsidR="0046701A" w:rsidRPr="00B8676F" w:rsidRDefault="00ED6BD3" w:rsidP="0046701A">
            <w:pPr>
              <w:pStyle w:val="ListParagraph"/>
              <w:numPr>
                <w:ilvl w:val="0"/>
                <w:numId w:val="41"/>
              </w:numPr>
              <w:overflowPunct/>
              <w:ind w:left="317" w:hanging="283"/>
              <w:textAlignment w:val="auto"/>
              <w:rPr>
                <w:rFonts w:eastAsiaTheme="minorHAnsi" w:cs="Arial"/>
                <w:sz w:val="22"/>
                <w:szCs w:val="22"/>
                <w:lang w:eastAsia="en-US"/>
              </w:rPr>
            </w:pPr>
            <w:r w:rsidRPr="00B8676F">
              <w:rPr>
                <w:rFonts w:eastAsiaTheme="minorHAnsi" w:cs="Arial"/>
                <w:sz w:val="22"/>
                <w:szCs w:val="22"/>
                <w:lang w:eastAsia="en-US"/>
              </w:rPr>
              <w:t>f</w:t>
            </w:r>
            <w:r w:rsidR="0046701A" w:rsidRPr="00B8676F">
              <w:rPr>
                <w:rFonts w:eastAsiaTheme="minorHAnsi" w:cs="Arial"/>
                <w:sz w:val="22"/>
                <w:szCs w:val="22"/>
                <w:lang w:eastAsia="en-US"/>
              </w:rPr>
              <w:t>irst dose of 0.5ml of HPV vaccine</w:t>
            </w:r>
            <w:r w:rsidRPr="00B8676F">
              <w:rPr>
                <w:rFonts w:eastAsiaTheme="minorHAnsi" w:cs="Arial"/>
                <w:sz w:val="22"/>
                <w:szCs w:val="22"/>
                <w:lang w:eastAsia="en-US"/>
              </w:rPr>
              <w:t>, then</w:t>
            </w:r>
          </w:p>
          <w:p w:rsidR="0046701A" w:rsidRPr="00B8676F" w:rsidRDefault="00ED6BD3" w:rsidP="0046701A">
            <w:pPr>
              <w:pStyle w:val="ListParagraph"/>
              <w:numPr>
                <w:ilvl w:val="0"/>
                <w:numId w:val="41"/>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s</w:t>
            </w:r>
            <w:r w:rsidR="0046701A" w:rsidRPr="00B8676F">
              <w:rPr>
                <w:rFonts w:eastAsiaTheme="minorHAnsi" w:cs="Arial"/>
                <w:sz w:val="22"/>
                <w:szCs w:val="22"/>
                <w:lang w:eastAsia="en-US"/>
              </w:rPr>
              <w:t>econd dose at least 6 to 24 months after the first dose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If the course is interrupted it should be resumed but not repeated, even if more than 24 months have elapsed since the first dose.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Where two doses have been administered less than 6 months apart a third dose should be given at least 3 months after the second dose.</w:t>
            </w:r>
          </w:p>
          <w:p w:rsidR="009A2533" w:rsidRPr="00B8676F" w:rsidRDefault="009A2533" w:rsidP="0046701A">
            <w:pPr>
              <w:pStyle w:val="CommentText"/>
              <w:rPr>
                <w:rFonts w:eastAsiaTheme="minorHAnsi" w:cs="Arial"/>
                <w:sz w:val="22"/>
                <w:szCs w:val="22"/>
                <w:lang w:eastAsia="en-US"/>
              </w:rPr>
            </w:pPr>
            <w:r w:rsidRPr="00B8676F">
              <w:rPr>
                <w:rFonts w:cs="Arial"/>
                <w:sz w:val="22"/>
                <w:szCs w:val="22"/>
              </w:rPr>
              <w:t>For individuals infected with HIV refer to section below for dose schedule.</w:t>
            </w:r>
          </w:p>
          <w:p w:rsidR="00336C19" w:rsidRPr="00B8676F" w:rsidRDefault="000C525D" w:rsidP="0046701A">
            <w:pPr>
              <w:spacing w:before="120" w:after="60"/>
              <w:rPr>
                <w:rFonts w:eastAsiaTheme="minorHAnsi" w:cs="Arial"/>
                <w:b/>
                <w:sz w:val="22"/>
                <w:szCs w:val="22"/>
                <w:lang w:eastAsia="en-US"/>
              </w:rPr>
            </w:pPr>
            <w:r w:rsidRPr="00B8676F">
              <w:rPr>
                <w:rFonts w:eastAsiaTheme="minorHAnsi" w:cs="Arial"/>
                <w:b/>
                <w:sz w:val="22"/>
                <w:szCs w:val="22"/>
                <w:lang w:eastAsia="en-US"/>
              </w:rPr>
              <w:t xml:space="preserve">Females </w:t>
            </w:r>
            <w:r w:rsidR="0046701A" w:rsidRPr="00B8676F">
              <w:rPr>
                <w:rFonts w:eastAsiaTheme="minorHAnsi" w:cs="Arial"/>
                <w:b/>
                <w:sz w:val="22"/>
                <w:szCs w:val="22"/>
                <w:lang w:eastAsia="en-US"/>
              </w:rPr>
              <w:t>aged 15 years to under 18 years at time of first dose and</w:t>
            </w:r>
            <w:r w:rsidR="00336C19" w:rsidRPr="00B8676F">
              <w:rPr>
                <w:rFonts w:eastAsiaTheme="minorHAnsi" w:cs="Arial"/>
                <w:b/>
                <w:sz w:val="22"/>
                <w:szCs w:val="22"/>
                <w:lang w:eastAsia="en-US"/>
              </w:rPr>
              <w:t xml:space="preserve"> females under 18 years of age who are</w:t>
            </w:r>
            <w:r w:rsidR="0046701A" w:rsidRPr="00B8676F">
              <w:rPr>
                <w:rFonts w:eastAsiaTheme="minorHAnsi" w:cs="Arial"/>
                <w:b/>
                <w:sz w:val="22"/>
                <w:szCs w:val="22"/>
                <w:lang w:eastAsia="en-US"/>
              </w:rPr>
              <w:t xml:space="preserve"> immunosuppressed</w:t>
            </w:r>
            <w:r w:rsidR="00336C19" w:rsidRPr="00B8676F">
              <w:rPr>
                <w:rFonts w:eastAsiaTheme="minorHAnsi" w:cs="Arial"/>
                <w:b/>
                <w:sz w:val="22"/>
                <w:szCs w:val="22"/>
                <w:lang w:eastAsia="en-US"/>
              </w:rPr>
              <w:t xml:space="preserve"> or </w:t>
            </w:r>
            <w:r w:rsidR="00842897" w:rsidRPr="00B8676F">
              <w:rPr>
                <w:rFonts w:eastAsiaTheme="minorHAnsi" w:cs="Arial"/>
                <w:b/>
                <w:sz w:val="22"/>
                <w:szCs w:val="22"/>
                <w:lang w:eastAsia="en-US"/>
              </w:rPr>
              <w:t xml:space="preserve">known to be </w:t>
            </w:r>
            <w:r w:rsidR="00336C19" w:rsidRPr="00B8676F">
              <w:rPr>
                <w:rFonts w:eastAsiaTheme="minorHAnsi" w:cs="Arial"/>
                <w:b/>
                <w:sz w:val="22"/>
                <w:szCs w:val="22"/>
                <w:lang w:eastAsia="en-US"/>
              </w:rPr>
              <w:t>HIV-infected</w:t>
            </w:r>
            <w:r w:rsidRPr="00B8676F">
              <w:rPr>
                <w:rFonts w:eastAsiaTheme="minorHAnsi" w:cs="Arial"/>
                <w:b/>
                <w:sz w:val="22"/>
                <w:szCs w:val="22"/>
                <w:lang w:eastAsia="en-US"/>
              </w:rPr>
              <w:t xml:space="preserve"> </w:t>
            </w:r>
            <w:r w:rsidR="00C442E9" w:rsidRPr="00B8676F">
              <w:rPr>
                <w:rFonts w:eastAsiaTheme="minorHAnsi" w:cs="Arial"/>
                <w:b/>
                <w:sz w:val="22"/>
                <w:szCs w:val="22"/>
                <w:lang w:eastAsia="en-US"/>
              </w:rPr>
              <w:t>(</w:t>
            </w:r>
            <w:r w:rsidR="006733D5" w:rsidRPr="00B8676F">
              <w:rPr>
                <w:rFonts w:eastAsiaTheme="minorHAnsi" w:cs="Arial"/>
                <w:b/>
                <w:sz w:val="22"/>
                <w:szCs w:val="22"/>
                <w:lang w:eastAsia="en-US"/>
              </w:rPr>
              <w:t>s</w:t>
            </w:r>
            <w:r w:rsidR="00C442E9" w:rsidRPr="00B8676F">
              <w:rPr>
                <w:rFonts w:eastAsiaTheme="minorHAnsi" w:cs="Arial"/>
                <w:b/>
                <w:sz w:val="22"/>
                <w:szCs w:val="22"/>
                <w:lang w:eastAsia="en-US"/>
              </w:rPr>
              <w:t>ee</w:t>
            </w:r>
            <w:r w:rsidR="006733D5" w:rsidRPr="00B8676F">
              <w:rPr>
                <w:rFonts w:eastAsiaTheme="minorHAnsi" w:cs="Arial"/>
                <w:b/>
                <w:sz w:val="22"/>
                <w:szCs w:val="22"/>
                <w:lang w:eastAsia="en-US"/>
              </w:rPr>
              <w:t xml:space="preserve"> “The</w:t>
            </w:r>
            <w:r w:rsidR="00C442E9" w:rsidRPr="00B8676F">
              <w:rPr>
                <w:rFonts w:eastAsiaTheme="minorHAnsi" w:cs="Arial"/>
                <w:b/>
                <w:sz w:val="22"/>
                <w:szCs w:val="22"/>
                <w:lang w:eastAsia="en-US"/>
              </w:rPr>
              <w:t xml:space="preserve"> Green </w:t>
            </w:r>
            <w:r w:rsidR="006733D5" w:rsidRPr="00B8676F">
              <w:rPr>
                <w:rFonts w:eastAsiaTheme="minorHAnsi" w:cs="Arial"/>
                <w:b/>
                <w:sz w:val="22"/>
                <w:szCs w:val="22"/>
                <w:lang w:eastAsia="en-US"/>
              </w:rPr>
              <w:t>B</w:t>
            </w:r>
            <w:r w:rsidR="00C442E9" w:rsidRPr="00B8676F">
              <w:rPr>
                <w:rFonts w:eastAsiaTheme="minorHAnsi" w:cs="Arial"/>
                <w:b/>
                <w:sz w:val="22"/>
                <w:szCs w:val="22"/>
                <w:lang w:eastAsia="en-US"/>
              </w:rPr>
              <w:t>ook</w:t>
            </w:r>
            <w:r w:rsidR="006733D5" w:rsidRPr="00B8676F">
              <w:rPr>
                <w:rFonts w:eastAsiaTheme="minorHAnsi" w:cs="Arial"/>
                <w:b/>
                <w:sz w:val="22"/>
                <w:szCs w:val="22"/>
                <w:lang w:eastAsia="en-US"/>
              </w:rPr>
              <w:t>”</w:t>
            </w:r>
            <w:r w:rsidR="00C442E9" w:rsidRPr="00B8676F">
              <w:rPr>
                <w:rFonts w:eastAsiaTheme="minorHAnsi" w:cs="Arial"/>
                <w:b/>
                <w:sz w:val="22"/>
                <w:szCs w:val="22"/>
                <w:lang w:eastAsia="en-US"/>
              </w:rPr>
              <w:t xml:space="preserve"> </w:t>
            </w:r>
            <w:hyperlink r:id="rId26" w:history="1">
              <w:r w:rsidR="006733D5" w:rsidRPr="00B8676F">
                <w:rPr>
                  <w:rStyle w:val="Hyperlink"/>
                  <w:rFonts w:eastAsia="Arial" w:cs="Arial"/>
                  <w:b/>
                  <w:sz w:val="22"/>
                  <w:szCs w:val="22"/>
                </w:rPr>
                <w:t>Chapter 18a</w:t>
              </w:r>
            </w:hyperlink>
            <w:r w:rsidR="00C442E9" w:rsidRPr="00B8676F">
              <w:rPr>
                <w:rFonts w:eastAsiaTheme="minorHAnsi" w:cs="Arial"/>
                <w:b/>
                <w:sz w:val="22"/>
                <w:szCs w:val="22"/>
                <w:lang w:eastAsia="en-US"/>
              </w:rPr>
              <w:t>)</w:t>
            </w:r>
            <w:r w:rsidR="0046701A" w:rsidRPr="00B8676F">
              <w:rPr>
                <w:rFonts w:eastAsiaTheme="minorHAnsi" w:cs="Arial"/>
                <w:b/>
                <w:sz w:val="22"/>
                <w:szCs w:val="22"/>
                <w:lang w:eastAsia="en-US"/>
              </w:rPr>
              <w:t xml:space="preserve"> </w:t>
            </w:r>
          </w:p>
          <w:p w:rsidR="0046701A" w:rsidRPr="00B8676F" w:rsidRDefault="0046701A" w:rsidP="00B8676F">
            <w:pPr>
              <w:spacing w:before="120"/>
              <w:rPr>
                <w:rFonts w:eastAsiaTheme="minorHAnsi" w:cs="Arial"/>
                <w:sz w:val="22"/>
                <w:szCs w:val="22"/>
                <w:lang w:eastAsia="en-US"/>
              </w:rPr>
            </w:pPr>
            <w:r w:rsidRPr="00B8676F">
              <w:rPr>
                <w:rFonts w:eastAsiaTheme="minorHAnsi" w:cs="Arial"/>
                <w:sz w:val="22"/>
                <w:szCs w:val="22"/>
                <w:lang w:eastAsia="en-US"/>
              </w:rPr>
              <w:t>Administer a course of three doses</w:t>
            </w:r>
            <w:r w:rsidR="00A15F90" w:rsidRPr="00B8676F">
              <w:rPr>
                <w:rFonts w:eastAsiaTheme="minorHAnsi" w:cs="Arial"/>
                <w:sz w:val="22"/>
                <w:szCs w:val="22"/>
                <w:lang w:eastAsia="en-US"/>
              </w:rPr>
              <w:t xml:space="preserve"> on a</w:t>
            </w:r>
            <w:r w:rsidRPr="00B8676F">
              <w:rPr>
                <w:rFonts w:eastAsiaTheme="minorHAnsi" w:cs="Arial"/>
                <w:sz w:val="22"/>
                <w:szCs w:val="22"/>
                <w:lang w:eastAsia="en-US"/>
              </w:rPr>
              <w:t xml:space="preserve"> 0, 1 and 4-6 month</w:t>
            </w:r>
            <w:r w:rsidR="00A15F90" w:rsidRPr="00B8676F">
              <w:rPr>
                <w:rFonts w:eastAsiaTheme="minorHAnsi" w:cs="Arial"/>
                <w:sz w:val="22"/>
                <w:szCs w:val="22"/>
                <w:lang w:eastAsia="en-US"/>
              </w:rPr>
              <w:t xml:space="preserve"> </w:t>
            </w:r>
            <w:r w:rsidRPr="00B8676F">
              <w:rPr>
                <w:rFonts w:eastAsiaTheme="minorHAnsi" w:cs="Arial"/>
                <w:sz w:val="22"/>
                <w:szCs w:val="22"/>
                <w:lang w:eastAsia="en-US"/>
              </w:rPr>
              <w:t>s</w:t>
            </w:r>
            <w:r w:rsidR="00A15F90" w:rsidRPr="00B8676F">
              <w:rPr>
                <w:rFonts w:eastAsiaTheme="minorHAnsi" w:cs="Arial"/>
                <w:sz w:val="22"/>
                <w:szCs w:val="22"/>
                <w:lang w:eastAsia="en-US"/>
              </w:rPr>
              <w:t>chedule</w:t>
            </w:r>
            <w:r w:rsidR="00ED6BD3" w:rsidRPr="00B8676F">
              <w:rPr>
                <w:rFonts w:eastAsiaTheme="minorHAnsi" w:cs="Arial"/>
                <w:sz w:val="22"/>
                <w:szCs w:val="22"/>
                <w:lang w:eastAsia="en-US"/>
              </w:rPr>
              <w:t xml:space="preserve"> ie:</w:t>
            </w:r>
          </w:p>
          <w:p w:rsidR="0046701A" w:rsidRPr="00B8676F" w:rsidRDefault="00ED6BD3" w:rsidP="00B8676F">
            <w:pPr>
              <w:pStyle w:val="ListParagraph"/>
              <w:numPr>
                <w:ilvl w:val="0"/>
                <w:numId w:val="42"/>
              </w:numPr>
              <w:spacing w:after="60"/>
              <w:ind w:left="318" w:hanging="284"/>
              <w:rPr>
                <w:rFonts w:eastAsiaTheme="minorHAnsi" w:cs="Arial"/>
                <w:sz w:val="22"/>
                <w:szCs w:val="22"/>
                <w:lang w:eastAsia="en-US"/>
              </w:rPr>
            </w:pPr>
            <w:r w:rsidRPr="00B8676F">
              <w:rPr>
                <w:rFonts w:eastAsiaTheme="minorHAnsi" w:cs="Arial"/>
                <w:sz w:val="22"/>
                <w:szCs w:val="22"/>
                <w:lang w:eastAsia="en-US"/>
              </w:rPr>
              <w:t>f</w:t>
            </w:r>
            <w:r w:rsidR="0046701A" w:rsidRPr="00B8676F">
              <w:rPr>
                <w:rFonts w:eastAsiaTheme="minorHAnsi" w:cs="Arial"/>
                <w:sz w:val="22"/>
                <w:szCs w:val="22"/>
                <w:lang w:eastAsia="en-US"/>
              </w:rPr>
              <w:t>irst dose of 0.5ml of HPV vaccine</w:t>
            </w:r>
            <w:r w:rsidRPr="00B8676F">
              <w:rPr>
                <w:rFonts w:eastAsiaTheme="minorHAnsi" w:cs="Arial"/>
                <w:sz w:val="22"/>
                <w:szCs w:val="22"/>
                <w:lang w:eastAsia="en-US"/>
              </w:rPr>
              <w:t>, then</w:t>
            </w:r>
          </w:p>
          <w:p w:rsidR="0046701A" w:rsidRPr="00B8676F" w:rsidRDefault="00ED6BD3" w:rsidP="0046701A">
            <w:pPr>
              <w:pStyle w:val="ListParagraph"/>
              <w:numPr>
                <w:ilvl w:val="0"/>
                <w:numId w:val="42"/>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s</w:t>
            </w:r>
            <w:r w:rsidR="0046701A" w:rsidRPr="00B8676F">
              <w:rPr>
                <w:rFonts w:eastAsiaTheme="minorHAnsi" w:cs="Arial"/>
                <w:sz w:val="22"/>
                <w:szCs w:val="22"/>
                <w:lang w:eastAsia="en-US"/>
              </w:rPr>
              <w:t>econd dose of 0.5ml at least one month after the first dose</w:t>
            </w:r>
            <w:r w:rsidRPr="00B8676F">
              <w:rPr>
                <w:rFonts w:eastAsiaTheme="minorHAnsi" w:cs="Arial"/>
                <w:sz w:val="22"/>
                <w:szCs w:val="22"/>
                <w:lang w:eastAsia="en-US"/>
              </w:rPr>
              <w:t>, then</w:t>
            </w:r>
            <w:r w:rsidR="0046701A" w:rsidRPr="00B8676F">
              <w:rPr>
                <w:rFonts w:eastAsiaTheme="minorHAnsi" w:cs="Arial"/>
                <w:sz w:val="22"/>
                <w:szCs w:val="22"/>
                <w:lang w:eastAsia="en-US"/>
              </w:rPr>
              <w:t xml:space="preserve"> </w:t>
            </w:r>
          </w:p>
          <w:p w:rsidR="0046701A" w:rsidRPr="00B8676F" w:rsidRDefault="00ED6BD3" w:rsidP="0046701A">
            <w:pPr>
              <w:pStyle w:val="ListParagraph"/>
              <w:numPr>
                <w:ilvl w:val="0"/>
                <w:numId w:val="42"/>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a</w:t>
            </w:r>
            <w:r w:rsidR="0046701A" w:rsidRPr="00B8676F">
              <w:rPr>
                <w:rFonts w:eastAsiaTheme="minorHAnsi" w:cs="Arial"/>
                <w:sz w:val="22"/>
                <w:szCs w:val="22"/>
                <w:lang w:eastAsia="en-US"/>
              </w:rPr>
              <w:t xml:space="preserve"> third dose of 0.5ml at least three months after the second dose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All three doses should ideally be given within a 12-month period. If the course is interrupted, it should be resumed but not repeated, ideally allowing the appropriate interval between the remaining doses.</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Whenever possible, immunisations for all individuals</w:t>
            </w:r>
            <w:r w:rsidR="00AD7D14" w:rsidRPr="00B8676F">
              <w:rPr>
                <w:rFonts w:eastAsiaTheme="minorHAnsi" w:cs="Arial"/>
                <w:sz w:val="22"/>
                <w:szCs w:val="22"/>
                <w:lang w:eastAsia="en-US"/>
              </w:rPr>
              <w:t xml:space="preserve"> on the three dose schedule</w:t>
            </w:r>
            <w:r w:rsidRPr="00B8676F">
              <w:rPr>
                <w:rFonts w:eastAsiaTheme="minorHAnsi" w:cs="Arial"/>
                <w:sz w:val="22"/>
                <w:szCs w:val="22"/>
                <w:lang w:eastAsia="en-US"/>
              </w:rPr>
              <w:t xml:space="preserve"> should follow the recommended 0, 1, 4-6 month schedule. There is no clinical data on whether the interval between doses two and three can be reduced below three months. Where the second dose is given late and there is a high likelihood that the individual will not return for a third dose after three months or if, for practical reasons, it is not possible to schedule a third dose within this time-frame, then a third dose can be given at least one month after the second dose. </w:t>
            </w:r>
          </w:p>
          <w:p w:rsidR="0046701A" w:rsidRPr="00B8676F" w:rsidRDefault="0046701A" w:rsidP="0046701A">
            <w:pPr>
              <w:spacing w:before="120" w:after="60"/>
              <w:rPr>
                <w:rFonts w:eastAsiaTheme="minorHAnsi" w:cs="Arial"/>
                <w:b/>
                <w:sz w:val="22"/>
                <w:szCs w:val="22"/>
                <w:lang w:eastAsia="en-US"/>
              </w:rPr>
            </w:pPr>
            <w:r w:rsidRPr="00B8676F">
              <w:rPr>
                <w:rFonts w:eastAsiaTheme="minorHAnsi" w:cs="Arial"/>
                <w:b/>
                <w:sz w:val="22"/>
                <w:szCs w:val="22"/>
                <w:lang w:eastAsia="en-US"/>
              </w:rPr>
              <w:t>Vaccination of females with unknown or incomplete vaccination status</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 xml:space="preserve">Unimmunised </w:t>
            </w:r>
            <w:r w:rsidR="000C525D" w:rsidRPr="00B8676F">
              <w:rPr>
                <w:rFonts w:eastAsiaTheme="minorHAnsi" w:cs="Arial"/>
                <w:sz w:val="22"/>
                <w:szCs w:val="22"/>
                <w:lang w:eastAsia="en-US"/>
              </w:rPr>
              <w:t xml:space="preserve">females </w:t>
            </w:r>
            <w:r w:rsidRPr="00B8676F">
              <w:rPr>
                <w:rFonts w:eastAsiaTheme="minorHAnsi" w:cs="Arial"/>
                <w:sz w:val="22"/>
                <w:szCs w:val="22"/>
                <w:lang w:eastAsia="en-US"/>
              </w:rPr>
              <w:t>aged 12 years to under 18 years of age should be vaccinated in accordance with the schedules above.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A female who has started but not completed an HPV immunisation schedule should complete the vaccination course.</w:t>
            </w:r>
          </w:p>
          <w:p w:rsidR="0046701A" w:rsidRPr="00B8676F" w:rsidRDefault="0046701A" w:rsidP="0046701A">
            <w:pPr>
              <w:spacing w:before="120" w:after="60"/>
              <w:rPr>
                <w:rFonts w:eastAsiaTheme="minorHAnsi" w:cs="Arial"/>
                <w:b/>
                <w:sz w:val="22"/>
                <w:szCs w:val="22"/>
                <w:lang w:eastAsia="en-US"/>
              </w:rPr>
            </w:pPr>
            <w:r w:rsidRPr="00B8676F">
              <w:rPr>
                <w:rFonts w:eastAsiaTheme="minorHAnsi" w:cs="Arial"/>
                <w:b/>
                <w:sz w:val="22"/>
                <w:szCs w:val="22"/>
                <w:lang w:eastAsia="en-US"/>
              </w:rPr>
              <w:t>Previous incomplete vaccination with Cervarix</w:t>
            </w:r>
            <w:r w:rsidRPr="00B8676F">
              <w:rPr>
                <w:rFonts w:eastAsiaTheme="minorHAnsi" w:cs="Arial"/>
                <w:b/>
                <w:sz w:val="22"/>
                <w:szCs w:val="22"/>
                <w:vertAlign w:val="superscript"/>
                <w:lang w:eastAsia="en-US"/>
              </w:rPr>
              <w:t>®</w:t>
            </w:r>
            <w:r w:rsidRPr="00B8676F">
              <w:rPr>
                <w:rFonts w:eastAsiaTheme="minorHAnsi" w:cs="Arial"/>
                <w:b/>
                <w:sz w:val="22"/>
                <w:szCs w:val="22"/>
                <w:lang w:eastAsia="en-US"/>
              </w:rPr>
              <w:t xml:space="preserve"> </w:t>
            </w:r>
          </w:p>
          <w:p w:rsidR="0046701A" w:rsidRPr="00B8676F" w:rsidRDefault="0046701A" w:rsidP="00B8676F">
            <w:pPr>
              <w:overflowPunct/>
              <w:spacing w:after="120"/>
              <w:textAlignment w:val="auto"/>
              <w:rPr>
                <w:rFonts w:eastAsiaTheme="minorHAnsi" w:cs="Arial"/>
                <w:color w:val="000000"/>
                <w:sz w:val="22"/>
                <w:szCs w:val="22"/>
                <w:lang w:eastAsia="en-US"/>
              </w:rPr>
            </w:pPr>
            <w:r w:rsidRPr="00B8676F">
              <w:rPr>
                <w:rFonts w:eastAsiaTheme="minorHAnsi" w:cs="Arial"/>
                <w:color w:val="000000"/>
                <w:sz w:val="22"/>
                <w:szCs w:val="22"/>
                <w:lang w:eastAsia="en-US"/>
              </w:rPr>
              <w:t xml:space="preserve">For </w:t>
            </w:r>
            <w:r w:rsidR="000C525D" w:rsidRPr="00B8676F">
              <w:rPr>
                <w:rFonts w:eastAsiaTheme="minorHAnsi" w:cs="Arial"/>
                <w:color w:val="000000"/>
                <w:sz w:val="22"/>
                <w:szCs w:val="22"/>
                <w:lang w:eastAsia="en-US"/>
              </w:rPr>
              <w:t xml:space="preserve">females </w:t>
            </w:r>
            <w:r w:rsidRPr="00B8676F">
              <w:rPr>
                <w:rFonts w:eastAsiaTheme="minorHAnsi" w:cs="Arial"/>
                <w:color w:val="000000"/>
                <w:sz w:val="22"/>
                <w:szCs w:val="22"/>
                <w:lang w:eastAsia="en-US"/>
              </w:rPr>
              <w:t>who started the schedule with Cervarix</w:t>
            </w:r>
            <w:r w:rsidRPr="00B8676F">
              <w:rPr>
                <w:rFonts w:eastAsiaTheme="minorHAnsi" w:cs="Arial"/>
                <w:color w:val="000000"/>
                <w:sz w:val="22"/>
                <w:szCs w:val="22"/>
                <w:vertAlign w:val="superscript"/>
                <w:lang w:eastAsia="en-US"/>
              </w:rPr>
              <w:t>®</w:t>
            </w:r>
            <w:r w:rsidRPr="00B8676F">
              <w:rPr>
                <w:rFonts w:eastAsiaTheme="minorHAnsi" w:cs="Arial"/>
                <w:color w:val="000000"/>
                <w:sz w:val="22"/>
                <w:szCs w:val="22"/>
                <w:lang w:eastAsia="en-US"/>
              </w:rPr>
              <w:t>, but did not complete the vaccination course, the course can be completed with Gardasil</w:t>
            </w:r>
            <w:r w:rsidRPr="00B8676F">
              <w:rPr>
                <w:rFonts w:eastAsiaTheme="minorHAnsi" w:cs="Arial"/>
                <w:color w:val="000000"/>
                <w:sz w:val="22"/>
                <w:szCs w:val="22"/>
                <w:vertAlign w:val="superscript"/>
                <w:lang w:eastAsia="en-US"/>
              </w:rPr>
              <w:t>®</w:t>
            </w:r>
            <w:r w:rsidRPr="00B8676F">
              <w:rPr>
                <w:rFonts w:eastAsiaTheme="minorHAnsi" w:cs="Arial"/>
                <w:color w:val="000000"/>
                <w:sz w:val="22"/>
                <w:szCs w:val="22"/>
                <w:lang w:eastAsia="en-US"/>
              </w:rPr>
              <w:t xml:space="preserve">. The course should be completed according to the vaccination schedules above depending on the age of the girl when she received the first dose and whether 1 or 2 doses have already been given. </w:t>
            </w:r>
          </w:p>
        </w:tc>
      </w:tr>
      <w:tr w:rsidR="0046701A" w:rsidRPr="00D06525" w:rsidTr="00B8676F">
        <w:tc>
          <w:tcPr>
            <w:tcW w:w="2835" w:type="dxa"/>
            <w:tcBorders>
              <w:bottom w:val="single" w:sz="4" w:space="0" w:color="auto"/>
            </w:tcBorders>
          </w:tcPr>
          <w:p w:rsidR="0046701A" w:rsidRPr="008F78BA" w:rsidRDefault="0046701A" w:rsidP="0046701A">
            <w:pPr>
              <w:spacing w:before="120" w:after="120"/>
              <w:rPr>
                <w:rFonts w:cs="Arial"/>
                <w:b/>
                <w:sz w:val="22"/>
                <w:szCs w:val="22"/>
              </w:rPr>
            </w:pPr>
            <w:r w:rsidRPr="008F78BA">
              <w:rPr>
                <w:rFonts w:cs="Arial"/>
                <w:b/>
                <w:sz w:val="22"/>
                <w:szCs w:val="22"/>
              </w:rPr>
              <w:t>Duration of treatment</w:t>
            </w:r>
          </w:p>
        </w:tc>
        <w:tc>
          <w:tcPr>
            <w:tcW w:w="7088" w:type="dxa"/>
            <w:tcBorders>
              <w:bottom w:val="single" w:sz="4" w:space="0" w:color="auto"/>
            </w:tcBorders>
          </w:tcPr>
          <w:p w:rsidR="0046701A" w:rsidRPr="008F78BA" w:rsidRDefault="0046701A" w:rsidP="00745227">
            <w:pPr>
              <w:spacing w:before="120" w:after="120"/>
              <w:rPr>
                <w:sz w:val="22"/>
                <w:szCs w:val="22"/>
              </w:rPr>
            </w:pPr>
            <w:r w:rsidRPr="008F78BA">
              <w:rPr>
                <w:sz w:val="22"/>
                <w:szCs w:val="22"/>
              </w:rPr>
              <w:t xml:space="preserve">A two or three dose course (see </w:t>
            </w:r>
            <w:hyperlink w:anchor="DoseAndFrequency" w:history="1">
              <w:r w:rsidR="009A2533" w:rsidRPr="002F07F3">
                <w:rPr>
                  <w:rStyle w:val="Hyperlink"/>
                  <w:sz w:val="22"/>
                  <w:szCs w:val="22"/>
                </w:rPr>
                <w:t>D</w:t>
              </w:r>
              <w:r w:rsidRPr="002F07F3">
                <w:rPr>
                  <w:rStyle w:val="Hyperlink"/>
                  <w:sz w:val="22"/>
                  <w:szCs w:val="22"/>
                </w:rPr>
                <w:t xml:space="preserve">ose </w:t>
              </w:r>
              <w:r w:rsidR="00842897" w:rsidRPr="002F07F3">
                <w:rPr>
                  <w:rStyle w:val="Hyperlink"/>
                  <w:sz w:val="22"/>
                  <w:szCs w:val="22"/>
                </w:rPr>
                <w:t>and Frequency</w:t>
              </w:r>
            </w:hyperlink>
            <w:r w:rsidR="00842897">
              <w:rPr>
                <w:sz w:val="22"/>
                <w:szCs w:val="22"/>
              </w:rPr>
              <w:t xml:space="preserve"> </w:t>
            </w:r>
            <w:r w:rsidRPr="008F78BA">
              <w:rPr>
                <w:sz w:val="22"/>
                <w:szCs w:val="22"/>
              </w:rPr>
              <w:t>section above)</w:t>
            </w:r>
          </w:p>
        </w:tc>
      </w:tr>
      <w:tr w:rsidR="0046701A" w:rsidRPr="00D06525" w:rsidTr="00B8676F">
        <w:tc>
          <w:tcPr>
            <w:tcW w:w="2835" w:type="dxa"/>
            <w:tcBorders>
              <w:bottom w:val="single" w:sz="4" w:space="0" w:color="auto"/>
            </w:tcBorders>
          </w:tcPr>
          <w:p w:rsidR="0046701A" w:rsidRPr="008F78BA" w:rsidRDefault="0046701A" w:rsidP="0046701A">
            <w:pPr>
              <w:spacing w:before="120" w:after="120"/>
              <w:rPr>
                <w:rFonts w:cs="Arial"/>
                <w:b/>
                <w:sz w:val="22"/>
                <w:szCs w:val="22"/>
              </w:rPr>
            </w:pPr>
            <w:r w:rsidRPr="008F78BA">
              <w:rPr>
                <w:rFonts w:cs="Arial"/>
                <w:b/>
                <w:sz w:val="22"/>
                <w:szCs w:val="22"/>
              </w:rPr>
              <w:lastRenderedPageBreak/>
              <w:t>Quantity to be supplied / administered</w:t>
            </w:r>
          </w:p>
        </w:tc>
        <w:tc>
          <w:tcPr>
            <w:tcW w:w="7088" w:type="dxa"/>
            <w:tcBorders>
              <w:bottom w:val="single" w:sz="4" w:space="0" w:color="auto"/>
            </w:tcBorders>
          </w:tcPr>
          <w:p w:rsidR="0046701A" w:rsidRPr="008F78BA" w:rsidRDefault="0046701A" w:rsidP="0046701A">
            <w:pPr>
              <w:spacing w:before="120" w:after="120"/>
              <w:rPr>
                <w:sz w:val="22"/>
                <w:szCs w:val="22"/>
              </w:rPr>
            </w:pPr>
            <w:r w:rsidRPr="008F78BA">
              <w:rPr>
                <w:sz w:val="22"/>
                <w:szCs w:val="22"/>
              </w:rPr>
              <w:t>Single 0.5ml dose per administration.</w:t>
            </w:r>
          </w:p>
        </w:tc>
      </w:tr>
      <w:tr w:rsidR="0046701A" w:rsidRPr="00D06525" w:rsidTr="00B8676F">
        <w:tc>
          <w:tcPr>
            <w:tcW w:w="2835" w:type="dxa"/>
            <w:tcBorders>
              <w:bottom w:val="single" w:sz="4" w:space="0" w:color="auto"/>
            </w:tcBorders>
          </w:tcPr>
          <w:p w:rsidR="0046701A" w:rsidRPr="00E85B34" w:rsidRDefault="0046701A" w:rsidP="0046701A">
            <w:pPr>
              <w:spacing w:before="120" w:after="120"/>
              <w:rPr>
                <w:rFonts w:cs="Arial"/>
                <w:sz w:val="22"/>
                <w:szCs w:val="22"/>
              </w:rPr>
            </w:pPr>
            <w:r w:rsidRPr="00E85B34">
              <w:br w:type="page"/>
            </w:r>
            <w:r w:rsidRPr="00E85B34">
              <w:rPr>
                <w:rFonts w:cs="Arial"/>
                <w:b/>
                <w:sz w:val="22"/>
                <w:szCs w:val="22"/>
              </w:rPr>
              <w:t>Supplies</w:t>
            </w:r>
          </w:p>
          <w:p w:rsidR="0046701A" w:rsidRPr="00E85B34" w:rsidRDefault="0046701A" w:rsidP="0046701A">
            <w:pPr>
              <w:spacing w:before="120" w:after="120"/>
              <w:rPr>
                <w:rFonts w:cs="Arial"/>
                <w:sz w:val="22"/>
                <w:szCs w:val="22"/>
              </w:rPr>
            </w:pPr>
          </w:p>
        </w:tc>
        <w:tc>
          <w:tcPr>
            <w:tcW w:w="7088" w:type="dxa"/>
            <w:tcBorders>
              <w:bottom w:val="single" w:sz="4" w:space="0" w:color="auto"/>
            </w:tcBorders>
          </w:tcPr>
          <w:p w:rsidR="0046701A" w:rsidRDefault="0046701A" w:rsidP="0046701A">
            <w:pPr>
              <w:spacing w:before="120" w:after="120"/>
              <w:rPr>
                <w:rFonts w:cs="Arial"/>
                <w:sz w:val="22"/>
                <w:szCs w:val="22"/>
              </w:rPr>
            </w:pPr>
            <w:r w:rsidRPr="00E85B34">
              <w:rPr>
                <w:rFonts w:cs="Arial"/>
                <w:sz w:val="22"/>
                <w:szCs w:val="22"/>
              </w:rPr>
              <w:t>Centrally purchased vaccines for the national immunisation programme for the NHS can only be ordered via ImmForm. Vaccines for use for the national immunisation programme are provided free of charge.</w:t>
            </w:r>
          </w:p>
          <w:p w:rsidR="002F07F3" w:rsidRPr="00E85B34" w:rsidRDefault="002F07F3" w:rsidP="0046701A">
            <w:pPr>
              <w:spacing w:before="120" w:after="120"/>
              <w:rPr>
                <w:rFonts w:cs="TimesNewRomanPS"/>
                <w:sz w:val="22"/>
                <w:szCs w:val="22"/>
              </w:rPr>
            </w:pPr>
            <w:r w:rsidRPr="006805F2">
              <w:rPr>
                <w:rFonts w:cs="Arial"/>
                <w:sz w:val="22"/>
                <w:szCs w:val="22"/>
              </w:rPr>
              <w:t xml:space="preserve">Protocols for the ordering, storage and handling </w:t>
            </w:r>
            <w:r w:rsidRPr="00BC3BD5">
              <w:rPr>
                <w:rFonts w:cs="Arial"/>
                <w:sz w:val="22"/>
                <w:szCs w:val="22"/>
              </w:rPr>
              <w:t xml:space="preserve">of vaccines should be followed to prevent vaccine wastage (see </w:t>
            </w:r>
            <w:hyperlink r:id="rId27" w:history="1">
              <w:r w:rsidRPr="00BC3BD5">
                <w:rPr>
                  <w:rStyle w:val="Hyperlink"/>
                  <w:rFonts w:cs="Arial"/>
                  <w:sz w:val="22"/>
                  <w:szCs w:val="22"/>
                </w:rPr>
                <w:t>protocol for ordering storage and handling of vaccines</w:t>
              </w:r>
            </w:hyperlink>
            <w:r w:rsidRPr="00BC3BD5">
              <w:rPr>
                <w:rStyle w:val="Hyperlink"/>
                <w:rFonts w:cs="Arial"/>
                <w:color w:val="auto"/>
                <w:sz w:val="22"/>
                <w:szCs w:val="22"/>
                <w:u w:val="none"/>
              </w:rPr>
              <w:t xml:space="preserve"> and Green Book </w:t>
            </w:r>
            <w:hyperlink r:id="rId28" w:history="1">
              <w:r w:rsidRPr="00BC3BD5">
                <w:rPr>
                  <w:rStyle w:val="Hyperlink"/>
                  <w:rFonts w:cs="Arial"/>
                  <w:sz w:val="22"/>
                  <w:szCs w:val="22"/>
                </w:rPr>
                <w:t>Chapter 3</w:t>
              </w:r>
            </w:hyperlink>
            <w:r w:rsidRPr="00BC3BD5">
              <w:rPr>
                <w:rFonts w:cs="Arial"/>
                <w:sz w:val="22"/>
                <w:szCs w:val="22"/>
              </w:rPr>
              <w:t>).</w:t>
            </w:r>
          </w:p>
        </w:tc>
      </w:tr>
      <w:tr w:rsidR="0046701A" w:rsidRPr="00D06525" w:rsidTr="00B8676F">
        <w:tc>
          <w:tcPr>
            <w:tcW w:w="2835" w:type="dxa"/>
            <w:tcBorders>
              <w:bottom w:val="single" w:sz="4" w:space="0" w:color="auto"/>
            </w:tcBorders>
          </w:tcPr>
          <w:p w:rsidR="0046701A" w:rsidRPr="00D06525" w:rsidRDefault="0046701A" w:rsidP="0046701A">
            <w:pPr>
              <w:spacing w:before="120" w:after="120"/>
              <w:rPr>
                <w:rFonts w:cs="Arial"/>
                <w:b/>
                <w:color w:val="FF0000"/>
                <w:sz w:val="22"/>
                <w:szCs w:val="22"/>
              </w:rPr>
            </w:pPr>
            <w:bookmarkStart w:id="6" w:name="Storage"/>
            <w:bookmarkEnd w:id="6"/>
            <w:r w:rsidRPr="00ED7DDF">
              <w:rPr>
                <w:rFonts w:cs="Arial"/>
                <w:b/>
                <w:sz w:val="22"/>
                <w:szCs w:val="22"/>
              </w:rPr>
              <w:t>Storage</w:t>
            </w:r>
          </w:p>
        </w:tc>
        <w:tc>
          <w:tcPr>
            <w:tcW w:w="7088" w:type="dxa"/>
            <w:tcBorders>
              <w:bottom w:val="single" w:sz="4" w:space="0" w:color="auto"/>
            </w:tcBorders>
          </w:tcPr>
          <w:p w:rsidR="0046701A" w:rsidRPr="00FB2594" w:rsidRDefault="0046701A" w:rsidP="0046701A">
            <w:pPr>
              <w:pStyle w:val="Header"/>
              <w:tabs>
                <w:tab w:val="clear" w:pos="4153"/>
                <w:tab w:val="clear" w:pos="8306"/>
              </w:tabs>
              <w:spacing w:before="120"/>
              <w:rPr>
                <w:rFonts w:ascii="Arial" w:hAnsi="Arial" w:cs="Arial"/>
                <w:sz w:val="22"/>
                <w:szCs w:val="22"/>
              </w:rPr>
            </w:pPr>
            <w:r w:rsidRPr="00FB2594">
              <w:rPr>
                <w:rFonts w:ascii="Arial" w:hAnsi="Arial" w:cs="Arial"/>
                <w:sz w:val="22"/>
                <w:szCs w:val="22"/>
              </w:rPr>
              <w:t>Store at</w:t>
            </w:r>
            <w:r w:rsidR="002F07F3" w:rsidRPr="00FB2594">
              <w:rPr>
                <w:rFonts w:ascii="Arial" w:hAnsi="Arial" w:cs="Arial"/>
                <w:sz w:val="22"/>
                <w:szCs w:val="22"/>
              </w:rPr>
              <w:t xml:space="preserve"> between</w:t>
            </w:r>
            <w:r w:rsidRPr="00FB2594">
              <w:rPr>
                <w:rFonts w:ascii="Arial" w:hAnsi="Arial" w:cs="Arial"/>
                <w:sz w:val="22"/>
                <w:szCs w:val="22"/>
              </w:rPr>
              <w:t xml:space="preserve"> </w:t>
            </w:r>
            <w:r w:rsidRPr="00FB2594">
              <w:rPr>
                <w:rFonts w:ascii="Arial" w:hAnsi="Arial" w:cs="Arial"/>
                <w:spacing w:val="-2"/>
                <w:sz w:val="22"/>
                <w:szCs w:val="22"/>
              </w:rPr>
              <w:t>+2°</w:t>
            </w:r>
            <w:r w:rsidRPr="00FB2594">
              <w:rPr>
                <w:rFonts w:ascii="Arial" w:hAnsi="Arial" w:cs="Arial"/>
                <w:sz w:val="22"/>
                <w:szCs w:val="22"/>
              </w:rPr>
              <w:t xml:space="preserve">C </w:t>
            </w:r>
            <w:r w:rsidRPr="00FB2594">
              <w:rPr>
                <w:rFonts w:ascii="Arial" w:hAnsi="Arial" w:cs="Arial"/>
                <w:spacing w:val="-2"/>
                <w:sz w:val="22"/>
                <w:szCs w:val="22"/>
              </w:rPr>
              <w:t>t</w:t>
            </w:r>
            <w:r w:rsidRPr="00FB2594">
              <w:rPr>
                <w:rFonts w:ascii="Arial" w:hAnsi="Arial" w:cs="Arial"/>
                <w:sz w:val="22"/>
                <w:szCs w:val="22"/>
              </w:rPr>
              <w:t xml:space="preserve">o </w:t>
            </w:r>
            <w:r w:rsidRPr="00FB2594">
              <w:rPr>
                <w:rFonts w:ascii="Arial" w:hAnsi="Arial" w:cs="Arial"/>
                <w:spacing w:val="-2"/>
                <w:sz w:val="22"/>
                <w:szCs w:val="22"/>
              </w:rPr>
              <w:t>+8°</w:t>
            </w:r>
            <w:r w:rsidRPr="00FB2594">
              <w:rPr>
                <w:rFonts w:ascii="Arial" w:hAnsi="Arial" w:cs="Arial"/>
                <w:sz w:val="22"/>
                <w:szCs w:val="22"/>
              </w:rPr>
              <w:t xml:space="preserve">C. </w:t>
            </w:r>
          </w:p>
          <w:p w:rsidR="0046701A" w:rsidRPr="00FB2594" w:rsidRDefault="0046701A" w:rsidP="0046701A">
            <w:pPr>
              <w:pStyle w:val="Header"/>
              <w:tabs>
                <w:tab w:val="clear" w:pos="4153"/>
                <w:tab w:val="clear" w:pos="8306"/>
              </w:tabs>
              <w:rPr>
                <w:rFonts w:ascii="Arial" w:hAnsi="Arial" w:cs="Arial"/>
                <w:sz w:val="22"/>
                <w:szCs w:val="22"/>
              </w:rPr>
            </w:pPr>
            <w:r w:rsidRPr="00FB2594">
              <w:rPr>
                <w:rFonts w:ascii="Arial" w:hAnsi="Arial" w:cs="Arial"/>
                <w:sz w:val="22"/>
                <w:szCs w:val="22"/>
              </w:rPr>
              <w:t xml:space="preserve">Store in original packaging in order to protect from light. </w:t>
            </w:r>
          </w:p>
          <w:p w:rsidR="0046701A" w:rsidRPr="00FB2594" w:rsidRDefault="0046701A" w:rsidP="0046701A">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Do not freeze.</w:t>
            </w:r>
          </w:p>
          <w:p w:rsidR="002F07F3" w:rsidRPr="00FB2594" w:rsidRDefault="002F07F3" w:rsidP="002F07F3">
            <w:pPr>
              <w:overflowPunct/>
              <w:autoSpaceDE/>
              <w:autoSpaceDN/>
              <w:adjustRightInd/>
              <w:spacing w:after="143"/>
              <w:textAlignment w:val="auto"/>
              <w:rPr>
                <w:rFonts w:cs="Arial"/>
                <w:sz w:val="22"/>
                <w:szCs w:val="22"/>
              </w:rPr>
            </w:pPr>
            <w:r w:rsidRPr="00FB2594">
              <w:rPr>
                <w:rFonts w:cs="Arial"/>
                <w:sz w:val="22"/>
                <w:szCs w:val="22"/>
              </w:rPr>
              <w:t>Gardasil</w:t>
            </w:r>
            <w:r w:rsidR="00F75142" w:rsidRPr="00BC4017">
              <w:rPr>
                <w:rFonts w:eastAsiaTheme="minorHAnsi" w:cs="Arial"/>
                <w:sz w:val="22"/>
                <w:szCs w:val="22"/>
                <w:vertAlign w:val="superscript"/>
                <w:lang w:eastAsia="en-US"/>
              </w:rPr>
              <w:t>®</w:t>
            </w:r>
            <w:r w:rsidRPr="00FB2594">
              <w:rPr>
                <w:rFonts w:cs="Arial"/>
                <w:sz w:val="22"/>
                <w:szCs w:val="22"/>
              </w:rPr>
              <w:t xml:space="preserve"> should be administered as soon as possible after being removed from the </w:t>
            </w:r>
            <w:r w:rsidR="00FB2594" w:rsidRPr="00FB2594">
              <w:rPr>
                <w:rFonts w:cs="Arial"/>
                <w:sz w:val="22"/>
                <w:szCs w:val="22"/>
              </w:rPr>
              <w:t>cold-chain</w:t>
            </w:r>
            <w:r w:rsidRPr="00FB2594">
              <w:rPr>
                <w:rFonts w:cs="Arial"/>
                <w:sz w:val="22"/>
                <w:szCs w:val="22"/>
              </w:rPr>
              <w:t>.</w:t>
            </w:r>
          </w:p>
          <w:p w:rsidR="002F07F3" w:rsidRPr="00FB2594" w:rsidRDefault="002F07F3" w:rsidP="002F07F3">
            <w:pPr>
              <w:overflowPunct/>
              <w:autoSpaceDE/>
              <w:autoSpaceDN/>
              <w:adjustRightInd/>
              <w:spacing w:after="143"/>
              <w:textAlignment w:val="auto"/>
              <w:rPr>
                <w:rFonts w:cs="Arial"/>
                <w:sz w:val="22"/>
                <w:szCs w:val="22"/>
              </w:rPr>
            </w:pPr>
            <w:r w:rsidRPr="00FB2594">
              <w:rPr>
                <w:rFonts w:cs="Arial"/>
                <w:sz w:val="22"/>
                <w:szCs w:val="22"/>
              </w:rPr>
              <w:t xml:space="preserve">Data from stability studies demonstrate that the vaccine components are stable for 72 hours when stored at temperatures from </w:t>
            </w:r>
            <w:r w:rsidR="00D5700A" w:rsidRPr="00FB2594">
              <w:rPr>
                <w:rFonts w:cs="Arial"/>
                <w:sz w:val="22"/>
                <w:szCs w:val="22"/>
              </w:rPr>
              <w:t>+</w:t>
            </w:r>
            <w:r w:rsidRPr="00FB2594">
              <w:rPr>
                <w:rFonts w:cs="Arial"/>
                <w:sz w:val="22"/>
                <w:szCs w:val="22"/>
              </w:rPr>
              <w:t xml:space="preserve">8°C to </w:t>
            </w:r>
            <w:r w:rsidR="00D5700A" w:rsidRPr="00FB2594">
              <w:rPr>
                <w:rFonts w:cs="Arial"/>
                <w:sz w:val="22"/>
                <w:szCs w:val="22"/>
              </w:rPr>
              <w:t>+</w:t>
            </w:r>
            <w:r w:rsidRPr="00FB2594">
              <w:rPr>
                <w:rFonts w:cs="Arial"/>
                <w:sz w:val="22"/>
                <w:szCs w:val="22"/>
              </w:rPr>
              <w:t>42°C. These data are intended to guide healthcare professionals in case of temporary temperature excursion only.</w:t>
            </w:r>
            <w:r w:rsidR="00D5700A" w:rsidRPr="00FB2594">
              <w:rPr>
                <w:rFonts w:cs="Arial"/>
                <w:sz w:val="22"/>
                <w:szCs w:val="22"/>
              </w:rPr>
              <w:t xml:space="preserve"> This PGD may be used to administer vaccine that has not exceeded these stability data parameters.</w:t>
            </w:r>
          </w:p>
          <w:p w:rsidR="002F07F3" w:rsidRPr="00FB2594" w:rsidRDefault="002F07F3" w:rsidP="0046701A">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29" w:history="1">
              <w:r w:rsidRPr="00FB2594">
                <w:rPr>
                  <w:rStyle w:val="Hyperlink"/>
                  <w:rFonts w:ascii="Arial" w:hAnsi="Arial" w:cs="Arial"/>
                  <w:sz w:val="22"/>
                  <w:szCs w:val="22"/>
                </w:rPr>
                <w:t>PHE Vaccine Incident Guidance</w:t>
              </w:r>
            </w:hyperlink>
            <w:r w:rsidRPr="00FB2594">
              <w:rPr>
                <w:rFonts w:ascii="Arial" w:hAnsi="Arial" w:cs="Arial"/>
                <w:sz w:val="22"/>
                <w:szCs w:val="22"/>
              </w:rPr>
              <w:t>.</w:t>
            </w:r>
          </w:p>
        </w:tc>
      </w:tr>
      <w:tr w:rsidR="0046701A" w:rsidRPr="00D06525" w:rsidTr="00B8676F">
        <w:tc>
          <w:tcPr>
            <w:tcW w:w="2835" w:type="dxa"/>
            <w:tcBorders>
              <w:bottom w:val="single" w:sz="4" w:space="0" w:color="auto"/>
            </w:tcBorders>
          </w:tcPr>
          <w:p w:rsidR="0046701A" w:rsidRPr="00E85B34" w:rsidRDefault="0046701A" w:rsidP="0046701A">
            <w:pPr>
              <w:spacing w:before="120" w:after="120"/>
              <w:rPr>
                <w:rFonts w:cs="Arial"/>
                <w:b/>
                <w:sz w:val="22"/>
                <w:szCs w:val="22"/>
              </w:rPr>
            </w:pPr>
            <w:r w:rsidRPr="00E85B34">
              <w:br w:type="page"/>
            </w:r>
            <w:r w:rsidRPr="00E85B34">
              <w:rPr>
                <w:rFonts w:cs="Arial"/>
                <w:b/>
                <w:sz w:val="22"/>
                <w:szCs w:val="22"/>
              </w:rPr>
              <w:t>Disposal</w:t>
            </w:r>
          </w:p>
        </w:tc>
        <w:tc>
          <w:tcPr>
            <w:tcW w:w="7088" w:type="dxa"/>
            <w:tcBorders>
              <w:bottom w:val="single" w:sz="4" w:space="0" w:color="auto"/>
            </w:tcBorders>
          </w:tcPr>
          <w:p w:rsidR="0046701A" w:rsidRPr="00E85B34" w:rsidRDefault="0046701A" w:rsidP="00B00C0A">
            <w:pPr>
              <w:spacing w:before="120" w:after="120"/>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at the end of a session by sealing in a </w:t>
            </w:r>
            <w:r w:rsidR="00B00C0A">
              <w:rPr>
                <w:rFonts w:cs="Arial"/>
                <w:sz w:val="22"/>
                <w:szCs w:val="22"/>
              </w:rPr>
              <w:t>UN-approved</w:t>
            </w:r>
            <w:r w:rsidRPr="00E85B34">
              <w:rPr>
                <w:rFonts w:cs="Arial"/>
                <w:sz w:val="22"/>
                <w:szCs w:val="22"/>
              </w:rPr>
              <w:t xml:space="preserve"> puncture-resistant ‘sharps’ box, according to local authority regulations and guidance in the </w:t>
            </w:r>
            <w:hyperlink r:id="rId30"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46701A" w:rsidRPr="00D06525" w:rsidTr="00B8676F">
        <w:tc>
          <w:tcPr>
            <w:tcW w:w="2835" w:type="dxa"/>
            <w:tcBorders>
              <w:bottom w:val="single" w:sz="4" w:space="0" w:color="auto"/>
            </w:tcBorders>
          </w:tcPr>
          <w:p w:rsidR="0046701A" w:rsidRPr="00E85B34" w:rsidRDefault="0046701A" w:rsidP="00B00C0A">
            <w:pPr>
              <w:spacing w:before="120" w:after="120"/>
              <w:rPr>
                <w:rFonts w:ascii="Times New Roman" w:hAnsi="Times New Roman" w:cs="Arial"/>
                <w:b/>
                <w:sz w:val="22"/>
                <w:szCs w:val="22"/>
                <w:vertAlign w:val="superscript"/>
              </w:rPr>
            </w:pPr>
            <w:r w:rsidRPr="00E85B34">
              <w:rPr>
                <w:rFonts w:cs="Arial"/>
                <w:b/>
                <w:sz w:val="22"/>
                <w:szCs w:val="22"/>
              </w:rPr>
              <w:t>Drug interactions</w:t>
            </w:r>
          </w:p>
        </w:tc>
        <w:tc>
          <w:tcPr>
            <w:tcW w:w="7088" w:type="dxa"/>
            <w:tcBorders>
              <w:bottom w:val="single" w:sz="4" w:space="0" w:color="auto"/>
            </w:tcBorders>
          </w:tcPr>
          <w:p w:rsidR="0046701A" w:rsidRPr="00B00C0A" w:rsidRDefault="0046701A" w:rsidP="0046701A">
            <w:pPr>
              <w:shd w:val="clear" w:color="auto" w:fill="FFFFFF"/>
              <w:overflowPunct/>
              <w:autoSpaceDE/>
              <w:autoSpaceDN/>
              <w:adjustRightInd/>
              <w:spacing w:before="120" w:after="120"/>
              <w:textAlignment w:val="auto"/>
              <w:rPr>
                <w:rFonts w:cs="Arial"/>
                <w:sz w:val="22"/>
                <w:szCs w:val="22"/>
                <w:lang w:val="en"/>
              </w:rPr>
            </w:pPr>
            <w:r w:rsidRPr="00B00C0A">
              <w:rPr>
                <w:rFonts w:cs="Arial"/>
                <w:sz w:val="22"/>
                <w:szCs w:val="22"/>
                <w:lang w:val="en"/>
              </w:rPr>
              <w:t>Immunological response may be diminished in those receiving immunosuppressive treatment.</w:t>
            </w:r>
            <w:r w:rsidR="00B00C0A" w:rsidRPr="00B00C0A">
              <w:rPr>
                <w:rFonts w:cs="Arial"/>
                <w:sz w:val="22"/>
                <w:szCs w:val="22"/>
                <w:lang w:val="en"/>
              </w:rPr>
              <w:t xml:space="preserve"> </w:t>
            </w:r>
            <w:r w:rsidR="00B00C0A" w:rsidRPr="00B00C0A">
              <w:rPr>
                <w:sz w:val="22"/>
                <w:szCs w:val="22"/>
              </w:rPr>
              <w:t>Vaccination is recommended even if the antibody response may be limited.</w:t>
            </w:r>
          </w:p>
          <w:p w:rsidR="0046701A" w:rsidRPr="00B00C0A" w:rsidRDefault="0046701A" w:rsidP="0046701A">
            <w:pPr>
              <w:shd w:val="clear" w:color="auto" w:fill="FFFFFF"/>
              <w:overflowPunct/>
              <w:autoSpaceDE/>
              <w:autoSpaceDN/>
              <w:adjustRightInd/>
              <w:spacing w:before="120" w:after="120"/>
              <w:textAlignment w:val="auto"/>
              <w:rPr>
                <w:rFonts w:cs="Arial"/>
                <w:sz w:val="22"/>
                <w:szCs w:val="22"/>
              </w:rPr>
            </w:pPr>
            <w:r w:rsidRPr="00B00C0A">
              <w:rPr>
                <w:rFonts w:cs="Arial"/>
                <w:sz w:val="22"/>
                <w:szCs w:val="22"/>
              </w:rPr>
              <w:t>May be given at the same time as other vaccines.</w:t>
            </w:r>
          </w:p>
          <w:p w:rsidR="0046701A" w:rsidRPr="00B00C0A" w:rsidRDefault="0046701A" w:rsidP="0046701A">
            <w:pPr>
              <w:shd w:val="clear" w:color="auto" w:fill="FFFFFF"/>
              <w:overflowPunct/>
              <w:autoSpaceDE/>
              <w:autoSpaceDN/>
              <w:adjustRightInd/>
              <w:spacing w:before="120" w:after="120"/>
              <w:textAlignment w:val="auto"/>
              <w:rPr>
                <w:rFonts w:eastAsiaTheme="minorHAnsi" w:cs="Arial"/>
                <w:sz w:val="22"/>
                <w:szCs w:val="22"/>
                <w:lang w:eastAsia="en-US"/>
              </w:rPr>
            </w:pPr>
            <w:r w:rsidRPr="00B00C0A">
              <w:rPr>
                <w:rFonts w:eastAsiaTheme="minorHAnsi" w:cs="Arial"/>
                <w:sz w:val="22"/>
                <w:szCs w:val="22"/>
                <w:lang w:eastAsia="en-US"/>
              </w:rPr>
              <w:t>A trend of lower anti-HPV titres has been observed when Gardasil</w:t>
            </w:r>
            <w:r w:rsidRPr="00B00C0A">
              <w:rPr>
                <w:rFonts w:eastAsiaTheme="minorHAnsi" w:cs="Arial"/>
                <w:sz w:val="22"/>
                <w:szCs w:val="22"/>
                <w:vertAlign w:val="superscript"/>
                <w:lang w:eastAsia="en-US"/>
              </w:rPr>
              <w:t>®</w:t>
            </w:r>
            <w:r w:rsidRPr="00B00C0A">
              <w:rPr>
                <w:rFonts w:eastAsiaTheme="minorHAnsi" w:cs="Arial"/>
                <w:sz w:val="22"/>
                <w:szCs w:val="22"/>
                <w:lang w:eastAsia="en-US"/>
              </w:rPr>
              <w:t xml:space="preserve"> is administered concomitantly with dTaP, dT/IPV and dTaP/IPV vaccines, though the clinical significance of this observation is unclear.</w:t>
            </w:r>
          </w:p>
          <w:p w:rsidR="00B00C0A" w:rsidRPr="00B00C0A" w:rsidRDefault="00B00C0A" w:rsidP="0046701A">
            <w:pPr>
              <w:shd w:val="clear" w:color="auto" w:fill="FFFFFF"/>
              <w:overflowPunct/>
              <w:autoSpaceDE/>
              <w:autoSpaceDN/>
              <w:adjustRightInd/>
              <w:spacing w:before="120" w:after="120"/>
              <w:textAlignment w:val="auto"/>
              <w:rPr>
                <w:rFonts w:ascii="TimesNewRomanPS" w:eastAsiaTheme="minorHAnsi" w:hAnsi="TimesNewRomanPS" w:cs="TimesNewRomanPS"/>
                <w:color w:val="000000"/>
                <w:sz w:val="22"/>
                <w:szCs w:val="22"/>
                <w:lang w:eastAsia="en-US"/>
              </w:rPr>
            </w:pPr>
            <w:r w:rsidRPr="00B00C0A">
              <w:rPr>
                <w:rFonts w:eastAsiaTheme="minorHAnsi" w:cs="Arial"/>
                <w:color w:val="000000"/>
                <w:sz w:val="22"/>
                <w:szCs w:val="22"/>
                <w:lang w:eastAsia="en-US"/>
              </w:rPr>
              <w:t xml:space="preserve">A detailed list of drug interactions is available in the SPC, which is available from the electronic Medicines Compendium website: </w:t>
            </w:r>
            <w:hyperlink r:id="rId31" w:history="1">
              <w:r w:rsidRPr="00B00C0A">
                <w:rPr>
                  <w:rStyle w:val="Hyperlink"/>
                  <w:rFonts w:eastAsiaTheme="minorHAnsi" w:cs="Arial"/>
                  <w:sz w:val="22"/>
                  <w:szCs w:val="22"/>
                  <w:lang w:eastAsia="en-US"/>
                </w:rPr>
                <w:t>www.medicines.org.uk</w:t>
              </w:r>
            </w:hyperlink>
          </w:p>
        </w:tc>
      </w:tr>
      <w:tr w:rsidR="0046701A" w:rsidRPr="00D06525" w:rsidTr="00B8676F">
        <w:tc>
          <w:tcPr>
            <w:tcW w:w="2835" w:type="dxa"/>
            <w:tcBorders>
              <w:bottom w:val="single" w:sz="4" w:space="0" w:color="auto"/>
            </w:tcBorders>
          </w:tcPr>
          <w:p w:rsidR="00B8676F" w:rsidRDefault="0046701A" w:rsidP="00B00C0A">
            <w:pPr>
              <w:spacing w:before="120" w:after="120"/>
              <w:rPr>
                <w:rFonts w:cs="Arial"/>
                <w:b/>
                <w:sz w:val="22"/>
                <w:szCs w:val="22"/>
              </w:rPr>
            </w:pPr>
            <w:r w:rsidRPr="008102A8">
              <w:rPr>
                <w:rFonts w:cs="Arial"/>
                <w:b/>
                <w:sz w:val="22"/>
                <w:szCs w:val="22"/>
              </w:rPr>
              <w:t>Identification &amp; management of adverse reactions</w:t>
            </w:r>
          </w:p>
          <w:p w:rsidR="00B8676F" w:rsidRDefault="00B8676F"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B8676F" w:rsidRPr="00B8676F" w:rsidRDefault="00B8676F" w:rsidP="00B8676F">
            <w:pPr>
              <w:spacing w:before="120" w:after="120"/>
              <w:contextualSpacing/>
              <w:rPr>
                <w:rFonts w:cs="Arial"/>
                <w:sz w:val="22"/>
                <w:szCs w:val="22"/>
              </w:rPr>
            </w:pPr>
            <w:r w:rsidRPr="00B8676F">
              <w:rPr>
                <w:rFonts w:cs="Arial"/>
                <w:sz w:val="22"/>
                <w:szCs w:val="22"/>
              </w:rPr>
              <w:t>Continued over page</w:t>
            </w:r>
          </w:p>
          <w:p w:rsidR="00B8676F" w:rsidRDefault="00B8676F" w:rsidP="00B8676F">
            <w:pPr>
              <w:spacing w:before="120" w:after="120"/>
              <w:contextualSpacing/>
              <w:rPr>
                <w:rFonts w:cs="Arial"/>
                <w:b/>
                <w:sz w:val="22"/>
                <w:szCs w:val="22"/>
              </w:rPr>
            </w:pPr>
            <w:r w:rsidRPr="008102A8">
              <w:rPr>
                <w:rFonts w:cs="Arial"/>
                <w:b/>
                <w:sz w:val="22"/>
                <w:szCs w:val="22"/>
              </w:rPr>
              <w:lastRenderedPageBreak/>
              <w:t>Identification &amp; management of adverse reactions</w:t>
            </w:r>
          </w:p>
          <w:p w:rsidR="0046701A" w:rsidRPr="00B8676F" w:rsidRDefault="00B8676F" w:rsidP="00B8676F">
            <w:pPr>
              <w:spacing w:before="120" w:after="120"/>
              <w:contextualSpacing/>
              <w:rPr>
                <w:rFonts w:cs="Arial"/>
                <w:color w:val="FF0000"/>
                <w:sz w:val="22"/>
                <w:szCs w:val="22"/>
              </w:rPr>
            </w:pPr>
            <w:r w:rsidRPr="00B8676F">
              <w:rPr>
                <w:rFonts w:cs="Arial"/>
                <w:sz w:val="22"/>
                <w:szCs w:val="22"/>
              </w:rPr>
              <w:t>(continued)</w:t>
            </w:r>
            <w:r w:rsidRPr="00B8676F" w:rsidDel="00B00C0A">
              <w:rPr>
                <w:rStyle w:val="FootnoteReference"/>
                <w:rFonts w:cs="Arial"/>
                <w:sz w:val="22"/>
                <w:szCs w:val="22"/>
              </w:rPr>
              <w:t xml:space="preserve"> </w:t>
            </w:r>
          </w:p>
        </w:tc>
        <w:tc>
          <w:tcPr>
            <w:tcW w:w="7088" w:type="dxa"/>
            <w:tcBorders>
              <w:bottom w:val="single" w:sz="4" w:space="0" w:color="auto"/>
            </w:tcBorders>
          </w:tcPr>
          <w:p w:rsidR="0046701A" w:rsidRPr="00B20D76" w:rsidRDefault="0046701A" w:rsidP="0046701A">
            <w:pPr>
              <w:spacing w:before="120" w:after="120"/>
              <w:ind w:right="34"/>
              <w:rPr>
                <w:rFonts w:cs="Arial"/>
                <w:sz w:val="22"/>
                <w:szCs w:val="22"/>
              </w:rPr>
            </w:pPr>
            <w:r w:rsidRPr="00B20D76">
              <w:rPr>
                <w:rFonts w:cs="Arial"/>
                <w:sz w:val="22"/>
                <w:szCs w:val="22"/>
              </w:rPr>
              <w:lastRenderedPageBreak/>
              <w:t xml:space="preserve">Local reactions following vaccination are very common ie pain, swelling or redness at the injection site. </w:t>
            </w:r>
          </w:p>
          <w:p w:rsidR="0046701A" w:rsidRPr="00B20D76" w:rsidRDefault="0046701A" w:rsidP="0046701A">
            <w:pPr>
              <w:pStyle w:val="CommentText"/>
              <w:spacing w:after="120"/>
              <w:rPr>
                <w:rFonts w:cs="Arial"/>
                <w:sz w:val="22"/>
                <w:szCs w:val="22"/>
              </w:rPr>
            </w:pPr>
            <w:r w:rsidRPr="00B20D76">
              <w:rPr>
                <w:rFonts w:cs="Arial"/>
                <w:sz w:val="22"/>
                <w:szCs w:val="22"/>
              </w:rPr>
              <w:t xml:space="preserve">Mild side effects such as headache, nausea, pain in extremity, fever, injection-site haematoma and injection-site pruritus </w:t>
            </w:r>
            <w:r>
              <w:rPr>
                <w:rFonts w:cs="Arial"/>
                <w:sz w:val="22"/>
                <w:szCs w:val="22"/>
              </w:rPr>
              <w:t>are reported as common.</w:t>
            </w:r>
          </w:p>
          <w:p w:rsidR="0046701A" w:rsidRPr="00B20D76" w:rsidRDefault="0046701A" w:rsidP="0046701A">
            <w:pPr>
              <w:pStyle w:val="CommentText"/>
              <w:spacing w:after="120"/>
              <w:rPr>
                <w:rFonts w:cs="Arial"/>
                <w:sz w:val="22"/>
                <w:szCs w:val="22"/>
              </w:rPr>
            </w:pPr>
            <w:r w:rsidRPr="00B20D76">
              <w:rPr>
                <w:rFonts w:cs="Arial"/>
                <w:sz w:val="22"/>
                <w:szCs w:val="22"/>
              </w:rPr>
              <w:t>Other adverse events have been reported in post-marketing surveillance but the freque</w:t>
            </w:r>
            <w:r>
              <w:rPr>
                <w:rFonts w:cs="Arial"/>
                <w:sz w:val="22"/>
                <w:szCs w:val="22"/>
              </w:rPr>
              <w:t xml:space="preserve">ncy </w:t>
            </w:r>
            <w:r w:rsidRPr="00B20D76">
              <w:rPr>
                <w:rFonts w:cs="Arial"/>
                <w:sz w:val="22"/>
                <w:szCs w:val="22"/>
              </w:rPr>
              <w:t xml:space="preserve">of these is not known. </w:t>
            </w:r>
          </w:p>
          <w:p w:rsidR="0046701A" w:rsidRPr="00B20D76" w:rsidRDefault="0046701A" w:rsidP="0046701A">
            <w:pPr>
              <w:shd w:val="clear" w:color="auto" w:fill="FFFFFF"/>
              <w:spacing w:after="120"/>
              <w:ind w:right="34"/>
              <w:rPr>
                <w:rFonts w:cs="Arial"/>
                <w:sz w:val="22"/>
                <w:szCs w:val="22"/>
              </w:rPr>
            </w:pPr>
            <w:r w:rsidRPr="00B20D76">
              <w:rPr>
                <w:rFonts w:cs="Arial"/>
                <w:sz w:val="22"/>
                <w:szCs w:val="22"/>
              </w:rPr>
              <w:lastRenderedPageBreak/>
              <w:t>Hypersensitivity reactions and anaphylaxis can occur but are very rare.</w:t>
            </w:r>
          </w:p>
          <w:p w:rsidR="0046701A" w:rsidRPr="008102A8" w:rsidRDefault="0046701A" w:rsidP="0046701A">
            <w:pPr>
              <w:ind w:right="34"/>
              <w:rPr>
                <w:rFonts w:cs="Arial"/>
                <w:sz w:val="22"/>
                <w:szCs w:val="22"/>
              </w:rPr>
            </w:pPr>
            <w:r w:rsidRPr="008102A8">
              <w:rPr>
                <w:rFonts w:cs="Arial"/>
                <w:sz w:val="22"/>
                <w:szCs w:val="22"/>
              </w:rPr>
              <w:t xml:space="preserve">A detailed list of adverse reactions is available in the </w:t>
            </w:r>
            <w:r w:rsidR="00B00C0A">
              <w:rPr>
                <w:rFonts w:cs="Arial"/>
                <w:sz w:val="22"/>
                <w:szCs w:val="22"/>
              </w:rPr>
              <w:t>SPC</w:t>
            </w:r>
            <w:r w:rsidRPr="008102A8">
              <w:rPr>
                <w:rFonts w:cs="Arial"/>
                <w:sz w:val="22"/>
                <w:szCs w:val="22"/>
              </w:rPr>
              <w:t xml:space="preserve"> which is available from the electronic Medicines Compendium website:</w:t>
            </w:r>
          </w:p>
          <w:p w:rsidR="0046701A" w:rsidRPr="00D06525" w:rsidRDefault="00AD6214" w:rsidP="0046701A">
            <w:pPr>
              <w:spacing w:before="10" w:after="120"/>
              <w:ind w:right="34"/>
              <w:rPr>
                <w:rFonts w:cs="Arial"/>
                <w:color w:val="FF0000"/>
                <w:sz w:val="22"/>
                <w:szCs w:val="22"/>
              </w:rPr>
            </w:pPr>
            <w:hyperlink r:id="rId32" w:history="1">
              <w:r w:rsidR="0046701A" w:rsidRPr="008102A8">
                <w:rPr>
                  <w:rStyle w:val="Hyperlink"/>
                  <w:rFonts w:cs="Arial"/>
                  <w:sz w:val="22"/>
                  <w:szCs w:val="22"/>
                </w:rPr>
                <w:t>www.medicines.org.uk</w:t>
              </w:r>
            </w:hyperlink>
            <w:r w:rsidR="0046701A" w:rsidRPr="008102A8">
              <w:rPr>
                <w:rFonts w:cs="Arial"/>
                <w:sz w:val="22"/>
                <w:szCs w:val="22"/>
              </w:rPr>
              <w:t xml:space="preserve"> </w:t>
            </w:r>
          </w:p>
        </w:tc>
      </w:tr>
      <w:tr w:rsidR="0046701A" w:rsidRPr="00D06525" w:rsidTr="00B8676F">
        <w:tc>
          <w:tcPr>
            <w:tcW w:w="2835" w:type="dxa"/>
            <w:tcBorders>
              <w:bottom w:val="single" w:sz="4" w:space="0" w:color="auto"/>
            </w:tcBorders>
          </w:tcPr>
          <w:p w:rsidR="0046701A" w:rsidRPr="008102A8" w:rsidRDefault="0046701A" w:rsidP="0046701A">
            <w:pPr>
              <w:spacing w:before="120" w:after="120"/>
              <w:rPr>
                <w:rFonts w:cs="Arial"/>
                <w:b/>
                <w:sz w:val="22"/>
                <w:szCs w:val="22"/>
              </w:rPr>
            </w:pPr>
            <w:r w:rsidRPr="008102A8">
              <w:rPr>
                <w:rFonts w:cs="Arial"/>
                <w:b/>
                <w:sz w:val="22"/>
                <w:szCs w:val="22"/>
              </w:rPr>
              <w:lastRenderedPageBreak/>
              <w:t>Reporting procedure of adverse reactions</w:t>
            </w:r>
          </w:p>
        </w:tc>
        <w:tc>
          <w:tcPr>
            <w:tcW w:w="7088" w:type="dxa"/>
            <w:tcBorders>
              <w:bottom w:val="single" w:sz="4" w:space="0" w:color="auto"/>
            </w:tcBorders>
          </w:tcPr>
          <w:p w:rsidR="0046701A" w:rsidRPr="008102A8" w:rsidRDefault="0046701A" w:rsidP="0046701A">
            <w:pPr>
              <w:pStyle w:val="TableParagraph"/>
              <w:spacing w:before="120" w:after="120"/>
              <w:rPr>
                <w:rFonts w:ascii="Arial" w:hAnsi="Arial" w:cs="Arial"/>
              </w:rPr>
            </w:pPr>
            <w:r w:rsidRPr="008102A8">
              <w:rPr>
                <w:rFonts w:ascii="Arial" w:eastAsia="Arial" w:hAnsi="Arial" w:cs="Arial"/>
              </w:rPr>
              <w:t>Healthcare</w:t>
            </w:r>
            <w:r w:rsidRPr="008102A8">
              <w:rPr>
                <w:rFonts w:ascii="Arial" w:eastAsia="Arial" w:hAnsi="Arial" w:cs="Arial"/>
                <w:spacing w:val="26"/>
              </w:rPr>
              <w:t xml:space="preserve"> </w:t>
            </w:r>
            <w:r w:rsidRPr="008102A8">
              <w:rPr>
                <w:rFonts w:ascii="Arial" w:eastAsia="Arial" w:hAnsi="Arial" w:cs="Arial"/>
              </w:rPr>
              <w:t>professionals</w:t>
            </w:r>
            <w:r w:rsidRPr="008102A8">
              <w:rPr>
                <w:rFonts w:ascii="Arial" w:eastAsia="Arial" w:hAnsi="Arial" w:cs="Arial"/>
                <w:spacing w:val="24"/>
              </w:rPr>
              <w:t xml:space="preserve"> </w:t>
            </w:r>
            <w:r w:rsidRPr="008102A8">
              <w:rPr>
                <w:rFonts w:ascii="Arial" w:eastAsia="Arial" w:hAnsi="Arial" w:cs="Arial"/>
              </w:rPr>
              <w:t>and</w:t>
            </w:r>
            <w:r w:rsidRPr="008102A8">
              <w:rPr>
                <w:rFonts w:ascii="Arial" w:eastAsia="Arial" w:hAnsi="Arial" w:cs="Arial"/>
                <w:spacing w:val="14"/>
              </w:rPr>
              <w:t xml:space="preserve"> </w:t>
            </w:r>
            <w:r w:rsidRPr="008102A8">
              <w:rPr>
                <w:rFonts w:ascii="Arial" w:eastAsia="Arial" w:hAnsi="Arial" w:cs="Arial"/>
              </w:rPr>
              <w:t>patients/carers are</w:t>
            </w:r>
            <w:r w:rsidRPr="008102A8">
              <w:rPr>
                <w:rFonts w:ascii="Arial" w:eastAsia="Arial" w:hAnsi="Arial" w:cs="Arial"/>
                <w:spacing w:val="10"/>
              </w:rPr>
              <w:t xml:space="preserve"> </w:t>
            </w:r>
            <w:r w:rsidRPr="008102A8">
              <w:rPr>
                <w:rFonts w:ascii="Arial" w:eastAsia="Arial" w:hAnsi="Arial" w:cs="Arial"/>
              </w:rPr>
              <w:t>encouraged</w:t>
            </w:r>
            <w:r w:rsidRPr="008102A8">
              <w:rPr>
                <w:rFonts w:ascii="Arial" w:eastAsia="Arial" w:hAnsi="Arial" w:cs="Arial"/>
                <w:spacing w:val="25"/>
              </w:rPr>
              <w:t xml:space="preserve"> </w:t>
            </w:r>
            <w:r w:rsidRPr="008102A8">
              <w:rPr>
                <w:rFonts w:ascii="Arial" w:eastAsia="Arial" w:hAnsi="Arial" w:cs="Arial"/>
              </w:rPr>
              <w:t>to</w:t>
            </w:r>
            <w:r w:rsidRPr="008102A8">
              <w:rPr>
                <w:rFonts w:ascii="Arial" w:eastAsia="Arial" w:hAnsi="Arial" w:cs="Arial"/>
                <w:spacing w:val="21"/>
              </w:rPr>
              <w:t xml:space="preserve"> </w:t>
            </w:r>
            <w:r w:rsidRPr="008102A8">
              <w:rPr>
                <w:rFonts w:ascii="Arial" w:eastAsia="Arial" w:hAnsi="Arial" w:cs="Arial"/>
              </w:rPr>
              <w:t>report</w:t>
            </w:r>
            <w:r w:rsidRPr="008102A8">
              <w:rPr>
                <w:rFonts w:ascii="Arial" w:eastAsia="Arial" w:hAnsi="Arial" w:cs="Arial"/>
                <w:spacing w:val="13"/>
              </w:rPr>
              <w:t xml:space="preserve"> </w:t>
            </w:r>
            <w:r w:rsidRPr="008102A8">
              <w:rPr>
                <w:rFonts w:ascii="Arial" w:eastAsia="Arial" w:hAnsi="Arial" w:cs="Arial"/>
              </w:rPr>
              <w:t>suspected</w:t>
            </w:r>
            <w:r w:rsidRPr="008102A8">
              <w:rPr>
                <w:rFonts w:ascii="Arial" w:eastAsia="Arial" w:hAnsi="Arial" w:cs="Arial"/>
                <w:spacing w:val="18"/>
              </w:rPr>
              <w:t xml:space="preserve"> </w:t>
            </w:r>
            <w:r w:rsidRPr="008102A8">
              <w:rPr>
                <w:rFonts w:ascii="Arial" w:eastAsia="Arial" w:hAnsi="Arial" w:cs="Arial"/>
              </w:rPr>
              <w:t>adverse</w:t>
            </w:r>
            <w:r w:rsidRPr="008102A8">
              <w:rPr>
                <w:rFonts w:ascii="Arial" w:eastAsia="Arial" w:hAnsi="Arial" w:cs="Arial"/>
                <w:spacing w:val="29"/>
              </w:rPr>
              <w:t xml:space="preserve"> </w:t>
            </w:r>
            <w:r w:rsidRPr="008102A8">
              <w:rPr>
                <w:rFonts w:ascii="Arial" w:eastAsia="Arial" w:hAnsi="Arial" w:cs="Arial"/>
              </w:rPr>
              <w:t>reactions</w:t>
            </w:r>
            <w:r w:rsidRPr="008102A8">
              <w:rPr>
                <w:rFonts w:ascii="Arial" w:eastAsia="Arial" w:hAnsi="Arial" w:cs="Arial"/>
                <w:spacing w:val="10"/>
              </w:rPr>
              <w:t xml:space="preserve"> </w:t>
            </w:r>
            <w:r w:rsidRPr="008102A8">
              <w:rPr>
                <w:rFonts w:ascii="Arial" w:eastAsia="Arial" w:hAnsi="Arial" w:cs="Arial"/>
              </w:rPr>
              <w:t>to</w:t>
            </w:r>
            <w:r w:rsidRPr="008102A8">
              <w:rPr>
                <w:rFonts w:ascii="Arial" w:eastAsia="Arial" w:hAnsi="Arial" w:cs="Arial"/>
                <w:spacing w:val="14"/>
              </w:rPr>
              <w:t xml:space="preserve"> </w:t>
            </w:r>
            <w:r w:rsidRPr="008102A8">
              <w:rPr>
                <w:rFonts w:ascii="Arial" w:eastAsia="Arial" w:hAnsi="Arial" w:cs="Arial"/>
              </w:rPr>
              <w:t>the</w:t>
            </w:r>
            <w:r w:rsidRPr="008102A8">
              <w:rPr>
                <w:rFonts w:ascii="Arial" w:eastAsia="Arial" w:hAnsi="Arial" w:cs="Arial"/>
                <w:w w:val="98"/>
              </w:rPr>
              <w:t xml:space="preserve"> </w:t>
            </w:r>
            <w:r w:rsidRPr="008102A8">
              <w:rPr>
                <w:rFonts w:ascii="Arial" w:eastAsia="Arial" w:hAnsi="Arial" w:cs="Arial"/>
              </w:rPr>
              <w:t>Medicines</w:t>
            </w:r>
            <w:r w:rsidRPr="008102A8">
              <w:rPr>
                <w:rFonts w:ascii="Arial" w:eastAsia="Arial" w:hAnsi="Arial" w:cs="Arial"/>
                <w:spacing w:val="22"/>
              </w:rPr>
              <w:t xml:space="preserve"> </w:t>
            </w:r>
            <w:r w:rsidRPr="008102A8">
              <w:rPr>
                <w:rFonts w:ascii="Arial" w:eastAsia="Arial" w:hAnsi="Arial" w:cs="Arial"/>
              </w:rPr>
              <w:t>and</w:t>
            </w:r>
            <w:r w:rsidRPr="008102A8">
              <w:rPr>
                <w:rFonts w:ascii="Arial" w:eastAsia="Arial" w:hAnsi="Arial" w:cs="Arial"/>
                <w:spacing w:val="19"/>
              </w:rPr>
              <w:t xml:space="preserve"> </w:t>
            </w:r>
            <w:r w:rsidRPr="008102A8">
              <w:rPr>
                <w:rFonts w:ascii="Arial" w:eastAsia="Arial" w:hAnsi="Arial" w:cs="Arial"/>
              </w:rPr>
              <w:t>Healthcare</w:t>
            </w:r>
            <w:r w:rsidRPr="008102A8">
              <w:rPr>
                <w:rFonts w:ascii="Arial" w:eastAsia="Arial" w:hAnsi="Arial" w:cs="Arial"/>
                <w:spacing w:val="18"/>
              </w:rPr>
              <w:t xml:space="preserve"> </w:t>
            </w:r>
            <w:r w:rsidRPr="008102A8">
              <w:rPr>
                <w:rFonts w:ascii="Arial" w:eastAsia="Arial" w:hAnsi="Arial" w:cs="Arial"/>
              </w:rPr>
              <w:t>products</w:t>
            </w:r>
            <w:r w:rsidRPr="008102A8">
              <w:rPr>
                <w:rFonts w:ascii="Arial" w:eastAsia="Arial" w:hAnsi="Arial" w:cs="Arial"/>
                <w:spacing w:val="23"/>
              </w:rPr>
              <w:t xml:space="preserve"> </w:t>
            </w:r>
            <w:r w:rsidRPr="008102A8">
              <w:rPr>
                <w:rFonts w:ascii="Arial" w:eastAsia="Arial" w:hAnsi="Arial" w:cs="Arial"/>
              </w:rPr>
              <w:t>Regulatory</w:t>
            </w:r>
            <w:r w:rsidRPr="008102A8">
              <w:rPr>
                <w:rFonts w:ascii="Arial" w:eastAsia="Arial" w:hAnsi="Arial" w:cs="Arial"/>
                <w:spacing w:val="7"/>
              </w:rPr>
              <w:t xml:space="preserve"> </w:t>
            </w:r>
            <w:r w:rsidRPr="008102A8">
              <w:rPr>
                <w:rFonts w:ascii="Arial" w:eastAsia="Arial" w:hAnsi="Arial" w:cs="Arial"/>
              </w:rPr>
              <w:t>Agency</w:t>
            </w:r>
            <w:r w:rsidRPr="008102A8">
              <w:rPr>
                <w:rFonts w:ascii="Arial" w:eastAsia="Arial" w:hAnsi="Arial" w:cs="Arial"/>
                <w:spacing w:val="38"/>
              </w:rPr>
              <w:t xml:space="preserve"> </w:t>
            </w:r>
            <w:r w:rsidRPr="008102A8">
              <w:rPr>
                <w:rFonts w:ascii="Arial" w:eastAsia="Arial" w:hAnsi="Arial" w:cs="Arial"/>
              </w:rPr>
              <w:t>(MHRA)</w:t>
            </w:r>
            <w:r w:rsidRPr="008102A8">
              <w:rPr>
                <w:rFonts w:ascii="Arial" w:eastAsia="Arial" w:hAnsi="Arial" w:cs="Arial"/>
                <w:w w:val="101"/>
              </w:rPr>
              <w:t xml:space="preserve"> </w:t>
            </w:r>
            <w:r w:rsidRPr="008102A8">
              <w:rPr>
                <w:rFonts w:ascii="Arial" w:eastAsia="Arial" w:hAnsi="Arial" w:cs="Arial"/>
              </w:rPr>
              <w:t>using</w:t>
            </w:r>
            <w:r w:rsidRPr="008102A8">
              <w:rPr>
                <w:rFonts w:ascii="Arial" w:eastAsia="Arial" w:hAnsi="Arial" w:cs="Arial"/>
                <w:spacing w:val="9"/>
              </w:rPr>
              <w:t xml:space="preserve"> </w:t>
            </w:r>
            <w:r w:rsidRPr="008102A8">
              <w:rPr>
                <w:rFonts w:ascii="Arial" w:eastAsia="Arial" w:hAnsi="Arial" w:cs="Arial"/>
              </w:rPr>
              <w:t>the</w:t>
            </w:r>
            <w:r w:rsidRPr="008102A8">
              <w:rPr>
                <w:rFonts w:ascii="Arial" w:eastAsia="Arial" w:hAnsi="Arial" w:cs="Arial"/>
                <w:spacing w:val="11"/>
              </w:rPr>
              <w:t xml:space="preserve"> </w:t>
            </w:r>
            <w:r w:rsidRPr="008102A8">
              <w:rPr>
                <w:rFonts w:ascii="Arial" w:eastAsia="Arial" w:hAnsi="Arial" w:cs="Arial"/>
              </w:rPr>
              <w:t>Yellow</w:t>
            </w:r>
            <w:r w:rsidRPr="008102A8">
              <w:rPr>
                <w:rFonts w:ascii="Arial" w:eastAsia="Arial" w:hAnsi="Arial" w:cs="Arial"/>
                <w:spacing w:val="28"/>
              </w:rPr>
              <w:t xml:space="preserve"> </w:t>
            </w:r>
            <w:r w:rsidRPr="008102A8">
              <w:rPr>
                <w:rFonts w:ascii="Arial" w:eastAsia="Arial" w:hAnsi="Arial" w:cs="Arial"/>
              </w:rPr>
              <w:t>Card</w:t>
            </w:r>
            <w:r w:rsidRPr="008102A8">
              <w:rPr>
                <w:rFonts w:ascii="Arial" w:eastAsia="Arial" w:hAnsi="Arial" w:cs="Arial"/>
                <w:spacing w:val="16"/>
              </w:rPr>
              <w:t xml:space="preserve"> </w:t>
            </w:r>
            <w:r w:rsidRPr="008102A8">
              <w:rPr>
                <w:rFonts w:ascii="Arial" w:eastAsia="Arial" w:hAnsi="Arial" w:cs="Arial"/>
              </w:rPr>
              <w:t>reporting</w:t>
            </w:r>
            <w:r w:rsidRPr="008102A8">
              <w:rPr>
                <w:rFonts w:ascii="Arial" w:eastAsia="Arial" w:hAnsi="Arial" w:cs="Arial"/>
                <w:spacing w:val="12"/>
              </w:rPr>
              <w:t xml:space="preserve"> </w:t>
            </w:r>
            <w:r w:rsidRPr="008102A8">
              <w:rPr>
                <w:rFonts w:ascii="Arial" w:eastAsia="Arial" w:hAnsi="Arial" w:cs="Arial"/>
              </w:rPr>
              <w:t>scheme</w:t>
            </w:r>
            <w:r w:rsidRPr="008102A8">
              <w:rPr>
                <w:rFonts w:ascii="Arial" w:eastAsia="Arial" w:hAnsi="Arial" w:cs="Arial"/>
                <w:spacing w:val="16"/>
              </w:rPr>
              <w:t xml:space="preserve"> </w:t>
            </w:r>
            <w:r w:rsidRPr="008102A8">
              <w:rPr>
                <w:rFonts w:ascii="Arial" w:eastAsia="Arial" w:hAnsi="Arial" w:cs="Arial"/>
              </w:rPr>
              <w:t xml:space="preserve">on: </w:t>
            </w:r>
            <w:hyperlink r:id="rId33" w:history="1">
              <w:r w:rsidRPr="008102A8">
                <w:rPr>
                  <w:rStyle w:val="Hyperlink"/>
                  <w:rFonts w:ascii="Arial" w:eastAsia="Times New Roman" w:hAnsi="Arial" w:cs="Arial"/>
                  <w:lang w:val="en-GB" w:eastAsia="en-GB"/>
                </w:rPr>
                <w:t>http://yellowcard.mhra.gov.uk</w:t>
              </w:r>
            </w:hyperlink>
            <w:r w:rsidRPr="008102A8">
              <w:rPr>
                <w:rFonts w:ascii="Arial" w:eastAsia="Arial" w:hAnsi="Arial" w:cs="Arial"/>
              </w:rPr>
              <w:t xml:space="preserve">   </w:t>
            </w:r>
          </w:p>
          <w:p w:rsidR="0046701A" w:rsidRPr="00D06525" w:rsidRDefault="0046701A" w:rsidP="0046701A">
            <w:pPr>
              <w:pStyle w:val="TableParagraph"/>
              <w:spacing w:before="120" w:after="120"/>
              <w:rPr>
                <w:rFonts w:ascii="Arial" w:hAnsi="Arial" w:cs="Arial"/>
                <w:b/>
                <w:color w:val="FF0000"/>
              </w:rPr>
            </w:pPr>
            <w:r w:rsidRPr="008102A8">
              <w:rPr>
                <w:rFonts w:ascii="Arial" w:hAnsi="Arial" w:cs="Arial"/>
              </w:rPr>
              <w:t xml:space="preserve">Any adverse reaction to a vaccine should be </w:t>
            </w:r>
            <w:r w:rsidRPr="008102A8">
              <w:rPr>
                <w:rFonts w:ascii="Arial" w:eastAsia="Arial" w:hAnsi="Arial" w:cs="Arial"/>
              </w:rPr>
              <w:t>documented in the individual’s record and the individual’s GP should be informed.</w:t>
            </w:r>
          </w:p>
        </w:tc>
      </w:tr>
      <w:tr w:rsidR="0046701A" w:rsidRPr="00D06525" w:rsidTr="00B8676F">
        <w:tc>
          <w:tcPr>
            <w:tcW w:w="2835" w:type="dxa"/>
            <w:tcBorders>
              <w:bottom w:val="single" w:sz="4" w:space="0" w:color="auto"/>
            </w:tcBorders>
          </w:tcPr>
          <w:p w:rsidR="0046701A" w:rsidRPr="008102A8" w:rsidRDefault="0046701A" w:rsidP="0046701A">
            <w:pPr>
              <w:pStyle w:val="Header"/>
              <w:tabs>
                <w:tab w:val="clear" w:pos="4153"/>
                <w:tab w:val="clear" w:pos="8306"/>
              </w:tabs>
              <w:spacing w:before="120" w:after="120"/>
              <w:rPr>
                <w:rFonts w:ascii="Arial" w:hAnsi="Arial" w:cs="Arial"/>
                <w:b/>
                <w:sz w:val="22"/>
                <w:szCs w:val="22"/>
              </w:rPr>
            </w:pPr>
            <w:r w:rsidRPr="008102A8">
              <w:br w:type="page"/>
            </w:r>
            <w:r w:rsidRPr="008102A8">
              <w:br w:type="page"/>
            </w:r>
            <w:r w:rsidRPr="008102A8">
              <w:rPr>
                <w:rFonts w:ascii="Arial" w:hAnsi="Arial" w:cs="Arial"/>
                <w:b/>
                <w:sz w:val="22"/>
                <w:szCs w:val="22"/>
              </w:rPr>
              <w:t>Written information to be given to patient or carer</w:t>
            </w:r>
          </w:p>
        </w:tc>
        <w:tc>
          <w:tcPr>
            <w:tcW w:w="7088" w:type="dxa"/>
            <w:tcBorders>
              <w:bottom w:val="single" w:sz="4" w:space="0" w:color="auto"/>
            </w:tcBorders>
          </w:tcPr>
          <w:p w:rsidR="0046701A" w:rsidRPr="00FB2594" w:rsidRDefault="0046701A" w:rsidP="0046701A">
            <w:pPr>
              <w:pStyle w:val="TableParagraph"/>
              <w:spacing w:before="120" w:after="120"/>
              <w:ind w:right="89"/>
              <w:rPr>
                <w:rFonts w:ascii="Arial" w:eastAsia="Arial" w:hAnsi="Arial" w:cs="Arial"/>
              </w:rPr>
            </w:pPr>
            <w:r w:rsidRPr="00FB2594">
              <w:rPr>
                <w:rFonts w:ascii="Arial" w:eastAsia="Arial" w:hAnsi="Arial" w:cs="Arial"/>
              </w:rPr>
              <w:t xml:space="preserve">Offer marketing authorisation holder's patient information leaflet (PIL) provided with the vaccine.  </w:t>
            </w:r>
          </w:p>
          <w:p w:rsidR="0046701A" w:rsidRPr="00FB2594" w:rsidRDefault="0046701A" w:rsidP="0046701A">
            <w:pPr>
              <w:pStyle w:val="TableParagraph"/>
              <w:spacing w:before="120" w:after="120"/>
              <w:ind w:right="-108"/>
              <w:contextualSpacing/>
              <w:rPr>
                <w:rFonts w:ascii="Arial" w:eastAsia="Arial" w:hAnsi="Arial" w:cs="Arial"/>
              </w:rPr>
            </w:pPr>
            <w:r w:rsidRPr="00FB2594">
              <w:rPr>
                <w:rFonts w:ascii="Arial" w:eastAsia="Arial" w:hAnsi="Arial" w:cs="Arial"/>
              </w:rPr>
              <w:t xml:space="preserve">Immunisation promotional material may be provided as appropriate: </w:t>
            </w:r>
          </w:p>
          <w:p w:rsidR="0046701A" w:rsidRPr="00FB2594" w:rsidRDefault="00AD6214" w:rsidP="00C13385">
            <w:pPr>
              <w:pStyle w:val="TableParagraph"/>
              <w:numPr>
                <w:ilvl w:val="0"/>
                <w:numId w:val="7"/>
              </w:numPr>
              <w:spacing w:before="120" w:after="120"/>
              <w:ind w:left="317" w:right="-108" w:hanging="283"/>
              <w:contextualSpacing/>
              <w:rPr>
                <w:rStyle w:val="Hyperlink"/>
                <w:rFonts w:ascii="Arial" w:eastAsia="Times New Roman" w:hAnsi="Arial" w:cs="Arial"/>
                <w:lang w:val="en-GB" w:eastAsia="en-GB"/>
              </w:rPr>
            </w:pPr>
            <w:hyperlink r:id="rId34" w:history="1">
              <w:r w:rsidR="0046701A" w:rsidRPr="00FB2594">
                <w:rPr>
                  <w:rStyle w:val="Hyperlink"/>
                  <w:rFonts w:ascii="Arial" w:eastAsia="Times New Roman" w:hAnsi="Arial" w:cs="Arial"/>
                  <w:lang w:val="en-GB" w:eastAsia="en-GB"/>
                </w:rPr>
                <w:t>Immunisations for young people</w:t>
              </w:r>
            </w:hyperlink>
          </w:p>
          <w:p w:rsidR="00FB2594" w:rsidRPr="00FB2594" w:rsidRDefault="00AD6214" w:rsidP="00C13385">
            <w:pPr>
              <w:pStyle w:val="TableParagraph"/>
              <w:numPr>
                <w:ilvl w:val="0"/>
                <w:numId w:val="7"/>
              </w:numPr>
              <w:spacing w:before="120" w:after="120"/>
              <w:ind w:left="317" w:right="-108" w:hanging="283"/>
              <w:contextualSpacing/>
              <w:rPr>
                <w:rStyle w:val="Hyperlink"/>
                <w:rFonts w:ascii="Arial" w:eastAsia="Times New Roman" w:hAnsi="Arial" w:cs="Arial"/>
                <w:lang w:val="en-GB" w:eastAsia="en-GB"/>
              </w:rPr>
            </w:pPr>
            <w:hyperlink r:id="rId35" w:history="1">
              <w:r w:rsidR="00FB2594" w:rsidRPr="00FB2594">
                <w:rPr>
                  <w:rStyle w:val="Hyperlink"/>
                  <w:rFonts w:ascii="Arial" w:eastAsia="Times New Roman" w:hAnsi="Arial" w:cs="Arial"/>
                  <w:lang w:val="en-GB" w:eastAsia="en-GB"/>
                </w:rPr>
                <w:t>Your HPV vaccination guide</w:t>
              </w:r>
            </w:hyperlink>
          </w:p>
          <w:p w:rsidR="0046701A" w:rsidRPr="00FB2594" w:rsidRDefault="00AD6214" w:rsidP="00C13385">
            <w:pPr>
              <w:pStyle w:val="TableParagraph"/>
              <w:numPr>
                <w:ilvl w:val="0"/>
                <w:numId w:val="7"/>
              </w:numPr>
              <w:spacing w:before="120" w:after="120"/>
              <w:ind w:left="317" w:right="-108" w:hanging="283"/>
              <w:contextualSpacing/>
              <w:rPr>
                <w:rStyle w:val="Hyperlink"/>
                <w:rFonts w:ascii="Arial" w:eastAsia="Times New Roman" w:hAnsi="Arial" w:cs="Arial"/>
                <w:lang w:val="en-GB" w:eastAsia="en-GB"/>
              </w:rPr>
            </w:pPr>
            <w:hyperlink r:id="rId36" w:history="1">
              <w:r w:rsidR="0046701A" w:rsidRPr="00FB2594">
                <w:rPr>
                  <w:rStyle w:val="Hyperlink"/>
                  <w:rFonts w:ascii="Arial" w:eastAsia="Times New Roman" w:hAnsi="Arial" w:cs="Arial"/>
                  <w:lang w:val="en-GB" w:eastAsia="en-GB"/>
                </w:rPr>
                <w:t>The HPV vaccine: beating cervical cancer – questions and answers</w:t>
              </w:r>
            </w:hyperlink>
            <w:r w:rsidR="0046701A" w:rsidRPr="00FB2594">
              <w:rPr>
                <w:rStyle w:val="Hyperlink"/>
                <w:rFonts w:ascii="Arial" w:eastAsia="Times New Roman" w:hAnsi="Arial" w:cs="Arial"/>
                <w:lang w:val="en-GB" w:eastAsia="en-GB"/>
              </w:rPr>
              <w:t xml:space="preserve"> </w:t>
            </w:r>
          </w:p>
          <w:p w:rsidR="0046701A" w:rsidRPr="00FB2594" w:rsidRDefault="0046701A" w:rsidP="0046701A">
            <w:pPr>
              <w:pStyle w:val="TableParagraph"/>
              <w:spacing w:before="120" w:after="120"/>
              <w:ind w:right="89"/>
              <w:rPr>
                <w:rFonts w:ascii="Arial" w:eastAsia="Arial" w:hAnsi="Arial" w:cs="Arial"/>
                <w:color w:val="FF0000"/>
              </w:rPr>
            </w:pPr>
            <w:r w:rsidRPr="00FB2594">
              <w:rPr>
                <w:rStyle w:val="Hyperlink"/>
                <w:rFonts w:ascii="Arial" w:hAnsi="Arial" w:cs="Arial"/>
                <w:color w:val="auto"/>
                <w:u w:val="none"/>
              </w:rPr>
              <w:t>Available from:</w:t>
            </w:r>
            <w:r w:rsidRPr="00FB2594">
              <w:rPr>
                <w:rStyle w:val="Hyperlink"/>
                <w:rFonts w:ascii="Arial" w:eastAsia="Times New Roman" w:hAnsi="Arial" w:cs="Arial"/>
                <w:color w:val="auto"/>
                <w:u w:val="none"/>
                <w:lang w:val="en-GB" w:eastAsia="en-GB"/>
              </w:rPr>
              <w:t xml:space="preserve"> </w:t>
            </w:r>
            <w:hyperlink r:id="rId37" w:history="1">
              <w:r w:rsidRPr="00FB2594">
                <w:rPr>
                  <w:rStyle w:val="Hyperlink"/>
                  <w:rFonts w:ascii="Arial" w:eastAsia="Times New Roman" w:hAnsi="Arial" w:cs="Arial"/>
                  <w:lang w:val="en-GB" w:eastAsia="en-GB"/>
                </w:rPr>
                <w:t>www.gov.uk/government/collections/immunisation</w:t>
              </w:r>
            </w:hyperlink>
          </w:p>
        </w:tc>
      </w:tr>
      <w:tr w:rsidR="0046701A" w:rsidRPr="00D06525" w:rsidTr="00B86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35" w:type="dxa"/>
            <w:tcBorders>
              <w:top w:val="single" w:sz="4" w:space="0" w:color="auto"/>
            </w:tcBorders>
          </w:tcPr>
          <w:p w:rsidR="0046701A" w:rsidRPr="00D06525" w:rsidRDefault="0046701A" w:rsidP="0046701A">
            <w:pPr>
              <w:pStyle w:val="Header"/>
              <w:tabs>
                <w:tab w:val="clear" w:pos="4153"/>
                <w:tab w:val="clear" w:pos="8306"/>
              </w:tabs>
              <w:spacing w:before="120" w:after="120"/>
              <w:rPr>
                <w:rFonts w:ascii="Arial" w:hAnsi="Arial" w:cs="Arial"/>
                <w:b/>
                <w:sz w:val="22"/>
                <w:szCs w:val="22"/>
              </w:rPr>
            </w:pPr>
            <w:r w:rsidRPr="00D06525">
              <w:rPr>
                <w:rFonts w:ascii="Arial" w:hAnsi="Arial" w:cs="Arial"/>
                <w:b/>
                <w:sz w:val="22"/>
                <w:szCs w:val="22"/>
              </w:rPr>
              <w:t>Patient advice / follow up treatment</w:t>
            </w:r>
          </w:p>
          <w:p w:rsidR="0046701A" w:rsidRPr="00D06525" w:rsidRDefault="0046701A" w:rsidP="0046701A">
            <w:pPr>
              <w:pStyle w:val="Header"/>
              <w:tabs>
                <w:tab w:val="clear" w:pos="4153"/>
                <w:tab w:val="clear" w:pos="8306"/>
              </w:tabs>
              <w:spacing w:before="120" w:after="120"/>
              <w:rPr>
                <w:rFonts w:ascii="Arial" w:hAnsi="Arial" w:cs="Arial"/>
                <w:sz w:val="22"/>
                <w:szCs w:val="22"/>
              </w:rPr>
            </w:pPr>
          </w:p>
        </w:tc>
        <w:tc>
          <w:tcPr>
            <w:tcW w:w="7088" w:type="dxa"/>
            <w:tcBorders>
              <w:top w:val="single" w:sz="4" w:space="0" w:color="auto"/>
            </w:tcBorders>
          </w:tcPr>
          <w:p w:rsidR="0046701A" w:rsidRDefault="0046701A" w:rsidP="0046701A">
            <w:pPr>
              <w:pStyle w:val="TableParagraph"/>
              <w:spacing w:before="120" w:after="120"/>
              <w:rPr>
                <w:rFonts w:ascii="Arial" w:eastAsia="Arial" w:hAnsi="Arial" w:cs="Arial"/>
              </w:rPr>
            </w:pPr>
            <w:r w:rsidRPr="00D06525">
              <w:rPr>
                <w:rFonts w:ascii="Arial" w:eastAsia="Arial" w:hAnsi="Arial" w:cs="Arial"/>
              </w:rPr>
              <w:t>Inform the individual/</w:t>
            </w:r>
            <w:r w:rsidR="003E6192">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of possible side effects and their management. The</w:t>
            </w:r>
            <w:r w:rsidRPr="00D06525">
              <w:rPr>
                <w:rFonts w:ascii="Arial" w:eastAsia="Arial" w:hAnsi="Arial" w:cs="Arial"/>
                <w:spacing w:val="23"/>
              </w:rPr>
              <w:t xml:space="preserve"> </w:t>
            </w:r>
            <w:r w:rsidRPr="00D06525">
              <w:rPr>
                <w:rFonts w:ascii="Arial" w:eastAsia="Arial" w:hAnsi="Arial" w:cs="Arial"/>
              </w:rPr>
              <w:t>individual/</w:t>
            </w:r>
            <w:r w:rsidR="003E6192">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should</w:t>
            </w:r>
            <w:r w:rsidRPr="00D06525">
              <w:rPr>
                <w:rFonts w:ascii="Arial" w:eastAsia="Arial" w:hAnsi="Arial" w:cs="Arial"/>
                <w:spacing w:val="27"/>
              </w:rPr>
              <w:t xml:space="preserve"> </w:t>
            </w:r>
            <w:r w:rsidRPr="00D06525">
              <w:rPr>
                <w:rFonts w:ascii="Arial" w:eastAsia="Arial" w:hAnsi="Arial" w:cs="Arial"/>
              </w:rPr>
              <w:t>be</w:t>
            </w:r>
            <w:r w:rsidRPr="00D06525">
              <w:rPr>
                <w:rFonts w:ascii="Arial" w:eastAsia="Arial" w:hAnsi="Arial" w:cs="Arial"/>
                <w:spacing w:val="10"/>
              </w:rPr>
              <w:t xml:space="preserve"> </w:t>
            </w:r>
            <w:r w:rsidRPr="00D06525">
              <w:rPr>
                <w:rFonts w:ascii="Arial" w:eastAsia="Arial" w:hAnsi="Arial" w:cs="Arial"/>
              </w:rPr>
              <w:t>advised</w:t>
            </w:r>
            <w:r w:rsidRPr="00D06525">
              <w:rPr>
                <w:rFonts w:ascii="Arial" w:eastAsia="Arial" w:hAnsi="Arial" w:cs="Arial"/>
                <w:w w:val="99"/>
              </w:rPr>
              <w:t xml:space="preserve"> </w:t>
            </w:r>
            <w:r w:rsidRPr="00D06525">
              <w:rPr>
                <w:rFonts w:ascii="Arial" w:eastAsia="Arial" w:hAnsi="Arial" w:cs="Arial"/>
              </w:rPr>
              <w:t>to</w:t>
            </w:r>
            <w:r w:rsidRPr="00D06525">
              <w:rPr>
                <w:rFonts w:ascii="Arial" w:eastAsia="Arial" w:hAnsi="Arial" w:cs="Arial"/>
                <w:spacing w:val="14"/>
              </w:rPr>
              <w:t xml:space="preserve"> </w:t>
            </w:r>
            <w:r w:rsidRPr="00D06525">
              <w:rPr>
                <w:rFonts w:ascii="Arial" w:eastAsia="Arial" w:hAnsi="Arial" w:cs="Arial"/>
              </w:rPr>
              <w:t>seek</w:t>
            </w:r>
            <w:r w:rsidRPr="00D06525">
              <w:rPr>
                <w:rFonts w:ascii="Arial" w:eastAsia="Arial" w:hAnsi="Arial" w:cs="Arial"/>
                <w:spacing w:val="22"/>
              </w:rPr>
              <w:t xml:space="preserve"> </w:t>
            </w:r>
            <w:r w:rsidRPr="00D06525">
              <w:rPr>
                <w:rFonts w:ascii="Arial" w:eastAsia="Arial" w:hAnsi="Arial" w:cs="Arial"/>
              </w:rPr>
              <w:t>medical</w:t>
            </w:r>
            <w:r w:rsidRPr="00D06525">
              <w:rPr>
                <w:rFonts w:ascii="Arial" w:eastAsia="Arial" w:hAnsi="Arial" w:cs="Arial"/>
                <w:spacing w:val="12"/>
              </w:rPr>
              <w:t xml:space="preserve"> </w:t>
            </w:r>
            <w:r w:rsidRPr="00D06525">
              <w:rPr>
                <w:rFonts w:ascii="Arial" w:eastAsia="Arial" w:hAnsi="Arial" w:cs="Arial"/>
              </w:rPr>
              <w:t>advice</w:t>
            </w:r>
            <w:r w:rsidRPr="00D06525">
              <w:rPr>
                <w:rFonts w:ascii="Arial" w:hAnsi="Arial" w:cs="Arial"/>
              </w:rPr>
              <w:t xml:space="preserve"> i</w:t>
            </w:r>
            <w:r w:rsidRPr="00D06525">
              <w:rPr>
                <w:rFonts w:ascii="Arial" w:eastAsia="Arial" w:hAnsi="Arial" w:cs="Arial"/>
              </w:rPr>
              <w:t>n the event of an adverse reaction.</w:t>
            </w:r>
          </w:p>
          <w:p w:rsidR="003E6192" w:rsidRDefault="003E6192" w:rsidP="0046701A">
            <w:pPr>
              <w:pStyle w:val="TableParagraph"/>
              <w:spacing w:before="120" w:after="120"/>
              <w:rPr>
                <w:rFonts w:ascii="Arial" w:eastAsia="Arial" w:hAnsi="Arial" w:cs="Arial"/>
              </w:rPr>
            </w:pPr>
            <w:r>
              <w:rPr>
                <w:rFonts w:ascii="Arial" w:eastAsia="Arial" w:hAnsi="Arial" w:cs="Arial"/>
              </w:rPr>
              <w:t xml:space="preserve">Advise </w:t>
            </w:r>
            <w:r w:rsidRPr="00D06525">
              <w:rPr>
                <w:rFonts w:ascii="Arial" w:eastAsia="Arial" w:hAnsi="Arial" w:cs="Arial"/>
              </w:rPr>
              <w:t>individual/</w:t>
            </w:r>
            <w:r>
              <w:rPr>
                <w:rFonts w:ascii="Arial" w:eastAsia="Arial" w:hAnsi="Arial" w:cs="Arial"/>
              </w:rPr>
              <w:t>parent/</w:t>
            </w:r>
            <w:r w:rsidRPr="00D06525">
              <w:rPr>
                <w:rFonts w:ascii="Arial" w:eastAsia="Arial" w:hAnsi="Arial" w:cs="Arial"/>
              </w:rPr>
              <w:t>carer</w:t>
            </w:r>
            <w:r>
              <w:rPr>
                <w:rFonts w:ascii="Arial" w:eastAsia="Arial" w:hAnsi="Arial" w:cs="Arial"/>
              </w:rPr>
              <w:t xml:space="preserve"> when the next dose is due.</w:t>
            </w:r>
          </w:p>
          <w:p w:rsidR="003E6192" w:rsidRPr="003E6192" w:rsidRDefault="003E6192" w:rsidP="003E6192">
            <w:pPr>
              <w:overflowPunct/>
              <w:spacing w:before="120" w:after="120" w:line="211" w:lineRule="atLeast"/>
              <w:textAlignment w:val="auto"/>
              <w:rPr>
                <w:rFonts w:eastAsiaTheme="minorHAnsi" w:cs="Arial"/>
                <w:sz w:val="22"/>
                <w:szCs w:val="22"/>
                <w:lang w:eastAsia="en-US"/>
              </w:rPr>
            </w:pPr>
            <w:r>
              <w:rPr>
                <w:rFonts w:eastAsiaTheme="minorHAnsi" w:cs="Arial"/>
                <w:sz w:val="22"/>
                <w:szCs w:val="22"/>
                <w:lang w:eastAsia="en-US"/>
              </w:rPr>
              <w:t xml:space="preserve">Advise that individuals should continue to take appropriate precautions to protect themselves from sexually transmitted diseases and unwanted pregnancy.Advise that HPV vaccination is not a replacement for </w:t>
            </w:r>
            <w:r w:rsidR="008037E6">
              <w:rPr>
                <w:rFonts w:eastAsiaTheme="minorHAnsi" w:cs="Arial"/>
                <w:sz w:val="22"/>
                <w:szCs w:val="22"/>
                <w:lang w:eastAsia="en-US"/>
              </w:rPr>
              <w:t xml:space="preserve">the national </w:t>
            </w:r>
            <w:r>
              <w:rPr>
                <w:rFonts w:eastAsiaTheme="minorHAnsi" w:cs="Arial"/>
                <w:sz w:val="22"/>
                <w:szCs w:val="22"/>
                <w:lang w:eastAsia="en-US"/>
              </w:rPr>
              <w:t xml:space="preserve">cervical screening </w:t>
            </w:r>
            <w:r w:rsidR="008037E6">
              <w:rPr>
                <w:rFonts w:eastAsiaTheme="minorHAnsi" w:cs="Arial"/>
                <w:sz w:val="22"/>
                <w:szCs w:val="22"/>
                <w:lang w:eastAsia="en-US"/>
              </w:rPr>
              <w:t>programme which should be accessed at the appropriate age.</w:t>
            </w:r>
            <w:r>
              <w:rPr>
                <w:rFonts w:eastAsiaTheme="minorHAnsi" w:cs="Arial"/>
                <w:sz w:val="22"/>
                <w:szCs w:val="22"/>
                <w:lang w:eastAsia="en-US"/>
              </w:rPr>
              <w:t xml:space="preserve"> </w:t>
            </w:r>
          </w:p>
          <w:p w:rsidR="0046701A" w:rsidRPr="00D06525" w:rsidRDefault="0046701A" w:rsidP="0046701A">
            <w:pPr>
              <w:spacing w:before="120" w:after="120"/>
              <w:rPr>
                <w:rFonts w:cs="Arial"/>
                <w:sz w:val="22"/>
                <w:szCs w:val="22"/>
              </w:rPr>
            </w:pPr>
            <w:r w:rsidRPr="00D06525">
              <w:rPr>
                <w:rFonts w:cs="Arial"/>
                <w:sz w:val="22"/>
                <w:szCs w:val="22"/>
              </w:rPr>
              <w:t xml:space="preserve">When administration is postponed advise the </w:t>
            </w:r>
            <w:r w:rsidRPr="00D06525">
              <w:rPr>
                <w:rFonts w:eastAsia="Arial" w:cs="Arial"/>
                <w:sz w:val="22"/>
                <w:szCs w:val="22"/>
              </w:rPr>
              <w:t>individual/carer</w:t>
            </w:r>
            <w:r w:rsidRPr="00D06525">
              <w:rPr>
                <w:rFonts w:cs="Arial"/>
                <w:sz w:val="22"/>
                <w:szCs w:val="22"/>
              </w:rPr>
              <w:t xml:space="preserve"> when to return for vaccination.</w:t>
            </w:r>
          </w:p>
        </w:tc>
      </w:tr>
      <w:tr w:rsidR="0046701A" w:rsidRPr="00D06525" w:rsidTr="00B86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35" w:type="dxa"/>
          </w:tcPr>
          <w:p w:rsidR="0046701A" w:rsidRPr="00D34D6F" w:rsidRDefault="0046701A" w:rsidP="0046701A">
            <w:pPr>
              <w:spacing w:before="120" w:after="120"/>
              <w:rPr>
                <w:rFonts w:cs="Arial"/>
                <w:b/>
                <w:sz w:val="22"/>
                <w:szCs w:val="22"/>
              </w:rPr>
            </w:pPr>
            <w:r w:rsidRPr="00D34D6F">
              <w:br w:type="page"/>
            </w:r>
            <w:bookmarkStart w:id="7" w:name="AdditionalInformation"/>
            <w:r w:rsidRPr="00D34D6F">
              <w:rPr>
                <w:rFonts w:cs="Arial"/>
                <w:b/>
                <w:sz w:val="22"/>
                <w:szCs w:val="22"/>
              </w:rPr>
              <w:t>Special considerations / additional information</w:t>
            </w:r>
            <w:bookmarkEnd w:id="7"/>
          </w:p>
          <w:p w:rsidR="0046701A" w:rsidRPr="00D34D6F" w:rsidRDefault="0046701A" w:rsidP="0046701A">
            <w:pPr>
              <w:spacing w:before="120" w:after="120"/>
              <w:rPr>
                <w:rFonts w:cs="Arial"/>
                <w:b/>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B8676F" w:rsidRPr="00072B1F" w:rsidRDefault="00B8676F" w:rsidP="00072B1F">
            <w:pPr>
              <w:spacing w:before="120" w:after="120"/>
              <w:contextualSpacing/>
              <w:rPr>
                <w:rFonts w:cs="Arial"/>
                <w:sz w:val="22"/>
                <w:szCs w:val="22"/>
              </w:rPr>
            </w:pPr>
            <w:r w:rsidRPr="00B8676F">
              <w:rPr>
                <w:rFonts w:cs="Arial"/>
                <w:sz w:val="22"/>
                <w:szCs w:val="22"/>
              </w:rPr>
              <w:t>Continued over page</w:t>
            </w:r>
          </w:p>
          <w:p w:rsidR="0046701A" w:rsidRDefault="00B8676F" w:rsidP="00072B1F">
            <w:pPr>
              <w:spacing w:before="120" w:after="120"/>
              <w:contextualSpacing/>
              <w:rPr>
                <w:rFonts w:cs="Arial"/>
                <w:b/>
                <w:sz w:val="22"/>
                <w:szCs w:val="22"/>
              </w:rPr>
            </w:pPr>
            <w:r w:rsidRPr="00D34D6F">
              <w:rPr>
                <w:rFonts w:cs="Arial"/>
                <w:b/>
                <w:sz w:val="22"/>
                <w:szCs w:val="22"/>
              </w:rPr>
              <w:lastRenderedPageBreak/>
              <w:t>Special considerations / additional information</w:t>
            </w:r>
          </w:p>
          <w:p w:rsidR="00B8676F" w:rsidRPr="00B8676F" w:rsidRDefault="00B8676F" w:rsidP="00072B1F">
            <w:pPr>
              <w:spacing w:before="120" w:after="120"/>
              <w:contextualSpacing/>
              <w:rPr>
                <w:rFonts w:cs="Arial"/>
                <w:sz w:val="22"/>
                <w:szCs w:val="22"/>
              </w:rPr>
            </w:pPr>
            <w:r w:rsidRPr="00B8676F">
              <w:rPr>
                <w:rFonts w:cs="Arial"/>
                <w:sz w:val="22"/>
                <w:szCs w:val="22"/>
              </w:rPr>
              <w:t>(continued)</w:t>
            </w:r>
          </w:p>
        </w:tc>
        <w:tc>
          <w:tcPr>
            <w:tcW w:w="7088" w:type="dxa"/>
            <w:shd w:val="clear" w:color="auto" w:fill="auto"/>
          </w:tcPr>
          <w:p w:rsidR="0046701A" w:rsidRPr="00BC4017" w:rsidRDefault="0046701A" w:rsidP="0046701A">
            <w:pPr>
              <w:pStyle w:val="Header"/>
              <w:tabs>
                <w:tab w:val="left" w:pos="720"/>
              </w:tabs>
              <w:spacing w:before="120" w:after="120"/>
              <w:rPr>
                <w:rFonts w:ascii="Arial" w:eastAsiaTheme="minorHAnsi" w:hAnsi="Arial" w:cs="Arial"/>
                <w:sz w:val="22"/>
                <w:szCs w:val="22"/>
                <w:lang w:eastAsia="en-US"/>
              </w:rPr>
            </w:pPr>
            <w:r w:rsidRPr="00BC4017">
              <w:rPr>
                <w:rFonts w:ascii="Arial" w:eastAsia="Arial" w:hAnsi="Arial" w:cs="Arial"/>
                <w:sz w:val="22"/>
                <w:szCs w:val="22"/>
              </w:rPr>
              <w:lastRenderedPageBreak/>
              <w:t>Ensure there is immediate</w:t>
            </w:r>
            <w:r w:rsidRPr="00BC4017">
              <w:rPr>
                <w:rFonts w:ascii="Arial" w:eastAsia="Arial" w:hAnsi="Arial" w:cs="Arial"/>
                <w:spacing w:val="17"/>
                <w:sz w:val="22"/>
                <w:szCs w:val="22"/>
              </w:rPr>
              <w:t xml:space="preserve"> </w:t>
            </w:r>
            <w:r w:rsidRPr="00BC4017">
              <w:rPr>
                <w:rFonts w:ascii="Arial" w:eastAsia="Arial" w:hAnsi="Arial" w:cs="Arial"/>
                <w:sz w:val="22"/>
                <w:szCs w:val="22"/>
              </w:rPr>
              <w:t>access</w:t>
            </w:r>
            <w:r w:rsidRPr="00BC4017">
              <w:rPr>
                <w:rFonts w:ascii="Arial" w:eastAsia="Arial" w:hAnsi="Arial" w:cs="Arial"/>
                <w:spacing w:val="14"/>
                <w:sz w:val="22"/>
                <w:szCs w:val="22"/>
              </w:rPr>
              <w:t xml:space="preserve"> </w:t>
            </w:r>
            <w:r w:rsidRPr="00BC4017">
              <w:rPr>
                <w:rFonts w:ascii="Arial" w:eastAsia="Arial" w:hAnsi="Arial" w:cs="Arial"/>
                <w:sz w:val="22"/>
                <w:szCs w:val="22"/>
              </w:rPr>
              <w:t>to</w:t>
            </w:r>
            <w:r w:rsidRPr="00BC4017">
              <w:rPr>
                <w:rFonts w:ascii="Arial" w:eastAsia="Arial" w:hAnsi="Arial" w:cs="Arial"/>
                <w:spacing w:val="21"/>
                <w:sz w:val="22"/>
                <w:szCs w:val="22"/>
              </w:rPr>
              <w:t xml:space="preserve"> </w:t>
            </w:r>
            <w:r w:rsidRPr="00BC4017">
              <w:rPr>
                <w:rFonts w:ascii="Arial" w:eastAsia="Arial" w:hAnsi="Arial" w:cs="Arial"/>
                <w:sz w:val="22"/>
                <w:szCs w:val="22"/>
              </w:rPr>
              <w:t>adrenaline (epinephrine)</w:t>
            </w:r>
            <w:r w:rsidRPr="00BC4017">
              <w:rPr>
                <w:rFonts w:ascii="Arial" w:eastAsia="Arial" w:hAnsi="Arial" w:cs="Arial"/>
                <w:spacing w:val="21"/>
                <w:sz w:val="22"/>
                <w:szCs w:val="22"/>
              </w:rPr>
              <w:t xml:space="preserve"> </w:t>
            </w:r>
            <w:r w:rsidRPr="00BC4017">
              <w:rPr>
                <w:rFonts w:ascii="Arial" w:eastAsia="Arial" w:hAnsi="Arial" w:cs="Arial"/>
                <w:sz w:val="22"/>
                <w:szCs w:val="22"/>
              </w:rPr>
              <w:t>1</w:t>
            </w:r>
            <w:r w:rsidRPr="00BC4017">
              <w:rPr>
                <w:rFonts w:ascii="Arial" w:eastAsia="Arial" w:hAnsi="Arial" w:cs="Arial"/>
                <w:spacing w:val="-10"/>
                <w:sz w:val="22"/>
                <w:szCs w:val="22"/>
              </w:rPr>
              <w:t xml:space="preserve"> </w:t>
            </w:r>
            <w:r w:rsidRPr="00BC4017">
              <w:rPr>
                <w:rFonts w:ascii="Arial" w:eastAsia="Arial" w:hAnsi="Arial" w:cs="Arial"/>
                <w:sz w:val="22"/>
                <w:szCs w:val="22"/>
              </w:rPr>
              <w:t>in</w:t>
            </w:r>
            <w:r w:rsidRPr="00BC4017">
              <w:rPr>
                <w:rFonts w:ascii="Arial" w:eastAsia="Arial" w:hAnsi="Arial" w:cs="Arial"/>
                <w:spacing w:val="17"/>
                <w:sz w:val="22"/>
                <w:szCs w:val="22"/>
              </w:rPr>
              <w:t xml:space="preserve"> </w:t>
            </w:r>
            <w:r w:rsidRPr="00BC4017">
              <w:rPr>
                <w:rFonts w:ascii="Arial" w:eastAsia="Arial" w:hAnsi="Arial" w:cs="Arial"/>
                <w:sz w:val="22"/>
                <w:szCs w:val="22"/>
              </w:rPr>
              <w:t>1000</w:t>
            </w:r>
            <w:r w:rsidRPr="00BC4017">
              <w:rPr>
                <w:rFonts w:ascii="Arial" w:eastAsia="Arial" w:hAnsi="Arial" w:cs="Arial"/>
                <w:spacing w:val="11"/>
                <w:sz w:val="22"/>
                <w:szCs w:val="22"/>
              </w:rPr>
              <w:t xml:space="preserve"> </w:t>
            </w:r>
            <w:r w:rsidRPr="00BC4017">
              <w:rPr>
                <w:rFonts w:ascii="Arial" w:eastAsia="Arial" w:hAnsi="Arial" w:cs="Arial"/>
                <w:sz w:val="22"/>
                <w:szCs w:val="22"/>
              </w:rPr>
              <w:t>injection and access</w:t>
            </w:r>
            <w:r w:rsidRPr="00BC4017">
              <w:rPr>
                <w:rFonts w:ascii="Arial" w:eastAsia="Arial" w:hAnsi="Arial" w:cs="Arial"/>
                <w:spacing w:val="19"/>
                <w:sz w:val="22"/>
                <w:szCs w:val="22"/>
              </w:rPr>
              <w:t xml:space="preserve"> </w:t>
            </w:r>
            <w:r w:rsidRPr="00BC4017">
              <w:rPr>
                <w:rFonts w:ascii="Arial" w:eastAsia="Arial" w:hAnsi="Arial" w:cs="Arial"/>
                <w:sz w:val="22"/>
                <w:szCs w:val="22"/>
              </w:rPr>
              <w:t>to</w:t>
            </w:r>
            <w:r w:rsidRPr="00BC4017">
              <w:rPr>
                <w:rFonts w:ascii="Arial" w:eastAsia="Arial" w:hAnsi="Arial" w:cs="Arial"/>
                <w:spacing w:val="10"/>
                <w:sz w:val="22"/>
                <w:szCs w:val="22"/>
              </w:rPr>
              <w:t xml:space="preserve"> a </w:t>
            </w:r>
            <w:r w:rsidRPr="00BC4017">
              <w:rPr>
                <w:rFonts w:ascii="Arial" w:eastAsia="Arial" w:hAnsi="Arial" w:cs="Arial"/>
                <w:sz w:val="22"/>
                <w:szCs w:val="22"/>
              </w:rPr>
              <w:t xml:space="preserve">telephone </w:t>
            </w:r>
            <w:r w:rsidRPr="00BC4017">
              <w:rPr>
                <w:rFonts w:ascii="Arial" w:eastAsiaTheme="minorHAnsi" w:hAnsi="Arial" w:cs="Arial"/>
                <w:sz w:val="22"/>
                <w:szCs w:val="22"/>
                <w:lang w:eastAsia="en-US"/>
              </w:rPr>
              <w:t>at the time of vaccination.</w:t>
            </w:r>
          </w:p>
          <w:p w:rsidR="000F0A64" w:rsidRPr="00BC4017" w:rsidRDefault="000F0A64" w:rsidP="000F0A64">
            <w:pPr>
              <w:rPr>
                <w:rFonts w:eastAsiaTheme="minorHAnsi" w:cs="Arial"/>
                <w:sz w:val="22"/>
                <w:szCs w:val="22"/>
                <w:lang w:eastAsia="en-US"/>
              </w:rPr>
            </w:pPr>
            <w:r w:rsidRPr="00BC4017">
              <w:rPr>
                <w:rFonts w:eastAsiaTheme="minorHAnsi" w:cs="Arial"/>
                <w:sz w:val="22"/>
                <w:szCs w:val="22"/>
                <w:lang w:eastAsia="en-US"/>
              </w:rPr>
              <w:t xml:space="preserve">Transgender </w:t>
            </w:r>
            <w:r w:rsidR="008E1315">
              <w:rPr>
                <w:rFonts w:eastAsiaTheme="minorHAnsi" w:cs="Arial"/>
                <w:sz w:val="22"/>
                <w:szCs w:val="22"/>
                <w:lang w:eastAsia="en-US"/>
              </w:rPr>
              <w:t>boy</w:t>
            </w:r>
            <w:r w:rsidR="00B27FAF" w:rsidRPr="00BC4017">
              <w:rPr>
                <w:rFonts w:eastAsiaTheme="minorHAnsi" w:cs="Arial"/>
                <w:sz w:val="22"/>
                <w:szCs w:val="22"/>
                <w:lang w:eastAsia="en-US"/>
              </w:rPr>
              <w:t>s</w:t>
            </w:r>
            <w:r w:rsidRPr="00BC4017">
              <w:rPr>
                <w:rFonts w:eastAsiaTheme="minorHAnsi" w:cs="Arial"/>
                <w:sz w:val="22"/>
                <w:szCs w:val="22"/>
                <w:lang w:eastAsia="en-US"/>
              </w:rPr>
              <w:t xml:space="preserve"> </w:t>
            </w:r>
            <w:r w:rsidR="008E1315">
              <w:rPr>
                <w:rFonts w:eastAsiaTheme="minorHAnsi" w:cs="Arial"/>
                <w:sz w:val="22"/>
                <w:szCs w:val="22"/>
                <w:lang w:eastAsia="en-US"/>
              </w:rPr>
              <w:t>and transgender girl</w:t>
            </w:r>
            <w:r w:rsidR="00B27FAF" w:rsidRPr="00BC4017">
              <w:rPr>
                <w:rFonts w:eastAsiaTheme="minorHAnsi" w:cs="Arial"/>
                <w:sz w:val="22"/>
                <w:szCs w:val="22"/>
                <w:lang w:eastAsia="en-US"/>
              </w:rPr>
              <w:t>s</w:t>
            </w:r>
            <w:r w:rsidR="00BB445D" w:rsidRPr="00BC4017">
              <w:rPr>
                <w:rFonts w:eastAsiaTheme="minorHAnsi" w:cs="Arial"/>
                <w:sz w:val="22"/>
                <w:szCs w:val="22"/>
                <w:lang w:eastAsia="en-US"/>
              </w:rPr>
              <w:t xml:space="preserve"> may be vaccinated i</w:t>
            </w:r>
            <w:r w:rsidR="00B27FAF" w:rsidRPr="00BC4017">
              <w:rPr>
                <w:rFonts w:eastAsiaTheme="minorHAnsi" w:cs="Arial"/>
                <w:sz w:val="22"/>
                <w:szCs w:val="22"/>
                <w:lang w:eastAsia="en-US"/>
              </w:rPr>
              <w:t>n accordance with this PGD as</w:t>
            </w:r>
            <w:r w:rsidR="00BB445D" w:rsidRPr="00BC4017">
              <w:rPr>
                <w:rFonts w:eastAsiaTheme="minorHAnsi" w:cs="Arial"/>
                <w:sz w:val="22"/>
                <w:szCs w:val="22"/>
                <w:lang w:eastAsia="en-US"/>
              </w:rPr>
              <w:t xml:space="preserve"> </w:t>
            </w:r>
            <w:r w:rsidR="00BB445D" w:rsidRPr="008E1315">
              <w:rPr>
                <w:rFonts w:eastAsiaTheme="minorHAnsi" w:cs="Arial"/>
                <w:sz w:val="22"/>
                <w:szCs w:val="22"/>
                <w:lang w:eastAsia="en-US"/>
              </w:rPr>
              <w:t>appropriate</w:t>
            </w:r>
            <w:r w:rsidRPr="008E1315">
              <w:rPr>
                <w:rFonts w:eastAsiaTheme="minorHAnsi" w:cs="Arial"/>
                <w:sz w:val="22"/>
                <w:szCs w:val="22"/>
                <w:lang w:eastAsia="en-US"/>
              </w:rPr>
              <w:t xml:space="preserve">. </w:t>
            </w:r>
            <w:r w:rsidR="008E1315" w:rsidRPr="008E1315">
              <w:rPr>
                <w:rFonts w:cs="Arial"/>
                <w:sz w:val="22"/>
                <w:szCs w:val="22"/>
              </w:rPr>
              <w:t>Transgender boys should be offered vaccination to mitigate their risk of cervical cancer and transgender girls may be offered vaccination with their peers.</w:t>
            </w:r>
          </w:p>
          <w:p w:rsidR="0046701A" w:rsidRPr="00BC4017" w:rsidRDefault="0046701A" w:rsidP="000F0A64">
            <w:pPr>
              <w:overflowPunct/>
              <w:spacing w:before="120" w:after="120" w:line="211" w:lineRule="atLeast"/>
              <w:jc w:val="both"/>
              <w:textAlignment w:val="auto"/>
              <w:rPr>
                <w:rFonts w:eastAsiaTheme="minorHAnsi" w:cs="Arial"/>
                <w:sz w:val="22"/>
                <w:szCs w:val="22"/>
                <w:lang w:eastAsia="en-US"/>
              </w:rPr>
            </w:pPr>
            <w:r w:rsidRPr="00BC4017">
              <w:rPr>
                <w:rFonts w:eastAsiaTheme="minorHAnsi" w:cs="Arial"/>
                <w:sz w:val="22"/>
                <w:szCs w:val="22"/>
                <w:lang w:eastAsia="en-US"/>
              </w:rPr>
              <w:t xml:space="preserve">There is no longer a </w:t>
            </w:r>
            <w:r w:rsidR="00D5175E">
              <w:rPr>
                <w:rFonts w:eastAsiaTheme="minorHAnsi" w:cs="Arial"/>
                <w:sz w:val="22"/>
                <w:szCs w:val="22"/>
                <w:lang w:eastAsia="en-US"/>
              </w:rPr>
              <w:t xml:space="preserve">national </w:t>
            </w:r>
            <w:r w:rsidRPr="00BC4017">
              <w:rPr>
                <w:rFonts w:eastAsiaTheme="minorHAnsi" w:cs="Arial"/>
                <w:sz w:val="22"/>
                <w:szCs w:val="22"/>
                <w:lang w:eastAsia="en-US"/>
              </w:rPr>
              <w:t>supply of Cervarix</w:t>
            </w:r>
            <w:r w:rsidRPr="00BC4017">
              <w:rPr>
                <w:rFonts w:eastAsiaTheme="minorHAnsi" w:cs="Arial"/>
                <w:sz w:val="22"/>
                <w:szCs w:val="22"/>
                <w:vertAlign w:val="superscript"/>
                <w:lang w:eastAsia="en-US"/>
              </w:rPr>
              <w:t>®</w:t>
            </w:r>
            <w:r w:rsidRPr="00BC4017">
              <w:rPr>
                <w:rFonts w:eastAsiaTheme="minorHAnsi" w:cs="Arial"/>
                <w:sz w:val="22"/>
                <w:szCs w:val="22"/>
                <w:lang w:eastAsia="en-US"/>
              </w:rPr>
              <w:t xml:space="preserve"> available in the UK. For </w:t>
            </w:r>
            <w:r w:rsidR="000C525D" w:rsidRPr="00BC4017">
              <w:rPr>
                <w:rFonts w:eastAsiaTheme="minorHAnsi" w:cs="Arial"/>
                <w:sz w:val="22"/>
                <w:szCs w:val="22"/>
                <w:lang w:eastAsia="en-US"/>
              </w:rPr>
              <w:t xml:space="preserve">females </w:t>
            </w:r>
            <w:r w:rsidRPr="00BC4017">
              <w:rPr>
                <w:rFonts w:eastAsiaTheme="minorHAnsi" w:cs="Arial"/>
                <w:sz w:val="22"/>
                <w:szCs w:val="22"/>
                <w:lang w:eastAsia="en-US"/>
              </w:rPr>
              <w:t>who started the schedule with Cervarix</w:t>
            </w:r>
            <w:r w:rsidRPr="00BC4017">
              <w:rPr>
                <w:rFonts w:eastAsiaTheme="minorHAnsi" w:cs="Arial"/>
                <w:sz w:val="22"/>
                <w:szCs w:val="22"/>
                <w:vertAlign w:val="superscript"/>
                <w:lang w:eastAsia="en-US"/>
              </w:rPr>
              <w:t>®</w:t>
            </w:r>
            <w:r w:rsidRPr="00BC4017">
              <w:rPr>
                <w:rFonts w:eastAsiaTheme="minorHAnsi" w:cs="Arial"/>
                <w:sz w:val="22"/>
                <w:szCs w:val="22"/>
                <w:lang w:eastAsia="en-US"/>
              </w:rPr>
              <w:t>, but did not complete the vaccination course, the course can be completed with Gardasil</w:t>
            </w:r>
            <w:r w:rsidRPr="00BC4017">
              <w:rPr>
                <w:rFonts w:eastAsiaTheme="minorHAnsi" w:cs="Arial"/>
                <w:sz w:val="22"/>
                <w:szCs w:val="22"/>
                <w:vertAlign w:val="superscript"/>
                <w:lang w:eastAsia="en-US"/>
              </w:rPr>
              <w:t>®</w:t>
            </w:r>
            <w:r w:rsidRPr="00BC4017">
              <w:rPr>
                <w:rFonts w:eastAsiaTheme="minorHAnsi" w:cs="Arial"/>
                <w:sz w:val="22"/>
                <w:szCs w:val="22"/>
                <w:lang w:eastAsia="en-US"/>
              </w:rPr>
              <w:t xml:space="preserve">. </w:t>
            </w:r>
          </w:p>
          <w:p w:rsidR="004D278C" w:rsidRPr="00BC4017" w:rsidRDefault="004D278C" w:rsidP="004D278C">
            <w:pPr>
              <w:spacing w:before="120" w:after="120"/>
              <w:rPr>
                <w:rFonts w:eastAsiaTheme="minorHAnsi" w:cs="Arial"/>
                <w:sz w:val="22"/>
                <w:szCs w:val="22"/>
                <w:lang w:eastAsia="en-US"/>
              </w:rPr>
            </w:pPr>
            <w:r w:rsidRPr="00BC4017">
              <w:rPr>
                <w:rFonts w:eastAsiaTheme="minorHAnsi" w:cs="Arial"/>
                <w:sz w:val="22"/>
                <w:szCs w:val="22"/>
                <w:lang w:eastAsia="en-US"/>
              </w:rPr>
              <w:t xml:space="preserve">For individuals who commenced but did not complete the vaccination course, it is reasonable to complete their HPV vaccination course after the age of 18 years. Vaccination of these individuals is outside the national programme and will not attract an enhanced service payment. </w:t>
            </w:r>
          </w:p>
          <w:p w:rsidR="003E2748" w:rsidRPr="00BC4017" w:rsidRDefault="009A2533" w:rsidP="004D278C">
            <w:pPr>
              <w:pStyle w:val="CommentText"/>
              <w:rPr>
                <w:rFonts w:eastAsiaTheme="minorHAnsi" w:cs="Arial"/>
                <w:sz w:val="22"/>
                <w:szCs w:val="22"/>
                <w:lang w:eastAsia="en-US"/>
              </w:rPr>
            </w:pPr>
            <w:r w:rsidRPr="00BC4017">
              <w:rPr>
                <w:rFonts w:eastAsiaTheme="minorHAnsi" w:cs="Arial"/>
                <w:sz w:val="22"/>
                <w:szCs w:val="22"/>
                <w:lang w:eastAsia="en-US"/>
              </w:rPr>
              <w:t>There is no data on fewer than 3 doses of HPV vaccine among HIV-infected or immunocompromised populations. Therefore a 3-dose schedule should be offered to individuals who are known to be HIV-infected, including those on antiretroviral therapy, or who are known to be immunocompromised at the time of immunisation.</w:t>
            </w:r>
          </w:p>
          <w:p w:rsidR="0046701A" w:rsidRPr="00BC4017" w:rsidRDefault="0046701A" w:rsidP="0046701A">
            <w:pPr>
              <w:overflowPunct/>
              <w:spacing w:before="120" w:after="120" w:line="211" w:lineRule="atLeast"/>
              <w:jc w:val="both"/>
              <w:textAlignment w:val="auto"/>
              <w:rPr>
                <w:rFonts w:eastAsiaTheme="minorHAnsi" w:cs="Arial"/>
                <w:sz w:val="22"/>
                <w:szCs w:val="22"/>
                <w:lang w:eastAsia="en-US"/>
              </w:rPr>
            </w:pPr>
            <w:r w:rsidRPr="00BC4017">
              <w:rPr>
                <w:rFonts w:eastAsiaTheme="minorHAnsi" w:cs="Arial"/>
                <w:sz w:val="22"/>
                <w:szCs w:val="22"/>
                <w:lang w:eastAsia="en-US"/>
              </w:rPr>
              <w:lastRenderedPageBreak/>
              <w:t>HPV vaccination is for prophylaxis against future HPV infection</w:t>
            </w:r>
            <w:r w:rsidR="00842897" w:rsidRPr="00BC4017">
              <w:rPr>
                <w:rFonts w:eastAsiaTheme="minorHAnsi" w:cs="Arial"/>
                <w:sz w:val="22"/>
                <w:szCs w:val="22"/>
                <w:lang w:eastAsia="en-US"/>
              </w:rPr>
              <w:t>. I</w:t>
            </w:r>
            <w:r w:rsidRPr="00BC4017">
              <w:rPr>
                <w:rFonts w:eastAsiaTheme="minorHAnsi" w:cs="Arial"/>
                <w:sz w:val="22"/>
                <w:szCs w:val="22"/>
                <w:lang w:eastAsia="en-US"/>
              </w:rPr>
              <w:t>t will not treat pre-existing HPV infection.</w:t>
            </w:r>
          </w:p>
          <w:p w:rsidR="0046701A" w:rsidRDefault="0046701A" w:rsidP="008E1315">
            <w:pPr>
              <w:overflowPunct/>
              <w:spacing w:before="120" w:after="120" w:line="211" w:lineRule="atLeast"/>
              <w:jc w:val="both"/>
              <w:textAlignment w:val="auto"/>
              <w:rPr>
                <w:rFonts w:eastAsiaTheme="minorHAnsi" w:cs="Arial"/>
                <w:sz w:val="22"/>
                <w:szCs w:val="22"/>
                <w:lang w:eastAsia="en-US"/>
              </w:rPr>
            </w:pPr>
            <w:r w:rsidRPr="00BC4017">
              <w:rPr>
                <w:rFonts w:eastAsiaTheme="minorHAnsi" w:cs="Arial"/>
                <w:sz w:val="22"/>
                <w:szCs w:val="22"/>
                <w:lang w:eastAsia="en-US"/>
              </w:rPr>
              <w:t>Gardasil</w:t>
            </w:r>
            <w:r w:rsidR="00ED6BD3" w:rsidRPr="00BC4017">
              <w:rPr>
                <w:rFonts w:eastAsiaTheme="minorHAnsi" w:cs="Arial"/>
                <w:sz w:val="22"/>
                <w:szCs w:val="22"/>
                <w:vertAlign w:val="superscript"/>
                <w:lang w:eastAsia="en-US"/>
              </w:rPr>
              <w:t>®</w:t>
            </w:r>
            <w:r w:rsidRPr="00BC4017">
              <w:rPr>
                <w:rFonts w:eastAsiaTheme="minorHAnsi" w:cs="Arial"/>
                <w:sz w:val="22"/>
                <w:szCs w:val="22"/>
                <w:lang w:eastAsia="en-US"/>
              </w:rPr>
              <w:t xml:space="preserve"> vaccine will protect against HPV types 6, 11, 16 and 18 with limited cross protection to other HPV types.</w:t>
            </w:r>
          </w:p>
          <w:p w:rsidR="004727BD" w:rsidRPr="00BC4017" w:rsidRDefault="006E29D6" w:rsidP="008E1315">
            <w:pPr>
              <w:overflowPunct/>
              <w:spacing w:before="120" w:after="120" w:line="211" w:lineRule="atLeast"/>
              <w:jc w:val="both"/>
              <w:textAlignment w:val="auto"/>
              <w:rPr>
                <w:rFonts w:eastAsiaTheme="minorHAnsi"/>
                <w:sz w:val="22"/>
                <w:szCs w:val="22"/>
                <w:lang w:eastAsia="en-US"/>
              </w:rPr>
            </w:pPr>
            <w:r w:rsidRPr="006E29D6">
              <w:rPr>
                <w:rFonts w:eastAsiaTheme="minorHAnsi" w:cs="Arial"/>
                <w:sz w:val="22"/>
                <w:szCs w:val="22"/>
                <w:lang w:eastAsia="en-US"/>
              </w:rPr>
              <w:t>For children under the age of 16 years being offered HPV vaccine, those assessed as Gillick competent can self-consent</w:t>
            </w:r>
            <w:r>
              <w:rPr>
                <w:rFonts w:eastAsiaTheme="minorHAnsi" w:cs="Arial"/>
                <w:sz w:val="22"/>
                <w:szCs w:val="22"/>
                <w:lang w:eastAsia="en-US"/>
              </w:rPr>
              <w:t xml:space="preserve"> </w:t>
            </w:r>
            <w:r>
              <w:rPr>
                <w:rFonts w:cs="Arial"/>
                <w:sz w:val="22"/>
                <w:szCs w:val="22"/>
              </w:rPr>
              <w:t xml:space="preserve">(see </w:t>
            </w:r>
            <w:r w:rsidRPr="00D5175E">
              <w:rPr>
                <w:rFonts w:eastAsiaTheme="minorHAnsi" w:cs="Arial"/>
                <w:sz w:val="22"/>
                <w:szCs w:val="22"/>
              </w:rPr>
              <w:t xml:space="preserve">DH </w:t>
            </w:r>
            <w:hyperlink r:id="rId38" w:history="1">
              <w:r w:rsidRPr="00D5175E">
                <w:rPr>
                  <w:rStyle w:val="Hyperlink"/>
                  <w:rFonts w:eastAsiaTheme="minorHAnsi" w:cs="Arial"/>
                  <w:sz w:val="22"/>
                  <w:szCs w:val="22"/>
                </w:rPr>
                <w:t>Reference guide to consent for examination or treatment</w:t>
              </w:r>
            </w:hyperlink>
            <w:r w:rsidRPr="00D5175E">
              <w:rPr>
                <w:rFonts w:eastAsiaTheme="minorHAnsi" w:cs="Arial"/>
                <w:sz w:val="22"/>
                <w:szCs w:val="22"/>
              </w:rPr>
              <w:t>)</w:t>
            </w:r>
            <w:r w:rsidRPr="00D5175E">
              <w:rPr>
                <w:rFonts w:cs="Arial"/>
                <w:sz w:val="22"/>
                <w:szCs w:val="22"/>
              </w:rPr>
              <w:t>.</w:t>
            </w:r>
          </w:p>
        </w:tc>
      </w:tr>
      <w:tr w:rsidR="0046701A" w:rsidRPr="00D06525" w:rsidTr="00B86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35" w:type="dxa"/>
          </w:tcPr>
          <w:p w:rsidR="0046701A" w:rsidRDefault="00DB5947" w:rsidP="0046701A">
            <w:pPr>
              <w:spacing w:before="120" w:after="120"/>
              <w:rPr>
                <w:rFonts w:cs="Arial"/>
                <w:b/>
                <w:sz w:val="22"/>
                <w:szCs w:val="22"/>
              </w:rPr>
            </w:pPr>
            <w:r>
              <w:lastRenderedPageBreak/>
              <w:br w:type="page"/>
            </w:r>
            <w:r w:rsidR="0046701A" w:rsidRPr="00D06525">
              <w:rPr>
                <w:rFonts w:cs="Arial"/>
                <w:b/>
                <w:sz w:val="22"/>
                <w:szCs w:val="22"/>
              </w:rPr>
              <w:t>Records</w:t>
            </w: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B8676F" w:rsidRPr="00B8676F" w:rsidRDefault="00B8676F" w:rsidP="00B8676F">
            <w:pPr>
              <w:spacing w:before="120" w:after="120"/>
              <w:contextualSpacing/>
              <w:rPr>
                <w:rFonts w:cs="Arial"/>
                <w:sz w:val="22"/>
                <w:szCs w:val="22"/>
              </w:rPr>
            </w:pPr>
          </w:p>
        </w:tc>
        <w:tc>
          <w:tcPr>
            <w:tcW w:w="7088" w:type="dxa"/>
          </w:tcPr>
          <w:p w:rsidR="0046701A" w:rsidRPr="00BC4017" w:rsidRDefault="0046701A" w:rsidP="0046701A">
            <w:pPr>
              <w:overflowPunct/>
              <w:autoSpaceDE/>
              <w:autoSpaceDN/>
              <w:adjustRightInd/>
              <w:spacing w:before="120"/>
              <w:ind w:left="34"/>
              <w:textAlignment w:val="auto"/>
              <w:rPr>
                <w:rFonts w:cs="Arial"/>
                <w:sz w:val="22"/>
                <w:szCs w:val="22"/>
              </w:rPr>
            </w:pPr>
            <w:r w:rsidRPr="00BC4017">
              <w:rPr>
                <w:rFonts w:cs="Arial"/>
                <w:sz w:val="22"/>
                <w:szCs w:val="22"/>
              </w:rPr>
              <w:t xml:space="preserve">Record: </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that valid informed consent was given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of individual, address, date of birth and GP with whom the individual is registered</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of immuniser</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and brand of vaccine</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date of administration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dose, form and route of administration of vaccine</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quantity administered</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batch number and expiry date</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anatomical site of vaccination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advice given, including advice given if excluded or declines immunisation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details of any adverse drug reactions and actions taken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BC4017">
              <w:rPr>
                <w:rFonts w:cs="Arial"/>
                <w:sz w:val="22"/>
                <w:szCs w:val="22"/>
              </w:rPr>
              <w:t>supplied via Patient Group Direction (PGD)</w:t>
            </w:r>
          </w:p>
          <w:p w:rsidR="0046701A" w:rsidRPr="00BC4017" w:rsidRDefault="0046701A" w:rsidP="0046701A">
            <w:pPr>
              <w:overflowPunct/>
              <w:autoSpaceDE/>
              <w:autoSpaceDN/>
              <w:adjustRightInd/>
              <w:spacing w:before="120" w:after="120"/>
              <w:textAlignment w:val="auto"/>
              <w:rPr>
                <w:rFonts w:cs="Arial"/>
                <w:sz w:val="22"/>
                <w:szCs w:val="22"/>
              </w:rPr>
            </w:pPr>
            <w:r w:rsidRPr="00BC4017">
              <w:rPr>
                <w:rFonts w:cs="Arial"/>
                <w:sz w:val="22"/>
                <w:szCs w:val="22"/>
              </w:rPr>
              <w:t xml:space="preserve">Records should be signed and dated (or a password controlled immunisers record on e-records). </w:t>
            </w:r>
          </w:p>
          <w:p w:rsidR="0046701A" w:rsidRPr="00BC4017" w:rsidRDefault="0046701A" w:rsidP="0046701A">
            <w:pPr>
              <w:spacing w:before="120" w:after="120"/>
              <w:rPr>
                <w:rFonts w:cs="Arial"/>
                <w:sz w:val="22"/>
                <w:szCs w:val="22"/>
              </w:rPr>
            </w:pPr>
            <w:r w:rsidRPr="00BC4017">
              <w:rPr>
                <w:rFonts w:cs="Arial"/>
                <w:sz w:val="22"/>
                <w:szCs w:val="22"/>
              </w:rPr>
              <w:t>All records should be clear, legible and contemporaneous.</w:t>
            </w:r>
          </w:p>
          <w:p w:rsidR="0046701A" w:rsidRPr="00BC4017" w:rsidRDefault="0046701A" w:rsidP="0046701A">
            <w:pPr>
              <w:spacing w:before="120" w:after="120"/>
              <w:rPr>
                <w:sz w:val="22"/>
                <w:szCs w:val="22"/>
              </w:rPr>
            </w:pPr>
            <w:r w:rsidRPr="00BC4017">
              <w:rPr>
                <w:sz w:val="22"/>
                <w:szCs w:val="22"/>
              </w:rPr>
              <w:t>This information should be recorded in the individual’s GP record. Where vaccine is administered outside the GP setting appropriate health records should be kept and the individual’s GP informed.</w:t>
            </w:r>
          </w:p>
          <w:p w:rsidR="002F306A" w:rsidRPr="00BC4017" w:rsidRDefault="001A2E9F" w:rsidP="001A2E9F">
            <w:pPr>
              <w:spacing w:before="120" w:after="120"/>
              <w:rPr>
                <w:sz w:val="22"/>
                <w:szCs w:val="22"/>
              </w:rPr>
            </w:pPr>
            <w:r w:rsidRPr="00BC4017">
              <w:rPr>
                <w:sz w:val="22"/>
                <w:szCs w:val="22"/>
              </w:rPr>
              <w:t>When vaccine is administered to individuals under 19 years of age, notify the local Child Health Information Systems team (Child Health Records Department) using the appropriate documentation/pathway as required by any local or contractual arrangement.</w:t>
            </w:r>
          </w:p>
          <w:p w:rsidR="001A2E9F" w:rsidRPr="00BC4017" w:rsidRDefault="002F306A" w:rsidP="001A2E9F">
            <w:pPr>
              <w:spacing w:before="120" w:after="120"/>
              <w:rPr>
                <w:sz w:val="22"/>
                <w:szCs w:val="22"/>
              </w:rPr>
            </w:pPr>
            <w:r w:rsidRPr="00BC4017">
              <w:rPr>
                <w:sz w:val="22"/>
                <w:szCs w:val="22"/>
              </w:rPr>
              <w:t>Systems should be in place to ensure that the HPV vaccination record is uploaded onto the National Health Application Infrastructure Services (NHAIS) system (also known as Open Exeter) for NHS cervical screening programme call-recall purposes</w:t>
            </w:r>
            <w:r w:rsidR="00BC4017">
              <w:rPr>
                <w:sz w:val="22"/>
                <w:szCs w:val="22"/>
              </w:rPr>
              <w:t>.</w:t>
            </w:r>
          </w:p>
          <w:p w:rsidR="0046701A" w:rsidRPr="00BC4017" w:rsidRDefault="0046701A" w:rsidP="00072B1F">
            <w:pPr>
              <w:spacing w:before="120" w:after="120"/>
              <w:rPr>
                <w:rFonts w:cs="Arial"/>
                <w:sz w:val="22"/>
                <w:szCs w:val="22"/>
              </w:rPr>
            </w:pPr>
            <w:r w:rsidRPr="00BC4017">
              <w:rPr>
                <w:rFonts w:cs="Arial"/>
                <w:sz w:val="22"/>
                <w:szCs w:val="22"/>
              </w:rPr>
              <w:t xml:space="preserve">A record of all individuals receiving treatment under this PGD should also be kept for audit purposes in accordance with local policy. </w:t>
            </w:r>
          </w:p>
        </w:tc>
      </w:tr>
    </w:tbl>
    <w:p w:rsidR="0046701A" w:rsidRDefault="0046701A" w:rsidP="0046701A">
      <w:pPr>
        <w:overflowPunct/>
        <w:autoSpaceDE/>
        <w:autoSpaceDN/>
        <w:adjustRightInd/>
        <w:jc w:val="center"/>
        <w:textAlignment w:val="auto"/>
        <w:rPr>
          <w:b/>
          <w:color w:val="FF0000"/>
          <w:szCs w:val="24"/>
        </w:rPr>
      </w:pPr>
      <w:r>
        <w:rPr>
          <w:b/>
          <w:color w:val="FF0000"/>
          <w:szCs w:val="24"/>
        </w:rPr>
        <w:br w:type="page"/>
      </w:r>
    </w:p>
    <w:p w:rsidR="0046701A" w:rsidRPr="00A60816" w:rsidRDefault="0046701A" w:rsidP="0046701A">
      <w:pPr>
        <w:pStyle w:val="ListParagraph"/>
        <w:numPr>
          <w:ilvl w:val="0"/>
          <w:numId w:val="5"/>
        </w:numPr>
        <w:rPr>
          <w:b/>
          <w:szCs w:val="24"/>
        </w:rPr>
      </w:pPr>
      <w:r w:rsidRPr="00A60816">
        <w:rPr>
          <w:b/>
          <w:szCs w:val="24"/>
        </w:rPr>
        <w:lastRenderedPageBreak/>
        <w:t>Key references</w:t>
      </w:r>
    </w:p>
    <w:p w:rsidR="0046701A" w:rsidRPr="00A956FD" w:rsidRDefault="0046701A" w:rsidP="0046701A">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46701A" w:rsidRPr="00A956FD" w:rsidTr="00772815">
        <w:tc>
          <w:tcPr>
            <w:tcW w:w="2835" w:type="dxa"/>
          </w:tcPr>
          <w:p w:rsidR="0046701A" w:rsidRPr="00A956FD" w:rsidRDefault="0046701A" w:rsidP="0046701A">
            <w:pPr>
              <w:spacing w:before="120" w:after="120"/>
              <w:rPr>
                <w:rFonts w:cs="Arial"/>
                <w:b/>
                <w:color w:val="FF0000"/>
                <w:sz w:val="22"/>
                <w:szCs w:val="22"/>
              </w:rPr>
            </w:pPr>
            <w:r w:rsidRPr="00A60816">
              <w:rPr>
                <w:rFonts w:cs="Arial"/>
                <w:b/>
                <w:sz w:val="22"/>
                <w:szCs w:val="22"/>
              </w:rPr>
              <w:t xml:space="preserve">Key references </w:t>
            </w:r>
          </w:p>
        </w:tc>
        <w:tc>
          <w:tcPr>
            <w:tcW w:w="7088" w:type="dxa"/>
          </w:tcPr>
          <w:p w:rsidR="0046701A" w:rsidRPr="008D6D7E" w:rsidRDefault="0046701A" w:rsidP="0046701A">
            <w:pPr>
              <w:spacing w:before="120" w:after="120"/>
              <w:rPr>
                <w:rFonts w:cs="Arial"/>
                <w:b/>
                <w:sz w:val="22"/>
                <w:szCs w:val="22"/>
              </w:rPr>
            </w:pPr>
            <w:r w:rsidRPr="008D6D7E">
              <w:rPr>
                <w:rFonts w:cs="Arial"/>
                <w:b/>
                <w:sz w:val="22"/>
                <w:szCs w:val="22"/>
              </w:rPr>
              <w:t>Human  Papilloma Virus (HPV) vaccine</w:t>
            </w:r>
          </w:p>
          <w:p w:rsidR="0046701A" w:rsidRPr="008D6D7E" w:rsidRDefault="0046701A" w:rsidP="00772815">
            <w:pPr>
              <w:pStyle w:val="ListParagraph"/>
              <w:spacing w:after="60"/>
              <w:ind w:left="318"/>
              <w:contextualSpacing w:val="0"/>
              <w:rPr>
                <w:rStyle w:val="Hyperlink"/>
                <w:rFonts w:cs="Arial"/>
                <w:sz w:val="22"/>
                <w:szCs w:val="22"/>
              </w:rPr>
            </w:pPr>
            <w:r w:rsidRPr="008D6D7E">
              <w:rPr>
                <w:sz w:val="22"/>
                <w:szCs w:val="22"/>
              </w:rPr>
              <w:t xml:space="preserve">Immunisation Against Infectious Disease: The Green Book </w:t>
            </w:r>
            <w:hyperlink r:id="rId39" w:history="1">
              <w:r w:rsidRPr="008D6D7E">
                <w:rPr>
                  <w:rStyle w:val="Hyperlink"/>
                  <w:rFonts w:cs="Arial"/>
                  <w:sz w:val="22"/>
                  <w:szCs w:val="22"/>
                </w:rPr>
                <w:t>Chapter 18a</w:t>
              </w:r>
            </w:hyperlink>
            <w:r w:rsidRPr="008D6D7E">
              <w:rPr>
                <w:rFonts w:cs="Arial"/>
                <w:sz w:val="22"/>
                <w:szCs w:val="22"/>
              </w:rPr>
              <w:t>, last updated 5 June 2014</w:t>
            </w:r>
            <w:r w:rsidR="008D6D7E" w:rsidRPr="008D6D7E">
              <w:rPr>
                <w:rStyle w:val="CommentReference"/>
                <w:sz w:val="22"/>
                <w:szCs w:val="22"/>
              </w:rPr>
              <w:t xml:space="preserve"> </w:t>
            </w:r>
            <w:hyperlink r:id="rId40" w:history="1">
              <w:r w:rsidRPr="008D6D7E">
                <w:rPr>
                  <w:rStyle w:val="Hyperlink"/>
                  <w:rFonts w:cs="Arial"/>
                  <w:sz w:val="22"/>
                  <w:szCs w:val="22"/>
                </w:rPr>
                <w:t>https://www.gov.uk/government/collections/immunisation-against-infectious-disease-the-green-book</w:t>
              </w:r>
            </w:hyperlink>
            <w:r w:rsidRPr="008D6D7E">
              <w:rPr>
                <w:rStyle w:val="Hyperlink"/>
                <w:rFonts w:cs="Arial"/>
                <w:sz w:val="22"/>
                <w:szCs w:val="22"/>
              </w:rPr>
              <w:t xml:space="preserve"> </w:t>
            </w:r>
          </w:p>
          <w:p w:rsidR="0046701A" w:rsidRPr="008D6D7E" w:rsidRDefault="0046701A" w:rsidP="00772815">
            <w:pPr>
              <w:pStyle w:val="ListParagraph"/>
              <w:numPr>
                <w:ilvl w:val="0"/>
                <w:numId w:val="13"/>
              </w:numPr>
              <w:spacing w:before="60" w:after="60"/>
              <w:ind w:left="318" w:hanging="284"/>
              <w:contextualSpacing w:val="0"/>
              <w:rPr>
                <w:rFonts w:cs="Arial"/>
                <w:color w:val="FF0000"/>
                <w:sz w:val="22"/>
                <w:szCs w:val="22"/>
                <w:u w:val="single"/>
              </w:rPr>
            </w:pPr>
            <w:r w:rsidRPr="008D6D7E">
              <w:rPr>
                <w:sz w:val="22"/>
                <w:szCs w:val="22"/>
              </w:rPr>
              <w:t>Summary of Product Characteristic for Gardasil</w:t>
            </w:r>
            <w:r w:rsidRPr="008D6D7E">
              <w:rPr>
                <w:sz w:val="22"/>
                <w:szCs w:val="22"/>
                <w:vertAlign w:val="superscript"/>
              </w:rPr>
              <w:t>®</w:t>
            </w:r>
            <w:r w:rsidRPr="008D6D7E">
              <w:rPr>
                <w:sz w:val="22"/>
                <w:szCs w:val="22"/>
              </w:rPr>
              <w:t xml:space="preserve">, MSD Ltd. Last updated </w:t>
            </w:r>
            <w:r w:rsidR="002F07F3" w:rsidRPr="008D6D7E">
              <w:rPr>
                <w:sz w:val="22"/>
                <w:szCs w:val="22"/>
              </w:rPr>
              <w:t>25</w:t>
            </w:r>
            <w:r w:rsidRPr="008D6D7E">
              <w:rPr>
                <w:sz w:val="22"/>
                <w:szCs w:val="22"/>
              </w:rPr>
              <w:t xml:space="preserve"> </w:t>
            </w:r>
            <w:r w:rsidR="002F07F3" w:rsidRPr="008D6D7E">
              <w:rPr>
                <w:sz w:val="22"/>
                <w:szCs w:val="22"/>
              </w:rPr>
              <w:t>April</w:t>
            </w:r>
            <w:r w:rsidRPr="008D6D7E">
              <w:rPr>
                <w:sz w:val="22"/>
                <w:szCs w:val="22"/>
              </w:rPr>
              <w:t xml:space="preserve"> 201</w:t>
            </w:r>
            <w:r w:rsidR="002F07F3" w:rsidRPr="008D6D7E">
              <w:rPr>
                <w:sz w:val="22"/>
                <w:szCs w:val="22"/>
              </w:rPr>
              <w:t>7</w:t>
            </w:r>
            <w:r w:rsidRPr="008D6D7E">
              <w:rPr>
                <w:sz w:val="22"/>
                <w:szCs w:val="22"/>
              </w:rPr>
              <w:t xml:space="preserve">.   </w:t>
            </w:r>
            <w:hyperlink r:id="rId41" w:history="1">
              <w:r w:rsidRPr="008D6D7E">
                <w:rPr>
                  <w:rStyle w:val="Hyperlink"/>
                  <w:rFonts w:cs="Arial"/>
                  <w:sz w:val="22"/>
                  <w:szCs w:val="22"/>
                </w:rPr>
                <w:t>http://www.medicines.org.uk/emc/medicine/19016</w:t>
              </w:r>
            </w:hyperlink>
          </w:p>
          <w:p w:rsidR="00772815" w:rsidRPr="008D6D7E" w:rsidRDefault="0046701A" w:rsidP="00772815">
            <w:pPr>
              <w:pStyle w:val="Default"/>
              <w:numPr>
                <w:ilvl w:val="0"/>
                <w:numId w:val="13"/>
              </w:numPr>
              <w:spacing w:before="60"/>
              <w:ind w:left="318" w:hanging="284"/>
              <w:rPr>
                <w:rFonts w:eastAsiaTheme="minorHAnsi"/>
                <w:color w:val="FF0000"/>
                <w:sz w:val="22"/>
                <w:szCs w:val="22"/>
                <w:lang w:eastAsia="en-US"/>
              </w:rPr>
            </w:pPr>
            <w:r w:rsidRPr="008D6D7E">
              <w:rPr>
                <w:rFonts w:cs="Times New Roman"/>
                <w:color w:val="auto"/>
                <w:sz w:val="22"/>
                <w:szCs w:val="22"/>
              </w:rPr>
              <w:t>NHS public health functions agreement 201</w:t>
            </w:r>
            <w:r w:rsidR="00772815" w:rsidRPr="008D6D7E">
              <w:rPr>
                <w:rFonts w:cs="Times New Roman"/>
                <w:color w:val="auto"/>
                <w:sz w:val="22"/>
                <w:szCs w:val="22"/>
              </w:rPr>
              <w:t>7</w:t>
            </w:r>
            <w:r w:rsidRPr="008D6D7E">
              <w:rPr>
                <w:rFonts w:cs="Times New Roman"/>
                <w:color w:val="auto"/>
                <w:sz w:val="22"/>
                <w:szCs w:val="22"/>
              </w:rPr>
              <w:t>-1</w:t>
            </w:r>
            <w:r w:rsidR="00772815" w:rsidRPr="008D6D7E">
              <w:rPr>
                <w:rFonts w:cs="Times New Roman"/>
                <w:color w:val="auto"/>
                <w:sz w:val="22"/>
                <w:szCs w:val="22"/>
              </w:rPr>
              <w:t>8</w:t>
            </w:r>
            <w:r w:rsidRPr="008D6D7E">
              <w:rPr>
                <w:rFonts w:cs="Times New Roman"/>
                <w:color w:val="auto"/>
                <w:sz w:val="22"/>
                <w:szCs w:val="22"/>
              </w:rPr>
              <w:t xml:space="preserve">, Service Specification No.11. Human Papillomavirus HPV Immunisation Programme. </w:t>
            </w:r>
            <w:r w:rsidR="00772815" w:rsidRPr="008D6D7E">
              <w:rPr>
                <w:rFonts w:cs="Times New Roman"/>
                <w:color w:val="auto"/>
                <w:sz w:val="22"/>
                <w:szCs w:val="22"/>
              </w:rPr>
              <w:t>April</w:t>
            </w:r>
            <w:r w:rsidR="00E53137" w:rsidRPr="008D6D7E">
              <w:rPr>
                <w:rFonts w:cs="Times New Roman"/>
                <w:color w:val="auto"/>
                <w:sz w:val="22"/>
                <w:szCs w:val="22"/>
              </w:rPr>
              <w:t xml:space="preserve"> 201</w:t>
            </w:r>
            <w:r w:rsidR="00772815" w:rsidRPr="008D6D7E">
              <w:rPr>
                <w:rFonts w:cs="Times New Roman"/>
                <w:color w:val="auto"/>
                <w:sz w:val="22"/>
                <w:szCs w:val="22"/>
              </w:rPr>
              <w:t>7</w:t>
            </w:r>
            <w:r w:rsidRPr="008D6D7E">
              <w:rPr>
                <w:rFonts w:cs="Times New Roman"/>
                <w:color w:val="auto"/>
                <w:sz w:val="22"/>
                <w:szCs w:val="22"/>
              </w:rPr>
              <w:t>.</w:t>
            </w:r>
          </w:p>
          <w:p w:rsidR="00E53137" w:rsidRPr="008D6D7E" w:rsidRDefault="00AD6214" w:rsidP="00772815">
            <w:pPr>
              <w:pStyle w:val="Default"/>
              <w:ind w:left="317"/>
              <w:rPr>
                <w:sz w:val="22"/>
                <w:szCs w:val="22"/>
              </w:rPr>
            </w:pPr>
            <w:hyperlink r:id="rId42" w:history="1">
              <w:r w:rsidR="00772815" w:rsidRPr="008D6D7E">
                <w:rPr>
                  <w:rStyle w:val="Hyperlink"/>
                  <w:rFonts w:cs="Times New Roman"/>
                  <w:sz w:val="22"/>
                  <w:szCs w:val="22"/>
                </w:rPr>
                <w:t>https://www.england.nhs.uk/commissioning/pub-hlth-res/</w:t>
              </w:r>
            </w:hyperlink>
            <w:r w:rsidR="00772815" w:rsidRPr="008D6D7E">
              <w:rPr>
                <w:rFonts w:cs="Times New Roman"/>
                <w:color w:val="auto"/>
                <w:sz w:val="22"/>
                <w:szCs w:val="22"/>
              </w:rPr>
              <w:t xml:space="preserve"> </w:t>
            </w:r>
            <w:r w:rsidR="0046701A" w:rsidRPr="008D6D7E">
              <w:rPr>
                <w:rFonts w:cs="Times New Roman"/>
                <w:color w:val="auto"/>
                <w:sz w:val="22"/>
                <w:szCs w:val="22"/>
              </w:rPr>
              <w:t xml:space="preserve"> </w:t>
            </w:r>
            <w:r w:rsidR="00E53137" w:rsidRPr="008D6D7E">
              <w:rPr>
                <w:sz w:val="22"/>
                <w:szCs w:val="22"/>
              </w:rPr>
              <w:t xml:space="preserve"> </w:t>
            </w:r>
          </w:p>
          <w:p w:rsidR="005B653B" w:rsidRPr="008D6D7E" w:rsidRDefault="005B653B" w:rsidP="005B653B">
            <w:pPr>
              <w:pStyle w:val="Default"/>
              <w:numPr>
                <w:ilvl w:val="0"/>
                <w:numId w:val="49"/>
              </w:numPr>
              <w:spacing w:before="60"/>
              <w:ind w:left="318" w:hanging="284"/>
              <w:rPr>
                <w:sz w:val="22"/>
                <w:szCs w:val="22"/>
              </w:rPr>
            </w:pPr>
            <w:r w:rsidRPr="008D6D7E">
              <w:rPr>
                <w:sz w:val="22"/>
                <w:szCs w:val="22"/>
              </w:rPr>
              <w:t>HPV Vaccination Consent Form, last updated 10 June 2014.</w:t>
            </w:r>
          </w:p>
          <w:p w:rsidR="005B653B" w:rsidRPr="008D6D7E" w:rsidRDefault="00AD6214" w:rsidP="005B653B">
            <w:pPr>
              <w:pStyle w:val="Default"/>
              <w:ind w:left="317"/>
              <w:rPr>
                <w:rFonts w:eastAsiaTheme="minorHAnsi"/>
                <w:color w:val="auto"/>
                <w:sz w:val="22"/>
                <w:szCs w:val="22"/>
                <w:lang w:eastAsia="en-US"/>
              </w:rPr>
            </w:pPr>
            <w:hyperlink r:id="rId43" w:history="1">
              <w:r w:rsidR="005B653B" w:rsidRPr="008D6D7E">
                <w:rPr>
                  <w:rStyle w:val="Hyperlink"/>
                  <w:rFonts w:eastAsiaTheme="minorHAnsi"/>
                  <w:sz w:val="22"/>
                  <w:szCs w:val="22"/>
                  <w:lang w:eastAsia="en-US"/>
                </w:rPr>
                <w:t>https://www.gov.uk/government/publications/human-papillomavirus-hpv-vaccination-consent-form</w:t>
              </w:r>
            </w:hyperlink>
            <w:r w:rsidR="005B653B" w:rsidRPr="008D6D7E">
              <w:rPr>
                <w:rFonts w:eastAsiaTheme="minorHAnsi"/>
                <w:color w:val="auto"/>
                <w:sz w:val="22"/>
                <w:szCs w:val="22"/>
                <w:lang w:eastAsia="en-US"/>
              </w:rPr>
              <w:t xml:space="preserve"> </w:t>
            </w:r>
          </w:p>
          <w:p w:rsidR="0046701A" w:rsidRPr="008D6D7E" w:rsidRDefault="005B653B" w:rsidP="000F0B20">
            <w:pPr>
              <w:pStyle w:val="Default"/>
              <w:spacing w:before="120" w:after="120"/>
              <w:rPr>
                <w:b/>
                <w:sz w:val="22"/>
                <w:szCs w:val="22"/>
              </w:rPr>
            </w:pPr>
            <w:r w:rsidRPr="008D6D7E">
              <w:rPr>
                <w:sz w:val="22"/>
                <w:szCs w:val="22"/>
              </w:rPr>
              <w:t xml:space="preserve"> </w:t>
            </w:r>
            <w:r w:rsidR="0046701A" w:rsidRPr="008D6D7E">
              <w:rPr>
                <w:b/>
                <w:sz w:val="22"/>
                <w:szCs w:val="22"/>
              </w:rPr>
              <w:t>General</w:t>
            </w:r>
          </w:p>
          <w:p w:rsidR="008D6D7E" w:rsidRPr="008D6D7E" w:rsidRDefault="001A2E9F" w:rsidP="008D6D7E">
            <w:pPr>
              <w:pStyle w:val="ListParagraph"/>
              <w:numPr>
                <w:ilvl w:val="0"/>
                <w:numId w:val="13"/>
              </w:numPr>
              <w:ind w:left="318" w:hanging="284"/>
              <w:contextualSpacing w:val="0"/>
              <w:rPr>
                <w:rFonts w:cs="Arial"/>
                <w:sz w:val="22"/>
                <w:szCs w:val="22"/>
                <w:u w:val="single"/>
              </w:rPr>
            </w:pPr>
            <w:r w:rsidRPr="008D6D7E">
              <w:rPr>
                <w:rFonts w:cs="Arial"/>
                <w:sz w:val="22"/>
                <w:szCs w:val="22"/>
              </w:rPr>
              <w:t xml:space="preserve">British National Formulary (BNF) and British National Formulary for Children (BNF-C) </w:t>
            </w:r>
            <w:hyperlink r:id="rId44" w:history="1">
              <w:r w:rsidRPr="008D6D7E">
                <w:rPr>
                  <w:rStyle w:val="Hyperlink"/>
                  <w:rFonts w:cs="Arial"/>
                  <w:sz w:val="22"/>
                  <w:szCs w:val="22"/>
                </w:rPr>
                <w:t>www.BNF.org</w:t>
              </w:r>
            </w:hyperlink>
            <w:r w:rsidRPr="008D6D7E">
              <w:rPr>
                <w:rStyle w:val="Hyperlink"/>
                <w:rFonts w:cs="Arial"/>
                <w:sz w:val="22"/>
                <w:szCs w:val="22"/>
              </w:rPr>
              <w:t xml:space="preserve">  </w:t>
            </w:r>
            <w:r w:rsidRPr="008D6D7E">
              <w:rPr>
                <w:rStyle w:val="Hyperlink"/>
                <w:sz w:val="22"/>
                <w:szCs w:val="22"/>
              </w:rPr>
              <w:t xml:space="preserve"> </w:t>
            </w:r>
            <w:hyperlink r:id="rId45" w:history="1">
              <w:r w:rsidR="008D6D7E" w:rsidRPr="004A6436">
                <w:rPr>
                  <w:rStyle w:val="Hyperlink"/>
                  <w:sz w:val="22"/>
                  <w:szCs w:val="22"/>
                </w:rPr>
                <w:t>https://bnf.nice.org.uk/drug/human-papillomavirus-vaccines.html</w:t>
              </w:r>
            </w:hyperlink>
          </w:p>
          <w:p w:rsidR="008D6D7E" w:rsidRPr="008D6D7E" w:rsidRDefault="00AD6214" w:rsidP="008D6D7E">
            <w:pPr>
              <w:pStyle w:val="ListParagraph"/>
              <w:spacing w:after="60"/>
              <w:ind w:left="318"/>
              <w:contextualSpacing w:val="0"/>
              <w:rPr>
                <w:rFonts w:cs="Arial"/>
                <w:sz w:val="22"/>
                <w:szCs w:val="22"/>
              </w:rPr>
            </w:pPr>
            <w:hyperlink r:id="rId46" w:history="1">
              <w:r w:rsidR="008D6D7E" w:rsidRPr="004A6436">
                <w:rPr>
                  <w:rStyle w:val="Hyperlink"/>
                  <w:sz w:val="22"/>
                  <w:szCs w:val="22"/>
                </w:rPr>
                <w:t>https://bnfc.nice.org.uk/drug/human-papillomavirus-vaccines.html</w:t>
              </w:r>
            </w:hyperlink>
          </w:p>
          <w:p w:rsidR="001A2E9F" w:rsidRPr="008D6D7E" w:rsidRDefault="001A2E9F" w:rsidP="008D6D7E">
            <w:pPr>
              <w:pStyle w:val="ListParagraph"/>
              <w:numPr>
                <w:ilvl w:val="0"/>
                <w:numId w:val="13"/>
              </w:numPr>
              <w:spacing w:before="60" w:after="60"/>
              <w:ind w:left="318" w:hanging="284"/>
              <w:contextualSpacing w:val="0"/>
              <w:rPr>
                <w:rStyle w:val="Hyperlink"/>
                <w:rFonts w:cs="Arial"/>
                <w:color w:val="auto"/>
                <w:sz w:val="22"/>
                <w:szCs w:val="22"/>
                <w:u w:val="none"/>
              </w:rPr>
            </w:pPr>
            <w:r w:rsidRPr="008D6D7E">
              <w:rPr>
                <w:sz w:val="22"/>
                <w:szCs w:val="22"/>
              </w:rPr>
              <w:t xml:space="preserve">Health Technical Memorandum 07-01: Safe Management of Healthcare Waste. Department of Health 20 March 2013 </w:t>
            </w:r>
            <w:hyperlink r:id="rId47" w:history="1">
              <w:r w:rsidRPr="008D6D7E">
                <w:rPr>
                  <w:rStyle w:val="Hyperlink"/>
                  <w:rFonts w:cs="Arial"/>
                  <w:sz w:val="22"/>
                  <w:szCs w:val="22"/>
                </w:rPr>
                <w:t>https://www.gov.uk/government/publications/guidance-on-the-safe-management-of-healthcare-waste</w:t>
              </w:r>
            </w:hyperlink>
          </w:p>
          <w:p w:rsidR="001A2E9F" w:rsidRPr="008D6D7E" w:rsidRDefault="001A2E9F" w:rsidP="00772815">
            <w:pPr>
              <w:pStyle w:val="ListParagraph"/>
              <w:numPr>
                <w:ilvl w:val="0"/>
                <w:numId w:val="13"/>
              </w:numPr>
              <w:spacing w:before="60" w:after="60"/>
              <w:ind w:left="318" w:hanging="284"/>
              <w:contextualSpacing w:val="0"/>
              <w:rPr>
                <w:rFonts w:cs="Arial"/>
                <w:sz w:val="22"/>
                <w:szCs w:val="22"/>
              </w:rPr>
            </w:pPr>
            <w:r w:rsidRPr="008D6D7E">
              <w:rPr>
                <w:rFonts w:eastAsiaTheme="minorHAnsi" w:cs="Arial"/>
                <w:sz w:val="22"/>
                <w:szCs w:val="22"/>
                <w:lang w:eastAsia="en-US"/>
              </w:rPr>
              <w:t xml:space="preserve">Immunisation knowledge and skills competence assessment tool. </w:t>
            </w:r>
            <w:r w:rsidRPr="008D6D7E">
              <w:rPr>
                <w:rFonts w:eastAsiaTheme="minorHAnsi" w:cs="Arial"/>
                <w:bCs/>
                <w:sz w:val="22"/>
                <w:szCs w:val="22"/>
                <w:lang w:eastAsia="en-US"/>
              </w:rPr>
              <w:t xml:space="preserve">Royal College of Nursing (RCN) 2015. </w:t>
            </w:r>
            <w:hyperlink r:id="rId48" w:history="1">
              <w:r w:rsidRPr="008D6D7E">
                <w:rPr>
                  <w:rStyle w:val="Hyperlink"/>
                  <w:rFonts w:cs="Arial"/>
                  <w:sz w:val="22"/>
                  <w:szCs w:val="22"/>
                </w:rPr>
                <w:t>https://www.rcn.org.uk/professional-development/publications/pub-005336</w:t>
              </w:r>
            </w:hyperlink>
            <w:r w:rsidRPr="008D6D7E">
              <w:rPr>
                <w:rFonts w:cs="Arial"/>
                <w:sz w:val="22"/>
                <w:szCs w:val="22"/>
              </w:rPr>
              <w:t xml:space="preserve"> </w:t>
            </w:r>
          </w:p>
          <w:p w:rsidR="00E46865" w:rsidRPr="008D6D7E" w:rsidRDefault="00E46865" w:rsidP="00E46865">
            <w:pPr>
              <w:pStyle w:val="ListParagraph"/>
              <w:numPr>
                <w:ilvl w:val="0"/>
                <w:numId w:val="13"/>
              </w:numPr>
              <w:spacing w:before="60" w:after="60"/>
              <w:ind w:left="318" w:hanging="284"/>
              <w:contextualSpacing w:val="0"/>
              <w:rPr>
                <w:rStyle w:val="Hyperlink"/>
                <w:rFonts w:cs="Arial"/>
                <w:color w:val="auto"/>
                <w:sz w:val="22"/>
                <w:szCs w:val="22"/>
                <w:u w:val="none"/>
              </w:rPr>
            </w:pPr>
            <w:r w:rsidRPr="008D6D7E">
              <w:rPr>
                <w:sz w:val="22"/>
                <w:szCs w:val="22"/>
              </w:rPr>
              <w:t xml:space="preserve">National Minimum Standards and Core Curriculum for Immunisation Training. Published February 2018 </w:t>
            </w:r>
            <w:hyperlink r:id="rId49" w:history="1">
              <w:r w:rsidRPr="008D6D7E">
                <w:rPr>
                  <w:rStyle w:val="Hyperlink"/>
                  <w:rFonts w:cs="Arial"/>
                  <w:sz w:val="22"/>
                  <w:szCs w:val="22"/>
                </w:rPr>
                <w:t>https://www.gov.uk/government/publications/national-minimum-standards-and-core-curriculum-for-immunisation-training-for-registered-healthcare-practitioners</w:t>
              </w:r>
            </w:hyperlink>
            <w:r w:rsidRPr="008D6D7E">
              <w:rPr>
                <w:sz w:val="22"/>
                <w:szCs w:val="22"/>
              </w:rPr>
              <w:t xml:space="preserve"> </w:t>
            </w:r>
            <w:r w:rsidRPr="008D6D7E">
              <w:rPr>
                <w:rStyle w:val="Hyperlink"/>
                <w:sz w:val="22"/>
                <w:szCs w:val="22"/>
              </w:rPr>
              <w:t xml:space="preserve"> </w:t>
            </w:r>
            <w:r w:rsidRPr="008D6D7E">
              <w:rPr>
                <w:rStyle w:val="Hyperlink"/>
                <w:rFonts w:cs="Arial"/>
                <w:color w:val="auto"/>
                <w:sz w:val="22"/>
                <w:szCs w:val="22"/>
              </w:rPr>
              <w:t xml:space="preserve"> </w:t>
            </w:r>
            <w:r w:rsidRPr="008D6D7E">
              <w:rPr>
                <w:rStyle w:val="Hyperlink"/>
                <w:rFonts w:cs="Arial"/>
                <w:color w:val="auto"/>
                <w:sz w:val="22"/>
                <w:szCs w:val="22"/>
                <w:u w:val="none"/>
              </w:rPr>
              <w:t xml:space="preserve"> </w:t>
            </w:r>
          </w:p>
          <w:p w:rsidR="001A2E9F" w:rsidRPr="008D6D7E" w:rsidRDefault="001A2E9F" w:rsidP="00772815">
            <w:pPr>
              <w:pStyle w:val="ListParagraph"/>
              <w:numPr>
                <w:ilvl w:val="0"/>
                <w:numId w:val="13"/>
              </w:numPr>
              <w:spacing w:before="60" w:after="60"/>
              <w:ind w:left="318" w:hanging="284"/>
              <w:contextualSpacing w:val="0"/>
              <w:rPr>
                <w:rFonts w:cs="Arial"/>
                <w:sz w:val="22"/>
                <w:szCs w:val="22"/>
              </w:rPr>
            </w:pPr>
            <w:r w:rsidRPr="008D6D7E">
              <w:rPr>
                <w:sz w:val="22"/>
                <w:szCs w:val="22"/>
              </w:rPr>
              <w:t xml:space="preserve">NICE Medicines Practice Guideline 2 (MPG2): Patient Group Directions. Published March 2017. </w:t>
            </w:r>
            <w:hyperlink r:id="rId50" w:history="1">
              <w:r w:rsidRPr="008D6D7E">
                <w:rPr>
                  <w:rStyle w:val="Hyperlink"/>
                  <w:rFonts w:cs="Arial"/>
                  <w:sz w:val="22"/>
                  <w:szCs w:val="22"/>
                </w:rPr>
                <w:t>https://www.nice.org.uk/guidance/mpg2</w:t>
              </w:r>
            </w:hyperlink>
            <w:r w:rsidRPr="008D6D7E">
              <w:rPr>
                <w:rFonts w:cs="Arial"/>
                <w:sz w:val="22"/>
                <w:szCs w:val="22"/>
              </w:rPr>
              <w:t xml:space="preserve"> </w:t>
            </w:r>
          </w:p>
          <w:p w:rsidR="001A2E9F" w:rsidRPr="008D6D7E" w:rsidRDefault="001A2E9F" w:rsidP="00772815">
            <w:pPr>
              <w:pStyle w:val="ListParagraph"/>
              <w:numPr>
                <w:ilvl w:val="0"/>
                <w:numId w:val="13"/>
              </w:numPr>
              <w:spacing w:before="60" w:after="60"/>
              <w:ind w:left="318" w:hanging="284"/>
              <w:contextualSpacing w:val="0"/>
              <w:rPr>
                <w:rFonts w:cs="Arial"/>
                <w:sz w:val="22"/>
                <w:szCs w:val="22"/>
              </w:rPr>
            </w:pPr>
            <w:r w:rsidRPr="008D6D7E">
              <w:rPr>
                <w:sz w:val="22"/>
                <w:szCs w:val="22"/>
              </w:rPr>
              <w:t xml:space="preserve">NICE MPG2 Patient group directions: competency framework for health professionals using patient group directions. January 2014.         </w:t>
            </w:r>
            <w:hyperlink r:id="rId51" w:history="1">
              <w:r w:rsidRPr="008D6D7E">
                <w:rPr>
                  <w:rStyle w:val="Hyperlink"/>
                  <w:rFonts w:cs="Arial"/>
                  <w:sz w:val="22"/>
                  <w:szCs w:val="22"/>
                </w:rPr>
                <w:t>https://www.nice.org.uk/guidance/mpg2/resources</w:t>
              </w:r>
            </w:hyperlink>
            <w:r w:rsidRPr="008D6D7E">
              <w:rPr>
                <w:rFonts w:cs="Arial"/>
                <w:sz w:val="22"/>
                <w:szCs w:val="22"/>
              </w:rPr>
              <w:t xml:space="preserve"> </w:t>
            </w:r>
          </w:p>
          <w:p w:rsidR="001A2E9F" w:rsidRPr="008D6D7E" w:rsidRDefault="001A2E9F" w:rsidP="00772815">
            <w:pPr>
              <w:pStyle w:val="ListParagraph"/>
              <w:numPr>
                <w:ilvl w:val="0"/>
                <w:numId w:val="13"/>
              </w:numPr>
              <w:spacing w:before="60" w:after="60"/>
              <w:ind w:left="318" w:hanging="284"/>
              <w:contextualSpacing w:val="0"/>
              <w:rPr>
                <w:rStyle w:val="Hyperlink"/>
                <w:rFonts w:cs="Arial"/>
                <w:color w:val="auto"/>
                <w:sz w:val="22"/>
                <w:szCs w:val="22"/>
                <w:u w:val="none"/>
              </w:rPr>
            </w:pPr>
            <w:r w:rsidRPr="008D6D7E">
              <w:rPr>
                <w:rFonts w:cs="Arial"/>
                <w:sz w:val="22"/>
                <w:szCs w:val="22"/>
              </w:rPr>
              <w:t xml:space="preserve">PHE Immunisation Collection </w:t>
            </w:r>
            <w:hyperlink r:id="rId52" w:history="1">
              <w:r w:rsidRPr="008D6D7E">
                <w:rPr>
                  <w:rStyle w:val="Hyperlink"/>
                  <w:rFonts w:cs="Arial"/>
                  <w:sz w:val="22"/>
                  <w:szCs w:val="22"/>
                </w:rPr>
                <w:t>https://www.gov.uk/government/collections/immunisation</w:t>
              </w:r>
            </w:hyperlink>
            <w:r w:rsidRPr="008D6D7E">
              <w:rPr>
                <w:rStyle w:val="Hyperlink"/>
                <w:sz w:val="22"/>
                <w:szCs w:val="22"/>
              </w:rPr>
              <w:t xml:space="preserve"> </w:t>
            </w:r>
          </w:p>
          <w:p w:rsidR="00772815" w:rsidRPr="008D6D7E" w:rsidRDefault="001A2E9F" w:rsidP="00772815">
            <w:pPr>
              <w:pStyle w:val="ListParagraph"/>
              <w:numPr>
                <w:ilvl w:val="0"/>
                <w:numId w:val="13"/>
              </w:numPr>
              <w:spacing w:before="60"/>
              <w:ind w:left="318" w:hanging="284"/>
              <w:contextualSpacing w:val="0"/>
              <w:rPr>
                <w:rFonts w:cs="Arial"/>
                <w:sz w:val="22"/>
                <w:szCs w:val="22"/>
              </w:rPr>
            </w:pPr>
            <w:r w:rsidRPr="008D6D7E">
              <w:rPr>
                <w:rFonts w:cs="Arial"/>
                <w:sz w:val="22"/>
                <w:szCs w:val="22"/>
              </w:rPr>
              <w:t>PHE Vaccine Incident Guidance</w:t>
            </w:r>
          </w:p>
          <w:p w:rsidR="001A2E9F" w:rsidRPr="008D6D7E" w:rsidRDefault="00AD6214" w:rsidP="00772815">
            <w:pPr>
              <w:pStyle w:val="ListParagraph"/>
              <w:ind w:left="318"/>
              <w:contextualSpacing w:val="0"/>
              <w:rPr>
                <w:rFonts w:cs="Arial"/>
                <w:sz w:val="22"/>
                <w:szCs w:val="22"/>
              </w:rPr>
            </w:pPr>
            <w:hyperlink r:id="rId53" w:history="1">
              <w:r w:rsidR="001A2E9F" w:rsidRPr="008D6D7E">
                <w:rPr>
                  <w:rStyle w:val="Hyperlink"/>
                  <w:rFonts w:cs="Arial"/>
                  <w:sz w:val="22"/>
                  <w:szCs w:val="22"/>
                </w:rPr>
                <w:t>https://www.gov.uk/government/publications/vaccine-incident-guidance-responding-to-vaccine-errors</w:t>
              </w:r>
            </w:hyperlink>
            <w:r w:rsidR="001A2E9F" w:rsidRPr="008D6D7E">
              <w:rPr>
                <w:rFonts w:cs="Arial"/>
                <w:sz w:val="22"/>
                <w:szCs w:val="22"/>
              </w:rPr>
              <w:t xml:space="preserve"> </w:t>
            </w:r>
          </w:p>
          <w:p w:rsidR="00772815" w:rsidRPr="008D6D7E" w:rsidRDefault="001A2E9F" w:rsidP="00772815">
            <w:pPr>
              <w:pStyle w:val="ListParagraph"/>
              <w:numPr>
                <w:ilvl w:val="0"/>
                <w:numId w:val="13"/>
              </w:numPr>
              <w:spacing w:before="60"/>
              <w:ind w:left="318" w:hanging="284"/>
              <w:contextualSpacing w:val="0"/>
              <w:rPr>
                <w:color w:val="0000FF"/>
                <w:sz w:val="22"/>
                <w:szCs w:val="22"/>
                <w:u w:val="single"/>
              </w:rPr>
            </w:pPr>
            <w:r w:rsidRPr="008D6D7E">
              <w:rPr>
                <w:sz w:val="22"/>
                <w:szCs w:val="22"/>
              </w:rPr>
              <w:t>Pr</w:t>
            </w:r>
            <w:r w:rsidRPr="008D6D7E">
              <w:rPr>
                <w:rFonts w:cs="Arial"/>
                <w:sz w:val="22"/>
                <w:szCs w:val="22"/>
              </w:rPr>
              <w:t>otocol for ordering storage and handling of vaccines. April 2014.</w:t>
            </w:r>
          </w:p>
          <w:p w:rsidR="000F0B20" w:rsidRDefault="00AD6214" w:rsidP="008D6D7E">
            <w:pPr>
              <w:pStyle w:val="ListParagraph"/>
              <w:ind w:left="318"/>
              <w:rPr>
                <w:sz w:val="22"/>
                <w:szCs w:val="22"/>
              </w:rPr>
            </w:pPr>
            <w:hyperlink r:id="rId54" w:history="1">
              <w:r w:rsidR="00772815" w:rsidRPr="008D6D7E">
                <w:rPr>
                  <w:rStyle w:val="Hyperlink"/>
                  <w:sz w:val="22"/>
                  <w:szCs w:val="22"/>
                </w:rPr>
                <w:t>https://www.gov.uk/government/publications/protocol-for-ordering-storing-and-handling-vaccines</w:t>
              </w:r>
            </w:hyperlink>
          </w:p>
          <w:p w:rsidR="000F0B20" w:rsidRPr="008D6D7E" w:rsidRDefault="000F0B20" w:rsidP="000F0B20">
            <w:pPr>
              <w:pStyle w:val="Default"/>
              <w:numPr>
                <w:ilvl w:val="0"/>
                <w:numId w:val="49"/>
              </w:numPr>
              <w:spacing w:before="60"/>
              <w:ind w:left="318" w:hanging="284"/>
              <w:rPr>
                <w:sz w:val="22"/>
                <w:szCs w:val="22"/>
              </w:rPr>
            </w:pPr>
            <w:r w:rsidRPr="008D6D7E">
              <w:rPr>
                <w:rFonts w:eastAsiaTheme="minorHAnsi"/>
                <w:color w:val="auto"/>
                <w:sz w:val="22"/>
                <w:szCs w:val="22"/>
                <w:lang w:eastAsia="en-US"/>
              </w:rPr>
              <w:t>Reference guide to consent for examination or treatment, Department of Health, published 4 August 2009.</w:t>
            </w:r>
          </w:p>
          <w:p w:rsidR="0046701A" w:rsidRPr="000F0B20" w:rsidRDefault="00AD6214" w:rsidP="000F0B20">
            <w:pPr>
              <w:pStyle w:val="Default"/>
              <w:ind w:left="318"/>
              <w:rPr>
                <w:rFonts w:cs="Times New Roman"/>
                <w:color w:val="auto"/>
                <w:sz w:val="22"/>
                <w:szCs w:val="22"/>
              </w:rPr>
            </w:pPr>
            <w:hyperlink r:id="rId55" w:history="1">
              <w:r w:rsidR="000F0B20" w:rsidRPr="008D6D7E">
                <w:rPr>
                  <w:rStyle w:val="Hyperlink"/>
                  <w:sz w:val="22"/>
                  <w:szCs w:val="22"/>
                </w:rPr>
                <w:t>https://www.gov.uk/government/publications/reference-guide-to-consent-for-examination-or-treatment-second-edition</w:t>
              </w:r>
            </w:hyperlink>
            <w:r w:rsidR="000F0B20" w:rsidRPr="008D6D7E">
              <w:rPr>
                <w:sz w:val="22"/>
                <w:szCs w:val="22"/>
              </w:rPr>
              <w:t xml:space="preserve"> </w:t>
            </w:r>
          </w:p>
        </w:tc>
      </w:tr>
    </w:tbl>
    <w:p w:rsidR="00A26527" w:rsidRPr="008D6D7E" w:rsidRDefault="00A26527" w:rsidP="008D6D7E">
      <w:pPr>
        <w:pStyle w:val="ListParagraph"/>
        <w:numPr>
          <w:ilvl w:val="0"/>
          <w:numId w:val="5"/>
        </w:numPr>
        <w:rPr>
          <w:b/>
        </w:rPr>
      </w:pPr>
      <w:r w:rsidRPr="008D6D7E">
        <w:rPr>
          <w:b/>
        </w:rPr>
        <w:lastRenderedPageBreak/>
        <w:t>Practitioner authorisation sheet</w:t>
      </w:r>
    </w:p>
    <w:p w:rsidR="00A26527" w:rsidRDefault="00A26527" w:rsidP="00A26527">
      <w:pPr>
        <w:overflowPunct/>
        <w:autoSpaceDE/>
        <w:autoSpaceDN/>
        <w:adjustRightInd/>
        <w:textAlignment w:val="auto"/>
        <w:rPr>
          <w:b/>
          <w:szCs w:val="24"/>
        </w:rPr>
      </w:pPr>
    </w:p>
    <w:p w:rsidR="00A26527" w:rsidRPr="00A905F6" w:rsidRDefault="00A26527" w:rsidP="00A26527">
      <w:pPr>
        <w:ind w:rightChars="-375" w:right="-900"/>
        <w:rPr>
          <w:rFonts w:cs="Arial"/>
          <w:b/>
          <w:szCs w:val="24"/>
        </w:rPr>
      </w:pPr>
      <w:r>
        <w:rPr>
          <w:b/>
          <w:szCs w:val="24"/>
        </w:rPr>
        <w:t>HPV vaccine</w:t>
      </w:r>
      <w:r w:rsidRPr="00A905F6">
        <w:rPr>
          <w:b/>
          <w:szCs w:val="24"/>
        </w:rPr>
        <w:t xml:space="preserve"> PGD </w:t>
      </w:r>
      <w:r>
        <w:rPr>
          <w:b/>
          <w:szCs w:val="24"/>
        </w:rPr>
        <w:t>v02.00</w:t>
      </w:r>
      <w:r w:rsidRPr="00A905F6">
        <w:rPr>
          <w:b/>
          <w:szCs w:val="24"/>
        </w:rPr>
        <w:t xml:space="preserve"> </w:t>
      </w:r>
      <w:r w:rsidRPr="00192EC3">
        <w:rPr>
          <w:b/>
          <w:szCs w:val="24"/>
        </w:rPr>
        <w:t xml:space="preserve">Valid from: </w:t>
      </w:r>
      <w:r>
        <w:rPr>
          <w:b/>
          <w:szCs w:val="24"/>
        </w:rPr>
        <w:t>01/05</w:t>
      </w:r>
      <w:r w:rsidR="004A40B0">
        <w:rPr>
          <w:b/>
          <w:szCs w:val="24"/>
        </w:rPr>
        <w:t>/2018</w:t>
      </w:r>
      <w:r w:rsidRPr="00192EC3">
        <w:rPr>
          <w:b/>
          <w:szCs w:val="24"/>
        </w:rPr>
        <w:t xml:space="preserve"> Expiry: </w:t>
      </w:r>
      <w:r>
        <w:rPr>
          <w:b/>
          <w:szCs w:val="24"/>
        </w:rPr>
        <w:t>30/04/2020</w:t>
      </w:r>
      <w:r w:rsidRPr="00192EC3">
        <w:rPr>
          <w:rFonts w:cs="Arial"/>
          <w:b/>
          <w:szCs w:val="24"/>
        </w:rPr>
        <w:t xml:space="preserve"> </w:t>
      </w:r>
    </w:p>
    <w:p w:rsidR="00A26527" w:rsidRPr="008D7620" w:rsidRDefault="00A26527" w:rsidP="00A26527">
      <w:pPr>
        <w:overflowPunct/>
        <w:autoSpaceDE/>
        <w:autoSpaceDN/>
        <w:adjustRightInd/>
        <w:textAlignment w:val="auto"/>
        <w:rPr>
          <w:b/>
          <w:szCs w:val="24"/>
        </w:rPr>
      </w:pPr>
    </w:p>
    <w:p w:rsidR="00A26527" w:rsidRDefault="00A26527" w:rsidP="00A26527">
      <w:pPr>
        <w:overflowPunct/>
        <w:autoSpaceDE/>
        <w:autoSpaceDN/>
        <w:adjustRightInd/>
        <w:textAlignment w:val="auto"/>
      </w:pPr>
      <w:r>
        <w:t>Before signing this PGD, check that the document has had the necessary authorisations in section two. Without these, this PGD is not lawfully valid.</w:t>
      </w:r>
    </w:p>
    <w:p w:rsidR="00A26527" w:rsidRDefault="00A26527" w:rsidP="00A26527">
      <w:pPr>
        <w:overflowPunct/>
        <w:autoSpaceDE/>
        <w:autoSpaceDN/>
        <w:adjustRightInd/>
        <w:textAlignment w:val="auto"/>
      </w:pPr>
    </w:p>
    <w:p w:rsidR="00A26527" w:rsidRPr="00FD1F29" w:rsidRDefault="00A26527" w:rsidP="00A26527">
      <w:pPr>
        <w:overflowPunct/>
        <w:autoSpaceDE/>
        <w:autoSpaceDN/>
        <w:adjustRightInd/>
        <w:textAlignment w:val="auto"/>
        <w:rPr>
          <w:b/>
          <w:szCs w:val="24"/>
        </w:rPr>
      </w:pPr>
      <w:r w:rsidRPr="00FD1F29">
        <w:rPr>
          <w:b/>
          <w:szCs w:val="24"/>
        </w:rPr>
        <w:t>Practitioner</w:t>
      </w:r>
    </w:p>
    <w:p w:rsidR="00A26527" w:rsidRPr="008D7620" w:rsidRDefault="00A26527" w:rsidP="00A26527">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rsidR="00A26527" w:rsidRPr="008D7620" w:rsidRDefault="00A26527" w:rsidP="00A26527">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rsidR="00A26527" w:rsidRPr="00FD1F29" w:rsidRDefault="00A26527" w:rsidP="00A26527">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A26527" w:rsidTr="003E6192">
        <w:tc>
          <w:tcPr>
            <w:tcW w:w="9747" w:type="dxa"/>
            <w:gridSpan w:val="4"/>
          </w:tcPr>
          <w:p w:rsidR="00A26527" w:rsidRPr="00FD1F29" w:rsidRDefault="00A26527" w:rsidP="00A26527">
            <w:pPr>
              <w:pStyle w:val="BodyText2"/>
              <w:spacing w:before="120" w:after="120"/>
              <w:jc w:val="left"/>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A26527" w:rsidTr="003E6192">
        <w:tc>
          <w:tcPr>
            <w:tcW w:w="2518" w:type="dxa"/>
          </w:tcPr>
          <w:p w:rsidR="00A26527" w:rsidRDefault="00A26527" w:rsidP="00A26527">
            <w:pPr>
              <w:spacing w:before="120" w:after="120"/>
              <w:jc w:val="left"/>
              <w:rPr>
                <w:szCs w:val="24"/>
              </w:rPr>
            </w:pPr>
            <w:r>
              <w:rPr>
                <w:szCs w:val="24"/>
              </w:rPr>
              <w:t>Name</w:t>
            </w:r>
          </w:p>
        </w:tc>
        <w:tc>
          <w:tcPr>
            <w:tcW w:w="3119" w:type="dxa"/>
          </w:tcPr>
          <w:p w:rsidR="00A26527" w:rsidRDefault="00A26527" w:rsidP="00A26527">
            <w:pPr>
              <w:spacing w:before="120" w:after="120"/>
              <w:jc w:val="left"/>
              <w:rPr>
                <w:szCs w:val="24"/>
              </w:rPr>
            </w:pPr>
            <w:r>
              <w:rPr>
                <w:szCs w:val="24"/>
              </w:rPr>
              <w:t>Designation</w:t>
            </w:r>
          </w:p>
        </w:tc>
        <w:tc>
          <w:tcPr>
            <w:tcW w:w="2693" w:type="dxa"/>
          </w:tcPr>
          <w:p w:rsidR="00A26527" w:rsidRDefault="00A26527" w:rsidP="00A26527">
            <w:pPr>
              <w:spacing w:before="120" w:after="120"/>
              <w:jc w:val="left"/>
              <w:rPr>
                <w:szCs w:val="24"/>
              </w:rPr>
            </w:pPr>
            <w:r>
              <w:rPr>
                <w:szCs w:val="24"/>
              </w:rPr>
              <w:t>Signature</w:t>
            </w:r>
          </w:p>
        </w:tc>
        <w:tc>
          <w:tcPr>
            <w:tcW w:w="1417" w:type="dxa"/>
          </w:tcPr>
          <w:p w:rsidR="00A26527" w:rsidRDefault="00A26527" w:rsidP="00A26527">
            <w:pPr>
              <w:spacing w:before="120" w:after="120"/>
              <w:jc w:val="left"/>
              <w:rPr>
                <w:szCs w:val="24"/>
              </w:rPr>
            </w:pPr>
            <w:r>
              <w:rPr>
                <w:szCs w:val="24"/>
              </w:rPr>
              <w:t>Date</w:t>
            </w:r>
          </w:p>
        </w:tc>
      </w:tr>
      <w:tr w:rsidR="00A26527" w:rsidTr="003E6192">
        <w:tc>
          <w:tcPr>
            <w:tcW w:w="2518" w:type="dxa"/>
          </w:tcPr>
          <w:p w:rsidR="00A26527" w:rsidRDefault="00A26527" w:rsidP="00A26527">
            <w:pPr>
              <w:spacing w:before="120" w:after="120"/>
              <w:jc w:val="left"/>
              <w:rPr>
                <w:szCs w:val="24"/>
              </w:rPr>
            </w:pPr>
            <w:permStart w:id="1240094256" w:edGrp="everyone" w:colFirst="0" w:colLast="0"/>
            <w:permStart w:id="642801454" w:edGrp="everyone" w:colFirst="1" w:colLast="1"/>
            <w:permStart w:id="126222452" w:edGrp="everyone" w:colFirst="2" w:colLast="2"/>
            <w:permStart w:id="1275748743" w:edGrp="everyone" w:colFirst="3" w:colLast="3"/>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1624404124" w:edGrp="everyone" w:colFirst="0" w:colLast="0"/>
            <w:permStart w:id="1552421524" w:edGrp="everyone" w:colFirst="1" w:colLast="1"/>
            <w:permStart w:id="659889618" w:edGrp="everyone" w:colFirst="2" w:colLast="2"/>
            <w:permStart w:id="683485967" w:edGrp="everyone" w:colFirst="3" w:colLast="3"/>
            <w:permEnd w:id="1240094256"/>
            <w:permEnd w:id="642801454"/>
            <w:permEnd w:id="126222452"/>
            <w:permEnd w:id="1275748743"/>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rPr>
          <w:trHeight w:val="569"/>
        </w:trPr>
        <w:tc>
          <w:tcPr>
            <w:tcW w:w="2518" w:type="dxa"/>
          </w:tcPr>
          <w:p w:rsidR="00A26527" w:rsidRDefault="00A26527" w:rsidP="00A26527">
            <w:pPr>
              <w:spacing w:before="120" w:after="120"/>
              <w:jc w:val="left"/>
              <w:rPr>
                <w:szCs w:val="24"/>
              </w:rPr>
            </w:pPr>
            <w:permStart w:id="336008663" w:edGrp="everyone" w:colFirst="0" w:colLast="0"/>
            <w:permStart w:id="668210804" w:edGrp="everyone" w:colFirst="1" w:colLast="1"/>
            <w:permStart w:id="653144271" w:edGrp="everyone" w:colFirst="2" w:colLast="2"/>
            <w:permStart w:id="750137668" w:edGrp="everyone" w:colFirst="3" w:colLast="3"/>
            <w:permEnd w:id="1624404124"/>
            <w:permEnd w:id="1552421524"/>
            <w:permEnd w:id="659889618"/>
            <w:permEnd w:id="683485967"/>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201461597" w:edGrp="everyone" w:colFirst="0" w:colLast="0"/>
            <w:permStart w:id="834292451" w:edGrp="everyone" w:colFirst="1" w:colLast="1"/>
            <w:permStart w:id="2097705741" w:edGrp="everyone" w:colFirst="2" w:colLast="2"/>
            <w:permStart w:id="1470366004" w:edGrp="everyone" w:colFirst="3" w:colLast="3"/>
            <w:permEnd w:id="336008663"/>
            <w:permEnd w:id="668210804"/>
            <w:permEnd w:id="653144271"/>
            <w:permEnd w:id="750137668"/>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1092581178" w:edGrp="everyone" w:colFirst="0" w:colLast="0"/>
            <w:permStart w:id="2123892902" w:edGrp="everyone" w:colFirst="1" w:colLast="1"/>
            <w:permStart w:id="885877067" w:edGrp="everyone" w:colFirst="2" w:colLast="2"/>
            <w:permStart w:id="1607616692" w:edGrp="everyone" w:colFirst="3" w:colLast="3"/>
            <w:permEnd w:id="201461597"/>
            <w:permEnd w:id="834292451"/>
            <w:permEnd w:id="2097705741"/>
            <w:permEnd w:id="1470366004"/>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1728925356" w:edGrp="everyone" w:colFirst="0" w:colLast="0"/>
            <w:permStart w:id="1056514037" w:edGrp="everyone" w:colFirst="1" w:colLast="1"/>
            <w:permStart w:id="2043354456" w:edGrp="everyone" w:colFirst="2" w:colLast="2"/>
            <w:permStart w:id="1685205561" w:edGrp="everyone" w:colFirst="3" w:colLast="3"/>
            <w:permEnd w:id="1092581178"/>
            <w:permEnd w:id="2123892902"/>
            <w:permEnd w:id="885877067"/>
            <w:permEnd w:id="1607616692"/>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799950883" w:edGrp="everyone" w:colFirst="0" w:colLast="0"/>
            <w:permStart w:id="661017999" w:edGrp="everyone" w:colFirst="1" w:colLast="1"/>
            <w:permStart w:id="1963073667" w:edGrp="everyone" w:colFirst="2" w:colLast="2"/>
            <w:permStart w:id="1521292087" w:edGrp="everyone" w:colFirst="3" w:colLast="3"/>
            <w:permEnd w:id="1728925356"/>
            <w:permEnd w:id="1056514037"/>
            <w:permEnd w:id="2043354456"/>
            <w:permEnd w:id="1685205561"/>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permEnd w:id="799950883"/>
      <w:permEnd w:id="661017999"/>
      <w:permEnd w:id="1963073667"/>
      <w:permEnd w:id="1521292087"/>
    </w:tbl>
    <w:p w:rsidR="00A26527" w:rsidRPr="008D7620" w:rsidRDefault="00A26527" w:rsidP="00A26527">
      <w:pPr>
        <w:rPr>
          <w:szCs w:val="24"/>
        </w:rPr>
      </w:pPr>
    </w:p>
    <w:p w:rsidR="00A26527" w:rsidRDefault="00A26527" w:rsidP="00A26527">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A26527" w:rsidRPr="00FD1F29" w:rsidTr="003E6192">
        <w:tc>
          <w:tcPr>
            <w:tcW w:w="9747" w:type="dxa"/>
            <w:gridSpan w:val="4"/>
          </w:tcPr>
          <w:p w:rsidR="00A26527" w:rsidRPr="001F085E" w:rsidRDefault="00A26527" w:rsidP="00A26527">
            <w:pPr>
              <w:pStyle w:val="BodyText"/>
              <w:spacing w:before="120"/>
              <w:ind w:right="423"/>
              <w:jc w:val="left"/>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575777880" w:edGrp="everyone"/>
            <w:r w:rsidRPr="0022054B">
              <w:rPr>
                <w:b/>
                <w:szCs w:val="24"/>
              </w:rPr>
              <w:t>INSERT NAME OF ORGANISATION</w:t>
            </w:r>
            <w:r w:rsidRPr="0022054B">
              <w:rPr>
                <w:szCs w:val="24"/>
              </w:rPr>
              <w:t xml:space="preserve"> </w:t>
            </w:r>
            <w:permEnd w:id="1575777880"/>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A26527" w:rsidTr="003E6192">
        <w:tc>
          <w:tcPr>
            <w:tcW w:w="2518" w:type="dxa"/>
          </w:tcPr>
          <w:p w:rsidR="00A26527" w:rsidRDefault="00A26527" w:rsidP="00A26527">
            <w:pPr>
              <w:spacing w:before="120" w:after="120"/>
              <w:jc w:val="left"/>
              <w:rPr>
                <w:szCs w:val="24"/>
              </w:rPr>
            </w:pPr>
            <w:r>
              <w:rPr>
                <w:szCs w:val="24"/>
              </w:rPr>
              <w:t>Name</w:t>
            </w:r>
          </w:p>
        </w:tc>
        <w:tc>
          <w:tcPr>
            <w:tcW w:w="3119" w:type="dxa"/>
          </w:tcPr>
          <w:p w:rsidR="00A26527" w:rsidRDefault="00A26527" w:rsidP="00A26527">
            <w:pPr>
              <w:spacing w:before="120" w:after="120"/>
              <w:jc w:val="left"/>
              <w:rPr>
                <w:szCs w:val="24"/>
              </w:rPr>
            </w:pPr>
            <w:r>
              <w:rPr>
                <w:szCs w:val="24"/>
              </w:rPr>
              <w:t>Designation</w:t>
            </w:r>
          </w:p>
        </w:tc>
        <w:tc>
          <w:tcPr>
            <w:tcW w:w="2693" w:type="dxa"/>
          </w:tcPr>
          <w:p w:rsidR="00A26527" w:rsidRDefault="00A26527" w:rsidP="00A26527">
            <w:pPr>
              <w:spacing w:before="120" w:after="120"/>
              <w:jc w:val="left"/>
              <w:rPr>
                <w:szCs w:val="24"/>
              </w:rPr>
            </w:pPr>
            <w:r>
              <w:rPr>
                <w:szCs w:val="24"/>
              </w:rPr>
              <w:t>Signature</w:t>
            </w:r>
          </w:p>
        </w:tc>
        <w:tc>
          <w:tcPr>
            <w:tcW w:w="1417" w:type="dxa"/>
          </w:tcPr>
          <w:p w:rsidR="00A26527" w:rsidRDefault="00A26527" w:rsidP="00A26527">
            <w:pPr>
              <w:spacing w:before="120" w:after="120"/>
              <w:jc w:val="left"/>
              <w:rPr>
                <w:szCs w:val="24"/>
              </w:rPr>
            </w:pPr>
            <w:r>
              <w:rPr>
                <w:szCs w:val="24"/>
              </w:rPr>
              <w:t>Date</w:t>
            </w:r>
          </w:p>
        </w:tc>
      </w:tr>
      <w:tr w:rsidR="00A26527" w:rsidTr="003E6192">
        <w:tc>
          <w:tcPr>
            <w:tcW w:w="2518" w:type="dxa"/>
          </w:tcPr>
          <w:p w:rsidR="00A26527" w:rsidRDefault="00A26527" w:rsidP="00A26527">
            <w:pPr>
              <w:spacing w:before="120" w:after="120"/>
              <w:jc w:val="left"/>
              <w:rPr>
                <w:szCs w:val="24"/>
              </w:rPr>
            </w:pPr>
            <w:permStart w:id="2012378082" w:edGrp="everyone" w:colFirst="0" w:colLast="0"/>
            <w:permStart w:id="1874935524" w:edGrp="everyone" w:colFirst="1" w:colLast="1"/>
            <w:permStart w:id="983767562" w:edGrp="everyone" w:colFirst="2" w:colLast="2"/>
            <w:permStart w:id="1318860017" w:edGrp="everyone" w:colFirst="3" w:colLast="3"/>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bl>
    <w:permEnd w:id="2012378082"/>
    <w:permEnd w:id="1874935524"/>
    <w:permEnd w:id="983767562"/>
    <w:permEnd w:id="1318860017"/>
    <w:p w:rsidR="00A26527" w:rsidRPr="00CD371D" w:rsidRDefault="00A26527" w:rsidP="00A26527">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rsidR="00A26527" w:rsidRDefault="00A26527" w:rsidP="00A26527">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rsidR="00A26527" w:rsidRPr="00D36470" w:rsidRDefault="00A26527" w:rsidP="00A26527">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rsidR="0046701A" w:rsidRPr="00D36470" w:rsidRDefault="0046701A" w:rsidP="0046701A">
      <w:pPr>
        <w:overflowPunct/>
        <w:autoSpaceDE/>
        <w:autoSpaceDN/>
        <w:adjustRightInd/>
        <w:textAlignment w:val="auto"/>
      </w:pPr>
    </w:p>
    <w:p w:rsidR="00891A53" w:rsidRDefault="00891A53"/>
    <w:sectPr w:rsidR="00891A53" w:rsidSect="00971436">
      <w:headerReference w:type="even" r:id="rId56"/>
      <w:headerReference w:type="default" r:id="rId57"/>
      <w:footerReference w:type="even" r:id="rId58"/>
      <w:footerReference w:type="default" r:id="rId59"/>
      <w:headerReference w:type="first" r:id="rId60"/>
      <w:footerReference w:type="first" r:id="rId61"/>
      <w:pgSz w:w="11906" w:h="16838" w:code="9"/>
      <w:pgMar w:top="1135" w:right="1021" w:bottom="0"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214" w:rsidRDefault="00AD6214" w:rsidP="0046701A">
      <w:r>
        <w:separator/>
      </w:r>
    </w:p>
  </w:endnote>
  <w:endnote w:type="continuationSeparator" w:id="0">
    <w:p w:rsidR="00AD6214" w:rsidRDefault="00AD6214" w:rsidP="0046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44" w:rsidRDefault="0006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D6" w:rsidRPr="0004464D" w:rsidRDefault="006249B3" w:rsidP="0046701A">
    <w:pPr>
      <w:pStyle w:val="Footer"/>
      <w:tabs>
        <w:tab w:val="clear" w:pos="8306"/>
        <w:tab w:val="right" w:pos="9781"/>
      </w:tabs>
      <w:rPr>
        <w:rStyle w:val="PageNumber"/>
        <w:rFonts w:ascii="Arial" w:hAnsi="Arial"/>
        <w:sz w:val="20"/>
      </w:rPr>
    </w:pPr>
    <w:r>
      <w:rPr>
        <w:rFonts w:ascii="Arial" w:hAnsi="Arial"/>
        <w:sz w:val="20"/>
      </w:rPr>
      <w:t>HPV PGD v02</w:t>
    </w:r>
    <w:r w:rsidR="006E29D6" w:rsidRPr="00684FD5">
      <w:rPr>
        <w:rFonts w:ascii="Arial" w:hAnsi="Arial"/>
        <w:sz w:val="20"/>
      </w:rPr>
      <w:t>.</w:t>
    </w:r>
    <w:r w:rsidR="006E29D6">
      <w:rPr>
        <w:rFonts w:ascii="Arial" w:hAnsi="Arial"/>
        <w:sz w:val="20"/>
      </w:rPr>
      <w:t>0</w:t>
    </w:r>
    <w:r>
      <w:rPr>
        <w:rFonts w:ascii="Arial" w:hAnsi="Arial"/>
        <w:sz w:val="20"/>
      </w:rPr>
      <w:t>0</w:t>
    </w:r>
    <w:r w:rsidR="00072B1F">
      <w:rPr>
        <w:rFonts w:ascii="Arial" w:hAnsi="Arial"/>
        <w:sz w:val="20"/>
      </w:rPr>
      <w:t xml:space="preserve"> </w:t>
    </w:r>
    <w:r w:rsidR="006E29D6" w:rsidRPr="00A26527">
      <w:rPr>
        <w:rFonts w:ascii="Arial" w:hAnsi="Arial"/>
        <w:sz w:val="20"/>
      </w:rPr>
      <w:t>Valid from: 01/05/2018 Expiry: 30/04/2020</w:t>
    </w:r>
    <w:r w:rsidR="006E29D6">
      <w:rPr>
        <w:rFonts w:ascii="Arial" w:hAnsi="Arial"/>
        <w:i/>
        <w:sz w:val="20"/>
      </w:rPr>
      <w:tab/>
    </w:r>
    <w:r w:rsidR="006E29D6">
      <w:rPr>
        <w:rFonts w:ascii="Arial" w:hAnsi="Arial"/>
        <w:sz w:val="20"/>
      </w:rPr>
      <w:t xml:space="preserve">             </w:t>
    </w:r>
    <w:r w:rsidR="006E29D6" w:rsidRPr="0004464D">
      <w:rPr>
        <w:rFonts w:ascii="Arial" w:hAnsi="Arial"/>
        <w:sz w:val="20"/>
      </w:rPr>
      <w:t xml:space="preserve">Page </w:t>
    </w:r>
    <w:r w:rsidR="006E29D6" w:rsidRPr="0004464D">
      <w:rPr>
        <w:rStyle w:val="PageNumber"/>
        <w:rFonts w:ascii="Arial" w:hAnsi="Arial"/>
        <w:sz w:val="20"/>
      </w:rPr>
      <w:fldChar w:fldCharType="begin"/>
    </w:r>
    <w:r w:rsidR="006E29D6" w:rsidRPr="0004464D">
      <w:rPr>
        <w:rStyle w:val="PageNumber"/>
        <w:rFonts w:ascii="Arial" w:hAnsi="Arial"/>
        <w:sz w:val="20"/>
      </w:rPr>
      <w:instrText xml:space="preserve"> PAGE </w:instrText>
    </w:r>
    <w:r w:rsidR="006E29D6" w:rsidRPr="0004464D">
      <w:rPr>
        <w:rStyle w:val="PageNumber"/>
        <w:rFonts w:ascii="Arial" w:hAnsi="Arial"/>
        <w:sz w:val="20"/>
      </w:rPr>
      <w:fldChar w:fldCharType="separate"/>
    </w:r>
    <w:r w:rsidR="00BD611F">
      <w:rPr>
        <w:rStyle w:val="PageNumber"/>
        <w:rFonts w:ascii="Arial" w:hAnsi="Arial"/>
        <w:noProof/>
        <w:sz w:val="20"/>
      </w:rPr>
      <w:t>2</w:t>
    </w:r>
    <w:r w:rsidR="006E29D6" w:rsidRPr="0004464D">
      <w:rPr>
        <w:rStyle w:val="PageNumber"/>
        <w:rFonts w:ascii="Arial" w:hAnsi="Arial"/>
        <w:sz w:val="20"/>
      </w:rPr>
      <w:fldChar w:fldCharType="end"/>
    </w:r>
    <w:r w:rsidR="006E29D6" w:rsidRPr="0004464D">
      <w:rPr>
        <w:rStyle w:val="PageNumber"/>
        <w:rFonts w:ascii="Arial" w:hAnsi="Arial"/>
        <w:sz w:val="20"/>
      </w:rPr>
      <w:t xml:space="preserve"> of </w:t>
    </w:r>
    <w:r w:rsidR="006E29D6" w:rsidRPr="0004464D">
      <w:rPr>
        <w:rStyle w:val="PageNumber"/>
        <w:rFonts w:ascii="Arial" w:hAnsi="Arial"/>
        <w:sz w:val="20"/>
      </w:rPr>
      <w:fldChar w:fldCharType="begin"/>
    </w:r>
    <w:r w:rsidR="006E29D6" w:rsidRPr="0004464D">
      <w:rPr>
        <w:rStyle w:val="PageNumber"/>
        <w:rFonts w:ascii="Arial" w:hAnsi="Arial"/>
        <w:sz w:val="20"/>
      </w:rPr>
      <w:instrText xml:space="preserve"> NUMPAGES </w:instrText>
    </w:r>
    <w:r w:rsidR="006E29D6" w:rsidRPr="0004464D">
      <w:rPr>
        <w:rStyle w:val="PageNumber"/>
        <w:rFonts w:ascii="Arial" w:hAnsi="Arial"/>
        <w:sz w:val="20"/>
      </w:rPr>
      <w:fldChar w:fldCharType="separate"/>
    </w:r>
    <w:r w:rsidR="00BD611F">
      <w:rPr>
        <w:rStyle w:val="PageNumber"/>
        <w:rFonts w:ascii="Arial" w:hAnsi="Arial"/>
        <w:noProof/>
        <w:sz w:val="20"/>
      </w:rPr>
      <w:t>14</w:t>
    </w:r>
    <w:r w:rsidR="006E29D6" w:rsidRPr="0004464D">
      <w:rPr>
        <w:rStyle w:val="PageNumber"/>
        <w:rFonts w:ascii="Arial" w:hAnsi="Arial"/>
        <w:sz w:val="20"/>
      </w:rPr>
      <w:fldChar w:fldCharType="end"/>
    </w:r>
  </w:p>
  <w:p w:rsidR="006E29D6" w:rsidRDefault="006E2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D6" w:rsidRPr="0004464D" w:rsidRDefault="006E29D6" w:rsidP="0046701A">
    <w:pPr>
      <w:pStyle w:val="Footer"/>
      <w:rPr>
        <w:rStyle w:val="PageNumber"/>
        <w:rFonts w:ascii="Arial" w:hAnsi="Arial"/>
        <w:sz w:val="20"/>
      </w:rPr>
    </w:pPr>
    <w:r w:rsidRPr="00684FD5">
      <w:rPr>
        <w:rFonts w:ascii="Arial" w:hAnsi="Arial"/>
        <w:sz w:val="20"/>
      </w:rPr>
      <w:t>HPV P</w:t>
    </w:r>
    <w:r w:rsidR="006249B3">
      <w:rPr>
        <w:rFonts w:ascii="Arial" w:hAnsi="Arial"/>
        <w:sz w:val="20"/>
      </w:rPr>
      <w:t>GD v02</w:t>
    </w:r>
    <w:r w:rsidRPr="00A26527">
      <w:rPr>
        <w:rFonts w:ascii="Arial" w:hAnsi="Arial"/>
        <w:sz w:val="20"/>
      </w:rPr>
      <w:t>.0</w:t>
    </w:r>
    <w:r w:rsidR="006249B3">
      <w:rPr>
        <w:rFonts w:ascii="Arial" w:hAnsi="Arial"/>
        <w:sz w:val="20"/>
      </w:rPr>
      <w:t>0</w:t>
    </w:r>
    <w:r w:rsidRPr="00A26527">
      <w:rPr>
        <w:rFonts w:ascii="Arial" w:hAnsi="Arial"/>
        <w:sz w:val="20"/>
      </w:rPr>
      <w:t xml:space="preserve"> Valid from: 01/05/201</w:t>
    </w:r>
    <w:r>
      <w:rPr>
        <w:rFonts w:ascii="Arial" w:hAnsi="Arial"/>
        <w:sz w:val="20"/>
      </w:rPr>
      <w:t>8</w:t>
    </w:r>
    <w:r w:rsidRPr="00A26527">
      <w:rPr>
        <w:rFonts w:ascii="Arial" w:hAnsi="Arial"/>
        <w:sz w:val="20"/>
      </w:rPr>
      <w:t xml:space="preserve"> Expiry: 30/04/20</w:t>
    </w:r>
    <w:r>
      <w:rPr>
        <w:rFonts w:ascii="Arial" w:hAnsi="Arial"/>
        <w:sz w:val="20"/>
      </w:rPr>
      <w:t>20</w:t>
    </w:r>
    <w:r w:rsidRPr="0004464D">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BD611F">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BD611F">
      <w:rPr>
        <w:rStyle w:val="PageNumber"/>
        <w:rFonts w:ascii="Arial" w:hAnsi="Arial"/>
        <w:noProof/>
        <w:sz w:val="20"/>
      </w:rPr>
      <w:t>14</w:t>
    </w:r>
    <w:r w:rsidRPr="0004464D">
      <w:rPr>
        <w:rStyle w:val="PageNumber"/>
        <w:rFonts w:ascii="Arial" w:hAnsi="Arial"/>
        <w:sz w:val="20"/>
      </w:rPr>
      <w:fldChar w:fldCharType="end"/>
    </w:r>
  </w:p>
  <w:p w:rsidR="006E29D6" w:rsidRDefault="006E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214" w:rsidRDefault="00AD6214" w:rsidP="0046701A">
      <w:r>
        <w:separator/>
      </w:r>
    </w:p>
  </w:footnote>
  <w:footnote w:type="continuationSeparator" w:id="0">
    <w:p w:rsidR="00AD6214" w:rsidRDefault="00AD6214" w:rsidP="0046701A">
      <w:r>
        <w:continuationSeparator/>
      </w:r>
    </w:p>
  </w:footnote>
  <w:footnote w:id="1">
    <w:p w:rsidR="006E29D6" w:rsidRDefault="006E29D6" w:rsidP="00684FD5">
      <w:pPr>
        <w:pStyle w:val="FootnoteText"/>
      </w:pPr>
      <w:r>
        <w:rPr>
          <w:rStyle w:val="FootnoteReference"/>
        </w:rPr>
        <w:footnoteRef/>
      </w:r>
      <w:r>
        <w:t xml:space="preserve"> This includes any relevant amendments to legislation (eg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2">
    <w:p w:rsidR="006E29D6" w:rsidRDefault="006E29D6">
      <w:pPr>
        <w:pStyle w:val="FootnoteText"/>
      </w:pPr>
      <w:r>
        <w:rPr>
          <w:rStyle w:val="FootnoteReference"/>
        </w:rPr>
        <w:footnoteRef/>
      </w:r>
      <w:r>
        <w:t xml:space="preserve"> Transgender girls</w:t>
      </w:r>
      <w:r w:rsidRPr="00DB2C3E">
        <w:rPr>
          <w:rFonts w:cs="Arial"/>
        </w:rPr>
        <w:t xml:space="preserve"> </w:t>
      </w:r>
      <w:r>
        <w:rPr>
          <w:rFonts w:cs="Arial"/>
        </w:rPr>
        <w:t xml:space="preserve">and transgender boys may be vaccinated in accordance with this PGD as appropriate. </w:t>
      </w:r>
    </w:p>
  </w:footnote>
  <w:footnote w:id="3">
    <w:p w:rsidR="006E29D6" w:rsidRPr="000E478E" w:rsidRDefault="006E29D6" w:rsidP="0046701A">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D6" w:rsidRDefault="000602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36094" o:spid="_x0000_s2050" type="#_x0000_t136" style="position:absolute;margin-left:0;margin-top:0;width:625.85pt;height:69.5pt;rotation:315;z-index:-251649024;mso-position-horizontal:center;mso-position-horizontal-relative:margin;mso-position-vertical:center;mso-position-vertical-relative:margin" o:allowincell="f" fillcolor="black [3213]" stroked="f">
          <v:textpath style="font-family:&quot;Arial&quot;;font-size:1pt" string="Withdrawn July 2019"/>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D6" w:rsidRDefault="000602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36095" o:spid="_x0000_s2051" type="#_x0000_t136" style="position:absolute;margin-left:0;margin-top:0;width:638.2pt;height:69.5pt;rotation:315;z-index:-251646976;mso-position-horizontal:center;mso-position-horizontal-relative:margin;mso-position-vertical:center;mso-position-vertical-relative:margin" o:allowincell="f" fillcolor="black [3213]" stroked="f">
          <v:textpath style="font-family:&quot;Arial&quot;;font-size:1pt" string="Withdrawn July 2019"/>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D6" w:rsidRDefault="00060244" w:rsidP="0046701A">
    <w:pPr>
      <w:pStyle w:val="Header"/>
      <w:ind w:left="-28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36093" o:spid="_x0000_s2049" type="#_x0000_t136" style="position:absolute;left:0;text-align:left;margin-left:0;margin-top:0;width:638.2pt;height:69.5pt;rotation:315;z-index:-251651072;mso-position-horizontal:center;mso-position-horizontal-relative:margin;mso-position-vertical:center;mso-position-vertical-relative:margin" o:allowincell="f" fillcolor="black [3213]" stroked="f">
          <v:textpath style="font-family:&quot;Arial&quot;;font-size:1pt" string="Withdrawn July 2019"/>
        </v:shape>
      </w:pict>
    </w:r>
    <w:r w:rsidR="006E29D6">
      <w:rPr>
        <w:rFonts w:ascii="Arial" w:hAnsi="Arial" w:cs="Arial"/>
        <w:b/>
        <w:bCs/>
        <w:noProof/>
        <w:color w:val="0000FF"/>
        <w:sz w:val="22"/>
        <w:szCs w:val="22"/>
      </w:rPr>
      <w:drawing>
        <wp:anchor distT="0" distB="0" distL="114300" distR="114300" simplePos="0" relativeHeight="251659264" behindDoc="1" locked="0" layoutInCell="1" allowOverlap="1" wp14:anchorId="329E6182" wp14:editId="010F96A4">
          <wp:simplePos x="0" y="0"/>
          <wp:positionH relativeFrom="column">
            <wp:posOffset>5227955</wp:posOffset>
          </wp:positionH>
          <wp:positionV relativeFrom="paragraph">
            <wp:posOffset>6985</wp:posOffset>
          </wp:positionV>
          <wp:extent cx="1132840" cy="360045"/>
          <wp:effectExtent l="0" t="0" r="0" b="1905"/>
          <wp:wrapTight wrapText="bothSides">
            <wp:wrapPolygon edited="0">
              <wp:start x="0" y="0"/>
              <wp:lineTo x="0" y="20571"/>
              <wp:lineTo x="21067" y="20571"/>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9D6">
      <w:rPr>
        <w:rFonts w:ascii="Arial" w:hAnsi="Arial" w:cs="Arial"/>
        <w:b/>
        <w:bCs/>
        <w:noProof/>
        <w:color w:val="0000FF"/>
        <w:sz w:val="22"/>
        <w:szCs w:val="22"/>
      </w:rPr>
      <w:drawing>
        <wp:anchor distT="0" distB="0" distL="114300" distR="114300" simplePos="0" relativeHeight="251663360" behindDoc="1" locked="0" layoutInCell="1" allowOverlap="1" wp14:anchorId="4E12BFF5" wp14:editId="405B048E">
          <wp:simplePos x="0" y="0"/>
          <wp:positionH relativeFrom="column">
            <wp:posOffset>-127635</wp:posOffset>
          </wp:positionH>
          <wp:positionV relativeFrom="paragraph">
            <wp:posOffset>-61595</wp:posOffset>
          </wp:positionV>
          <wp:extent cx="1301750" cy="843280"/>
          <wp:effectExtent l="0" t="0" r="0" b="0"/>
          <wp:wrapTight wrapText="bothSides">
            <wp:wrapPolygon edited="0">
              <wp:start x="0" y="0"/>
              <wp:lineTo x="0" y="20982"/>
              <wp:lineTo x="21179" y="20982"/>
              <wp:lineTo x="21179" y="0"/>
              <wp:lineTo x="0" y="0"/>
            </wp:wrapPolygon>
          </wp:wrapTight>
          <wp:docPr id="3" name="Picture 3"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84712"/>
    <w:multiLevelType w:val="hybridMultilevel"/>
    <w:tmpl w:val="71E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5" w15:restartNumberingAfterBreak="0">
    <w:nsid w:val="0C7B6AC9"/>
    <w:multiLevelType w:val="hybridMultilevel"/>
    <w:tmpl w:val="06A06CD4"/>
    <w:lvl w:ilvl="0" w:tplc="85128D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34981"/>
    <w:multiLevelType w:val="hybridMultilevel"/>
    <w:tmpl w:val="4FF4971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11E5442E"/>
    <w:multiLevelType w:val="hybridMultilevel"/>
    <w:tmpl w:val="F3EAFE7C"/>
    <w:lvl w:ilvl="0" w:tplc="92F4152E">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51365"/>
    <w:multiLevelType w:val="hybridMultilevel"/>
    <w:tmpl w:val="5D40F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134E2D"/>
    <w:multiLevelType w:val="hybridMultilevel"/>
    <w:tmpl w:val="B6F0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D2CC6"/>
    <w:multiLevelType w:val="hybridMultilevel"/>
    <w:tmpl w:val="A7E0CBF8"/>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83D88"/>
    <w:multiLevelType w:val="hybridMultilevel"/>
    <w:tmpl w:val="0FCC7170"/>
    <w:lvl w:ilvl="0" w:tplc="441EBC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2" w15:restartNumberingAfterBreak="0">
    <w:nsid w:val="3ECD1131"/>
    <w:multiLevelType w:val="hybridMultilevel"/>
    <w:tmpl w:val="8FA4F764"/>
    <w:lvl w:ilvl="0" w:tplc="69DC8968">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517A7"/>
    <w:multiLevelType w:val="hybridMultilevel"/>
    <w:tmpl w:val="0A4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6649F"/>
    <w:multiLevelType w:val="hybridMultilevel"/>
    <w:tmpl w:val="780C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8507F"/>
    <w:multiLevelType w:val="hybridMultilevel"/>
    <w:tmpl w:val="E16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83124"/>
    <w:multiLevelType w:val="hybridMultilevel"/>
    <w:tmpl w:val="D6A89A02"/>
    <w:lvl w:ilvl="0" w:tplc="4442E482">
      <w:start w:val="1"/>
      <w:numFmt w:val="decimal"/>
      <w:lvlText w:val="%1."/>
      <w:lvlJc w:val="left"/>
      <w:pPr>
        <w:ind w:left="64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3"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722C5"/>
    <w:multiLevelType w:val="hybridMultilevel"/>
    <w:tmpl w:val="195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353092"/>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34B92"/>
    <w:multiLevelType w:val="hybridMultilevel"/>
    <w:tmpl w:val="2AB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15:restartNumberingAfterBreak="0">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1"/>
  </w:num>
  <w:num w:numId="4">
    <w:abstractNumId w:val="38"/>
  </w:num>
  <w:num w:numId="5">
    <w:abstractNumId w:val="11"/>
  </w:num>
  <w:num w:numId="6">
    <w:abstractNumId w:val="1"/>
  </w:num>
  <w:num w:numId="7">
    <w:abstractNumId w:val="15"/>
  </w:num>
  <w:num w:numId="8">
    <w:abstractNumId w:val="32"/>
  </w:num>
  <w:num w:numId="9">
    <w:abstractNumId w:val="5"/>
  </w:num>
  <w:num w:numId="10">
    <w:abstractNumId w:val="13"/>
  </w:num>
  <w:num w:numId="11">
    <w:abstractNumId w:val="45"/>
  </w:num>
  <w:num w:numId="12">
    <w:abstractNumId w:val="42"/>
  </w:num>
  <w:num w:numId="13">
    <w:abstractNumId w:val="48"/>
  </w:num>
  <w:num w:numId="14">
    <w:abstractNumId w:val="19"/>
  </w:num>
  <w:num w:numId="15">
    <w:abstractNumId w:val="43"/>
  </w:num>
  <w:num w:numId="16">
    <w:abstractNumId w:val="44"/>
  </w:num>
  <w:num w:numId="17">
    <w:abstractNumId w:val="16"/>
  </w:num>
  <w:num w:numId="18">
    <w:abstractNumId w:val="6"/>
  </w:num>
  <w:num w:numId="19">
    <w:abstractNumId w:val="0"/>
  </w:num>
  <w:num w:numId="20">
    <w:abstractNumId w:val="35"/>
  </w:num>
  <w:num w:numId="21">
    <w:abstractNumId w:val="8"/>
  </w:num>
  <w:num w:numId="22">
    <w:abstractNumId w:val="26"/>
  </w:num>
  <w:num w:numId="23">
    <w:abstractNumId w:val="47"/>
  </w:num>
  <w:num w:numId="24">
    <w:abstractNumId w:val="10"/>
  </w:num>
  <w:num w:numId="25">
    <w:abstractNumId w:val="21"/>
  </w:num>
  <w:num w:numId="26">
    <w:abstractNumId w:val="39"/>
  </w:num>
  <w:num w:numId="27">
    <w:abstractNumId w:val="23"/>
  </w:num>
  <w:num w:numId="28">
    <w:abstractNumId w:val="18"/>
  </w:num>
  <w:num w:numId="29">
    <w:abstractNumId w:val="2"/>
  </w:num>
  <w:num w:numId="30">
    <w:abstractNumId w:val="4"/>
  </w:num>
  <w:num w:numId="31">
    <w:abstractNumId w:val="25"/>
  </w:num>
  <w:num w:numId="32">
    <w:abstractNumId w:val="46"/>
  </w:num>
  <w:num w:numId="33">
    <w:abstractNumId w:val="37"/>
  </w:num>
  <w:num w:numId="34">
    <w:abstractNumId w:val="36"/>
  </w:num>
  <w:num w:numId="35">
    <w:abstractNumId w:val="30"/>
  </w:num>
  <w:num w:numId="36">
    <w:abstractNumId w:val="33"/>
  </w:num>
  <w:num w:numId="37">
    <w:abstractNumId w:val="27"/>
  </w:num>
  <w:num w:numId="38">
    <w:abstractNumId w:val="41"/>
  </w:num>
  <w:num w:numId="39">
    <w:abstractNumId w:val="17"/>
  </w:num>
  <w:num w:numId="40">
    <w:abstractNumId w:val="3"/>
  </w:num>
  <w:num w:numId="41">
    <w:abstractNumId w:val="34"/>
  </w:num>
  <w:num w:numId="42">
    <w:abstractNumId w:val="29"/>
  </w:num>
  <w:num w:numId="43">
    <w:abstractNumId w:val="20"/>
  </w:num>
  <w:num w:numId="44">
    <w:abstractNumId w:val="9"/>
  </w:num>
  <w:num w:numId="45">
    <w:abstractNumId w:val="22"/>
  </w:num>
  <w:num w:numId="46">
    <w:abstractNumId w:val="40"/>
  </w:num>
  <w:num w:numId="47">
    <w:abstractNumId w:val="28"/>
  </w:num>
  <w:num w:numId="48">
    <w:abstractNumId w:val="1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comments" w:enforcement="1" w:cryptProviderType="rsaAES" w:cryptAlgorithmClass="hash" w:cryptAlgorithmType="typeAny" w:cryptAlgorithmSid="14" w:cryptSpinCount="100000" w:hash="M3wwMNy3sq/rudwKQ8yvHl8Y6FObkHLsBK83cUyVmlhzAlhuzqiEmGKf+wOyAfGSAhWHr1Q4j3poGcK4xy2kPg==" w:salt="5xermMvJjRefuo06zBrSG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1A"/>
    <w:rsid w:val="000077A5"/>
    <w:rsid w:val="0001568E"/>
    <w:rsid w:val="00016711"/>
    <w:rsid w:val="00026208"/>
    <w:rsid w:val="00027782"/>
    <w:rsid w:val="000323F8"/>
    <w:rsid w:val="00060244"/>
    <w:rsid w:val="00072B1F"/>
    <w:rsid w:val="000C525D"/>
    <w:rsid w:val="000D7D56"/>
    <w:rsid w:val="000F0A64"/>
    <w:rsid w:val="000F0B20"/>
    <w:rsid w:val="001029A8"/>
    <w:rsid w:val="00103F60"/>
    <w:rsid w:val="00124E89"/>
    <w:rsid w:val="00127CDC"/>
    <w:rsid w:val="001351D0"/>
    <w:rsid w:val="0014042A"/>
    <w:rsid w:val="00170FDF"/>
    <w:rsid w:val="001879F5"/>
    <w:rsid w:val="00193313"/>
    <w:rsid w:val="001A2E9F"/>
    <w:rsid w:val="001A7711"/>
    <w:rsid w:val="001B49EF"/>
    <w:rsid w:val="001B53DE"/>
    <w:rsid w:val="001C71A6"/>
    <w:rsid w:val="001D7843"/>
    <w:rsid w:val="001F6D0F"/>
    <w:rsid w:val="00203160"/>
    <w:rsid w:val="00270E27"/>
    <w:rsid w:val="002947DE"/>
    <w:rsid w:val="00294BCE"/>
    <w:rsid w:val="002A2256"/>
    <w:rsid w:val="002C66B3"/>
    <w:rsid w:val="002F07F3"/>
    <w:rsid w:val="002F306A"/>
    <w:rsid w:val="00306162"/>
    <w:rsid w:val="003112F6"/>
    <w:rsid w:val="0031619F"/>
    <w:rsid w:val="00317A24"/>
    <w:rsid w:val="003228B4"/>
    <w:rsid w:val="00336C19"/>
    <w:rsid w:val="00342DFB"/>
    <w:rsid w:val="0034679C"/>
    <w:rsid w:val="00381BE4"/>
    <w:rsid w:val="003D0FCA"/>
    <w:rsid w:val="003E2748"/>
    <w:rsid w:val="003E6192"/>
    <w:rsid w:val="0041343B"/>
    <w:rsid w:val="004171F3"/>
    <w:rsid w:val="00432FE5"/>
    <w:rsid w:val="00433EC2"/>
    <w:rsid w:val="00440004"/>
    <w:rsid w:val="0044589E"/>
    <w:rsid w:val="00446A70"/>
    <w:rsid w:val="00463DF9"/>
    <w:rsid w:val="0046661B"/>
    <w:rsid w:val="0046701A"/>
    <w:rsid w:val="004727BD"/>
    <w:rsid w:val="004979B0"/>
    <w:rsid w:val="00497DDB"/>
    <w:rsid w:val="004A40B0"/>
    <w:rsid w:val="004B1B50"/>
    <w:rsid w:val="004C4C85"/>
    <w:rsid w:val="004D278C"/>
    <w:rsid w:val="004E030A"/>
    <w:rsid w:val="004E355E"/>
    <w:rsid w:val="00550D26"/>
    <w:rsid w:val="00557EA1"/>
    <w:rsid w:val="005B653B"/>
    <w:rsid w:val="005B7497"/>
    <w:rsid w:val="005D3A69"/>
    <w:rsid w:val="005E795B"/>
    <w:rsid w:val="005F2E75"/>
    <w:rsid w:val="006249B3"/>
    <w:rsid w:val="00626654"/>
    <w:rsid w:val="006733D5"/>
    <w:rsid w:val="00684FD5"/>
    <w:rsid w:val="006E29D6"/>
    <w:rsid w:val="00713A7D"/>
    <w:rsid w:val="0071789F"/>
    <w:rsid w:val="00717B5E"/>
    <w:rsid w:val="00721F60"/>
    <w:rsid w:val="007319C3"/>
    <w:rsid w:val="00745227"/>
    <w:rsid w:val="007510B7"/>
    <w:rsid w:val="00761654"/>
    <w:rsid w:val="0076488C"/>
    <w:rsid w:val="00772815"/>
    <w:rsid w:val="00784FDF"/>
    <w:rsid w:val="007A7E38"/>
    <w:rsid w:val="007F3B08"/>
    <w:rsid w:val="008005F5"/>
    <w:rsid w:val="008037E6"/>
    <w:rsid w:val="008240DB"/>
    <w:rsid w:val="008321A1"/>
    <w:rsid w:val="008342DE"/>
    <w:rsid w:val="00840604"/>
    <w:rsid w:val="00842897"/>
    <w:rsid w:val="00891A53"/>
    <w:rsid w:val="00894738"/>
    <w:rsid w:val="008A4890"/>
    <w:rsid w:val="008D6D7E"/>
    <w:rsid w:val="008E1315"/>
    <w:rsid w:val="008F15BF"/>
    <w:rsid w:val="009167F5"/>
    <w:rsid w:val="0092694B"/>
    <w:rsid w:val="0096024C"/>
    <w:rsid w:val="00971436"/>
    <w:rsid w:val="009803CE"/>
    <w:rsid w:val="00997BD8"/>
    <w:rsid w:val="009A2533"/>
    <w:rsid w:val="009A57BB"/>
    <w:rsid w:val="009C6D22"/>
    <w:rsid w:val="009E7A05"/>
    <w:rsid w:val="00A0600C"/>
    <w:rsid w:val="00A130B6"/>
    <w:rsid w:val="00A15F90"/>
    <w:rsid w:val="00A26527"/>
    <w:rsid w:val="00AC4293"/>
    <w:rsid w:val="00AD6214"/>
    <w:rsid w:val="00AD7D14"/>
    <w:rsid w:val="00AF78A1"/>
    <w:rsid w:val="00B00C0A"/>
    <w:rsid w:val="00B27FAF"/>
    <w:rsid w:val="00B51C6D"/>
    <w:rsid w:val="00B633A8"/>
    <w:rsid w:val="00B8676F"/>
    <w:rsid w:val="00BA1E0F"/>
    <w:rsid w:val="00BB445D"/>
    <w:rsid w:val="00BB65E1"/>
    <w:rsid w:val="00BC4017"/>
    <w:rsid w:val="00BD611F"/>
    <w:rsid w:val="00BD73F7"/>
    <w:rsid w:val="00BF68A9"/>
    <w:rsid w:val="00C015C9"/>
    <w:rsid w:val="00C13385"/>
    <w:rsid w:val="00C1699E"/>
    <w:rsid w:val="00C16E78"/>
    <w:rsid w:val="00C442E9"/>
    <w:rsid w:val="00C446B1"/>
    <w:rsid w:val="00C5301A"/>
    <w:rsid w:val="00C566FF"/>
    <w:rsid w:val="00CB4CAA"/>
    <w:rsid w:val="00CB7872"/>
    <w:rsid w:val="00CE34F6"/>
    <w:rsid w:val="00D113AE"/>
    <w:rsid w:val="00D36341"/>
    <w:rsid w:val="00D5175E"/>
    <w:rsid w:val="00D51EA3"/>
    <w:rsid w:val="00D5700A"/>
    <w:rsid w:val="00D6630F"/>
    <w:rsid w:val="00D963AD"/>
    <w:rsid w:val="00DB2C3E"/>
    <w:rsid w:val="00DB5947"/>
    <w:rsid w:val="00E025BE"/>
    <w:rsid w:val="00E46865"/>
    <w:rsid w:val="00E53137"/>
    <w:rsid w:val="00E53638"/>
    <w:rsid w:val="00E65B41"/>
    <w:rsid w:val="00E87626"/>
    <w:rsid w:val="00E935CE"/>
    <w:rsid w:val="00E93F11"/>
    <w:rsid w:val="00ED0028"/>
    <w:rsid w:val="00ED1D25"/>
    <w:rsid w:val="00ED6BD3"/>
    <w:rsid w:val="00EF14AF"/>
    <w:rsid w:val="00EF63D2"/>
    <w:rsid w:val="00F12C94"/>
    <w:rsid w:val="00F4063E"/>
    <w:rsid w:val="00F5532B"/>
    <w:rsid w:val="00F75142"/>
    <w:rsid w:val="00F874FA"/>
    <w:rsid w:val="00FA2E6C"/>
    <w:rsid w:val="00FB2594"/>
    <w:rsid w:val="00FF1CEC"/>
    <w:rsid w:val="00FF3E66"/>
    <w:rsid w:val="00FF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FBB921"/>
  <w15:docId w15:val="{8EA528B2-2F09-49D4-9C82-CC293E77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01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701A"/>
    <w:pPr>
      <w:keepNext/>
      <w:spacing w:after="120"/>
      <w:outlineLvl w:val="0"/>
    </w:pPr>
    <w:rPr>
      <w:rFonts w:ascii="Times New Roman" w:hAnsi="Times New Roman"/>
      <w:sz w:val="28"/>
    </w:rPr>
  </w:style>
  <w:style w:type="paragraph" w:styleId="Heading2">
    <w:name w:val="heading 2"/>
    <w:basedOn w:val="Normal"/>
    <w:next w:val="Normal"/>
    <w:link w:val="Heading2Char"/>
    <w:qFormat/>
    <w:rsid w:val="0046701A"/>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46701A"/>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46701A"/>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46701A"/>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46701A"/>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01A"/>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46701A"/>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46701A"/>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46701A"/>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46701A"/>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46701A"/>
    <w:rPr>
      <w:rFonts w:ascii="Times New Roman" w:eastAsia="Times New Roman" w:hAnsi="Times New Roman" w:cs="Times New Roman"/>
      <w:b/>
      <w:i/>
      <w:sz w:val="24"/>
      <w:szCs w:val="20"/>
      <w:lang w:eastAsia="en-GB"/>
    </w:rPr>
  </w:style>
  <w:style w:type="paragraph" w:styleId="Header">
    <w:name w:val="header"/>
    <w:basedOn w:val="Normal"/>
    <w:link w:val="HeaderChar"/>
    <w:rsid w:val="0046701A"/>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6701A"/>
    <w:rPr>
      <w:rFonts w:ascii="Times New Roman" w:eastAsia="Times New Roman" w:hAnsi="Times New Roman" w:cs="Times New Roman"/>
      <w:sz w:val="24"/>
      <w:szCs w:val="20"/>
      <w:lang w:eastAsia="en-GB"/>
    </w:rPr>
  </w:style>
  <w:style w:type="paragraph" w:styleId="Footer">
    <w:name w:val="footer"/>
    <w:basedOn w:val="Normal"/>
    <w:link w:val="FooterChar"/>
    <w:rsid w:val="0046701A"/>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46701A"/>
    <w:rPr>
      <w:rFonts w:ascii="Times New Roman" w:eastAsia="Times New Roman" w:hAnsi="Times New Roman" w:cs="Times New Roman"/>
      <w:sz w:val="24"/>
      <w:szCs w:val="20"/>
      <w:lang w:eastAsia="en-GB"/>
    </w:rPr>
  </w:style>
  <w:style w:type="character" w:styleId="PageNumber">
    <w:name w:val="page number"/>
    <w:basedOn w:val="DefaultParagraphFont"/>
    <w:rsid w:val="0046701A"/>
  </w:style>
  <w:style w:type="character" w:styleId="Hyperlink">
    <w:name w:val="Hyperlink"/>
    <w:basedOn w:val="DefaultParagraphFont"/>
    <w:rsid w:val="0046701A"/>
    <w:rPr>
      <w:color w:val="0000FF"/>
      <w:u w:val="single"/>
    </w:rPr>
  </w:style>
  <w:style w:type="paragraph" w:styleId="BodyText2">
    <w:name w:val="Body Text 2"/>
    <w:basedOn w:val="Normal"/>
    <w:link w:val="BodyText2Char"/>
    <w:rsid w:val="0046701A"/>
    <w:pPr>
      <w:overflowPunct/>
      <w:autoSpaceDE/>
      <w:autoSpaceDN/>
      <w:adjustRightInd/>
      <w:textAlignment w:val="auto"/>
    </w:pPr>
    <w:rPr>
      <w:sz w:val="17"/>
    </w:rPr>
  </w:style>
  <w:style w:type="character" w:customStyle="1" w:styleId="BodyText2Char">
    <w:name w:val="Body Text 2 Char"/>
    <w:basedOn w:val="DefaultParagraphFont"/>
    <w:link w:val="BodyText2"/>
    <w:rsid w:val="0046701A"/>
    <w:rPr>
      <w:rFonts w:ascii="Arial" w:eastAsia="Times New Roman" w:hAnsi="Arial" w:cs="Times New Roman"/>
      <w:sz w:val="17"/>
      <w:szCs w:val="20"/>
      <w:lang w:eastAsia="en-GB"/>
    </w:rPr>
  </w:style>
  <w:style w:type="paragraph" w:styleId="BodyText3">
    <w:name w:val="Body Text 3"/>
    <w:basedOn w:val="Normal"/>
    <w:link w:val="BodyText3Char"/>
    <w:rsid w:val="0046701A"/>
    <w:pPr>
      <w:spacing w:after="120"/>
    </w:pPr>
    <w:rPr>
      <w:sz w:val="16"/>
      <w:szCs w:val="16"/>
    </w:rPr>
  </w:style>
  <w:style w:type="character" w:customStyle="1" w:styleId="BodyText3Char">
    <w:name w:val="Body Text 3 Char"/>
    <w:basedOn w:val="DefaultParagraphFont"/>
    <w:link w:val="BodyText3"/>
    <w:rsid w:val="0046701A"/>
    <w:rPr>
      <w:rFonts w:ascii="Arial" w:eastAsia="Times New Roman" w:hAnsi="Arial" w:cs="Times New Roman"/>
      <w:sz w:val="16"/>
      <w:szCs w:val="16"/>
      <w:lang w:eastAsia="en-GB"/>
    </w:rPr>
  </w:style>
  <w:style w:type="paragraph" w:styleId="NormalWeb">
    <w:name w:val="Normal (Web)"/>
    <w:basedOn w:val="Normal"/>
    <w:uiPriority w:val="99"/>
    <w:rsid w:val="0046701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46701A"/>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46701A"/>
    <w:rPr>
      <w:b/>
      <w:bCs/>
    </w:rPr>
  </w:style>
  <w:style w:type="paragraph" w:styleId="FootnoteText">
    <w:name w:val="footnote text"/>
    <w:basedOn w:val="Normal"/>
    <w:link w:val="FootnoteTextChar"/>
    <w:uiPriority w:val="99"/>
    <w:semiHidden/>
    <w:unhideWhenUsed/>
    <w:rsid w:val="0046701A"/>
    <w:rPr>
      <w:sz w:val="20"/>
    </w:rPr>
  </w:style>
  <w:style w:type="character" w:customStyle="1" w:styleId="FootnoteTextChar">
    <w:name w:val="Footnote Text Char"/>
    <w:basedOn w:val="DefaultParagraphFont"/>
    <w:link w:val="FootnoteText"/>
    <w:uiPriority w:val="99"/>
    <w:semiHidden/>
    <w:rsid w:val="0046701A"/>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46701A"/>
    <w:rPr>
      <w:vertAlign w:val="superscript"/>
    </w:rPr>
  </w:style>
  <w:style w:type="paragraph" w:styleId="BodyText">
    <w:name w:val="Body Text"/>
    <w:basedOn w:val="Normal"/>
    <w:link w:val="BodyTextChar"/>
    <w:unhideWhenUsed/>
    <w:rsid w:val="0046701A"/>
    <w:pPr>
      <w:spacing w:after="120"/>
    </w:pPr>
  </w:style>
  <w:style w:type="character" w:customStyle="1" w:styleId="BodyTextChar">
    <w:name w:val="Body Text Char"/>
    <w:basedOn w:val="DefaultParagraphFont"/>
    <w:link w:val="BodyText"/>
    <w:rsid w:val="0046701A"/>
    <w:rPr>
      <w:rFonts w:ascii="Arial" w:eastAsia="Times New Roman" w:hAnsi="Arial" w:cs="Times New Roman"/>
      <w:sz w:val="24"/>
      <w:szCs w:val="20"/>
      <w:lang w:eastAsia="en-GB"/>
    </w:rPr>
  </w:style>
  <w:style w:type="paragraph" w:customStyle="1" w:styleId="Default">
    <w:name w:val="Default"/>
    <w:rsid w:val="0046701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46701A"/>
    <w:pPr>
      <w:ind w:left="720"/>
      <w:contextualSpacing/>
    </w:pPr>
  </w:style>
  <w:style w:type="paragraph" w:styleId="BalloonText">
    <w:name w:val="Balloon Text"/>
    <w:basedOn w:val="Normal"/>
    <w:link w:val="BalloonTextChar"/>
    <w:uiPriority w:val="99"/>
    <w:semiHidden/>
    <w:unhideWhenUsed/>
    <w:rsid w:val="0046701A"/>
    <w:rPr>
      <w:rFonts w:ascii="Tahoma" w:hAnsi="Tahoma" w:cs="Tahoma"/>
      <w:sz w:val="16"/>
      <w:szCs w:val="16"/>
    </w:rPr>
  </w:style>
  <w:style w:type="character" w:customStyle="1" w:styleId="BalloonTextChar">
    <w:name w:val="Balloon Text Char"/>
    <w:basedOn w:val="DefaultParagraphFont"/>
    <w:link w:val="BalloonText"/>
    <w:uiPriority w:val="99"/>
    <w:semiHidden/>
    <w:rsid w:val="0046701A"/>
    <w:rPr>
      <w:rFonts w:ascii="Tahoma" w:eastAsia="Times New Roman" w:hAnsi="Tahoma" w:cs="Tahoma"/>
      <w:sz w:val="16"/>
      <w:szCs w:val="16"/>
      <w:lang w:eastAsia="en-GB"/>
    </w:rPr>
  </w:style>
  <w:style w:type="paragraph" w:styleId="Title">
    <w:name w:val="Title"/>
    <w:basedOn w:val="Normal"/>
    <w:link w:val="TitleChar"/>
    <w:qFormat/>
    <w:rsid w:val="0046701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46701A"/>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46701A"/>
  </w:style>
  <w:style w:type="paragraph" w:customStyle="1" w:styleId="Tabletext">
    <w:name w:val="Table text"/>
    <w:basedOn w:val="Normal"/>
    <w:rsid w:val="0046701A"/>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46701A"/>
    <w:rPr>
      <w:sz w:val="16"/>
      <w:szCs w:val="16"/>
    </w:rPr>
  </w:style>
  <w:style w:type="paragraph" w:styleId="CommentText">
    <w:name w:val="annotation text"/>
    <w:basedOn w:val="Normal"/>
    <w:link w:val="CommentTextChar"/>
    <w:uiPriority w:val="99"/>
    <w:unhideWhenUsed/>
    <w:rsid w:val="0046701A"/>
    <w:rPr>
      <w:sz w:val="20"/>
    </w:rPr>
  </w:style>
  <w:style w:type="character" w:customStyle="1" w:styleId="CommentTextChar">
    <w:name w:val="Comment Text Char"/>
    <w:basedOn w:val="DefaultParagraphFont"/>
    <w:link w:val="CommentText"/>
    <w:uiPriority w:val="99"/>
    <w:rsid w:val="0046701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701A"/>
    <w:rPr>
      <w:b/>
      <w:bCs/>
    </w:rPr>
  </w:style>
  <w:style w:type="character" w:customStyle="1" w:styleId="CommentSubjectChar">
    <w:name w:val="Comment Subject Char"/>
    <w:basedOn w:val="CommentTextChar"/>
    <w:link w:val="CommentSubject"/>
    <w:uiPriority w:val="99"/>
    <w:semiHidden/>
    <w:rsid w:val="0046701A"/>
    <w:rPr>
      <w:rFonts w:ascii="Arial" w:eastAsia="Times New Roman" w:hAnsi="Arial" w:cs="Times New Roman"/>
      <w:b/>
      <w:bCs/>
      <w:sz w:val="20"/>
      <w:szCs w:val="20"/>
      <w:lang w:eastAsia="en-GB"/>
    </w:rPr>
  </w:style>
  <w:style w:type="table" w:styleId="TableGrid">
    <w:name w:val="Table Grid"/>
    <w:basedOn w:val="TableNormal"/>
    <w:uiPriority w:val="59"/>
    <w:rsid w:val="0046701A"/>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6">
    <w:name w:val="A6"/>
    <w:uiPriority w:val="99"/>
    <w:rsid w:val="0046701A"/>
    <w:rPr>
      <w:rFonts w:cs="TimesNewRomanPS"/>
      <w:color w:val="191817"/>
      <w:sz w:val="16"/>
      <w:szCs w:val="16"/>
    </w:rPr>
  </w:style>
  <w:style w:type="paragraph" w:customStyle="1" w:styleId="Pa4">
    <w:name w:val="Pa4"/>
    <w:basedOn w:val="Default"/>
    <w:next w:val="Default"/>
    <w:uiPriority w:val="99"/>
    <w:rsid w:val="0046701A"/>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46701A"/>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7">
    <w:name w:val="A7"/>
    <w:uiPriority w:val="99"/>
    <w:rsid w:val="0046701A"/>
    <w:rPr>
      <w:rFonts w:ascii="ZapfDingbats" w:eastAsia="ZapfDingbats" w:cs="ZapfDingbats"/>
      <w:color w:val="53AF2E"/>
      <w:sz w:val="14"/>
      <w:szCs w:val="14"/>
    </w:rPr>
  </w:style>
  <w:style w:type="paragraph" w:customStyle="1" w:styleId="Pa5">
    <w:name w:val="Pa5"/>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46701A"/>
    <w:rPr>
      <w:rFonts w:ascii="Frutiger 45 Light" w:hAnsi="Frutiger 45 Light" w:cs="Frutiger 45 Light"/>
      <w:b/>
      <w:bCs/>
      <w:color w:val="000000"/>
      <w:sz w:val="18"/>
      <w:szCs w:val="18"/>
    </w:rPr>
  </w:style>
  <w:style w:type="character" w:customStyle="1" w:styleId="A11">
    <w:name w:val="A11"/>
    <w:uiPriority w:val="99"/>
    <w:rsid w:val="0046701A"/>
    <w:rPr>
      <w:rFonts w:cs="Frutiger 55 Roman"/>
      <w:color w:val="000000"/>
    </w:rPr>
  </w:style>
  <w:style w:type="character" w:customStyle="1" w:styleId="A12">
    <w:name w:val="A12"/>
    <w:uiPriority w:val="99"/>
    <w:rsid w:val="0046701A"/>
    <w:rPr>
      <w:rFonts w:cs="Frutiger 55 Roman"/>
      <w:color w:val="000000"/>
      <w:sz w:val="8"/>
      <w:szCs w:val="8"/>
    </w:rPr>
  </w:style>
  <w:style w:type="paragraph" w:customStyle="1" w:styleId="Pa2">
    <w:name w:val="Pa2"/>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46701A"/>
    <w:rPr>
      <w:color w:val="000000"/>
      <w:sz w:val="12"/>
      <w:szCs w:val="12"/>
    </w:rPr>
  </w:style>
  <w:style w:type="character" w:customStyle="1" w:styleId="A1">
    <w:name w:val="A1"/>
    <w:uiPriority w:val="99"/>
    <w:rsid w:val="0046701A"/>
    <w:rPr>
      <w:rFonts w:cs="Helvetica Light"/>
      <w:color w:val="000000"/>
      <w:sz w:val="20"/>
      <w:szCs w:val="20"/>
    </w:rPr>
  </w:style>
  <w:style w:type="character" w:customStyle="1" w:styleId="st1">
    <w:name w:val="st1"/>
    <w:basedOn w:val="DefaultParagraphFont"/>
    <w:rsid w:val="0046701A"/>
  </w:style>
  <w:style w:type="paragraph" w:customStyle="1" w:styleId="CM13">
    <w:name w:val="CM13"/>
    <w:basedOn w:val="Default"/>
    <w:next w:val="Default"/>
    <w:uiPriority w:val="99"/>
    <w:rsid w:val="0046701A"/>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46701A"/>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46701A"/>
    <w:rPr>
      <w:rFonts w:ascii="ZapfDingbats" w:hAnsi="ZapfDingbats" w:cs="ZapfDingbats"/>
      <w:color w:val="000000"/>
      <w:sz w:val="14"/>
      <w:szCs w:val="14"/>
    </w:rPr>
  </w:style>
  <w:style w:type="paragraph" w:customStyle="1" w:styleId="Pa15">
    <w:name w:val="Pa15"/>
    <w:basedOn w:val="Default"/>
    <w:next w:val="Default"/>
    <w:uiPriority w:val="99"/>
    <w:rsid w:val="0046701A"/>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701A"/>
    <w:pPr>
      <w:spacing w:line="256" w:lineRule="atLeast"/>
    </w:pPr>
    <w:rPr>
      <w:rFonts w:ascii="Frutiger 45 Light" w:eastAsiaTheme="minorHAnsi" w:hAnsi="Frutiger 45 Light" w:cs="Times New Roman"/>
      <w:color w:val="auto"/>
      <w:lang w:eastAsia="en-US"/>
    </w:rPr>
  </w:style>
  <w:style w:type="paragraph" w:customStyle="1" w:styleId="Pa13">
    <w:name w:val="Pa13"/>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paragraph" w:styleId="Revision">
    <w:name w:val="Revision"/>
    <w:hidden/>
    <w:uiPriority w:val="99"/>
    <w:semiHidden/>
    <w:rsid w:val="00717B5E"/>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A4890"/>
    <w:rPr>
      <w:color w:val="800080" w:themeColor="followedHyperlink"/>
      <w:u w:val="single"/>
    </w:rPr>
  </w:style>
  <w:style w:type="character" w:customStyle="1" w:styleId="highlight">
    <w:name w:val="highlight"/>
    <w:basedOn w:val="DefaultParagraphFont"/>
    <w:rsid w:val="00E9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80293">
      <w:bodyDiv w:val="1"/>
      <w:marLeft w:val="0"/>
      <w:marRight w:val="0"/>
      <w:marTop w:val="0"/>
      <w:marBottom w:val="0"/>
      <w:divBdr>
        <w:top w:val="none" w:sz="0" w:space="0" w:color="auto"/>
        <w:left w:val="none" w:sz="0" w:space="0" w:color="auto"/>
        <w:bottom w:val="none" w:sz="0" w:space="0" w:color="auto"/>
        <w:right w:val="none" w:sz="0" w:space="0" w:color="auto"/>
      </w:divBdr>
    </w:div>
    <w:div w:id="500967848">
      <w:bodyDiv w:val="1"/>
      <w:marLeft w:val="0"/>
      <w:marRight w:val="0"/>
      <w:marTop w:val="0"/>
      <w:marBottom w:val="0"/>
      <w:divBdr>
        <w:top w:val="none" w:sz="0" w:space="0" w:color="auto"/>
        <w:left w:val="none" w:sz="0" w:space="0" w:color="auto"/>
        <w:bottom w:val="none" w:sz="0" w:space="0" w:color="auto"/>
        <w:right w:val="none" w:sz="0" w:space="0" w:color="auto"/>
      </w:divBdr>
    </w:div>
    <w:div w:id="552162088">
      <w:bodyDiv w:val="1"/>
      <w:marLeft w:val="0"/>
      <w:marRight w:val="0"/>
      <w:marTop w:val="0"/>
      <w:marBottom w:val="0"/>
      <w:divBdr>
        <w:top w:val="none" w:sz="0" w:space="0" w:color="auto"/>
        <w:left w:val="none" w:sz="0" w:space="0" w:color="auto"/>
        <w:bottom w:val="none" w:sz="0" w:space="0" w:color="auto"/>
        <w:right w:val="none" w:sz="0" w:space="0" w:color="auto"/>
      </w:divBdr>
    </w:div>
    <w:div w:id="661473480">
      <w:bodyDiv w:val="1"/>
      <w:marLeft w:val="0"/>
      <w:marRight w:val="0"/>
      <w:marTop w:val="0"/>
      <w:marBottom w:val="0"/>
      <w:divBdr>
        <w:top w:val="none" w:sz="0" w:space="0" w:color="auto"/>
        <w:left w:val="none" w:sz="0" w:space="0" w:color="auto"/>
        <w:bottom w:val="none" w:sz="0" w:space="0" w:color="auto"/>
        <w:right w:val="none" w:sz="0" w:space="0" w:color="auto"/>
      </w:divBdr>
      <w:divsChild>
        <w:div w:id="864173311">
          <w:marLeft w:val="0"/>
          <w:marRight w:val="0"/>
          <w:marTop w:val="0"/>
          <w:marBottom w:val="0"/>
          <w:divBdr>
            <w:top w:val="none" w:sz="0" w:space="0" w:color="auto"/>
            <w:left w:val="none" w:sz="0" w:space="0" w:color="auto"/>
            <w:bottom w:val="none" w:sz="0" w:space="0" w:color="auto"/>
            <w:right w:val="none" w:sz="0" w:space="0" w:color="auto"/>
          </w:divBdr>
        </w:div>
        <w:div w:id="611210573">
          <w:marLeft w:val="0"/>
          <w:marRight w:val="0"/>
          <w:marTop w:val="0"/>
          <w:marBottom w:val="0"/>
          <w:divBdr>
            <w:top w:val="none" w:sz="0" w:space="0" w:color="auto"/>
            <w:left w:val="none" w:sz="0" w:space="0" w:color="auto"/>
            <w:bottom w:val="none" w:sz="0" w:space="0" w:color="auto"/>
            <w:right w:val="none" w:sz="0" w:space="0" w:color="auto"/>
          </w:divBdr>
        </w:div>
        <w:div w:id="514418632">
          <w:marLeft w:val="0"/>
          <w:marRight w:val="0"/>
          <w:marTop w:val="0"/>
          <w:marBottom w:val="0"/>
          <w:divBdr>
            <w:top w:val="none" w:sz="0" w:space="0" w:color="auto"/>
            <w:left w:val="none" w:sz="0" w:space="0" w:color="auto"/>
            <w:bottom w:val="none" w:sz="0" w:space="0" w:color="auto"/>
            <w:right w:val="none" w:sz="0" w:space="0" w:color="auto"/>
          </w:divBdr>
        </w:div>
        <w:div w:id="390495072">
          <w:marLeft w:val="0"/>
          <w:marRight w:val="0"/>
          <w:marTop w:val="0"/>
          <w:marBottom w:val="0"/>
          <w:divBdr>
            <w:top w:val="none" w:sz="0" w:space="0" w:color="auto"/>
            <w:left w:val="none" w:sz="0" w:space="0" w:color="auto"/>
            <w:bottom w:val="none" w:sz="0" w:space="0" w:color="auto"/>
            <w:right w:val="none" w:sz="0" w:space="0" w:color="auto"/>
          </w:divBdr>
        </w:div>
        <w:div w:id="736436289">
          <w:marLeft w:val="0"/>
          <w:marRight w:val="0"/>
          <w:marTop w:val="0"/>
          <w:marBottom w:val="0"/>
          <w:divBdr>
            <w:top w:val="none" w:sz="0" w:space="0" w:color="auto"/>
            <w:left w:val="none" w:sz="0" w:space="0" w:color="auto"/>
            <w:bottom w:val="none" w:sz="0" w:space="0" w:color="auto"/>
            <w:right w:val="none" w:sz="0" w:space="0" w:color="auto"/>
          </w:divBdr>
        </w:div>
        <w:div w:id="1754468147">
          <w:marLeft w:val="0"/>
          <w:marRight w:val="0"/>
          <w:marTop w:val="0"/>
          <w:marBottom w:val="0"/>
          <w:divBdr>
            <w:top w:val="none" w:sz="0" w:space="0" w:color="auto"/>
            <w:left w:val="none" w:sz="0" w:space="0" w:color="auto"/>
            <w:bottom w:val="none" w:sz="0" w:space="0" w:color="auto"/>
            <w:right w:val="none" w:sz="0" w:space="0" w:color="auto"/>
          </w:divBdr>
        </w:div>
      </w:divsChild>
    </w:div>
    <w:div w:id="811100101">
      <w:bodyDiv w:val="1"/>
      <w:marLeft w:val="0"/>
      <w:marRight w:val="0"/>
      <w:marTop w:val="0"/>
      <w:marBottom w:val="0"/>
      <w:divBdr>
        <w:top w:val="none" w:sz="0" w:space="0" w:color="auto"/>
        <w:left w:val="none" w:sz="0" w:space="0" w:color="auto"/>
        <w:bottom w:val="none" w:sz="0" w:space="0" w:color="auto"/>
        <w:right w:val="none" w:sz="0" w:space="0" w:color="auto"/>
      </w:divBdr>
      <w:divsChild>
        <w:div w:id="512571410">
          <w:marLeft w:val="0"/>
          <w:marRight w:val="0"/>
          <w:marTop w:val="0"/>
          <w:marBottom w:val="0"/>
          <w:divBdr>
            <w:top w:val="none" w:sz="0" w:space="0" w:color="auto"/>
            <w:left w:val="none" w:sz="0" w:space="0" w:color="auto"/>
            <w:bottom w:val="none" w:sz="0" w:space="0" w:color="auto"/>
            <w:right w:val="none" w:sz="0" w:space="0" w:color="auto"/>
          </w:divBdr>
        </w:div>
        <w:div w:id="716246210">
          <w:marLeft w:val="0"/>
          <w:marRight w:val="0"/>
          <w:marTop w:val="0"/>
          <w:marBottom w:val="0"/>
          <w:divBdr>
            <w:top w:val="none" w:sz="0" w:space="0" w:color="auto"/>
            <w:left w:val="none" w:sz="0" w:space="0" w:color="auto"/>
            <w:bottom w:val="none" w:sz="0" w:space="0" w:color="auto"/>
            <w:right w:val="none" w:sz="0" w:space="0" w:color="auto"/>
          </w:divBdr>
        </w:div>
        <w:div w:id="143817553">
          <w:marLeft w:val="0"/>
          <w:marRight w:val="0"/>
          <w:marTop w:val="0"/>
          <w:marBottom w:val="0"/>
          <w:divBdr>
            <w:top w:val="none" w:sz="0" w:space="0" w:color="auto"/>
            <w:left w:val="none" w:sz="0" w:space="0" w:color="auto"/>
            <w:bottom w:val="none" w:sz="0" w:space="0" w:color="auto"/>
            <w:right w:val="none" w:sz="0" w:space="0" w:color="auto"/>
          </w:divBdr>
        </w:div>
        <w:div w:id="50732298">
          <w:marLeft w:val="0"/>
          <w:marRight w:val="0"/>
          <w:marTop w:val="0"/>
          <w:marBottom w:val="0"/>
          <w:divBdr>
            <w:top w:val="none" w:sz="0" w:space="0" w:color="auto"/>
            <w:left w:val="none" w:sz="0" w:space="0" w:color="auto"/>
            <w:bottom w:val="none" w:sz="0" w:space="0" w:color="auto"/>
            <w:right w:val="none" w:sz="0" w:space="0" w:color="auto"/>
          </w:divBdr>
        </w:div>
        <w:div w:id="393623209">
          <w:marLeft w:val="0"/>
          <w:marRight w:val="0"/>
          <w:marTop w:val="0"/>
          <w:marBottom w:val="0"/>
          <w:divBdr>
            <w:top w:val="none" w:sz="0" w:space="0" w:color="auto"/>
            <w:left w:val="none" w:sz="0" w:space="0" w:color="auto"/>
            <w:bottom w:val="none" w:sz="0" w:space="0" w:color="auto"/>
            <w:right w:val="none" w:sz="0" w:space="0" w:color="auto"/>
          </w:divBdr>
        </w:div>
        <w:div w:id="317459314">
          <w:marLeft w:val="0"/>
          <w:marRight w:val="0"/>
          <w:marTop w:val="0"/>
          <w:marBottom w:val="0"/>
          <w:divBdr>
            <w:top w:val="none" w:sz="0" w:space="0" w:color="auto"/>
            <w:left w:val="none" w:sz="0" w:space="0" w:color="auto"/>
            <w:bottom w:val="none" w:sz="0" w:space="0" w:color="auto"/>
            <w:right w:val="none" w:sz="0" w:space="0" w:color="auto"/>
          </w:divBdr>
        </w:div>
      </w:divsChild>
    </w:div>
    <w:div w:id="937756101">
      <w:bodyDiv w:val="1"/>
      <w:marLeft w:val="0"/>
      <w:marRight w:val="0"/>
      <w:marTop w:val="0"/>
      <w:marBottom w:val="0"/>
      <w:divBdr>
        <w:top w:val="none" w:sz="0" w:space="0" w:color="auto"/>
        <w:left w:val="none" w:sz="0" w:space="0" w:color="auto"/>
        <w:bottom w:val="none" w:sz="0" w:space="0" w:color="auto"/>
        <w:right w:val="none" w:sz="0" w:space="0" w:color="auto"/>
      </w:divBdr>
    </w:div>
    <w:div w:id="1175807165">
      <w:bodyDiv w:val="1"/>
      <w:marLeft w:val="0"/>
      <w:marRight w:val="0"/>
      <w:marTop w:val="0"/>
      <w:marBottom w:val="0"/>
      <w:divBdr>
        <w:top w:val="none" w:sz="0" w:space="0" w:color="auto"/>
        <w:left w:val="none" w:sz="0" w:space="0" w:color="auto"/>
        <w:bottom w:val="none" w:sz="0" w:space="0" w:color="auto"/>
        <w:right w:val="none" w:sz="0" w:space="0" w:color="auto"/>
      </w:divBdr>
    </w:div>
    <w:div w:id="1192649726">
      <w:bodyDiv w:val="1"/>
      <w:marLeft w:val="0"/>
      <w:marRight w:val="0"/>
      <w:marTop w:val="0"/>
      <w:marBottom w:val="0"/>
      <w:divBdr>
        <w:top w:val="none" w:sz="0" w:space="0" w:color="auto"/>
        <w:left w:val="none" w:sz="0" w:space="0" w:color="auto"/>
        <w:bottom w:val="none" w:sz="0" w:space="0" w:color="auto"/>
        <w:right w:val="none" w:sz="0" w:space="0" w:color="auto"/>
      </w:divBdr>
    </w:div>
    <w:div w:id="1602371304">
      <w:bodyDiv w:val="1"/>
      <w:marLeft w:val="0"/>
      <w:marRight w:val="0"/>
      <w:marTop w:val="0"/>
      <w:marBottom w:val="0"/>
      <w:divBdr>
        <w:top w:val="none" w:sz="0" w:space="0" w:color="auto"/>
        <w:left w:val="none" w:sz="0" w:space="0" w:color="auto"/>
        <w:bottom w:val="none" w:sz="0" w:space="0" w:color="auto"/>
        <w:right w:val="none" w:sz="0" w:space="0" w:color="auto"/>
      </w:divBdr>
      <w:divsChild>
        <w:div w:id="29964428">
          <w:marLeft w:val="0"/>
          <w:marRight w:val="0"/>
          <w:marTop w:val="0"/>
          <w:marBottom w:val="0"/>
          <w:divBdr>
            <w:top w:val="none" w:sz="0" w:space="0" w:color="auto"/>
            <w:left w:val="none" w:sz="0" w:space="0" w:color="auto"/>
            <w:bottom w:val="none" w:sz="0" w:space="0" w:color="auto"/>
            <w:right w:val="none" w:sz="0" w:space="0" w:color="auto"/>
          </w:divBdr>
          <w:divsChild>
            <w:div w:id="1328905508">
              <w:marLeft w:val="-225"/>
              <w:marRight w:val="-225"/>
              <w:marTop w:val="0"/>
              <w:marBottom w:val="0"/>
              <w:divBdr>
                <w:top w:val="none" w:sz="0" w:space="0" w:color="auto"/>
                <w:left w:val="none" w:sz="0" w:space="0" w:color="auto"/>
                <w:bottom w:val="none" w:sz="0" w:space="0" w:color="auto"/>
                <w:right w:val="none" w:sz="0" w:space="0" w:color="auto"/>
              </w:divBdr>
              <w:divsChild>
                <w:div w:id="1781871208">
                  <w:marLeft w:val="0"/>
                  <w:marRight w:val="0"/>
                  <w:marTop w:val="0"/>
                  <w:marBottom w:val="0"/>
                  <w:divBdr>
                    <w:top w:val="none" w:sz="0" w:space="0" w:color="auto"/>
                    <w:left w:val="none" w:sz="0" w:space="0" w:color="auto"/>
                    <w:bottom w:val="none" w:sz="0" w:space="0" w:color="auto"/>
                    <w:right w:val="none" w:sz="0" w:space="0" w:color="auto"/>
                  </w:divBdr>
                  <w:divsChild>
                    <w:div w:id="1742097813">
                      <w:marLeft w:val="0"/>
                      <w:marRight w:val="0"/>
                      <w:marTop w:val="0"/>
                      <w:marBottom w:val="0"/>
                      <w:divBdr>
                        <w:top w:val="none" w:sz="0" w:space="0" w:color="auto"/>
                        <w:left w:val="none" w:sz="0" w:space="0" w:color="auto"/>
                        <w:bottom w:val="none" w:sz="0" w:space="0" w:color="auto"/>
                        <w:right w:val="none" w:sz="0" w:space="0" w:color="auto"/>
                      </w:divBdr>
                      <w:divsChild>
                        <w:div w:id="667172154">
                          <w:marLeft w:val="0"/>
                          <w:marRight w:val="0"/>
                          <w:marTop w:val="0"/>
                          <w:marBottom w:val="0"/>
                          <w:divBdr>
                            <w:top w:val="none" w:sz="0" w:space="0" w:color="auto"/>
                            <w:left w:val="none" w:sz="0" w:space="0" w:color="auto"/>
                            <w:bottom w:val="none" w:sz="0" w:space="0" w:color="auto"/>
                            <w:right w:val="none" w:sz="0" w:space="0" w:color="auto"/>
                          </w:divBdr>
                          <w:divsChild>
                            <w:div w:id="1292979406">
                              <w:marLeft w:val="0"/>
                              <w:marRight w:val="0"/>
                              <w:marTop w:val="0"/>
                              <w:marBottom w:val="0"/>
                              <w:divBdr>
                                <w:top w:val="none" w:sz="0" w:space="0" w:color="auto"/>
                                <w:left w:val="none" w:sz="0" w:space="0" w:color="auto"/>
                                <w:bottom w:val="none" w:sz="0" w:space="0" w:color="auto"/>
                                <w:right w:val="none" w:sz="0" w:space="0" w:color="auto"/>
                              </w:divBdr>
                              <w:divsChild>
                                <w:div w:id="680355125">
                                  <w:marLeft w:val="0"/>
                                  <w:marRight w:val="0"/>
                                  <w:marTop w:val="0"/>
                                  <w:marBottom w:val="0"/>
                                  <w:divBdr>
                                    <w:top w:val="none" w:sz="0" w:space="0" w:color="auto"/>
                                    <w:left w:val="none" w:sz="0" w:space="0" w:color="auto"/>
                                    <w:bottom w:val="none" w:sz="0" w:space="0" w:color="auto"/>
                                    <w:right w:val="none" w:sz="0" w:space="0" w:color="auto"/>
                                  </w:divBdr>
                                  <w:divsChild>
                                    <w:div w:id="1580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reference-guide-to-consent-for-examination-or-treatment-second-edition" TargetMode="External"/><Relationship Id="rId26" Type="http://schemas.openxmlformats.org/officeDocument/2006/relationships/hyperlink" Target="https://www.gov.uk/government/publications/human-papillomavirus-hpv-the-green-book-chapter-18a" TargetMode="External"/><Relationship Id="rId39" Type="http://schemas.openxmlformats.org/officeDocument/2006/relationships/hyperlink" Target="https://www.gov.uk/government/publications/human-papillomavirus-hpv-the-green-book-chapter-18a" TargetMode="External"/><Relationship Id="rId21" Type="http://schemas.openxmlformats.org/officeDocument/2006/relationships/hyperlink" Target="https://www.gov.uk/government/publications/immunisation-procedures-the-green-book-chapter-4" TargetMode="External"/><Relationship Id="rId34" Type="http://schemas.openxmlformats.org/officeDocument/2006/relationships/hyperlink" Target="https://www.gov.uk/government/publications/immunisations-for-young-people" TargetMode="External"/><Relationship Id="rId42" Type="http://schemas.openxmlformats.org/officeDocument/2006/relationships/hyperlink" Target="https://www.england.nhs.uk/commissioning/pub-hlth-res/" TargetMode="External"/><Relationship Id="rId47" Type="http://schemas.openxmlformats.org/officeDocument/2006/relationships/hyperlink" Target="https://www.gov.uk/government/publications/guidance-on-the-safe-management-of-healthcare-waste" TargetMode="External"/><Relationship Id="rId50" Type="http://schemas.openxmlformats.org/officeDocument/2006/relationships/hyperlink" Target="https://www.nice.org.uk/guidance/mpg2" TargetMode="External"/><Relationship Id="rId55" Type="http://schemas.openxmlformats.org/officeDocument/2006/relationships/hyperlink" Target="https://www.gov.uk/government/publications/reference-guide-to-consent-for-examination-or-treatment-second-editio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national-minimum-standards-and-core-curriculum-for-immunisation-training-for-registered-healthcare-practitioners" TargetMode="External"/><Relationship Id="rId20" Type="http://schemas.openxmlformats.org/officeDocument/2006/relationships/hyperlink" Target="https://www.gov.uk/government/publications/human-papillomavirus-hpv-the-green-book-chapter-18a" TargetMode="External"/><Relationship Id="rId29" Type="http://schemas.openxmlformats.org/officeDocument/2006/relationships/hyperlink" Target="https://www.gov.uk/government/publications/vaccine-incident-guidance-responding-to-vaccine-errors" TargetMode="External"/><Relationship Id="rId41" Type="http://schemas.openxmlformats.org/officeDocument/2006/relationships/hyperlink" Target="http://www.medicines.org.uk/emc/medicine/19016" TargetMode="External"/><Relationship Id="rId54" Type="http://schemas.openxmlformats.org/officeDocument/2006/relationships/hyperlink" Target="https://www.gov.uk/government/publications/protocol-for-ordering-storing-and-handling-vaccin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gov.uk/government/publications/immunisation-procedures-the-green-book-chapter-4" TargetMode="External"/><Relationship Id="rId32" Type="http://schemas.openxmlformats.org/officeDocument/2006/relationships/hyperlink" Target="http://www.medicines.org.uk" TargetMode="External"/><Relationship Id="rId37" Type="http://schemas.openxmlformats.org/officeDocument/2006/relationships/hyperlink" Target="http://www.gov.uk/government/collections/immunisation" TargetMode="External"/><Relationship Id="rId40" Type="http://schemas.openxmlformats.org/officeDocument/2006/relationships/hyperlink" Target="https://www.gov.uk/government/collections/immunisation-against-infectious-disease-the-green-book" TargetMode="External"/><Relationship Id="rId45" Type="http://schemas.openxmlformats.org/officeDocument/2006/relationships/hyperlink" Target="https://bnf.nice.org.uk/drug/human-papillomavirus-vaccines.html" TargetMode="External"/><Relationship Id="rId53" Type="http://schemas.openxmlformats.org/officeDocument/2006/relationships/hyperlink" Target="https://www.gov.uk/government/publications/vaccine-incident-guidance-responding-to-vaccine-error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vaccine-incident-guidance-responding-to-vaccine-errors" TargetMode="External"/><Relationship Id="rId28" Type="http://schemas.openxmlformats.org/officeDocument/2006/relationships/hyperlink" Target="https://www.gov.uk/government/publications/storage-distribution-and-disposal-of-vaccines-the-green-book-chapter-3" TargetMode="External"/><Relationship Id="rId36" Type="http://schemas.openxmlformats.org/officeDocument/2006/relationships/hyperlink" Target="https://www.gov.uk/government/publications/the-hpv-vaccine-beating-cervical-cancer-questions-and-answers" TargetMode="External"/><Relationship Id="rId49" Type="http://schemas.openxmlformats.org/officeDocument/2006/relationships/hyperlink" Target="https://www.gov.uk/government/publications/national-minimum-standards-and-core-curriculum-for-immunisation-training-for-registered-healthcare-practitioners"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human-papillomavirus-hpv-the-green-book-chapter-18a" TargetMode="External"/><Relationship Id="rId31" Type="http://schemas.openxmlformats.org/officeDocument/2006/relationships/hyperlink" Target="http://www.medicines.org.uk" TargetMode="External"/><Relationship Id="rId44" Type="http://schemas.openxmlformats.org/officeDocument/2006/relationships/hyperlink" Target="http://www.BNF.org" TargetMode="External"/><Relationship Id="rId52" Type="http://schemas.openxmlformats.org/officeDocument/2006/relationships/hyperlink" Target="https://www.gov.uk/government/collections/immunisation"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human-papillomavirus-hpv-the-green-book-chapter-18a" TargetMode="External"/><Relationship Id="rId27" Type="http://schemas.openxmlformats.org/officeDocument/2006/relationships/hyperlink" Target="https://www.gov.uk/government/publications/protocol-for-ordering-storing-and-handling-vaccines" TargetMode="External"/><Relationship Id="rId30" Type="http://schemas.openxmlformats.org/officeDocument/2006/relationships/hyperlink" Target="https://www.gov.uk/government/publications/guidance-on-the-safe-management-of-healthcare-waste" TargetMode="External"/><Relationship Id="rId35" Type="http://schemas.openxmlformats.org/officeDocument/2006/relationships/hyperlink" Target="https://www.gov.uk/government/publications/hpv-vaccine-vaccination-guide-leaflet" TargetMode="External"/><Relationship Id="rId43" Type="http://schemas.openxmlformats.org/officeDocument/2006/relationships/hyperlink" Target="https://www.gov.uk/government/publications/human-papillomavirus-hpv-vaccination-consent-form" TargetMode="External"/><Relationship Id="rId48" Type="http://schemas.openxmlformats.org/officeDocument/2006/relationships/hyperlink" Target="https://www.rcn.org.uk/professional-development/publications/pub-005336" TargetMode="External"/><Relationship Id="rId56" Type="http://schemas.openxmlformats.org/officeDocument/2006/relationships/header" Target="header1.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nice.org.uk/guidance/mpg2/resource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human-papillomavirus-hpv-the-green-book-chapter-18a" TargetMode="External"/><Relationship Id="rId25" Type="http://schemas.openxmlformats.org/officeDocument/2006/relationships/hyperlink" Target="http://www.medicines.org.uk" TargetMode="External"/><Relationship Id="rId33" Type="http://schemas.openxmlformats.org/officeDocument/2006/relationships/hyperlink" Target="http://yellowcard.mhra.gov.uk" TargetMode="External"/><Relationship Id="rId38" Type="http://schemas.openxmlformats.org/officeDocument/2006/relationships/hyperlink" Target="https://www.gov.uk/government/publications/reference-guide-to-consent-for-examination-or-treatment-second-edition" TargetMode="External"/><Relationship Id="rId46" Type="http://schemas.openxmlformats.org/officeDocument/2006/relationships/hyperlink" Target="https://bnfc.nice.org.uk/drug/human-papillomavirus-vaccines.html"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AE8E-396F-47AA-B1BF-2F82CE8C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5344</Words>
  <Characters>30467</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 Graham</cp:lastModifiedBy>
  <cp:revision>3</cp:revision>
  <cp:lastPrinted>2018-04-10T11:04:00Z</cp:lastPrinted>
  <dcterms:created xsi:type="dcterms:W3CDTF">2019-07-19T11:00:00Z</dcterms:created>
  <dcterms:modified xsi:type="dcterms:W3CDTF">2019-07-19T11:08:00Z</dcterms:modified>
</cp:coreProperties>
</file>