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10AB4" w:rsidRDefault="00620483" w:rsidP="00101922">
      <w:pPr>
        <w:ind w:hanging="142"/>
        <w:jc w:val="left"/>
        <w:rPr>
          <w:color w:val="000000"/>
        </w:rPr>
      </w:pPr>
      <w:r>
        <w:rPr>
          <w:bCs/>
          <w:noProof/>
        </w:rPr>
        <mc:AlternateContent>
          <mc:Choice Requires="wps">
            <w:drawing>
              <wp:inline distT="0" distB="0" distL="0" distR="0">
                <wp:extent cx="5774055" cy="1193165"/>
                <wp:effectExtent l="14605" t="12700" r="12065" b="13335"/>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193165"/>
                        </a:xfrm>
                        <a:prstGeom prst="rect">
                          <a:avLst/>
                        </a:prstGeom>
                        <a:solidFill>
                          <a:srgbClr val="FFFFFF"/>
                        </a:solidFill>
                        <a:ln w="12700">
                          <a:solidFill>
                            <a:srgbClr val="000000"/>
                          </a:solidFill>
                          <a:miter lim="800000"/>
                          <a:headEnd/>
                          <a:tailEnd/>
                        </a:ln>
                      </wps:spPr>
                      <wps:txbx>
                        <w:txbxContent>
                          <w:p w:rsidR="00BA375E" w:rsidRPr="00EE3B33" w:rsidRDefault="00F54416" w:rsidP="00B326E5">
                            <w:pPr>
                              <w:pStyle w:val="NormalWeb"/>
                              <w:rPr>
                                <w:rFonts w:ascii="Calibri" w:hAnsi="Calibri"/>
                                <w:b/>
                                <w:bCs/>
                                <w:color w:val="000000"/>
                                <w:sz w:val="28"/>
                                <w:szCs w:val="28"/>
                              </w:rPr>
                            </w:pPr>
                            <w:r>
                              <w:rPr>
                                <w:b/>
                                <w:bCs/>
                                <w:color w:val="000000"/>
                                <w:sz w:val="28"/>
                                <w:szCs w:val="28"/>
                              </w:rPr>
                              <w:t>M</w:t>
                            </w:r>
                            <w:r w:rsidR="00BA375E" w:rsidRPr="00EE3B33">
                              <w:rPr>
                                <w:b/>
                                <w:bCs/>
                                <w:color w:val="000000"/>
                                <w:sz w:val="28"/>
                                <w:szCs w:val="28"/>
                              </w:rPr>
                              <w:t>aintained schools and academies inspection</w:t>
                            </w:r>
                            <w:r w:rsidR="00624248">
                              <w:rPr>
                                <w:b/>
                                <w:bCs/>
                                <w:color w:val="000000"/>
                                <w:sz w:val="28"/>
                                <w:szCs w:val="28"/>
                              </w:rPr>
                              <w:t>s and</w:t>
                            </w:r>
                            <w:r w:rsidR="00BA375E" w:rsidRPr="00EE3B33">
                              <w:rPr>
                                <w:b/>
                                <w:bCs/>
                                <w:color w:val="000000"/>
                                <w:sz w:val="28"/>
                                <w:szCs w:val="28"/>
                              </w:rPr>
                              <w:t xml:space="preserve"> outcomes as at 31 </w:t>
                            </w:r>
                            <w:r w:rsidR="00101922">
                              <w:rPr>
                                <w:b/>
                                <w:bCs/>
                                <w:color w:val="000000"/>
                                <w:sz w:val="28"/>
                                <w:szCs w:val="28"/>
                              </w:rPr>
                              <w:t>August</w:t>
                            </w:r>
                            <w:r w:rsidR="00BA375E" w:rsidRPr="00EE3B33">
                              <w:rPr>
                                <w:b/>
                                <w:bCs/>
                                <w:color w:val="000000"/>
                                <w:sz w:val="28"/>
                                <w:szCs w:val="28"/>
                              </w:rPr>
                              <w:t xml:space="preserve"> 2017</w:t>
                            </w:r>
                          </w:p>
                          <w:p w:rsidR="00BA375E" w:rsidRPr="00D04363" w:rsidRDefault="00BA375E" w:rsidP="00771A3A">
                            <w:pPr>
                              <w:pStyle w:val="NormalWeb"/>
                              <w:jc w:val="left"/>
                              <w:rPr>
                                <w:sz w:val="4"/>
                                <w:szCs w:val="4"/>
                              </w:rPr>
                            </w:pPr>
                          </w:p>
                          <w:p w:rsidR="00EF1897" w:rsidRDefault="00BA375E" w:rsidP="00771A3A">
                            <w:pPr>
                              <w:jc w:val="left"/>
                            </w:pPr>
                            <w:r w:rsidRPr="00771A3A">
                              <w:rPr>
                                <w:color w:val="000000"/>
                                <w:sz w:val="20"/>
                                <w:szCs w:val="20"/>
                              </w:rPr>
                              <w:t>This release contains:</w:t>
                            </w:r>
                          </w:p>
                          <w:p w:rsidR="00BA375E" w:rsidRPr="00771A3A" w:rsidRDefault="00BA375E" w:rsidP="00997F5C">
                            <w:pPr>
                              <w:numPr>
                                <w:ilvl w:val="0"/>
                                <w:numId w:val="3"/>
                              </w:numPr>
                              <w:ind w:left="1267" w:hanging="841"/>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ost recen</w:t>
                            </w:r>
                            <w:r>
                              <w:rPr>
                                <w:rFonts w:eastAsia="Tahoma" w:cs="Tahoma"/>
                                <w:color w:val="000000"/>
                                <w:sz w:val="20"/>
                                <w:szCs w:val="20"/>
                              </w:rPr>
                              <w:t xml:space="preserve">t inspection outcomes </w:t>
                            </w:r>
                            <w:r w:rsidRPr="00771A3A">
                              <w:rPr>
                                <w:rFonts w:eastAsia="Tahoma" w:cs="Tahoma"/>
                                <w:color w:val="000000"/>
                                <w:sz w:val="20"/>
                                <w:szCs w:val="20"/>
                              </w:rPr>
                              <w:t xml:space="preserve">as at </w:t>
                            </w:r>
                            <w:r>
                              <w:rPr>
                                <w:rFonts w:eastAsia="Tahoma" w:cs="Tahoma"/>
                                <w:color w:val="000000"/>
                                <w:sz w:val="20"/>
                                <w:szCs w:val="20"/>
                              </w:rPr>
                              <w:t xml:space="preserve">31 </w:t>
                            </w:r>
                            <w:r w:rsidR="00101922">
                              <w:rPr>
                                <w:rFonts w:eastAsia="Tahoma" w:cs="Tahoma"/>
                                <w:color w:val="000000"/>
                                <w:sz w:val="20"/>
                                <w:szCs w:val="20"/>
                              </w:rPr>
                              <w:t>August</w:t>
                            </w:r>
                            <w:r>
                              <w:rPr>
                                <w:rFonts w:eastAsia="Tahoma" w:cs="Tahoma"/>
                                <w:color w:val="000000"/>
                                <w:sz w:val="20"/>
                                <w:szCs w:val="20"/>
                              </w:rPr>
                              <w:t xml:space="preserve"> 2017</w:t>
                            </w:r>
                          </w:p>
                          <w:p w:rsidR="00BA375E" w:rsidRPr="00EE3B33" w:rsidRDefault="00BA375E"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 xml:space="preserve">1 </w:t>
                            </w:r>
                            <w:r w:rsidR="00101922">
                              <w:rPr>
                                <w:rFonts w:eastAsia="Tahoma" w:cs="Tahoma"/>
                                <w:color w:val="000000"/>
                                <w:sz w:val="20"/>
                                <w:szCs w:val="20"/>
                              </w:rPr>
                              <w:t>September</w:t>
                            </w:r>
                            <w:r>
                              <w:rPr>
                                <w:rFonts w:eastAsia="Tahoma" w:cs="Tahoma"/>
                                <w:color w:val="000000"/>
                                <w:sz w:val="20"/>
                                <w:szCs w:val="20"/>
                              </w:rPr>
                              <w:t xml:space="preserve"> 201</w:t>
                            </w:r>
                            <w:r w:rsidR="00101922">
                              <w:rPr>
                                <w:rFonts w:eastAsia="Tahoma" w:cs="Tahoma"/>
                                <w:color w:val="000000"/>
                                <w:sz w:val="20"/>
                                <w:szCs w:val="20"/>
                              </w:rPr>
                              <w:t>6</w:t>
                            </w:r>
                            <w:r>
                              <w:rPr>
                                <w:color w:val="000000"/>
                                <w:sz w:val="20"/>
                                <w:szCs w:val="20"/>
                              </w:rPr>
                              <w:t xml:space="preserve"> and 31 </w:t>
                            </w:r>
                            <w:r w:rsidR="00101922">
                              <w:rPr>
                                <w:color w:val="000000"/>
                                <w:sz w:val="20"/>
                                <w:szCs w:val="20"/>
                              </w:rPr>
                              <w:t>August</w:t>
                            </w:r>
                            <w:r>
                              <w:rPr>
                                <w:color w:val="000000"/>
                                <w:sz w:val="20"/>
                                <w:szCs w:val="20"/>
                              </w:rPr>
                              <w:t xml:space="preserve"> 2017</w:t>
                            </w:r>
                          </w:p>
                          <w:p w:rsidR="00BA375E" w:rsidRPr="00771A3A" w:rsidRDefault="00BA375E"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 xml:space="preserve">s completed between 1 September 2016 and 31 </w:t>
                            </w:r>
                            <w:r w:rsidR="00101922">
                              <w:rPr>
                                <w:color w:val="000000"/>
                                <w:sz w:val="20"/>
                                <w:szCs w:val="20"/>
                              </w:rPr>
                              <w:t>March</w:t>
                            </w:r>
                            <w:r>
                              <w:rPr>
                                <w:color w:val="000000"/>
                                <w:sz w:val="20"/>
                                <w:szCs w:val="20"/>
                              </w:rPr>
                              <w:t xml:space="preserve"> 201</w:t>
                            </w:r>
                            <w:r w:rsidR="00101922">
                              <w:rPr>
                                <w:color w:val="000000"/>
                                <w:sz w:val="20"/>
                                <w:szCs w:val="20"/>
                              </w:rPr>
                              <w:t>7</w:t>
                            </w:r>
                          </w:p>
                          <w:p w:rsidR="00BA375E" w:rsidRDefault="00BA375E" w:rsidP="00771A3A">
                            <w:pPr>
                              <w:pStyle w:val="NormalWeb"/>
                              <w:jc w:val="left"/>
                              <w:rPr>
                                <w:color w:val="000000"/>
                              </w:rPr>
                            </w:pPr>
                          </w:p>
                          <w:p w:rsidR="00BA375E" w:rsidRDefault="00BA375E" w:rsidP="00B604A2">
                            <w:pPr>
                              <w:pStyle w:val="NormalWeb"/>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54.65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" strokeweight="1pt">
                <v:textbox>
                  <w:txbxContent>
                    <w:p w:rsidR="00BA375E" w:rsidRPr="00EE3B33" w:rsidRDefault="00F54416" w:rsidP="00B326E5">
                      <w:pPr>
                        <w:pStyle w:val="NormalWeb"/>
                        <w:rPr>
                          <w:rFonts w:ascii="Calibri" w:hAnsi="Calibri"/>
                          <w:b/>
                          <w:bCs/>
                          <w:color w:val="000000"/>
                          <w:sz w:val="28"/>
                          <w:szCs w:val="28"/>
                        </w:rPr>
                      </w:pPr>
                      <w:r>
                        <w:rPr>
                          <w:b/>
                          <w:bCs/>
                          <w:color w:val="000000"/>
                          <w:sz w:val="28"/>
                          <w:szCs w:val="28"/>
                        </w:rPr>
                        <w:t>M</w:t>
                      </w:r>
                      <w:r w:rsidR="00BA375E" w:rsidRPr="00EE3B33">
                        <w:rPr>
                          <w:b/>
                          <w:bCs/>
                          <w:color w:val="000000"/>
                          <w:sz w:val="28"/>
                          <w:szCs w:val="28"/>
                        </w:rPr>
                        <w:t>aintained schools and academies inspection</w:t>
                      </w:r>
                      <w:r w:rsidR="00624248">
                        <w:rPr>
                          <w:b/>
                          <w:bCs/>
                          <w:color w:val="000000"/>
                          <w:sz w:val="28"/>
                          <w:szCs w:val="28"/>
                        </w:rPr>
                        <w:t>s and</w:t>
                      </w:r>
                      <w:r w:rsidR="00BA375E" w:rsidRPr="00EE3B33">
                        <w:rPr>
                          <w:b/>
                          <w:bCs/>
                          <w:color w:val="000000"/>
                          <w:sz w:val="28"/>
                          <w:szCs w:val="28"/>
                        </w:rPr>
                        <w:t xml:space="preserve"> outcomes as at 31 </w:t>
                      </w:r>
                      <w:r w:rsidR="00101922">
                        <w:rPr>
                          <w:b/>
                          <w:bCs/>
                          <w:color w:val="000000"/>
                          <w:sz w:val="28"/>
                          <w:szCs w:val="28"/>
                        </w:rPr>
                        <w:t>August</w:t>
                      </w:r>
                      <w:r w:rsidR="00BA375E" w:rsidRPr="00EE3B33">
                        <w:rPr>
                          <w:b/>
                          <w:bCs/>
                          <w:color w:val="000000"/>
                          <w:sz w:val="28"/>
                          <w:szCs w:val="28"/>
                        </w:rPr>
                        <w:t xml:space="preserve"> 2017</w:t>
                      </w:r>
                    </w:p>
                    <w:p w:rsidR="00BA375E" w:rsidRPr="00D04363" w:rsidRDefault="00BA375E" w:rsidP="00771A3A">
                      <w:pPr>
                        <w:pStyle w:val="NormalWeb"/>
                        <w:jc w:val="left"/>
                        <w:rPr>
                          <w:sz w:val="4"/>
                          <w:szCs w:val="4"/>
                        </w:rPr>
                      </w:pPr>
                    </w:p>
                    <w:p w:rsidR="00EF1897" w:rsidRDefault="00BA375E" w:rsidP="00771A3A">
                      <w:pPr>
                        <w:jc w:val="left"/>
                      </w:pPr>
                      <w:r w:rsidRPr="00771A3A">
                        <w:rPr>
                          <w:color w:val="000000"/>
                          <w:sz w:val="20"/>
                          <w:szCs w:val="20"/>
                        </w:rPr>
                        <w:t>This release contains:</w:t>
                      </w:r>
                    </w:p>
                    <w:p w:rsidR="00BA375E" w:rsidRPr="00771A3A" w:rsidRDefault="00BA375E" w:rsidP="00997F5C">
                      <w:pPr>
                        <w:numPr>
                          <w:ilvl w:val="0"/>
                          <w:numId w:val="3"/>
                        </w:numPr>
                        <w:ind w:left="1267" w:hanging="841"/>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ost recen</w:t>
                      </w:r>
                      <w:r>
                        <w:rPr>
                          <w:rFonts w:eastAsia="Tahoma" w:cs="Tahoma"/>
                          <w:color w:val="000000"/>
                          <w:sz w:val="20"/>
                          <w:szCs w:val="20"/>
                        </w:rPr>
                        <w:t xml:space="preserve">t inspection outcomes </w:t>
                      </w:r>
                      <w:r w:rsidRPr="00771A3A">
                        <w:rPr>
                          <w:rFonts w:eastAsia="Tahoma" w:cs="Tahoma"/>
                          <w:color w:val="000000"/>
                          <w:sz w:val="20"/>
                          <w:szCs w:val="20"/>
                        </w:rPr>
                        <w:t xml:space="preserve">as at </w:t>
                      </w:r>
                      <w:r>
                        <w:rPr>
                          <w:rFonts w:eastAsia="Tahoma" w:cs="Tahoma"/>
                          <w:color w:val="000000"/>
                          <w:sz w:val="20"/>
                          <w:szCs w:val="20"/>
                        </w:rPr>
                        <w:t xml:space="preserve">31 </w:t>
                      </w:r>
                      <w:r w:rsidR="00101922">
                        <w:rPr>
                          <w:rFonts w:eastAsia="Tahoma" w:cs="Tahoma"/>
                          <w:color w:val="000000"/>
                          <w:sz w:val="20"/>
                          <w:szCs w:val="20"/>
                        </w:rPr>
                        <w:t>August</w:t>
                      </w:r>
                      <w:r>
                        <w:rPr>
                          <w:rFonts w:eastAsia="Tahoma" w:cs="Tahoma"/>
                          <w:color w:val="000000"/>
                          <w:sz w:val="20"/>
                          <w:szCs w:val="20"/>
                        </w:rPr>
                        <w:t xml:space="preserve"> 2017</w:t>
                      </w:r>
                    </w:p>
                    <w:p w:rsidR="00BA375E" w:rsidRPr="00EE3B33" w:rsidRDefault="00BA375E"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 xml:space="preserve">1 </w:t>
                      </w:r>
                      <w:r w:rsidR="00101922">
                        <w:rPr>
                          <w:rFonts w:eastAsia="Tahoma" w:cs="Tahoma"/>
                          <w:color w:val="000000"/>
                          <w:sz w:val="20"/>
                          <w:szCs w:val="20"/>
                        </w:rPr>
                        <w:t>September</w:t>
                      </w:r>
                      <w:r>
                        <w:rPr>
                          <w:rFonts w:eastAsia="Tahoma" w:cs="Tahoma"/>
                          <w:color w:val="000000"/>
                          <w:sz w:val="20"/>
                          <w:szCs w:val="20"/>
                        </w:rPr>
                        <w:t xml:space="preserve"> 201</w:t>
                      </w:r>
                      <w:r w:rsidR="00101922">
                        <w:rPr>
                          <w:rFonts w:eastAsia="Tahoma" w:cs="Tahoma"/>
                          <w:color w:val="000000"/>
                          <w:sz w:val="20"/>
                          <w:szCs w:val="20"/>
                        </w:rPr>
                        <w:t>6</w:t>
                      </w:r>
                      <w:r>
                        <w:rPr>
                          <w:color w:val="000000"/>
                          <w:sz w:val="20"/>
                          <w:szCs w:val="20"/>
                        </w:rPr>
                        <w:t xml:space="preserve"> and 31 </w:t>
                      </w:r>
                      <w:r w:rsidR="00101922">
                        <w:rPr>
                          <w:color w:val="000000"/>
                          <w:sz w:val="20"/>
                          <w:szCs w:val="20"/>
                        </w:rPr>
                        <w:t>August</w:t>
                      </w:r>
                      <w:r>
                        <w:rPr>
                          <w:color w:val="000000"/>
                          <w:sz w:val="20"/>
                          <w:szCs w:val="20"/>
                        </w:rPr>
                        <w:t xml:space="preserve"> 2017</w:t>
                      </w:r>
                    </w:p>
                    <w:p w:rsidR="00BA375E" w:rsidRPr="00771A3A" w:rsidRDefault="00BA375E"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 xml:space="preserve">s completed between 1 September 2016 and 31 </w:t>
                      </w:r>
                      <w:r w:rsidR="00101922">
                        <w:rPr>
                          <w:color w:val="000000"/>
                          <w:sz w:val="20"/>
                          <w:szCs w:val="20"/>
                        </w:rPr>
                        <w:t>March</w:t>
                      </w:r>
                      <w:r>
                        <w:rPr>
                          <w:color w:val="000000"/>
                          <w:sz w:val="20"/>
                          <w:szCs w:val="20"/>
                        </w:rPr>
                        <w:t xml:space="preserve"> 201</w:t>
                      </w:r>
                      <w:r w:rsidR="00101922">
                        <w:rPr>
                          <w:color w:val="000000"/>
                          <w:sz w:val="20"/>
                          <w:szCs w:val="20"/>
                        </w:rPr>
                        <w:t>7</w:t>
                      </w:r>
                    </w:p>
                    <w:p w:rsidR="00BA375E" w:rsidRDefault="00BA375E" w:rsidP="00771A3A">
                      <w:pPr>
                        <w:pStyle w:val="NormalWeb"/>
                        <w:jc w:val="left"/>
                        <w:rPr>
                          <w:color w:val="000000"/>
                        </w:rPr>
                      </w:pPr>
                    </w:p>
                    <w:p w:rsidR="00BA375E" w:rsidRDefault="00BA375E" w:rsidP="00B604A2">
                      <w:pPr>
                        <w:pStyle w:val="NormalWeb"/>
                      </w:pPr>
                    </w:p>
                  </w:txbxContent>
                </v:textbox>
                <w10:anchorlock/>
              </v:shape>
            </w:pict>
          </mc:Fallback>
        </mc:AlternateContent>
      </w:r>
      <w:bookmarkEnd w:id="0"/>
    </w:p>
    <w:p w:rsidR="00810AB4" w:rsidRDefault="00810AB4" w:rsidP="009010F8">
      <w:pPr>
        <w:jc w:val="left"/>
        <w:rPr>
          <w:color w:val="000000"/>
          <w:sz w:val="8"/>
          <w:szCs w:val="8"/>
        </w:rPr>
      </w:pPr>
    </w:p>
    <w:p w:rsidR="00AE4A0B" w:rsidRDefault="00AE4A0B" w:rsidP="009010F8">
      <w:pPr>
        <w:jc w:val="left"/>
        <w:rPr>
          <w:color w:val="000000"/>
          <w:sz w:val="20"/>
          <w:szCs w:val="20"/>
        </w:rPr>
      </w:pPr>
    </w:p>
    <w:p w:rsidR="00AE4A0B" w:rsidRPr="00AE4A0B" w:rsidRDefault="00AE4A0B" w:rsidP="009010F8">
      <w:pPr>
        <w:jc w:val="left"/>
        <w:rPr>
          <w:color w:val="000000"/>
          <w:sz w:val="20"/>
          <w:szCs w:val="20"/>
        </w:rPr>
      </w:pPr>
    </w:p>
    <w:p w:rsidR="00AE4A0B" w:rsidRPr="00AE4A0B" w:rsidRDefault="00AE4A0B" w:rsidP="009010F8">
      <w:pPr>
        <w:jc w:val="left"/>
        <w:rPr>
          <w:color w:val="000000"/>
          <w:sz w:val="2"/>
          <w:szCs w:val="2"/>
        </w:rPr>
      </w:pPr>
    </w:p>
    <w:p w:rsidR="00AE4A0B" w:rsidRPr="00AE4A0B" w:rsidRDefault="00AE4A0B" w:rsidP="009010F8">
      <w:pPr>
        <w:jc w:val="left"/>
        <w:rPr>
          <w:color w:val="000000"/>
          <w:sz w:val="2"/>
          <w:szCs w:val="2"/>
        </w:rPr>
      </w:pPr>
    </w:p>
    <w:p w:rsidR="00AE4A0B" w:rsidRPr="00AE4A0B" w:rsidRDefault="00AE4A0B" w:rsidP="009010F8">
      <w:pPr>
        <w:jc w:val="left"/>
        <w:rPr>
          <w:color w:val="000000"/>
          <w:sz w:val="2"/>
          <w:szCs w:val="2"/>
        </w:rPr>
      </w:pPr>
    </w:p>
    <w:p w:rsidR="00AE4A0B" w:rsidRPr="00AE4A0B" w:rsidRDefault="00AE4A0B" w:rsidP="009010F8">
      <w:pPr>
        <w:jc w:val="left"/>
        <w:rPr>
          <w:color w:val="000000"/>
          <w:sz w:val="2"/>
          <w:szCs w:val="2"/>
        </w:rPr>
      </w:pPr>
    </w:p>
    <w:p w:rsidR="00AE4A0B" w:rsidRPr="00AE4A0B" w:rsidRDefault="00AE4A0B" w:rsidP="009010F8">
      <w:pPr>
        <w:jc w:val="left"/>
        <w:rPr>
          <w:color w:val="000000"/>
          <w:sz w:val="2"/>
          <w:szCs w:val="2"/>
        </w:rPr>
      </w:pPr>
    </w:p>
    <w:p w:rsidR="00AE4A0B" w:rsidRPr="007E785D" w:rsidRDefault="00AE4A0B" w:rsidP="009010F8">
      <w:pPr>
        <w:jc w:val="left"/>
        <w:rPr>
          <w:color w:val="000000"/>
          <w:sz w:val="8"/>
          <w:szCs w:val="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237"/>
      </w:tblGrid>
      <w:tr w:rsidR="004E201B" w:rsidRPr="007B33DD" w:rsidTr="00B86241">
        <w:trPr>
          <w:trHeight w:val="1316"/>
        </w:trPr>
        <w:tc>
          <w:tcPr>
            <w:tcW w:w="2694" w:type="dxa"/>
            <w:tcBorders>
              <w:top w:val="single" w:sz="12" w:space="0" w:color="A6A6A6"/>
              <w:left w:val="single" w:sz="12" w:space="0" w:color="FFFFFF"/>
              <w:bottom w:val="single" w:sz="8" w:space="0" w:color="000000"/>
              <w:right w:val="single" w:sz="12" w:space="0" w:color="FFFFFF"/>
            </w:tcBorders>
            <w:shd w:val="clear" w:color="auto" w:fill="auto"/>
          </w:tcPr>
          <w:p w:rsidR="00FC5157" w:rsidRPr="00F76208" w:rsidRDefault="00FC5157" w:rsidP="009010F8">
            <w:pPr>
              <w:jc w:val="left"/>
              <w:rPr>
                <w:rFonts w:cs="Tahoma"/>
                <w:color w:val="FF0000"/>
                <w:sz w:val="8"/>
                <w:szCs w:val="8"/>
              </w:rPr>
            </w:pPr>
          </w:p>
          <w:p w:rsidR="00FC5157" w:rsidRPr="007372DF" w:rsidRDefault="00101922" w:rsidP="009010F8">
            <w:pPr>
              <w:jc w:val="left"/>
              <w:rPr>
                <w:rFonts w:cs="Tahoma"/>
                <w:color w:val="000000"/>
                <w:szCs w:val="26"/>
              </w:rPr>
            </w:pPr>
            <w:r w:rsidRPr="007372DF">
              <w:rPr>
                <w:rFonts w:cs="Tahoma"/>
                <w:color w:val="000000"/>
                <w:szCs w:val="26"/>
              </w:rPr>
              <w:t xml:space="preserve">The proportion of good or outstanding schools has increased for secondary </w:t>
            </w:r>
            <w:r w:rsidR="00EE23C8" w:rsidRPr="007372DF">
              <w:rPr>
                <w:rFonts w:cs="Tahoma"/>
                <w:color w:val="000000"/>
                <w:szCs w:val="26"/>
              </w:rPr>
              <w:t>schools,</w:t>
            </w:r>
            <w:r w:rsidRPr="007372DF">
              <w:rPr>
                <w:rFonts w:cs="Tahoma"/>
                <w:color w:val="000000"/>
                <w:szCs w:val="26"/>
              </w:rPr>
              <w:t xml:space="preserve"> special schools and pupil referral units this year</w:t>
            </w:r>
          </w:p>
          <w:p w:rsidR="00FA3A01" w:rsidRPr="00F76208" w:rsidRDefault="00FA3A01" w:rsidP="009010F8">
            <w:pPr>
              <w:jc w:val="left"/>
              <w:rPr>
                <w:rFonts w:cs="Tahoma"/>
                <w:color w:val="FF0000"/>
                <w:sz w:val="16"/>
                <w:szCs w:val="16"/>
              </w:rPr>
            </w:pPr>
          </w:p>
        </w:tc>
        <w:tc>
          <w:tcPr>
            <w:tcW w:w="6237" w:type="dxa"/>
            <w:tcBorders>
              <w:top w:val="single" w:sz="12" w:space="0" w:color="A6A6A6"/>
              <w:left w:val="single" w:sz="12" w:space="0" w:color="FFFFFF"/>
              <w:bottom w:val="single" w:sz="8" w:space="0" w:color="000000"/>
              <w:right w:val="single" w:sz="12" w:space="0" w:color="FFFFFF"/>
            </w:tcBorders>
            <w:shd w:val="clear" w:color="auto" w:fill="auto"/>
          </w:tcPr>
          <w:p w:rsidR="007E785D" w:rsidRPr="00F76208" w:rsidRDefault="007E785D" w:rsidP="009010F8">
            <w:pPr>
              <w:jc w:val="left"/>
              <w:rPr>
                <w:color w:val="FF0000"/>
                <w:sz w:val="8"/>
                <w:szCs w:val="8"/>
              </w:rPr>
            </w:pPr>
          </w:p>
          <w:p w:rsidR="00EE23C8" w:rsidRDefault="00EE23C8" w:rsidP="00101922">
            <w:pPr>
              <w:jc w:val="left"/>
              <w:rPr>
                <w:rFonts w:cs="Tahoma"/>
              </w:rPr>
            </w:pPr>
            <w:r>
              <w:rPr>
                <w:rFonts w:cs="Tahoma"/>
                <w:color w:val="000000"/>
                <w:szCs w:val="26"/>
              </w:rPr>
              <w:t>Overall t</w:t>
            </w:r>
            <w:r w:rsidRPr="00EE23C8">
              <w:rPr>
                <w:rFonts w:cs="Tahoma"/>
                <w:color w:val="000000"/>
                <w:szCs w:val="26"/>
              </w:rPr>
              <w:t xml:space="preserve">he proportion of good or outstanding schools </w:t>
            </w:r>
            <w:r>
              <w:rPr>
                <w:rFonts w:cs="Tahoma"/>
                <w:color w:val="000000"/>
                <w:szCs w:val="26"/>
              </w:rPr>
              <w:t xml:space="preserve">has </w:t>
            </w:r>
            <w:r w:rsidR="00BE5896">
              <w:rPr>
                <w:rFonts w:cs="Tahoma"/>
                <w:color w:val="000000"/>
                <w:szCs w:val="26"/>
              </w:rPr>
              <w:t>remained unchanged since</w:t>
            </w:r>
            <w:r>
              <w:rPr>
                <w:rFonts w:cs="Tahoma"/>
                <w:color w:val="000000"/>
                <w:szCs w:val="26"/>
              </w:rPr>
              <w:t xml:space="preserve"> </w:t>
            </w:r>
            <w:r>
              <w:rPr>
                <w:rFonts w:cs="Tahoma"/>
              </w:rPr>
              <w:t>31 August 2016</w:t>
            </w:r>
            <w:r w:rsidR="00F206B3">
              <w:rPr>
                <w:rFonts w:cs="Tahoma"/>
              </w:rPr>
              <w:t xml:space="preserve"> at 89%</w:t>
            </w:r>
            <w:r w:rsidR="004B7D1C">
              <w:rPr>
                <w:rFonts w:cs="Tahoma"/>
              </w:rPr>
              <w:t>,</w:t>
            </w:r>
            <w:r>
              <w:rPr>
                <w:rFonts w:cs="Tahoma"/>
              </w:rPr>
              <w:t xml:space="preserve"> </w:t>
            </w:r>
            <w:r w:rsidR="00BE5896">
              <w:rPr>
                <w:rFonts w:cs="Tahoma"/>
              </w:rPr>
              <w:t xml:space="preserve">but has increased </w:t>
            </w:r>
            <w:r>
              <w:rPr>
                <w:rFonts w:cs="Tahoma"/>
              </w:rPr>
              <w:t>for</w:t>
            </w:r>
            <w:r w:rsidR="00BE5896">
              <w:rPr>
                <w:rFonts w:cs="Tahoma"/>
              </w:rPr>
              <w:t>:</w:t>
            </w:r>
          </w:p>
          <w:p w:rsidR="00101922" w:rsidRPr="00D17C10" w:rsidRDefault="00101922" w:rsidP="003107C9">
            <w:pPr>
              <w:numPr>
                <w:ilvl w:val="0"/>
                <w:numId w:val="25"/>
              </w:numPr>
              <w:ind w:left="600" w:hanging="283"/>
              <w:jc w:val="left"/>
              <w:rPr>
                <w:rFonts w:cs="Tahoma"/>
              </w:rPr>
            </w:pPr>
            <w:r w:rsidRPr="00D17C10">
              <w:rPr>
                <w:rFonts w:cs="Tahoma"/>
              </w:rPr>
              <w:t xml:space="preserve">Pupil referral units - 88% good </w:t>
            </w:r>
            <w:r w:rsidR="00EE23C8">
              <w:rPr>
                <w:rFonts w:cs="Tahoma"/>
              </w:rPr>
              <w:t xml:space="preserve">or </w:t>
            </w:r>
            <w:r w:rsidR="002F5BB7">
              <w:rPr>
                <w:rFonts w:cs="Tahoma"/>
              </w:rPr>
              <w:t>outstanding</w:t>
            </w:r>
            <w:r w:rsidR="00EE23C8">
              <w:rPr>
                <w:rFonts w:cs="Tahoma"/>
              </w:rPr>
              <w:t>, an increase from 86%</w:t>
            </w:r>
          </w:p>
          <w:p w:rsidR="00101922" w:rsidRPr="00D17C10" w:rsidRDefault="00101922" w:rsidP="003107C9">
            <w:pPr>
              <w:numPr>
                <w:ilvl w:val="0"/>
                <w:numId w:val="25"/>
              </w:numPr>
              <w:ind w:left="600" w:hanging="283"/>
              <w:jc w:val="left"/>
              <w:rPr>
                <w:rFonts w:cs="Tahoma"/>
              </w:rPr>
            </w:pPr>
            <w:r w:rsidRPr="00D17C10">
              <w:rPr>
                <w:rFonts w:cs="Tahoma"/>
              </w:rPr>
              <w:t>Secondary schools - 79%, a</w:t>
            </w:r>
            <w:r w:rsidR="003107C9">
              <w:rPr>
                <w:rFonts w:cs="Tahoma"/>
              </w:rPr>
              <w:t xml:space="preserve"> small</w:t>
            </w:r>
            <w:r w:rsidRPr="00D17C10">
              <w:rPr>
                <w:rFonts w:cs="Tahoma"/>
              </w:rPr>
              <w:t xml:space="preserve"> increase from 78%  </w:t>
            </w:r>
          </w:p>
          <w:p w:rsidR="00101922" w:rsidRDefault="00101922" w:rsidP="003107C9">
            <w:pPr>
              <w:numPr>
                <w:ilvl w:val="0"/>
                <w:numId w:val="25"/>
              </w:numPr>
              <w:ind w:left="600" w:hanging="283"/>
              <w:jc w:val="left"/>
              <w:rPr>
                <w:rFonts w:cs="Tahoma"/>
              </w:rPr>
            </w:pPr>
            <w:r w:rsidRPr="00D17C10">
              <w:rPr>
                <w:rFonts w:cs="Tahoma"/>
              </w:rPr>
              <w:t xml:space="preserve">Special schools </w:t>
            </w:r>
            <w:r w:rsidR="00220951">
              <w:rPr>
                <w:rFonts w:cs="Tahoma"/>
              </w:rPr>
              <w:t>-</w:t>
            </w:r>
            <w:r w:rsidR="00220951" w:rsidRPr="00D17C10">
              <w:rPr>
                <w:rFonts w:cs="Tahoma"/>
              </w:rPr>
              <w:t xml:space="preserve"> </w:t>
            </w:r>
            <w:r w:rsidR="003107C9">
              <w:rPr>
                <w:rFonts w:cs="Tahoma"/>
              </w:rPr>
              <w:t>94%, a small</w:t>
            </w:r>
            <w:r w:rsidRPr="00D17C10">
              <w:rPr>
                <w:rFonts w:cs="Tahoma"/>
              </w:rPr>
              <w:t xml:space="preserve"> increase from 93% </w:t>
            </w:r>
          </w:p>
          <w:p w:rsidR="00DC161D" w:rsidRPr="00F76208" w:rsidRDefault="00DC161D" w:rsidP="00EE5118">
            <w:pPr>
              <w:numPr>
                <w:ilvl w:val="0"/>
                <w:numId w:val="21"/>
              </w:numPr>
              <w:jc w:val="left"/>
              <w:rPr>
                <w:rFonts w:cs="Tahoma"/>
                <w:color w:val="FF0000"/>
                <w:sz w:val="8"/>
                <w:szCs w:val="8"/>
              </w:rPr>
            </w:pPr>
          </w:p>
        </w:tc>
      </w:tr>
      <w:tr w:rsidR="00EB700B" w:rsidRPr="007B33DD" w:rsidTr="003107C9">
        <w:trPr>
          <w:trHeight w:val="4876"/>
        </w:trPr>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0C19" w:rsidRDefault="00C877A3" w:rsidP="003107C9">
            <w:pPr>
              <w:spacing w:before="240" w:after="120"/>
              <w:jc w:val="left"/>
              <w:rPr>
                <w:rFonts w:cs="Tahoma"/>
                <w:b/>
                <w:bCs/>
              </w:rPr>
            </w:pPr>
            <w:r w:rsidRPr="00C16219">
              <w:rPr>
                <w:b/>
                <w:color w:val="000000"/>
                <w:sz w:val="22"/>
              </w:rPr>
              <w:t>Figure</w:t>
            </w:r>
            <w:r w:rsidR="00E17EDC" w:rsidRPr="00C16219">
              <w:rPr>
                <w:b/>
                <w:color w:val="000000"/>
                <w:sz w:val="22"/>
              </w:rPr>
              <w:t xml:space="preserve"> 1: </w:t>
            </w:r>
            <w:r w:rsidR="00660460" w:rsidRPr="00C16219">
              <w:rPr>
                <w:rFonts w:cs="Tahoma"/>
                <w:b/>
                <w:bCs/>
              </w:rPr>
              <w:t xml:space="preserve">Overall effectiveness of maintained schools and academies at their most recent inspection, 31 August 2017 </w:t>
            </w:r>
          </w:p>
          <w:p w:rsidR="00A6591F" w:rsidRPr="001A2C87" w:rsidRDefault="00620483" w:rsidP="000A0C19">
            <w:pPr>
              <w:jc w:val="left"/>
              <w:rPr>
                <w:rFonts w:cs="Tahoma"/>
                <w:b/>
                <w:bCs/>
              </w:rPr>
            </w:pPr>
            <w:r>
              <w:rPr>
                <w:rFonts w:cs="Tahoma"/>
                <w:b/>
                <w:bCs/>
                <w:noProof/>
              </w:rPr>
              <w:drawing>
                <wp:inline distT="0" distB="0" distL="0" distR="0">
                  <wp:extent cx="5396230" cy="2484120"/>
                  <wp:effectExtent l="0" t="0" r="0" b="0"/>
                  <wp:docPr id="163" name="Picture 163" descr="89% of all schools are good or outstanding: 99% of nursery, 90% of primary, 79% of secondary; 94% of special and 88% of pupil referra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230" cy="2484120"/>
                          </a:xfrm>
                          <a:prstGeom prst="rect">
                            <a:avLst/>
                          </a:prstGeom>
                          <a:noFill/>
                        </pic:spPr>
                      </pic:pic>
                    </a:graphicData>
                  </a:graphic>
                </wp:inline>
              </w:drawing>
            </w:r>
          </w:p>
        </w:tc>
      </w:tr>
      <w:tr w:rsidR="00730187" w:rsidRPr="007B33DD" w:rsidTr="00B86241">
        <w:trPr>
          <w:trHeight w:val="1794"/>
        </w:trPr>
        <w:tc>
          <w:tcPr>
            <w:tcW w:w="2694" w:type="dxa"/>
            <w:tcBorders>
              <w:top w:val="single" w:sz="8" w:space="0" w:color="000000"/>
              <w:left w:val="single" w:sz="12" w:space="0" w:color="FFFFFF"/>
              <w:bottom w:val="single" w:sz="12" w:space="0" w:color="A6A6A6"/>
              <w:right w:val="single" w:sz="12" w:space="0" w:color="FFFFFF"/>
            </w:tcBorders>
            <w:shd w:val="clear" w:color="auto" w:fill="auto"/>
          </w:tcPr>
          <w:p w:rsidR="00730187" w:rsidRPr="00F76208" w:rsidRDefault="00730187" w:rsidP="00BE5896">
            <w:pPr>
              <w:jc w:val="left"/>
              <w:rPr>
                <w:rFonts w:cs="Tahoma"/>
                <w:color w:val="FF0000"/>
                <w:sz w:val="8"/>
                <w:szCs w:val="8"/>
              </w:rPr>
            </w:pPr>
          </w:p>
          <w:p w:rsidR="00730187" w:rsidRPr="00F76208" w:rsidRDefault="004B7D1C" w:rsidP="00850535">
            <w:pPr>
              <w:jc w:val="left"/>
              <w:rPr>
                <w:rFonts w:cs="Tahoma"/>
                <w:color w:val="FF0000"/>
                <w:szCs w:val="26"/>
              </w:rPr>
            </w:pPr>
            <w:r w:rsidRPr="00FD1D4B">
              <w:rPr>
                <w:rFonts w:cs="Tahoma"/>
                <w:color w:val="000000"/>
              </w:rPr>
              <w:t>Schools that r</w:t>
            </w:r>
            <w:r w:rsidR="00BE5896" w:rsidRPr="00FD1D4B">
              <w:rPr>
                <w:rFonts w:cs="Tahoma"/>
                <w:color w:val="000000"/>
              </w:rPr>
              <w:t>equire</w:t>
            </w:r>
            <w:r w:rsidR="00BE5896">
              <w:rPr>
                <w:rFonts w:cs="Tahoma"/>
              </w:rPr>
              <w:t xml:space="preserve"> improvement </w:t>
            </w:r>
            <w:r w:rsidR="00BE5896" w:rsidRPr="000A3298">
              <w:rPr>
                <w:rFonts w:cs="Tahoma"/>
              </w:rPr>
              <w:t xml:space="preserve">that do not improve to good or outstanding </w:t>
            </w:r>
            <w:r w:rsidR="00BE5896">
              <w:rPr>
                <w:rFonts w:cs="Tahoma"/>
              </w:rPr>
              <w:t xml:space="preserve">commonly </w:t>
            </w:r>
            <w:r w:rsidR="00BE5896" w:rsidRPr="000A3298">
              <w:rPr>
                <w:rFonts w:cs="Tahoma"/>
              </w:rPr>
              <w:t>have higher propo</w:t>
            </w:r>
            <w:r w:rsidR="00BE5896">
              <w:rPr>
                <w:rFonts w:cs="Tahoma"/>
              </w:rPr>
              <w:t>rtions of deprived pupils</w:t>
            </w:r>
          </w:p>
        </w:tc>
        <w:tc>
          <w:tcPr>
            <w:tcW w:w="6237" w:type="dxa"/>
            <w:tcBorders>
              <w:top w:val="single" w:sz="8" w:space="0" w:color="000000"/>
              <w:left w:val="single" w:sz="12" w:space="0" w:color="FFFFFF"/>
              <w:bottom w:val="single" w:sz="12" w:space="0" w:color="A6A6A6"/>
              <w:right w:val="single" w:sz="12" w:space="0" w:color="FFFFFF"/>
            </w:tcBorders>
            <w:shd w:val="clear" w:color="auto" w:fill="auto"/>
          </w:tcPr>
          <w:p w:rsidR="00730187" w:rsidRPr="00F76208" w:rsidRDefault="00BE5896" w:rsidP="0060352F">
            <w:pPr>
              <w:pStyle w:val="NoSpacing"/>
              <w:spacing w:before="120"/>
              <w:jc w:val="left"/>
              <w:rPr>
                <w:color w:val="FF0000"/>
                <w:sz w:val="22"/>
                <w:szCs w:val="22"/>
              </w:rPr>
            </w:pPr>
            <w:r w:rsidRPr="00BE5896">
              <w:rPr>
                <w:rFonts w:cs="Tahoma"/>
                <w:color w:val="000000"/>
                <w:szCs w:val="26"/>
              </w:rPr>
              <w:t xml:space="preserve">Fifty-five per cent of the schools </w:t>
            </w:r>
            <w:r w:rsidR="00220951">
              <w:rPr>
                <w:rFonts w:cs="Tahoma"/>
                <w:color w:val="000000"/>
                <w:szCs w:val="26"/>
              </w:rPr>
              <w:t>which</w:t>
            </w:r>
            <w:r w:rsidR="00220951" w:rsidRPr="00BE5896">
              <w:rPr>
                <w:rFonts w:cs="Tahoma"/>
                <w:color w:val="000000"/>
                <w:szCs w:val="26"/>
              </w:rPr>
              <w:t xml:space="preserve"> </w:t>
            </w:r>
            <w:r w:rsidRPr="00BE5896">
              <w:rPr>
                <w:rFonts w:cs="Tahoma"/>
                <w:color w:val="000000"/>
                <w:szCs w:val="26"/>
              </w:rPr>
              <w:t>currently require improvement</w:t>
            </w:r>
            <w:r w:rsidRPr="000A3298">
              <w:rPr>
                <w:rFonts w:cs="Tahoma"/>
              </w:rPr>
              <w:t xml:space="preserve"> have high proportions of pupils from deprived areas.</w:t>
            </w:r>
            <w:r w:rsidR="00AF4C1E">
              <w:rPr>
                <w:rFonts w:cs="Tahoma"/>
              </w:rPr>
              <w:t xml:space="preserve"> </w:t>
            </w:r>
            <w:r w:rsidR="0060352F">
              <w:rPr>
                <w:rFonts w:cs="Tahoma"/>
              </w:rPr>
              <w:t>Of</w:t>
            </w:r>
            <w:r w:rsidR="00AF4C1E" w:rsidRPr="000A3298">
              <w:rPr>
                <w:rFonts w:cs="Tahoma"/>
              </w:rPr>
              <w:t xml:space="preserve"> schools </w:t>
            </w:r>
            <w:r w:rsidR="0060352F">
              <w:rPr>
                <w:rFonts w:cs="Tahoma"/>
              </w:rPr>
              <w:t>inspected</w:t>
            </w:r>
            <w:r w:rsidR="0060352F" w:rsidRPr="000A3298">
              <w:rPr>
                <w:rFonts w:cs="Tahoma"/>
              </w:rPr>
              <w:t xml:space="preserve"> this year </w:t>
            </w:r>
            <w:r w:rsidR="00AF4C1E" w:rsidRPr="000A3298">
              <w:rPr>
                <w:rFonts w:cs="Tahoma"/>
              </w:rPr>
              <w:t xml:space="preserve">that had previously </w:t>
            </w:r>
            <w:r w:rsidR="0060352F">
              <w:rPr>
                <w:rFonts w:cs="Tahoma"/>
              </w:rPr>
              <w:t xml:space="preserve">been judged to </w:t>
            </w:r>
            <w:r w:rsidR="00AF4C1E" w:rsidRPr="000A3298">
              <w:rPr>
                <w:rFonts w:cs="Tahoma"/>
              </w:rPr>
              <w:t>require improvement, those with high proportions of pupils from deprived areas were less likely to improve than those with pupils</w:t>
            </w:r>
            <w:r w:rsidR="002F5BB7">
              <w:rPr>
                <w:rFonts w:cs="Tahoma"/>
              </w:rPr>
              <w:t xml:space="preserve"> from more affluent areas</w:t>
            </w:r>
            <w:r w:rsidR="00AF4C1E" w:rsidRPr="000A3298">
              <w:rPr>
                <w:rFonts w:cs="Tahoma"/>
              </w:rPr>
              <w:t>.</w:t>
            </w:r>
          </w:p>
        </w:tc>
      </w:tr>
    </w:tbl>
    <w:p w:rsidR="002C192D" w:rsidRPr="00BB7E81" w:rsidRDefault="00BE5896" w:rsidP="00DB4988">
      <w:pPr>
        <w:pStyle w:val="Heading4"/>
        <w:rPr>
          <w:noProof/>
          <w:lang w:eastAsia="en-US"/>
        </w:rPr>
      </w:pPr>
      <w:bookmarkStart w:id="1" w:name="_Toc280878080"/>
      <w:bookmarkStart w:id="2" w:name="_Toc296347484"/>
      <w:bookmarkStart w:id="3" w:name="_Toc327345065"/>
      <w:r>
        <w:rPr>
          <w:noProof/>
          <w:lang w:eastAsia="en-US"/>
        </w:rPr>
        <w:br w:type="column"/>
      </w:r>
      <w:r w:rsidR="00CC5FEB" w:rsidRPr="00BB7E81">
        <w:rPr>
          <w:noProof/>
          <w:lang w:eastAsia="en-US"/>
        </w:rPr>
        <w:lastRenderedPageBreak/>
        <w:t>Contents</w:t>
      </w:r>
    </w:p>
    <w:p w:rsidR="00725B43" w:rsidRPr="00AC3684" w:rsidRDefault="002C192D" w:rsidP="00BE2615">
      <w:pPr>
        <w:pStyle w:val="TOC2"/>
        <w:rPr>
          <w:rFonts w:ascii="Calibri" w:eastAsia="Times New Roman" w:hAnsi="Calibri" w:cs="Times New Roman"/>
          <w:color w:val="000000"/>
          <w:sz w:val="22"/>
          <w:szCs w:val="22"/>
          <w:lang w:val="en-GB" w:eastAsia="en-GB"/>
        </w:rPr>
      </w:pPr>
      <w:r w:rsidRPr="002C192D">
        <w:fldChar w:fldCharType="begin"/>
      </w:r>
      <w:r w:rsidRPr="002C192D">
        <w:instrText xml:space="preserve"> TOC \o "1-3" \h \z \u </w:instrText>
      </w:r>
      <w:r w:rsidRPr="002C192D">
        <w:fldChar w:fldCharType="separate"/>
      </w:r>
      <w:hyperlink w:anchor="_Toc485298670" w:history="1">
        <w:r w:rsidR="00725B43" w:rsidRPr="00AC3684">
          <w:rPr>
            <w:rStyle w:val="Hyperlink"/>
            <w:color w:val="000000"/>
            <w:u w:val="none"/>
          </w:rPr>
          <w:t xml:space="preserve">Inspections between 1 September 2016 and 31 </w:t>
        </w:r>
        <w:r w:rsidR="00F76208" w:rsidRPr="00AC3684">
          <w:rPr>
            <w:rStyle w:val="Hyperlink"/>
            <w:color w:val="000000"/>
            <w:u w:val="none"/>
          </w:rPr>
          <w:t>August</w:t>
        </w:r>
        <w:r w:rsidR="00725B43" w:rsidRPr="00AC3684">
          <w:rPr>
            <w:rStyle w:val="Hyperlink"/>
            <w:color w:val="000000"/>
            <w:u w:val="none"/>
          </w:rPr>
          <w:t xml:space="preserve"> 2017</w:t>
        </w:r>
        <w:r w:rsidR="00725B43" w:rsidRPr="00AC3684">
          <w:rPr>
            <w:webHidden/>
            <w:color w:val="000000"/>
          </w:rPr>
          <w:tab/>
        </w:r>
        <w:r w:rsidR="00725B43" w:rsidRPr="00AC3684">
          <w:rPr>
            <w:webHidden/>
            <w:color w:val="000000"/>
          </w:rPr>
          <w:fldChar w:fldCharType="begin"/>
        </w:r>
        <w:r w:rsidR="00725B43" w:rsidRPr="00AC3684">
          <w:rPr>
            <w:webHidden/>
            <w:color w:val="000000"/>
          </w:rPr>
          <w:instrText xml:space="preserve"> PAGEREF _Toc485298670 \h </w:instrText>
        </w:r>
        <w:r w:rsidR="00725B43" w:rsidRPr="00AC3684">
          <w:rPr>
            <w:webHidden/>
            <w:color w:val="000000"/>
          </w:rPr>
        </w:r>
        <w:r w:rsidR="00725B43" w:rsidRPr="00AC3684">
          <w:rPr>
            <w:webHidden/>
            <w:color w:val="000000"/>
          </w:rPr>
          <w:fldChar w:fldCharType="separate"/>
        </w:r>
        <w:r w:rsidR="00484608">
          <w:rPr>
            <w:webHidden/>
            <w:color w:val="000000"/>
          </w:rPr>
          <w:t>3</w:t>
        </w:r>
        <w:r w:rsidR="00725B43" w:rsidRPr="00AC3684">
          <w:rPr>
            <w:webHidden/>
            <w:color w:val="000000"/>
          </w:rPr>
          <w:fldChar w:fldCharType="end"/>
        </w:r>
      </w:hyperlink>
    </w:p>
    <w:p w:rsidR="00725B43" w:rsidRPr="00AC3684" w:rsidRDefault="00484608" w:rsidP="00122DA6">
      <w:pPr>
        <w:pStyle w:val="TOC2"/>
        <w:rPr>
          <w:rStyle w:val="Hyperlink"/>
          <w:color w:val="000000"/>
          <w:u w:val="none"/>
        </w:rPr>
      </w:pPr>
      <w:hyperlink w:anchor="_Toc485298671" w:history="1">
        <w:r w:rsidR="00725B43" w:rsidRPr="00AC3684">
          <w:rPr>
            <w:rStyle w:val="Hyperlink"/>
            <w:bCs/>
            <w:color w:val="000000"/>
            <w:u w:val="none"/>
          </w:rPr>
          <w:t>Schools at their most recent inspection</w:t>
        </w:r>
        <w:r w:rsidR="00725B43" w:rsidRPr="00AC3684">
          <w:rPr>
            <w:webHidden/>
            <w:color w:val="000000"/>
          </w:rPr>
          <w:tab/>
        </w:r>
        <w:r w:rsidR="00212221" w:rsidRPr="00AC3684">
          <w:rPr>
            <w:webHidden/>
            <w:color w:val="000000"/>
          </w:rPr>
          <w:t>5</w:t>
        </w:r>
      </w:hyperlink>
    </w:p>
    <w:p w:rsidR="00122DA6" w:rsidRPr="00AC3684" w:rsidRDefault="00122DA6" w:rsidP="00122DA6">
      <w:pPr>
        <w:pStyle w:val="TOC2"/>
        <w:rPr>
          <w:rStyle w:val="Hyperlink"/>
          <w:color w:val="000000"/>
          <w:u w:val="none"/>
        </w:rPr>
      </w:pPr>
      <w:r w:rsidRPr="00AC3684">
        <w:rPr>
          <w:rStyle w:val="Hyperlink"/>
          <w:color w:val="000000"/>
          <w:u w:val="none"/>
        </w:rPr>
        <w:t>Schools that require improvement</w:t>
      </w:r>
      <w:r w:rsidRPr="00AC3684">
        <w:rPr>
          <w:rStyle w:val="Hyperlink"/>
          <w:webHidden/>
          <w:color w:val="000000"/>
          <w:u w:val="none"/>
        </w:rPr>
        <w:tab/>
        <w:t>6</w:t>
      </w:r>
    </w:p>
    <w:p w:rsidR="00122DA6" w:rsidRPr="00AC3684" w:rsidRDefault="00122DA6" w:rsidP="00122DA6">
      <w:pPr>
        <w:pStyle w:val="TOC2"/>
        <w:rPr>
          <w:rStyle w:val="Hyperlink"/>
          <w:color w:val="000000"/>
          <w:u w:val="none"/>
        </w:rPr>
      </w:pPr>
      <w:r w:rsidRPr="00AC3684">
        <w:rPr>
          <w:rStyle w:val="Hyperlink"/>
          <w:color w:val="000000"/>
          <w:u w:val="none"/>
        </w:rPr>
        <w:t>Good schools</w:t>
      </w:r>
      <w:r w:rsidRPr="00AC3684">
        <w:rPr>
          <w:rStyle w:val="Hyperlink"/>
          <w:webHidden/>
          <w:color w:val="000000"/>
          <w:u w:val="none"/>
        </w:rPr>
        <w:tab/>
      </w:r>
      <w:r w:rsidR="00500C70" w:rsidRPr="00AC3684">
        <w:rPr>
          <w:rStyle w:val="Hyperlink"/>
          <w:webHidden/>
          <w:color w:val="000000"/>
          <w:u w:val="none"/>
        </w:rPr>
        <w:t>9</w:t>
      </w:r>
    </w:p>
    <w:p w:rsidR="00122DA6" w:rsidRPr="00AC3684" w:rsidRDefault="00122DA6" w:rsidP="00122DA6">
      <w:pPr>
        <w:pStyle w:val="TOC2"/>
        <w:rPr>
          <w:rStyle w:val="Hyperlink"/>
          <w:color w:val="000000"/>
          <w:u w:val="none"/>
        </w:rPr>
      </w:pPr>
      <w:r w:rsidRPr="00AC3684">
        <w:rPr>
          <w:rStyle w:val="Hyperlink"/>
          <w:color w:val="000000"/>
          <w:u w:val="none"/>
        </w:rPr>
        <w:t>Outstanding schools</w:t>
      </w:r>
      <w:r w:rsidRPr="00AC3684">
        <w:rPr>
          <w:rStyle w:val="Hyperlink"/>
          <w:webHidden/>
          <w:color w:val="000000"/>
          <w:u w:val="none"/>
        </w:rPr>
        <w:tab/>
      </w:r>
      <w:r w:rsidR="00500C70" w:rsidRPr="00AC3684">
        <w:rPr>
          <w:rStyle w:val="Hyperlink"/>
          <w:webHidden/>
          <w:color w:val="000000"/>
          <w:u w:val="none"/>
        </w:rPr>
        <w:t>11</w:t>
      </w:r>
    </w:p>
    <w:p w:rsidR="00122DA6" w:rsidRPr="00AC3684" w:rsidRDefault="00122DA6" w:rsidP="00122DA6">
      <w:pPr>
        <w:pStyle w:val="TOC2"/>
        <w:rPr>
          <w:color w:val="000000"/>
        </w:rPr>
      </w:pPr>
      <w:r w:rsidRPr="00AC3684">
        <w:rPr>
          <w:rStyle w:val="Hyperlink"/>
          <w:color w:val="000000"/>
          <w:u w:val="none"/>
        </w:rPr>
        <w:t>Inadequate schools</w:t>
      </w:r>
      <w:r w:rsidRPr="00AC3684">
        <w:rPr>
          <w:rStyle w:val="Hyperlink"/>
          <w:webHidden/>
          <w:color w:val="000000"/>
          <w:u w:val="none"/>
        </w:rPr>
        <w:tab/>
      </w:r>
      <w:r w:rsidR="00500C70" w:rsidRPr="00AC3684">
        <w:rPr>
          <w:rStyle w:val="Hyperlink"/>
          <w:webHidden/>
          <w:color w:val="000000"/>
          <w:u w:val="none"/>
        </w:rPr>
        <w:t>12</w:t>
      </w:r>
    </w:p>
    <w:p w:rsidR="00725B43" w:rsidRPr="006461FD" w:rsidRDefault="00484608" w:rsidP="00BE2615">
      <w:pPr>
        <w:pStyle w:val="TOC2"/>
        <w:rPr>
          <w:rFonts w:ascii="Calibri" w:eastAsia="Times New Roman" w:hAnsi="Calibri" w:cs="Times New Roman"/>
          <w:sz w:val="22"/>
          <w:szCs w:val="22"/>
          <w:lang w:val="en-GB" w:eastAsia="en-GB"/>
        </w:rPr>
      </w:pPr>
      <w:hyperlink w:anchor="_Toc485298676" w:history="1">
        <w:r w:rsidR="00FA3F26" w:rsidRPr="00AC3684">
          <w:rPr>
            <w:rStyle w:val="Hyperlink"/>
            <w:color w:val="000000"/>
            <w:u w:val="none"/>
          </w:rPr>
          <w:t>Revisions to previous release</w:t>
        </w:r>
        <w:r w:rsidR="00FA3F26" w:rsidRPr="00AC3684">
          <w:rPr>
            <w:webHidden/>
            <w:color w:val="000000"/>
          </w:rPr>
          <w:tab/>
        </w:r>
        <w:r w:rsidR="00FA3F26" w:rsidRPr="00AC3684">
          <w:rPr>
            <w:webHidden/>
            <w:color w:val="000000"/>
          </w:rPr>
          <w:fldChar w:fldCharType="begin"/>
        </w:r>
        <w:r w:rsidR="00FA3F26" w:rsidRPr="00AC3684">
          <w:rPr>
            <w:webHidden/>
            <w:color w:val="000000"/>
          </w:rPr>
          <w:instrText xml:space="preserve"> PAGEREF _Toc485298676 \h </w:instrText>
        </w:r>
        <w:r w:rsidR="00FA3F26" w:rsidRPr="00AC3684">
          <w:rPr>
            <w:webHidden/>
            <w:color w:val="000000"/>
          </w:rPr>
        </w:r>
        <w:r w:rsidR="00FA3F26" w:rsidRPr="00AC3684">
          <w:rPr>
            <w:webHidden/>
            <w:color w:val="000000"/>
          </w:rPr>
          <w:fldChar w:fldCharType="separate"/>
        </w:r>
        <w:r>
          <w:rPr>
            <w:webHidden/>
            <w:color w:val="000000"/>
          </w:rPr>
          <w:t>13</w:t>
        </w:r>
        <w:r w:rsidR="00FA3F26" w:rsidRPr="00AC3684">
          <w:rPr>
            <w:webHidden/>
            <w:color w:val="000000"/>
          </w:rPr>
          <w:fldChar w:fldCharType="end"/>
        </w:r>
      </w:hyperlink>
    </w:p>
    <w:p w:rsidR="00725B43" w:rsidRPr="006461FD" w:rsidRDefault="00484608" w:rsidP="00BE2615">
      <w:pPr>
        <w:pStyle w:val="TOC2"/>
        <w:rPr>
          <w:rFonts w:ascii="Calibri" w:eastAsia="Times New Roman" w:hAnsi="Calibri" w:cs="Times New Roman"/>
          <w:sz w:val="22"/>
          <w:szCs w:val="22"/>
          <w:lang w:val="en-GB" w:eastAsia="en-GB"/>
        </w:rPr>
      </w:pPr>
      <w:hyperlink w:anchor="_Toc485298677" w:history="1">
        <w:r w:rsidR="00FA3F26" w:rsidRPr="009F568D">
          <w:rPr>
            <w:rStyle w:val="Hyperlink"/>
          </w:rPr>
          <w:t>Notes</w:t>
        </w:r>
        <w:r w:rsidR="00FA3F26">
          <w:rPr>
            <w:webHidden/>
          </w:rPr>
          <w:tab/>
        </w:r>
        <w:r w:rsidR="00FA3F26">
          <w:rPr>
            <w:webHidden/>
          </w:rPr>
          <w:fldChar w:fldCharType="begin"/>
        </w:r>
        <w:r w:rsidR="00FA3F26">
          <w:rPr>
            <w:webHidden/>
          </w:rPr>
          <w:instrText xml:space="preserve"> PAGEREF _Toc485298677 \h </w:instrText>
        </w:r>
        <w:r w:rsidR="00FA3F26">
          <w:rPr>
            <w:webHidden/>
          </w:rPr>
        </w:r>
        <w:r w:rsidR="00FA3F26">
          <w:rPr>
            <w:webHidden/>
          </w:rPr>
          <w:fldChar w:fldCharType="separate"/>
        </w:r>
        <w:r>
          <w:rPr>
            <w:webHidden/>
          </w:rPr>
          <w:t>14</w:t>
        </w:r>
        <w:r w:rsidR="00FA3F26">
          <w:rPr>
            <w:webHidden/>
          </w:rPr>
          <w:fldChar w:fldCharType="end"/>
        </w:r>
      </w:hyperlink>
    </w:p>
    <w:p w:rsidR="00725B43" w:rsidRPr="006461FD" w:rsidRDefault="00484608" w:rsidP="00BE2615">
      <w:pPr>
        <w:pStyle w:val="TOC2"/>
        <w:rPr>
          <w:rFonts w:ascii="Calibri" w:eastAsia="Times New Roman" w:hAnsi="Calibri" w:cs="Times New Roman"/>
          <w:sz w:val="22"/>
          <w:szCs w:val="22"/>
          <w:lang w:val="en-GB" w:eastAsia="en-GB"/>
        </w:rPr>
      </w:pPr>
      <w:hyperlink w:anchor="_Toc485298678" w:history="1">
        <w:r w:rsidR="00FA3F26" w:rsidRPr="009F568D">
          <w:rPr>
            <w:rStyle w:val="Hyperlink"/>
          </w:rPr>
          <w:t>Glossary</w:t>
        </w:r>
        <w:r w:rsidR="00FA3F26">
          <w:rPr>
            <w:webHidden/>
          </w:rPr>
          <w:tab/>
        </w:r>
        <w:r w:rsidR="00FA3F26">
          <w:rPr>
            <w:webHidden/>
          </w:rPr>
          <w:fldChar w:fldCharType="begin"/>
        </w:r>
        <w:r w:rsidR="00FA3F26">
          <w:rPr>
            <w:webHidden/>
          </w:rPr>
          <w:instrText xml:space="preserve"> PAGEREF _Toc485298678 \h </w:instrText>
        </w:r>
        <w:r w:rsidR="00FA3F26">
          <w:rPr>
            <w:webHidden/>
          </w:rPr>
        </w:r>
        <w:r w:rsidR="00FA3F26">
          <w:rPr>
            <w:webHidden/>
          </w:rPr>
          <w:fldChar w:fldCharType="separate"/>
        </w:r>
        <w:r>
          <w:rPr>
            <w:webHidden/>
          </w:rPr>
          <w:t>14</w:t>
        </w:r>
        <w:r w:rsidR="00FA3F26">
          <w:rPr>
            <w:webHidden/>
          </w:rPr>
          <w:fldChar w:fldCharType="end"/>
        </w:r>
      </w:hyperlink>
    </w:p>
    <w:p w:rsidR="00724D6B" w:rsidRDefault="002C192D" w:rsidP="00C16219">
      <w:pPr>
        <w:spacing w:after="120"/>
        <w:jc w:val="left"/>
        <w:rPr>
          <w:noProof/>
        </w:rPr>
      </w:pPr>
      <w:r w:rsidRPr="002C192D">
        <w:rPr>
          <w:noProof/>
        </w:rPr>
        <w:fldChar w:fldCharType="end"/>
      </w:r>
      <w:bookmarkStart w:id="4" w:name="Key_findings"/>
      <w:bookmarkEnd w:id="1"/>
      <w:bookmarkEnd w:id="2"/>
      <w:bookmarkEnd w:id="3"/>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724D6B" w:rsidRDefault="00724D6B" w:rsidP="00C16219">
      <w:pPr>
        <w:spacing w:after="120"/>
        <w:jc w:val="left"/>
        <w:rPr>
          <w:noProof/>
        </w:rPr>
      </w:pPr>
    </w:p>
    <w:p w:rsidR="00493D07" w:rsidRDefault="00493D07" w:rsidP="00C16219">
      <w:pPr>
        <w:spacing w:after="120"/>
        <w:jc w:val="left"/>
        <w:rPr>
          <w:noProof/>
        </w:rPr>
      </w:pPr>
    </w:p>
    <w:p w:rsidR="00877F22" w:rsidRDefault="00877F22" w:rsidP="00C16219">
      <w:pPr>
        <w:spacing w:after="120"/>
        <w:jc w:val="left"/>
        <w:rPr>
          <w:noProof/>
        </w:rPr>
      </w:pPr>
    </w:p>
    <w:p w:rsidR="00493D07" w:rsidRDefault="00493D07" w:rsidP="00C16219">
      <w:pPr>
        <w:spacing w:after="120"/>
        <w:jc w:val="left"/>
        <w:rPr>
          <w:noProof/>
        </w:rPr>
      </w:pPr>
    </w:p>
    <w:p w:rsidR="00500DD2" w:rsidRDefault="00500DD2" w:rsidP="00C16219">
      <w:pPr>
        <w:spacing w:after="120"/>
        <w:jc w:val="left"/>
        <w:rPr>
          <w:noProof/>
        </w:rPr>
      </w:pPr>
    </w:p>
    <w:p w:rsidR="00500DD2" w:rsidRDefault="00500DD2" w:rsidP="00C16219">
      <w:pPr>
        <w:spacing w:after="120"/>
        <w:jc w:val="left"/>
        <w:rPr>
          <w:noProof/>
        </w:rPr>
      </w:pPr>
    </w:p>
    <w:p w:rsidR="009A6870" w:rsidRPr="009A6870" w:rsidRDefault="009A6870" w:rsidP="00C16219">
      <w:pPr>
        <w:spacing w:after="120"/>
        <w:jc w:val="left"/>
        <w:rPr>
          <w:b/>
          <w:sz w:val="28"/>
        </w:rPr>
      </w:pPr>
      <w:r w:rsidRPr="009A6870">
        <w:rPr>
          <w:b/>
          <w:sz w:val="28"/>
        </w:rPr>
        <w:t>Acknowledgements</w:t>
      </w:r>
    </w:p>
    <w:p w:rsidR="009A6870" w:rsidRPr="00C16219" w:rsidRDefault="009A6870" w:rsidP="00C16219">
      <w:pPr>
        <w:jc w:val="left"/>
        <w:rPr>
          <w:color w:val="000000"/>
        </w:rPr>
      </w:pPr>
      <w:r w:rsidRPr="00C16219">
        <w:rPr>
          <w:color w:val="000000"/>
        </w:rPr>
        <w:t xml:space="preserve">Thanks to the following for their contribution to this statistical release: </w:t>
      </w:r>
      <w:r w:rsidR="00D03CD4" w:rsidRPr="00C16219">
        <w:rPr>
          <w:color w:val="000000"/>
        </w:rPr>
        <w:t>John Wil</w:t>
      </w:r>
      <w:r w:rsidR="00DD66C5" w:rsidRPr="00DB628F">
        <w:rPr>
          <w:color w:val="000000"/>
        </w:rPr>
        <w:t>l</w:t>
      </w:r>
      <w:r w:rsidR="00D03CD4" w:rsidRPr="00C16219">
        <w:rPr>
          <w:color w:val="000000"/>
        </w:rPr>
        <w:t>man</w:t>
      </w:r>
      <w:r w:rsidR="00777FE3" w:rsidRPr="00C16219">
        <w:rPr>
          <w:color w:val="000000"/>
        </w:rPr>
        <w:t xml:space="preserve">, James Jordan, </w:t>
      </w:r>
      <w:r w:rsidR="007D2FB3" w:rsidRPr="00C16219">
        <w:rPr>
          <w:color w:val="000000"/>
        </w:rPr>
        <w:t>Issa Mohamed</w:t>
      </w:r>
      <w:r w:rsidR="00D03CD4" w:rsidRPr="00C16219">
        <w:rPr>
          <w:color w:val="000000"/>
        </w:rPr>
        <w:t xml:space="preserve"> and Chris Foley</w:t>
      </w:r>
      <w:r w:rsidR="005636AC" w:rsidRPr="00C16219">
        <w:rPr>
          <w:color w:val="000000"/>
        </w:rPr>
        <w:t>.</w:t>
      </w:r>
      <w:r w:rsidR="00777FE3" w:rsidRPr="00C16219">
        <w:rPr>
          <w:color w:val="000000"/>
        </w:rPr>
        <w:t xml:space="preserve"> </w:t>
      </w:r>
    </w:p>
    <w:p w:rsidR="00F158AC" w:rsidRPr="003B1DCE" w:rsidRDefault="00416DE7" w:rsidP="00C16219">
      <w:pPr>
        <w:pStyle w:val="Heading2"/>
        <w:spacing w:after="120"/>
        <w:jc w:val="left"/>
        <w:rPr>
          <w:color w:val="000000"/>
        </w:rPr>
      </w:pPr>
      <w:r w:rsidRPr="009A6870">
        <w:br w:type="page"/>
      </w:r>
      <w:bookmarkStart w:id="5" w:name="_Toc485298670"/>
      <w:r w:rsidR="00E735EC" w:rsidRPr="003B1DCE">
        <w:rPr>
          <w:color w:val="000000"/>
        </w:rPr>
        <w:lastRenderedPageBreak/>
        <w:t xml:space="preserve">Inspections between 1 September 2016 and 31 </w:t>
      </w:r>
      <w:r w:rsidR="000931F2">
        <w:rPr>
          <w:color w:val="000000"/>
        </w:rPr>
        <w:t>August</w:t>
      </w:r>
      <w:r w:rsidR="00E735EC" w:rsidRPr="003B1DCE">
        <w:rPr>
          <w:color w:val="000000"/>
        </w:rPr>
        <w:t xml:space="preserve"> 2017</w:t>
      </w:r>
      <w:bookmarkEnd w:id="5"/>
      <w:r w:rsidR="002C192D" w:rsidRPr="003B1DCE">
        <w:rPr>
          <w:color w:val="000000"/>
        </w:rPr>
        <w:t xml:space="preserve"> </w:t>
      </w:r>
    </w:p>
    <w:bookmarkEnd w:id="4"/>
    <w:p w:rsidR="00957EB8" w:rsidRPr="0027265A" w:rsidRDefault="00F76208" w:rsidP="00C16219">
      <w:pPr>
        <w:spacing w:after="120"/>
        <w:jc w:val="left"/>
        <w:rPr>
          <w:color w:val="000000"/>
        </w:rPr>
      </w:pPr>
      <w:r w:rsidRPr="0027265A">
        <w:rPr>
          <w:color w:val="000000"/>
        </w:rPr>
        <w:t>In the 2016/17 academic year we carried out 5,434 full or short inspections of state-funded schools</w:t>
      </w:r>
      <w:r w:rsidR="004B7D1C">
        <w:rPr>
          <w:color w:val="000000"/>
        </w:rPr>
        <w:t>, where the reports were published by 30 September</w:t>
      </w:r>
      <w:r w:rsidR="00850535">
        <w:rPr>
          <w:color w:val="000000"/>
        </w:rPr>
        <w:t xml:space="preserve"> 2017.</w:t>
      </w:r>
      <w:r w:rsidR="00DD66C5" w:rsidRPr="0027265A">
        <w:rPr>
          <w:color w:val="000000"/>
        </w:rPr>
        <w:t xml:space="preserve"> These consisted of</w:t>
      </w:r>
      <w:r w:rsidR="00907A66" w:rsidRPr="0027265A">
        <w:rPr>
          <w:color w:val="000000"/>
        </w:rPr>
        <w:t xml:space="preserve"> </w:t>
      </w:r>
      <w:r w:rsidR="009E3830" w:rsidRPr="0027265A">
        <w:rPr>
          <w:color w:val="000000"/>
        </w:rPr>
        <w:t xml:space="preserve">2,613 short </w:t>
      </w:r>
      <w:r w:rsidR="00EE5C1C" w:rsidRPr="0027265A">
        <w:rPr>
          <w:color w:val="000000"/>
        </w:rPr>
        <w:t>inspections that didn’t convert to full inspections</w:t>
      </w:r>
      <w:r w:rsidR="009E3830" w:rsidRPr="0027265A">
        <w:rPr>
          <w:color w:val="000000"/>
        </w:rPr>
        <w:t>,</w:t>
      </w:r>
      <w:r w:rsidR="00E047D8" w:rsidRPr="0027265A">
        <w:rPr>
          <w:color w:val="000000"/>
        </w:rPr>
        <w:t xml:space="preserve"> </w:t>
      </w:r>
      <w:r w:rsidR="00907A66" w:rsidRPr="0027265A">
        <w:rPr>
          <w:color w:val="000000"/>
        </w:rPr>
        <w:t>1</w:t>
      </w:r>
      <w:r w:rsidR="009010F8" w:rsidRPr="0027265A">
        <w:rPr>
          <w:color w:val="000000"/>
        </w:rPr>
        <w:t>,</w:t>
      </w:r>
      <w:r w:rsidR="00907A66" w:rsidRPr="0027265A">
        <w:rPr>
          <w:color w:val="000000"/>
        </w:rPr>
        <w:t>064 short inspection</w:t>
      </w:r>
      <w:r w:rsidR="009A42F2" w:rsidRPr="0027265A">
        <w:rPr>
          <w:color w:val="000000"/>
        </w:rPr>
        <w:t>s</w:t>
      </w:r>
      <w:r w:rsidR="00907A66" w:rsidRPr="0027265A">
        <w:rPr>
          <w:color w:val="000000"/>
        </w:rPr>
        <w:t xml:space="preserve"> which </w:t>
      </w:r>
      <w:r w:rsidR="00EE5C1C" w:rsidRPr="0027265A">
        <w:rPr>
          <w:color w:val="000000"/>
        </w:rPr>
        <w:t>did</w:t>
      </w:r>
      <w:r w:rsidR="00907A66" w:rsidRPr="0027265A">
        <w:rPr>
          <w:color w:val="000000"/>
        </w:rPr>
        <w:t xml:space="preserve"> </w:t>
      </w:r>
      <w:r w:rsidR="004B7D1C">
        <w:rPr>
          <w:color w:val="000000"/>
        </w:rPr>
        <w:t xml:space="preserve">convert, </w:t>
      </w:r>
      <w:r w:rsidR="00907A66" w:rsidRPr="0027265A">
        <w:rPr>
          <w:color w:val="000000"/>
        </w:rPr>
        <w:t xml:space="preserve">and </w:t>
      </w:r>
      <w:r w:rsidR="00EE5C1C" w:rsidRPr="0027265A">
        <w:rPr>
          <w:color w:val="000000"/>
        </w:rPr>
        <w:t xml:space="preserve">a further </w:t>
      </w:r>
      <w:r w:rsidR="00907A66" w:rsidRPr="0027265A">
        <w:rPr>
          <w:color w:val="000000"/>
        </w:rPr>
        <w:t>1,757 section 5 inspections</w:t>
      </w:r>
      <w:r w:rsidR="004B7D1C">
        <w:rPr>
          <w:color w:val="000000"/>
        </w:rPr>
        <w:t xml:space="preserve">. The section 5 inspections </w:t>
      </w:r>
      <w:r w:rsidR="005E25B1" w:rsidRPr="0027265A">
        <w:rPr>
          <w:color w:val="000000"/>
        </w:rPr>
        <w:t>includ</w:t>
      </w:r>
      <w:r w:rsidR="00D92E67">
        <w:rPr>
          <w:color w:val="000000"/>
        </w:rPr>
        <w:t>e</w:t>
      </w:r>
      <w:r w:rsidR="005E25B1" w:rsidRPr="0027265A">
        <w:rPr>
          <w:color w:val="000000"/>
        </w:rPr>
        <w:t xml:space="preserve"> section 8 </w:t>
      </w:r>
      <w:r w:rsidR="004B7D1C">
        <w:rPr>
          <w:color w:val="000000"/>
        </w:rPr>
        <w:t xml:space="preserve">inspections </w:t>
      </w:r>
      <w:r w:rsidR="005E25B1" w:rsidRPr="0027265A">
        <w:rPr>
          <w:color w:val="000000"/>
        </w:rPr>
        <w:t>deemed section 5 inspections</w:t>
      </w:r>
      <w:r w:rsidR="009A42F2" w:rsidRPr="0027265A">
        <w:rPr>
          <w:color w:val="000000"/>
        </w:rPr>
        <w:t xml:space="preserve">. </w:t>
      </w:r>
    </w:p>
    <w:p w:rsidR="009E0D78" w:rsidRPr="0027265A" w:rsidRDefault="00EE5C1C" w:rsidP="0076769A">
      <w:pPr>
        <w:jc w:val="left"/>
        <w:rPr>
          <w:color w:val="000000"/>
        </w:rPr>
      </w:pPr>
      <w:r w:rsidRPr="0027265A">
        <w:rPr>
          <w:color w:val="000000"/>
        </w:rPr>
        <w:t>Seventy-five per cent</w:t>
      </w:r>
      <w:r w:rsidR="006C742C" w:rsidRPr="0027265A">
        <w:rPr>
          <w:color w:val="000000"/>
        </w:rPr>
        <w:t xml:space="preserve"> of schools were judged good or outstanding</w:t>
      </w:r>
      <w:r w:rsidR="000931F2">
        <w:rPr>
          <w:color w:val="000000"/>
        </w:rPr>
        <w:t xml:space="preserve"> in 2016/17</w:t>
      </w:r>
      <w:r w:rsidR="006C742C" w:rsidRPr="0027265A">
        <w:rPr>
          <w:color w:val="000000"/>
        </w:rPr>
        <w:t xml:space="preserve">. The proportion </w:t>
      </w:r>
      <w:r w:rsidR="009E0D78" w:rsidRPr="0027265A">
        <w:rPr>
          <w:color w:val="000000"/>
        </w:rPr>
        <w:t xml:space="preserve">is </w:t>
      </w:r>
      <w:r w:rsidR="006C742C" w:rsidRPr="0027265A">
        <w:rPr>
          <w:color w:val="000000"/>
        </w:rPr>
        <w:t>higher for school</w:t>
      </w:r>
      <w:r w:rsidRPr="0027265A">
        <w:rPr>
          <w:color w:val="000000"/>
        </w:rPr>
        <w:t>s</w:t>
      </w:r>
      <w:r w:rsidR="006C742C" w:rsidRPr="0027265A">
        <w:rPr>
          <w:color w:val="000000"/>
        </w:rPr>
        <w:t xml:space="preserve"> with younger </w:t>
      </w:r>
      <w:r w:rsidR="0060352F">
        <w:rPr>
          <w:color w:val="000000"/>
        </w:rPr>
        <w:t>pupils</w:t>
      </w:r>
      <w:r w:rsidR="00500DD2" w:rsidRPr="0027265A">
        <w:rPr>
          <w:color w:val="000000"/>
        </w:rPr>
        <w:t>;</w:t>
      </w:r>
      <w:r w:rsidR="006C742C" w:rsidRPr="0027265A">
        <w:rPr>
          <w:color w:val="000000"/>
        </w:rPr>
        <w:t xml:space="preserve"> 98% </w:t>
      </w:r>
      <w:r w:rsidR="0078372C" w:rsidRPr="0027265A">
        <w:rPr>
          <w:color w:val="000000"/>
        </w:rPr>
        <w:t>for</w:t>
      </w:r>
      <w:r w:rsidR="006C742C" w:rsidRPr="0027265A">
        <w:rPr>
          <w:color w:val="000000"/>
        </w:rPr>
        <w:t xml:space="preserve"> nursery schools</w:t>
      </w:r>
      <w:r w:rsidRPr="0027265A">
        <w:rPr>
          <w:color w:val="000000"/>
        </w:rPr>
        <w:t xml:space="preserve"> and</w:t>
      </w:r>
      <w:r w:rsidR="006C742C" w:rsidRPr="0027265A">
        <w:rPr>
          <w:color w:val="000000"/>
        </w:rPr>
        <w:t xml:space="preserve"> 78% </w:t>
      </w:r>
      <w:r w:rsidR="0078372C" w:rsidRPr="0027265A">
        <w:rPr>
          <w:color w:val="000000"/>
        </w:rPr>
        <w:t>for</w:t>
      </w:r>
      <w:r w:rsidR="006C742C" w:rsidRPr="0027265A">
        <w:rPr>
          <w:color w:val="000000"/>
        </w:rPr>
        <w:t xml:space="preserve"> primary schools</w:t>
      </w:r>
      <w:r w:rsidR="0078372C" w:rsidRPr="0027265A">
        <w:rPr>
          <w:color w:val="000000"/>
        </w:rPr>
        <w:t>,</w:t>
      </w:r>
      <w:r w:rsidRPr="0027265A">
        <w:rPr>
          <w:color w:val="000000"/>
        </w:rPr>
        <w:t xml:space="preserve"> compared </w:t>
      </w:r>
      <w:r w:rsidR="00B74FEC">
        <w:rPr>
          <w:color w:val="000000"/>
        </w:rPr>
        <w:t>with</w:t>
      </w:r>
      <w:r w:rsidR="00B74FEC" w:rsidRPr="0027265A">
        <w:rPr>
          <w:color w:val="000000"/>
        </w:rPr>
        <w:t xml:space="preserve"> </w:t>
      </w:r>
      <w:r w:rsidR="006C742C" w:rsidRPr="0027265A">
        <w:rPr>
          <w:color w:val="000000"/>
        </w:rPr>
        <w:t xml:space="preserve">62% </w:t>
      </w:r>
      <w:r w:rsidR="0078372C" w:rsidRPr="0027265A">
        <w:rPr>
          <w:color w:val="000000"/>
        </w:rPr>
        <w:t>for</w:t>
      </w:r>
      <w:r w:rsidR="006C742C" w:rsidRPr="0027265A">
        <w:rPr>
          <w:color w:val="000000"/>
        </w:rPr>
        <w:t xml:space="preserve"> secondary schools. </w:t>
      </w:r>
      <w:r w:rsidR="00E42814">
        <w:rPr>
          <w:color w:val="000000"/>
        </w:rPr>
        <w:t>A</w:t>
      </w:r>
      <w:r w:rsidR="00500DD2" w:rsidRPr="0027265A">
        <w:rPr>
          <w:color w:val="000000"/>
        </w:rPr>
        <w:t xml:space="preserve"> higher proportion of</w:t>
      </w:r>
      <w:r w:rsidRPr="0027265A">
        <w:rPr>
          <w:color w:val="000000"/>
        </w:rPr>
        <w:t xml:space="preserve"> secondary </w:t>
      </w:r>
      <w:r w:rsidR="00F7155F" w:rsidRPr="0027265A">
        <w:rPr>
          <w:color w:val="000000"/>
        </w:rPr>
        <w:t xml:space="preserve">schools </w:t>
      </w:r>
      <w:r w:rsidR="006C742C" w:rsidRPr="0027265A">
        <w:rPr>
          <w:color w:val="000000"/>
        </w:rPr>
        <w:t>were judge</w:t>
      </w:r>
      <w:r w:rsidR="00FD4DC0" w:rsidRPr="0027265A">
        <w:rPr>
          <w:color w:val="000000"/>
        </w:rPr>
        <w:t>d to be</w:t>
      </w:r>
      <w:r w:rsidR="006C742C" w:rsidRPr="0027265A">
        <w:rPr>
          <w:color w:val="000000"/>
        </w:rPr>
        <w:t xml:space="preserve"> inadequate</w:t>
      </w:r>
      <w:r w:rsidRPr="0027265A">
        <w:rPr>
          <w:color w:val="000000"/>
        </w:rPr>
        <w:t>; 13%</w:t>
      </w:r>
      <w:r w:rsidR="006C742C" w:rsidRPr="0027265A">
        <w:rPr>
          <w:color w:val="000000"/>
        </w:rPr>
        <w:t xml:space="preserve"> compared </w:t>
      </w:r>
      <w:r w:rsidR="00B74FEC">
        <w:rPr>
          <w:color w:val="000000"/>
        </w:rPr>
        <w:t>with</w:t>
      </w:r>
      <w:r w:rsidR="00B74FEC" w:rsidRPr="0027265A">
        <w:rPr>
          <w:color w:val="000000"/>
        </w:rPr>
        <w:t xml:space="preserve"> </w:t>
      </w:r>
      <w:r w:rsidR="009E0D78" w:rsidRPr="0027265A">
        <w:rPr>
          <w:color w:val="000000"/>
        </w:rPr>
        <w:t>f</w:t>
      </w:r>
      <w:r w:rsidR="00FD4DC0" w:rsidRPr="0027265A">
        <w:rPr>
          <w:color w:val="000000"/>
        </w:rPr>
        <w:t>our per</w:t>
      </w:r>
      <w:r w:rsidRPr="0027265A">
        <w:rPr>
          <w:color w:val="000000"/>
        </w:rPr>
        <w:t xml:space="preserve"> </w:t>
      </w:r>
      <w:r w:rsidR="00FD4DC0" w:rsidRPr="0027265A">
        <w:rPr>
          <w:color w:val="000000"/>
        </w:rPr>
        <w:t xml:space="preserve">cent of primary schools and one </w:t>
      </w:r>
      <w:r w:rsidR="00F7155F" w:rsidRPr="0027265A">
        <w:rPr>
          <w:color w:val="000000"/>
        </w:rPr>
        <w:t>per cent</w:t>
      </w:r>
      <w:r w:rsidR="00FD4DC0" w:rsidRPr="0027265A">
        <w:rPr>
          <w:color w:val="000000"/>
        </w:rPr>
        <w:t xml:space="preserve"> of nursery schools.</w:t>
      </w:r>
    </w:p>
    <w:p w:rsidR="00F7155F" w:rsidRDefault="00F7155F" w:rsidP="0076769A">
      <w:pPr>
        <w:jc w:val="left"/>
        <w:rPr>
          <w:color w:val="000000"/>
        </w:rPr>
      </w:pPr>
    </w:p>
    <w:p w:rsidR="000A0C19" w:rsidRDefault="00620483" w:rsidP="00C56A48">
      <w:pPr>
        <w:spacing w:after="120"/>
        <w:jc w:val="left"/>
        <w:rPr>
          <w:rFonts w:cs="Tahoma"/>
          <w:b/>
          <w:b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753110</wp:posOffset>
            </wp:positionV>
            <wp:extent cx="5688330" cy="3792220"/>
            <wp:effectExtent l="19050" t="19050" r="7620" b="0"/>
            <wp:wrapSquare wrapText="bothSides"/>
            <wp:docPr id="175" name="Picture 175" descr="75% of all schools inspected this year are good or outstanding: 98% of nursery, 78% of primary, 62% of secondary, 83% of special and 72% of pupil referra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75% of all schools inspected this year are good or outstanding: 98% of nursery, 78% of primary, 62% of secondary, 83% of special and 72% of pupil referral uni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8330" cy="37922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7155F" w:rsidRPr="0094208D">
        <w:rPr>
          <w:rFonts w:cs="Tahoma"/>
          <w:b/>
          <w:bCs/>
        </w:rPr>
        <w:t xml:space="preserve">Figure </w:t>
      </w:r>
      <w:r w:rsidR="00F7155F">
        <w:rPr>
          <w:rFonts w:cs="Tahoma"/>
          <w:b/>
          <w:bCs/>
        </w:rPr>
        <w:t>2</w:t>
      </w:r>
      <w:r w:rsidR="00F7155F" w:rsidRPr="0094208D">
        <w:rPr>
          <w:rFonts w:cs="Tahoma"/>
          <w:b/>
          <w:bCs/>
        </w:rPr>
        <w:t xml:space="preserve">: </w:t>
      </w:r>
      <w:r w:rsidR="00F7155F" w:rsidRPr="00907A66">
        <w:rPr>
          <w:rFonts w:cs="Tahoma"/>
          <w:b/>
          <w:bCs/>
        </w:rPr>
        <w:t xml:space="preserve">Overall effectiveness of schools inspected </w:t>
      </w:r>
      <w:r w:rsidR="00F7155F">
        <w:rPr>
          <w:rFonts w:cs="Tahoma"/>
          <w:b/>
          <w:bCs/>
        </w:rPr>
        <w:t>in 2016/17</w:t>
      </w:r>
      <w:r w:rsidR="00F7155F" w:rsidRPr="00907A66">
        <w:rPr>
          <w:rFonts w:cs="Tahoma"/>
          <w:b/>
          <w:bCs/>
        </w:rPr>
        <w:t xml:space="preserve">, by </w:t>
      </w:r>
      <w:r w:rsidR="00F7155F">
        <w:rPr>
          <w:rFonts w:cs="Tahoma"/>
          <w:b/>
          <w:bCs/>
        </w:rPr>
        <w:t>phase</w:t>
      </w:r>
      <w:r w:rsidR="00F7155F" w:rsidRPr="0094208D" w:rsidDel="00907A66">
        <w:rPr>
          <w:rFonts w:cs="Tahoma"/>
          <w:b/>
          <w:bCs/>
        </w:rPr>
        <w:t xml:space="preserve"> </w:t>
      </w:r>
      <w:r w:rsidR="00F7155F" w:rsidRPr="00907A66">
        <w:rPr>
          <w:rFonts w:cs="Tahoma"/>
          <w:b/>
          <w:bCs/>
        </w:rPr>
        <w:t>(includes most recent outcome for short inspections which did not convert</w:t>
      </w:r>
      <w:r w:rsidR="00ED2F69">
        <w:rPr>
          <w:rStyle w:val="FootnoteReference"/>
          <w:rFonts w:cs="Tahoma"/>
          <w:b/>
          <w:bCs/>
        </w:rPr>
        <w:footnoteReference w:id="1"/>
      </w:r>
      <w:r w:rsidR="00F7155F" w:rsidRPr="00907A66">
        <w:rPr>
          <w:rFonts w:cs="Tahoma"/>
          <w:b/>
          <w:bCs/>
        </w:rPr>
        <w:t>)</w:t>
      </w:r>
    </w:p>
    <w:p w:rsidR="008F3E48" w:rsidRDefault="008F3E48">
      <w:pPr>
        <w:jc w:val="left"/>
        <w:rPr>
          <w:color w:val="000000"/>
        </w:rPr>
      </w:pPr>
    </w:p>
    <w:p w:rsidR="005E4BB0" w:rsidRDefault="00DD66C5" w:rsidP="005E4BB0">
      <w:pPr>
        <w:spacing w:before="120"/>
        <w:jc w:val="left"/>
        <w:rPr>
          <w:color w:val="000000"/>
        </w:rPr>
      </w:pPr>
      <w:r w:rsidRPr="003B1DCE">
        <w:rPr>
          <w:color w:val="000000"/>
        </w:rPr>
        <w:lastRenderedPageBreak/>
        <w:t xml:space="preserve">Of </w:t>
      </w:r>
      <w:r>
        <w:rPr>
          <w:color w:val="000000"/>
        </w:rPr>
        <w:t xml:space="preserve">all </w:t>
      </w:r>
      <w:r w:rsidRPr="003B1DCE">
        <w:rPr>
          <w:color w:val="000000"/>
        </w:rPr>
        <w:t>5,434</w:t>
      </w:r>
      <w:r>
        <w:rPr>
          <w:color w:val="000000"/>
        </w:rPr>
        <w:t xml:space="preserve"> inspections</w:t>
      </w:r>
      <w:r w:rsidRPr="003B1DCE">
        <w:rPr>
          <w:color w:val="000000"/>
        </w:rPr>
        <w:t>, 3,872 were inspections of schools that were good or outstanding at their previous inspection.</w:t>
      </w:r>
      <w:r>
        <w:rPr>
          <w:color w:val="000000"/>
        </w:rPr>
        <w:t xml:space="preserve"> Of these, </w:t>
      </w:r>
      <w:r w:rsidR="00803975">
        <w:rPr>
          <w:color w:val="000000"/>
        </w:rPr>
        <w:t xml:space="preserve">3,677 </w:t>
      </w:r>
      <w:r>
        <w:rPr>
          <w:color w:val="000000"/>
        </w:rPr>
        <w:t xml:space="preserve">were </w:t>
      </w:r>
      <w:r w:rsidR="00803975">
        <w:rPr>
          <w:color w:val="000000"/>
        </w:rPr>
        <w:t>short inspections</w:t>
      </w:r>
      <w:r w:rsidR="009E0D78">
        <w:rPr>
          <w:color w:val="000000"/>
        </w:rPr>
        <w:t>;</w:t>
      </w:r>
      <w:r w:rsidR="00803975">
        <w:rPr>
          <w:color w:val="000000"/>
        </w:rPr>
        <w:t xml:space="preserve"> 29% </w:t>
      </w:r>
      <w:r w:rsidR="00FD4DC0">
        <w:rPr>
          <w:color w:val="000000"/>
        </w:rPr>
        <w:t xml:space="preserve">of which </w:t>
      </w:r>
      <w:r w:rsidR="00803975">
        <w:rPr>
          <w:color w:val="000000"/>
        </w:rPr>
        <w:t>converted</w:t>
      </w:r>
      <w:r>
        <w:rPr>
          <w:color w:val="000000"/>
        </w:rPr>
        <w:t xml:space="preserve"> to full inspections</w:t>
      </w:r>
      <w:r w:rsidR="00803975">
        <w:rPr>
          <w:color w:val="000000"/>
        </w:rPr>
        <w:t xml:space="preserve">. </w:t>
      </w:r>
      <w:r>
        <w:rPr>
          <w:color w:val="000000"/>
        </w:rPr>
        <w:t xml:space="preserve">Conversion rates were higher for </w:t>
      </w:r>
      <w:r w:rsidR="003939C3">
        <w:rPr>
          <w:color w:val="000000"/>
        </w:rPr>
        <w:t>secondary</w:t>
      </w:r>
      <w:r>
        <w:rPr>
          <w:color w:val="000000"/>
        </w:rPr>
        <w:t xml:space="preserve"> schools than </w:t>
      </w:r>
      <w:r w:rsidR="003939C3">
        <w:rPr>
          <w:color w:val="000000"/>
        </w:rPr>
        <w:t>primary</w:t>
      </w:r>
      <w:r>
        <w:rPr>
          <w:color w:val="000000"/>
        </w:rPr>
        <w:t xml:space="preserve"> schools: 38% compared </w:t>
      </w:r>
      <w:r w:rsidR="000931F2">
        <w:rPr>
          <w:color w:val="000000"/>
        </w:rPr>
        <w:t>with</w:t>
      </w:r>
      <w:r>
        <w:rPr>
          <w:color w:val="000000"/>
        </w:rPr>
        <w:t xml:space="preserve"> 28%.</w:t>
      </w:r>
    </w:p>
    <w:p w:rsidR="00B86241" w:rsidRDefault="00B86241" w:rsidP="005E4BB0">
      <w:pPr>
        <w:spacing w:before="120"/>
        <w:jc w:val="left"/>
        <w:rPr>
          <w:rFonts w:cs="Tahoma"/>
          <w:b/>
          <w:bCs/>
        </w:rPr>
      </w:pPr>
    </w:p>
    <w:p w:rsidR="0076769A" w:rsidRDefault="0076769A" w:rsidP="00B86241">
      <w:pPr>
        <w:spacing w:after="120"/>
        <w:jc w:val="left"/>
        <w:rPr>
          <w:rFonts w:cs="Tahoma"/>
          <w:b/>
          <w:bCs/>
        </w:rPr>
      </w:pPr>
      <w:r w:rsidRPr="0094208D">
        <w:rPr>
          <w:rFonts w:cs="Tahoma"/>
          <w:b/>
          <w:bCs/>
        </w:rPr>
        <w:t xml:space="preserve">Figure </w:t>
      </w:r>
      <w:r w:rsidR="00634D88">
        <w:rPr>
          <w:rFonts w:cs="Tahoma"/>
          <w:b/>
          <w:bCs/>
        </w:rPr>
        <w:t>3</w:t>
      </w:r>
      <w:r w:rsidRPr="0094208D">
        <w:rPr>
          <w:rFonts w:cs="Tahoma"/>
          <w:b/>
          <w:bCs/>
        </w:rPr>
        <w:t xml:space="preserve">: </w:t>
      </w:r>
      <w:r w:rsidRPr="00907A66">
        <w:rPr>
          <w:rFonts w:cs="Tahoma"/>
          <w:b/>
          <w:bCs/>
        </w:rPr>
        <w:t xml:space="preserve">Overall effectiveness of schools inspected </w:t>
      </w:r>
      <w:r>
        <w:rPr>
          <w:rFonts w:cs="Tahoma"/>
          <w:b/>
          <w:bCs/>
        </w:rPr>
        <w:t>in 2016/17</w:t>
      </w:r>
      <w:r w:rsidRPr="00907A66">
        <w:rPr>
          <w:rFonts w:cs="Tahoma"/>
          <w:b/>
          <w:bCs/>
        </w:rPr>
        <w:t xml:space="preserve">, by </w:t>
      </w:r>
      <w:r w:rsidR="00803975">
        <w:rPr>
          <w:rFonts w:cs="Tahoma"/>
          <w:b/>
          <w:bCs/>
        </w:rPr>
        <w:t>previous inspection outcome</w:t>
      </w:r>
      <w:r w:rsidRPr="0094208D" w:rsidDel="00907A66">
        <w:rPr>
          <w:rFonts w:cs="Tahoma"/>
          <w:b/>
          <w:bCs/>
        </w:rPr>
        <w:t xml:space="preserve"> </w:t>
      </w:r>
      <w:r w:rsidRPr="00907A66">
        <w:rPr>
          <w:rFonts w:cs="Tahoma"/>
          <w:b/>
          <w:bCs/>
        </w:rPr>
        <w:t>(includes most recent outcome for short inspections which did not convert</w:t>
      </w:r>
      <w:r w:rsidR="00ED2F69">
        <w:rPr>
          <w:rStyle w:val="FootnoteReference"/>
          <w:rFonts w:cs="Tahoma"/>
          <w:b/>
          <w:bCs/>
        </w:rPr>
        <w:footnoteReference w:id="2"/>
      </w:r>
      <w:r w:rsidRPr="00907A66">
        <w:rPr>
          <w:rFonts w:cs="Tahoma"/>
          <w:b/>
          <w:bCs/>
        </w:rPr>
        <w:t>)</w:t>
      </w:r>
    </w:p>
    <w:p w:rsidR="002D4440" w:rsidRDefault="00620483" w:rsidP="00C56A48">
      <w:pPr>
        <w:spacing w:after="120"/>
        <w:jc w:val="left"/>
        <w:rPr>
          <w:rFonts w:cs="Tahoma"/>
          <w:b/>
          <w:bCs/>
        </w:rPr>
      </w:pPr>
      <w:r>
        <w:rPr>
          <w:rFonts w:cs="Tahoma"/>
          <w:b/>
          <w:bCs/>
          <w:noProof/>
        </w:rPr>
        <w:drawing>
          <wp:inline distT="0" distB="0" distL="0" distR="0">
            <wp:extent cx="5518785" cy="2383155"/>
            <wp:effectExtent l="19050" t="19050" r="5715" b="0"/>
            <wp:docPr id="164" name="Picture 164" descr="90% of previously inadequate schools im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90% of previously inadequate schools improv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8785" cy="2383155"/>
                    </a:xfrm>
                    <a:prstGeom prst="rect">
                      <a:avLst/>
                    </a:prstGeom>
                    <a:noFill/>
                    <a:ln w="9525">
                      <a:solidFill>
                        <a:srgbClr val="000000"/>
                      </a:solidFill>
                      <a:miter lim="800000"/>
                      <a:headEnd/>
                      <a:tailEnd/>
                    </a:ln>
                  </pic:spPr>
                </pic:pic>
              </a:graphicData>
            </a:graphic>
          </wp:inline>
        </w:drawing>
      </w:r>
    </w:p>
    <w:p w:rsidR="002D4440" w:rsidRDefault="002D4440" w:rsidP="00C56A48">
      <w:pPr>
        <w:spacing w:after="120"/>
        <w:jc w:val="left"/>
        <w:rPr>
          <w:rFonts w:cs="Tahoma"/>
          <w:b/>
          <w:bCs/>
        </w:rPr>
      </w:pPr>
    </w:p>
    <w:p w:rsidR="006856CA" w:rsidRPr="003B1DCE" w:rsidRDefault="00492F27" w:rsidP="00E42814">
      <w:pPr>
        <w:spacing w:after="120"/>
        <w:jc w:val="left"/>
        <w:rPr>
          <w:color w:val="000000"/>
          <w:szCs w:val="22"/>
        </w:rPr>
      </w:pPr>
      <w:bookmarkStart w:id="6" w:name="_Toc485298671"/>
      <w:r>
        <w:rPr>
          <w:color w:val="000000"/>
          <w:szCs w:val="22"/>
        </w:rPr>
        <w:br w:type="column"/>
      </w:r>
      <w:r w:rsidR="006856CA" w:rsidRPr="006E3F9B">
        <w:rPr>
          <w:b/>
          <w:color w:val="000000"/>
          <w:sz w:val="28"/>
        </w:rPr>
        <w:lastRenderedPageBreak/>
        <w:t>Schools at their most recent inspection</w:t>
      </w:r>
      <w:bookmarkEnd w:id="6"/>
    </w:p>
    <w:p w:rsidR="0032045A" w:rsidRDefault="000766FC" w:rsidP="00C16219">
      <w:pPr>
        <w:jc w:val="left"/>
        <w:rPr>
          <w:color w:val="000000"/>
        </w:rPr>
      </w:pPr>
      <w:r w:rsidRPr="003B1DCE">
        <w:rPr>
          <w:color w:val="000000"/>
        </w:rPr>
        <w:t xml:space="preserve">At the end of August 2017, </w:t>
      </w:r>
      <w:r w:rsidR="00D93076">
        <w:rPr>
          <w:color w:val="000000"/>
        </w:rPr>
        <w:t xml:space="preserve">89% of </w:t>
      </w:r>
      <w:r w:rsidRPr="003B1DCE">
        <w:rPr>
          <w:color w:val="000000"/>
        </w:rPr>
        <w:t>schools were judged to be good or outstanding at their most recent inspection</w:t>
      </w:r>
      <w:r w:rsidR="00DD1FCF">
        <w:rPr>
          <w:color w:val="000000"/>
        </w:rPr>
        <w:t>:</w:t>
      </w:r>
      <w:r w:rsidRPr="003B1DCE">
        <w:rPr>
          <w:color w:val="000000"/>
        </w:rPr>
        <w:t xml:space="preserve"> the same proportion as at the end of the previous year. Grades remain higher for primary schools (90% good or outstanding) than for secondary schools (79% good or outstanding).</w:t>
      </w:r>
    </w:p>
    <w:p w:rsidR="00AE60CD" w:rsidRDefault="00AE60CD" w:rsidP="00C16219">
      <w:pPr>
        <w:jc w:val="left"/>
        <w:rPr>
          <w:color w:val="000000"/>
        </w:rPr>
      </w:pPr>
    </w:p>
    <w:p w:rsidR="0078372C" w:rsidRPr="003B1DCE" w:rsidRDefault="00620483" w:rsidP="00AE60CD">
      <w:pPr>
        <w:spacing w:after="120"/>
        <w:jc w:val="left"/>
        <w:rPr>
          <w:color w:val="000000"/>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542290</wp:posOffset>
            </wp:positionV>
            <wp:extent cx="5770880" cy="3804285"/>
            <wp:effectExtent l="19050" t="19050" r="1270" b="5715"/>
            <wp:wrapSquare wrapText="bothSides"/>
            <wp:docPr id="174" name="Picture 174" descr="89% of all schools are good or outstanding: 99% of nursery, 90% of primary, 79% of secondary; 94% of special and 88% of pupil referra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89% of all schools are good or outstanding: 99% of nursery, 90% of primary, 79% of secondary; 94% of special and 88% of pupil referral uni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880" cy="380428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E60CD" w:rsidRPr="00C16219">
        <w:rPr>
          <w:rFonts w:cs="Tahoma"/>
          <w:b/>
          <w:bCs/>
        </w:rPr>
        <w:t xml:space="preserve">Figure </w:t>
      </w:r>
      <w:r w:rsidR="00AE60CD">
        <w:rPr>
          <w:rFonts w:cs="Tahoma"/>
          <w:b/>
          <w:bCs/>
        </w:rPr>
        <w:t>4</w:t>
      </w:r>
      <w:r w:rsidR="00AE60CD" w:rsidRPr="00C16219">
        <w:rPr>
          <w:rFonts w:cs="Tahoma"/>
          <w:b/>
          <w:bCs/>
        </w:rPr>
        <w:t>: Overall effectiveness of maintained schools and academies at their most recent inspection, 31 August 2017</w:t>
      </w:r>
    </w:p>
    <w:p w:rsidR="00AE60CD" w:rsidRDefault="000766FC" w:rsidP="00C16219">
      <w:pPr>
        <w:spacing w:after="120"/>
        <w:jc w:val="left"/>
        <w:rPr>
          <w:rFonts w:cs="Tahoma"/>
          <w:b/>
          <w:bCs/>
        </w:rPr>
      </w:pPr>
      <w:r w:rsidRPr="00C16219">
        <w:rPr>
          <w:rFonts w:cs="Tahoma"/>
          <w:b/>
          <w:bCs/>
        </w:rPr>
        <w:t xml:space="preserve"> </w:t>
      </w:r>
    </w:p>
    <w:p w:rsidR="000766FC" w:rsidRPr="00D17C10" w:rsidRDefault="000766FC" w:rsidP="00C16219">
      <w:pPr>
        <w:spacing w:after="120"/>
        <w:jc w:val="left"/>
        <w:rPr>
          <w:rFonts w:cs="Tahoma"/>
        </w:rPr>
      </w:pPr>
      <w:r w:rsidRPr="00D17C10">
        <w:rPr>
          <w:rFonts w:cs="Tahoma"/>
        </w:rPr>
        <w:t>For some types of education there have been small changes to the proportion</w:t>
      </w:r>
      <w:r w:rsidRPr="00D17C10">
        <w:rPr>
          <w:rStyle w:val="FootnoteReference"/>
          <w:rFonts w:cs="Tahoma"/>
        </w:rPr>
        <w:footnoteReference w:id="3"/>
      </w:r>
      <w:r w:rsidR="00C409C1">
        <w:rPr>
          <w:rFonts w:cs="Tahoma"/>
        </w:rPr>
        <w:t xml:space="preserve"> of schools judged </w:t>
      </w:r>
      <w:r w:rsidR="00E65969">
        <w:rPr>
          <w:rFonts w:cs="Tahoma"/>
        </w:rPr>
        <w:t>good</w:t>
      </w:r>
      <w:r w:rsidRPr="00D17C10">
        <w:rPr>
          <w:rFonts w:cs="Tahoma"/>
        </w:rPr>
        <w:t xml:space="preserve"> or </w:t>
      </w:r>
      <w:r w:rsidR="00E65969">
        <w:rPr>
          <w:rFonts w:cs="Tahoma"/>
        </w:rPr>
        <w:t>outstanding</w:t>
      </w:r>
      <w:r w:rsidRPr="00D17C10">
        <w:rPr>
          <w:rFonts w:cs="Tahoma"/>
        </w:rPr>
        <w:t xml:space="preserve"> at their most recent inspection, when compared </w:t>
      </w:r>
      <w:r w:rsidR="00B74FEC">
        <w:rPr>
          <w:rFonts w:cs="Tahoma"/>
        </w:rPr>
        <w:t>with</w:t>
      </w:r>
      <w:r w:rsidR="00B74FEC" w:rsidRPr="00D17C10">
        <w:rPr>
          <w:rFonts w:cs="Tahoma"/>
        </w:rPr>
        <w:t xml:space="preserve"> </w:t>
      </w:r>
      <w:r w:rsidRPr="00D17C10">
        <w:rPr>
          <w:rFonts w:cs="Tahoma"/>
        </w:rPr>
        <w:t xml:space="preserve">August 2016: </w:t>
      </w:r>
    </w:p>
    <w:p w:rsidR="000766FC" w:rsidRPr="00D17C10" w:rsidRDefault="000766FC" w:rsidP="0060352F">
      <w:pPr>
        <w:numPr>
          <w:ilvl w:val="0"/>
          <w:numId w:val="23"/>
        </w:numPr>
        <w:jc w:val="left"/>
        <w:rPr>
          <w:rFonts w:cs="Tahoma"/>
        </w:rPr>
      </w:pPr>
      <w:r w:rsidRPr="00D17C10">
        <w:rPr>
          <w:rFonts w:cs="Tahoma"/>
        </w:rPr>
        <w:t xml:space="preserve">Pupil referral units - 88% good or </w:t>
      </w:r>
      <w:r w:rsidR="002F5BB7">
        <w:rPr>
          <w:rFonts w:cs="Tahoma"/>
        </w:rPr>
        <w:t>outstanding</w:t>
      </w:r>
      <w:r w:rsidRPr="00D17C10">
        <w:rPr>
          <w:rFonts w:cs="Tahoma"/>
        </w:rPr>
        <w:t>, an increase from 86% in 2016</w:t>
      </w:r>
    </w:p>
    <w:p w:rsidR="000766FC" w:rsidRPr="00D17C10" w:rsidRDefault="000766FC" w:rsidP="0060352F">
      <w:pPr>
        <w:numPr>
          <w:ilvl w:val="0"/>
          <w:numId w:val="23"/>
        </w:numPr>
        <w:jc w:val="left"/>
        <w:rPr>
          <w:rFonts w:cs="Tahoma"/>
        </w:rPr>
      </w:pPr>
      <w:r w:rsidRPr="00D17C10">
        <w:rPr>
          <w:rFonts w:cs="Tahoma"/>
        </w:rPr>
        <w:t>Secondary schools - 79%, a</w:t>
      </w:r>
      <w:r w:rsidR="00CD75D3">
        <w:rPr>
          <w:rFonts w:cs="Tahoma"/>
        </w:rPr>
        <w:t xml:space="preserve"> small</w:t>
      </w:r>
      <w:r w:rsidRPr="00D17C10">
        <w:rPr>
          <w:rFonts w:cs="Tahoma"/>
        </w:rPr>
        <w:t xml:space="preserve"> increase from 78%  </w:t>
      </w:r>
    </w:p>
    <w:p w:rsidR="005B3FC4" w:rsidRDefault="000766FC" w:rsidP="0060352F">
      <w:pPr>
        <w:numPr>
          <w:ilvl w:val="0"/>
          <w:numId w:val="23"/>
        </w:numPr>
        <w:jc w:val="left"/>
        <w:rPr>
          <w:rFonts w:cs="Tahoma"/>
        </w:rPr>
      </w:pPr>
      <w:r w:rsidRPr="00D17C10">
        <w:rPr>
          <w:rFonts w:cs="Tahoma"/>
        </w:rPr>
        <w:t xml:space="preserve">Special schools </w:t>
      </w:r>
      <w:r w:rsidR="00BB1C69">
        <w:rPr>
          <w:rFonts w:cs="Tahoma"/>
        </w:rPr>
        <w:t>-</w:t>
      </w:r>
      <w:r w:rsidR="00BB1C69" w:rsidRPr="00D17C10">
        <w:rPr>
          <w:rFonts w:cs="Tahoma"/>
        </w:rPr>
        <w:t xml:space="preserve"> </w:t>
      </w:r>
      <w:r w:rsidR="00CD75D3">
        <w:rPr>
          <w:rFonts w:cs="Tahoma"/>
        </w:rPr>
        <w:t>94%, a small</w:t>
      </w:r>
      <w:r w:rsidRPr="00D17C10">
        <w:rPr>
          <w:rFonts w:cs="Tahoma"/>
        </w:rPr>
        <w:t xml:space="preserve"> increase from 93%</w:t>
      </w:r>
    </w:p>
    <w:p w:rsidR="00BB1C69" w:rsidRDefault="00BB1C69" w:rsidP="0060352F">
      <w:pPr>
        <w:numPr>
          <w:ilvl w:val="0"/>
          <w:numId w:val="23"/>
        </w:numPr>
        <w:jc w:val="left"/>
        <w:rPr>
          <w:rFonts w:cs="Tahoma"/>
        </w:rPr>
      </w:pPr>
      <w:r>
        <w:rPr>
          <w:rFonts w:cs="Tahoma"/>
        </w:rPr>
        <w:lastRenderedPageBreak/>
        <w:t xml:space="preserve">Nursery schools </w:t>
      </w:r>
      <w:r w:rsidR="00352385">
        <w:rPr>
          <w:rFonts w:cs="Tahoma"/>
        </w:rPr>
        <w:t>-</w:t>
      </w:r>
      <w:r>
        <w:rPr>
          <w:rFonts w:cs="Tahoma"/>
        </w:rPr>
        <w:t xml:space="preserve"> 99% a </w:t>
      </w:r>
      <w:r w:rsidR="00CD75D3">
        <w:rPr>
          <w:rFonts w:cs="Tahoma"/>
        </w:rPr>
        <w:t xml:space="preserve">small </w:t>
      </w:r>
      <w:r>
        <w:rPr>
          <w:rFonts w:cs="Tahoma"/>
        </w:rPr>
        <w:t>decrease from 100%</w:t>
      </w:r>
      <w:r w:rsidR="00F52BE8">
        <w:rPr>
          <w:rStyle w:val="FootnoteReference"/>
          <w:rFonts w:cs="Tahoma"/>
        </w:rPr>
        <w:footnoteReference w:id="4"/>
      </w:r>
    </w:p>
    <w:p w:rsidR="000766FC" w:rsidRPr="00D17C10" w:rsidRDefault="000766FC" w:rsidP="00FC58B7">
      <w:pPr>
        <w:jc w:val="left"/>
        <w:rPr>
          <w:rFonts w:cs="Tahoma"/>
        </w:rPr>
      </w:pPr>
      <w:r w:rsidRPr="00D17C10">
        <w:rPr>
          <w:rFonts w:cs="Tahoma"/>
        </w:rPr>
        <w:t xml:space="preserve"> </w:t>
      </w:r>
    </w:p>
    <w:p w:rsidR="000766FC" w:rsidRPr="00D17C10" w:rsidRDefault="005B3FC4" w:rsidP="00FC58B7">
      <w:pPr>
        <w:jc w:val="left"/>
        <w:rPr>
          <w:rFonts w:cs="Tahoma"/>
        </w:rPr>
      </w:pPr>
      <w:r>
        <w:rPr>
          <w:rFonts w:cs="Tahoma"/>
        </w:rPr>
        <w:t xml:space="preserve">The proportion </w:t>
      </w:r>
      <w:r w:rsidR="00B30AC6">
        <w:rPr>
          <w:rFonts w:cs="Tahoma"/>
        </w:rPr>
        <w:t>of p</w:t>
      </w:r>
      <w:r w:rsidR="00B30AC6" w:rsidRPr="00D17C10">
        <w:rPr>
          <w:rFonts w:cs="Tahoma"/>
        </w:rPr>
        <w:t xml:space="preserve">rimary schools </w:t>
      </w:r>
      <w:r w:rsidR="00B30AC6">
        <w:rPr>
          <w:rFonts w:cs="Tahoma"/>
        </w:rPr>
        <w:t xml:space="preserve">that are </w:t>
      </w:r>
      <w:r>
        <w:rPr>
          <w:rFonts w:cs="Tahoma"/>
        </w:rPr>
        <w:t xml:space="preserve">good or outstanding has remained at </w:t>
      </w:r>
      <w:r w:rsidR="000766FC" w:rsidRPr="00D17C10">
        <w:rPr>
          <w:rFonts w:cs="Tahoma"/>
        </w:rPr>
        <w:t>90</w:t>
      </w:r>
      <w:r>
        <w:rPr>
          <w:rFonts w:cs="Tahoma"/>
        </w:rPr>
        <w:t>%.</w:t>
      </w:r>
      <w:r w:rsidR="00DD1FCF">
        <w:rPr>
          <w:rFonts w:cs="Tahoma"/>
        </w:rPr>
        <w:t xml:space="preserve"> </w:t>
      </w:r>
    </w:p>
    <w:p w:rsidR="000766FC" w:rsidRPr="00041CA2" w:rsidRDefault="000766FC" w:rsidP="00C16219">
      <w:pPr>
        <w:jc w:val="left"/>
        <w:rPr>
          <w:rFonts w:cs="Tahoma"/>
          <w:highlight w:val="yellow"/>
        </w:rPr>
      </w:pPr>
    </w:p>
    <w:p w:rsidR="000766FC" w:rsidRPr="00D17C10" w:rsidRDefault="000766FC" w:rsidP="00C16219">
      <w:pPr>
        <w:spacing w:after="120"/>
        <w:jc w:val="left"/>
        <w:rPr>
          <w:rFonts w:cs="Tahoma"/>
        </w:rPr>
      </w:pPr>
      <w:r w:rsidRPr="00D17C10">
        <w:rPr>
          <w:rFonts w:cs="Tahoma"/>
        </w:rPr>
        <w:t xml:space="preserve">Between September 2016 and August 2017, </w:t>
      </w:r>
      <w:r w:rsidRPr="00C56A48">
        <w:rPr>
          <w:rFonts w:cs="Tahoma"/>
        </w:rPr>
        <w:t>around 1,200 schools</w:t>
      </w:r>
      <w:r w:rsidRPr="00F56223">
        <w:rPr>
          <w:rFonts w:cs="Tahoma"/>
        </w:rPr>
        <w:t xml:space="preserve"> closed, and 9</w:t>
      </w:r>
      <w:r w:rsidR="00BD2A44">
        <w:rPr>
          <w:rFonts w:cs="Tahoma"/>
        </w:rPr>
        <w:t>4</w:t>
      </w:r>
      <w:r w:rsidRPr="00F56223">
        <w:rPr>
          <w:rFonts w:cs="Tahoma"/>
        </w:rPr>
        <w:t>% of these schools have then</w:t>
      </w:r>
      <w:r w:rsidR="00235117">
        <w:rPr>
          <w:rFonts w:cs="Tahoma"/>
        </w:rPr>
        <w:t xml:space="preserve"> </w:t>
      </w:r>
      <w:r w:rsidRPr="00F56223">
        <w:rPr>
          <w:rFonts w:cs="Tahoma"/>
        </w:rPr>
        <w:t>re-opened as academies. As schools close and re-open they can lose their inspection history, and this can affe</w:t>
      </w:r>
      <w:r w:rsidRPr="00D17C10">
        <w:rPr>
          <w:rFonts w:cs="Tahoma"/>
        </w:rPr>
        <w:t xml:space="preserve">ct the national proportions of overall effectiveness grades. There are </w:t>
      </w:r>
      <w:r w:rsidR="00D17C10" w:rsidRPr="00CF7100">
        <w:rPr>
          <w:rFonts w:cs="Tahoma"/>
          <w:color w:val="000000"/>
        </w:rPr>
        <w:t>916</w:t>
      </w:r>
      <w:r w:rsidRPr="00D17C10">
        <w:rPr>
          <w:rFonts w:cs="Tahoma"/>
        </w:rPr>
        <w:t xml:space="preserve"> open schools with no inspection grade. Fifteen per cent are new free schools, university technical colleges and studio schools. </w:t>
      </w:r>
      <w:r w:rsidR="00867DCD">
        <w:rPr>
          <w:rFonts w:cs="Tahoma"/>
        </w:rPr>
        <w:t xml:space="preserve">Seventy-eight </w:t>
      </w:r>
      <w:r w:rsidR="00F7155F">
        <w:rPr>
          <w:rFonts w:cs="Tahoma"/>
        </w:rPr>
        <w:t>per cent</w:t>
      </w:r>
      <w:r w:rsidRPr="00D17C10">
        <w:rPr>
          <w:rFonts w:cs="Tahoma"/>
        </w:rPr>
        <w:t xml:space="preserve"> are sponsor</w:t>
      </w:r>
      <w:r w:rsidR="00111DEB">
        <w:rPr>
          <w:rFonts w:cs="Tahoma"/>
        </w:rPr>
        <w:t>-</w:t>
      </w:r>
      <w:r w:rsidRPr="00D17C10">
        <w:rPr>
          <w:rFonts w:cs="Tahoma"/>
        </w:rPr>
        <w:t xml:space="preserve">led academies which have not been inspected since they became an academy. </w:t>
      </w:r>
    </w:p>
    <w:p w:rsidR="000766FC" w:rsidRDefault="00064CA7" w:rsidP="00C56A48">
      <w:pPr>
        <w:spacing w:after="120"/>
        <w:jc w:val="left"/>
      </w:pPr>
      <w:r>
        <w:rPr>
          <w:rFonts w:cs="Tahoma"/>
        </w:rPr>
        <w:t xml:space="preserve">There are </w:t>
      </w:r>
      <w:r w:rsidRPr="00064CA7">
        <w:rPr>
          <w:rFonts w:cs="Tahoma"/>
        </w:rPr>
        <w:t>578</w:t>
      </w:r>
      <w:r w:rsidR="000766FC" w:rsidRPr="00064CA7">
        <w:rPr>
          <w:rFonts w:cs="Tahoma"/>
        </w:rPr>
        <w:t xml:space="preserve"> schools </w:t>
      </w:r>
      <w:r w:rsidR="00FC58B7">
        <w:rPr>
          <w:rFonts w:cs="Tahoma"/>
        </w:rPr>
        <w:t>that</w:t>
      </w:r>
      <w:r w:rsidR="00FC58B7" w:rsidRPr="00064CA7">
        <w:rPr>
          <w:rFonts w:cs="Tahoma"/>
        </w:rPr>
        <w:t xml:space="preserve"> </w:t>
      </w:r>
      <w:r w:rsidR="000766FC" w:rsidRPr="00064CA7">
        <w:rPr>
          <w:rFonts w:cs="Tahoma"/>
        </w:rPr>
        <w:t>do not have an inspection grade</w:t>
      </w:r>
      <w:r w:rsidR="005F51F1">
        <w:rPr>
          <w:rFonts w:cs="Tahoma"/>
        </w:rPr>
        <w:t>, but that</w:t>
      </w:r>
      <w:r w:rsidR="000766FC" w:rsidRPr="00064CA7">
        <w:rPr>
          <w:rFonts w:cs="Tahoma"/>
        </w:rPr>
        <w:t xml:space="preserve"> had a single predecessor school which had been inspected. </w:t>
      </w:r>
      <w:r w:rsidR="00296F54">
        <w:rPr>
          <w:rFonts w:cs="Tahoma"/>
        </w:rPr>
        <w:t>Eighty-five per cent</w:t>
      </w:r>
      <w:r w:rsidR="000766FC" w:rsidRPr="00064CA7">
        <w:rPr>
          <w:rFonts w:cs="Tahoma"/>
        </w:rPr>
        <w:t xml:space="preserve"> of these schools were judged inadequate or to require improvement when they were last inspected. </w:t>
      </w:r>
      <w:r w:rsidR="006004B4">
        <w:rPr>
          <w:rFonts w:cs="Tahoma"/>
        </w:rPr>
        <w:t>We are</w:t>
      </w:r>
      <w:r w:rsidR="000766FC" w:rsidRPr="00064CA7">
        <w:rPr>
          <w:rFonts w:cs="Tahoma"/>
        </w:rPr>
        <w:t xml:space="preserve"> </w:t>
      </w:r>
      <w:r w:rsidR="00D93076">
        <w:rPr>
          <w:rFonts w:cs="Tahoma"/>
        </w:rPr>
        <w:t xml:space="preserve">currently </w:t>
      </w:r>
      <w:r w:rsidR="000766FC" w:rsidRPr="00064CA7">
        <w:rPr>
          <w:rFonts w:cs="Tahoma"/>
        </w:rPr>
        <w:t>consult</w:t>
      </w:r>
      <w:r w:rsidR="006004B4">
        <w:rPr>
          <w:rFonts w:cs="Tahoma"/>
        </w:rPr>
        <w:t>ing</w:t>
      </w:r>
      <w:r w:rsidR="000766FC" w:rsidRPr="00064CA7">
        <w:rPr>
          <w:rFonts w:cs="Tahoma"/>
        </w:rPr>
        <w:t xml:space="preserve"> on changing our statistical methodology</w:t>
      </w:r>
      <w:r w:rsidR="00282802">
        <w:rPr>
          <w:rStyle w:val="FootnoteReference"/>
          <w:rFonts w:cs="Tahoma"/>
        </w:rPr>
        <w:footnoteReference w:id="5"/>
      </w:r>
      <w:r w:rsidR="000766FC" w:rsidRPr="00064CA7">
        <w:rPr>
          <w:rFonts w:cs="Tahoma"/>
        </w:rPr>
        <w:t xml:space="preserve"> to include the most recent inspections of these predecessor schools in our official statistics</w:t>
      </w:r>
      <w:r w:rsidR="00D93076">
        <w:rPr>
          <w:rFonts w:cs="Tahoma"/>
        </w:rPr>
        <w:t>,</w:t>
      </w:r>
      <w:r w:rsidR="000766FC" w:rsidRPr="00064CA7">
        <w:rPr>
          <w:rFonts w:cs="Tahoma"/>
        </w:rPr>
        <w:t xml:space="preserve"> to create a more complete view of the sector. These changes will not affect the timing of the first inspections of the academies that replaced the previous schools.</w:t>
      </w:r>
      <w:r w:rsidR="00D93076">
        <w:rPr>
          <w:rFonts w:cs="Tahoma"/>
        </w:rPr>
        <w:t xml:space="preserve"> </w:t>
      </w:r>
    </w:p>
    <w:p w:rsidR="00D3486B" w:rsidRDefault="00D3486B" w:rsidP="00C16219">
      <w:pPr>
        <w:pStyle w:val="ListParagraph"/>
        <w:spacing w:after="120"/>
        <w:ind w:left="0"/>
        <w:jc w:val="left"/>
        <w:rPr>
          <w:rFonts w:cs="Tahoma"/>
          <w:b/>
          <w:bCs/>
          <w:sz w:val="28"/>
          <w:szCs w:val="28"/>
        </w:rPr>
      </w:pPr>
    </w:p>
    <w:p w:rsidR="000766FC" w:rsidRPr="008C514A" w:rsidRDefault="009E7338" w:rsidP="00C16219">
      <w:pPr>
        <w:pStyle w:val="ListParagraph"/>
        <w:spacing w:after="120"/>
        <w:ind w:left="0"/>
        <w:jc w:val="left"/>
        <w:rPr>
          <w:rFonts w:cs="Tahoma"/>
          <w:b/>
          <w:bCs/>
          <w:sz w:val="28"/>
          <w:szCs w:val="28"/>
        </w:rPr>
      </w:pPr>
      <w:r>
        <w:rPr>
          <w:rFonts w:cs="Tahoma"/>
          <w:b/>
          <w:bCs/>
          <w:sz w:val="28"/>
          <w:szCs w:val="28"/>
        </w:rPr>
        <w:t>S</w:t>
      </w:r>
      <w:r w:rsidR="000766FC" w:rsidRPr="008C514A">
        <w:rPr>
          <w:rFonts w:cs="Tahoma"/>
          <w:b/>
          <w:bCs/>
          <w:sz w:val="28"/>
          <w:szCs w:val="28"/>
        </w:rPr>
        <w:t>chools that require improvement</w:t>
      </w:r>
    </w:p>
    <w:p w:rsidR="000766FC" w:rsidRPr="008C514A" w:rsidRDefault="000766FC" w:rsidP="00C16219">
      <w:pPr>
        <w:spacing w:after="120"/>
        <w:jc w:val="left"/>
        <w:rPr>
          <w:rFonts w:cs="Tahoma"/>
        </w:rPr>
      </w:pPr>
      <w:r w:rsidRPr="008C514A">
        <w:rPr>
          <w:rFonts w:cs="Tahoma"/>
        </w:rPr>
        <w:t xml:space="preserve">At the end of August 2017, </w:t>
      </w:r>
      <w:r w:rsidR="00265CEC">
        <w:rPr>
          <w:rFonts w:cs="Tahoma"/>
        </w:rPr>
        <w:t>nine per cent</w:t>
      </w:r>
      <w:r w:rsidRPr="008C514A">
        <w:rPr>
          <w:rFonts w:cs="Tahoma"/>
        </w:rPr>
        <w:t xml:space="preserve"> of schools were judged to require improvement at their most recent inspection. This is a marked improvement from August 2012, when 28% of schools were ‘satisfactory’. However the current position is very similar to the position at the end of August 2016, when </w:t>
      </w:r>
      <w:r w:rsidR="003144A8">
        <w:rPr>
          <w:rFonts w:cs="Tahoma"/>
        </w:rPr>
        <w:t>10%</w:t>
      </w:r>
      <w:r w:rsidRPr="008C514A">
        <w:rPr>
          <w:rFonts w:cs="Tahoma"/>
        </w:rPr>
        <w:t xml:space="preserve"> of schools were judged to require improvement. </w:t>
      </w:r>
    </w:p>
    <w:p w:rsidR="000766FC" w:rsidRPr="008C514A" w:rsidRDefault="000766FC" w:rsidP="00C16219">
      <w:pPr>
        <w:spacing w:after="120"/>
        <w:jc w:val="left"/>
        <w:rPr>
          <w:rFonts w:cs="Tahoma"/>
        </w:rPr>
      </w:pPr>
      <w:r w:rsidRPr="008C514A">
        <w:rPr>
          <w:rFonts w:cs="Tahoma"/>
        </w:rPr>
        <w:t xml:space="preserve">There are </w:t>
      </w:r>
      <w:r w:rsidRPr="00C56A48">
        <w:rPr>
          <w:rFonts w:cs="Tahoma"/>
        </w:rPr>
        <w:t>now 1,</w:t>
      </w:r>
      <w:r w:rsidR="008C514A" w:rsidRPr="00C56A48">
        <w:rPr>
          <w:rFonts w:cs="Tahoma"/>
        </w:rPr>
        <w:t>883</w:t>
      </w:r>
      <w:r w:rsidRPr="00C56A48">
        <w:rPr>
          <w:rFonts w:cs="Tahoma"/>
        </w:rPr>
        <w:t xml:space="preserve"> schools</w:t>
      </w:r>
      <w:r w:rsidRPr="008C514A">
        <w:rPr>
          <w:rFonts w:cs="Tahoma"/>
        </w:rPr>
        <w:t xml:space="preserve"> which were judged to require improvement at their most recent inspection. </w:t>
      </w:r>
      <w:r w:rsidR="00231E9B">
        <w:rPr>
          <w:rFonts w:cs="Tahoma"/>
        </w:rPr>
        <w:t>Seven hundred and fifteen</w:t>
      </w:r>
      <w:r w:rsidRPr="008C514A">
        <w:rPr>
          <w:rFonts w:cs="Tahoma"/>
        </w:rPr>
        <w:t xml:space="preserve"> (38%) of these schools were also judged to require improvement or to be satisfactory at their previous inspection.</w:t>
      </w:r>
    </w:p>
    <w:p w:rsidR="00122DA6" w:rsidRDefault="000766FC" w:rsidP="00122DA6">
      <w:pPr>
        <w:jc w:val="left"/>
        <w:rPr>
          <w:rFonts w:cs="Tahoma"/>
        </w:rPr>
      </w:pPr>
      <w:r w:rsidRPr="00C16219">
        <w:rPr>
          <w:rFonts w:cs="Tahoma"/>
        </w:rPr>
        <w:t>Many schools do improve from requires improvement to good</w:t>
      </w:r>
      <w:r w:rsidR="00265CEC">
        <w:rPr>
          <w:rFonts w:cs="Tahoma"/>
        </w:rPr>
        <w:t>,</w:t>
      </w:r>
      <w:r w:rsidRPr="00C16219">
        <w:rPr>
          <w:rFonts w:cs="Tahoma"/>
        </w:rPr>
        <w:t xml:space="preserve"> or even to outstanding each year. However a lower proportion of schools previously judged to require improvement improved at their inspection this year than in any other year. This trend is seen for both primary schools (33% did not improve this year) and </w:t>
      </w:r>
      <w:r w:rsidRPr="00C16219">
        <w:rPr>
          <w:rFonts w:cs="Tahoma"/>
        </w:rPr>
        <w:lastRenderedPageBreak/>
        <w:t xml:space="preserve">secondary schools (58% did not improve). A </w:t>
      </w:r>
      <w:r w:rsidRPr="00030359">
        <w:rPr>
          <w:rFonts w:cs="Tahoma"/>
        </w:rPr>
        <w:t>higher proportion of</w:t>
      </w:r>
      <w:r w:rsidRPr="00C16219">
        <w:rPr>
          <w:rFonts w:cs="Tahoma"/>
        </w:rPr>
        <w:t xml:space="preserve"> schools also declined to inadequate this year</w:t>
      </w:r>
      <w:r w:rsidR="001A0D0A">
        <w:rPr>
          <w:rFonts w:cs="Tahoma"/>
        </w:rPr>
        <w:t xml:space="preserve"> </w:t>
      </w:r>
      <w:r w:rsidR="001A0D0A" w:rsidRPr="00C16219">
        <w:rPr>
          <w:rFonts w:cs="Tahoma"/>
        </w:rPr>
        <w:t>(</w:t>
      </w:r>
      <w:r w:rsidR="00D8132B">
        <w:rPr>
          <w:rFonts w:cs="Tahoma"/>
        </w:rPr>
        <w:t>11</w:t>
      </w:r>
      <w:r w:rsidR="001A0D0A" w:rsidRPr="00C16219">
        <w:rPr>
          <w:rFonts w:cs="Tahoma"/>
        </w:rPr>
        <w:t xml:space="preserve">% </w:t>
      </w:r>
      <w:r w:rsidR="001A0D0A">
        <w:rPr>
          <w:rFonts w:cs="Tahoma"/>
        </w:rPr>
        <w:t>declined</w:t>
      </w:r>
      <w:r w:rsidR="001A0D0A" w:rsidRPr="00C16219">
        <w:rPr>
          <w:rFonts w:cs="Tahoma"/>
        </w:rPr>
        <w:t>)</w:t>
      </w:r>
      <w:r w:rsidRPr="00C16219">
        <w:rPr>
          <w:rFonts w:cs="Tahoma"/>
        </w:rPr>
        <w:t>.</w:t>
      </w:r>
      <w:r w:rsidR="00122DA6">
        <w:rPr>
          <w:rFonts w:cs="Tahoma"/>
        </w:rPr>
        <w:t xml:space="preserve"> </w:t>
      </w:r>
    </w:p>
    <w:p w:rsidR="00122DA6" w:rsidRDefault="00122DA6" w:rsidP="00122DA6">
      <w:pPr>
        <w:jc w:val="left"/>
        <w:rPr>
          <w:rFonts w:cs="Tahoma"/>
        </w:rPr>
      </w:pPr>
    </w:p>
    <w:p w:rsidR="00CD75D3" w:rsidRDefault="000766FC" w:rsidP="00DB4988">
      <w:pPr>
        <w:spacing w:after="120"/>
        <w:jc w:val="left"/>
        <w:rPr>
          <w:rFonts w:cs="Tahoma"/>
          <w:b/>
          <w:bCs/>
        </w:rPr>
      </w:pPr>
      <w:r w:rsidRPr="00C16219">
        <w:rPr>
          <w:rFonts w:cs="Tahoma"/>
          <w:b/>
          <w:bCs/>
        </w:rPr>
        <w:t xml:space="preserve">Figure </w:t>
      </w:r>
      <w:r w:rsidR="002F5BB7">
        <w:rPr>
          <w:rFonts w:cs="Tahoma"/>
          <w:b/>
          <w:bCs/>
        </w:rPr>
        <w:t>5</w:t>
      </w:r>
      <w:r w:rsidRPr="00C16219">
        <w:rPr>
          <w:rFonts w:cs="Tahoma"/>
          <w:b/>
          <w:bCs/>
        </w:rPr>
        <w:t>: Outcomes of inspections of schools that previously required improvement, 2013 to 2017</w:t>
      </w:r>
    </w:p>
    <w:p w:rsidR="00CD75D3" w:rsidRDefault="00620483" w:rsidP="00C56A48">
      <w:pPr>
        <w:spacing w:after="120"/>
        <w:jc w:val="left"/>
        <w:rPr>
          <w:rFonts w:cs="Tahoma"/>
          <w:b/>
          <w:bCs/>
        </w:rPr>
      </w:pPr>
      <w:r>
        <w:rPr>
          <w:rFonts w:cs="Tahoma"/>
          <w:b/>
          <w:bCs/>
          <w:noProof/>
        </w:rPr>
        <w:drawing>
          <wp:inline distT="0" distB="0" distL="0" distR="0">
            <wp:extent cx="5673725" cy="2634615"/>
            <wp:effectExtent l="19050" t="19050" r="3175" b="0"/>
            <wp:docPr id="173" name="Picture 173" descr="61% of schools judged to require improvement at their previous inspection improved to good or outstanding at inspections between September 2016 and August 2017, compared to 71% in the previou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61% of schools judged to require improvement at their previous inspection improved to good or outstanding at inspections between September 2016 and August 2017, compared to 71% in the previous ye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3725" cy="2634615"/>
                    </a:xfrm>
                    <a:prstGeom prst="rect">
                      <a:avLst/>
                    </a:prstGeom>
                    <a:noFill/>
                    <a:ln w="9525">
                      <a:solidFill>
                        <a:srgbClr val="000000"/>
                      </a:solidFill>
                      <a:miter lim="800000"/>
                      <a:headEnd/>
                      <a:tailEnd/>
                    </a:ln>
                  </pic:spPr>
                </pic:pic>
              </a:graphicData>
            </a:graphic>
          </wp:inline>
        </w:drawing>
      </w:r>
    </w:p>
    <w:p w:rsidR="000766FC" w:rsidRPr="005E4BB0" w:rsidRDefault="000766FC" w:rsidP="00DB4988">
      <w:pPr>
        <w:spacing w:before="120" w:after="120"/>
        <w:jc w:val="left"/>
        <w:rPr>
          <w:rFonts w:cs="Tahoma"/>
          <w:b/>
          <w:bCs/>
        </w:rPr>
      </w:pPr>
      <w:r w:rsidRPr="007F0203">
        <w:rPr>
          <w:rFonts w:cs="Tahoma"/>
          <w:b/>
        </w:rPr>
        <w:t>Deprivation</w:t>
      </w:r>
    </w:p>
    <w:p w:rsidR="000766FC" w:rsidRPr="000A3298" w:rsidRDefault="000766FC" w:rsidP="00C16219">
      <w:pPr>
        <w:spacing w:after="120"/>
        <w:jc w:val="left"/>
        <w:rPr>
          <w:rFonts w:cs="Tahoma"/>
        </w:rPr>
      </w:pPr>
      <w:r w:rsidRPr="000A3298">
        <w:rPr>
          <w:rFonts w:cs="Tahoma"/>
        </w:rPr>
        <w:t>A common factor in the</w:t>
      </w:r>
      <w:r w:rsidR="00A45A95">
        <w:rPr>
          <w:rFonts w:cs="Tahoma"/>
        </w:rPr>
        <w:t xml:space="preserve"> </w:t>
      </w:r>
      <w:r w:rsidRPr="000A3298">
        <w:rPr>
          <w:rFonts w:cs="Tahoma"/>
        </w:rPr>
        <w:t>schools that do not improve to good or outstanding is that</w:t>
      </w:r>
      <w:r w:rsidR="007463A0">
        <w:rPr>
          <w:rFonts w:cs="Tahoma"/>
        </w:rPr>
        <w:t xml:space="preserve"> </w:t>
      </w:r>
      <w:r w:rsidRPr="000A3298">
        <w:rPr>
          <w:rFonts w:cs="Tahoma"/>
        </w:rPr>
        <w:t>they have a higher propo</w:t>
      </w:r>
      <w:r w:rsidR="00F53370">
        <w:rPr>
          <w:rFonts w:cs="Tahoma"/>
        </w:rPr>
        <w:t>rtion of deprived pupils. Fifty-</w:t>
      </w:r>
      <w:r w:rsidRPr="000A3298">
        <w:rPr>
          <w:rFonts w:cs="Tahoma"/>
        </w:rPr>
        <w:t>five per cent of the schools that currently require improvement have high proportions of pupils from deprived areas</w:t>
      </w:r>
      <w:r w:rsidRPr="000A3298">
        <w:rPr>
          <w:rStyle w:val="FootnoteReference"/>
          <w:rFonts w:cs="Tahoma"/>
        </w:rPr>
        <w:footnoteReference w:id="6"/>
      </w:r>
      <w:r w:rsidRPr="000A3298">
        <w:rPr>
          <w:rFonts w:cs="Tahoma"/>
        </w:rPr>
        <w:t xml:space="preserve">. Out of the schools that had previously required improvement and had an inspection this year, those schools with high proportions of pupils from deprived areas were less likely to improve than those with </w:t>
      </w:r>
      <w:r w:rsidR="00655BC8">
        <w:rPr>
          <w:rFonts w:cs="Tahoma"/>
        </w:rPr>
        <w:t xml:space="preserve">pupils from </w:t>
      </w:r>
      <w:r w:rsidRPr="000A3298">
        <w:rPr>
          <w:rFonts w:cs="Tahoma"/>
        </w:rPr>
        <w:t xml:space="preserve">more affluent </w:t>
      </w:r>
      <w:r w:rsidR="00655BC8">
        <w:rPr>
          <w:rFonts w:cs="Tahoma"/>
        </w:rPr>
        <w:t>areas</w:t>
      </w:r>
      <w:r w:rsidRPr="000A3298">
        <w:rPr>
          <w:rFonts w:cs="Tahoma"/>
        </w:rPr>
        <w:t xml:space="preserve">. </w:t>
      </w:r>
    </w:p>
    <w:p w:rsidR="000766FC" w:rsidRPr="000A3298" w:rsidRDefault="000766FC" w:rsidP="00C16219">
      <w:pPr>
        <w:spacing w:after="120"/>
        <w:jc w:val="left"/>
        <w:rPr>
          <w:rFonts w:cs="Tahoma"/>
        </w:rPr>
      </w:pPr>
      <w:r w:rsidRPr="000A3298">
        <w:rPr>
          <w:rFonts w:cs="Tahoma"/>
        </w:rPr>
        <w:t xml:space="preserve">When inspectors judge the effectiveness of the leadership and management in a school they take account of the challenges faced by leaders of schools with high proportions of disadvantaged pupils. Out of the primary schools judged to require improvement for overall effectiveness at their most recent inspection, 23% of those with the most deprived intakes were judged good for leadership and management, compared </w:t>
      </w:r>
      <w:r w:rsidR="00B74FEC">
        <w:rPr>
          <w:rFonts w:cs="Tahoma"/>
        </w:rPr>
        <w:t>with</w:t>
      </w:r>
      <w:r w:rsidR="00B74FEC" w:rsidRPr="000A3298">
        <w:rPr>
          <w:rFonts w:cs="Tahoma"/>
        </w:rPr>
        <w:t xml:space="preserve"> </w:t>
      </w:r>
      <w:r w:rsidRPr="000A3298">
        <w:rPr>
          <w:rFonts w:cs="Tahoma"/>
        </w:rPr>
        <w:t>8% with the least deprived intakes. However, inspectors will not judge the quality of education to be better than it is, regardless of the socio-economic circumstances of the school.</w:t>
      </w:r>
    </w:p>
    <w:p w:rsidR="000766FC" w:rsidRDefault="00492F27" w:rsidP="00C16219">
      <w:pPr>
        <w:spacing w:after="120"/>
        <w:jc w:val="left"/>
        <w:rPr>
          <w:rFonts w:cs="Tahoma"/>
          <w:b/>
          <w:bCs/>
        </w:rPr>
      </w:pPr>
      <w:r>
        <w:rPr>
          <w:rFonts w:cs="Tahoma"/>
          <w:b/>
          <w:bCs/>
        </w:rPr>
        <w:br w:type="column"/>
      </w:r>
      <w:r w:rsidR="000766FC" w:rsidRPr="00C16219">
        <w:rPr>
          <w:rFonts w:cs="Tahoma"/>
          <w:b/>
          <w:bCs/>
        </w:rPr>
        <w:lastRenderedPageBreak/>
        <w:t xml:space="preserve">Figure </w:t>
      </w:r>
      <w:r w:rsidR="002F5BB7">
        <w:rPr>
          <w:rFonts w:cs="Tahoma"/>
          <w:b/>
          <w:bCs/>
        </w:rPr>
        <w:t>6</w:t>
      </w:r>
      <w:r w:rsidR="000766FC" w:rsidRPr="00C16219">
        <w:rPr>
          <w:rFonts w:cs="Tahoma"/>
          <w:b/>
          <w:bCs/>
        </w:rPr>
        <w:t xml:space="preserve">: Leadership and management grades of </w:t>
      </w:r>
      <w:r w:rsidR="008E688A">
        <w:rPr>
          <w:rFonts w:cs="Tahoma"/>
          <w:b/>
          <w:bCs/>
        </w:rPr>
        <w:t xml:space="preserve">primary </w:t>
      </w:r>
      <w:r w:rsidR="000766FC" w:rsidRPr="00C16219">
        <w:rPr>
          <w:rFonts w:cs="Tahoma"/>
          <w:b/>
          <w:bCs/>
        </w:rPr>
        <w:t xml:space="preserve">schools judged to require </w:t>
      </w:r>
      <w:r w:rsidR="00620483">
        <w:rPr>
          <w:rFonts w:cs="Tahoma"/>
          <w:b/>
          <w:bCs/>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706755</wp:posOffset>
            </wp:positionV>
            <wp:extent cx="5669915" cy="3780155"/>
            <wp:effectExtent l="19050" t="19050" r="6985" b="0"/>
            <wp:wrapTopAndBottom/>
            <wp:docPr id="161" name="Picture 161" descr="Schools judged to require imrovement for overall effectivess were all judged good or to require improvement for leadership and management. More were judged good in the most deprived areas than the least; 23% compared 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chools judged to require imrovement for overall effectivess were all judged good or to require improvement for leadership and management. More were judged good in the most deprived areas than the least; 23% compared to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9915" cy="37801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66FC" w:rsidRPr="00C16219">
        <w:rPr>
          <w:rFonts w:cs="Tahoma"/>
          <w:b/>
          <w:bCs/>
        </w:rPr>
        <w:t>improvement for overall effectiveness at their most recent inspection, by level of deprivation, 31 August 2017</w:t>
      </w:r>
    </w:p>
    <w:p w:rsidR="000A0C19" w:rsidRDefault="000A0C19" w:rsidP="00C16219">
      <w:pPr>
        <w:spacing w:after="120"/>
        <w:jc w:val="left"/>
        <w:rPr>
          <w:rFonts w:cs="Tahoma"/>
          <w:b/>
          <w:bCs/>
        </w:rPr>
      </w:pPr>
    </w:p>
    <w:p w:rsidR="000766FC" w:rsidRPr="00C16219" w:rsidRDefault="00492F27" w:rsidP="00C16219">
      <w:pPr>
        <w:spacing w:after="120"/>
        <w:jc w:val="left"/>
        <w:rPr>
          <w:rFonts w:cs="Tahoma"/>
          <w:b/>
        </w:rPr>
      </w:pPr>
      <w:r>
        <w:rPr>
          <w:rFonts w:cs="Tahoma"/>
          <w:b/>
        </w:rPr>
        <w:t>S</w:t>
      </w:r>
      <w:r w:rsidR="000766FC" w:rsidRPr="00C16219">
        <w:rPr>
          <w:rFonts w:cs="Tahoma"/>
          <w:b/>
        </w:rPr>
        <w:t>chools that have been less than good for a long time</w:t>
      </w:r>
    </w:p>
    <w:p w:rsidR="00500C70" w:rsidRDefault="000766FC" w:rsidP="00500C70">
      <w:pPr>
        <w:spacing w:after="120"/>
        <w:jc w:val="left"/>
        <w:rPr>
          <w:rFonts w:cs="Tahoma"/>
        </w:rPr>
      </w:pPr>
      <w:r w:rsidRPr="00C16219">
        <w:rPr>
          <w:rFonts w:cs="Tahoma"/>
        </w:rPr>
        <w:t>Some of the schools that did not improve from requires improvement to good or outstanding this year have performed poorly for a long time. Out of the 243 inspections of secondary schools that required improvement, 140 did not improve. Out of these 140</w:t>
      </w:r>
      <w:r w:rsidR="000271E7">
        <w:rPr>
          <w:rFonts w:cs="Tahoma"/>
        </w:rPr>
        <w:t xml:space="preserve"> </w:t>
      </w:r>
      <w:r w:rsidRPr="00C16219">
        <w:rPr>
          <w:rFonts w:cs="Tahoma"/>
        </w:rPr>
        <w:t>over a third (5</w:t>
      </w:r>
      <w:r w:rsidR="00D93076">
        <w:rPr>
          <w:rFonts w:cs="Tahoma"/>
        </w:rPr>
        <w:t>2</w:t>
      </w:r>
      <w:r w:rsidRPr="00C16219">
        <w:rPr>
          <w:rFonts w:cs="Tahoma"/>
        </w:rPr>
        <w:t xml:space="preserve">) have been judged </w:t>
      </w:r>
      <w:r w:rsidR="00A45A95">
        <w:rPr>
          <w:rFonts w:cs="Tahoma"/>
        </w:rPr>
        <w:t xml:space="preserve">satisfactory, </w:t>
      </w:r>
      <w:r w:rsidR="0036797A">
        <w:rPr>
          <w:rFonts w:cs="Tahoma"/>
        </w:rPr>
        <w:t xml:space="preserve">to </w:t>
      </w:r>
      <w:r w:rsidRPr="00C16219">
        <w:rPr>
          <w:rFonts w:cs="Tahoma"/>
        </w:rPr>
        <w:t xml:space="preserve">require improvement or </w:t>
      </w:r>
      <w:r w:rsidR="00E4241E">
        <w:rPr>
          <w:rFonts w:cs="Tahoma"/>
        </w:rPr>
        <w:t xml:space="preserve">to be </w:t>
      </w:r>
      <w:r w:rsidRPr="00C16219">
        <w:rPr>
          <w:rFonts w:cs="Tahoma"/>
        </w:rPr>
        <w:t>inadequate in every inspection they have had since 2005</w:t>
      </w:r>
      <w:r w:rsidRPr="00C16219">
        <w:rPr>
          <w:rStyle w:val="FootnoteReference"/>
          <w:rFonts w:cs="Tahoma"/>
        </w:rPr>
        <w:footnoteReference w:id="7"/>
      </w:r>
      <w:r w:rsidRPr="00C16219">
        <w:rPr>
          <w:rFonts w:cs="Tahoma"/>
        </w:rPr>
        <w:t>. Some of these schools have become academies since 2005, but still have not improved to good or outstanding. Thirty</w:t>
      </w:r>
      <w:r w:rsidR="00D93076">
        <w:rPr>
          <w:rFonts w:cs="Tahoma"/>
        </w:rPr>
        <w:t>-seven</w:t>
      </w:r>
      <w:r w:rsidRPr="00C16219">
        <w:rPr>
          <w:rFonts w:cs="Tahoma"/>
        </w:rPr>
        <w:t xml:space="preserve"> of the 5</w:t>
      </w:r>
      <w:r w:rsidR="00D93076">
        <w:rPr>
          <w:rFonts w:cs="Tahoma"/>
        </w:rPr>
        <w:t>2</w:t>
      </w:r>
      <w:r w:rsidRPr="00C16219">
        <w:rPr>
          <w:rFonts w:cs="Tahoma"/>
        </w:rPr>
        <w:t xml:space="preserve"> schools are currently academies, and </w:t>
      </w:r>
      <w:r w:rsidR="0003470E">
        <w:rPr>
          <w:rFonts w:cs="Tahoma"/>
        </w:rPr>
        <w:t>29</w:t>
      </w:r>
      <w:r w:rsidRPr="00C16219">
        <w:rPr>
          <w:rFonts w:cs="Tahoma"/>
        </w:rPr>
        <w:t xml:space="preserve"> of these academies are in multi-academy trusts.</w:t>
      </w:r>
      <w:r w:rsidR="00500C70">
        <w:rPr>
          <w:rFonts w:cs="Tahoma"/>
        </w:rPr>
        <w:t xml:space="preserve"> </w:t>
      </w:r>
    </w:p>
    <w:p w:rsidR="000766FC" w:rsidRPr="00C16219" w:rsidRDefault="00500C70" w:rsidP="00500C70">
      <w:pPr>
        <w:spacing w:after="120"/>
        <w:jc w:val="left"/>
      </w:pPr>
      <w:r>
        <w:rPr>
          <w:rFonts w:cs="Tahoma"/>
        </w:rPr>
        <w:br w:type="column"/>
      </w:r>
      <w:r w:rsidR="000766FC" w:rsidRPr="00C16219">
        <w:rPr>
          <w:rFonts w:cs="Tahoma"/>
          <w:b/>
          <w:bCs/>
          <w:sz w:val="28"/>
          <w:szCs w:val="28"/>
        </w:rPr>
        <w:lastRenderedPageBreak/>
        <w:t>Good schools</w:t>
      </w:r>
    </w:p>
    <w:p w:rsidR="000D50CC" w:rsidRDefault="000766FC" w:rsidP="0036797A">
      <w:pPr>
        <w:spacing w:after="120"/>
        <w:jc w:val="left"/>
        <w:rPr>
          <w:rFonts w:cs="Tahoma"/>
        </w:rPr>
      </w:pPr>
      <w:r w:rsidRPr="00C16219">
        <w:rPr>
          <w:rFonts w:cs="Tahoma"/>
        </w:rPr>
        <w:t xml:space="preserve">In 2016/17 we carried out </w:t>
      </w:r>
      <w:r w:rsidR="00256322" w:rsidRPr="00C16219">
        <w:rPr>
          <w:rFonts w:cs="Tahoma"/>
        </w:rPr>
        <w:t>3,</w:t>
      </w:r>
      <w:r w:rsidR="00B74FEC">
        <w:rPr>
          <w:rFonts w:cs="Tahoma"/>
        </w:rPr>
        <w:t>538</w:t>
      </w:r>
      <w:r w:rsidR="00B74FEC" w:rsidRPr="00C16219">
        <w:rPr>
          <w:rFonts w:cs="Tahoma"/>
        </w:rPr>
        <w:t xml:space="preserve"> </w:t>
      </w:r>
      <w:r w:rsidRPr="00C16219">
        <w:rPr>
          <w:rFonts w:cs="Tahoma"/>
        </w:rPr>
        <w:t xml:space="preserve">short inspections of schools judged to be good at their previous inspection. </w:t>
      </w:r>
      <w:r w:rsidR="000D50CC">
        <w:rPr>
          <w:rFonts w:cs="Tahoma"/>
        </w:rPr>
        <w:t xml:space="preserve">Overall </w:t>
      </w:r>
      <w:r w:rsidR="0036797A">
        <w:rPr>
          <w:rFonts w:cs="Tahoma"/>
        </w:rPr>
        <w:t>83%</w:t>
      </w:r>
      <w:r w:rsidR="000D50CC">
        <w:rPr>
          <w:rFonts w:cs="Tahoma"/>
        </w:rPr>
        <w:t xml:space="preserve"> of schools remained good or improved to outstanding. Some schools remained good through a short inspection that did not convert. In other cases, the inspection did convert but the</w:t>
      </w:r>
      <w:r w:rsidR="00052BCD">
        <w:rPr>
          <w:rFonts w:cs="Tahoma"/>
        </w:rPr>
        <w:t xml:space="preserve"> </w:t>
      </w:r>
      <w:r w:rsidR="000D50CC">
        <w:rPr>
          <w:rFonts w:cs="Tahoma"/>
        </w:rPr>
        <w:t>extra evidence gathered then confirmed the previous good judgement.</w:t>
      </w:r>
      <w:r w:rsidR="000D50CC" w:rsidRPr="003A4669">
        <w:rPr>
          <w:rFonts w:cs="Tahoma"/>
        </w:rPr>
        <w:t xml:space="preserve"> </w:t>
      </w:r>
    </w:p>
    <w:p w:rsidR="000D50CC" w:rsidRDefault="000D50CC" w:rsidP="0036797A">
      <w:pPr>
        <w:spacing w:after="120"/>
        <w:jc w:val="left"/>
        <w:rPr>
          <w:rFonts w:cs="Tahoma"/>
        </w:rPr>
      </w:pPr>
      <w:r>
        <w:rPr>
          <w:rFonts w:cs="Tahoma"/>
        </w:rPr>
        <w:t xml:space="preserve">Primary schools were more likely to retain their good grade or improve to outstanding than secondary schools. Eighty-four per cent </w:t>
      </w:r>
      <w:r w:rsidRPr="000B01AA">
        <w:rPr>
          <w:rFonts w:cs="Tahoma"/>
        </w:rPr>
        <w:t xml:space="preserve">of primary schools stayed good or improved to outstanding compared </w:t>
      </w:r>
      <w:r>
        <w:rPr>
          <w:rFonts w:cs="Tahoma"/>
        </w:rPr>
        <w:t>with</w:t>
      </w:r>
      <w:r w:rsidRPr="000B01AA">
        <w:rPr>
          <w:rFonts w:cs="Tahoma"/>
        </w:rPr>
        <w:t xml:space="preserve"> 7</w:t>
      </w:r>
      <w:r>
        <w:rPr>
          <w:rFonts w:cs="Tahoma"/>
        </w:rPr>
        <w:t>7</w:t>
      </w:r>
      <w:r w:rsidRPr="000B01AA">
        <w:rPr>
          <w:rFonts w:cs="Tahoma"/>
        </w:rPr>
        <w:t>% of secondary schools</w:t>
      </w:r>
      <w:r>
        <w:rPr>
          <w:rFonts w:cs="Tahoma"/>
        </w:rPr>
        <w:t xml:space="preserve">. </w:t>
      </w:r>
      <w:r w:rsidR="004E5277">
        <w:rPr>
          <w:rFonts w:cs="Tahoma"/>
        </w:rPr>
        <w:t>See figure 7.</w:t>
      </w:r>
    </w:p>
    <w:p w:rsidR="000766FC" w:rsidRDefault="004E5277" w:rsidP="00C16219">
      <w:pPr>
        <w:jc w:val="left"/>
        <w:rPr>
          <w:rFonts w:cs="Tahoma"/>
          <w:b/>
        </w:rPr>
      </w:pPr>
      <w:r>
        <w:rPr>
          <w:rFonts w:cs="Tahoma"/>
          <w:b/>
        </w:rPr>
        <w:br w:type="page"/>
      </w:r>
      <w:r w:rsidR="000766FC" w:rsidRPr="00C16219">
        <w:rPr>
          <w:rFonts w:cs="Tahoma"/>
          <w:b/>
        </w:rPr>
        <w:lastRenderedPageBreak/>
        <w:t xml:space="preserve">Figure </w:t>
      </w:r>
      <w:r w:rsidR="002F5BB7">
        <w:rPr>
          <w:rFonts w:cs="Tahoma"/>
          <w:b/>
        </w:rPr>
        <w:t>7</w:t>
      </w:r>
      <w:r w:rsidR="000766FC" w:rsidRPr="00C16219">
        <w:rPr>
          <w:rFonts w:cs="Tahoma"/>
          <w:b/>
        </w:rPr>
        <w:t>: Outcomes of short inspections of previously good schools, 2016/17</w:t>
      </w:r>
    </w:p>
    <w:p w:rsidR="00620483" w:rsidRDefault="008F3E48" w:rsidP="00C16219">
      <w:pPr>
        <w:jc w:val="left"/>
        <w:rPr>
          <w:rFonts w:cs="Tahoma"/>
          <w:b/>
        </w:rPr>
      </w:pPr>
      <w:r>
        <w:rPr>
          <w:rFonts w:cs="Tahoma"/>
          <w:b/>
          <w:noProof/>
        </w:rPr>
        <w:drawing>
          <wp:inline distT="0" distB="0" distL="0" distR="0" wp14:anchorId="26FBA875" wp14:editId="1F7A6999">
            <wp:extent cx="5497200" cy="3096000"/>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 conversions.png"/>
                    <pic:cNvPicPr/>
                  </pic:nvPicPr>
                  <pic:blipFill>
                    <a:blip r:embed="rId18">
                      <a:extLst>
                        <a:ext uri="{28A0092B-C50C-407E-A947-70E740481C1C}">
                          <a14:useLocalDpi xmlns:a14="http://schemas.microsoft.com/office/drawing/2010/main" val="0"/>
                        </a:ext>
                      </a:extLst>
                    </a:blip>
                    <a:stretch>
                      <a:fillRect/>
                    </a:stretch>
                  </pic:blipFill>
                  <pic:spPr>
                    <a:xfrm>
                      <a:off x="0" y="0"/>
                      <a:ext cx="5497200" cy="3096000"/>
                    </a:xfrm>
                    <a:prstGeom prst="rect">
                      <a:avLst/>
                    </a:prstGeom>
                  </pic:spPr>
                </pic:pic>
              </a:graphicData>
            </a:graphic>
          </wp:inline>
        </w:drawing>
      </w:r>
    </w:p>
    <w:p w:rsidR="007A3B14" w:rsidRDefault="007A3B14" w:rsidP="00C16219">
      <w:pPr>
        <w:jc w:val="left"/>
        <w:rPr>
          <w:rFonts w:cs="Tahoma"/>
          <w:b/>
        </w:rPr>
      </w:pPr>
      <w:r>
        <w:rPr>
          <w:rFonts w:cs="Tahoma"/>
          <w:b/>
          <w:noProof/>
        </w:rPr>
        <w:drawing>
          <wp:inline distT="0" distB="0" distL="0" distR="0" wp14:anchorId="3631D2B9" wp14:editId="306DC944">
            <wp:extent cx="5497200" cy="3070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conversions.png"/>
                    <pic:cNvPicPr/>
                  </pic:nvPicPr>
                  <pic:blipFill>
                    <a:blip r:embed="rId19">
                      <a:extLst>
                        <a:ext uri="{28A0092B-C50C-407E-A947-70E740481C1C}">
                          <a14:useLocalDpi xmlns:a14="http://schemas.microsoft.com/office/drawing/2010/main" val="0"/>
                        </a:ext>
                      </a:extLst>
                    </a:blip>
                    <a:stretch>
                      <a:fillRect/>
                    </a:stretch>
                  </pic:blipFill>
                  <pic:spPr>
                    <a:xfrm>
                      <a:off x="0" y="0"/>
                      <a:ext cx="5497200" cy="3070800"/>
                    </a:xfrm>
                    <a:prstGeom prst="rect">
                      <a:avLst/>
                    </a:prstGeom>
                  </pic:spPr>
                </pic:pic>
              </a:graphicData>
            </a:graphic>
          </wp:inline>
        </w:drawing>
      </w:r>
    </w:p>
    <w:p w:rsidR="000766FC" w:rsidRPr="00C16219" w:rsidRDefault="000766FC" w:rsidP="00034D87">
      <w:pPr>
        <w:rPr>
          <w:rFonts w:cs="Tahoma"/>
          <w:b/>
          <w:bCs/>
          <w:sz w:val="28"/>
          <w:szCs w:val="28"/>
        </w:rPr>
      </w:pPr>
      <w:r w:rsidRPr="00C16219">
        <w:rPr>
          <w:rFonts w:cs="Tahoma"/>
        </w:rPr>
        <w:t>The proportion of previously good schools that remained good or improved to outstanding following a short inspection is the same this year as last year (83%).</w:t>
      </w:r>
      <w:r w:rsidRPr="00C16219" w:rsidDel="00003479">
        <w:rPr>
          <w:rFonts w:cs="Tahoma"/>
        </w:rPr>
        <w:t xml:space="preserve"> </w:t>
      </w:r>
      <w:r w:rsidRPr="00C16219">
        <w:rPr>
          <w:rFonts w:cs="Tahoma"/>
        </w:rPr>
        <w:t xml:space="preserve">A lower proportion of short inspections converted to a full inspection this year (29% compared </w:t>
      </w:r>
      <w:r w:rsidR="00B74FEC">
        <w:rPr>
          <w:rFonts w:cs="Tahoma"/>
        </w:rPr>
        <w:t>with</w:t>
      </w:r>
      <w:r w:rsidR="00B74FEC" w:rsidRPr="00C16219">
        <w:rPr>
          <w:rFonts w:cs="Tahoma"/>
        </w:rPr>
        <w:t xml:space="preserve"> </w:t>
      </w:r>
      <w:r w:rsidRPr="00C16219">
        <w:rPr>
          <w:rFonts w:cs="Tahoma"/>
        </w:rPr>
        <w:t xml:space="preserve">36%). However more of the inspections that converted then resulted in the school declining to requires improvement or inadequate (58% this year compared </w:t>
      </w:r>
      <w:r w:rsidR="00B74FEC">
        <w:rPr>
          <w:rFonts w:cs="Tahoma"/>
        </w:rPr>
        <w:t>with</w:t>
      </w:r>
      <w:r w:rsidR="00B74FEC" w:rsidRPr="00C16219">
        <w:rPr>
          <w:rFonts w:cs="Tahoma"/>
        </w:rPr>
        <w:t xml:space="preserve"> </w:t>
      </w:r>
      <w:r w:rsidRPr="00C16219">
        <w:rPr>
          <w:rFonts w:cs="Tahoma"/>
        </w:rPr>
        <w:t xml:space="preserve">47% last year). </w:t>
      </w:r>
      <w:r w:rsidR="007A3B14">
        <w:rPr>
          <w:rFonts w:cs="Tahoma"/>
        </w:rPr>
        <w:br w:type="page"/>
      </w:r>
      <w:r w:rsidRPr="00C16219">
        <w:rPr>
          <w:rFonts w:cs="Tahoma"/>
          <w:b/>
          <w:bCs/>
          <w:sz w:val="28"/>
          <w:szCs w:val="28"/>
        </w:rPr>
        <w:lastRenderedPageBreak/>
        <w:t>Outstanding schools</w:t>
      </w:r>
    </w:p>
    <w:p w:rsidR="000766FC" w:rsidRPr="00C16219" w:rsidRDefault="000766FC" w:rsidP="00C16219">
      <w:pPr>
        <w:spacing w:after="120"/>
        <w:jc w:val="left"/>
        <w:rPr>
          <w:rFonts w:cs="Tahoma"/>
        </w:rPr>
      </w:pPr>
      <w:r w:rsidRPr="00C16219">
        <w:rPr>
          <w:rFonts w:cs="Tahoma"/>
        </w:rPr>
        <w:t xml:space="preserve">Twenty-one per cent of schools were judged to be outstanding at their most recent inspection. A slightly higher proportion of secondary schools than primary schools are outstanding (23% compared </w:t>
      </w:r>
      <w:r w:rsidR="00B74FEC">
        <w:rPr>
          <w:rFonts w:cs="Tahoma"/>
        </w:rPr>
        <w:t>with</w:t>
      </w:r>
      <w:r w:rsidR="00B74FEC" w:rsidRPr="00C16219">
        <w:rPr>
          <w:rFonts w:cs="Tahoma"/>
        </w:rPr>
        <w:t xml:space="preserve"> </w:t>
      </w:r>
      <w:r w:rsidRPr="00C16219">
        <w:rPr>
          <w:rFonts w:cs="Tahoma"/>
        </w:rPr>
        <w:t xml:space="preserve">19%). </w:t>
      </w:r>
    </w:p>
    <w:p w:rsidR="00D40215" w:rsidRDefault="00F47FE9" w:rsidP="00C16219">
      <w:pPr>
        <w:spacing w:after="120"/>
        <w:jc w:val="left"/>
        <w:rPr>
          <w:rFonts w:cs="Tahoma"/>
        </w:rPr>
      </w:pPr>
      <w:r>
        <w:rPr>
          <w:rFonts w:cs="Tahoma"/>
        </w:rPr>
        <w:t>As part of the</w:t>
      </w:r>
      <w:r w:rsidRPr="000A5400">
        <w:rPr>
          <w:rFonts w:cs="Tahoma"/>
        </w:rPr>
        <w:t xml:space="preserve"> </w:t>
      </w:r>
      <w:r>
        <w:rPr>
          <w:rFonts w:cs="Tahoma"/>
        </w:rPr>
        <w:t xml:space="preserve">2011 </w:t>
      </w:r>
      <w:r w:rsidRPr="000A5400">
        <w:rPr>
          <w:rFonts w:cs="Tahoma"/>
        </w:rPr>
        <w:t>Education Act</w:t>
      </w:r>
      <w:r>
        <w:rPr>
          <w:rFonts w:cs="Tahoma"/>
        </w:rPr>
        <w:t>,</w:t>
      </w:r>
      <w:r w:rsidRPr="000A5400">
        <w:rPr>
          <w:rFonts w:cs="Tahoma"/>
        </w:rPr>
        <w:t xml:space="preserve"> </w:t>
      </w:r>
      <w:r>
        <w:rPr>
          <w:rFonts w:cs="Tahoma"/>
        </w:rPr>
        <w:t>the government made outstanding primary and secondary schools exempt from routine inspections. Since then, Ofsted has been unable to carry out regular inspections of these schools</w:t>
      </w:r>
      <w:r w:rsidRPr="000A5400">
        <w:rPr>
          <w:rFonts w:cs="Tahoma"/>
        </w:rPr>
        <w:t xml:space="preserve">. </w:t>
      </w:r>
      <w:r w:rsidR="00316B0B" w:rsidRPr="000A5400">
        <w:rPr>
          <w:rFonts w:cs="Tahoma"/>
        </w:rPr>
        <w:t xml:space="preserve">As a result, </w:t>
      </w:r>
      <w:r w:rsidR="00316B0B">
        <w:rPr>
          <w:rFonts w:cs="Tahoma"/>
        </w:rPr>
        <w:t>eight per cent</w:t>
      </w:r>
      <w:r w:rsidR="00316B0B" w:rsidRPr="000A5400">
        <w:rPr>
          <w:rFonts w:cs="Tahoma"/>
        </w:rPr>
        <w:t xml:space="preserve"> of outstanding </w:t>
      </w:r>
      <w:r w:rsidR="00316B0B">
        <w:rPr>
          <w:rFonts w:cs="Tahoma"/>
        </w:rPr>
        <w:t xml:space="preserve">primary and secondary </w:t>
      </w:r>
      <w:r w:rsidR="00316B0B" w:rsidRPr="000A5400">
        <w:rPr>
          <w:rFonts w:cs="Tahoma"/>
        </w:rPr>
        <w:t xml:space="preserve">schools </w:t>
      </w:r>
      <w:r w:rsidR="00316B0B">
        <w:rPr>
          <w:rFonts w:cs="Tahoma"/>
        </w:rPr>
        <w:t xml:space="preserve">were last inspected </w:t>
      </w:r>
      <w:r w:rsidR="00316B0B" w:rsidRPr="000A5400">
        <w:rPr>
          <w:rFonts w:cs="Tahoma"/>
        </w:rPr>
        <w:t>as long ago as 2006/</w:t>
      </w:r>
      <w:r w:rsidR="00A73791">
        <w:rPr>
          <w:rFonts w:cs="Tahoma"/>
        </w:rPr>
        <w:t>0</w:t>
      </w:r>
      <w:r w:rsidR="00316B0B" w:rsidRPr="000A5400">
        <w:rPr>
          <w:rFonts w:cs="Tahoma"/>
        </w:rPr>
        <w:t xml:space="preserve">7. </w:t>
      </w:r>
      <w:r w:rsidR="00316B0B" w:rsidRPr="00B97402">
        <w:rPr>
          <w:rFonts w:cs="Tahoma"/>
        </w:rPr>
        <w:t xml:space="preserve">However, </w:t>
      </w:r>
      <w:r w:rsidR="00A45A95" w:rsidRPr="00B97402">
        <w:rPr>
          <w:rFonts w:cs="Tahoma"/>
        </w:rPr>
        <w:t>59%</w:t>
      </w:r>
      <w:r w:rsidR="00316B0B" w:rsidRPr="00B97402">
        <w:rPr>
          <w:rFonts w:cs="Tahoma"/>
        </w:rPr>
        <w:t xml:space="preserve"> of</w:t>
      </w:r>
      <w:r w:rsidR="00316B0B" w:rsidRPr="000A5400">
        <w:rPr>
          <w:rFonts w:cs="Tahoma"/>
        </w:rPr>
        <w:t xml:space="preserve"> outstanding </w:t>
      </w:r>
      <w:r w:rsidR="00316B0B">
        <w:rPr>
          <w:rFonts w:cs="Tahoma"/>
        </w:rPr>
        <w:t xml:space="preserve">primary and secondary </w:t>
      </w:r>
      <w:r w:rsidR="00316B0B" w:rsidRPr="000A5400">
        <w:rPr>
          <w:rFonts w:cs="Tahoma"/>
        </w:rPr>
        <w:t>schools</w:t>
      </w:r>
      <w:r w:rsidR="00316B0B">
        <w:rPr>
          <w:rFonts w:cs="Tahoma"/>
        </w:rPr>
        <w:t xml:space="preserve"> have been inspected </w:t>
      </w:r>
      <w:r w:rsidR="00316B0B" w:rsidRPr="000A5400">
        <w:rPr>
          <w:rFonts w:cs="Tahoma"/>
        </w:rPr>
        <w:t xml:space="preserve">within the last six </w:t>
      </w:r>
      <w:r w:rsidR="00316B0B">
        <w:rPr>
          <w:rFonts w:cs="Tahoma"/>
        </w:rPr>
        <w:t>academic years</w:t>
      </w:r>
      <w:r w:rsidR="000766FC" w:rsidRPr="00C16219">
        <w:rPr>
          <w:rFonts w:cs="Tahoma"/>
        </w:rPr>
        <w:t>.</w:t>
      </w:r>
      <w:r w:rsidR="004872A0">
        <w:rPr>
          <w:rFonts w:cs="Tahoma"/>
        </w:rPr>
        <w:t xml:space="preserve"> </w:t>
      </w:r>
    </w:p>
    <w:p w:rsidR="00492F27" w:rsidRDefault="00492F27" w:rsidP="00C16219">
      <w:pPr>
        <w:spacing w:after="120"/>
        <w:jc w:val="left"/>
        <w:rPr>
          <w:rFonts w:cs="Tahoma"/>
          <w:b/>
        </w:rPr>
      </w:pPr>
    </w:p>
    <w:p w:rsidR="00492F27" w:rsidRPr="00592722" w:rsidRDefault="000766FC" w:rsidP="00492F27">
      <w:pPr>
        <w:spacing w:after="120"/>
        <w:jc w:val="left"/>
        <w:rPr>
          <w:rFonts w:cs="Tahoma"/>
          <w:b/>
        </w:rPr>
      </w:pPr>
      <w:r w:rsidRPr="00C16219">
        <w:rPr>
          <w:rFonts w:cs="Tahoma"/>
          <w:b/>
        </w:rPr>
        <w:t xml:space="preserve">Figure </w:t>
      </w:r>
      <w:r w:rsidR="002F5BB7">
        <w:rPr>
          <w:rFonts w:cs="Tahoma"/>
          <w:b/>
        </w:rPr>
        <w:t>8</w:t>
      </w:r>
      <w:r w:rsidRPr="00C16219">
        <w:rPr>
          <w:rFonts w:cs="Tahoma"/>
          <w:b/>
        </w:rPr>
        <w:t>: Outstanding primary and secondary schools by the academic year of their most recent full inspection</w:t>
      </w:r>
      <w:r>
        <w:rPr>
          <w:rFonts w:cs="Tahoma"/>
          <w:b/>
        </w:rPr>
        <w:tab/>
      </w:r>
    </w:p>
    <w:tbl>
      <w:tblPr>
        <w:tblW w:w="8929" w:type="dxa"/>
        <w:tblInd w:w="113" w:type="dxa"/>
        <w:tblLayout w:type="fixed"/>
        <w:tblLook w:val="04A0" w:firstRow="1" w:lastRow="0" w:firstColumn="1" w:lastColumn="0" w:noHBand="0" w:noVBand="1"/>
      </w:tblPr>
      <w:tblGrid>
        <w:gridCol w:w="1140"/>
        <w:gridCol w:w="27"/>
        <w:gridCol w:w="1119"/>
        <w:gridCol w:w="1020"/>
        <w:gridCol w:w="125"/>
        <w:gridCol w:w="1002"/>
        <w:gridCol w:w="49"/>
        <w:gridCol w:w="259"/>
        <w:gridCol w:w="9"/>
        <w:gridCol w:w="1392"/>
        <w:gridCol w:w="1392"/>
        <w:gridCol w:w="1395"/>
      </w:tblGrid>
      <w:tr w:rsidR="004679BD" w:rsidRPr="00AC44F2" w:rsidTr="00EE5118">
        <w:trPr>
          <w:trHeight w:val="352"/>
        </w:trPr>
        <w:tc>
          <w:tcPr>
            <w:tcW w:w="1167" w:type="dxa"/>
            <w:gridSpan w:val="2"/>
            <w:tcBorders>
              <w:top w:val="single" w:sz="4" w:space="0" w:color="FFFFFF"/>
              <w:left w:val="single" w:sz="4" w:space="0" w:color="FFFFFF"/>
              <w:bottom w:val="single" w:sz="4" w:space="0" w:color="FFFFFF"/>
              <w:right w:val="single" w:sz="4" w:space="0" w:color="FFFFFF"/>
            </w:tcBorders>
            <w:shd w:val="clear" w:color="auto" w:fill="auto"/>
            <w:noWrap/>
            <w:hideMark/>
          </w:tcPr>
          <w:p w:rsidR="004679BD" w:rsidRPr="00C16219" w:rsidRDefault="004679BD" w:rsidP="00C16219">
            <w:pPr>
              <w:jc w:val="left"/>
              <w:rPr>
                <w:rFonts w:cs="Tahoma"/>
                <w:color w:val="000000"/>
                <w:sz w:val="18"/>
                <w:szCs w:val="18"/>
              </w:rPr>
            </w:pPr>
            <w:r w:rsidRPr="00C16219">
              <w:rPr>
                <w:rFonts w:cs="Tahoma"/>
                <w:color w:val="000000"/>
                <w:sz w:val="18"/>
                <w:szCs w:val="18"/>
              </w:rPr>
              <w:t> </w:t>
            </w:r>
          </w:p>
        </w:tc>
        <w:tc>
          <w:tcPr>
            <w:tcW w:w="3315" w:type="dxa"/>
            <w:gridSpan w:val="5"/>
            <w:tcBorders>
              <w:top w:val="single" w:sz="4" w:space="0" w:color="auto"/>
              <w:left w:val="nil"/>
              <w:bottom w:val="single" w:sz="4" w:space="0" w:color="auto"/>
              <w:right w:val="nil"/>
            </w:tcBorders>
            <w:shd w:val="clear" w:color="auto" w:fill="auto"/>
            <w:vAlign w:val="center"/>
            <w:hideMark/>
          </w:tcPr>
          <w:p w:rsidR="004679BD" w:rsidRPr="00C16219" w:rsidRDefault="004679BD" w:rsidP="00C16219">
            <w:pPr>
              <w:jc w:val="left"/>
              <w:rPr>
                <w:rFonts w:cs="Tahoma"/>
                <w:b/>
                <w:bCs/>
                <w:sz w:val="18"/>
                <w:szCs w:val="18"/>
              </w:rPr>
            </w:pPr>
            <w:r w:rsidRPr="00C16219">
              <w:rPr>
                <w:rFonts w:cs="Tahoma"/>
                <w:b/>
                <w:bCs/>
                <w:sz w:val="18"/>
                <w:szCs w:val="18"/>
              </w:rPr>
              <w:t xml:space="preserve">Number of </w:t>
            </w:r>
            <w:r w:rsidR="006E3F9B">
              <w:rPr>
                <w:rFonts w:cs="Tahoma"/>
                <w:b/>
                <w:bCs/>
                <w:sz w:val="18"/>
                <w:szCs w:val="18"/>
              </w:rPr>
              <w:t xml:space="preserve">all </w:t>
            </w:r>
            <w:r>
              <w:rPr>
                <w:rFonts w:cs="Tahoma"/>
                <w:b/>
                <w:bCs/>
                <w:sz w:val="18"/>
                <w:szCs w:val="18"/>
              </w:rPr>
              <w:t xml:space="preserve">outstanding </w:t>
            </w:r>
            <w:r w:rsidRPr="00C16219">
              <w:rPr>
                <w:rFonts w:cs="Tahoma"/>
                <w:b/>
                <w:bCs/>
                <w:sz w:val="18"/>
                <w:szCs w:val="18"/>
              </w:rPr>
              <w:t>schools</w:t>
            </w:r>
          </w:p>
        </w:tc>
        <w:tc>
          <w:tcPr>
            <w:tcW w:w="268" w:type="dxa"/>
            <w:gridSpan w:val="2"/>
            <w:tcBorders>
              <w:top w:val="single" w:sz="4" w:space="0" w:color="auto"/>
              <w:left w:val="nil"/>
              <w:bottom w:val="nil"/>
              <w:right w:val="nil"/>
            </w:tcBorders>
            <w:shd w:val="clear" w:color="auto" w:fill="auto"/>
            <w:noWrap/>
            <w:vAlign w:val="center"/>
            <w:hideMark/>
          </w:tcPr>
          <w:p w:rsidR="004679BD" w:rsidRPr="00C16219" w:rsidRDefault="004679BD" w:rsidP="00C16219">
            <w:pPr>
              <w:ind w:firstLineChars="300" w:firstLine="540"/>
              <w:jc w:val="left"/>
              <w:rPr>
                <w:rFonts w:cs="Tahoma"/>
                <w:sz w:val="18"/>
                <w:szCs w:val="18"/>
              </w:rPr>
            </w:pPr>
            <w:r w:rsidRPr="00C16219">
              <w:rPr>
                <w:rFonts w:cs="Tahoma"/>
                <w:sz w:val="18"/>
                <w:szCs w:val="18"/>
              </w:rPr>
              <w:t> </w:t>
            </w:r>
          </w:p>
        </w:tc>
        <w:tc>
          <w:tcPr>
            <w:tcW w:w="4179" w:type="dxa"/>
            <w:gridSpan w:val="3"/>
            <w:tcBorders>
              <w:top w:val="single" w:sz="4" w:space="0" w:color="auto"/>
              <w:left w:val="nil"/>
              <w:bottom w:val="single" w:sz="4" w:space="0" w:color="auto"/>
              <w:right w:val="nil"/>
            </w:tcBorders>
            <w:shd w:val="clear" w:color="auto" w:fill="auto"/>
            <w:noWrap/>
            <w:vAlign w:val="center"/>
            <w:hideMark/>
          </w:tcPr>
          <w:p w:rsidR="004679BD" w:rsidRPr="00C16219" w:rsidRDefault="004679BD" w:rsidP="00AC7D10">
            <w:pPr>
              <w:jc w:val="center"/>
              <w:rPr>
                <w:rFonts w:cs="Tahoma"/>
                <w:b/>
                <w:bCs/>
                <w:sz w:val="18"/>
                <w:szCs w:val="18"/>
              </w:rPr>
            </w:pPr>
            <w:r w:rsidRPr="00C16219">
              <w:rPr>
                <w:rFonts w:cs="Tahoma"/>
                <w:b/>
                <w:bCs/>
                <w:sz w:val="18"/>
                <w:szCs w:val="18"/>
              </w:rPr>
              <w:t xml:space="preserve">Percentage of </w:t>
            </w:r>
            <w:r w:rsidR="006E3F9B">
              <w:rPr>
                <w:rFonts w:cs="Tahoma"/>
                <w:b/>
                <w:bCs/>
                <w:sz w:val="18"/>
                <w:szCs w:val="18"/>
              </w:rPr>
              <w:t xml:space="preserve">all </w:t>
            </w:r>
            <w:r w:rsidRPr="00C16219">
              <w:rPr>
                <w:rFonts w:cs="Tahoma"/>
                <w:b/>
                <w:bCs/>
                <w:sz w:val="18"/>
                <w:szCs w:val="18"/>
              </w:rPr>
              <w:t>outstanding schools</w:t>
            </w:r>
          </w:p>
        </w:tc>
      </w:tr>
      <w:tr w:rsidR="004679BD" w:rsidRPr="00AC44F2" w:rsidTr="006E3F9B">
        <w:trPr>
          <w:trHeight w:val="422"/>
        </w:trPr>
        <w:tc>
          <w:tcPr>
            <w:tcW w:w="1167" w:type="dxa"/>
            <w:gridSpan w:val="2"/>
            <w:tcBorders>
              <w:top w:val="nil"/>
              <w:left w:val="nil"/>
              <w:bottom w:val="nil"/>
              <w:right w:val="nil"/>
            </w:tcBorders>
            <w:shd w:val="clear" w:color="auto" w:fill="auto"/>
            <w:noWrap/>
            <w:vAlign w:val="bottom"/>
            <w:hideMark/>
          </w:tcPr>
          <w:p w:rsidR="00AC44F2" w:rsidRPr="00C16219" w:rsidRDefault="006E3F9B" w:rsidP="00C16219">
            <w:pPr>
              <w:jc w:val="left"/>
              <w:rPr>
                <w:rFonts w:cs="Tahoma"/>
                <w:sz w:val="18"/>
                <w:szCs w:val="18"/>
              </w:rPr>
            </w:pPr>
            <w:r>
              <w:rPr>
                <w:rFonts w:cs="Tahoma"/>
                <w:color w:val="000000"/>
                <w:sz w:val="18"/>
                <w:szCs w:val="18"/>
              </w:rPr>
              <w:t xml:space="preserve">Last </w:t>
            </w:r>
            <w:r w:rsidR="00A45A95">
              <w:rPr>
                <w:rFonts w:cs="Tahoma"/>
                <w:color w:val="000000"/>
                <w:sz w:val="18"/>
                <w:szCs w:val="18"/>
              </w:rPr>
              <w:t>i</w:t>
            </w:r>
            <w:r w:rsidR="00E30F38">
              <w:rPr>
                <w:rFonts w:cs="Tahoma"/>
                <w:color w:val="000000"/>
                <w:sz w:val="18"/>
                <w:szCs w:val="18"/>
              </w:rPr>
              <w:t>nspected in</w:t>
            </w:r>
          </w:p>
        </w:tc>
        <w:tc>
          <w:tcPr>
            <w:tcW w:w="1118" w:type="dxa"/>
            <w:tcBorders>
              <w:top w:val="single" w:sz="4" w:space="0" w:color="auto"/>
              <w:left w:val="nil"/>
              <w:bottom w:val="nil"/>
              <w:right w:val="nil"/>
            </w:tcBorders>
            <w:shd w:val="clear" w:color="auto" w:fill="auto"/>
            <w:vAlign w:val="bottom"/>
            <w:hideMark/>
          </w:tcPr>
          <w:p w:rsidR="00AC44F2" w:rsidRPr="00C16219" w:rsidRDefault="004679BD" w:rsidP="00C16219">
            <w:pPr>
              <w:jc w:val="left"/>
              <w:rPr>
                <w:rFonts w:cs="Tahoma"/>
                <w:b/>
                <w:bCs/>
                <w:sz w:val="18"/>
                <w:szCs w:val="18"/>
              </w:rPr>
            </w:pPr>
            <w:r w:rsidRPr="00415B9B">
              <w:rPr>
                <w:rFonts w:cs="Tahoma"/>
                <w:bCs/>
                <w:sz w:val="18"/>
                <w:szCs w:val="18"/>
              </w:rPr>
              <w:t xml:space="preserve">Primary and </w:t>
            </w:r>
            <w:r w:rsidR="00A45A95">
              <w:rPr>
                <w:rFonts w:cs="Tahoma"/>
                <w:bCs/>
                <w:sz w:val="18"/>
                <w:szCs w:val="18"/>
              </w:rPr>
              <w:t>s</w:t>
            </w:r>
            <w:r w:rsidRPr="00415B9B">
              <w:rPr>
                <w:rFonts w:cs="Tahoma"/>
                <w:bCs/>
                <w:sz w:val="18"/>
                <w:szCs w:val="18"/>
              </w:rPr>
              <w:t>econdary</w:t>
            </w:r>
          </w:p>
        </w:tc>
        <w:tc>
          <w:tcPr>
            <w:tcW w:w="1020" w:type="dxa"/>
            <w:tcBorders>
              <w:top w:val="single" w:sz="4" w:space="0" w:color="auto"/>
              <w:left w:val="nil"/>
              <w:bottom w:val="nil"/>
              <w:right w:val="nil"/>
            </w:tcBorders>
            <w:shd w:val="clear" w:color="auto" w:fill="auto"/>
            <w:vAlign w:val="bottom"/>
            <w:hideMark/>
          </w:tcPr>
          <w:p w:rsidR="00AC44F2" w:rsidRPr="00C16219" w:rsidRDefault="00AC44F2" w:rsidP="00C16219">
            <w:pPr>
              <w:jc w:val="left"/>
              <w:rPr>
                <w:rFonts w:cs="Tahoma"/>
                <w:bCs/>
                <w:sz w:val="18"/>
                <w:szCs w:val="18"/>
              </w:rPr>
            </w:pPr>
            <w:r w:rsidRPr="00C16219">
              <w:rPr>
                <w:rFonts w:cs="Tahoma"/>
                <w:bCs/>
                <w:sz w:val="18"/>
                <w:szCs w:val="18"/>
              </w:rPr>
              <w:t>Primary</w:t>
            </w:r>
          </w:p>
        </w:tc>
        <w:tc>
          <w:tcPr>
            <w:tcW w:w="1175" w:type="dxa"/>
            <w:gridSpan w:val="3"/>
            <w:tcBorders>
              <w:top w:val="single" w:sz="4" w:space="0" w:color="auto"/>
              <w:left w:val="nil"/>
              <w:bottom w:val="nil"/>
              <w:right w:val="nil"/>
            </w:tcBorders>
            <w:shd w:val="clear" w:color="auto" w:fill="auto"/>
            <w:vAlign w:val="bottom"/>
            <w:hideMark/>
          </w:tcPr>
          <w:p w:rsidR="00AC44F2" w:rsidRPr="00C16219" w:rsidRDefault="00AC44F2" w:rsidP="00C16219">
            <w:pPr>
              <w:jc w:val="left"/>
              <w:rPr>
                <w:rFonts w:cs="Tahoma"/>
                <w:bCs/>
                <w:sz w:val="18"/>
                <w:szCs w:val="18"/>
              </w:rPr>
            </w:pPr>
            <w:r w:rsidRPr="00C16219">
              <w:rPr>
                <w:rFonts w:cs="Tahoma"/>
                <w:bCs/>
                <w:sz w:val="18"/>
                <w:szCs w:val="18"/>
              </w:rPr>
              <w:t>Secondary</w:t>
            </w:r>
          </w:p>
        </w:tc>
        <w:tc>
          <w:tcPr>
            <w:tcW w:w="268" w:type="dxa"/>
            <w:gridSpan w:val="2"/>
            <w:tcBorders>
              <w:top w:val="nil"/>
              <w:left w:val="nil"/>
              <w:right w:val="nil"/>
            </w:tcBorders>
            <w:shd w:val="clear" w:color="auto" w:fill="auto"/>
            <w:noWrap/>
            <w:vAlign w:val="bottom"/>
            <w:hideMark/>
          </w:tcPr>
          <w:p w:rsidR="00AC44F2" w:rsidRPr="00C16219" w:rsidRDefault="00AC44F2" w:rsidP="00C16219">
            <w:pPr>
              <w:jc w:val="left"/>
              <w:rPr>
                <w:rFonts w:cs="Tahoma"/>
                <w:bCs/>
                <w:sz w:val="18"/>
                <w:szCs w:val="18"/>
              </w:rPr>
            </w:pPr>
          </w:p>
        </w:tc>
        <w:tc>
          <w:tcPr>
            <w:tcW w:w="1392" w:type="dxa"/>
            <w:tcBorders>
              <w:top w:val="nil"/>
              <w:left w:val="nil"/>
              <w:bottom w:val="nil"/>
              <w:right w:val="nil"/>
            </w:tcBorders>
            <w:shd w:val="clear" w:color="auto" w:fill="auto"/>
            <w:noWrap/>
            <w:vAlign w:val="bottom"/>
            <w:hideMark/>
          </w:tcPr>
          <w:p w:rsidR="00AC44F2" w:rsidRPr="00C16219" w:rsidRDefault="00AC44F2" w:rsidP="00C16219">
            <w:pPr>
              <w:jc w:val="left"/>
              <w:rPr>
                <w:rFonts w:cs="Tahoma"/>
                <w:bCs/>
                <w:sz w:val="18"/>
                <w:szCs w:val="18"/>
              </w:rPr>
            </w:pPr>
            <w:r w:rsidRPr="00C16219">
              <w:rPr>
                <w:rFonts w:cs="Tahoma"/>
                <w:bCs/>
                <w:sz w:val="18"/>
                <w:szCs w:val="18"/>
              </w:rPr>
              <w:t xml:space="preserve">Primary and </w:t>
            </w:r>
            <w:r w:rsidR="00A45A95">
              <w:rPr>
                <w:rFonts w:cs="Tahoma"/>
                <w:bCs/>
                <w:sz w:val="18"/>
                <w:szCs w:val="18"/>
              </w:rPr>
              <w:t>s</w:t>
            </w:r>
            <w:r w:rsidRPr="00C16219">
              <w:rPr>
                <w:rFonts w:cs="Tahoma"/>
                <w:bCs/>
                <w:sz w:val="18"/>
                <w:szCs w:val="18"/>
              </w:rPr>
              <w:t>econdary</w:t>
            </w:r>
          </w:p>
        </w:tc>
        <w:tc>
          <w:tcPr>
            <w:tcW w:w="1392" w:type="dxa"/>
            <w:tcBorders>
              <w:top w:val="nil"/>
              <w:left w:val="nil"/>
              <w:bottom w:val="nil"/>
              <w:right w:val="nil"/>
            </w:tcBorders>
            <w:shd w:val="clear" w:color="auto" w:fill="auto"/>
            <w:noWrap/>
            <w:vAlign w:val="bottom"/>
            <w:hideMark/>
          </w:tcPr>
          <w:p w:rsidR="00AC44F2" w:rsidRPr="00C16219" w:rsidRDefault="00AC44F2" w:rsidP="00C16219">
            <w:pPr>
              <w:jc w:val="left"/>
              <w:rPr>
                <w:rFonts w:cs="Tahoma"/>
                <w:bCs/>
                <w:sz w:val="18"/>
                <w:szCs w:val="18"/>
              </w:rPr>
            </w:pPr>
            <w:r w:rsidRPr="00C16219">
              <w:rPr>
                <w:rFonts w:cs="Tahoma"/>
                <w:bCs/>
                <w:sz w:val="18"/>
                <w:szCs w:val="18"/>
              </w:rPr>
              <w:t>Primary</w:t>
            </w:r>
          </w:p>
        </w:tc>
        <w:tc>
          <w:tcPr>
            <w:tcW w:w="1393" w:type="dxa"/>
            <w:tcBorders>
              <w:top w:val="nil"/>
              <w:left w:val="nil"/>
              <w:bottom w:val="nil"/>
              <w:right w:val="nil"/>
            </w:tcBorders>
            <w:shd w:val="clear" w:color="auto" w:fill="auto"/>
            <w:vAlign w:val="bottom"/>
            <w:hideMark/>
          </w:tcPr>
          <w:p w:rsidR="00AC44F2" w:rsidRPr="00C16219" w:rsidRDefault="00AC44F2" w:rsidP="00C16219">
            <w:pPr>
              <w:jc w:val="left"/>
              <w:rPr>
                <w:rFonts w:cs="Tahoma"/>
                <w:bCs/>
                <w:sz w:val="18"/>
                <w:szCs w:val="18"/>
              </w:rPr>
            </w:pPr>
            <w:r w:rsidRPr="00C16219">
              <w:rPr>
                <w:rFonts w:cs="Tahoma"/>
                <w:bCs/>
                <w:sz w:val="18"/>
                <w:szCs w:val="18"/>
              </w:rPr>
              <w:t>Secondary</w:t>
            </w:r>
          </w:p>
        </w:tc>
      </w:tr>
      <w:tr w:rsidR="004679BD" w:rsidRPr="00AC44F2" w:rsidTr="006E3F9B">
        <w:trPr>
          <w:trHeight w:val="387"/>
        </w:trPr>
        <w:tc>
          <w:tcPr>
            <w:tcW w:w="1140" w:type="dxa"/>
            <w:tcBorders>
              <w:top w:val="single" w:sz="4" w:space="0" w:color="auto"/>
              <w:left w:val="nil"/>
              <w:bottom w:val="nil"/>
              <w:right w:val="nil"/>
            </w:tcBorders>
            <w:shd w:val="clear" w:color="auto" w:fill="auto"/>
            <w:noWrap/>
            <w:vAlign w:val="center"/>
            <w:hideMark/>
          </w:tcPr>
          <w:p w:rsidR="00AC44F2" w:rsidRPr="00C16219" w:rsidRDefault="00AC44F2" w:rsidP="00C16219">
            <w:pPr>
              <w:jc w:val="left"/>
              <w:rPr>
                <w:rFonts w:cs="Tahoma"/>
                <w:b/>
                <w:bCs/>
                <w:w w:val="95"/>
                <w:sz w:val="18"/>
                <w:szCs w:val="18"/>
              </w:rPr>
            </w:pPr>
            <w:r w:rsidRPr="00C16219">
              <w:rPr>
                <w:rFonts w:cs="Tahoma"/>
                <w:b/>
                <w:sz w:val="18"/>
                <w:szCs w:val="18"/>
              </w:rPr>
              <w:t xml:space="preserve">All </w:t>
            </w:r>
          </w:p>
        </w:tc>
        <w:tc>
          <w:tcPr>
            <w:tcW w:w="1146" w:type="dxa"/>
            <w:gridSpan w:val="2"/>
            <w:tcBorders>
              <w:top w:val="single" w:sz="4" w:space="0" w:color="auto"/>
              <w:left w:val="nil"/>
              <w:bottom w:val="nil"/>
              <w:right w:val="nil"/>
            </w:tcBorders>
            <w:shd w:val="clear" w:color="auto" w:fill="auto"/>
            <w:noWrap/>
            <w:vAlign w:val="center"/>
            <w:hideMark/>
          </w:tcPr>
          <w:p w:rsidR="00AC44F2" w:rsidRPr="00C16219" w:rsidRDefault="00AC44F2" w:rsidP="00C16219">
            <w:pPr>
              <w:ind w:firstLineChars="200" w:firstLine="361"/>
              <w:jc w:val="left"/>
              <w:rPr>
                <w:rFonts w:cs="Tahoma"/>
                <w:b/>
                <w:bCs/>
                <w:sz w:val="18"/>
                <w:szCs w:val="18"/>
              </w:rPr>
            </w:pPr>
            <w:r w:rsidRPr="00C16219">
              <w:rPr>
                <w:rFonts w:cs="Tahoma"/>
                <w:b/>
                <w:bCs/>
                <w:sz w:val="18"/>
                <w:szCs w:val="18"/>
              </w:rPr>
              <w:t>3,791</w:t>
            </w:r>
          </w:p>
        </w:tc>
        <w:tc>
          <w:tcPr>
            <w:tcW w:w="1145" w:type="dxa"/>
            <w:gridSpan w:val="2"/>
            <w:tcBorders>
              <w:top w:val="single" w:sz="4" w:space="0" w:color="auto"/>
              <w:left w:val="nil"/>
              <w:bottom w:val="nil"/>
              <w:right w:val="nil"/>
            </w:tcBorders>
            <w:shd w:val="clear" w:color="auto" w:fill="auto"/>
            <w:noWrap/>
            <w:vAlign w:val="center"/>
            <w:hideMark/>
          </w:tcPr>
          <w:p w:rsidR="00AC44F2" w:rsidRPr="00C16219" w:rsidRDefault="00AC44F2" w:rsidP="00C16219">
            <w:pPr>
              <w:ind w:firstLineChars="200" w:firstLine="361"/>
              <w:jc w:val="left"/>
              <w:rPr>
                <w:rFonts w:cs="Tahoma"/>
                <w:b/>
                <w:bCs/>
                <w:sz w:val="18"/>
                <w:szCs w:val="18"/>
              </w:rPr>
            </w:pPr>
            <w:r w:rsidRPr="00C16219">
              <w:rPr>
                <w:rFonts w:cs="Tahoma"/>
                <w:b/>
                <w:bCs/>
                <w:sz w:val="18"/>
                <w:szCs w:val="18"/>
              </w:rPr>
              <w:t>3,062</w:t>
            </w:r>
          </w:p>
        </w:tc>
        <w:tc>
          <w:tcPr>
            <w:tcW w:w="1002" w:type="dxa"/>
            <w:tcBorders>
              <w:top w:val="single" w:sz="4" w:space="0" w:color="auto"/>
              <w:left w:val="nil"/>
              <w:bottom w:val="nil"/>
              <w:right w:val="nil"/>
            </w:tcBorders>
            <w:shd w:val="clear" w:color="auto" w:fill="auto"/>
            <w:noWrap/>
            <w:vAlign w:val="center"/>
            <w:hideMark/>
          </w:tcPr>
          <w:p w:rsidR="00AC44F2" w:rsidRPr="00C16219" w:rsidRDefault="00AC44F2" w:rsidP="00C16219">
            <w:pPr>
              <w:ind w:firstLineChars="200" w:firstLine="361"/>
              <w:jc w:val="left"/>
              <w:rPr>
                <w:rFonts w:cs="Tahoma"/>
                <w:b/>
                <w:bCs/>
                <w:sz w:val="18"/>
                <w:szCs w:val="18"/>
              </w:rPr>
            </w:pPr>
            <w:r w:rsidRPr="00C16219">
              <w:rPr>
                <w:rFonts w:cs="Tahoma"/>
                <w:b/>
                <w:bCs/>
                <w:sz w:val="18"/>
                <w:szCs w:val="18"/>
              </w:rPr>
              <w:t>729</w:t>
            </w:r>
          </w:p>
        </w:tc>
        <w:tc>
          <w:tcPr>
            <w:tcW w:w="317" w:type="dxa"/>
            <w:gridSpan w:val="3"/>
            <w:tcBorders>
              <w:top w:val="nil"/>
              <w:left w:val="nil"/>
              <w:bottom w:val="nil"/>
              <w:right w:val="nil"/>
            </w:tcBorders>
            <w:shd w:val="clear" w:color="auto" w:fill="auto"/>
            <w:noWrap/>
            <w:vAlign w:val="center"/>
            <w:hideMark/>
          </w:tcPr>
          <w:p w:rsidR="00AC44F2" w:rsidRPr="00C16219" w:rsidRDefault="00AC44F2" w:rsidP="00C16219">
            <w:pPr>
              <w:ind w:firstLineChars="200" w:firstLine="361"/>
              <w:jc w:val="left"/>
              <w:rPr>
                <w:rFonts w:cs="Tahoma"/>
                <w:b/>
                <w:bCs/>
                <w:sz w:val="18"/>
                <w:szCs w:val="18"/>
              </w:rPr>
            </w:pPr>
            <w:r w:rsidRPr="00C16219">
              <w:rPr>
                <w:rFonts w:cs="Tahoma"/>
                <w:b/>
                <w:bCs/>
                <w:sz w:val="18"/>
                <w:szCs w:val="18"/>
              </w:rPr>
              <w:t> </w:t>
            </w:r>
          </w:p>
        </w:tc>
        <w:tc>
          <w:tcPr>
            <w:tcW w:w="1392" w:type="dxa"/>
            <w:tcBorders>
              <w:top w:val="single" w:sz="4" w:space="0" w:color="auto"/>
              <w:left w:val="nil"/>
              <w:bottom w:val="nil"/>
              <w:right w:val="nil"/>
            </w:tcBorders>
            <w:shd w:val="clear" w:color="auto" w:fill="auto"/>
            <w:noWrap/>
            <w:vAlign w:val="center"/>
            <w:hideMark/>
          </w:tcPr>
          <w:p w:rsidR="00AC44F2" w:rsidRPr="00DD1FCF" w:rsidRDefault="00DD1FCF" w:rsidP="00C16219">
            <w:pPr>
              <w:ind w:firstLineChars="200" w:firstLine="361"/>
              <w:jc w:val="left"/>
              <w:rPr>
                <w:rFonts w:cs="Tahoma"/>
                <w:b/>
                <w:bCs/>
                <w:sz w:val="18"/>
                <w:szCs w:val="18"/>
              </w:rPr>
            </w:pPr>
            <w:r w:rsidRPr="00DD1FCF">
              <w:rPr>
                <w:rFonts w:cs="Tahoma"/>
                <w:b/>
                <w:bCs/>
                <w:sz w:val="18"/>
                <w:szCs w:val="18"/>
              </w:rPr>
              <w:t>100</w:t>
            </w:r>
          </w:p>
        </w:tc>
        <w:tc>
          <w:tcPr>
            <w:tcW w:w="1392" w:type="dxa"/>
            <w:tcBorders>
              <w:top w:val="single" w:sz="4" w:space="0" w:color="auto"/>
              <w:left w:val="nil"/>
              <w:bottom w:val="nil"/>
              <w:right w:val="nil"/>
            </w:tcBorders>
            <w:shd w:val="clear" w:color="auto" w:fill="auto"/>
            <w:noWrap/>
            <w:vAlign w:val="center"/>
            <w:hideMark/>
          </w:tcPr>
          <w:p w:rsidR="00AC44F2" w:rsidRPr="00655BC8" w:rsidRDefault="00DD1FCF" w:rsidP="00C16219">
            <w:pPr>
              <w:ind w:firstLineChars="200" w:firstLine="361"/>
              <w:jc w:val="left"/>
              <w:rPr>
                <w:rFonts w:cs="Tahoma"/>
                <w:b/>
                <w:bCs/>
                <w:sz w:val="18"/>
                <w:szCs w:val="18"/>
              </w:rPr>
            </w:pPr>
            <w:r w:rsidRPr="00655BC8">
              <w:rPr>
                <w:rFonts w:cs="Tahoma"/>
                <w:b/>
                <w:bCs/>
                <w:sz w:val="18"/>
                <w:szCs w:val="18"/>
              </w:rPr>
              <w:t>100</w:t>
            </w:r>
            <w:r w:rsidR="00AC44F2" w:rsidRPr="00655BC8">
              <w:rPr>
                <w:rFonts w:cs="Tahoma"/>
                <w:b/>
                <w:bCs/>
                <w:sz w:val="18"/>
                <w:szCs w:val="18"/>
              </w:rPr>
              <w:t> </w:t>
            </w:r>
          </w:p>
        </w:tc>
        <w:tc>
          <w:tcPr>
            <w:tcW w:w="1393" w:type="dxa"/>
            <w:tcBorders>
              <w:top w:val="single" w:sz="4" w:space="0" w:color="auto"/>
              <w:left w:val="nil"/>
              <w:bottom w:val="nil"/>
              <w:right w:val="nil"/>
            </w:tcBorders>
            <w:shd w:val="clear" w:color="auto" w:fill="auto"/>
            <w:noWrap/>
            <w:vAlign w:val="center"/>
            <w:hideMark/>
          </w:tcPr>
          <w:p w:rsidR="00AC44F2" w:rsidRPr="00655BC8" w:rsidRDefault="00DD1FCF" w:rsidP="00C16219">
            <w:pPr>
              <w:ind w:firstLineChars="200" w:firstLine="361"/>
              <w:jc w:val="left"/>
              <w:rPr>
                <w:rFonts w:cs="Tahoma"/>
                <w:b/>
                <w:bCs/>
                <w:sz w:val="18"/>
                <w:szCs w:val="18"/>
              </w:rPr>
            </w:pPr>
            <w:r w:rsidRPr="00655BC8">
              <w:rPr>
                <w:rFonts w:cs="Tahoma"/>
                <w:b/>
                <w:bCs/>
                <w:sz w:val="18"/>
                <w:szCs w:val="18"/>
              </w:rPr>
              <w:t>100</w:t>
            </w:r>
            <w:r w:rsidR="00AC44F2" w:rsidRPr="00655BC8">
              <w:rPr>
                <w:rFonts w:cs="Tahoma"/>
                <w:b/>
                <w:bCs/>
                <w:sz w:val="18"/>
                <w:szCs w:val="18"/>
              </w:rPr>
              <w:t> </w:t>
            </w:r>
          </w:p>
        </w:tc>
      </w:tr>
      <w:tr w:rsidR="004679BD" w:rsidRPr="00AC44F2" w:rsidTr="006E3F9B">
        <w:trPr>
          <w:trHeight w:val="249"/>
        </w:trPr>
        <w:tc>
          <w:tcPr>
            <w:tcW w:w="1140" w:type="dxa"/>
            <w:tcBorders>
              <w:top w:val="nil"/>
              <w:left w:val="nil"/>
              <w:bottom w:val="nil"/>
              <w:right w:val="nil"/>
            </w:tcBorders>
            <w:shd w:val="clear" w:color="auto" w:fill="auto"/>
            <w:noWrap/>
            <w:vAlign w:val="center"/>
            <w:hideMark/>
          </w:tcPr>
          <w:p w:rsidR="00AC44F2" w:rsidRPr="00C16219" w:rsidRDefault="00AC44F2" w:rsidP="00C16219">
            <w:pPr>
              <w:ind w:firstLineChars="100" w:firstLine="180"/>
              <w:jc w:val="left"/>
              <w:rPr>
                <w:rFonts w:cs="Tahoma"/>
                <w:sz w:val="18"/>
                <w:szCs w:val="18"/>
              </w:rPr>
            </w:pPr>
            <w:r w:rsidRPr="00C16219">
              <w:rPr>
                <w:rFonts w:cs="Tahoma"/>
                <w:sz w:val="18"/>
                <w:szCs w:val="18"/>
              </w:rPr>
              <w:t>2016/17</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203</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161</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42</w:t>
            </w:r>
          </w:p>
        </w:tc>
        <w:tc>
          <w:tcPr>
            <w:tcW w:w="317" w:type="dxa"/>
            <w:gridSpan w:val="3"/>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6</w:t>
            </w:r>
          </w:p>
        </w:tc>
      </w:tr>
      <w:tr w:rsidR="004679BD" w:rsidRPr="00AC44F2" w:rsidTr="006E3F9B">
        <w:trPr>
          <w:trHeight w:val="249"/>
        </w:trPr>
        <w:tc>
          <w:tcPr>
            <w:tcW w:w="1140" w:type="dxa"/>
            <w:tcBorders>
              <w:top w:val="nil"/>
              <w:left w:val="nil"/>
              <w:bottom w:val="nil"/>
              <w:right w:val="nil"/>
            </w:tcBorders>
            <w:shd w:val="clear" w:color="auto" w:fill="auto"/>
            <w:noWrap/>
            <w:vAlign w:val="center"/>
            <w:hideMark/>
          </w:tcPr>
          <w:p w:rsidR="00AC44F2" w:rsidRPr="00C16219" w:rsidRDefault="00AC44F2" w:rsidP="00C16219">
            <w:pPr>
              <w:ind w:firstLineChars="100" w:firstLine="180"/>
              <w:jc w:val="left"/>
              <w:rPr>
                <w:rFonts w:cs="Tahoma"/>
                <w:sz w:val="18"/>
                <w:szCs w:val="18"/>
              </w:rPr>
            </w:pPr>
            <w:r w:rsidRPr="00C16219">
              <w:rPr>
                <w:rFonts w:cs="Tahoma"/>
                <w:sz w:val="18"/>
                <w:szCs w:val="18"/>
              </w:rPr>
              <w:t>2015/16</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189</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154</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35</w:t>
            </w:r>
          </w:p>
        </w:tc>
        <w:tc>
          <w:tcPr>
            <w:tcW w:w="317" w:type="dxa"/>
            <w:gridSpan w:val="3"/>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r>
      <w:tr w:rsidR="004679BD" w:rsidRPr="00AC44F2" w:rsidTr="006E3F9B">
        <w:trPr>
          <w:trHeight w:val="249"/>
        </w:trPr>
        <w:tc>
          <w:tcPr>
            <w:tcW w:w="1140" w:type="dxa"/>
            <w:tcBorders>
              <w:top w:val="nil"/>
              <w:left w:val="nil"/>
              <w:bottom w:val="nil"/>
              <w:right w:val="nil"/>
            </w:tcBorders>
            <w:shd w:val="clear" w:color="auto" w:fill="auto"/>
            <w:noWrap/>
            <w:vAlign w:val="center"/>
            <w:hideMark/>
          </w:tcPr>
          <w:p w:rsidR="00AC44F2" w:rsidRPr="00C16219" w:rsidRDefault="00AC44F2" w:rsidP="00C16219">
            <w:pPr>
              <w:ind w:firstLineChars="100" w:firstLine="180"/>
              <w:jc w:val="left"/>
              <w:rPr>
                <w:rFonts w:cs="Tahoma"/>
                <w:sz w:val="18"/>
                <w:szCs w:val="18"/>
              </w:rPr>
            </w:pPr>
            <w:r w:rsidRPr="00C16219">
              <w:rPr>
                <w:rFonts w:cs="Tahoma"/>
                <w:sz w:val="18"/>
                <w:szCs w:val="18"/>
              </w:rPr>
              <w:t>2014/15</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406</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329</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77</w:t>
            </w:r>
          </w:p>
        </w:tc>
        <w:tc>
          <w:tcPr>
            <w:tcW w:w="317" w:type="dxa"/>
            <w:gridSpan w:val="3"/>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r>
      <w:tr w:rsidR="004679BD" w:rsidRPr="00AC44F2" w:rsidTr="006E3F9B">
        <w:trPr>
          <w:trHeight w:val="249"/>
        </w:trPr>
        <w:tc>
          <w:tcPr>
            <w:tcW w:w="1140" w:type="dxa"/>
            <w:tcBorders>
              <w:top w:val="nil"/>
              <w:left w:val="nil"/>
              <w:bottom w:val="nil"/>
              <w:right w:val="nil"/>
            </w:tcBorders>
            <w:shd w:val="clear" w:color="auto" w:fill="auto"/>
            <w:noWrap/>
            <w:vAlign w:val="center"/>
            <w:hideMark/>
          </w:tcPr>
          <w:p w:rsidR="00AC44F2" w:rsidRPr="00C16219" w:rsidRDefault="00AC44F2" w:rsidP="00C16219">
            <w:pPr>
              <w:ind w:firstLineChars="100" w:firstLine="180"/>
              <w:jc w:val="left"/>
              <w:rPr>
                <w:rFonts w:cs="Tahoma"/>
                <w:sz w:val="18"/>
                <w:szCs w:val="18"/>
              </w:rPr>
            </w:pPr>
            <w:r w:rsidRPr="00C16219">
              <w:rPr>
                <w:rFonts w:cs="Tahoma"/>
                <w:sz w:val="18"/>
                <w:szCs w:val="18"/>
              </w:rPr>
              <w:t>2013/14</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416</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307</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109</w:t>
            </w:r>
          </w:p>
        </w:tc>
        <w:tc>
          <w:tcPr>
            <w:tcW w:w="308"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 </w:t>
            </w:r>
          </w:p>
        </w:tc>
        <w:tc>
          <w:tcPr>
            <w:tcW w:w="1401"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10</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15</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2012/13</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531</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402</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129</w:t>
            </w:r>
          </w:p>
        </w:tc>
        <w:tc>
          <w:tcPr>
            <w:tcW w:w="308" w:type="dxa"/>
            <w:gridSpan w:val="2"/>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401"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14</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13</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18</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2011/12</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480</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380</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100</w:t>
            </w:r>
          </w:p>
        </w:tc>
        <w:tc>
          <w:tcPr>
            <w:tcW w:w="317" w:type="dxa"/>
            <w:gridSpan w:val="3"/>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13</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12</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14</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2010/11</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207</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173</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34</w:t>
            </w:r>
          </w:p>
        </w:tc>
        <w:tc>
          <w:tcPr>
            <w:tcW w:w="317" w:type="dxa"/>
            <w:gridSpan w:val="3"/>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6</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2009/10</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198</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181</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17</w:t>
            </w:r>
          </w:p>
        </w:tc>
        <w:tc>
          <w:tcPr>
            <w:tcW w:w="317" w:type="dxa"/>
            <w:gridSpan w:val="3"/>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5</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6</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2</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2008/09</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474</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396</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78</w:t>
            </w:r>
          </w:p>
        </w:tc>
        <w:tc>
          <w:tcPr>
            <w:tcW w:w="317" w:type="dxa"/>
            <w:gridSpan w:val="3"/>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13</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13</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r>
      <w:tr w:rsidR="004679BD" w:rsidRPr="00AC44F2" w:rsidTr="006E3F9B">
        <w:trPr>
          <w:trHeight w:val="249"/>
        </w:trPr>
        <w:tc>
          <w:tcPr>
            <w:tcW w:w="1140" w:type="dxa"/>
            <w:tcBorders>
              <w:top w:val="nil"/>
              <w:left w:val="nil"/>
              <w:bottom w:val="nil"/>
              <w:right w:val="nil"/>
            </w:tcBorders>
            <w:shd w:val="clear" w:color="auto" w:fill="auto"/>
            <w:noWrap/>
            <w:vAlign w:val="bottom"/>
            <w:hideMark/>
          </w:tcPr>
          <w:p w:rsidR="00AC44F2" w:rsidRPr="00C16219" w:rsidRDefault="00AC44F2" w:rsidP="00C16219">
            <w:pPr>
              <w:ind w:firstLineChars="100" w:firstLine="180"/>
              <w:jc w:val="left"/>
              <w:rPr>
                <w:rFonts w:cs="Tahoma"/>
                <w:color w:val="000000"/>
                <w:sz w:val="18"/>
                <w:szCs w:val="18"/>
              </w:rPr>
            </w:pPr>
            <w:r w:rsidRPr="00C16219">
              <w:rPr>
                <w:rFonts w:cs="Tahoma"/>
                <w:color w:val="000000"/>
                <w:sz w:val="18"/>
                <w:szCs w:val="18"/>
              </w:rPr>
              <w:t>2007/08</w:t>
            </w:r>
          </w:p>
        </w:tc>
        <w:tc>
          <w:tcPr>
            <w:tcW w:w="1146"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391</w:t>
            </w:r>
          </w:p>
        </w:tc>
        <w:tc>
          <w:tcPr>
            <w:tcW w:w="1145" w:type="dxa"/>
            <w:gridSpan w:val="2"/>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329</w:t>
            </w:r>
          </w:p>
        </w:tc>
        <w:tc>
          <w:tcPr>
            <w:tcW w:w="100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62</w:t>
            </w:r>
          </w:p>
        </w:tc>
        <w:tc>
          <w:tcPr>
            <w:tcW w:w="317" w:type="dxa"/>
            <w:gridSpan w:val="3"/>
            <w:tcBorders>
              <w:top w:val="nil"/>
              <w:left w:val="nil"/>
              <w:bottom w:val="nil"/>
              <w:right w:val="nil"/>
            </w:tcBorders>
            <w:shd w:val="clear" w:color="auto" w:fill="auto"/>
            <w:noWrap/>
            <w:vAlign w:val="bottom"/>
            <w:hideMark/>
          </w:tcPr>
          <w:p w:rsidR="00AC44F2" w:rsidRPr="00C16219" w:rsidRDefault="00AC44F2" w:rsidP="00C16219">
            <w:pPr>
              <w:jc w:val="left"/>
              <w:rPr>
                <w:rFonts w:cs="Tahoma"/>
                <w:color w:val="000000"/>
                <w:sz w:val="18"/>
                <w:szCs w:val="18"/>
              </w:rPr>
            </w:pPr>
            <w:r w:rsidRPr="00C16219">
              <w:rPr>
                <w:rFonts w:cs="Tahoma"/>
                <w:color w:val="000000"/>
                <w:sz w:val="18"/>
                <w:szCs w:val="18"/>
              </w:rPr>
              <w:t> </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10</w:t>
            </w:r>
          </w:p>
        </w:tc>
        <w:tc>
          <w:tcPr>
            <w:tcW w:w="1392"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11</w:t>
            </w:r>
          </w:p>
        </w:tc>
        <w:tc>
          <w:tcPr>
            <w:tcW w:w="1393" w:type="dxa"/>
            <w:tcBorders>
              <w:top w:val="nil"/>
              <w:left w:val="nil"/>
              <w:bottom w:val="nil"/>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9</w:t>
            </w:r>
          </w:p>
        </w:tc>
      </w:tr>
      <w:tr w:rsidR="004679BD" w:rsidRPr="00AC44F2" w:rsidTr="006E3F9B">
        <w:trPr>
          <w:trHeight w:val="249"/>
        </w:trPr>
        <w:tc>
          <w:tcPr>
            <w:tcW w:w="1140" w:type="dxa"/>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100" w:firstLine="180"/>
              <w:jc w:val="left"/>
              <w:rPr>
                <w:rFonts w:cs="Tahoma"/>
                <w:sz w:val="18"/>
                <w:szCs w:val="18"/>
              </w:rPr>
            </w:pPr>
            <w:r w:rsidRPr="00C16219">
              <w:rPr>
                <w:rFonts w:cs="Tahoma"/>
                <w:sz w:val="18"/>
                <w:szCs w:val="18"/>
              </w:rPr>
              <w:t>2006/07</w:t>
            </w:r>
          </w:p>
        </w:tc>
        <w:tc>
          <w:tcPr>
            <w:tcW w:w="1146" w:type="dxa"/>
            <w:gridSpan w:val="2"/>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296</w:t>
            </w:r>
          </w:p>
        </w:tc>
        <w:tc>
          <w:tcPr>
            <w:tcW w:w="1145" w:type="dxa"/>
            <w:gridSpan w:val="2"/>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250</w:t>
            </w:r>
          </w:p>
        </w:tc>
        <w:tc>
          <w:tcPr>
            <w:tcW w:w="1002" w:type="dxa"/>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46</w:t>
            </w:r>
          </w:p>
        </w:tc>
        <w:tc>
          <w:tcPr>
            <w:tcW w:w="317" w:type="dxa"/>
            <w:gridSpan w:val="3"/>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 </w:t>
            </w:r>
          </w:p>
        </w:tc>
        <w:tc>
          <w:tcPr>
            <w:tcW w:w="1392" w:type="dxa"/>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8</w:t>
            </w:r>
          </w:p>
        </w:tc>
        <w:tc>
          <w:tcPr>
            <w:tcW w:w="1392" w:type="dxa"/>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8</w:t>
            </w:r>
          </w:p>
        </w:tc>
        <w:tc>
          <w:tcPr>
            <w:tcW w:w="1393" w:type="dxa"/>
            <w:tcBorders>
              <w:top w:val="nil"/>
              <w:left w:val="nil"/>
              <w:bottom w:val="single" w:sz="4" w:space="0" w:color="auto"/>
              <w:right w:val="nil"/>
            </w:tcBorders>
            <w:shd w:val="clear" w:color="auto" w:fill="auto"/>
            <w:noWrap/>
            <w:vAlign w:val="center"/>
            <w:hideMark/>
          </w:tcPr>
          <w:p w:rsidR="00AC44F2" w:rsidRPr="00C16219" w:rsidRDefault="00AC44F2" w:rsidP="00C16219">
            <w:pPr>
              <w:ind w:firstLineChars="200" w:firstLine="360"/>
              <w:jc w:val="left"/>
              <w:rPr>
                <w:rFonts w:cs="Tahoma"/>
                <w:sz w:val="18"/>
                <w:szCs w:val="18"/>
              </w:rPr>
            </w:pPr>
            <w:r w:rsidRPr="00C16219">
              <w:rPr>
                <w:rFonts w:cs="Tahoma"/>
                <w:sz w:val="18"/>
                <w:szCs w:val="18"/>
              </w:rPr>
              <w:t>6</w:t>
            </w:r>
          </w:p>
        </w:tc>
      </w:tr>
    </w:tbl>
    <w:p w:rsidR="000766FC" w:rsidRDefault="000766FC" w:rsidP="007F6BE7">
      <w:pPr>
        <w:spacing w:before="120"/>
        <w:jc w:val="left"/>
        <w:rPr>
          <w:rFonts w:cs="Tahoma"/>
          <w:iCs/>
        </w:rPr>
      </w:pPr>
      <w:r w:rsidRPr="00C16219">
        <w:rPr>
          <w:rFonts w:cs="Tahoma"/>
        </w:rPr>
        <w:t>Ofsted is still able to inspect outstanding primary and secondary schools if their performance gives cause for concern. We have inspected 141 of these schools this year</w:t>
      </w:r>
      <w:r w:rsidRPr="00C16219">
        <w:rPr>
          <w:rStyle w:val="FootnoteReference"/>
          <w:rFonts w:cs="Tahoma"/>
        </w:rPr>
        <w:footnoteReference w:id="8"/>
      </w:r>
      <w:r w:rsidRPr="00C16219">
        <w:rPr>
          <w:rFonts w:cs="Tahoma"/>
        </w:rPr>
        <w:t xml:space="preserve">. Where the inspection became a full inspection, only two schools kept their outstanding grade, 63 declined to good, 43 declined to requires improvement and 19 to inadequate. The remaining 14 schools did not have a full inspection and remained outstanding. Overall 89% of the schools declined from their previous outstanding </w:t>
      </w:r>
      <w:r w:rsidRPr="00C16219">
        <w:rPr>
          <w:rFonts w:cs="Tahoma"/>
        </w:rPr>
        <w:lastRenderedPageBreak/>
        <w:t xml:space="preserve">grade. However this is not surprising because </w:t>
      </w:r>
      <w:r w:rsidRPr="00C16219">
        <w:rPr>
          <w:rFonts w:cs="Tahoma"/>
          <w:iCs/>
        </w:rPr>
        <w:t>most of the exempt schools inspected were those whose performance appeared to be declining.</w:t>
      </w:r>
      <w:r w:rsidRPr="00C16219">
        <w:rPr>
          <w:rStyle w:val="FootnoteReference"/>
          <w:rFonts w:cs="Tahoma"/>
          <w:iCs/>
        </w:rPr>
        <w:footnoteReference w:id="9"/>
      </w:r>
    </w:p>
    <w:p w:rsidR="008E688A" w:rsidRPr="00C16219" w:rsidRDefault="008E688A" w:rsidP="007F6BE7">
      <w:pPr>
        <w:spacing w:before="120"/>
        <w:jc w:val="left"/>
        <w:rPr>
          <w:rFonts w:cs="Tahoma"/>
        </w:rPr>
      </w:pPr>
    </w:p>
    <w:p w:rsidR="000766FC" w:rsidRPr="00C16219" w:rsidRDefault="000766FC" w:rsidP="00C16219">
      <w:pPr>
        <w:pStyle w:val="ListParagraph"/>
        <w:spacing w:after="120"/>
        <w:ind w:left="0"/>
        <w:jc w:val="left"/>
        <w:rPr>
          <w:rFonts w:cs="Tahoma"/>
          <w:b/>
          <w:bCs/>
          <w:sz w:val="28"/>
          <w:szCs w:val="28"/>
        </w:rPr>
      </w:pPr>
      <w:r w:rsidRPr="00C16219">
        <w:rPr>
          <w:rFonts w:cs="Tahoma"/>
          <w:b/>
          <w:bCs/>
          <w:sz w:val="28"/>
          <w:szCs w:val="28"/>
        </w:rPr>
        <w:t>Inadequate schools</w:t>
      </w:r>
    </w:p>
    <w:p w:rsidR="00372CBB" w:rsidRDefault="000766FC" w:rsidP="00C16219">
      <w:pPr>
        <w:spacing w:after="120"/>
        <w:jc w:val="left"/>
        <w:rPr>
          <w:rFonts w:cs="Tahoma"/>
        </w:rPr>
      </w:pPr>
      <w:r w:rsidRPr="00C16219">
        <w:rPr>
          <w:rFonts w:cs="Tahoma"/>
        </w:rPr>
        <w:t xml:space="preserve">Two per cent of schools were judged to be inadequate at their most recent inspection. </w:t>
      </w:r>
      <w:r w:rsidR="00114BF9">
        <w:rPr>
          <w:rFonts w:cs="Tahoma"/>
        </w:rPr>
        <w:t>Forty-three per cent</w:t>
      </w:r>
      <w:r w:rsidRPr="00C16219">
        <w:rPr>
          <w:rFonts w:cs="Tahoma"/>
        </w:rPr>
        <w:t xml:space="preserve"> of these schools are academies and </w:t>
      </w:r>
      <w:r w:rsidR="00114BF9">
        <w:rPr>
          <w:rFonts w:cs="Tahoma"/>
        </w:rPr>
        <w:t>57%</w:t>
      </w:r>
      <w:r w:rsidRPr="00C16219">
        <w:rPr>
          <w:rFonts w:cs="Tahoma"/>
        </w:rPr>
        <w:t xml:space="preserve"> are maintained by local authorities. </w:t>
      </w:r>
    </w:p>
    <w:p w:rsidR="00372CBB" w:rsidRDefault="00372CBB" w:rsidP="00C16219">
      <w:pPr>
        <w:spacing w:after="120"/>
        <w:jc w:val="left"/>
        <w:rPr>
          <w:rFonts w:cs="Tahoma"/>
        </w:rPr>
      </w:pPr>
      <w:r>
        <w:rPr>
          <w:rFonts w:cs="Tahoma"/>
        </w:rPr>
        <w:t xml:space="preserve">A </w:t>
      </w:r>
      <w:r w:rsidR="0081125C">
        <w:rPr>
          <w:rFonts w:cs="Tahoma"/>
        </w:rPr>
        <w:t>larger</w:t>
      </w:r>
      <w:r>
        <w:rPr>
          <w:rFonts w:cs="Tahoma"/>
        </w:rPr>
        <w:t xml:space="preserve"> proportion of inspected sponsor-led academies are inadequate than </w:t>
      </w:r>
      <w:r w:rsidR="00F76BB3">
        <w:rPr>
          <w:rFonts w:cs="Tahoma"/>
        </w:rPr>
        <w:t xml:space="preserve">any </w:t>
      </w:r>
      <w:r>
        <w:rPr>
          <w:rFonts w:cs="Tahoma"/>
        </w:rPr>
        <w:t xml:space="preserve">other type of </w:t>
      </w:r>
      <w:r w:rsidR="00F76BB3">
        <w:rPr>
          <w:rFonts w:cs="Tahoma"/>
        </w:rPr>
        <w:t>school</w:t>
      </w:r>
      <w:r>
        <w:rPr>
          <w:rFonts w:cs="Tahoma"/>
        </w:rPr>
        <w:t xml:space="preserve">; </w:t>
      </w:r>
      <w:r w:rsidR="00111DEB">
        <w:rPr>
          <w:rFonts w:cs="Tahoma"/>
        </w:rPr>
        <w:t>nine per cent</w:t>
      </w:r>
      <w:r>
        <w:rPr>
          <w:rFonts w:cs="Tahoma"/>
        </w:rPr>
        <w:t xml:space="preserve"> compared </w:t>
      </w:r>
      <w:r w:rsidR="00B74FEC">
        <w:rPr>
          <w:rFonts w:cs="Tahoma"/>
        </w:rPr>
        <w:t xml:space="preserve">with </w:t>
      </w:r>
      <w:r w:rsidR="00111DEB">
        <w:rPr>
          <w:rFonts w:cs="Tahoma"/>
        </w:rPr>
        <w:t>four per cent</w:t>
      </w:r>
      <w:r>
        <w:rPr>
          <w:rFonts w:cs="Tahoma"/>
        </w:rPr>
        <w:t xml:space="preserve"> </w:t>
      </w:r>
      <w:r w:rsidR="0081125C">
        <w:rPr>
          <w:rFonts w:cs="Tahoma"/>
        </w:rPr>
        <w:t>of free schools,</w:t>
      </w:r>
      <w:r>
        <w:rPr>
          <w:rFonts w:cs="Tahoma"/>
        </w:rPr>
        <w:t xml:space="preserve"> </w:t>
      </w:r>
      <w:r w:rsidR="0081125C">
        <w:rPr>
          <w:rFonts w:cs="Tahoma"/>
        </w:rPr>
        <w:t xml:space="preserve">one per cent of </w:t>
      </w:r>
      <w:r>
        <w:rPr>
          <w:rFonts w:cs="Tahoma"/>
        </w:rPr>
        <w:t xml:space="preserve">academy converters </w:t>
      </w:r>
      <w:r w:rsidR="0081125C">
        <w:rPr>
          <w:rFonts w:cs="Tahoma"/>
        </w:rPr>
        <w:t>and two per cent of LA mainta</w:t>
      </w:r>
      <w:r w:rsidR="00F76BB3">
        <w:rPr>
          <w:rFonts w:cs="Tahoma"/>
        </w:rPr>
        <w:t xml:space="preserve">ined schools. </w:t>
      </w:r>
      <w:r w:rsidR="004E5277">
        <w:rPr>
          <w:rFonts w:cs="Tahoma"/>
        </w:rPr>
        <w:t>The inspection g</w:t>
      </w:r>
      <w:r w:rsidR="00A319D6">
        <w:rPr>
          <w:rFonts w:cs="Tahoma"/>
        </w:rPr>
        <w:t>rades for sponsor-led academies</w:t>
      </w:r>
      <w:r w:rsidR="004E5277">
        <w:rPr>
          <w:rFonts w:cs="Tahoma"/>
        </w:rPr>
        <w:t xml:space="preserve"> are based on ins</w:t>
      </w:r>
      <w:r w:rsidR="00D15141">
        <w:rPr>
          <w:rFonts w:cs="Tahoma"/>
        </w:rPr>
        <w:t>pe</w:t>
      </w:r>
      <w:r w:rsidR="004E5277">
        <w:rPr>
          <w:rFonts w:cs="Tahoma"/>
        </w:rPr>
        <w:t>ctio</w:t>
      </w:r>
      <w:r w:rsidR="00D15141">
        <w:rPr>
          <w:rFonts w:cs="Tahoma"/>
        </w:rPr>
        <w:t>ns</w:t>
      </w:r>
      <w:r w:rsidR="004E5277">
        <w:rPr>
          <w:rFonts w:cs="Tahoma"/>
        </w:rPr>
        <w:t xml:space="preserve"> since the schoo</w:t>
      </w:r>
      <w:r w:rsidR="00A319D6">
        <w:rPr>
          <w:rFonts w:cs="Tahoma"/>
        </w:rPr>
        <w:t>ls became academies, and do not</w:t>
      </w:r>
      <w:r w:rsidR="00111DEB">
        <w:rPr>
          <w:rFonts w:cs="Tahoma"/>
        </w:rPr>
        <w:t xml:space="preserve"> include the grade of the predecessor </w:t>
      </w:r>
      <w:r w:rsidR="004E5277">
        <w:rPr>
          <w:rFonts w:cs="Tahoma"/>
        </w:rPr>
        <w:t xml:space="preserve">LA </w:t>
      </w:r>
      <w:r w:rsidR="00111DEB">
        <w:rPr>
          <w:rFonts w:cs="Tahoma"/>
        </w:rPr>
        <w:t>school</w:t>
      </w:r>
      <w:r w:rsidR="004E5277">
        <w:rPr>
          <w:rFonts w:cs="Tahoma"/>
        </w:rPr>
        <w:t>. However</w:t>
      </w:r>
      <w:r w:rsidR="00111DEB">
        <w:rPr>
          <w:rFonts w:cs="Tahoma"/>
        </w:rPr>
        <w:t>, m</w:t>
      </w:r>
      <w:r w:rsidR="00F76BB3">
        <w:rPr>
          <w:rFonts w:cs="Tahoma"/>
        </w:rPr>
        <w:t xml:space="preserve">any sponsor-led academies will have </w:t>
      </w:r>
      <w:r w:rsidR="00111DEB">
        <w:rPr>
          <w:rFonts w:cs="Tahoma"/>
        </w:rPr>
        <w:t>replaced a predecessor school that was in</w:t>
      </w:r>
      <w:r w:rsidR="004E5277">
        <w:rPr>
          <w:rFonts w:cs="Tahoma"/>
        </w:rPr>
        <w:t>a</w:t>
      </w:r>
      <w:r w:rsidR="00111DEB">
        <w:rPr>
          <w:rFonts w:cs="Tahoma"/>
        </w:rPr>
        <w:t>dequate or required improvement at its last inspection.</w:t>
      </w:r>
      <w:r w:rsidR="00111DEB" w:rsidDel="00111DEB">
        <w:rPr>
          <w:rFonts w:cs="Tahoma"/>
        </w:rPr>
        <w:t xml:space="preserve"> </w:t>
      </w:r>
    </w:p>
    <w:p w:rsidR="004E5277" w:rsidRDefault="004E5277" w:rsidP="00C16219">
      <w:pPr>
        <w:spacing w:after="120"/>
        <w:jc w:val="left"/>
        <w:rPr>
          <w:rFonts w:cs="Tahoma"/>
        </w:rPr>
      </w:pPr>
    </w:p>
    <w:p w:rsidR="004872A0" w:rsidRDefault="004872A0" w:rsidP="00C16219">
      <w:pPr>
        <w:spacing w:after="120"/>
        <w:jc w:val="left"/>
        <w:rPr>
          <w:rFonts w:cs="Tahoma"/>
        </w:rPr>
      </w:pPr>
      <w:r w:rsidRPr="0094208D">
        <w:rPr>
          <w:rFonts w:cs="Tahoma"/>
          <w:b/>
        </w:rPr>
        <w:t xml:space="preserve">Figure </w:t>
      </w:r>
      <w:r w:rsidR="002F5BB7">
        <w:rPr>
          <w:rFonts w:cs="Tahoma"/>
          <w:b/>
        </w:rPr>
        <w:t>9</w:t>
      </w:r>
      <w:r w:rsidRPr="0094208D">
        <w:rPr>
          <w:rFonts w:cs="Tahoma"/>
          <w:b/>
        </w:rPr>
        <w:t xml:space="preserve">: </w:t>
      </w:r>
      <w:r>
        <w:rPr>
          <w:rFonts w:cs="Tahoma"/>
          <w:b/>
        </w:rPr>
        <w:t>Percentage o</w:t>
      </w:r>
      <w:r w:rsidR="00372CBB">
        <w:rPr>
          <w:rFonts w:cs="Tahoma"/>
          <w:b/>
        </w:rPr>
        <w:t>f</w:t>
      </w:r>
      <w:r>
        <w:rPr>
          <w:rFonts w:cs="Tahoma"/>
          <w:b/>
        </w:rPr>
        <w:t xml:space="preserve"> inadequate schools by type of education</w:t>
      </w:r>
    </w:p>
    <w:tbl>
      <w:tblPr>
        <w:tblW w:w="8914" w:type="dxa"/>
        <w:tblInd w:w="108" w:type="dxa"/>
        <w:tblLayout w:type="fixed"/>
        <w:tblLook w:val="04A0" w:firstRow="1" w:lastRow="0" w:firstColumn="1" w:lastColumn="0" w:noHBand="0" w:noVBand="1"/>
      </w:tblPr>
      <w:tblGrid>
        <w:gridCol w:w="1984"/>
        <w:gridCol w:w="1144"/>
        <w:gridCol w:w="1446"/>
        <w:gridCol w:w="1447"/>
        <w:gridCol w:w="1446"/>
        <w:gridCol w:w="1447"/>
      </w:tblGrid>
      <w:tr w:rsidR="00500DD2" w:rsidRPr="00500DD2" w:rsidTr="001A4CE1">
        <w:trPr>
          <w:trHeight w:val="740"/>
        </w:trPr>
        <w:tc>
          <w:tcPr>
            <w:tcW w:w="1984" w:type="dxa"/>
            <w:tcBorders>
              <w:top w:val="nil"/>
              <w:left w:val="nil"/>
              <w:bottom w:val="nil"/>
              <w:right w:val="nil"/>
            </w:tcBorders>
            <w:shd w:val="clear" w:color="auto" w:fill="auto"/>
            <w:noWrap/>
            <w:vAlign w:val="bottom"/>
            <w:hideMark/>
          </w:tcPr>
          <w:p w:rsidR="00500DD2" w:rsidRPr="00500DD2" w:rsidRDefault="00500DD2" w:rsidP="00500DD2">
            <w:pPr>
              <w:jc w:val="left"/>
              <w:rPr>
                <w:rFonts w:ascii="Times New Roman" w:hAnsi="Times New Roman"/>
                <w:sz w:val="20"/>
                <w:szCs w:val="20"/>
              </w:rPr>
            </w:pPr>
          </w:p>
        </w:tc>
        <w:tc>
          <w:tcPr>
            <w:tcW w:w="1144" w:type="dxa"/>
            <w:tcBorders>
              <w:top w:val="nil"/>
              <w:left w:val="nil"/>
              <w:bottom w:val="nil"/>
              <w:right w:val="nil"/>
            </w:tcBorders>
            <w:shd w:val="clear" w:color="auto" w:fill="auto"/>
            <w:vAlign w:val="bottom"/>
            <w:hideMark/>
          </w:tcPr>
          <w:p w:rsidR="00500DD2" w:rsidRPr="00500DD2" w:rsidRDefault="00500DD2" w:rsidP="00D8132B">
            <w:pPr>
              <w:jc w:val="right"/>
              <w:rPr>
                <w:rFonts w:cs="Tahoma"/>
                <w:color w:val="000000"/>
                <w:sz w:val="20"/>
                <w:szCs w:val="20"/>
              </w:rPr>
            </w:pPr>
            <w:r w:rsidRPr="00500DD2">
              <w:rPr>
                <w:rFonts w:cs="Tahoma"/>
                <w:color w:val="000000"/>
                <w:sz w:val="20"/>
                <w:szCs w:val="20"/>
              </w:rPr>
              <w:t>Total number of schools</w:t>
            </w:r>
          </w:p>
        </w:tc>
        <w:tc>
          <w:tcPr>
            <w:tcW w:w="1446" w:type="dxa"/>
            <w:tcBorders>
              <w:top w:val="nil"/>
              <w:left w:val="nil"/>
              <w:bottom w:val="nil"/>
              <w:right w:val="nil"/>
            </w:tcBorders>
            <w:shd w:val="clear" w:color="auto" w:fill="auto"/>
            <w:vAlign w:val="bottom"/>
            <w:hideMark/>
          </w:tcPr>
          <w:p w:rsidR="00500DD2" w:rsidRPr="00500DD2" w:rsidRDefault="00500DD2" w:rsidP="00D8132B">
            <w:pPr>
              <w:jc w:val="right"/>
              <w:rPr>
                <w:rFonts w:cs="Tahoma"/>
                <w:color w:val="000000"/>
                <w:sz w:val="20"/>
                <w:szCs w:val="20"/>
              </w:rPr>
            </w:pPr>
            <w:r w:rsidRPr="00500DD2">
              <w:rPr>
                <w:rFonts w:cs="Tahoma"/>
                <w:color w:val="000000"/>
                <w:sz w:val="20"/>
                <w:szCs w:val="20"/>
              </w:rPr>
              <w:t>Number inspected</w:t>
            </w:r>
          </w:p>
        </w:tc>
        <w:tc>
          <w:tcPr>
            <w:tcW w:w="1447" w:type="dxa"/>
            <w:tcBorders>
              <w:top w:val="nil"/>
              <w:left w:val="nil"/>
              <w:bottom w:val="nil"/>
              <w:right w:val="nil"/>
            </w:tcBorders>
            <w:shd w:val="clear" w:color="auto" w:fill="auto"/>
            <w:vAlign w:val="bottom"/>
            <w:hideMark/>
          </w:tcPr>
          <w:p w:rsidR="00500DD2" w:rsidRPr="00500DD2" w:rsidRDefault="007F71FF" w:rsidP="00D8132B">
            <w:pPr>
              <w:jc w:val="right"/>
              <w:rPr>
                <w:rFonts w:cs="Tahoma"/>
                <w:color w:val="000000"/>
                <w:sz w:val="20"/>
                <w:szCs w:val="20"/>
              </w:rPr>
            </w:pPr>
            <w:r>
              <w:rPr>
                <w:rFonts w:cs="Tahoma"/>
                <w:color w:val="000000"/>
                <w:sz w:val="20"/>
                <w:szCs w:val="20"/>
              </w:rPr>
              <w:t>Percentage</w:t>
            </w:r>
            <w:r w:rsidRPr="00500DD2">
              <w:rPr>
                <w:rFonts w:cs="Tahoma"/>
                <w:color w:val="000000"/>
                <w:sz w:val="20"/>
                <w:szCs w:val="20"/>
              </w:rPr>
              <w:t xml:space="preserve"> </w:t>
            </w:r>
            <w:r w:rsidR="001A3AD7">
              <w:rPr>
                <w:rFonts w:cs="Tahoma"/>
                <w:color w:val="000000"/>
                <w:sz w:val="20"/>
                <w:szCs w:val="20"/>
              </w:rPr>
              <w:t>inspected</w:t>
            </w:r>
          </w:p>
        </w:tc>
        <w:tc>
          <w:tcPr>
            <w:tcW w:w="1446" w:type="dxa"/>
            <w:tcBorders>
              <w:top w:val="nil"/>
              <w:left w:val="nil"/>
              <w:bottom w:val="nil"/>
              <w:right w:val="nil"/>
            </w:tcBorders>
            <w:shd w:val="clear" w:color="auto" w:fill="auto"/>
            <w:vAlign w:val="bottom"/>
            <w:hideMark/>
          </w:tcPr>
          <w:p w:rsidR="00500DD2" w:rsidRPr="00500DD2" w:rsidRDefault="007F71FF" w:rsidP="00D8132B">
            <w:pPr>
              <w:jc w:val="right"/>
              <w:rPr>
                <w:rFonts w:cs="Tahoma"/>
                <w:color w:val="000000"/>
                <w:sz w:val="20"/>
                <w:szCs w:val="20"/>
              </w:rPr>
            </w:pPr>
            <w:r>
              <w:rPr>
                <w:rFonts w:cs="Tahoma"/>
                <w:color w:val="000000"/>
                <w:sz w:val="20"/>
                <w:szCs w:val="20"/>
              </w:rPr>
              <w:t>Number</w:t>
            </w:r>
            <w:r w:rsidRPr="00500DD2">
              <w:rPr>
                <w:rFonts w:cs="Tahoma"/>
                <w:color w:val="000000"/>
                <w:sz w:val="20"/>
                <w:szCs w:val="20"/>
              </w:rPr>
              <w:t xml:space="preserve"> </w:t>
            </w:r>
            <w:r w:rsidR="00414F2B" w:rsidRPr="00500DD2">
              <w:rPr>
                <w:rFonts w:cs="Tahoma"/>
                <w:color w:val="000000"/>
                <w:sz w:val="20"/>
                <w:szCs w:val="20"/>
              </w:rPr>
              <w:t>in</w:t>
            </w:r>
            <w:r w:rsidR="00414F2B">
              <w:rPr>
                <w:rFonts w:cs="Tahoma"/>
                <w:color w:val="000000"/>
                <w:sz w:val="20"/>
                <w:szCs w:val="20"/>
              </w:rPr>
              <w:t>adequate</w:t>
            </w:r>
          </w:p>
        </w:tc>
        <w:tc>
          <w:tcPr>
            <w:tcW w:w="1447" w:type="dxa"/>
            <w:tcBorders>
              <w:top w:val="nil"/>
              <w:left w:val="nil"/>
              <w:bottom w:val="nil"/>
              <w:right w:val="nil"/>
            </w:tcBorders>
            <w:shd w:val="clear" w:color="auto" w:fill="auto"/>
            <w:vAlign w:val="bottom"/>
            <w:hideMark/>
          </w:tcPr>
          <w:p w:rsidR="00500DD2" w:rsidRPr="00500DD2" w:rsidRDefault="00500DD2" w:rsidP="00D8132B">
            <w:pPr>
              <w:jc w:val="right"/>
              <w:rPr>
                <w:rFonts w:cs="Tahoma"/>
                <w:color w:val="000000"/>
                <w:sz w:val="20"/>
                <w:szCs w:val="20"/>
              </w:rPr>
            </w:pPr>
            <w:r w:rsidRPr="00500DD2">
              <w:rPr>
                <w:rFonts w:cs="Tahoma"/>
                <w:color w:val="000000"/>
                <w:sz w:val="20"/>
                <w:szCs w:val="20"/>
              </w:rPr>
              <w:t>Percentage inadequate (of those inspected)</w:t>
            </w:r>
          </w:p>
        </w:tc>
      </w:tr>
      <w:tr w:rsidR="007F71FF" w:rsidRPr="00500DD2" w:rsidTr="001A4CE1">
        <w:trPr>
          <w:trHeight w:val="281"/>
        </w:trPr>
        <w:tc>
          <w:tcPr>
            <w:tcW w:w="1984" w:type="dxa"/>
            <w:tcBorders>
              <w:top w:val="single" w:sz="4" w:space="0" w:color="auto"/>
              <w:left w:val="nil"/>
              <w:bottom w:val="nil"/>
              <w:right w:val="nil"/>
            </w:tcBorders>
            <w:shd w:val="clear" w:color="000000" w:fill="FFFFFF"/>
            <w:noWrap/>
            <w:vAlign w:val="bottom"/>
            <w:hideMark/>
          </w:tcPr>
          <w:p w:rsidR="007F71FF" w:rsidRPr="00500DD2" w:rsidRDefault="007F71FF" w:rsidP="007F71FF">
            <w:pPr>
              <w:jc w:val="left"/>
              <w:rPr>
                <w:rFonts w:cs="Tahoma"/>
                <w:b/>
                <w:bCs/>
                <w:sz w:val="20"/>
                <w:szCs w:val="20"/>
              </w:rPr>
            </w:pPr>
            <w:r w:rsidRPr="00500DD2">
              <w:rPr>
                <w:rFonts w:cs="Tahoma"/>
                <w:b/>
                <w:bCs/>
                <w:sz w:val="20"/>
                <w:szCs w:val="20"/>
              </w:rPr>
              <w:t>All types of education</w:t>
            </w:r>
          </w:p>
        </w:tc>
        <w:tc>
          <w:tcPr>
            <w:tcW w:w="1144" w:type="dxa"/>
            <w:tcBorders>
              <w:top w:val="single" w:sz="4" w:space="0" w:color="auto"/>
              <w:left w:val="nil"/>
              <w:bottom w:val="nil"/>
              <w:right w:val="nil"/>
            </w:tcBorders>
            <w:shd w:val="clear" w:color="000000" w:fill="FFFFFF"/>
            <w:noWrap/>
            <w:vAlign w:val="center"/>
            <w:hideMark/>
          </w:tcPr>
          <w:p w:rsidR="007F71FF" w:rsidRPr="00500DD2" w:rsidRDefault="007F71FF" w:rsidP="00D4116D">
            <w:pPr>
              <w:jc w:val="right"/>
              <w:rPr>
                <w:rFonts w:cs="Tahoma"/>
                <w:b/>
                <w:bCs/>
                <w:sz w:val="20"/>
                <w:szCs w:val="20"/>
              </w:rPr>
            </w:pPr>
            <w:r>
              <w:rPr>
                <w:rFonts w:cs="Tahoma"/>
                <w:b/>
                <w:bCs/>
                <w:sz w:val="20"/>
                <w:szCs w:val="20"/>
              </w:rPr>
              <w:t>21,949</w:t>
            </w:r>
          </w:p>
        </w:tc>
        <w:tc>
          <w:tcPr>
            <w:tcW w:w="1446" w:type="dxa"/>
            <w:tcBorders>
              <w:top w:val="single" w:sz="4" w:space="0" w:color="auto"/>
              <w:left w:val="nil"/>
              <w:bottom w:val="nil"/>
              <w:right w:val="nil"/>
            </w:tcBorders>
            <w:shd w:val="clear" w:color="000000" w:fill="FFFFFF"/>
            <w:noWrap/>
            <w:vAlign w:val="center"/>
            <w:hideMark/>
          </w:tcPr>
          <w:p w:rsidR="007F71FF" w:rsidRPr="00500DD2" w:rsidRDefault="007F71FF" w:rsidP="001A2C87">
            <w:pPr>
              <w:jc w:val="right"/>
              <w:rPr>
                <w:rFonts w:cs="Tahoma"/>
                <w:b/>
                <w:bCs/>
                <w:sz w:val="20"/>
                <w:szCs w:val="20"/>
              </w:rPr>
            </w:pPr>
            <w:r>
              <w:rPr>
                <w:rFonts w:cs="Tahoma"/>
                <w:b/>
                <w:bCs/>
                <w:sz w:val="20"/>
                <w:szCs w:val="20"/>
              </w:rPr>
              <w:t>21,033</w:t>
            </w:r>
          </w:p>
        </w:tc>
        <w:tc>
          <w:tcPr>
            <w:tcW w:w="1447" w:type="dxa"/>
            <w:tcBorders>
              <w:top w:val="single" w:sz="4" w:space="0" w:color="auto"/>
              <w:left w:val="nil"/>
              <w:bottom w:val="nil"/>
              <w:right w:val="nil"/>
            </w:tcBorders>
            <w:shd w:val="clear" w:color="000000" w:fill="FFFFFF"/>
            <w:noWrap/>
            <w:vAlign w:val="center"/>
            <w:hideMark/>
          </w:tcPr>
          <w:p w:rsidR="007F71FF" w:rsidRPr="00500DD2" w:rsidRDefault="007F71FF" w:rsidP="00BB1C69">
            <w:pPr>
              <w:jc w:val="right"/>
              <w:rPr>
                <w:rFonts w:cs="Tahoma"/>
                <w:b/>
                <w:bCs/>
                <w:sz w:val="20"/>
                <w:szCs w:val="20"/>
              </w:rPr>
            </w:pPr>
            <w:r>
              <w:rPr>
                <w:rFonts w:cs="Tahoma"/>
                <w:b/>
                <w:bCs/>
                <w:sz w:val="20"/>
                <w:szCs w:val="20"/>
              </w:rPr>
              <w:t>96</w:t>
            </w:r>
          </w:p>
        </w:tc>
        <w:tc>
          <w:tcPr>
            <w:tcW w:w="1446" w:type="dxa"/>
            <w:tcBorders>
              <w:top w:val="single" w:sz="4" w:space="0" w:color="auto"/>
              <w:left w:val="nil"/>
              <w:bottom w:val="nil"/>
              <w:right w:val="nil"/>
            </w:tcBorders>
            <w:shd w:val="clear" w:color="000000" w:fill="FFFFFF"/>
            <w:noWrap/>
            <w:vAlign w:val="center"/>
            <w:hideMark/>
          </w:tcPr>
          <w:p w:rsidR="007F71FF" w:rsidRPr="00500DD2" w:rsidRDefault="007F71FF" w:rsidP="00352385">
            <w:pPr>
              <w:jc w:val="right"/>
              <w:rPr>
                <w:rFonts w:cs="Tahoma"/>
                <w:b/>
                <w:bCs/>
                <w:sz w:val="20"/>
                <w:szCs w:val="20"/>
              </w:rPr>
            </w:pPr>
            <w:r>
              <w:rPr>
                <w:rFonts w:cs="Tahoma"/>
                <w:b/>
                <w:bCs/>
                <w:sz w:val="20"/>
                <w:szCs w:val="20"/>
              </w:rPr>
              <w:t>422</w:t>
            </w:r>
          </w:p>
        </w:tc>
        <w:tc>
          <w:tcPr>
            <w:tcW w:w="1447" w:type="dxa"/>
            <w:tcBorders>
              <w:top w:val="single" w:sz="4" w:space="0" w:color="auto"/>
              <w:left w:val="nil"/>
              <w:bottom w:val="nil"/>
              <w:right w:val="nil"/>
            </w:tcBorders>
            <w:shd w:val="clear" w:color="000000" w:fill="FFFFFF"/>
            <w:noWrap/>
            <w:vAlign w:val="center"/>
            <w:hideMark/>
          </w:tcPr>
          <w:p w:rsidR="007F71FF" w:rsidRPr="00500DD2" w:rsidRDefault="007F71FF" w:rsidP="00352385">
            <w:pPr>
              <w:jc w:val="right"/>
              <w:rPr>
                <w:rFonts w:cs="Tahoma"/>
                <w:b/>
                <w:bCs/>
                <w:sz w:val="20"/>
                <w:szCs w:val="20"/>
              </w:rPr>
            </w:pPr>
            <w:r>
              <w:rPr>
                <w:rFonts w:cs="Tahoma"/>
                <w:b/>
                <w:bCs/>
                <w:sz w:val="20"/>
                <w:szCs w:val="20"/>
              </w:rPr>
              <w:t>2</w:t>
            </w:r>
          </w:p>
        </w:tc>
      </w:tr>
      <w:tr w:rsidR="007F71FF" w:rsidRPr="00500DD2" w:rsidTr="001A4CE1">
        <w:trPr>
          <w:trHeight w:val="281"/>
        </w:trPr>
        <w:tc>
          <w:tcPr>
            <w:tcW w:w="1984" w:type="dxa"/>
            <w:tcBorders>
              <w:top w:val="nil"/>
              <w:left w:val="nil"/>
              <w:bottom w:val="nil"/>
              <w:right w:val="nil"/>
            </w:tcBorders>
            <w:shd w:val="clear" w:color="000000" w:fill="FFFFFF"/>
            <w:noWrap/>
            <w:vAlign w:val="bottom"/>
            <w:hideMark/>
          </w:tcPr>
          <w:p w:rsidR="007F71FF" w:rsidRPr="00500DD2" w:rsidRDefault="007F71FF" w:rsidP="007F71FF">
            <w:pPr>
              <w:jc w:val="left"/>
              <w:rPr>
                <w:rFonts w:cs="Tahoma"/>
                <w:sz w:val="20"/>
                <w:szCs w:val="20"/>
              </w:rPr>
            </w:pPr>
            <w:r w:rsidRPr="00500DD2">
              <w:rPr>
                <w:rFonts w:cs="Tahoma"/>
                <w:sz w:val="20"/>
                <w:szCs w:val="20"/>
              </w:rPr>
              <w:t>Local authority maintained</w:t>
            </w:r>
          </w:p>
        </w:tc>
        <w:tc>
          <w:tcPr>
            <w:tcW w:w="1144" w:type="dxa"/>
            <w:tcBorders>
              <w:top w:val="nil"/>
              <w:left w:val="nil"/>
              <w:bottom w:val="nil"/>
              <w:right w:val="nil"/>
            </w:tcBorders>
            <w:shd w:val="clear" w:color="000000" w:fill="FFFFFF"/>
            <w:noWrap/>
            <w:vAlign w:val="center"/>
            <w:hideMark/>
          </w:tcPr>
          <w:p w:rsidR="007F71FF" w:rsidRPr="00500DD2" w:rsidRDefault="007F71FF" w:rsidP="00D4116D">
            <w:pPr>
              <w:jc w:val="right"/>
              <w:rPr>
                <w:rFonts w:cs="Tahoma"/>
                <w:sz w:val="20"/>
                <w:szCs w:val="20"/>
              </w:rPr>
            </w:pPr>
            <w:r>
              <w:rPr>
                <w:rFonts w:cs="Tahoma"/>
                <w:sz w:val="20"/>
                <w:szCs w:val="20"/>
              </w:rPr>
              <w:t>15,010</w:t>
            </w:r>
          </w:p>
        </w:tc>
        <w:tc>
          <w:tcPr>
            <w:tcW w:w="1446" w:type="dxa"/>
            <w:tcBorders>
              <w:top w:val="nil"/>
              <w:left w:val="nil"/>
              <w:bottom w:val="nil"/>
              <w:right w:val="nil"/>
            </w:tcBorders>
            <w:shd w:val="clear" w:color="000000" w:fill="FFFFFF"/>
            <w:noWrap/>
            <w:vAlign w:val="center"/>
            <w:hideMark/>
          </w:tcPr>
          <w:p w:rsidR="007F71FF" w:rsidRPr="00500DD2" w:rsidRDefault="007F71FF" w:rsidP="001A2C87">
            <w:pPr>
              <w:jc w:val="right"/>
              <w:rPr>
                <w:rFonts w:cs="Tahoma"/>
                <w:sz w:val="20"/>
                <w:szCs w:val="20"/>
              </w:rPr>
            </w:pPr>
            <w:r>
              <w:rPr>
                <w:rFonts w:cs="Tahoma"/>
                <w:sz w:val="20"/>
                <w:szCs w:val="20"/>
              </w:rPr>
              <w:t>14,980</w:t>
            </w:r>
          </w:p>
        </w:tc>
        <w:tc>
          <w:tcPr>
            <w:tcW w:w="1447" w:type="dxa"/>
            <w:tcBorders>
              <w:top w:val="nil"/>
              <w:left w:val="nil"/>
              <w:bottom w:val="nil"/>
              <w:right w:val="nil"/>
            </w:tcBorders>
            <w:shd w:val="clear" w:color="000000" w:fill="FFFFFF"/>
            <w:noWrap/>
            <w:vAlign w:val="center"/>
            <w:hideMark/>
          </w:tcPr>
          <w:p w:rsidR="007F71FF" w:rsidRPr="00500DD2" w:rsidRDefault="007F71FF" w:rsidP="00BB1C69">
            <w:pPr>
              <w:jc w:val="right"/>
              <w:rPr>
                <w:rFonts w:cs="Tahoma"/>
                <w:sz w:val="20"/>
                <w:szCs w:val="20"/>
              </w:rPr>
            </w:pPr>
            <w:r>
              <w:rPr>
                <w:rFonts w:cs="Tahoma"/>
                <w:sz w:val="20"/>
                <w:szCs w:val="20"/>
              </w:rPr>
              <w:t>100</w:t>
            </w:r>
          </w:p>
        </w:tc>
        <w:tc>
          <w:tcPr>
            <w:tcW w:w="1446"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239</w:t>
            </w:r>
          </w:p>
        </w:tc>
        <w:tc>
          <w:tcPr>
            <w:tcW w:w="1447"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2</w:t>
            </w:r>
          </w:p>
        </w:tc>
      </w:tr>
      <w:tr w:rsidR="007F71FF" w:rsidRPr="00500DD2" w:rsidTr="001A4CE1">
        <w:trPr>
          <w:trHeight w:val="281"/>
        </w:trPr>
        <w:tc>
          <w:tcPr>
            <w:tcW w:w="1984" w:type="dxa"/>
            <w:tcBorders>
              <w:top w:val="nil"/>
              <w:left w:val="nil"/>
              <w:bottom w:val="nil"/>
              <w:right w:val="nil"/>
            </w:tcBorders>
            <w:shd w:val="clear" w:color="000000" w:fill="FFFFFF"/>
            <w:noWrap/>
            <w:vAlign w:val="bottom"/>
            <w:hideMark/>
          </w:tcPr>
          <w:p w:rsidR="007F71FF" w:rsidRPr="00500DD2" w:rsidRDefault="007F71FF" w:rsidP="007F71FF">
            <w:pPr>
              <w:jc w:val="left"/>
              <w:rPr>
                <w:rFonts w:cs="Tahoma"/>
                <w:sz w:val="20"/>
                <w:szCs w:val="20"/>
              </w:rPr>
            </w:pPr>
            <w:r w:rsidRPr="00500DD2">
              <w:rPr>
                <w:rFonts w:cs="Tahoma"/>
                <w:sz w:val="20"/>
                <w:szCs w:val="20"/>
              </w:rPr>
              <w:t>All academies</w:t>
            </w:r>
          </w:p>
        </w:tc>
        <w:tc>
          <w:tcPr>
            <w:tcW w:w="1144" w:type="dxa"/>
            <w:tcBorders>
              <w:top w:val="nil"/>
              <w:left w:val="nil"/>
              <w:bottom w:val="nil"/>
              <w:right w:val="nil"/>
            </w:tcBorders>
            <w:shd w:val="clear" w:color="000000" w:fill="FFFFFF"/>
            <w:noWrap/>
            <w:vAlign w:val="center"/>
            <w:hideMark/>
          </w:tcPr>
          <w:p w:rsidR="007F71FF" w:rsidRPr="00500DD2" w:rsidRDefault="007F71FF" w:rsidP="00D4116D">
            <w:pPr>
              <w:jc w:val="right"/>
              <w:rPr>
                <w:rFonts w:cs="Tahoma"/>
                <w:sz w:val="20"/>
                <w:szCs w:val="20"/>
              </w:rPr>
            </w:pPr>
            <w:r>
              <w:rPr>
                <w:rFonts w:cs="Tahoma"/>
                <w:sz w:val="20"/>
                <w:szCs w:val="20"/>
              </w:rPr>
              <w:t>6,939</w:t>
            </w:r>
          </w:p>
        </w:tc>
        <w:tc>
          <w:tcPr>
            <w:tcW w:w="1446" w:type="dxa"/>
            <w:tcBorders>
              <w:top w:val="nil"/>
              <w:left w:val="nil"/>
              <w:bottom w:val="nil"/>
              <w:right w:val="nil"/>
            </w:tcBorders>
            <w:shd w:val="clear" w:color="000000" w:fill="FFFFFF"/>
            <w:noWrap/>
            <w:vAlign w:val="center"/>
            <w:hideMark/>
          </w:tcPr>
          <w:p w:rsidR="007F71FF" w:rsidRPr="00500DD2" w:rsidRDefault="007F71FF" w:rsidP="001A2C87">
            <w:pPr>
              <w:jc w:val="right"/>
              <w:rPr>
                <w:rFonts w:cs="Tahoma"/>
                <w:sz w:val="20"/>
                <w:szCs w:val="20"/>
              </w:rPr>
            </w:pPr>
            <w:r>
              <w:rPr>
                <w:rFonts w:cs="Tahoma"/>
                <w:sz w:val="20"/>
                <w:szCs w:val="20"/>
              </w:rPr>
              <w:t>6,053</w:t>
            </w:r>
          </w:p>
        </w:tc>
        <w:tc>
          <w:tcPr>
            <w:tcW w:w="1447" w:type="dxa"/>
            <w:tcBorders>
              <w:top w:val="nil"/>
              <w:left w:val="nil"/>
              <w:bottom w:val="nil"/>
              <w:right w:val="nil"/>
            </w:tcBorders>
            <w:shd w:val="clear" w:color="000000" w:fill="FFFFFF"/>
            <w:noWrap/>
            <w:vAlign w:val="center"/>
            <w:hideMark/>
          </w:tcPr>
          <w:p w:rsidR="007F71FF" w:rsidRPr="00500DD2" w:rsidRDefault="007F71FF" w:rsidP="00BB1C69">
            <w:pPr>
              <w:jc w:val="right"/>
              <w:rPr>
                <w:rFonts w:cs="Tahoma"/>
                <w:sz w:val="20"/>
                <w:szCs w:val="20"/>
              </w:rPr>
            </w:pPr>
            <w:r>
              <w:rPr>
                <w:rFonts w:cs="Tahoma"/>
                <w:sz w:val="20"/>
                <w:szCs w:val="20"/>
              </w:rPr>
              <w:t>87</w:t>
            </w:r>
          </w:p>
        </w:tc>
        <w:tc>
          <w:tcPr>
            <w:tcW w:w="1446"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183</w:t>
            </w:r>
          </w:p>
        </w:tc>
        <w:tc>
          <w:tcPr>
            <w:tcW w:w="1447"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3</w:t>
            </w:r>
          </w:p>
        </w:tc>
      </w:tr>
      <w:tr w:rsidR="007F71FF" w:rsidRPr="00500DD2" w:rsidTr="001A4CE1">
        <w:trPr>
          <w:trHeight w:val="281"/>
        </w:trPr>
        <w:tc>
          <w:tcPr>
            <w:tcW w:w="1984" w:type="dxa"/>
            <w:tcBorders>
              <w:top w:val="nil"/>
              <w:left w:val="nil"/>
              <w:bottom w:val="nil"/>
              <w:right w:val="nil"/>
            </w:tcBorders>
            <w:shd w:val="clear" w:color="000000" w:fill="FFFFFF"/>
            <w:noWrap/>
            <w:vAlign w:val="bottom"/>
            <w:hideMark/>
          </w:tcPr>
          <w:p w:rsidR="007F71FF" w:rsidRPr="00834999" w:rsidRDefault="007F71FF" w:rsidP="007F71FF">
            <w:pPr>
              <w:jc w:val="left"/>
              <w:rPr>
                <w:rFonts w:cs="Tahoma"/>
                <w:i/>
                <w:sz w:val="20"/>
                <w:szCs w:val="20"/>
              </w:rPr>
            </w:pPr>
            <w:r>
              <w:rPr>
                <w:rFonts w:cs="Tahoma"/>
                <w:i/>
                <w:sz w:val="20"/>
                <w:szCs w:val="20"/>
              </w:rPr>
              <w:t xml:space="preserve">    </w:t>
            </w:r>
            <w:r w:rsidRPr="00834999">
              <w:rPr>
                <w:rFonts w:cs="Tahoma"/>
                <w:i/>
                <w:sz w:val="20"/>
                <w:szCs w:val="20"/>
              </w:rPr>
              <w:t>Academy converter</w:t>
            </w:r>
          </w:p>
        </w:tc>
        <w:tc>
          <w:tcPr>
            <w:tcW w:w="1144" w:type="dxa"/>
            <w:tcBorders>
              <w:top w:val="nil"/>
              <w:left w:val="nil"/>
              <w:bottom w:val="nil"/>
              <w:right w:val="nil"/>
            </w:tcBorders>
            <w:shd w:val="clear" w:color="000000" w:fill="FFFFFF"/>
            <w:noWrap/>
            <w:vAlign w:val="center"/>
            <w:hideMark/>
          </w:tcPr>
          <w:p w:rsidR="007F71FF" w:rsidRPr="00500DD2" w:rsidRDefault="007F71FF" w:rsidP="00D4116D">
            <w:pPr>
              <w:jc w:val="right"/>
              <w:rPr>
                <w:rFonts w:cs="Tahoma"/>
                <w:sz w:val="20"/>
                <w:szCs w:val="20"/>
              </w:rPr>
            </w:pPr>
            <w:r>
              <w:rPr>
                <w:rFonts w:cs="Tahoma"/>
                <w:sz w:val="20"/>
                <w:szCs w:val="20"/>
              </w:rPr>
              <w:t>4,634</w:t>
            </w:r>
          </w:p>
        </w:tc>
        <w:tc>
          <w:tcPr>
            <w:tcW w:w="1446" w:type="dxa"/>
            <w:tcBorders>
              <w:top w:val="nil"/>
              <w:left w:val="nil"/>
              <w:bottom w:val="nil"/>
              <w:right w:val="nil"/>
            </w:tcBorders>
            <w:shd w:val="clear" w:color="000000" w:fill="FFFFFF"/>
            <w:noWrap/>
            <w:vAlign w:val="center"/>
            <w:hideMark/>
          </w:tcPr>
          <w:p w:rsidR="007F71FF" w:rsidRPr="00500DD2" w:rsidRDefault="007F71FF" w:rsidP="001A2C87">
            <w:pPr>
              <w:jc w:val="right"/>
              <w:rPr>
                <w:rFonts w:cs="Tahoma"/>
                <w:sz w:val="20"/>
                <w:szCs w:val="20"/>
              </w:rPr>
            </w:pPr>
            <w:r>
              <w:rPr>
                <w:rFonts w:cs="Tahoma"/>
                <w:sz w:val="20"/>
                <w:szCs w:val="20"/>
              </w:rPr>
              <w:t>4,596</w:t>
            </w:r>
          </w:p>
        </w:tc>
        <w:tc>
          <w:tcPr>
            <w:tcW w:w="1447" w:type="dxa"/>
            <w:tcBorders>
              <w:top w:val="nil"/>
              <w:left w:val="nil"/>
              <w:bottom w:val="nil"/>
              <w:right w:val="nil"/>
            </w:tcBorders>
            <w:shd w:val="clear" w:color="000000" w:fill="FFFFFF"/>
            <w:noWrap/>
            <w:vAlign w:val="center"/>
            <w:hideMark/>
          </w:tcPr>
          <w:p w:rsidR="007F71FF" w:rsidRPr="00500DD2" w:rsidRDefault="007F71FF" w:rsidP="00BB1C69">
            <w:pPr>
              <w:jc w:val="right"/>
              <w:rPr>
                <w:rFonts w:cs="Tahoma"/>
                <w:sz w:val="20"/>
                <w:szCs w:val="20"/>
              </w:rPr>
            </w:pPr>
            <w:r>
              <w:rPr>
                <w:rFonts w:cs="Tahoma"/>
                <w:sz w:val="20"/>
                <w:szCs w:val="20"/>
              </w:rPr>
              <w:t>99</w:t>
            </w:r>
          </w:p>
        </w:tc>
        <w:tc>
          <w:tcPr>
            <w:tcW w:w="1446"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68</w:t>
            </w:r>
          </w:p>
        </w:tc>
        <w:tc>
          <w:tcPr>
            <w:tcW w:w="1447"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1</w:t>
            </w:r>
          </w:p>
        </w:tc>
      </w:tr>
      <w:tr w:rsidR="007F71FF" w:rsidRPr="00500DD2" w:rsidTr="001A4CE1">
        <w:trPr>
          <w:trHeight w:val="281"/>
        </w:trPr>
        <w:tc>
          <w:tcPr>
            <w:tcW w:w="1984" w:type="dxa"/>
            <w:tcBorders>
              <w:top w:val="nil"/>
              <w:left w:val="nil"/>
              <w:bottom w:val="nil"/>
              <w:right w:val="nil"/>
            </w:tcBorders>
            <w:shd w:val="clear" w:color="000000" w:fill="FFFFFF"/>
            <w:noWrap/>
            <w:vAlign w:val="bottom"/>
            <w:hideMark/>
          </w:tcPr>
          <w:p w:rsidR="007F71FF" w:rsidRPr="00834999" w:rsidRDefault="007F71FF" w:rsidP="007F71FF">
            <w:pPr>
              <w:jc w:val="left"/>
              <w:rPr>
                <w:rFonts w:cs="Tahoma"/>
                <w:i/>
                <w:sz w:val="20"/>
                <w:szCs w:val="20"/>
              </w:rPr>
            </w:pPr>
            <w:r>
              <w:rPr>
                <w:rFonts w:cs="Tahoma"/>
                <w:i/>
                <w:sz w:val="20"/>
                <w:szCs w:val="20"/>
              </w:rPr>
              <w:t xml:space="preserve">   </w:t>
            </w:r>
            <w:r w:rsidRPr="00834999">
              <w:rPr>
                <w:rFonts w:cs="Tahoma"/>
                <w:i/>
                <w:sz w:val="20"/>
                <w:szCs w:val="20"/>
              </w:rPr>
              <w:t>Sponsor-led academy</w:t>
            </w:r>
          </w:p>
        </w:tc>
        <w:tc>
          <w:tcPr>
            <w:tcW w:w="1144" w:type="dxa"/>
            <w:tcBorders>
              <w:top w:val="nil"/>
              <w:left w:val="nil"/>
              <w:bottom w:val="nil"/>
              <w:right w:val="nil"/>
            </w:tcBorders>
            <w:shd w:val="clear" w:color="000000" w:fill="FFFFFF"/>
            <w:noWrap/>
            <w:vAlign w:val="center"/>
            <w:hideMark/>
          </w:tcPr>
          <w:p w:rsidR="007F71FF" w:rsidRPr="00500DD2" w:rsidRDefault="007F71FF" w:rsidP="00D4116D">
            <w:pPr>
              <w:jc w:val="right"/>
              <w:rPr>
                <w:rFonts w:cs="Tahoma"/>
                <w:sz w:val="20"/>
                <w:szCs w:val="20"/>
              </w:rPr>
            </w:pPr>
            <w:r>
              <w:rPr>
                <w:rFonts w:cs="Tahoma"/>
                <w:sz w:val="20"/>
                <w:szCs w:val="20"/>
              </w:rPr>
              <w:t>1,977</w:t>
            </w:r>
          </w:p>
        </w:tc>
        <w:tc>
          <w:tcPr>
            <w:tcW w:w="1446" w:type="dxa"/>
            <w:tcBorders>
              <w:top w:val="nil"/>
              <w:left w:val="nil"/>
              <w:bottom w:val="nil"/>
              <w:right w:val="nil"/>
            </w:tcBorders>
            <w:shd w:val="clear" w:color="000000" w:fill="FFFFFF"/>
            <w:noWrap/>
            <w:vAlign w:val="center"/>
            <w:hideMark/>
          </w:tcPr>
          <w:p w:rsidR="007F71FF" w:rsidRPr="00500DD2" w:rsidRDefault="007F71FF" w:rsidP="001A2C87">
            <w:pPr>
              <w:jc w:val="right"/>
              <w:rPr>
                <w:rFonts w:cs="Tahoma"/>
                <w:sz w:val="20"/>
                <w:szCs w:val="20"/>
              </w:rPr>
            </w:pPr>
            <w:r>
              <w:rPr>
                <w:rFonts w:cs="Tahoma"/>
                <w:sz w:val="20"/>
                <w:szCs w:val="20"/>
              </w:rPr>
              <w:t>1,229</w:t>
            </w:r>
          </w:p>
        </w:tc>
        <w:tc>
          <w:tcPr>
            <w:tcW w:w="1447" w:type="dxa"/>
            <w:tcBorders>
              <w:top w:val="nil"/>
              <w:left w:val="nil"/>
              <w:bottom w:val="nil"/>
              <w:right w:val="nil"/>
            </w:tcBorders>
            <w:shd w:val="clear" w:color="000000" w:fill="FFFFFF"/>
            <w:noWrap/>
            <w:vAlign w:val="center"/>
            <w:hideMark/>
          </w:tcPr>
          <w:p w:rsidR="007F71FF" w:rsidRPr="00500DD2" w:rsidRDefault="007F71FF" w:rsidP="00BB1C69">
            <w:pPr>
              <w:jc w:val="right"/>
              <w:rPr>
                <w:rFonts w:cs="Tahoma"/>
                <w:sz w:val="20"/>
                <w:szCs w:val="20"/>
              </w:rPr>
            </w:pPr>
            <w:r>
              <w:rPr>
                <w:rFonts w:cs="Tahoma"/>
                <w:sz w:val="20"/>
                <w:szCs w:val="20"/>
              </w:rPr>
              <w:t>62</w:t>
            </w:r>
          </w:p>
        </w:tc>
        <w:tc>
          <w:tcPr>
            <w:tcW w:w="1446"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106</w:t>
            </w:r>
          </w:p>
        </w:tc>
        <w:tc>
          <w:tcPr>
            <w:tcW w:w="1447" w:type="dxa"/>
            <w:tcBorders>
              <w:top w:val="nil"/>
              <w:left w:val="nil"/>
              <w:bottom w:val="nil"/>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9</w:t>
            </w:r>
          </w:p>
        </w:tc>
      </w:tr>
      <w:tr w:rsidR="007F71FF" w:rsidRPr="00500DD2" w:rsidTr="001A4CE1">
        <w:trPr>
          <w:trHeight w:val="281"/>
        </w:trPr>
        <w:tc>
          <w:tcPr>
            <w:tcW w:w="1984" w:type="dxa"/>
            <w:tcBorders>
              <w:top w:val="nil"/>
              <w:left w:val="nil"/>
              <w:bottom w:val="single" w:sz="4" w:space="0" w:color="auto"/>
              <w:right w:val="nil"/>
            </w:tcBorders>
            <w:shd w:val="clear" w:color="000000" w:fill="FFFFFF"/>
            <w:noWrap/>
            <w:vAlign w:val="bottom"/>
            <w:hideMark/>
          </w:tcPr>
          <w:p w:rsidR="007F71FF" w:rsidRPr="00834999" w:rsidRDefault="007F71FF" w:rsidP="007F71FF">
            <w:pPr>
              <w:jc w:val="left"/>
              <w:rPr>
                <w:rFonts w:cs="Tahoma"/>
                <w:i/>
                <w:sz w:val="20"/>
                <w:szCs w:val="20"/>
              </w:rPr>
            </w:pPr>
            <w:r>
              <w:rPr>
                <w:rFonts w:cs="Tahoma"/>
                <w:i/>
                <w:sz w:val="20"/>
                <w:szCs w:val="20"/>
              </w:rPr>
              <w:t xml:space="preserve">   </w:t>
            </w:r>
            <w:r w:rsidRPr="00834999">
              <w:rPr>
                <w:rFonts w:cs="Tahoma"/>
                <w:i/>
                <w:sz w:val="20"/>
                <w:szCs w:val="20"/>
              </w:rPr>
              <w:t>Free school</w:t>
            </w:r>
          </w:p>
        </w:tc>
        <w:tc>
          <w:tcPr>
            <w:tcW w:w="1144" w:type="dxa"/>
            <w:tcBorders>
              <w:top w:val="nil"/>
              <w:left w:val="nil"/>
              <w:bottom w:val="single" w:sz="4" w:space="0" w:color="auto"/>
              <w:right w:val="nil"/>
            </w:tcBorders>
            <w:shd w:val="clear" w:color="000000" w:fill="FFFFFF"/>
            <w:noWrap/>
            <w:vAlign w:val="center"/>
            <w:hideMark/>
          </w:tcPr>
          <w:p w:rsidR="007F71FF" w:rsidRPr="00500DD2" w:rsidRDefault="007F71FF" w:rsidP="00D4116D">
            <w:pPr>
              <w:jc w:val="right"/>
              <w:rPr>
                <w:rFonts w:cs="Tahoma"/>
                <w:sz w:val="20"/>
                <w:szCs w:val="20"/>
              </w:rPr>
            </w:pPr>
            <w:r>
              <w:rPr>
                <w:rFonts w:cs="Tahoma"/>
                <w:sz w:val="20"/>
                <w:szCs w:val="20"/>
              </w:rPr>
              <w:t>328</w:t>
            </w:r>
          </w:p>
        </w:tc>
        <w:tc>
          <w:tcPr>
            <w:tcW w:w="1446" w:type="dxa"/>
            <w:tcBorders>
              <w:top w:val="nil"/>
              <w:left w:val="nil"/>
              <w:bottom w:val="single" w:sz="4" w:space="0" w:color="auto"/>
              <w:right w:val="nil"/>
            </w:tcBorders>
            <w:shd w:val="clear" w:color="000000" w:fill="FFFFFF"/>
            <w:noWrap/>
            <w:vAlign w:val="center"/>
            <w:hideMark/>
          </w:tcPr>
          <w:p w:rsidR="007F71FF" w:rsidRPr="00500DD2" w:rsidRDefault="007F71FF" w:rsidP="001A2C87">
            <w:pPr>
              <w:jc w:val="right"/>
              <w:rPr>
                <w:rFonts w:cs="Tahoma"/>
                <w:sz w:val="20"/>
                <w:szCs w:val="20"/>
              </w:rPr>
            </w:pPr>
            <w:r>
              <w:rPr>
                <w:rFonts w:cs="Tahoma"/>
                <w:sz w:val="20"/>
                <w:szCs w:val="20"/>
              </w:rPr>
              <w:t>228</w:t>
            </w:r>
          </w:p>
        </w:tc>
        <w:tc>
          <w:tcPr>
            <w:tcW w:w="1447" w:type="dxa"/>
            <w:tcBorders>
              <w:top w:val="nil"/>
              <w:left w:val="nil"/>
              <w:bottom w:val="single" w:sz="4" w:space="0" w:color="auto"/>
              <w:right w:val="nil"/>
            </w:tcBorders>
            <w:shd w:val="clear" w:color="000000" w:fill="FFFFFF"/>
            <w:noWrap/>
            <w:vAlign w:val="center"/>
            <w:hideMark/>
          </w:tcPr>
          <w:p w:rsidR="007F71FF" w:rsidRPr="00500DD2" w:rsidRDefault="007F71FF" w:rsidP="00BB1C69">
            <w:pPr>
              <w:jc w:val="right"/>
              <w:rPr>
                <w:rFonts w:cs="Tahoma"/>
                <w:sz w:val="20"/>
                <w:szCs w:val="20"/>
              </w:rPr>
            </w:pPr>
            <w:r>
              <w:rPr>
                <w:rFonts w:cs="Tahoma"/>
                <w:sz w:val="20"/>
                <w:szCs w:val="20"/>
              </w:rPr>
              <w:t>70</w:t>
            </w:r>
          </w:p>
        </w:tc>
        <w:tc>
          <w:tcPr>
            <w:tcW w:w="1446" w:type="dxa"/>
            <w:tcBorders>
              <w:top w:val="nil"/>
              <w:left w:val="nil"/>
              <w:bottom w:val="single" w:sz="4" w:space="0" w:color="auto"/>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9</w:t>
            </w:r>
          </w:p>
        </w:tc>
        <w:tc>
          <w:tcPr>
            <w:tcW w:w="1447" w:type="dxa"/>
            <w:tcBorders>
              <w:top w:val="nil"/>
              <w:left w:val="nil"/>
              <w:bottom w:val="single" w:sz="4" w:space="0" w:color="auto"/>
              <w:right w:val="nil"/>
            </w:tcBorders>
            <w:shd w:val="clear" w:color="000000" w:fill="FFFFFF"/>
            <w:noWrap/>
            <w:vAlign w:val="center"/>
            <w:hideMark/>
          </w:tcPr>
          <w:p w:rsidR="007F71FF" w:rsidRPr="00500DD2" w:rsidRDefault="007F71FF" w:rsidP="00352385">
            <w:pPr>
              <w:jc w:val="right"/>
              <w:rPr>
                <w:rFonts w:cs="Tahoma"/>
                <w:sz w:val="20"/>
                <w:szCs w:val="20"/>
              </w:rPr>
            </w:pPr>
            <w:r>
              <w:rPr>
                <w:rFonts w:cs="Tahoma"/>
                <w:sz w:val="20"/>
                <w:szCs w:val="20"/>
              </w:rPr>
              <w:t>4</w:t>
            </w:r>
          </w:p>
        </w:tc>
      </w:tr>
    </w:tbl>
    <w:p w:rsidR="00500DD2" w:rsidRPr="00C16219" w:rsidRDefault="00500DD2" w:rsidP="00C16219"/>
    <w:p w:rsidR="008F3E48" w:rsidRDefault="008F3E48">
      <w:pPr>
        <w:jc w:val="left"/>
        <w:rPr>
          <w:b/>
          <w:color w:val="000000"/>
          <w:sz w:val="28"/>
        </w:rPr>
      </w:pPr>
      <w:bookmarkStart w:id="7" w:name="_Toc485298676"/>
      <w:r>
        <w:rPr>
          <w:color w:val="000000"/>
        </w:rPr>
        <w:br w:type="page"/>
      </w:r>
    </w:p>
    <w:p w:rsidR="00416DE7" w:rsidRPr="00C16219" w:rsidRDefault="002E0506" w:rsidP="00C16219">
      <w:pPr>
        <w:pStyle w:val="Heading2"/>
        <w:spacing w:after="120"/>
        <w:jc w:val="left"/>
        <w:rPr>
          <w:color w:val="000000"/>
        </w:rPr>
      </w:pPr>
      <w:r w:rsidRPr="00C16219">
        <w:rPr>
          <w:color w:val="000000"/>
        </w:rPr>
        <w:lastRenderedPageBreak/>
        <w:t>Revisions to previous release</w:t>
      </w:r>
      <w:bookmarkEnd w:id="7"/>
      <w:r w:rsidRPr="00C16219">
        <w:rPr>
          <w:color w:val="000000"/>
        </w:rPr>
        <w:t xml:space="preserve"> </w:t>
      </w:r>
    </w:p>
    <w:p w:rsidR="001F1B92" w:rsidRPr="00492F27" w:rsidRDefault="001F1B92" w:rsidP="00C16219">
      <w:pPr>
        <w:jc w:val="left"/>
        <w:rPr>
          <w:color w:val="000000"/>
        </w:rPr>
      </w:pPr>
      <w:r w:rsidRPr="00C16219">
        <w:rPr>
          <w:color w:val="000000"/>
        </w:rPr>
        <w:t xml:space="preserve">Provisional data indicated that there were </w:t>
      </w:r>
      <w:r w:rsidR="00972DD9" w:rsidRPr="00E65B5B">
        <w:rPr>
          <w:color w:val="000000"/>
        </w:rPr>
        <w:t>1,612</w:t>
      </w:r>
      <w:r w:rsidR="00972DD9" w:rsidRPr="00C16219">
        <w:rPr>
          <w:color w:val="000000"/>
        </w:rPr>
        <w:t xml:space="preserve"> </w:t>
      </w:r>
      <w:r w:rsidRPr="00C16219">
        <w:rPr>
          <w:color w:val="000000"/>
        </w:rPr>
        <w:t xml:space="preserve">section 5 inspections between </w:t>
      </w:r>
      <w:r w:rsidR="00347137" w:rsidRPr="00C16219">
        <w:rPr>
          <w:color w:val="000000"/>
        </w:rPr>
        <w:t xml:space="preserve">1 September </w:t>
      </w:r>
      <w:r w:rsidR="00347137" w:rsidRPr="00492F27">
        <w:rPr>
          <w:color w:val="000000"/>
        </w:rPr>
        <w:t xml:space="preserve">2016 and 31 </w:t>
      </w:r>
      <w:r w:rsidR="00CD5697" w:rsidRPr="00492F27">
        <w:rPr>
          <w:color w:val="000000"/>
        </w:rPr>
        <w:t xml:space="preserve">March </w:t>
      </w:r>
      <w:r w:rsidRPr="00492F27">
        <w:rPr>
          <w:color w:val="000000"/>
        </w:rPr>
        <w:t>201</w:t>
      </w:r>
      <w:r w:rsidR="00CD5697" w:rsidRPr="00492F27">
        <w:rPr>
          <w:color w:val="000000"/>
        </w:rPr>
        <w:t>7</w:t>
      </w:r>
      <w:r w:rsidRPr="00492F27">
        <w:rPr>
          <w:color w:val="000000"/>
        </w:rPr>
        <w:t xml:space="preserve">, as published by </w:t>
      </w:r>
      <w:r w:rsidR="00CD5697" w:rsidRPr="00492F27">
        <w:rPr>
          <w:color w:val="000000"/>
        </w:rPr>
        <w:t xml:space="preserve">30 April </w:t>
      </w:r>
      <w:r w:rsidR="00347137" w:rsidRPr="00492F27">
        <w:rPr>
          <w:color w:val="000000"/>
        </w:rPr>
        <w:t>2017</w:t>
      </w:r>
      <w:r w:rsidRPr="00492F27">
        <w:rPr>
          <w:color w:val="000000"/>
        </w:rPr>
        <w:t xml:space="preserve">. Revised data shows that an additional </w:t>
      </w:r>
      <w:r w:rsidR="007F71FF" w:rsidRPr="00492F27">
        <w:rPr>
          <w:color w:val="000000"/>
        </w:rPr>
        <w:t xml:space="preserve">221 </w:t>
      </w:r>
      <w:r w:rsidRPr="00492F27">
        <w:rPr>
          <w:color w:val="000000"/>
        </w:rPr>
        <w:t>inspections took place where the report was published too late for inclusion in the provisional data</w:t>
      </w:r>
      <w:r w:rsidR="00D93076" w:rsidRPr="00492F27">
        <w:rPr>
          <w:color w:val="000000"/>
        </w:rPr>
        <w:t>, but was published by 30 September 2017</w:t>
      </w:r>
      <w:r w:rsidRPr="00492F27">
        <w:rPr>
          <w:color w:val="000000"/>
        </w:rPr>
        <w:t xml:space="preserve">. </w:t>
      </w:r>
      <w:r w:rsidR="00972DD9" w:rsidRPr="00492F27">
        <w:rPr>
          <w:color w:val="000000"/>
        </w:rPr>
        <w:t xml:space="preserve">Four were </w:t>
      </w:r>
      <w:r w:rsidR="000E55A2">
        <w:rPr>
          <w:color w:val="000000"/>
        </w:rPr>
        <w:t xml:space="preserve">inspections </w:t>
      </w:r>
      <w:r w:rsidR="00972DD9" w:rsidRPr="00492F27">
        <w:rPr>
          <w:color w:val="000000"/>
        </w:rPr>
        <w:t>of nursery schools, 15</w:t>
      </w:r>
      <w:r w:rsidR="00DE0C85" w:rsidRPr="00492F27">
        <w:rPr>
          <w:color w:val="000000"/>
        </w:rPr>
        <w:t>8</w:t>
      </w:r>
      <w:r w:rsidR="003B094A" w:rsidRPr="00492F27">
        <w:rPr>
          <w:color w:val="000000"/>
        </w:rPr>
        <w:t xml:space="preserve"> </w:t>
      </w:r>
      <w:r w:rsidRPr="00492F27">
        <w:rPr>
          <w:color w:val="000000"/>
        </w:rPr>
        <w:t>were primary schools</w:t>
      </w:r>
      <w:r w:rsidR="003908D4" w:rsidRPr="00492F27">
        <w:rPr>
          <w:color w:val="000000"/>
        </w:rPr>
        <w:t xml:space="preserve">, </w:t>
      </w:r>
      <w:r w:rsidR="00972DD9" w:rsidRPr="00492F27">
        <w:rPr>
          <w:color w:val="000000"/>
        </w:rPr>
        <w:t>4</w:t>
      </w:r>
      <w:r w:rsidR="00D05BD9" w:rsidRPr="00492F27">
        <w:rPr>
          <w:color w:val="000000"/>
        </w:rPr>
        <w:t>4</w:t>
      </w:r>
      <w:r w:rsidR="00972DD9" w:rsidRPr="00492F27">
        <w:rPr>
          <w:color w:val="000000"/>
        </w:rPr>
        <w:t xml:space="preserve"> </w:t>
      </w:r>
      <w:r w:rsidR="003908D4" w:rsidRPr="00492F27">
        <w:rPr>
          <w:color w:val="000000"/>
        </w:rPr>
        <w:t xml:space="preserve">were </w:t>
      </w:r>
      <w:r w:rsidRPr="00492F27">
        <w:rPr>
          <w:color w:val="000000"/>
        </w:rPr>
        <w:t>secondary schools</w:t>
      </w:r>
      <w:r w:rsidR="00972DD9" w:rsidRPr="00492F27">
        <w:rPr>
          <w:color w:val="000000"/>
        </w:rPr>
        <w:t xml:space="preserve">, </w:t>
      </w:r>
      <w:r w:rsidR="001A4CE1">
        <w:rPr>
          <w:color w:val="000000"/>
        </w:rPr>
        <w:t>11</w:t>
      </w:r>
      <w:r w:rsidR="001A4CE1" w:rsidRPr="00492F27">
        <w:rPr>
          <w:color w:val="000000"/>
        </w:rPr>
        <w:t xml:space="preserve"> </w:t>
      </w:r>
      <w:r w:rsidR="00972DD9" w:rsidRPr="00492F27">
        <w:rPr>
          <w:color w:val="000000"/>
        </w:rPr>
        <w:t>were special schools and four</w:t>
      </w:r>
      <w:r w:rsidR="003908D4" w:rsidRPr="00492F27">
        <w:rPr>
          <w:color w:val="000000"/>
        </w:rPr>
        <w:t xml:space="preserve"> </w:t>
      </w:r>
      <w:r w:rsidR="00972DD9" w:rsidRPr="00492F27">
        <w:rPr>
          <w:color w:val="000000"/>
        </w:rPr>
        <w:t xml:space="preserve">were </w:t>
      </w:r>
      <w:r w:rsidR="00B63D04" w:rsidRPr="00492F27">
        <w:rPr>
          <w:color w:val="000000"/>
        </w:rPr>
        <w:t>pupil referral units</w:t>
      </w:r>
      <w:r w:rsidRPr="00492F27">
        <w:rPr>
          <w:color w:val="000000"/>
        </w:rPr>
        <w:t xml:space="preserve">. </w:t>
      </w:r>
    </w:p>
    <w:p w:rsidR="001F1B92" w:rsidRPr="00492F27" w:rsidRDefault="001F1B92" w:rsidP="00C16219">
      <w:pPr>
        <w:jc w:val="left"/>
        <w:rPr>
          <w:color w:val="000000"/>
        </w:rPr>
      </w:pPr>
    </w:p>
    <w:p w:rsidR="001F1B92" w:rsidRPr="00C16219" w:rsidRDefault="002F04BA" w:rsidP="00C16219">
      <w:pPr>
        <w:jc w:val="left"/>
        <w:rPr>
          <w:color w:val="000000"/>
        </w:rPr>
      </w:pPr>
      <w:r w:rsidRPr="00492F27">
        <w:rPr>
          <w:color w:val="000000"/>
        </w:rPr>
        <w:t>Fifty-</w:t>
      </w:r>
      <w:r w:rsidR="00492F27" w:rsidRPr="00492F27">
        <w:rPr>
          <w:color w:val="000000"/>
        </w:rPr>
        <w:t>three</w:t>
      </w:r>
      <w:r w:rsidR="003B094A" w:rsidRPr="00492F27">
        <w:rPr>
          <w:color w:val="000000"/>
        </w:rPr>
        <w:t xml:space="preserve"> </w:t>
      </w:r>
      <w:r w:rsidR="003908D4" w:rsidRPr="00492F27">
        <w:rPr>
          <w:color w:val="000000"/>
        </w:rPr>
        <w:t xml:space="preserve">of these </w:t>
      </w:r>
      <w:r w:rsidRPr="00492F27">
        <w:rPr>
          <w:color w:val="000000"/>
        </w:rPr>
        <w:t>2</w:t>
      </w:r>
      <w:r w:rsidR="00D05BD9" w:rsidRPr="00492F27">
        <w:rPr>
          <w:color w:val="000000"/>
        </w:rPr>
        <w:t>21</w:t>
      </w:r>
      <w:r w:rsidRPr="00492F27">
        <w:rPr>
          <w:color w:val="000000"/>
        </w:rPr>
        <w:t xml:space="preserve"> </w:t>
      </w:r>
      <w:r w:rsidR="00C43F74" w:rsidRPr="00492F27">
        <w:rPr>
          <w:color w:val="000000"/>
        </w:rPr>
        <w:t xml:space="preserve">additional </w:t>
      </w:r>
      <w:r w:rsidR="001F1B92" w:rsidRPr="00492F27">
        <w:rPr>
          <w:color w:val="000000"/>
        </w:rPr>
        <w:t>inspections resulted in an inadequate judgement. Inspections leading to an inadequate judgement</w:t>
      </w:r>
      <w:r w:rsidR="001F1B92" w:rsidRPr="00C16219">
        <w:rPr>
          <w:color w:val="000000"/>
        </w:rPr>
        <w:t xml:space="preserve"> undergo additional moderation and are sometimes published later than reports for schools with other overall effectiveness grades. See the methodology and quality report for more details. </w:t>
      </w:r>
    </w:p>
    <w:p w:rsidR="001F1B92" w:rsidRPr="00C16219" w:rsidRDefault="00CE00B3" w:rsidP="001A4CE1">
      <w:pPr>
        <w:tabs>
          <w:tab w:val="left" w:pos="2107"/>
        </w:tabs>
        <w:jc w:val="left"/>
        <w:rPr>
          <w:color w:val="000000"/>
        </w:rPr>
      </w:pPr>
      <w:r>
        <w:rPr>
          <w:color w:val="000000"/>
        </w:rPr>
        <w:tab/>
      </w:r>
    </w:p>
    <w:p w:rsidR="003C1A4E" w:rsidRDefault="003C1A4E" w:rsidP="00C16219">
      <w:pPr>
        <w:jc w:val="left"/>
        <w:rPr>
          <w:color w:val="000000"/>
        </w:rPr>
      </w:pPr>
      <w:r>
        <w:rPr>
          <w:color w:val="000000"/>
        </w:rPr>
        <w:t>In some instances t</w:t>
      </w:r>
      <w:r w:rsidR="001F1B92" w:rsidRPr="00C16219">
        <w:rPr>
          <w:color w:val="000000"/>
        </w:rPr>
        <w:t>he addition of these inspection outcomes</w:t>
      </w:r>
      <w:r w:rsidR="00505542" w:rsidRPr="00C16219">
        <w:rPr>
          <w:color w:val="000000"/>
        </w:rPr>
        <w:t xml:space="preserve"> changes the pattern seen in inspections between 1 September </w:t>
      </w:r>
      <w:r w:rsidR="00EB790A">
        <w:rPr>
          <w:color w:val="000000"/>
        </w:rPr>
        <w:t xml:space="preserve">2016 </w:t>
      </w:r>
      <w:r w:rsidR="00CB729F" w:rsidRPr="00C16219">
        <w:rPr>
          <w:color w:val="000000"/>
        </w:rPr>
        <w:t xml:space="preserve">and 31 </w:t>
      </w:r>
      <w:r w:rsidR="00770C73" w:rsidRPr="00E65B5B">
        <w:rPr>
          <w:color w:val="000000"/>
        </w:rPr>
        <w:t>March</w:t>
      </w:r>
      <w:r w:rsidR="00770C73" w:rsidRPr="00C16219">
        <w:rPr>
          <w:color w:val="000000"/>
        </w:rPr>
        <w:t xml:space="preserve"> </w:t>
      </w:r>
      <w:r w:rsidR="00CB729F" w:rsidRPr="00C16219">
        <w:rPr>
          <w:color w:val="000000"/>
        </w:rPr>
        <w:t>201</w:t>
      </w:r>
      <w:r w:rsidR="00684D6C">
        <w:rPr>
          <w:color w:val="000000"/>
        </w:rPr>
        <w:t>7</w:t>
      </w:r>
      <w:r>
        <w:rPr>
          <w:color w:val="000000"/>
        </w:rPr>
        <w:t>.</w:t>
      </w:r>
    </w:p>
    <w:p w:rsidR="003C1A4E" w:rsidRDefault="003C1A4E" w:rsidP="00C16219">
      <w:pPr>
        <w:jc w:val="left"/>
        <w:rPr>
          <w:color w:val="000000"/>
        </w:rPr>
      </w:pPr>
    </w:p>
    <w:p w:rsidR="00B53BD6" w:rsidRPr="00E65B5B" w:rsidRDefault="003C1A4E" w:rsidP="00C16219">
      <w:pPr>
        <w:jc w:val="left"/>
        <w:rPr>
          <w:color w:val="000000"/>
        </w:rPr>
      </w:pPr>
      <w:r w:rsidRPr="00B97402">
        <w:rPr>
          <w:color w:val="000000"/>
        </w:rPr>
        <w:t xml:space="preserve">The percentage of </w:t>
      </w:r>
      <w:r w:rsidR="00825F15" w:rsidRPr="00B97402">
        <w:rPr>
          <w:color w:val="000000"/>
        </w:rPr>
        <w:t xml:space="preserve">schools judged </w:t>
      </w:r>
      <w:r w:rsidRPr="00B97402">
        <w:rPr>
          <w:color w:val="000000"/>
        </w:rPr>
        <w:t xml:space="preserve">good or outstanding </w:t>
      </w:r>
      <w:r w:rsidR="00825F15" w:rsidRPr="00B97402">
        <w:rPr>
          <w:color w:val="000000"/>
        </w:rPr>
        <w:t>between 1 September 2016 and 31 March</w:t>
      </w:r>
      <w:r w:rsidR="00EB790A" w:rsidRPr="00B97402">
        <w:rPr>
          <w:color w:val="000000"/>
        </w:rPr>
        <w:t xml:space="preserve"> 2017</w:t>
      </w:r>
      <w:r w:rsidR="00825F15" w:rsidRPr="00B97402">
        <w:rPr>
          <w:color w:val="000000"/>
        </w:rPr>
        <w:t xml:space="preserve"> </w:t>
      </w:r>
      <w:r w:rsidR="0025516C" w:rsidRPr="00B97402">
        <w:rPr>
          <w:color w:val="000000"/>
        </w:rPr>
        <w:t>has remained at 49% in both</w:t>
      </w:r>
      <w:r w:rsidR="00825F15" w:rsidRPr="00B97402">
        <w:rPr>
          <w:color w:val="000000"/>
        </w:rPr>
        <w:t xml:space="preserve"> </w:t>
      </w:r>
      <w:r w:rsidR="0025516C" w:rsidRPr="00B97402">
        <w:rPr>
          <w:color w:val="000000"/>
        </w:rPr>
        <w:t xml:space="preserve">the </w:t>
      </w:r>
      <w:r w:rsidR="00825F15" w:rsidRPr="00B97402">
        <w:rPr>
          <w:color w:val="000000"/>
        </w:rPr>
        <w:t xml:space="preserve">provisional data </w:t>
      </w:r>
      <w:r w:rsidR="0025516C" w:rsidRPr="00B97402">
        <w:rPr>
          <w:color w:val="000000"/>
        </w:rPr>
        <w:t>and</w:t>
      </w:r>
      <w:r w:rsidR="00825F15" w:rsidRPr="00B97402">
        <w:rPr>
          <w:color w:val="000000"/>
        </w:rPr>
        <w:t xml:space="preserve"> final data.</w:t>
      </w:r>
    </w:p>
    <w:p w:rsidR="00B53BD6" w:rsidRPr="00C16219" w:rsidRDefault="00B53BD6" w:rsidP="00C16219">
      <w:pPr>
        <w:jc w:val="left"/>
        <w:rPr>
          <w:color w:val="000000"/>
        </w:rPr>
      </w:pPr>
    </w:p>
    <w:p w:rsidR="006E07FE" w:rsidRDefault="006E07FE" w:rsidP="00C16219">
      <w:pPr>
        <w:jc w:val="left"/>
        <w:rPr>
          <w:color w:val="000000"/>
        </w:rPr>
      </w:pPr>
      <w:r>
        <w:rPr>
          <w:color w:val="000000"/>
        </w:rPr>
        <w:t>T</w:t>
      </w:r>
      <w:r w:rsidR="001F1B92" w:rsidRPr="00C16219">
        <w:rPr>
          <w:color w:val="000000"/>
        </w:rPr>
        <w:t xml:space="preserve">he percentage of </w:t>
      </w:r>
      <w:r w:rsidR="00825F15">
        <w:rPr>
          <w:color w:val="000000"/>
        </w:rPr>
        <w:t xml:space="preserve">schools judged </w:t>
      </w:r>
      <w:r w:rsidR="001F1B92" w:rsidRPr="00C16219">
        <w:rPr>
          <w:color w:val="000000"/>
        </w:rPr>
        <w:t xml:space="preserve">inadequate </w:t>
      </w:r>
      <w:r w:rsidR="00825F15">
        <w:rPr>
          <w:color w:val="000000"/>
        </w:rPr>
        <w:t xml:space="preserve">between 1 September </w:t>
      </w:r>
      <w:r w:rsidR="00EB790A">
        <w:rPr>
          <w:color w:val="000000"/>
        </w:rPr>
        <w:t xml:space="preserve">2016 </w:t>
      </w:r>
      <w:r w:rsidR="00825F15">
        <w:rPr>
          <w:color w:val="000000"/>
        </w:rPr>
        <w:t xml:space="preserve">and 31 March </w:t>
      </w:r>
      <w:r w:rsidR="00EB790A">
        <w:rPr>
          <w:color w:val="000000"/>
        </w:rPr>
        <w:t xml:space="preserve">2017 </w:t>
      </w:r>
      <w:r w:rsidR="00825F15">
        <w:rPr>
          <w:color w:val="000000"/>
        </w:rPr>
        <w:t>increased as follows</w:t>
      </w:r>
      <w:r>
        <w:rPr>
          <w:color w:val="000000"/>
        </w:rPr>
        <w:t>:</w:t>
      </w:r>
    </w:p>
    <w:p w:rsidR="00B53BD6" w:rsidRPr="00C16219" w:rsidRDefault="000D6DFD" w:rsidP="00C16219">
      <w:pPr>
        <w:numPr>
          <w:ilvl w:val="0"/>
          <w:numId w:val="19"/>
        </w:numPr>
        <w:jc w:val="left"/>
        <w:rPr>
          <w:color w:val="000000"/>
        </w:rPr>
      </w:pPr>
      <w:r w:rsidRPr="00C16219">
        <w:rPr>
          <w:color w:val="000000"/>
        </w:rPr>
        <w:t xml:space="preserve">from </w:t>
      </w:r>
      <w:r w:rsidR="00B53BD6" w:rsidRPr="00C16219">
        <w:rPr>
          <w:color w:val="000000"/>
        </w:rPr>
        <w:t>13</w:t>
      </w:r>
      <w:r w:rsidRPr="00C16219">
        <w:rPr>
          <w:color w:val="000000"/>
        </w:rPr>
        <w:t>%</w:t>
      </w:r>
      <w:r w:rsidR="00D2590E" w:rsidRPr="00C16219">
        <w:rPr>
          <w:color w:val="000000"/>
        </w:rPr>
        <w:t xml:space="preserve"> to </w:t>
      </w:r>
      <w:r w:rsidR="00B53BD6" w:rsidRPr="00C16219">
        <w:rPr>
          <w:color w:val="000000"/>
        </w:rPr>
        <w:t>14%</w:t>
      </w:r>
      <w:r w:rsidR="006E07FE" w:rsidRPr="00C16219">
        <w:rPr>
          <w:color w:val="000000"/>
        </w:rPr>
        <w:t xml:space="preserve"> overall</w:t>
      </w:r>
    </w:p>
    <w:p w:rsidR="00B53BD6" w:rsidRPr="00E65B5B" w:rsidRDefault="00B53BD6" w:rsidP="00C16219">
      <w:pPr>
        <w:numPr>
          <w:ilvl w:val="0"/>
          <w:numId w:val="17"/>
        </w:numPr>
        <w:jc w:val="left"/>
        <w:rPr>
          <w:color w:val="000000"/>
        </w:rPr>
      </w:pPr>
      <w:r w:rsidRPr="00C16219">
        <w:rPr>
          <w:color w:val="000000"/>
        </w:rPr>
        <w:t>from 10% to 11%</w:t>
      </w:r>
      <w:r w:rsidR="006E07FE">
        <w:rPr>
          <w:color w:val="000000"/>
        </w:rPr>
        <w:t xml:space="preserve"> for </w:t>
      </w:r>
      <w:r w:rsidR="006E07FE" w:rsidRPr="0094208D">
        <w:rPr>
          <w:color w:val="000000"/>
        </w:rPr>
        <w:t>primary schools</w:t>
      </w:r>
    </w:p>
    <w:p w:rsidR="00B53BD6" w:rsidRPr="00B53BD6" w:rsidRDefault="00B53BD6" w:rsidP="00C16219">
      <w:pPr>
        <w:numPr>
          <w:ilvl w:val="0"/>
          <w:numId w:val="17"/>
        </w:numPr>
        <w:jc w:val="left"/>
        <w:rPr>
          <w:color w:val="000000"/>
        </w:rPr>
      </w:pPr>
      <w:r w:rsidRPr="00B53BD6">
        <w:rPr>
          <w:color w:val="000000"/>
        </w:rPr>
        <w:t xml:space="preserve">from </w:t>
      </w:r>
      <w:r>
        <w:rPr>
          <w:color w:val="000000"/>
        </w:rPr>
        <w:t>2</w:t>
      </w:r>
      <w:r w:rsidR="006E07FE">
        <w:rPr>
          <w:color w:val="000000"/>
        </w:rPr>
        <w:t>1</w:t>
      </w:r>
      <w:r w:rsidRPr="00B53BD6">
        <w:rPr>
          <w:color w:val="000000"/>
        </w:rPr>
        <w:t xml:space="preserve">% </w:t>
      </w:r>
      <w:r w:rsidRPr="00C16219">
        <w:rPr>
          <w:color w:val="0D0D0D"/>
        </w:rPr>
        <w:t>to 2</w:t>
      </w:r>
      <w:r w:rsidR="003C1A4E" w:rsidRPr="00C16219">
        <w:rPr>
          <w:color w:val="0D0D0D"/>
        </w:rPr>
        <w:t>2</w:t>
      </w:r>
      <w:r w:rsidRPr="00B53BD6">
        <w:rPr>
          <w:color w:val="000000"/>
        </w:rPr>
        <w:t>%</w:t>
      </w:r>
      <w:r w:rsidR="006E07FE">
        <w:rPr>
          <w:color w:val="000000"/>
        </w:rPr>
        <w:t xml:space="preserve"> for secondary</w:t>
      </w:r>
      <w:r w:rsidR="006E07FE" w:rsidRPr="00B53BD6">
        <w:rPr>
          <w:color w:val="000000"/>
        </w:rPr>
        <w:t xml:space="preserve"> schools</w:t>
      </w:r>
    </w:p>
    <w:p w:rsidR="00B53BD6" w:rsidRPr="00B53BD6" w:rsidRDefault="006E07FE" w:rsidP="00C16219">
      <w:pPr>
        <w:numPr>
          <w:ilvl w:val="0"/>
          <w:numId w:val="17"/>
        </w:numPr>
        <w:jc w:val="left"/>
        <w:rPr>
          <w:color w:val="000000"/>
        </w:rPr>
      </w:pPr>
      <w:r w:rsidRPr="00B53BD6">
        <w:rPr>
          <w:color w:val="000000"/>
        </w:rPr>
        <w:t xml:space="preserve">from </w:t>
      </w:r>
      <w:r w:rsidR="00B53BD6">
        <w:rPr>
          <w:color w:val="000000"/>
        </w:rPr>
        <w:t>6</w:t>
      </w:r>
      <w:r w:rsidR="00B53BD6" w:rsidRPr="00B53BD6">
        <w:rPr>
          <w:color w:val="000000"/>
        </w:rPr>
        <w:t xml:space="preserve">% to </w:t>
      </w:r>
      <w:r w:rsidR="00B53BD6">
        <w:rPr>
          <w:color w:val="000000"/>
        </w:rPr>
        <w:t>14</w:t>
      </w:r>
      <w:r w:rsidR="00B53BD6" w:rsidRPr="00B53BD6">
        <w:rPr>
          <w:color w:val="000000"/>
        </w:rPr>
        <w:t>%</w:t>
      </w:r>
      <w:r>
        <w:rPr>
          <w:color w:val="000000"/>
        </w:rPr>
        <w:t xml:space="preserve"> for pupil referral units</w:t>
      </w:r>
      <w:r w:rsidR="00B53BD6" w:rsidRPr="00B53BD6">
        <w:rPr>
          <w:color w:val="000000"/>
        </w:rPr>
        <w:t>.</w:t>
      </w:r>
    </w:p>
    <w:p w:rsidR="001F1B92" w:rsidRPr="00C16219" w:rsidRDefault="001F1B92" w:rsidP="00C16219">
      <w:pPr>
        <w:jc w:val="left"/>
        <w:rPr>
          <w:color w:val="000000"/>
        </w:rPr>
      </w:pPr>
    </w:p>
    <w:p w:rsidR="008A6861" w:rsidRPr="00C16219" w:rsidRDefault="001F1B92" w:rsidP="00C16219">
      <w:pPr>
        <w:jc w:val="left"/>
        <w:rPr>
          <w:color w:val="000000"/>
        </w:rPr>
      </w:pPr>
      <w:r w:rsidRPr="00C16219">
        <w:rPr>
          <w:color w:val="000000"/>
        </w:rPr>
        <w:t xml:space="preserve">Further details can be found in the revised table 2 of the charts and tables </w:t>
      </w:r>
      <w:r w:rsidR="004255CC" w:rsidRPr="00C16219">
        <w:rPr>
          <w:color w:val="000000"/>
        </w:rPr>
        <w:t>Excel document</w:t>
      </w:r>
      <w:r w:rsidRPr="00C16219">
        <w:rPr>
          <w:color w:val="000000"/>
        </w:rPr>
        <w:t>.</w:t>
      </w:r>
    </w:p>
    <w:p w:rsidR="00597B64" w:rsidRPr="00C16219" w:rsidRDefault="00597B64" w:rsidP="00C16219">
      <w:pPr>
        <w:jc w:val="left"/>
        <w:rPr>
          <w:color w:val="000000"/>
        </w:rPr>
      </w:pPr>
    </w:p>
    <w:p w:rsidR="00597B64" w:rsidRPr="00C16219" w:rsidRDefault="00597B64" w:rsidP="00C16219">
      <w:pPr>
        <w:pStyle w:val="Heading2"/>
        <w:spacing w:after="120"/>
        <w:jc w:val="left"/>
        <w:rPr>
          <w:color w:val="000000"/>
        </w:rPr>
      </w:pPr>
      <w:r w:rsidRPr="00C16219">
        <w:rPr>
          <w:color w:val="000000"/>
        </w:rPr>
        <w:t>Consultation on change</w:t>
      </w:r>
      <w:r w:rsidR="00736B4E" w:rsidRPr="00C16219">
        <w:rPr>
          <w:color w:val="000000"/>
        </w:rPr>
        <w:t>s</w:t>
      </w:r>
      <w:r w:rsidRPr="00C16219">
        <w:rPr>
          <w:color w:val="000000"/>
        </w:rPr>
        <w:t xml:space="preserve"> to </w:t>
      </w:r>
      <w:r w:rsidR="00500DD2">
        <w:rPr>
          <w:color w:val="000000"/>
        </w:rPr>
        <w:t>statistical</w:t>
      </w:r>
      <w:r w:rsidR="005E25B1">
        <w:rPr>
          <w:color w:val="000000"/>
        </w:rPr>
        <w:t xml:space="preserve"> methodology</w:t>
      </w:r>
      <w:r w:rsidR="005E7C69">
        <w:rPr>
          <w:color w:val="000000"/>
        </w:rPr>
        <w:t xml:space="preserve"> </w:t>
      </w:r>
    </w:p>
    <w:p w:rsidR="00711477" w:rsidRDefault="005E25B1" w:rsidP="00C16219">
      <w:pPr>
        <w:jc w:val="left"/>
      </w:pPr>
      <w:r w:rsidRPr="00611F01">
        <w:t xml:space="preserve">Ofsted </w:t>
      </w:r>
      <w:r w:rsidR="00B725E8" w:rsidRPr="00611F01">
        <w:t xml:space="preserve">is </w:t>
      </w:r>
      <w:r w:rsidRPr="00611F01">
        <w:t xml:space="preserve">currently consulting on proposed changes to </w:t>
      </w:r>
      <w:r w:rsidR="00111DEB" w:rsidRPr="00611F01">
        <w:t>the way we</w:t>
      </w:r>
      <w:r w:rsidRPr="00611F01">
        <w:t xml:space="preserve"> compile data on schools’ most r</w:t>
      </w:r>
      <w:r w:rsidR="009A42F2" w:rsidRPr="00611F01">
        <w:t xml:space="preserve">ecent inspections. The </w:t>
      </w:r>
      <w:r w:rsidR="009A42F2" w:rsidRPr="001A4CE1">
        <w:t xml:space="preserve">consultation closes on </w:t>
      </w:r>
      <w:r w:rsidR="00A45A95" w:rsidRPr="00A45A95">
        <w:t>19</w:t>
      </w:r>
      <w:r w:rsidR="009A42F2" w:rsidRPr="00EE5118">
        <w:t xml:space="preserve"> </w:t>
      </w:r>
      <w:r w:rsidR="00684D6C" w:rsidRPr="00EE5118">
        <w:t>January 2018</w:t>
      </w:r>
      <w:r w:rsidR="009A42F2" w:rsidRPr="001A4CE1">
        <w:t xml:space="preserve"> and users are encouraged to read and respond to the consultation which can be found here</w:t>
      </w:r>
      <w:r w:rsidR="00414F2B" w:rsidRPr="001A4CE1">
        <w:t>:</w:t>
      </w:r>
      <w:r w:rsidR="00711477">
        <w:t xml:space="preserve"> </w:t>
      </w:r>
      <w:hyperlink r:id="rId20" w:tooltip="Changes to Ofsted's statistical reporting of inspection outcomes for maintained schools and academies" w:history="1">
        <w:r w:rsidR="00711477" w:rsidRPr="00711477">
          <w:rPr>
            <w:rStyle w:val="Hyperlink"/>
          </w:rPr>
          <w:t>http://www.gov.uk/government/consultations/changes-to-ofsteds-statistical-reporting-of-inspection-outcomes-for-maintained-schools-and-academies</w:t>
        </w:r>
      </w:hyperlink>
      <w:r w:rsidR="00711477" w:rsidRPr="00711477">
        <w:rPr>
          <w:rStyle w:val="Hyperlink"/>
        </w:rPr>
        <w:t>.</w:t>
      </w:r>
    </w:p>
    <w:p w:rsidR="00287A53" w:rsidRDefault="00287A53" w:rsidP="00C16219">
      <w:pPr>
        <w:jc w:val="left"/>
        <w:rPr>
          <w:rFonts w:cs="Tahoma"/>
        </w:rPr>
      </w:pPr>
    </w:p>
    <w:p w:rsidR="00287A53" w:rsidRPr="00EE5118" w:rsidRDefault="00287A53" w:rsidP="00B97402">
      <w:pPr>
        <w:pStyle w:val="Heading2"/>
        <w:spacing w:after="120"/>
        <w:jc w:val="left"/>
        <w:rPr>
          <w:color w:val="000000"/>
        </w:rPr>
      </w:pPr>
      <w:bookmarkStart w:id="8" w:name="_Toc498518686"/>
      <w:r w:rsidRPr="00EE5118">
        <w:rPr>
          <w:color w:val="000000"/>
        </w:rPr>
        <w:t>Ofsted’s Annual Report</w:t>
      </w:r>
      <w:bookmarkEnd w:id="8"/>
    </w:p>
    <w:p w:rsidR="00EB74F5" w:rsidRDefault="00287A53" w:rsidP="00EE5118">
      <w:pPr>
        <w:pStyle w:val="NoSpacing"/>
        <w:jc w:val="left"/>
        <w:rPr>
          <w:color w:val="FF0000"/>
          <w:sz w:val="22"/>
          <w:szCs w:val="22"/>
        </w:rPr>
      </w:pPr>
      <w:r w:rsidRPr="00445CF8">
        <w:t>Findings from our forthcoming Annual Report will be published on 13 December 2017.</w:t>
      </w:r>
    </w:p>
    <w:p w:rsidR="009E6F79" w:rsidRPr="00C16219" w:rsidRDefault="00730187" w:rsidP="00C16219">
      <w:pPr>
        <w:pStyle w:val="Heading2"/>
        <w:spacing w:after="120"/>
        <w:jc w:val="left"/>
        <w:rPr>
          <w:color w:val="000000"/>
        </w:rPr>
      </w:pPr>
      <w:bookmarkStart w:id="9" w:name="_Methodology"/>
      <w:bookmarkStart w:id="10" w:name="_Toc485298677"/>
      <w:bookmarkEnd w:id="9"/>
      <w:r w:rsidRPr="00C16219">
        <w:rPr>
          <w:color w:val="000000"/>
        </w:rPr>
        <w:lastRenderedPageBreak/>
        <w:t>Notes</w:t>
      </w:r>
      <w:bookmarkEnd w:id="10"/>
    </w:p>
    <w:p w:rsidR="008C0704" w:rsidRPr="00C16219" w:rsidRDefault="008C0704" w:rsidP="00C16219">
      <w:pPr>
        <w:jc w:val="left"/>
        <w:rPr>
          <w:color w:val="000000"/>
        </w:rPr>
      </w:pPr>
      <w:bookmarkStart w:id="11" w:name="_Toc410906453"/>
      <w:bookmarkStart w:id="12" w:name="_Toc413415068"/>
      <w:r w:rsidRPr="00C16219">
        <w:rPr>
          <w:color w:val="000000"/>
        </w:rPr>
        <w:t xml:space="preserve">Data in this release is from inspections undertaken between 1 September 2016 and 31 </w:t>
      </w:r>
      <w:r w:rsidR="00CD5697" w:rsidRPr="00C16219">
        <w:rPr>
          <w:color w:val="000000"/>
        </w:rPr>
        <w:t xml:space="preserve">August </w:t>
      </w:r>
      <w:r w:rsidR="0042327A" w:rsidRPr="00C16219">
        <w:rPr>
          <w:color w:val="000000"/>
        </w:rPr>
        <w:t>2017</w:t>
      </w:r>
      <w:r w:rsidRPr="00C16219">
        <w:rPr>
          <w:color w:val="000000"/>
        </w:rPr>
        <w:t xml:space="preserve"> and most recent inspection</w:t>
      </w:r>
      <w:r w:rsidR="0042327A" w:rsidRPr="00C16219">
        <w:rPr>
          <w:color w:val="000000"/>
        </w:rPr>
        <w:t xml:space="preserve">s of open schools at 31 </w:t>
      </w:r>
      <w:r w:rsidR="00CD5697" w:rsidRPr="00C16219">
        <w:rPr>
          <w:color w:val="000000"/>
        </w:rPr>
        <w:t xml:space="preserve">August </w:t>
      </w:r>
      <w:r w:rsidR="0042327A" w:rsidRPr="00C16219">
        <w:rPr>
          <w:color w:val="000000"/>
        </w:rPr>
        <w:t>2017</w:t>
      </w:r>
      <w:r w:rsidRPr="00C16219">
        <w:rPr>
          <w:color w:val="000000"/>
        </w:rPr>
        <w:t>, where the inspection rep</w:t>
      </w:r>
      <w:r w:rsidR="0042327A" w:rsidRPr="00C16219">
        <w:rPr>
          <w:color w:val="000000"/>
        </w:rPr>
        <w:t xml:space="preserve">ort was published by 30 </w:t>
      </w:r>
      <w:r w:rsidR="00CD5697" w:rsidRPr="00C16219">
        <w:rPr>
          <w:color w:val="000000"/>
        </w:rPr>
        <w:t xml:space="preserve">September </w:t>
      </w:r>
      <w:r w:rsidRPr="00C16219">
        <w:rPr>
          <w:color w:val="000000"/>
        </w:rPr>
        <w:t xml:space="preserve">2017. If an inspection report </w:t>
      </w:r>
      <w:r w:rsidR="0042327A" w:rsidRPr="00C16219">
        <w:rPr>
          <w:color w:val="000000"/>
        </w:rPr>
        <w:t xml:space="preserve">is not published by </w:t>
      </w:r>
      <w:r w:rsidR="00684D6C">
        <w:rPr>
          <w:color w:val="000000"/>
        </w:rPr>
        <w:t xml:space="preserve">30 </w:t>
      </w:r>
      <w:r w:rsidR="00CD5697" w:rsidRPr="00C16219">
        <w:rPr>
          <w:color w:val="000000"/>
        </w:rPr>
        <w:t>September</w:t>
      </w:r>
      <w:r w:rsidRPr="00C16219">
        <w:rPr>
          <w:color w:val="000000"/>
        </w:rPr>
        <w:t xml:space="preserve"> 2017 then the previous inspection, where available, will be reported as a school’s most recent inspection. </w:t>
      </w:r>
    </w:p>
    <w:p w:rsidR="008C0704" w:rsidRPr="00C16219" w:rsidRDefault="008C0704" w:rsidP="00C16219">
      <w:pPr>
        <w:jc w:val="left"/>
        <w:rPr>
          <w:color w:val="000000"/>
        </w:rPr>
      </w:pPr>
    </w:p>
    <w:p w:rsidR="008C0704" w:rsidRPr="00C16219" w:rsidRDefault="008C0704" w:rsidP="00C16219">
      <w:pPr>
        <w:jc w:val="left"/>
        <w:rPr>
          <w:color w:val="000000"/>
        </w:rPr>
      </w:pPr>
      <w:r w:rsidRPr="00C16219">
        <w:rPr>
          <w:color w:val="000000"/>
        </w:rPr>
        <w:t xml:space="preserve">Inspections are conducted under sections 5 and 8 of the Education Act 2005. Under exceptional circumstances Ofsted may withhold publication of an inspection report. </w:t>
      </w:r>
    </w:p>
    <w:p w:rsidR="008C0704" w:rsidRPr="00C16219" w:rsidRDefault="008C0704" w:rsidP="00C16219">
      <w:pPr>
        <w:jc w:val="left"/>
        <w:rPr>
          <w:color w:val="000000"/>
        </w:rPr>
      </w:pPr>
    </w:p>
    <w:p w:rsidR="008C0704" w:rsidRPr="00C16219" w:rsidRDefault="008C0704" w:rsidP="00C16219">
      <w:pPr>
        <w:jc w:val="left"/>
        <w:rPr>
          <w:color w:val="000000"/>
        </w:rPr>
      </w:pPr>
      <w:r w:rsidRPr="00C16219">
        <w:rPr>
          <w:color w:val="000000"/>
        </w:rPr>
        <w:t>An explanation of the key uses of this data and further contextual information and the arrangements for quality assurance is provided</w:t>
      </w:r>
      <w:r w:rsidR="00E07FDA" w:rsidRPr="00C16219">
        <w:rPr>
          <w:color w:val="000000"/>
        </w:rPr>
        <w:t xml:space="preserve"> in the accompanying</w:t>
      </w:r>
      <w:r w:rsidRPr="00C16219">
        <w:rPr>
          <w:color w:val="000000"/>
        </w:rPr>
        <w:t xml:space="preserve"> </w:t>
      </w:r>
      <w:r w:rsidR="00500DD2" w:rsidRPr="00C16219">
        <w:rPr>
          <w:color w:val="000000"/>
        </w:rPr>
        <w:t>methodology and</w:t>
      </w:r>
      <w:r w:rsidR="00E07FDA" w:rsidRPr="00C16219">
        <w:rPr>
          <w:color w:val="000000"/>
        </w:rPr>
        <w:t xml:space="preserve"> quality </w:t>
      </w:r>
      <w:r w:rsidRPr="00C16219">
        <w:rPr>
          <w:color w:val="000000"/>
        </w:rPr>
        <w:t xml:space="preserve">report. </w:t>
      </w:r>
    </w:p>
    <w:p w:rsidR="00F64E2D" w:rsidRPr="00C16219" w:rsidRDefault="00F64E2D" w:rsidP="00C16219">
      <w:pPr>
        <w:jc w:val="left"/>
        <w:rPr>
          <w:color w:val="000000"/>
        </w:rPr>
      </w:pPr>
    </w:p>
    <w:p w:rsidR="00486D98" w:rsidRPr="00F76208" w:rsidRDefault="00E07FDA" w:rsidP="00C16219">
      <w:pPr>
        <w:jc w:val="left"/>
        <w:rPr>
          <w:color w:val="FF0000"/>
        </w:rPr>
      </w:pPr>
      <w:r w:rsidRPr="00C16219">
        <w:rPr>
          <w:color w:val="000000"/>
        </w:rPr>
        <w:t xml:space="preserve">The </w:t>
      </w:r>
      <w:r w:rsidR="008C0704" w:rsidRPr="00C16219">
        <w:rPr>
          <w:color w:val="000000"/>
        </w:rPr>
        <w:t>methodology</w:t>
      </w:r>
      <w:r w:rsidRPr="00C16219">
        <w:rPr>
          <w:color w:val="000000"/>
        </w:rPr>
        <w:t xml:space="preserve"> and quality</w:t>
      </w:r>
      <w:r w:rsidR="008C0704" w:rsidRPr="00C16219">
        <w:rPr>
          <w:color w:val="000000"/>
        </w:rPr>
        <w:t xml:space="preserve"> report can be found at the following webpage: </w:t>
      </w:r>
      <w:r w:rsidR="004F4B83">
        <w:rPr>
          <w:color w:val="000000"/>
        </w:rPr>
        <w:t>`</w:t>
      </w:r>
      <w:hyperlink r:id="rId21" w:tooltip="Maintained schools and academies inspections and outcomes: official statistics" w:history="1">
        <w:r w:rsidR="00B97402" w:rsidRPr="00B97402">
          <w:rPr>
            <w:rStyle w:val="Hyperlink"/>
          </w:rPr>
          <w:t>Maintained schools and academies inspections and outcomes: official statistics</w:t>
        </w:r>
      </w:hyperlink>
      <w:r w:rsidR="00B97402">
        <w:rPr>
          <w:color w:val="000000"/>
        </w:rPr>
        <w:t xml:space="preserve"> </w:t>
      </w:r>
      <w:r w:rsidR="008C0704" w:rsidRPr="00C16219">
        <w:rPr>
          <w:color w:val="000000"/>
        </w:rPr>
        <w:t>under the heading ‘inspections and outcomes’. This report also provides information about strengths and limitations of the statistics.</w:t>
      </w:r>
      <w:r w:rsidR="00D40215">
        <w:rPr>
          <w:color w:val="000000"/>
        </w:rPr>
        <w:t xml:space="preserve"> </w:t>
      </w:r>
    </w:p>
    <w:p w:rsidR="008C0704" w:rsidRPr="00F76208" w:rsidRDefault="008C0704" w:rsidP="00C16219">
      <w:pPr>
        <w:jc w:val="left"/>
        <w:rPr>
          <w:color w:val="FF0000"/>
        </w:rPr>
      </w:pPr>
    </w:p>
    <w:p w:rsidR="00676FBD" w:rsidRPr="00C16219" w:rsidRDefault="00223F0C" w:rsidP="00C16219">
      <w:pPr>
        <w:pStyle w:val="Heading2"/>
        <w:spacing w:after="120"/>
        <w:jc w:val="left"/>
        <w:rPr>
          <w:color w:val="000000"/>
        </w:rPr>
      </w:pPr>
      <w:bookmarkStart w:id="13" w:name="_Toc485298678"/>
      <w:r w:rsidRPr="00C16219">
        <w:rPr>
          <w:color w:val="000000"/>
        </w:rPr>
        <w:t>Glossary</w:t>
      </w:r>
      <w:bookmarkEnd w:id="11"/>
      <w:bookmarkEnd w:id="12"/>
      <w:bookmarkEnd w:id="13"/>
      <w:r w:rsidR="00676FBD" w:rsidRPr="00C16219">
        <w:rPr>
          <w:color w:val="000000"/>
        </w:rPr>
        <w:t xml:space="preserve"> </w:t>
      </w:r>
    </w:p>
    <w:p w:rsidR="00991294" w:rsidRPr="001A4CE1" w:rsidRDefault="00991294" w:rsidP="001A4CE1">
      <w:pPr>
        <w:pStyle w:val="Default"/>
        <w:tabs>
          <w:tab w:val="left" w:pos="2547"/>
        </w:tabs>
        <w:rPr>
          <w:b/>
          <w:szCs w:val="23"/>
        </w:rPr>
      </w:pPr>
      <w:r w:rsidRPr="001A4CE1">
        <w:rPr>
          <w:b/>
          <w:szCs w:val="23"/>
        </w:rPr>
        <w:t xml:space="preserve">Academies </w:t>
      </w:r>
      <w:r w:rsidR="00CE00B3">
        <w:rPr>
          <w:b/>
          <w:szCs w:val="23"/>
        </w:rPr>
        <w:tab/>
      </w:r>
    </w:p>
    <w:p w:rsidR="00991294" w:rsidRPr="00C16219" w:rsidRDefault="00991294" w:rsidP="00C16219">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rsidR="00991294" w:rsidRPr="00C16219" w:rsidRDefault="00991294" w:rsidP="00C16219">
      <w:pPr>
        <w:pStyle w:val="Default"/>
        <w:rPr>
          <w:szCs w:val="23"/>
        </w:rPr>
      </w:pPr>
    </w:p>
    <w:p w:rsidR="00991294" w:rsidRPr="00C16219" w:rsidRDefault="00991294" w:rsidP="00C16219">
      <w:pPr>
        <w:pStyle w:val="Default"/>
        <w:rPr>
          <w:szCs w:val="23"/>
        </w:rPr>
      </w:pPr>
      <w:r w:rsidRPr="00C16219">
        <w:rPr>
          <w:szCs w:val="23"/>
        </w:rPr>
        <w:t xml:space="preserve">Academies get money direct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rsidR="00991294" w:rsidRPr="00C16219" w:rsidRDefault="00991294" w:rsidP="00C16219">
      <w:pPr>
        <w:pStyle w:val="Default"/>
        <w:rPr>
          <w:szCs w:val="23"/>
        </w:rPr>
      </w:pPr>
    </w:p>
    <w:p w:rsidR="00991294" w:rsidRPr="00C16219" w:rsidRDefault="00991294" w:rsidP="00C16219">
      <w:pPr>
        <w:pStyle w:val="Default"/>
        <w:rPr>
          <w:szCs w:val="23"/>
        </w:rPr>
      </w:pPr>
      <w:r w:rsidRPr="00C16219">
        <w:rPr>
          <w:szCs w:val="23"/>
        </w:rPr>
        <w:t xml:space="preserve">Academies include converter and sponsor-led academies, free schools, university technical colleges and studio schools. </w:t>
      </w:r>
    </w:p>
    <w:p w:rsidR="00991294" w:rsidRPr="00C16219" w:rsidRDefault="00991294" w:rsidP="00C16219">
      <w:pPr>
        <w:pStyle w:val="Default"/>
        <w:rPr>
          <w:szCs w:val="23"/>
        </w:rPr>
      </w:pPr>
    </w:p>
    <w:p w:rsidR="00991294" w:rsidRPr="007463A0" w:rsidRDefault="00991294" w:rsidP="00C16219">
      <w:pPr>
        <w:pStyle w:val="Default"/>
        <w:rPr>
          <w:b/>
          <w:szCs w:val="23"/>
        </w:rPr>
      </w:pPr>
      <w:r w:rsidRPr="007463A0">
        <w:rPr>
          <w:b/>
          <w:szCs w:val="23"/>
        </w:rPr>
        <w:t xml:space="preserve">Academy converters </w:t>
      </w:r>
    </w:p>
    <w:p w:rsidR="00991294" w:rsidRPr="00C16219" w:rsidRDefault="00991294" w:rsidP="00C16219">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rsidR="00991294" w:rsidRPr="00C16219" w:rsidRDefault="00991294" w:rsidP="00C16219">
      <w:pPr>
        <w:pStyle w:val="Default"/>
        <w:rPr>
          <w:szCs w:val="23"/>
        </w:rPr>
      </w:pPr>
    </w:p>
    <w:p w:rsidR="00991294" w:rsidRPr="00C16219" w:rsidRDefault="00991294" w:rsidP="00C16219">
      <w:pPr>
        <w:pStyle w:val="Default"/>
        <w:rPr>
          <w:szCs w:val="23"/>
        </w:rPr>
      </w:pPr>
      <w:r w:rsidRPr="00C16219">
        <w:rPr>
          <w:szCs w:val="23"/>
        </w:rPr>
        <w:t xml:space="preserve">Academy converters retain their latest inspection grade, even if the most recent inspection was of the predecessor school. </w:t>
      </w:r>
    </w:p>
    <w:p w:rsidR="00991294" w:rsidRPr="007463A0" w:rsidRDefault="00991294" w:rsidP="00C16219">
      <w:pPr>
        <w:pStyle w:val="Default"/>
        <w:rPr>
          <w:b/>
          <w:szCs w:val="23"/>
        </w:rPr>
      </w:pPr>
      <w:r w:rsidRPr="007463A0">
        <w:rPr>
          <w:b/>
          <w:szCs w:val="23"/>
        </w:rPr>
        <w:lastRenderedPageBreak/>
        <w:t xml:space="preserve">Sponsor-led academies </w:t>
      </w:r>
    </w:p>
    <w:p w:rsidR="00991294" w:rsidRPr="00C16219" w:rsidRDefault="00991294" w:rsidP="00C16219">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rsidR="00991294" w:rsidRPr="00C16219" w:rsidRDefault="00991294" w:rsidP="00C16219">
      <w:pPr>
        <w:pStyle w:val="Default"/>
        <w:rPr>
          <w:szCs w:val="23"/>
        </w:rPr>
      </w:pPr>
    </w:p>
    <w:p w:rsidR="00991294" w:rsidRPr="00C16219" w:rsidRDefault="00991294" w:rsidP="00C16219">
      <w:pPr>
        <w:pStyle w:val="Default"/>
        <w:rPr>
          <w:szCs w:val="23"/>
        </w:rPr>
      </w:pPr>
      <w:r w:rsidRPr="00C16219">
        <w:rPr>
          <w:szCs w:val="23"/>
        </w:rPr>
        <w:t xml:space="preserve">Sponsor-led academies are viewed as new legal entities and do not retain their inspection history. </w:t>
      </w:r>
    </w:p>
    <w:p w:rsidR="001A035E" w:rsidRPr="00C16219" w:rsidRDefault="001A035E" w:rsidP="00C16219">
      <w:pPr>
        <w:pStyle w:val="Default"/>
        <w:rPr>
          <w:szCs w:val="23"/>
        </w:rPr>
      </w:pPr>
    </w:p>
    <w:p w:rsidR="00991294" w:rsidRPr="007463A0" w:rsidRDefault="00991294" w:rsidP="00C16219">
      <w:pPr>
        <w:pStyle w:val="Default"/>
        <w:rPr>
          <w:b/>
          <w:szCs w:val="23"/>
        </w:rPr>
      </w:pPr>
      <w:r w:rsidRPr="007463A0">
        <w:rPr>
          <w:b/>
          <w:szCs w:val="23"/>
        </w:rPr>
        <w:t xml:space="preserve">Free schools </w:t>
      </w:r>
    </w:p>
    <w:p w:rsidR="00991294" w:rsidRPr="00C16219" w:rsidRDefault="00991294" w:rsidP="00C16219">
      <w:pPr>
        <w:pStyle w:val="Default"/>
        <w:rPr>
          <w:szCs w:val="23"/>
        </w:rPr>
      </w:pPr>
      <w:r w:rsidRPr="00C16219">
        <w:rPr>
          <w:szCs w:val="23"/>
        </w:rPr>
        <w:t xml:space="preserve">Free schools are funded by the government but are not run by the local authority. They are set-up on a not-for-profit basis by charities, universities, and community and faith groups, among others. </w:t>
      </w:r>
    </w:p>
    <w:p w:rsidR="00991294" w:rsidRPr="00C16219" w:rsidRDefault="00991294" w:rsidP="00C16219">
      <w:pPr>
        <w:pStyle w:val="Default"/>
        <w:rPr>
          <w:szCs w:val="23"/>
        </w:rPr>
      </w:pPr>
    </w:p>
    <w:p w:rsidR="00991294" w:rsidRPr="00C16219" w:rsidRDefault="00991294" w:rsidP="00C16219">
      <w:pPr>
        <w:pStyle w:val="Default"/>
        <w:rPr>
          <w:szCs w:val="23"/>
        </w:rPr>
      </w:pPr>
      <w:r w:rsidRPr="00C16219">
        <w:rPr>
          <w:szCs w:val="23"/>
        </w:rPr>
        <w:t xml:space="preserve">Free schools are ‘all-ability’ schools, so cannot use academic selection processes like a grammar school. They can set their own pay and conditions for staff and change the length of school terms and the school day. Free schools do not have to follow the national curriculum. </w:t>
      </w:r>
    </w:p>
    <w:p w:rsidR="00991294" w:rsidRPr="00C16219" w:rsidRDefault="00991294" w:rsidP="00C16219">
      <w:pPr>
        <w:pStyle w:val="Default"/>
        <w:rPr>
          <w:szCs w:val="23"/>
        </w:rPr>
      </w:pPr>
    </w:p>
    <w:p w:rsidR="00991294" w:rsidRPr="007463A0" w:rsidRDefault="00991294" w:rsidP="00C16219">
      <w:pPr>
        <w:pStyle w:val="Default"/>
        <w:rPr>
          <w:b/>
          <w:szCs w:val="23"/>
        </w:rPr>
      </w:pPr>
      <w:r w:rsidRPr="007463A0">
        <w:rPr>
          <w:b/>
          <w:szCs w:val="23"/>
        </w:rPr>
        <w:t xml:space="preserve">Local authority maintained schools </w:t>
      </w:r>
    </w:p>
    <w:p w:rsidR="00991294" w:rsidRPr="00C16219" w:rsidRDefault="00991294" w:rsidP="00C16219">
      <w:pPr>
        <w:pStyle w:val="Default"/>
        <w:rPr>
          <w:szCs w:val="23"/>
        </w:rPr>
      </w:pPr>
      <w:r w:rsidRPr="00C16219">
        <w:rPr>
          <w:szCs w:val="23"/>
        </w:rPr>
        <w:t xml:space="preserve">Maintained schools are funded by the government and run by the local authority. They must follow the national curriculum. </w:t>
      </w:r>
    </w:p>
    <w:p w:rsidR="0014405C" w:rsidRPr="00C16219" w:rsidRDefault="0014405C" w:rsidP="00C16219">
      <w:pPr>
        <w:pStyle w:val="Default"/>
        <w:rPr>
          <w:szCs w:val="23"/>
        </w:rPr>
      </w:pPr>
    </w:p>
    <w:p w:rsidR="00991294" w:rsidRPr="00B97402" w:rsidRDefault="00991294" w:rsidP="00C16219">
      <w:pPr>
        <w:pStyle w:val="Default"/>
        <w:rPr>
          <w:b/>
          <w:szCs w:val="23"/>
        </w:rPr>
      </w:pPr>
      <w:r w:rsidRPr="00B97402">
        <w:rPr>
          <w:b/>
          <w:szCs w:val="23"/>
        </w:rPr>
        <w:t xml:space="preserve">Short inspections </w:t>
      </w:r>
    </w:p>
    <w:p w:rsidR="00724D6B" w:rsidRPr="00C16219" w:rsidRDefault="00991294" w:rsidP="00C16219">
      <w:pPr>
        <w:autoSpaceDE w:val="0"/>
        <w:autoSpaceDN w:val="0"/>
        <w:adjustRightInd w:val="0"/>
        <w:jc w:val="left"/>
        <w:rPr>
          <w:rFonts w:cs="Tahoma"/>
          <w:color w:val="000000"/>
          <w:sz w:val="28"/>
        </w:rPr>
      </w:pPr>
      <w:r w:rsidRPr="00C16219">
        <w:rPr>
          <w:color w:val="000000"/>
          <w:szCs w:val="23"/>
        </w:rPr>
        <w:t xml:space="preserve">All good schools now receive short inspections, as do outstanding nursery, pupil referral units and special schools. Short inspections </w:t>
      </w:r>
      <w:r w:rsidR="004E5277">
        <w:rPr>
          <w:color w:val="000000"/>
          <w:szCs w:val="23"/>
        </w:rPr>
        <w:t>are</w:t>
      </w:r>
      <w:r w:rsidRPr="00C16219">
        <w:rPr>
          <w:color w:val="000000"/>
          <w:szCs w:val="23"/>
        </w:rPr>
        <w:t xml:space="preserve"> </w:t>
      </w:r>
      <w:r w:rsidR="00D8132B">
        <w:rPr>
          <w:color w:val="000000"/>
          <w:szCs w:val="23"/>
        </w:rPr>
        <w:t xml:space="preserve">a </w:t>
      </w:r>
      <w:r w:rsidRPr="00C16219">
        <w:rPr>
          <w:color w:val="000000"/>
          <w:szCs w:val="23"/>
        </w:rPr>
        <w:t xml:space="preserve">one day </w:t>
      </w:r>
      <w:r w:rsidR="00D8132B">
        <w:rPr>
          <w:color w:val="000000"/>
          <w:szCs w:val="23"/>
        </w:rPr>
        <w:t xml:space="preserve">inspection visit </w:t>
      </w:r>
      <w:r w:rsidR="00D8132B" w:rsidRPr="00C16219">
        <w:rPr>
          <w:color w:val="000000"/>
          <w:szCs w:val="23"/>
        </w:rPr>
        <w:t xml:space="preserve"> </w:t>
      </w:r>
      <w:r w:rsidRPr="00C16219">
        <w:rPr>
          <w:color w:val="000000"/>
          <w:szCs w:val="23"/>
        </w:rPr>
        <w:t>and take place approximately every three years. A short inspection determines whether the school continues to provide the same good or outstanding standard of education for pupils. A short inspection does not result in individual graded judgements nor does it change the overall effectiveness grade of the school. If the inspection is converted to a full inspection then inspectors will make the full set of graded judgements required under section 5.</w:t>
      </w:r>
    </w:p>
    <w:p w:rsidR="002E4EEE" w:rsidRPr="00C16219" w:rsidRDefault="002E4EEE" w:rsidP="00C16219">
      <w:pPr>
        <w:jc w:val="left"/>
        <w:rPr>
          <w:rFonts w:cs="Tahoma"/>
          <w:color w:val="000000"/>
        </w:rPr>
      </w:pPr>
    </w:p>
    <w:p w:rsidR="00CE00B3" w:rsidRPr="00C16219" w:rsidRDefault="00CE00B3" w:rsidP="00C16219">
      <w:pPr>
        <w:jc w:val="left"/>
        <w:rPr>
          <w:rFonts w:cs="Tahoma"/>
          <w:color w:val="000000"/>
        </w:rPr>
      </w:pPr>
    </w:p>
    <w:p w:rsidR="00991294" w:rsidRPr="009C51AE" w:rsidRDefault="00991294" w:rsidP="00C16219">
      <w:pPr>
        <w:jc w:val="left"/>
        <w:rPr>
          <w:rFonts w:cs="Tahoma"/>
          <w:color w:val="000000"/>
        </w:rPr>
      </w:pPr>
      <w:r w:rsidRPr="00711477">
        <w:rPr>
          <w:color w:val="000000"/>
        </w:rPr>
        <w:t xml:space="preserve">If you have any comments or feedback on this publication, please contact Louise Butler on 03000 131 457 or </w:t>
      </w:r>
      <w:hyperlink r:id="rId22" w:history="1">
        <w:r w:rsidRPr="00711477">
          <w:rPr>
            <w:rStyle w:val="Hyperlink"/>
          </w:rPr>
          <w:t>Louise.Butler@ofsted.gov.uk</w:t>
        </w:r>
      </w:hyperlink>
    </w:p>
    <w:p w:rsidR="002D1D10" w:rsidRDefault="002D1D10" w:rsidP="00C16219">
      <w:pPr>
        <w:jc w:val="left"/>
        <w:rPr>
          <w:rFonts w:cs="Tahoma"/>
          <w:color w:val="000000"/>
        </w:rPr>
      </w:pPr>
    </w:p>
    <w:p w:rsidR="002D1D10" w:rsidRDefault="002D1D10" w:rsidP="00C16219">
      <w:pPr>
        <w:jc w:val="left"/>
        <w:rPr>
          <w:rFonts w:cs="Tahoma"/>
          <w:color w:val="000000"/>
        </w:rPr>
      </w:pPr>
    </w:p>
    <w:p w:rsidR="007F6BE7" w:rsidRPr="00C16219" w:rsidRDefault="007F6BE7" w:rsidP="00C16219">
      <w:pPr>
        <w:jc w:val="left"/>
        <w:rPr>
          <w:rFonts w:cs="Tahoma"/>
          <w:color w:val="000000"/>
        </w:rPr>
      </w:pPr>
    </w:p>
    <w:p w:rsidR="00D449F5" w:rsidRPr="00C16219" w:rsidRDefault="00D449F5" w:rsidP="00C16219">
      <w:pPr>
        <w:jc w:val="left"/>
        <w:rPr>
          <w:rFonts w:cs="Tahoma"/>
          <w:color w:val="000000"/>
        </w:rPr>
      </w:pPr>
      <w:r w:rsidRPr="00C16219">
        <w:rPr>
          <w:rFonts w:cs="Tahoma"/>
          <w:color w:val="000000"/>
        </w:rPr>
        <w:t>© Crown copyright</w:t>
      </w:r>
    </w:p>
    <w:p w:rsidR="00B84B68" w:rsidRPr="00F76208" w:rsidRDefault="00B84B68" w:rsidP="00C16219">
      <w:pPr>
        <w:jc w:val="left"/>
        <w:rPr>
          <w:rFonts w:cs="Tahoma"/>
          <w:color w:val="FF0000"/>
        </w:rPr>
      </w:pPr>
      <w:r w:rsidRPr="00C16219">
        <w:rPr>
          <w:rFonts w:cs="Tahoma"/>
          <w:color w:val="000000"/>
          <w:sz w:val="20"/>
          <w:szCs w:val="20"/>
        </w:rPr>
        <w:t xml:space="preserve">You may re-use this information (not including logos) free of charge in any format or medium, under the terms of the Open Government Licence. To view this licence, visit </w:t>
      </w:r>
      <w:hyperlink r:id="rId23" w:tooltip="Open government Licence" w:history="1">
        <w:r w:rsidRPr="00711477">
          <w:rPr>
            <w:rStyle w:val="Hyperlink"/>
            <w:rFonts w:cs="Tahoma"/>
            <w:sz w:val="20"/>
            <w:szCs w:val="20"/>
          </w:rPr>
          <w:t>http://www.nationalarchives.gov.uk/doc/open-government-licence/</w:t>
        </w:r>
      </w:hyperlink>
      <w:r w:rsidRPr="00C16219">
        <w:rPr>
          <w:rFonts w:cs="Tahoma"/>
          <w:color w:val="000000"/>
          <w:sz w:val="20"/>
          <w:szCs w:val="20"/>
        </w:rPr>
        <w:t xml:space="preserve"> or write to the Information Policy Team, The National Archives, Kew, London, TW9 4DU or e-mail: </w:t>
      </w:r>
      <w:hyperlink r:id="rId24" w:history="1">
        <w:r w:rsidRPr="00711477">
          <w:rPr>
            <w:rStyle w:val="Hyperlink"/>
            <w:rFonts w:cs="Tahoma"/>
            <w:sz w:val="20"/>
            <w:szCs w:val="20"/>
          </w:rPr>
          <w:t>psi@nationalarchives.gsi.gov.uk</w:t>
        </w:r>
      </w:hyperlink>
    </w:p>
    <w:sectPr w:rsidR="00B84B68" w:rsidRPr="00F76208" w:rsidSect="00174C4A">
      <w:headerReference w:type="even" r:id="rId25"/>
      <w:headerReference w:type="default" r:id="rId26"/>
      <w:footerReference w:type="even" r:id="rId27"/>
      <w:footerReference w:type="default" r:id="rId28"/>
      <w:headerReference w:type="first" r:id="rId29"/>
      <w:footerReference w:type="first" r:id="rId30"/>
      <w:pgSz w:w="11906" w:h="16838" w:code="9"/>
      <w:pgMar w:top="357"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84" w:rsidRDefault="00AC3684">
      <w:r>
        <w:separator/>
      </w:r>
    </w:p>
  </w:endnote>
  <w:endnote w:type="continuationSeparator" w:id="0">
    <w:p w:rsidR="00AC3684" w:rsidRDefault="00AC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2" w:rsidRDefault="00DE5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auto"/>
        <w:sz w:val="24"/>
        <w:szCs w:val="24"/>
        <w:lang w:eastAsia="en-GB"/>
      </w:rPr>
      <w:id w:val="-1111054288"/>
      <w:docPartObj>
        <w:docPartGallery w:val="Page Numbers (Bottom of Page)"/>
        <w:docPartUnique/>
      </w:docPartObj>
    </w:sdtPr>
    <w:sdtEndPr>
      <w:rPr>
        <w:color w:val="7F7F7F" w:themeColor="background1" w:themeShade="7F"/>
        <w:spacing w:val="60"/>
      </w:rPr>
    </w:sdtEndPr>
    <w:sdtContent>
      <w:p w:rsidR="00DE5542" w:rsidRPr="001460CF" w:rsidRDefault="00DE5542" w:rsidP="00DE5542">
        <w:pPr>
          <w:pStyle w:val="Footer-RHSOdd"/>
          <w:tabs>
            <w:tab w:val="right" w:pos="8460"/>
          </w:tabs>
          <w:rPr>
            <w:b w:val="0"/>
            <w:sz w:val="20"/>
          </w:rPr>
        </w:pPr>
        <w:r w:rsidRPr="001460CF">
          <w:rPr>
            <w:b w:val="0"/>
            <w:sz w:val="20"/>
          </w:rPr>
          <w:t xml:space="preserve">Responsible Statistician: </w:t>
        </w:r>
        <w:r>
          <w:rPr>
            <w:b w:val="0"/>
            <w:sz w:val="20"/>
          </w:rPr>
          <w:t>Louise Butler</w:t>
        </w:r>
        <w:r w:rsidRPr="001460CF">
          <w:rPr>
            <w:b w:val="0"/>
            <w:sz w:val="20"/>
          </w:rPr>
          <w:t xml:space="preserve">, </w:t>
        </w:r>
        <w:hyperlink r:id="rId1" w:history="1">
          <w:r w:rsidRPr="00AE2888">
            <w:rPr>
              <w:rStyle w:val="Hyperlink"/>
              <w:b w:val="0"/>
              <w:sz w:val="20"/>
            </w:rPr>
            <w:t>Louise.Butler@ofsted.gov.uk</w:t>
          </w:r>
        </w:hyperlink>
      </w:p>
      <w:p w:rsidR="00DE5542" w:rsidRDefault="00DE5542" w:rsidP="00DE5542">
        <w:pPr>
          <w:pStyle w:val="Footer"/>
          <w:pBdr>
            <w:top w:val="single" w:sz="4" w:space="1" w:color="D9D9D9" w:themeColor="background1" w:themeShade="D9"/>
          </w:pBdr>
          <w:jc w:val="left"/>
        </w:pPr>
        <w:r w:rsidRPr="001460CF">
          <w:rPr>
            <w:sz w:val="20"/>
          </w:rPr>
          <w:t xml:space="preserve">Published on: </w:t>
        </w:r>
        <w:r>
          <w:rPr>
            <w:sz w:val="20"/>
          </w:rPr>
          <w:t>30 November 2017. Next publication: March 2018.</w:t>
        </w:r>
        <w:r>
          <w:rPr>
            <w:b/>
            <w:sz w:val="20"/>
          </w:rPr>
          <w:t xml:space="preserve">                                    </w:t>
        </w:r>
        <w:r w:rsidRPr="00DE5542">
          <w:rPr>
            <w:sz w:val="20"/>
            <w:szCs w:val="20"/>
          </w:rPr>
          <w:fldChar w:fldCharType="begin"/>
        </w:r>
        <w:r w:rsidRPr="00DE5542">
          <w:rPr>
            <w:sz w:val="20"/>
            <w:szCs w:val="20"/>
          </w:rPr>
          <w:instrText xml:space="preserve"> PAGE   \* MERGEFORMAT </w:instrText>
        </w:r>
        <w:r w:rsidRPr="00DE5542">
          <w:rPr>
            <w:sz w:val="20"/>
            <w:szCs w:val="20"/>
          </w:rPr>
          <w:fldChar w:fldCharType="separate"/>
        </w:r>
        <w:r w:rsidR="00484608">
          <w:rPr>
            <w:noProof/>
            <w:sz w:val="20"/>
            <w:szCs w:val="20"/>
          </w:rPr>
          <w:t>1</w:t>
        </w:r>
        <w:r w:rsidRPr="00DE5542">
          <w:rPr>
            <w:noProof/>
            <w:sz w:val="20"/>
            <w:szCs w:val="20"/>
          </w:rPr>
          <w:fldChar w:fldCharType="end"/>
        </w:r>
        <w:r w:rsidRPr="00DE5542">
          <w:rPr>
            <w:sz w:val="20"/>
            <w:szCs w:val="20"/>
          </w:rPr>
          <w:t xml:space="preserve"> | </w:t>
        </w:r>
        <w:r w:rsidRPr="00DE5542">
          <w:rPr>
            <w:color w:val="7F7F7F" w:themeColor="background1" w:themeShade="7F"/>
            <w:spacing w:val="60"/>
            <w:sz w:val="20"/>
            <w:szCs w:val="20"/>
          </w:rPr>
          <w:t>Page</w:t>
        </w:r>
      </w:p>
    </w:sdtContent>
  </w:sdt>
  <w:p w:rsidR="005C466E" w:rsidRDefault="005C4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42" w:rsidRDefault="00DE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84" w:rsidRDefault="00AC3684">
      <w:r>
        <w:separator/>
      </w:r>
    </w:p>
  </w:footnote>
  <w:footnote w:type="continuationSeparator" w:id="0">
    <w:p w:rsidR="00AC3684" w:rsidRDefault="00AC3684">
      <w:r>
        <w:continuationSeparator/>
      </w:r>
    </w:p>
  </w:footnote>
  <w:footnote w:id="1">
    <w:p w:rsidR="00ED2F69" w:rsidRDefault="00ED2F69">
      <w:pPr>
        <w:pStyle w:val="FootnoteText"/>
      </w:pPr>
      <w:r>
        <w:rPr>
          <w:rStyle w:val="FootnoteReference"/>
        </w:rPr>
        <w:footnoteRef/>
      </w:r>
      <w:r>
        <w:t xml:space="preserve"> Short inspections which did not convert confirm the grade of the previous inspection. Those outcomes are included here and will always be good or outstanding.</w:t>
      </w:r>
    </w:p>
  </w:footnote>
  <w:footnote w:id="2">
    <w:p w:rsidR="00ED2F69" w:rsidRDefault="00ED2F69">
      <w:pPr>
        <w:pStyle w:val="FootnoteText"/>
      </w:pPr>
      <w:r>
        <w:rPr>
          <w:rStyle w:val="FootnoteReference"/>
        </w:rPr>
        <w:footnoteRef/>
      </w:r>
      <w:r>
        <w:t xml:space="preserve"> Short inspections which did not convert confirm the grade of the previous inspection. Those outcomes are included here and will always be good or outstanding.</w:t>
      </w:r>
    </w:p>
  </w:footnote>
  <w:footnote w:id="3">
    <w:p w:rsidR="000766FC" w:rsidRPr="00D80AAF" w:rsidRDefault="000766FC" w:rsidP="000766FC">
      <w:pPr>
        <w:pStyle w:val="FootnoteText"/>
        <w:rPr>
          <w:rFonts w:cs="Tahoma"/>
        </w:rPr>
      </w:pPr>
      <w:r>
        <w:rPr>
          <w:rStyle w:val="FootnoteReference"/>
        </w:rPr>
        <w:footnoteRef/>
      </w:r>
      <w:r>
        <w:t xml:space="preserve"> </w:t>
      </w:r>
      <w:r w:rsidRPr="00D80AAF">
        <w:rPr>
          <w:rFonts w:cs="Tahoma"/>
        </w:rPr>
        <w:t xml:space="preserve">The proportion of schools which are good or outstanding is calculated using unrounded data, so sometimes </w:t>
      </w:r>
      <w:r w:rsidR="0060352F">
        <w:rPr>
          <w:rFonts w:cs="Tahoma"/>
        </w:rPr>
        <w:t>differ</w:t>
      </w:r>
      <w:r w:rsidR="00352385">
        <w:rPr>
          <w:rFonts w:cs="Tahoma"/>
        </w:rPr>
        <w:t>s</w:t>
      </w:r>
      <w:r w:rsidR="0060352F">
        <w:rPr>
          <w:rFonts w:cs="Tahoma"/>
        </w:rPr>
        <w:t xml:space="preserve"> </w:t>
      </w:r>
      <w:r w:rsidRPr="00D80AAF">
        <w:rPr>
          <w:rFonts w:cs="Tahoma"/>
        </w:rPr>
        <w:t xml:space="preserve">slightly from the sum of the </w:t>
      </w:r>
      <w:r>
        <w:rPr>
          <w:rFonts w:cs="Tahoma"/>
        </w:rPr>
        <w:t xml:space="preserve">% </w:t>
      </w:r>
      <w:r w:rsidRPr="00D80AAF">
        <w:rPr>
          <w:rFonts w:cs="Tahoma"/>
        </w:rPr>
        <w:t xml:space="preserve">good and </w:t>
      </w:r>
      <w:r>
        <w:rPr>
          <w:rFonts w:cs="Tahoma"/>
        </w:rPr>
        <w:t xml:space="preserve">% </w:t>
      </w:r>
      <w:r w:rsidRPr="00D80AAF">
        <w:rPr>
          <w:rFonts w:cs="Tahoma"/>
        </w:rPr>
        <w:t>outstanding shown in the chart.</w:t>
      </w:r>
    </w:p>
  </w:footnote>
  <w:footnote w:id="4">
    <w:p w:rsidR="00F52BE8" w:rsidRPr="00917DC4" w:rsidRDefault="00F52BE8">
      <w:pPr>
        <w:pStyle w:val="FootnoteText"/>
        <w:rPr>
          <w:color w:val="000000"/>
        </w:rPr>
      </w:pPr>
      <w:r w:rsidRPr="00917DC4">
        <w:rPr>
          <w:rStyle w:val="FootnoteReference"/>
          <w:color w:val="000000"/>
        </w:rPr>
        <w:footnoteRef/>
      </w:r>
      <w:r w:rsidRPr="00917DC4">
        <w:rPr>
          <w:color w:val="000000"/>
        </w:rPr>
        <w:t xml:space="preserve"> Although there is a change in the rounded numbers the change is less than one percentage point, and is driven by changes in a small number of </w:t>
      </w:r>
      <w:r w:rsidR="00D15141">
        <w:rPr>
          <w:color w:val="000000"/>
        </w:rPr>
        <w:t xml:space="preserve">nursery </w:t>
      </w:r>
      <w:r w:rsidRPr="00917DC4">
        <w:rPr>
          <w:color w:val="000000"/>
        </w:rPr>
        <w:t>schools. In August 2016</w:t>
      </w:r>
      <w:r w:rsidR="00D15141">
        <w:rPr>
          <w:color w:val="000000"/>
        </w:rPr>
        <w:t>,</w:t>
      </w:r>
      <w:r w:rsidRPr="00917DC4">
        <w:rPr>
          <w:color w:val="000000"/>
        </w:rPr>
        <w:t xml:space="preserve"> </w:t>
      </w:r>
      <w:r w:rsidR="0025516C" w:rsidRPr="00917DC4">
        <w:rPr>
          <w:color w:val="000000"/>
        </w:rPr>
        <w:t>399</w:t>
      </w:r>
      <w:r w:rsidRPr="00917DC4">
        <w:rPr>
          <w:color w:val="000000"/>
        </w:rPr>
        <w:t xml:space="preserve"> schools were good or outstanding out of </w:t>
      </w:r>
      <w:r w:rsidR="0025516C" w:rsidRPr="00917DC4">
        <w:rPr>
          <w:color w:val="000000"/>
        </w:rPr>
        <w:t>400</w:t>
      </w:r>
      <w:r w:rsidRPr="00917DC4">
        <w:rPr>
          <w:color w:val="000000"/>
        </w:rPr>
        <w:t xml:space="preserve"> schools that had been inspected. In August 2017 </w:t>
      </w:r>
      <w:r w:rsidR="0025516C" w:rsidRPr="00917DC4">
        <w:rPr>
          <w:color w:val="000000"/>
        </w:rPr>
        <w:t>396</w:t>
      </w:r>
      <w:r w:rsidRPr="00917DC4">
        <w:rPr>
          <w:color w:val="000000"/>
        </w:rPr>
        <w:t xml:space="preserve"> schools were good or outstanding out of 398 schools that had been inspected.</w:t>
      </w:r>
    </w:p>
  </w:footnote>
  <w:footnote w:id="5">
    <w:p w:rsidR="00282802" w:rsidRPr="00034D87" w:rsidRDefault="00282802">
      <w:pPr>
        <w:pStyle w:val="FootnoteText"/>
        <w:rPr>
          <w:rFonts w:cs="Tahoma"/>
          <w:color w:val="0070C0"/>
        </w:rPr>
      </w:pPr>
      <w:r w:rsidRPr="00917DC4">
        <w:rPr>
          <w:rStyle w:val="FootnoteReference"/>
          <w:color w:val="000000"/>
        </w:rPr>
        <w:footnoteRef/>
      </w:r>
      <w:r w:rsidRPr="00917DC4">
        <w:rPr>
          <w:color w:val="000000"/>
        </w:rPr>
        <w:t xml:space="preserve"> See</w:t>
      </w:r>
      <w:r w:rsidRPr="009C51AE">
        <w:rPr>
          <w:color w:val="000000"/>
        </w:rPr>
        <w:t xml:space="preserve"> </w:t>
      </w:r>
      <w:hyperlink r:id="rId1" w:history="1">
        <w:r w:rsidRPr="00034D87">
          <w:rPr>
            <w:rStyle w:val="Hyperlink"/>
            <w:rFonts w:cs="Tahoma"/>
          </w:rPr>
          <w:t>www.gov.uk/government/consultations/changes-to-ofsteds-statistical-reporting-of-inspection-outcomes-for-maintained-schools-and-academies</w:t>
        </w:r>
      </w:hyperlink>
    </w:p>
    <w:p w:rsidR="00282802" w:rsidRDefault="00282802">
      <w:pPr>
        <w:pStyle w:val="FootnoteText"/>
      </w:pPr>
    </w:p>
  </w:footnote>
  <w:footnote w:id="6">
    <w:p w:rsidR="000766FC" w:rsidRDefault="000766FC" w:rsidP="000766FC">
      <w:pPr>
        <w:pStyle w:val="FootnoteText"/>
      </w:pPr>
      <w:r>
        <w:rPr>
          <w:rStyle w:val="FootnoteReference"/>
        </w:rPr>
        <w:footnoteRef/>
      </w:r>
      <w:r>
        <w:t xml:space="preserve"> </w:t>
      </w:r>
      <w:r w:rsidRPr="00BA784B">
        <w:rPr>
          <w:rFonts w:cs="Tahoma"/>
        </w:rPr>
        <w:t xml:space="preserve">Based on </w:t>
      </w:r>
      <w:r>
        <w:rPr>
          <w:rFonts w:cs="Tahoma"/>
        </w:rPr>
        <w:t xml:space="preserve">the </w:t>
      </w:r>
      <w:r w:rsidRPr="00BA784B">
        <w:rPr>
          <w:rFonts w:cs="Tahoma"/>
        </w:rPr>
        <w:t>Indices of Multiple Deprivation (IDACI) 201</w:t>
      </w:r>
      <w:r w:rsidR="000D50CC">
        <w:rPr>
          <w:rFonts w:cs="Tahoma"/>
        </w:rPr>
        <w:t>5</w:t>
      </w:r>
      <w:r w:rsidRPr="00BA784B">
        <w:rPr>
          <w:rFonts w:cs="Tahoma"/>
        </w:rPr>
        <w:t xml:space="preserve">. Each school is assigned a score based on the home post codes of the pupils that attend the school. The schools are then placed in to one of five deprivation bands. Forty </w:t>
      </w:r>
      <w:r w:rsidR="00F7155F">
        <w:rPr>
          <w:rFonts w:cs="Tahoma"/>
        </w:rPr>
        <w:t xml:space="preserve">per cent </w:t>
      </w:r>
      <w:r w:rsidRPr="00BA784B">
        <w:rPr>
          <w:rFonts w:cs="Tahoma"/>
        </w:rPr>
        <w:t>of all schools are in the most deprived two bands, whereas 55% of schools that require improvement are in these</w:t>
      </w:r>
      <w:r>
        <w:rPr>
          <w:rFonts w:cs="Tahoma"/>
        </w:rPr>
        <w:t xml:space="preserve"> two bands</w:t>
      </w:r>
      <w:r w:rsidRPr="00BA784B">
        <w:rPr>
          <w:rFonts w:cs="Tahoma"/>
        </w:rPr>
        <w:t>.</w:t>
      </w:r>
    </w:p>
  </w:footnote>
  <w:footnote w:id="7">
    <w:p w:rsidR="000766FC" w:rsidRDefault="000766FC" w:rsidP="000766FC">
      <w:pPr>
        <w:pStyle w:val="FootnoteText"/>
      </w:pPr>
      <w:r>
        <w:rPr>
          <w:rStyle w:val="FootnoteReference"/>
        </w:rPr>
        <w:footnoteRef/>
      </w:r>
      <w:r>
        <w:t xml:space="preserve"> </w:t>
      </w:r>
      <w:r w:rsidRPr="00004190">
        <w:rPr>
          <w:rFonts w:cs="Tahoma"/>
        </w:rPr>
        <w:t xml:space="preserve">Section 5 inspections </w:t>
      </w:r>
      <w:r>
        <w:rPr>
          <w:rFonts w:cs="Tahoma"/>
        </w:rPr>
        <w:t xml:space="preserve">were </w:t>
      </w:r>
      <w:r w:rsidRPr="00004190">
        <w:rPr>
          <w:rFonts w:cs="Tahoma"/>
        </w:rPr>
        <w:t xml:space="preserve">introduced in September 2005. Before this schools were inspected under </w:t>
      </w:r>
      <w:r w:rsidR="00D93076">
        <w:rPr>
          <w:rFonts w:cs="Tahoma"/>
        </w:rPr>
        <w:t>s</w:t>
      </w:r>
      <w:r w:rsidRPr="00004190">
        <w:rPr>
          <w:rFonts w:cs="Tahoma"/>
        </w:rPr>
        <w:t xml:space="preserve">ection 10, which is not comparable. </w:t>
      </w:r>
      <w:r>
        <w:rPr>
          <w:rFonts w:cs="Tahoma"/>
        </w:rPr>
        <w:t>All 5</w:t>
      </w:r>
      <w:r w:rsidR="00D93076">
        <w:rPr>
          <w:rFonts w:cs="Tahoma"/>
        </w:rPr>
        <w:t>2</w:t>
      </w:r>
      <w:r>
        <w:rPr>
          <w:rFonts w:cs="Tahoma"/>
        </w:rPr>
        <w:t xml:space="preserve"> schools have had between four and six inspections under </w:t>
      </w:r>
      <w:r w:rsidR="00D93076">
        <w:rPr>
          <w:rFonts w:cs="Tahoma"/>
        </w:rPr>
        <w:t>s</w:t>
      </w:r>
      <w:r>
        <w:rPr>
          <w:rFonts w:cs="Tahoma"/>
        </w:rPr>
        <w:t xml:space="preserve">ection 5. Some schools declined to inadequate at their inspection this year. </w:t>
      </w:r>
    </w:p>
  </w:footnote>
  <w:footnote w:id="8">
    <w:p w:rsidR="000766FC" w:rsidRPr="008C1252" w:rsidRDefault="000766FC" w:rsidP="000766FC">
      <w:pPr>
        <w:pStyle w:val="FootnoteText"/>
        <w:rPr>
          <w:rFonts w:cs="Tahoma"/>
        </w:rPr>
      </w:pPr>
      <w:r>
        <w:rPr>
          <w:rStyle w:val="FootnoteReference"/>
        </w:rPr>
        <w:footnoteRef/>
      </w:r>
      <w:r>
        <w:t xml:space="preserve"> </w:t>
      </w:r>
      <w:r w:rsidRPr="008C1252">
        <w:rPr>
          <w:rFonts w:cs="Tahoma"/>
        </w:rPr>
        <w:t xml:space="preserve">These inspections are conducted under the powers given to Ofsted under section 8 of the Education Act 2005. A section 8 inspection can be deemed a full section 5 inspection, which includes a set of inspection outcomes. </w:t>
      </w:r>
    </w:p>
  </w:footnote>
  <w:footnote w:id="9">
    <w:p w:rsidR="000766FC" w:rsidRPr="008C1252" w:rsidRDefault="000766FC" w:rsidP="000766FC">
      <w:pPr>
        <w:pStyle w:val="FootnoteText"/>
        <w:rPr>
          <w:rFonts w:cs="Tahoma"/>
        </w:rPr>
      </w:pPr>
      <w:r w:rsidRPr="00245F3B">
        <w:rPr>
          <w:vertAlign w:val="superscript"/>
        </w:rPr>
        <w:footnoteRef/>
      </w:r>
      <w:r w:rsidRPr="002C04E2">
        <w:rPr>
          <w:rFonts w:cs="Tahoma"/>
        </w:rPr>
        <w:t xml:space="preserve"> Most inspections of exempt schools are </w:t>
      </w:r>
      <w:r>
        <w:rPr>
          <w:rFonts w:cs="Tahoma"/>
        </w:rPr>
        <w:t xml:space="preserve">carried out because the schools’ </w:t>
      </w:r>
      <w:r w:rsidRPr="002C04E2">
        <w:rPr>
          <w:rFonts w:cs="Tahoma"/>
        </w:rPr>
        <w:t xml:space="preserve">performance </w:t>
      </w:r>
      <w:r>
        <w:rPr>
          <w:rFonts w:cs="Tahoma"/>
        </w:rPr>
        <w:t xml:space="preserve">is </w:t>
      </w:r>
      <w:r w:rsidRPr="002C04E2">
        <w:rPr>
          <w:rFonts w:cs="Tahoma"/>
        </w:rPr>
        <w:t>declining</w:t>
      </w:r>
      <w:r>
        <w:rPr>
          <w:rFonts w:cs="Tahoma"/>
        </w:rPr>
        <w:t xml:space="preserve">. However </w:t>
      </w:r>
      <w:r w:rsidRPr="002C04E2">
        <w:rPr>
          <w:rFonts w:cs="Tahoma"/>
        </w:rPr>
        <w:t xml:space="preserve">some are also due to complaints received by Ofsted about the school, or because </w:t>
      </w:r>
      <w:r>
        <w:rPr>
          <w:rFonts w:cs="Tahoma"/>
        </w:rPr>
        <w:t>t</w:t>
      </w:r>
      <w:r w:rsidRPr="002C04E2">
        <w:rPr>
          <w:rFonts w:cs="Tahoma"/>
        </w:rPr>
        <w:t xml:space="preserve">he </w:t>
      </w:r>
      <w:r>
        <w:rPr>
          <w:rFonts w:cs="Tahoma"/>
        </w:rPr>
        <w:t xml:space="preserve">make-up of the </w:t>
      </w:r>
      <w:r w:rsidRPr="002C04E2">
        <w:rPr>
          <w:rFonts w:cs="Tahoma"/>
        </w:rPr>
        <w:t>school has substantially changed</w:t>
      </w:r>
      <w:r>
        <w:rPr>
          <w:rFonts w:cs="Tahoma"/>
        </w:rPr>
        <w:t xml:space="preserve"> since it was judged to be outstanding (for</w:t>
      </w:r>
      <w:r w:rsidRPr="002C04E2">
        <w:rPr>
          <w:rFonts w:cs="Tahoma"/>
        </w:rPr>
        <w:t xml:space="preserve"> instance it has taken on another key stage or amalgamated with another school</w:t>
      </w:r>
      <w:r>
        <w:rPr>
          <w:rFonts w:cs="Taho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B" w:rsidRDefault="00E51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Look w:val="01E0" w:firstRow="1" w:lastRow="1" w:firstColumn="1" w:lastColumn="1" w:noHBand="0" w:noVBand="0"/>
    </w:tblPr>
    <w:tblGrid>
      <w:gridCol w:w="3200"/>
      <w:gridCol w:w="5754"/>
    </w:tblGrid>
    <w:tr w:rsidR="00BA375E" w:rsidTr="00ED7C63">
      <w:trPr>
        <w:trHeight w:val="1986"/>
      </w:trPr>
      <w:tc>
        <w:tcPr>
          <w:tcW w:w="1787" w:type="pct"/>
          <w:shd w:val="clear" w:color="auto" w:fill="auto"/>
        </w:tcPr>
        <w:p w:rsidR="00BA375E" w:rsidRDefault="00620483" w:rsidP="001876CB">
          <w:pPr>
            <w:pStyle w:val="Header"/>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114935</wp:posOffset>
                    </wp:positionV>
                    <wp:extent cx="1709420" cy="347980"/>
                    <wp:effectExtent l="1460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rsidR="00BA375E" w:rsidRPr="00033909" w:rsidRDefault="008F4AC8" w:rsidP="00F953E2">
                                <w:pPr>
                                  <w:rPr>
                                    <w:sz w:val="32"/>
                                    <w:szCs w:val="32"/>
                                  </w:rPr>
                                </w:pPr>
                                <w:r>
                                  <w:rPr>
                                    <w:sz w:val="32"/>
                                    <w:szCs w:val="32"/>
                                  </w:rPr>
                                  <w:t>O</w:t>
                                </w:r>
                                <w:r w:rsidR="00BA375E">
                                  <w:rPr>
                                    <w:sz w:val="32"/>
                                    <w:szCs w:val="32"/>
                                  </w:rPr>
                                  <w:t>fficial s</w:t>
                                </w:r>
                                <w:r w:rsidR="00BA375E" w:rsidRPr="00033909">
                                  <w:rPr>
                                    <w:sz w:val="32"/>
                                    <w:szCs w:val="32"/>
                                  </w:rPr>
                                  <w:t>tatistic</w:t>
                                </w:r>
                                <w:r w:rsidR="00BA375E">
                                  <w:rPr>
                                    <w:sz w:val="32"/>
                                    <w:szCs w:val="32"/>
                                  </w:rPr>
                                  <w:t>s</w:t>
                                </w:r>
                              </w:p>
                              <w:p w:rsidR="00BA375E" w:rsidRDefault="00BA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pt;margin-top:9.05pt;width:134.6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rsidR="00BA375E" w:rsidRPr="00033909" w:rsidRDefault="008F4AC8" w:rsidP="00F953E2">
                          <w:pPr>
                            <w:rPr>
                              <w:sz w:val="32"/>
                              <w:szCs w:val="32"/>
                            </w:rPr>
                          </w:pPr>
                          <w:r>
                            <w:rPr>
                              <w:sz w:val="32"/>
                              <w:szCs w:val="32"/>
                            </w:rPr>
                            <w:t>O</w:t>
                          </w:r>
                          <w:r w:rsidR="00BA375E">
                            <w:rPr>
                              <w:sz w:val="32"/>
                              <w:szCs w:val="32"/>
                            </w:rPr>
                            <w:t>fficial s</w:t>
                          </w:r>
                          <w:r w:rsidR="00BA375E" w:rsidRPr="00033909">
                            <w:rPr>
                              <w:sz w:val="32"/>
                              <w:szCs w:val="32"/>
                            </w:rPr>
                            <w:t>tatistic</w:t>
                          </w:r>
                          <w:r w:rsidR="00BA375E">
                            <w:rPr>
                              <w:sz w:val="32"/>
                              <w:szCs w:val="32"/>
                            </w:rPr>
                            <w:t>s</w:t>
                          </w:r>
                        </w:p>
                        <w:p w:rsidR="00BA375E" w:rsidRDefault="00BA375E"/>
                      </w:txbxContent>
                    </v:textbox>
                  </v:shape>
                </w:pict>
              </mc:Fallback>
            </mc:AlternateContent>
          </w:r>
        </w:p>
      </w:tc>
      <w:tc>
        <w:tcPr>
          <w:tcW w:w="3213" w:type="pct"/>
          <w:shd w:val="clear" w:color="auto" w:fill="auto"/>
        </w:tcPr>
        <w:p w:rsidR="00BA375E" w:rsidRDefault="00BA375E" w:rsidP="00490F9F">
          <w:pPr>
            <w:pStyle w:val="Header"/>
            <w:jc w:val="right"/>
          </w:pPr>
        </w:p>
        <w:p w:rsidR="00BA375E" w:rsidRDefault="00620483" w:rsidP="009E5DFE">
          <w:pPr>
            <w:pStyle w:val="Header"/>
            <w:ind w:left="1500"/>
            <w:jc w:val="right"/>
          </w:pPr>
          <w:r>
            <w:rPr>
              <w:noProof/>
            </w:rPr>
            <w:drawing>
              <wp:inline distT="0" distB="0" distL="0" distR="0">
                <wp:extent cx="1347470" cy="1136015"/>
                <wp:effectExtent l="0" t="0" r="0" b="0"/>
                <wp:docPr id="6" name="Picture 6"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36015"/>
                        </a:xfrm>
                        <a:prstGeom prst="rect">
                          <a:avLst/>
                        </a:prstGeom>
                        <a:noFill/>
                        <a:ln>
                          <a:noFill/>
                        </a:ln>
                      </pic:spPr>
                    </pic:pic>
                  </a:graphicData>
                </a:graphic>
              </wp:inline>
            </w:drawing>
          </w:r>
        </w:p>
      </w:tc>
    </w:tr>
  </w:tbl>
  <w:p w:rsidR="00BA375E" w:rsidRPr="007E785D" w:rsidRDefault="00BA375E" w:rsidP="007E785D">
    <w:pPr>
      <w:pStyle w:val="Header"/>
      <w:rPr>
        <w:sz w:val="14"/>
        <w:szCs w:val="8"/>
      </w:rPr>
    </w:pPr>
  </w:p>
  <w:p w:rsidR="00BA375E" w:rsidRDefault="00BA37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7B" w:rsidRDefault="00E51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59C"/>
    <w:multiLevelType w:val="hybridMultilevel"/>
    <w:tmpl w:val="4D8C7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3B58EBE6"/>
    <w:lvl w:ilvl="0" w:tplc="6EFADFBC">
      <w:start w:val="1"/>
      <w:numFmt w:val="bullet"/>
      <w:pStyle w:val="Bulletsspaced"/>
      <w:lvlText w:val=""/>
      <w:lvlJc w:val="left"/>
      <w:pPr>
        <w:tabs>
          <w:tab w:val="num" w:pos="1877"/>
        </w:tabs>
        <w:ind w:left="1877" w:hanging="360"/>
      </w:pPr>
      <w:rPr>
        <w:rFonts w:ascii="Wingdings" w:hAnsi="Wingdings" w:hint="default"/>
      </w:rPr>
    </w:lvl>
    <w:lvl w:ilvl="1" w:tplc="08090003">
      <w:start w:val="1"/>
      <w:numFmt w:val="bullet"/>
      <w:lvlText w:val="o"/>
      <w:lvlJc w:val="left"/>
      <w:pPr>
        <w:tabs>
          <w:tab w:val="num" w:pos="2390"/>
        </w:tabs>
        <w:ind w:left="2390" w:hanging="360"/>
      </w:pPr>
      <w:rPr>
        <w:rFonts w:ascii="Courier New" w:hAnsi="Courier New" w:cs="Courier New" w:hint="default"/>
      </w:rPr>
    </w:lvl>
    <w:lvl w:ilvl="2" w:tplc="08090005">
      <w:start w:val="1"/>
      <w:numFmt w:val="bullet"/>
      <w:lvlText w:val=""/>
      <w:lvlJc w:val="left"/>
      <w:pPr>
        <w:tabs>
          <w:tab w:val="num" w:pos="3110"/>
        </w:tabs>
        <w:ind w:left="3110" w:hanging="360"/>
      </w:pPr>
      <w:rPr>
        <w:rFonts w:ascii="Wingdings" w:hAnsi="Wingdings" w:hint="default"/>
      </w:rPr>
    </w:lvl>
    <w:lvl w:ilvl="3" w:tplc="08090001">
      <w:start w:val="1"/>
      <w:numFmt w:val="bullet"/>
      <w:lvlText w:val=""/>
      <w:lvlJc w:val="left"/>
      <w:pPr>
        <w:tabs>
          <w:tab w:val="num" w:pos="3830"/>
        </w:tabs>
        <w:ind w:left="3830" w:hanging="360"/>
      </w:pPr>
      <w:rPr>
        <w:rFonts w:ascii="Symbol" w:hAnsi="Symbol" w:hint="default"/>
      </w:rPr>
    </w:lvl>
    <w:lvl w:ilvl="4" w:tplc="08090003" w:tentative="1">
      <w:start w:val="1"/>
      <w:numFmt w:val="bullet"/>
      <w:lvlText w:val="o"/>
      <w:lvlJc w:val="left"/>
      <w:pPr>
        <w:tabs>
          <w:tab w:val="num" w:pos="4550"/>
        </w:tabs>
        <w:ind w:left="4550" w:hanging="360"/>
      </w:pPr>
      <w:rPr>
        <w:rFonts w:ascii="Courier New" w:hAnsi="Courier New" w:cs="Courier New" w:hint="default"/>
      </w:rPr>
    </w:lvl>
    <w:lvl w:ilvl="5" w:tplc="08090005" w:tentative="1">
      <w:start w:val="1"/>
      <w:numFmt w:val="bullet"/>
      <w:lvlText w:val=""/>
      <w:lvlJc w:val="left"/>
      <w:pPr>
        <w:tabs>
          <w:tab w:val="num" w:pos="5270"/>
        </w:tabs>
        <w:ind w:left="5270" w:hanging="360"/>
      </w:pPr>
      <w:rPr>
        <w:rFonts w:ascii="Wingdings" w:hAnsi="Wingdings" w:hint="default"/>
      </w:rPr>
    </w:lvl>
    <w:lvl w:ilvl="6" w:tplc="08090001" w:tentative="1">
      <w:start w:val="1"/>
      <w:numFmt w:val="bullet"/>
      <w:lvlText w:val=""/>
      <w:lvlJc w:val="left"/>
      <w:pPr>
        <w:tabs>
          <w:tab w:val="num" w:pos="5990"/>
        </w:tabs>
        <w:ind w:left="5990" w:hanging="360"/>
      </w:pPr>
      <w:rPr>
        <w:rFonts w:ascii="Symbol" w:hAnsi="Symbol" w:hint="default"/>
      </w:rPr>
    </w:lvl>
    <w:lvl w:ilvl="7" w:tplc="08090003" w:tentative="1">
      <w:start w:val="1"/>
      <w:numFmt w:val="bullet"/>
      <w:lvlText w:val="o"/>
      <w:lvlJc w:val="left"/>
      <w:pPr>
        <w:tabs>
          <w:tab w:val="num" w:pos="6710"/>
        </w:tabs>
        <w:ind w:left="6710" w:hanging="360"/>
      </w:pPr>
      <w:rPr>
        <w:rFonts w:ascii="Courier New" w:hAnsi="Courier New" w:cs="Courier New" w:hint="default"/>
      </w:rPr>
    </w:lvl>
    <w:lvl w:ilvl="8" w:tplc="08090005" w:tentative="1">
      <w:start w:val="1"/>
      <w:numFmt w:val="bullet"/>
      <w:lvlText w:val=""/>
      <w:lvlJc w:val="left"/>
      <w:pPr>
        <w:tabs>
          <w:tab w:val="num" w:pos="7430"/>
        </w:tabs>
        <w:ind w:left="7430" w:hanging="360"/>
      </w:pPr>
      <w:rPr>
        <w:rFonts w:ascii="Wingdings" w:hAnsi="Wingdings" w:hint="default"/>
      </w:rPr>
    </w:lvl>
  </w:abstractNum>
  <w:abstractNum w:abstractNumId="2" w15:restartNumberingAfterBreak="0">
    <w:nsid w:val="08E44F2C"/>
    <w:multiLevelType w:val="hybridMultilevel"/>
    <w:tmpl w:val="38E4DFC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9007E8D"/>
    <w:multiLevelType w:val="hybridMultilevel"/>
    <w:tmpl w:val="86E21D16"/>
    <w:lvl w:ilvl="0" w:tplc="F3F4878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5"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2B7F88"/>
    <w:multiLevelType w:val="hybridMultilevel"/>
    <w:tmpl w:val="167E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C798E"/>
    <w:multiLevelType w:val="hybridMultilevel"/>
    <w:tmpl w:val="21C848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736B8"/>
    <w:multiLevelType w:val="hybridMultilevel"/>
    <w:tmpl w:val="F80A4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4028E"/>
    <w:multiLevelType w:val="hybridMultilevel"/>
    <w:tmpl w:val="553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4999"/>
    <w:multiLevelType w:val="hybridMultilevel"/>
    <w:tmpl w:val="6F1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22F8"/>
    <w:multiLevelType w:val="hybridMultilevel"/>
    <w:tmpl w:val="64F8F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2398"/>
    <w:multiLevelType w:val="hybridMultilevel"/>
    <w:tmpl w:val="61E62C0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2F5E5DF0"/>
    <w:multiLevelType w:val="hybridMultilevel"/>
    <w:tmpl w:val="2FFC4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51AB9"/>
    <w:multiLevelType w:val="hybridMultilevel"/>
    <w:tmpl w:val="D5243F2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B991AF6"/>
    <w:multiLevelType w:val="hybridMultilevel"/>
    <w:tmpl w:val="2DF2E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5330D"/>
    <w:multiLevelType w:val="hybridMultilevel"/>
    <w:tmpl w:val="498A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F6F8C"/>
    <w:multiLevelType w:val="hybridMultilevel"/>
    <w:tmpl w:val="40268356"/>
    <w:lvl w:ilvl="0" w:tplc="E434523C">
      <w:start w:val="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6155F"/>
    <w:multiLevelType w:val="hybridMultilevel"/>
    <w:tmpl w:val="3C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40A2B"/>
    <w:multiLevelType w:val="hybridMultilevel"/>
    <w:tmpl w:val="8974B46A"/>
    <w:lvl w:ilvl="0" w:tplc="B7F84A0C">
      <w:start w:val="1"/>
      <w:numFmt w:val="bullet"/>
      <w:lvlText w:val=""/>
      <w:lvlJc w:val="left"/>
      <w:pPr>
        <w:tabs>
          <w:tab w:val="num" w:pos="-96"/>
        </w:tabs>
        <w:ind w:left="-96" w:hanging="360"/>
      </w:pPr>
      <w:rPr>
        <w:rFonts w:ascii="Wingdings" w:hAnsi="Wingdings" w:hint="default"/>
        <w:sz w:val="32"/>
      </w:rPr>
    </w:lvl>
    <w:lvl w:ilvl="1" w:tplc="0FBCE43E" w:tentative="1">
      <w:start w:val="1"/>
      <w:numFmt w:val="bullet"/>
      <w:lvlText w:val="•"/>
      <w:lvlJc w:val="left"/>
      <w:pPr>
        <w:tabs>
          <w:tab w:val="num" w:pos="624"/>
        </w:tabs>
        <w:ind w:left="624" w:hanging="360"/>
      </w:pPr>
      <w:rPr>
        <w:rFonts w:ascii="Arial" w:hAnsi="Arial" w:hint="default"/>
      </w:rPr>
    </w:lvl>
    <w:lvl w:ilvl="2" w:tplc="D9C88830" w:tentative="1">
      <w:start w:val="1"/>
      <w:numFmt w:val="bullet"/>
      <w:lvlText w:val="•"/>
      <w:lvlJc w:val="left"/>
      <w:pPr>
        <w:tabs>
          <w:tab w:val="num" w:pos="1344"/>
        </w:tabs>
        <w:ind w:left="1344" w:hanging="360"/>
      </w:pPr>
      <w:rPr>
        <w:rFonts w:ascii="Arial" w:hAnsi="Arial" w:hint="default"/>
      </w:rPr>
    </w:lvl>
    <w:lvl w:ilvl="3" w:tplc="1436C914" w:tentative="1">
      <w:start w:val="1"/>
      <w:numFmt w:val="bullet"/>
      <w:lvlText w:val="•"/>
      <w:lvlJc w:val="left"/>
      <w:pPr>
        <w:tabs>
          <w:tab w:val="num" w:pos="2064"/>
        </w:tabs>
        <w:ind w:left="2064" w:hanging="360"/>
      </w:pPr>
      <w:rPr>
        <w:rFonts w:ascii="Arial" w:hAnsi="Arial" w:hint="default"/>
      </w:rPr>
    </w:lvl>
    <w:lvl w:ilvl="4" w:tplc="A35C812E" w:tentative="1">
      <w:start w:val="1"/>
      <w:numFmt w:val="bullet"/>
      <w:lvlText w:val="•"/>
      <w:lvlJc w:val="left"/>
      <w:pPr>
        <w:tabs>
          <w:tab w:val="num" w:pos="2784"/>
        </w:tabs>
        <w:ind w:left="2784" w:hanging="360"/>
      </w:pPr>
      <w:rPr>
        <w:rFonts w:ascii="Arial" w:hAnsi="Arial" w:hint="default"/>
      </w:rPr>
    </w:lvl>
    <w:lvl w:ilvl="5" w:tplc="20A6FFE4" w:tentative="1">
      <w:start w:val="1"/>
      <w:numFmt w:val="bullet"/>
      <w:lvlText w:val="•"/>
      <w:lvlJc w:val="left"/>
      <w:pPr>
        <w:tabs>
          <w:tab w:val="num" w:pos="3504"/>
        </w:tabs>
        <w:ind w:left="3504" w:hanging="360"/>
      </w:pPr>
      <w:rPr>
        <w:rFonts w:ascii="Arial" w:hAnsi="Arial" w:hint="default"/>
      </w:rPr>
    </w:lvl>
    <w:lvl w:ilvl="6" w:tplc="5EA07B7A" w:tentative="1">
      <w:start w:val="1"/>
      <w:numFmt w:val="bullet"/>
      <w:lvlText w:val="•"/>
      <w:lvlJc w:val="left"/>
      <w:pPr>
        <w:tabs>
          <w:tab w:val="num" w:pos="4224"/>
        </w:tabs>
        <w:ind w:left="4224" w:hanging="360"/>
      </w:pPr>
      <w:rPr>
        <w:rFonts w:ascii="Arial" w:hAnsi="Arial" w:hint="default"/>
      </w:rPr>
    </w:lvl>
    <w:lvl w:ilvl="7" w:tplc="9C501E46" w:tentative="1">
      <w:start w:val="1"/>
      <w:numFmt w:val="bullet"/>
      <w:lvlText w:val="•"/>
      <w:lvlJc w:val="left"/>
      <w:pPr>
        <w:tabs>
          <w:tab w:val="num" w:pos="4944"/>
        </w:tabs>
        <w:ind w:left="4944" w:hanging="360"/>
      </w:pPr>
      <w:rPr>
        <w:rFonts w:ascii="Arial" w:hAnsi="Arial" w:hint="default"/>
      </w:rPr>
    </w:lvl>
    <w:lvl w:ilvl="8" w:tplc="AFD2B616" w:tentative="1">
      <w:start w:val="1"/>
      <w:numFmt w:val="bullet"/>
      <w:lvlText w:val="•"/>
      <w:lvlJc w:val="left"/>
      <w:pPr>
        <w:tabs>
          <w:tab w:val="num" w:pos="5664"/>
        </w:tabs>
        <w:ind w:left="5664" w:hanging="360"/>
      </w:pPr>
      <w:rPr>
        <w:rFonts w:ascii="Arial" w:hAnsi="Arial" w:hint="default"/>
      </w:rPr>
    </w:lvl>
  </w:abstractNum>
  <w:abstractNum w:abstractNumId="20" w15:restartNumberingAfterBreak="0">
    <w:nsid w:val="5B4E185F"/>
    <w:multiLevelType w:val="hybridMultilevel"/>
    <w:tmpl w:val="8ACEA3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6964EB"/>
    <w:multiLevelType w:val="hybridMultilevel"/>
    <w:tmpl w:val="C544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314EF"/>
    <w:multiLevelType w:val="hybridMultilevel"/>
    <w:tmpl w:val="9A66B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C6383"/>
    <w:multiLevelType w:val="hybridMultilevel"/>
    <w:tmpl w:val="7DA6D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15829"/>
    <w:multiLevelType w:val="hybridMultilevel"/>
    <w:tmpl w:val="2F0E71B6"/>
    <w:lvl w:ilvl="0" w:tplc="26AE406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13C"/>
    <w:multiLevelType w:val="hybridMultilevel"/>
    <w:tmpl w:val="A8986C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3"/>
  </w:num>
  <w:num w:numId="5">
    <w:abstractNumId w:val="11"/>
  </w:num>
  <w:num w:numId="6">
    <w:abstractNumId w:val="2"/>
  </w:num>
  <w:num w:numId="7">
    <w:abstractNumId w:val="7"/>
  </w:num>
  <w:num w:numId="8">
    <w:abstractNumId w:val="25"/>
  </w:num>
  <w:num w:numId="9">
    <w:abstractNumId w:val="8"/>
  </w:num>
  <w:num w:numId="10">
    <w:abstractNumId w:val="14"/>
  </w:num>
  <w:num w:numId="11">
    <w:abstractNumId w:val="12"/>
  </w:num>
  <w:num w:numId="12">
    <w:abstractNumId w:val="20"/>
  </w:num>
  <w:num w:numId="13">
    <w:abstractNumId w:val="21"/>
  </w:num>
  <w:num w:numId="14">
    <w:abstractNumId w:val="22"/>
  </w:num>
  <w:num w:numId="15">
    <w:abstractNumId w:val="19"/>
  </w:num>
  <w:num w:numId="16">
    <w:abstractNumId w:val="6"/>
  </w:num>
  <w:num w:numId="17">
    <w:abstractNumId w:val="16"/>
  </w:num>
  <w:num w:numId="18">
    <w:abstractNumId w:val="10"/>
  </w:num>
  <w:num w:numId="19">
    <w:abstractNumId w:val="9"/>
  </w:num>
  <w:num w:numId="20">
    <w:abstractNumId w:val="18"/>
  </w:num>
  <w:num w:numId="21">
    <w:abstractNumId w:val="0"/>
  </w:num>
  <w:num w:numId="22">
    <w:abstractNumId w:val="24"/>
  </w:num>
  <w:num w:numId="23">
    <w:abstractNumId w:val="15"/>
  </w:num>
  <w:num w:numId="24">
    <w:abstractNumId w:val="3"/>
  </w:num>
  <w:num w:numId="25">
    <w:abstractNumId w:val="13"/>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335"/>
    <w:rsid w:val="000037E8"/>
    <w:rsid w:val="00003FC8"/>
    <w:rsid w:val="0000509C"/>
    <w:rsid w:val="00005570"/>
    <w:rsid w:val="00007378"/>
    <w:rsid w:val="00007588"/>
    <w:rsid w:val="00007650"/>
    <w:rsid w:val="000101BB"/>
    <w:rsid w:val="00010456"/>
    <w:rsid w:val="00010F5F"/>
    <w:rsid w:val="0001126C"/>
    <w:rsid w:val="000124BD"/>
    <w:rsid w:val="00012F65"/>
    <w:rsid w:val="00013403"/>
    <w:rsid w:val="000134CE"/>
    <w:rsid w:val="00013B5F"/>
    <w:rsid w:val="00013BD7"/>
    <w:rsid w:val="0001618E"/>
    <w:rsid w:val="00016308"/>
    <w:rsid w:val="000165A1"/>
    <w:rsid w:val="00017D4E"/>
    <w:rsid w:val="0002014B"/>
    <w:rsid w:val="00020412"/>
    <w:rsid w:val="000206B1"/>
    <w:rsid w:val="00022E6C"/>
    <w:rsid w:val="00023D41"/>
    <w:rsid w:val="000246BA"/>
    <w:rsid w:val="000249B8"/>
    <w:rsid w:val="00026F4E"/>
    <w:rsid w:val="000271E7"/>
    <w:rsid w:val="00027F09"/>
    <w:rsid w:val="00030359"/>
    <w:rsid w:val="00032234"/>
    <w:rsid w:val="00032C49"/>
    <w:rsid w:val="000339BC"/>
    <w:rsid w:val="00033E4E"/>
    <w:rsid w:val="0003470E"/>
    <w:rsid w:val="00034A89"/>
    <w:rsid w:val="00034D87"/>
    <w:rsid w:val="00035B5F"/>
    <w:rsid w:val="00036C7B"/>
    <w:rsid w:val="00037A56"/>
    <w:rsid w:val="00040A8F"/>
    <w:rsid w:val="000414E0"/>
    <w:rsid w:val="000431F4"/>
    <w:rsid w:val="0004366A"/>
    <w:rsid w:val="00044C23"/>
    <w:rsid w:val="00045968"/>
    <w:rsid w:val="00045B29"/>
    <w:rsid w:val="00046075"/>
    <w:rsid w:val="00046379"/>
    <w:rsid w:val="00050AB1"/>
    <w:rsid w:val="00052BCD"/>
    <w:rsid w:val="00052EFD"/>
    <w:rsid w:val="000554B1"/>
    <w:rsid w:val="0005636C"/>
    <w:rsid w:val="000576BF"/>
    <w:rsid w:val="000620CB"/>
    <w:rsid w:val="00062188"/>
    <w:rsid w:val="000635E4"/>
    <w:rsid w:val="00064279"/>
    <w:rsid w:val="00064CA7"/>
    <w:rsid w:val="0006764D"/>
    <w:rsid w:val="000678F1"/>
    <w:rsid w:val="000704DC"/>
    <w:rsid w:val="000704E8"/>
    <w:rsid w:val="00071BCD"/>
    <w:rsid w:val="0007232D"/>
    <w:rsid w:val="0007240C"/>
    <w:rsid w:val="00074F2D"/>
    <w:rsid w:val="00075E7F"/>
    <w:rsid w:val="000766FC"/>
    <w:rsid w:val="00076AAF"/>
    <w:rsid w:val="000773D9"/>
    <w:rsid w:val="00077CA7"/>
    <w:rsid w:val="00082CA3"/>
    <w:rsid w:val="00082E77"/>
    <w:rsid w:val="000830D8"/>
    <w:rsid w:val="00083898"/>
    <w:rsid w:val="00083D53"/>
    <w:rsid w:val="00085784"/>
    <w:rsid w:val="00085DBB"/>
    <w:rsid w:val="00086EFE"/>
    <w:rsid w:val="00087CCE"/>
    <w:rsid w:val="00090F33"/>
    <w:rsid w:val="0009188C"/>
    <w:rsid w:val="000923D2"/>
    <w:rsid w:val="000930D3"/>
    <w:rsid w:val="000931F2"/>
    <w:rsid w:val="00094070"/>
    <w:rsid w:val="00094BA6"/>
    <w:rsid w:val="00096AC3"/>
    <w:rsid w:val="00096AC8"/>
    <w:rsid w:val="0009754B"/>
    <w:rsid w:val="000A0C19"/>
    <w:rsid w:val="000A288A"/>
    <w:rsid w:val="000A3298"/>
    <w:rsid w:val="000A4824"/>
    <w:rsid w:val="000A543D"/>
    <w:rsid w:val="000A5A02"/>
    <w:rsid w:val="000A6AA9"/>
    <w:rsid w:val="000A6E7D"/>
    <w:rsid w:val="000A742E"/>
    <w:rsid w:val="000A77A6"/>
    <w:rsid w:val="000A7EFC"/>
    <w:rsid w:val="000B3535"/>
    <w:rsid w:val="000B6B87"/>
    <w:rsid w:val="000B6C5F"/>
    <w:rsid w:val="000B7802"/>
    <w:rsid w:val="000C0259"/>
    <w:rsid w:val="000C2291"/>
    <w:rsid w:val="000C2B36"/>
    <w:rsid w:val="000C3544"/>
    <w:rsid w:val="000C35DE"/>
    <w:rsid w:val="000C3C23"/>
    <w:rsid w:val="000C42EE"/>
    <w:rsid w:val="000C5360"/>
    <w:rsid w:val="000C5FDC"/>
    <w:rsid w:val="000D0BC9"/>
    <w:rsid w:val="000D10C5"/>
    <w:rsid w:val="000D16D5"/>
    <w:rsid w:val="000D3B4E"/>
    <w:rsid w:val="000D47EB"/>
    <w:rsid w:val="000D50CC"/>
    <w:rsid w:val="000D69B3"/>
    <w:rsid w:val="000D6DFD"/>
    <w:rsid w:val="000D6FA8"/>
    <w:rsid w:val="000E087B"/>
    <w:rsid w:val="000E1171"/>
    <w:rsid w:val="000E131D"/>
    <w:rsid w:val="000E2343"/>
    <w:rsid w:val="000E2E01"/>
    <w:rsid w:val="000E373B"/>
    <w:rsid w:val="000E3D6F"/>
    <w:rsid w:val="000E3FBC"/>
    <w:rsid w:val="000E4290"/>
    <w:rsid w:val="000E4405"/>
    <w:rsid w:val="000E5040"/>
    <w:rsid w:val="000E55A2"/>
    <w:rsid w:val="000E5A94"/>
    <w:rsid w:val="000E5D39"/>
    <w:rsid w:val="000F07C5"/>
    <w:rsid w:val="000F12C7"/>
    <w:rsid w:val="000F17BC"/>
    <w:rsid w:val="000F26C4"/>
    <w:rsid w:val="000F34AA"/>
    <w:rsid w:val="000F5070"/>
    <w:rsid w:val="000F5395"/>
    <w:rsid w:val="000F60FF"/>
    <w:rsid w:val="000F7D0F"/>
    <w:rsid w:val="00101922"/>
    <w:rsid w:val="001023CB"/>
    <w:rsid w:val="001029FB"/>
    <w:rsid w:val="00102EBC"/>
    <w:rsid w:val="00103AB3"/>
    <w:rsid w:val="00103D0C"/>
    <w:rsid w:val="00103EAE"/>
    <w:rsid w:val="00105CB4"/>
    <w:rsid w:val="00106622"/>
    <w:rsid w:val="001103E0"/>
    <w:rsid w:val="0011080D"/>
    <w:rsid w:val="001116EF"/>
    <w:rsid w:val="00111DEB"/>
    <w:rsid w:val="00111EC2"/>
    <w:rsid w:val="001123ED"/>
    <w:rsid w:val="00114200"/>
    <w:rsid w:val="00114BF9"/>
    <w:rsid w:val="00114E22"/>
    <w:rsid w:val="00115671"/>
    <w:rsid w:val="00116FD0"/>
    <w:rsid w:val="00121519"/>
    <w:rsid w:val="00122DA6"/>
    <w:rsid w:val="00125D2E"/>
    <w:rsid w:val="00126A7B"/>
    <w:rsid w:val="00127728"/>
    <w:rsid w:val="00130041"/>
    <w:rsid w:val="00131A47"/>
    <w:rsid w:val="00132CFA"/>
    <w:rsid w:val="0013345B"/>
    <w:rsid w:val="00133EBC"/>
    <w:rsid w:val="00134FB2"/>
    <w:rsid w:val="0013565B"/>
    <w:rsid w:val="001361F5"/>
    <w:rsid w:val="0013726E"/>
    <w:rsid w:val="001374F3"/>
    <w:rsid w:val="00142792"/>
    <w:rsid w:val="0014405C"/>
    <w:rsid w:val="00145C08"/>
    <w:rsid w:val="001460CF"/>
    <w:rsid w:val="00146CB5"/>
    <w:rsid w:val="00147CE0"/>
    <w:rsid w:val="00147F03"/>
    <w:rsid w:val="0015055C"/>
    <w:rsid w:val="00150815"/>
    <w:rsid w:val="001523BE"/>
    <w:rsid w:val="00153368"/>
    <w:rsid w:val="0015345F"/>
    <w:rsid w:val="00153DAC"/>
    <w:rsid w:val="00155725"/>
    <w:rsid w:val="00156CE4"/>
    <w:rsid w:val="0016186A"/>
    <w:rsid w:val="00162762"/>
    <w:rsid w:val="00162797"/>
    <w:rsid w:val="00164269"/>
    <w:rsid w:val="0016524B"/>
    <w:rsid w:val="00165DAA"/>
    <w:rsid w:val="0016772A"/>
    <w:rsid w:val="00170590"/>
    <w:rsid w:val="00174C4A"/>
    <w:rsid w:val="00174E1B"/>
    <w:rsid w:val="00174F0C"/>
    <w:rsid w:val="001750E1"/>
    <w:rsid w:val="00175D17"/>
    <w:rsid w:val="00175F91"/>
    <w:rsid w:val="00176843"/>
    <w:rsid w:val="00177114"/>
    <w:rsid w:val="00177AB6"/>
    <w:rsid w:val="0018199D"/>
    <w:rsid w:val="00182A1C"/>
    <w:rsid w:val="00184023"/>
    <w:rsid w:val="00184562"/>
    <w:rsid w:val="00184B1F"/>
    <w:rsid w:val="00184B5B"/>
    <w:rsid w:val="00186741"/>
    <w:rsid w:val="00186FD8"/>
    <w:rsid w:val="001876CB"/>
    <w:rsid w:val="00187901"/>
    <w:rsid w:val="00187EA8"/>
    <w:rsid w:val="001903EE"/>
    <w:rsid w:val="001949D7"/>
    <w:rsid w:val="00194D27"/>
    <w:rsid w:val="00194EDD"/>
    <w:rsid w:val="0019565E"/>
    <w:rsid w:val="0019662A"/>
    <w:rsid w:val="001971B7"/>
    <w:rsid w:val="00197915"/>
    <w:rsid w:val="001A035E"/>
    <w:rsid w:val="001A05E4"/>
    <w:rsid w:val="001A0D0A"/>
    <w:rsid w:val="001A1D68"/>
    <w:rsid w:val="001A2C87"/>
    <w:rsid w:val="001A3AD7"/>
    <w:rsid w:val="001A4C55"/>
    <w:rsid w:val="001A4CE1"/>
    <w:rsid w:val="001A5174"/>
    <w:rsid w:val="001A54EB"/>
    <w:rsid w:val="001A6C8F"/>
    <w:rsid w:val="001A7A09"/>
    <w:rsid w:val="001B0D18"/>
    <w:rsid w:val="001B2C55"/>
    <w:rsid w:val="001B2EF8"/>
    <w:rsid w:val="001B3DD8"/>
    <w:rsid w:val="001B3F8F"/>
    <w:rsid w:val="001B566E"/>
    <w:rsid w:val="001B5791"/>
    <w:rsid w:val="001B599A"/>
    <w:rsid w:val="001B6F28"/>
    <w:rsid w:val="001B7899"/>
    <w:rsid w:val="001B7A62"/>
    <w:rsid w:val="001B7CA0"/>
    <w:rsid w:val="001C0EC9"/>
    <w:rsid w:val="001C3B27"/>
    <w:rsid w:val="001C3C2F"/>
    <w:rsid w:val="001C5127"/>
    <w:rsid w:val="001C5A46"/>
    <w:rsid w:val="001C5FE4"/>
    <w:rsid w:val="001C613A"/>
    <w:rsid w:val="001C641D"/>
    <w:rsid w:val="001C6833"/>
    <w:rsid w:val="001D158C"/>
    <w:rsid w:val="001D19C8"/>
    <w:rsid w:val="001D22E5"/>
    <w:rsid w:val="001D5791"/>
    <w:rsid w:val="001D6D90"/>
    <w:rsid w:val="001D75A2"/>
    <w:rsid w:val="001E0617"/>
    <w:rsid w:val="001E500B"/>
    <w:rsid w:val="001E5D6B"/>
    <w:rsid w:val="001E6BA0"/>
    <w:rsid w:val="001F0F18"/>
    <w:rsid w:val="001F1B92"/>
    <w:rsid w:val="001F31DF"/>
    <w:rsid w:val="001F33E2"/>
    <w:rsid w:val="001F364D"/>
    <w:rsid w:val="001F433B"/>
    <w:rsid w:val="001F6605"/>
    <w:rsid w:val="001F6922"/>
    <w:rsid w:val="001F6AE1"/>
    <w:rsid w:val="00200B9E"/>
    <w:rsid w:val="0020413B"/>
    <w:rsid w:val="00204609"/>
    <w:rsid w:val="00204997"/>
    <w:rsid w:val="002049F0"/>
    <w:rsid w:val="00206FF7"/>
    <w:rsid w:val="002072E3"/>
    <w:rsid w:val="00207B0C"/>
    <w:rsid w:val="00210AF8"/>
    <w:rsid w:val="00212221"/>
    <w:rsid w:val="00212A16"/>
    <w:rsid w:val="002131E4"/>
    <w:rsid w:val="00213EEF"/>
    <w:rsid w:val="002140CF"/>
    <w:rsid w:val="0021438C"/>
    <w:rsid w:val="0021450B"/>
    <w:rsid w:val="00220951"/>
    <w:rsid w:val="00220A39"/>
    <w:rsid w:val="00223F0C"/>
    <w:rsid w:val="002305AA"/>
    <w:rsid w:val="002314EB"/>
    <w:rsid w:val="00231CC7"/>
    <w:rsid w:val="00231E9B"/>
    <w:rsid w:val="00234558"/>
    <w:rsid w:val="00234931"/>
    <w:rsid w:val="00234E46"/>
    <w:rsid w:val="00234E8F"/>
    <w:rsid w:val="00235117"/>
    <w:rsid w:val="00235C76"/>
    <w:rsid w:val="00236F6A"/>
    <w:rsid w:val="00237AF7"/>
    <w:rsid w:val="00242A1E"/>
    <w:rsid w:val="00243709"/>
    <w:rsid w:val="00243CDA"/>
    <w:rsid w:val="00244BC8"/>
    <w:rsid w:val="00245F3B"/>
    <w:rsid w:val="00245FE3"/>
    <w:rsid w:val="00246C22"/>
    <w:rsid w:val="00246CCB"/>
    <w:rsid w:val="00247A8E"/>
    <w:rsid w:val="00247AE3"/>
    <w:rsid w:val="00250C3C"/>
    <w:rsid w:val="00252421"/>
    <w:rsid w:val="00252CB0"/>
    <w:rsid w:val="00252D8E"/>
    <w:rsid w:val="00254514"/>
    <w:rsid w:val="00254E34"/>
    <w:rsid w:val="0025516C"/>
    <w:rsid w:val="0025609B"/>
    <w:rsid w:val="00256322"/>
    <w:rsid w:val="00256A42"/>
    <w:rsid w:val="00256F63"/>
    <w:rsid w:val="002603E0"/>
    <w:rsid w:val="0026196E"/>
    <w:rsid w:val="00262E2C"/>
    <w:rsid w:val="00263D0B"/>
    <w:rsid w:val="00265CEC"/>
    <w:rsid w:val="00267AAE"/>
    <w:rsid w:val="0027116D"/>
    <w:rsid w:val="00271385"/>
    <w:rsid w:val="00271BE7"/>
    <w:rsid w:val="0027265A"/>
    <w:rsid w:val="00272AC7"/>
    <w:rsid w:val="00273B53"/>
    <w:rsid w:val="00274DF6"/>
    <w:rsid w:val="0027523F"/>
    <w:rsid w:val="0027547D"/>
    <w:rsid w:val="0027593C"/>
    <w:rsid w:val="00275EC6"/>
    <w:rsid w:val="0028013D"/>
    <w:rsid w:val="002801CF"/>
    <w:rsid w:val="00280C2E"/>
    <w:rsid w:val="00281511"/>
    <w:rsid w:val="002817B1"/>
    <w:rsid w:val="00281933"/>
    <w:rsid w:val="00282802"/>
    <w:rsid w:val="00282AD7"/>
    <w:rsid w:val="00282E8F"/>
    <w:rsid w:val="00285C51"/>
    <w:rsid w:val="00286E47"/>
    <w:rsid w:val="00287A53"/>
    <w:rsid w:val="00290F2B"/>
    <w:rsid w:val="002913EB"/>
    <w:rsid w:val="00291D8A"/>
    <w:rsid w:val="0029399E"/>
    <w:rsid w:val="002948D2"/>
    <w:rsid w:val="002967A3"/>
    <w:rsid w:val="00296F54"/>
    <w:rsid w:val="002978A6"/>
    <w:rsid w:val="002A1BB9"/>
    <w:rsid w:val="002A1F22"/>
    <w:rsid w:val="002A2129"/>
    <w:rsid w:val="002A2E83"/>
    <w:rsid w:val="002A3235"/>
    <w:rsid w:val="002A33E7"/>
    <w:rsid w:val="002A3712"/>
    <w:rsid w:val="002A3C45"/>
    <w:rsid w:val="002A57E8"/>
    <w:rsid w:val="002A5AAF"/>
    <w:rsid w:val="002A6D1E"/>
    <w:rsid w:val="002B0E60"/>
    <w:rsid w:val="002B318F"/>
    <w:rsid w:val="002B343A"/>
    <w:rsid w:val="002B358D"/>
    <w:rsid w:val="002B3783"/>
    <w:rsid w:val="002C05CF"/>
    <w:rsid w:val="002C0A8A"/>
    <w:rsid w:val="002C192D"/>
    <w:rsid w:val="002C3210"/>
    <w:rsid w:val="002C3534"/>
    <w:rsid w:val="002C36B5"/>
    <w:rsid w:val="002C4A9F"/>
    <w:rsid w:val="002C4DD4"/>
    <w:rsid w:val="002C5989"/>
    <w:rsid w:val="002C79E2"/>
    <w:rsid w:val="002C7E75"/>
    <w:rsid w:val="002D1D10"/>
    <w:rsid w:val="002D229D"/>
    <w:rsid w:val="002D2911"/>
    <w:rsid w:val="002D2CC6"/>
    <w:rsid w:val="002D4440"/>
    <w:rsid w:val="002D5859"/>
    <w:rsid w:val="002D63D8"/>
    <w:rsid w:val="002D75C0"/>
    <w:rsid w:val="002E032E"/>
    <w:rsid w:val="002E0506"/>
    <w:rsid w:val="002E0928"/>
    <w:rsid w:val="002E31C7"/>
    <w:rsid w:val="002E3925"/>
    <w:rsid w:val="002E3AC4"/>
    <w:rsid w:val="002E4EEE"/>
    <w:rsid w:val="002F04BA"/>
    <w:rsid w:val="002F0FCC"/>
    <w:rsid w:val="002F1240"/>
    <w:rsid w:val="002F1622"/>
    <w:rsid w:val="002F285A"/>
    <w:rsid w:val="002F2D93"/>
    <w:rsid w:val="002F32C5"/>
    <w:rsid w:val="002F379E"/>
    <w:rsid w:val="002F4945"/>
    <w:rsid w:val="002F5BB7"/>
    <w:rsid w:val="002F6CFF"/>
    <w:rsid w:val="002F6F16"/>
    <w:rsid w:val="002F7BBC"/>
    <w:rsid w:val="003004E6"/>
    <w:rsid w:val="00300F12"/>
    <w:rsid w:val="00302780"/>
    <w:rsid w:val="003027CC"/>
    <w:rsid w:val="003032DC"/>
    <w:rsid w:val="003033FB"/>
    <w:rsid w:val="003042DA"/>
    <w:rsid w:val="00304F56"/>
    <w:rsid w:val="003051C7"/>
    <w:rsid w:val="003053A0"/>
    <w:rsid w:val="003068F4"/>
    <w:rsid w:val="00307B53"/>
    <w:rsid w:val="00307FC9"/>
    <w:rsid w:val="003107C9"/>
    <w:rsid w:val="003113C0"/>
    <w:rsid w:val="00311454"/>
    <w:rsid w:val="00311C80"/>
    <w:rsid w:val="00313151"/>
    <w:rsid w:val="003144A8"/>
    <w:rsid w:val="00314FF6"/>
    <w:rsid w:val="003164EF"/>
    <w:rsid w:val="00316B0B"/>
    <w:rsid w:val="00317665"/>
    <w:rsid w:val="0032045A"/>
    <w:rsid w:val="00322350"/>
    <w:rsid w:val="00322A08"/>
    <w:rsid w:val="00325C6F"/>
    <w:rsid w:val="00326A2A"/>
    <w:rsid w:val="0032720F"/>
    <w:rsid w:val="00327517"/>
    <w:rsid w:val="00327717"/>
    <w:rsid w:val="003304E1"/>
    <w:rsid w:val="00331C35"/>
    <w:rsid w:val="0033232D"/>
    <w:rsid w:val="003327DB"/>
    <w:rsid w:val="00332E10"/>
    <w:rsid w:val="00332F3B"/>
    <w:rsid w:val="003359EC"/>
    <w:rsid w:val="00335DBD"/>
    <w:rsid w:val="003364FF"/>
    <w:rsid w:val="00340AD1"/>
    <w:rsid w:val="00341410"/>
    <w:rsid w:val="00341BFA"/>
    <w:rsid w:val="00342603"/>
    <w:rsid w:val="00342FA0"/>
    <w:rsid w:val="00343E72"/>
    <w:rsid w:val="00344E78"/>
    <w:rsid w:val="00347137"/>
    <w:rsid w:val="00347676"/>
    <w:rsid w:val="00351078"/>
    <w:rsid w:val="00351690"/>
    <w:rsid w:val="00352385"/>
    <w:rsid w:val="003526EC"/>
    <w:rsid w:val="003532BC"/>
    <w:rsid w:val="003543D8"/>
    <w:rsid w:val="0035544D"/>
    <w:rsid w:val="003559FA"/>
    <w:rsid w:val="00356B62"/>
    <w:rsid w:val="00356C3D"/>
    <w:rsid w:val="00360C9A"/>
    <w:rsid w:val="00362B4A"/>
    <w:rsid w:val="0036301E"/>
    <w:rsid w:val="0036371C"/>
    <w:rsid w:val="00363E91"/>
    <w:rsid w:val="00365276"/>
    <w:rsid w:val="0036632F"/>
    <w:rsid w:val="003668C1"/>
    <w:rsid w:val="00366F95"/>
    <w:rsid w:val="0036704B"/>
    <w:rsid w:val="0036797A"/>
    <w:rsid w:val="00367AC5"/>
    <w:rsid w:val="0037094D"/>
    <w:rsid w:val="00371365"/>
    <w:rsid w:val="00371B1B"/>
    <w:rsid w:val="00371B1F"/>
    <w:rsid w:val="0037232C"/>
    <w:rsid w:val="0037247D"/>
    <w:rsid w:val="0037287F"/>
    <w:rsid w:val="00372CBB"/>
    <w:rsid w:val="00372E4A"/>
    <w:rsid w:val="003736F1"/>
    <w:rsid w:val="00376E24"/>
    <w:rsid w:val="00381A18"/>
    <w:rsid w:val="0038214B"/>
    <w:rsid w:val="00382389"/>
    <w:rsid w:val="003846CB"/>
    <w:rsid w:val="00385A09"/>
    <w:rsid w:val="00385BA5"/>
    <w:rsid w:val="00387F6C"/>
    <w:rsid w:val="003908D4"/>
    <w:rsid w:val="00390EA3"/>
    <w:rsid w:val="00390ED8"/>
    <w:rsid w:val="0039108E"/>
    <w:rsid w:val="00392BBF"/>
    <w:rsid w:val="00393494"/>
    <w:rsid w:val="003939C3"/>
    <w:rsid w:val="00393CE6"/>
    <w:rsid w:val="00395794"/>
    <w:rsid w:val="00395A74"/>
    <w:rsid w:val="00395AA4"/>
    <w:rsid w:val="00397807"/>
    <w:rsid w:val="003978C9"/>
    <w:rsid w:val="003A03C1"/>
    <w:rsid w:val="003A1FD9"/>
    <w:rsid w:val="003A454F"/>
    <w:rsid w:val="003A6923"/>
    <w:rsid w:val="003A6D78"/>
    <w:rsid w:val="003B094A"/>
    <w:rsid w:val="003B0D41"/>
    <w:rsid w:val="003B18AB"/>
    <w:rsid w:val="003B1C38"/>
    <w:rsid w:val="003B1DCE"/>
    <w:rsid w:val="003B32DF"/>
    <w:rsid w:val="003B3526"/>
    <w:rsid w:val="003B3E99"/>
    <w:rsid w:val="003B44F5"/>
    <w:rsid w:val="003B5988"/>
    <w:rsid w:val="003B5D6A"/>
    <w:rsid w:val="003C1A4E"/>
    <w:rsid w:val="003C2154"/>
    <w:rsid w:val="003E0B75"/>
    <w:rsid w:val="003E186F"/>
    <w:rsid w:val="003E18D5"/>
    <w:rsid w:val="003E1D72"/>
    <w:rsid w:val="003E34BF"/>
    <w:rsid w:val="003E4731"/>
    <w:rsid w:val="003E4982"/>
    <w:rsid w:val="003E5DE8"/>
    <w:rsid w:val="003E5EC7"/>
    <w:rsid w:val="003E6BB4"/>
    <w:rsid w:val="003E7013"/>
    <w:rsid w:val="003F02A6"/>
    <w:rsid w:val="003F14A0"/>
    <w:rsid w:val="003F4E20"/>
    <w:rsid w:val="003F56A6"/>
    <w:rsid w:val="003F6F13"/>
    <w:rsid w:val="00400190"/>
    <w:rsid w:val="00402E62"/>
    <w:rsid w:val="00404E1B"/>
    <w:rsid w:val="0040532B"/>
    <w:rsid w:val="00405382"/>
    <w:rsid w:val="004059C1"/>
    <w:rsid w:val="00406926"/>
    <w:rsid w:val="00406D07"/>
    <w:rsid w:val="00410C0B"/>
    <w:rsid w:val="0041316F"/>
    <w:rsid w:val="004133E0"/>
    <w:rsid w:val="0041417C"/>
    <w:rsid w:val="0041459B"/>
    <w:rsid w:val="00414F2B"/>
    <w:rsid w:val="004154DE"/>
    <w:rsid w:val="00415AC6"/>
    <w:rsid w:val="00415CC9"/>
    <w:rsid w:val="00415EC4"/>
    <w:rsid w:val="004165D8"/>
    <w:rsid w:val="00416733"/>
    <w:rsid w:val="00416DE7"/>
    <w:rsid w:val="00416F2D"/>
    <w:rsid w:val="00417D99"/>
    <w:rsid w:val="00417EDC"/>
    <w:rsid w:val="00420158"/>
    <w:rsid w:val="0042315C"/>
    <w:rsid w:val="0042327A"/>
    <w:rsid w:val="00423E30"/>
    <w:rsid w:val="004244EA"/>
    <w:rsid w:val="00424FCF"/>
    <w:rsid w:val="004255CC"/>
    <w:rsid w:val="0042733D"/>
    <w:rsid w:val="004307DE"/>
    <w:rsid w:val="00431D0F"/>
    <w:rsid w:val="00432031"/>
    <w:rsid w:val="00432B4F"/>
    <w:rsid w:val="004336D5"/>
    <w:rsid w:val="00435AF5"/>
    <w:rsid w:val="00435B07"/>
    <w:rsid w:val="00436374"/>
    <w:rsid w:val="0043678A"/>
    <w:rsid w:val="0043683B"/>
    <w:rsid w:val="00437192"/>
    <w:rsid w:val="00440AAB"/>
    <w:rsid w:val="0044350F"/>
    <w:rsid w:val="00443696"/>
    <w:rsid w:val="00443B8E"/>
    <w:rsid w:val="00446490"/>
    <w:rsid w:val="00446716"/>
    <w:rsid w:val="004472FD"/>
    <w:rsid w:val="0044746B"/>
    <w:rsid w:val="00447F2C"/>
    <w:rsid w:val="0045047C"/>
    <w:rsid w:val="00452D8E"/>
    <w:rsid w:val="00453023"/>
    <w:rsid w:val="00453403"/>
    <w:rsid w:val="0045384D"/>
    <w:rsid w:val="0045409A"/>
    <w:rsid w:val="004543F1"/>
    <w:rsid w:val="004549E0"/>
    <w:rsid w:val="00456EC6"/>
    <w:rsid w:val="00460627"/>
    <w:rsid w:val="004629C0"/>
    <w:rsid w:val="004632F4"/>
    <w:rsid w:val="004639F7"/>
    <w:rsid w:val="00463B81"/>
    <w:rsid w:val="00465A7E"/>
    <w:rsid w:val="004679BD"/>
    <w:rsid w:val="00467B2F"/>
    <w:rsid w:val="00470674"/>
    <w:rsid w:val="00471BC2"/>
    <w:rsid w:val="0047236D"/>
    <w:rsid w:val="00472FC3"/>
    <w:rsid w:val="0047328A"/>
    <w:rsid w:val="0047347C"/>
    <w:rsid w:val="00474C84"/>
    <w:rsid w:val="00474D2E"/>
    <w:rsid w:val="0047544D"/>
    <w:rsid w:val="00475C7E"/>
    <w:rsid w:val="0047797E"/>
    <w:rsid w:val="00480369"/>
    <w:rsid w:val="004809A1"/>
    <w:rsid w:val="00480FFB"/>
    <w:rsid w:val="00481827"/>
    <w:rsid w:val="0048224C"/>
    <w:rsid w:val="00482647"/>
    <w:rsid w:val="00482720"/>
    <w:rsid w:val="00482DAF"/>
    <w:rsid w:val="004830B8"/>
    <w:rsid w:val="00483B3E"/>
    <w:rsid w:val="00484608"/>
    <w:rsid w:val="004857FD"/>
    <w:rsid w:val="00485FB1"/>
    <w:rsid w:val="00486D98"/>
    <w:rsid w:val="004872A0"/>
    <w:rsid w:val="00487F6E"/>
    <w:rsid w:val="004906DE"/>
    <w:rsid w:val="00490F9F"/>
    <w:rsid w:val="00492F27"/>
    <w:rsid w:val="00493128"/>
    <w:rsid w:val="00493D07"/>
    <w:rsid w:val="00495258"/>
    <w:rsid w:val="00495D21"/>
    <w:rsid w:val="004970A8"/>
    <w:rsid w:val="00497819"/>
    <w:rsid w:val="004A00C2"/>
    <w:rsid w:val="004A1543"/>
    <w:rsid w:val="004A1577"/>
    <w:rsid w:val="004A1782"/>
    <w:rsid w:val="004A1E8C"/>
    <w:rsid w:val="004A2BC9"/>
    <w:rsid w:val="004A3B89"/>
    <w:rsid w:val="004A5486"/>
    <w:rsid w:val="004A5E5F"/>
    <w:rsid w:val="004A670B"/>
    <w:rsid w:val="004A696A"/>
    <w:rsid w:val="004A794B"/>
    <w:rsid w:val="004A7FE5"/>
    <w:rsid w:val="004B137A"/>
    <w:rsid w:val="004B14AF"/>
    <w:rsid w:val="004B2983"/>
    <w:rsid w:val="004B3FB5"/>
    <w:rsid w:val="004B4861"/>
    <w:rsid w:val="004B7D1C"/>
    <w:rsid w:val="004B7EB4"/>
    <w:rsid w:val="004B7F5C"/>
    <w:rsid w:val="004C02BA"/>
    <w:rsid w:val="004C0A95"/>
    <w:rsid w:val="004C2B28"/>
    <w:rsid w:val="004C2E83"/>
    <w:rsid w:val="004C3196"/>
    <w:rsid w:val="004C52C0"/>
    <w:rsid w:val="004C55E0"/>
    <w:rsid w:val="004C55FB"/>
    <w:rsid w:val="004C5D93"/>
    <w:rsid w:val="004C5EAA"/>
    <w:rsid w:val="004C6A05"/>
    <w:rsid w:val="004C7D8C"/>
    <w:rsid w:val="004D0224"/>
    <w:rsid w:val="004D0821"/>
    <w:rsid w:val="004D1519"/>
    <w:rsid w:val="004D206F"/>
    <w:rsid w:val="004D25C0"/>
    <w:rsid w:val="004D2F72"/>
    <w:rsid w:val="004D4E9D"/>
    <w:rsid w:val="004D513C"/>
    <w:rsid w:val="004D5A04"/>
    <w:rsid w:val="004D5D82"/>
    <w:rsid w:val="004D6195"/>
    <w:rsid w:val="004D785F"/>
    <w:rsid w:val="004E066E"/>
    <w:rsid w:val="004E0B53"/>
    <w:rsid w:val="004E1B55"/>
    <w:rsid w:val="004E1FAF"/>
    <w:rsid w:val="004E201B"/>
    <w:rsid w:val="004E441B"/>
    <w:rsid w:val="004E447A"/>
    <w:rsid w:val="004E48C7"/>
    <w:rsid w:val="004E4B81"/>
    <w:rsid w:val="004E5277"/>
    <w:rsid w:val="004E56D3"/>
    <w:rsid w:val="004E6F29"/>
    <w:rsid w:val="004F001B"/>
    <w:rsid w:val="004F074E"/>
    <w:rsid w:val="004F083A"/>
    <w:rsid w:val="004F197A"/>
    <w:rsid w:val="004F1A79"/>
    <w:rsid w:val="004F4942"/>
    <w:rsid w:val="004F4B83"/>
    <w:rsid w:val="004F648B"/>
    <w:rsid w:val="004F7098"/>
    <w:rsid w:val="00500601"/>
    <w:rsid w:val="00500C70"/>
    <w:rsid w:val="00500DD2"/>
    <w:rsid w:val="00500F48"/>
    <w:rsid w:val="00501F74"/>
    <w:rsid w:val="0050337D"/>
    <w:rsid w:val="00503E09"/>
    <w:rsid w:val="005052F1"/>
    <w:rsid w:val="0050543C"/>
    <w:rsid w:val="00505542"/>
    <w:rsid w:val="00505C59"/>
    <w:rsid w:val="005069A1"/>
    <w:rsid w:val="005070BA"/>
    <w:rsid w:val="00507946"/>
    <w:rsid w:val="00512197"/>
    <w:rsid w:val="005124B5"/>
    <w:rsid w:val="00512643"/>
    <w:rsid w:val="005126FE"/>
    <w:rsid w:val="00512A25"/>
    <w:rsid w:val="00512E51"/>
    <w:rsid w:val="00513C1E"/>
    <w:rsid w:val="00516975"/>
    <w:rsid w:val="00516A3B"/>
    <w:rsid w:val="005178F7"/>
    <w:rsid w:val="00520EF8"/>
    <w:rsid w:val="00521A76"/>
    <w:rsid w:val="00521B38"/>
    <w:rsid w:val="00522454"/>
    <w:rsid w:val="00530E00"/>
    <w:rsid w:val="005310D8"/>
    <w:rsid w:val="005319F6"/>
    <w:rsid w:val="00531D33"/>
    <w:rsid w:val="005328AE"/>
    <w:rsid w:val="005329A0"/>
    <w:rsid w:val="0053336C"/>
    <w:rsid w:val="00535C7E"/>
    <w:rsid w:val="00535D40"/>
    <w:rsid w:val="00536296"/>
    <w:rsid w:val="00536FE8"/>
    <w:rsid w:val="0053700F"/>
    <w:rsid w:val="005374F0"/>
    <w:rsid w:val="00540B36"/>
    <w:rsid w:val="00541383"/>
    <w:rsid w:val="005437C7"/>
    <w:rsid w:val="005450BB"/>
    <w:rsid w:val="00545689"/>
    <w:rsid w:val="00547442"/>
    <w:rsid w:val="00547B6B"/>
    <w:rsid w:val="005501CC"/>
    <w:rsid w:val="005515CB"/>
    <w:rsid w:val="00552A96"/>
    <w:rsid w:val="00554985"/>
    <w:rsid w:val="00554AED"/>
    <w:rsid w:val="00555249"/>
    <w:rsid w:val="0055612F"/>
    <w:rsid w:val="00556419"/>
    <w:rsid w:val="00557BD0"/>
    <w:rsid w:val="00561737"/>
    <w:rsid w:val="00561A20"/>
    <w:rsid w:val="00562BB4"/>
    <w:rsid w:val="005630E9"/>
    <w:rsid w:val="005636AC"/>
    <w:rsid w:val="00564B76"/>
    <w:rsid w:val="005655A1"/>
    <w:rsid w:val="00565D1B"/>
    <w:rsid w:val="00566A95"/>
    <w:rsid w:val="005707C5"/>
    <w:rsid w:val="00570A84"/>
    <w:rsid w:val="00573E4E"/>
    <w:rsid w:val="00575757"/>
    <w:rsid w:val="005757BA"/>
    <w:rsid w:val="00577040"/>
    <w:rsid w:val="0058072B"/>
    <w:rsid w:val="005809A5"/>
    <w:rsid w:val="00581849"/>
    <w:rsid w:val="00581898"/>
    <w:rsid w:val="00581D6D"/>
    <w:rsid w:val="00582712"/>
    <w:rsid w:val="00583980"/>
    <w:rsid w:val="00584292"/>
    <w:rsid w:val="00584415"/>
    <w:rsid w:val="005879F7"/>
    <w:rsid w:val="005904B9"/>
    <w:rsid w:val="00594E97"/>
    <w:rsid w:val="0059662E"/>
    <w:rsid w:val="00596D43"/>
    <w:rsid w:val="00597B64"/>
    <w:rsid w:val="005A0F9F"/>
    <w:rsid w:val="005A119E"/>
    <w:rsid w:val="005A21C9"/>
    <w:rsid w:val="005A2A93"/>
    <w:rsid w:val="005A3B90"/>
    <w:rsid w:val="005A4B30"/>
    <w:rsid w:val="005A5C17"/>
    <w:rsid w:val="005A5C72"/>
    <w:rsid w:val="005A6740"/>
    <w:rsid w:val="005A7185"/>
    <w:rsid w:val="005B149E"/>
    <w:rsid w:val="005B1ED3"/>
    <w:rsid w:val="005B1F2C"/>
    <w:rsid w:val="005B362D"/>
    <w:rsid w:val="005B3FC4"/>
    <w:rsid w:val="005B5502"/>
    <w:rsid w:val="005B6BBA"/>
    <w:rsid w:val="005B7350"/>
    <w:rsid w:val="005B7DF8"/>
    <w:rsid w:val="005C1268"/>
    <w:rsid w:val="005C1F9D"/>
    <w:rsid w:val="005C2D27"/>
    <w:rsid w:val="005C466E"/>
    <w:rsid w:val="005C4A28"/>
    <w:rsid w:val="005D1966"/>
    <w:rsid w:val="005D2461"/>
    <w:rsid w:val="005D3A10"/>
    <w:rsid w:val="005D3F81"/>
    <w:rsid w:val="005D559F"/>
    <w:rsid w:val="005D7036"/>
    <w:rsid w:val="005D7322"/>
    <w:rsid w:val="005D7B09"/>
    <w:rsid w:val="005D7FFE"/>
    <w:rsid w:val="005E16A3"/>
    <w:rsid w:val="005E18A9"/>
    <w:rsid w:val="005E1FDD"/>
    <w:rsid w:val="005E25B1"/>
    <w:rsid w:val="005E2BE4"/>
    <w:rsid w:val="005E3DC6"/>
    <w:rsid w:val="005E3FB2"/>
    <w:rsid w:val="005E4BB0"/>
    <w:rsid w:val="005E4D08"/>
    <w:rsid w:val="005E66ED"/>
    <w:rsid w:val="005E6AA8"/>
    <w:rsid w:val="005E7A25"/>
    <w:rsid w:val="005E7C69"/>
    <w:rsid w:val="005F0207"/>
    <w:rsid w:val="005F0D41"/>
    <w:rsid w:val="005F1461"/>
    <w:rsid w:val="005F3821"/>
    <w:rsid w:val="005F4D66"/>
    <w:rsid w:val="005F515D"/>
    <w:rsid w:val="005F51F1"/>
    <w:rsid w:val="005F600A"/>
    <w:rsid w:val="005F6E1E"/>
    <w:rsid w:val="005F7F36"/>
    <w:rsid w:val="005F7F5A"/>
    <w:rsid w:val="006000AD"/>
    <w:rsid w:val="006004B4"/>
    <w:rsid w:val="00600EFE"/>
    <w:rsid w:val="00602D25"/>
    <w:rsid w:val="0060352F"/>
    <w:rsid w:val="006038F4"/>
    <w:rsid w:val="0060475E"/>
    <w:rsid w:val="00606F80"/>
    <w:rsid w:val="00607EBC"/>
    <w:rsid w:val="006104EA"/>
    <w:rsid w:val="00610BEB"/>
    <w:rsid w:val="00611F01"/>
    <w:rsid w:val="0061232C"/>
    <w:rsid w:val="006141D4"/>
    <w:rsid w:val="00614DFB"/>
    <w:rsid w:val="006162F6"/>
    <w:rsid w:val="00616BD3"/>
    <w:rsid w:val="0061764E"/>
    <w:rsid w:val="00617D4E"/>
    <w:rsid w:val="00620483"/>
    <w:rsid w:val="00620960"/>
    <w:rsid w:val="00624248"/>
    <w:rsid w:val="0062509D"/>
    <w:rsid w:val="00626FB0"/>
    <w:rsid w:val="00627184"/>
    <w:rsid w:val="006272E1"/>
    <w:rsid w:val="006275C7"/>
    <w:rsid w:val="00627B79"/>
    <w:rsid w:val="00630B20"/>
    <w:rsid w:val="00630D32"/>
    <w:rsid w:val="00631DF7"/>
    <w:rsid w:val="00632760"/>
    <w:rsid w:val="00632C37"/>
    <w:rsid w:val="0063494B"/>
    <w:rsid w:val="00634D88"/>
    <w:rsid w:val="0063514A"/>
    <w:rsid w:val="006352E6"/>
    <w:rsid w:val="006357CD"/>
    <w:rsid w:val="00636CC5"/>
    <w:rsid w:val="00637BA5"/>
    <w:rsid w:val="00637E81"/>
    <w:rsid w:val="00641C2A"/>
    <w:rsid w:val="006428E7"/>
    <w:rsid w:val="00644630"/>
    <w:rsid w:val="006461FD"/>
    <w:rsid w:val="006463F0"/>
    <w:rsid w:val="00646CCE"/>
    <w:rsid w:val="00652231"/>
    <w:rsid w:val="006526E0"/>
    <w:rsid w:val="00652845"/>
    <w:rsid w:val="00654ECA"/>
    <w:rsid w:val="006551CC"/>
    <w:rsid w:val="00655BC8"/>
    <w:rsid w:val="00656FA5"/>
    <w:rsid w:val="006574E6"/>
    <w:rsid w:val="00660460"/>
    <w:rsid w:val="0066436B"/>
    <w:rsid w:val="00665833"/>
    <w:rsid w:val="006706E6"/>
    <w:rsid w:val="00671A97"/>
    <w:rsid w:val="00671F4D"/>
    <w:rsid w:val="00673640"/>
    <w:rsid w:val="0067690F"/>
    <w:rsid w:val="0067693B"/>
    <w:rsid w:val="00676E9D"/>
    <w:rsid w:val="00676FBD"/>
    <w:rsid w:val="006776B2"/>
    <w:rsid w:val="0068027E"/>
    <w:rsid w:val="00681244"/>
    <w:rsid w:val="0068346F"/>
    <w:rsid w:val="006848F2"/>
    <w:rsid w:val="00684D6C"/>
    <w:rsid w:val="0068529E"/>
    <w:rsid w:val="006856CA"/>
    <w:rsid w:val="00686064"/>
    <w:rsid w:val="006869E8"/>
    <w:rsid w:val="006903E3"/>
    <w:rsid w:val="00690C9D"/>
    <w:rsid w:val="00691127"/>
    <w:rsid w:val="00691658"/>
    <w:rsid w:val="00692591"/>
    <w:rsid w:val="006927D0"/>
    <w:rsid w:val="0069302F"/>
    <w:rsid w:val="00693812"/>
    <w:rsid w:val="00693AA1"/>
    <w:rsid w:val="00695F0C"/>
    <w:rsid w:val="00696FC9"/>
    <w:rsid w:val="00697681"/>
    <w:rsid w:val="0069785B"/>
    <w:rsid w:val="006A1805"/>
    <w:rsid w:val="006A2B7B"/>
    <w:rsid w:val="006A37E7"/>
    <w:rsid w:val="006A3E73"/>
    <w:rsid w:val="006A4F00"/>
    <w:rsid w:val="006A77AE"/>
    <w:rsid w:val="006A78D7"/>
    <w:rsid w:val="006A7C07"/>
    <w:rsid w:val="006B3B91"/>
    <w:rsid w:val="006B4AB2"/>
    <w:rsid w:val="006B4D10"/>
    <w:rsid w:val="006B4FDD"/>
    <w:rsid w:val="006B5561"/>
    <w:rsid w:val="006B61D1"/>
    <w:rsid w:val="006C0232"/>
    <w:rsid w:val="006C0B8C"/>
    <w:rsid w:val="006C21D9"/>
    <w:rsid w:val="006C3BE6"/>
    <w:rsid w:val="006C54A5"/>
    <w:rsid w:val="006C555E"/>
    <w:rsid w:val="006C61D9"/>
    <w:rsid w:val="006C6608"/>
    <w:rsid w:val="006C6C3A"/>
    <w:rsid w:val="006C742C"/>
    <w:rsid w:val="006C7620"/>
    <w:rsid w:val="006C79C2"/>
    <w:rsid w:val="006C7A94"/>
    <w:rsid w:val="006C7AB2"/>
    <w:rsid w:val="006D044E"/>
    <w:rsid w:val="006D1752"/>
    <w:rsid w:val="006D1E4F"/>
    <w:rsid w:val="006D22A6"/>
    <w:rsid w:val="006D23A6"/>
    <w:rsid w:val="006D4C7B"/>
    <w:rsid w:val="006D4F90"/>
    <w:rsid w:val="006D5B18"/>
    <w:rsid w:val="006D665A"/>
    <w:rsid w:val="006D67CC"/>
    <w:rsid w:val="006E05D6"/>
    <w:rsid w:val="006E07FE"/>
    <w:rsid w:val="006E0C6F"/>
    <w:rsid w:val="006E3A59"/>
    <w:rsid w:val="006E3F9B"/>
    <w:rsid w:val="006E79C6"/>
    <w:rsid w:val="006F1177"/>
    <w:rsid w:val="006F18B4"/>
    <w:rsid w:val="006F1DF6"/>
    <w:rsid w:val="006F23FB"/>
    <w:rsid w:val="006F27B7"/>
    <w:rsid w:val="006F2973"/>
    <w:rsid w:val="006F30C7"/>
    <w:rsid w:val="006F3779"/>
    <w:rsid w:val="006F3B6D"/>
    <w:rsid w:val="006F423D"/>
    <w:rsid w:val="006F5E54"/>
    <w:rsid w:val="006F7641"/>
    <w:rsid w:val="006F76ED"/>
    <w:rsid w:val="006F7AA8"/>
    <w:rsid w:val="006F7B15"/>
    <w:rsid w:val="00700E3F"/>
    <w:rsid w:val="0070236F"/>
    <w:rsid w:val="00702379"/>
    <w:rsid w:val="0070258A"/>
    <w:rsid w:val="00702ACA"/>
    <w:rsid w:val="00703E3E"/>
    <w:rsid w:val="007045C1"/>
    <w:rsid w:val="00705F74"/>
    <w:rsid w:val="00706452"/>
    <w:rsid w:val="007064D6"/>
    <w:rsid w:val="007067E3"/>
    <w:rsid w:val="007104E6"/>
    <w:rsid w:val="00710A77"/>
    <w:rsid w:val="00711477"/>
    <w:rsid w:val="007136DA"/>
    <w:rsid w:val="00713B61"/>
    <w:rsid w:val="00714AE4"/>
    <w:rsid w:val="007168EC"/>
    <w:rsid w:val="00717A4A"/>
    <w:rsid w:val="00724519"/>
    <w:rsid w:val="00724CAB"/>
    <w:rsid w:val="00724D6B"/>
    <w:rsid w:val="00725B43"/>
    <w:rsid w:val="00726708"/>
    <w:rsid w:val="00726D46"/>
    <w:rsid w:val="00730187"/>
    <w:rsid w:val="007333C8"/>
    <w:rsid w:val="007346E3"/>
    <w:rsid w:val="0073487C"/>
    <w:rsid w:val="0073565A"/>
    <w:rsid w:val="00735EF6"/>
    <w:rsid w:val="00736B4E"/>
    <w:rsid w:val="00736D6F"/>
    <w:rsid w:val="007372DF"/>
    <w:rsid w:val="007407DB"/>
    <w:rsid w:val="007441CE"/>
    <w:rsid w:val="007463A0"/>
    <w:rsid w:val="0074669A"/>
    <w:rsid w:val="00750A3B"/>
    <w:rsid w:val="00751881"/>
    <w:rsid w:val="00751A37"/>
    <w:rsid w:val="00752502"/>
    <w:rsid w:val="0075695E"/>
    <w:rsid w:val="00757738"/>
    <w:rsid w:val="0076052E"/>
    <w:rsid w:val="00760530"/>
    <w:rsid w:val="00762ED2"/>
    <w:rsid w:val="0076510C"/>
    <w:rsid w:val="0076769A"/>
    <w:rsid w:val="0076792C"/>
    <w:rsid w:val="00770C73"/>
    <w:rsid w:val="00770D25"/>
    <w:rsid w:val="007715C8"/>
    <w:rsid w:val="00771A3A"/>
    <w:rsid w:val="00771CE6"/>
    <w:rsid w:val="00771E6A"/>
    <w:rsid w:val="0077251E"/>
    <w:rsid w:val="007728DF"/>
    <w:rsid w:val="00772CB9"/>
    <w:rsid w:val="00773095"/>
    <w:rsid w:val="007733C6"/>
    <w:rsid w:val="0077483D"/>
    <w:rsid w:val="00775812"/>
    <w:rsid w:val="00775888"/>
    <w:rsid w:val="00775E3E"/>
    <w:rsid w:val="00776932"/>
    <w:rsid w:val="00777701"/>
    <w:rsid w:val="0077778E"/>
    <w:rsid w:val="00777815"/>
    <w:rsid w:val="00777FE3"/>
    <w:rsid w:val="00781776"/>
    <w:rsid w:val="00781F86"/>
    <w:rsid w:val="0078238A"/>
    <w:rsid w:val="00782A21"/>
    <w:rsid w:val="0078372C"/>
    <w:rsid w:val="00783D42"/>
    <w:rsid w:val="00783FBE"/>
    <w:rsid w:val="007851D2"/>
    <w:rsid w:val="007851F3"/>
    <w:rsid w:val="0078569A"/>
    <w:rsid w:val="0078678C"/>
    <w:rsid w:val="00787CFC"/>
    <w:rsid w:val="00790BD4"/>
    <w:rsid w:val="00791299"/>
    <w:rsid w:val="00791575"/>
    <w:rsid w:val="0079160A"/>
    <w:rsid w:val="007926F7"/>
    <w:rsid w:val="0079430F"/>
    <w:rsid w:val="00794C4A"/>
    <w:rsid w:val="007961BA"/>
    <w:rsid w:val="007977B6"/>
    <w:rsid w:val="007A0A2C"/>
    <w:rsid w:val="007A102E"/>
    <w:rsid w:val="007A2F50"/>
    <w:rsid w:val="007A3B14"/>
    <w:rsid w:val="007A492E"/>
    <w:rsid w:val="007A505A"/>
    <w:rsid w:val="007A54D2"/>
    <w:rsid w:val="007A5B13"/>
    <w:rsid w:val="007A6344"/>
    <w:rsid w:val="007A6507"/>
    <w:rsid w:val="007A7707"/>
    <w:rsid w:val="007B0B83"/>
    <w:rsid w:val="007B113F"/>
    <w:rsid w:val="007B26FA"/>
    <w:rsid w:val="007B33C5"/>
    <w:rsid w:val="007B33DD"/>
    <w:rsid w:val="007B42A8"/>
    <w:rsid w:val="007B4B1B"/>
    <w:rsid w:val="007B76F7"/>
    <w:rsid w:val="007B7764"/>
    <w:rsid w:val="007C2A22"/>
    <w:rsid w:val="007C3391"/>
    <w:rsid w:val="007C3735"/>
    <w:rsid w:val="007C3CDF"/>
    <w:rsid w:val="007C4F7C"/>
    <w:rsid w:val="007C6692"/>
    <w:rsid w:val="007D0B46"/>
    <w:rsid w:val="007D2FB3"/>
    <w:rsid w:val="007D3046"/>
    <w:rsid w:val="007D4B7E"/>
    <w:rsid w:val="007D5D47"/>
    <w:rsid w:val="007E239E"/>
    <w:rsid w:val="007E4402"/>
    <w:rsid w:val="007E4EFA"/>
    <w:rsid w:val="007E4F49"/>
    <w:rsid w:val="007E67A5"/>
    <w:rsid w:val="007E6F05"/>
    <w:rsid w:val="007E735B"/>
    <w:rsid w:val="007E785D"/>
    <w:rsid w:val="007F3651"/>
    <w:rsid w:val="007F486B"/>
    <w:rsid w:val="007F512D"/>
    <w:rsid w:val="007F63BA"/>
    <w:rsid w:val="007F6BE7"/>
    <w:rsid w:val="007F71FF"/>
    <w:rsid w:val="007F756B"/>
    <w:rsid w:val="00800083"/>
    <w:rsid w:val="00800A8C"/>
    <w:rsid w:val="008031C1"/>
    <w:rsid w:val="00803975"/>
    <w:rsid w:val="00803CA7"/>
    <w:rsid w:val="00804F26"/>
    <w:rsid w:val="0080505E"/>
    <w:rsid w:val="0080543B"/>
    <w:rsid w:val="008056ED"/>
    <w:rsid w:val="0080589B"/>
    <w:rsid w:val="00806C05"/>
    <w:rsid w:val="008071CA"/>
    <w:rsid w:val="00807D3D"/>
    <w:rsid w:val="008103C9"/>
    <w:rsid w:val="00810AB4"/>
    <w:rsid w:val="0081125C"/>
    <w:rsid w:val="008113E4"/>
    <w:rsid w:val="008117EC"/>
    <w:rsid w:val="00812948"/>
    <w:rsid w:val="0081368F"/>
    <w:rsid w:val="008154B9"/>
    <w:rsid w:val="00816124"/>
    <w:rsid w:val="0081613F"/>
    <w:rsid w:val="008174B0"/>
    <w:rsid w:val="00817730"/>
    <w:rsid w:val="00817FE7"/>
    <w:rsid w:val="00820033"/>
    <w:rsid w:val="00821986"/>
    <w:rsid w:val="0082227C"/>
    <w:rsid w:val="00822982"/>
    <w:rsid w:val="00822B28"/>
    <w:rsid w:val="008234BF"/>
    <w:rsid w:val="008239A6"/>
    <w:rsid w:val="0082537E"/>
    <w:rsid w:val="00825DC2"/>
    <w:rsid w:val="00825F15"/>
    <w:rsid w:val="008262C3"/>
    <w:rsid w:val="00826611"/>
    <w:rsid w:val="00827653"/>
    <w:rsid w:val="00830565"/>
    <w:rsid w:val="00832099"/>
    <w:rsid w:val="0083227B"/>
    <w:rsid w:val="00832E0A"/>
    <w:rsid w:val="00834999"/>
    <w:rsid w:val="0083539E"/>
    <w:rsid w:val="00835B13"/>
    <w:rsid w:val="00835C99"/>
    <w:rsid w:val="00835F0A"/>
    <w:rsid w:val="00836627"/>
    <w:rsid w:val="00836778"/>
    <w:rsid w:val="00836CE1"/>
    <w:rsid w:val="008414CE"/>
    <w:rsid w:val="0084225B"/>
    <w:rsid w:val="008425FE"/>
    <w:rsid w:val="008429BE"/>
    <w:rsid w:val="00842CD2"/>
    <w:rsid w:val="0084388B"/>
    <w:rsid w:val="00843F01"/>
    <w:rsid w:val="00844AF1"/>
    <w:rsid w:val="00844FA6"/>
    <w:rsid w:val="00845750"/>
    <w:rsid w:val="00846660"/>
    <w:rsid w:val="0084720E"/>
    <w:rsid w:val="008501F8"/>
    <w:rsid w:val="008501FF"/>
    <w:rsid w:val="00850535"/>
    <w:rsid w:val="00851441"/>
    <w:rsid w:val="00851EBC"/>
    <w:rsid w:val="00851FA3"/>
    <w:rsid w:val="008538AB"/>
    <w:rsid w:val="0086024F"/>
    <w:rsid w:val="00861330"/>
    <w:rsid w:val="0086166B"/>
    <w:rsid w:val="00861FB1"/>
    <w:rsid w:val="008626BF"/>
    <w:rsid w:val="00864842"/>
    <w:rsid w:val="0086719C"/>
    <w:rsid w:val="00867DCD"/>
    <w:rsid w:val="008715E1"/>
    <w:rsid w:val="00871E22"/>
    <w:rsid w:val="00872459"/>
    <w:rsid w:val="00873330"/>
    <w:rsid w:val="00873B6A"/>
    <w:rsid w:val="00874F95"/>
    <w:rsid w:val="00874FA6"/>
    <w:rsid w:val="00876290"/>
    <w:rsid w:val="00876998"/>
    <w:rsid w:val="00876AAD"/>
    <w:rsid w:val="00876DF6"/>
    <w:rsid w:val="00877F22"/>
    <w:rsid w:val="00880D85"/>
    <w:rsid w:val="00883D10"/>
    <w:rsid w:val="00884AF0"/>
    <w:rsid w:val="00886DCC"/>
    <w:rsid w:val="008901AD"/>
    <w:rsid w:val="00891255"/>
    <w:rsid w:val="00891576"/>
    <w:rsid w:val="008916D5"/>
    <w:rsid w:val="00892019"/>
    <w:rsid w:val="00892B0C"/>
    <w:rsid w:val="00892C78"/>
    <w:rsid w:val="00895882"/>
    <w:rsid w:val="008960CD"/>
    <w:rsid w:val="008A51F0"/>
    <w:rsid w:val="008A5D0B"/>
    <w:rsid w:val="008A6861"/>
    <w:rsid w:val="008A6B54"/>
    <w:rsid w:val="008A74DB"/>
    <w:rsid w:val="008A7E63"/>
    <w:rsid w:val="008B2D70"/>
    <w:rsid w:val="008B2F00"/>
    <w:rsid w:val="008B4D1D"/>
    <w:rsid w:val="008B50C9"/>
    <w:rsid w:val="008B6403"/>
    <w:rsid w:val="008B6A94"/>
    <w:rsid w:val="008B71FB"/>
    <w:rsid w:val="008B7872"/>
    <w:rsid w:val="008B7B91"/>
    <w:rsid w:val="008C0704"/>
    <w:rsid w:val="008C076F"/>
    <w:rsid w:val="008C101A"/>
    <w:rsid w:val="008C109D"/>
    <w:rsid w:val="008C12E4"/>
    <w:rsid w:val="008C1831"/>
    <w:rsid w:val="008C3327"/>
    <w:rsid w:val="008C4DB0"/>
    <w:rsid w:val="008C514A"/>
    <w:rsid w:val="008C7274"/>
    <w:rsid w:val="008C73BC"/>
    <w:rsid w:val="008C7454"/>
    <w:rsid w:val="008C756C"/>
    <w:rsid w:val="008C77C2"/>
    <w:rsid w:val="008D014D"/>
    <w:rsid w:val="008D0657"/>
    <w:rsid w:val="008D255A"/>
    <w:rsid w:val="008D38EF"/>
    <w:rsid w:val="008D44DF"/>
    <w:rsid w:val="008D4E63"/>
    <w:rsid w:val="008D5116"/>
    <w:rsid w:val="008D51D3"/>
    <w:rsid w:val="008D64EB"/>
    <w:rsid w:val="008D71C0"/>
    <w:rsid w:val="008E0354"/>
    <w:rsid w:val="008E16EA"/>
    <w:rsid w:val="008E1888"/>
    <w:rsid w:val="008E1E42"/>
    <w:rsid w:val="008E24F6"/>
    <w:rsid w:val="008E5D72"/>
    <w:rsid w:val="008E6059"/>
    <w:rsid w:val="008E688A"/>
    <w:rsid w:val="008F1079"/>
    <w:rsid w:val="008F1563"/>
    <w:rsid w:val="008F16AB"/>
    <w:rsid w:val="008F2833"/>
    <w:rsid w:val="008F3E48"/>
    <w:rsid w:val="008F4AC8"/>
    <w:rsid w:val="009010F8"/>
    <w:rsid w:val="00904101"/>
    <w:rsid w:val="009057AC"/>
    <w:rsid w:val="00906121"/>
    <w:rsid w:val="009073CC"/>
    <w:rsid w:val="00907A66"/>
    <w:rsid w:val="00910D2E"/>
    <w:rsid w:val="00910ECA"/>
    <w:rsid w:val="00911305"/>
    <w:rsid w:val="00911676"/>
    <w:rsid w:val="009118E4"/>
    <w:rsid w:val="00914E69"/>
    <w:rsid w:val="00916E97"/>
    <w:rsid w:val="00917DC4"/>
    <w:rsid w:val="009203C3"/>
    <w:rsid w:val="009204AC"/>
    <w:rsid w:val="009205FF"/>
    <w:rsid w:val="0092126C"/>
    <w:rsid w:val="00922807"/>
    <w:rsid w:val="00923560"/>
    <w:rsid w:val="00923E94"/>
    <w:rsid w:val="00924393"/>
    <w:rsid w:val="009252F2"/>
    <w:rsid w:val="0092552C"/>
    <w:rsid w:val="009277D6"/>
    <w:rsid w:val="009310B3"/>
    <w:rsid w:val="00931913"/>
    <w:rsid w:val="00934303"/>
    <w:rsid w:val="0093463E"/>
    <w:rsid w:val="00934671"/>
    <w:rsid w:val="00935ABA"/>
    <w:rsid w:val="0093763A"/>
    <w:rsid w:val="009408A0"/>
    <w:rsid w:val="00941AAC"/>
    <w:rsid w:val="00941D13"/>
    <w:rsid w:val="00941D37"/>
    <w:rsid w:val="00943248"/>
    <w:rsid w:val="00943E45"/>
    <w:rsid w:val="00945ADB"/>
    <w:rsid w:val="00945E01"/>
    <w:rsid w:val="009467A6"/>
    <w:rsid w:val="009467C9"/>
    <w:rsid w:val="00947B90"/>
    <w:rsid w:val="00951450"/>
    <w:rsid w:val="00951ABC"/>
    <w:rsid w:val="0095259B"/>
    <w:rsid w:val="00953513"/>
    <w:rsid w:val="0095456A"/>
    <w:rsid w:val="009547B0"/>
    <w:rsid w:val="00954B38"/>
    <w:rsid w:val="00955D0D"/>
    <w:rsid w:val="009577E0"/>
    <w:rsid w:val="00957DED"/>
    <w:rsid w:val="00957EB8"/>
    <w:rsid w:val="009607BA"/>
    <w:rsid w:val="009608B7"/>
    <w:rsid w:val="00960B29"/>
    <w:rsid w:val="0096193B"/>
    <w:rsid w:val="00964532"/>
    <w:rsid w:val="00966FD6"/>
    <w:rsid w:val="009671F0"/>
    <w:rsid w:val="009713FA"/>
    <w:rsid w:val="0097215C"/>
    <w:rsid w:val="00972DD9"/>
    <w:rsid w:val="00975C28"/>
    <w:rsid w:val="00976FC1"/>
    <w:rsid w:val="0097764C"/>
    <w:rsid w:val="0098031A"/>
    <w:rsid w:val="0098137A"/>
    <w:rsid w:val="009834D1"/>
    <w:rsid w:val="00984C52"/>
    <w:rsid w:val="00985A2C"/>
    <w:rsid w:val="00985D9E"/>
    <w:rsid w:val="0098689D"/>
    <w:rsid w:val="00987F15"/>
    <w:rsid w:val="009906BD"/>
    <w:rsid w:val="00991294"/>
    <w:rsid w:val="00992663"/>
    <w:rsid w:val="00992A71"/>
    <w:rsid w:val="00993B65"/>
    <w:rsid w:val="00994C2C"/>
    <w:rsid w:val="00996490"/>
    <w:rsid w:val="00997373"/>
    <w:rsid w:val="00997F5C"/>
    <w:rsid w:val="009A0C27"/>
    <w:rsid w:val="009A0DD3"/>
    <w:rsid w:val="009A1321"/>
    <w:rsid w:val="009A208E"/>
    <w:rsid w:val="009A26F2"/>
    <w:rsid w:val="009A29ED"/>
    <w:rsid w:val="009A4000"/>
    <w:rsid w:val="009A42F2"/>
    <w:rsid w:val="009A5F8D"/>
    <w:rsid w:val="009A6708"/>
    <w:rsid w:val="009A6870"/>
    <w:rsid w:val="009A76A6"/>
    <w:rsid w:val="009B0037"/>
    <w:rsid w:val="009B0238"/>
    <w:rsid w:val="009B0284"/>
    <w:rsid w:val="009B1AD4"/>
    <w:rsid w:val="009B2435"/>
    <w:rsid w:val="009B291A"/>
    <w:rsid w:val="009B6B5E"/>
    <w:rsid w:val="009B7089"/>
    <w:rsid w:val="009B760F"/>
    <w:rsid w:val="009C00D0"/>
    <w:rsid w:val="009C0A83"/>
    <w:rsid w:val="009C122C"/>
    <w:rsid w:val="009C1770"/>
    <w:rsid w:val="009C18CC"/>
    <w:rsid w:val="009C2323"/>
    <w:rsid w:val="009C51AE"/>
    <w:rsid w:val="009C678A"/>
    <w:rsid w:val="009C67C0"/>
    <w:rsid w:val="009D0533"/>
    <w:rsid w:val="009D18CC"/>
    <w:rsid w:val="009D1F2D"/>
    <w:rsid w:val="009D43EF"/>
    <w:rsid w:val="009D60F3"/>
    <w:rsid w:val="009D6172"/>
    <w:rsid w:val="009E0D78"/>
    <w:rsid w:val="009E11B8"/>
    <w:rsid w:val="009E1B5F"/>
    <w:rsid w:val="009E2368"/>
    <w:rsid w:val="009E3830"/>
    <w:rsid w:val="009E3979"/>
    <w:rsid w:val="009E412F"/>
    <w:rsid w:val="009E4A75"/>
    <w:rsid w:val="009E50FE"/>
    <w:rsid w:val="009E5674"/>
    <w:rsid w:val="009E5DFE"/>
    <w:rsid w:val="009E60E4"/>
    <w:rsid w:val="009E6893"/>
    <w:rsid w:val="009E6F79"/>
    <w:rsid w:val="009E7338"/>
    <w:rsid w:val="009E7825"/>
    <w:rsid w:val="009F130C"/>
    <w:rsid w:val="009F20DA"/>
    <w:rsid w:val="009F3039"/>
    <w:rsid w:val="009F613C"/>
    <w:rsid w:val="009F66D4"/>
    <w:rsid w:val="009F74B1"/>
    <w:rsid w:val="00A00BB9"/>
    <w:rsid w:val="00A01941"/>
    <w:rsid w:val="00A021A7"/>
    <w:rsid w:val="00A02903"/>
    <w:rsid w:val="00A0303C"/>
    <w:rsid w:val="00A05039"/>
    <w:rsid w:val="00A0522A"/>
    <w:rsid w:val="00A06B33"/>
    <w:rsid w:val="00A07972"/>
    <w:rsid w:val="00A07B34"/>
    <w:rsid w:val="00A10434"/>
    <w:rsid w:val="00A11415"/>
    <w:rsid w:val="00A11E27"/>
    <w:rsid w:val="00A16DCE"/>
    <w:rsid w:val="00A17710"/>
    <w:rsid w:val="00A177B8"/>
    <w:rsid w:val="00A17971"/>
    <w:rsid w:val="00A20534"/>
    <w:rsid w:val="00A2346A"/>
    <w:rsid w:val="00A23824"/>
    <w:rsid w:val="00A23A35"/>
    <w:rsid w:val="00A2566A"/>
    <w:rsid w:val="00A26F99"/>
    <w:rsid w:val="00A27CE6"/>
    <w:rsid w:val="00A30828"/>
    <w:rsid w:val="00A309B6"/>
    <w:rsid w:val="00A30A4F"/>
    <w:rsid w:val="00A30EDC"/>
    <w:rsid w:val="00A319D6"/>
    <w:rsid w:val="00A31B57"/>
    <w:rsid w:val="00A32CEF"/>
    <w:rsid w:val="00A33E71"/>
    <w:rsid w:val="00A3400B"/>
    <w:rsid w:val="00A34576"/>
    <w:rsid w:val="00A35930"/>
    <w:rsid w:val="00A416B9"/>
    <w:rsid w:val="00A41CDA"/>
    <w:rsid w:val="00A42291"/>
    <w:rsid w:val="00A43A70"/>
    <w:rsid w:val="00A44A09"/>
    <w:rsid w:val="00A45A95"/>
    <w:rsid w:val="00A47367"/>
    <w:rsid w:val="00A5059B"/>
    <w:rsid w:val="00A505C9"/>
    <w:rsid w:val="00A51694"/>
    <w:rsid w:val="00A529BF"/>
    <w:rsid w:val="00A54838"/>
    <w:rsid w:val="00A548F7"/>
    <w:rsid w:val="00A551C0"/>
    <w:rsid w:val="00A566D6"/>
    <w:rsid w:val="00A56DA3"/>
    <w:rsid w:val="00A56E19"/>
    <w:rsid w:val="00A573AE"/>
    <w:rsid w:val="00A57DED"/>
    <w:rsid w:val="00A6125B"/>
    <w:rsid w:val="00A613AB"/>
    <w:rsid w:val="00A61622"/>
    <w:rsid w:val="00A6549C"/>
    <w:rsid w:val="00A657C4"/>
    <w:rsid w:val="00A6591F"/>
    <w:rsid w:val="00A65F5A"/>
    <w:rsid w:val="00A66441"/>
    <w:rsid w:val="00A67476"/>
    <w:rsid w:val="00A706FB"/>
    <w:rsid w:val="00A70DB1"/>
    <w:rsid w:val="00A71F27"/>
    <w:rsid w:val="00A72E3F"/>
    <w:rsid w:val="00A73791"/>
    <w:rsid w:val="00A73FDB"/>
    <w:rsid w:val="00A743D6"/>
    <w:rsid w:val="00A74FD6"/>
    <w:rsid w:val="00A75227"/>
    <w:rsid w:val="00A753F1"/>
    <w:rsid w:val="00A75537"/>
    <w:rsid w:val="00A778BC"/>
    <w:rsid w:val="00A81920"/>
    <w:rsid w:val="00A81BA6"/>
    <w:rsid w:val="00A83B13"/>
    <w:rsid w:val="00A84EA8"/>
    <w:rsid w:val="00A852F5"/>
    <w:rsid w:val="00A90112"/>
    <w:rsid w:val="00A90E67"/>
    <w:rsid w:val="00A90EA0"/>
    <w:rsid w:val="00A93D27"/>
    <w:rsid w:val="00A94A89"/>
    <w:rsid w:val="00A94AB4"/>
    <w:rsid w:val="00A94BF4"/>
    <w:rsid w:val="00A96900"/>
    <w:rsid w:val="00A97664"/>
    <w:rsid w:val="00A978C2"/>
    <w:rsid w:val="00A97B67"/>
    <w:rsid w:val="00AA05C2"/>
    <w:rsid w:val="00AA1FC1"/>
    <w:rsid w:val="00AA21D4"/>
    <w:rsid w:val="00AA3D65"/>
    <w:rsid w:val="00AA5206"/>
    <w:rsid w:val="00AA6CD8"/>
    <w:rsid w:val="00AA7B05"/>
    <w:rsid w:val="00AB0572"/>
    <w:rsid w:val="00AB0F3D"/>
    <w:rsid w:val="00AB1190"/>
    <w:rsid w:val="00AB1F39"/>
    <w:rsid w:val="00AB315F"/>
    <w:rsid w:val="00AB3520"/>
    <w:rsid w:val="00AB4000"/>
    <w:rsid w:val="00AB4A1A"/>
    <w:rsid w:val="00AB507F"/>
    <w:rsid w:val="00AB7FCC"/>
    <w:rsid w:val="00AC15B2"/>
    <w:rsid w:val="00AC1D8A"/>
    <w:rsid w:val="00AC2B49"/>
    <w:rsid w:val="00AC2C10"/>
    <w:rsid w:val="00AC2E94"/>
    <w:rsid w:val="00AC3684"/>
    <w:rsid w:val="00AC3770"/>
    <w:rsid w:val="00AC4091"/>
    <w:rsid w:val="00AC44F2"/>
    <w:rsid w:val="00AC4C46"/>
    <w:rsid w:val="00AC5171"/>
    <w:rsid w:val="00AC57F9"/>
    <w:rsid w:val="00AC7BD8"/>
    <w:rsid w:val="00AC7D10"/>
    <w:rsid w:val="00AD0250"/>
    <w:rsid w:val="00AD1DC3"/>
    <w:rsid w:val="00AD3A62"/>
    <w:rsid w:val="00AD55D3"/>
    <w:rsid w:val="00AD6203"/>
    <w:rsid w:val="00AE14E2"/>
    <w:rsid w:val="00AE1742"/>
    <w:rsid w:val="00AE2E8D"/>
    <w:rsid w:val="00AE2EB4"/>
    <w:rsid w:val="00AE3260"/>
    <w:rsid w:val="00AE3A96"/>
    <w:rsid w:val="00AE4A0B"/>
    <w:rsid w:val="00AE502D"/>
    <w:rsid w:val="00AE5077"/>
    <w:rsid w:val="00AE5581"/>
    <w:rsid w:val="00AE60CD"/>
    <w:rsid w:val="00AF0293"/>
    <w:rsid w:val="00AF0C19"/>
    <w:rsid w:val="00AF0E6E"/>
    <w:rsid w:val="00AF205E"/>
    <w:rsid w:val="00AF25AA"/>
    <w:rsid w:val="00AF27A4"/>
    <w:rsid w:val="00AF3F2C"/>
    <w:rsid w:val="00AF40F7"/>
    <w:rsid w:val="00AF4C1E"/>
    <w:rsid w:val="00AF5235"/>
    <w:rsid w:val="00AF5707"/>
    <w:rsid w:val="00AF5AAE"/>
    <w:rsid w:val="00AF74C0"/>
    <w:rsid w:val="00B00BAD"/>
    <w:rsid w:val="00B016A7"/>
    <w:rsid w:val="00B02298"/>
    <w:rsid w:val="00B03F46"/>
    <w:rsid w:val="00B03F5E"/>
    <w:rsid w:val="00B0420E"/>
    <w:rsid w:val="00B057D2"/>
    <w:rsid w:val="00B0728F"/>
    <w:rsid w:val="00B07683"/>
    <w:rsid w:val="00B102DF"/>
    <w:rsid w:val="00B104A2"/>
    <w:rsid w:val="00B108CC"/>
    <w:rsid w:val="00B109E2"/>
    <w:rsid w:val="00B122C5"/>
    <w:rsid w:val="00B12D63"/>
    <w:rsid w:val="00B173E7"/>
    <w:rsid w:val="00B17570"/>
    <w:rsid w:val="00B177D5"/>
    <w:rsid w:val="00B1786A"/>
    <w:rsid w:val="00B20861"/>
    <w:rsid w:val="00B20CC7"/>
    <w:rsid w:val="00B211F3"/>
    <w:rsid w:val="00B21294"/>
    <w:rsid w:val="00B22E4F"/>
    <w:rsid w:val="00B243D9"/>
    <w:rsid w:val="00B248B4"/>
    <w:rsid w:val="00B25DF5"/>
    <w:rsid w:val="00B2692A"/>
    <w:rsid w:val="00B302A4"/>
    <w:rsid w:val="00B30AC6"/>
    <w:rsid w:val="00B31E7D"/>
    <w:rsid w:val="00B326E5"/>
    <w:rsid w:val="00B3297E"/>
    <w:rsid w:val="00B32C8C"/>
    <w:rsid w:val="00B32E41"/>
    <w:rsid w:val="00B33291"/>
    <w:rsid w:val="00B334AC"/>
    <w:rsid w:val="00B345C2"/>
    <w:rsid w:val="00B36BFA"/>
    <w:rsid w:val="00B42D18"/>
    <w:rsid w:val="00B451AF"/>
    <w:rsid w:val="00B46327"/>
    <w:rsid w:val="00B46359"/>
    <w:rsid w:val="00B46442"/>
    <w:rsid w:val="00B502FF"/>
    <w:rsid w:val="00B525D5"/>
    <w:rsid w:val="00B53040"/>
    <w:rsid w:val="00B53BD6"/>
    <w:rsid w:val="00B54332"/>
    <w:rsid w:val="00B54763"/>
    <w:rsid w:val="00B56A3B"/>
    <w:rsid w:val="00B56F6A"/>
    <w:rsid w:val="00B602AC"/>
    <w:rsid w:val="00B604A2"/>
    <w:rsid w:val="00B61401"/>
    <w:rsid w:val="00B61FFD"/>
    <w:rsid w:val="00B63213"/>
    <w:rsid w:val="00B633D1"/>
    <w:rsid w:val="00B63986"/>
    <w:rsid w:val="00B63D04"/>
    <w:rsid w:val="00B63D8C"/>
    <w:rsid w:val="00B6472F"/>
    <w:rsid w:val="00B65164"/>
    <w:rsid w:val="00B65365"/>
    <w:rsid w:val="00B656F5"/>
    <w:rsid w:val="00B70196"/>
    <w:rsid w:val="00B7213F"/>
    <w:rsid w:val="00B725E8"/>
    <w:rsid w:val="00B727A6"/>
    <w:rsid w:val="00B73FFF"/>
    <w:rsid w:val="00B74AF7"/>
    <w:rsid w:val="00B74DB3"/>
    <w:rsid w:val="00B74FEC"/>
    <w:rsid w:val="00B757B4"/>
    <w:rsid w:val="00B75F3D"/>
    <w:rsid w:val="00B76E00"/>
    <w:rsid w:val="00B7730A"/>
    <w:rsid w:val="00B77A46"/>
    <w:rsid w:val="00B81E56"/>
    <w:rsid w:val="00B843DB"/>
    <w:rsid w:val="00B844DE"/>
    <w:rsid w:val="00B8468E"/>
    <w:rsid w:val="00B84732"/>
    <w:rsid w:val="00B84ABA"/>
    <w:rsid w:val="00B84B68"/>
    <w:rsid w:val="00B855E2"/>
    <w:rsid w:val="00B86241"/>
    <w:rsid w:val="00B871FD"/>
    <w:rsid w:val="00B914A1"/>
    <w:rsid w:val="00B92EA6"/>
    <w:rsid w:val="00B939D5"/>
    <w:rsid w:val="00B94364"/>
    <w:rsid w:val="00B9567A"/>
    <w:rsid w:val="00B9738E"/>
    <w:rsid w:val="00B97402"/>
    <w:rsid w:val="00B974BE"/>
    <w:rsid w:val="00BA0C1A"/>
    <w:rsid w:val="00BA2429"/>
    <w:rsid w:val="00BA2767"/>
    <w:rsid w:val="00BA283F"/>
    <w:rsid w:val="00BA375E"/>
    <w:rsid w:val="00BA3778"/>
    <w:rsid w:val="00BA628A"/>
    <w:rsid w:val="00BA7411"/>
    <w:rsid w:val="00BB09CD"/>
    <w:rsid w:val="00BB1C69"/>
    <w:rsid w:val="00BB2904"/>
    <w:rsid w:val="00BB3E06"/>
    <w:rsid w:val="00BB4251"/>
    <w:rsid w:val="00BB427D"/>
    <w:rsid w:val="00BB4FD7"/>
    <w:rsid w:val="00BB548C"/>
    <w:rsid w:val="00BB552C"/>
    <w:rsid w:val="00BB5710"/>
    <w:rsid w:val="00BB6EED"/>
    <w:rsid w:val="00BB7452"/>
    <w:rsid w:val="00BB7E81"/>
    <w:rsid w:val="00BC075F"/>
    <w:rsid w:val="00BC0DFD"/>
    <w:rsid w:val="00BC23E8"/>
    <w:rsid w:val="00BC274B"/>
    <w:rsid w:val="00BC299B"/>
    <w:rsid w:val="00BC370A"/>
    <w:rsid w:val="00BC4F01"/>
    <w:rsid w:val="00BD0C49"/>
    <w:rsid w:val="00BD29E2"/>
    <w:rsid w:val="00BD2A44"/>
    <w:rsid w:val="00BD6590"/>
    <w:rsid w:val="00BD6C6C"/>
    <w:rsid w:val="00BE1168"/>
    <w:rsid w:val="00BE1C8B"/>
    <w:rsid w:val="00BE2615"/>
    <w:rsid w:val="00BE4BC5"/>
    <w:rsid w:val="00BE56E3"/>
    <w:rsid w:val="00BE5896"/>
    <w:rsid w:val="00BE6175"/>
    <w:rsid w:val="00BE66BF"/>
    <w:rsid w:val="00BF3E43"/>
    <w:rsid w:val="00BF452A"/>
    <w:rsid w:val="00BF4825"/>
    <w:rsid w:val="00BF5865"/>
    <w:rsid w:val="00BF5FA7"/>
    <w:rsid w:val="00BF661B"/>
    <w:rsid w:val="00BF6E8E"/>
    <w:rsid w:val="00BF77CA"/>
    <w:rsid w:val="00C009EB"/>
    <w:rsid w:val="00C00FCB"/>
    <w:rsid w:val="00C01905"/>
    <w:rsid w:val="00C02548"/>
    <w:rsid w:val="00C04612"/>
    <w:rsid w:val="00C048BC"/>
    <w:rsid w:val="00C06748"/>
    <w:rsid w:val="00C071D3"/>
    <w:rsid w:val="00C07E4E"/>
    <w:rsid w:val="00C108E0"/>
    <w:rsid w:val="00C10C10"/>
    <w:rsid w:val="00C11E24"/>
    <w:rsid w:val="00C126FE"/>
    <w:rsid w:val="00C133A4"/>
    <w:rsid w:val="00C16219"/>
    <w:rsid w:val="00C16F7A"/>
    <w:rsid w:val="00C16FD9"/>
    <w:rsid w:val="00C17C32"/>
    <w:rsid w:val="00C2029A"/>
    <w:rsid w:val="00C20594"/>
    <w:rsid w:val="00C20896"/>
    <w:rsid w:val="00C21211"/>
    <w:rsid w:val="00C2232C"/>
    <w:rsid w:val="00C22375"/>
    <w:rsid w:val="00C2245A"/>
    <w:rsid w:val="00C24294"/>
    <w:rsid w:val="00C243D5"/>
    <w:rsid w:val="00C249C8"/>
    <w:rsid w:val="00C26A33"/>
    <w:rsid w:val="00C278FE"/>
    <w:rsid w:val="00C27A6E"/>
    <w:rsid w:val="00C31064"/>
    <w:rsid w:val="00C31F17"/>
    <w:rsid w:val="00C32705"/>
    <w:rsid w:val="00C330BD"/>
    <w:rsid w:val="00C344FF"/>
    <w:rsid w:val="00C345D5"/>
    <w:rsid w:val="00C361E1"/>
    <w:rsid w:val="00C3630B"/>
    <w:rsid w:val="00C36C4F"/>
    <w:rsid w:val="00C37796"/>
    <w:rsid w:val="00C40840"/>
    <w:rsid w:val="00C409C1"/>
    <w:rsid w:val="00C41091"/>
    <w:rsid w:val="00C411F5"/>
    <w:rsid w:val="00C4149D"/>
    <w:rsid w:val="00C41EBE"/>
    <w:rsid w:val="00C430B7"/>
    <w:rsid w:val="00C43B44"/>
    <w:rsid w:val="00C43F74"/>
    <w:rsid w:val="00C45682"/>
    <w:rsid w:val="00C45757"/>
    <w:rsid w:val="00C459CF"/>
    <w:rsid w:val="00C45CEC"/>
    <w:rsid w:val="00C4628A"/>
    <w:rsid w:val="00C47920"/>
    <w:rsid w:val="00C502E7"/>
    <w:rsid w:val="00C503C2"/>
    <w:rsid w:val="00C515D2"/>
    <w:rsid w:val="00C52321"/>
    <w:rsid w:val="00C5412B"/>
    <w:rsid w:val="00C54E4B"/>
    <w:rsid w:val="00C5509E"/>
    <w:rsid w:val="00C5581C"/>
    <w:rsid w:val="00C55E33"/>
    <w:rsid w:val="00C5624C"/>
    <w:rsid w:val="00C56A48"/>
    <w:rsid w:val="00C57F07"/>
    <w:rsid w:val="00C60AD6"/>
    <w:rsid w:val="00C646CA"/>
    <w:rsid w:val="00C67436"/>
    <w:rsid w:val="00C678FD"/>
    <w:rsid w:val="00C67C40"/>
    <w:rsid w:val="00C70F5A"/>
    <w:rsid w:val="00C71B99"/>
    <w:rsid w:val="00C71BC9"/>
    <w:rsid w:val="00C71DAF"/>
    <w:rsid w:val="00C74033"/>
    <w:rsid w:val="00C741D6"/>
    <w:rsid w:val="00C74212"/>
    <w:rsid w:val="00C80481"/>
    <w:rsid w:val="00C81434"/>
    <w:rsid w:val="00C8148F"/>
    <w:rsid w:val="00C829F9"/>
    <w:rsid w:val="00C82F80"/>
    <w:rsid w:val="00C86799"/>
    <w:rsid w:val="00C8733B"/>
    <w:rsid w:val="00C87593"/>
    <w:rsid w:val="00C877A3"/>
    <w:rsid w:val="00C90E99"/>
    <w:rsid w:val="00C93137"/>
    <w:rsid w:val="00C9320B"/>
    <w:rsid w:val="00C934B2"/>
    <w:rsid w:val="00C9392A"/>
    <w:rsid w:val="00C955E8"/>
    <w:rsid w:val="00C95DDD"/>
    <w:rsid w:val="00C96603"/>
    <w:rsid w:val="00C971F6"/>
    <w:rsid w:val="00CA122D"/>
    <w:rsid w:val="00CA20F0"/>
    <w:rsid w:val="00CA2578"/>
    <w:rsid w:val="00CA2987"/>
    <w:rsid w:val="00CA329A"/>
    <w:rsid w:val="00CA3A59"/>
    <w:rsid w:val="00CA3F22"/>
    <w:rsid w:val="00CA4D72"/>
    <w:rsid w:val="00CA528B"/>
    <w:rsid w:val="00CA5F65"/>
    <w:rsid w:val="00CA6BC0"/>
    <w:rsid w:val="00CA70E1"/>
    <w:rsid w:val="00CB011B"/>
    <w:rsid w:val="00CB0352"/>
    <w:rsid w:val="00CB12E2"/>
    <w:rsid w:val="00CB1A55"/>
    <w:rsid w:val="00CB1CEA"/>
    <w:rsid w:val="00CB2C78"/>
    <w:rsid w:val="00CB3E0A"/>
    <w:rsid w:val="00CB535C"/>
    <w:rsid w:val="00CB7249"/>
    <w:rsid w:val="00CB729F"/>
    <w:rsid w:val="00CB7D65"/>
    <w:rsid w:val="00CC051A"/>
    <w:rsid w:val="00CC18FC"/>
    <w:rsid w:val="00CC1B00"/>
    <w:rsid w:val="00CC1E93"/>
    <w:rsid w:val="00CC2F61"/>
    <w:rsid w:val="00CC45C7"/>
    <w:rsid w:val="00CC5FEB"/>
    <w:rsid w:val="00CC6154"/>
    <w:rsid w:val="00CC6DB1"/>
    <w:rsid w:val="00CC7918"/>
    <w:rsid w:val="00CC7F28"/>
    <w:rsid w:val="00CD0959"/>
    <w:rsid w:val="00CD0AA4"/>
    <w:rsid w:val="00CD3C52"/>
    <w:rsid w:val="00CD53F8"/>
    <w:rsid w:val="00CD5697"/>
    <w:rsid w:val="00CD75D3"/>
    <w:rsid w:val="00CE00B3"/>
    <w:rsid w:val="00CE082B"/>
    <w:rsid w:val="00CE416D"/>
    <w:rsid w:val="00CE431B"/>
    <w:rsid w:val="00CE4D6C"/>
    <w:rsid w:val="00CE6459"/>
    <w:rsid w:val="00CE7328"/>
    <w:rsid w:val="00CF139D"/>
    <w:rsid w:val="00CF33F4"/>
    <w:rsid w:val="00CF33F7"/>
    <w:rsid w:val="00CF409F"/>
    <w:rsid w:val="00CF6680"/>
    <w:rsid w:val="00CF669C"/>
    <w:rsid w:val="00CF7100"/>
    <w:rsid w:val="00CF7E3E"/>
    <w:rsid w:val="00D03CD4"/>
    <w:rsid w:val="00D04363"/>
    <w:rsid w:val="00D045D2"/>
    <w:rsid w:val="00D05B41"/>
    <w:rsid w:val="00D05BD9"/>
    <w:rsid w:val="00D06CF6"/>
    <w:rsid w:val="00D07515"/>
    <w:rsid w:val="00D07737"/>
    <w:rsid w:val="00D1089B"/>
    <w:rsid w:val="00D11E41"/>
    <w:rsid w:val="00D132AB"/>
    <w:rsid w:val="00D14F40"/>
    <w:rsid w:val="00D15141"/>
    <w:rsid w:val="00D15472"/>
    <w:rsid w:val="00D16D9B"/>
    <w:rsid w:val="00D17C10"/>
    <w:rsid w:val="00D20FDA"/>
    <w:rsid w:val="00D214B1"/>
    <w:rsid w:val="00D223B8"/>
    <w:rsid w:val="00D22936"/>
    <w:rsid w:val="00D231A4"/>
    <w:rsid w:val="00D23F2C"/>
    <w:rsid w:val="00D24880"/>
    <w:rsid w:val="00D24C0E"/>
    <w:rsid w:val="00D258E2"/>
    <w:rsid w:val="00D2590E"/>
    <w:rsid w:val="00D25EF9"/>
    <w:rsid w:val="00D261F5"/>
    <w:rsid w:val="00D2720C"/>
    <w:rsid w:val="00D278B5"/>
    <w:rsid w:val="00D301AD"/>
    <w:rsid w:val="00D31586"/>
    <w:rsid w:val="00D321E7"/>
    <w:rsid w:val="00D32673"/>
    <w:rsid w:val="00D32817"/>
    <w:rsid w:val="00D333D5"/>
    <w:rsid w:val="00D34402"/>
    <w:rsid w:val="00D3486B"/>
    <w:rsid w:val="00D36F92"/>
    <w:rsid w:val="00D37BF0"/>
    <w:rsid w:val="00D400D2"/>
    <w:rsid w:val="00D40215"/>
    <w:rsid w:val="00D406FE"/>
    <w:rsid w:val="00D41060"/>
    <w:rsid w:val="00D4116D"/>
    <w:rsid w:val="00D425A6"/>
    <w:rsid w:val="00D428C6"/>
    <w:rsid w:val="00D42FE7"/>
    <w:rsid w:val="00D44071"/>
    <w:rsid w:val="00D444E3"/>
    <w:rsid w:val="00D44711"/>
    <w:rsid w:val="00D449F5"/>
    <w:rsid w:val="00D44F6C"/>
    <w:rsid w:val="00D463B3"/>
    <w:rsid w:val="00D46C14"/>
    <w:rsid w:val="00D47381"/>
    <w:rsid w:val="00D502C6"/>
    <w:rsid w:val="00D51CCB"/>
    <w:rsid w:val="00D521BE"/>
    <w:rsid w:val="00D53E22"/>
    <w:rsid w:val="00D541ED"/>
    <w:rsid w:val="00D54B53"/>
    <w:rsid w:val="00D55CFE"/>
    <w:rsid w:val="00D56CCB"/>
    <w:rsid w:val="00D56FFB"/>
    <w:rsid w:val="00D615EF"/>
    <w:rsid w:val="00D6179D"/>
    <w:rsid w:val="00D6229F"/>
    <w:rsid w:val="00D62DB6"/>
    <w:rsid w:val="00D63D80"/>
    <w:rsid w:val="00D64ABF"/>
    <w:rsid w:val="00D662FF"/>
    <w:rsid w:val="00D66906"/>
    <w:rsid w:val="00D66F23"/>
    <w:rsid w:val="00D676DD"/>
    <w:rsid w:val="00D736CC"/>
    <w:rsid w:val="00D74128"/>
    <w:rsid w:val="00D74CA6"/>
    <w:rsid w:val="00D75526"/>
    <w:rsid w:val="00D75F11"/>
    <w:rsid w:val="00D8053C"/>
    <w:rsid w:val="00D8132B"/>
    <w:rsid w:val="00D821A6"/>
    <w:rsid w:val="00D825A3"/>
    <w:rsid w:val="00D829E8"/>
    <w:rsid w:val="00D83A99"/>
    <w:rsid w:val="00D8476D"/>
    <w:rsid w:val="00D847C5"/>
    <w:rsid w:val="00D84949"/>
    <w:rsid w:val="00D84D80"/>
    <w:rsid w:val="00D853C3"/>
    <w:rsid w:val="00D87722"/>
    <w:rsid w:val="00D87EE7"/>
    <w:rsid w:val="00D900DE"/>
    <w:rsid w:val="00D90D85"/>
    <w:rsid w:val="00D91A98"/>
    <w:rsid w:val="00D91D47"/>
    <w:rsid w:val="00D92C43"/>
    <w:rsid w:val="00D92E67"/>
    <w:rsid w:val="00D93076"/>
    <w:rsid w:val="00D94108"/>
    <w:rsid w:val="00D94E62"/>
    <w:rsid w:val="00D9524F"/>
    <w:rsid w:val="00D957AC"/>
    <w:rsid w:val="00D96325"/>
    <w:rsid w:val="00D965F8"/>
    <w:rsid w:val="00DA17A8"/>
    <w:rsid w:val="00DA1EA2"/>
    <w:rsid w:val="00DA28A9"/>
    <w:rsid w:val="00DA3ABB"/>
    <w:rsid w:val="00DA3CEB"/>
    <w:rsid w:val="00DA47F5"/>
    <w:rsid w:val="00DA6143"/>
    <w:rsid w:val="00DA7F7F"/>
    <w:rsid w:val="00DB1BBF"/>
    <w:rsid w:val="00DB2D35"/>
    <w:rsid w:val="00DB42C3"/>
    <w:rsid w:val="00DB48B3"/>
    <w:rsid w:val="00DB4988"/>
    <w:rsid w:val="00DB4B20"/>
    <w:rsid w:val="00DB5D91"/>
    <w:rsid w:val="00DB628F"/>
    <w:rsid w:val="00DB6404"/>
    <w:rsid w:val="00DB6FD1"/>
    <w:rsid w:val="00DC04E5"/>
    <w:rsid w:val="00DC161D"/>
    <w:rsid w:val="00DC3215"/>
    <w:rsid w:val="00DC45A4"/>
    <w:rsid w:val="00DC576F"/>
    <w:rsid w:val="00DD1FCF"/>
    <w:rsid w:val="00DD3DCD"/>
    <w:rsid w:val="00DD6358"/>
    <w:rsid w:val="00DD63F0"/>
    <w:rsid w:val="00DD66C5"/>
    <w:rsid w:val="00DD6724"/>
    <w:rsid w:val="00DD7AC6"/>
    <w:rsid w:val="00DE0C85"/>
    <w:rsid w:val="00DE123A"/>
    <w:rsid w:val="00DE1F0B"/>
    <w:rsid w:val="00DE20D5"/>
    <w:rsid w:val="00DE31FC"/>
    <w:rsid w:val="00DE3251"/>
    <w:rsid w:val="00DE5542"/>
    <w:rsid w:val="00DE598F"/>
    <w:rsid w:val="00DE633E"/>
    <w:rsid w:val="00DF0A66"/>
    <w:rsid w:val="00DF0B58"/>
    <w:rsid w:val="00DF1238"/>
    <w:rsid w:val="00DF1304"/>
    <w:rsid w:val="00DF297D"/>
    <w:rsid w:val="00DF2AFA"/>
    <w:rsid w:val="00DF2C29"/>
    <w:rsid w:val="00DF3180"/>
    <w:rsid w:val="00DF3314"/>
    <w:rsid w:val="00DF5679"/>
    <w:rsid w:val="00DF6129"/>
    <w:rsid w:val="00DF7DD9"/>
    <w:rsid w:val="00E00041"/>
    <w:rsid w:val="00E004D4"/>
    <w:rsid w:val="00E00FEC"/>
    <w:rsid w:val="00E02E2E"/>
    <w:rsid w:val="00E03A79"/>
    <w:rsid w:val="00E047D8"/>
    <w:rsid w:val="00E05E03"/>
    <w:rsid w:val="00E06F74"/>
    <w:rsid w:val="00E07FDA"/>
    <w:rsid w:val="00E104B0"/>
    <w:rsid w:val="00E12A65"/>
    <w:rsid w:val="00E12FA9"/>
    <w:rsid w:val="00E138DB"/>
    <w:rsid w:val="00E15F98"/>
    <w:rsid w:val="00E15FCD"/>
    <w:rsid w:val="00E16EAD"/>
    <w:rsid w:val="00E17BE5"/>
    <w:rsid w:val="00E17EDC"/>
    <w:rsid w:val="00E208FF"/>
    <w:rsid w:val="00E22800"/>
    <w:rsid w:val="00E22B7E"/>
    <w:rsid w:val="00E2435B"/>
    <w:rsid w:val="00E252A2"/>
    <w:rsid w:val="00E25D7F"/>
    <w:rsid w:val="00E265F6"/>
    <w:rsid w:val="00E27FDB"/>
    <w:rsid w:val="00E30D9A"/>
    <w:rsid w:val="00E30F38"/>
    <w:rsid w:val="00E318B7"/>
    <w:rsid w:val="00E33126"/>
    <w:rsid w:val="00E34CE1"/>
    <w:rsid w:val="00E35A2D"/>
    <w:rsid w:val="00E36382"/>
    <w:rsid w:val="00E37343"/>
    <w:rsid w:val="00E37881"/>
    <w:rsid w:val="00E40747"/>
    <w:rsid w:val="00E40B28"/>
    <w:rsid w:val="00E4241E"/>
    <w:rsid w:val="00E42814"/>
    <w:rsid w:val="00E42AED"/>
    <w:rsid w:val="00E45451"/>
    <w:rsid w:val="00E46748"/>
    <w:rsid w:val="00E473C3"/>
    <w:rsid w:val="00E4788A"/>
    <w:rsid w:val="00E50124"/>
    <w:rsid w:val="00E50292"/>
    <w:rsid w:val="00E502B1"/>
    <w:rsid w:val="00E516FC"/>
    <w:rsid w:val="00E5197B"/>
    <w:rsid w:val="00E51997"/>
    <w:rsid w:val="00E52497"/>
    <w:rsid w:val="00E524A6"/>
    <w:rsid w:val="00E52E8D"/>
    <w:rsid w:val="00E54284"/>
    <w:rsid w:val="00E54938"/>
    <w:rsid w:val="00E54E12"/>
    <w:rsid w:val="00E556AE"/>
    <w:rsid w:val="00E55C10"/>
    <w:rsid w:val="00E56087"/>
    <w:rsid w:val="00E5656E"/>
    <w:rsid w:val="00E56BA1"/>
    <w:rsid w:val="00E57127"/>
    <w:rsid w:val="00E5748F"/>
    <w:rsid w:val="00E57E36"/>
    <w:rsid w:val="00E6031D"/>
    <w:rsid w:val="00E63218"/>
    <w:rsid w:val="00E64065"/>
    <w:rsid w:val="00E65969"/>
    <w:rsid w:val="00E65B5B"/>
    <w:rsid w:val="00E668A5"/>
    <w:rsid w:val="00E66F6A"/>
    <w:rsid w:val="00E67F1C"/>
    <w:rsid w:val="00E7016C"/>
    <w:rsid w:val="00E704F7"/>
    <w:rsid w:val="00E71319"/>
    <w:rsid w:val="00E73399"/>
    <w:rsid w:val="00E735EC"/>
    <w:rsid w:val="00E74939"/>
    <w:rsid w:val="00E77255"/>
    <w:rsid w:val="00E80BF6"/>
    <w:rsid w:val="00E80E6D"/>
    <w:rsid w:val="00E81486"/>
    <w:rsid w:val="00E81588"/>
    <w:rsid w:val="00E82BC4"/>
    <w:rsid w:val="00E82F22"/>
    <w:rsid w:val="00E83CDF"/>
    <w:rsid w:val="00E85108"/>
    <w:rsid w:val="00E8573A"/>
    <w:rsid w:val="00E90452"/>
    <w:rsid w:val="00E909A6"/>
    <w:rsid w:val="00E90C9F"/>
    <w:rsid w:val="00E911D9"/>
    <w:rsid w:val="00E9125E"/>
    <w:rsid w:val="00E91580"/>
    <w:rsid w:val="00E91A73"/>
    <w:rsid w:val="00E927FF"/>
    <w:rsid w:val="00E92BF0"/>
    <w:rsid w:val="00E92C48"/>
    <w:rsid w:val="00E938C0"/>
    <w:rsid w:val="00E94091"/>
    <w:rsid w:val="00E941AE"/>
    <w:rsid w:val="00E95520"/>
    <w:rsid w:val="00E968BE"/>
    <w:rsid w:val="00E97D64"/>
    <w:rsid w:val="00EA2A43"/>
    <w:rsid w:val="00EA4840"/>
    <w:rsid w:val="00EA7677"/>
    <w:rsid w:val="00EB06D4"/>
    <w:rsid w:val="00EB1502"/>
    <w:rsid w:val="00EB213A"/>
    <w:rsid w:val="00EB31E8"/>
    <w:rsid w:val="00EB4EAB"/>
    <w:rsid w:val="00EB568C"/>
    <w:rsid w:val="00EB6336"/>
    <w:rsid w:val="00EB700B"/>
    <w:rsid w:val="00EB74F5"/>
    <w:rsid w:val="00EB790A"/>
    <w:rsid w:val="00EB7FD4"/>
    <w:rsid w:val="00EC0484"/>
    <w:rsid w:val="00EC0549"/>
    <w:rsid w:val="00EC0A93"/>
    <w:rsid w:val="00EC1956"/>
    <w:rsid w:val="00EC1B4F"/>
    <w:rsid w:val="00EC3425"/>
    <w:rsid w:val="00EC39F4"/>
    <w:rsid w:val="00EC3CA6"/>
    <w:rsid w:val="00EC4F0D"/>
    <w:rsid w:val="00EC4FB6"/>
    <w:rsid w:val="00EC6243"/>
    <w:rsid w:val="00EC6311"/>
    <w:rsid w:val="00EC773B"/>
    <w:rsid w:val="00ED13A1"/>
    <w:rsid w:val="00ED14A9"/>
    <w:rsid w:val="00ED20D9"/>
    <w:rsid w:val="00ED28ED"/>
    <w:rsid w:val="00ED2F69"/>
    <w:rsid w:val="00ED418B"/>
    <w:rsid w:val="00ED566D"/>
    <w:rsid w:val="00ED5E89"/>
    <w:rsid w:val="00ED61A3"/>
    <w:rsid w:val="00ED68BC"/>
    <w:rsid w:val="00ED75A7"/>
    <w:rsid w:val="00ED7C63"/>
    <w:rsid w:val="00ED7D7E"/>
    <w:rsid w:val="00EE15B4"/>
    <w:rsid w:val="00EE1CCE"/>
    <w:rsid w:val="00EE207F"/>
    <w:rsid w:val="00EE23C8"/>
    <w:rsid w:val="00EE23F3"/>
    <w:rsid w:val="00EE3860"/>
    <w:rsid w:val="00EE3B33"/>
    <w:rsid w:val="00EE5118"/>
    <w:rsid w:val="00EE5415"/>
    <w:rsid w:val="00EE5ABE"/>
    <w:rsid w:val="00EE5C1C"/>
    <w:rsid w:val="00EE5F06"/>
    <w:rsid w:val="00EF1897"/>
    <w:rsid w:val="00EF1FF1"/>
    <w:rsid w:val="00EF20EA"/>
    <w:rsid w:val="00EF4710"/>
    <w:rsid w:val="00EF64DD"/>
    <w:rsid w:val="00EF6C3E"/>
    <w:rsid w:val="00EF7C9A"/>
    <w:rsid w:val="00F03940"/>
    <w:rsid w:val="00F04B6C"/>
    <w:rsid w:val="00F0541F"/>
    <w:rsid w:val="00F05610"/>
    <w:rsid w:val="00F0598C"/>
    <w:rsid w:val="00F065F1"/>
    <w:rsid w:val="00F10985"/>
    <w:rsid w:val="00F10B44"/>
    <w:rsid w:val="00F1524A"/>
    <w:rsid w:val="00F158AC"/>
    <w:rsid w:val="00F162AB"/>
    <w:rsid w:val="00F1766B"/>
    <w:rsid w:val="00F2020F"/>
    <w:rsid w:val="00F206B3"/>
    <w:rsid w:val="00F2142E"/>
    <w:rsid w:val="00F2486D"/>
    <w:rsid w:val="00F270BF"/>
    <w:rsid w:val="00F27609"/>
    <w:rsid w:val="00F302C2"/>
    <w:rsid w:val="00F3040B"/>
    <w:rsid w:val="00F313DD"/>
    <w:rsid w:val="00F31734"/>
    <w:rsid w:val="00F321F6"/>
    <w:rsid w:val="00F330B2"/>
    <w:rsid w:val="00F3349C"/>
    <w:rsid w:val="00F338E1"/>
    <w:rsid w:val="00F34DE2"/>
    <w:rsid w:val="00F37244"/>
    <w:rsid w:val="00F43FD4"/>
    <w:rsid w:val="00F457C7"/>
    <w:rsid w:val="00F45C1E"/>
    <w:rsid w:val="00F46C77"/>
    <w:rsid w:val="00F47FE9"/>
    <w:rsid w:val="00F50662"/>
    <w:rsid w:val="00F52BE8"/>
    <w:rsid w:val="00F532B3"/>
    <w:rsid w:val="00F53370"/>
    <w:rsid w:val="00F53D08"/>
    <w:rsid w:val="00F54277"/>
    <w:rsid w:val="00F54416"/>
    <w:rsid w:val="00F55B4E"/>
    <w:rsid w:val="00F56223"/>
    <w:rsid w:val="00F57228"/>
    <w:rsid w:val="00F62911"/>
    <w:rsid w:val="00F639E0"/>
    <w:rsid w:val="00F649FB"/>
    <w:rsid w:val="00F64E2D"/>
    <w:rsid w:val="00F65CC4"/>
    <w:rsid w:val="00F65CCB"/>
    <w:rsid w:val="00F661F4"/>
    <w:rsid w:val="00F67423"/>
    <w:rsid w:val="00F674EE"/>
    <w:rsid w:val="00F67D9F"/>
    <w:rsid w:val="00F70E71"/>
    <w:rsid w:val="00F7155F"/>
    <w:rsid w:val="00F71D3C"/>
    <w:rsid w:val="00F72C44"/>
    <w:rsid w:val="00F73237"/>
    <w:rsid w:val="00F73A5A"/>
    <w:rsid w:val="00F73E9A"/>
    <w:rsid w:val="00F747E6"/>
    <w:rsid w:val="00F75B3F"/>
    <w:rsid w:val="00F76208"/>
    <w:rsid w:val="00F763AB"/>
    <w:rsid w:val="00F76BB3"/>
    <w:rsid w:val="00F76F7D"/>
    <w:rsid w:val="00F770F8"/>
    <w:rsid w:val="00F770FA"/>
    <w:rsid w:val="00F779A5"/>
    <w:rsid w:val="00F8109E"/>
    <w:rsid w:val="00F82516"/>
    <w:rsid w:val="00F82520"/>
    <w:rsid w:val="00F83151"/>
    <w:rsid w:val="00F83897"/>
    <w:rsid w:val="00F8501C"/>
    <w:rsid w:val="00F854B3"/>
    <w:rsid w:val="00F85C94"/>
    <w:rsid w:val="00F8683E"/>
    <w:rsid w:val="00F869E3"/>
    <w:rsid w:val="00F8736C"/>
    <w:rsid w:val="00F8749C"/>
    <w:rsid w:val="00F87983"/>
    <w:rsid w:val="00F90F48"/>
    <w:rsid w:val="00F916BB"/>
    <w:rsid w:val="00F91AFF"/>
    <w:rsid w:val="00F91F52"/>
    <w:rsid w:val="00F937DF"/>
    <w:rsid w:val="00F94D38"/>
    <w:rsid w:val="00F94D6C"/>
    <w:rsid w:val="00F94D76"/>
    <w:rsid w:val="00F953E2"/>
    <w:rsid w:val="00F955EE"/>
    <w:rsid w:val="00F9571D"/>
    <w:rsid w:val="00F957D0"/>
    <w:rsid w:val="00F964E6"/>
    <w:rsid w:val="00F97890"/>
    <w:rsid w:val="00FA2C80"/>
    <w:rsid w:val="00FA2CEC"/>
    <w:rsid w:val="00FA3A01"/>
    <w:rsid w:val="00FA3F26"/>
    <w:rsid w:val="00FA43E7"/>
    <w:rsid w:val="00FA52C0"/>
    <w:rsid w:val="00FA52FB"/>
    <w:rsid w:val="00FA532D"/>
    <w:rsid w:val="00FA6AE5"/>
    <w:rsid w:val="00FA7641"/>
    <w:rsid w:val="00FB06F9"/>
    <w:rsid w:val="00FB4EA8"/>
    <w:rsid w:val="00FB5CF8"/>
    <w:rsid w:val="00FB733A"/>
    <w:rsid w:val="00FB7F2B"/>
    <w:rsid w:val="00FC0815"/>
    <w:rsid w:val="00FC0B63"/>
    <w:rsid w:val="00FC0C74"/>
    <w:rsid w:val="00FC0CB7"/>
    <w:rsid w:val="00FC1F87"/>
    <w:rsid w:val="00FC4238"/>
    <w:rsid w:val="00FC49B8"/>
    <w:rsid w:val="00FC5157"/>
    <w:rsid w:val="00FC58B7"/>
    <w:rsid w:val="00FC6369"/>
    <w:rsid w:val="00FC7CA3"/>
    <w:rsid w:val="00FD0EB4"/>
    <w:rsid w:val="00FD1D4B"/>
    <w:rsid w:val="00FD309E"/>
    <w:rsid w:val="00FD4DC0"/>
    <w:rsid w:val="00FD64A7"/>
    <w:rsid w:val="00FD788F"/>
    <w:rsid w:val="00FE12D2"/>
    <w:rsid w:val="00FE1504"/>
    <w:rsid w:val="00FE2D46"/>
    <w:rsid w:val="00FE35F1"/>
    <w:rsid w:val="00FE4B22"/>
    <w:rsid w:val="00FE63A6"/>
    <w:rsid w:val="00FE67F3"/>
    <w:rsid w:val="00FE74FC"/>
    <w:rsid w:val="00FE7595"/>
    <w:rsid w:val="00FE7EBF"/>
    <w:rsid w:val="00FF07D4"/>
    <w:rsid w:val="00FF0FCD"/>
    <w:rsid w:val="00FF17C9"/>
    <w:rsid w:val="00FF3DC7"/>
    <w:rsid w:val="00FF60C9"/>
    <w:rsid w:val="00FF7053"/>
    <w:rsid w:val="00FF7119"/>
    <w:rsid w:val="00FF715C"/>
    <w:rsid w:val="00FF73A7"/>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AB45812-2762-41CC-94E2-7D3A125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uiPriority w:val="99"/>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uiPriority w:val="99"/>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BE2615"/>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CommentTextChar">
    <w:name w:val="Comment Text Char"/>
    <w:link w:val="CommentText"/>
    <w:uiPriority w:val="99"/>
    <w:rsid w:val="00F76208"/>
    <w:rPr>
      <w:rFonts w:ascii="Tahoma" w:hAnsi="Tahoma"/>
    </w:rPr>
  </w:style>
  <w:style w:type="character" w:customStyle="1" w:styleId="hardreadability">
    <w:name w:val="hardreadability"/>
    <w:rsid w:val="009057AC"/>
  </w:style>
  <w:style w:type="character" w:customStyle="1" w:styleId="passivevoice">
    <w:name w:val="passivevoice"/>
    <w:rsid w:val="009057AC"/>
  </w:style>
  <w:style w:type="character" w:customStyle="1" w:styleId="Heading2Char">
    <w:name w:val="Heading 2 Char"/>
    <w:link w:val="Heading2"/>
    <w:rsid w:val="00287A53"/>
    <w:rPr>
      <w:rFonts w:ascii="Tahoma" w:hAnsi="Tahoma"/>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6074189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7479268">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6951647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596906251">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99071885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18241356">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5425923">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40962805">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4538836">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collections/maintained-schools-and-academies-inspections-and-outcomes-official-statistic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ov.uk/government/consultations/changes-to-ofsteds-statistical-reporting-of-inspection-outcomes-for-maintained-schools-and-academi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nationalarchives.gov.uk/doc/open-government-licenc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file:///\\FP5HQ\RestrictedSchools$\Official%20stats%20and%20MI\Official%20Stats\cfoley1\AppData\Local\Microsoft\Windows\INetCache\AppData\Local\Microsoft\Windows\INetCache\Content.Outlook\PIO66FOY\Louise.Butler@ofsted.gov.uk"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ouise.Butler@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consultations/changes-to-ofsteds-statistical-reporting-of-inspection-outcomes-for-maintained-schools-and-academ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2017-09-29T23:00:00+00:00</Date_x0020_next_x0020_update_x0020_due>
    <Date_x0020_last_x0020_updated xmlns="82e30443-e738-45d7-be93-4e56ed5da66c">2015-12-11T00:00:00+00:00</Date_x0020_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EA84-41AB-4A0C-BB3F-83E99546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63FC71-8B81-40F9-B4F5-40C7063D2F2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2e30443-e738-45d7-be93-4e56ed5da66c"/>
    <ds:schemaRef ds:uri="http://www.w3.org/XML/1998/namespace"/>
    <ds:schemaRef ds:uri="http://purl.org/dc/dcmitype/"/>
  </ds:schemaRefs>
</ds:datastoreItem>
</file>

<file path=customXml/itemProps3.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4.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5.xml><?xml version="1.0" encoding="utf-8"?>
<ds:datastoreItem xmlns:ds="http://schemas.openxmlformats.org/officeDocument/2006/customXml" ds:itemID="{17BB620A-3AAF-4D40-92C2-63150B9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2903</Words>
  <Characters>17054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19918</CharactersWithSpaces>
  <SharedDoc>false</SharedDoc>
  <HLinks>
    <vt:vector size="72" baseType="variant">
      <vt:variant>
        <vt:i4>3670022</vt:i4>
      </vt:variant>
      <vt:variant>
        <vt:i4>54</vt:i4>
      </vt:variant>
      <vt:variant>
        <vt:i4>0</vt:i4>
      </vt:variant>
      <vt:variant>
        <vt:i4>5</vt:i4>
      </vt:variant>
      <vt:variant>
        <vt:lpwstr>mailto:psi@nationalarchives.gsi.gov.uk</vt:lpwstr>
      </vt:variant>
      <vt:variant>
        <vt:lpwstr/>
      </vt:variant>
      <vt:variant>
        <vt:i4>6553714</vt:i4>
      </vt:variant>
      <vt:variant>
        <vt:i4>51</vt:i4>
      </vt:variant>
      <vt:variant>
        <vt:i4>0</vt:i4>
      </vt:variant>
      <vt:variant>
        <vt:i4>5</vt:i4>
      </vt:variant>
      <vt:variant>
        <vt:lpwstr>http://www.nationalarchives.gov.uk/doc/open-government-licence/</vt:lpwstr>
      </vt:variant>
      <vt:variant>
        <vt:lpwstr/>
      </vt:variant>
      <vt:variant>
        <vt:i4>6488159</vt:i4>
      </vt:variant>
      <vt:variant>
        <vt:i4>48</vt:i4>
      </vt:variant>
      <vt:variant>
        <vt:i4>0</vt:i4>
      </vt:variant>
      <vt:variant>
        <vt:i4>5</vt:i4>
      </vt:variant>
      <vt:variant>
        <vt:lpwstr>../../cfoley1/AppData/Local/Microsoft/Windows/INetCache/AppData/Local/Microsoft/Windows/INetCache/Content.Outlook/PIO66FOY/Louise.Butler@ofsted.gov.uk</vt:lpwstr>
      </vt:variant>
      <vt:variant>
        <vt:lpwstr/>
      </vt:variant>
      <vt:variant>
        <vt:i4>3407905</vt:i4>
      </vt:variant>
      <vt:variant>
        <vt:i4>45</vt:i4>
      </vt:variant>
      <vt:variant>
        <vt:i4>0</vt:i4>
      </vt:variant>
      <vt:variant>
        <vt:i4>5</vt:i4>
      </vt:variant>
      <vt:variant>
        <vt:lpwstr>https://www.gov.uk/government/collections/maintained-schools-and-academies-inspections-and-outcomes-official-statistics</vt:lpwstr>
      </vt:variant>
      <vt:variant>
        <vt:lpwstr/>
      </vt:variant>
      <vt:variant>
        <vt:i4>7143541</vt:i4>
      </vt:variant>
      <vt:variant>
        <vt:i4>42</vt:i4>
      </vt:variant>
      <vt:variant>
        <vt:i4>0</vt:i4>
      </vt:variant>
      <vt:variant>
        <vt:i4>5</vt:i4>
      </vt:variant>
      <vt:variant>
        <vt:lpwstr>http://www.gov.uk/government/consultations/changes-to-ofsteds-statistical-reporting-of-inspection-outcomes-for-maintained-schools-and-academies</vt:lpwstr>
      </vt:variant>
      <vt:variant>
        <vt:lpwstr/>
      </vt:variant>
      <vt:variant>
        <vt:i4>1179710</vt:i4>
      </vt:variant>
      <vt:variant>
        <vt:i4>29</vt:i4>
      </vt:variant>
      <vt:variant>
        <vt:i4>0</vt:i4>
      </vt:variant>
      <vt:variant>
        <vt:i4>5</vt:i4>
      </vt:variant>
      <vt:variant>
        <vt:lpwstr/>
      </vt:variant>
      <vt:variant>
        <vt:lpwstr>_Toc485298678</vt:lpwstr>
      </vt:variant>
      <vt:variant>
        <vt:i4>1179710</vt:i4>
      </vt:variant>
      <vt:variant>
        <vt:i4>23</vt:i4>
      </vt:variant>
      <vt:variant>
        <vt:i4>0</vt:i4>
      </vt:variant>
      <vt:variant>
        <vt:i4>5</vt:i4>
      </vt:variant>
      <vt:variant>
        <vt:lpwstr/>
      </vt:variant>
      <vt:variant>
        <vt:lpwstr>_Toc485298677</vt:lpwstr>
      </vt:variant>
      <vt:variant>
        <vt:i4>1179710</vt:i4>
      </vt:variant>
      <vt:variant>
        <vt:i4>17</vt:i4>
      </vt:variant>
      <vt:variant>
        <vt:i4>0</vt:i4>
      </vt:variant>
      <vt:variant>
        <vt:i4>5</vt:i4>
      </vt:variant>
      <vt:variant>
        <vt:lpwstr/>
      </vt:variant>
      <vt:variant>
        <vt:lpwstr>_Toc485298676</vt:lpwstr>
      </vt:variant>
      <vt:variant>
        <vt:i4>1179710</vt:i4>
      </vt:variant>
      <vt:variant>
        <vt:i4>14</vt:i4>
      </vt:variant>
      <vt:variant>
        <vt:i4>0</vt:i4>
      </vt:variant>
      <vt:variant>
        <vt:i4>5</vt:i4>
      </vt:variant>
      <vt:variant>
        <vt:lpwstr/>
      </vt:variant>
      <vt:variant>
        <vt:lpwstr>_Toc485298671</vt:lpwstr>
      </vt:variant>
      <vt:variant>
        <vt:i4>1179710</vt:i4>
      </vt:variant>
      <vt:variant>
        <vt:i4>8</vt:i4>
      </vt:variant>
      <vt:variant>
        <vt:i4>0</vt:i4>
      </vt:variant>
      <vt:variant>
        <vt:i4>5</vt:i4>
      </vt:variant>
      <vt:variant>
        <vt:lpwstr/>
      </vt:variant>
      <vt:variant>
        <vt:lpwstr>_Toc485298670</vt:lpwstr>
      </vt:variant>
      <vt:variant>
        <vt:i4>7143541</vt:i4>
      </vt:variant>
      <vt:variant>
        <vt:i4>0</vt:i4>
      </vt:variant>
      <vt:variant>
        <vt:i4>0</vt:i4>
      </vt:variant>
      <vt:variant>
        <vt:i4>5</vt:i4>
      </vt:variant>
      <vt:variant>
        <vt:lpwstr>http://www.gov.uk/government/consultations/changes-to-ofsteds-statistical-reporting-of-inspection-outcomes-for-maintained-schools-and-academies</vt:lpwstr>
      </vt:variant>
      <vt:variant>
        <vt:lpwstr/>
      </vt:variant>
      <vt:variant>
        <vt:i4>3145736</vt:i4>
      </vt:variant>
      <vt:variant>
        <vt:i4>0</vt:i4>
      </vt:variant>
      <vt:variant>
        <vt:i4>0</vt:i4>
      </vt:variant>
      <vt:variant>
        <vt:i4>5</vt:i4>
      </vt:variant>
      <vt:variant>
        <vt:lpwstr>mailto:Louise.Butler@ofsted.gov.uk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subject/>
  <dc:creator>Alison Edwards (London)</dc:creator>
  <cp:keywords/>
  <cp:lastModifiedBy>Chris Foley</cp:lastModifiedBy>
  <cp:revision>5</cp:revision>
  <cp:lastPrinted>2018-03-01T18:31:00Z</cp:lastPrinted>
  <dcterms:created xsi:type="dcterms:W3CDTF">2018-03-01T18:30:00Z</dcterms:created>
  <dcterms:modified xsi:type="dcterms:W3CDTF">2018-03-01T18:32:00Z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