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1"/>
      </w:tblGrid>
      <w:tr w:rsidR="00C016D5" w14:paraId="675F5DF8" w14:textId="77777777" w:rsidTr="00886775">
        <w:trPr>
          <w:trHeight w:val="2977"/>
        </w:trPr>
        <w:tc>
          <w:tcPr>
            <w:tcW w:w="6379" w:type="dxa"/>
          </w:tcPr>
          <w:p w14:paraId="66F8A2A3" w14:textId="7F56CE2B" w:rsidR="00C016D5" w:rsidRDefault="00FF749E" w:rsidP="002C5025">
            <w:pPr>
              <w:pStyle w:val="MOJaddress"/>
            </w:pPr>
            <w:r>
              <w:rPr>
                <w:noProof/>
              </w:rPr>
              <w:drawing>
                <wp:inline distT="0" distB="0" distL="0" distR="0" wp14:anchorId="1CA550EB" wp14:editId="3C861816">
                  <wp:extent cx="970280" cy="755650"/>
                  <wp:effectExtent l="0" t="0" r="0" b="0"/>
                  <wp:docPr id="1" name="Picture 1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of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843283" w14:textId="77777777"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14:paraId="4992A9A0" w14:textId="77777777"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14:paraId="1A823778" w14:textId="77777777" w:rsidR="00F12801" w:rsidRPr="009C4B46" w:rsidRDefault="00F12801" w:rsidP="009C4B46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14:paraId="1096AFFE" w14:textId="77777777" w:rsidR="00C016D5" w:rsidRDefault="00C016D5" w:rsidP="009853E8">
            <w:pPr>
              <w:pStyle w:val="MOJaddress"/>
            </w:pPr>
          </w:p>
        </w:tc>
        <w:tc>
          <w:tcPr>
            <w:tcW w:w="3261" w:type="dxa"/>
          </w:tcPr>
          <w:p w14:paraId="7FEA5BFE" w14:textId="77777777" w:rsidR="00C016D5" w:rsidRPr="009C4B46" w:rsidRDefault="00C016D5" w:rsidP="00D11624">
            <w:pPr>
              <w:pStyle w:val="MOJaddress"/>
              <w:ind w:left="284"/>
              <w:rPr>
                <w:color w:val="0000CC"/>
                <w:sz w:val="22"/>
                <w:szCs w:val="22"/>
              </w:rPr>
            </w:pPr>
          </w:p>
          <w:p w14:paraId="5CD80C5E" w14:textId="77777777" w:rsidR="00C016D5" w:rsidRPr="00396A38" w:rsidRDefault="00F12801" w:rsidP="00D11624">
            <w:pPr>
              <w:pStyle w:val="MOJaddress"/>
              <w:rPr>
                <w:color w:val="000000"/>
              </w:rPr>
            </w:pPr>
            <w:r w:rsidRPr="00396A38">
              <w:rPr>
                <w:color w:val="000000"/>
                <w:sz w:val="22"/>
                <w:szCs w:val="22"/>
              </w:rPr>
              <w:t>October 2017</w:t>
            </w:r>
          </w:p>
        </w:tc>
      </w:tr>
    </w:tbl>
    <w:p w14:paraId="50A4DB8B" w14:textId="77777777" w:rsidR="00D11624" w:rsidRDefault="00D11624" w:rsidP="007A3DF8">
      <w:pPr>
        <w:rPr>
          <w:szCs w:val="22"/>
        </w:rPr>
      </w:pPr>
    </w:p>
    <w:p w14:paraId="5F874547" w14:textId="77777777" w:rsidR="009853E8" w:rsidRPr="00396A38" w:rsidRDefault="007A3DF8" w:rsidP="009853E8">
      <w:pPr>
        <w:rPr>
          <w:b/>
          <w:color w:val="000000"/>
          <w:szCs w:val="22"/>
        </w:rPr>
      </w:pPr>
      <w:r w:rsidRPr="00396A38">
        <w:rPr>
          <w:b/>
          <w:color w:val="000000"/>
          <w:szCs w:val="22"/>
        </w:rPr>
        <w:t xml:space="preserve">Freedom of Information Act (FOIA) Request – </w:t>
      </w:r>
      <w:r w:rsidR="00F12801" w:rsidRPr="00396A38">
        <w:rPr>
          <w:color w:val="000000"/>
          <w:szCs w:val="22"/>
        </w:rPr>
        <w:t>171019002</w:t>
      </w:r>
    </w:p>
    <w:p w14:paraId="63799034" w14:textId="77777777" w:rsidR="009853E8" w:rsidRPr="00396A38" w:rsidRDefault="009853E8" w:rsidP="009853E8">
      <w:pPr>
        <w:rPr>
          <w:b/>
          <w:color w:val="000000"/>
          <w:szCs w:val="22"/>
        </w:rPr>
      </w:pPr>
    </w:p>
    <w:p w14:paraId="499E0BCF" w14:textId="77777777" w:rsidR="00CA5194" w:rsidRPr="00396A38" w:rsidRDefault="00FF749E" w:rsidP="00CA5194">
      <w:pPr>
        <w:rPr>
          <w:color w:val="000000"/>
        </w:rPr>
      </w:pPr>
      <w:r>
        <w:rPr>
          <w:color w:val="000000"/>
        </w:rPr>
        <w:t>Y</w:t>
      </w:r>
      <w:r w:rsidR="00A54B9C" w:rsidRPr="00396A38">
        <w:rPr>
          <w:color w:val="000000"/>
        </w:rPr>
        <w:t>ou</w:t>
      </w:r>
      <w:r w:rsidR="00CA5194" w:rsidRPr="00396A38">
        <w:rPr>
          <w:color w:val="000000"/>
        </w:rPr>
        <w:t xml:space="preserve"> asked for the following information from the Ministry of Justice (MoJ):  </w:t>
      </w:r>
    </w:p>
    <w:p w14:paraId="4F37D3C6" w14:textId="77777777" w:rsidR="00CA5194" w:rsidRPr="00396A38" w:rsidRDefault="00CA5194" w:rsidP="00CA5194">
      <w:pPr>
        <w:rPr>
          <w:rFonts w:cs="Arial"/>
          <w:color w:val="000000"/>
          <w:szCs w:val="22"/>
        </w:rPr>
      </w:pPr>
    </w:p>
    <w:p w14:paraId="2BC42906" w14:textId="77777777" w:rsidR="00F12801" w:rsidRPr="00396A38" w:rsidRDefault="00F12801" w:rsidP="00CA5194">
      <w:pPr>
        <w:rPr>
          <w:rFonts w:cs="Arial"/>
          <w:b/>
          <w:color w:val="000000"/>
          <w:szCs w:val="22"/>
        </w:rPr>
      </w:pPr>
      <w:r w:rsidRPr="00396A38">
        <w:rPr>
          <w:rFonts w:cs="Arial"/>
          <w:b/>
          <w:color w:val="000000"/>
          <w:szCs w:val="22"/>
        </w:rPr>
        <w:t xml:space="preserve">FOI Release to Environmental Health News in 2015 </w:t>
      </w:r>
    </w:p>
    <w:p w14:paraId="1F6699B5" w14:textId="77777777" w:rsidR="00F12801" w:rsidRPr="00396A38" w:rsidRDefault="00F12801" w:rsidP="00CA5194">
      <w:pPr>
        <w:rPr>
          <w:rFonts w:cs="Arial"/>
          <w:b/>
          <w:color w:val="000000"/>
          <w:szCs w:val="22"/>
        </w:rPr>
      </w:pPr>
    </w:p>
    <w:p w14:paraId="3E237604" w14:textId="77777777" w:rsidR="00F12801" w:rsidRPr="00396A38" w:rsidRDefault="00F12801" w:rsidP="00CA5194">
      <w:pPr>
        <w:rPr>
          <w:rFonts w:cs="Arial"/>
          <w:b/>
          <w:color w:val="000000"/>
          <w:szCs w:val="22"/>
        </w:rPr>
      </w:pPr>
      <w:r w:rsidRPr="00396A38">
        <w:rPr>
          <w:rFonts w:cs="Arial"/>
          <w:b/>
          <w:color w:val="000000"/>
          <w:szCs w:val="22"/>
        </w:rPr>
        <w:t xml:space="preserve">I understand EHN made an FOI for the names of individuals - landlords and letting agents who had been prosecuted for Poor quality or unlicensed homes ( Any Housing-related offences ) between 2006 and 2014. </w:t>
      </w:r>
      <w:bookmarkStart w:id="0" w:name="_GoBack"/>
      <w:bookmarkEnd w:id="0"/>
    </w:p>
    <w:p w14:paraId="7173594F" w14:textId="77777777" w:rsidR="00F12801" w:rsidRPr="00396A38" w:rsidRDefault="00F12801" w:rsidP="00CA5194">
      <w:pPr>
        <w:rPr>
          <w:rFonts w:cs="Arial"/>
          <w:b/>
          <w:color w:val="000000"/>
          <w:szCs w:val="22"/>
        </w:rPr>
      </w:pPr>
    </w:p>
    <w:p w14:paraId="71360E14" w14:textId="77777777" w:rsidR="00CA5194" w:rsidRPr="00396A38" w:rsidRDefault="00F12801" w:rsidP="00CA5194">
      <w:pPr>
        <w:rPr>
          <w:rFonts w:cs="Arial"/>
          <w:color w:val="000000"/>
          <w:szCs w:val="22"/>
        </w:rPr>
      </w:pPr>
      <w:r w:rsidRPr="00396A38">
        <w:rPr>
          <w:rFonts w:cs="Arial"/>
          <w:b/>
          <w:color w:val="000000"/>
          <w:szCs w:val="22"/>
        </w:rPr>
        <w:t>Could I ask for this information to be provided to myself please. Thank you,</w:t>
      </w:r>
    </w:p>
    <w:p w14:paraId="41C70223" w14:textId="77777777" w:rsidR="00F12801" w:rsidRPr="00396A38" w:rsidRDefault="00F12801" w:rsidP="00CA5194">
      <w:pPr>
        <w:rPr>
          <w:rFonts w:cs="Arial"/>
          <w:color w:val="000000"/>
          <w:szCs w:val="22"/>
        </w:rPr>
      </w:pPr>
    </w:p>
    <w:p w14:paraId="0AA9CFB6" w14:textId="77777777" w:rsidR="00D11624" w:rsidRPr="00396A38" w:rsidRDefault="00D11624" w:rsidP="00CA5194">
      <w:pPr>
        <w:rPr>
          <w:rFonts w:cs="Arial"/>
          <w:color w:val="000000"/>
          <w:szCs w:val="22"/>
        </w:rPr>
      </w:pPr>
      <w:r w:rsidRPr="00396A38">
        <w:rPr>
          <w:rFonts w:cs="Arial"/>
          <w:color w:val="000000"/>
          <w:szCs w:val="22"/>
        </w:rPr>
        <w:t>Your request has been handled under the FOIA.</w:t>
      </w:r>
    </w:p>
    <w:p w14:paraId="2F92282C" w14:textId="77777777" w:rsidR="00D11624" w:rsidRPr="00396A38" w:rsidRDefault="00D11624" w:rsidP="00CA5194">
      <w:pPr>
        <w:rPr>
          <w:rFonts w:cs="Arial"/>
          <w:color w:val="000000"/>
          <w:szCs w:val="22"/>
        </w:rPr>
      </w:pPr>
    </w:p>
    <w:p w14:paraId="151BFC86" w14:textId="77777777" w:rsidR="00F12801" w:rsidRPr="00396A38" w:rsidRDefault="00CA5194" w:rsidP="00F12801">
      <w:pPr>
        <w:rPr>
          <w:rFonts w:cs="Arial"/>
          <w:color w:val="000000"/>
          <w:szCs w:val="22"/>
        </w:rPr>
      </w:pPr>
      <w:r w:rsidRPr="00396A38">
        <w:rPr>
          <w:rFonts w:cs="Arial"/>
          <w:color w:val="000000"/>
          <w:szCs w:val="22"/>
        </w:rPr>
        <w:t xml:space="preserve">I can confirm that the MoJ holds the information that you have requested and I have provided it </w:t>
      </w:r>
      <w:r w:rsidR="00F12801" w:rsidRPr="00396A38">
        <w:rPr>
          <w:rFonts w:cs="Arial"/>
          <w:color w:val="000000"/>
          <w:szCs w:val="22"/>
        </w:rPr>
        <w:t>in the attached spreadsheet which lists people and companies convicted under the Housing Act 2004, in England and Wales, from 2006</w:t>
      </w:r>
      <w:r w:rsidR="00AD55B9">
        <w:rPr>
          <w:rFonts w:cs="Arial"/>
          <w:color w:val="000000"/>
          <w:szCs w:val="22"/>
        </w:rPr>
        <w:t xml:space="preserve"> to 2014, which was the information</w:t>
      </w:r>
      <w:r w:rsidR="00F12801" w:rsidRPr="00396A38">
        <w:rPr>
          <w:rFonts w:cs="Arial"/>
          <w:color w:val="000000"/>
          <w:szCs w:val="22"/>
        </w:rPr>
        <w:t xml:space="preserve"> relea</w:t>
      </w:r>
      <w:r w:rsidR="00AD55B9">
        <w:rPr>
          <w:rFonts w:cs="Arial"/>
          <w:color w:val="000000"/>
          <w:szCs w:val="22"/>
        </w:rPr>
        <w:t>sed in response to the earlier FOI request.</w:t>
      </w:r>
    </w:p>
    <w:p w14:paraId="6DB360AA" w14:textId="77777777" w:rsidR="00F12801" w:rsidRPr="00396A38" w:rsidRDefault="00F12801" w:rsidP="00F12801">
      <w:pPr>
        <w:rPr>
          <w:rFonts w:cs="Arial"/>
          <w:color w:val="000000"/>
          <w:szCs w:val="22"/>
        </w:rPr>
      </w:pPr>
    </w:p>
    <w:p w14:paraId="15905E9C" w14:textId="77777777" w:rsidR="00F12801" w:rsidRPr="00396A38" w:rsidRDefault="00F12801" w:rsidP="00F12801">
      <w:pPr>
        <w:rPr>
          <w:rFonts w:cs="Arial"/>
          <w:color w:val="000000"/>
          <w:szCs w:val="22"/>
        </w:rPr>
      </w:pPr>
      <w:r w:rsidRPr="00396A38">
        <w:rPr>
          <w:rFonts w:cs="Arial"/>
          <w:color w:val="000000"/>
          <w:szCs w:val="22"/>
        </w:rPr>
        <w:t xml:space="preserve"> The data includes the following variables:</w:t>
      </w:r>
    </w:p>
    <w:p w14:paraId="5E8A3C18" w14:textId="77777777" w:rsidR="00F12801" w:rsidRPr="00396A38" w:rsidRDefault="00F12801" w:rsidP="00F12801">
      <w:pPr>
        <w:rPr>
          <w:rFonts w:cs="Arial"/>
          <w:color w:val="000000"/>
          <w:szCs w:val="22"/>
        </w:rPr>
      </w:pPr>
    </w:p>
    <w:p w14:paraId="7830521C" w14:textId="77777777" w:rsidR="00F12801" w:rsidRPr="00396A38" w:rsidRDefault="00F12801" w:rsidP="00F12801">
      <w:pPr>
        <w:numPr>
          <w:ilvl w:val="0"/>
          <w:numId w:val="3"/>
        </w:numPr>
        <w:rPr>
          <w:rFonts w:cs="Arial"/>
          <w:color w:val="000000"/>
          <w:szCs w:val="22"/>
        </w:rPr>
      </w:pPr>
      <w:r w:rsidRPr="00396A38">
        <w:rPr>
          <w:rFonts w:cs="Arial"/>
          <w:color w:val="000000"/>
          <w:szCs w:val="22"/>
        </w:rPr>
        <w:t>“Age” and where age is not known or not applicable (i.e. for a corporation) 25 is given as a  default,</w:t>
      </w:r>
    </w:p>
    <w:p w14:paraId="70CB03DD" w14:textId="77777777" w:rsidR="00F12801" w:rsidRPr="00396A38" w:rsidRDefault="00F12801" w:rsidP="00F12801">
      <w:pPr>
        <w:rPr>
          <w:rFonts w:cs="Arial"/>
          <w:color w:val="000000"/>
          <w:szCs w:val="22"/>
        </w:rPr>
      </w:pPr>
    </w:p>
    <w:p w14:paraId="376033B1" w14:textId="77777777" w:rsidR="00F12801" w:rsidRPr="00396A38" w:rsidRDefault="00F12801" w:rsidP="00F12801">
      <w:pPr>
        <w:numPr>
          <w:ilvl w:val="0"/>
          <w:numId w:val="3"/>
        </w:numPr>
        <w:rPr>
          <w:rFonts w:cs="Arial"/>
          <w:color w:val="000000"/>
          <w:szCs w:val="22"/>
        </w:rPr>
      </w:pPr>
      <w:r w:rsidRPr="00396A38">
        <w:rPr>
          <w:rFonts w:cs="Arial"/>
          <w:color w:val="000000"/>
          <w:szCs w:val="22"/>
        </w:rPr>
        <w:t>“Appdate” is when the case was convicted,</w:t>
      </w:r>
    </w:p>
    <w:p w14:paraId="00ABD144" w14:textId="77777777" w:rsidR="00F12801" w:rsidRPr="00396A38" w:rsidRDefault="00F12801" w:rsidP="00F12801">
      <w:pPr>
        <w:rPr>
          <w:rFonts w:cs="Arial"/>
          <w:color w:val="000000"/>
          <w:szCs w:val="22"/>
        </w:rPr>
      </w:pPr>
    </w:p>
    <w:p w14:paraId="5A87C783" w14:textId="77777777" w:rsidR="00F12801" w:rsidRPr="00396A38" w:rsidRDefault="00F12801" w:rsidP="00F12801">
      <w:pPr>
        <w:numPr>
          <w:ilvl w:val="0"/>
          <w:numId w:val="3"/>
        </w:numPr>
        <w:rPr>
          <w:rFonts w:cs="Arial"/>
          <w:color w:val="000000"/>
          <w:szCs w:val="22"/>
        </w:rPr>
      </w:pPr>
      <w:r w:rsidRPr="00396A38">
        <w:rPr>
          <w:rFonts w:cs="Arial"/>
          <w:color w:val="000000"/>
          <w:szCs w:val="22"/>
        </w:rPr>
        <w:t>“Court” is the court reference and also attached is the Green codebook that has court references and court names, which are identified by Local Justice Area at the magistrates court level.</w:t>
      </w:r>
    </w:p>
    <w:p w14:paraId="25FDD412" w14:textId="77777777" w:rsidR="00F12801" w:rsidRPr="00396A38" w:rsidRDefault="00F12801" w:rsidP="00F12801">
      <w:pPr>
        <w:rPr>
          <w:rFonts w:cs="Arial"/>
          <w:color w:val="000000"/>
          <w:szCs w:val="22"/>
        </w:rPr>
      </w:pPr>
    </w:p>
    <w:p w14:paraId="15BD6F90" w14:textId="77777777" w:rsidR="00F12801" w:rsidRPr="00396A38" w:rsidRDefault="00F12801" w:rsidP="00F12801">
      <w:pPr>
        <w:numPr>
          <w:ilvl w:val="0"/>
          <w:numId w:val="3"/>
        </w:numPr>
        <w:rPr>
          <w:rFonts w:cs="Arial"/>
          <w:color w:val="000000"/>
          <w:szCs w:val="22"/>
        </w:rPr>
      </w:pPr>
      <w:r w:rsidRPr="00396A38">
        <w:rPr>
          <w:rFonts w:cs="Arial"/>
          <w:color w:val="000000"/>
          <w:szCs w:val="22"/>
        </w:rPr>
        <w:t>“Defname” is the defendant’s last name,</w:t>
      </w:r>
    </w:p>
    <w:p w14:paraId="1F6DA38F" w14:textId="77777777" w:rsidR="00F12801" w:rsidRPr="00396A38" w:rsidRDefault="00F12801" w:rsidP="00F12801">
      <w:pPr>
        <w:rPr>
          <w:rFonts w:cs="Arial"/>
          <w:color w:val="000000"/>
          <w:szCs w:val="22"/>
        </w:rPr>
      </w:pPr>
    </w:p>
    <w:p w14:paraId="4C2859EC" w14:textId="77777777" w:rsidR="00F12801" w:rsidRPr="00396A38" w:rsidRDefault="00F12801" w:rsidP="00F12801">
      <w:pPr>
        <w:numPr>
          <w:ilvl w:val="0"/>
          <w:numId w:val="3"/>
        </w:numPr>
        <w:rPr>
          <w:rFonts w:cs="Arial"/>
          <w:color w:val="000000"/>
          <w:szCs w:val="22"/>
        </w:rPr>
      </w:pPr>
      <w:r w:rsidRPr="00396A38">
        <w:rPr>
          <w:rFonts w:cs="Arial"/>
          <w:color w:val="000000"/>
          <w:szCs w:val="22"/>
        </w:rPr>
        <w:t>“Initi1” is the defendant’s first initial,</w:t>
      </w:r>
    </w:p>
    <w:p w14:paraId="430E9CAF" w14:textId="77777777" w:rsidR="00F12801" w:rsidRPr="00396A38" w:rsidRDefault="00F12801" w:rsidP="00F12801">
      <w:pPr>
        <w:rPr>
          <w:rFonts w:cs="Arial"/>
          <w:color w:val="000000"/>
          <w:szCs w:val="22"/>
        </w:rPr>
      </w:pPr>
    </w:p>
    <w:p w14:paraId="229DB945" w14:textId="77777777" w:rsidR="00F12801" w:rsidRPr="00396A38" w:rsidRDefault="00F12801" w:rsidP="00F12801">
      <w:pPr>
        <w:numPr>
          <w:ilvl w:val="0"/>
          <w:numId w:val="3"/>
        </w:numPr>
        <w:rPr>
          <w:rFonts w:cs="Arial"/>
          <w:color w:val="000000"/>
          <w:szCs w:val="22"/>
        </w:rPr>
      </w:pPr>
      <w:r w:rsidRPr="00396A38">
        <w:rPr>
          <w:rFonts w:cs="Arial"/>
          <w:color w:val="000000"/>
          <w:szCs w:val="22"/>
        </w:rPr>
        <w:t>“Init2” is the defendant’s second initial,</w:t>
      </w:r>
    </w:p>
    <w:p w14:paraId="17D961CA" w14:textId="77777777" w:rsidR="00F12801" w:rsidRPr="00396A38" w:rsidRDefault="00F12801" w:rsidP="00F12801">
      <w:pPr>
        <w:rPr>
          <w:rFonts w:cs="Arial"/>
          <w:color w:val="000000"/>
          <w:szCs w:val="22"/>
        </w:rPr>
      </w:pPr>
    </w:p>
    <w:p w14:paraId="09892E12" w14:textId="77777777" w:rsidR="00F12801" w:rsidRPr="00396A38" w:rsidRDefault="00F12801" w:rsidP="00F12801">
      <w:pPr>
        <w:numPr>
          <w:ilvl w:val="0"/>
          <w:numId w:val="3"/>
        </w:numPr>
        <w:rPr>
          <w:rFonts w:cs="Arial"/>
          <w:color w:val="000000"/>
          <w:szCs w:val="22"/>
        </w:rPr>
      </w:pPr>
      <w:r w:rsidRPr="00396A38">
        <w:rPr>
          <w:rFonts w:cs="Arial"/>
          <w:color w:val="000000"/>
          <w:szCs w:val="22"/>
        </w:rPr>
        <w:lastRenderedPageBreak/>
        <w:t>“Sex” is the defendant’s gender and is coded so that 1 refers to male, 2 refers to female, 3 refers to where gender is not known, and 9 refers to where the defendant is a corporation,</w:t>
      </w:r>
    </w:p>
    <w:p w14:paraId="6EB9180B" w14:textId="77777777" w:rsidR="00F12801" w:rsidRPr="00396A38" w:rsidRDefault="00F12801" w:rsidP="00F12801">
      <w:pPr>
        <w:rPr>
          <w:rFonts w:cs="Arial"/>
          <w:color w:val="000000"/>
          <w:szCs w:val="22"/>
        </w:rPr>
      </w:pPr>
    </w:p>
    <w:p w14:paraId="4DDC3DFB" w14:textId="77777777" w:rsidR="00F12801" w:rsidRPr="00396A38" w:rsidRDefault="00F12801" w:rsidP="00F12801">
      <w:pPr>
        <w:numPr>
          <w:ilvl w:val="0"/>
          <w:numId w:val="3"/>
        </w:numPr>
        <w:rPr>
          <w:rFonts w:cs="Arial"/>
          <w:color w:val="000000"/>
          <w:szCs w:val="22"/>
        </w:rPr>
      </w:pPr>
      <w:r w:rsidRPr="00396A38">
        <w:rPr>
          <w:rFonts w:cs="Arial"/>
          <w:color w:val="000000"/>
          <w:szCs w:val="22"/>
        </w:rPr>
        <w:t>“Ethcode” is the ethnicity and attached is the Green codebook that has ethnicity references,</w:t>
      </w:r>
    </w:p>
    <w:p w14:paraId="154293E3" w14:textId="77777777" w:rsidR="00F12801" w:rsidRPr="00396A38" w:rsidRDefault="00F12801" w:rsidP="00F12801">
      <w:pPr>
        <w:rPr>
          <w:rFonts w:cs="Arial"/>
          <w:color w:val="000000"/>
          <w:szCs w:val="22"/>
        </w:rPr>
      </w:pPr>
    </w:p>
    <w:p w14:paraId="36302CCE" w14:textId="77777777" w:rsidR="00F12801" w:rsidRPr="00396A38" w:rsidRDefault="00F12801" w:rsidP="00F12801">
      <w:pPr>
        <w:numPr>
          <w:ilvl w:val="0"/>
          <w:numId w:val="3"/>
        </w:numPr>
        <w:rPr>
          <w:rFonts w:cs="Arial"/>
          <w:color w:val="000000"/>
          <w:szCs w:val="22"/>
        </w:rPr>
      </w:pPr>
      <w:r w:rsidRPr="00396A38">
        <w:rPr>
          <w:rFonts w:cs="Arial"/>
          <w:color w:val="000000"/>
          <w:szCs w:val="22"/>
        </w:rPr>
        <w:t>“Classctn” is the offence code, shown below</w:t>
      </w:r>
    </w:p>
    <w:p w14:paraId="71339D4B" w14:textId="77777777" w:rsidR="00F12801" w:rsidRPr="00396A38" w:rsidRDefault="00F12801" w:rsidP="00F12801">
      <w:pPr>
        <w:rPr>
          <w:rFonts w:cs="Arial"/>
          <w:color w:val="000000"/>
          <w:szCs w:val="22"/>
        </w:rPr>
      </w:pPr>
    </w:p>
    <w:p w14:paraId="64264ADE" w14:textId="77777777" w:rsidR="00F12801" w:rsidRPr="00396A38" w:rsidRDefault="00F12801" w:rsidP="00F12801">
      <w:pPr>
        <w:rPr>
          <w:rFonts w:cs="Arial"/>
          <w:color w:val="000000"/>
          <w:szCs w:val="22"/>
        </w:rPr>
      </w:pPr>
    </w:p>
    <w:tbl>
      <w:tblPr>
        <w:tblW w:w="8837" w:type="dxa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989"/>
        <w:gridCol w:w="3793"/>
        <w:gridCol w:w="1937"/>
        <w:gridCol w:w="1146"/>
      </w:tblGrid>
      <w:tr w:rsidR="00F12801" w:rsidRPr="00396A38" w14:paraId="2767924B" w14:textId="77777777" w:rsidTr="00396A38">
        <w:trPr>
          <w:trHeight w:val="765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313F8" w14:textId="77777777" w:rsidR="00F12801" w:rsidRPr="00396A38" w:rsidRDefault="00F12801" w:rsidP="00F12801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396A38">
              <w:rPr>
                <w:rFonts w:cs="Arial"/>
                <w:b/>
                <w:bCs/>
                <w:color w:val="000000"/>
                <w:szCs w:val="22"/>
              </w:rPr>
              <w:t>95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1EB74" w14:textId="77777777" w:rsidR="00F12801" w:rsidRPr="00396A38" w:rsidRDefault="00F12801" w:rsidP="00F12801">
            <w:pPr>
              <w:rPr>
                <w:rFonts w:cs="Arial"/>
                <w:color w:val="000000"/>
                <w:szCs w:val="22"/>
              </w:rPr>
            </w:pPr>
            <w:r w:rsidRPr="00396A38">
              <w:rPr>
                <w:rFonts w:cs="Arial"/>
                <w:color w:val="000000"/>
                <w:szCs w:val="22"/>
              </w:rPr>
              <w:t>37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2C397" w14:textId="77777777" w:rsidR="00F12801" w:rsidRPr="00396A38" w:rsidRDefault="00F12801" w:rsidP="00F12801">
            <w:pPr>
              <w:rPr>
                <w:rFonts w:cs="Arial"/>
                <w:color w:val="000000"/>
                <w:szCs w:val="22"/>
              </w:rPr>
            </w:pPr>
            <w:r w:rsidRPr="00396A38">
              <w:rPr>
                <w:rFonts w:cs="Arial"/>
                <w:color w:val="000000"/>
                <w:szCs w:val="22"/>
              </w:rPr>
              <w:t>Intentionally altering, suppressing or destroying document required to be produced under S.235 notice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65AD6" w14:textId="77777777" w:rsidR="00F12801" w:rsidRPr="00396A38" w:rsidRDefault="00F12801" w:rsidP="00F12801">
            <w:pPr>
              <w:rPr>
                <w:rFonts w:cs="Arial"/>
                <w:color w:val="000000"/>
                <w:szCs w:val="22"/>
              </w:rPr>
            </w:pPr>
            <w:r w:rsidRPr="00396A38">
              <w:rPr>
                <w:rFonts w:cs="Arial"/>
                <w:color w:val="000000"/>
                <w:szCs w:val="22"/>
              </w:rPr>
              <w:t>Housing Act 2004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79B90" w14:textId="77777777" w:rsidR="00F12801" w:rsidRPr="00396A38" w:rsidRDefault="00F12801" w:rsidP="00F12801">
            <w:pPr>
              <w:rPr>
                <w:rFonts w:cs="Arial"/>
                <w:color w:val="000000"/>
                <w:szCs w:val="22"/>
              </w:rPr>
            </w:pPr>
            <w:r w:rsidRPr="00396A38">
              <w:rPr>
                <w:rFonts w:cs="Arial"/>
                <w:color w:val="000000"/>
                <w:szCs w:val="22"/>
              </w:rPr>
              <w:t>S.236</w:t>
            </w:r>
          </w:p>
        </w:tc>
      </w:tr>
      <w:tr w:rsidR="00F12801" w:rsidRPr="00396A38" w14:paraId="186C1EFD" w14:textId="77777777" w:rsidTr="00396A38">
        <w:trPr>
          <w:trHeight w:val="76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41CD1" w14:textId="77777777" w:rsidR="00F12801" w:rsidRPr="00396A38" w:rsidRDefault="00F12801" w:rsidP="00F12801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396A38">
              <w:rPr>
                <w:rFonts w:cs="Arial"/>
                <w:b/>
                <w:bCs/>
                <w:color w:val="000000"/>
                <w:szCs w:val="22"/>
              </w:rPr>
              <w:t>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2590A" w14:textId="77777777" w:rsidR="00F12801" w:rsidRPr="00396A38" w:rsidRDefault="00F12801" w:rsidP="00F12801">
            <w:pPr>
              <w:rPr>
                <w:rFonts w:cs="Arial"/>
                <w:color w:val="000000"/>
                <w:szCs w:val="22"/>
              </w:rPr>
            </w:pPr>
            <w:r w:rsidRPr="00396A38">
              <w:rPr>
                <w:rFonts w:cs="Arial"/>
                <w:color w:val="000000"/>
                <w:szCs w:val="22"/>
              </w:rPr>
              <w:t>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EA9AE" w14:textId="77777777" w:rsidR="00F12801" w:rsidRPr="00396A38" w:rsidRDefault="00F12801" w:rsidP="00F12801">
            <w:pPr>
              <w:rPr>
                <w:rFonts w:cs="Arial"/>
                <w:color w:val="000000"/>
                <w:szCs w:val="22"/>
              </w:rPr>
            </w:pPr>
            <w:r w:rsidRPr="00396A38">
              <w:rPr>
                <w:rFonts w:cs="Arial"/>
                <w:color w:val="000000"/>
                <w:szCs w:val="22"/>
              </w:rPr>
              <w:t>Summary offences under the Housing Act where not covered by other codes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031E8" w14:textId="77777777" w:rsidR="00F12801" w:rsidRPr="00396A38" w:rsidRDefault="00F12801" w:rsidP="00F12801">
            <w:pPr>
              <w:rPr>
                <w:rFonts w:cs="Arial"/>
                <w:color w:val="000000"/>
                <w:szCs w:val="22"/>
              </w:rPr>
            </w:pPr>
            <w:r w:rsidRPr="00396A38">
              <w:rPr>
                <w:rFonts w:cs="Arial"/>
                <w:color w:val="000000"/>
                <w:szCs w:val="22"/>
              </w:rPr>
              <w:t>Housing Act 2004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765E0" w14:textId="77777777" w:rsidR="00F12801" w:rsidRPr="00396A38" w:rsidRDefault="00F12801" w:rsidP="00F12801">
            <w:pPr>
              <w:rPr>
                <w:rFonts w:cs="Arial"/>
                <w:color w:val="000000"/>
                <w:szCs w:val="22"/>
              </w:rPr>
            </w:pPr>
            <w:r w:rsidRPr="00396A38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12801" w:rsidRPr="00396A38" w14:paraId="2BE13F55" w14:textId="77777777" w:rsidTr="00396A38">
        <w:trPr>
          <w:trHeight w:val="76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D96DF" w14:textId="77777777" w:rsidR="00F12801" w:rsidRPr="00396A38" w:rsidRDefault="00F12801" w:rsidP="00F12801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396A38">
              <w:rPr>
                <w:rFonts w:cs="Arial"/>
                <w:b/>
                <w:bCs/>
                <w:color w:val="000000"/>
                <w:szCs w:val="22"/>
              </w:rPr>
              <w:t>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19D03" w14:textId="77777777" w:rsidR="00F12801" w:rsidRPr="00396A38" w:rsidRDefault="00F12801" w:rsidP="00F12801">
            <w:pPr>
              <w:rPr>
                <w:rFonts w:cs="Arial"/>
                <w:color w:val="000000"/>
                <w:szCs w:val="22"/>
              </w:rPr>
            </w:pPr>
            <w:r w:rsidRPr="00396A38">
              <w:rPr>
                <w:rFonts w:cs="Arial"/>
                <w:color w:val="000000"/>
                <w:szCs w:val="22"/>
              </w:rPr>
              <w:t>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1582E" w14:textId="77777777" w:rsidR="00F12801" w:rsidRPr="00396A38" w:rsidRDefault="00F12801" w:rsidP="00F12801">
            <w:pPr>
              <w:rPr>
                <w:rFonts w:cs="Arial"/>
                <w:color w:val="000000"/>
                <w:szCs w:val="22"/>
              </w:rPr>
            </w:pPr>
            <w:r w:rsidRPr="00396A38">
              <w:rPr>
                <w:rFonts w:cs="Arial"/>
                <w:color w:val="000000"/>
                <w:szCs w:val="22"/>
              </w:rPr>
              <w:t>Summary offences connected with houses in multiple occupation and housing licences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9941" w14:textId="77777777" w:rsidR="00F12801" w:rsidRPr="00396A38" w:rsidRDefault="00F12801" w:rsidP="00F12801">
            <w:pPr>
              <w:rPr>
                <w:rFonts w:cs="Arial"/>
                <w:color w:val="000000"/>
                <w:szCs w:val="22"/>
              </w:rPr>
            </w:pPr>
            <w:r w:rsidRPr="00396A38">
              <w:rPr>
                <w:rFonts w:cs="Arial"/>
                <w:color w:val="000000"/>
                <w:szCs w:val="22"/>
              </w:rPr>
              <w:t>Housing Act 2004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42375" w14:textId="77777777" w:rsidR="00F12801" w:rsidRPr="00396A38" w:rsidRDefault="00F12801" w:rsidP="00F12801">
            <w:pPr>
              <w:rPr>
                <w:rFonts w:cs="Arial"/>
                <w:color w:val="000000"/>
                <w:szCs w:val="22"/>
              </w:rPr>
            </w:pPr>
            <w:r w:rsidRPr="00396A38">
              <w:rPr>
                <w:rFonts w:cs="Arial"/>
                <w:color w:val="000000"/>
                <w:szCs w:val="22"/>
              </w:rPr>
              <w:t>SS.72(1), (2)&amp;(6) &amp; 95(1)&amp;(5)</w:t>
            </w:r>
          </w:p>
        </w:tc>
      </w:tr>
      <w:tr w:rsidR="00F12801" w:rsidRPr="00396A38" w14:paraId="6BE50020" w14:textId="77777777" w:rsidTr="00396A38">
        <w:trPr>
          <w:trHeight w:val="76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77538" w14:textId="77777777" w:rsidR="00F12801" w:rsidRPr="00396A38" w:rsidRDefault="00F12801" w:rsidP="00F12801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396A38">
              <w:rPr>
                <w:rFonts w:cs="Arial"/>
                <w:b/>
                <w:bCs/>
                <w:color w:val="000000"/>
                <w:szCs w:val="22"/>
              </w:rPr>
              <w:t>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8E146" w14:textId="77777777" w:rsidR="00F12801" w:rsidRPr="00396A38" w:rsidRDefault="00F12801" w:rsidP="00F12801">
            <w:pPr>
              <w:rPr>
                <w:rFonts w:cs="Arial"/>
                <w:color w:val="000000"/>
                <w:szCs w:val="22"/>
              </w:rPr>
            </w:pPr>
            <w:r w:rsidRPr="00396A38">
              <w:rPr>
                <w:rFonts w:cs="Arial"/>
                <w:color w:val="000000"/>
                <w:szCs w:val="22"/>
              </w:rPr>
              <w:t>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7250D" w14:textId="77777777" w:rsidR="00F12801" w:rsidRPr="00396A38" w:rsidRDefault="00F12801" w:rsidP="00F12801">
            <w:pPr>
              <w:rPr>
                <w:rFonts w:cs="Arial"/>
                <w:color w:val="000000"/>
                <w:szCs w:val="22"/>
              </w:rPr>
            </w:pPr>
            <w:r w:rsidRPr="00396A38">
              <w:rPr>
                <w:rFonts w:cs="Arial"/>
                <w:color w:val="000000"/>
                <w:szCs w:val="22"/>
              </w:rPr>
              <w:t>Failing to comply with overcrowding order or obstructing a relevant person in performance of anything required by Parts 1 to 4 of the Act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54FD8" w14:textId="77777777" w:rsidR="00F12801" w:rsidRPr="00396A38" w:rsidRDefault="00F12801" w:rsidP="00F12801">
            <w:pPr>
              <w:rPr>
                <w:rFonts w:cs="Arial"/>
                <w:color w:val="000000"/>
                <w:szCs w:val="22"/>
              </w:rPr>
            </w:pPr>
            <w:r w:rsidRPr="00396A38">
              <w:rPr>
                <w:rFonts w:cs="Arial"/>
                <w:color w:val="000000"/>
                <w:szCs w:val="22"/>
              </w:rPr>
              <w:t>Housing Act 2004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4EF81" w14:textId="77777777" w:rsidR="00F12801" w:rsidRPr="00396A38" w:rsidRDefault="00F12801" w:rsidP="00F12801">
            <w:pPr>
              <w:rPr>
                <w:rFonts w:cs="Arial"/>
                <w:color w:val="000000"/>
                <w:szCs w:val="22"/>
              </w:rPr>
            </w:pPr>
            <w:r w:rsidRPr="00396A38">
              <w:rPr>
                <w:rFonts w:cs="Arial"/>
                <w:color w:val="000000"/>
                <w:szCs w:val="22"/>
              </w:rPr>
              <w:t>SS.139 &amp; 241</w:t>
            </w:r>
          </w:p>
        </w:tc>
      </w:tr>
    </w:tbl>
    <w:p w14:paraId="4B42CAC7" w14:textId="77777777" w:rsidR="00F12801" w:rsidRPr="00396A38" w:rsidRDefault="00F12801" w:rsidP="00F12801">
      <w:pPr>
        <w:rPr>
          <w:rFonts w:cs="Arial"/>
          <w:color w:val="000000"/>
          <w:szCs w:val="22"/>
        </w:rPr>
      </w:pPr>
    </w:p>
    <w:p w14:paraId="5C6A1792" w14:textId="77777777" w:rsidR="00F12801" w:rsidRPr="00396A38" w:rsidRDefault="00F12801" w:rsidP="00F12801">
      <w:pPr>
        <w:rPr>
          <w:rFonts w:cs="Arial"/>
          <w:color w:val="000000"/>
          <w:szCs w:val="22"/>
        </w:rPr>
      </w:pPr>
    </w:p>
    <w:p w14:paraId="6D172FBA" w14:textId="77777777" w:rsidR="00F12801" w:rsidRPr="00396A38" w:rsidRDefault="00F12801" w:rsidP="00F12801">
      <w:pPr>
        <w:numPr>
          <w:ilvl w:val="0"/>
          <w:numId w:val="3"/>
        </w:numPr>
        <w:rPr>
          <w:rFonts w:cs="Arial"/>
          <w:color w:val="000000"/>
          <w:szCs w:val="22"/>
        </w:rPr>
      </w:pPr>
      <w:r w:rsidRPr="00396A38">
        <w:rPr>
          <w:rFonts w:cs="Arial"/>
          <w:color w:val="000000"/>
          <w:szCs w:val="22"/>
        </w:rPr>
        <w:t>“Disp1”, “Disp2”, “Disp3”, “Disp4” are the most severe disposals (a maximum of four are listed) and the Green Codebook describes what those disposal codes refer to.</w:t>
      </w:r>
    </w:p>
    <w:p w14:paraId="2D8EDDCB" w14:textId="77777777" w:rsidR="00F12801" w:rsidRPr="00396A38" w:rsidRDefault="00F12801" w:rsidP="00F12801">
      <w:pPr>
        <w:rPr>
          <w:rFonts w:cs="Arial"/>
          <w:color w:val="000000"/>
          <w:szCs w:val="22"/>
        </w:rPr>
      </w:pPr>
    </w:p>
    <w:p w14:paraId="5CDF8BE3" w14:textId="77777777" w:rsidR="00F12801" w:rsidRPr="00396A38" w:rsidRDefault="00F12801" w:rsidP="00F12801">
      <w:pPr>
        <w:numPr>
          <w:ilvl w:val="0"/>
          <w:numId w:val="3"/>
        </w:numPr>
        <w:rPr>
          <w:rFonts w:cs="Arial"/>
          <w:color w:val="000000"/>
          <w:szCs w:val="22"/>
        </w:rPr>
      </w:pPr>
      <w:r w:rsidRPr="00396A38">
        <w:rPr>
          <w:rFonts w:cs="Arial"/>
          <w:color w:val="000000"/>
          <w:szCs w:val="22"/>
        </w:rPr>
        <w:t xml:space="preserve">“Amount1”, “Amount2”, “Amount3” and “Amount4” are the amounts for each disposal. So for a fine they would be the amount of money the fine was for. </w:t>
      </w:r>
    </w:p>
    <w:p w14:paraId="070666D3" w14:textId="77777777" w:rsidR="00F12801" w:rsidRPr="00396A38" w:rsidRDefault="00F12801" w:rsidP="00F12801">
      <w:pPr>
        <w:rPr>
          <w:rFonts w:cs="Arial"/>
          <w:color w:val="000000"/>
          <w:szCs w:val="22"/>
        </w:rPr>
      </w:pPr>
    </w:p>
    <w:p w14:paraId="1BA35A96" w14:textId="77777777" w:rsidR="00F12801" w:rsidRPr="00396A38" w:rsidRDefault="00F12801" w:rsidP="00F12801">
      <w:pPr>
        <w:numPr>
          <w:ilvl w:val="0"/>
          <w:numId w:val="3"/>
        </w:numPr>
        <w:rPr>
          <w:rFonts w:cs="Arial"/>
          <w:color w:val="000000"/>
          <w:szCs w:val="22"/>
        </w:rPr>
      </w:pPr>
      <w:r w:rsidRPr="00396A38">
        <w:rPr>
          <w:rFonts w:cs="Arial"/>
          <w:color w:val="000000"/>
          <w:szCs w:val="22"/>
        </w:rPr>
        <w:t>“Year” is the year the case was convicted.</w:t>
      </w:r>
    </w:p>
    <w:p w14:paraId="64D6ED3A" w14:textId="77777777" w:rsidR="00F12801" w:rsidRPr="00396A38" w:rsidRDefault="00F12801" w:rsidP="00F12801">
      <w:pPr>
        <w:rPr>
          <w:rFonts w:cs="Arial"/>
          <w:color w:val="000000"/>
          <w:szCs w:val="22"/>
        </w:rPr>
      </w:pPr>
    </w:p>
    <w:p w14:paraId="2457C7E0" w14:textId="77777777" w:rsidR="00F12801" w:rsidRPr="00396A38" w:rsidRDefault="00F12801" w:rsidP="00F12801">
      <w:pPr>
        <w:numPr>
          <w:ilvl w:val="0"/>
          <w:numId w:val="3"/>
        </w:numPr>
        <w:rPr>
          <w:rFonts w:cs="Arial"/>
          <w:color w:val="000000"/>
          <w:szCs w:val="22"/>
        </w:rPr>
      </w:pPr>
      <w:r w:rsidRPr="00396A38">
        <w:rPr>
          <w:rFonts w:cs="Arial"/>
          <w:color w:val="000000"/>
          <w:szCs w:val="22"/>
        </w:rPr>
        <w:t>“Month” is the month the case was convicted.</w:t>
      </w:r>
    </w:p>
    <w:p w14:paraId="569BB53D" w14:textId="77777777" w:rsidR="00F12801" w:rsidRPr="00396A38" w:rsidRDefault="00F12801" w:rsidP="00F12801">
      <w:pPr>
        <w:rPr>
          <w:rFonts w:cs="Arial"/>
          <w:color w:val="000000"/>
          <w:szCs w:val="22"/>
        </w:rPr>
      </w:pPr>
    </w:p>
    <w:p w14:paraId="2E84CF56" w14:textId="77777777" w:rsidR="00F12801" w:rsidRPr="00396A38" w:rsidRDefault="00F12801" w:rsidP="00F12801">
      <w:pPr>
        <w:numPr>
          <w:ilvl w:val="0"/>
          <w:numId w:val="3"/>
        </w:numPr>
        <w:rPr>
          <w:rFonts w:cs="Arial"/>
          <w:color w:val="000000"/>
          <w:szCs w:val="22"/>
        </w:rPr>
      </w:pPr>
      <w:r w:rsidRPr="00396A38">
        <w:rPr>
          <w:rFonts w:cs="Arial"/>
          <w:color w:val="000000"/>
          <w:szCs w:val="22"/>
        </w:rPr>
        <w:t xml:space="preserve">“Plea” is the plea information, which is only available for offences heard in the Crown Court. 1 means there was a plea and 0 means there was not. </w:t>
      </w:r>
    </w:p>
    <w:p w14:paraId="3812D87B" w14:textId="77777777" w:rsidR="00F12801" w:rsidRPr="00396A38" w:rsidRDefault="00F12801" w:rsidP="00F12801">
      <w:pPr>
        <w:rPr>
          <w:rFonts w:cs="Arial"/>
          <w:color w:val="000000"/>
          <w:szCs w:val="22"/>
        </w:rPr>
      </w:pPr>
    </w:p>
    <w:p w14:paraId="4607B00A" w14:textId="77777777" w:rsidR="00F12801" w:rsidRPr="00396A38" w:rsidRDefault="00F12801" w:rsidP="00F12801">
      <w:pPr>
        <w:rPr>
          <w:rFonts w:cs="Arial"/>
          <w:color w:val="000000"/>
          <w:szCs w:val="22"/>
        </w:rPr>
      </w:pPr>
      <w:r w:rsidRPr="00396A38">
        <w:rPr>
          <w:rFonts w:cs="Arial"/>
          <w:color w:val="000000"/>
          <w:szCs w:val="22"/>
        </w:rPr>
        <w:t xml:space="preserve">There is considerable missing information regarding the names of defendants. This reflects the initial recording of data by operational staff. </w:t>
      </w:r>
    </w:p>
    <w:p w14:paraId="2FF942CE" w14:textId="77777777" w:rsidR="00F12801" w:rsidRPr="00396A38" w:rsidRDefault="00F12801" w:rsidP="00F12801">
      <w:pPr>
        <w:rPr>
          <w:rFonts w:cs="Arial"/>
          <w:color w:val="000000"/>
          <w:szCs w:val="22"/>
        </w:rPr>
      </w:pPr>
    </w:p>
    <w:p w14:paraId="0884A425" w14:textId="77777777" w:rsidR="00F12801" w:rsidRPr="00396A38" w:rsidRDefault="00F12801" w:rsidP="00F12801">
      <w:pPr>
        <w:rPr>
          <w:rFonts w:cs="Arial"/>
          <w:color w:val="000000"/>
          <w:szCs w:val="22"/>
        </w:rPr>
      </w:pPr>
      <w:r w:rsidRPr="00396A38">
        <w:rPr>
          <w:rFonts w:cs="Arial"/>
          <w:color w:val="000000"/>
          <w:szCs w:val="22"/>
        </w:rPr>
        <w:t xml:space="preserve">Please note that we are providing named data to you in light of the decision by the General Regulatory Chamber (Information Rights) reference </w:t>
      </w:r>
      <w:r w:rsidRPr="00396A38">
        <w:rPr>
          <w:rFonts w:cs="Arial"/>
          <w:bCs/>
          <w:color w:val="000000"/>
          <w:szCs w:val="22"/>
        </w:rPr>
        <w:t xml:space="preserve">EA/2014/0265 that named data should be released by the Ministry of Justice in respect of offenders who have been found guilty under the Housing Act 2004. </w:t>
      </w:r>
    </w:p>
    <w:p w14:paraId="6399C19B" w14:textId="77777777" w:rsidR="00F12801" w:rsidRDefault="00F12801" w:rsidP="00F12801">
      <w:pPr>
        <w:rPr>
          <w:rFonts w:cs="Arial"/>
          <w:color w:val="000000"/>
          <w:szCs w:val="22"/>
        </w:rPr>
      </w:pPr>
    </w:p>
    <w:sectPr w:rsidR="00F12801" w:rsidSect="00561341">
      <w:footerReference w:type="default" r:id="rId9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E1E4C" w14:textId="77777777" w:rsidR="000B088E" w:rsidRDefault="000B088E">
      <w:r>
        <w:separator/>
      </w:r>
    </w:p>
  </w:endnote>
  <w:endnote w:type="continuationSeparator" w:id="0">
    <w:p w14:paraId="52A47AD2" w14:textId="77777777" w:rsidR="000B088E" w:rsidRDefault="000B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791C4" w14:textId="77777777" w:rsidR="00DD5704" w:rsidRDefault="00DD5704" w:rsidP="007B7C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749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4F76C" w14:textId="77777777" w:rsidR="000B088E" w:rsidRDefault="000B088E">
      <w:r>
        <w:separator/>
      </w:r>
    </w:p>
  </w:footnote>
  <w:footnote w:type="continuationSeparator" w:id="0">
    <w:p w14:paraId="744977DD" w14:textId="77777777" w:rsidR="000B088E" w:rsidRDefault="000B0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DCF"/>
    <w:multiLevelType w:val="hybridMultilevel"/>
    <w:tmpl w:val="1764B9C8"/>
    <w:lvl w:ilvl="0" w:tplc="D2E66C24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7672"/>
    <w:multiLevelType w:val="hybridMultilevel"/>
    <w:tmpl w:val="8A9616A4"/>
    <w:lvl w:ilvl="0" w:tplc="6B58A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4DE"/>
    <w:multiLevelType w:val="hybridMultilevel"/>
    <w:tmpl w:val="B10C8DC6"/>
    <w:lvl w:ilvl="0" w:tplc="55E23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GungsuhChe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17054"/>
    <w:rsid w:val="000222E7"/>
    <w:rsid w:val="000222F6"/>
    <w:rsid w:val="00026D9A"/>
    <w:rsid w:val="00032200"/>
    <w:rsid w:val="00037330"/>
    <w:rsid w:val="0007380F"/>
    <w:rsid w:val="0008457A"/>
    <w:rsid w:val="0009138F"/>
    <w:rsid w:val="0009754B"/>
    <w:rsid w:val="000A3195"/>
    <w:rsid w:val="000B088E"/>
    <w:rsid w:val="00106DEE"/>
    <w:rsid w:val="00134A2E"/>
    <w:rsid w:val="00146154"/>
    <w:rsid w:val="00152F0C"/>
    <w:rsid w:val="00153E76"/>
    <w:rsid w:val="00154D2E"/>
    <w:rsid w:val="0017541D"/>
    <w:rsid w:val="001A3A7E"/>
    <w:rsid w:val="001A47E5"/>
    <w:rsid w:val="001A4EE1"/>
    <w:rsid w:val="001B6FB2"/>
    <w:rsid w:val="001C54E1"/>
    <w:rsid w:val="001C779E"/>
    <w:rsid w:val="001E0568"/>
    <w:rsid w:val="001E1665"/>
    <w:rsid w:val="001F33F4"/>
    <w:rsid w:val="0022056E"/>
    <w:rsid w:val="00255FC6"/>
    <w:rsid w:val="00273E23"/>
    <w:rsid w:val="00285A9C"/>
    <w:rsid w:val="002B0ECE"/>
    <w:rsid w:val="002C5025"/>
    <w:rsid w:val="002D5314"/>
    <w:rsid w:val="002E39E4"/>
    <w:rsid w:val="002F24C7"/>
    <w:rsid w:val="002F50F6"/>
    <w:rsid w:val="002F6553"/>
    <w:rsid w:val="003011BD"/>
    <w:rsid w:val="00303661"/>
    <w:rsid w:val="0030433E"/>
    <w:rsid w:val="0031213B"/>
    <w:rsid w:val="00323067"/>
    <w:rsid w:val="003366B3"/>
    <w:rsid w:val="00375DDC"/>
    <w:rsid w:val="00376A97"/>
    <w:rsid w:val="00377D6F"/>
    <w:rsid w:val="0038642F"/>
    <w:rsid w:val="00396A38"/>
    <w:rsid w:val="003A633E"/>
    <w:rsid w:val="003B13CA"/>
    <w:rsid w:val="003E2480"/>
    <w:rsid w:val="003E3E27"/>
    <w:rsid w:val="00401CAB"/>
    <w:rsid w:val="004269FC"/>
    <w:rsid w:val="00435D53"/>
    <w:rsid w:val="00444869"/>
    <w:rsid w:val="00445AB5"/>
    <w:rsid w:val="00453104"/>
    <w:rsid w:val="00457840"/>
    <w:rsid w:val="00471E48"/>
    <w:rsid w:val="0048558F"/>
    <w:rsid w:val="00496E7B"/>
    <w:rsid w:val="004D58C1"/>
    <w:rsid w:val="004E03C7"/>
    <w:rsid w:val="004E5205"/>
    <w:rsid w:val="004E5CF9"/>
    <w:rsid w:val="004F3A38"/>
    <w:rsid w:val="004F5467"/>
    <w:rsid w:val="0050006A"/>
    <w:rsid w:val="00511973"/>
    <w:rsid w:val="00524313"/>
    <w:rsid w:val="00535B60"/>
    <w:rsid w:val="005361B4"/>
    <w:rsid w:val="00561101"/>
    <w:rsid w:val="00561341"/>
    <w:rsid w:val="0056296A"/>
    <w:rsid w:val="00566964"/>
    <w:rsid w:val="005765D4"/>
    <w:rsid w:val="005774F0"/>
    <w:rsid w:val="0059501B"/>
    <w:rsid w:val="005970DE"/>
    <w:rsid w:val="005A196C"/>
    <w:rsid w:val="005A1FB5"/>
    <w:rsid w:val="005B1E5F"/>
    <w:rsid w:val="005B28FC"/>
    <w:rsid w:val="005C1749"/>
    <w:rsid w:val="005D21E1"/>
    <w:rsid w:val="005E17C7"/>
    <w:rsid w:val="006045AB"/>
    <w:rsid w:val="00644B57"/>
    <w:rsid w:val="00652228"/>
    <w:rsid w:val="006647E4"/>
    <w:rsid w:val="00673F9E"/>
    <w:rsid w:val="00674BC9"/>
    <w:rsid w:val="0067514B"/>
    <w:rsid w:val="0067585E"/>
    <w:rsid w:val="00680513"/>
    <w:rsid w:val="00680B3A"/>
    <w:rsid w:val="00684760"/>
    <w:rsid w:val="00687093"/>
    <w:rsid w:val="00687276"/>
    <w:rsid w:val="006878E8"/>
    <w:rsid w:val="006C72DE"/>
    <w:rsid w:val="006E32CA"/>
    <w:rsid w:val="006F32D9"/>
    <w:rsid w:val="006F41B2"/>
    <w:rsid w:val="0074259E"/>
    <w:rsid w:val="0075513B"/>
    <w:rsid w:val="007A3DF8"/>
    <w:rsid w:val="007B7C57"/>
    <w:rsid w:val="007C5F7B"/>
    <w:rsid w:val="007C771A"/>
    <w:rsid w:val="007D4371"/>
    <w:rsid w:val="007D4761"/>
    <w:rsid w:val="007D5ED2"/>
    <w:rsid w:val="007F4AEE"/>
    <w:rsid w:val="00801B78"/>
    <w:rsid w:val="00805323"/>
    <w:rsid w:val="00831B94"/>
    <w:rsid w:val="00832C18"/>
    <w:rsid w:val="00837E19"/>
    <w:rsid w:val="00844B67"/>
    <w:rsid w:val="00844D94"/>
    <w:rsid w:val="008565E0"/>
    <w:rsid w:val="00880411"/>
    <w:rsid w:val="00882334"/>
    <w:rsid w:val="00886775"/>
    <w:rsid w:val="00892055"/>
    <w:rsid w:val="008970E9"/>
    <w:rsid w:val="008B21BB"/>
    <w:rsid w:val="008B36D2"/>
    <w:rsid w:val="008D45DA"/>
    <w:rsid w:val="008D564C"/>
    <w:rsid w:val="00917EC7"/>
    <w:rsid w:val="009827DD"/>
    <w:rsid w:val="009853E8"/>
    <w:rsid w:val="00985CB8"/>
    <w:rsid w:val="00990F1F"/>
    <w:rsid w:val="009C4B46"/>
    <w:rsid w:val="009D5879"/>
    <w:rsid w:val="009E3F91"/>
    <w:rsid w:val="009E69FE"/>
    <w:rsid w:val="00A144A3"/>
    <w:rsid w:val="00A173AB"/>
    <w:rsid w:val="00A20BCD"/>
    <w:rsid w:val="00A349B1"/>
    <w:rsid w:val="00A40D87"/>
    <w:rsid w:val="00A459D4"/>
    <w:rsid w:val="00A4792D"/>
    <w:rsid w:val="00A54B9C"/>
    <w:rsid w:val="00A76AFC"/>
    <w:rsid w:val="00A809DF"/>
    <w:rsid w:val="00AD55B9"/>
    <w:rsid w:val="00AD7505"/>
    <w:rsid w:val="00AE7402"/>
    <w:rsid w:val="00AF2FD9"/>
    <w:rsid w:val="00B01B28"/>
    <w:rsid w:val="00B47082"/>
    <w:rsid w:val="00B8050D"/>
    <w:rsid w:val="00B81EF9"/>
    <w:rsid w:val="00B9009F"/>
    <w:rsid w:val="00B95043"/>
    <w:rsid w:val="00BB4B4B"/>
    <w:rsid w:val="00C016D5"/>
    <w:rsid w:val="00C56E27"/>
    <w:rsid w:val="00C66BE0"/>
    <w:rsid w:val="00C72245"/>
    <w:rsid w:val="00CA5194"/>
    <w:rsid w:val="00CB54AB"/>
    <w:rsid w:val="00CB65BF"/>
    <w:rsid w:val="00CC0B65"/>
    <w:rsid w:val="00CC1F67"/>
    <w:rsid w:val="00CC54F9"/>
    <w:rsid w:val="00CE1BFE"/>
    <w:rsid w:val="00CF03AD"/>
    <w:rsid w:val="00CF0E52"/>
    <w:rsid w:val="00D010B0"/>
    <w:rsid w:val="00D04F64"/>
    <w:rsid w:val="00D11624"/>
    <w:rsid w:val="00D11B61"/>
    <w:rsid w:val="00D14BA9"/>
    <w:rsid w:val="00D17E97"/>
    <w:rsid w:val="00D25431"/>
    <w:rsid w:val="00D26FB9"/>
    <w:rsid w:val="00D34F07"/>
    <w:rsid w:val="00D354B2"/>
    <w:rsid w:val="00D5584F"/>
    <w:rsid w:val="00D62050"/>
    <w:rsid w:val="00D64C3E"/>
    <w:rsid w:val="00D66074"/>
    <w:rsid w:val="00D908A9"/>
    <w:rsid w:val="00DD4695"/>
    <w:rsid w:val="00DD5704"/>
    <w:rsid w:val="00DE65A5"/>
    <w:rsid w:val="00DE71AB"/>
    <w:rsid w:val="00E07BB4"/>
    <w:rsid w:val="00E4338B"/>
    <w:rsid w:val="00E51801"/>
    <w:rsid w:val="00E53522"/>
    <w:rsid w:val="00E910E7"/>
    <w:rsid w:val="00E92C99"/>
    <w:rsid w:val="00EA1E9A"/>
    <w:rsid w:val="00EB050F"/>
    <w:rsid w:val="00EB72DE"/>
    <w:rsid w:val="00ED3B30"/>
    <w:rsid w:val="00ED782D"/>
    <w:rsid w:val="00EE2AA6"/>
    <w:rsid w:val="00F012C4"/>
    <w:rsid w:val="00F12801"/>
    <w:rsid w:val="00F24423"/>
    <w:rsid w:val="00F61AFC"/>
    <w:rsid w:val="00F74765"/>
    <w:rsid w:val="00F779B2"/>
    <w:rsid w:val="00F81AD5"/>
    <w:rsid w:val="00F82DB8"/>
    <w:rsid w:val="00F92115"/>
    <w:rsid w:val="00FB0124"/>
    <w:rsid w:val="00FB2D55"/>
    <w:rsid w:val="00FB3ED1"/>
    <w:rsid w:val="00FC5E0E"/>
    <w:rsid w:val="00FD6D06"/>
    <w:rsid w:val="00FE0700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95CB725"/>
  <w15:chartTrackingRefBased/>
  <w15:docId w15:val="{61F30B16-E7E6-45AE-AFDA-2D1F86A5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1341"/>
    <w:pPr>
      <w:spacing w:line="28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32C1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5025"/>
    <w:pPr>
      <w:tabs>
        <w:tab w:val="center" w:pos="4153"/>
        <w:tab w:val="right" w:pos="8306"/>
      </w:tabs>
    </w:pPr>
  </w:style>
  <w:style w:type="paragraph" w:styleId="Footer">
    <w:name w:val="footer"/>
    <w:rsid w:val="007B7C57"/>
    <w:rPr>
      <w:rFonts w:ascii="Arial" w:hAnsi="Arial"/>
      <w:sz w:val="16"/>
      <w:szCs w:val="24"/>
    </w:rPr>
  </w:style>
  <w:style w:type="paragraph" w:customStyle="1" w:styleId="MOJaddress">
    <w:name w:val="MOJ address"/>
    <w:rsid w:val="001F33F4"/>
    <w:pPr>
      <w:spacing w:line="200" w:lineRule="atLeast"/>
    </w:pPr>
    <w:rPr>
      <w:rFonts w:ascii="Arial" w:hAnsi="Arial"/>
      <w:szCs w:val="24"/>
    </w:rPr>
  </w:style>
  <w:style w:type="paragraph" w:customStyle="1" w:styleId="MoJdate">
    <w:name w:val="MoJ date"/>
    <w:basedOn w:val="MOJaddress"/>
    <w:rsid w:val="003E3E27"/>
    <w:pPr>
      <w:spacing w:before="120"/>
      <w:ind w:right="284"/>
      <w:jc w:val="right"/>
    </w:pPr>
  </w:style>
  <w:style w:type="character" w:styleId="PageNumber">
    <w:name w:val="page number"/>
    <w:basedOn w:val="DefaultParagraphFont"/>
    <w:rsid w:val="007B7C57"/>
  </w:style>
  <w:style w:type="paragraph" w:customStyle="1" w:styleId="Name">
    <w:name w:val="Name"/>
    <w:rsid w:val="001A3A7E"/>
    <w:rPr>
      <w:rFonts w:ascii="Arial" w:hAnsi="Arial"/>
      <w:b/>
      <w:bCs/>
      <w:sz w:val="23"/>
    </w:rPr>
  </w:style>
  <w:style w:type="paragraph" w:styleId="CommentText">
    <w:name w:val="annotation text"/>
    <w:basedOn w:val="Normal"/>
    <w:semiHidden/>
    <w:rsid w:val="00832C18"/>
    <w:rPr>
      <w:szCs w:val="20"/>
    </w:rPr>
  </w:style>
  <w:style w:type="paragraph" w:styleId="BalloonText">
    <w:name w:val="Balloon Text"/>
    <w:basedOn w:val="Normal"/>
    <w:semiHidden/>
    <w:rsid w:val="00A809DF"/>
    <w:rPr>
      <w:rFonts w:ascii="Tahoma" w:hAnsi="Tahoma" w:cs="Tahoma"/>
      <w:sz w:val="16"/>
      <w:szCs w:val="16"/>
    </w:rPr>
  </w:style>
  <w:style w:type="character" w:styleId="Hyperlink">
    <w:name w:val="Hyperlink"/>
    <w:rsid w:val="00ED782D"/>
    <w:rPr>
      <w:color w:val="auto"/>
      <w:u w:val="none"/>
    </w:rPr>
  </w:style>
  <w:style w:type="character" w:styleId="FollowedHyperlink">
    <w:name w:val="FollowedHyperlink"/>
    <w:rsid w:val="00A76AFC"/>
    <w:rPr>
      <w:color w:val="954F72"/>
      <w:u w:val="single"/>
    </w:rPr>
  </w:style>
  <w:style w:type="table" w:styleId="TableGrid">
    <w:name w:val="Table Grid"/>
    <w:basedOn w:val="TableNormal"/>
    <w:rsid w:val="00CB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ISSEMBA\Local%20Settings\Temporary%20Internet%20Files\Content.IE5\4TBRPRZX\michael-gove-letterhead-3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85FB4-5CBC-463F-9B2B-542E6684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michael-gove-letterhead-3[2].dot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171019002 Prosecutions for Poor Quality or Unlicensed Homes</vt:lpstr>
    </vt:vector>
  </TitlesOfParts>
  <Manager/>
  <Company>Ministry of Justice</Company>
  <LinksUpToDate>false</LinksUpToDate>
  <CharactersWithSpaces>3226</CharactersWithSpaces>
  <SharedDoc>false</SharedDoc>
  <HLinks>
    <vt:vector size="18" baseType="variant">
      <vt:variant>
        <vt:i4>5636139</vt:i4>
      </vt:variant>
      <vt:variant>
        <vt:i4>6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7143501</vt:i4>
      </vt:variant>
      <vt:variant>
        <vt:i4>0</vt:i4>
      </vt:variant>
      <vt:variant>
        <vt:i4>0</vt:i4>
      </vt:variant>
      <vt:variant>
        <vt:i4>5</vt:i4>
      </vt:variant>
      <vt:variant>
        <vt:lpwstr>mailto:chrisdaniellm@gmail.com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171019002 Prosecutions for Poor Quality or Unlicensed Homes</dc:title>
  <dc:subject>FOI Release</dc:subject>
  <dc:creator>MoJ</dc:creator>
  <cp:keywords/>
  <dc:description/>
  <cp:lastModifiedBy>Cox, Allan</cp:lastModifiedBy>
  <cp:revision>2</cp:revision>
  <cp:lastPrinted>2015-07-06T10:35:00Z</cp:lastPrinted>
  <dcterms:created xsi:type="dcterms:W3CDTF">2018-03-27T10:47:00Z</dcterms:created>
  <dcterms:modified xsi:type="dcterms:W3CDTF">2018-03-27T10:47:00Z</dcterms:modified>
  <cp:category/>
</cp:coreProperties>
</file>