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6D4627" w14:paraId="56E81435" w14:textId="77777777" w:rsidTr="006D4627">
        <w:trPr>
          <w:trHeight w:val="2965"/>
        </w:trPr>
        <w:tc>
          <w:tcPr>
            <w:tcW w:w="6379" w:type="dxa"/>
          </w:tcPr>
          <w:p w14:paraId="4F97B0D3" w14:textId="5CD71B54" w:rsidR="006D4627" w:rsidRDefault="001201C6" w:rsidP="002C5025">
            <w:pPr>
              <w:pStyle w:val="MOJaddress"/>
            </w:pPr>
            <w:r>
              <w:rPr>
                <w:noProof/>
              </w:rPr>
              <w:drawing>
                <wp:inline distT="0" distB="0" distL="0" distR="0" wp14:anchorId="245884AD" wp14:editId="50FEDFA8">
                  <wp:extent cx="97028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09676473" w14:textId="77777777" w:rsidR="006D4627" w:rsidRDefault="006D4627" w:rsidP="002C5025">
            <w:pPr>
              <w:pStyle w:val="MOJaddress"/>
              <w:rPr>
                <w:color w:val="0000CC"/>
                <w:sz w:val="22"/>
                <w:szCs w:val="22"/>
              </w:rPr>
            </w:pPr>
          </w:p>
          <w:p w14:paraId="5E85426D" w14:textId="77777777" w:rsidR="006D4627" w:rsidRDefault="006D4627" w:rsidP="002C5025">
            <w:pPr>
              <w:pStyle w:val="MOJaddress"/>
              <w:rPr>
                <w:color w:val="0000CC"/>
                <w:sz w:val="22"/>
                <w:szCs w:val="22"/>
              </w:rPr>
            </w:pPr>
          </w:p>
          <w:p w14:paraId="395247B5" w14:textId="77777777" w:rsidR="00003094" w:rsidRPr="009C4B46" w:rsidRDefault="00003094" w:rsidP="009C4B46">
            <w:pPr>
              <w:pStyle w:val="MOJaddress"/>
              <w:rPr>
                <w:color w:val="0000CC"/>
                <w:sz w:val="22"/>
                <w:szCs w:val="22"/>
              </w:rPr>
            </w:pPr>
          </w:p>
          <w:p w14:paraId="2495CB1D" w14:textId="77777777" w:rsidR="006D4627" w:rsidRDefault="006D4627" w:rsidP="009853E8">
            <w:pPr>
              <w:pStyle w:val="MOJaddress"/>
            </w:pPr>
          </w:p>
        </w:tc>
        <w:tc>
          <w:tcPr>
            <w:tcW w:w="3261" w:type="dxa"/>
          </w:tcPr>
          <w:p w14:paraId="219DE1A4" w14:textId="77777777" w:rsidR="006D4627" w:rsidRDefault="006D4627" w:rsidP="007A3DF8">
            <w:pPr>
              <w:pStyle w:val="MOJaddress"/>
              <w:rPr>
                <w:color w:val="0000CC"/>
                <w:sz w:val="22"/>
                <w:szCs w:val="22"/>
              </w:rPr>
            </w:pPr>
          </w:p>
          <w:p w14:paraId="40E61CB5" w14:textId="77777777" w:rsidR="006D4627" w:rsidRPr="005A5681" w:rsidRDefault="00003094" w:rsidP="007A3DF8">
            <w:pPr>
              <w:pStyle w:val="MOJaddress"/>
              <w:rPr>
                <w:color w:val="000000"/>
              </w:rPr>
            </w:pPr>
            <w:r>
              <w:rPr>
                <w:color w:val="000000"/>
                <w:sz w:val="22"/>
                <w:szCs w:val="22"/>
              </w:rPr>
              <w:t>October</w:t>
            </w:r>
            <w:r w:rsidR="00934DE8" w:rsidRPr="005A5681">
              <w:rPr>
                <w:color w:val="000000"/>
                <w:sz w:val="22"/>
                <w:szCs w:val="22"/>
              </w:rPr>
              <w:t xml:space="preserve"> 2017</w:t>
            </w:r>
          </w:p>
        </w:tc>
      </w:tr>
    </w:tbl>
    <w:p w14:paraId="205C27E5" w14:textId="77777777" w:rsidR="00A413A1" w:rsidRDefault="00A413A1" w:rsidP="007A3DF8">
      <w:pPr>
        <w:rPr>
          <w:szCs w:val="22"/>
        </w:rPr>
      </w:pPr>
    </w:p>
    <w:p w14:paraId="0A735296" w14:textId="77777777" w:rsidR="009853E8" w:rsidRPr="005A5681" w:rsidRDefault="007A3DF8" w:rsidP="009853E8">
      <w:pPr>
        <w:rPr>
          <w:b/>
          <w:color w:val="000000"/>
          <w:szCs w:val="22"/>
        </w:rPr>
      </w:pPr>
      <w:r w:rsidRPr="005A5681">
        <w:rPr>
          <w:b/>
          <w:color w:val="000000"/>
          <w:szCs w:val="22"/>
        </w:rPr>
        <w:t xml:space="preserve">Freedom of Information Act (FOIA) Request – </w:t>
      </w:r>
      <w:r w:rsidR="00003094">
        <w:rPr>
          <w:color w:val="000000"/>
          <w:szCs w:val="22"/>
        </w:rPr>
        <w:t>170916005</w:t>
      </w:r>
    </w:p>
    <w:p w14:paraId="05340888" w14:textId="77777777" w:rsidR="009853E8" w:rsidRPr="005A5681" w:rsidRDefault="009853E8" w:rsidP="009853E8">
      <w:pPr>
        <w:rPr>
          <w:b/>
          <w:color w:val="000000"/>
          <w:szCs w:val="22"/>
        </w:rPr>
      </w:pPr>
    </w:p>
    <w:p w14:paraId="3837FA2F" w14:textId="77777777" w:rsidR="00CD5DDD" w:rsidRPr="005A5681" w:rsidRDefault="001201C6" w:rsidP="00CD5DDD">
      <w:pPr>
        <w:spacing w:line="240" w:lineRule="auto"/>
        <w:rPr>
          <w:color w:val="000000"/>
        </w:rPr>
      </w:pPr>
      <w:r>
        <w:rPr>
          <w:color w:val="000000"/>
        </w:rPr>
        <w:t>Y</w:t>
      </w:r>
      <w:r w:rsidR="007D6A5E" w:rsidRPr="005A5681">
        <w:rPr>
          <w:color w:val="000000"/>
        </w:rPr>
        <w:t>ou</w:t>
      </w:r>
      <w:r w:rsidR="00CD5DDD" w:rsidRPr="005A5681">
        <w:rPr>
          <w:color w:val="000000"/>
        </w:rPr>
        <w:t xml:space="preserve"> asked for the following information from the Ministry of Justice (MoJ):  </w:t>
      </w:r>
    </w:p>
    <w:p w14:paraId="5685C06E" w14:textId="77777777" w:rsidR="00CD5DDD" w:rsidRPr="005A5681" w:rsidRDefault="00CD5DDD" w:rsidP="00CD5DDD">
      <w:pPr>
        <w:spacing w:line="240" w:lineRule="auto"/>
        <w:rPr>
          <w:rFonts w:cs="Arial"/>
          <w:color w:val="000000"/>
          <w:szCs w:val="22"/>
        </w:rPr>
      </w:pPr>
    </w:p>
    <w:p w14:paraId="64341041" w14:textId="77777777" w:rsidR="00CD5DDD" w:rsidRDefault="00003094" w:rsidP="00CD5DDD">
      <w:pPr>
        <w:spacing w:line="240" w:lineRule="auto"/>
        <w:rPr>
          <w:rFonts w:cs="Arial"/>
          <w:b/>
          <w:color w:val="000000"/>
          <w:szCs w:val="22"/>
        </w:rPr>
      </w:pPr>
      <w:r w:rsidRPr="00003094">
        <w:rPr>
          <w:rFonts w:cs="Arial"/>
          <w:b/>
          <w:color w:val="000000"/>
          <w:szCs w:val="22"/>
        </w:rPr>
        <w:t>The annual number of a) arrests and b) convictions for prostitution and exploitation of prostitution offences broken down by type of offence (e.g. loitering or soliciting, kerb crawling, keeping a brothel etc.) for each of the last 5 calendar years including 2016 and for the period of 2017 where records are available. Please send me the data requested in the form of an Excel spreadsheet or as a csv file. If you are able to supply some of this information more quickly than ot</w:t>
      </w:r>
      <w:bookmarkStart w:id="0" w:name="_GoBack"/>
      <w:bookmarkEnd w:id="0"/>
      <w:r w:rsidRPr="00003094">
        <w:rPr>
          <w:rFonts w:cs="Arial"/>
          <w:b/>
          <w:color w:val="000000"/>
          <w:szCs w:val="22"/>
        </w:rPr>
        <w:t>her items, please supply each item when you can rather than delay everything until it is all available. If it is necessary for any reason to redact any information, please redact the minimum necessary and send me the rest of the material, explaining the legal grounds for each redaction. If there are any clarifications requested or exemptions cited for certain parts of the request, please provide responses for others in the meantime, as advised by the Information Commissioner. If you need any clarification then please email me. Under your section 16 duty to provide advice and assistance I would expect you to contact me if you find this request unmanageable in any way so we can negotiate how best to proceed. I would be grateful if you could confirm in writing that you have received this request, and I look forward to hearing from you in the near future,</w:t>
      </w:r>
    </w:p>
    <w:p w14:paraId="3C6074B7" w14:textId="77777777" w:rsidR="00003094" w:rsidRPr="005A5681" w:rsidRDefault="00003094" w:rsidP="00CD5DDD">
      <w:pPr>
        <w:spacing w:line="240" w:lineRule="auto"/>
        <w:rPr>
          <w:rFonts w:cs="Arial"/>
          <w:color w:val="000000"/>
          <w:szCs w:val="22"/>
        </w:rPr>
      </w:pPr>
    </w:p>
    <w:p w14:paraId="5B6A67EC" w14:textId="77777777" w:rsidR="00CD5DDD" w:rsidRPr="005A5681" w:rsidRDefault="00CD5DDD" w:rsidP="00CD5DDD">
      <w:pPr>
        <w:spacing w:line="240" w:lineRule="auto"/>
        <w:rPr>
          <w:rFonts w:cs="Arial"/>
          <w:color w:val="000000"/>
          <w:szCs w:val="22"/>
        </w:rPr>
      </w:pPr>
      <w:r w:rsidRPr="005A5681">
        <w:rPr>
          <w:rFonts w:cs="Arial"/>
          <w:color w:val="000000"/>
          <w:szCs w:val="22"/>
        </w:rPr>
        <w:t xml:space="preserve">Your request </w:t>
      </w:r>
      <w:r w:rsidR="00A413A1" w:rsidRPr="005A5681">
        <w:rPr>
          <w:rFonts w:cs="Arial"/>
          <w:color w:val="000000"/>
          <w:szCs w:val="22"/>
        </w:rPr>
        <w:t>has been</w:t>
      </w:r>
      <w:r w:rsidRPr="005A5681">
        <w:rPr>
          <w:rFonts w:cs="Arial"/>
          <w:color w:val="000000"/>
          <w:szCs w:val="22"/>
        </w:rPr>
        <w:t xml:space="preserve"> handled under the FOIA.</w:t>
      </w:r>
    </w:p>
    <w:p w14:paraId="1C21A19A" w14:textId="77777777" w:rsidR="00CD5DDD" w:rsidRPr="005A5681" w:rsidRDefault="00CD5DDD" w:rsidP="00CD5DDD">
      <w:pPr>
        <w:spacing w:line="240" w:lineRule="auto"/>
        <w:rPr>
          <w:rFonts w:cs="Arial"/>
          <w:color w:val="000000"/>
          <w:szCs w:val="22"/>
        </w:rPr>
      </w:pPr>
      <w:r w:rsidRPr="005A5681">
        <w:rPr>
          <w:rFonts w:cs="Arial"/>
          <w:color w:val="000000"/>
          <w:szCs w:val="22"/>
        </w:rPr>
        <w:t xml:space="preserve"> </w:t>
      </w:r>
    </w:p>
    <w:p w14:paraId="514154C1" w14:textId="77777777" w:rsidR="00A311FC" w:rsidRDefault="00CD5DDD" w:rsidP="00CD5DDD">
      <w:pPr>
        <w:spacing w:line="240" w:lineRule="auto"/>
        <w:rPr>
          <w:rFonts w:cs="Arial"/>
          <w:color w:val="000000"/>
          <w:szCs w:val="22"/>
        </w:rPr>
      </w:pPr>
      <w:r w:rsidRPr="005A5681">
        <w:rPr>
          <w:rFonts w:cs="Arial"/>
          <w:color w:val="000000"/>
          <w:szCs w:val="22"/>
        </w:rPr>
        <w:t>I can confirm that the MoJ holds</w:t>
      </w:r>
      <w:r w:rsidR="00934DE8" w:rsidRPr="005A5681">
        <w:rPr>
          <w:rFonts w:cs="Arial"/>
          <w:color w:val="000000"/>
          <w:szCs w:val="22"/>
        </w:rPr>
        <w:t xml:space="preserve"> </w:t>
      </w:r>
      <w:r w:rsidRPr="005A5681">
        <w:rPr>
          <w:rFonts w:cs="Arial"/>
          <w:color w:val="000000"/>
          <w:szCs w:val="22"/>
        </w:rPr>
        <w:t>the information that you have requested. However,</w:t>
      </w:r>
      <w:r w:rsidR="00003094">
        <w:rPr>
          <w:rFonts w:cs="Arial"/>
          <w:color w:val="000000"/>
          <w:szCs w:val="22"/>
        </w:rPr>
        <w:t xml:space="preserve"> some of</w:t>
      </w:r>
      <w:r w:rsidRPr="005A5681">
        <w:rPr>
          <w:rFonts w:cs="Arial"/>
          <w:color w:val="000000"/>
          <w:szCs w:val="22"/>
        </w:rPr>
        <w:t xml:space="preserve"> the information is exempt from disclosure under section 21 of the FOIA, because it is reasonably accessible to you. The information</w:t>
      </w:r>
      <w:r w:rsidR="00934DE8" w:rsidRPr="005A5681">
        <w:rPr>
          <w:rFonts w:cs="Arial"/>
          <w:color w:val="000000"/>
          <w:szCs w:val="22"/>
        </w:rPr>
        <w:t xml:space="preserve"> held, which applies to England and Wales only,</w:t>
      </w:r>
      <w:r w:rsidRPr="005A5681">
        <w:rPr>
          <w:rFonts w:cs="Arial"/>
          <w:color w:val="000000"/>
          <w:szCs w:val="22"/>
        </w:rPr>
        <w:t xml:space="preserve"> can be accessed via the following link </w:t>
      </w:r>
      <w:r w:rsidR="0056220A" w:rsidRPr="005A5681">
        <w:rPr>
          <w:rFonts w:cs="Arial"/>
          <w:color w:val="000000"/>
          <w:szCs w:val="22"/>
        </w:rPr>
        <w:t xml:space="preserve">to the annual criminal justice statistics publication.  </w:t>
      </w:r>
    </w:p>
    <w:p w14:paraId="525D58B6" w14:textId="77777777" w:rsidR="00A311FC" w:rsidRDefault="00A311FC" w:rsidP="00CD5DDD">
      <w:pPr>
        <w:spacing w:line="240" w:lineRule="auto"/>
        <w:rPr>
          <w:rFonts w:cs="Arial"/>
          <w:color w:val="000000"/>
          <w:szCs w:val="22"/>
        </w:rPr>
      </w:pPr>
    </w:p>
    <w:p w14:paraId="62212DD5" w14:textId="77777777" w:rsidR="00A311FC" w:rsidRDefault="00A311FC" w:rsidP="00A311FC">
      <w:pPr>
        <w:spacing w:line="240" w:lineRule="auto"/>
        <w:rPr>
          <w:rFonts w:cs="Arial"/>
          <w:szCs w:val="22"/>
        </w:rPr>
      </w:pPr>
      <w:hyperlink r:id="rId9" w:history="1">
        <w:r w:rsidRPr="00C5057A">
          <w:rPr>
            <w:rStyle w:val="Hyperlink"/>
            <w:rFonts w:cs="Arial"/>
            <w:szCs w:val="22"/>
          </w:rPr>
          <w:t>https://ww</w:t>
        </w:r>
        <w:r w:rsidRPr="00C5057A">
          <w:rPr>
            <w:rStyle w:val="Hyperlink"/>
            <w:rFonts w:cs="Arial"/>
            <w:szCs w:val="22"/>
          </w:rPr>
          <w:t>w</w:t>
        </w:r>
        <w:r w:rsidRPr="00C5057A">
          <w:rPr>
            <w:rStyle w:val="Hyperlink"/>
            <w:rFonts w:cs="Arial"/>
            <w:szCs w:val="22"/>
          </w:rPr>
          <w:t>.gov.uk/government/statistics/criminal-justice-system-statistics-quarterly-december-2016</w:t>
        </w:r>
      </w:hyperlink>
      <w:r w:rsidR="0031386D">
        <w:rPr>
          <w:rFonts w:cs="Arial"/>
          <w:szCs w:val="22"/>
        </w:rPr>
        <w:t xml:space="preserve"> </w:t>
      </w:r>
    </w:p>
    <w:p w14:paraId="2DE83DEA" w14:textId="77777777" w:rsidR="00A311FC" w:rsidRDefault="00A311FC" w:rsidP="00CD5DDD">
      <w:pPr>
        <w:spacing w:line="240" w:lineRule="auto"/>
        <w:rPr>
          <w:rFonts w:cs="Arial"/>
          <w:color w:val="000000"/>
          <w:szCs w:val="22"/>
        </w:rPr>
      </w:pPr>
    </w:p>
    <w:p w14:paraId="419C0550" w14:textId="77777777" w:rsidR="00003094" w:rsidRDefault="0056220A" w:rsidP="00003094">
      <w:pPr>
        <w:spacing w:line="240" w:lineRule="auto"/>
        <w:rPr>
          <w:rFonts w:cs="Arial"/>
          <w:color w:val="000000"/>
          <w:szCs w:val="22"/>
        </w:rPr>
      </w:pPr>
      <w:r w:rsidRPr="005A5681">
        <w:rPr>
          <w:rFonts w:cs="Arial"/>
          <w:color w:val="000000"/>
          <w:szCs w:val="22"/>
        </w:rPr>
        <w:t xml:space="preserve">From the landing page, select the Criminal Justice Statistics outcomes by offence data tool.  From the offence drop down box within the pivot, select </w:t>
      </w:r>
      <w:r w:rsidR="00003094">
        <w:rPr>
          <w:rFonts w:cs="Arial"/>
          <w:color w:val="000000"/>
          <w:szCs w:val="22"/>
        </w:rPr>
        <w:t>the offences</w:t>
      </w:r>
      <w:r w:rsidR="00A311FC">
        <w:rPr>
          <w:rFonts w:cs="Arial"/>
          <w:color w:val="000000"/>
          <w:szCs w:val="22"/>
        </w:rPr>
        <w:t xml:space="preserve"> you are interested in which would include</w:t>
      </w:r>
      <w:r w:rsidR="00003094">
        <w:rPr>
          <w:rFonts w:cs="Arial"/>
          <w:color w:val="000000"/>
          <w:szCs w:val="22"/>
        </w:rPr>
        <w:t>:-</w:t>
      </w:r>
    </w:p>
    <w:p w14:paraId="19849699" w14:textId="77777777" w:rsidR="00A311FC" w:rsidRPr="00361E7C" w:rsidRDefault="00A311FC" w:rsidP="00003094">
      <w:pPr>
        <w:spacing w:line="240" w:lineRule="auto"/>
        <w:rPr>
          <w:rFonts w:cs="Arial"/>
          <w:color w:val="000000"/>
          <w:szCs w:val="22"/>
        </w:rPr>
      </w:pPr>
    </w:p>
    <w:p w14:paraId="0E921878" w14:textId="77777777" w:rsidR="00003094" w:rsidRPr="00361E7C" w:rsidRDefault="00003094" w:rsidP="00003094">
      <w:pPr>
        <w:spacing w:line="240" w:lineRule="auto"/>
        <w:rPr>
          <w:rFonts w:cs="Arial"/>
          <w:b/>
          <w:color w:val="000000"/>
          <w:szCs w:val="22"/>
        </w:rPr>
      </w:pPr>
      <w:r w:rsidRPr="00361E7C">
        <w:rPr>
          <w:rFonts w:cs="Arial"/>
          <w:b/>
          <w:color w:val="000000"/>
          <w:szCs w:val="22"/>
        </w:rPr>
        <w:t>27 Soliciting for prostitution</w:t>
      </w:r>
    </w:p>
    <w:p w14:paraId="15C15F81" w14:textId="77777777" w:rsidR="00003094" w:rsidRPr="00361E7C" w:rsidRDefault="00003094" w:rsidP="00003094">
      <w:pPr>
        <w:spacing w:line="240" w:lineRule="auto"/>
        <w:rPr>
          <w:rFonts w:cs="Arial"/>
          <w:b/>
          <w:color w:val="000000"/>
          <w:szCs w:val="22"/>
        </w:rPr>
      </w:pPr>
      <w:r w:rsidRPr="00361E7C">
        <w:rPr>
          <w:rFonts w:cs="Arial"/>
          <w:b/>
          <w:color w:val="000000"/>
          <w:szCs w:val="22"/>
        </w:rPr>
        <w:t>71.1 Abuse of children through prostitution and pornography - indictable only</w:t>
      </w:r>
    </w:p>
    <w:p w14:paraId="36799C46" w14:textId="77777777" w:rsidR="00003094" w:rsidRPr="00361E7C" w:rsidRDefault="00003094" w:rsidP="00003094">
      <w:pPr>
        <w:spacing w:line="240" w:lineRule="auto"/>
        <w:rPr>
          <w:rFonts w:cs="Arial"/>
          <w:b/>
          <w:color w:val="000000"/>
          <w:szCs w:val="22"/>
        </w:rPr>
      </w:pPr>
      <w:r w:rsidRPr="00361E7C">
        <w:rPr>
          <w:rFonts w:cs="Arial"/>
          <w:b/>
          <w:color w:val="000000"/>
          <w:szCs w:val="22"/>
        </w:rPr>
        <w:t>71.2 Abuse of children through prostitution and pornography - triable either way</w:t>
      </w:r>
    </w:p>
    <w:p w14:paraId="726CFD0C" w14:textId="77777777" w:rsidR="00003094" w:rsidRPr="00361E7C" w:rsidRDefault="00003094" w:rsidP="00003094">
      <w:pPr>
        <w:spacing w:line="240" w:lineRule="auto"/>
        <w:rPr>
          <w:rFonts w:cs="Arial"/>
          <w:b/>
          <w:color w:val="000000"/>
          <w:szCs w:val="22"/>
        </w:rPr>
      </w:pPr>
      <w:r w:rsidRPr="00361E7C">
        <w:rPr>
          <w:rFonts w:cs="Arial"/>
          <w:b/>
          <w:color w:val="000000"/>
          <w:szCs w:val="22"/>
        </w:rPr>
        <w:t>24 Exploitation of prostitution</w:t>
      </w:r>
    </w:p>
    <w:p w14:paraId="5A34AA79" w14:textId="77777777" w:rsidR="00003094" w:rsidRPr="00361E7C" w:rsidRDefault="00003094" w:rsidP="00003094">
      <w:pPr>
        <w:spacing w:line="240" w:lineRule="auto"/>
        <w:rPr>
          <w:rFonts w:cs="Arial"/>
          <w:b/>
          <w:color w:val="000000"/>
          <w:szCs w:val="22"/>
        </w:rPr>
      </w:pPr>
      <w:r w:rsidRPr="00361E7C">
        <w:rPr>
          <w:rFonts w:cs="Arial"/>
          <w:b/>
          <w:color w:val="000000"/>
          <w:szCs w:val="22"/>
        </w:rPr>
        <w:t>107 Brothel Keeping</w:t>
      </w:r>
    </w:p>
    <w:p w14:paraId="317CBA33" w14:textId="77777777" w:rsidR="00003094" w:rsidRPr="00361E7C" w:rsidRDefault="00003094" w:rsidP="00003094">
      <w:pPr>
        <w:spacing w:line="240" w:lineRule="auto"/>
        <w:rPr>
          <w:rFonts w:cs="Arial"/>
          <w:b/>
          <w:color w:val="000000"/>
          <w:szCs w:val="22"/>
        </w:rPr>
      </w:pPr>
      <w:r w:rsidRPr="00361E7C">
        <w:rPr>
          <w:rFonts w:cs="Arial"/>
          <w:b/>
          <w:color w:val="000000"/>
          <w:szCs w:val="22"/>
        </w:rPr>
        <w:t>166 Offence by Prostitute</w:t>
      </w:r>
      <w:r w:rsidRPr="00361E7C">
        <w:rPr>
          <w:rFonts w:cs="Arial"/>
          <w:b/>
          <w:color w:val="000000"/>
          <w:szCs w:val="22"/>
        </w:rPr>
        <w:tab/>
      </w:r>
      <w:r w:rsidRPr="00361E7C">
        <w:rPr>
          <w:rFonts w:cs="Arial"/>
          <w:b/>
          <w:color w:val="000000"/>
          <w:szCs w:val="22"/>
        </w:rPr>
        <w:tab/>
      </w:r>
    </w:p>
    <w:p w14:paraId="190012FE" w14:textId="77777777" w:rsidR="00003094" w:rsidRPr="00361E7C" w:rsidRDefault="00003094" w:rsidP="00003094">
      <w:pPr>
        <w:spacing w:line="240" w:lineRule="auto"/>
        <w:rPr>
          <w:rFonts w:cs="Arial"/>
          <w:b/>
          <w:color w:val="000000"/>
          <w:szCs w:val="22"/>
        </w:rPr>
      </w:pPr>
      <w:r w:rsidRPr="00361E7C">
        <w:rPr>
          <w:rFonts w:cs="Arial"/>
          <w:b/>
          <w:color w:val="000000"/>
          <w:szCs w:val="22"/>
        </w:rPr>
        <w:lastRenderedPageBreak/>
        <w:t xml:space="preserve">167 Aiding, etc. Offence by Prostitute </w:t>
      </w:r>
      <w:r w:rsidRPr="00A311FC">
        <w:rPr>
          <w:rFonts w:cs="Arial"/>
          <w:color w:val="000000"/>
          <w:szCs w:val="22"/>
        </w:rPr>
        <w:t xml:space="preserve">– please note </w:t>
      </w:r>
      <w:r w:rsidR="00A311FC">
        <w:rPr>
          <w:rFonts w:cs="Arial"/>
          <w:color w:val="000000"/>
          <w:szCs w:val="22"/>
        </w:rPr>
        <w:t xml:space="preserve">that </w:t>
      </w:r>
      <w:r w:rsidRPr="00A311FC">
        <w:rPr>
          <w:rFonts w:cs="Arial"/>
          <w:color w:val="000000"/>
          <w:szCs w:val="22"/>
        </w:rPr>
        <w:t>from 1 April 2010 onwards this includes soliciting offences which replace the repealed offences in the table under the Sexual Offences Act 1985.</w:t>
      </w:r>
      <w:r w:rsidRPr="00A311FC">
        <w:rPr>
          <w:rFonts w:cs="Arial"/>
          <w:color w:val="000000"/>
          <w:szCs w:val="22"/>
        </w:rPr>
        <w:tab/>
      </w:r>
    </w:p>
    <w:p w14:paraId="32E5534C" w14:textId="77777777" w:rsidR="00003094" w:rsidRPr="00361E7C" w:rsidRDefault="00003094" w:rsidP="00003094">
      <w:pPr>
        <w:spacing w:line="240" w:lineRule="auto"/>
        <w:rPr>
          <w:rFonts w:cs="Arial"/>
          <w:color w:val="000000"/>
          <w:szCs w:val="22"/>
        </w:rPr>
      </w:pPr>
    </w:p>
    <w:p w14:paraId="22B946DB" w14:textId="77777777" w:rsidR="00003094" w:rsidRPr="00361E7C" w:rsidRDefault="00003094" w:rsidP="00003094">
      <w:pPr>
        <w:spacing w:line="240" w:lineRule="auto"/>
        <w:rPr>
          <w:rFonts w:cs="Arial"/>
          <w:color w:val="000000"/>
          <w:szCs w:val="22"/>
        </w:rPr>
      </w:pPr>
      <w:r w:rsidRPr="00361E7C">
        <w:rPr>
          <w:rFonts w:cs="Arial"/>
          <w:color w:val="000000"/>
          <w:szCs w:val="22"/>
        </w:rPr>
        <w:t>A breakdown of what these offences entail is available from the ‘Offence group classifications’ document which is available on the publication homepage referred to above.</w:t>
      </w:r>
    </w:p>
    <w:p w14:paraId="38DFF489" w14:textId="77777777" w:rsidR="00003094" w:rsidRDefault="00003094" w:rsidP="00CD5DDD">
      <w:pPr>
        <w:spacing w:line="240" w:lineRule="auto"/>
        <w:rPr>
          <w:rFonts w:cs="Arial"/>
          <w:color w:val="0000CC"/>
          <w:szCs w:val="22"/>
        </w:rPr>
      </w:pPr>
    </w:p>
    <w:p w14:paraId="02B4EF5C" w14:textId="77777777" w:rsidR="00003094" w:rsidRDefault="0031386D" w:rsidP="00CD5DDD">
      <w:pPr>
        <w:spacing w:line="240" w:lineRule="auto"/>
        <w:rPr>
          <w:rFonts w:cs="Arial"/>
          <w:szCs w:val="22"/>
        </w:rPr>
      </w:pPr>
      <w:r>
        <w:rPr>
          <w:rFonts w:cs="Arial"/>
          <w:szCs w:val="22"/>
        </w:rPr>
        <w:t>Details of t</w:t>
      </w:r>
      <w:r w:rsidR="00A311FC">
        <w:rPr>
          <w:rFonts w:cs="Arial"/>
          <w:szCs w:val="22"/>
        </w:rPr>
        <w:t xml:space="preserve">he </w:t>
      </w:r>
      <w:r w:rsidR="00003094">
        <w:rPr>
          <w:rFonts w:cs="Arial"/>
          <w:szCs w:val="22"/>
        </w:rPr>
        <w:t>other offences</w:t>
      </w:r>
      <w:r w:rsidR="00A311FC">
        <w:rPr>
          <w:rFonts w:cs="Arial"/>
          <w:szCs w:val="22"/>
        </w:rPr>
        <w:t xml:space="preserve"> you requested</w:t>
      </w:r>
      <w:r w:rsidR="00763FE0">
        <w:rPr>
          <w:rFonts w:cs="Arial"/>
          <w:szCs w:val="22"/>
        </w:rPr>
        <w:t xml:space="preserve"> </w:t>
      </w:r>
      <w:r w:rsidR="00003094">
        <w:rPr>
          <w:rFonts w:cs="Arial"/>
          <w:szCs w:val="22"/>
        </w:rPr>
        <w:t xml:space="preserve">are </w:t>
      </w:r>
      <w:r w:rsidR="003C7DC2">
        <w:rPr>
          <w:rFonts w:cs="Arial"/>
          <w:szCs w:val="22"/>
        </w:rPr>
        <w:t xml:space="preserve">shown </w:t>
      </w:r>
      <w:r w:rsidR="00003094">
        <w:rPr>
          <w:rFonts w:cs="Arial"/>
          <w:szCs w:val="22"/>
        </w:rPr>
        <w:t>in the attached annex.</w:t>
      </w:r>
    </w:p>
    <w:p w14:paraId="724F49C0" w14:textId="77777777" w:rsidR="00003094" w:rsidRDefault="00003094" w:rsidP="00CD5DDD">
      <w:pPr>
        <w:spacing w:line="240" w:lineRule="auto"/>
        <w:rPr>
          <w:rFonts w:cs="Arial"/>
          <w:szCs w:val="22"/>
        </w:rPr>
      </w:pPr>
    </w:p>
    <w:p w14:paraId="66CD46D5" w14:textId="77777777" w:rsidR="00763FE0" w:rsidRPr="00763FE0" w:rsidRDefault="00763FE0" w:rsidP="00763FE0">
      <w:pPr>
        <w:spacing w:line="240" w:lineRule="auto"/>
        <w:rPr>
          <w:rFonts w:cs="Arial"/>
          <w:szCs w:val="22"/>
        </w:rPr>
      </w:pPr>
      <w:r w:rsidRPr="00763FE0">
        <w:rPr>
          <w:rFonts w:cs="Arial"/>
          <w:szCs w:val="22"/>
        </w:rPr>
        <w:t>Information for</w:t>
      </w:r>
      <w:r w:rsidR="0031386D">
        <w:rPr>
          <w:rFonts w:cs="Arial"/>
          <w:szCs w:val="22"/>
        </w:rPr>
        <w:t xml:space="preserve"> the</w:t>
      </w:r>
      <w:r w:rsidRPr="00763FE0">
        <w:rPr>
          <w:rFonts w:cs="Arial"/>
          <w:szCs w:val="22"/>
        </w:rPr>
        <w:t xml:space="preserve"> calendar year 2017 is exempt from disclosure under section 44(1)(a) of the FOIA, which refers to prohibitions on disclosure ‘by or under any enactment’ of the FOIA.  In this case, the information you are seeking is prohibited by the Statistics and Registration Services (SRS) Act 2007 and the Pre-release Access to Official Statistics Order 2008. </w:t>
      </w:r>
    </w:p>
    <w:p w14:paraId="6C234280" w14:textId="77777777" w:rsidR="00763FE0" w:rsidRPr="00763FE0" w:rsidRDefault="00763FE0" w:rsidP="00763FE0">
      <w:pPr>
        <w:spacing w:line="240" w:lineRule="auto"/>
        <w:rPr>
          <w:rFonts w:cs="Arial"/>
          <w:szCs w:val="22"/>
        </w:rPr>
      </w:pPr>
    </w:p>
    <w:p w14:paraId="1FBB22A3" w14:textId="77777777" w:rsidR="00763FE0" w:rsidRPr="00763FE0" w:rsidRDefault="00763FE0" w:rsidP="00763FE0">
      <w:pPr>
        <w:spacing w:line="240" w:lineRule="auto"/>
        <w:rPr>
          <w:rFonts w:cs="Arial"/>
          <w:szCs w:val="22"/>
        </w:rPr>
      </w:pPr>
      <w:r w:rsidRPr="00763FE0">
        <w:rPr>
          <w:rFonts w:cs="Arial"/>
          <w:szCs w:val="22"/>
        </w:rPr>
        <w:t xml:space="preserve">The information you have requested is a subset of the Criminal Justice Statistics data held in its final form which we routinely publish. It is intended for publication on 17 May 2018. As such we are required to consider your request in a manner compliant with the Pre-release Access to Official Statistics Order 2008 further to sections 11 and 13 of the (SRS Act 2007). </w:t>
      </w:r>
    </w:p>
    <w:p w14:paraId="692C7DAF" w14:textId="77777777" w:rsidR="00763FE0" w:rsidRPr="00763FE0" w:rsidRDefault="00763FE0" w:rsidP="00763FE0">
      <w:pPr>
        <w:spacing w:line="240" w:lineRule="auto"/>
        <w:rPr>
          <w:rFonts w:cs="Arial"/>
          <w:szCs w:val="22"/>
        </w:rPr>
      </w:pPr>
    </w:p>
    <w:p w14:paraId="6ADEA4CC" w14:textId="77777777" w:rsidR="00763FE0" w:rsidRPr="00763FE0" w:rsidRDefault="00763FE0" w:rsidP="00763FE0">
      <w:pPr>
        <w:spacing w:line="240" w:lineRule="auto"/>
        <w:rPr>
          <w:rFonts w:cs="Arial"/>
          <w:szCs w:val="22"/>
        </w:rPr>
      </w:pPr>
      <w:r w:rsidRPr="00763FE0">
        <w:rPr>
          <w:rFonts w:cs="Arial"/>
          <w:szCs w:val="22"/>
        </w:rPr>
        <w:t>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convictions and sentencing outcomes for 2017, as part of National Statistics. Therefore, to disclose</w:t>
      </w:r>
      <w:r w:rsidR="009B3E07">
        <w:rPr>
          <w:rFonts w:cs="Arial"/>
          <w:szCs w:val="22"/>
        </w:rPr>
        <w:t xml:space="preserve"> this now</w:t>
      </w:r>
      <w:r w:rsidRPr="00763FE0">
        <w:rPr>
          <w:rFonts w:cs="Arial"/>
          <w:szCs w:val="22"/>
        </w:rPr>
        <w:t xml:space="preserve"> will violate the provisions of section 13 of the SRS Act and the Pre-Release Access Order to Official Statistics 2008 and as such engages the exemption under section 44(1)(a) of the FOIA.</w:t>
      </w:r>
    </w:p>
    <w:p w14:paraId="7A651A78" w14:textId="77777777" w:rsidR="00763FE0" w:rsidRPr="00763FE0" w:rsidRDefault="00763FE0" w:rsidP="00763FE0">
      <w:pPr>
        <w:spacing w:line="240" w:lineRule="auto"/>
        <w:rPr>
          <w:rFonts w:cs="Arial"/>
          <w:szCs w:val="22"/>
        </w:rPr>
      </w:pPr>
    </w:p>
    <w:p w14:paraId="13B5713F" w14:textId="77777777" w:rsidR="00763FE0" w:rsidRPr="00763FE0" w:rsidRDefault="00763FE0" w:rsidP="00763FE0">
      <w:pPr>
        <w:spacing w:line="240" w:lineRule="auto"/>
        <w:rPr>
          <w:rFonts w:cs="Arial"/>
          <w:szCs w:val="22"/>
        </w:rPr>
      </w:pPr>
      <w:r w:rsidRPr="00763FE0">
        <w:rPr>
          <w:rFonts w:cs="Arial"/>
          <w:szCs w:val="22"/>
        </w:rPr>
        <w:t>Section 44 is an absolute exemption and does not require a public interest test.</w:t>
      </w:r>
    </w:p>
    <w:p w14:paraId="32C636E9" w14:textId="77777777" w:rsidR="00763FE0" w:rsidRPr="00763FE0" w:rsidRDefault="00763FE0" w:rsidP="00763FE0">
      <w:pPr>
        <w:spacing w:line="240" w:lineRule="auto"/>
        <w:rPr>
          <w:rFonts w:cs="Arial"/>
          <w:szCs w:val="22"/>
        </w:rPr>
      </w:pPr>
    </w:p>
    <w:p w14:paraId="793544E2" w14:textId="77777777" w:rsidR="00763FE0" w:rsidRDefault="00763FE0" w:rsidP="00763FE0">
      <w:pPr>
        <w:spacing w:line="240" w:lineRule="auto"/>
        <w:rPr>
          <w:rFonts w:cs="Arial"/>
          <w:szCs w:val="22"/>
        </w:rPr>
      </w:pPr>
      <w:r w:rsidRPr="00763FE0">
        <w:rPr>
          <w:rFonts w:cs="Arial"/>
          <w:szCs w:val="22"/>
        </w:rPr>
        <w:t>The information for 2017 is also exempt from disclosure under section 22(1) of the FOIA, because it is intended for future publication. The annual criminal statistics publication is planned for publication on 17 May 2018.</w:t>
      </w:r>
    </w:p>
    <w:p w14:paraId="0BA093CE" w14:textId="77777777" w:rsidR="004B231B" w:rsidRDefault="004B231B" w:rsidP="00763FE0">
      <w:pPr>
        <w:spacing w:line="240" w:lineRule="auto"/>
        <w:rPr>
          <w:rFonts w:cs="Arial"/>
          <w:szCs w:val="22"/>
        </w:rPr>
      </w:pPr>
    </w:p>
    <w:p w14:paraId="2A53097F" w14:textId="77777777" w:rsidR="004B231B" w:rsidRPr="004B231B" w:rsidRDefault="004B231B" w:rsidP="004B231B">
      <w:pPr>
        <w:spacing w:line="240" w:lineRule="auto"/>
        <w:rPr>
          <w:rFonts w:cs="Arial"/>
          <w:szCs w:val="22"/>
        </w:rPr>
      </w:pPr>
      <w:r w:rsidRPr="004B231B">
        <w:rPr>
          <w:rFonts w:cs="Arial"/>
          <w:szCs w:val="22"/>
        </w:rPr>
        <w:t>Please note that whilst quarterly court proceedings and convictions headline data are published on the MoJ website and are currently available up to</w:t>
      </w:r>
      <w:r w:rsidR="009B3E07">
        <w:rPr>
          <w:rFonts w:cs="Arial"/>
          <w:szCs w:val="22"/>
        </w:rPr>
        <w:t xml:space="preserve"> the</w:t>
      </w:r>
      <w:r w:rsidRPr="004B231B">
        <w:rPr>
          <w:rFonts w:cs="Arial"/>
          <w:szCs w:val="22"/>
        </w:rPr>
        <w:t xml:space="preserve"> end </w:t>
      </w:r>
      <w:r w:rsidR="009B3E07">
        <w:rPr>
          <w:rFonts w:cs="Arial"/>
          <w:szCs w:val="22"/>
        </w:rPr>
        <w:t xml:space="preserve">of </w:t>
      </w:r>
      <w:r w:rsidRPr="004B231B">
        <w:rPr>
          <w:rFonts w:cs="Arial"/>
          <w:szCs w:val="22"/>
        </w:rPr>
        <w:t>March 201</w:t>
      </w:r>
      <w:r w:rsidR="00D132C1">
        <w:rPr>
          <w:rFonts w:cs="Arial"/>
          <w:szCs w:val="22"/>
        </w:rPr>
        <w:t>7</w:t>
      </w:r>
      <w:r w:rsidR="009B3E07">
        <w:rPr>
          <w:rFonts w:cs="Arial"/>
          <w:szCs w:val="22"/>
        </w:rPr>
        <w:t>, this data is</w:t>
      </w:r>
      <w:r w:rsidRPr="004B231B">
        <w:rPr>
          <w:rFonts w:cs="Arial"/>
          <w:szCs w:val="22"/>
        </w:rPr>
        <w:t xml:space="preserve"> subject to revision as later quarters are published, and are finalised only when the annual publication is made publicly available. To ensure consistency of data released to users, further breakdowns (in this case by specific offences under certain legislation) of 201</w:t>
      </w:r>
      <w:r w:rsidR="00D132C1">
        <w:rPr>
          <w:rFonts w:cs="Arial"/>
          <w:szCs w:val="22"/>
        </w:rPr>
        <w:t>7</w:t>
      </w:r>
      <w:r w:rsidRPr="004B231B">
        <w:rPr>
          <w:rFonts w:cs="Arial"/>
          <w:szCs w:val="22"/>
        </w:rPr>
        <w:t xml:space="preserve"> Quarter 1 (January to March) data are not available until the annual criminal statistics publication is published.</w:t>
      </w:r>
    </w:p>
    <w:p w14:paraId="4EA027CD" w14:textId="77777777" w:rsidR="00763FE0" w:rsidRPr="00763FE0" w:rsidRDefault="00763FE0" w:rsidP="00763FE0">
      <w:pPr>
        <w:spacing w:line="240" w:lineRule="auto"/>
        <w:rPr>
          <w:rFonts w:cs="Arial"/>
          <w:szCs w:val="22"/>
        </w:rPr>
      </w:pPr>
    </w:p>
    <w:p w14:paraId="7123B511" w14:textId="77777777" w:rsidR="00763FE0" w:rsidRPr="00763FE0" w:rsidRDefault="00763FE0" w:rsidP="00763FE0">
      <w:pPr>
        <w:spacing w:line="240" w:lineRule="auto"/>
        <w:rPr>
          <w:rFonts w:cs="Arial"/>
          <w:szCs w:val="22"/>
        </w:rPr>
      </w:pPr>
      <w:r w:rsidRPr="00763FE0">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14:paraId="01E645F7" w14:textId="77777777" w:rsidR="00763FE0" w:rsidRPr="00763FE0" w:rsidRDefault="00763FE0" w:rsidP="00763FE0">
      <w:pPr>
        <w:spacing w:line="240" w:lineRule="auto"/>
        <w:rPr>
          <w:rFonts w:cs="Arial"/>
          <w:szCs w:val="22"/>
        </w:rPr>
      </w:pPr>
    </w:p>
    <w:p w14:paraId="7A16C0B6" w14:textId="77777777" w:rsidR="0031386D" w:rsidRDefault="0031386D" w:rsidP="00763FE0">
      <w:pPr>
        <w:spacing w:line="240" w:lineRule="auto"/>
        <w:rPr>
          <w:rFonts w:cs="Arial"/>
          <w:b/>
          <w:szCs w:val="22"/>
        </w:rPr>
      </w:pPr>
    </w:p>
    <w:p w14:paraId="55EBF7DC" w14:textId="77777777" w:rsidR="009B3E07" w:rsidRDefault="009B3E07" w:rsidP="00763FE0">
      <w:pPr>
        <w:spacing w:line="240" w:lineRule="auto"/>
        <w:rPr>
          <w:rFonts w:cs="Arial"/>
          <w:b/>
          <w:szCs w:val="22"/>
        </w:rPr>
      </w:pPr>
    </w:p>
    <w:p w14:paraId="5890997F" w14:textId="77777777" w:rsidR="00763FE0" w:rsidRPr="00763FE0" w:rsidRDefault="00763FE0" w:rsidP="00763FE0">
      <w:pPr>
        <w:spacing w:line="240" w:lineRule="auto"/>
        <w:rPr>
          <w:rFonts w:cs="Arial"/>
          <w:b/>
          <w:szCs w:val="22"/>
        </w:rPr>
      </w:pPr>
      <w:r w:rsidRPr="00763FE0">
        <w:rPr>
          <w:rFonts w:cs="Arial"/>
          <w:b/>
          <w:szCs w:val="22"/>
        </w:rPr>
        <w:t>Public interest considerations favouring disclosure</w:t>
      </w:r>
    </w:p>
    <w:p w14:paraId="3E5D9087" w14:textId="77777777" w:rsidR="00763FE0" w:rsidRPr="00763FE0" w:rsidRDefault="00763FE0" w:rsidP="00763FE0">
      <w:pPr>
        <w:spacing w:line="240" w:lineRule="auto"/>
        <w:rPr>
          <w:rFonts w:cs="Arial"/>
          <w:szCs w:val="22"/>
        </w:rPr>
      </w:pPr>
    </w:p>
    <w:p w14:paraId="267E5A65" w14:textId="77777777" w:rsidR="00763FE0" w:rsidRPr="00763FE0" w:rsidRDefault="00763FE0" w:rsidP="00763FE0">
      <w:pPr>
        <w:numPr>
          <w:ilvl w:val="0"/>
          <w:numId w:val="3"/>
        </w:numPr>
        <w:spacing w:line="240" w:lineRule="auto"/>
        <w:rPr>
          <w:rFonts w:cs="Arial"/>
          <w:szCs w:val="22"/>
        </w:rPr>
      </w:pPr>
      <w:r w:rsidRPr="00763FE0">
        <w:rPr>
          <w:rFonts w:cs="Arial"/>
          <w:szCs w:val="22"/>
        </w:rPr>
        <w:t>Disclosure would improve transparency in the operations of Government, and of the justice system in particular.</w:t>
      </w:r>
    </w:p>
    <w:p w14:paraId="585E95E1" w14:textId="77777777" w:rsidR="00763FE0" w:rsidRPr="00763FE0" w:rsidRDefault="00763FE0" w:rsidP="00763FE0">
      <w:pPr>
        <w:spacing w:line="240" w:lineRule="auto"/>
        <w:rPr>
          <w:rFonts w:cs="Arial"/>
          <w:szCs w:val="22"/>
        </w:rPr>
      </w:pPr>
    </w:p>
    <w:p w14:paraId="3FA8B3A0" w14:textId="77777777" w:rsidR="00763FE0" w:rsidRPr="00763FE0" w:rsidRDefault="00763FE0" w:rsidP="00763FE0">
      <w:pPr>
        <w:spacing w:line="240" w:lineRule="auto"/>
        <w:rPr>
          <w:rFonts w:cs="Arial"/>
          <w:b/>
          <w:szCs w:val="22"/>
        </w:rPr>
      </w:pPr>
      <w:r w:rsidRPr="00763FE0">
        <w:rPr>
          <w:rFonts w:cs="Arial"/>
          <w:b/>
          <w:szCs w:val="22"/>
        </w:rPr>
        <w:t>Public interest considerations favouring withholding the information</w:t>
      </w:r>
    </w:p>
    <w:p w14:paraId="45FFE7A0" w14:textId="77777777" w:rsidR="00763FE0" w:rsidRPr="00763FE0" w:rsidRDefault="00763FE0" w:rsidP="00763FE0">
      <w:pPr>
        <w:spacing w:line="240" w:lineRule="auto"/>
        <w:rPr>
          <w:rFonts w:cs="Arial"/>
          <w:szCs w:val="22"/>
        </w:rPr>
      </w:pPr>
    </w:p>
    <w:p w14:paraId="0565D18D" w14:textId="77777777" w:rsidR="00763FE0" w:rsidRPr="00763FE0" w:rsidRDefault="00763FE0" w:rsidP="00763FE0">
      <w:pPr>
        <w:numPr>
          <w:ilvl w:val="0"/>
          <w:numId w:val="3"/>
        </w:numPr>
        <w:spacing w:line="240" w:lineRule="auto"/>
        <w:rPr>
          <w:rFonts w:cs="Arial"/>
          <w:szCs w:val="22"/>
        </w:rPr>
      </w:pPr>
      <w:r w:rsidRPr="00763FE0">
        <w:rPr>
          <w:rFonts w:cs="Arial"/>
          <w:szCs w:val="22"/>
        </w:rPr>
        <w:t>It is in the public interest to adhere to the existing publication process for official statistics, which includes time for the data to be collated and properly verified.</w:t>
      </w:r>
    </w:p>
    <w:p w14:paraId="2E24BB55" w14:textId="77777777" w:rsidR="00763FE0" w:rsidRPr="00763FE0" w:rsidRDefault="00763FE0" w:rsidP="00763FE0">
      <w:pPr>
        <w:spacing w:line="240" w:lineRule="auto"/>
        <w:rPr>
          <w:rFonts w:cs="Arial"/>
          <w:szCs w:val="22"/>
        </w:rPr>
      </w:pPr>
    </w:p>
    <w:p w14:paraId="52336CB1" w14:textId="77777777" w:rsidR="00763FE0" w:rsidRPr="00763FE0" w:rsidRDefault="00763FE0" w:rsidP="00763FE0">
      <w:pPr>
        <w:numPr>
          <w:ilvl w:val="0"/>
          <w:numId w:val="3"/>
        </w:numPr>
        <w:spacing w:line="240" w:lineRule="auto"/>
        <w:rPr>
          <w:rFonts w:cs="Arial"/>
          <w:szCs w:val="22"/>
        </w:rPr>
      </w:pPr>
      <w:r w:rsidRPr="00763FE0">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14:paraId="19DDA0B7" w14:textId="77777777" w:rsidR="00763FE0" w:rsidRPr="00763FE0" w:rsidRDefault="00763FE0" w:rsidP="00763FE0">
      <w:pPr>
        <w:spacing w:line="240" w:lineRule="auto"/>
        <w:rPr>
          <w:rFonts w:cs="Arial"/>
          <w:szCs w:val="22"/>
        </w:rPr>
      </w:pPr>
    </w:p>
    <w:p w14:paraId="666B3ADC" w14:textId="77777777" w:rsidR="00763FE0" w:rsidRPr="00763FE0" w:rsidRDefault="00763FE0" w:rsidP="00763FE0">
      <w:pPr>
        <w:spacing w:line="240" w:lineRule="auto"/>
        <w:rPr>
          <w:rFonts w:cs="Arial"/>
          <w:szCs w:val="22"/>
        </w:rPr>
      </w:pPr>
      <w:r w:rsidRPr="00763FE0">
        <w:rPr>
          <w:rFonts w:cs="Arial"/>
          <w:szCs w:val="22"/>
        </w:rPr>
        <w:t>We reached the view that, on balance, the public interest is better served by withholding this information under section 22 of the FOIA at this time.</w:t>
      </w:r>
    </w:p>
    <w:p w14:paraId="3ABDF478" w14:textId="77777777" w:rsidR="00003094" w:rsidRDefault="00003094" w:rsidP="00CD5DDD">
      <w:pPr>
        <w:spacing w:line="240" w:lineRule="auto"/>
        <w:rPr>
          <w:rFonts w:cs="Arial"/>
          <w:szCs w:val="22"/>
        </w:rPr>
      </w:pPr>
    </w:p>
    <w:sectPr w:rsidR="00003094"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390F6" w14:textId="77777777" w:rsidR="003449C0" w:rsidRDefault="003449C0">
      <w:r>
        <w:separator/>
      </w:r>
    </w:p>
  </w:endnote>
  <w:endnote w:type="continuationSeparator" w:id="0">
    <w:p w14:paraId="37FD1718" w14:textId="77777777" w:rsidR="003449C0" w:rsidRDefault="0034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9D9B"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201C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053E6" w14:textId="77777777" w:rsidR="003449C0" w:rsidRDefault="003449C0">
      <w:r>
        <w:separator/>
      </w:r>
    </w:p>
  </w:footnote>
  <w:footnote w:type="continuationSeparator" w:id="0">
    <w:p w14:paraId="5E3228D0" w14:textId="77777777" w:rsidR="003449C0" w:rsidRDefault="00344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03094"/>
    <w:rsid w:val="00017054"/>
    <w:rsid w:val="000222E7"/>
    <w:rsid w:val="000222F6"/>
    <w:rsid w:val="00026D9A"/>
    <w:rsid w:val="000317C8"/>
    <w:rsid w:val="00032200"/>
    <w:rsid w:val="00037330"/>
    <w:rsid w:val="0007380F"/>
    <w:rsid w:val="0008457A"/>
    <w:rsid w:val="0009138F"/>
    <w:rsid w:val="0009754B"/>
    <w:rsid w:val="000A3195"/>
    <w:rsid w:val="000B0F79"/>
    <w:rsid w:val="000E6963"/>
    <w:rsid w:val="0010117D"/>
    <w:rsid w:val="00106DEE"/>
    <w:rsid w:val="001201C6"/>
    <w:rsid w:val="00134A2E"/>
    <w:rsid w:val="00146154"/>
    <w:rsid w:val="00152F0C"/>
    <w:rsid w:val="00153E76"/>
    <w:rsid w:val="00154D2E"/>
    <w:rsid w:val="0017541D"/>
    <w:rsid w:val="00186B69"/>
    <w:rsid w:val="001A3A7E"/>
    <w:rsid w:val="001A47E5"/>
    <w:rsid w:val="001A4EE1"/>
    <w:rsid w:val="001B6FB2"/>
    <w:rsid w:val="001C54E1"/>
    <w:rsid w:val="001C779E"/>
    <w:rsid w:val="001E0568"/>
    <w:rsid w:val="001E1665"/>
    <w:rsid w:val="001F33F4"/>
    <w:rsid w:val="00255FC6"/>
    <w:rsid w:val="00260524"/>
    <w:rsid w:val="00273E23"/>
    <w:rsid w:val="00285A9C"/>
    <w:rsid w:val="002B0ECE"/>
    <w:rsid w:val="002C5025"/>
    <w:rsid w:val="002D5314"/>
    <w:rsid w:val="002E39E4"/>
    <w:rsid w:val="002F24C7"/>
    <w:rsid w:val="002F50F6"/>
    <w:rsid w:val="002F6553"/>
    <w:rsid w:val="003011BD"/>
    <w:rsid w:val="00303661"/>
    <w:rsid w:val="0030433E"/>
    <w:rsid w:val="0031213B"/>
    <w:rsid w:val="0031386D"/>
    <w:rsid w:val="00323067"/>
    <w:rsid w:val="003366B3"/>
    <w:rsid w:val="003449C0"/>
    <w:rsid w:val="00360A91"/>
    <w:rsid w:val="00361E7C"/>
    <w:rsid w:val="0036616E"/>
    <w:rsid w:val="00375DDC"/>
    <w:rsid w:val="00376A97"/>
    <w:rsid w:val="00377D6F"/>
    <w:rsid w:val="0038642F"/>
    <w:rsid w:val="003A633E"/>
    <w:rsid w:val="003B13CA"/>
    <w:rsid w:val="003C7DC2"/>
    <w:rsid w:val="003E2480"/>
    <w:rsid w:val="003E3E27"/>
    <w:rsid w:val="00401CAB"/>
    <w:rsid w:val="00416002"/>
    <w:rsid w:val="004269FC"/>
    <w:rsid w:val="00435D53"/>
    <w:rsid w:val="00444869"/>
    <w:rsid w:val="00445AB5"/>
    <w:rsid w:val="00453104"/>
    <w:rsid w:val="00457840"/>
    <w:rsid w:val="00471E48"/>
    <w:rsid w:val="00473A65"/>
    <w:rsid w:val="0048558F"/>
    <w:rsid w:val="00496E7B"/>
    <w:rsid w:val="004B231B"/>
    <w:rsid w:val="004D58C1"/>
    <w:rsid w:val="004E03C7"/>
    <w:rsid w:val="004E5205"/>
    <w:rsid w:val="004E5CF9"/>
    <w:rsid w:val="004F3A38"/>
    <w:rsid w:val="004F5467"/>
    <w:rsid w:val="0050006A"/>
    <w:rsid w:val="0052387E"/>
    <w:rsid w:val="00524313"/>
    <w:rsid w:val="00535B60"/>
    <w:rsid w:val="005361B4"/>
    <w:rsid w:val="00561341"/>
    <w:rsid w:val="0056220A"/>
    <w:rsid w:val="0056296A"/>
    <w:rsid w:val="00566964"/>
    <w:rsid w:val="005765D4"/>
    <w:rsid w:val="005774F0"/>
    <w:rsid w:val="0059501B"/>
    <w:rsid w:val="005A196C"/>
    <w:rsid w:val="005A1FB5"/>
    <w:rsid w:val="005A5681"/>
    <w:rsid w:val="005B1E5F"/>
    <w:rsid w:val="005B28FC"/>
    <w:rsid w:val="005C1749"/>
    <w:rsid w:val="005D21E1"/>
    <w:rsid w:val="005E17C7"/>
    <w:rsid w:val="006045AB"/>
    <w:rsid w:val="00644B57"/>
    <w:rsid w:val="00652228"/>
    <w:rsid w:val="006647E4"/>
    <w:rsid w:val="00673F9E"/>
    <w:rsid w:val="00674BC9"/>
    <w:rsid w:val="0067514B"/>
    <w:rsid w:val="0067585E"/>
    <w:rsid w:val="00680B3A"/>
    <w:rsid w:val="00684760"/>
    <w:rsid w:val="00685203"/>
    <w:rsid w:val="00687093"/>
    <w:rsid w:val="00687276"/>
    <w:rsid w:val="006878E8"/>
    <w:rsid w:val="006C72DE"/>
    <w:rsid w:val="006D4627"/>
    <w:rsid w:val="006D4D24"/>
    <w:rsid w:val="006E32CA"/>
    <w:rsid w:val="006F32D9"/>
    <w:rsid w:val="006F41B2"/>
    <w:rsid w:val="00722FD5"/>
    <w:rsid w:val="00740CCA"/>
    <w:rsid w:val="0074259E"/>
    <w:rsid w:val="0075513B"/>
    <w:rsid w:val="00763FE0"/>
    <w:rsid w:val="007A3DF8"/>
    <w:rsid w:val="007A63C5"/>
    <w:rsid w:val="007B7C57"/>
    <w:rsid w:val="007C5F7B"/>
    <w:rsid w:val="007C771A"/>
    <w:rsid w:val="007D4371"/>
    <w:rsid w:val="007D4761"/>
    <w:rsid w:val="007D5ED2"/>
    <w:rsid w:val="007D6A5E"/>
    <w:rsid w:val="007F4AEE"/>
    <w:rsid w:val="00801B78"/>
    <w:rsid w:val="00805323"/>
    <w:rsid w:val="00821C44"/>
    <w:rsid w:val="00831B94"/>
    <w:rsid w:val="00832C18"/>
    <w:rsid w:val="00837E19"/>
    <w:rsid w:val="00844B67"/>
    <w:rsid w:val="00844D94"/>
    <w:rsid w:val="008565E0"/>
    <w:rsid w:val="00880411"/>
    <w:rsid w:val="00882334"/>
    <w:rsid w:val="00892055"/>
    <w:rsid w:val="008970E9"/>
    <w:rsid w:val="008B21BB"/>
    <w:rsid w:val="008B36D2"/>
    <w:rsid w:val="008D45DA"/>
    <w:rsid w:val="008D564C"/>
    <w:rsid w:val="00917EC7"/>
    <w:rsid w:val="009209DE"/>
    <w:rsid w:val="00934DE8"/>
    <w:rsid w:val="00971CB8"/>
    <w:rsid w:val="009827DD"/>
    <w:rsid w:val="009853E8"/>
    <w:rsid w:val="00985CB8"/>
    <w:rsid w:val="00990F1F"/>
    <w:rsid w:val="009B3E07"/>
    <w:rsid w:val="009C4B46"/>
    <w:rsid w:val="009D5879"/>
    <w:rsid w:val="009E3F91"/>
    <w:rsid w:val="009E69FE"/>
    <w:rsid w:val="00A04C3C"/>
    <w:rsid w:val="00A173AB"/>
    <w:rsid w:val="00A20BCD"/>
    <w:rsid w:val="00A311FC"/>
    <w:rsid w:val="00A349B1"/>
    <w:rsid w:val="00A40D87"/>
    <w:rsid w:val="00A413A1"/>
    <w:rsid w:val="00A459D4"/>
    <w:rsid w:val="00A4792D"/>
    <w:rsid w:val="00A6229B"/>
    <w:rsid w:val="00A76AFC"/>
    <w:rsid w:val="00A809DF"/>
    <w:rsid w:val="00AD7505"/>
    <w:rsid w:val="00AE7402"/>
    <w:rsid w:val="00AF2FD9"/>
    <w:rsid w:val="00B01B28"/>
    <w:rsid w:val="00B162BA"/>
    <w:rsid w:val="00B47082"/>
    <w:rsid w:val="00B8050D"/>
    <w:rsid w:val="00B81EF9"/>
    <w:rsid w:val="00B9009F"/>
    <w:rsid w:val="00B95043"/>
    <w:rsid w:val="00BB4B4B"/>
    <w:rsid w:val="00C04817"/>
    <w:rsid w:val="00C56E27"/>
    <w:rsid w:val="00C66BE0"/>
    <w:rsid w:val="00C72245"/>
    <w:rsid w:val="00C753C4"/>
    <w:rsid w:val="00C9104F"/>
    <w:rsid w:val="00CB54AB"/>
    <w:rsid w:val="00CB65BF"/>
    <w:rsid w:val="00CC0B65"/>
    <w:rsid w:val="00CC54F9"/>
    <w:rsid w:val="00CD5DDD"/>
    <w:rsid w:val="00CD672B"/>
    <w:rsid w:val="00CE1BFE"/>
    <w:rsid w:val="00CF03AD"/>
    <w:rsid w:val="00CF0E52"/>
    <w:rsid w:val="00D010B0"/>
    <w:rsid w:val="00D04F64"/>
    <w:rsid w:val="00D11B61"/>
    <w:rsid w:val="00D132C1"/>
    <w:rsid w:val="00D14BA9"/>
    <w:rsid w:val="00D17E97"/>
    <w:rsid w:val="00D25431"/>
    <w:rsid w:val="00D34F07"/>
    <w:rsid w:val="00D354B2"/>
    <w:rsid w:val="00D42BB8"/>
    <w:rsid w:val="00D62050"/>
    <w:rsid w:val="00D64C3E"/>
    <w:rsid w:val="00D66074"/>
    <w:rsid w:val="00D82923"/>
    <w:rsid w:val="00D908A9"/>
    <w:rsid w:val="00DD4695"/>
    <w:rsid w:val="00DD5704"/>
    <w:rsid w:val="00DE4DDD"/>
    <w:rsid w:val="00DE65A5"/>
    <w:rsid w:val="00DE71AB"/>
    <w:rsid w:val="00E07BB4"/>
    <w:rsid w:val="00E51801"/>
    <w:rsid w:val="00E53522"/>
    <w:rsid w:val="00E910E7"/>
    <w:rsid w:val="00E92C99"/>
    <w:rsid w:val="00EA1E9A"/>
    <w:rsid w:val="00EB050F"/>
    <w:rsid w:val="00EB2BE8"/>
    <w:rsid w:val="00EB72DE"/>
    <w:rsid w:val="00ED3B30"/>
    <w:rsid w:val="00ED782D"/>
    <w:rsid w:val="00EE2AA6"/>
    <w:rsid w:val="00F012C4"/>
    <w:rsid w:val="00F24423"/>
    <w:rsid w:val="00F278D1"/>
    <w:rsid w:val="00F61AFC"/>
    <w:rsid w:val="00F74765"/>
    <w:rsid w:val="00F779B2"/>
    <w:rsid w:val="00F81AD5"/>
    <w:rsid w:val="00F82DB8"/>
    <w:rsid w:val="00F92115"/>
    <w:rsid w:val="00FB0124"/>
    <w:rsid w:val="00FB2D55"/>
    <w:rsid w:val="00FB3ED1"/>
    <w:rsid w:val="00FC5E0E"/>
    <w:rsid w:val="00FD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35F92E"/>
  <w15:chartTrackingRefBased/>
  <w15:docId w15:val="{65B71900-50CC-4F83-BDC4-00A30FAE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D672B"/>
    <w:rPr>
      <w:sz w:val="16"/>
      <w:szCs w:val="16"/>
    </w:rPr>
  </w:style>
  <w:style w:type="paragraph" w:styleId="CommentSubject">
    <w:name w:val="annotation subject"/>
    <w:basedOn w:val="CommentText"/>
    <w:next w:val="CommentText"/>
    <w:link w:val="CommentSubjectChar"/>
    <w:rsid w:val="00CD672B"/>
    <w:rPr>
      <w:b/>
      <w:bCs/>
      <w:sz w:val="20"/>
    </w:rPr>
  </w:style>
  <w:style w:type="character" w:customStyle="1" w:styleId="CommentTextChar">
    <w:name w:val="Comment Text Char"/>
    <w:link w:val="CommentText"/>
    <w:semiHidden/>
    <w:rsid w:val="00CD672B"/>
    <w:rPr>
      <w:rFonts w:ascii="Arial" w:hAnsi="Arial"/>
      <w:sz w:val="22"/>
    </w:rPr>
  </w:style>
  <w:style w:type="character" w:customStyle="1" w:styleId="CommentSubjectChar">
    <w:name w:val="Comment Subject Char"/>
    <w:link w:val="CommentSubject"/>
    <w:rsid w:val="00CD672B"/>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376799">
      <w:bodyDiv w:val="1"/>
      <w:marLeft w:val="0"/>
      <w:marRight w:val="0"/>
      <w:marTop w:val="0"/>
      <w:marBottom w:val="0"/>
      <w:divBdr>
        <w:top w:val="none" w:sz="0" w:space="0" w:color="auto"/>
        <w:left w:val="none" w:sz="0" w:space="0" w:color="auto"/>
        <w:bottom w:val="none" w:sz="0" w:space="0" w:color="auto"/>
        <w:right w:val="none" w:sz="0" w:space="0" w:color="auto"/>
      </w:divBdr>
    </w:div>
    <w:div w:id="1567033742">
      <w:bodyDiv w:val="1"/>
      <w:marLeft w:val="0"/>
      <w:marRight w:val="0"/>
      <w:marTop w:val="0"/>
      <w:marBottom w:val="0"/>
      <w:divBdr>
        <w:top w:val="none" w:sz="0" w:space="0" w:color="auto"/>
        <w:left w:val="none" w:sz="0" w:space="0" w:color="auto"/>
        <w:bottom w:val="none" w:sz="0" w:space="0" w:color="auto"/>
        <w:right w:val="none" w:sz="0" w:space="0" w:color="auto"/>
      </w:divBdr>
    </w:div>
    <w:div w:id="1807165030">
      <w:bodyDiv w:val="1"/>
      <w:marLeft w:val="0"/>
      <w:marRight w:val="0"/>
      <w:marTop w:val="0"/>
      <w:marBottom w:val="0"/>
      <w:divBdr>
        <w:top w:val="none" w:sz="0" w:space="0" w:color="auto"/>
        <w:left w:val="none" w:sz="0" w:space="0" w:color="auto"/>
        <w:bottom w:val="none" w:sz="0" w:space="0" w:color="auto"/>
        <w:right w:val="none" w:sz="0" w:space="0" w:color="auto"/>
      </w:divBdr>
    </w:div>
    <w:div w:id="191839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statistics/criminal-justice-system-statistics-quarterly-december-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32F48-2B37-4824-80F0-FEF16575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FOI 170916005 Arrests and Convictions for Prostitution</vt:lpstr>
    </vt:vector>
  </TitlesOfParts>
  <Manager/>
  <Company>Ministry of Justice</Company>
  <LinksUpToDate>false</LinksUpToDate>
  <CharactersWithSpaces>7063</CharactersWithSpaces>
  <SharedDoc>false</SharedDoc>
  <HLinks>
    <vt:vector size="24" baseType="variant">
      <vt:variant>
        <vt:i4>5636139</vt:i4>
      </vt:variant>
      <vt:variant>
        <vt:i4>9</vt:i4>
      </vt:variant>
      <vt:variant>
        <vt:i4>0</vt:i4>
      </vt:variant>
      <vt:variant>
        <vt:i4>5</vt:i4>
      </vt:variant>
      <vt:variant>
        <vt:lpwstr>mailto:data.access@justice.gsi.gov.uk</vt:lpwstr>
      </vt:variant>
      <vt:variant>
        <vt:lpwstr/>
      </vt:variant>
      <vt:variant>
        <vt:i4>3473513</vt:i4>
      </vt:variant>
      <vt:variant>
        <vt:i4>6</vt:i4>
      </vt:variant>
      <vt:variant>
        <vt:i4>0</vt:i4>
      </vt:variant>
      <vt:variant>
        <vt:i4>5</vt:i4>
      </vt:variant>
      <vt:variant>
        <vt:lpwstr>https://www.gov.uk/government/statistics/criminal-justice-system-statistics-quarterly-december-2016</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1310825</vt:i4>
      </vt:variant>
      <vt:variant>
        <vt:i4>0</vt:i4>
      </vt:variant>
      <vt:variant>
        <vt:i4>0</vt:i4>
      </vt:variant>
      <vt:variant>
        <vt:i4>5</vt:i4>
      </vt:variant>
      <vt:variant>
        <vt:lpwstr>mailto:noel.titheradge@googlemail.com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170916005 Arrests and Convictions for Prostitution</dc:title>
  <dc:subject>FOI Release</dc:subject>
  <dc:creator>MoJ</dc:creator>
  <cp:keywords/>
  <dc:description/>
  <cp:lastModifiedBy>Cox, Allan</cp:lastModifiedBy>
  <cp:revision>2</cp:revision>
  <cp:lastPrinted>2015-07-06T10:35:00Z</cp:lastPrinted>
  <dcterms:created xsi:type="dcterms:W3CDTF">2018-03-27T11:24:00Z</dcterms:created>
  <dcterms:modified xsi:type="dcterms:W3CDTF">2018-03-27T11:24:00Z</dcterms:modified>
  <cp:category/>
</cp:coreProperties>
</file>