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8"/>
        <w:gridCol w:w="1560"/>
        <w:gridCol w:w="2399"/>
        <w:gridCol w:w="152"/>
        <w:gridCol w:w="1559"/>
        <w:gridCol w:w="2258"/>
      </w:tblGrid>
      <w:tr w:rsidR="0069005A" w:rsidRPr="00651181" w14:paraId="5C80C6C3" w14:textId="77777777" w:rsidTr="002F427A">
        <w:trPr>
          <w:trHeight w:hRule="exact" w:val="2420"/>
        </w:trPr>
        <w:tc>
          <w:tcPr>
            <w:tcW w:w="6237" w:type="dxa"/>
            <w:gridSpan w:val="3"/>
            <w:tcBorders>
              <w:top w:val="single" w:sz="4" w:space="0" w:color="auto"/>
              <w:bottom w:val="single" w:sz="4" w:space="0" w:color="auto"/>
            </w:tcBorders>
            <w:shd w:val="clear" w:color="auto" w:fill="auto"/>
          </w:tcPr>
          <w:p w14:paraId="76ECEFD6" w14:textId="2AABA505" w:rsidR="00497776" w:rsidRPr="00251C1A" w:rsidRDefault="00497776" w:rsidP="00497776">
            <w:pPr>
              <w:pStyle w:val="IATitle"/>
              <w:rPr>
                <w:u w:val="single"/>
              </w:rPr>
            </w:pPr>
            <w:r w:rsidRPr="00651181">
              <w:rPr>
                <w:b/>
              </w:rPr>
              <w:t>Title:</w:t>
            </w:r>
            <w:r>
              <w:t xml:space="preserve"> </w:t>
            </w:r>
            <w:r w:rsidR="00771516" w:rsidRPr="00251C1A">
              <w:rPr>
                <w:b/>
              </w:rPr>
              <w:t xml:space="preserve">Civil Liability </w:t>
            </w:r>
            <w:r w:rsidR="002B6A5A">
              <w:rPr>
                <w:b/>
              </w:rPr>
              <w:t>Act</w:t>
            </w:r>
            <w:r w:rsidR="00AC7CEB">
              <w:rPr>
                <w:b/>
              </w:rPr>
              <w:t xml:space="preserve"> 2018</w:t>
            </w:r>
            <w:r w:rsidR="00771516">
              <w:t xml:space="preserve">: </w:t>
            </w:r>
            <w:r w:rsidR="006F5950" w:rsidRPr="00251C1A">
              <w:t>Setting t</w:t>
            </w:r>
            <w:r w:rsidRPr="00251C1A">
              <w:t>he Personal Injury Discount Rate</w:t>
            </w:r>
            <w:r w:rsidR="00DA19D0" w:rsidRPr="00251C1A">
              <w:t xml:space="preserve"> </w:t>
            </w:r>
          </w:p>
          <w:p w14:paraId="7AB9CD44" w14:textId="77777777" w:rsidR="0069005A" w:rsidRPr="00651181" w:rsidRDefault="0069005A" w:rsidP="002F427A">
            <w:pPr>
              <w:pStyle w:val="IATitle"/>
            </w:pPr>
          </w:p>
          <w:p w14:paraId="45049287" w14:textId="77777777" w:rsidR="0069005A" w:rsidRPr="00651181" w:rsidRDefault="0069005A" w:rsidP="002F427A">
            <w:pPr>
              <w:pStyle w:val="IAHeadTitle"/>
              <w:ind w:left="113"/>
              <w:rPr>
                <w:rStyle w:val="IANoChar"/>
                <w:rFonts w:eastAsia="SimSun" w:cs="Arial"/>
                <w:szCs w:val="20"/>
              </w:rPr>
            </w:pPr>
            <w:r w:rsidRPr="00651181">
              <w:rPr>
                <w:rFonts w:cs="Arial"/>
                <w:sz w:val="20"/>
                <w:szCs w:val="20"/>
              </w:rPr>
              <w:t xml:space="preserve">IA No: </w:t>
            </w:r>
            <w:bookmarkStart w:id="0" w:name="IANo"/>
            <w:r w:rsidRPr="00997BBB">
              <w:rPr>
                <w:rFonts w:eastAsia="Arial Unicode MS" w:cs="Arial"/>
                <w:b w:val="0"/>
                <w:noProof/>
                <w:spacing w:val="0"/>
                <w:sz w:val="20"/>
                <w:szCs w:val="24"/>
                <w:lang w:eastAsia="en-US"/>
              </w:rPr>
              <w:t>MoJ01</w:t>
            </w:r>
            <w:r w:rsidR="00497776">
              <w:rPr>
                <w:rFonts w:eastAsia="Arial Unicode MS" w:cs="Arial"/>
                <w:b w:val="0"/>
                <w:noProof/>
                <w:spacing w:val="0"/>
                <w:sz w:val="20"/>
                <w:szCs w:val="24"/>
                <w:lang w:eastAsia="en-US"/>
              </w:rPr>
              <w:t>2</w:t>
            </w:r>
            <w:r w:rsidRPr="00997BBB">
              <w:rPr>
                <w:rFonts w:eastAsia="Arial Unicode MS" w:cs="Arial"/>
                <w:b w:val="0"/>
                <w:noProof/>
                <w:spacing w:val="0"/>
                <w:sz w:val="20"/>
                <w:szCs w:val="24"/>
                <w:lang w:eastAsia="en-US"/>
              </w:rPr>
              <w:t>/2017</w:t>
            </w:r>
            <w:bookmarkEnd w:id="0"/>
            <w:r w:rsidR="00497776">
              <w:rPr>
                <w:rFonts w:eastAsia="Arial Unicode MS" w:cs="Arial"/>
                <w:b w:val="0"/>
                <w:noProof/>
                <w:spacing w:val="0"/>
                <w:sz w:val="20"/>
                <w:szCs w:val="24"/>
                <w:lang w:eastAsia="en-US"/>
              </w:rPr>
              <w:t xml:space="preserve"> </w:t>
            </w:r>
          </w:p>
          <w:p w14:paraId="5B762360" w14:textId="77777777" w:rsidR="0069005A" w:rsidRPr="00651181" w:rsidRDefault="0069005A" w:rsidP="002F427A">
            <w:pPr>
              <w:pStyle w:val="IAHeadLabel"/>
              <w:ind w:left="113"/>
              <w:rPr>
                <w:rFonts w:cs="Arial"/>
              </w:rPr>
            </w:pPr>
            <w:r w:rsidRPr="00651181">
              <w:rPr>
                <w:rFonts w:cs="Arial"/>
              </w:rPr>
              <w:t xml:space="preserve">RPC Reference No:   </w:t>
            </w:r>
            <w:r>
              <w:rPr>
                <w:rFonts w:cs="Arial"/>
              </w:rPr>
              <w:t>N/A</w:t>
            </w:r>
          </w:p>
          <w:p w14:paraId="5E380E03" w14:textId="77777777" w:rsidR="0069005A" w:rsidRPr="00651181" w:rsidRDefault="0069005A" w:rsidP="002F427A">
            <w:pPr>
              <w:pStyle w:val="IALeadDept"/>
            </w:pPr>
            <w:r w:rsidRPr="00651181">
              <w:rPr>
                <w:b/>
              </w:rPr>
              <w:t>Lead department or agency:</w:t>
            </w:r>
            <w:r w:rsidRPr="00651181">
              <w:t xml:space="preserve"> </w:t>
            </w:r>
            <w:r>
              <w:t>Ministry of Justice (MoJ)</w:t>
            </w:r>
          </w:p>
          <w:p w14:paraId="277E77C3" w14:textId="77777777" w:rsidR="0069005A" w:rsidRPr="00651181" w:rsidRDefault="0069005A" w:rsidP="002F427A">
            <w:pPr>
              <w:pStyle w:val="IATableLabel"/>
              <w:spacing w:after="0"/>
              <w:rPr>
                <w:rFonts w:cs="Arial"/>
              </w:rPr>
            </w:pPr>
            <w:r w:rsidRPr="00651181">
              <w:rPr>
                <w:rFonts w:cs="Arial"/>
              </w:rPr>
              <w:t xml:space="preserve">Other departments or agencies:   </w:t>
            </w:r>
          </w:p>
        </w:tc>
        <w:tc>
          <w:tcPr>
            <w:tcW w:w="3969"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69005A" w:rsidRPr="00651181" w14:paraId="5D22ED58" w14:textId="77777777" w:rsidTr="002F427A">
              <w:trPr>
                <w:trHeight w:hRule="exact" w:val="539"/>
              </w:trPr>
              <w:tc>
                <w:tcPr>
                  <w:tcW w:w="4088" w:type="dxa"/>
                  <w:shd w:val="clear" w:color="auto" w:fill="333333"/>
                  <w:vAlign w:val="center"/>
                </w:tcPr>
                <w:p w14:paraId="39C5322E" w14:textId="77777777" w:rsidR="0069005A" w:rsidRPr="00651181" w:rsidRDefault="0069005A" w:rsidP="002F427A">
                  <w:pPr>
                    <w:pStyle w:val="Title"/>
                  </w:pPr>
                  <w:r w:rsidRPr="00651181">
                    <w:t>Impact Assessment (IA)</w:t>
                  </w:r>
                </w:p>
              </w:tc>
            </w:tr>
            <w:tr w:rsidR="0069005A" w:rsidRPr="00651181" w14:paraId="0FBAB596" w14:textId="77777777" w:rsidTr="002F427A">
              <w:tc>
                <w:tcPr>
                  <w:tcW w:w="4088" w:type="dxa"/>
                  <w:shd w:val="clear" w:color="auto" w:fill="auto"/>
                </w:tcPr>
                <w:p w14:paraId="1FF8329F" w14:textId="15E672AE" w:rsidR="0069005A" w:rsidRPr="0051753E" w:rsidRDefault="0069005A">
                  <w:pPr>
                    <w:pStyle w:val="IATableLabel"/>
                    <w:rPr>
                      <w:rFonts w:cs="Arial"/>
                    </w:rPr>
                  </w:pPr>
                  <w:r w:rsidRPr="00651181">
                    <w:rPr>
                      <w:rFonts w:cs="Arial"/>
                    </w:rPr>
                    <w:t>Date</w:t>
                  </w:r>
                  <w:r w:rsidRPr="004673D9">
                    <w:rPr>
                      <w:rFonts w:cs="Arial"/>
                    </w:rPr>
                    <w:t xml:space="preserve">: </w:t>
                  </w:r>
                  <w:r>
                    <w:rPr>
                      <w:rStyle w:val="IADateChar"/>
                      <w:rFonts w:cs="Arial"/>
                    </w:rPr>
                    <w:t xml:space="preserve"> </w:t>
                  </w:r>
                  <w:r w:rsidR="004315B6">
                    <w:rPr>
                      <w:rStyle w:val="IADateChar"/>
                      <w:rFonts w:cs="Arial"/>
                      <w:b w:val="0"/>
                    </w:rPr>
                    <w:t>December</w:t>
                  </w:r>
                  <w:r w:rsidR="00771516" w:rsidRPr="004D02DF">
                    <w:rPr>
                      <w:rStyle w:val="IADateChar"/>
                      <w:rFonts w:cs="Arial"/>
                      <w:b w:val="0"/>
                    </w:rPr>
                    <w:t xml:space="preserve"> 2018</w:t>
                  </w:r>
                </w:p>
              </w:tc>
            </w:tr>
            <w:tr w:rsidR="0069005A" w:rsidRPr="00651181" w14:paraId="139F580E" w14:textId="77777777" w:rsidTr="002F427A">
              <w:tc>
                <w:tcPr>
                  <w:tcW w:w="4088" w:type="dxa"/>
                  <w:shd w:val="clear" w:color="auto" w:fill="auto"/>
                </w:tcPr>
                <w:p w14:paraId="2FDB858E" w14:textId="77777777" w:rsidR="0069005A" w:rsidRPr="0051753E" w:rsidRDefault="0069005A" w:rsidP="002F427A">
                  <w:pPr>
                    <w:pStyle w:val="IATableLabel"/>
                    <w:rPr>
                      <w:rFonts w:cs="Arial"/>
                    </w:rPr>
                  </w:pPr>
                  <w:r w:rsidRPr="00651181">
                    <w:rPr>
                      <w:rFonts w:cs="Arial"/>
                    </w:rPr>
                    <w:t xml:space="preserve">Source of intervention: </w:t>
                  </w:r>
                  <w:bookmarkStart w:id="1" w:name="IAInterSource"/>
                  <w:r w:rsidRPr="0051753E">
                    <w:rPr>
                      <w:rStyle w:val="IASOIChar"/>
                      <w:rFonts w:cs="Arial"/>
                    </w:rPr>
                    <w:fldChar w:fldCharType="begin">
                      <w:ffData>
                        <w:name w:val="IAInterSource"/>
                        <w:enabled/>
                        <w:calcOnExit w:val="0"/>
                        <w:ddList>
                          <w:listEntry w:val="Domestic"/>
                          <w:listEntry w:val="EU"/>
                          <w:listEntry w:val="International"/>
                        </w:ddList>
                      </w:ffData>
                    </w:fldChar>
                  </w:r>
                  <w:r w:rsidRPr="0051753E">
                    <w:rPr>
                      <w:rStyle w:val="IASOIChar"/>
                      <w:rFonts w:cs="Arial"/>
                      <w:b w:val="0"/>
                    </w:rPr>
                    <w:instrText xml:space="preserve"> FORMDROPDOWN </w:instrText>
                  </w:r>
                  <w:r w:rsidR="000C0F2C">
                    <w:rPr>
                      <w:rStyle w:val="IASOIChar"/>
                      <w:rFonts w:cs="Arial"/>
                    </w:rPr>
                  </w:r>
                  <w:r w:rsidR="000C0F2C">
                    <w:rPr>
                      <w:rStyle w:val="IASOIChar"/>
                      <w:rFonts w:cs="Arial"/>
                    </w:rPr>
                    <w:fldChar w:fldCharType="separate"/>
                  </w:r>
                  <w:r w:rsidRPr="0051753E">
                    <w:rPr>
                      <w:rStyle w:val="IASOIChar"/>
                      <w:rFonts w:cs="Arial"/>
                    </w:rPr>
                    <w:fldChar w:fldCharType="end"/>
                  </w:r>
                  <w:bookmarkEnd w:id="1"/>
                </w:p>
              </w:tc>
            </w:tr>
            <w:tr w:rsidR="0069005A" w:rsidRPr="00651181" w14:paraId="550143F1" w14:textId="77777777" w:rsidTr="002F427A">
              <w:tc>
                <w:tcPr>
                  <w:tcW w:w="4088" w:type="dxa"/>
                  <w:shd w:val="clear" w:color="auto" w:fill="auto"/>
                </w:tcPr>
                <w:p w14:paraId="6301BECA" w14:textId="77777777" w:rsidR="0069005A" w:rsidRPr="0051753E" w:rsidRDefault="0069005A" w:rsidP="002F427A">
                  <w:pPr>
                    <w:pStyle w:val="IATableLabel"/>
                    <w:rPr>
                      <w:rFonts w:cs="Arial"/>
                      <w:b w:val="0"/>
                    </w:rPr>
                  </w:pPr>
                  <w:r w:rsidRPr="00651181">
                    <w:rPr>
                      <w:rFonts w:cs="Arial"/>
                    </w:rPr>
                    <w:t xml:space="preserve">Type of measure: </w:t>
                  </w:r>
                  <w:bookmarkStart w:id="2" w:name="IAMeasureType"/>
                  <w:r w:rsidRPr="0051753E">
                    <w:rPr>
                      <w:rStyle w:val="IATOMChar"/>
                      <w:rFonts w:cs="Arial"/>
                    </w:rPr>
                    <w:fldChar w:fldCharType="begin">
                      <w:ffData>
                        <w:name w:val="IAMeasureType"/>
                        <w:enabled/>
                        <w:calcOnExit w:val="0"/>
                        <w:ddList>
                          <w:listEntry w:val="Primary legislation"/>
                          <w:listEntry w:val="Secondary legislation"/>
                          <w:listEntry w:val="Other"/>
                        </w:ddList>
                      </w:ffData>
                    </w:fldChar>
                  </w:r>
                  <w:r w:rsidRPr="0051753E">
                    <w:rPr>
                      <w:rStyle w:val="IATOMChar"/>
                      <w:rFonts w:cs="Arial"/>
                      <w:b w:val="0"/>
                    </w:rPr>
                    <w:instrText xml:space="preserve"> FORMDROPDOWN </w:instrText>
                  </w:r>
                  <w:r w:rsidR="000C0F2C">
                    <w:rPr>
                      <w:rStyle w:val="IATOMChar"/>
                      <w:rFonts w:cs="Arial"/>
                    </w:rPr>
                  </w:r>
                  <w:r w:rsidR="000C0F2C">
                    <w:rPr>
                      <w:rStyle w:val="IATOMChar"/>
                      <w:rFonts w:cs="Arial"/>
                    </w:rPr>
                    <w:fldChar w:fldCharType="separate"/>
                  </w:r>
                  <w:r w:rsidRPr="0051753E">
                    <w:rPr>
                      <w:rStyle w:val="IATOMChar"/>
                      <w:rFonts w:cs="Arial"/>
                    </w:rPr>
                    <w:fldChar w:fldCharType="end"/>
                  </w:r>
                  <w:bookmarkEnd w:id="2"/>
                </w:p>
              </w:tc>
            </w:tr>
            <w:tr w:rsidR="0069005A" w:rsidRPr="00651181" w14:paraId="6B8272CC" w14:textId="77777777" w:rsidTr="002F427A">
              <w:trPr>
                <w:trHeight w:val="1115"/>
              </w:trPr>
              <w:tc>
                <w:tcPr>
                  <w:tcW w:w="4088" w:type="dxa"/>
                  <w:shd w:val="clear" w:color="auto" w:fill="auto"/>
                </w:tcPr>
                <w:p w14:paraId="2C98585B" w14:textId="77777777" w:rsidR="0069005A" w:rsidRPr="00161BDE" w:rsidRDefault="0069005A" w:rsidP="002F427A">
                  <w:pPr>
                    <w:ind w:left="113" w:right="113"/>
                    <w:rPr>
                      <w:rFonts w:ascii="Arial" w:eastAsia="SimSun" w:hAnsi="Arial" w:cs="Arial"/>
                      <w:spacing w:val="-5"/>
                      <w:sz w:val="20"/>
                      <w:szCs w:val="24"/>
                      <w:lang w:eastAsia="zh-CN"/>
                    </w:rPr>
                  </w:pPr>
                  <w:r w:rsidRPr="00651181">
                    <w:rPr>
                      <w:rStyle w:val="IATableLabelCharChar"/>
                      <w:rFonts w:eastAsiaTheme="minorHAnsi" w:cs="Arial"/>
                    </w:rPr>
                    <w:t>Contact for enquiries:</w:t>
                  </w:r>
                  <w:r w:rsidRPr="006E0A89">
                    <w:rPr>
                      <w:rFonts w:ascii="Arial" w:hAnsi="Arial" w:cs="Arial"/>
                    </w:rPr>
                    <w:t xml:space="preserve"> </w:t>
                  </w:r>
                  <w:bookmarkStart w:id="3" w:name="IAEnquiryContacts"/>
                  <w:r w:rsidRPr="00161BDE">
                    <w:rPr>
                      <w:rStyle w:val="IACOEChar"/>
                      <w:rFonts w:cs="Arial"/>
                    </w:rPr>
                    <w:t xml:space="preserve">Paul Hughes </w:t>
                  </w:r>
                  <w:r>
                    <w:rPr>
                      <w:rStyle w:val="IACOEChar"/>
                      <w:rFonts w:cs="Arial"/>
                    </w:rPr>
                    <w:t xml:space="preserve">          </w:t>
                  </w:r>
                  <w:r w:rsidRPr="00161BDE">
                    <w:rPr>
                      <w:rStyle w:val="IACOEChar"/>
                      <w:rFonts w:cs="Arial"/>
                    </w:rPr>
                    <w:t>Tel: 020 3334 3198</w:t>
                  </w:r>
                  <w:bookmarkEnd w:id="3"/>
                </w:p>
              </w:tc>
            </w:tr>
            <w:tr w:rsidR="0069005A" w:rsidRPr="00651181" w14:paraId="35768EAC" w14:textId="77777777" w:rsidTr="002F427A">
              <w:trPr>
                <w:trHeight w:val="1115"/>
              </w:trPr>
              <w:tc>
                <w:tcPr>
                  <w:tcW w:w="4088" w:type="dxa"/>
                  <w:shd w:val="clear" w:color="auto" w:fill="auto"/>
                </w:tcPr>
                <w:p w14:paraId="067AF0DA" w14:textId="77777777" w:rsidR="0069005A" w:rsidRPr="00651181" w:rsidRDefault="0069005A" w:rsidP="002F427A">
                  <w:pPr>
                    <w:pStyle w:val="IATableLines"/>
                    <w:rPr>
                      <w:rFonts w:cs="Arial"/>
                      <w:b/>
                      <w:color w:val="000000"/>
                      <w:sz w:val="20"/>
                    </w:rPr>
                  </w:pPr>
                </w:p>
              </w:tc>
            </w:tr>
            <w:tr w:rsidR="0069005A" w:rsidRPr="00651181" w14:paraId="25938DEC" w14:textId="77777777" w:rsidTr="002F427A">
              <w:trPr>
                <w:trHeight w:val="1115"/>
              </w:trPr>
              <w:tc>
                <w:tcPr>
                  <w:tcW w:w="4088" w:type="dxa"/>
                  <w:shd w:val="clear" w:color="auto" w:fill="auto"/>
                </w:tcPr>
                <w:p w14:paraId="204C2E29" w14:textId="77777777" w:rsidR="0069005A" w:rsidRPr="00651181" w:rsidRDefault="0069005A" w:rsidP="002F427A">
                  <w:pPr>
                    <w:pStyle w:val="IATableLines"/>
                    <w:rPr>
                      <w:rFonts w:cs="Arial"/>
                      <w:b/>
                      <w:color w:val="000000"/>
                      <w:sz w:val="20"/>
                    </w:rPr>
                  </w:pPr>
                </w:p>
              </w:tc>
            </w:tr>
            <w:tr w:rsidR="0069005A" w:rsidRPr="00651181" w14:paraId="4505FD1F" w14:textId="77777777" w:rsidTr="002F427A">
              <w:trPr>
                <w:trHeight w:val="1115"/>
              </w:trPr>
              <w:tc>
                <w:tcPr>
                  <w:tcW w:w="4088" w:type="dxa"/>
                  <w:shd w:val="clear" w:color="auto" w:fill="auto"/>
                </w:tcPr>
                <w:p w14:paraId="28B864F6" w14:textId="77777777" w:rsidR="0069005A" w:rsidRPr="00651181" w:rsidRDefault="0069005A" w:rsidP="002F427A">
                  <w:pPr>
                    <w:pStyle w:val="IATableLines"/>
                    <w:rPr>
                      <w:rFonts w:cs="Arial"/>
                      <w:b/>
                      <w:color w:val="000000"/>
                      <w:sz w:val="20"/>
                    </w:rPr>
                  </w:pPr>
                </w:p>
              </w:tc>
            </w:tr>
            <w:tr w:rsidR="0069005A" w:rsidRPr="00651181" w14:paraId="67AEB70A" w14:textId="77777777" w:rsidTr="002F427A">
              <w:trPr>
                <w:trHeight w:val="1115"/>
              </w:trPr>
              <w:tc>
                <w:tcPr>
                  <w:tcW w:w="4088" w:type="dxa"/>
                  <w:shd w:val="clear" w:color="auto" w:fill="auto"/>
                </w:tcPr>
                <w:p w14:paraId="11CC5A3E" w14:textId="77777777" w:rsidR="0069005A" w:rsidRPr="00651181" w:rsidRDefault="0069005A" w:rsidP="002F427A">
                  <w:pPr>
                    <w:pStyle w:val="IATableLines"/>
                    <w:rPr>
                      <w:rFonts w:cs="Arial"/>
                      <w:b/>
                      <w:color w:val="000000"/>
                      <w:sz w:val="20"/>
                    </w:rPr>
                  </w:pPr>
                </w:p>
              </w:tc>
            </w:tr>
            <w:tr w:rsidR="0069005A" w:rsidRPr="00651181" w14:paraId="03C79E9A" w14:textId="77777777" w:rsidTr="002F427A">
              <w:trPr>
                <w:trHeight w:val="1115"/>
              </w:trPr>
              <w:tc>
                <w:tcPr>
                  <w:tcW w:w="4088" w:type="dxa"/>
                  <w:shd w:val="clear" w:color="auto" w:fill="auto"/>
                </w:tcPr>
                <w:p w14:paraId="34B0F584" w14:textId="77777777" w:rsidR="0069005A" w:rsidRPr="00651181" w:rsidRDefault="0069005A" w:rsidP="002F427A">
                  <w:pPr>
                    <w:pStyle w:val="IATableLines"/>
                    <w:rPr>
                      <w:rFonts w:cs="Arial"/>
                      <w:b/>
                      <w:color w:val="000000"/>
                      <w:sz w:val="20"/>
                    </w:rPr>
                  </w:pPr>
                </w:p>
              </w:tc>
            </w:tr>
            <w:tr w:rsidR="0069005A" w:rsidRPr="00651181" w14:paraId="7DD11361" w14:textId="77777777" w:rsidTr="002F427A">
              <w:trPr>
                <w:trHeight w:val="1115"/>
              </w:trPr>
              <w:tc>
                <w:tcPr>
                  <w:tcW w:w="4088" w:type="dxa"/>
                  <w:shd w:val="clear" w:color="auto" w:fill="auto"/>
                </w:tcPr>
                <w:p w14:paraId="1C1C1EAA" w14:textId="77777777" w:rsidR="0069005A" w:rsidRPr="00651181" w:rsidRDefault="0069005A" w:rsidP="002F427A">
                  <w:pPr>
                    <w:pStyle w:val="IATableLines"/>
                    <w:rPr>
                      <w:rFonts w:cs="Arial"/>
                      <w:b/>
                      <w:color w:val="000000"/>
                      <w:sz w:val="20"/>
                    </w:rPr>
                  </w:pPr>
                </w:p>
              </w:tc>
            </w:tr>
          </w:tbl>
          <w:p w14:paraId="58E17635" w14:textId="77777777" w:rsidR="0069005A" w:rsidRPr="006E0A89" w:rsidRDefault="0069005A" w:rsidP="002F427A">
            <w:pPr>
              <w:rPr>
                <w:rFonts w:ascii="Arial" w:eastAsia="SimSun" w:hAnsi="Arial" w:cs="Arial"/>
              </w:rPr>
            </w:pPr>
          </w:p>
        </w:tc>
      </w:tr>
      <w:tr w:rsidR="0069005A" w:rsidRPr="00651181" w14:paraId="1934296B" w14:textId="77777777" w:rsidTr="002F427A">
        <w:trPr>
          <w:trHeight w:hRule="exact" w:val="410"/>
        </w:trPr>
        <w:tc>
          <w:tcPr>
            <w:tcW w:w="6237" w:type="dxa"/>
            <w:gridSpan w:val="3"/>
            <w:tcBorders>
              <w:top w:val="single" w:sz="4" w:space="0" w:color="auto"/>
              <w:left w:val="nil"/>
              <w:bottom w:val="single" w:sz="4" w:space="0" w:color="auto"/>
              <w:right w:val="single" w:sz="4" w:space="0" w:color="auto"/>
            </w:tcBorders>
            <w:shd w:val="clear" w:color="auto" w:fill="auto"/>
          </w:tcPr>
          <w:p w14:paraId="53561C2D" w14:textId="77777777" w:rsidR="0069005A" w:rsidRPr="006E0A89" w:rsidRDefault="0069005A" w:rsidP="002F427A">
            <w:pPr>
              <w:pStyle w:val="Heading1"/>
              <w:spacing w:before="60"/>
              <w:rPr>
                <w:rFonts w:ascii="Arial" w:eastAsia="SimSun" w:hAnsi="Arial"/>
                <w:sz w:val="28"/>
                <w:szCs w:val="28"/>
              </w:rPr>
            </w:pPr>
            <w:r w:rsidRPr="006E0A89">
              <w:rPr>
                <w:rFonts w:ascii="Arial" w:eastAsia="SimSun" w:hAnsi="Arial"/>
                <w:sz w:val="28"/>
                <w:szCs w:val="28"/>
              </w:rPr>
              <w:t xml:space="preserve">Summary: Intervention and Options </w:t>
            </w:r>
          </w:p>
          <w:p w14:paraId="2983D56C" w14:textId="77777777" w:rsidR="0069005A" w:rsidRPr="00651181" w:rsidRDefault="0069005A" w:rsidP="002F427A">
            <w:pPr>
              <w:pStyle w:val="IAHeadLabel0"/>
              <w:spacing w:before="50"/>
              <w:ind w:left="113"/>
              <w:rPr>
                <w:rFonts w:cs="Arial"/>
                <w:sz w:val="28"/>
                <w:szCs w:val="28"/>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19F595D" w14:textId="77777777" w:rsidR="0069005A" w:rsidRPr="00651181" w:rsidRDefault="0069005A" w:rsidP="002F427A">
            <w:pPr>
              <w:pStyle w:val="Title"/>
              <w:rPr>
                <w:rFonts w:eastAsia="SimSun"/>
                <w:b/>
                <w:color w:val="auto"/>
                <w:sz w:val="24"/>
                <w:szCs w:val="24"/>
              </w:rPr>
            </w:pPr>
            <w:r w:rsidRPr="00F96CCD">
              <w:rPr>
                <w:rFonts w:eastAsia="SimSun"/>
                <w:b/>
                <w:color w:val="auto"/>
                <w:sz w:val="24"/>
                <w:szCs w:val="24"/>
              </w:rPr>
              <w:t xml:space="preserve">RPC Opinion: </w:t>
            </w:r>
            <w:r>
              <w:rPr>
                <w:rStyle w:val="IARPCChar"/>
              </w:rPr>
              <w:t>N/A</w:t>
            </w:r>
          </w:p>
        </w:tc>
      </w:tr>
      <w:tr w:rsidR="0069005A" w:rsidRPr="00651181" w14:paraId="1B5848C2" w14:textId="77777777" w:rsidTr="002F427A">
        <w:trPr>
          <w:trHeight w:hRule="exact" w:val="90"/>
        </w:trPr>
        <w:tc>
          <w:tcPr>
            <w:tcW w:w="10206" w:type="dxa"/>
            <w:gridSpan w:val="6"/>
            <w:tcBorders>
              <w:top w:val="single" w:sz="4" w:space="0" w:color="auto"/>
              <w:left w:val="nil"/>
              <w:bottom w:val="nil"/>
              <w:right w:val="single" w:sz="4" w:space="0" w:color="auto"/>
            </w:tcBorders>
            <w:shd w:val="clear" w:color="auto" w:fill="auto"/>
          </w:tcPr>
          <w:p w14:paraId="01259F2E" w14:textId="77777777" w:rsidR="0069005A" w:rsidRPr="006E0A89" w:rsidRDefault="0069005A" w:rsidP="002F427A">
            <w:pPr>
              <w:rPr>
                <w:rFonts w:ascii="Arial" w:eastAsia="SimSun" w:hAnsi="Arial" w:cs="Arial"/>
              </w:rPr>
            </w:pPr>
          </w:p>
        </w:tc>
      </w:tr>
      <w:tr w:rsidR="0069005A" w:rsidRPr="00651181" w14:paraId="0AACDFF7" w14:textId="77777777" w:rsidTr="002F427A">
        <w:tblPrEx>
          <w:tblBorders>
            <w:insideV w:val="none" w:sz="0" w:space="0" w:color="auto"/>
          </w:tblBorders>
          <w:shd w:val="clear" w:color="auto" w:fill="E0E0E0"/>
        </w:tblPrEx>
        <w:trPr>
          <w:trHeight w:hRule="exact" w:val="312"/>
        </w:trPr>
        <w:tc>
          <w:tcPr>
            <w:tcW w:w="10206" w:type="dxa"/>
            <w:gridSpan w:val="6"/>
            <w:tcBorders>
              <w:top w:val="single" w:sz="4" w:space="0" w:color="auto"/>
              <w:bottom w:val="nil"/>
              <w:right w:val="single" w:sz="4" w:space="0" w:color="auto"/>
            </w:tcBorders>
            <w:shd w:val="clear" w:color="auto" w:fill="E0E0E0"/>
          </w:tcPr>
          <w:p w14:paraId="24EBF1ED" w14:textId="77777777" w:rsidR="0069005A" w:rsidRPr="00651181" w:rsidRDefault="0069005A" w:rsidP="002F427A">
            <w:pPr>
              <w:pStyle w:val="IATableLabel"/>
              <w:ind w:left="0"/>
              <w:jc w:val="center"/>
              <w:rPr>
                <w:rFonts w:cs="Arial"/>
              </w:rPr>
            </w:pPr>
            <w:bookmarkStart w:id="4" w:name="CostText"/>
            <w:r w:rsidRPr="00651181">
              <w:rPr>
                <w:rFonts w:cs="Arial"/>
              </w:rPr>
              <w:t>Cost of Preferred (or more likely) Option</w:t>
            </w:r>
            <w:bookmarkEnd w:id="4"/>
          </w:p>
        </w:tc>
      </w:tr>
      <w:tr w:rsidR="0069005A" w:rsidRPr="00651181" w14:paraId="4244620F" w14:textId="77777777" w:rsidTr="002F427A">
        <w:tblPrEx>
          <w:tblBorders>
            <w:insideV w:val="none" w:sz="0" w:space="0" w:color="auto"/>
          </w:tblBorders>
          <w:shd w:val="clear" w:color="auto" w:fill="E0E0E0"/>
        </w:tblPrEx>
        <w:trPr>
          <w:trHeight w:hRule="exact" w:val="571"/>
        </w:trPr>
        <w:tc>
          <w:tcPr>
            <w:tcW w:w="2278" w:type="dxa"/>
            <w:tcBorders>
              <w:top w:val="single" w:sz="4" w:space="0" w:color="auto"/>
              <w:bottom w:val="nil"/>
              <w:right w:val="single" w:sz="4" w:space="0" w:color="auto"/>
            </w:tcBorders>
            <w:shd w:val="clear" w:color="auto" w:fill="E0E0E0"/>
            <w:vAlign w:val="center"/>
          </w:tcPr>
          <w:p w14:paraId="2518ADCF" w14:textId="77777777" w:rsidR="0069005A" w:rsidRPr="00F96CCD" w:rsidRDefault="0069005A" w:rsidP="002F427A">
            <w:pPr>
              <w:pStyle w:val="IATableLabel"/>
              <w:spacing w:before="0" w:after="0"/>
              <w:rPr>
                <w:rFonts w:cs="Arial"/>
              </w:rPr>
            </w:pPr>
            <w:r w:rsidRPr="00651181">
              <w:rPr>
                <w:rFonts w:cs="Arial"/>
              </w:rPr>
              <w:t>Total Net Present Value</w:t>
            </w:r>
          </w:p>
        </w:tc>
        <w:tc>
          <w:tcPr>
            <w:tcW w:w="1560" w:type="dxa"/>
            <w:tcBorders>
              <w:top w:val="single" w:sz="4" w:space="0" w:color="auto"/>
              <w:bottom w:val="nil"/>
              <w:right w:val="single" w:sz="4" w:space="0" w:color="auto"/>
            </w:tcBorders>
            <w:shd w:val="clear" w:color="auto" w:fill="E0E0E0"/>
            <w:vAlign w:val="center"/>
          </w:tcPr>
          <w:p w14:paraId="3ED09A54" w14:textId="77777777" w:rsidR="0069005A" w:rsidRPr="0051753E" w:rsidRDefault="0069005A" w:rsidP="002F427A">
            <w:pPr>
              <w:pStyle w:val="IATableLabel"/>
              <w:spacing w:before="0" w:after="0"/>
              <w:rPr>
                <w:rFonts w:cs="Arial"/>
              </w:rPr>
            </w:pPr>
            <w:r w:rsidRPr="00DC036C">
              <w:rPr>
                <w:rFonts w:cs="Arial"/>
              </w:rPr>
              <w:t>Business Net Present Value</w:t>
            </w:r>
          </w:p>
        </w:tc>
        <w:tc>
          <w:tcPr>
            <w:tcW w:w="2551" w:type="dxa"/>
            <w:gridSpan w:val="2"/>
            <w:tcBorders>
              <w:top w:val="single" w:sz="4" w:space="0" w:color="auto"/>
              <w:bottom w:val="nil"/>
              <w:right w:val="single" w:sz="4" w:space="0" w:color="auto"/>
            </w:tcBorders>
            <w:shd w:val="clear" w:color="auto" w:fill="E0E0E0"/>
            <w:vAlign w:val="center"/>
          </w:tcPr>
          <w:p w14:paraId="63BD6C95" w14:textId="77777777" w:rsidR="0069005A" w:rsidRPr="0051753E" w:rsidRDefault="0069005A" w:rsidP="002F427A">
            <w:pPr>
              <w:pStyle w:val="IATableLabel"/>
              <w:spacing w:before="0" w:after="0"/>
              <w:rPr>
                <w:rFonts w:cs="Arial"/>
              </w:rPr>
            </w:pPr>
            <w:r w:rsidRPr="0051753E">
              <w:rPr>
                <w:rFonts w:cs="Arial"/>
              </w:rPr>
              <w:t xml:space="preserve">Net cost to business per year </w:t>
            </w:r>
            <w:r w:rsidRPr="0051753E">
              <w:rPr>
                <w:rFonts w:cs="Arial"/>
                <w:b w:val="0"/>
              </w:rPr>
              <w:t>(</w:t>
            </w:r>
            <w:r w:rsidRPr="0051753E">
              <w:rPr>
                <w:rFonts w:cs="Arial"/>
                <w:b w:val="0"/>
                <w:sz w:val="16"/>
                <w:szCs w:val="16"/>
              </w:rPr>
              <w:t>EANDCB in 2014 prices)</w:t>
            </w:r>
          </w:p>
        </w:tc>
        <w:tc>
          <w:tcPr>
            <w:tcW w:w="1559" w:type="dxa"/>
            <w:tcBorders>
              <w:top w:val="single" w:sz="4" w:space="0" w:color="auto"/>
              <w:left w:val="single" w:sz="4" w:space="0" w:color="auto"/>
              <w:bottom w:val="nil"/>
              <w:right w:val="single" w:sz="4" w:space="0" w:color="auto"/>
            </w:tcBorders>
            <w:shd w:val="clear" w:color="auto" w:fill="E0E0E0"/>
            <w:vAlign w:val="center"/>
          </w:tcPr>
          <w:p w14:paraId="74FB6D09" w14:textId="77777777" w:rsidR="0069005A" w:rsidRPr="003473EB" w:rsidRDefault="0069005A" w:rsidP="002F427A">
            <w:pPr>
              <w:pStyle w:val="IATableLabel"/>
              <w:spacing w:before="0" w:after="0"/>
              <w:rPr>
                <w:rFonts w:cs="Arial"/>
              </w:rPr>
            </w:pPr>
            <w:r w:rsidRPr="003473EB">
              <w:rPr>
                <w:rFonts w:cs="Arial"/>
              </w:rPr>
              <w:t xml:space="preserve">One-In, </w:t>
            </w:r>
          </w:p>
          <w:p w14:paraId="6C92FB76" w14:textId="77777777" w:rsidR="0069005A" w:rsidRPr="003473EB" w:rsidRDefault="0069005A" w:rsidP="002F427A">
            <w:pPr>
              <w:pStyle w:val="IATableLabel"/>
              <w:spacing w:before="0" w:after="0"/>
              <w:rPr>
                <w:rFonts w:cs="Arial"/>
              </w:rPr>
            </w:pPr>
            <w:r w:rsidRPr="003473EB">
              <w:rPr>
                <w:rFonts w:cs="Arial"/>
              </w:rPr>
              <w:t>Three-Out</w:t>
            </w:r>
          </w:p>
        </w:tc>
        <w:tc>
          <w:tcPr>
            <w:tcW w:w="2258" w:type="dxa"/>
            <w:tcBorders>
              <w:top w:val="single" w:sz="4" w:space="0" w:color="auto"/>
              <w:left w:val="single" w:sz="4" w:space="0" w:color="auto"/>
              <w:bottom w:val="nil"/>
              <w:right w:val="single" w:sz="4" w:space="0" w:color="auto"/>
            </w:tcBorders>
            <w:shd w:val="clear" w:color="auto" w:fill="E0E0E0"/>
            <w:vAlign w:val="center"/>
          </w:tcPr>
          <w:p w14:paraId="5DC5CE2F" w14:textId="77777777" w:rsidR="0069005A" w:rsidRPr="006E0A89" w:rsidRDefault="0069005A" w:rsidP="002F427A">
            <w:pPr>
              <w:pStyle w:val="IATableLabel"/>
              <w:spacing w:before="0" w:after="0"/>
              <w:rPr>
                <w:rFonts w:cs="Arial"/>
              </w:rPr>
            </w:pPr>
            <w:r w:rsidRPr="006E0A89">
              <w:rPr>
                <w:rFonts w:cs="Arial"/>
              </w:rPr>
              <w:t>Business Impact Target       Status</w:t>
            </w:r>
          </w:p>
          <w:p w14:paraId="0883C5B5" w14:textId="77777777" w:rsidR="0069005A" w:rsidRPr="006E0A89" w:rsidRDefault="0069005A" w:rsidP="002F427A">
            <w:pPr>
              <w:pStyle w:val="IATableLabel"/>
              <w:spacing w:before="0" w:after="0"/>
              <w:rPr>
                <w:rFonts w:cs="Arial"/>
              </w:rPr>
            </w:pPr>
          </w:p>
        </w:tc>
      </w:tr>
      <w:tr w:rsidR="0069005A" w:rsidRPr="00651181" w14:paraId="5B3DFD87" w14:textId="77777777" w:rsidTr="002F427A">
        <w:tblPrEx>
          <w:tblBorders>
            <w:insideV w:val="none" w:sz="0" w:space="0" w:color="auto"/>
          </w:tblBorders>
          <w:shd w:val="clear" w:color="auto" w:fill="E0E0E0"/>
        </w:tblPrEx>
        <w:trPr>
          <w:trHeight w:hRule="exact" w:val="340"/>
        </w:trPr>
        <w:tc>
          <w:tcPr>
            <w:tcW w:w="2278" w:type="dxa"/>
            <w:tcBorders>
              <w:top w:val="nil"/>
              <w:bottom w:val="single" w:sz="4" w:space="0" w:color="auto"/>
              <w:right w:val="single" w:sz="4" w:space="0" w:color="auto"/>
            </w:tcBorders>
            <w:shd w:val="clear" w:color="auto" w:fill="E0E0E0"/>
            <w:vAlign w:val="center"/>
          </w:tcPr>
          <w:p w14:paraId="5472A0DB" w14:textId="77777777" w:rsidR="0069005A" w:rsidRPr="006E0A89" w:rsidRDefault="00975564" w:rsidP="002F427A">
            <w:pPr>
              <w:pStyle w:val="IAIIOTNPV"/>
              <w:rPr>
                <w:rFonts w:cs="Arial"/>
              </w:rPr>
            </w:pPr>
            <w:r>
              <w:rPr>
                <w:rFonts w:cs="Arial"/>
              </w:rPr>
              <w:t>N/A</w:t>
            </w:r>
          </w:p>
        </w:tc>
        <w:tc>
          <w:tcPr>
            <w:tcW w:w="1560" w:type="dxa"/>
            <w:tcBorders>
              <w:top w:val="nil"/>
              <w:bottom w:val="single" w:sz="4" w:space="0" w:color="auto"/>
              <w:right w:val="single" w:sz="4" w:space="0" w:color="auto"/>
            </w:tcBorders>
            <w:shd w:val="clear" w:color="auto" w:fill="E0E0E0"/>
            <w:vAlign w:val="center"/>
          </w:tcPr>
          <w:p w14:paraId="4C91CF5E" w14:textId="77777777" w:rsidR="0069005A" w:rsidRPr="006E0A89" w:rsidRDefault="00975564" w:rsidP="002F427A">
            <w:pPr>
              <w:pStyle w:val="IAIOBNPV"/>
              <w:rPr>
                <w:rFonts w:cs="Arial"/>
              </w:rPr>
            </w:pPr>
            <w:r>
              <w:rPr>
                <w:rFonts w:cs="Arial"/>
              </w:rPr>
              <w:t>N/A</w:t>
            </w:r>
          </w:p>
        </w:tc>
        <w:tc>
          <w:tcPr>
            <w:tcW w:w="2551" w:type="dxa"/>
            <w:gridSpan w:val="2"/>
            <w:tcBorders>
              <w:top w:val="nil"/>
              <w:bottom w:val="single" w:sz="4" w:space="0" w:color="auto"/>
              <w:right w:val="single" w:sz="4" w:space="0" w:color="auto"/>
            </w:tcBorders>
            <w:shd w:val="clear" w:color="auto" w:fill="E0E0E0"/>
            <w:vAlign w:val="center"/>
          </w:tcPr>
          <w:p w14:paraId="10CD32E0" w14:textId="77777777" w:rsidR="0069005A" w:rsidRPr="006E0A89" w:rsidRDefault="00975564" w:rsidP="002F427A">
            <w:pPr>
              <w:pStyle w:val="IAIONCTBPY"/>
              <w:rPr>
                <w:rFonts w:cs="Arial"/>
              </w:rPr>
            </w:pPr>
            <w:r>
              <w:rPr>
                <w:rFonts w:cs="Arial"/>
              </w:rPr>
              <w:t>N/A</w:t>
            </w:r>
          </w:p>
        </w:tc>
        <w:tc>
          <w:tcPr>
            <w:tcW w:w="1559" w:type="dxa"/>
            <w:tcBorders>
              <w:top w:val="nil"/>
              <w:left w:val="single" w:sz="4" w:space="0" w:color="auto"/>
              <w:bottom w:val="single" w:sz="4" w:space="0" w:color="auto"/>
              <w:right w:val="single" w:sz="4" w:space="0" w:color="auto"/>
            </w:tcBorders>
            <w:shd w:val="clear" w:color="auto" w:fill="E0E0E0"/>
            <w:vAlign w:val="center"/>
          </w:tcPr>
          <w:p w14:paraId="2B257A2B" w14:textId="77777777" w:rsidR="0069005A" w:rsidRPr="006E0A89" w:rsidRDefault="0069005A" w:rsidP="002F427A">
            <w:pPr>
              <w:pStyle w:val="IAIOInScopeInOut"/>
              <w:rPr>
                <w:rFonts w:cs="Arial"/>
              </w:rPr>
            </w:pPr>
            <w:r w:rsidRPr="006E0A89">
              <w:rPr>
                <w:rFonts w:cs="Arial"/>
              </w:rPr>
              <w:fldChar w:fldCharType="begin">
                <w:ffData>
                  <w:name w:val="IAInScopeInOut"/>
                  <w:enabled/>
                  <w:calcOnExit w:val="0"/>
                  <w:ddList>
                    <w:listEntry w:val="Not in scope"/>
                    <w:listEntry w:val="In scope"/>
                  </w:ddList>
                </w:ffData>
              </w:fldChar>
            </w:r>
            <w:bookmarkStart w:id="5" w:name="IAInScopeInOut"/>
            <w:r w:rsidRPr="006E0A89">
              <w:rPr>
                <w:rFonts w:cs="Arial"/>
              </w:rPr>
              <w:instrText xml:space="preserve"> FORMDROPDOWN </w:instrText>
            </w:r>
            <w:r w:rsidR="000C0F2C">
              <w:rPr>
                <w:rFonts w:cs="Arial"/>
              </w:rPr>
            </w:r>
            <w:r w:rsidR="000C0F2C">
              <w:rPr>
                <w:rFonts w:cs="Arial"/>
              </w:rPr>
              <w:fldChar w:fldCharType="separate"/>
            </w:r>
            <w:r w:rsidRPr="006E0A89">
              <w:rPr>
                <w:rFonts w:cs="Arial"/>
              </w:rPr>
              <w:fldChar w:fldCharType="end"/>
            </w:r>
            <w:bookmarkEnd w:id="5"/>
          </w:p>
        </w:tc>
        <w:tc>
          <w:tcPr>
            <w:tcW w:w="2258" w:type="dxa"/>
            <w:tcBorders>
              <w:top w:val="nil"/>
              <w:left w:val="single" w:sz="4" w:space="0" w:color="auto"/>
              <w:bottom w:val="single" w:sz="4" w:space="0" w:color="auto"/>
              <w:right w:val="single" w:sz="4" w:space="0" w:color="auto"/>
            </w:tcBorders>
            <w:shd w:val="clear" w:color="auto" w:fill="E0E0E0"/>
            <w:vAlign w:val="center"/>
          </w:tcPr>
          <w:p w14:paraId="57CC7F56" w14:textId="77777777" w:rsidR="0069005A" w:rsidRPr="006E0A89" w:rsidRDefault="0069005A" w:rsidP="002F427A">
            <w:pPr>
              <w:pStyle w:val="IAIOPrefMQ"/>
              <w:rPr>
                <w:rFonts w:cs="Arial"/>
              </w:rPr>
            </w:pPr>
            <w:r>
              <w:rPr>
                <w:rFonts w:cs="Arial"/>
              </w:rPr>
              <w:t>Not in scope</w:t>
            </w:r>
          </w:p>
        </w:tc>
      </w:tr>
      <w:tr w:rsidR="0069005A" w:rsidRPr="00251A06" w14:paraId="32E923D9" w14:textId="77777777" w:rsidTr="005273C1">
        <w:trPr>
          <w:trHeight w:hRule="exact" w:val="2663"/>
        </w:trPr>
        <w:tc>
          <w:tcPr>
            <w:tcW w:w="10206" w:type="dxa"/>
            <w:gridSpan w:val="6"/>
            <w:tcBorders>
              <w:top w:val="single" w:sz="4" w:space="0" w:color="auto"/>
              <w:left w:val="single" w:sz="4" w:space="0" w:color="auto"/>
              <w:bottom w:val="single" w:sz="4" w:space="0" w:color="auto"/>
              <w:right w:val="single" w:sz="4" w:space="0" w:color="auto"/>
            </w:tcBorders>
          </w:tcPr>
          <w:p w14:paraId="74340479" w14:textId="77777777" w:rsidR="0069005A" w:rsidRPr="00251A06" w:rsidRDefault="0069005A" w:rsidP="002F427A">
            <w:pPr>
              <w:pStyle w:val="IAIOQ1"/>
              <w:rPr>
                <w:rFonts w:cs="Arial"/>
              </w:rPr>
            </w:pPr>
            <w:bookmarkStart w:id="6" w:name="Summary1"/>
            <w:r w:rsidRPr="00251A06">
              <w:rPr>
                <w:rFonts w:cs="Arial"/>
              </w:rPr>
              <w:t>What is the problem under consideration? Why is government intervention necessary?</w:t>
            </w:r>
            <w:bookmarkEnd w:id="6"/>
          </w:p>
          <w:p w14:paraId="0A9C8D65" w14:textId="300621B2" w:rsidR="0069005A" w:rsidRPr="00251A06" w:rsidRDefault="0069005A">
            <w:pPr>
              <w:pStyle w:val="IATableLines"/>
              <w:rPr>
                <w:rFonts w:cs="Arial"/>
                <w:sz w:val="20"/>
              </w:rPr>
            </w:pPr>
            <w:r w:rsidRPr="00954411">
              <w:rPr>
                <w:rFonts w:eastAsia="Calibri" w:cs="Arial"/>
                <w:sz w:val="20"/>
              </w:rPr>
              <w:t xml:space="preserve">Where damages for personal injury </w:t>
            </w:r>
            <w:r w:rsidR="006A5C4D" w:rsidRPr="00954411">
              <w:rPr>
                <w:rFonts w:eastAsia="Calibri" w:cs="Arial"/>
                <w:sz w:val="20"/>
              </w:rPr>
              <w:t>take</w:t>
            </w:r>
            <w:r w:rsidRPr="00954411">
              <w:rPr>
                <w:rFonts w:eastAsia="Calibri" w:cs="Arial"/>
                <w:sz w:val="20"/>
              </w:rPr>
              <w:t xml:space="preserve"> the form of a lump sum, th</w:t>
            </w:r>
            <w:r w:rsidR="000C2BD9" w:rsidRPr="00954411">
              <w:rPr>
                <w:rFonts w:eastAsia="Calibri" w:cs="Arial"/>
                <w:sz w:val="20"/>
              </w:rPr>
              <w:t>e</w:t>
            </w:r>
            <w:r w:rsidRPr="00954411">
              <w:rPr>
                <w:rFonts w:eastAsia="Calibri" w:cs="Arial"/>
                <w:sz w:val="20"/>
              </w:rPr>
              <w:t xml:space="preserve"> award is adjusted to reflect</w:t>
            </w:r>
            <w:r w:rsidR="00B123FB" w:rsidRPr="00954411">
              <w:rPr>
                <w:rFonts w:eastAsia="Calibri" w:cs="Arial"/>
                <w:sz w:val="20"/>
              </w:rPr>
              <w:t xml:space="preserve"> the </w:t>
            </w:r>
            <w:r w:rsidR="009F49A9">
              <w:rPr>
                <w:rFonts w:eastAsia="Calibri" w:cs="Arial"/>
                <w:sz w:val="20"/>
              </w:rPr>
              <w:t>anticipated return</w:t>
            </w:r>
            <w:r w:rsidRPr="00954411">
              <w:rPr>
                <w:rFonts w:eastAsia="Calibri" w:cs="Arial"/>
                <w:sz w:val="20"/>
              </w:rPr>
              <w:t xml:space="preserve"> that the </w:t>
            </w:r>
            <w:r w:rsidR="000934E6" w:rsidRPr="00954411">
              <w:rPr>
                <w:rFonts w:eastAsia="Calibri" w:cs="Arial"/>
                <w:sz w:val="20"/>
              </w:rPr>
              <w:t>claimant i</w:t>
            </w:r>
            <w:r w:rsidRPr="00954411">
              <w:rPr>
                <w:rFonts w:eastAsia="Calibri" w:cs="Arial"/>
                <w:sz w:val="20"/>
              </w:rPr>
              <w:t xml:space="preserve">s </w:t>
            </w:r>
            <w:r w:rsidR="009F49A9">
              <w:rPr>
                <w:rFonts w:eastAsia="Calibri" w:cs="Arial"/>
                <w:sz w:val="20"/>
              </w:rPr>
              <w:t>expected to make by investing</w:t>
            </w:r>
            <w:r w:rsidRPr="00954411">
              <w:rPr>
                <w:rFonts w:eastAsia="Calibri" w:cs="Arial"/>
                <w:sz w:val="20"/>
              </w:rPr>
              <w:t xml:space="preserve"> the money. Th</w:t>
            </w:r>
            <w:r w:rsidR="006B6774" w:rsidRPr="00954411">
              <w:rPr>
                <w:rFonts w:eastAsia="Calibri" w:cs="Arial"/>
                <w:sz w:val="20"/>
              </w:rPr>
              <w:t xml:space="preserve">is </w:t>
            </w:r>
            <w:r w:rsidRPr="00954411">
              <w:rPr>
                <w:rFonts w:eastAsia="Calibri" w:cs="Arial"/>
                <w:sz w:val="20"/>
              </w:rPr>
              <w:t>adjust</w:t>
            </w:r>
            <w:r w:rsidR="006B6774" w:rsidRPr="00954411">
              <w:rPr>
                <w:rFonts w:eastAsia="Calibri" w:cs="Arial"/>
                <w:sz w:val="20"/>
              </w:rPr>
              <w:t>ment</w:t>
            </w:r>
            <w:r w:rsidRPr="00954411">
              <w:rPr>
                <w:rFonts w:eastAsia="Calibri" w:cs="Arial"/>
                <w:sz w:val="20"/>
              </w:rPr>
              <w:t xml:space="preserve"> is the personal injury discount rate (PIDR). In England and Wales</w:t>
            </w:r>
            <w:r w:rsidR="005273C1">
              <w:rPr>
                <w:rFonts w:eastAsia="Calibri" w:cs="Arial"/>
                <w:sz w:val="20"/>
              </w:rPr>
              <w:t>,</w:t>
            </w:r>
            <w:r w:rsidRPr="00954411">
              <w:rPr>
                <w:rFonts w:eastAsia="Calibri" w:cs="Arial"/>
                <w:sz w:val="20"/>
              </w:rPr>
              <w:t xml:space="preserve"> the PIDR is </w:t>
            </w:r>
            <w:r w:rsidR="00480BA3" w:rsidRPr="00954411">
              <w:rPr>
                <w:rFonts w:eastAsia="Calibri" w:cs="Arial"/>
                <w:sz w:val="20"/>
              </w:rPr>
              <w:t xml:space="preserve">currently </w:t>
            </w:r>
            <w:r w:rsidRPr="00954411">
              <w:rPr>
                <w:rFonts w:eastAsia="Calibri" w:cs="Arial"/>
                <w:sz w:val="20"/>
              </w:rPr>
              <w:t>set by the Lord Chancellor</w:t>
            </w:r>
            <w:r w:rsidR="00C34503">
              <w:rPr>
                <w:rFonts w:eastAsia="Calibri" w:cs="Arial"/>
                <w:sz w:val="20"/>
              </w:rPr>
              <w:t xml:space="preserve"> </w:t>
            </w:r>
            <w:r w:rsidRPr="00954411">
              <w:rPr>
                <w:rFonts w:eastAsia="Calibri" w:cs="Arial"/>
                <w:sz w:val="20"/>
              </w:rPr>
              <w:t>under s1 of the Damages Act 1996</w:t>
            </w:r>
            <w:r w:rsidR="003876A4" w:rsidRPr="00954411">
              <w:rPr>
                <w:rFonts w:eastAsia="Calibri" w:cs="Arial"/>
                <w:sz w:val="20"/>
              </w:rPr>
              <w:t xml:space="preserve"> with</w:t>
            </w:r>
            <w:r w:rsidRPr="00954411">
              <w:rPr>
                <w:rFonts w:eastAsia="Calibri" w:cs="Arial"/>
                <w:sz w:val="20"/>
              </w:rPr>
              <w:t xml:space="preserve"> reference to a three-year average of </w:t>
            </w:r>
            <w:r w:rsidRPr="00954411">
              <w:rPr>
                <w:rFonts w:cs="Arial"/>
                <w:sz w:val="20"/>
              </w:rPr>
              <w:t xml:space="preserve">real </w:t>
            </w:r>
            <w:r w:rsidRPr="00954411">
              <w:rPr>
                <w:rFonts w:eastAsia="Calibri" w:cs="Arial"/>
                <w:sz w:val="20"/>
              </w:rPr>
              <w:t>gross redemption yield</w:t>
            </w:r>
            <w:r w:rsidRPr="00954411">
              <w:rPr>
                <w:rFonts w:cs="Arial"/>
                <w:sz w:val="20"/>
              </w:rPr>
              <w:t>s on</w:t>
            </w:r>
            <w:r w:rsidRPr="00954411">
              <w:rPr>
                <w:rFonts w:eastAsia="Calibri" w:cs="Arial"/>
                <w:sz w:val="20"/>
              </w:rPr>
              <w:t xml:space="preserve"> index linked gilts (ILGS). </w:t>
            </w:r>
            <w:r w:rsidR="00C34503">
              <w:rPr>
                <w:rFonts w:eastAsia="Calibri" w:cs="Arial"/>
                <w:sz w:val="20"/>
              </w:rPr>
              <w:t>T</w:t>
            </w:r>
            <w:r w:rsidR="00C07562">
              <w:rPr>
                <w:rFonts w:eastAsia="Calibri" w:cs="Arial"/>
                <w:sz w:val="20"/>
              </w:rPr>
              <w:t xml:space="preserve">he Government believes that the </w:t>
            </w:r>
            <w:r w:rsidR="005B438A" w:rsidRPr="00954411">
              <w:rPr>
                <w:rFonts w:eastAsia="Arial" w:cs="Arial"/>
                <w:sz w:val="20"/>
              </w:rPr>
              <w:t xml:space="preserve">present </w:t>
            </w:r>
            <w:r w:rsidR="00C07562">
              <w:rPr>
                <w:rFonts w:eastAsia="Arial" w:cs="Arial"/>
                <w:sz w:val="20"/>
              </w:rPr>
              <w:t>legal framework</w:t>
            </w:r>
            <w:r w:rsidR="005B438A" w:rsidRPr="00954411">
              <w:rPr>
                <w:rFonts w:eastAsia="Arial" w:cs="Arial"/>
                <w:sz w:val="20"/>
              </w:rPr>
              <w:t xml:space="preserve"> </w:t>
            </w:r>
            <w:r w:rsidR="003947EA">
              <w:rPr>
                <w:rFonts w:eastAsia="Arial" w:cs="Arial"/>
                <w:sz w:val="20"/>
              </w:rPr>
              <w:t>results in</w:t>
            </w:r>
            <w:r w:rsidR="00C34503">
              <w:rPr>
                <w:rFonts w:eastAsia="Arial" w:cs="Arial"/>
                <w:sz w:val="20"/>
              </w:rPr>
              <w:t xml:space="preserve"> an artificially low </w:t>
            </w:r>
            <w:r w:rsidR="00B57424">
              <w:rPr>
                <w:rFonts w:eastAsia="Arial" w:cs="Arial"/>
                <w:sz w:val="20"/>
              </w:rPr>
              <w:t>PIDR</w:t>
            </w:r>
            <w:r w:rsidR="00C34503">
              <w:rPr>
                <w:rFonts w:eastAsia="Arial" w:cs="Arial"/>
                <w:sz w:val="20"/>
              </w:rPr>
              <w:t xml:space="preserve"> </w:t>
            </w:r>
            <w:r w:rsidR="00246896">
              <w:rPr>
                <w:rFonts w:eastAsia="Arial" w:cs="Arial"/>
                <w:sz w:val="20"/>
              </w:rPr>
              <w:t xml:space="preserve">and therefore, leads to excessive over-compensation of unlawfully injured individuals </w:t>
            </w:r>
            <w:r w:rsidR="00C07562">
              <w:rPr>
                <w:rFonts w:eastAsia="Arial" w:cs="Arial"/>
                <w:sz w:val="20"/>
              </w:rPr>
              <w:t>and that ch</w:t>
            </w:r>
            <w:r w:rsidR="005B438A" w:rsidRPr="00954411">
              <w:rPr>
                <w:rFonts w:eastAsia="Arial" w:cs="Arial"/>
                <w:sz w:val="20"/>
              </w:rPr>
              <w:t xml:space="preserve">anging the </w:t>
            </w:r>
            <w:r w:rsidR="006A5C4D" w:rsidRPr="00954411">
              <w:rPr>
                <w:rFonts w:eastAsia="Arial" w:cs="Arial"/>
                <w:sz w:val="20"/>
              </w:rPr>
              <w:t xml:space="preserve">current legal </w:t>
            </w:r>
            <w:r w:rsidR="005B438A" w:rsidRPr="00954411">
              <w:rPr>
                <w:rFonts w:eastAsia="Arial" w:cs="Arial"/>
                <w:sz w:val="20"/>
              </w:rPr>
              <w:t xml:space="preserve">framework to reflect how claimants </w:t>
            </w:r>
            <w:r w:rsidR="00C07562">
              <w:rPr>
                <w:rFonts w:eastAsia="Arial" w:cs="Arial"/>
                <w:sz w:val="20"/>
              </w:rPr>
              <w:t>actually, and are advised to,</w:t>
            </w:r>
            <w:r w:rsidR="000D1C37">
              <w:rPr>
                <w:rFonts w:eastAsia="Arial" w:cs="Arial"/>
                <w:sz w:val="20"/>
              </w:rPr>
              <w:t xml:space="preserve"> </w:t>
            </w:r>
            <w:r w:rsidR="005B438A" w:rsidRPr="00954411">
              <w:rPr>
                <w:rFonts w:eastAsia="Arial" w:cs="Arial"/>
                <w:sz w:val="20"/>
              </w:rPr>
              <w:t xml:space="preserve">invest </w:t>
            </w:r>
            <w:r w:rsidR="00B57424">
              <w:rPr>
                <w:rFonts w:eastAsia="Arial" w:cs="Arial"/>
                <w:sz w:val="20"/>
              </w:rPr>
              <w:t xml:space="preserve">their awards </w:t>
            </w:r>
            <w:r w:rsidR="005B438A" w:rsidRPr="00954411">
              <w:rPr>
                <w:rFonts w:eastAsia="Arial" w:cs="Arial"/>
                <w:sz w:val="20"/>
              </w:rPr>
              <w:t xml:space="preserve">will result in fairer </w:t>
            </w:r>
            <w:r w:rsidR="002B39B7" w:rsidRPr="00954411">
              <w:rPr>
                <w:rFonts w:eastAsia="Arial" w:cs="Arial"/>
                <w:sz w:val="20"/>
              </w:rPr>
              <w:t>outcomes</w:t>
            </w:r>
            <w:r w:rsidR="005B438A" w:rsidRPr="00954411">
              <w:rPr>
                <w:rFonts w:eastAsia="Arial" w:cs="Arial"/>
                <w:sz w:val="20"/>
              </w:rPr>
              <w:t xml:space="preserve"> for claimants and defendants. Reviewing the rate more regularly</w:t>
            </w:r>
            <w:r w:rsidR="00B57424">
              <w:rPr>
                <w:rFonts w:eastAsia="Arial" w:cs="Arial"/>
                <w:sz w:val="20"/>
              </w:rPr>
              <w:t xml:space="preserve">, having taken account of the advice of </w:t>
            </w:r>
            <w:r w:rsidR="00005F90">
              <w:rPr>
                <w:rFonts w:eastAsia="Arial" w:cs="Arial"/>
                <w:sz w:val="20"/>
              </w:rPr>
              <w:t xml:space="preserve">the Government Actuary </w:t>
            </w:r>
            <w:r w:rsidR="00005F90" w:rsidRPr="009F2FA5">
              <w:rPr>
                <w:rFonts w:eastAsia="Arial" w:cs="Arial"/>
                <w:sz w:val="20"/>
              </w:rPr>
              <w:t>(</w:t>
            </w:r>
            <w:r w:rsidR="00005F90" w:rsidRPr="002462AA">
              <w:rPr>
                <w:rFonts w:eastAsia="Arial" w:cs="Arial"/>
                <w:sz w:val="20"/>
              </w:rPr>
              <w:t>1</w:t>
            </w:r>
            <w:r w:rsidR="00005F90" w:rsidRPr="002462AA">
              <w:rPr>
                <w:rFonts w:eastAsia="Arial" w:cs="Arial"/>
                <w:sz w:val="20"/>
                <w:vertAlign w:val="superscript"/>
              </w:rPr>
              <w:t>st</w:t>
            </w:r>
            <w:r w:rsidR="00005F90" w:rsidRPr="002462AA">
              <w:rPr>
                <w:rFonts w:eastAsia="Arial" w:cs="Arial"/>
                <w:sz w:val="20"/>
              </w:rPr>
              <w:t xml:space="preserve"> review</w:t>
            </w:r>
            <w:r w:rsidR="00005F90" w:rsidRPr="009F2FA5">
              <w:rPr>
                <w:rFonts w:eastAsia="Arial" w:cs="Arial"/>
                <w:sz w:val="20"/>
              </w:rPr>
              <w:t>)</w:t>
            </w:r>
            <w:r w:rsidR="00005F90">
              <w:rPr>
                <w:rFonts w:eastAsia="Arial" w:cs="Arial"/>
                <w:sz w:val="20"/>
              </w:rPr>
              <w:t xml:space="preserve"> and </w:t>
            </w:r>
            <w:r w:rsidR="00B57424">
              <w:rPr>
                <w:rFonts w:eastAsia="Arial" w:cs="Arial"/>
                <w:sz w:val="20"/>
              </w:rPr>
              <w:t>an independent expert panel</w:t>
            </w:r>
            <w:r w:rsidR="00005F90">
              <w:rPr>
                <w:rFonts w:eastAsia="Arial" w:cs="Arial"/>
                <w:sz w:val="20"/>
              </w:rPr>
              <w:t xml:space="preserve"> </w:t>
            </w:r>
            <w:r w:rsidR="0039677E">
              <w:rPr>
                <w:rFonts w:eastAsia="Arial" w:cs="Arial"/>
                <w:sz w:val="20"/>
              </w:rPr>
              <w:t xml:space="preserve">chaired by the Government Actuary </w:t>
            </w:r>
            <w:r w:rsidR="00005F90" w:rsidRPr="009F2FA5">
              <w:rPr>
                <w:rFonts w:eastAsia="Arial" w:cs="Arial"/>
                <w:sz w:val="20"/>
              </w:rPr>
              <w:t>(</w:t>
            </w:r>
            <w:r w:rsidR="00005F90" w:rsidRPr="002462AA">
              <w:rPr>
                <w:rFonts w:eastAsia="Arial" w:cs="Arial"/>
                <w:sz w:val="20"/>
              </w:rPr>
              <w:t>2</w:t>
            </w:r>
            <w:r w:rsidR="00005F90" w:rsidRPr="002462AA">
              <w:rPr>
                <w:rFonts w:eastAsia="Arial" w:cs="Arial"/>
                <w:sz w:val="20"/>
                <w:vertAlign w:val="superscript"/>
              </w:rPr>
              <w:t>nd</w:t>
            </w:r>
            <w:r w:rsidR="00005F90" w:rsidRPr="002462AA">
              <w:rPr>
                <w:rFonts w:eastAsia="Arial" w:cs="Arial"/>
                <w:sz w:val="20"/>
              </w:rPr>
              <w:t xml:space="preserve"> and subsequent reviews</w:t>
            </w:r>
            <w:r w:rsidR="00005F90" w:rsidRPr="009F2FA5">
              <w:rPr>
                <w:rFonts w:eastAsia="Arial" w:cs="Arial"/>
                <w:sz w:val="20"/>
              </w:rPr>
              <w:t>)</w:t>
            </w:r>
            <w:r w:rsidR="00B57424" w:rsidRPr="00A25272">
              <w:rPr>
                <w:rFonts w:eastAsia="Arial" w:cs="Arial"/>
                <w:sz w:val="20"/>
              </w:rPr>
              <w:t>,</w:t>
            </w:r>
            <w:r w:rsidR="005B438A" w:rsidRPr="00954411">
              <w:rPr>
                <w:rFonts w:eastAsia="Arial" w:cs="Arial"/>
                <w:sz w:val="20"/>
              </w:rPr>
              <w:t xml:space="preserve"> will also provide a more transparent and predictable framework. </w:t>
            </w:r>
            <w:r w:rsidR="005B438A" w:rsidRPr="00954411">
              <w:rPr>
                <w:rFonts w:eastAsia="Calibri" w:cs="Arial"/>
                <w:spacing w:val="0"/>
                <w:sz w:val="20"/>
                <w:lang w:eastAsia="en-US"/>
              </w:rPr>
              <w:t>L</w:t>
            </w:r>
            <w:r w:rsidR="00971A5D" w:rsidRPr="00954411">
              <w:rPr>
                <w:rFonts w:eastAsia="Calibri" w:cs="Arial"/>
                <w:spacing w:val="0"/>
                <w:sz w:val="20"/>
                <w:lang w:eastAsia="en-US"/>
              </w:rPr>
              <w:t>egislation</w:t>
            </w:r>
            <w:r w:rsidR="00480BA3" w:rsidRPr="00954411">
              <w:rPr>
                <w:rFonts w:eastAsia="Calibri" w:cs="Arial"/>
                <w:spacing w:val="0"/>
                <w:sz w:val="20"/>
                <w:lang w:eastAsia="en-US"/>
              </w:rPr>
              <w:t xml:space="preserve"> </w:t>
            </w:r>
            <w:r w:rsidR="00D93AAF" w:rsidRPr="00954411">
              <w:rPr>
                <w:rFonts w:eastAsia="Calibri" w:cs="Arial"/>
                <w:spacing w:val="0"/>
                <w:sz w:val="20"/>
                <w:lang w:eastAsia="en-US"/>
              </w:rPr>
              <w:t>is required to change the legal</w:t>
            </w:r>
            <w:r w:rsidR="000C2BD9" w:rsidRPr="00954411">
              <w:rPr>
                <w:rFonts w:eastAsia="Calibri" w:cs="Arial"/>
                <w:spacing w:val="0"/>
                <w:sz w:val="20"/>
                <w:lang w:eastAsia="en-US"/>
              </w:rPr>
              <w:t xml:space="preserve"> framework</w:t>
            </w:r>
            <w:r w:rsidRPr="00954411">
              <w:rPr>
                <w:rFonts w:eastAsia="Calibri" w:cs="Arial"/>
                <w:spacing w:val="0"/>
                <w:sz w:val="20"/>
                <w:lang w:eastAsia="en-US"/>
              </w:rPr>
              <w:t xml:space="preserve"> </w:t>
            </w:r>
            <w:r w:rsidRPr="00954411">
              <w:rPr>
                <w:rFonts w:cs="Arial"/>
                <w:sz w:val="20"/>
              </w:rPr>
              <w:t>used to set the PIDR.</w:t>
            </w:r>
          </w:p>
        </w:tc>
      </w:tr>
    </w:tbl>
    <w:p w14:paraId="3511129A" w14:textId="77777777" w:rsidR="0069005A" w:rsidRPr="00954411" w:rsidRDefault="0069005A" w:rsidP="0069005A">
      <w:pPr>
        <w:pStyle w:val="IASpacer"/>
        <w:rPr>
          <w:rFonts w:cs="Arial"/>
          <w:sz w:val="20"/>
          <w:szCs w:val="20"/>
        </w:rPr>
      </w:pPr>
    </w:p>
    <w:tbl>
      <w:tblPr>
        <w:tblW w:w="5660" w:type="pct"/>
        <w:tblInd w:w="-5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06"/>
      </w:tblGrid>
      <w:tr w:rsidR="0069005A" w:rsidRPr="00251A06" w14:paraId="1DFC2FA6" w14:textId="77777777" w:rsidTr="002462AA">
        <w:trPr>
          <w:trHeight w:hRule="exact" w:val="1611"/>
        </w:trPr>
        <w:tc>
          <w:tcPr>
            <w:tcW w:w="10206" w:type="dxa"/>
          </w:tcPr>
          <w:p w14:paraId="6B035E75" w14:textId="77777777" w:rsidR="0069005A" w:rsidRPr="00251A06" w:rsidRDefault="0069005A" w:rsidP="002F427A">
            <w:pPr>
              <w:pStyle w:val="IAIOQ2"/>
              <w:rPr>
                <w:rFonts w:cs="Arial"/>
              </w:rPr>
            </w:pPr>
            <w:bookmarkStart w:id="7" w:name="Summary2"/>
            <w:r w:rsidRPr="00251A06">
              <w:rPr>
                <w:rFonts w:cs="Arial"/>
              </w:rPr>
              <w:t>What are the policy objectives and the intended effects?</w:t>
            </w:r>
            <w:bookmarkEnd w:id="7"/>
          </w:p>
          <w:p w14:paraId="7B4B9766" w14:textId="0CF9F3B3" w:rsidR="00F16B43" w:rsidRPr="00251A06" w:rsidRDefault="005B438A">
            <w:pPr>
              <w:pStyle w:val="Textnumbered"/>
              <w:numPr>
                <w:ilvl w:val="0"/>
                <w:numId w:val="0"/>
              </w:numPr>
              <w:ind w:left="113" w:right="113"/>
              <w:rPr>
                <w:rFonts w:cs="Arial"/>
              </w:rPr>
            </w:pPr>
            <w:r w:rsidRPr="00940299">
              <w:rPr>
                <w:rFonts w:eastAsia="Calibri" w:cs="Arial"/>
                <w:spacing w:val="-5"/>
                <w:sz w:val="20"/>
                <w:lang w:eastAsia="zh-CN"/>
              </w:rPr>
              <w:t>The policy objective is to</w:t>
            </w:r>
            <w:r w:rsidR="00246896">
              <w:rPr>
                <w:rFonts w:eastAsia="Calibri" w:cs="Arial"/>
                <w:spacing w:val="-5"/>
                <w:sz w:val="20"/>
                <w:lang w:eastAsia="zh-CN"/>
              </w:rPr>
              <w:t xml:space="preserve"> set a </w:t>
            </w:r>
            <w:r w:rsidR="00102616">
              <w:rPr>
                <w:rFonts w:eastAsia="Calibri" w:cs="Arial"/>
                <w:spacing w:val="-5"/>
                <w:sz w:val="20"/>
                <w:lang w:eastAsia="zh-CN"/>
              </w:rPr>
              <w:t>PIDR</w:t>
            </w:r>
            <w:r w:rsidR="00246896">
              <w:rPr>
                <w:rFonts w:eastAsia="Calibri" w:cs="Arial"/>
                <w:spacing w:val="-5"/>
                <w:sz w:val="20"/>
                <w:lang w:eastAsia="zh-CN"/>
              </w:rPr>
              <w:t xml:space="preserve"> </w:t>
            </w:r>
            <w:r w:rsidR="00B57424">
              <w:rPr>
                <w:rFonts w:eastAsia="Calibri" w:cs="Arial"/>
                <w:spacing w:val="-5"/>
                <w:sz w:val="20"/>
                <w:lang w:eastAsia="zh-CN"/>
              </w:rPr>
              <w:t>which reduces the overall level of overcompensation received by claimants while still ensuring their expected financial needs are met</w:t>
            </w:r>
            <w:r w:rsidR="00940299" w:rsidRPr="00940299">
              <w:rPr>
                <w:rFonts w:eastAsia="Calibri" w:cs="Arial"/>
                <w:spacing w:val="-5"/>
                <w:sz w:val="20"/>
                <w:lang w:eastAsia="zh-CN"/>
              </w:rPr>
              <w:t xml:space="preserve">. </w:t>
            </w:r>
            <w:r w:rsidR="00251A06" w:rsidRPr="00940299">
              <w:rPr>
                <w:rFonts w:eastAsia="Calibri" w:cs="Arial"/>
                <w:spacing w:val="-5"/>
                <w:sz w:val="20"/>
                <w:lang w:eastAsia="zh-CN"/>
              </w:rPr>
              <w:t xml:space="preserve">The </w:t>
            </w:r>
            <w:r w:rsidR="00781783" w:rsidRPr="00940299">
              <w:rPr>
                <w:rFonts w:eastAsia="Calibri" w:cs="Arial"/>
                <w:spacing w:val="-5"/>
                <w:sz w:val="20"/>
                <w:lang w:eastAsia="zh-CN"/>
              </w:rPr>
              <w:t>G</w:t>
            </w:r>
            <w:r w:rsidR="00251A06" w:rsidRPr="00940299">
              <w:rPr>
                <w:rFonts w:eastAsia="Calibri" w:cs="Arial"/>
                <w:spacing w:val="-5"/>
                <w:sz w:val="20"/>
                <w:lang w:eastAsia="zh-CN"/>
              </w:rPr>
              <w:t>overnment believes t</w:t>
            </w:r>
            <w:r w:rsidRPr="00940299">
              <w:rPr>
                <w:rFonts w:eastAsia="Calibri" w:cs="Arial"/>
                <w:spacing w:val="-5"/>
                <w:sz w:val="20"/>
                <w:lang w:eastAsia="zh-CN"/>
              </w:rPr>
              <w:t>his will result in a fairer framework for claimants, defendants and wider society</w:t>
            </w:r>
            <w:r w:rsidR="00934B70">
              <w:rPr>
                <w:rFonts w:eastAsia="Calibri" w:cs="Arial"/>
                <w:spacing w:val="-5"/>
                <w:sz w:val="20"/>
                <w:lang w:eastAsia="zh-CN"/>
              </w:rPr>
              <w:t xml:space="preserve">. This </w:t>
            </w:r>
            <w:r w:rsidR="0079708C">
              <w:rPr>
                <w:rFonts w:eastAsia="Calibri" w:cs="Arial"/>
                <w:spacing w:val="-5"/>
                <w:sz w:val="20"/>
                <w:lang w:eastAsia="zh-CN"/>
              </w:rPr>
              <w:t>will</w:t>
            </w:r>
            <w:r w:rsidR="00934B70">
              <w:rPr>
                <w:rFonts w:eastAsia="Calibri" w:cs="Arial"/>
                <w:spacing w:val="-5"/>
                <w:sz w:val="20"/>
                <w:lang w:eastAsia="zh-CN"/>
              </w:rPr>
              <w:t xml:space="preserve"> also</w:t>
            </w:r>
            <w:r w:rsidR="0079708C">
              <w:rPr>
                <w:rFonts w:eastAsia="Calibri" w:cs="Arial"/>
                <w:spacing w:val="-5"/>
                <w:sz w:val="20"/>
                <w:lang w:eastAsia="zh-CN"/>
              </w:rPr>
              <w:t xml:space="preserve"> </w:t>
            </w:r>
            <w:r w:rsidR="00934B70">
              <w:rPr>
                <w:rFonts w:eastAsia="Calibri" w:cs="Arial"/>
                <w:spacing w:val="-5"/>
                <w:sz w:val="20"/>
                <w:lang w:eastAsia="zh-CN"/>
              </w:rPr>
              <w:t>bring savings to the public purse and help</w:t>
            </w:r>
            <w:r w:rsidR="009F49A9">
              <w:rPr>
                <w:rFonts w:eastAsia="Calibri" w:cs="Arial"/>
                <w:spacing w:val="-5"/>
                <w:sz w:val="20"/>
                <w:lang w:eastAsia="zh-CN"/>
              </w:rPr>
              <w:t xml:space="preserve"> secure</w:t>
            </w:r>
            <w:r w:rsidR="00934B70">
              <w:rPr>
                <w:rFonts w:eastAsia="Calibri" w:cs="Arial"/>
                <w:spacing w:val="-5"/>
                <w:sz w:val="20"/>
                <w:lang w:eastAsia="zh-CN"/>
              </w:rPr>
              <w:t xml:space="preserve"> affordable insurance</w:t>
            </w:r>
            <w:r w:rsidRPr="00940299">
              <w:rPr>
                <w:rFonts w:eastAsia="Calibri" w:cs="Arial"/>
                <w:spacing w:val="-5"/>
                <w:sz w:val="20"/>
                <w:lang w:eastAsia="zh-CN"/>
              </w:rPr>
              <w:t xml:space="preserve">. The principles on which the rate is to be set </w:t>
            </w:r>
            <w:r w:rsidR="001E021C">
              <w:rPr>
                <w:rFonts w:eastAsia="Calibri" w:cs="Arial"/>
                <w:spacing w:val="-5"/>
                <w:sz w:val="20"/>
                <w:lang w:eastAsia="zh-CN"/>
              </w:rPr>
              <w:t>are</w:t>
            </w:r>
            <w:r w:rsidRPr="00940299">
              <w:rPr>
                <w:rFonts w:eastAsia="Calibri" w:cs="Arial"/>
                <w:spacing w:val="-5"/>
                <w:sz w:val="20"/>
                <w:lang w:eastAsia="zh-CN"/>
              </w:rPr>
              <w:t xml:space="preserve"> specified in the legislation. The</w:t>
            </w:r>
            <w:r w:rsidR="00891660" w:rsidRPr="00940299">
              <w:rPr>
                <w:rFonts w:eastAsia="Calibri" w:cs="Arial"/>
                <w:spacing w:val="-5"/>
                <w:sz w:val="20"/>
                <w:lang w:eastAsia="zh-CN"/>
              </w:rPr>
              <w:t xml:space="preserve">  legislation </w:t>
            </w:r>
            <w:r w:rsidRPr="00940299">
              <w:rPr>
                <w:rFonts w:eastAsia="Calibri" w:cs="Arial"/>
                <w:spacing w:val="-5"/>
                <w:sz w:val="20"/>
                <w:lang w:eastAsia="zh-CN"/>
              </w:rPr>
              <w:t xml:space="preserve">will </w:t>
            </w:r>
            <w:r w:rsidR="00891660" w:rsidRPr="00940299">
              <w:rPr>
                <w:rFonts w:eastAsia="Calibri" w:cs="Arial"/>
                <w:spacing w:val="-5"/>
                <w:sz w:val="20"/>
                <w:lang w:eastAsia="zh-CN"/>
              </w:rPr>
              <w:t>appl</w:t>
            </w:r>
            <w:r w:rsidRPr="00940299">
              <w:rPr>
                <w:rFonts w:eastAsia="Calibri" w:cs="Arial"/>
                <w:spacing w:val="-5"/>
                <w:sz w:val="20"/>
                <w:lang w:eastAsia="zh-CN"/>
              </w:rPr>
              <w:t>y</w:t>
            </w:r>
            <w:r w:rsidR="00891660" w:rsidRPr="00940299">
              <w:rPr>
                <w:rFonts w:eastAsia="Calibri" w:cs="Arial"/>
                <w:spacing w:val="-5"/>
                <w:sz w:val="20"/>
                <w:lang w:eastAsia="zh-CN"/>
              </w:rPr>
              <w:t xml:space="preserve"> in</w:t>
            </w:r>
            <w:r w:rsidR="00F16B43" w:rsidRPr="00940299">
              <w:rPr>
                <w:rFonts w:eastAsia="Calibri" w:cs="Arial"/>
                <w:spacing w:val="-5"/>
                <w:sz w:val="20"/>
                <w:lang w:eastAsia="zh-CN"/>
              </w:rPr>
              <w:t xml:space="preserve"> England and Wales</w:t>
            </w:r>
            <w:r w:rsidR="00891660" w:rsidRPr="00940299">
              <w:rPr>
                <w:rFonts w:eastAsia="Calibri" w:cs="Arial"/>
                <w:spacing w:val="-5"/>
                <w:sz w:val="20"/>
                <w:lang w:eastAsia="zh-CN"/>
              </w:rPr>
              <w:t>. Damages law is devolved in N</w:t>
            </w:r>
            <w:r w:rsidR="00C07562">
              <w:rPr>
                <w:rFonts w:eastAsia="Calibri" w:cs="Arial"/>
                <w:spacing w:val="-5"/>
                <w:sz w:val="20"/>
                <w:lang w:eastAsia="zh-CN"/>
              </w:rPr>
              <w:t>orthern Ireland</w:t>
            </w:r>
            <w:r w:rsidR="00891660" w:rsidRPr="00940299">
              <w:rPr>
                <w:rFonts w:eastAsia="Calibri" w:cs="Arial"/>
                <w:spacing w:val="-5"/>
                <w:sz w:val="20"/>
                <w:lang w:eastAsia="zh-CN"/>
              </w:rPr>
              <w:t xml:space="preserve"> and Scotland.</w:t>
            </w:r>
            <w:r w:rsidR="00237D98" w:rsidRPr="00C77489">
              <w:rPr>
                <w:rFonts w:eastAsia="Calibri" w:cs="Arial"/>
                <w:spacing w:val="-5"/>
                <w:sz w:val="20"/>
                <w:lang w:eastAsia="zh-CN"/>
              </w:rPr>
              <w:t xml:space="preserve"> </w:t>
            </w:r>
          </w:p>
        </w:tc>
      </w:tr>
    </w:tbl>
    <w:p w14:paraId="6EBCB610" w14:textId="77777777" w:rsidR="0069005A" w:rsidRPr="00954411" w:rsidRDefault="0069005A" w:rsidP="0069005A">
      <w:pPr>
        <w:pStyle w:val="IASpacer"/>
        <w:rPr>
          <w:rFonts w:cs="Arial"/>
          <w:sz w:val="20"/>
          <w:szCs w:val="20"/>
        </w:rPr>
      </w:pPr>
    </w:p>
    <w:tbl>
      <w:tblPr>
        <w:tblW w:w="5660" w:type="pct"/>
        <w:tblInd w:w="-5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06"/>
      </w:tblGrid>
      <w:tr w:rsidR="0069005A" w:rsidRPr="00251A06" w14:paraId="742BE5EF" w14:textId="77777777" w:rsidTr="002462AA">
        <w:trPr>
          <w:trHeight w:hRule="exact" w:val="2187"/>
        </w:trPr>
        <w:tc>
          <w:tcPr>
            <w:tcW w:w="10206" w:type="dxa"/>
          </w:tcPr>
          <w:p w14:paraId="58A17DF2" w14:textId="77777777" w:rsidR="0069005A" w:rsidRPr="00251A06" w:rsidRDefault="0069005A" w:rsidP="002F427A">
            <w:pPr>
              <w:pStyle w:val="IAIOQ3"/>
              <w:rPr>
                <w:rFonts w:cs="Arial"/>
              </w:rPr>
            </w:pPr>
            <w:bookmarkStart w:id="8" w:name="IAIOQ3"/>
            <w:bookmarkStart w:id="9" w:name="Summary3"/>
            <w:r w:rsidRPr="00251A06">
              <w:rPr>
                <w:rFonts w:cs="Arial"/>
              </w:rPr>
              <w:t xml:space="preserve">What policy options have been considered, including any alternatives to regulation? </w:t>
            </w:r>
            <w:bookmarkEnd w:id="8"/>
          </w:p>
          <w:p w14:paraId="466989C0" w14:textId="77777777" w:rsidR="00497776" w:rsidRPr="00954411" w:rsidRDefault="00497776" w:rsidP="00497776">
            <w:pPr>
              <w:pStyle w:val="IATableLines"/>
              <w:rPr>
                <w:rFonts w:cs="Arial"/>
                <w:sz w:val="20"/>
              </w:rPr>
            </w:pPr>
            <w:bookmarkStart w:id="10" w:name="IAIOA3"/>
            <w:r w:rsidRPr="00954411">
              <w:rPr>
                <w:rFonts w:cs="Arial"/>
                <w:sz w:val="20"/>
              </w:rPr>
              <w:t xml:space="preserve">Option 0: Do nothing. Continue to set the </w:t>
            </w:r>
            <w:r w:rsidR="00CD2CC4" w:rsidRPr="00954411">
              <w:rPr>
                <w:rFonts w:cs="Arial"/>
                <w:sz w:val="20"/>
              </w:rPr>
              <w:t>PIDR</w:t>
            </w:r>
            <w:r w:rsidRPr="00954411">
              <w:rPr>
                <w:rFonts w:cs="Arial"/>
                <w:sz w:val="20"/>
              </w:rPr>
              <w:t xml:space="preserve"> in accordance with the current legal framework.</w:t>
            </w:r>
          </w:p>
          <w:p w14:paraId="59D6669C" w14:textId="5732787A" w:rsidR="00497776" w:rsidRPr="00954411" w:rsidRDefault="00497776" w:rsidP="00497776">
            <w:pPr>
              <w:pStyle w:val="IATableLines"/>
              <w:rPr>
                <w:rFonts w:cs="Arial"/>
                <w:sz w:val="20"/>
              </w:rPr>
            </w:pPr>
            <w:r w:rsidRPr="00954411">
              <w:rPr>
                <w:rFonts w:cs="Arial"/>
                <w:sz w:val="20"/>
              </w:rPr>
              <w:t xml:space="preserve">Option 1: Change the legal framework under which the </w:t>
            </w:r>
            <w:r w:rsidR="00CD2CC4" w:rsidRPr="00954411">
              <w:rPr>
                <w:rFonts w:cs="Arial"/>
                <w:sz w:val="20"/>
              </w:rPr>
              <w:t>PIDR</w:t>
            </w:r>
            <w:r w:rsidRPr="00954411">
              <w:rPr>
                <w:rFonts w:cs="Arial"/>
                <w:sz w:val="20"/>
              </w:rPr>
              <w:t xml:space="preserve"> is set, in particular </w:t>
            </w:r>
            <w:r w:rsidR="000C2BD9" w:rsidRPr="00954411">
              <w:rPr>
                <w:rFonts w:cs="Arial"/>
                <w:sz w:val="20"/>
              </w:rPr>
              <w:t xml:space="preserve">by </w:t>
            </w:r>
            <w:r w:rsidR="00721EB3" w:rsidRPr="00954411">
              <w:rPr>
                <w:rFonts w:cs="Arial"/>
                <w:sz w:val="20"/>
              </w:rPr>
              <w:t>setting it</w:t>
            </w:r>
            <w:r w:rsidRPr="00954411">
              <w:rPr>
                <w:rFonts w:cs="Arial"/>
                <w:sz w:val="20"/>
              </w:rPr>
              <w:t xml:space="preserve"> with reference to an investment strategy with a higher </w:t>
            </w:r>
            <w:r w:rsidR="00432D16" w:rsidRPr="00954411">
              <w:rPr>
                <w:rFonts w:cs="Arial"/>
                <w:sz w:val="20"/>
              </w:rPr>
              <w:t xml:space="preserve">expected </w:t>
            </w:r>
            <w:r w:rsidR="004303AF">
              <w:rPr>
                <w:rFonts w:cs="Arial"/>
                <w:sz w:val="20"/>
              </w:rPr>
              <w:t xml:space="preserve">gross </w:t>
            </w:r>
            <w:r w:rsidRPr="00954411">
              <w:rPr>
                <w:rFonts w:cs="Arial"/>
                <w:sz w:val="20"/>
              </w:rPr>
              <w:t>return than assumed under the current framework.</w:t>
            </w:r>
          </w:p>
          <w:p w14:paraId="112B630A" w14:textId="5E9BD8C8" w:rsidR="00497776" w:rsidRPr="00954411" w:rsidRDefault="00497776" w:rsidP="00497776">
            <w:pPr>
              <w:pStyle w:val="IATableLines"/>
              <w:rPr>
                <w:rFonts w:cs="Arial"/>
                <w:sz w:val="20"/>
              </w:rPr>
            </w:pPr>
            <w:r w:rsidRPr="00954411">
              <w:rPr>
                <w:rFonts w:cs="Arial"/>
                <w:sz w:val="20"/>
              </w:rPr>
              <w:t xml:space="preserve">Option 2: Specify that the </w:t>
            </w:r>
            <w:r w:rsidR="00CD2CC4" w:rsidRPr="00954411">
              <w:rPr>
                <w:rFonts w:cs="Arial"/>
                <w:sz w:val="20"/>
              </w:rPr>
              <w:t xml:space="preserve">PIDR </w:t>
            </w:r>
            <w:r w:rsidRPr="00954411">
              <w:rPr>
                <w:rFonts w:cs="Arial"/>
                <w:sz w:val="20"/>
              </w:rPr>
              <w:t xml:space="preserve">should be set at least every </w:t>
            </w:r>
            <w:r w:rsidR="00D7566F">
              <w:rPr>
                <w:rFonts w:cs="Arial"/>
                <w:sz w:val="20"/>
              </w:rPr>
              <w:t>five</w:t>
            </w:r>
            <w:r w:rsidRPr="00954411">
              <w:rPr>
                <w:rFonts w:cs="Arial"/>
                <w:sz w:val="20"/>
              </w:rPr>
              <w:t xml:space="preserve"> years with the Lord Chancellor retaining discretion to set the </w:t>
            </w:r>
            <w:r w:rsidR="00432D16" w:rsidRPr="00954411">
              <w:rPr>
                <w:rFonts w:cs="Arial"/>
                <w:sz w:val="20"/>
              </w:rPr>
              <w:t>PIDR</w:t>
            </w:r>
            <w:r w:rsidRPr="00954411">
              <w:rPr>
                <w:rFonts w:cs="Arial"/>
                <w:sz w:val="20"/>
              </w:rPr>
              <w:t xml:space="preserve"> within </w:t>
            </w:r>
            <w:r w:rsidR="00027119">
              <w:rPr>
                <w:rFonts w:cs="Arial"/>
                <w:sz w:val="20"/>
              </w:rPr>
              <w:t>five</w:t>
            </w:r>
            <w:r w:rsidRPr="00954411">
              <w:rPr>
                <w:rFonts w:cs="Arial"/>
                <w:sz w:val="20"/>
              </w:rPr>
              <w:t xml:space="preserve"> years if necessary. </w:t>
            </w:r>
          </w:p>
          <w:p w14:paraId="48832D7B" w14:textId="6AAF9722" w:rsidR="00497776" w:rsidRPr="00954411" w:rsidRDefault="00497776" w:rsidP="00497776">
            <w:pPr>
              <w:pStyle w:val="IATableLines"/>
              <w:rPr>
                <w:rFonts w:cs="Arial"/>
                <w:sz w:val="20"/>
              </w:rPr>
            </w:pPr>
            <w:r w:rsidRPr="00954411">
              <w:rPr>
                <w:rFonts w:cs="Arial"/>
                <w:sz w:val="20"/>
              </w:rPr>
              <w:t xml:space="preserve">Option 3: Set up an expert panel </w:t>
            </w:r>
            <w:r w:rsidR="00D52681" w:rsidRPr="00954411">
              <w:rPr>
                <w:rFonts w:cs="Arial"/>
                <w:sz w:val="20"/>
              </w:rPr>
              <w:t>for</w:t>
            </w:r>
            <w:r w:rsidRPr="00954411">
              <w:rPr>
                <w:rFonts w:cs="Arial"/>
                <w:sz w:val="20"/>
              </w:rPr>
              <w:t xml:space="preserve"> </w:t>
            </w:r>
            <w:r w:rsidR="00CD2CC4" w:rsidRPr="00954411">
              <w:rPr>
                <w:rFonts w:cs="Arial"/>
                <w:sz w:val="20"/>
              </w:rPr>
              <w:t xml:space="preserve">the Lord Chancellor </w:t>
            </w:r>
            <w:r w:rsidR="00D52681" w:rsidRPr="002462AA">
              <w:rPr>
                <w:rFonts w:cs="Arial"/>
                <w:sz w:val="20"/>
              </w:rPr>
              <w:t xml:space="preserve">to consult </w:t>
            </w:r>
            <w:r w:rsidRPr="002462AA">
              <w:rPr>
                <w:rFonts w:cs="Arial"/>
                <w:sz w:val="20"/>
              </w:rPr>
              <w:t xml:space="preserve">on the </w:t>
            </w:r>
            <w:r w:rsidR="00005F90" w:rsidRPr="002462AA">
              <w:rPr>
                <w:rFonts w:cs="Arial"/>
                <w:sz w:val="20"/>
              </w:rPr>
              <w:t>second and subsequent reviews in relation to</w:t>
            </w:r>
            <w:r w:rsidR="00A25272" w:rsidRPr="002462AA">
              <w:rPr>
                <w:rFonts w:cs="Arial"/>
                <w:sz w:val="20"/>
              </w:rPr>
              <w:t xml:space="preserve"> the</w:t>
            </w:r>
            <w:r w:rsidR="00005F90" w:rsidRPr="002462AA">
              <w:rPr>
                <w:rFonts w:cs="Arial"/>
                <w:sz w:val="20"/>
              </w:rPr>
              <w:t xml:space="preserve"> </w:t>
            </w:r>
            <w:r w:rsidR="007E4519" w:rsidRPr="002462AA">
              <w:rPr>
                <w:rFonts w:cs="Arial"/>
                <w:sz w:val="20"/>
              </w:rPr>
              <w:t>issues</w:t>
            </w:r>
            <w:r w:rsidR="007E4519" w:rsidRPr="00A25272">
              <w:rPr>
                <w:rFonts w:cs="Arial"/>
                <w:sz w:val="20"/>
              </w:rPr>
              <w:t xml:space="preserve"> to consider in setting the </w:t>
            </w:r>
            <w:r w:rsidRPr="00A25272">
              <w:rPr>
                <w:rFonts w:cs="Arial"/>
                <w:sz w:val="20"/>
              </w:rPr>
              <w:t>PIDR.</w:t>
            </w:r>
            <w:r w:rsidRPr="00954411">
              <w:rPr>
                <w:rFonts w:cs="Arial"/>
                <w:sz w:val="20"/>
              </w:rPr>
              <w:t xml:space="preserve"> </w:t>
            </w:r>
          </w:p>
          <w:p w14:paraId="6B74A006" w14:textId="1BD86360" w:rsidR="0069005A" w:rsidRPr="00954411" w:rsidRDefault="00497776" w:rsidP="00721EB3">
            <w:pPr>
              <w:pStyle w:val="IATableLines"/>
              <w:rPr>
                <w:rFonts w:cs="Arial"/>
                <w:sz w:val="20"/>
              </w:rPr>
            </w:pPr>
            <w:r w:rsidRPr="00954411">
              <w:rPr>
                <w:rFonts w:cs="Arial"/>
                <w:sz w:val="20"/>
              </w:rPr>
              <w:t xml:space="preserve">Based on evidence submitted during consultation, the Government </w:t>
            </w:r>
            <w:r w:rsidR="00102616">
              <w:rPr>
                <w:rFonts w:cs="Arial"/>
                <w:sz w:val="20"/>
              </w:rPr>
              <w:t>is</w:t>
            </w:r>
            <w:r w:rsidRPr="00954411">
              <w:rPr>
                <w:rFonts w:cs="Arial"/>
                <w:sz w:val="20"/>
              </w:rPr>
              <w:t xml:space="preserve"> implement</w:t>
            </w:r>
            <w:r w:rsidR="00102616">
              <w:rPr>
                <w:rFonts w:cs="Arial"/>
                <w:sz w:val="20"/>
              </w:rPr>
              <w:t>ing</w:t>
            </w:r>
            <w:r w:rsidRPr="00954411">
              <w:rPr>
                <w:rFonts w:cs="Arial"/>
                <w:sz w:val="20"/>
              </w:rPr>
              <w:t xml:space="preserve"> Options 1</w:t>
            </w:r>
            <w:r w:rsidR="00721EB3" w:rsidRPr="00954411">
              <w:rPr>
                <w:rFonts w:cs="Arial"/>
                <w:sz w:val="20"/>
              </w:rPr>
              <w:t>-</w:t>
            </w:r>
            <w:r w:rsidRPr="00954411">
              <w:rPr>
                <w:rFonts w:cs="Arial"/>
                <w:sz w:val="20"/>
              </w:rPr>
              <w:t>3</w:t>
            </w:r>
            <w:r w:rsidR="00721EB3" w:rsidRPr="00954411">
              <w:rPr>
                <w:rFonts w:cs="Arial"/>
                <w:sz w:val="20"/>
              </w:rPr>
              <w:t>.</w:t>
            </w:r>
            <w:r w:rsidRPr="00954411">
              <w:rPr>
                <w:rFonts w:cs="Arial"/>
                <w:sz w:val="20"/>
              </w:rPr>
              <w:t xml:space="preserve"> </w:t>
            </w:r>
            <w:r w:rsidRPr="00251A06">
              <w:rPr>
                <w:rFonts w:cs="Arial"/>
                <w:sz w:val="20"/>
              </w:rPr>
              <w:t xml:space="preserve"> </w:t>
            </w:r>
            <w:bookmarkEnd w:id="10"/>
          </w:p>
        </w:tc>
      </w:tr>
      <w:tr w:rsidR="0069005A" w:rsidRPr="00651181" w14:paraId="35268EFB" w14:textId="77777777" w:rsidTr="00954411">
        <w:trPr>
          <w:trHeight w:hRule="exact" w:val="80"/>
        </w:trPr>
        <w:tc>
          <w:tcPr>
            <w:tcW w:w="10206" w:type="dxa"/>
          </w:tcPr>
          <w:p w14:paraId="5321076C" w14:textId="77777777" w:rsidR="0069005A" w:rsidRPr="00651181" w:rsidRDefault="0069005A" w:rsidP="002F427A">
            <w:pPr>
              <w:pStyle w:val="IAIOQ3"/>
              <w:ind w:left="0"/>
              <w:rPr>
                <w:rFonts w:cs="Arial"/>
              </w:rPr>
            </w:pPr>
          </w:p>
        </w:tc>
      </w:tr>
    </w:tbl>
    <w:p w14:paraId="2347F75F" w14:textId="77777777" w:rsidR="0069005A" w:rsidRPr="00651181" w:rsidRDefault="0069005A" w:rsidP="0069005A">
      <w:pPr>
        <w:pStyle w:val="IASpacer2"/>
        <w:rPr>
          <w:rFonts w:cs="Arial"/>
        </w:rPr>
      </w:pP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06"/>
      </w:tblGrid>
      <w:tr w:rsidR="0069005A" w:rsidRPr="00651181" w14:paraId="1300AA30" w14:textId="77777777" w:rsidTr="002F427A">
        <w:tc>
          <w:tcPr>
            <w:tcW w:w="5000" w:type="pct"/>
            <w:shd w:val="clear" w:color="auto" w:fill="auto"/>
          </w:tcPr>
          <w:p w14:paraId="1AE9B63B" w14:textId="77777777" w:rsidR="0069005A" w:rsidRPr="006E0A89" w:rsidRDefault="0069005A" w:rsidP="002F427A">
            <w:pPr>
              <w:pStyle w:val="IATableLabel"/>
              <w:rPr>
                <w:rFonts w:cs="Arial"/>
                <w:b w:val="0"/>
                <w:sz w:val="22"/>
                <w:szCs w:val="22"/>
              </w:rPr>
            </w:pPr>
            <w:r w:rsidRPr="00F96CCD">
              <w:rPr>
                <w:rFonts w:cs="Arial"/>
              </w:rPr>
              <w:t xml:space="preserve">Will the policy be reviewed?  </w:t>
            </w:r>
            <w:r w:rsidRPr="00F96CCD">
              <w:rPr>
                <w:rFonts w:cs="Arial"/>
                <w:b w:val="0"/>
                <w:sz w:val="22"/>
                <w:szCs w:val="22"/>
              </w:rPr>
              <w:t>It</w:t>
            </w:r>
            <w:r>
              <w:rPr>
                <w:rFonts w:cs="Arial"/>
                <w:b w:val="0"/>
                <w:sz w:val="22"/>
                <w:szCs w:val="22"/>
              </w:rPr>
              <w:t xml:space="preserve"> will </w:t>
            </w:r>
            <w:r w:rsidRPr="006E0A89">
              <w:rPr>
                <w:rFonts w:cs="Arial"/>
                <w:b w:val="0"/>
                <w:sz w:val="22"/>
                <w:szCs w:val="22"/>
              </w:rPr>
              <w:t>be reviewed.</w:t>
            </w:r>
            <w:r w:rsidRPr="006E0A89">
              <w:rPr>
                <w:rFonts w:cs="Arial"/>
                <w:sz w:val="22"/>
                <w:szCs w:val="22"/>
              </w:rPr>
              <w:t xml:space="preserve"> </w:t>
            </w:r>
            <w:r w:rsidRPr="006E0A89">
              <w:rPr>
                <w:rFonts w:cs="Arial"/>
              </w:rPr>
              <w:t xml:space="preserve"> </w:t>
            </w:r>
            <w:r>
              <w:rPr>
                <w:rFonts w:cs="Arial"/>
              </w:rPr>
              <w:t>Review</w:t>
            </w:r>
            <w:r w:rsidRPr="006E0A89">
              <w:rPr>
                <w:rFonts w:cs="Arial"/>
              </w:rPr>
              <w:t xml:space="preserve"> date:</w:t>
            </w:r>
            <w:r w:rsidRPr="00D55E47">
              <w:rPr>
                <w:rFonts w:cs="Arial"/>
                <w:b w:val="0"/>
              </w:rPr>
              <w:t xml:space="preserve">  </w:t>
            </w:r>
            <w:bookmarkStart w:id="11" w:name="IAReviewMonth"/>
            <w:r w:rsidRPr="00D55E47">
              <w:rPr>
                <w:rFonts w:cs="Arial"/>
                <w:b w:val="0"/>
              </w:rPr>
              <w:t>3 to 5 years after royal assent</w:t>
            </w:r>
            <w:bookmarkEnd w:id="11"/>
          </w:p>
        </w:tc>
      </w:tr>
    </w:tbl>
    <w:p w14:paraId="1B8DA21F" w14:textId="77777777" w:rsidR="0069005A" w:rsidRPr="006E0A89" w:rsidRDefault="0069005A" w:rsidP="0069005A">
      <w:pPr>
        <w:rPr>
          <w:rFonts w:ascii="Arial" w:hAnsi="Arial" w:cs="Arial"/>
          <w:vanish/>
        </w:rPr>
      </w:pPr>
      <w:bookmarkStart w:id="12" w:name="Summary4"/>
      <w:bookmarkEnd w:id="9"/>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954"/>
        <w:gridCol w:w="851"/>
        <w:gridCol w:w="992"/>
        <w:gridCol w:w="354"/>
        <w:gridCol w:w="780"/>
        <w:gridCol w:w="1275"/>
      </w:tblGrid>
      <w:tr w:rsidR="0069005A" w:rsidRPr="00651181" w14:paraId="42224132" w14:textId="77777777" w:rsidTr="002F427A">
        <w:trPr>
          <w:trHeight w:hRule="exact" w:val="340"/>
        </w:trPr>
        <w:tc>
          <w:tcPr>
            <w:tcW w:w="6805" w:type="dxa"/>
            <w:gridSpan w:val="2"/>
            <w:shd w:val="clear" w:color="auto" w:fill="E0E0E0"/>
            <w:vAlign w:val="center"/>
          </w:tcPr>
          <w:p w14:paraId="239138F5" w14:textId="77777777" w:rsidR="0069005A" w:rsidRPr="00651181" w:rsidRDefault="0069005A" w:rsidP="002F427A">
            <w:pPr>
              <w:pStyle w:val="IATableText"/>
              <w:spacing w:before="0" w:after="0"/>
              <w:rPr>
                <w:rFonts w:cs="Arial"/>
                <w:sz w:val="20"/>
              </w:rPr>
            </w:pPr>
            <w:r w:rsidRPr="00651181">
              <w:rPr>
                <w:rFonts w:cs="Arial"/>
                <w:iCs/>
                <w:sz w:val="20"/>
              </w:rPr>
              <w:t>Does implementation go beyond minimum EU requirements?</w:t>
            </w:r>
          </w:p>
        </w:tc>
        <w:tc>
          <w:tcPr>
            <w:tcW w:w="3401" w:type="dxa"/>
            <w:gridSpan w:val="4"/>
            <w:tcBorders>
              <w:bottom w:val="single" w:sz="4" w:space="0" w:color="auto"/>
            </w:tcBorders>
            <w:shd w:val="clear" w:color="auto" w:fill="E0E0E0"/>
            <w:vAlign w:val="center"/>
          </w:tcPr>
          <w:p w14:paraId="1542E39A" w14:textId="77777777" w:rsidR="0069005A" w:rsidRPr="006E0A89" w:rsidRDefault="0069005A" w:rsidP="002F427A">
            <w:pPr>
              <w:pStyle w:val="IAIOCheckEU"/>
              <w:rPr>
                <w:rFonts w:cs="Arial"/>
              </w:rPr>
            </w:pPr>
            <w:r>
              <w:rPr>
                <w:rFonts w:cs="Arial"/>
              </w:rPr>
              <w:t>N/A</w:t>
            </w:r>
          </w:p>
        </w:tc>
      </w:tr>
      <w:tr w:rsidR="0069005A" w:rsidRPr="00651181" w14:paraId="731C1DBA" w14:textId="77777777" w:rsidTr="002F427A">
        <w:trPr>
          <w:trHeight w:val="460"/>
        </w:trPr>
        <w:tc>
          <w:tcPr>
            <w:tcW w:w="5954" w:type="dxa"/>
            <w:shd w:val="clear" w:color="auto" w:fill="E0E0E0"/>
            <w:vAlign w:val="center"/>
          </w:tcPr>
          <w:p w14:paraId="372BE21F" w14:textId="77777777" w:rsidR="0069005A" w:rsidRPr="00F96CCD" w:rsidRDefault="0069005A" w:rsidP="002F427A">
            <w:pPr>
              <w:pStyle w:val="IATableLines"/>
              <w:rPr>
                <w:rFonts w:cs="Arial"/>
                <w:b/>
                <w:color w:val="000000"/>
                <w:sz w:val="20"/>
              </w:rPr>
            </w:pPr>
            <w:r w:rsidRPr="00651181">
              <w:rPr>
                <w:rFonts w:cs="Arial"/>
                <w:sz w:val="20"/>
              </w:rPr>
              <w:t>Are any of these organisations in scope?</w:t>
            </w:r>
          </w:p>
        </w:tc>
        <w:tc>
          <w:tcPr>
            <w:tcW w:w="851" w:type="dxa"/>
            <w:shd w:val="clear" w:color="auto" w:fill="E0E0E0"/>
            <w:vAlign w:val="center"/>
          </w:tcPr>
          <w:p w14:paraId="298E99A0" w14:textId="77777777" w:rsidR="0069005A" w:rsidRDefault="0069005A" w:rsidP="002F427A">
            <w:pPr>
              <w:pStyle w:val="IATableLines"/>
              <w:rPr>
                <w:rFonts w:cs="Arial"/>
                <w:b/>
                <w:color w:val="000000"/>
                <w:sz w:val="20"/>
              </w:rPr>
            </w:pPr>
            <w:r w:rsidRPr="00DC036C">
              <w:rPr>
                <w:rFonts w:cs="Arial"/>
                <w:b/>
                <w:color w:val="000000"/>
                <w:sz w:val="20"/>
              </w:rPr>
              <w:t>Micro</w:t>
            </w:r>
          </w:p>
          <w:p w14:paraId="5EA86B36" w14:textId="77777777" w:rsidR="0069005A" w:rsidRPr="006E0A89" w:rsidRDefault="0069005A" w:rsidP="002F427A">
            <w:pPr>
              <w:pStyle w:val="IATableLines"/>
              <w:rPr>
                <w:rFonts w:cs="Arial"/>
                <w:b/>
                <w:color w:val="000000"/>
                <w:sz w:val="20"/>
              </w:rPr>
            </w:pPr>
            <w:r>
              <w:rPr>
                <w:rStyle w:val="IAIOCheckMicroChar"/>
                <w:rFonts w:cs="Arial"/>
                <w:b/>
              </w:rPr>
              <w:t>Yes</w:t>
            </w:r>
          </w:p>
        </w:tc>
        <w:tc>
          <w:tcPr>
            <w:tcW w:w="992" w:type="dxa"/>
            <w:shd w:val="clear" w:color="auto" w:fill="E0E0E0"/>
            <w:vAlign w:val="center"/>
          </w:tcPr>
          <w:p w14:paraId="7E25D985" w14:textId="77777777" w:rsidR="0069005A" w:rsidRDefault="0069005A" w:rsidP="002F427A">
            <w:pPr>
              <w:pStyle w:val="IATableLines"/>
              <w:rPr>
                <w:rFonts w:cs="Arial"/>
                <w:b/>
                <w:color w:val="000000"/>
                <w:sz w:val="20"/>
              </w:rPr>
            </w:pPr>
            <w:r w:rsidRPr="006E0A89">
              <w:rPr>
                <w:rFonts w:cs="Arial"/>
                <w:b/>
                <w:color w:val="000000"/>
                <w:sz w:val="20"/>
              </w:rPr>
              <w:t>Small</w:t>
            </w:r>
          </w:p>
          <w:p w14:paraId="0D16BA88" w14:textId="77777777" w:rsidR="0069005A" w:rsidRPr="006E0A89" w:rsidRDefault="0069005A" w:rsidP="002F427A">
            <w:pPr>
              <w:pStyle w:val="IATableLines"/>
              <w:rPr>
                <w:rFonts w:cs="Arial"/>
                <w:b/>
                <w:color w:val="000000"/>
                <w:sz w:val="20"/>
              </w:rPr>
            </w:pPr>
            <w:r>
              <w:rPr>
                <w:rStyle w:val="IAIOCheckSmallChar"/>
                <w:rFonts w:cs="Arial"/>
                <w:b/>
              </w:rPr>
              <w:t>Yes</w:t>
            </w:r>
          </w:p>
        </w:tc>
        <w:tc>
          <w:tcPr>
            <w:tcW w:w="1134" w:type="dxa"/>
            <w:gridSpan w:val="2"/>
            <w:shd w:val="clear" w:color="auto" w:fill="E0E0E0"/>
            <w:vAlign w:val="center"/>
          </w:tcPr>
          <w:p w14:paraId="3BFEA695" w14:textId="77777777" w:rsidR="0069005A" w:rsidRDefault="0069005A" w:rsidP="002F427A">
            <w:pPr>
              <w:pStyle w:val="IATableLines"/>
              <w:rPr>
                <w:rFonts w:cs="Arial"/>
                <w:b/>
                <w:color w:val="000000"/>
                <w:sz w:val="20"/>
              </w:rPr>
            </w:pPr>
            <w:r w:rsidRPr="006E0A89">
              <w:rPr>
                <w:rFonts w:cs="Arial"/>
                <w:b/>
                <w:color w:val="000000"/>
                <w:sz w:val="20"/>
              </w:rPr>
              <w:t>Medium</w:t>
            </w:r>
            <w:bookmarkStart w:id="13" w:name="IACheckMedium"/>
          </w:p>
          <w:bookmarkEnd w:id="13"/>
          <w:p w14:paraId="33497E4B" w14:textId="77777777" w:rsidR="0069005A" w:rsidRPr="006E0A89" w:rsidRDefault="0069005A" w:rsidP="002F427A">
            <w:pPr>
              <w:pStyle w:val="IATableLines"/>
              <w:rPr>
                <w:rFonts w:cs="Arial"/>
                <w:b/>
                <w:color w:val="000000"/>
                <w:sz w:val="20"/>
              </w:rPr>
            </w:pPr>
            <w:r>
              <w:rPr>
                <w:rStyle w:val="IAIOCheckMediumChar"/>
                <w:b/>
              </w:rPr>
              <w:t>Yes</w:t>
            </w:r>
          </w:p>
        </w:tc>
        <w:tc>
          <w:tcPr>
            <w:tcW w:w="1275" w:type="dxa"/>
            <w:shd w:val="clear" w:color="auto" w:fill="E0E0E0"/>
            <w:vAlign w:val="center"/>
          </w:tcPr>
          <w:p w14:paraId="257EC6C2" w14:textId="77777777" w:rsidR="0069005A" w:rsidRDefault="0069005A" w:rsidP="002F427A">
            <w:pPr>
              <w:pStyle w:val="IATableLines"/>
              <w:rPr>
                <w:rFonts w:cs="Arial"/>
                <w:b/>
                <w:color w:val="000000"/>
                <w:sz w:val="20"/>
              </w:rPr>
            </w:pPr>
            <w:r w:rsidRPr="006E0A89">
              <w:rPr>
                <w:rFonts w:cs="Arial"/>
                <w:b/>
                <w:color w:val="000000"/>
                <w:sz w:val="20"/>
              </w:rPr>
              <w:t>Large</w:t>
            </w:r>
            <w:bookmarkStart w:id="14" w:name="IACheckLarge"/>
          </w:p>
          <w:bookmarkEnd w:id="14"/>
          <w:p w14:paraId="0B9BCD35" w14:textId="77777777" w:rsidR="0069005A" w:rsidRPr="006E0A89" w:rsidRDefault="0069005A" w:rsidP="002F427A">
            <w:pPr>
              <w:pStyle w:val="IATableLines"/>
              <w:rPr>
                <w:rFonts w:cs="Arial"/>
                <w:b/>
                <w:color w:val="000000"/>
                <w:sz w:val="20"/>
              </w:rPr>
            </w:pPr>
            <w:r>
              <w:rPr>
                <w:rStyle w:val="IAIOCheckLargeChar"/>
                <w:rFonts w:cs="Arial"/>
                <w:b/>
              </w:rPr>
              <w:t>Yes</w:t>
            </w:r>
          </w:p>
        </w:tc>
      </w:tr>
      <w:tr w:rsidR="0069005A" w:rsidRPr="00651181" w14:paraId="63ABA525" w14:textId="77777777" w:rsidTr="002F427A">
        <w:tblPrEx>
          <w:shd w:val="clear" w:color="auto" w:fill="auto"/>
        </w:tblPrEx>
        <w:trPr>
          <w:trHeight w:hRule="exact" w:val="567"/>
        </w:trPr>
        <w:tc>
          <w:tcPr>
            <w:tcW w:w="680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8AD609C" w14:textId="77777777" w:rsidR="0069005A" w:rsidRPr="0051753E" w:rsidRDefault="0069005A" w:rsidP="002F427A">
            <w:pPr>
              <w:pStyle w:val="IATableText"/>
              <w:spacing w:before="0" w:after="0"/>
              <w:rPr>
                <w:rFonts w:eastAsia="Times New Roman" w:cs="Arial"/>
                <w:sz w:val="16"/>
                <w:szCs w:val="16"/>
              </w:rPr>
            </w:pPr>
            <w:r w:rsidRPr="00651181">
              <w:rPr>
                <w:rFonts w:cs="Arial"/>
                <w:sz w:val="20"/>
              </w:rPr>
              <w:t>What is the CO</w:t>
            </w:r>
            <w:r w:rsidRPr="00651181">
              <w:rPr>
                <w:rFonts w:cs="Arial"/>
                <w:sz w:val="20"/>
                <w:vertAlign w:val="subscript"/>
              </w:rPr>
              <w:t>2</w:t>
            </w:r>
            <w:r w:rsidRPr="00F96CCD">
              <w:rPr>
                <w:rFonts w:cs="Arial"/>
                <w:sz w:val="20"/>
              </w:rPr>
              <w:t xml:space="preserve"> equivalent change in greenhouse gas emissions? </w:t>
            </w:r>
            <w:r w:rsidRPr="00F96CCD">
              <w:rPr>
                <w:rFonts w:cs="Arial"/>
                <w:sz w:val="20"/>
              </w:rPr>
              <w:br/>
              <w:t>(Million tonnes CO</w:t>
            </w:r>
            <w:r w:rsidRPr="00DC036C">
              <w:rPr>
                <w:rFonts w:cs="Arial"/>
                <w:sz w:val="20"/>
                <w:vertAlign w:val="subscript"/>
              </w:rPr>
              <w:t>2</w:t>
            </w:r>
            <w:r w:rsidRPr="00DC036C">
              <w:rPr>
                <w:rFonts w:cs="Arial"/>
                <w:sz w:val="20"/>
              </w:rPr>
              <w:t xml:space="preserve"> equivalent)</w:t>
            </w:r>
            <w:r w:rsidRPr="0051753E">
              <w:rPr>
                <w:rFonts w:cs="Arial"/>
                <w:spacing w:val="0"/>
                <w:sz w:val="18"/>
              </w:rPr>
              <w:t xml:space="preserve">  </w:t>
            </w:r>
          </w:p>
        </w:tc>
        <w:tc>
          <w:tcPr>
            <w:tcW w:w="1346" w:type="dxa"/>
            <w:gridSpan w:val="2"/>
            <w:tcBorders>
              <w:top w:val="single" w:sz="4" w:space="0" w:color="auto"/>
              <w:left w:val="single" w:sz="4" w:space="0" w:color="auto"/>
              <w:bottom w:val="single" w:sz="4" w:space="0" w:color="auto"/>
              <w:right w:val="single" w:sz="4" w:space="0" w:color="auto"/>
            </w:tcBorders>
            <w:shd w:val="clear" w:color="auto" w:fill="E0E0E0"/>
          </w:tcPr>
          <w:p w14:paraId="4E5FF3D9" w14:textId="77777777" w:rsidR="0069005A" w:rsidRPr="006E0A89" w:rsidRDefault="0069005A" w:rsidP="002F427A">
            <w:pPr>
              <w:pStyle w:val="IATableLabel"/>
              <w:rPr>
                <w:rFonts w:cs="Arial"/>
              </w:rPr>
            </w:pPr>
            <w:r w:rsidRPr="0051753E">
              <w:rPr>
                <w:rFonts w:cs="Arial"/>
              </w:rPr>
              <w:t xml:space="preserve">Traded:   </w:t>
            </w:r>
            <w:r w:rsidRPr="0051753E">
              <w:rPr>
                <w:rFonts w:cs="Arial"/>
              </w:rPr>
              <w:br/>
            </w:r>
            <w:r>
              <w:rPr>
                <w:rStyle w:val="IAIOCO2TradedChar"/>
                <w:rFonts w:cs="Arial"/>
              </w:rPr>
              <w:t>N/A</w:t>
            </w:r>
          </w:p>
        </w:tc>
        <w:tc>
          <w:tcPr>
            <w:tcW w:w="2055" w:type="dxa"/>
            <w:gridSpan w:val="2"/>
            <w:tcBorders>
              <w:top w:val="single" w:sz="4" w:space="0" w:color="auto"/>
              <w:left w:val="single" w:sz="4" w:space="0" w:color="auto"/>
              <w:bottom w:val="single" w:sz="4" w:space="0" w:color="auto"/>
              <w:right w:val="single" w:sz="4" w:space="0" w:color="auto"/>
            </w:tcBorders>
            <w:shd w:val="clear" w:color="auto" w:fill="E0E0E0"/>
          </w:tcPr>
          <w:p w14:paraId="521AA7FE" w14:textId="77777777" w:rsidR="0069005A" w:rsidRPr="006E0A89" w:rsidRDefault="0069005A" w:rsidP="002F427A">
            <w:pPr>
              <w:pStyle w:val="IATableLabel"/>
              <w:rPr>
                <w:rFonts w:cs="Arial"/>
              </w:rPr>
            </w:pPr>
            <w:r w:rsidRPr="006E0A89">
              <w:rPr>
                <w:rFonts w:cs="Arial"/>
              </w:rPr>
              <w:t xml:space="preserve">Non-traded:   </w:t>
            </w:r>
            <w:r w:rsidRPr="006E0A89">
              <w:rPr>
                <w:rFonts w:cs="Arial"/>
              </w:rPr>
              <w:br/>
            </w:r>
            <w:r>
              <w:rPr>
                <w:rStyle w:val="IAIOCO2TradedChar"/>
                <w:rFonts w:cs="Arial"/>
              </w:rPr>
              <w:t>N/A</w:t>
            </w:r>
          </w:p>
        </w:tc>
      </w:tr>
    </w:tbl>
    <w:p w14:paraId="4AEB6F88" w14:textId="77777777" w:rsidR="0069005A" w:rsidRPr="00F96CCD" w:rsidRDefault="0069005A" w:rsidP="0069005A">
      <w:pPr>
        <w:pStyle w:val="IASign-off"/>
        <w:rPr>
          <w:rFonts w:cs="Arial"/>
          <w:sz w:val="20"/>
        </w:rPr>
      </w:pPr>
      <w:bookmarkStart w:id="15" w:name="SignOfftext"/>
      <w:bookmarkEnd w:id="12"/>
      <w:r w:rsidRPr="00651181">
        <w:rPr>
          <w:rFonts w:cs="Arial"/>
          <w:sz w:val="20"/>
        </w:rPr>
        <w:t xml:space="preserve">I have read the Impact Assessment and I am satisfied that, given the available evidence, it represents </w:t>
      </w:r>
      <w:r w:rsidRPr="00F96CCD">
        <w:rPr>
          <w:rFonts w:cs="Arial"/>
          <w:sz w:val="20"/>
        </w:rPr>
        <w:t>a reasonable view of the likely costs, benefits and impact of the leading options.</w:t>
      </w:r>
    </w:p>
    <w:tbl>
      <w:tblPr>
        <w:tblW w:w="5020" w:type="pct"/>
        <w:tblLayout w:type="fixed"/>
        <w:tblCellMar>
          <w:left w:w="0" w:type="dxa"/>
          <w:right w:w="0" w:type="dxa"/>
        </w:tblCellMar>
        <w:tblLook w:val="0000" w:firstRow="0" w:lastRow="0" w:firstColumn="0" w:lastColumn="0" w:noHBand="0" w:noVBand="0"/>
      </w:tblPr>
      <w:tblGrid>
        <w:gridCol w:w="4259"/>
        <w:gridCol w:w="1977"/>
        <w:gridCol w:w="1037"/>
        <w:gridCol w:w="1789"/>
      </w:tblGrid>
      <w:tr w:rsidR="0069005A" w:rsidRPr="00651181" w14:paraId="4825C922" w14:textId="77777777" w:rsidTr="002F427A">
        <w:trPr>
          <w:cantSplit/>
          <w:trHeight w:hRule="exact" w:val="767"/>
        </w:trPr>
        <w:tc>
          <w:tcPr>
            <w:tcW w:w="2350" w:type="pct"/>
            <w:vAlign w:val="bottom"/>
          </w:tcPr>
          <w:p w14:paraId="45228E3F" w14:textId="77777777" w:rsidR="0069005A" w:rsidRPr="006E0A89" w:rsidRDefault="0069005A" w:rsidP="00D46AE2">
            <w:pPr>
              <w:pStyle w:val="IASignature"/>
              <w:tabs>
                <w:tab w:val="clear" w:pos="6804"/>
                <w:tab w:val="clear" w:pos="10206"/>
                <w:tab w:val="left" w:leader="dot" w:pos="7380"/>
              </w:tabs>
              <w:ind w:right="284"/>
              <w:rPr>
                <w:rFonts w:cs="Arial"/>
                <w:b/>
                <w:i/>
              </w:rPr>
            </w:pPr>
            <w:r w:rsidRPr="00DC036C">
              <w:rPr>
                <w:rFonts w:cs="Arial"/>
                <w:b/>
                <w:i/>
              </w:rPr>
              <w:t xml:space="preserve">Signed by the responsible </w:t>
            </w:r>
            <w:bookmarkStart w:id="16" w:name="IASignedBy"/>
            <w:r w:rsidR="00D46AE2">
              <w:rPr>
                <w:rFonts w:cs="Arial"/>
                <w:b/>
                <w:i/>
              </w:rPr>
              <w:t>Minister</w:t>
            </w:r>
            <w:bookmarkEnd w:id="16"/>
            <w:r w:rsidRPr="006E0A89">
              <w:rPr>
                <w:rFonts w:cs="Arial"/>
                <w:b/>
                <w:i/>
              </w:rPr>
              <w:t>:</w:t>
            </w:r>
          </w:p>
        </w:tc>
        <w:tc>
          <w:tcPr>
            <w:tcW w:w="1091" w:type="pct"/>
            <w:tcBorders>
              <w:bottom w:val="dashSmallGap" w:sz="4" w:space="0" w:color="auto"/>
            </w:tcBorders>
            <w:vAlign w:val="bottom"/>
          </w:tcPr>
          <w:p w14:paraId="59B7D88F" w14:textId="77777777" w:rsidR="0069005A" w:rsidRPr="006E0A89" w:rsidRDefault="0069005A" w:rsidP="002F427A">
            <w:pPr>
              <w:pStyle w:val="IAIOtextSign"/>
              <w:ind w:left="113" w:right="113"/>
              <w:jc w:val="left"/>
              <w:rPr>
                <w:rFonts w:eastAsia="SimSun" w:cs="Arial"/>
                <w:spacing w:val="-5"/>
                <w:sz w:val="22"/>
                <w:szCs w:val="20"/>
                <w:lang w:eastAsia="zh-CN"/>
              </w:rPr>
            </w:pPr>
          </w:p>
        </w:tc>
        <w:tc>
          <w:tcPr>
            <w:tcW w:w="572" w:type="pct"/>
            <w:vAlign w:val="bottom"/>
          </w:tcPr>
          <w:p w14:paraId="7CFBBF56" w14:textId="77777777" w:rsidR="0069005A" w:rsidRPr="006E0A89" w:rsidRDefault="0069005A" w:rsidP="002F427A">
            <w:pPr>
              <w:pStyle w:val="IASignature"/>
              <w:tabs>
                <w:tab w:val="clear" w:pos="6804"/>
                <w:tab w:val="clear" w:pos="10206"/>
                <w:tab w:val="left" w:leader="dot" w:pos="7380"/>
              </w:tabs>
              <w:ind w:right="284"/>
              <w:jc w:val="right"/>
              <w:rPr>
                <w:rFonts w:cs="Arial"/>
                <w:b/>
                <w:i/>
              </w:rPr>
            </w:pPr>
            <w:r w:rsidRPr="006E0A89">
              <w:rPr>
                <w:rFonts w:cs="Arial"/>
                <w:b/>
                <w:i/>
              </w:rPr>
              <w:t> Date:</w:t>
            </w:r>
          </w:p>
        </w:tc>
        <w:bookmarkStart w:id="17" w:name="SigDate"/>
        <w:tc>
          <w:tcPr>
            <w:tcW w:w="987" w:type="pct"/>
            <w:tcBorders>
              <w:bottom w:val="dashSmallGap" w:sz="4" w:space="0" w:color="auto"/>
            </w:tcBorders>
            <w:vAlign w:val="bottom"/>
          </w:tcPr>
          <w:p w14:paraId="60E83AD4" w14:textId="77777777" w:rsidR="0069005A" w:rsidRPr="006E0A89" w:rsidRDefault="0069005A" w:rsidP="002F427A">
            <w:pPr>
              <w:pStyle w:val="IAIOSigDate"/>
              <w:ind w:left="113" w:right="113"/>
              <w:jc w:val="left"/>
              <w:rPr>
                <w:rFonts w:eastAsia="SimSun" w:cs="Arial"/>
                <w:spacing w:val="-5"/>
                <w:szCs w:val="20"/>
                <w:lang w:eastAsia="zh-CN"/>
              </w:rPr>
            </w:pPr>
            <w:r w:rsidRPr="006E0A89">
              <w:rPr>
                <w:rFonts w:eastAsia="SimSun" w:cs="Arial"/>
                <w:spacing w:val="-5"/>
                <w:szCs w:val="20"/>
                <w:lang w:eastAsia="zh-CN"/>
              </w:rPr>
              <w:fldChar w:fldCharType="begin">
                <w:ffData>
                  <w:name w:val="SigDate"/>
                  <w:enabled/>
                  <w:calcOnExit w:val="0"/>
                  <w:textInput/>
                </w:ffData>
              </w:fldChar>
            </w:r>
            <w:r w:rsidRPr="006E0A89">
              <w:rPr>
                <w:rFonts w:eastAsia="SimSun" w:cs="Arial"/>
                <w:spacing w:val="-5"/>
                <w:szCs w:val="20"/>
                <w:lang w:eastAsia="zh-CN"/>
              </w:rPr>
              <w:instrText xml:space="preserve"> FORMTEXT </w:instrText>
            </w:r>
            <w:r w:rsidRPr="006E0A89">
              <w:rPr>
                <w:rFonts w:eastAsia="SimSun" w:cs="Arial"/>
                <w:spacing w:val="-5"/>
                <w:szCs w:val="20"/>
                <w:lang w:eastAsia="zh-CN"/>
              </w:rPr>
            </w:r>
            <w:r w:rsidRPr="006E0A89">
              <w:rPr>
                <w:rFonts w:eastAsia="SimSun" w:cs="Arial"/>
                <w:spacing w:val="-5"/>
                <w:szCs w:val="20"/>
                <w:lang w:eastAsia="zh-CN"/>
              </w:rPr>
              <w:fldChar w:fldCharType="separate"/>
            </w:r>
            <w:r w:rsidRPr="006E0A89">
              <w:rPr>
                <w:rFonts w:eastAsia="SimSun" w:cs="Arial"/>
                <w:noProof/>
                <w:spacing w:val="-5"/>
                <w:szCs w:val="20"/>
                <w:lang w:eastAsia="zh-CN"/>
              </w:rPr>
              <w:t> </w:t>
            </w:r>
            <w:r w:rsidRPr="006E0A89">
              <w:rPr>
                <w:rFonts w:eastAsia="SimSun" w:cs="Arial"/>
                <w:noProof/>
                <w:spacing w:val="-5"/>
                <w:szCs w:val="20"/>
                <w:lang w:eastAsia="zh-CN"/>
              </w:rPr>
              <w:t> </w:t>
            </w:r>
            <w:r w:rsidRPr="006E0A89">
              <w:rPr>
                <w:rFonts w:eastAsia="SimSun" w:cs="Arial"/>
                <w:noProof/>
                <w:spacing w:val="-5"/>
                <w:szCs w:val="20"/>
                <w:lang w:eastAsia="zh-CN"/>
              </w:rPr>
              <w:t> </w:t>
            </w:r>
            <w:r w:rsidRPr="006E0A89">
              <w:rPr>
                <w:rFonts w:eastAsia="SimSun" w:cs="Arial"/>
                <w:noProof/>
                <w:spacing w:val="-5"/>
                <w:szCs w:val="20"/>
                <w:lang w:eastAsia="zh-CN"/>
              </w:rPr>
              <w:t> </w:t>
            </w:r>
            <w:r w:rsidRPr="006E0A89">
              <w:rPr>
                <w:rFonts w:eastAsia="SimSun" w:cs="Arial"/>
                <w:noProof/>
                <w:spacing w:val="-5"/>
                <w:szCs w:val="20"/>
                <w:lang w:eastAsia="zh-CN"/>
              </w:rPr>
              <w:t> </w:t>
            </w:r>
            <w:r w:rsidRPr="006E0A89">
              <w:rPr>
                <w:rFonts w:eastAsia="SimSun" w:cs="Arial"/>
                <w:spacing w:val="-5"/>
                <w:szCs w:val="20"/>
                <w:lang w:eastAsia="zh-CN"/>
              </w:rPr>
              <w:fldChar w:fldCharType="end"/>
            </w:r>
            <w:bookmarkEnd w:id="17"/>
          </w:p>
        </w:tc>
      </w:tr>
      <w:bookmarkEnd w:id="15"/>
    </w:tbl>
    <w:p w14:paraId="6CA1E954" w14:textId="77777777" w:rsidR="0069005A" w:rsidRPr="006E0A89" w:rsidRDefault="0069005A" w:rsidP="0069005A">
      <w:pPr>
        <w:pStyle w:val="Heading1"/>
        <w:spacing w:before="0"/>
        <w:rPr>
          <w:rFonts w:ascii="Arial" w:hAnsi="Arial"/>
        </w:rPr>
        <w:sectPr w:rsidR="0069005A" w:rsidRPr="006E0A89" w:rsidSect="002F427A">
          <w:footerReference w:type="default" r:id="rId12"/>
          <w:pgSz w:w="11906" w:h="16838"/>
          <w:pgMar w:top="1440" w:right="1440" w:bottom="1440" w:left="1440" w:header="708" w:footer="708" w:gutter="0"/>
          <w:cols w:space="708"/>
          <w:docGrid w:linePitch="360"/>
        </w:sectPr>
      </w:pPr>
    </w:p>
    <w:p w14:paraId="1A811C67" w14:textId="234BEEE4" w:rsidR="0069005A" w:rsidRPr="006E0A89" w:rsidRDefault="0069005A" w:rsidP="0069005A">
      <w:pPr>
        <w:pStyle w:val="Heading1"/>
        <w:spacing w:before="0"/>
        <w:rPr>
          <w:rFonts w:ascii="Arial" w:hAnsi="Arial"/>
        </w:rPr>
      </w:pPr>
      <w:r w:rsidRPr="00B24226">
        <w:rPr>
          <w:rFonts w:ascii="Arial" w:hAnsi="Arial"/>
        </w:rPr>
        <w:lastRenderedPageBreak/>
        <w:t>Summary: Analysis &amp; Evidence</w:t>
      </w:r>
      <w:r w:rsidRPr="00B24226">
        <w:rPr>
          <w:rFonts w:ascii="Arial" w:hAnsi="Arial"/>
        </w:rPr>
        <w:tab/>
      </w:r>
      <w:r w:rsidRPr="00651181">
        <w:rPr>
          <w:rFonts w:ascii="Arial" w:hAnsi="Arial"/>
          <w:b w:val="0"/>
          <w:bCs w:val="0"/>
        </w:rPr>
        <w:t xml:space="preserve">Policy Option </w:t>
      </w:r>
      <w:r w:rsidRPr="0051753E">
        <w:rPr>
          <w:rFonts w:ascii="Arial" w:hAnsi="Arial"/>
          <w:b w:val="0"/>
          <w:bCs w:val="0"/>
        </w:rPr>
        <w:fldChar w:fldCharType="begin"/>
      </w:r>
      <w:r w:rsidRPr="00651181">
        <w:rPr>
          <w:rFonts w:ascii="Arial" w:hAnsi="Arial"/>
          <w:b w:val="0"/>
          <w:bCs w:val="0"/>
        </w:rPr>
        <w:instrText xml:space="preserve"> SEQ Policy </w:instrText>
      </w:r>
      <w:r w:rsidRPr="0051753E">
        <w:rPr>
          <w:rFonts w:ascii="Arial" w:hAnsi="Arial"/>
          <w:b w:val="0"/>
          <w:bCs w:val="0"/>
        </w:rPr>
        <w:fldChar w:fldCharType="separate"/>
      </w:r>
      <w:r w:rsidR="00C52A7C">
        <w:rPr>
          <w:rFonts w:ascii="Arial" w:hAnsi="Arial"/>
          <w:b w:val="0"/>
          <w:bCs w:val="0"/>
          <w:noProof/>
        </w:rPr>
        <w:t>1</w:t>
      </w:r>
      <w:r w:rsidRPr="0051753E">
        <w:rPr>
          <w:rFonts w:ascii="Arial" w:hAnsi="Arial"/>
          <w:b w:val="0"/>
          <w:bCs w:val="0"/>
        </w:rPr>
        <w:fldChar w:fldCharType="end"/>
      </w:r>
    </w:p>
    <w:p w14:paraId="662B49A6" w14:textId="6213C4E5" w:rsidR="00497776" w:rsidRPr="00F54332" w:rsidRDefault="0069005A" w:rsidP="0069005A">
      <w:pPr>
        <w:pStyle w:val="IAHeadLabel"/>
        <w:spacing w:before="50"/>
        <w:rPr>
          <w:rFonts w:cs="Arial"/>
        </w:rPr>
      </w:pPr>
      <w:r w:rsidRPr="00651181">
        <w:rPr>
          <w:rFonts w:cs="Arial"/>
        </w:rPr>
        <w:t xml:space="preserve">Description:  </w:t>
      </w:r>
      <w:r w:rsidRPr="00F54332">
        <w:rPr>
          <w:rFonts w:cs="Arial"/>
        </w:rPr>
        <w:t xml:space="preserve">Change the legal framework, in particular </w:t>
      </w:r>
      <w:r w:rsidR="006B6774" w:rsidRPr="00F54332">
        <w:rPr>
          <w:rFonts w:cs="Arial"/>
        </w:rPr>
        <w:t xml:space="preserve">by </w:t>
      </w:r>
      <w:r w:rsidR="00497776" w:rsidRPr="00F54332">
        <w:rPr>
          <w:rFonts w:cs="Arial"/>
        </w:rPr>
        <w:t xml:space="preserve">setting the PIDR with reference to an investment strategy with a higher </w:t>
      </w:r>
      <w:r w:rsidR="009E7DA9" w:rsidRPr="00F54332">
        <w:rPr>
          <w:rFonts w:cs="Arial"/>
        </w:rPr>
        <w:t xml:space="preserve">expected </w:t>
      </w:r>
      <w:r w:rsidR="004303AF">
        <w:rPr>
          <w:rFonts w:cs="Arial"/>
        </w:rPr>
        <w:t xml:space="preserve">gross </w:t>
      </w:r>
      <w:r w:rsidR="00497776" w:rsidRPr="00F54332">
        <w:rPr>
          <w:rFonts w:cs="Arial"/>
        </w:rPr>
        <w:t>return than assumed under the current framework.</w:t>
      </w:r>
    </w:p>
    <w:p w14:paraId="25B541EB" w14:textId="77777777" w:rsidR="0069005A" w:rsidRPr="006E0A89" w:rsidRDefault="0069005A" w:rsidP="0069005A">
      <w:pPr>
        <w:pStyle w:val="IAHeadLabel"/>
        <w:spacing w:before="50"/>
        <w:rPr>
          <w:rFonts w:cs="Arial"/>
        </w:rPr>
      </w:pPr>
      <w:r w:rsidRPr="006E0A89">
        <w:rPr>
          <w:rFonts w:cs="Arial"/>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69005A" w:rsidRPr="00651181" w14:paraId="277441CC" w14:textId="77777777" w:rsidTr="002F427A">
        <w:trPr>
          <w:trHeight w:hRule="exact" w:val="312"/>
        </w:trPr>
        <w:tc>
          <w:tcPr>
            <w:tcW w:w="1265" w:type="dxa"/>
            <w:vMerge w:val="restart"/>
            <w:shd w:val="clear" w:color="auto" w:fill="auto"/>
          </w:tcPr>
          <w:p w14:paraId="35AE9B54" w14:textId="77777777" w:rsidR="0069005A" w:rsidRPr="006E0A89" w:rsidRDefault="0069005A" w:rsidP="002F427A">
            <w:pPr>
              <w:pStyle w:val="POPBY"/>
              <w:rPr>
                <w:rFonts w:cs="Arial"/>
              </w:rPr>
            </w:pPr>
            <w:r w:rsidRPr="006E0A89">
              <w:rPr>
                <w:rFonts w:cs="Arial"/>
              </w:rPr>
              <w:t xml:space="preserve">Price Base Year  </w:t>
            </w:r>
            <w:r w:rsidRPr="006E0A89">
              <w:rPr>
                <w:rFonts w:cs="Arial"/>
                <w:b w:val="0"/>
              </w:rPr>
              <w:fldChar w:fldCharType="begin">
                <w:ffData>
                  <w:name w:val="Text55"/>
                  <w:enabled/>
                  <w:calcOnExit w:val="0"/>
                  <w:textInput>
                    <w:maxLength w:val="4"/>
                  </w:textInput>
                </w:ffData>
              </w:fldChar>
            </w:r>
            <w:r w:rsidRPr="006E0A89">
              <w:rPr>
                <w:rFonts w:cs="Arial"/>
                <w:b w:val="0"/>
              </w:rPr>
              <w:instrText xml:space="preserve"> FORMTEXT </w:instrText>
            </w:r>
            <w:r w:rsidRPr="006E0A89">
              <w:rPr>
                <w:rFonts w:cs="Arial"/>
                <w:b w:val="0"/>
              </w:rPr>
            </w:r>
            <w:r w:rsidRPr="006E0A89">
              <w:rPr>
                <w:rFonts w:cs="Arial"/>
                <w:b w:val="0"/>
              </w:rPr>
              <w:fldChar w:fldCharType="separate"/>
            </w:r>
            <w:r w:rsidRPr="006E0A89">
              <w:rPr>
                <w:rFonts w:cs="Arial"/>
                <w:b w:val="0"/>
                <w:noProof/>
              </w:rPr>
              <w:t> </w:t>
            </w:r>
            <w:r w:rsidRPr="006E0A89">
              <w:rPr>
                <w:rFonts w:cs="Arial"/>
                <w:b w:val="0"/>
                <w:noProof/>
              </w:rPr>
              <w:t> </w:t>
            </w:r>
            <w:r w:rsidRPr="006E0A89">
              <w:rPr>
                <w:rFonts w:cs="Arial"/>
                <w:b w:val="0"/>
                <w:noProof/>
              </w:rPr>
              <w:t> </w:t>
            </w:r>
            <w:r w:rsidRPr="006E0A89">
              <w:rPr>
                <w:rFonts w:cs="Arial"/>
                <w:b w:val="0"/>
                <w:noProof/>
              </w:rPr>
              <w:t> </w:t>
            </w:r>
            <w:r w:rsidRPr="006E0A89">
              <w:rPr>
                <w:rFonts w:cs="Arial"/>
                <w:b w:val="0"/>
              </w:rPr>
              <w:fldChar w:fldCharType="end"/>
            </w:r>
          </w:p>
        </w:tc>
        <w:tc>
          <w:tcPr>
            <w:tcW w:w="1260" w:type="dxa"/>
            <w:vMerge w:val="restart"/>
            <w:shd w:val="clear" w:color="auto" w:fill="auto"/>
          </w:tcPr>
          <w:p w14:paraId="0689BFE2" w14:textId="77777777" w:rsidR="0069005A" w:rsidRPr="006E0A89" w:rsidRDefault="0069005A" w:rsidP="002F427A">
            <w:pPr>
              <w:pStyle w:val="POPVBY"/>
              <w:rPr>
                <w:rFonts w:cs="Arial"/>
              </w:rPr>
            </w:pPr>
            <w:r w:rsidRPr="006E0A89">
              <w:rPr>
                <w:rFonts w:cs="Arial"/>
              </w:rPr>
              <w:t xml:space="preserve">PV Base Year  </w:t>
            </w:r>
            <w:r w:rsidRPr="006E0A89">
              <w:rPr>
                <w:rFonts w:cs="Arial"/>
                <w:b w:val="0"/>
              </w:rPr>
              <w:fldChar w:fldCharType="begin">
                <w:ffData>
                  <w:name w:val="Text56"/>
                  <w:enabled/>
                  <w:calcOnExit w:val="0"/>
                  <w:textInput>
                    <w:maxLength w:val="4"/>
                  </w:textInput>
                </w:ffData>
              </w:fldChar>
            </w:r>
            <w:r w:rsidRPr="006E0A89">
              <w:rPr>
                <w:rFonts w:cs="Arial"/>
                <w:b w:val="0"/>
              </w:rPr>
              <w:instrText xml:space="preserve"> FORMTEXT </w:instrText>
            </w:r>
            <w:r w:rsidRPr="006E0A89">
              <w:rPr>
                <w:rFonts w:cs="Arial"/>
                <w:b w:val="0"/>
              </w:rPr>
            </w:r>
            <w:r w:rsidRPr="006E0A89">
              <w:rPr>
                <w:rFonts w:cs="Arial"/>
                <w:b w:val="0"/>
              </w:rPr>
              <w:fldChar w:fldCharType="separate"/>
            </w:r>
            <w:r w:rsidRPr="006E0A89">
              <w:rPr>
                <w:rFonts w:cs="Arial"/>
                <w:b w:val="0"/>
                <w:noProof/>
              </w:rPr>
              <w:t> </w:t>
            </w:r>
            <w:r w:rsidRPr="006E0A89">
              <w:rPr>
                <w:rFonts w:cs="Arial"/>
                <w:b w:val="0"/>
                <w:noProof/>
              </w:rPr>
              <w:t> </w:t>
            </w:r>
            <w:r w:rsidRPr="006E0A89">
              <w:rPr>
                <w:rFonts w:cs="Arial"/>
                <w:b w:val="0"/>
                <w:noProof/>
              </w:rPr>
              <w:t> </w:t>
            </w:r>
            <w:r w:rsidRPr="006E0A89">
              <w:rPr>
                <w:rFonts w:cs="Arial"/>
                <w:b w:val="0"/>
                <w:noProof/>
              </w:rPr>
              <w:t> </w:t>
            </w:r>
            <w:r w:rsidRPr="006E0A89">
              <w:rPr>
                <w:rFonts w:cs="Arial"/>
                <w:b w:val="0"/>
              </w:rPr>
              <w:fldChar w:fldCharType="end"/>
            </w:r>
          </w:p>
        </w:tc>
        <w:tc>
          <w:tcPr>
            <w:tcW w:w="1440" w:type="dxa"/>
            <w:vMerge w:val="restart"/>
            <w:tcBorders>
              <w:right w:val="single" w:sz="12" w:space="0" w:color="auto"/>
            </w:tcBorders>
            <w:shd w:val="clear" w:color="auto" w:fill="auto"/>
          </w:tcPr>
          <w:p w14:paraId="6D92F6D3" w14:textId="77777777" w:rsidR="0069005A" w:rsidRPr="006E0A89" w:rsidRDefault="0069005A" w:rsidP="002F427A">
            <w:pPr>
              <w:pStyle w:val="POTPY"/>
              <w:rPr>
                <w:rFonts w:cs="Arial"/>
              </w:rPr>
            </w:pPr>
            <w:r w:rsidRPr="006E0A89">
              <w:rPr>
                <w:rFonts w:cs="Arial"/>
              </w:rPr>
              <w:t xml:space="preserve">Time Period Years  </w:t>
            </w:r>
            <w:r w:rsidRPr="006E0A89">
              <w:rPr>
                <w:rFonts w:cs="Arial"/>
                <w:b w:val="0"/>
              </w:rPr>
              <w:fldChar w:fldCharType="begin">
                <w:ffData>
                  <w:name w:val="Text57"/>
                  <w:enabled/>
                  <w:calcOnExit w:val="0"/>
                  <w:textInput>
                    <w:maxLength w:val="4"/>
                  </w:textInput>
                </w:ffData>
              </w:fldChar>
            </w:r>
            <w:r w:rsidRPr="006E0A89">
              <w:rPr>
                <w:rFonts w:cs="Arial"/>
                <w:b w:val="0"/>
              </w:rPr>
              <w:instrText xml:space="preserve"> FORMTEXT </w:instrText>
            </w:r>
            <w:r w:rsidRPr="006E0A89">
              <w:rPr>
                <w:rFonts w:cs="Arial"/>
                <w:b w:val="0"/>
              </w:rPr>
            </w:r>
            <w:r w:rsidRPr="006E0A89">
              <w:rPr>
                <w:rFonts w:cs="Arial"/>
                <w:b w:val="0"/>
              </w:rPr>
              <w:fldChar w:fldCharType="separate"/>
            </w:r>
            <w:r w:rsidRPr="006E0A89">
              <w:rPr>
                <w:rFonts w:cs="Arial"/>
                <w:b w:val="0"/>
                <w:noProof/>
              </w:rPr>
              <w:t> </w:t>
            </w:r>
            <w:r w:rsidRPr="006E0A89">
              <w:rPr>
                <w:rFonts w:cs="Arial"/>
                <w:b w:val="0"/>
                <w:noProof/>
              </w:rPr>
              <w:t> </w:t>
            </w:r>
            <w:r w:rsidRPr="006E0A89">
              <w:rPr>
                <w:rFonts w:cs="Arial"/>
                <w:b w:val="0"/>
                <w:noProof/>
              </w:rPr>
              <w:t> </w:t>
            </w:r>
            <w:r w:rsidRPr="006E0A89">
              <w:rPr>
                <w:rFonts w:cs="Arial"/>
                <w:b w:val="0"/>
                <w:noProof/>
              </w:rPr>
              <w:t> </w:t>
            </w:r>
            <w:r w:rsidRPr="006E0A89">
              <w:rPr>
                <w:rFonts w:cs="Arial"/>
                <w:b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3A13DF8F" w14:textId="77777777" w:rsidR="0069005A" w:rsidRPr="006E0A89" w:rsidRDefault="0069005A" w:rsidP="002F427A">
            <w:pPr>
              <w:pStyle w:val="IATableLabel"/>
              <w:jc w:val="center"/>
              <w:rPr>
                <w:rFonts w:cs="Arial"/>
              </w:rPr>
            </w:pPr>
            <w:r w:rsidRPr="006E0A89">
              <w:rPr>
                <w:rFonts w:cs="Arial"/>
              </w:rPr>
              <w:t>Net Benefit (Present Value (PV)) (£m)</w:t>
            </w:r>
          </w:p>
        </w:tc>
      </w:tr>
      <w:tr w:rsidR="0069005A" w:rsidRPr="00651181" w14:paraId="09359748" w14:textId="77777777" w:rsidTr="002F427A">
        <w:trPr>
          <w:trHeight w:hRule="exact" w:val="340"/>
        </w:trPr>
        <w:tc>
          <w:tcPr>
            <w:tcW w:w="1265" w:type="dxa"/>
            <w:vMerge/>
            <w:shd w:val="clear" w:color="auto" w:fill="auto"/>
          </w:tcPr>
          <w:p w14:paraId="320D0893" w14:textId="77777777" w:rsidR="0069005A" w:rsidRPr="006E0A89" w:rsidRDefault="0069005A" w:rsidP="002F427A">
            <w:pPr>
              <w:pStyle w:val="IATableNotes"/>
              <w:ind w:left="0"/>
              <w:rPr>
                <w:rFonts w:cs="Arial"/>
                <w:b/>
                <w:sz w:val="20"/>
              </w:rPr>
            </w:pPr>
          </w:p>
        </w:tc>
        <w:tc>
          <w:tcPr>
            <w:tcW w:w="1260" w:type="dxa"/>
            <w:vMerge/>
            <w:shd w:val="clear" w:color="auto" w:fill="auto"/>
          </w:tcPr>
          <w:p w14:paraId="390EC499" w14:textId="77777777" w:rsidR="0069005A" w:rsidRPr="006E0A89" w:rsidRDefault="0069005A" w:rsidP="002F427A">
            <w:pPr>
              <w:pStyle w:val="IATableNotes"/>
              <w:ind w:left="0"/>
              <w:rPr>
                <w:rFonts w:cs="Arial"/>
                <w:b/>
                <w:sz w:val="20"/>
              </w:rPr>
            </w:pPr>
          </w:p>
        </w:tc>
        <w:tc>
          <w:tcPr>
            <w:tcW w:w="1440" w:type="dxa"/>
            <w:vMerge/>
            <w:tcBorders>
              <w:right w:val="single" w:sz="12" w:space="0" w:color="auto"/>
            </w:tcBorders>
            <w:shd w:val="clear" w:color="auto" w:fill="auto"/>
          </w:tcPr>
          <w:p w14:paraId="0698E938" w14:textId="77777777" w:rsidR="0069005A" w:rsidRPr="006E0A89" w:rsidRDefault="0069005A" w:rsidP="002F427A">
            <w:pPr>
              <w:pStyle w:val="IATableNotes"/>
              <w:ind w:left="0"/>
              <w:rPr>
                <w:rFonts w:cs="Arial"/>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3337AF55" w14:textId="77777777" w:rsidR="0069005A" w:rsidRPr="006E0A89" w:rsidRDefault="0069005A" w:rsidP="002F427A">
            <w:pPr>
              <w:pStyle w:val="IATableLabel"/>
              <w:rPr>
                <w:rFonts w:cs="Arial"/>
                <w:bCs/>
              </w:rPr>
            </w:pPr>
            <w:r w:rsidRPr="006E0A89">
              <w:rPr>
                <w:rFonts w:cs="Arial"/>
              </w:rPr>
              <w:t xml:space="preserve">Low: </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7A4E2D3C" w14:textId="77777777" w:rsidR="0069005A" w:rsidRPr="00651181" w:rsidRDefault="0069005A" w:rsidP="002F427A">
            <w:pPr>
              <w:pStyle w:val="IATableLabel"/>
              <w:rPr>
                <w:rFonts w:cs="Arial"/>
                <w:bCs/>
                <w:szCs w:val="18"/>
              </w:rPr>
            </w:pPr>
            <w:r w:rsidRPr="006E0A89">
              <w:rPr>
                <w:rFonts w:cs="Arial"/>
              </w:rPr>
              <w:t xml:space="preserve">High: </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242A6370" w14:textId="77777777" w:rsidR="0069005A" w:rsidRPr="006E0A89" w:rsidRDefault="0069005A" w:rsidP="002F427A">
            <w:pPr>
              <w:pStyle w:val="IATableLabel"/>
              <w:rPr>
                <w:rFonts w:cs="Arial"/>
                <w:szCs w:val="18"/>
              </w:rPr>
            </w:pPr>
            <w:r w:rsidRPr="0051753E">
              <w:rPr>
                <w:rFonts w:cs="Arial"/>
              </w:rPr>
              <w:t xml:space="preserve">Best Estimate: </w:t>
            </w:r>
            <w:r>
              <w:rPr>
                <w:rStyle w:val="PONBBestEstChar"/>
                <w:rFonts w:cs="Arial"/>
              </w:rPr>
              <w:t>NQ</w:t>
            </w:r>
          </w:p>
        </w:tc>
      </w:tr>
    </w:tbl>
    <w:p w14:paraId="67F96598" w14:textId="77777777" w:rsidR="0069005A" w:rsidRPr="00651181" w:rsidRDefault="0069005A" w:rsidP="0069005A">
      <w:pPr>
        <w:pStyle w:val="IASpace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69005A" w:rsidRPr="00651181" w14:paraId="3C602ACA" w14:textId="77777777" w:rsidTr="002F427A">
        <w:trPr>
          <w:trHeight w:hRule="exact" w:val="567"/>
        </w:trPr>
        <w:tc>
          <w:tcPr>
            <w:tcW w:w="1995" w:type="dxa"/>
            <w:shd w:val="clear" w:color="auto" w:fill="FFFFFF"/>
          </w:tcPr>
          <w:p w14:paraId="65BB5A26" w14:textId="77777777" w:rsidR="0069005A" w:rsidRPr="00F96CCD" w:rsidRDefault="0069005A" w:rsidP="002F427A">
            <w:pPr>
              <w:pStyle w:val="IATableLabel"/>
              <w:rPr>
                <w:rFonts w:cs="Arial"/>
                <w:sz w:val="24"/>
                <w:szCs w:val="24"/>
              </w:rPr>
            </w:pPr>
            <w:r w:rsidRPr="00F96CCD">
              <w:rPr>
                <w:rFonts w:cs="Arial"/>
                <w:sz w:val="24"/>
                <w:szCs w:val="24"/>
              </w:rPr>
              <w:t>COSTS (£m)</w:t>
            </w:r>
          </w:p>
        </w:tc>
        <w:tc>
          <w:tcPr>
            <w:tcW w:w="2739" w:type="dxa"/>
            <w:gridSpan w:val="2"/>
            <w:tcBorders>
              <w:top w:val="single" w:sz="12" w:space="0" w:color="auto"/>
              <w:bottom w:val="single" w:sz="6" w:space="0" w:color="auto"/>
            </w:tcBorders>
            <w:shd w:val="clear" w:color="auto" w:fill="auto"/>
          </w:tcPr>
          <w:p w14:paraId="5F7E4D27" w14:textId="77777777" w:rsidR="0069005A" w:rsidRPr="0051753E" w:rsidRDefault="0069005A" w:rsidP="002F427A">
            <w:pPr>
              <w:pStyle w:val="IATableLabel"/>
              <w:tabs>
                <w:tab w:val="right" w:pos="1800"/>
                <w:tab w:val="center" w:pos="2340"/>
              </w:tabs>
              <w:jc w:val="right"/>
              <w:rPr>
                <w:rFonts w:cs="Arial"/>
              </w:rPr>
            </w:pPr>
            <w:r w:rsidRPr="00DC036C">
              <w:rPr>
                <w:rFonts w:cs="Arial"/>
              </w:rPr>
              <w:t xml:space="preserve">Total Transition </w:t>
            </w:r>
            <w:r w:rsidRPr="00DC036C">
              <w:rPr>
                <w:rFonts w:cs="Arial"/>
              </w:rPr>
              <w:br/>
            </w:r>
            <w:r w:rsidRPr="00DC036C">
              <w:rPr>
                <w:rFonts w:cs="Arial"/>
              </w:rPr>
              <w:tab/>
            </w:r>
            <w:r w:rsidRPr="0051753E">
              <w:rPr>
                <w:rFonts w:cs="Arial"/>
                <w:b w:val="0"/>
                <w:sz w:val="18"/>
                <w:szCs w:val="18"/>
              </w:rPr>
              <w:t>(Constant Price)</w:t>
            </w:r>
            <w:r w:rsidRPr="0051753E">
              <w:rPr>
                <w:rFonts w:cs="Arial"/>
              </w:rPr>
              <w:tab/>
            </w:r>
            <w:r w:rsidRPr="0051753E">
              <w:rPr>
                <w:rFonts w:cs="Arial"/>
                <w:b w:val="0"/>
                <w:sz w:val="18"/>
                <w:szCs w:val="18"/>
              </w:rPr>
              <w:t>Yea</w:t>
            </w:r>
            <w:r w:rsidRPr="0051753E">
              <w:rPr>
                <w:rFonts w:cs="Arial"/>
                <w:b w:val="0"/>
                <w:bCs/>
                <w:sz w:val="18"/>
                <w:szCs w:val="18"/>
              </w:rPr>
              <w:t>r</w:t>
            </w:r>
            <w:r w:rsidRPr="0051753E">
              <w:rPr>
                <w:rFonts w:cs="Arial"/>
                <w:b w:val="0"/>
                <w:sz w:val="18"/>
                <w:szCs w:val="18"/>
              </w:rPr>
              <w:t>s</w:t>
            </w:r>
          </w:p>
          <w:p w14:paraId="0B62B9D9" w14:textId="77777777" w:rsidR="0069005A" w:rsidRPr="003473EB" w:rsidRDefault="0069005A" w:rsidP="002F427A">
            <w:pPr>
              <w:pStyle w:val="IATableLabel"/>
              <w:jc w:val="right"/>
              <w:rPr>
                <w:rFonts w:cs="Arial"/>
              </w:rPr>
            </w:pPr>
            <w:r w:rsidRPr="003473EB">
              <w:rPr>
                <w:rFonts w:cs="Arial"/>
              </w:rPr>
              <w:br/>
            </w:r>
          </w:p>
        </w:tc>
        <w:tc>
          <w:tcPr>
            <w:tcW w:w="2865" w:type="dxa"/>
            <w:tcBorders>
              <w:bottom w:val="single" w:sz="6" w:space="0" w:color="auto"/>
              <w:right w:val="single" w:sz="12" w:space="0" w:color="auto"/>
            </w:tcBorders>
            <w:shd w:val="clear" w:color="auto" w:fill="auto"/>
          </w:tcPr>
          <w:p w14:paraId="658063CA" w14:textId="77777777" w:rsidR="0069005A" w:rsidRPr="00651181" w:rsidRDefault="0069005A" w:rsidP="002F427A">
            <w:pPr>
              <w:pStyle w:val="IATableLabel"/>
              <w:jc w:val="right"/>
              <w:rPr>
                <w:rFonts w:cs="Arial"/>
                <w:bCs/>
              </w:rPr>
            </w:pPr>
            <w:r w:rsidRPr="003473EB">
              <w:rPr>
                <w:rFonts w:cs="Arial"/>
              </w:rPr>
              <w:t xml:space="preserve">Average Annual </w:t>
            </w:r>
            <w:r w:rsidRPr="003473EB">
              <w:rPr>
                <w:rFonts w:cs="Arial"/>
              </w:rPr>
              <w:br/>
            </w:r>
            <w:r w:rsidRPr="006E0A89">
              <w:rPr>
                <w:rFonts w:cs="Arial"/>
                <w:b w:val="0"/>
                <w:sz w:val="18"/>
                <w:szCs w:val="18"/>
              </w:rPr>
              <w:t xml:space="preserve">(excl. Transition) </w:t>
            </w:r>
            <w:r w:rsidRPr="0065118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098131CD" w14:textId="77777777" w:rsidR="0069005A" w:rsidRPr="0051753E" w:rsidRDefault="0069005A" w:rsidP="002F427A">
            <w:pPr>
              <w:pStyle w:val="IATableLabel"/>
              <w:jc w:val="right"/>
              <w:rPr>
                <w:rFonts w:cs="Arial"/>
              </w:rPr>
            </w:pPr>
            <w:r w:rsidRPr="0051753E">
              <w:rPr>
                <w:rFonts w:cs="Arial"/>
              </w:rPr>
              <w:t>Total Cost</w:t>
            </w:r>
            <w:r w:rsidRPr="0051753E">
              <w:rPr>
                <w:rFonts w:cs="Arial"/>
                <w:b w:val="0"/>
                <w:sz w:val="18"/>
                <w:szCs w:val="18"/>
              </w:rPr>
              <w:t xml:space="preserve"> </w:t>
            </w:r>
            <w:r w:rsidRPr="0051753E">
              <w:rPr>
                <w:rFonts w:cs="Arial"/>
                <w:b w:val="0"/>
                <w:sz w:val="18"/>
                <w:szCs w:val="18"/>
              </w:rPr>
              <w:br/>
              <w:t>(Present Value)</w:t>
            </w:r>
          </w:p>
        </w:tc>
      </w:tr>
      <w:tr w:rsidR="0069005A" w:rsidRPr="00651181" w14:paraId="1B6B2AC9" w14:textId="77777777" w:rsidTr="002F427A">
        <w:trPr>
          <w:trHeight w:hRule="exact" w:val="348"/>
        </w:trPr>
        <w:tc>
          <w:tcPr>
            <w:tcW w:w="1995" w:type="dxa"/>
            <w:tcBorders>
              <w:top w:val="single" w:sz="6" w:space="0" w:color="auto"/>
              <w:bottom w:val="single" w:sz="6" w:space="0" w:color="auto"/>
            </w:tcBorders>
            <w:shd w:val="clear" w:color="auto" w:fill="auto"/>
            <w:vAlign w:val="center"/>
          </w:tcPr>
          <w:p w14:paraId="50564C64" w14:textId="77777777" w:rsidR="0069005A" w:rsidRPr="00651181" w:rsidRDefault="0069005A" w:rsidP="002F427A">
            <w:pPr>
              <w:pStyle w:val="IATableLabel"/>
              <w:rPr>
                <w:rFonts w:cs="Arial"/>
              </w:rPr>
            </w:pPr>
            <w:r w:rsidRPr="00651181">
              <w:rPr>
                <w:rFonts w:cs="Arial"/>
              </w:rPr>
              <w:t xml:space="preserve">Low </w:t>
            </w:r>
          </w:p>
        </w:tc>
        <w:tc>
          <w:tcPr>
            <w:tcW w:w="1949" w:type="dxa"/>
            <w:tcBorders>
              <w:top w:val="single" w:sz="6" w:space="0" w:color="auto"/>
              <w:bottom w:val="single" w:sz="6" w:space="0" w:color="auto"/>
            </w:tcBorders>
            <w:shd w:val="clear" w:color="auto" w:fill="auto"/>
            <w:vAlign w:val="center"/>
          </w:tcPr>
          <w:p w14:paraId="19BD7D56" w14:textId="77777777" w:rsidR="0069005A" w:rsidRPr="006E0A89" w:rsidRDefault="0069005A" w:rsidP="002F427A">
            <w:pPr>
              <w:pStyle w:val="POTTCostsLow"/>
              <w:rPr>
                <w:rFonts w:cs="Arial"/>
                <w:sz w:val="20"/>
              </w:rPr>
            </w:pPr>
          </w:p>
        </w:tc>
        <w:tc>
          <w:tcPr>
            <w:tcW w:w="790" w:type="dxa"/>
            <w:vMerge w:val="restart"/>
            <w:tcBorders>
              <w:top w:val="single" w:sz="6" w:space="0" w:color="auto"/>
            </w:tcBorders>
            <w:shd w:val="clear" w:color="auto" w:fill="auto"/>
            <w:vAlign w:val="center"/>
          </w:tcPr>
          <w:p w14:paraId="157DFA07" w14:textId="77777777" w:rsidR="0069005A" w:rsidRPr="006E0A89" w:rsidRDefault="0069005A" w:rsidP="002F427A">
            <w:pPr>
              <w:pStyle w:val="POTTCostsYear"/>
              <w:rPr>
                <w:rFonts w:cs="Arial"/>
                <w:sz w:val="20"/>
                <w:szCs w:val="20"/>
              </w:rPr>
            </w:pPr>
            <w:r w:rsidRPr="006E0A89">
              <w:rPr>
                <w:rFonts w:cs="Arial"/>
                <w:sz w:val="20"/>
                <w:szCs w:val="20"/>
              </w:rPr>
              <w:fldChar w:fldCharType="begin">
                <w:ffData>
                  <w:name w:val="Text48"/>
                  <w:enabled/>
                  <w:calcOnExit w:val="0"/>
                  <w:textInput>
                    <w:maxLength w:val="3"/>
                  </w:textInput>
                </w:ffData>
              </w:fldChar>
            </w:r>
            <w:r w:rsidRPr="006E0A89">
              <w:rPr>
                <w:rFonts w:cs="Arial"/>
                <w:sz w:val="20"/>
                <w:szCs w:val="20"/>
              </w:rPr>
              <w:instrText xml:space="preserve"> FORMTEXT </w:instrText>
            </w:r>
            <w:r w:rsidRPr="006E0A89">
              <w:rPr>
                <w:rFonts w:cs="Arial"/>
                <w:sz w:val="20"/>
                <w:szCs w:val="20"/>
              </w:rPr>
            </w:r>
            <w:r w:rsidRPr="006E0A89">
              <w:rPr>
                <w:rFonts w:cs="Arial"/>
                <w:sz w:val="20"/>
                <w:szCs w:val="20"/>
              </w:rPr>
              <w:fldChar w:fldCharType="separate"/>
            </w:r>
            <w:r w:rsidRPr="006E0A89">
              <w:rPr>
                <w:rFonts w:cs="Arial"/>
                <w:noProof/>
                <w:sz w:val="20"/>
                <w:szCs w:val="20"/>
              </w:rPr>
              <w:t> </w:t>
            </w:r>
            <w:r w:rsidRPr="006E0A89">
              <w:rPr>
                <w:rFonts w:cs="Arial"/>
                <w:noProof/>
                <w:sz w:val="20"/>
                <w:szCs w:val="20"/>
              </w:rPr>
              <w:t> </w:t>
            </w:r>
            <w:r w:rsidRPr="006E0A89">
              <w:rPr>
                <w:rFonts w:cs="Arial"/>
                <w:noProof/>
                <w:sz w:val="20"/>
                <w:szCs w:val="20"/>
              </w:rPr>
              <w:t> </w:t>
            </w:r>
            <w:r w:rsidRPr="006E0A89">
              <w:rPr>
                <w:rFonts w:cs="Arial"/>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1CED9159" w14:textId="77777777" w:rsidR="0069005A" w:rsidRPr="006E0A89" w:rsidRDefault="0069005A" w:rsidP="002F427A">
            <w:pPr>
              <w:pStyle w:val="POAACostsLow"/>
              <w:rPr>
                <w:rFonts w:cs="Arial"/>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60EDBCA7" w14:textId="77777777" w:rsidR="0069005A" w:rsidRPr="006E0A89" w:rsidRDefault="0069005A" w:rsidP="002F427A">
            <w:pPr>
              <w:pStyle w:val="POTCCostsLow"/>
              <w:rPr>
                <w:rFonts w:cs="Arial"/>
                <w:sz w:val="20"/>
              </w:rPr>
            </w:pPr>
          </w:p>
        </w:tc>
      </w:tr>
      <w:tr w:rsidR="0069005A" w:rsidRPr="00651181" w14:paraId="1CB95DCC" w14:textId="77777777" w:rsidTr="002F427A">
        <w:trPr>
          <w:trHeight w:hRule="exact" w:val="348"/>
        </w:trPr>
        <w:tc>
          <w:tcPr>
            <w:tcW w:w="1995" w:type="dxa"/>
            <w:tcBorders>
              <w:top w:val="single" w:sz="6" w:space="0" w:color="auto"/>
              <w:bottom w:val="single" w:sz="12" w:space="0" w:color="auto"/>
            </w:tcBorders>
            <w:shd w:val="clear" w:color="auto" w:fill="auto"/>
            <w:vAlign w:val="center"/>
          </w:tcPr>
          <w:p w14:paraId="79552BDF" w14:textId="77777777" w:rsidR="0069005A" w:rsidRPr="00651181" w:rsidRDefault="0069005A" w:rsidP="002F427A">
            <w:pPr>
              <w:pStyle w:val="IATableLabel"/>
              <w:rPr>
                <w:rFonts w:cs="Arial"/>
              </w:rPr>
            </w:pPr>
            <w:r w:rsidRPr="00651181">
              <w:rPr>
                <w:rFonts w:cs="Arial"/>
              </w:rPr>
              <w:t xml:space="preserve">High </w:t>
            </w:r>
          </w:p>
        </w:tc>
        <w:tc>
          <w:tcPr>
            <w:tcW w:w="1949" w:type="dxa"/>
            <w:tcBorders>
              <w:top w:val="single" w:sz="6" w:space="0" w:color="auto"/>
              <w:bottom w:val="single" w:sz="12" w:space="0" w:color="auto"/>
            </w:tcBorders>
            <w:shd w:val="clear" w:color="auto" w:fill="auto"/>
            <w:vAlign w:val="center"/>
          </w:tcPr>
          <w:p w14:paraId="5380F575" w14:textId="77777777" w:rsidR="0069005A" w:rsidRPr="006E0A89" w:rsidRDefault="0069005A" w:rsidP="002F427A">
            <w:pPr>
              <w:pStyle w:val="POTTCostsHigh"/>
              <w:rPr>
                <w:rFonts w:cs="Arial"/>
                <w:sz w:val="20"/>
              </w:rPr>
            </w:pPr>
          </w:p>
        </w:tc>
        <w:tc>
          <w:tcPr>
            <w:tcW w:w="790" w:type="dxa"/>
            <w:vMerge/>
            <w:shd w:val="clear" w:color="auto" w:fill="FFFFFF"/>
            <w:vAlign w:val="center"/>
          </w:tcPr>
          <w:p w14:paraId="155575A1" w14:textId="77777777" w:rsidR="0069005A" w:rsidRPr="006E0A89" w:rsidRDefault="0069005A" w:rsidP="002F427A">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0A8E5917" w14:textId="77777777" w:rsidR="0069005A" w:rsidRPr="006E0A89" w:rsidRDefault="0069005A" w:rsidP="002F427A">
            <w:pPr>
              <w:pStyle w:val="POAACostsHigh"/>
              <w:rPr>
                <w:rFonts w:cs="Arial"/>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11FC724B" w14:textId="77777777" w:rsidR="0069005A" w:rsidRPr="006E0A89" w:rsidRDefault="0069005A" w:rsidP="002F427A">
            <w:pPr>
              <w:pStyle w:val="POTCCostsHigh"/>
              <w:rPr>
                <w:rFonts w:cs="Arial"/>
                <w:sz w:val="20"/>
              </w:rPr>
            </w:pPr>
          </w:p>
        </w:tc>
      </w:tr>
      <w:tr w:rsidR="0069005A" w:rsidRPr="00651181" w14:paraId="6B26676D" w14:textId="77777777" w:rsidTr="002F427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0E501794" w14:textId="77777777" w:rsidR="0069005A" w:rsidRPr="00651181" w:rsidRDefault="0069005A" w:rsidP="002F427A">
            <w:pPr>
              <w:pStyle w:val="IATableLabel"/>
              <w:rPr>
                <w:rFonts w:cs="Arial"/>
              </w:rPr>
            </w:pPr>
            <w:r w:rsidRPr="00651181">
              <w:rPr>
                <w:rFonts w:cs="Arial"/>
              </w:rPr>
              <w:t>Best Estimate</w:t>
            </w:r>
          </w:p>
          <w:p w14:paraId="31A552A5" w14:textId="77777777" w:rsidR="0069005A" w:rsidRPr="00F96CCD" w:rsidRDefault="0069005A" w:rsidP="002F427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E606187" w14:textId="77777777" w:rsidR="0069005A" w:rsidRPr="006E0A89" w:rsidRDefault="0069005A" w:rsidP="002F427A">
            <w:pPr>
              <w:pStyle w:val="POTTCostsBest"/>
              <w:rPr>
                <w:rFonts w:cs="Arial"/>
                <w:sz w:val="20"/>
              </w:rPr>
            </w:pPr>
            <w:r w:rsidRPr="006E0A89">
              <w:rPr>
                <w:rFonts w:cs="Arial"/>
                <w:sz w:val="20"/>
              </w:rPr>
              <w:fldChar w:fldCharType="begin">
                <w:ffData>
                  <w:name w:val="Text51"/>
                  <w:enabled/>
                  <w:calcOnExit w:val="0"/>
                  <w:textInput>
                    <w:maxLength w:val="14"/>
                  </w:textInput>
                </w:ffData>
              </w:fldChar>
            </w:r>
            <w:r w:rsidRPr="006E0A89">
              <w:rPr>
                <w:rFonts w:cs="Arial"/>
                <w:sz w:val="20"/>
              </w:rPr>
              <w:instrText xml:space="preserve"> FORMTEXT </w:instrText>
            </w:r>
            <w:r w:rsidRPr="006E0A89">
              <w:rPr>
                <w:rFonts w:cs="Arial"/>
                <w:sz w:val="20"/>
              </w:rPr>
            </w:r>
            <w:r w:rsidRPr="006E0A89">
              <w:rPr>
                <w:rFonts w:cs="Arial"/>
                <w:sz w:val="20"/>
              </w:rPr>
              <w:fldChar w:fldCharType="separate"/>
            </w:r>
            <w:r w:rsidRPr="006E0A89">
              <w:rPr>
                <w:rFonts w:cs="Arial"/>
                <w:noProof/>
                <w:sz w:val="20"/>
              </w:rPr>
              <w:t> </w:t>
            </w:r>
            <w:r>
              <w:rPr>
                <w:rFonts w:cs="Arial"/>
                <w:noProof/>
                <w:sz w:val="20"/>
              </w:rPr>
              <w:t>NQ</w:t>
            </w:r>
            <w:r w:rsidRPr="006E0A89">
              <w:rPr>
                <w:rFonts w:cs="Arial"/>
                <w:noProof/>
                <w:sz w:val="20"/>
              </w:rPr>
              <w:t> </w:t>
            </w:r>
            <w:r w:rsidRPr="006E0A89">
              <w:rPr>
                <w:rFonts w:cs="Arial"/>
                <w:noProof/>
                <w:sz w:val="20"/>
              </w:rPr>
              <w:t> </w:t>
            </w:r>
            <w:r w:rsidRPr="006E0A89">
              <w:rPr>
                <w:rFonts w:cs="Arial"/>
                <w:noProof/>
                <w:sz w:val="20"/>
              </w:rPr>
              <w:t> </w:t>
            </w:r>
            <w:r w:rsidRPr="006E0A89">
              <w:rPr>
                <w:rFonts w:cs="Arial"/>
                <w:noProof/>
                <w:sz w:val="20"/>
              </w:rPr>
              <w:t> </w:t>
            </w:r>
            <w:r w:rsidRPr="006E0A89">
              <w:rPr>
                <w:rFonts w:cs="Arial"/>
                <w:sz w:val="20"/>
              </w:rPr>
              <w:fldChar w:fldCharType="end"/>
            </w:r>
          </w:p>
        </w:tc>
        <w:tc>
          <w:tcPr>
            <w:tcW w:w="790" w:type="dxa"/>
            <w:vMerge/>
            <w:tcBorders>
              <w:left w:val="single" w:sz="12" w:space="0" w:color="auto"/>
              <w:right w:val="single" w:sz="12" w:space="0" w:color="auto"/>
            </w:tcBorders>
            <w:shd w:val="clear" w:color="auto" w:fill="FFFFFF"/>
            <w:vAlign w:val="center"/>
          </w:tcPr>
          <w:p w14:paraId="428A4CDD" w14:textId="77777777" w:rsidR="0069005A" w:rsidRPr="006E0A89" w:rsidRDefault="0069005A" w:rsidP="002F427A">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4EB38570" w14:textId="77777777" w:rsidR="0069005A" w:rsidRPr="006E0A89" w:rsidRDefault="0069005A" w:rsidP="002F427A">
            <w:pPr>
              <w:pStyle w:val="POAACostsBest"/>
              <w:rPr>
                <w:rFonts w:cs="Arial"/>
                <w:sz w:val="20"/>
              </w:rPr>
            </w:pPr>
            <w:r w:rsidRPr="006E0A89">
              <w:rPr>
                <w:rFonts w:cs="Arial"/>
                <w:sz w:val="20"/>
              </w:rPr>
              <w:fldChar w:fldCharType="begin">
                <w:ffData>
                  <w:name w:val="Text51"/>
                  <w:enabled/>
                  <w:calcOnExit w:val="0"/>
                  <w:textInput>
                    <w:maxLength w:val="14"/>
                  </w:textInput>
                </w:ffData>
              </w:fldChar>
            </w:r>
            <w:r w:rsidRPr="006E0A89">
              <w:rPr>
                <w:rFonts w:cs="Arial"/>
                <w:sz w:val="20"/>
              </w:rPr>
              <w:instrText xml:space="preserve"> FORMTEXT </w:instrText>
            </w:r>
            <w:r w:rsidRPr="006E0A89">
              <w:rPr>
                <w:rFonts w:cs="Arial"/>
                <w:sz w:val="20"/>
              </w:rPr>
            </w:r>
            <w:r w:rsidRPr="006E0A89">
              <w:rPr>
                <w:rFonts w:cs="Arial"/>
                <w:sz w:val="20"/>
              </w:rPr>
              <w:fldChar w:fldCharType="separate"/>
            </w:r>
            <w:r w:rsidRPr="006E0A89">
              <w:rPr>
                <w:rFonts w:cs="Arial"/>
                <w:noProof/>
                <w:sz w:val="20"/>
              </w:rPr>
              <w:t> </w:t>
            </w:r>
            <w:r>
              <w:rPr>
                <w:rFonts w:cs="Arial"/>
                <w:noProof/>
                <w:sz w:val="20"/>
              </w:rPr>
              <w:t>NQ</w:t>
            </w:r>
            <w:r w:rsidRPr="006E0A89">
              <w:rPr>
                <w:rFonts w:cs="Arial"/>
                <w:noProof/>
                <w:sz w:val="20"/>
              </w:rPr>
              <w:t> </w:t>
            </w:r>
            <w:r w:rsidRPr="006E0A89">
              <w:rPr>
                <w:rFonts w:cs="Arial"/>
                <w:noProof/>
                <w:sz w:val="20"/>
              </w:rPr>
              <w:t> </w:t>
            </w:r>
            <w:r w:rsidRPr="006E0A89">
              <w:rPr>
                <w:rFonts w:cs="Arial"/>
                <w:noProof/>
                <w:sz w:val="20"/>
              </w:rPr>
              <w:t> </w:t>
            </w:r>
            <w:r w:rsidRPr="006E0A89">
              <w:rPr>
                <w:rFonts w:cs="Arial"/>
                <w:noProof/>
                <w:sz w:val="20"/>
              </w:rPr>
              <w:t> </w:t>
            </w:r>
            <w:r w:rsidRPr="006E0A89">
              <w:rPr>
                <w:rFonts w:cs="Arial"/>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812FAA5" w14:textId="77777777" w:rsidR="0069005A" w:rsidRPr="006E0A89" w:rsidRDefault="0069005A" w:rsidP="002F427A">
            <w:pPr>
              <w:pStyle w:val="POTCCostsBest"/>
              <w:rPr>
                <w:rFonts w:cs="Arial"/>
                <w:sz w:val="20"/>
              </w:rPr>
            </w:pPr>
            <w:r w:rsidRPr="006E0A89">
              <w:rPr>
                <w:rFonts w:cs="Arial"/>
                <w:sz w:val="20"/>
              </w:rPr>
              <w:fldChar w:fldCharType="begin">
                <w:ffData>
                  <w:name w:val="Text51"/>
                  <w:enabled/>
                  <w:calcOnExit w:val="0"/>
                  <w:textInput>
                    <w:maxLength w:val="14"/>
                  </w:textInput>
                </w:ffData>
              </w:fldChar>
            </w:r>
            <w:r w:rsidRPr="006E0A89">
              <w:rPr>
                <w:rFonts w:cs="Arial"/>
                <w:sz w:val="20"/>
              </w:rPr>
              <w:instrText xml:space="preserve"> FORMTEXT </w:instrText>
            </w:r>
            <w:r w:rsidRPr="006E0A89">
              <w:rPr>
                <w:rFonts w:cs="Arial"/>
                <w:sz w:val="20"/>
              </w:rPr>
            </w:r>
            <w:r w:rsidRPr="006E0A89">
              <w:rPr>
                <w:rFonts w:cs="Arial"/>
                <w:sz w:val="20"/>
              </w:rPr>
              <w:fldChar w:fldCharType="separate"/>
            </w:r>
            <w:r w:rsidRPr="006E0A89">
              <w:rPr>
                <w:rFonts w:cs="Arial"/>
                <w:noProof/>
                <w:sz w:val="20"/>
              </w:rPr>
              <w:t> </w:t>
            </w:r>
            <w:r>
              <w:rPr>
                <w:rFonts w:cs="Arial"/>
                <w:noProof/>
                <w:sz w:val="20"/>
              </w:rPr>
              <w:t>NQ</w:t>
            </w:r>
            <w:r w:rsidRPr="006E0A89">
              <w:rPr>
                <w:rFonts w:cs="Arial"/>
                <w:noProof/>
                <w:sz w:val="20"/>
              </w:rPr>
              <w:t> </w:t>
            </w:r>
            <w:r w:rsidRPr="006E0A89">
              <w:rPr>
                <w:rFonts w:cs="Arial"/>
                <w:noProof/>
                <w:sz w:val="20"/>
              </w:rPr>
              <w:t> </w:t>
            </w:r>
            <w:r w:rsidRPr="006E0A89">
              <w:rPr>
                <w:rFonts w:cs="Arial"/>
                <w:noProof/>
                <w:sz w:val="20"/>
              </w:rPr>
              <w:t> </w:t>
            </w:r>
            <w:r w:rsidRPr="006E0A89">
              <w:rPr>
                <w:rFonts w:cs="Arial"/>
                <w:noProof/>
                <w:sz w:val="20"/>
              </w:rPr>
              <w:t> </w:t>
            </w:r>
            <w:r w:rsidRPr="006E0A89">
              <w:rPr>
                <w:rFonts w:cs="Arial"/>
                <w:sz w:val="20"/>
              </w:rPr>
              <w:fldChar w:fldCharType="end"/>
            </w:r>
          </w:p>
        </w:tc>
      </w:tr>
      <w:tr w:rsidR="0069005A" w:rsidRPr="00651181" w14:paraId="79D85CF7" w14:textId="77777777" w:rsidTr="002462AA">
        <w:trPr>
          <w:trHeight w:hRule="exact" w:val="1121"/>
        </w:trPr>
        <w:tc>
          <w:tcPr>
            <w:tcW w:w="10235" w:type="dxa"/>
            <w:gridSpan w:val="6"/>
            <w:tcBorders>
              <w:bottom w:val="single" w:sz="6" w:space="0" w:color="auto"/>
            </w:tcBorders>
            <w:shd w:val="clear" w:color="auto" w:fill="auto"/>
          </w:tcPr>
          <w:p w14:paraId="3B5AB87C" w14:textId="77777777" w:rsidR="0069005A" w:rsidRPr="00F96CCD" w:rsidRDefault="0069005A" w:rsidP="002F427A">
            <w:pPr>
              <w:pStyle w:val="IAPOQ1"/>
              <w:rPr>
                <w:rFonts w:cs="Arial"/>
                <w:szCs w:val="22"/>
              </w:rPr>
            </w:pPr>
            <w:r w:rsidRPr="00651181">
              <w:rPr>
                <w:rFonts w:cs="Arial"/>
              </w:rPr>
              <w:t>Description and scale of key monetised costs</w:t>
            </w:r>
            <w:r w:rsidRPr="00F96CCD">
              <w:rPr>
                <w:rFonts w:cs="Arial"/>
              </w:rPr>
              <w:t xml:space="preserve"> by ‘main affected groups’ </w:t>
            </w:r>
          </w:p>
          <w:p w14:paraId="22643880" w14:textId="3EC9070E" w:rsidR="0069005A" w:rsidRPr="006E0A89" w:rsidRDefault="0069005A" w:rsidP="003765A1">
            <w:pPr>
              <w:pStyle w:val="IAPOA1"/>
              <w:rPr>
                <w:rFonts w:cs="Arial"/>
              </w:rPr>
            </w:pPr>
            <w:r w:rsidRPr="005E39CA">
              <w:rPr>
                <w:rFonts w:cs="Arial"/>
                <w:sz w:val="20"/>
              </w:rPr>
              <w:t xml:space="preserve">None monetised. </w:t>
            </w:r>
            <w:r w:rsidR="00497776" w:rsidRPr="005E39CA">
              <w:rPr>
                <w:rFonts w:cs="Arial"/>
                <w:sz w:val="20"/>
              </w:rPr>
              <w:t xml:space="preserve">The legislation </w:t>
            </w:r>
            <w:r w:rsidR="006B6774" w:rsidRPr="005E39CA">
              <w:rPr>
                <w:rFonts w:cs="Arial"/>
                <w:sz w:val="20"/>
              </w:rPr>
              <w:t>will enable</w:t>
            </w:r>
            <w:r w:rsidR="00497776" w:rsidRPr="005E39CA">
              <w:rPr>
                <w:rFonts w:cs="Arial"/>
                <w:sz w:val="20"/>
              </w:rPr>
              <w:t xml:space="preserve"> the </w:t>
            </w:r>
            <w:r w:rsidR="006B6774" w:rsidRPr="005E39CA">
              <w:rPr>
                <w:rFonts w:cs="Arial"/>
                <w:sz w:val="20"/>
              </w:rPr>
              <w:t>Lord Chancellor, when setting the PIDR,</w:t>
            </w:r>
            <w:r w:rsidR="00497776" w:rsidRPr="005E39CA">
              <w:rPr>
                <w:rFonts w:cs="Arial"/>
                <w:sz w:val="20"/>
              </w:rPr>
              <w:t xml:space="preserve"> to take into account investment strategies appropriate for personal injury claimants</w:t>
            </w:r>
            <w:r w:rsidR="00775B4F" w:rsidRPr="005E39CA">
              <w:rPr>
                <w:rFonts w:cs="Arial"/>
                <w:sz w:val="20"/>
              </w:rPr>
              <w:t>. The rate will not change until the Lord Chancellor conducts the first review under the new framework</w:t>
            </w:r>
            <w:r w:rsidR="00C77489" w:rsidRPr="005E39CA">
              <w:rPr>
                <w:rFonts w:cs="Arial"/>
                <w:sz w:val="20"/>
              </w:rPr>
              <w:t xml:space="preserve"> and so </w:t>
            </w:r>
            <w:r w:rsidR="00C07562">
              <w:rPr>
                <w:rFonts w:cs="Arial"/>
                <w:sz w:val="20"/>
              </w:rPr>
              <w:t xml:space="preserve">the impact of </w:t>
            </w:r>
            <w:r w:rsidR="00C77489" w:rsidRPr="005E39CA">
              <w:rPr>
                <w:rFonts w:cs="Arial"/>
                <w:sz w:val="20"/>
              </w:rPr>
              <w:t>a rate change has not been quantified</w:t>
            </w:r>
            <w:r w:rsidR="00775B4F" w:rsidRPr="005E39CA">
              <w:rPr>
                <w:rFonts w:cs="Arial"/>
                <w:sz w:val="20"/>
              </w:rPr>
              <w:t>.</w:t>
            </w:r>
            <w:r w:rsidRPr="005E39CA">
              <w:rPr>
                <w:rFonts w:cs="Arial"/>
                <w:sz w:val="20"/>
              </w:rPr>
              <w:t xml:space="preserve"> </w:t>
            </w:r>
          </w:p>
        </w:tc>
      </w:tr>
      <w:tr w:rsidR="0069005A" w:rsidRPr="00651181" w14:paraId="5B2AE0B8" w14:textId="77777777" w:rsidTr="000C0F2C">
        <w:trPr>
          <w:trHeight w:hRule="exact" w:val="2384"/>
        </w:trPr>
        <w:tc>
          <w:tcPr>
            <w:tcW w:w="10235" w:type="dxa"/>
            <w:gridSpan w:val="6"/>
            <w:tcBorders>
              <w:top w:val="single" w:sz="6" w:space="0" w:color="auto"/>
              <w:bottom w:val="single" w:sz="12" w:space="0" w:color="auto"/>
            </w:tcBorders>
            <w:shd w:val="clear" w:color="auto" w:fill="auto"/>
          </w:tcPr>
          <w:p w14:paraId="7C736118" w14:textId="77777777" w:rsidR="0069005A" w:rsidRPr="00F96CCD" w:rsidRDefault="0069005A" w:rsidP="002F427A">
            <w:pPr>
              <w:pStyle w:val="IAPOQ2"/>
              <w:rPr>
                <w:rFonts w:cs="Arial"/>
                <w:szCs w:val="22"/>
              </w:rPr>
            </w:pPr>
            <w:r w:rsidRPr="00651181">
              <w:rPr>
                <w:rFonts w:cs="Arial"/>
              </w:rPr>
              <w:t>Other key non-</w:t>
            </w:r>
            <w:r w:rsidRPr="00F96CCD">
              <w:rPr>
                <w:rFonts w:cs="Arial"/>
              </w:rPr>
              <w:t xml:space="preserve">monetised costs by ‘main affected groups’ </w:t>
            </w:r>
          </w:p>
          <w:p w14:paraId="7160CF2D" w14:textId="4116EE3E" w:rsidR="0069005A" w:rsidRPr="005E39CA" w:rsidRDefault="00775B4F" w:rsidP="002F427A">
            <w:pPr>
              <w:pStyle w:val="IAPOA2"/>
              <w:rPr>
                <w:rFonts w:cs="Arial"/>
                <w:sz w:val="20"/>
                <w:szCs w:val="22"/>
              </w:rPr>
            </w:pPr>
            <w:r w:rsidRPr="005E39CA">
              <w:rPr>
                <w:rFonts w:cs="Arial"/>
                <w:sz w:val="20"/>
                <w:szCs w:val="22"/>
              </w:rPr>
              <w:t xml:space="preserve">The methodology for setting the </w:t>
            </w:r>
            <w:r w:rsidR="00C07562">
              <w:rPr>
                <w:rFonts w:cs="Arial"/>
                <w:sz w:val="20"/>
                <w:szCs w:val="22"/>
              </w:rPr>
              <w:t>PIDR</w:t>
            </w:r>
            <w:r w:rsidRPr="005E39CA">
              <w:rPr>
                <w:rFonts w:cs="Arial"/>
                <w:sz w:val="20"/>
                <w:szCs w:val="22"/>
              </w:rPr>
              <w:t xml:space="preserve"> will reflect a low risk diversified investment strategy rather than </w:t>
            </w:r>
            <w:r w:rsidR="00C07562">
              <w:rPr>
                <w:rFonts w:cs="Arial"/>
                <w:sz w:val="20"/>
                <w:szCs w:val="22"/>
              </w:rPr>
              <w:t xml:space="preserve">a </w:t>
            </w:r>
            <w:r w:rsidRPr="005E39CA">
              <w:rPr>
                <w:rFonts w:cs="Arial"/>
                <w:sz w:val="20"/>
                <w:szCs w:val="22"/>
              </w:rPr>
              <w:t xml:space="preserve">very low risk </w:t>
            </w:r>
            <w:r w:rsidR="00C07562">
              <w:rPr>
                <w:rFonts w:cs="Arial"/>
                <w:sz w:val="20"/>
                <w:szCs w:val="22"/>
              </w:rPr>
              <w:t xml:space="preserve">strategy </w:t>
            </w:r>
            <w:r w:rsidRPr="005E39CA">
              <w:rPr>
                <w:rFonts w:cs="Arial"/>
                <w:sz w:val="20"/>
                <w:szCs w:val="22"/>
              </w:rPr>
              <w:t xml:space="preserve">as at present. </w:t>
            </w:r>
            <w:r w:rsidR="00AF1614" w:rsidRPr="005E39CA">
              <w:rPr>
                <w:rFonts w:cs="Arial"/>
                <w:sz w:val="20"/>
                <w:szCs w:val="22"/>
              </w:rPr>
              <w:t xml:space="preserve">This </w:t>
            </w:r>
            <w:r w:rsidR="006B6774" w:rsidRPr="005E39CA">
              <w:rPr>
                <w:rFonts w:cs="Arial"/>
                <w:sz w:val="20"/>
                <w:szCs w:val="22"/>
              </w:rPr>
              <w:t>will</w:t>
            </w:r>
            <w:r w:rsidR="0069005A" w:rsidRPr="005E39CA">
              <w:rPr>
                <w:rFonts w:cs="Arial"/>
                <w:sz w:val="20"/>
                <w:szCs w:val="22"/>
              </w:rPr>
              <w:t xml:space="preserve"> lead to a higher </w:t>
            </w:r>
            <w:r w:rsidR="006B6774" w:rsidRPr="005E39CA">
              <w:rPr>
                <w:rFonts w:cs="Arial"/>
                <w:sz w:val="20"/>
                <w:szCs w:val="22"/>
              </w:rPr>
              <w:t>PIDR</w:t>
            </w:r>
            <w:r w:rsidR="0069005A" w:rsidRPr="005E39CA">
              <w:rPr>
                <w:rFonts w:cs="Arial"/>
                <w:sz w:val="20"/>
                <w:szCs w:val="22"/>
              </w:rPr>
              <w:t xml:space="preserve"> because of the associated higher rates of return realised from such investments. This</w:t>
            </w:r>
            <w:r w:rsidR="00C07562">
              <w:rPr>
                <w:rFonts w:cs="Arial"/>
                <w:sz w:val="20"/>
                <w:szCs w:val="22"/>
              </w:rPr>
              <w:t xml:space="preserve"> </w:t>
            </w:r>
            <w:r w:rsidR="001E021C">
              <w:rPr>
                <w:rFonts w:cs="Arial"/>
                <w:sz w:val="20"/>
                <w:szCs w:val="22"/>
              </w:rPr>
              <w:t>should</w:t>
            </w:r>
            <w:r w:rsidR="0069005A" w:rsidRPr="005E39CA">
              <w:rPr>
                <w:rFonts w:cs="Arial"/>
                <w:sz w:val="20"/>
                <w:szCs w:val="22"/>
              </w:rPr>
              <w:t xml:space="preserve"> result in smaller lump sum compensation payments</w:t>
            </w:r>
            <w:r w:rsidR="00E4334D">
              <w:rPr>
                <w:rFonts w:cs="Arial"/>
                <w:sz w:val="20"/>
                <w:szCs w:val="22"/>
              </w:rPr>
              <w:t>,</w:t>
            </w:r>
            <w:r w:rsidR="00C07562">
              <w:rPr>
                <w:rFonts w:cs="Arial"/>
                <w:sz w:val="20"/>
                <w:szCs w:val="22"/>
              </w:rPr>
              <w:t xml:space="preserve"> </w:t>
            </w:r>
            <w:r w:rsidR="0069005A" w:rsidRPr="005E39CA">
              <w:rPr>
                <w:rFonts w:cs="Arial"/>
                <w:sz w:val="20"/>
                <w:szCs w:val="22"/>
              </w:rPr>
              <w:t xml:space="preserve">which </w:t>
            </w:r>
            <w:r w:rsidR="00E4334D">
              <w:rPr>
                <w:rFonts w:cs="Arial"/>
                <w:sz w:val="20"/>
                <w:szCs w:val="22"/>
              </w:rPr>
              <w:t>will</w:t>
            </w:r>
            <w:r w:rsidR="0069005A" w:rsidRPr="005E39CA">
              <w:rPr>
                <w:rFonts w:cs="Arial"/>
                <w:sz w:val="20"/>
                <w:szCs w:val="22"/>
              </w:rPr>
              <w:t xml:space="preserve"> be a cost to claimants</w:t>
            </w:r>
            <w:r w:rsidR="00E4334D">
              <w:rPr>
                <w:rFonts w:cs="Arial"/>
                <w:sz w:val="20"/>
                <w:szCs w:val="22"/>
              </w:rPr>
              <w:t>,</w:t>
            </w:r>
            <w:r w:rsidRPr="005E39CA">
              <w:rPr>
                <w:rFonts w:cs="Arial"/>
                <w:sz w:val="20"/>
                <w:szCs w:val="22"/>
              </w:rPr>
              <w:t xml:space="preserve"> </w:t>
            </w:r>
            <w:r w:rsidR="007E4519" w:rsidRPr="005E39CA">
              <w:rPr>
                <w:rFonts w:cs="Arial"/>
                <w:sz w:val="20"/>
                <w:szCs w:val="22"/>
              </w:rPr>
              <w:t>and</w:t>
            </w:r>
            <w:r w:rsidR="0028748A" w:rsidRPr="005E39CA">
              <w:rPr>
                <w:rFonts w:cs="Arial"/>
                <w:sz w:val="20"/>
                <w:szCs w:val="22"/>
              </w:rPr>
              <w:t xml:space="preserve"> a wider spread of outcomes (both losers and winners)</w:t>
            </w:r>
            <w:r w:rsidR="00AF1614" w:rsidRPr="005E39CA">
              <w:rPr>
                <w:rFonts w:cs="Arial"/>
                <w:sz w:val="20"/>
                <w:szCs w:val="22"/>
              </w:rPr>
              <w:t xml:space="preserve"> than at present</w:t>
            </w:r>
            <w:r w:rsidR="0028748A" w:rsidRPr="005E39CA">
              <w:rPr>
                <w:rFonts w:cs="Arial"/>
                <w:sz w:val="20"/>
                <w:szCs w:val="22"/>
              </w:rPr>
              <w:t xml:space="preserve">. </w:t>
            </w:r>
            <w:r w:rsidR="0069005A" w:rsidRPr="005E39CA">
              <w:rPr>
                <w:rFonts w:cs="Arial"/>
                <w:sz w:val="20"/>
                <w:szCs w:val="22"/>
              </w:rPr>
              <w:t xml:space="preserve">Some claimants with a low appetite for risk may face increased costs associated with </w:t>
            </w:r>
            <w:r w:rsidR="00E4334D">
              <w:rPr>
                <w:rFonts w:cs="Arial"/>
                <w:sz w:val="20"/>
                <w:szCs w:val="22"/>
              </w:rPr>
              <w:t xml:space="preserve">the </w:t>
            </w:r>
            <w:r w:rsidR="0069005A" w:rsidRPr="005E39CA">
              <w:rPr>
                <w:rFonts w:cs="Arial"/>
                <w:sz w:val="20"/>
                <w:szCs w:val="22"/>
              </w:rPr>
              <w:t xml:space="preserve">volatility of investments or lower returns </w:t>
            </w:r>
            <w:r w:rsidR="002E58A3" w:rsidRPr="005E39CA">
              <w:rPr>
                <w:rFonts w:cs="Arial"/>
                <w:sz w:val="20"/>
                <w:szCs w:val="22"/>
              </w:rPr>
              <w:t xml:space="preserve">than implied by the PIDR </w:t>
            </w:r>
            <w:r w:rsidR="0069005A" w:rsidRPr="005E39CA">
              <w:rPr>
                <w:rFonts w:cs="Arial"/>
                <w:sz w:val="20"/>
                <w:szCs w:val="22"/>
              </w:rPr>
              <w:t xml:space="preserve">depending on their investment behaviour. </w:t>
            </w:r>
            <w:r w:rsidR="00B57424">
              <w:rPr>
                <w:rFonts w:cs="Arial"/>
                <w:sz w:val="20"/>
                <w:szCs w:val="22"/>
              </w:rPr>
              <w:t xml:space="preserve">The Lord Chancellor will be able to take account of the risk of any under-compensation when setting the rate and may draw upon the </w:t>
            </w:r>
            <w:r w:rsidR="00B57424" w:rsidRPr="002462AA">
              <w:rPr>
                <w:rFonts w:cs="Arial"/>
                <w:sz w:val="20"/>
                <w:szCs w:val="22"/>
              </w:rPr>
              <w:t xml:space="preserve">advice </w:t>
            </w:r>
            <w:r w:rsidR="00A25272" w:rsidRPr="002462AA">
              <w:rPr>
                <w:rFonts w:cs="Arial"/>
                <w:sz w:val="20"/>
                <w:szCs w:val="22"/>
              </w:rPr>
              <w:t>from t</w:t>
            </w:r>
            <w:r w:rsidR="0039677E" w:rsidRPr="002462AA">
              <w:rPr>
                <w:rFonts w:cs="Arial"/>
                <w:sz w:val="20"/>
                <w:szCs w:val="22"/>
              </w:rPr>
              <w:t xml:space="preserve">he Government Actuary (first review of the rate), or the independent panel chaired by </w:t>
            </w:r>
            <w:r w:rsidR="00B57424" w:rsidRPr="002462AA">
              <w:rPr>
                <w:rFonts w:cs="Arial"/>
                <w:sz w:val="20"/>
                <w:szCs w:val="22"/>
              </w:rPr>
              <w:t xml:space="preserve">the </w:t>
            </w:r>
            <w:r w:rsidR="00005F90" w:rsidRPr="002462AA">
              <w:rPr>
                <w:rFonts w:cs="Arial"/>
                <w:sz w:val="20"/>
                <w:szCs w:val="22"/>
              </w:rPr>
              <w:t>Government Actuary</w:t>
            </w:r>
            <w:r w:rsidR="00B57424" w:rsidRPr="002462AA">
              <w:rPr>
                <w:rFonts w:cs="Arial"/>
                <w:sz w:val="20"/>
                <w:szCs w:val="22"/>
              </w:rPr>
              <w:t xml:space="preserve"> </w:t>
            </w:r>
            <w:r w:rsidR="00005F90" w:rsidRPr="002462AA">
              <w:rPr>
                <w:rFonts w:cs="Arial"/>
                <w:sz w:val="20"/>
                <w:szCs w:val="22"/>
              </w:rPr>
              <w:t>(</w:t>
            </w:r>
            <w:r w:rsidR="0039677E" w:rsidRPr="002462AA">
              <w:rPr>
                <w:rFonts w:cs="Arial"/>
                <w:sz w:val="20"/>
                <w:szCs w:val="22"/>
              </w:rPr>
              <w:t>second and subsequent reviews</w:t>
            </w:r>
            <w:r w:rsidR="00005F90" w:rsidRPr="002462AA">
              <w:rPr>
                <w:rFonts w:cs="Arial"/>
                <w:sz w:val="20"/>
                <w:szCs w:val="22"/>
              </w:rPr>
              <w:t xml:space="preserve">) </w:t>
            </w:r>
            <w:r w:rsidR="00B57424" w:rsidRPr="002462AA">
              <w:rPr>
                <w:rFonts w:cs="Arial"/>
                <w:sz w:val="20"/>
                <w:szCs w:val="22"/>
              </w:rPr>
              <w:t>when doing so.</w:t>
            </w:r>
          </w:p>
          <w:p w14:paraId="29F8DC1F" w14:textId="77777777" w:rsidR="0069005A" w:rsidRDefault="0069005A" w:rsidP="002F427A">
            <w:pPr>
              <w:pStyle w:val="IAPOA2"/>
              <w:rPr>
                <w:rFonts w:cs="Arial"/>
                <w:szCs w:val="22"/>
              </w:rPr>
            </w:pPr>
          </w:p>
          <w:p w14:paraId="4B2164F5" w14:textId="77777777" w:rsidR="0069005A" w:rsidRPr="006E0A89" w:rsidRDefault="0069005A" w:rsidP="002F427A">
            <w:pPr>
              <w:pStyle w:val="IAPOA2"/>
              <w:rPr>
                <w:rFonts w:cs="Arial"/>
                <w:szCs w:val="22"/>
              </w:rPr>
            </w:pPr>
          </w:p>
        </w:tc>
      </w:tr>
      <w:tr w:rsidR="0069005A" w:rsidRPr="00651181" w14:paraId="7FB598D7" w14:textId="77777777" w:rsidTr="002F427A">
        <w:trPr>
          <w:trHeight w:hRule="exact" w:val="567"/>
        </w:trPr>
        <w:tc>
          <w:tcPr>
            <w:tcW w:w="1995" w:type="dxa"/>
            <w:shd w:val="clear" w:color="auto" w:fill="FFFFFF"/>
          </w:tcPr>
          <w:p w14:paraId="16FBEB42" w14:textId="77777777" w:rsidR="0069005A" w:rsidRPr="00651181" w:rsidRDefault="0069005A" w:rsidP="002F427A">
            <w:pPr>
              <w:pStyle w:val="IATableLabel"/>
              <w:rPr>
                <w:rFonts w:cs="Arial"/>
                <w:sz w:val="24"/>
                <w:szCs w:val="24"/>
              </w:rPr>
            </w:pPr>
            <w:r w:rsidRPr="00651181">
              <w:rPr>
                <w:rFonts w:cs="Arial"/>
                <w:sz w:val="24"/>
                <w:szCs w:val="24"/>
              </w:rPr>
              <w:t>BENEFITS (£m)</w:t>
            </w:r>
          </w:p>
        </w:tc>
        <w:tc>
          <w:tcPr>
            <w:tcW w:w="2739" w:type="dxa"/>
            <w:gridSpan w:val="2"/>
            <w:tcBorders>
              <w:top w:val="single" w:sz="12" w:space="0" w:color="auto"/>
              <w:bottom w:val="single" w:sz="6" w:space="0" w:color="auto"/>
            </w:tcBorders>
            <w:shd w:val="clear" w:color="auto" w:fill="auto"/>
          </w:tcPr>
          <w:p w14:paraId="597CF27B" w14:textId="77777777" w:rsidR="0069005A" w:rsidRPr="0051753E" w:rsidRDefault="0069005A" w:rsidP="002F427A">
            <w:pPr>
              <w:pStyle w:val="IATableLabel"/>
              <w:tabs>
                <w:tab w:val="right" w:pos="1797"/>
                <w:tab w:val="center" w:pos="2340"/>
              </w:tabs>
              <w:jc w:val="right"/>
              <w:rPr>
                <w:rFonts w:cs="Arial"/>
              </w:rPr>
            </w:pPr>
            <w:r w:rsidRPr="00F96CCD">
              <w:rPr>
                <w:rFonts w:cs="Arial"/>
              </w:rPr>
              <w:t xml:space="preserve">Total Transition </w:t>
            </w:r>
            <w:r w:rsidRPr="00F96CCD">
              <w:rPr>
                <w:rFonts w:cs="Arial"/>
              </w:rPr>
              <w:br/>
            </w:r>
            <w:r w:rsidRPr="00F96CCD">
              <w:rPr>
                <w:rFonts w:cs="Arial"/>
              </w:rPr>
              <w:tab/>
            </w:r>
            <w:r w:rsidRPr="00DC036C">
              <w:rPr>
                <w:rFonts w:cs="Arial"/>
                <w:b w:val="0"/>
                <w:sz w:val="18"/>
                <w:szCs w:val="18"/>
              </w:rPr>
              <w:t>(Constant Price)</w:t>
            </w:r>
            <w:r w:rsidRPr="00DC036C">
              <w:rPr>
                <w:rFonts w:cs="Arial"/>
              </w:rPr>
              <w:tab/>
            </w:r>
            <w:r w:rsidRPr="0051753E">
              <w:rPr>
                <w:rFonts w:cs="Arial"/>
                <w:b w:val="0"/>
                <w:sz w:val="18"/>
                <w:szCs w:val="18"/>
              </w:rPr>
              <w:t>Yea</w:t>
            </w:r>
            <w:r w:rsidRPr="0051753E">
              <w:rPr>
                <w:rFonts w:cs="Arial"/>
                <w:b w:val="0"/>
                <w:bCs/>
                <w:sz w:val="18"/>
                <w:szCs w:val="18"/>
              </w:rPr>
              <w:t>r</w:t>
            </w:r>
            <w:r w:rsidRPr="0051753E">
              <w:rPr>
                <w:rFonts w:cs="Arial"/>
                <w:b w:val="0"/>
                <w:sz w:val="18"/>
                <w:szCs w:val="18"/>
              </w:rPr>
              <w:t>s</w:t>
            </w:r>
          </w:p>
          <w:p w14:paraId="296F38AB" w14:textId="77777777" w:rsidR="0069005A" w:rsidRPr="003473EB" w:rsidRDefault="0069005A" w:rsidP="002F427A">
            <w:pPr>
              <w:pStyle w:val="IATableLabel"/>
              <w:jc w:val="right"/>
              <w:rPr>
                <w:rFonts w:cs="Arial"/>
              </w:rPr>
            </w:pPr>
            <w:r w:rsidRPr="0051753E">
              <w:rPr>
                <w:rFonts w:cs="Arial"/>
              </w:rPr>
              <w:br/>
            </w:r>
          </w:p>
        </w:tc>
        <w:tc>
          <w:tcPr>
            <w:tcW w:w="2865" w:type="dxa"/>
            <w:tcBorders>
              <w:bottom w:val="single" w:sz="6" w:space="0" w:color="auto"/>
              <w:right w:val="single" w:sz="12" w:space="0" w:color="auto"/>
            </w:tcBorders>
            <w:shd w:val="clear" w:color="auto" w:fill="auto"/>
          </w:tcPr>
          <w:p w14:paraId="2ADDC5C0" w14:textId="77777777" w:rsidR="0069005A" w:rsidRPr="00651181" w:rsidRDefault="0069005A" w:rsidP="002F427A">
            <w:pPr>
              <w:pStyle w:val="IATableLabel"/>
              <w:jc w:val="right"/>
              <w:rPr>
                <w:rFonts w:cs="Arial"/>
                <w:bCs/>
              </w:rPr>
            </w:pPr>
            <w:r w:rsidRPr="003473EB">
              <w:rPr>
                <w:rFonts w:cs="Arial"/>
              </w:rPr>
              <w:t xml:space="preserve">Average Annual </w:t>
            </w:r>
            <w:r w:rsidRPr="003473EB">
              <w:rPr>
                <w:rFonts w:cs="Arial"/>
              </w:rPr>
              <w:br/>
            </w:r>
            <w:r w:rsidRPr="006E0A89">
              <w:rPr>
                <w:rFonts w:cs="Arial"/>
                <w:b w:val="0"/>
                <w:sz w:val="18"/>
                <w:szCs w:val="18"/>
              </w:rPr>
              <w:t xml:space="preserve">(excl. Transition) </w:t>
            </w:r>
            <w:r w:rsidRPr="0065118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18F8111F" w14:textId="77777777" w:rsidR="0069005A" w:rsidRPr="0051753E" w:rsidRDefault="0069005A" w:rsidP="002F427A">
            <w:pPr>
              <w:pStyle w:val="IATableLabel"/>
              <w:jc w:val="right"/>
              <w:rPr>
                <w:rFonts w:cs="Arial"/>
              </w:rPr>
            </w:pPr>
            <w:r w:rsidRPr="0051753E">
              <w:rPr>
                <w:rFonts w:cs="Arial"/>
              </w:rPr>
              <w:t>Total Benefit</w:t>
            </w:r>
            <w:r w:rsidRPr="0051753E">
              <w:rPr>
                <w:rFonts w:cs="Arial"/>
                <w:b w:val="0"/>
                <w:sz w:val="18"/>
                <w:szCs w:val="18"/>
              </w:rPr>
              <w:t xml:space="preserve"> </w:t>
            </w:r>
            <w:r w:rsidRPr="0051753E">
              <w:rPr>
                <w:rFonts w:cs="Arial"/>
                <w:b w:val="0"/>
                <w:sz w:val="18"/>
                <w:szCs w:val="18"/>
              </w:rPr>
              <w:br/>
              <w:t>(Present Value)</w:t>
            </w:r>
          </w:p>
        </w:tc>
      </w:tr>
      <w:tr w:rsidR="0069005A" w:rsidRPr="00651181" w14:paraId="4A46A08D" w14:textId="77777777" w:rsidTr="002F427A">
        <w:trPr>
          <w:trHeight w:hRule="exact" w:val="348"/>
        </w:trPr>
        <w:tc>
          <w:tcPr>
            <w:tcW w:w="1995" w:type="dxa"/>
            <w:tcBorders>
              <w:top w:val="single" w:sz="6" w:space="0" w:color="auto"/>
              <w:bottom w:val="single" w:sz="6" w:space="0" w:color="auto"/>
            </w:tcBorders>
            <w:shd w:val="clear" w:color="auto" w:fill="auto"/>
            <w:vAlign w:val="center"/>
          </w:tcPr>
          <w:p w14:paraId="74B5745A" w14:textId="77777777" w:rsidR="0069005A" w:rsidRPr="00651181" w:rsidRDefault="0069005A" w:rsidP="002F427A">
            <w:pPr>
              <w:pStyle w:val="IATableLabel"/>
              <w:rPr>
                <w:rFonts w:cs="Arial"/>
              </w:rPr>
            </w:pPr>
            <w:r w:rsidRPr="00651181">
              <w:rPr>
                <w:rFonts w:cs="Arial"/>
              </w:rPr>
              <w:t xml:space="preserve">Low </w:t>
            </w:r>
          </w:p>
        </w:tc>
        <w:tc>
          <w:tcPr>
            <w:tcW w:w="1949" w:type="dxa"/>
            <w:tcBorders>
              <w:top w:val="single" w:sz="6" w:space="0" w:color="auto"/>
              <w:bottom w:val="single" w:sz="6" w:space="0" w:color="auto"/>
            </w:tcBorders>
            <w:shd w:val="clear" w:color="auto" w:fill="auto"/>
            <w:vAlign w:val="center"/>
          </w:tcPr>
          <w:p w14:paraId="703D9176" w14:textId="77777777" w:rsidR="0069005A" w:rsidRPr="006E0A89" w:rsidRDefault="0069005A" w:rsidP="002F427A">
            <w:pPr>
              <w:pStyle w:val="POTTBenLow"/>
              <w:rPr>
                <w:rFonts w:cs="Arial"/>
                <w:sz w:val="20"/>
              </w:rPr>
            </w:pPr>
          </w:p>
        </w:tc>
        <w:tc>
          <w:tcPr>
            <w:tcW w:w="790" w:type="dxa"/>
            <w:vMerge w:val="restart"/>
            <w:tcBorders>
              <w:top w:val="single" w:sz="6" w:space="0" w:color="auto"/>
            </w:tcBorders>
            <w:shd w:val="clear" w:color="auto" w:fill="auto"/>
            <w:vAlign w:val="center"/>
          </w:tcPr>
          <w:p w14:paraId="050243F2" w14:textId="77777777" w:rsidR="0069005A" w:rsidRPr="006E0A89" w:rsidRDefault="0069005A" w:rsidP="002F427A">
            <w:pPr>
              <w:pStyle w:val="IATableText"/>
              <w:jc w:val="center"/>
              <w:rPr>
                <w:rFonts w:cs="Arial"/>
                <w:sz w:val="20"/>
              </w:rPr>
            </w:pPr>
            <w:r w:rsidRPr="006E0A89">
              <w:rPr>
                <w:rFonts w:cs="Arial"/>
                <w:sz w:val="20"/>
              </w:rPr>
              <w:fldChar w:fldCharType="begin">
                <w:ffData>
                  <w:name w:val="Text48"/>
                  <w:enabled/>
                  <w:calcOnExit w:val="0"/>
                  <w:textInput>
                    <w:maxLength w:val="3"/>
                  </w:textInput>
                </w:ffData>
              </w:fldChar>
            </w:r>
            <w:r w:rsidRPr="006E0A89">
              <w:rPr>
                <w:rFonts w:cs="Arial"/>
                <w:sz w:val="20"/>
              </w:rPr>
              <w:instrText xml:space="preserve"> FORMTEXT </w:instrText>
            </w:r>
            <w:r w:rsidRPr="006E0A89">
              <w:rPr>
                <w:rFonts w:cs="Arial"/>
                <w:sz w:val="20"/>
              </w:rPr>
            </w:r>
            <w:r w:rsidRPr="006E0A89">
              <w:rPr>
                <w:rFonts w:cs="Arial"/>
                <w:sz w:val="20"/>
              </w:rPr>
              <w:fldChar w:fldCharType="separate"/>
            </w:r>
            <w:r w:rsidRPr="006E0A89">
              <w:rPr>
                <w:rFonts w:cs="Arial"/>
                <w:noProof/>
                <w:sz w:val="20"/>
              </w:rPr>
              <w:t> </w:t>
            </w:r>
            <w:r w:rsidRPr="006E0A89">
              <w:rPr>
                <w:rFonts w:cs="Arial"/>
                <w:noProof/>
                <w:sz w:val="20"/>
              </w:rPr>
              <w:t> </w:t>
            </w:r>
            <w:r w:rsidRPr="006E0A89">
              <w:rPr>
                <w:rFonts w:cs="Arial"/>
                <w:noProof/>
                <w:sz w:val="20"/>
              </w:rPr>
              <w:t> </w:t>
            </w:r>
            <w:r w:rsidRPr="006E0A89">
              <w:rPr>
                <w:rFonts w:cs="Arial"/>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42F559EE" w14:textId="77777777" w:rsidR="0069005A" w:rsidRPr="006E0A89" w:rsidRDefault="0069005A" w:rsidP="002F427A">
            <w:pPr>
              <w:pStyle w:val="POAABenLow"/>
              <w:rPr>
                <w:rFonts w:cs="Arial"/>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5987D015" w14:textId="77777777" w:rsidR="0069005A" w:rsidRPr="006E0A89" w:rsidRDefault="0069005A" w:rsidP="002F427A">
            <w:pPr>
              <w:pStyle w:val="POTBBenLow"/>
              <w:rPr>
                <w:rFonts w:cs="Arial"/>
                <w:sz w:val="20"/>
              </w:rPr>
            </w:pPr>
          </w:p>
        </w:tc>
      </w:tr>
      <w:tr w:rsidR="0069005A" w:rsidRPr="00651181" w14:paraId="091BAE56" w14:textId="77777777" w:rsidTr="002F427A">
        <w:trPr>
          <w:trHeight w:hRule="exact" w:val="348"/>
        </w:trPr>
        <w:tc>
          <w:tcPr>
            <w:tcW w:w="1995" w:type="dxa"/>
            <w:tcBorders>
              <w:top w:val="single" w:sz="6" w:space="0" w:color="auto"/>
              <w:bottom w:val="single" w:sz="12" w:space="0" w:color="auto"/>
            </w:tcBorders>
            <w:shd w:val="clear" w:color="auto" w:fill="auto"/>
            <w:vAlign w:val="center"/>
          </w:tcPr>
          <w:p w14:paraId="128A22C8" w14:textId="77777777" w:rsidR="0069005A" w:rsidRPr="00651181" w:rsidRDefault="0069005A" w:rsidP="002F427A">
            <w:pPr>
              <w:pStyle w:val="IATableLabel"/>
              <w:rPr>
                <w:rFonts w:cs="Arial"/>
              </w:rPr>
            </w:pPr>
            <w:r w:rsidRPr="00651181">
              <w:rPr>
                <w:rFonts w:cs="Arial"/>
              </w:rPr>
              <w:t xml:space="preserve">High </w:t>
            </w:r>
          </w:p>
        </w:tc>
        <w:tc>
          <w:tcPr>
            <w:tcW w:w="1949" w:type="dxa"/>
            <w:tcBorders>
              <w:top w:val="single" w:sz="6" w:space="0" w:color="auto"/>
              <w:bottom w:val="single" w:sz="12" w:space="0" w:color="auto"/>
            </w:tcBorders>
            <w:shd w:val="clear" w:color="auto" w:fill="auto"/>
            <w:vAlign w:val="center"/>
          </w:tcPr>
          <w:p w14:paraId="5865192A" w14:textId="77777777" w:rsidR="0069005A" w:rsidRPr="006E0A89" w:rsidRDefault="0069005A" w:rsidP="002F427A">
            <w:pPr>
              <w:pStyle w:val="POTTBenHigh"/>
              <w:rPr>
                <w:rFonts w:cs="Arial"/>
                <w:sz w:val="20"/>
              </w:rPr>
            </w:pPr>
          </w:p>
        </w:tc>
        <w:tc>
          <w:tcPr>
            <w:tcW w:w="790" w:type="dxa"/>
            <w:vMerge/>
            <w:shd w:val="clear" w:color="auto" w:fill="FFFFFF"/>
            <w:vAlign w:val="center"/>
          </w:tcPr>
          <w:p w14:paraId="3983372D" w14:textId="77777777" w:rsidR="0069005A" w:rsidRPr="006E0A89" w:rsidRDefault="0069005A" w:rsidP="002F427A">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79E887CB" w14:textId="77777777" w:rsidR="0069005A" w:rsidRPr="006E0A89" w:rsidRDefault="0069005A" w:rsidP="002F427A">
            <w:pPr>
              <w:pStyle w:val="POAABenHigh"/>
              <w:rPr>
                <w:rFonts w:cs="Arial"/>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68AE7DC4" w14:textId="77777777" w:rsidR="0069005A" w:rsidRPr="006E0A89" w:rsidRDefault="0069005A" w:rsidP="002F427A">
            <w:pPr>
              <w:pStyle w:val="POTBBenHigh"/>
              <w:rPr>
                <w:rFonts w:cs="Arial"/>
                <w:sz w:val="20"/>
              </w:rPr>
            </w:pPr>
          </w:p>
        </w:tc>
      </w:tr>
      <w:tr w:rsidR="0069005A" w:rsidRPr="00651181" w14:paraId="7EC0A4B2" w14:textId="77777777" w:rsidTr="002F427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05FBBC76" w14:textId="77777777" w:rsidR="0069005A" w:rsidRPr="00F96CCD" w:rsidRDefault="0069005A" w:rsidP="002F427A">
            <w:pPr>
              <w:pStyle w:val="IATableLabel"/>
              <w:rPr>
                <w:rFonts w:cs="Arial"/>
              </w:rPr>
            </w:pPr>
            <w:r w:rsidRPr="00651181">
              <w:rPr>
                <w:rFonts w:cs="Arial"/>
              </w:rPr>
              <w:t>Best E</w:t>
            </w:r>
            <w:r w:rsidRPr="00F96CCD">
              <w:rPr>
                <w:rFonts w:cs="Arial"/>
              </w:rPr>
              <w:t>stimate</w:t>
            </w:r>
          </w:p>
          <w:p w14:paraId="2579BC95" w14:textId="77777777" w:rsidR="0069005A" w:rsidRPr="00F96CCD" w:rsidRDefault="0069005A" w:rsidP="002F427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A445F12" w14:textId="77777777" w:rsidR="0069005A" w:rsidRPr="006E0A89" w:rsidRDefault="0069005A" w:rsidP="002F427A">
            <w:pPr>
              <w:pStyle w:val="POTTBenBest"/>
              <w:rPr>
                <w:rFonts w:cs="Arial"/>
                <w:sz w:val="20"/>
              </w:rPr>
            </w:pPr>
            <w:r>
              <w:rPr>
                <w:rFonts w:cs="Arial"/>
                <w:sz w:val="20"/>
              </w:rPr>
              <w:t>NQ</w:t>
            </w:r>
          </w:p>
        </w:tc>
        <w:tc>
          <w:tcPr>
            <w:tcW w:w="790" w:type="dxa"/>
            <w:vMerge/>
            <w:tcBorders>
              <w:left w:val="single" w:sz="12" w:space="0" w:color="auto"/>
              <w:right w:val="single" w:sz="12" w:space="0" w:color="auto"/>
            </w:tcBorders>
            <w:shd w:val="clear" w:color="auto" w:fill="FFFFFF"/>
            <w:vAlign w:val="center"/>
          </w:tcPr>
          <w:p w14:paraId="3BFFFF32" w14:textId="77777777" w:rsidR="0069005A" w:rsidRPr="006E0A89" w:rsidRDefault="0069005A" w:rsidP="002F427A">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66EDE9D8" w14:textId="77777777" w:rsidR="0069005A" w:rsidRPr="006E0A89" w:rsidRDefault="0069005A" w:rsidP="002F427A">
            <w:pPr>
              <w:pStyle w:val="POAABenBest"/>
              <w:rPr>
                <w:rFonts w:cs="Arial"/>
                <w:sz w:val="20"/>
              </w:rPr>
            </w:pPr>
            <w:r>
              <w:rPr>
                <w:rFonts w:cs="Arial"/>
                <w:sz w:val="20"/>
              </w:rPr>
              <w:t>NQ</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5030E4A6" w14:textId="77777777" w:rsidR="0069005A" w:rsidRPr="006E0A89" w:rsidRDefault="0069005A" w:rsidP="002F427A">
            <w:pPr>
              <w:pStyle w:val="POTBBenBest"/>
              <w:rPr>
                <w:rFonts w:cs="Arial"/>
                <w:sz w:val="20"/>
              </w:rPr>
            </w:pPr>
            <w:r>
              <w:rPr>
                <w:rFonts w:cs="Arial"/>
                <w:sz w:val="20"/>
              </w:rPr>
              <w:t>NQ</w:t>
            </w:r>
          </w:p>
        </w:tc>
      </w:tr>
      <w:tr w:rsidR="0069005A" w:rsidRPr="00651181" w14:paraId="0439173B" w14:textId="77777777" w:rsidTr="00D52681">
        <w:trPr>
          <w:trHeight w:hRule="exact" w:val="1240"/>
        </w:trPr>
        <w:tc>
          <w:tcPr>
            <w:tcW w:w="10235" w:type="dxa"/>
            <w:gridSpan w:val="6"/>
            <w:shd w:val="clear" w:color="auto" w:fill="auto"/>
          </w:tcPr>
          <w:p w14:paraId="3F7B2C30" w14:textId="77777777" w:rsidR="0069005A" w:rsidRPr="00CA770B" w:rsidRDefault="0069005A" w:rsidP="002F427A">
            <w:pPr>
              <w:pStyle w:val="IPPOQ3"/>
              <w:rPr>
                <w:rFonts w:cs="Arial"/>
                <w:szCs w:val="22"/>
              </w:rPr>
            </w:pPr>
            <w:r w:rsidRPr="00651181">
              <w:rPr>
                <w:rFonts w:cs="Arial"/>
              </w:rPr>
              <w:t xml:space="preserve">Description and scale of key monetised </w:t>
            </w:r>
            <w:r w:rsidRPr="00F96CCD">
              <w:rPr>
                <w:rFonts w:cs="Arial"/>
              </w:rPr>
              <w:t xml:space="preserve">benefits by ‘main affected groups’ </w:t>
            </w:r>
          </w:p>
          <w:p w14:paraId="735AFA16" w14:textId="27BE8D1A" w:rsidR="0069005A" w:rsidRPr="006E0A89" w:rsidRDefault="0069005A">
            <w:pPr>
              <w:pStyle w:val="IAPOA3"/>
              <w:rPr>
                <w:rFonts w:cs="Arial"/>
              </w:rPr>
            </w:pPr>
            <w:r w:rsidRPr="005E39CA">
              <w:rPr>
                <w:rFonts w:cs="Arial"/>
                <w:sz w:val="20"/>
              </w:rPr>
              <w:t xml:space="preserve">None monetised. </w:t>
            </w:r>
            <w:r w:rsidR="00497776" w:rsidRPr="005E39CA">
              <w:rPr>
                <w:rFonts w:cs="Arial"/>
                <w:sz w:val="20"/>
              </w:rPr>
              <w:t xml:space="preserve">The legislation </w:t>
            </w:r>
            <w:r w:rsidR="006B6774" w:rsidRPr="005E39CA">
              <w:rPr>
                <w:rFonts w:cs="Arial"/>
                <w:sz w:val="20"/>
              </w:rPr>
              <w:t xml:space="preserve">will </w:t>
            </w:r>
            <w:r w:rsidR="00497776" w:rsidRPr="005E39CA">
              <w:rPr>
                <w:rFonts w:cs="Arial"/>
                <w:sz w:val="20"/>
              </w:rPr>
              <w:t xml:space="preserve">enable the </w:t>
            </w:r>
            <w:r w:rsidR="006B6774" w:rsidRPr="005E39CA">
              <w:rPr>
                <w:rFonts w:cs="Arial"/>
                <w:sz w:val="20"/>
              </w:rPr>
              <w:t>Lord Chancellor, when setting the PIDR,</w:t>
            </w:r>
            <w:r w:rsidR="00497776" w:rsidRPr="005E39CA">
              <w:rPr>
                <w:rFonts w:cs="Arial"/>
                <w:sz w:val="20"/>
              </w:rPr>
              <w:t xml:space="preserve"> to take into account investment strategies appropriate for personal injury claimants</w:t>
            </w:r>
            <w:r w:rsidR="002E58A3" w:rsidRPr="005E39CA">
              <w:rPr>
                <w:rFonts w:cs="Arial"/>
                <w:sz w:val="20"/>
              </w:rPr>
              <w:t>.</w:t>
            </w:r>
            <w:r w:rsidR="00497776" w:rsidRPr="005E39CA">
              <w:rPr>
                <w:rFonts w:cs="Arial"/>
                <w:sz w:val="20"/>
              </w:rPr>
              <w:t xml:space="preserve"> </w:t>
            </w:r>
            <w:r w:rsidR="00441136" w:rsidRPr="005E39CA">
              <w:rPr>
                <w:rFonts w:cs="Arial"/>
                <w:sz w:val="20"/>
              </w:rPr>
              <w:t>The rate will not change until the Lord Chancellor conducts the first review under the new framework</w:t>
            </w:r>
            <w:r w:rsidR="00C77489" w:rsidRPr="005E39CA">
              <w:rPr>
                <w:rFonts w:cs="Arial"/>
                <w:sz w:val="20"/>
              </w:rPr>
              <w:t xml:space="preserve"> and so </w:t>
            </w:r>
            <w:r w:rsidR="00E4334D">
              <w:rPr>
                <w:rFonts w:cs="Arial"/>
                <w:sz w:val="20"/>
              </w:rPr>
              <w:t>the impact of</w:t>
            </w:r>
            <w:r w:rsidR="00C77489" w:rsidRPr="005E39CA">
              <w:rPr>
                <w:rFonts w:cs="Arial"/>
                <w:sz w:val="20"/>
              </w:rPr>
              <w:t xml:space="preserve"> rate change has not been quantified</w:t>
            </w:r>
            <w:r w:rsidR="00441136" w:rsidRPr="005E39CA">
              <w:rPr>
                <w:rFonts w:cs="Arial"/>
                <w:sz w:val="20"/>
              </w:rPr>
              <w:t xml:space="preserve">. </w:t>
            </w:r>
          </w:p>
        </w:tc>
      </w:tr>
      <w:tr w:rsidR="0069005A" w:rsidRPr="00651181" w14:paraId="6FEB9380" w14:textId="77777777" w:rsidTr="00055446">
        <w:trPr>
          <w:trHeight w:hRule="exact" w:val="1838"/>
        </w:trPr>
        <w:tc>
          <w:tcPr>
            <w:tcW w:w="10235" w:type="dxa"/>
            <w:gridSpan w:val="6"/>
            <w:shd w:val="clear" w:color="auto" w:fill="auto"/>
          </w:tcPr>
          <w:p w14:paraId="1D3CE204" w14:textId="77777777" w:rsidR="0069005A" w:rsidRPr="00F96CCD" w:rsidRDefault="0069005A" w:rsidP="002F427A">
            <w:pPr>
              <w:pStyle w:val="IAPOQ4"/>
              <w:rPr>
                <w:rFonts w:cs="Arial"/>
                <w:szCs w:val="22"/>
              </w:rPr>
            </w:pPr>
            <w:r w:rsidRPr="00651181">
              <w:rPr>
                <w:rFonts w:cs="Arial"/>
              </w:rPr>
              <w:t xml:space="preserve">Other key non-monetised </w:t>
            </w:r>
            <w:r w:rsidRPr="00F96CCD">
              <w:rPr>
                <w:rFonts w:cs="Arial"/>
              </w:rPr>
              <w:t xml:space="preserve">benefits by ‘main affected groups’ </w:t>
            </w:r>
          </w:p>
          <w:p w14:paraId="43B7740B" w14:textId="54627387" w:rsidR="0069005A" w:rsidRPr="006E0A89" w:rsidRDefault="0069005A">
            <w:pPr>
              <w:pStyle w:val="IAPOA4"/>
              <w:rPr>
                <w:rFonts w:cs="Arial"/>
              </w:rPr>
            </w:pPr>
            <w:r w:rsidRPr="005E39CA">
              <w:rPr>
                <w:rFonts w:cs="Arial"/>
                <w:sz w:val="20"/>
              </w:rPr>
              <w:t>Defendants</w:t>
            </w:r>
            <w:r w:rsidR="006B6774" w:rsidRPr="005E39CA">
              <w:rPr>
                <w:rFonts w:cs="Arial"/>
                <w:sz w:val="20"/>
              </w:rPr>
              <w:t>, including public sector bodies (such as NHS Resolution) and insurers,</w:t>
            </w:r>
            <w:r w:rsidRPr="005E39CA">
              <w:rPr>
                <w:rFonts w:cs="Arial"/>
                <w:sz w:val="20"/>
              </w:rPr>
              <w:t xml:space="preserve"> </w:t>
            </w:r>
            <w:r w:rsidR="001E021C">
              <w:rPr>
                <w:rFonts w:cs="Arial"/>
                <w:sz w:val="20"/>
              </w:rPr>
              <w:t>should</w:t>
            </w:r>
            <w:r w:rsidRPr="005E39CA">
              <w:rPr>
                <w:rFonts w:cs="Arial"/>
                <w:sz w:val="20"/>
              </w:rPr>
              <w:t xml:space="preserve"> benefit from </w:t>
            </w:r>
            <w:r w:rsidR="00E4334D">
              <w:rPr>
                <w:rFonts w:cs="Arial"/>
                <w:sz w:val="20"/>
              </w:rPr>
              <w:t xml:space="preserve">lower </w:t>
            </w:r>
            <w:r w:rsidRPr="005E39CA">
              <w:rPr>
                <w:rFonts w:cs="Arial"/>
                <w:sz w:val="20"/>
              </w:rPr>
              <w:t>lump sum payments</w:t>
            </w:r>
            <w:r w:rsidR="00730D0E" w:rsidRPr="005E39CA">
              <w:rPr>
                <w:rFonts w:cs="Arial"/>
                <w:sz w:val="20"/>
              </w:rPr>
              <w:t xml:space="preserve"> that </w:t>
            </w:r>
            <w:r w:rsidR="00E4334D">
              <w:rPr>
                <w:rFonts w:cs="Arial"/>
                <w:sz w:val="20"/>
              </w:rPr>
              <w:t>result from the PIDR being</w:t>
            </w:r>
            <w:r w:rsidR="00730D0E" w:rsidRPr="005E39CA">
              <w:rPr>
                <w:rFonts w:cs="Arial"/>
                <w:sz w:val="20"/>
              </w:rPr>
              <w:t xml:space="preserve"> set using the revised </w:t>
            </w:r>
            <w:r w:rsidR="00E4334D">
              <w:rPr>
                <w:rFonts w:cs="Arial"/>
                <w:sz w:val="20"/>
              </w:rPr>
              <w:t>methodology</w:t>
            </w:r>
            <w:r w:rsidRPr="005E39CA">
              <w:rPr>
                <w:rFonts w:cs="Arial"/>
                <w:sz w:val="20"/>
              </w:rPr>
              <w:t>. There</w:t>
            </w:r>
            <w:r w:rsidR="001E021C">
              <w:rPr>
                <w:rFonts w:cs="Arial"/>
                <w:sz w:val="20"/>
              </w:rPr>
              <w:t xml:space="preserve"> should </w:t>
            </w:r>
            <w:r w:rsidRPr="005E39CA">
              <w:rPr>
                <w:rFonts w:cs="Arial"/>
                <w:sz w:val="20"/>
              </w:rPr>
              <w:t>be benefits to wider society in terms of lower insurance premiums if insurance companies</w:t>
            </w:r>
            <w:r w:rsidR="00E4334D">
              <w:rPr>
                <w:rFonts w:cs="Arial"/>
                <w:sz w:val="20"/>
              </w:rPr>
              <w:t xml:space="preserve"> respond by reducing premiums</w:t>
            </w:r>
            <w:r w:rsidRPr="005E39CA">
              <w:rPr>
                <w:rFonts w:cs="Arial"/>
                <w:sz w:val="20"/>
              </w:rPr>
              <w:t xml:space="preserve"> and </w:t>
            </w:r>
            <w:r w:rsidR="00B57424">
              <w:rPr>
                <w:rFonts w:cs="Arial"/>
                <w:sz w:val="20"/>
              </w:rPr>
              <w:t xml:space="preserve">greater </w:t>
            </w:r>
            <w:r w:rsidRPr="005E39CA">
              <w:rPr>
                <w:rFonts w:cs="Arial"/>
                <w:sz w:val="20"/>
              </w:rPr>
              <w:t xml:space="preserve">equity if </w:t>
            </w:r>
            <w:r w:rsidR="006B6774" w:rsidRPr="005E39CA">
              <w:rPr>
                <w:rFonts w:cs="Arial"/>
                <w:sz w:val="20"/>
              </w:rPr>
              <w:t>there is a reduction in</w:t>
            </w:r>
            <w:r w:rsidRPr="005E39CA">
              <w:rPr>
                <w:rFonts w:cs="Arial"/>
                <w:sz w:val="20"/>
              </w:rPr>
              <w:t xml:space="preserve"> </w:t>
            </w:r>
            <w:r w:rsidR="00B57424">
              <w:rPr>
                <w:rFonts w:cs="Arial"/>
                <w:sz w:val="20"/>
              </w:rPr>
              <w:t xml:space="preserve">levels of </w:t>
            </w:r>
            <w:r w:rsidRPr="005E39CA">
              <w:rPr>
                <w:rFonts w:cs="Arial"/>
                <w:sz w:val="20"/>
              </w:rPr>
              <w:t>over-compensation.</w:t>
            </w:r>
            <w:r w:rsidR="00441136" w:rsidRPr="005E39CA">
              <w:rPr>
                <w:rFonts w:cs="Arial"/>
                <w:sz w:val="20"/>
              </w:rPr>
              <w:t xml:space="preserve"> </w:t>
            </w:r>
          </w:p>
        </w:tc>
      </w:tr>
      <w:tr w:rsidR="0069005A" w:rsidRPr="00651181" w14:paraId="1F68C3F8" w14:textId="77777777" w:rsidTr="002F427A">
        <w:trPr>
          <w:trHeight w:hRule="exact" w:val="323"/>
        </w:trPr>
        <w:tc>
          <w:tcPr>
            <w:tcW w:w="9375" w:type="dxa"/>
            <w:gridSpan w:val="5"/>
            <w:tcBorders>
              <w:top w:val="single" w:sz="6" w:space="0" w:color="auto"/>
              <w:bottom w:val="nil"/>
            </w:tcBorders>
            <w:shd w:val="clear" w:color="auto" w:fill="auto"/>
          </w:tcPr>
          <w:p w14:paraId="3B86769C" w14:textId="77777777" w:rsidR="0069005A" w:rsidRPr="00651181" w:rsidRDefault="0069005A" w:rsidP="002F427A">
            <w:pPr>
              <w:pStyle w:val="IATableLabel"/>
              <w:tabs>
                <w:tab w:val="left" w:pos="7655"/>
              </w:tabs>
              <w:rPr>
                <w:rFonts w:cs="Arial"/>
              </w:rPr>
            </w:pPr>
            <w:r w:rsidRPr="00F54332">
              <w:rPr>
                <w:rStyle w:val="IAPOQ5Char"/>
                <w:rFonts w:cs="Arial"/>
                <w:b/>
              </w:rPr>
              <w:t>Key assumptions/sensitivities/risks</w:t>
            </w:r>
            <w:r w:rsidRPr="00651181">
              <w:rPr>
                <w:rFonts w:cs="Arial"/>
              </w:rPr>
              <w:tab/>
              <w:t>Discount rate</w:t>
            </w:r>
          </w:p>
          <w:p w14:paraId="308101BC" w14:textId="77777777" w:rsidR="0069005A" w:rsidRPr="00F96CCD" w:rsidRDefault="0069005A" w:rsidP="002F427A">
            <w:pPr>
              <w:pStyle w:val="IATableLabel"/>
              <w:rPr>
                <w:rFonts w:cs="Arial"/>
              </w:rPr>
            </w:pPr>
          </w:p>
        </w:tc>
        <w:tc>
          <w:tcPr>
            <w:tcW w:w="860" w:type="dxa"/>
            <w:tcBorders>
              <w:top w:val="single" w:sz="6" w:space="0" w:color="auto"/>
              <w:bottom w:val="single" w:sz="4" w:space="0" w:color="auto"/>
            </w:tcBorders>
            <w:shd w:val="clear" w:color="auto" w:fill="auto"/>
          </w:tcPr>
          <w:p w14:paraId="602C5293" w14:textId="77777777" w:rsidR="0069005A" w:rsidRPr="006E0A89" w:rsidRDefault="0069005A" w:rsidP="002F427A">
            <w:pPr>
              <w:pStyle w:val="IAPODisRate"/>
              <w:rPr>
                <w:rFonts w:cs="Arial"/>
              </w:rPr>
            </w:pPr>
            <w:r>
              <w:rPr>
                <w:rFonts w:cs="Arial"/>
              </w:rPr>
              <w:t>NA</w:t>
            </w:r>
          </w:p>
        </w:tc>
      </w:tr>
      <w:tr w:rsidR="0069005A" w:rsidRPr="00651181" w14:paraId="65764678" w14:textId="77777777" w:rsidTr="00055446">
        <w:trPr>
          <w:trHeight w:hRule="exact" w:val="1498"/>
        </w:trPr>
        <w:tc>
          <w:tcPr>
            <w:tcW w:w="10235" w:type="dxa"/>
            <w:gridSpan w:val="6"/>
            <w:tcBorders>
              <w:top w:val="nil"/>
              <w:bottom w:val="single" w:sz="12" w:space="0" w:color="auto"/>
            </w:tcBorders>
            <w:shd w:val="clear" w:color="auto" w:fill="auto"/>
          </w:tcPr>
          <w:p w14:paraId="1132D085" w14:textId="5FF6D750" w:rsidR="0069005A" w:rsidRPr="006E0A89" w:rsidRDefault="0069005A" w:rsidP="004C046B">
            <w:pPr>
              <w:pStyle w:val="IAPOA5"/>
              <w:rPr>
                <w:rFonts w:cs="Arial"/>
              </w:rPr>
            </w:pPr>
            <w:r w:rsidRPr="005E39CA">
              <w:rPr>
                <w:rFonts w:cs="Arial"/>
                <w:sz w:val="20"/>
              </w:rPr>
              <w:t xml:space="preserve">It is assumed that claimants vary in their risk appetite, capacity for loss and investment behaviour. We assume no change in the volume of personal injury cases following a change in the discount rate. It is assumed that there is no change in the costs of reaching a settlement. </w:t>
            </w:r>
            <w:r w:rsidR="00055446" w:rsidRPr="005E39CA">
              <w:rPr>
                <w:rFonts w:cs="Arial"/>
                <w:sz w:val="20"/>
              </w:rPr>
              <w:t xml:space="preserve">It is assumed that in an open and competitive market insurance companies will pass on </w:t>
            </w:r>
            <w:r w:rsidR="00B57424">
              <w:rPr>
                <w:rFonts w:cs="Arial"/>
                <w:sz w:val="20"/>
              </w:rPr>
              <w:t xml:space="preserve">most of </w:t>
            </w:r>
            <w:r w:rsidR="00055446" w:rsidRPr="005E39CA">
              <w:rPr>
                <w:rFonts w:cs="Arial"/>
                <w:sz w:val="20"/>
              </w:rPr>
              <w:t xml:space="preserve">any savings derived from a higher PIDR rate onto consumers in the form of lower insurance premiums. </w:t>
            </w:r>
            <w:r w:rsidR="00005FC6">
              <w:rPr>
                <w:rFonts w:cs="Arial"/>
                <w:sz w:val="20"/>
              </w:rPr>
              <w:t>It is assumed that t</w:t>
            </w:r>
            <w:r w:rsidR="00055446" w:rsidRPr="005E39CA">
              <w:rPr>
                <w:rFonts w:cs="Arial"/>
                <w:sz w:val="20"/>
              </w:rPr>
              <w:t>here will be substantial savings to public bodies such as NHS Resolution.</w:t>
            </w:r>
          </w:p>
        </w:tc>
      </w:tr>
    </w:tbl>
    <w:p w14:paraId="057A66BA" w14:textId="77777777" w:rsidR="0069005A" w:rsidRPr="00651181" w:rsidRDefault="0069005A" w:rsidP="0069005A">
      <w:pPr>
        <w:pStyle w:val="IASpacer"/>
        <w:rPr>
          <w:rFonts w:cs="Arial"/>
        </w:rPr>
      </w:pPr>
    </w:p>
    <w:p w14:paraId="43C3AE15" w14:textId="4C0D1077" w:rsidR="0069005A" w:rsidRPr="006E0A89" w:rsidRDefault="0069005A" w:rsidP="0069005A">
      <w:pPr>
        <w:pStyle w:val="IAHeadLabel"/>
        <w:spacing w:before="50"/>
        <w:rPr>
          <w:rFonts w:cs="Arial"/>
        </w:rPr>
      </w:pPr>
      <w:r w:rsidRPr="00F96CCD">
        <w:rPr>
          <w:rFonts w:cs="Arial"/>
        </w:rPr>
        <w:t xml:space="preserve">BUSINESS ASSESSMENT (Option </w:t>
      </w:r>
      <w:r w:rsidRPr="006E0A89">
        <w:rPr>
          <w:rFonts w:cs="Arial"/>
        </w:rPr>
        <w:fldChar w:fldCharType="begin"/>
      </w:r>
      <w:r w:rsidRPr="006E0A89">
        <w:rPr>
          <w:rFonts w:cs="Arial"/>
        </w:rPr>
        <w:instrText xml:space="preserve"> SEQ BA </w:instrText>
      </w:r>
      <w:r w:rsidRPr="006E0A89">
        <w:rPr>
          <w:rFonts w:cs="Arial"/>
        </w:rPr>
        <w:fldChar w:fldCharType="separate"/>
      </w:r>
      <w:r w:rsidR="00C52A7C">
        <w:rPr>
          <w:rFonts w:cs="Arial"/>
          <w:noProof/>
        </w:rPr>
        <w:t>1</w:t>
      </w:r>
      <w:r w:rsidRPr="006E0A89">
        <w:rPr>
          <w:rFonts w:cs="Arial"/>
          <w:noProof/>
        </w:rPr>
        <w:fldChar w:fldCharType="end"/>
      </w:r>
      <w:r w:rsidRPr="006E0A89">
        <w:rPr>
          <w:rFonts w:cs="Arial"/>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4"/>
        <w:gridCol w:w="1839"/>
        <w:gridCol w:w="1698"/>
        <w:gridCol w:w="4814"/>
      </w:tblGrid>
      <w:tr w:rsidR="0069005A" w:rsidRPr="00651181" w14:paraId="0993441F" w14:textId="77777777" w:rsidTr="002F427A">
        <w:trPr>
          <w:trHeight w:hRule="exact" w:val="384"/>
        </w:trPr>
        <w:tc>
          <w:tcPr>
            <w:tcW w:w="5392" w:type="dxa"/>
            <w:gridSpan w:val="3"/>
            <w:tcBorders>
              <w:top w:val="single" w:sz="4" w:space="0" w:color="auto"/>
              <w:bottom w:val="nil"/>
              <w:right w:val="single" w:sz="4" w:space="0" w:color="auto"/>
            </w:tcBorders>
          </w:tcPr>
          <w:p w14:paraId="44FA4487" w14:textId="77777777" w:rsidR="0069005A" w:rsidRPr="006E0A89" w:rsidRDefault="0069005A" w:rsidP="002F427A">
            <w:pPr>
              <w:pStyle w:val="IATableLabel"/>
              <w:rPr>
                <w:rFonts w:cs="Arial"/>
              </w:rPr>
            </w:pPr>
            <w:r w:rsidRPr="006E0A89">
              <w:rPr>
                <w:rFonts w:cs="Arial"/>
              </w:rPr>
              <w:t xml:space="preserve">Direct impact on business (Equivalent Annual) £m: </w:t>
            </w:r>
          </w:p>
        </w:tc>
        <w:tc>
          <w:tcPr>
            <w:tcW w:w="4823" w:type="dxa"/>
            <w:vMerge w:val="restart"/>
            <w:tcBorders>
              <w:top w:val="single" w:sz="4" w:space="0" w:color="auto"/>
              <w:left w:val="single" w:sz="4" w:space="0" w:color="auto"/>
              <w:right w:val="single" w:sz="4" w:space="0" w:color="auto"/>
            </w:tcBorders>
          </w:tcPr>
          <w:p w14:paraId="5023D445" w14:textId="77777777" w:rsidR="0069005A" w:rsidRPr="006E0A89" w:rsidRDefault="0069005A" w:rsidP="002F427A">
            <w:pPr>
              <w:pStyle w:val="IATableLabel"/>
              <w:rPr>
                <w:rFonts w:cs="Arial"/>
              </w:rPr>
            </w:pPr>
            <w:r w:rsidRPr="006E0A89">
              <w:rPr>
                <w:rFonts w:cs="Arial"/>
              </w:rPr>
              <w:t>Score for Business Impact Target (qualifying provisions only) £m:</w:t>
            </w:r>
          </w:p>
        </w:tc>
      </w:tr>
      <w:tr w:rsidR="0069005A" w:rsidRPr="00651181" w14:paraId="1C483DAB" w14:textId="77777777" w:rsidTr="002F427A">
        <w:trPr>
          <w:trHeight w:hRule="exact" w:val="340"/>
        </w:trPr>
        <w:tc>
          <w:tcPr>
            <w:tcW w:w="1848" w:type="dxa"/>
            <w:vMerge w:val="restart"/>
            <w:tcBorders>
              <w:top w:val="nil"/>
              <w:right w:val="single" w:sz="4" w:space="0" w:color="auto"/>
            </w:tcBorders>
            <w:shd w:val="clear" w:color="auto" w:fill="FFFFFF"/>
          </w:tcPr>
          <w:p w14:paraId="71A8FFB2" w14:textId="77777777" w:rsidR="0069005A" w:rsidRPr="006E0A89" w:rsidRDefault="0069005A" w:rsidP="002F427A">
            <w:pPr>
              <w:pStyle w:val="IATableLabel"/>
              <w:rPr>
                <w:rFonts w:cs="Arial"/>
              </w:rPr>
            </w:pPr>
            <w:r w:rsidRPr="00651181">
              <w:rPr>
                <w:rFonts w:cs="Arial"/>
              </w:rPr>
              <w:t xml:space="preserve">Costs: </w:t>
            </w:r>
            <w:r>
              <w:rPr>
                <w:rStyle w:val="IAPODICostChar"/>
                <w:rFonts w:cs="Arial"/>
              </w:rPr>
              <w:t>NQ</w:t>
            </w:r>
          </w:p>
        </w:tc>
        <w:tc>
          <w:tcPr>
            <w:tcW w:w="1843" w:type="dxa"/>
            <w:vMerge w:val="restart"/>
            <w:tcBorders>
              <w:top w:val="nil"/>
              <w:right w:val="single" w:sz="4" w:space="0" w:color="auto"/>
            </w:tcBorders>
            <w:shd w:val="clear" w:color="auto" w:fill="FFFFFF"/>
          </w:tcPr>
          <w:p w14:paraId="7B6656D5" w14:textId="77777777" w:rsidR="0069005A" w:rsidRPr="006E0A89" w:rsidRDefault="0069005A" w:rsidP="002F427A">
            <w:pPr>
              <w:pStyle w:val="IATableLabel"/>
              <w:rPr>
                <w:rFonts w:cs="Arial"/>
              </w:rPr>
            </w:pPr>
            <w:r w:rsidRPr="006E0A89">
              <w:rPr>
                <w:rFonts w:cs="Arial"/>
              </w:rPr>
              <w:t xml:space="preserve">Benefits: </w:t>
            </w:r>
            <w:r>
              <w:rPr>
                <w:rStyle w:val="IAPODIBenChar"/>
                <w:rFonts w:cs="Arial"/>
              </w:rPr>
              <w:t>NQ</w:t>
            </w:r>
          </w:p>
        </w:tc>
        <w:tc>
          <w:tcPr>
            <w:tcW w:w="1701" w:type="dxa"/>
            <w:vMerge w:val="restart"/>
            <w:tcBorders>
              <w:top w:val="nil"/>
              <w:right w:val="single" w:sz="4" w:space="0" w:color="auto"/>
            </w:tcBorders>
            <w:shd w:val="clear" w:color="auto" w:fill="FFFFFF"/>
          </w:tcPr>
          <w:p w14:paraId="201E1D4C" w14:textId="77777777" w:rsidR="0069005A" w:rsidRPr="006E0A89" w:rsidRDefault="0069005A" w:rsidP="002F427A">
            <w:pPr>
              <w:pStyle w:val="IATableLabel"/>
              <w:rPr>
                <w:rFonts w:cs="Arial"/>
              </w:rPr>
            </w:pPr>
            <w:r w:rsidRPr="006E0A89">
              <w:rPr>
                <w:rFonts w:cs="Arial"/>
              </w:rPr>
              <w:t xml:space="preserve">Net: </w:t>
            </w:r>
            <w:r>
              <w:rPr>
                <w:rStyle w:val="IAPODINetChar"/>
                <w:rFonts w:cs="Arial"/>
              </w:rPr>
              <w:t>NQ</w:t>
            </w:r>
          </w:p>
        </w:tc>
        <w:tc>
          <w:tcPr>
            <w:tcW w:w="4823" w:type="dxa"/>
            <w:vMerge/>
            <w:tcBorders>
              <w:left w:val="single" w:sz="4" w:space="0" w:color="auto"/>
              <w:bottom w:val="single" w:sz="4" w:space="0" w:color="auto"/>
              <w:right w:val="single" w:sz="4" w:space="0" w:color="auto"/>
            </w:tcBorders>
            <w:shd w:val="clear" w:color="auto" w:fill="FFFFFF"/>
          </w:tcPr>
          <w:p w14:paraId="3E56A016" w14:textId="77777777" w:rsidR="0069005A" w:rsidRPr="006E0A89" w:rsidRDefault="0069005A" w:rsidP="002F427A">
            <w:pPr>
              <w:pStyle w:val="IAPODIMQ"/>
              <w:rPr>
                <w:rFonts w:cs="Arial"/>
              </w:rPr>
            </w:pPr>
          </w:p>
        </w:tc>
      </w:tr>
      <w:tr w:rsidR="0069005A" w:rsidRPr="00651181" w14:paraId="57C88A8B" w14:textId="77777777" w:rsidTr="002F427A">
        <w:trPr>
          <w:trHeight w:hRule="exact" w:val="340"/>
        </w:trPr>
        <w:tc>
          <w:tcPr>
            <w:tcW w:w="1848" w:type="dxa"/>
            <w:vMerge/>
            <w:tcBorders>
              <w:bottom w:val="single" w:sz="4" w:space="0" w:color="auto"/>
              <w:right w:val="single" w:sz="4" w:space="0" w:color="auto"/>
            </w:tcBorders>
            <w:shd w:val="clear" w:color="auto" w:fill="FFFFFF"/>
          </w:tcPr>
          <w:p w14:paraId="1A727C26" w14:textId="77777777" w:rsidR="0069005A" w:rsidRPr="006E0A89" w:rsidRDefault="0069005A" w:rsidP="002F427A">
            <w:pPr>
              <w:pStyle w:val="IATableLabel"/>
              <w:rPr>
                <w:rFonts w:cs="Arial"/>
              </w:rPr>
            </w:pPr>
          </w:p>
        </w:tc>
        <w:tc>
          <w:tcPr>
            <w:tcW w:w="1843" w:type="dxa"/>
            <w:vMerge/>
            <w:tcBorders>
              <w:bottom w:val="single" w:sz="4" w:space="0" w:color="auto"/>
              <w:right w:val="single" w:sz="4" w:space="0" w:color="auto"/>
            </w:tcBorders>
            <w:shd w:val="clear" w:color="auto" w:fill="FFFFFF"/>
          </w:tcPr>
          <w:p w14:paraId="35118C08" w14:textId="77777777" w:rsidR="0069005A" w:rsidRPr="006E0A89" w:rsidRDefault="0069005A" w:rsidP="002F427A">
            <w:pPr>
              <w:pStyle w:val="IATableLabel"/>
              <w:rPr>
                <w:rFonts w:cs="Arial"/>
              </w:rPr>
            </w:pPr>
          </w:p>
        </w:tc>
        <w:tc>
          <w:tcPr>
            <w:tcW w:w="1701" w:type="dxa"/>
            <w:vMerge/>
            <w:tcBorders>
              <w:bottom w:val="single" w:sz="4" w:space="0" w:color="auto"/>
              <w:right w:val="single" w:sz="4" w:space="0" w:color="auto"/>
            </w:tcBorders>
            <w:shd w:val="clear" w:color="auto" w:fill="FFFFFF"/>
          </w:tcPr>
          <w:p w14:paraId="7D35DAA8" w14:textId="77777777" w:rsidR="0069005A" w:rsidRPr="006E0A89" w:rsidRDefault="0069005A" w:rsidP="002F427A">
            <w:pPr>
              <w:pStyle w:val="IATableLabel"/>
              <w:rPr>
                <w:rFonts w:cs="Arial"/>
              </w:rPr>
            </w:pPr>
          </w:p>
        </w:tc>
        <w:tc>
          <w:tcPr>
            <w:tcW w:w="4823" w:type="dxa"/>
            <w:tcBorders>
              <w:top w:val="nil"/>
              <w:left w:val="single" w:sz="4" w:space="0" w:color="auto"/>
              <w:bottom w:val="single" w:sz="4" w:space="0" w:color="auto"/>
              <w:right w:val="single" w:sz="4" w:space="0" w:color="auto"/>
            </w:tcBorders>
            <w:shd w:val="clear" w:color="auto" w:fill="FFFFFF"/>
          </w:tcPr>
          <w:p w14:paraId="16125160" w14:textId="77777777" w:rsidR="0069005A" w:rsidRPr="006E0A89" w:rsidRDefault="0069005A" w:rsidP="002F427A">
            <w:pPr>
              <w:pStyle w:val="IAPODIMQ"/>
              <w:rPr>
                <w:rFonts w:cs="Arial"/>
              </w:rPr>
            </w:pPr>
            <w:r>
              <w:rPr>
                <w:rFonts w:cs="Arial"/>
              </w:rPr>
              <w:t>NA</w:t>
            </w:r>
          </w:p>
        </w:tc>
      </w:tr>
    </w:tbl>
    <w:p w14:paraId="4377D8F4" w14:textId="77777777" w:rsidR="0069005A" w:rsidRDefault="0069005A" w:rsidP="0069005A">
      <w:pPr>
        <w:rPr>
          <w:rFonts w:ascii="Arial" w:hAnsi="Arial" w:cs="Arial"/>
        </w:rPr>
      </w:pPr>
    </w:p>
    <w:p w14:paraId="67CAD60A" w14:textId="77777777" w:rsidR="0069005A" w:rsidRPr="006E0A89" w:rsidRDefault="0069005A" w:rsidP="0069005A">
      <w:pPr>
        <w:pStyle w:val="Heading1"/>
        <w:spacing w:before="0"/>
        <w:rPr>
          <w:rFonts w:ascii="Arial" w:hAnsi="Arial"/>
        </w:rPr>
      </w:pPr>
      <w:r w:rsidRPr="00B24226">
        <w:rPr>
          <w:rFonts w:ascii="Arial" w:hAnsi="Arial"/>
        </w:rPr>
        <w:t>Summary: Analysis &amp; Evidence</w:t>
      </w:r>
      <w:r w:rsidRPr="00B24226">
        <w:rPr>
          <w:rFonts w:ascii="Arial" w:hAnsi="Arial"/>
        </w:rPr>
        <w:tab/>
      </w:r>
      <w:r w:rsidRPr="00651181">
        <w:rPr>
          <w:rFonts w:ascii="Arial" w:hAnsi="Arial"/>
          <w:b w:val="0"/>
          <w:bCs w:val="0"/>
        </w:rPr>
        <w:t xml:space="preserve">Policy Option </w:t>
      </w:r>
      <w:r>
        <w:rPr>
          <w:rFonts w:ascii="Arial" w:hAnsi="Arial"/>
          <w:b w:val="0"/>
          <w:bCs w:val="0"/>
        </w:rPr>
        <w:t>2</w:t>
      </w:r>
    </w:p>
    <w:p w14:paraId="6B822FD2" w14:textId="21FBB729" w:rsidR="00497776" w:rsidRPr="004303AF" w:rsidRDefault="0069005A" w:rsidP="00497776">
      <w:pPr>
        <w:pStyle w:val="IAHeadLabel"/>
        <w:spacing w:before="50"/>
        <w:rPr>
          <w:rFonts w:cs="Arial"/>
        </w:rPr>
      </w:pPr>
      <w:r w:rsidRPr="00651181">
        <w:rPr>
          <w:rFonts w:cs="Arial"/>
        </w:rPr>
        <w:t xml:space="preserve">Description:  </w:t>
      </w:r>
      <w:r w:rsidR="00432D16" w:rsidRPr="000C0F2C">
        <w:rPr>
          <w:rFonts w:cs="Arial"/>
        </w:rPr>
        <w:t xml:space="preserve">Specify that the PIDR should be set at least every </w:t>
      </w:r>
      <w:r w:rsidR="00D7566F" w:rsidRPr="000C0F2C">
        <w:rPr>
          <w:rFonts w:cs="Arial"/>
        </w:rPr>
        <w:t>five</w:t>
      </w:r>
      <w:r w:rsidR="00432D16" w:rsidRPr="000C0F2C">
        <w:rPr>
          <w:rFonts w:cs="Arial"/>
        </w:rPr>
        <w:t xml:space="preserve"> years with the Lord Chancellor retaining discretion to set the PIDR within </w:t>
      </w:r>
      <w:r w:rsidR="00005FC6" w:rsidRPr="000C0F2C">
        <w:rPr>
          <w:rFonts w:cs="Arial"/>
        </w:rPr>
        <w:t>five</w:t>
      </w:r>
      <w:r w:rsidR="00432D16" w:rsidRPr="000C0F2C">
        <w:rPr>
          <w:rFonts w:cs="Arial"/>
        </w:rPr>
        <w:t xml:space="preserve"> years if necessary.</w:t>
      </w:r>
    </w:p>
    <w:p w14:paraId="7C718498" w14:textId="77777777" w:rsidR="0069005A" w:rsidRPr="006E0A89" w:rsidRDefault="0069005A" w:rsidP="0069005A">
      <w:pPr>
        <w:pStyle w:val="IAHeadLabel"/>
        <w:spacing w:before="50"/>
        <w:rPr>
          <w:rFonts w:cs="Arial"/>
        </w:rPr>
      </w:pPr>
    </w:p>
    <w:p w14:paraId="29F8BE6B" w14:textId="77777777" w:rsidR="0069005A" w:rsidRPr="006E0A89" w:rsidRDefault="0069005A" w:rsidP="0069005A">
      <w:pPr>
        <w:pStyle w:val="IAHeadLabel"/>
        <w:spacing w:before="50"/>
        <w:rPr>
          <w:rFonts w:cs="Arial"/>
        </w:rPr>
      </w:pPr>
      <w:r w:rsidRPr="006E0A89">
        <w:rPr>
          <w:rFonts w:cs="Arial"/>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69005A" w:rsidRPr="00651181" w14:paraId="0848139F" w14:textId="77777777" w:rsidTr="002F427A">
        <w:trPr>
          <w:trHeight w:hRule="exact" w:val="312"/>
        </w:trPr>
        <w:tc>
          <w:tcPr>
            <w:tcW w:w="1265" w:type="dxa"/>
            <w:vMerge w:val="restart"/>
            <w:shd w:val="clear" w:color="auto" w:fill="auto"/>
          </w:tcPr>
          <w:p w14:paraId="46ADEACF" w14:textId="77777777" w:rsidR="0069005A" w:rsidRPr="006E0A89" w:rsidRDefault="0069005A" w:rsidP="002F427A">
            <w:pPr>
              <w:pStyle w:val="POPBY"/>
              <w:rPr>
                <w:rFonts w:cs="Arial"/>
              </w:rPr>
            </w:pPr>
            <w:r w:rsidRPr="006E0A89">
              <w:rPr>
                <w:rFonts w:cs="Arial"/>
              </w:rPr>
              <w:t xml:space="preserve">Price Base Year  </w:t>
            </w:r>
          </w:p>
        </w:tc>
        <w:tc>
          <w:tcPr>
            <w:tcW w:w="1260" w:type="dxa"/>
            <w:vMerge w:val="restart"/>
            <w:shd w:val="clear" w:color="auto" w:fill="auto"/>
          </w:tcPr>
          <w:p w14:paraId="1915DC2C" w14:textId="77777777" w:rsidR="0069005A" w:rsidRPr="006E0A89" w:rsidRDefault="0069005A" w:rsidP="002F427A">
            <w:pPr>
              <w:pStyle w:val="POPVBY"/>
              <w:rPr>
                <w:rFonts w:cs="Arial"/>
              </w:rPr>
            </w:pPr>
            <w:r w:rsidRPr="006E0A89">
              <w:rPr>
                <w:rFonts w:cs="Arial"/>
              </w:rPr>
              <w:t xml:space="preserve">PV Base Year  </w:t>
            </w:r>
          </w:p>
        </w:tc>
        <w:tc>
          <w:tcPr>
            <w:tcW w:w="1440" w:type="dxa"/>
            <w:vMerge w:val="restart"/>
            <w:tcBorders>
              <w:right w:val="single" w:sz="12" w:space="0" w:color="auto"/>
            </w:tcBorders>
            <w:shd w:val="clear" w:color="auto" w:fill="auto"/>
          </w:tcPr>
          <w:p w14:paraId="76AC36B5" w14:textId="77777777" w:rsidR="0069005A" w:rsidRPr="006E0A89" w:rsidRDefault="0069005A" w:rsidP="002F427A">
            <w:pPr>
              <w:pStyle w:val="POTPY"/>
              <w:rPr>
                <w:rFonts w:cs="Arial"/>
              </w:rPr>
            </w:pPr>
            <w:r w:rsidRPr="006E0A89">
              <w:rPr>
                <w:rFonts w:cs="Arial"/>
              </w:rPr>
              <w:t xml:space="preserve">Time Period Years  </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47BBBCD5" w14:textId="77777777" w:rsidR="0069005A" w:rsidRPr="006E0A89" w:rsidRDefault="0069005A" w:rsidP="002F427A">
            <w:pPr>
              <w:pStyle w:val="IATableLabel"/>
              <w:jc w:val="center"/>
              <w:rPr>
                <w:rFonts w:cs="Arial"/>
              </w:rPr>
            </w:pPr>
            <w:r w:rsidRPr="006E0A89">
              <w:rPr>
                <w:rFonts w:cs="Arial"/>
              </w:rPr>
              <w:t>Net Benefit (Present Value (PV)) (£m)</w:t>
            </w:r>
          </w:p>
        </w:tc>
      </w:tr>
      <w:tr w:rsidR="0069005A" w:rsidRPr="00651181" w14:paraId="3B1F7C9D" w14:textId="77777777" w:rsidTr="002F427A">
        <w:trPr>
          <w:trHeight w:hRule="exact" w:val="340"/>
        </w:trPr>
        <w:tc>
          <w:tcPr>
            <w:tcW w:w="1265" w:type="dxa"/>
            <w:vMerge/>
            <w:shd w:val="clear" w:color="auto" w:fill="auto"/>
          </w:tcPr>
          <w:p w14:paraId="50255EE0" w14:textId="77777777" w:rsidR="0069005A" w:rsidRPr="006E0A89" w:rsidRDefault="0069005A" w:rsidP="002F427A">
            <w:pPr>
              <w:pStyle w:val="IATableNotes"/>
              <w:ind w:left="0"/>
              <w:rPr>
                <w:rFonts w:cs="Arial"/>
                <w:b/>
                <w:sz w:val="20"/>
              </w:rPr>
            </w:pPr>
          </w:p>
        </w:tc>
        <w:tc>
          <w:tcPr>
            <w:tcW w:w="1260" w:type="dxa"/>
            <w:vMerge/>
            <w:shd w:val="clear" w:color="auto" w:fill="auto"/>
          </w:tcPr>
          <w:p w14:paraId="44B5A658" w14:textId="77777777" w:rsidR="0069005A" w:rsidRPr="006E0A89" w:rsidRDefault="0069005A" w:rsidP="002F427A">
            <w:pPr>
              <w:pStyle w:val="IATableNotes"/>
              <w:ind w:left="0"/>
              <w:rPr>
                <w:rFonts w:cs="Arial"/>
                <w:b/>
                <w:sz w:val="20"/>
              </w:rPr>
            </w:pPr>
          </w:p>
        </w:tc>
        <w:tc>
          <w:tcPr>
            <w:tcW w:w="1440" w:type="dxa"/>
            <w:vMerge/>
            <w:tcBorders>
              <w:right w:val="single" w:sz="12" w:space="0" w:color="auto"/>
            </w:tcBorders>
            <w:shd w:val="clear" w:color="auto" w:fill="auto"/>
          </w:tcPr>
          <w:p w14:paraId="07BB5830" w14:textId="77777777" w:rsidR="0069005A" w:rsidRPr="006E0A89" w:rsidRDefault="0069005A" w:rsidP="002F427A">
            <w:pPr>
              <w:pStyle w:val="IATableNotes"/>
              <w:ind w:left="0"/>
              <w:rPr>
                <w:rFonts w:cs="Arial"/>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3932D13A" w14:textId="77777777" w:rsidR="0069005A" w:rsidRPr="006E0A89" w:rsidRDefault="0069005A" w:rsidP="002F427A">
            <w:pPr>
              <w:pStyle w:val="IATableLabel"/>
              <w:rPr>
                <w:rFonts w:cs="Arial"/>
                <w:bCs/>
              </w:rPr>
            </w:pPr>
            <w:r w:rsidRPr="006E0A89">
              <w:rPr>
                <w:rFonts w:cs="Arial"/>
              </w:rPr>
              <w:t xml:space="preserve">Low: </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6D9162DA" w14:textId="77777777" w:rsidR="0069005A" w:rsidRPr="00651181" w:rsidRDefault="0069005A" w:rsidP="002F427A">
            <w:pPr>
              <w:pStyle w:val="IATableLabel"/>
              <w:rPr>
                <w:rFonts w:cs="Arial"/>
                <w:bCs/>
                <w:szCs w:val="18"/>
              </w:rPr>
            </w:pPr>
            <w:r w:rsidRPr="006E0A89">
              <w:rPr>
                <w:rFonts w:cs="Arial"/>
              </w:rPr>
              <w:t xml:space="preserve">High: </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7D8A3BA7" w14:textId="77777777" w:rsidR="0069005A" w:rsidRPr="006E0A89" w:rsidRDefault="0069005A" w:rsidP="002F427A">
            <w:pPr>
              <w:pStyle w:val="IATableLabel"/>
              <w:rPr>
                <w:rFonts w:cs="Arial"/>
                <w:szCs w:val="18"/>
              </w:rPr>
            </w:pPr>
            <w:r w:rsidRPr="0051753E">
              <w:rPr>
                <w:rFonts w:cs="Arial"/>
              </w:rPr>
              <w:t xml:space="preserve">Best Estimate: </w:t>
            </w:r>
            <w:r>
              <w:rPr>
                <w:rStyle w:val="PONBBestEstChar"/>
                <w:rFonts w:cs="Arial"/>
              </w:rPr>
              <w:t>NQ</w:t>
            </w:r>
          </w:p>
        </w:tc>
      </w:tr>
    </w:tbl>
    <w:p w14:paraId="41FC721F" w14:textId="77777777" w:rsidR="0069005A" w:rsidRPr="00651181" w:rsidRDefault="0069005A" w:rsidP="0069005A">
      <w:pPr>
        <w:pStyle w:val="IASpace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69005A" w:rsidRPr="00651181" w14:paraId="6DFF14E0" w14:textId="77777777" w:rsidTr="002F427A">
        <w:trPr>
          <w:trHeight w:hRule="exact" w:val="567"/>
        </w:trPr>
        <w:tc>
          <w:tcPr>
            <w:tcW w:w="1995" w:type="dxa"/>
            <w:shd w:val="clear" w:color="auto" w:fill="FFFFFF"/>
          </w:tcPr>
          <w:p w14:paraId="0CB2D5FF" w14:textId="77777777" w:rsidR="0069005A" w:rsidRPr="00F96CCD" w:rsidRDefault="0069005A" w:rsidP="002F427A">
            <w:pPr>
              <w:pStyle w:val="IATableLabel"/>
              <w:rPr>
                <w:rFonts w:cs="Arial"/>
                <w:sz w:val="24"/>
                <w:szCs w:val="24"/>
              </w:rPr>
            </w:pPr>
            <w:r w:rsidRPr="00F96CCD">
              <w:rPr>
                <w:rFonts w:cs="Arial"/>
                <w:sz w:val="24"/>
                <w:szCs w:val="24"/>
              </w:rPr>
              <w:t>COSTS (£m)</w:t>
            </w:r>
          </w:p>
        </w:tc>
        <w:tc>
          <w:tcPr>
            <w:tcW w:w="2739" w:type="dxa"/>
            <w:gridSpan w:val="2"/>
            <w:tcBorders>
              <w:top w:val="single" w:sz="12" w:space="0" w:color="auto"/>
              <w:bottom w:val="single" w:sz="6" w:space="0" w:color="auto"/>
            </w:tcBorders>
            <w:shd w:val="clear" w:color="auto" w:fill="auto"/>
          </w:tcPr>
          <w:p w14:paraId="43C85D18" w14:textId="77777777" w:rsidR="0069005A" w:rsidRPr="0051753E" w:rsidRDefault="0069005A" w:rsidP="002F427A">
            <w:pPr>
              <w:pStyle w:val="IATableLabel"/>
              <w:tabs>
                <w:tab w:val="right" w:pos="1800"/>
                <w:tab w:val="center" w:pos="2340"/>
              </w:tabs>
              <w:jc w:val="right"/>
              <w:rPr>
                <w:rFonts w:cs="Arial"/>
              </w:rPr>
            </w:pPr>
            <w:r w:rsidRPr="00DC036C">
              <w:rPr>
                <w:rFonts w:cs="Arial"/>
              </w:rPr>
              <w:t xml:space="preserve">Total Transition </w:t>
            </w:r>
            <w:r w:rsidRPr="00DC036C">
              <w:rPr>
                <w:rFonts w:cs="Arial"/>
              </w:rPr>
              <w:br/>
            </w:r>
            <w:r w:rsidRPr="00DC036C">
              <w:rPr>
                <w:rFonts w:cs="Arial"/>
              </w:rPr>
              <w:tab/>
            </w:r>
            <w:r w:rsidRPr="0051753E">
              <w:rPr>
                <w:rFonts w:cs="Arial"/>
                <w:b w:val="0"/>
                <w:sz w:val="18"/>
                <w:szCs w:val="18"/>
              </w:rPr>
              <w:t>(Constant Price)</w:t>
            </w:r>
            <w:r w:rsidRPr="0051753E">
              <w:rPr>
                <w:rFonts w:cs="Arial"/>
              </w:rPr>
              <w:tab/>
            </w:r>
            <w:r w:rsidRPr="0051753E">
              <w:rPr>
                <w:rFonts w:cs="Arial"/>
                <w:b w:val="0"/>
                <w:sz w:val="18"/>
                <w:szCs w:val="18"/>
              </w:rPr>
              <w:t>Yea</w:t>
            </w:r>
            <w:r w:rsidRPr="0051753E">
              <w:rPr>
                <w:rFonts w:cs="Arial"/>
                <w:b w:val="0"/>
                <w:bCs/>
                <w:sz w:val="18"/>
                <w:szCs w:val="18"/>
              </w:rPr>
              <w:t>r</w:t>
            </w:r>
            <w:r w:rsidRPr="0051753E">
              <w:rPr>
                <w:rFonts w:cs="Arial"/>
                <w:b w:val="0"/>
                <w:sz w:val="18"/>
                <w:szCs w:val="18"/>
              </w:rPr>
              <w:t>s</w:t>
            </w:r>
          </w:p>
          <w:p w14:paraId="78A84A2A" w14:textId="77777777" w:rsidR="0069005A" w:rsidRPr="003473EB" w:rsidRDefault="0069005A" w:rsidP="002F427A">
            <w:pPr>
              <w:pStyle w:val="IATableLabel"/>
              <w:jc w:val="right"/>
              <w:rPr>
                <w:rFonts w:cs="Arial"/>
              </w:rPr>
            </w:pPr>
            <w:r w:rsidRPr="003473EB">
              <w:rPr>
                <w:rFonts w:cs="Arial"/>
              </w:rPr>
              <w:br/>
            </w:r>
          </w:p>
        </w:tc>
        <w:tc>
          <w:tcPr>
            <w:tcW w:w="2865" w:type="dxa"/>
            <w:tcBorders>
              <w:bottom w:val="single" w:sz="6" w:space="0" w:color="auto"/>
              <w:right w:val="single" w:sz="12" w:space="0" w:color="auto"/>
            </w:tcBorders>
            <w:shd w:val="clear" w:color="auto" w:fill="auto"/>
          </w:tcPr>
          <w:p w14:paraId="6B323566" w14:textId="77777777" w:rsidR="0069005A" w:rsidRPr="00651181" w:rsidRDefault="0069005A" w:rsidP="002F427A">
            <w:pPr>
              <w:pStyle w:val="IATableLabel"/>
              <w:jc w:val="right"/>
              <w:rPr>
                <w:rFonts w:cs="Arial"/>
                <w:bCs/>
              </w:rPr>
            </w:pPr>
            <w:r w:rsidRPr="003473EB">
              <w:rPr>
                <w:rFonts w:cs="Arial"/>
              </w:rPr>
              <w:t xml:space="preserve">Average Annual </w:t>
            </w:r>
            <w:r w:rsidRPr="003473EB">
              <w:rPr>
                <w:rFonts w:cs="Arial"/>
              </w:rPr>
              <w:br/>
            </w:r>
            <w:r w:rsidRPr="006E0A89">
              <w:rPr>
                <w:rFonts w:cs="Arial"/>
                <w:b w:val="0"/>
                <w:sz w:val="18"/>
                <w:szCs w:val="18"/>
              </w:rPr>
              <w:t xml:space="preserve">(excl. Transition) </w:t>
            </w:r>
            <w:r w:rsidRPr="0065118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00378BE9" w14:textId="77777777" w:rsidR="0069005A" w:rsidRPr="0051753E" w:rsidRDefault="0069005A" w:rsidP="002F427A">
            <w:pPr>
              <w:pStyle w:val="IATableLabel"/>
              <w:jc w:val="right"/>
              <w:rPr>
                <w:rFonts w:cs="Arial"/>
              </w:rPr>
            </w:pPr>
            <w:r w:rsidRPr="0051753E">
              <w:rPr>
                <w:rFonts w:cs="Arial"/>
              </w:rPr>
              <w:t>Total Cost</w:t>
            </w:r>
            <w:r w:rsidRPr="0051753E">
              <w:rPr>
                <w:rFonts w:cs="Arial"/>
                <w:b w:val="0"/>
                <w:sz w:val="18"/>
                <w:szCs w:val="18"/>
              </w:rPr>
              <w:t xml:space="preserve"> </w:t>
            </w:r>
            <w:r w:rsidRPr="0051753E">
              <w:rPr>
                <w:rFonts w:cs="Arial"/>
                <w:b w:val="0"/>
                <w:sz w:val="18"/>
                <w:szCs w:val="18"/>
              </w:rPr>
              <w:br/>
              <w:t>(Present Value)</w:t>
            </w:r>
          </w:p>
        </w:tc>
      </w:tr>
      <w:tr w:rsidR="0069005A" w:rsidRPr="00651181" w14:paraId="0DCAC03A" w14:textId="77777777" w:rsidTr="002F427A">
        <w:trPr>
          <w:trHeight w:hRule="exact" w:val="348"/>
        </w:trPr>
        <w:tc>
          <w:tcPr>
            <w:tcW w:w="1995" w:type="dxa"/>
            <w:tcBorders>
              <w:top w:val="single" w:sz="6" w:space="0" w:color="auto"/>
              <w:bottom w:val="single" w:sz="6" w:space="0" w:color="auto"/>
            </w:tcBorders>
            <w:shd w:val="clear" w:color="auto" w:fill="auto"/>
            <w:vAlign w:val="center"/>
          </w:tcPr>
          <w:p w14:paraId="6DD0CE29" w14:textId="77777777" w:rsidR="0069005A" w:rsidRPr="00651181" w:rsidRDefault="0069005A" w:rsidP="002F427A">
            <w:pPr>
              <w:pStyle w:val="IATableLabel"/>
              <w:rPr>
                <w:rFonts w:cs="Arial"/>
              </w:rPr>
            </w:pPr>
            <w:r w:rsidRPr="00651181">
              <w:rPr>
                <w:rFonts w:cs="Arial"/>
              </w:rPr>
              <w:t xml:space="preserve">Low </w:t>
            </w:r>
          </w:p>
        </w:tc>
        <w:tc>
          <w:tcPr>
            <w:tcW w:w="1949" w:type="dxa"/>
            <w:tcBorders>
              <w:top w:val="single" w:sz="6" w:space="0" w:color="auto"/>
              <w:bottom w:val="single" w:sz="6" w:space="0" w:color="auto"/>
            </w:tcBorders>
            <w:shd w:val="clear" w:color="auto" w:fill="auto"/>
            <w:vAlign w:val="center"/>
          </w:tcPr>
          <w:p w14:paraId="7E81DBA0" w14:textId="77777777" w:rsidR="0069005A" w:rsidRPr="006E0A89" w:rsidRDefault="0069005A" w:rsidP="002F427A">
            <w:pPr>
              <w:pStyle w:val="POTTCostsLow"/>
              <w:rPr>
                <w:rFonts w:cs="Arial"/>
                <w:sz w:val="20"/>
              </w:rPr>
            </w:pPr>
          </w:p>
        </w:tc>
        <w:tc>
          <w:tcPr>
            <w:tcW w:w="790" w:type="dxa"/>
            <w:vMerge w:val="restart"/>
            <w:tcBorders>
              <w:top w:val="single" w:sz="6" w:space="0" w:color="auto"/>
            </w:tcBorders>
            <w:shd w:val="clear" w:color="auto" w:fill="auto"/>
            <w:vAlign w:val="center"/>
          </w:tcPr>
          <w:p w14:paraId="56D37625" w14:textId="77777777" w:rsidR="0069005A" w:rsidRPr="006E0A89" w:rsidRDefault="0069005A" w:rsidP="002F427A">
            <w:pPr>
              <w:pStyle w:val="POTTCostsYear"/>
              <w:rPr>
                <w:rFonts w:cs="Arial"/>
                <w:sz w:val="20"/>
                <w:szCs w:val="20"/>
              </w:rPr>
            </w:pPr>
          </w:p>
        </w:tc>
        <w:tc>
          <w:tcPr>
            <w:tcW w:w="2865" w:type="dxa"/>
            <w:tcBorders>
              <w:top w:val="single" w:sz="6" w:space="0" w:color="auto"/>
              <w:bottom w:val="single" w:sz="6" w:space="0" w:color="auto"/>
              <w:right w:val="single" w:sz="12" w:space="0" w:color="auto"/>
            </w:tcBorders>
            <w:shd w:val="clear" w:color="auto" w:fill="auto"/>
            <w:vAlign w:val="center"/>
          </w:tcPr>
          <w:p w14:paraId="09684E60" w14:textId="77777777" w:rsidR="0069005A" w:rsidRPr="006E0A89" w:rsidRDefault="0069005A" w:rsidP="002F427A">
            <w:pPr>
              <w:pStyle w:val="POAACostsLow"/>
              <w:rPr>
                <w:rFonts w:cs="Arial"/>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01935FB1" w14:textId="77777777" w:rsidR="0069005A" w:rsidRPr="006E0A89" w:rsidRDefault="0069005A" w:rsidP="002F427A">
            <w:pPr>
              <w:pStyle w:val="POTCCostsLow"/>
              <w:rPr>
                <w:rFonts w:cs="Arial"/>
                <w:sz w:val="20"/>
              </w:rPr>
            </w:pPr>
          </w:p>
        </w:tc>
      </w:tr>
      <w:tr w:rsidR="0069005A" w:rsidRPr="00651181" w14:paraId="3E35FA07" w14:textId="77777777" w:rsidTr="002F427A">
        <w:trPr>
          <w:trHeight w:hRule="exact" w:val="348"/>
        </w:trPr>
        <w:tc>
          <w:tcPr>
            <w:tcW w:w="1995" w:type="dxa"/>
            <w:tcBorders>
              <w:top w:val="single" w:sz="6" w:space="0" w:color="auto"/>
              <w:bottom w:val="single" w:sz="12" w:space="0" w:color="auto"/>
            </w:tcBorders>
            <w:shd w:val="clear" w:color="auto" w:fill="auto"/>
            <w:vAlign w:val="center"/>
          </w:tcPr>
          <w:p w14:paraId="363D2A05" w14:textId="77777777" w:rsidR="0069005A" w:rsidRPr="00651181" w:rsidRDefault="0069005A" w:rsidP="002F427A">
            <w:pPr>
              <w:pStyle w:val="IATableLabel"/>
              <w:rPr>
                <w:rFonts w:cs="Arial"/>
              </w:rPr>
            </w:pPr>
            <w:r w:rsidRPr="00651181">
              <w:rPr>
                <w:rFonts w:cs="Arial"/>
              </w:rPr>
              <w:t xml:space="preserve">High </w:t>
            </w:r>
          </w:p>
        </w:tc>
        <w:tc>
          <w:tcPr>
            <w:tcW w:w="1949" w:type="dxa"/>
            <w:tcBorders>
              <w:top w:val="single" w:sz="6" w:space="0" w:color="auto"/>
              <w:bottom w:val="single" w:sz="12" w:space="0" w:color="auto"/>
            </w:tcBorders>
            <w:shd w:val="clear" w:color="auto" w:fill="auto"/>
            <w:vAlign w:val="center"/>
          </w:tcPr>
          <w:p w14:paraId="6381C297" w14:textId="77777777" w:rsidR="0069005A" w:rsidRPr="006E0A89" w:rsidRDefault="0069005A" w:rsidP="002F427A">
            <w:pPr>
              <w:pStyle w:val="POTTCostsHigh"/>
              <w:rPr>
                <w:rFonts w:cs="Arial"/>
                <w:sz w:val="20"/>
              </w:rPr>
            </w:pPr>
          </w:p>
        </w:tc>
        <w:tc>
          <w:tcPr>
            <w:tcW w:w="790" w:type="dxa"/>
            <w:vMerge/>
            <w:shd w:val="clear" w:color="auto" w:fill="FFFFFF"/>
            <w:vAlign w:val="center"/>
          </w:tcPr>
          <w:p w14:paraId="04130901" w14:textId="77777777" w:rsidR="0069005A" w:rsidRPr="006E0A89" w:rsidRDefault="0069005A" w:rsidP="002F427A">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694D1F49" w14:textId="77777777" w:rsidR="0069005A" w:rsidRPr="006E0A89" w:rsidRDefault="0069005A" w:rsidP="002F427A">
            <w:pPr>
              <w:pStyle w:val="POAACostsHigh"/>
              <w:rPr>
                <w:rFonts w:cs="Arial"/>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4EB62F00" w14:textId="77777777" w:rsidR="0069005A" w:rsidRPr="006E0A89" w:rsidRDefault="0069005A" w:rsidP="002F427A">
            <w:pPr>
              <w:pStyle w:val="POTCCostsHigh"/>
              <w:rPr>
                <w:rFonts w:cs="Arial"/>
                <w:sz w:val="20"/>
              </w:rPr>
            </w:pPr>
          </w:p>
        </w:tc>
      </w:tr>
      <w:tr w:rsidR="0069005A" w:rsidRPr="00651181" w14:paraId="0DB9D683" w14:textId="77777777" w:rsidTr="002F427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37C5AF04" w14:textId="77777777" w:rsidR="0069005A" w:rsidRPr="00651181" w:rsidRDefault="0069005A" w:rsidP="002F427A">
            <w:pPr>
              <w:pStyle w:val="IATableLabel"/>
              <w:rPr>
                <w:rFonts w:cs="Arial"/>
              </w:rPr>
            </w:pPr>
            <w:r w:rsidRPr="00651181">
              <w:rPr>
                <w:rFonts w:cs="Arial"/>
              </w:rPr>
              <w:t>Best Estimate</w:t>
            </w:r>
          </w:p>
          <w:p w14:paraId="35D80971" w14:textId="77777777" w:rsidR="0069005A" w:rsidRPr="00F96CCD" w:rsidRDefault="0069005A" w:rsidP="002F427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BEEF77D" w14:textId="77777777" w:rsidR="0069005A" w:rsidRPr="006E0A89" w:rsidRDefault="0069005A" w:rsidP="002F427A">
            <w:pPr>
              <w:pStyle w:val="POTTCostsBest"/>
              <w:rPr>
                <w:rFonts w:cs="Arial"/>
                <w:sz w:val="20"/>
              </w:rPr>
            </w:pPr>
            <w:r>
              <w:rPr>
                <w:rFonts w:cs="Arial"/>
                <w:sz w:val="20"/>
              </w:rPr>
              <w:t>NQ</w:t>
            </w:r>
          </w:p>
        </w:tc>
        <w:tc>
          <w:tcPr>
            <w:tcW w:w="790" w:type="dxa"/>
            <w:vMerge/>
            <w:tcBorders>
              <w:left w:val="single" w:sz="12" w:space="0" w:color="auto"/>
              <w:right w:val="single" w:sz="12" w:space="0" w:color="auto"/>
            </w:tcBorders>
            <w:shd w:val="clear" w:color="auto" w:fill="FFFFFF"/>
            <w:vAlign w:val="center"/>
          </w:tcPr>
          <w:p w14:paraId="59993C2B" w14:textId="77777777" w:rsidR="0069005A" w:rsidRPr="006E0A89" w:rsidRDefault="0069005A" w:rsidP="002F427A">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66A61B94" w14:textId="77777777" w:rsidR="0069005A" w:rsidRPr="006E0A89" w:rsidRDefault="0069005A" w:rsidP="002F427A">
            <w:pPr>
              <w:pStyle w:val="POAACostsBest"/>
              <w:rPr>
                <w:rFonts w:cs="Arial"/>
                <w:sz w:val="20"/>
              </w:rPr>
            </w:pPr>
            <w:r>
              <w:rPr>
                <w:rFonts w:cs="Arial"/>
                <w:sz w:val="20"/>
              </w:rPr>
              <w:t>NQ</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0D7CF46E" w14:textId="77777777" w:rsidR="0069005A" w:rsidRPr="006E0A89" w:rsidRDefault="0069005A" w:rsidP="002F427A">
            <w:pPr>
              <w:pStyle w:val="POTCCostsBest"/>
              <w:rPr>
                <w:rFonts w:cs="Arial"/>
                <w:sz w:val="20"/>
              </w:rPr>
            </w:pPr>
            <w:r>
              <w:rPr>
                <w:rFonts w:cs="Arial"/>
                <w:sz w:val="20"/>
              </w:rPr>
              <w:t>NQ</w:t>
            </w:r>
          </w:p>
        </w:tc>
      </w:tr>
      <w:tr w:rsidR="0069005A" w:rsidRPr="00651181" w14:paraId="5486B51A" w14:textId="77777777" w:rsidTr="002F427A">
        <w:trPr>
          <w:trHeight w:hRule="exact" w:val="1075"/>
        </w:trPr>
        <w:tc>
          <w:tcPr>
            <w:tcW w:w="10235" w:type="dxa"/>
            <w:gridSpan w:val="6"/>
            <w:tcBorders>
              <w:bottom w:val="single" w:sz="6" w:space="0" w:color="auto"/>
            </w:tcBorders>
            <w:shd w:val="clear" w:color="auto" w:fill="auto"/>
          </w:tcPr>
          <w:p w14:paraId="2D671C0F" w14:textId="77777777" w:rsidR="0069005A" w:rsidRPr="00F96CCD" w:rsidRDefault="0069005A" w:rsidP="002F427A">
            <w:pPr>
              <w:pStyle w:val="IAPOQ1"/>
              <w:rPr>
                <w:rFonts w:cs="Arial"/>
                <w:szCs w:val="22"/>
              </w:rPr>
            </w:pPr>
            <w:r w:rsidRPr="00651181">
              <w:rPr>
                <w:rFonts w:cs="Arial"/>
              </w:rPr>
              <w:t>Description and scale of key monetised costs</w:t>
            </w:r>
            <w:r w:rsidRPr="00F96CCD">
              <w:rPr>
                <w:rFonts w:cs="Arial"/>
              </w:rPr>
              <w:t xml:space="preserve"> by ‘main affected groups’ </w:t>
            </w:r>
          </w:p>
          <w:p w14:paraId="67AC3554" w14:textId="7DB79FD1" w:rsidR="0069005A" w:rsidRPr="006E0A89" w:rsidRDefault="003F5BF1" w:rsidP="00497776">
            <w:pPr>
              <w:pStyle w:val="IAPOA1"/>
              <w:rPr>
                <w:rFonts w:cs="Arial"/>
              </w:rPr>
            </w:pPr>
            <w:bookmarkStart w:id="18" w:name="_Hlk517687874"/>
            <w:r>
              <w:rPr>
                <w:rFonts w:cs="Arial"/>
                <w:sz w:val="20"/>
              </w:rPr>
              <w:t>In preparation for a review of the PIDR, the Government will carry out or commission research and analysis in relation to the factors the Lord Chancellor might consider in setting the rate. This is estimated to cost between £250k and £320k at each review</w:t>
            </w:r>
            <w:r w:rsidR="0024209E">
              <w:rPr>
                <w:rFonts w:cs="Arial"/>
                <w:sz w:val="20"/>
              </w:rPr>
              <w:t>.</w:t>
            </w:r>
            <w:bookmarkEnd w:id="18"/>
          </w:p>
        </w:tc>
      </w:tr>
      <w:tr w:rsidR="0069005A" w:rsidRPr="00651181" w14:paraId="7FF0C770" w14:textId="77777777" w:rsidTr="002F427A">
        <w:trPr>
          <w:trHeight w:hRule="exact" w:val="2252"/>
        </w:trPr>
        <w:tc>
          <w:tcPr>
            <w:tcW w:w="10235" w:type="dxa"/>
            <w:gridSpan w:val="6"/>
            <w:tcBorders>
              <w:top w:val="single" w:sz="6" w:space="0" w:color="auto"/>
              <w:bottom w:val="single" w:sz="12" w:space="0" w:color="auto"/>
            </w:tcBorders>
            <w:shd w:val="clear" w:color="auto" w:fill="auto"/>
          </w:tcPr>
          <w:p w14:paraId="4EDE7B43" w14:textId="77777777" w:rsidR="0069005A" w:rsidRPr="00F96CCD" w:rsidRDefault="0069005A" w:rsidP="002F427A">
            <w:pPr>
              <w:pStyle w:val="IAPOQ2"/>
              <w:rPr>
                <w:rFonts w:cs="Arial"/>
                <w:szCs w:val="22"/>
              </w:rPr>
            </w:pPr>
            <w:r w:rsidRPr="00651181">
              <w:rPr>
                <w:rFonts w:cs="Arial"/>
              </w:rPr>
              <w:t>Other key non-</w:t>
            </w:r>
            <w:r w:rsidRPr="00F96CCD">
              <w:rPr>
                <w:rFonts w:cs="Arial"/>
              </w:rPr>
              <w:t xml:space="preserve">monetised costs by ‘main affected groups’ </w:t>
            </w:r>
          </w:p>
          <w:p w14:paraId="482BAADB" w14:textId="50AE65A7" w:rsidR="00D7292C" w:rsidRDefault="00497776" w:rsidP="00D7292C">
            <w:pPr>
              <w:pStyle w:val="IAPOA2"/>
              <w:rPr>
                <w:rFonts w:cs="Arial"/>
                <w:sz w:val="20"/>
              </w:rPr>
            </w:pPr>
            <w:r w:rsidRPr="005E39CA">
              <w:rPr>
                <w:rFonts w:cs="Arial"/>
                <w:sz w:val="20"/>
                <w:szCs w:val="22"/>
              </w:rPr>
              <w:t xml:space="preserve">Should the Lord Chancellor wish to review the rate in advance of the </w:t>
            </w:r>
            <w:r w:rsidR="00D7566F">
              <w:rPr>
                <w:rFonts w:cs="Arial"/>
                <w:sz w:val="20"/>
                <w:szCs w:val="22"/>
              </w:rPr>
              <w:t>five</w:t>
            </w:r>
            <w:r w:rsidR="005273C1">
              <w:rPr>
                <w:rFonts w:cs="Arial"/>
                <w:sz w:val="20"/>
                <w:szCs w:val="22"/>
              </w:rPr>
              <w:t>-</w:t>
            </w:r>
            <w:r w:rsidRPr="005E39CA">
              <w:rPr>
                <w:rFonts w:cs="Arial"/>
                <w:sz w:val="20"/>
                <w:szCs w:val="22"/>
              </w:rPr>
              <w:t>year interval, any administrative costs involved with monitoring the relevant economic indicators are expected to be negligible. Depending on the direction of any PIDR change, reviews will lead to costs either to claimants or defendants, when compared with keeping an existing rate in force. However, o</w:t>
            </w:r>
            <w:r w:rsidRPr="005E39CA">
              <w:rPr>
                <w:rFonts w:cs="Arial"/>
                <w:sz w:val="20"/>
              </w:rPr>
              <w:t xml:space="preserve">ver the long term, </w:t>
            </w:r>
            <w:r w:rsidR="004C0BA3" w:rsidRPr="005E39CA">
              <w:rPr>
                <w:rFonts w:cs="Arial"/>
                <w:sz w:val="20"/>
              </w:rPr>
              <w:t xml:space="preserve">any </w:t>
            </w:r>
            <w:r w:rsidRPr="005E39CA">
              <w:rPr>
                <w:rFonts w:cs="Arial"/>
                <w:sz w:val="20"/>
              </w:rPr>
              <w:t xml:space="preserve">impacts </w:t>
            </w:r>
            <w:r w:rsidR="007E4519" w:rsidRPr="005E39CA">
              <w:rPr>
                <w:rFonts w:cs="Arial"/>
                <w:sz w:val="20"/>
              </w:rPr>
              <w:t>are expected to</w:t>
            </w:r>
            <w:r w:rsidRPr="005E39CA">
              <w:rPr>
                <w:rFonts w:cs="Arial"/>
                <w:sz w:val="20"/>
              </w:rPr>
              <w:t xml:space="preserve"> be cost neutral</w:t>
            </w:r>
            <w:r w:rsidR="00C77489">
              <w:rPr>
                <w:rFonts w:cs="Arial"/>
                <w:sz w:val="20"/>
              </w:rPr>
              <w:t xml:space="preserve"> </w:t>
            </w:r>
            <w:r w:rsidRPr="005E39CA">
              <w:rPr>
                <w:rFonts w:cs="Arial"/>
                <w:sz w:val="20"/>
              </w:rPr>
              <w:t>for both claimants</w:t>
            </w:r>
            <w:r w:rsidR="00C77489">
              <w:rPr>
                <w:rFonts w:cs="Arial"/>
                <w:sz w:val="20"/>
              </w:rPr>
              <w:t xml:space="preserve"> </w:t>
            </w:r>
            <w:r w:rsidRPr="005E39CA">
              <w:rPr>
                <w:rFonts w:cs="Arial"/>
                <w:sz w:val="20"/>
              </w:rPr>
              <w:t>and defendants</w:t>
            </w:r>
            <w:r w:rsidR="00C77489">
              <w:rPr>
                <w:rFonts w:cs="Arial"/>
                <w:sz w:val="20"/>
              </w:rPr>
              <w:t xml:space="preserve"> overall,</w:t>
            </w:r>
            <w:r w:rsidR="00D7292C">
              <w:rPr>
                <w:rFonts w:cs="Arial"/>
                <w:sz w:val="20"/>
              </w:rPr>
              <w:t xml:space="preserve"> as gains from one review period may cancel out any losses from another review period.  </w:t>
            </w:r>
          </w:p>
          <w:p w14:paraId="4E467484" w14:textId="77777777" w:rsidR="0069005A" w:rsidRPr="006E0A89" w:rsidRDefault="0069005A" w:rsidP="005E39CA">
            <w:pPr>
              <w:pStyle w:val="IAPOA2"/>
              <w:ind w:left="0"/>
              <w:rPr>
                <w:rFonts w:cs="Arial"/>
                <w:szCs w:val="22"/>
              </w:rPr>
            </w:pPr>
          </w:p>
        </w:tc>
      </w:tr>
      <w:tr w:rsidR="0069005A" w:rsidRPr="00651181" w14:paraId="654ACC77" w14:textId="77777777" w:rsidTr="002F427A">
        <w:trPr>
          <w:trHeight w:hRule="exact" w:val="567"/>
        </w:trPr>
        <w:tc>
          <w:tcPr>
            <w:tcW w:w="1995" w:type="dxa"/>
            <w:shd w:val="clear" w:color="auto" w:fill="FFFFFF"/>
          </w:tcPr>
          <w:p w14:paraId="53200B92" w14:textId="77777777" w:rsidR="0069005A" w:rsidRPr="00651181" w:rsidRDefault="0069005A" w:rsidP="002F427A">
            <w:pPr>
              <w:pStyle w:val="IATableLabel"/>
              <w:rPr>
                <w:rFonts w:cs="Arial"/>
                <w:sz w:val="24"/>
                <w:szCs w:val="24"/>
              </w:rPr>
            </w:pPr>
            <w:r w:rsidRPr="00651181">
              <w:rPr>
                <w:rFonts w:cs="Arial"/>
                <w:sz w:val="24"/>
                <w:szCs w:val="24"/>
              </w:rPr>
              <w:t>BENEFITS (£m)</w:t>
            </w:r>
          </w:p>
        </w:tc>
        <w:tc>
          <w:tcPr>
            <w:tcW w:w="2739" w:type="dxa"/>
            <w:gridSpan w:val="2"/>
            <w:tcBorders>
              <w:top w:val="single" w:sz="12" w:space="0" w:color="auto"/>
              <w:bottom w:val="single" w:sz="6" w:space="0" w:color="auto"/>
            </w:tcBorders>
            <w:shd w:val="clear" w:color="auto" w:fill="auto"/>
          </w:tcPr>
          <w:p w14:paraId="0F68D1DC" w14:textId="77777777" w:rsidR="0069005A" w:rsidRPr="0051753E" w:rsidRDefault="0069005A" w:rsidP="002F427A">
            <w:pPr>
              <w:pStyle w:val="IATableLabel"/>
              <w:tabs>
                <w:tab w:val="right" w:pos="1797"/>
                <w:tab w:val="center" w:pos="2340"/>
              </w:tabs>
              <w:jc w:val="right"/>
              <w:rPr>
                <w:rFonts w:cs="Arial"/>
              </w:rPr>
            </w:pPr>
            <w:r w:rsidRPr="00F96CCD">
              <w:rPr>
                <w:rFonts w:cs="Arial"/>
              </w:rPr>
              <w:t xml:space="preserve">Total Transition </w:t>
            </w:r>
            <w:r w:rsidRPr="00F96CCD">
              <w:rPr>
                <w:rFonts w:cs="Arial"/>
              </w:rPr>
              <w:br/>
            </w:r>
            <w:r w:rsidRPr="00F96CCD">
              <w:rPr>
                <w:rFonts w:cs="Arial"/>
              </w:rPr>
              <w:tab/>
            </w:r>
            <w:r w:rsidRPr="00DC036C">
              <w:rPr>
                <w:rFonts w:cs="Arial"/>
                <w:b w:val="0"/>
                <w:sz w:val="18"/>
                <w:szCs w:val="18"/>
              </w:rPr>
              <w:t>(Constant Price)</w:t>
            </w:r>
            <w:r w:rsidRPr="00DC036C">
              <w:rPr>
                <w:rFonts w:cs="Arial"/>
              </w:rPr>
              <w:tab/>
            </w:r>
            <w:r w:rsidRPr="0051753E">
              <w:rPr>
                <w:rFonts w:cs="Arial"/>
                <w:b w:val="0"/>
                <w:sz w:val="18"/>
                <w:szCs w:val="18"/>
              </w:rPr>
              <w:t>Yea</w:t>
            </w:r>
            <w:r w:rsidRPr="0051753E">
              <w:rPr>
                <w:rFonts w:cs="Arial"/>
                <w:b w:val="0"/>
                <w:bCs/>
                <w:sz w:val="18"/>
                <w:szCs w:val="18"/>
              </w:rPr>
              <w:t>r</w:t>
            </w:r>
            <w:r w:rsidRPr="0051753E">
              <w:rPr>
                <w:rFonts w:cs="Arial"/>
                <w:b w:val="0"/>
                <w:sz w:val="18"/>
                <w:szCs w:val="18"/>
              </w:rPr>
              <w:t>s</w:t>
            </w:r>
          </w:p>
          <w:p w14:paraId="43479507" w14:textId="77777777" w:rsidR="0069005A" w:rsidRPr="003473EB" w:rsidRDefault="0069005A" w:rsidP="002F427A">
            <w:pPr>
              <w:pStyle w:val="IATableLabel"/>
              <w:jc w:val="right"/>
              <w:rPr>
                <w:rFonts w:cs="Arial"/>
              </w:rPr>
            </w:pPr>
            <w:r w:rsidRPr="0051753E">
              <w:rPr>
                <w:rFonts w:cs="Arial"/>
              </w:rPr>
              <w:br/>
            </w:r>
          </w:p>
        </w:tc>
        <w:tc>
          <w:tcPr>
            <w:tcW w:w="2865" w:type="dxa"/>
            <w:tcBorders>
              <w:bottom w:val="single" w:sz="6" w:space="0" w:color="auto"/>
              <w:right w:val="single" w:sz="12" w:space="0" w:color="auto"/>
            </w:tcBorders>
            <w:shd w:val="clear" w:color="auto" w:fill="auto"/>
          </w:tcPr>
          <w:p w14:paraId="2C2CF88C" w14:textId="77777777" w:rsidR="0069005A" w:rsidRPr="00651181" w:rsidRDefault="0069005A" w:rsidP="002F427A">
            <w:pPr>
              <w:pStyle w:val="IATableLabel"/>
              <w:jc w:val="right"/>
              <w:rPr>
                <w:rFonts w:cs="Arial"/>
                <w:bCs/>
              </w:rPr>
            </w:pPr>
            <w:r w:rsidRPr="003473EB">
              <w:rPr>
                <w:rFonts w:cs="Arial"/>
              </w:rPr>
              <w:t xml:space="preserve">Average Annual </w:t>
            </w:r>
            <w:r w:rsidRPr="003473EB">
              <w:rPr>
                <w:rFonts w:cs="Arial"/>
              </w:rPr>
              <w:br/>
            </w:r>
            <w:r w:rsidRPr="006E0A89">
              <w:rPr>
                <w:rFonts w:cs="Arial"/>
                <w:b w:val="0"/>
                <w:sz w:val="18"/>
                <w:szCs w:val="18"/>
              </w:rPr>
              <w:t xml:space="preserve">(excl. Transition) </w:t>
            </w:r>
            <w:r w:rsidRPr="0065118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5447E5E1" w14:textId="77777777" w:rsidR="0069005A" w:rsidRPr="0051753E" w:rsidRDefault="0069005A" w:rsidP="002F427A">
            <w:pPr>
              <w:pStyle w:val="IATableLabel"/>
              <w:jc w:val="right"/>
              <w:rPr>
                <w:rFonts w:cs="Arial"/>
              </w:rPr>
            </w:pPr>
            <w:r w:rsidRPr="0051753E">
              <w:rPr>
                <w:rFonts w:cs="Arial"/>
              </w:rPr>
              <w:t>Total Benefit</w:t>
            </w:r>
            <w:r w:rsidRPr="0051753E">
              <w:rPr>
                <w:rFonts w:cs="Arial"/>
                <w:b w:val="0"/>
                <w:sz w:val="18"/>
                <w:szCs w:val="18"/>
              </w:rPr>
              <w:t xml:space="preserve"> </w:t>
            </w:r>
            <w:r w:rsidRPr="0051753E">
              <w:rPr>
                <w:rFonts w:cs="Arial"/>
                <w:b w:val="0"/>
                <w:sz w:val="18"/>
                <w:szCs w:val="18"/>
              </w:rPr>
              <w:br/>
              <w:t>(Present Value)</w:t>
            </w:r>
          </w:p>
        </w:tc>
      </w:tr>
      <w:tr w:rsidR="0069005A" w:rsidRPr="00651181" w14:paraId="222B1040" w14:textId="77777777" w:rsidTr="002F427A">
        <w:trPr>
          <w:trHeight w:hRule="exact" w:val="348"/>
        </w:trPr>
        <w:tc>
          <w:tcPr>
            <w:tcW w:w="1995" w:type="dxa"/>
            <w:tcBorders>
              <w:top w:val="single" w:sz="6" w:space="0" w:color="auto"/>
              <w:bottom w:val="single" w:sz="6" w:space="0" w:color="auto"/>
            </w:tcBorders>
            <w:shd w:val="clear" w:color="auto" w:fill="auto"/>
            <w:vAlign w:val="center"/>
          </w:tcPr>
          <w:p w14:paraId="0192E85F" w14:textId="77777777" w:rsidR="0069005A" w:rsidRPr="00651181" w:rsidRDefault="0069005A" w:rsidP="002F427A">
            <w:pPr>
              <w:pStyle w:val="IATableLabel"/>
              <w:rPr>
                <w:rFonts w:cs="Arial"/>
              </w:rPr>
            </w:pPr>
            <w:r w:rsidRPr="00651181">
              <w:rPr>
                <w:rFonts w:cs="Arial"/>
              </w:rPr>
              <w:t xml:space="preserve">Low </w:t>
            </w:r>
          </w:p>
        </w:tc>
        <w:tc>
          <w:tcPr>
            <w:tcW w:w="1949" w:type="dxa"/>
            <w:tcBorders>
              <w:top w:val="single" w:sz="6" w:space="0" w:color="auto"/>
              <w:bottom w:val="single" w:sz="6" w:space="0" w:color="auto"/>
            </w:tcBorders>
            <w:shd w:val="clear" w:color="auto" w:fill="auto"/>
            <w:vAlign w:val="center"/>
          </w:tcPr>
          <w:p w14:paraId="7BE930A4" w14:textId="77777777" w:rsidR="0069005A" w:rsidRPr="006E0A89" w:rsidRDefault="0069005A" w:rsidP="002F427A">
            <w:pPr>
              <w:pStyle w:val="POTTBenLow"/>
              <w:rPr>
                <w:rFonts w:cs="Arial"/>
                <w:sz w:val="20"/>
              </w:rPr>
            </w:pPr>
          </w:p>
        </w:tc>
        <w:tc>
          <w:tcPr>
            <w:tcW w:w="790" w:type="dxa"/>
            <w:vMerge w:val="restart"/>
            <w:tcBorders>
              <w:top w:val="single" w:sz="6" w:space="0" w:color="auto"/>
            </w:tcBorders>
            <w:shd w:val="clear" w:color="auto" w:fill="auto"/>
            <w:vAlign w:val="center"/>
          </w:tcPr>
          <w:p w14:paraId="3BFC0342" w14:textId="77777777" w:rsidR="0069005A" w:rsidRPr="006E0A89" w:rsidRDefault="0069005A" w:rsidP="002F427A">
            <w:pPr>
              <w:pStyle w:val="IATableText"/>
              <w:jc w:val="center"/>
              <w:rPr>
                <w:rFonts w:cs="Arial"/>
                <w:sz w:val="20"/>
              </w:rPr>
            </w:pPr>
          </w:p>
        </w:tc>
        <w:tc>
          <w:tcPr>
            <w:tcW w:w="2865" w:type="dxa"/>
            <w:tcBorders>
              <w:top w:val="single" w:sz="6" w:space="0" w:color="auto"/>
              <w:bottom w:val="single" w:sz="6" w:space="0" w:color="auto"/>
              <w:right w:val="single" w:sz="12" w:space="0" w:color="auto"/>
            </w:tcBorders>
            <w:shd w:val="clear" w:color="auto" w:fill="auto"/>
            <w:vAlign w:val="center"/>
          </w:tcPr>
          <w:p w14:paraId="4E15CDC6" w14:textId="77777777" w:rsidR="0069005A" w:rsidRPr="006E0A89" w:rsidRDefault="0069005A" w:rsidP="002F427A">
            <w:pPr>
              <w:pStyle w:val="POAABenLow"/>
              <w:rPr>
                <w:rFonts w:cs="Arial"/>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3583F3C1" w14:textId="77777777" w:rsidR="0069005A" w:rsidRPr="006E0A89" w:rsidRDefault="0069005A" w:rsidP="002F427A">
            <w:pPr>
              <w:pStyle w:val="POTBBenLow"/>
              <w:rPr>
                <w:rFonts w:cs="Arial"/>
                <w:sz w:val="20"/>
              </w:rPr>
            </w:pPr>
          </w:p>
        </w:tc>
      </w:tr>
      <w:tr w:rsidR="0069005A" w:rsidRPr="00651181" w14:paraId="4EE29305" w14:textId="77777777" w:rsidTr="002F427A">
        <w:trPr>
          <w:trHeight w:hRule="exact" w:val="348"/>
        </w:trPr>
        <w:tc>
          <w:tcPr>
            <w:tcW w:w="1995" w:type="dxa"/>
            <w:tcBorders>
              <w:top w:val="single" w:sz="6" w:space="0" w:color="auto"/>
              <w:bottom w:val="single" w:sz="12" w:space="0" w:color="auto"/>
            </w:tcBorders>
            <w:shd w:val="clear" w:color="auto" w:fill="auto"/>
            <w:vAlign w:val="center"/>
          </w:tcPr>
          <w:p w14:paraId="691B389F" w14:textId="77777777" w:rsidR="0069005A" w:rsidRPr="00651181" w:rsidRDefault="0069005A" w:rsidP="002F427A">
            <w:pPr>
              <w:pStyle w:val="IATableLabel"/>
              <w:rPr>
                <w:rFonts w:cs="Arial"/>
              </w:rPr>
            </w:pPr>
            <w:r w:rsidRPr="00651181">
              <w:rPr>
                <w:rFonts w:cs="Arial"/>
              </w:rPr>
              <w:t xml:space="preserve">High </w:t>
            </w:r>
          </w:p>
        </w:tc>
        <w:tc>
          <w:tcPr>
            <w:tcW w:w="1949" w:type="dxa"/>
            <w:tcBorders>
              <w:top w:val="single" w:sz="6" w:space="0" w:color="auto"/>
              <w:bottom w:val="single" w:sz="12" w:space="0" w:color="auto"/>
            </w:tcBorders>
            <w:shd w:val="clear" w:color="auto" w:fill="auto"/>
            <w:vAlign w:val="center"/>
          </w:tcPr>
          <w:p w14:paraId="54580FA4" w14:textId="77777777" w:rsidR="0069005A" w:rsidRPr="006E0A89" w:rsidRDefault="0069005A" w:rsidP="002F427A">
            <w:pPr>
              <w:pStyle w:val="POTTBenHigh"/>
              <w:rPr>
                <w:rFonts w:cs="Arial"/>
                <w:sz w:val="20"/>
              </w:rPr>
            </w:pPr>
          </w:p>
        </w:tc>
        <w:tc>
          <w:tcPr>
            <w:tcW w:w="790" w:type="dxa"/>
            <w:vMerge/>
            <w:shd w:val="clear" w:color="auto" w:fill="FFFFFF"/>
            <w:vAlign w:val="center"/>
          </w:tcPr>
          <w:p w14:paraId="515CE549" w14:textId="77777777" w:rsidR="0069005A" w:rsidRPr="006E0A89" w:rsidRDefault="0069005A" w:rsidP="002F427A">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73D51222" w14:textId="77777777" w:rsidR="0069005A" w:rsidRPr="006E0A89" w:rsidRDefault="0069005A" w:rsidP="002F427A">
            <w:pPr>
              <w:pStyle w:val="POAABenHigh"/>
              <w:rPr>
                <w:rFonts w:cs="Arial"/>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5025A2C7" w14:textId="77777777" w:rsidR="0069005A" w:rsidRPr="006E0A89" w:rsidRDefault="0069005A" w:rsidP="002F427A">
            <w:pPr>
              <w:pStyle w:val="POTBBenHigh"/>
              <w:rPr>
                <w:rFonts w:cs="Arial"/>
                <w:sz w:val="20"/>
              </w:rPr>
            </w:pPr>
          </w:p>
        </w:tc>
      </w:tr>
      <w:tr w:rsidR="0069005A" w:rsidRPr="00651181" w14:paraId="2B71DAF8" w14:textId="77777777" w:rsidTr="002F427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652F01C7" w14:textId="77777777" w:rsidR="0069005A" w:rsidRPr="00F96CCD" w:rsidRDefault="0069005A" w:rsidP="002F427A">
            <w:pPr>
              <w:pStyle w:val="IATableLabel"/>
              <w:rPr>
                <w:rFonts w:cs="Arial"/>
              </w:rPr>
            </w:pPr>
            <w:r w:rsidRPr="00651181">
              <w:rPr>
                <w:rFonts w:cs="Arial"/>
              </w:rPr>
              <w:t>Best E</w:t>
            </w:r>
            <w:r w:rsidRPr="00F96CCD">
              <w:rPr>
                <w:rFonts w:cs="Arial"/>
              </w:rPr>
              <w:t>stimate</w:t>
            </w:r>
          </w:p>
          <w:p w14:paraId="57641CC3" w14:textId="77777777" w:rsidR="0069005A" w:rsidRPr="00F96CCD" w:rsidRDefault="0069005A" w:rsidP="002F427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6B04D24" w14:textId="77777777" w:rsidR="0069005A" w:rsidRPr="006E0A89" w:rsidRDefault="0069005A" w:rsidP="002F427A">
            <w:pPr>
              <w:pStyle w:val="POTTBenBest"/>
              <w:rPr>
                <w:rFonts w:cs="Arial"/>
                <w:sz w:val="20"/>
              </w:rPr>
            </w:pPr>
            <w:r>
              <w:rPr>
                <w:rFonts w:cs="Arial"/>
                <w:sz w:val="20"/>
              </w:rPr>
              <w:t>NQ</w:t>
            </w:r>
          </w:p>
        </w:tc>
        <w:tc>
          <w:tcPr>
            <w:tcW w:w="790" w:type="dxa"/>
            <w:vMerge/>
            <w:tcBorders>
              <w:left w:val="single" w:sz="12" w:space="0" w:color="auto"/>
              <w:right w:val="single" w:sz="12" w:space="0" w:color="auto"/>
            </w:tcBorders>
            <w:shd w:val="clear" w:color="auto" w:fill="FFFFFF"/>
            <w:vAlign w:val="center"/>
          </w:tcPr>
          <w:p w14:paraId="248C31ED" w14:textId="77777777" w:rsidR="0069005A" w:rsidRPr="006E0A89" w:rsidRDefault="0069005A" w:rsidP="002F427A">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31640E64" w14:textId="77777777" w:rsidR="0069005A" w:rsidRPr="006E0A89" w:rsidRDefault="0069005A" w:rsidP="002F427A">
            <w:pPr>
              <w:pStyle w:val="POAABenBest"/>
              <w:rPr>
                <w:rFonts w:cs="Arial"/>
                <w:sz w:val="20"/>
              </w:rPr>
            </w:pPr>
            <w:r>
              <w:rPr>
                <w:rFonts w:cs="Arial"/>
                <w:sz w:val="20"/>
              </w:rPr>
              <w:t>NQ</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6688DC21" w14:textId="77777777" w:rsidR="0069005A" w:rsidRPr="006E0A89" w:rsidRDefault="0069005A" w:rsidP="002F427A">
            <w:pPr>
              <w:pStyle w:val="POTBBenBest"/>
              <w:rPr>
                <w:rFonts w:cs="Arial"/>
                <w:sz w:val="20"/>
              </w:rPr>
            </w:pPr>
            <w:r>
              <w:rPr>
                <w:rFonts w:cs="Arial"/>
                <w:sz w:val="20"/>
              </w:rPr>
              <w:t>NQ</w:t>
            </w:r>
          </w:p>
        </w:tc>
      </w:tr>
      <w:tr w:rsidR="0069005A" w:rsidRPr="00651181" w14:paraId="058E61D8" w14:textId="77777777" w:rsidTr="002F427A">
        <w:trPr>
          <w:trHeight w:hRule="exact" w:val="1089"/>
        </w:trPr>
        <w:tc>
          <w:tcPr>
            <w:tcW w:w="10235" w:type="dxa"/>
            <w:gridSpan w:val="6"/>
            <w:shd w:val="clear" w:color="auto" w:fill="auto"/>
          </w:tcPr>
          <w:p w14:paraId="49EA3509" w14:textId="77777777" w:rsidR="0069005A" w:rsidRPr="00CA770B" w:rsidRDefault="0069005A" w:rsidP="002F427A">
            <w:pPr>
              <w:pStyle w:val="IPPOQ3"/>
              <w:rPr>
                <w:rFonts w:cs="Arial"/>
                <w:szCs w:val="22"/>
              </w:rPr>
            </w:pPr>
            <w:r w:rsidRPr="00651181">
              <w:rPr>
                <w:rFonts w:cs="Arial"/>
              </w:rPr>
              <w:t xml:space="preserve">Description and scale of key monetised </w:t>
            </w:r>
            <w:r w:rsidRPr="00F96CCD">
              <w:rPr>
                <w:rFonts w:cs="Arial"/>
              </w:rPr>
              <w:t xml:space="preserve">benefits by ‘main affected groups’ </w:t>
            </w:r>
          </w:p>
          <w:p w14:paraId="3901650C" w14:textId="77777777" w:rsidR="0069005A" w:rsidRPr="006E0A89" w:rsidRDefault="0069005A" w:rsidP="00F54332">
            <w:pPr>
              <w:pStyle w:val="IAPOA3"/>
              <w:rPr>
                <w:rFonts w:cs="Arial"/>
              </w:rPr>
            </w:pPr>
            <w:r w:rsidRPr="005E39CA">
              <w:rPr>
                <w:rFonts w:cs="Arial"/>
                <w:sz w:val="20"/>
              </w:rPr>
              <w:t xml:space="preserve">None quantified. </w:t>
            </w:r>
          </w:p>
        </w:tc>
      </w:tr>
      <w:tr w:rsidR="0069005A" w:rsidRPr="00651181" w14:paraId="3D724464" w14:textId="77777777" w:rsidTr="00655E31">
        <w:trPr>
          <w:trHeight w:hRule="exact" w:val="1324"/>
        </w:trPr>
        <w:tc>
          <w:tcPr>
            <w:tcW w:w="10235" w:type="dxa"/>
            <w:gridSpan w:val="6"/>
            <w:shd w:val="clear" w:color="auto" w:fill="auto"/>
          </w:tcPr>
          <w:p w14:paraId="424C3ED6" w14:textId="77777777" w:rsidR="0069005A" w:rsidRPr="00F96CCD" w:rsidRDefault="0069005A" w:rsidP="002F427A">
            <w:pPr>
              <w:pStyle w:val="IAPOQ4"/>
              <w:rPr>
                <w:rFonts w:cs="Arial"/>
                <w:szCs w:val="22"/>
              </w:rPr>
            </w:pPr>
            <w:r w:rsidRPr="00651181">
              <w:rPr>
                <w:rFonts w:cs="Arial"/>
              </w:rPr>
              <w:t xml:space="preserve">Other key non-monetised </w:t>
            </w:r>
            <w:r w:rsidRPr="00F96CCD">
              <w:rPr>
                <w:rFonts w:cs="Arial"/>
              </w:rPr>
              <w:t xml:space="preserve">benefits by ‘main affected groups’ </w:t>
            </w:r>
          </w:p>
          <w:p w14:paraId="02136765" w14:textId="77777777" w:rsidR="0069005A" w:rsidRPr="006E0A89" w:rsidRDefault="0069005A" w:rsidP="00D7292C">
            <w:pPr>
              <w:pStyle w:val="IAPOA4"/>
              <w:rPr>
                <w:rFonts w:cs="Arial"/>
              </w:rPr>
            </w:pPr>
            <w:r w:rsidRPr="005E39CA">
              <w:rPr>
                <w:rFonts w:cs="Arial"/>
                <w:sz w:val="20"/>
                <w:szCs w:val="22"/>
              </w:rPr>
              <w:t>Depending on the frequency and direction of any change</w:t>
            </w:r>
            <w:r w:rsidR="004C0BA3" w:rsidRPr="005E39CA">
              <w:rPr>
                <w:rFonts w:cs="Arial"/>
                <w:sz w:val="20"/>
                <w:szCs w:val="22"/>
              </w:rPr>
              <w:t xml:space="preserve"> in the PIDR</w:t>
            </w:r>
            <w:r w:rsidRPr="005E39CA">
              <w:rPr>
                <w:rFonts w:cs="Arial"/>
                <w:sz w:val="20"/>
                <w:szCs w:val="22"/>
              </w:rPr>
              <w:t xml:space="preserve">, </w:t>
            </w:r>
            <w:r w:rsidR="00E01B13" w:rsidRPr="005E39CA">
              <w:rPr>
                <w:rFonts w:cs="Arial"/>
                <w:sz w:val="20"/>
                <w:szCs w:val="22"/>
              </w:rPr>
              <w:t>reviews</w:t>
            </w:r>
            <w:r w:rsidRPr="005E39CA">
              <w:rPr>
                <w:rFonts w:cs="Arial"/>
                <w:sz w:val="20"/>
                <w:szCs w:val="22"/>
              </w:rPr>
              <w:t xml:space="preserve"> will lead to benefits either to claimants or defendants, when compared with keeping an existing rate in force. </w:t>
            </w:r>
            <w:r w:rsidR="00497776" w:rsidRPr="005E39CA">
              <w:rPr>
                <w:rFonts w:cs="Arial"/>
                <w:sz w:val="20"/>
                <w:szCs w:val="22"/>
              </w:rPr>
              <w:t>However, o</w:t>
            </w:r>
            <w:r w:rsidR="00497776" w:rsidRPr="005E39CA">
              <w:rPr>
                <w:rFonts w:cs="Arial"/>
                <w:sz w:val="20"/>
              </w:rPr>
              <w:t xml:space="preserve">ver the long term, </w:t>
            </w:r>
            <w:r w:rsidR="004C0BA3" w:rsidRPr="005E39CA">
              <w:rPr>
                <w:rFonts w:cs="Arial"/>
                <w:sz w:val="20"/>
              </w:rPr>
              <w:t xml:space="preserve">any </w:t>
            </w:r>
            <w:r w:rsidR="00497776" w:rsidRPr="005E39CA">
              <w:rPr>
                <w:rFonts w:cs="Arial"/>
                <w:sz w:val="20"/>
              </w:rPr>
              <w:t xml:space="preserve">impacts </w:t>
            </w:r>
            <w:r w:rsidR="007E4519" w:rsidRPr="005E39CA">
              <w:rPr>
                <w:rFonts w:cs="Arial"/>
                <w:sz w:val="20"/>
              </w:rPr>
              <w:t>are expected</w:t>
            </w:r>
            <w:r w:rsidR="00497776" w:rsidRPr="005E39CA">
              <w:rPr>
                <w:rFonts w:cs="Arial"/>
                <w:sz w:val="20"/>
              </w:rPr>
              <w:t xml:space="preserve"> be cost neutral for both claimants and defendants</w:t>
            </w:r>
            <w:r w:rsidR="00D7292C">
              <w:rPr>
                <w:rFonts w:cs="Arial"/>
                <w:sz w:val="20"/>
              </w:rPr>
              <w:t xml:space="preserve"> overall, as gains from one review period may cancel out any losses from another review period.</w:t>
            </w:r>
          </w:p>
        </w:tc>
      </w:tr>
      <w:tr w:rsidR="0069005A" w:rsidRPr="00651181" w14:paraId="6128F91A" w14:textId="77777777" w:rsidTr="002F427A">
        <w:trPr>
          <w:trHeight w:hRule="exact" w:val="346"/>
        </w:trPr>
        <w:tc>
          <w:tcPr>
            <w:tcW w:w="9375" w:type="dxa"/>
            <w:gridSpan w:val="5"/>
            <w:tcBorders>
              <w:top w:val="single" w:sz="6" w:space="0" w:color="auto"/>
              <w:bottom w:val="nil"/>
            </w:tcBorders>
            <w:shd w:val="clear" w:color="auto" w:fill="auto"/>
          </w:tcPr>
          <w:p w14:paraId="63B67ABB" w14:textId="77777777" w:rsidR="0069005A" w:rsidRPr="00651181" w:rsidRDefault="0069005A" w:rsidP="002F427A">
            <w:pPr>
              <w:pStyle w:val="IATableLabel"/>
              <w:tabs>
                <w:tab w:val="left" w:pos="7655"/>
              </w:tabs>
              <w:rPr>
                <w:rFonts w:cs="Arial"/>
              </w:rPr>
            </w:pPr>
            <w:r w:rsidRPr="00F54332">
              <w:rPr>
                <w:rStyle w:val="IAPOQ5Char"/>
                <w:rFonts w:cs="Arial"/>
                <w:b/>
              </w:rPr>
              <w:t>Key assumptions/sensitivities/risks</w:t>
            </w:r>
            <w:r w:rsidRPr="00651181">
              <w:rPr>
                <w:rFonts w:cs="Arial"/>
              </w:rPr>
              <w:tab/>
              <w:t xml:space="preserve">Discount rate </w:t>
            </w:r>
          </w:p>
          <w:p w14:paraId="6A8F56EF" w14:textId="77777777" w:rsidR="0069005A" w:rsidRPr="00F96CCD" w:rsidRDefault="0069005A" w:rsidP="002F427A">
            <w:pPr>
              <w:pStyle w:val="IATableLabel"/>
              <w:rPr>
                <w:rFonts w:cs="Arial"/>
              </w:rPr>
            </w:pPr>
          </w:p>
        </w:tc>
        <w:tc>
          <w:tcPr>
            <w:tcW w:w="860" w:type="dxa"/>
            <w:tcBorders>
              <w:top w:val="single" w:sz="6" w:space="0" w:color="auto"/>
              <w:bottom w:val="single" w:sz="4" w:space="0" w:color="auto"/>
            </w:tcBorders>
            <w:shd w:val="clear" w:color="auto" w:fill="auto"/>
          </w:tcPr>
          <w:p w14:paraId="18070A75" w14:textId="77777777" w:rsidR="0069005A" w:rsidRPr="006E0A89" w:rsidRDefault="0069005A" w:rsidP="002F427A">
            <w:pPr>
              <w:pStyle w:val="IAPODisRate"/>
              <w:rPr>
                <w:rFonts w:cs="Arial"/>
              </w:rPr>
            </w:pPr>
            <w:r>
              <w:rPr>
                <w:rFonts w:cs="Arial"/>
              </w:rPr>
              <w:t>NA</w:t>
            </w:r>
          </w:p>
        </w:tc>
      </w:tr>
      <w:tr w:rsidR="0069005A" w:rsidRPr="00651181" w14:paraId="3FA3E25E" w14:textId="77777777" w:rsidTr="00D52681">
        <w:trPr>
          <w:trHeight w:hRule="exact" w:val="1348"/>
        </w:trPr>
        <w:tc>
          <w:tcPr>
            <w:tcW w:w="10235" w:type="dxa"/>
            <w:gridSpan w:val="6"/>
            <w:tcBorders>
              <w:top w:val="nil"/>
              <w:bottom w:val="single" w:sz="12" w:space="0" w:color="auto"/>
            </w:tcBorders>
            <w:shd w:val="clear" w:color="auto" w:fill="auto"/>
          </w:tcPr>
          <w:p w14:paraId="7BE94909" w14:textId="0C3F12CA" w:rsidR="0069005A" w:rsidRPr="006E0A89" w:rsidRDefault="0028748A">
            <w:pPr>
              <w:pStyle w:val="IAPOA5"/>
              <w:rPr>
                <w:rFonts w:cs="Arial"/>
              </w:rPr>
            </w:pPr>
            <w:r w:rsidRPr="005E39CA">
              <w:rPr>
                <w:rFonts w:cs="Arial"/>
                <w:sz w:val="20"/>
              </w:rPr>
              <w:t xml:space="preserve">Any impacts of reviewing the PIDR at least once every </w:t>
            </w:r>
            <w:r w:rsidR="00D7566F">
              <w:rPr>
                <w:rFonts w:cs="Arial"/>
                <w:sz w:val="20"/>
              </w:rPr>
              <w:t>five</w:t>
            </w:r>
            <w:r w:rsidRPr="005E39CA">
              <w:rPr>
                <w:rFonts w:cs="Arial"/>
                <w:sz w:val="20"/>
              </w:rPr>
              <w:t xml:space="preserve"> years </w:t>
            </w:r>
            <w:r w:rsidR="004C0BA3" w:rsidRPr="005E39CA">
              <w:rPr>
                <w:rFonts w:cs="Arial"/>
                <w:sz w:val="20"/>
              </w:rPr>
              <w:t>will</w:t>
            </w:r>
            <w:r w:rsidR="00497776" w:rsidRPr="005E39CA">
              <w:rPr>
                <w:rFonts w:cs="Arial"/>
                <w:sz w:val="20"/>
              </w:rPr>
              <w:t xml:space="preserve"> depend on how</w:t>
            </w:r>
            <w:r w:rsidR="005863AB" w:rsidRPr="005E39CA">
              <w:rPr>
                <w:rFonts w:cs="Arial"/>
                <w:sz w:val="20"/>
              </w:rPr>
              <w:t xml:space="preserve"> far </w:t>
            </w:r>
            <w:r w:rsidR="00E4334D">
              <w:rPr>
                <w:rFonts w:cs="Arial"/>
                <w:sz w:val="20"/>
              </w:rPr>
              <w:t xml:space="preserve">the </w:t>
            </w:r>
            <w:r w:rsidR="005863AB" w:rsidRPr="005E39CA">
              <w:rPr>
                <w:rFonts w:cs="Arial"/>
                <w:sz w:val="20"/>
              </w:rPr>
              <w:t xml:space="preserve">returns on underlying assets in a low risk diversified portfolio move from </w:t>
            </w:r>
            <w:r w:rsidR="00E4334D">
              <w:rPr>
                <w:rFonts w:cs="Arial"/>
                <w:sz w:val="20"/>
              </w:rPr>
              <w:t xml:space="preserve">those at </w:t>
            </w:r>
            <w:r w:rsidR="005863AB" w:rsidRPr="005E39CA">
              <w:rPr>
                <w:rFonts w:cs="Arial"/>
                <w:sz w:val="20"/>
              </w:rPr>
              <w:t xml:space="preserve">the </w:t>
            </w:r>
            <w:r w:rsidR="00E4334D">
              <w:rPr>
                <w:rFonts w:cs="Arial"/>
                <w:sz w:val="20"/>
              </w:rPr>
              <w:t>previous</w:t>
            </w:r>
            <w:r w:rsidR="005863AB" w:rsidRPr="005E39CA">
              <w:rPr>
                <w:rFonts w:cs="Arial"/>
                <w:sz w:val="20"/>
              </w:rPr>
              <w:t xml:space="preserve"> setting of the rate.</w:t>
            </w:r>
            <w:r w:rsidR="00497776" w:rsidRPr="005E39CA">
              <w:rPr>
                <w:rFonts w:cs="Arial"/>
                <w:sz w:val="20"/>
              </w:rPr>
              <w:t xml:space="preserve"> The discretion of the Lord Chancellor to review the rate at an interval </w:t>
            </w:r>
            <w:r w:rsidR="005273C1">
              <w:rPr>
                <w:rFonts w:cs="Arial"/>
                <w:sz w:val="20"/>
              </w:rPr>
              <w:t xml:space="preserve">of no </w:t>
            </w:r>
            <w:r w:rsidR="00497776" w:rsidRPr="005E39CA">
              <w:rPr>
                <w:rFonts w:cs="Arial"/>
                <w:sz w:val="20"/>
              </w:rPr>
              <w:t xml:space="preserve">less than </w:t>
            </w:r>
            <w:r w:rsidR="00D7566F">
              <w:rPr>
                <w:rFonts w:cs="Arial"/>
                <w:sz w:val="20"/>
              </w:rPr>
              <w:t>five</w:t>
            </w:r>
            <w:r w:rsidR="00497776" w:rsidRPr="005E39CA">
              <w:rPr>
                <w:rFonts w:cs="Arial"/>
                <w:sz w:val="20"/>
              </w:rPr>
              <w:t xml:space="preserve"> years </w:t>
            </w:r>
            <w:r w:rsidR="004C0BA3" w:rsidRPr="005E39CA">
              <w:rPr>
                <w:rFonts w:cs="Arial"/>
                <w:sz w:val="20"/>
              </w:rPr>
              <w:t xml:space="preserve">will </w:t>
            </w:r>
            <w:r w:rsidR="00497776" w:rsidRPr="005E39CA">
              <w:rPr>
                <w:rFonts w:cs="Arial"/>
                <w:sz w:val="20"/>
              </w:rPr>
              <w:t xml:space="preserve">mitigate the risk of </w:t>
            </w:r>
            <w:r w:rsidR="00E4334D">
              <w:rPr>
                <w:rFonts w:cs="Arial"/>
                <w:sz w:val="20"/>
              </w:rPr>
              <w:t xml:space="preserve">a </w:t>
            </w:r>
            <w:r w:rsidR="00497776" w:rsidRPr="005E39CA">
              <w:rPr>
                <w:rFonts w:cs="Arial"/>
                <w:sz w:val="20"/>
              </w:rPr>
              <w:t>large divergence</w:t>
            </w:r>
            <w:r w:rsidRPr="005E39CA">
              <w:rPr>
                <w:rFonts w:cs="Arial"/>
                <w:sz w:val="20"/>
              </w:rPr>
              <w:t xml:space="preserve"> compared with no change</w:t>
            </w:r>
            <w:r w:rsidR="00497776" w:rsidRPr="005E39CA">
              <w:rPr>
                <w:rFonts w:cs="Arial"/>
                <w:sz w:val="20"/>
              </w:rPr>
              <w:t>.</w:t>
            </w:r>
            <w:r w:rsidR="00EB6A44" w:rsidRPr="005E39CA">
              <w:rPr>
                <w:rFonts w:cs="Arial"/>
                <w:sz w:val="20"/>
              </w:rPr>
              <w:t xml:space="preserve"> </w:t>
            </w:r>
          </w:p>
        </w:tc>
      </w:tr>
    </w:tbl>
    <w:p w14:paraId="0D3012FB" w14:textId="77777777" w:rsidR="0069005A" w:rsidRPr="00651181" w:rsidRDefault="0069005A" w:rsidP="0069005A">
      <w:pPr>
        <w:pStyle w:val="IASpacer"/>
        <w:rPr>
          <w:rFonts w:cs="Arial"/>
        </w:rPr>
      </w:pPr>
    </w:p>
    <w:p w14:paraId="0854F111" w14:textId="77777777" w:rsidR="0069005A" w:rsidRPr="006E0A89" w:rsidRDefault="0069005A" w:rsidP="0069005A">
      <w:pPr>
        <w:pStyle w:val="IAHeadLabel"/>
        <w:spacing w:before="50"/>
        <w:rPr>
          <w:rFonts w:cs="Arial"/>
        </w:rPr>
      </w:pPr>
      <w:r w:rsidRPr="00F96CCD">
        <w:rPr>
          <w:rFonts w:cs="Arial"/>
        </w:rPr>
        <w:t xml:space="preserve">BUSINESS ASSESSMENT (Option </w:t>
      </w:r>
      <w:r>
        <w:rPr>
          <w:rFonts w:cs="Arial"/>
        </w:rPr>
        <w:t>2</w:t>
      </w:r>
      <w:r w:rsidRPr="006E0A89">
        <w:rPr>
          <w:rFonts w:cs="Arial"/>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4"/>
        <w:gridCol w:w="1839"/>
        <w:gridCol w:w="1698"/>
        <w:gridCol w:w="4814"/>
      </w:tblGrid>
      <w:tr w:rsidR="0069005A" w:rsidRPr="00651181" w14:paraId="4A163587" w14:textId="77777777" w:rsidTr="002F427A">
        <w:trPr>
          <w:trHeight w:hRule="exact" w:val="384"/>
        </w:trPr>
        <w:tc>
          <w:tcPr>
            <w:tcW w:w="5392" w:type="dxa"/>
            <w:gridSpan w:val="3"/>
            <w:tcBorders>
              <w:top w:val="single" w:sz="4" w:space="0" w:color="auto"/>
              <w:bottom w:val="nil"/>
              <w:right w:val="single" w:sz="4" w:space="0" w:color="auto"/>
            </w:tcBorders>
          </w:tcPr>
          <w:p w14:paraId="3DB0D066" w14:textId="77777777" w:rsidR="0069005A" w:rsidRPr="006E0A89" w:rsidRDefault="0069005A" w:rsidP="002F427A">
            <w:pPr>
              <w:pStyle w:val="IATableLabel"/>
              <w:rPr>
                <w:rFonts w:cs="Arial"/>
              </w:rPr>
            </w:pPr>
            <w:r w:rsidRPr="006E0A89">
              <w:rPr>
                <w:rFonts w:cs="Arial"/>
              </w:rPr>
              <w:t xml:space="preserve">Direct impact on business (Equivalent Annual) £m: </w:t>
            </w:r>
          </w:p>
        </w:tc>
        <w:tc>
          <w:tcPr>
            <w:tcW w:w="4823" w:type="dxa"/>
            <w:vMerge w:val="restart"/>
            <w:tcBorders>
              <w:top w:val="single" w:sz="4" w:space="0" w:color="auto"/>
              <w:left w:val="single" w:sz="4" w:space="0" w:color="auto"/>
              <w:right w:val="single" w:sz="4" w:space="0" w:color="auto"/>
            </w:tcBorders>
          </w:tcPr>
          <w:p w14:paraId="4337ADE0" w14:textId="77777777" w:rsidR="0069005A" w:rsidRPr="006E0A89" w:rsidRDefault="0069005A" w:rsidP="002F427A">
            <w:pPr>
              <w:pStyle w:val="IATableLabel"/>
              <w:rPr>
                <w:rFonts w:cs="Arial"/>
              </w:rPr>
            </w:pPr>
            <w:r w:rsidRPr="006E0A89">
              <w:rPr>
                <w:rFonts w:cs="Arial"/>
              </w:rPr>
              <w:t>Score for Business Impact Target (qualifying provisions only) £m:</w:t>
            </w:r>
          </w:p>
        </w:tc>
      </w:tr>
      <w:tr w:rsidR="0069005A" w:rsidRPr="00651181" w14:paraId="34284656" w14:textId="77777777" w:rsidTr="002F427A">
        <w:trPr>
          <w:trHeight w:hRule="exact" w:val="340"/>
        </w:trPr>
        <w:tc>
          <w:tcPr>
            <w:tcW w:w="1848" w:type="dxa"/>
            <w:vMerge w:val="restart"/>
            <w:tcBorders>
              <w:top w:val="nil"/>
              <w:right w:val="single" w:sz="4" w:space="0" w:color="auto"/>
            </w:tcBorders>
            <w:shd w:val="clear" w:color="auto" w:fill="FFFFFF"/>
          </w:tcPr>
          <w:p w14:paraId="51105D00" w14:textId="77777777" w:rsidR="0069005A" w:rsidRPr="006E0A89" w:rsidRDefault="0069005A" w:rsidP="002F427A">
            <w:pPr>
              <w:pStyle w:val="IATableLabel"/>
              <w:rPr>
                <w:rFonts w:cs="Arial"/>
              </w:rPr>
            </w:pPr>
            <w:r w:rsidRPr="00651181">
              <w:rPr>
                <w:rFonts w:cs="Arial"/>
              </w:rPr>
              <w:t xml:space="preserve">Costs: </w:t>
            </w:r>
            <w:r>
              <w:rPr>
                <w:rStyle w:val="IAPODICostChar"/>
                <w:rFonts w:cs="Arial"/>
              </w:rPr>
              <w:t>NQ</w:t>
            </w:r>
          </w:p>
        </w:tc>
        <w:tc>
          <w:tcPr>
            <w:tcW w:w="1843" w:type="dxa"/>
            <w:vMerge w:val="restart"/>
            <w:tcBorders>
              <w:top w:val="nil"/>
              <w:right w:val="single" w:sz="4" w:space="0" w:color="auto"/>
            </w:tcBorders>
            <w:shd w:val="clear" w:color="auto" w:fill="FFFFFF"/>
          </w:tcPr>
          <w:p w14:paraId="7BCCA47C" w14:textId="77777777" w:rsidR="0069005A" w:rsidRPr="006E0A89" w:rsidRDefault="0069005A" w:rsidP="002F427A">
            <w:pPr>
              <w:pStyle w:val="IATableLabel"/>
              <w:rPr>
                <w:rFonts w:cs="Arial"/>
              </w:rPr>
            </w:pPr>
            <w:r w:rsidRPr="006E0A89">
              <w:rPr>
                <w:rFonts w:cs="Arial"/>
              </w:rPr>
              <w:t xml:space="preserve">Benefits: </w:t>
            </w:r>
            <w:r>
              <w:rPr>
                <w:rStyle w:val="IAPODIBenChar"/>
                <w:rFonts w:cs="Arial"/>
              </w:rPr>
              <w:t>NQ</w:t>
            </w:r>
          </w:p>
        </w:tc>
        <w:tc>
          <w:tcPr>
            <w:tcW w:w="1701" w:type="dxa"/>
            <w:vMerge w:val="restart"/>
            <w:tcBorders>
              <w:top w:val="nil"/>
              <w:right w:val="single" w:sz="4" w:space="0" w:color="auto"/>
            </w:tcBorders>
            <w:shd w:val="clear" w:color="auto" w:fill="FFFFFF"/>
          </w:tcPr>
          <w:p w14:paraId="74CF20EE" w14:textId="77777777" w:rsidR="0069005A" w:rsidRPr="006E0A89" w:rsidRDefault="0069005A" w:rsidP="002F427A">
            <w:pPr>
              <w:pStyle w:val="IATableLabel"/>
              <w:rPr>
                <w:rFonts w:cs="Arial"/>
              </w:rPr>
            </w:pPr>
            <w:r w:rsidRPr="006E0A89">
              <w:rPr>
                <w:rFonts w:cs="Arial"/>
              </w:rPr>
              <w:t xml:space="preserve">Net: </w:t>
            </w:r>
            <w:r>
              <w:rPr>
                <w:rStyle w:val="IAPODINetChar"/>
                <w:rFonts w:cs="Arial"/>
              </w:rPr>
              <w:t>NQ</w:t>
            </w:r>
          </w:p>
        </w:tc>
        <w:tc>
          <w:tcPr>
            <w:tcW w:w="4823" w:type="dxa"/>
            <w:vMerge/>
            <w:tcBorders>
              <w:left w:val="single" w:sz="4" w:space="0" w:color="auto"/>
              <w:bottom w:val="single" w:sz="4" w:space="0" w:color="auto"/>
              <w:right w:val="single" w:sz="4" w:space="0" w:color="auto"/>
            </w:tcBorders>
            <w:shd w:val="clear" w:color="auto" w:fill="FFFFFF"/>
          </w:tcPr>
          <w:p w14:paraId="492F3C47" w14:textId="77777777" w:rsidR="0069005A" w:rsidRPr="006E0A89" w:rsidRDefault="0069005A" w:rsidP="002F427A">
            <w:pPr>
              <w:pStyle w:val="IAPODIMQ"/>
              <w:rPr>
                <w:rFonts w:cs="Arial"/>
              </w:rPr>
            </w:pPr>
          </w:p>
        </w:tc>
      </w:tr>
      <w:tr w:rsidR="0069005A" w:rsidRPr="00651181" w14:paraId="79439818" w14:textId="77777777" w:rsidTr="002F427A">
        <w:trPr>
          <w:trHeight w:hRule="exact" w:val="340"/>
        </w:trPr>
        <w:tc>
          <w:tcPr>
            <w:tcW w:w="1848" w:type="dxa"/>
            <w:vMerge/>
            <w:tcBorders>
              <w:bottom w:val="single" w:sz="4" w:space="0" w:color="auto"/>
              <w:right w:val="single" w:sz="4" w:space="0" w:color="auto"/>
            </w:tcBorders>
            <w:shd w:val="clear" w:color="auto" w:fill="FFFFFF"/>
          </w:tcPr>
          <w:p w14:paraId="081F2338" w14:textId="77777777" w:rsidR="0069005A" w:rsidRPr="006E0A89" w:rsidRDefault="0069005A" w:rsidP="002F427A">
            <w:pPr>
              <w:pStyle w:val="IATableLabel"/>
              <w:rPr>
                <w:rFonts w:cs="Arial"/>
              </w:rPr>
            </w:pPr>
          </w:p>
        </w:tc>
        <w:tc>
          <w:tcPr>
            <w:tcW w:w="1843" w:type="dxa"/>
            <w:vMerge/>
            <w:tcBorders>
              <w:bottom w:val="single" w:sz="4" w:space="0" w:color="auto"/>
              <w:right w:val="single" w:sz="4" w:space="0" w:color="auto"/>
            </w:tcBorders>
            <w:shd w:val="clear" w:color="auto" w:fill="FFFFFF"/>
          </w:tcPr>
          <w:p w14:paraId="2D96C3E2" w14:textId="77777777" w:rsidR="0069005A" w:rsidRPr="006E0A89" w:rsidRDefault="0069005A" w:rsidP="002F427A">
            <w:pPr>
              <w:pStyle w:val="IATableLabel"/>
              <w:rPr>
                <w:rFonts w:cs="Arial"/>
              </w:rPr>
            </w:pPr>
          </w:p>
        </w:tc>
        <w:tc>
          <w:tcPr>
            <w:tcW w:w="1701" w:type="dxa"/>
            <w:vMerge/>
            <w:tcBorders>
              <w:bottom w:val="single" w:sz="4" w:space="0" w:color="auto"/>
              <w:right w:val="single" w:sz="4" w:space="0" w:color="auto"/>
            </w:tcBorders>
            <w:shd w:val="clear" w:color="auto" w:fill="FFFFFF"/>
          </w:tcPr>
          <w:p w14:paraId="0BE572D9" w14:textId="77777777" w:rsidR="0069005A" w:rsidRPr="006E0A89" w:rsidRDefault="0069005A" w:rsidP="002F427A">
            <w:pPr>
              <w:pStyle w:val="IATableLabel"/>
              <w:rPr>
                <w:rFonts w:cs="Arial"/>
              </w:rPr>
            </w:pPr>
          </w:p>
        </w:tc>
        <w:tc>
          <w:tcPr>
            <w:tcW w:w="4823" w:type="dxa"/>
            <w:tcBorders>
              <w:top w:val="nil"/>
              <w:left w:val="single" w:sz="4" w:space="0" w:color="auto"/>
              <w:bottom w:val="single" w:sz="4" w:space="0" w:color="auto"/>
              <w:right w:val="single" w:sz="4" w:space="0" w:color="auto"/>
            </w:tcBorders>
            <w:shd w:val="clear" w:color="auto" w:fill="FFFFFF"/>
          </w:tcPr>
          <w:p w14:paraId="7C7395B7" w14:textId="77777777" w:rsidR="0069005A" w:rsidRPr="006E0A89" w:rsidRDefault="0069005A" w:rsidP="002F427A">
            <w:pPr>
              <w:pStyle w:val="IAPODIMQ"/>
              <w:rPr>
                <w:rFonts w:cs="Arial"/>
              </w:rPr>
            </w:pPr>
            <w:r>
              <w:rPr>
                <w:rFonts w:cs="Arial"/>
              </w:rPr>
              <w:t>NA</w:t>
            </w:r>
          </w:p>
        </w:tc>
      </w:tr>
    </w:tbl>
    <w:p w14:paraId="312ED26C" w14:textId="77777777" w:rsidR="0069005A" w:rsidRDefault="0069005A" w:rsidP="0069005A">
      <w:pPr>
        <w:rPr>
          <w:rFonts w:ascii="Arial" w:hAnsi="Arial" w:cs="Arial"/>
        </w:rPr>
      </w:pPr>
    </w:p>
    <w:p w14:paraId="6C4B3CE4" w14:textId="77777777" w:rsidR="0069005A" w:rsidRDefault="0069005A" w:rsidP="0069005A">
      <w:pPr>
        <w:rPr>
          <w:rFonts w:ascii="Arial" w:hAnsi="Arial" w:cs="Arial"/>
        </w:rPr>
      </w:pPr>
    </w:p>
    <w:p w14:paraId="1D6BF7DB" w14:textId="77777777" w:rsidR="0069005A" w:rsidRPr="006E0A89" w:rsidRDefault="0069005A" w:rsidP="0069005A">
      <w:pPr>
        <w:pStyle w:val="Heading1"/>
        <w:spacing w:before="0"/>
        <w:rPr>
          <w:rFonts w:ascii="Arial" w:hAnsi="Arial"/>
        </w:rPr>
      </w:pPr>
      <w:r w:rsidRPr="00B24226">
        <w:rPr>
          <w:rFonts w:ascii="Arial" w:hAnsi="Arial"/>
        </w:rPr>
        <w:t>Summary: Analysis &amp; Evidence</w:t>
      </w:r>
      <w:r w:rsidRPr="00B24226">
        <w:rPr>
          <w:rFonts w:ascii="Arial" w:hAnsi="Arial"/>
        </w:rPr>
        <w:tab/>
      </w:r>
      <w:r w:rsidRPr="00651181">
        <w:rPr>
          <w:rFonts w:ascii="Arial" w:hAnsi="Arial"/>
          <w:b w:val="0"/>
          <w:bCs w:val="0"/>
        </w:rPr>
        <w:t xml:space="preserve">Policy Option </w:t>
      </w:r>
      <w:r>
        <w:rPr>
          <w:rFonts w:ascii="Arial" w:hAnsi="Arial"/>
          <w:b w:val="0"/>
          <w:bCs w:val="0"/>
        </w:rPr>
        <w:t>3</w:t>
      </w:r>
    </w:p>
    <w:p w14:paraId="52105E4E" w14:textId="77777777" w:rsidR="00432D16" w:rsidRPr="00655E31" w:rsidRDefault="0069005A" w:rsidP="0069005A">
      <w:pPr>
        <w:pStyle w:val="IAHeadLabel"/>
        <w:spacing w:before="50"/>
        <w:rPr>
          <w:rFonts w:cs="Arial"/>
        </w:rPr>
      </w:pPr>
      <w:r w:rsidRPr="00651181">
        <w:rPr>
          <w:rFonts w:cs="Arial"/>
        </w:rPr>
        <w:t xml:space="preserve">Description:  </w:t>
      </w:r>
      <w:r w:rsidR="00432D16" w:rsidRPr="00655E31">
        <w:rPr>
          <w:rFonts w:cs="Arial"/>
        </w:rPr>
        <w:t xml:space="preserve">Set up an expert panel </w:t>
      </w:r>
      <w:r w:rsidR="002B39B7">
        <w:rPr>
          <w:rFonts w:cs="Arial"/>
        </w:rPr>
        <w:t>for</w:t>
      </w:r>
      <w:r w:rsidR="00432D16" w:rsidRPr="00655E31">
        <w:rPr>
          <w:rFonts w:cs="Arial"/>
        </w:rPr>
        <w:t xml:space="preserve"> the Lord Chancellor </w:t>
      </w:r>
      <w:r w:rsidR="002B39B7">
        <w:rPr>
          <w:rFonts w:cs="Arial"/>
        </w:rPr>
        <w:t xml:space="preserve">to consult </w:t>
      </w:r>
      <w:r w:rsidR="00432D16" w:rsidRPr="00655E31">
        <w:rPr>
          <w:rFonts w:cs="Arial"/>
        </w:rPr>
        <w:t xml:space="preserve">on </w:t>
      </w:r>
      <w:r w:rsidR="00975564">
        <w:rPr>
          <w:rFonts w:cs="Arial"/>
        </w:rPr>
        <w:t>the issues to consider when setting the PIDR</w:t>
      </w:r>
      <w:r w:rsidR="00432D16">
        <w:rPr>
          <w:rFonts w:cs="Arial"/>
        </w:rPr>
        <w:t>.</w:t>
      </w:r>
    </w:p>
    <w:p w14:paraId="58FEB6B1" w14:textId="77777777" w:rsidR="0069005A" w:rsidRPr="006E0A89" w:rsidRDefault="0069005A" w:rsidP="0069005A">
      <w:pPr>
        <w:pStyle w:val="IAHeadLabel"/>
        <w:spacing w:before="50"/>
        <w:rPr>
          <w:rFonts w:cs="Arial"/>
        </w:rPr>
      </w:pPr>
      <w:r w:rsidRPr="006E0A89">
        <w:rPr>
          <w:rFonts w:cs="Arial"/>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69005A" w:rsidRPr="00651181" w14:paraId="10DCD7AE" w14:textId="77777777" w:rsidTr="002F427A">
        <w:trPr>
          <w:trHeight w:hRule="exact" w:val="312"/>
        </w:trPr>
        <w:tc>
          <w:tcPr>
            <w:tcW w:w="1265" w:type="dxa"/>
            <w:vMerge w:val="restart"/>
            <w:shd w:val="clear" w:color="auto" w:fill="auto"/>
          </w:tcPr>
          <w:p w14:paraId="3EB394C5" w14:textId="77777777" w:rsidR="0069005A" w:rsidRPr="006E0A89" w:rsidRDefault="0069005A" w:rsidP="002F427A">
            <w:pPr>
              <w:pStyle w:val="POPBY"/>
              <w:rPr>
                <w:rFonts w:cs="Arial"/>
              </w:rPr>
            </w:pPr>
            <w:r w:rsidRPr="006E0A89">
              <w:rPr>
                <w:rFonts w:cs="Arial"/>
              </w:rPr>
              <w:t xml:space="preserve">Price Base Year  </w:t>
            </w:r>
          </w:p>
        </w:tc>
        <w:tc>
          <w:tcPr>
            <w:tcW w:w="1260" w:type="dxa"/>
            <w:vMerge w:val="restart"/>
            <w:shd w:val="clear" w:color="auto" w:fill="auto"/>
          </w:tcPr>
          <w:p w14:paraId="0A5F15B2" w14:textId="77777777" w:rsidR="0069005A" w:rsidRPr="006E0A89" w:rsidRDefault="0069005A" w:rsidP="002F427A">
            <w:pPr>
              <w:pStyle w:val="POPVBY"/>
              <w:rPr>
                <w:rFonts w:cs="Arial"/>
              </w:rPr>
            </w:pPr>
            <w:r w:rsidRPr="006E0A89">
              <w:rPr>
                <w:rFonts w:cs="Arial"/>
              </w:rPr>
              <w:t xml:space="preserve">PV Base Year  </w:t>
            </w:r>
          </w:p>
        </w:tc>
        <w:tc>
          <w:tcPr>
            <w:tcW w:w="1440" w:type="dxa"/>
            <w:vMerge w:val="restart"/>
            <w:tcBorders>
              <w:right w:val="single" w:sz="12" w:space="0" w:color="auto"/>
            </w:tcBorders>
            <w:shd w:val="clear" w:color="auto" w:fill="auto"/>
          </w:tcPr>
          <w:p w14:paraId="7CD0161E" w14:textId="77777777" w:rsidR="0069005A" w:rsidRPr="006E0A89" w:rsidRDefault="0069005A" w:rsidP="002F427A">
            <w:pPr>
              <w:pStyle w:val="POTPY"/>
              <w:rPr>
                <w:rFonts w:cs="Arial"/>
              </w:rPr>
            </w:pPr>
            <w:r w:rsidRPr="006E0A89">
              <w:rPr>
                <w:rFonts w:cs="Arial"/>
              </w:rPr>
              <w:t xml:space="preserve">Time Period Years  </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55ED6F8A" w14:textId="77777777" w:rsidR="0069005A" w:rsidRPr="006E0A89" w:rsidRDefault="0069005A" w:rsidP="002F427A">
            <w:pPr>
              <w:pStyle w:val="IATableLabel"/>
              <w:jc w:val="center"/>
              <w:rPr>
                <w:rFonts w:cs="Arial"/>
              </w:rPr>
            </w:pPr>
            <w:r w:rsidRPr="006E0A89">
              <w:rPr>
                <w:rFonts w:cs="Arial"/>
              </w:rPr>
              <w:t>Net Benefit (Present Value (PV)) (£m)</w:t>
            </w:r>
          </w:p>
        </w:tc>
      </w:tr>
      <w:tr w:rsidR="0069005A" w:rsidRPr="00651181" w14:paraId="4EF37077" w14:textId="77777777" w:rsidTr="002F427A">
        <w:trPr>
          <w:trHeight w:hRule="exact" w:val="340"/>
        </w:trPr>
        <w:tc>
          <w:tcPr>
            <w:tcW w:w="1265" w:type="dxa"/>
            <w:vMerge/>
            <w:shd w:val="clear" w:color="auto" w:fill="auto"/>
          </w:tcPr>
          <w:p w14:paraId="034AD9D3" w14:textId="77777777" w:rsidR="0069005A" w:rsidRPr="006E0A89" w:rsidRDefault="0069005A" w:rsidP="002F427A">
            <w:pPr>
              <w:pStyle w:val="IATableNotes"/>
              <w:ind w:left="0"/>
              <w:rPr>
                <w:rFonts w:cs="Arial"/>
                <w:b/>
                <w:sz w:val="20"/>
              </w:rPr>
            </w:pPr>
          </w:p>
        </w:tc>
        <w:tc>
          <w:tcPr>
            <w:tcW w:w="1260" w:type="dxa"/>
            <w:vMerge/>
            <w:shd w:val="clear" w:color="auto" w:fill="auto"/>
          </w:tcPr>
          <w:p w14:paraId="69931C30" w14:textId="77777777" w:rsidR="0069005A" w:rsidRPr="006E0A89" w:rsidRDefault="0069005A" w:rsidP="002F427A">
            <w:pPr>
              <w:pStyle w:val="IATableNotes"/>
              <w:ind w:left="0"/>
              <w:rPr>
                <w:rFonts w:cs="Arial"/>
                <w:b/>
                <w:sz w:val="20"/>
              </w:rPr>
            </w:pPr>
          </w:p>
        </w:tc>
        <w:tc>
          <w:tcPr>
            <w:tcW w:w="1440" w:type="dxa"/>
            <w:vMerge/>
            <w:tcBorders>
              <w:right w:val="single" w:sz="12" w:space="0" w:color="auto"/>
            </w:tcBorders>
            <w:shd w:val="clear" w:color="auto" w:fill="auto"/>
          </w:tcPr>
          <w:p w14:paraId="4BAD418B" w14:textId="77777777" w:rsidR="0069005A" w:rsidRPr="006E0A89" w:rsidRDefault="0069005A" w:rsidP="002F427A">
            <w:pPr>
              <w:pStyle w:val="IATableNotes"/>
              <w:ind w:left="0"/>
              <w:rPr>
                <w:rFonts w:cs="Arial"/>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50B855C0" w14:textId="77777777" w:rsidR="0069005A" w:rsidRPr="006E0A89" w:rsidRDefault="0069005A" w:rsidP="002F427A">
            <w:pPr>
              <w:pStyle w:val="IATableLabel"/>
              <w:rPr>
                <w:rFonts w:cs="Arial"/>
                <w:bCs/>
              </w:rPr>
            </w:pPr>
            <w:r w:rsidRPr="006E0A89">
              <w:rPr>
                <w:rFonts w:cs="Arial"/>
              </w:rPr>
              <w:t xml:space="preserve">Low: </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4ABE81F0" w14:textId="77777777" w:rsidR="0069005A" w:rsidRPr="00651181" w:rsidRDefault="0069005A" w:rsidP="002F427A">
            <w:pPr>
              <w:pStyle w:val="IATableLabel"/>
              <w:rPr>
                <w:rFonts w:cs="Arial"/>
                <w:bCs/>
                <w:szCs w:val="18"/>
              </w:rPr>
            </w:pPr>
            <w:r w:rsidRPr="006E0A89">
              <w:rPr>
                <w:rFonts w:cs="Arial"/>
              </w:rPr>
              <w:t xml:space="preserve">High: </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098BB034" w14:textId="77777777" w:rsidR="0069005A" w:rsidRPr="006E0A89" w:rsidRDefault="0069005A" w:rsidP="002F427A">
            <w:pPr>
              <w:pStyle w:val="IATableLabel"/>
              <w:rPr>
                <w:rFonts w:cs="Arial"/>
                <w:szCs w:val="18"/>
              </w:rPr>
            </w:pPr>
            <w:r w:rsidRPr="0051753E">
              <w:rPr>
                <w:rFonts w:cs="Arial"/>
              </w:rPr>
              <w:t xml:space="preserve">Best Estimate: </w:t>
            </w:r>
            <w:r>
              <w:rPr>
                <w:rStyle w:val="PONBBestEstChar"/>
                <w:rFonts w:cs="Arial"/>
              </w:rPr>
              <w:t>NQ</w:t>
            </w:r>
          </w:p>
        </w:tc>
      </w:tr>
    </w:tbl>
    <w:p w14:paraId="6C2E5A32" w14:textId="77777777" w:rsidR="0069005A" w:rsidRPr="00651181" w:rsidRDefault="0069005A" w:rsidP="0069005A">
      <w:pPr>
        <w:pStyle w:val="IASpace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69005A" w:rsidRPr="00651181" w14:paraId="6C4EFE7B" w14:textId="77777777" w:rsidTr="002F427A">
        <w:trPr>
          <w:trHeight w:hRule="exact" w:val="567"/>
        </w:trPr>
        <w:tc>
          <w:tcPr>
            <w:tcW w:w="1995" w:type="dxa"/>
            <w:shd w:val="clear" w:color="auto" w:fill="FFFFFF"/>
          </w:tcPr>
          <w:p w14:paraId="49472F9E" w14:textId="77777777" w:rsidR="0069005A" w:rsidRPr="00F96CCD" w:rsidRDefault="0069005A" w:rsidP="002F427A">
            <w:pPr>
              <w:pStyle w:val="IATableLabel"/>
              <w:rPr>
                <w:rFonts w:cs="Arial"/>
                <w:sz w:val="24"/>
                <w:szCs w:val="24"/>
              </w:rPr>
            </w:pPr>
            <w:r w:rsidRPr="00F96CCD">
              <w:rPr>
                <w:rFonts w:cs="Arial"/>
                <w:sz w:val="24"/>
                <w:szCs w:val="24"/>
              </w:rPr>
              <w:t>COSTS (£m)</w:t>
            </w:r>
          </w:p>
        </w:tc>
        <w:tc>
          <w:tcPr>
            <w:tcW w:w="2739" w:type="dxa"/>
            <w:gridSpan w:val="2"/>
            <w:tcBorders>
              <w:top w:val="single" w:sz="12" w:space="0" w:color="auto"/>
              <w:bottom w:val="single" w:sz="6" w:space="0" w:color="auto"/>
            </w:tcBorders>
            <w:shd w:val="clear" w:color="auto" w:fill="auto"/>
          </w:tcPr>
          <w:p w14:paraId="4AFA9930" w14:textId="77777777" w:rsidR="0069005A" w:rsidRPr="0051753E" w:rsidRDefault="0069005A" w:rsidP="002F427A">
            <w:pPr>
              <w:pStyle w:val="IATableLabel"/>
              <w:tabs>
                <w:tab w:val="right" w:pos="1800"/>
                <w:tab w:val="center" w:pos="2340"/>
              </w:tabs>
              <w:jc w:val="right"/>
              <w:rPr>
                <w:rFonts w:cs="Arial"/>
              </w:rPr>
            </w:pPr>
            <w:r w:rsidRPr="00DC036C">
              <w:rPr>
                <w:rFonts w:cs="Arial"/>
              </w:rPr>
              <w:t xml:space="preserve">Total Transition </w:t>
            </w:r>
            <w:r w:rsidRPr="00DC036C">
              <w:rPr>
                <w:rFonts w:cs="Arial"/>
              </w:rPr>
              <w:br/>
            </w:r>
            <w:r w:rsidRPr="00DC036C">
              <w:rPr>
                <w:rFonts w:cs="Arial"/>
              </w:rPr>
              <w:tab/>
            </w:r>
            <w:r w:rsidRPr="0051753E">
              <w:rPr>
                <w:rFonts w:cs="Arial"/>
                <w:b w:val="0"/>
                <w:sz w:val="18"/>
                <w:szCs w:val="18"/>
              </w:rPr>
              <w:t>(Constant Price)</w:t>
            </w:r>
            <w:r w:rsidRPr="0051753E">
              <w:rPr>
                <w:rFonts w:cs="Arial"/>
              </w:rPr>
              <w:tab/>
            </w:r>
            <w:r w:rsidRPr="0051753E">
              <w:rPr>
                <w:rFonts w:cs="Arial"/>
                <w:b w:val="0"/>
                <w:sz w:val="18"/>
                <w:szCs w:val="18"/>
              </w:rPr>
              <w:t>Yea</w:t>
            </w:r>
            <w:r w:rsidRPr="0051753E">
              <w:rPr>
                <w:rFonts w:cs="Arial"/>
                <w:b w:val="0"/>
                <w:bCs/>
                <w:sz w:val="18"/>
                <w:szCs w:val="18"/>
              </w:rPr>
              <w:t>r</w:t>
            </w:r>
            <w:r w:rsidRPr="0051753E">
              <w:rPr>
                <w:rFonts w:cs="Arial"/>
                <w:b w:val="0"/>
                <w:sz w:val="18"/>
                <w:szCs w:val="18"/>
              </w:rPr>
              <w:t>s</w:t>
            </w:r>
          </w:p>
          <w:p w14:paraId="0AD3A9A5" w14:textId="77777777" w:rsidR="0069005A" w:rsidRPr="003473EB" w:rsidRDefault="0069005A" w:rsidP="002F427A">
            <w:pPr>
              <w:pStyle w:val="IATableLabel"/>
              <w:jc w:val="right"/>
              <w:rPr>
                <w:rFonts w:cs="Arial"/>
              </w:rPr>
            </w:pPr>
            <w:r w:rsidRPr="003473EB">
              <w:rPr>
                <w:rFonts w:cs="Arial"/>
              </w:rPr>
              <w:br/>
            </w:r>
          </w:p>
        </w:tc>
        <w:tc>
          <w:tcPr>
            <w:tcW w:w="2865" w:type="dxa"/>
            <w:tcBorders>
              <w:bottom w:val="single" w:sz="6" w:space="0" w:color="auto"/>
              <w:right w:val="single" w:sz="12" w:space="0" w:color="auto"/>
            </w:tcBorders>
            <w:shd w:val="clear" w:color="auto" w:fill="auto"/>
          </w:tcPr>
          <w:p w14:paraId="751FE54C" w14:textId="77777777" w:rsidR="0069005A" w:rsidRPr="00651181" w:rsidRDefault="0069005A" w:rsidP="002F427A">
            <w:pPr>
              <w:pStyle w:val="IATableLabel"/>
              <w:jc w:val="right"/>
              <w:rPr>
                <w:rFonts w:cs="Arial"/>
                <w:bCs/>
              </w:rPr>
            </w:pPr>
            <w:r w:rsidRPr="003473EB">
              <w:rPr>
                <w:rFonts w:cs="Arial"/>
              </w:rPr>
              <w:t xml:space="preserve">Average Annual </w:t>
            </w:r>
            <w:r w:rsidRPr="003473EB">
              <w:rPr>
                <w:rFonts w:cs="Arial"/>
              </w:rPr>
              <w:br/>
            </w:r>
            <w:r w:rsidRPr="006E0A89">
              <w:rPr>
                <w:rFonts w:cs="Arial"/>
                <w:b w:val="0"/>
                <w:sz w:val="18"/>
                <w:szCs w:val="18"/>
              </w:rPr>
              <w:t xml:space="preserve">(excl. Transition) </w:t>
            </w:r>
            <w:r w:rsidRPr="0065118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63AC83F3" w14:textId="77777777" w:rsidR="0069005A" w:rsidRPr="0051753E" w:rsidRDefault="0069005A" w:rsidP="002F427A">
            <w:pPr>
              <w:pStyle w:val="IATableLabel"/>
              <w:jc w:val="right"/>
              <w:rPr>
                <w:rFonts w:cs="Arial"/>
              </w:rPr>
            </w:pPr>
            <w:r w:rsidRPr="0051753E">
              <w:rPr>
                <w:rFonts w:cs="Arial"/>
              </w:rPr>
              <w:t>Total Cost</w:t>
            </w:r>
            <w:r w:rsidRPr="0051753E">
              <w:rPr>
                <w:rFonts w:cs="Arial"/>
                <w:b w:val="0"/>
                <w:sz w:val="18"/>
                <w:szCs w:val="18"/>
              </w:rPr>
              <w:t xml:space="preserve"> </w:t>
            </w:r>
            <w:r w:rsidRPr="0051753E">
              <w:rPr>
                <w:rFonts w:cs="Arial"/>
                <w:b w:val="0"/>
                <w:sz w:val="18"/>
                <w:szCs w:val="18"/>
              </w:rPr>
              <w:br/>
              <w:t>(Present Value)</w:t>
            </w:r>
          </w:p>
        </w:tc>
      </w:tr>
      <w:tr w:rsidR="0069005A" w:rsidRPr="00651181" w14:paraId="68359999" w14:textId="77777777" w:rsidTr="002F427A">
        <w:trPr>
          <w:trHeight w:hRule="exact" w:val="348"/>
        </w:trPr>
        <w:tc>
          <w:tcPr>
            <w:tcW w:w="1995" w:type="dxa"/>
            <w:tcBorders>
              <w:top w:val="single" w:sz="6" w:space="0" w:color="auto"/>
              <w:bottom w:val="single" w:sz="6" w:space="0" w:color="auto"/>
            </w:tcBorders>
            <w:shd w:val="clear" w:color="auto" w:fill="auto"/>
            <w:vAlign w:val="center"/>
          </w:tcPr>
          <w:p w14:paraId="2D85A288" w14:textId="77777777" w:rsidR="0069005A" w:rsidRPr="00651181" w:rsidRDefault="0069005A" w:rsidP="002F427A">
            <w:pPr>
              <w:pStyle w:val="IATableLabel"/>
              <w:rPr>
                <w:rFonts w:cs="Arial"/>
              </w:rPr>
            </w:pPr>
            <w:r w:rsidRPr="00651181">
              <w:rPr>
                <w:rFonts w:cs="Arial"/>
              </w:rPr>
              <w:t xml:space="preserve">Low </w:t>
            </w:r>
          </w:p>
        </w:tc>
        <w:tc>
          <w:tcPr>
            <w:tcW w:w="1949" w:type="dxa"/>
            <w:tcBorders>
              <w:top w:val="single" w:sz="6" w:space="0" w:color="auto"/>
              <w:bottom w:val="single" w:sz="6" w:space="0" w:color="auto"/>
            </w:tcBorders>
            <w:shd w:val="clear" w:color="auto" w:fill="auto"/>
            <w:vAlign w:val="center"/>
          </w:tcPr>
          <w:p w14:paraId="7AB8F9F8" w14:textId="77777777" w:rsidR="0069005A" w:rsidRPr="006E0A89" w:rsidRDefault="0069005A" w:rsidP="002F427A">
            <w:pPr>
              <w:pStyle w:val="POTTCostsLow"/>
              <w:rPr>
                <w:rFonts w:cs="Arial"/>
                <w:sz w:val="20"/>
              </w:rPr>
            </w:pPr>
          </w:p>
        </w:tc>
        <w:tc>
          <w:tcPr>
            <w:tcW w:w="790" w:type="dxa"/>
            <w:vMerge w:val="restart"/>
            <w:tcBorders>
              <w:top w:val="single" w:sz="6" w:space="0" w:color="auto"/>
            </w:tcBorders>
            <w:shd w:val="clear" w:color="auto" w:fill="auto"/>
            <w:vAlign w:val="center"/>
          </w:tcPr>
          <w:p w14:paraId="255A92A3" w14:textId="77777777" w:rsidR="0069005A" w:rsidRPr="006E0A89" w:rsidRDefault="0069005A" w:rsidP="002F427A">
            <w:pPr>
              <w:pStyle w:val="POTTCostsYear"/>
              <w:rPr>
                <w:rFonts w:cs="Arial"/>
                <w:sz w:val="20"/>
                <w:szCs w:val="20"/>
              </w:rPr>
            </w:pPr>
          </w:p>
        </w:tc>
        <w:tc>
          <w:tcPr>
            <w:tcW w:w="2865" w:type="dxa"/>
            <w:tcBorders>
              <w:top w:val="single" w:sz="6" w:space="0" w:color="auto"/>
              <w:bottom w:val="single" w:sz="6" w:space="0" w:color="auto"/>
              <w:right w:val="single" w:sz="12" w:space="0" w:color="auto"/>
            </w:tcBorders>
            <w:shd w:val="clear" w:color="auto" w:fill="auto"/>
            <w:vAlign w:val="center"/>
          </w:tcPr>
          <w:p w14:paraId="1EB82E4A" w14:textId="77777777" w:rsidR="0069005A" w:rsidRPr="006E0A89" w:rsidRDefault="0069005A" w:rsidP="002F427A">
            <w:pPr>
              <w:pStyle w:val="POAACostsLow"/>
              <w:rPr>
                <w:rFonts w:cs="Arial"/>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1AD493C4" w14:textId="77777777" w:rsidR="0069005A" w:rsidRPr="006E0A89" w:rsidRDefault="0069005A" w:rsidP="002F427A">
            <w:pPr>
              <w:pStyle w:val="POTCCostsLow"/>
              <w:rPr>
                <w:rFonts w:cs="Arial"/>
                <w:sz w:val="20"/>
              </w:rPr>
            </w:pPr>
          </w:p>
        </w:tc>
      </w:tr>
      <w:tr w:rsidR="0069005A" w:rsidRPr="00651181" w14:paraId="7F235C3C" w14:textId="77777777" w:rsidTr="002F427A">
        <w:trPr>
          <w:trHeight w:hRule="exact" w:val="348"/>
        </w:trPr>
        <w:tc>
          <w:tcPr>
            <w:tcW w:w="1995" w:type="dxa"/>
            <w:tcBorders>
              <w:top w:val="single" w:sz="6" w:space="0" w:color="auto"/>
              <w:bottom w:val="single" w:sz="12" w:space="0" w:color="auto"/>
            </w:tcBorders>
            <w:shd w:val="clear" w:color="auto" w:fill="auto"/>
            <w:vAlign w:val="center"/>
          </w:tcPr>
          <w:p w14:paraId="6B5262CA" w14:textId="77777777" w:rsidR="0069005A" w:rsidRPr="00651181" w:rsidRDefault="0069005A" w:rsidP="002F427A">
            <w:pPr>
              <w:pStyle w:val="IATableLabel"/>
              <w:rPr>
                <w:rFonts w:cs="Arial"/>
              </w:rPr>
            </w:pPr>
            <w:r w:rsidRPr="00651181">
              <w:rPr>
                <w:rFonts w:cs="Arial"/>
              </w:rPr>
              <w:t xml:space="preserve">High </w:t>
            </w:r>
          </w:p>
        </w:tc>
        <w:tc>
          <w:tcPr>
            <w:tcW w:w="1949" w:type="dxa"/>
            <w:tcBorders>
              <w:top w:val="single" w:sz="6" w:space="0" w:color="auto"/>
              <w:bottom w:val="single" w:sz="12" w:space="0" w:color="auto"/>
            </w:tcBorders>
            <w:shd w:val="clear" w:color="auto" w:fill="auto"/>
            <w:vAlign w:val="center"/>
          </w:tcPr>
          <w:p w14:paraId="52A4C1EA" w14:textId="77777777" w:rsidR="0069005A" w:rsidRPr="006E0A89" w:rsidRDefault="0069005A" w:rsidP="002F427A">
            <w:pPr>
              <w:pStyle w:val="POTTCostsHigh"/>
              <w:rPr>
                <w:rFonts w:cs="Arial"/>
                <w:sz w:val="20"/>
              </w:rPr>
            </w:pPr>
          </w:p>
        </w:tc>
        <w:tc>
          <w:tcPr>
            <w:tcW w:w="790" w:type="dxa"/>
            <w:vMerge/>
            <w:shd w:val="clear" w:color="auto" w:fill="FFFFFF"/>
            <w:vAlign w:val="center"/>
          </w:tcPr>
          <w:p w14:paraId="15B00274" w14:textId="77777777" w:rsidR="0069005A" w:rsidRPr="006E0A89" w:rsidRDefault="0069005A" w:rsidP="002F427A">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1C5AEAD1" w14:textId="77777777" w:rsidR="0069005A" w:rsidRPr="006E0A89" w:rsidRDefault="0069005A" w:rsidP="002F427A">
            <w:pPr>
              <w:pStyle w:val="POAACostsHigh"/>
              <w:rPr>
                <w:rFonts w:cs="Arial"/>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66EF231F" w14:textId="77777777" w:rsidR="0069005A" w:rsidRPr="006E0A89" w:rsidRDefault="0069005A" w:rsidP="002F427A">
            <w:pPr>
              <w:pStyle w:val="POTCCostsHigh"/>
              <w:rPr>
                <w:rFonts w:cs="Arial"/>
                <w:sz w:val="20"/>
              </w:rPr>
            </w:pPr>
          </w:p>
        </w:tc>
      </w:tr>
      <w:tr w:rsidR="0069005A" w:rsidRPr="00651181" w14:paraId="6316B84E" w14:textId="77777777" w:rsidTr="002F427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0A96734B" w14:textId="77777777" w:rsidR="0069005A" w:rsidRPr="00651181" w:rsidRDefault="0069005A" w:rsidP="002F427A">
            <w:pPr>
              <w:pStyle w:val="IATableLabel"/>
              <w:rPr>
                <w:rFonts w:cs="Arial"/>
              </w:rPr>
            </w:pPr>
            <w:r w:rsidRPr="00651181">
              <w:rPr>
                <w:rFonts w:cs="Arial"/>
              </w:rPr>
              <w:t>Best Estimate</w:t>
            </w:r>
          </w:p>
          <w:p w14:paraId="48D1C3B6" w14:textId="77777777" w:rsidR="0069005A" w:rsidRPr="00F96CCD" w:rsidRDefault="0069005A" w:rsidP="002F427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24DF130" w14:textId="77777777" w:rsidR="0069005A" w:rsidRPr="006E0A89" w:rsidRDefault="0069005A" w:rsidP="002F427A">
            <w:pPr>
              <w:pStyle w:val="POTTCostsBest"/>
              <w:rPr>
                <w:rFonts w:cs="Arial"/>
                <w:sz w:val="20"/>
              </w:rPr>
            </w:pPr>
            <w:r>
              <w:rPr>
                <w:rFonts w:cs="Arial"/>
                <w:sz w:val="20"/>
              </w:rPr>
              <w:t>NQ</w:t>
            </w:r>
          </w:p>
        </w:tc>
        <w:tc>
          <w:tcPr>
            <w:tcW w:w="790" w:type="dxa"/>
            <w:vMerge/>
            <w:tcBorders>
              <w:left w:val="single" w:sz="12" w:space="0" w:color="auto"/>
              <w:right w:val="single" w:sz="12" w:space="0" w:color="auto"/>
            </w:tcBorders>
            <w:shd w:val="clear" w:color="auto" w:fill="FFFFFF"/>
            <w:vAlign w:val="center"/>
          </w:tcPr>
          <w:p w14:paraId="732A90A2" w14:textId="77777777" w:rsidR="0069005A" w:rsidRPr="006E0A89" w:rsidRDefault="0069005A" w:rsidP="002F427A">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42FB7AA8" w14:textId="77777777" w:rsidR="0069005A" w:rsidRPr="006E0A89" w:rsidRDefault="0069005A" w:rsidP="002F427A">
            <w:pPr>
              <w:pStyle w:val="POAACostsBest"/>
              <w:rPr>
                <w:rFonts w:cs="Arial"/>
                <w:sz w:val="20"/>
              </w:rPr>
            </w:pPr>
            <w:r>
              <w:rPr>
                <w:rFonts w:cs="Arial"/>
                <w:sz w:val="20"/>
              </w:rPr>
              <w:t>NQ</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449D56C6" w14:textId="77777777" w:rsidR="0069005A" w:rsidRPr="006E0A89" w:rsidRDefault="0069005A" w:rsidP="002F427A">
            <w:pPr>
              <w:pStyle w:val="POTCCostsBest"/>
              <w:rPr>
                <w:rFonts w:cs="Arial"/>
                <w:sz w:val="20"/>
              </w:rPr>
            </w:pPr>
            <w:r>
              <w:rPr>
                <w:rFonts w:cs="Arial"/>
                <w:sz w:val="20"/>
              </w:rPr>
              <w:t>NQ</w:t>
            </w:r>
          </w:p>
        </w:tc>
      </w:tr>
      <w:tr w:rsidR="0069005A" w:rsidRPr="00651181" w14:paraId="2D54076D" w14:textId="77777777" w:rsidTr="002F427A">
        <w:trPr>
          <w:trHeight w:hRule="exact" w:val="1701"/>
        </w:trPr>
        <w:tc>
          <w:tcPr>
            <w:tcW w:w="10235" w:type="dxa"/>
            <w:gridSpan w:val="6"/>
            <w:tcBorders>
              <w:bottom w:val="single" w:sz="6" w:space="0" w:color="auto"/>
            </w:tcBorders>
            <w:shd w:val="clear" w:color="auto" w:fill="auto"/>
          </w:tcPr>
          <w:p w14:paraId="79A96206" w14:textId="77777777" w:rsidR="0069005A" w:rsidRDefault="0069005A" w:rsidP="002F427A">
            <w:pPr>
              <w:pStyle w:val="IAPOQ1"/>
              <w:rPr>
                <w:rFonts w:cs="Arial"/>
              </w:rPr>
            </w:pPr>
            <w:r w:rsidRPr="00651181">
              <w:rPr>
                <w:rFonts w:cs="Arial"/>
              </w:rPr>
              <w:t>Description and scale of key monetised costs</w:t>
            </w:r>
            <w:r w:rsidRPr="00F96CCD">
              <w:rPr>
                <w:rFonts w:cs="Arial"/>
              </w:rPr>
              <w:t xml:space="preserve"> by ‘main affected groups’ </w:t>
            </w:r>
          </w:p>
          <w:p w14:paraId="72226A47" w14:textId="6AC085EE" w:rsidR="0069005A" w:rsidRPr="00290F95" w:rsidRDefault="0024209E" w:rsidP="00497776">
            <w:pPr>
              <w:pStyle w:val="IAPOA3"/>
              <w:rPr>
                <w:rFonts w:cs="Arial"/>
                <w:szCs w:val="22"/>
              </w:rPr>
            </w:pPr>
            <w:bookmarkStart w:id="19" w:name="_Hlk517688200"/>
            <w:r>
              <w:rPr>
                <w:rFonts w:cs="Arial"/>
                <w:sz w:val="20"/>
              </w:rPr>
              <w:t xml:space="preserve">There </w:t>
            </w:r>
            <w:r w:rsidR="00005FC6">
              <w:rPr>
                <w:rFonts w:cs="Arial"/>
                <w:sz w:val="20"/>
              </w:rPr>
              <w:t>will</w:t>
            </w:r>
            <w:r>
              <w:rPr>
                <w:rFonts w:cs="Arial"/>
                <w:sz w:val="20"/>
              </w:rPr>
              <w:t xml:space="preserve"> be administrative costs in relation to setting up and maintaining an expert panel</w:t>
            </w:r>
            <w:r w:rsidR="0069005A" w:rsidRPr="005E39CA">
              <w:rPr>
                <w:rFonts w:cs="Arial"/>
                <w:sz w:val="20"/>
              </w:rPr>
              <w:t xml:space="preserve">. </w:t>
            </w:r>
            <w:r>
              <w:rPr>
                <w:rFonts w:cs="Arial"/>
                <w:sz w:val="20"/>
              </w:rPr>
              <w:t>Such costs are estimated to be between £40k and £50k for the public appointments process. Appointed members of the panel are expected to receive approximately £300 in remuneration for each day’s work, up to a maximum of 90 days.</w:t>
            </w:r>
            <w:bookmarkEnd w:id="19"/>
            <w:r w:rsidR="001E021C">
              <w:rPr>
                <w:rFonts w:cs="Arial"/>
                <w:sz w:val="20"/>
              </w:rPr>
              <w:t xml:space="preserve"> The panel will not be involved in the first review of the PIDR under the legislation.</w:t>
            </w:r>
          </w:p>
        </w:tc>
      </w:tr>
      <w:tr w:rsidR="0069005A" w:rsidRPr="00651181" w14:paraId="17A5FE89" w14:textId="77777777" w:rsidTr="002F427A">
        <w:trPr>
          <w:trHeight w:hRule="exact" w:val="1235"/>
        </w:trPr>
        <w:tc>
          <w:tcPr>
            <w:tcW w:w="10235" w:type="dxa"/>
            <w:gridSpan w:val="6"/>
            <w:tcBorders>
              <w:top w:val="single" w:sz="6" w:space="0" w:color="auto"/>
              <w:bottom w:val="single" w:sz="12" w:space="0" w:color="auto"/>
            </w:tcBorders>
            <w:shd w:val="clear" w:color="auto" w:fill="auto"/>
          </w:tcPr>
          <w:p w14:paraId="0BADAE27" w14:textId="77777777" w:rsidR="0069005A" w:rsidRPr="00F96CCD" w:rsidRDefault="0069005A" w:rsidP="002F427A">
            <w:pPr>
              <w:pStyle w:val="IAPOQ2"/>
              <w:rPr>
                <w:rFonts w:cs="Arial"/>
                <w:szCs w:val="22"/>
              </w:rPr>
            </w:pPr>
            <w:r w:rsidRPr="00651181">
              <w:rPr>
                <w:rFonts w:cs="Arial"/>
              </w:rPr>
              <w:t>Other key non-</w:t>
            </w:r>
            <w:r w:rsidRPr="00F96CCD">
              <w:rPr>
                <w:rFonts w:cs="Arial"/>
              </w:rPr>
              <w:t xml:space="preserve">monetised costs by ‘main affected groups’ </w:t>
            </w:r>
          </w:p>
          <w:p w14:paraId="20FEC192" w14:textId="40E12E0A" w:rsidR="0069005A" w:rsidRPr="005E39CA" w:rsidRDefault="0024209E" w:rsidP="002F427A">
            <w:pPr>
              <w:ind w:left="113"/>
              <w:rPr>
                <w:rFonts w:ascii="Arial" w:eastAsia="SimSun" w:hAnsi="Arial" w:cs="Arial"/>
                <w:spacing w:val="-5"/>
                <w:sz w:val="20"/>
                <w:szCs w:val="20"/>
                <w:lang w:eastAsia="zh-CN"/>
              </w:rPr>
            </w:pPr>
            <w:r>
              <w:rPr>
                <w:rFonts w:ascii="Arial" w:eastAsia="SimSun" w:hAnsi="Arial" w:cs="Arial"/>
                <w:spacing w:val="-5"/>
                <w:sz w:val="20"/>
                <w:szCs w:val="20"/>
                <w:lang w:eastAsia="zh-CN"/>
              </w:rPr>
              <w:t xml:space="preserve">None identified. </w:t>
            </w:r>
            <w:r w:rsidR="0069005A" w:rsidRPr="005E39CA">
              <w:rPr>
                <w:rFonts w:ascii="Arial" w:eastAsia="SimSun" w:hAnsi="Arial" w:cs="Arial"/>
                <w:spacing w:val="-5"/>
                <w:sz w:val="20"/>
                <w:szCs w:val="20"/>
                <w:lang w:eastAsia="zh-CN"/>
              </w:rPr>
              <w:t xml:space="preserve">Claimants and defendants </w:t>
            </w:r>
            <w:r w:rsidR="00005FC6">
              <w:rPr>
                <w:rFonts w:ascii="Arial" w:eastAsia="SimSun" w:hAnsi="Arial" w:cs="Arial"/>
                <w:spacing w:val="-5"/>
                <w:sz w:val="20"/>
                <w:szCs w:val="20"/>
                <w:lang w:eastAsia="zh-CN"/>
              </w:rPr>
              <w:t>will</w:t>
            </w:r>
            <w:r w:rsidR="0069005A" w:rsidRPr="005E39CA">
              <w:rPr>
                <w:rFonts w:ascii="Arial" w:eastAsia="SimSun" w:hAnsi="Arial" w:cs="Arial"/>
                <w:spacing w:val="-5"/>
                <w:sz w:val="20"/>
                <w:szCs w:val="20"/>
                <w:lang w:eastAsia="zh-CN"/>
              </w:rPr>
              <w:t xml:space="preserve"> not be affected by the institution of a panel.</w:t>
            </w:r>
          </w:p>
          <w:p w14:paraId="6854C8BE" w14:textId="77777777" w:rsidR="0069005A" w:rsidRPr="006E0A89" w:rsidRDefault="0069005A" w:rsidP="002F427A">
            <w:pPr>
              <w:pStyle w:val="IAPOA2"/>
              <w:rPr>
                <w:rFonts w:cs="Arial"/>
                <w:szCs w:val="22"/>
              </w:rPr>
            </w:pPr>
          </w:p>
        </w:tc>
      </w:tr>
      <w:tr w:rsidR="0069005A" w:rsidRPr="00651181" w14:paraId="56A5DF78" w14:textId="77777777" w:rsidTr="002F427A">
        <w:trPr>
          <w:trHeight w:hRule="exact" w:val="567"/>
        </w:trPr>
        <w:tc>
          <w:tcPr>
            <w:tcW w:w="1995" w:type="dxa"/>
            <w:shd w:val="clear" w:color="auto" w:fill="FFFFFF"/>
          </w:tcPr>
          <w:p w14:paraId="56229B9E" w14:textId="77777777" w:rsidR="0069005A" w:rsidRPr="00651181" w:rsidRDefault="0069005A" w:rsidP="002F427A">
            <w:pPr>
              <w:pStyle w:val="IATableLabel"/>
              <w:rPr>
                <w:rFonts w:cs="Arial"/>
                <w:sz w:val="24"/>
                <w:szCs w:val="24"/>
              </w:rPr>
            </w:pPr>
            <w:r w:rsidRPr="00651181">
              <w:rPr>
                <w:rFonts w:cs="Arial"/>
                <w:sz w:val="24"/>
                <w:szCs w:val="24"/>
              </w:rPr>
              <w:t>BENEFITS (£m)</w:t>
            </w:r>
          </w:p>
        </w:tc>
        <w:tc>
          <w:tcPr>
            <w:tcW w:w="2739" w:type="dxa"/>
            <w:gridSpan w:val="2"/>
            <w:tcBorders>
              <w:top w:val="single" w:sz="12" w:space="0" w:color="auto"/>
              <w:bottom w:val="single" w:sz="6" w:space="0" w:color="auto"/>
            </w:tcBorders>
            <w:shd w:val="clear" w:color="auto" w:fill="auto"/>
          </w:tcPr>
          <w:p w14:paraId="08B8F20A" w14:textId="77777777" w:rsidR="0069005A" w:rsidRPr="0051753E" w:rsidRDefault="0069005A" w:rsidP="002F427A">
            <w:pPr>
              <w:pStyle w:val="IATableLabel"/>
              <w:tabs>
                <w:tab w:val="right" w:pos="1797"/>
                <w:tab w:val="center" w:pos="2340"/>
              </w:tabs>
              <w:jc w:val="right"/>
              <w:rPr>
                <w:rFonts w:cs="Arial"/>
              </w:rPr>
            </w:pPr>
            <w:r w:rsidRPr="00F96CCD">
              <w:rPr>
                <w:rFonts w:cs="Arial"/>
              </w:rPr>
              <w:t xml:space="preserve">Total Transition </w:t>
            </w:r>
            <w:r w:rsidRPr="00F96CCD">
              <w:rPr>
                <w:rFonts w:cs="Arial"/>
              </w:rPr>
              <w:br/>
            </w:r>
            <w:r w:rsidRPr="00F96CCD">
              <w:rPr>
                <w:rFonts w:cs="Arial"/>
              </w:rPr>
              <w:tab/>
            </w:r>
            <w:r w:rsidRPr="00DC036C">
              <w:rPr>
                <w:rFonts w:cs="Arial"/>
                <w:b w:val="0"/>
                <w:sz w:val="18"/>
                <w:szCs w:val="18"/>
              </w:rPr>
              <w:t>(Constant Price)</w:t>
            </w:r>
            <w:r w:rsidRPr="00DC036C">
              <w:rPr>
                <w:rFonts w:cs="Arial"/>
              </w:rPr>
              <w:tab/>
            </w:r>
            <w:r w:rsidRPr="0051753E">
              <w:rPr>
                <w:rFonts w:cs="Arial"/>
                <w:b w:val="0"/>
                <w:sz w:val="18"/>
                <w:szCs w:val="18"/>
              </w:rPr>
              <w:t>Yea</w:t>
            </w:r>
            <w:r w:rsidRPr="0051753E">
              <w:rPr>
                <w:rFonts w:cs="Arial"/>
                <w:b w:val="0"/>
                <w:bCs/>
                <w:sz w:val="18"/>
                <w:szCs w:val="18"/>
              </w:rPr>
              <w:t>r</w:t>
            </w:r>
            <w:r w:rsidRPr="0051753E">
              <w:rPr>
                <w:rFonts w:cs="Arial"/>
                <w:b w:val="0"/>
                <w:sz w:val="18"/>
                <w:szCs w:val="18"/>
              </w:rPr>
              <w:t>s</w:t>
            </w:r>
          </w:p>
          <w:p w14:paraId="3A2A23DA" w14:textId="77777777" w:rsidR="0069005A" w:rsidRPr="003473EB" w:rsidRDefault="0069005A" w:rsidP="002F427A">
            <w:pPr>
              <w:pStyle w:val="IATableLabel"/>
              <w:jc w:val="right"/>
              <w:rPr>
                <w:rFonts w:cs="Arial"/>
              </w:rPr>
            </w:pPr>
            <w:r w:rsidRPr="0051753E">
              <w:rPr>
                <w:rFonts w:cs="Arial"/>
              </w:rPr>
              <w:br/>
            </w:r>
          </w:p>
        </w:tc>
        <w:tc>
          <w:tcPr>
            <w:tcW w:w="2865" w:type="dxa"/>
            <w:tcBorders>
              <w:bottom w:val="single" w:sz="6" w:space="0" w:color="auto"/>
              <w:right w:val="single" w:sz="12" w:space="0" w:color="auto"/>
            </w:tcBorders>
            <w:shd w:val="clear" w:color="auto" w:fill="auto"/>
          </w:tcPr>
          <w:p w14:paraId="7DAE4133" w14:textId="77777777" w:rsidR="0069005A" w:rsidRPr="00651181" w:rsidRDefault="0069005A" w:rsidP="002F427A">
            <w:pPr>
              <w:pStyle w:val="IATableLabel"/>
              <w:jc w:val="right"/>
              <w:rPr>
                <w:rFonts w:cs="Arial"/>
                <w:bCs/>
              </w:rPr>
            </w:pPr>
            <w:r w:rsidRPr="003473EB">
              <w:rPr>
                <w:rFonts w:cs="Arial"/>
              </w:rPr>
              <w:t xml:space="preserve">Average Annual </w:t>
            </w:r>
            <w:r w:rsidRPr="003473EB">
              <w:rPr>
                <w:rFonts w:cs="Arial"/>
              </w:rPr>
              <w:br/>
            </w:r>
            <w:r w:rsidRPr="006E0A89">
              <w:rPr>
                <w:rFonts w:cs="Arial"/>
                <w:b w:val="0"/>
                <w:sz w:val="18"/>
                <w:szCs w:val="18"/>
              </w:rPr>
              <w:t xml:space="preserve">(excl. Transition) </w:t>
            </w:r>
            <w:r w:rsidRPr="0065118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21084E05" w14:textId="77777777" w:rsidR="0069005A" w:rsidRPr="0051753E" w:rsidRDefault="0069005A" w:rsidP="002F427A">
            <w:pPr>
              <w:pStyle w:val="IATableLabel"/>
              <w:jc w:val="right"/>
              <w:rPr>
                <w:rFonts w:cs="Arial"/>
              </w:rPr>
            </w:pPr>
            <w:r w:rsidRPr="0051753E">
              <w:rPr>
                <w:rFonts w:cs="Arial"/>
              </w:rPr>
              <w:t>Total Benefit</w:t>
            </w:r>
            <w:r w:rsidRPr="0051753E">
              <w:rPr>
                <w:rFonts w:cs="Arial"/>
                <w:b w:val="0"/>
                <w:sz w:val="18"/>
                <w:szCs w:val="18"/>
              </w:rPr>
              <w:t xml:space="preserve"> </w:t>
            </w:r>
            <w:r w:rsidRPr="0051753E">
              <w:rPr>
                <w:rFonts w:cs="Arial"/>
                <w:b w:val="0"/>
                <w:sz w:val="18"/>
                <w:szCs w:val="18"/>
              </w:rPr>
              <w:br/>
              <w:t>(Present Value)</w:t>
            </w:r>
          </w:p>
        </w:tc>
      </w:tr>
      <w:tr w:rsidR="0069005A" w:rsidRPr="00651181" w14:paraId="7D85CE49" w14:textId="77777777" w:rsidTr="002F427A">
        <w:trPr>
          <w:trHeight w:hRule="exact" w:val="348"/>
        </w:trPr>
        <w:tc>
          <w:tcPr>
            <w:tcW w:w="1995" w:type="dxa"/>
            <w:tcBorders>
              <w:top w:val="single" w:sz="6" w:space="0" w:color="auto"/>
              <w:bottom w:val="single" w:sz="6" w:space="0" w:color="auto"/>
            </w:tcBorders>
            <w:shd w:val="clear" w:color="auto" w:fill="auto"/>
            <w:vAlign w:val="center"/>
          </w:tcPr>
          <w:p w14:paraId="347AEDA3" w14:textId="77777777" w:rsidR="0069005A" w:rsidRPr="00651181" w:rsidRDefault="0069005A" w:rsidP="002F427A">
            <w:pPr>
              <w:pStyle w:val="IATableLabel"/>
              <w:rPr>
                <w:rFonts w:cs="Arial"/>
              </w:rPr>
            </w:pPr>
            <w:r w:rsidRPr="00651181">
              <w:rPr>
                <w:rFonts w:cs="Arial"/>
              </w:rPr>
              <w:t xml:space="preserve">Low </w:t>
            </w:r>
          </w:p>
        </w:tc>
        <w:tc>
          <w:tcPr>
            <w:tcW w:w="1949" w:type="dxa"/>
            <w:tcBorders>
              <w:top w:val="single" w:sz="6" w:space="0" w:color="auto"/>
              <w:bottom w:val="single" w:sz="6" w:space="0" w:color="auto"/>
            </w:tcBorders>
            <w:shd w:val="clear" w:color="auto" w:fill="auto"/>
            <w:vAlign w:val="center"/>
          </w:tcPr>
          <w:p w14:paraId="6AFB6765" w14:textId="77777777" w:rsidR="0069005A" w:rsidRPr="006E0A89" w:rsidRDefault="0069005A" w:rsidP="002F427A">
            <w:pPr>
              <w:pStyle w:val="POTTBenLow"/>
              <w:rPr>
                <w:rFonts w:cs="Arial"/>
                <w:sz w:val="20"/>
              </w:rPr>
            </w:pPr>
          </w:p>
        </w:tc>
        <w:tc>
          <w:tcPr>
            <w:tcW w:w="790" w:type="dxa"/>
            <w:vMerge w:val="restart"/>
            <w:tcBorders>
              <w:top w:val="single" w:sz="6" w:space="0" w:color="auto"/>
            </w:tcBorders>
            <w:shd w:val="clear" w:color="auto" w:fill="auto"/>
            <w:vAlign w:val="center"/>
          </w:tcPr>
          <w:p w14:paraId="49BA7E15" w14:textId="77777777" w:rsidR="0069005A" w:rsidRPr="006E0A89" w:rsidRDefault="0069005A" w:rsidP="002F427A">
            <w:pPr>
              <w:pStyle w:val="IATableText"/>
              <w:jc w:val="center"/>
              <w:rPr>
                <w:rFonts w:cs="Arial"/>
                <w:sz w:val="20"/>
              </w:rPr>
            </w:pPr>
          </w:p>
        </w:tc>
        <w:tc>
          <w:tcPr>
            <w:tcW w:w="2865" w:type="dxa"/>
            <w:tcBorders>
              <w:top w:val="single" w:sz="6" w:space="0" w:color="auto"/>
              <w:bottom w:val="single" w:sz="6" w:space="0" w:color="auto"/>
              <w:right w:val="single" w:sz="12" w:space="0" w:color="auto"/>
            </w:tcBorders>
            <w:shd w:val="clear" w:color="auto" w:fill="auto"/>
            <w:vAlign w:val="center"/>
          </w:tcPr>
          <w:p w14:paraId="1283D727" w14:textId="77777777" w:rsidR="0069005A" w:rsidRPr="006E0A89" w:rsidRDefault="0069005A" w:rsidP="002F427A">
            <w:pPr>
              <w:pStyle w:val="POAABenLow"/>
              <w:rPr>
                <w:rFonts w:cs="Arial"/>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14:paraId="66E1BFBE" w14:textId="77777777" w:rsidR="0069005A" w:rsidRPr="006E0A89" w:rsidRDefault="0069005A" w:rsidP="002F427A">
            <w:pPr>
              <w:pStyle w:val="POTBBenLow"/>
              <w:rPr>
                <w:rFonts w:cs="Arial"/>
                <w:sz w:val="20"/>
              </w:rPr>
            </w:pPr>
          </w:p>
        </w:tc>
      </w:tr>
      <w:tr w:rsidR="0069005A" w:rsidRPr="00651181" w14:paraId="65E30D2E" w14:textId="77777777" w:rsidTr="002F427A">
        <w:trPr>
          <w:trHeight w:hRule="exact" w:val="348"/>
        </w:trPr>
        <w:tc>
          <w:tcPr>
            <w:tcW w:w="1995" w:type="dxa"/>
            <w:tcBorders>
              <w:top w:val="single" w:sz="6" w:space="0" w:color="auto"/>
              <w:bottom w:val="single" w:sz="12" w:space="0" w:color="auto"/>
            </w:tcBorders>
            <w:shd w:val="clear" w:color="auto" w:fill="auto"/>
            <w:vAlign w:val="center"/>
          </w:tcPr>
          <w:p w14:paraId="1147C6CD" w14:textId="77777777" w:rsidR="0069005A" w:rsidRPr="00651181" w:rsidRDefault="0069005A" w:rsidP="002F427A">
            <w:pPr>
              <w:pStyle w:val="IATableLabel"/>
              <w:rPr>
                <w:rFonts w:cs="Arial"/>
              </w:rPr>
            </w:pPr>
            <w:r w:rsidRPr="00651181">
              <w:rPr>
                <w:rFonts w:cs="Arial"/>
              </w:rPr>
              <w:t xml:space="preserve">High </w:t>
            </w:r>
          </w:p>
        </w:tc>
        <w:tc>
          <w:tcPr>
            <w:tcW w:w="1949" w:type="dxa"/>
            <w:tcBorders>
              <w:top w:val="single" w:sz="6" w:space="0" w:color="auto"/>
              <w:bottom w:val="single" w:sz="12" w:space="0" w:color="auto"/>
            </w:tcBorders>
            <w:shd w:val="clear" w:color="auto" w:fill="auto"/>
            <w:vAlign w:val="center"/>
          </w:tcPr>
          <w:p w14:paraId="09A258C1" w14:textId="77777777" w:rsidR="0069005A" w:rsidRPr="006E0A89" w:rsidRDefault="0069005A" w:rsidP="002F427A">
            <w:pPr>
              <w:pStyle w:val="POTTBenHigh"/>
              <w:rPr>
                <w:rFonts w:cs="Arial"/>
                <w:sz w:val="20"/>
              </w:rPr>
            </w:pPr>
          </w:p>
        </w:tc>
        <w:tc>
          <w:tcPr>
            <w:tcW w:w="790" w:type="dxa"/>
            <w:vMerge/>
            <w:shd w:val="clear" w:color="auto" w:fill="FFFFFF"/>
            <w:vAlign w:val="center"/>
          </w:tcPr>
          <w:p w14:paraId="34339305" w14:textId="77777777" w:rsidR="0069005A" w:rsidRPr="006E0A89" w:rsidRDefault="0069005A" w:rsidP="002F427A">
            <w:pPr>
              <w:pStyle w:val="IATableText"/>
              <w:jc w:val="right"/>
              <w:rPr>
                <w:rFonts w:cs="Arial"/>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399BF56B" w14:textId="77777777" w:rsidR="0069005A" w:rsidRPr="006E0A89" w:rsidRDefault="0069005A" w:rsidP="002F427A">
            <w:pPr>
              <w:pStyle w:val="POAABenHigh"/>
              <w:rPr>
                <w:rFonts w:cs="Arial"/>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14:paraId="2F22D21A" w14:textId="77777777" w:rsidR="0069005A" w:rsidRPr="006E0A89" w:rsidRDefault="0069005A" w:rsidP="002F427A">
            <w:pPr>
              <w:pStyle w:val="POTBBenHigh"/>
              <w:rPr>
                <w:rFonts w:cs="Arial"/>
                <w:sz w:val="20"/>
              </w:rPr>
            </w:pPr>
          </w:p>
        </w:tc>
      </w:tr>
      <w:tr w:rsidR="0069005A" w:rsidRPr="00651181" w14:paraId="48630170" w14:textId="77777777" w:rsidTr="002F427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527D8077" w14:textId="77777777" w:rsidR="0069005A" w:rsidRPr="00F96CCD" w:rsidRDefault="0069005A" w:rsidP="002F427A">
            <w:pPr>
              <w:pStyle w:val="IATableLabel"/>
              <w:rPr>
                <w:rFonts w:cs="Arial"/>
              </w:rPr>
            </w:pPr>
            <w:r w:rsidRPr="00651181">
              <w:rPr>
                <w:rFonts w:cs="Arial"/>
              </w:rPr>
              <w:t>Best E</w:t>
            </w:r>
            <w:r w:rsidRPr="00F96CCD">
              <w:rPr>
                <w:rFonts w:cs="Arial"/>
              </w:rPr>
              <w:t>stimate</w:t>
            </w:r>
          </w:p>
          <w:p w14:paraId="33B63E81" w14:textId="77777777" w:rsidR="0069005A" w:rsidRPr="00F96CCD" w:rsidRDefault="0069005A" w:rsidP="002F427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188BC91" w14:textId="77777777" w:rsidR="0069005A" w:rsidRPr="006E0A89" w:rsidRDefault="0069005A" w:rsidP="002F427A">
            <w:pPr>
              <w:pStyle w:val="POTTBenBest"/>
              <w:rPr>
                <w:rFonts w:cs="Arial"/>
                <w:sz w:val="20"/>
              </w:rPr>
            </w:pPr>
            <w:r>
              <w:rPr>
                <w:rFonts w:cs="Arial"/>
                <w:sz w:val="20"/>
              </w:rPr>
              <w:t>NQ</w:t>
            </w:r>
          </w:p>
        </w:tc>
        <w:tc>
          <w:tcPr>
            <w:tcW w:w="790" w:type="dxa"/>
            <w:vMerge/>
            <w:tcBorders>
              <w:left w:val="single" w:sz="12" w:space="0" w:color="auto"/>
              <w:right w:val="single" w:sz="12" w:space="0" w:color="auto"/>
            </w:tcBorders>
            <w:shd w:val="clear" w:color="auto" w:fill="FFFFFF"/>
            <w:vAlign w:val="center"/>
          </w:tcPr>
          <w:p w14:paraId="25B7017C" w14:textId="77777777" w:rsidR="0069005A" w:rsidRPr="006E0A89" w:rsidRDefault="0069005A" w:rsidP="002F427A">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78C0C0CB" w14:textId="77777777" w:rsidR="0069005A" w:rsidRPr="006E0A89" w:rsidRDefault="0069005A" w:rsidP="002F427A">
            <w:pPr>
              <w:pStyle w:val="POAABenBest"/>
              <w:rPr>
                <w:rFonts w:cs="Arial"/>
                <w:sz w:val="20"/>
              </w:rPr>
            </w:pPr>
            <w:r>
              <w:rPr>
                <w:rFonts w:cs="Arial"/>
                <w:sz w:val="20"/>
              </w:rPr>
              <w:t>NQ</w:t>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15B12848" w14:textId="77777777" w:rsidR="0069005A" w:rsidRPr="006E0A89" w:rsidRDefault="0069005A" w:rsidP="002F427A">
            <w:pPr>
              <w:pStyle w:val="POTBBenBest"/>
              <w:rPr>
                <w:rFonts w:cs="Arial"/>
                <w:sz w:val="20"/>
              </w:rPr>
            </w:pPr>
            <w:r>
              <w:rPr>
                <w:rFonts w:cs="Arial"/>
                <w:sz w:val="20"/>
              </w:rPr>
              <w:t>NQ</w:t>
            </w:r>
          </w:p>
        </w:tc>
      </w:tr>
      <w:tr w:rsidR="0069005A" w:rsidRPr="00651181" w14:paraId="20575C69" w14:textId="77777777" w:rsidTr="002F427A">
        <w:trPr>
          <w:trHeight w:hRule="exact" w:val="1253"/>
        </w:trPr>
        <w:tc>
          <w:tcPr>
            <w:tcW w:w="10235" w:type="dxa"/>
            <w:gridSpan w:val="6"/>
            <w:shd w:val="clear" w:color="auto" w:fill="auto"/>
          </w:tcPr>
          <w:p w14:paraId="193AF0C5" w14:textId="77777777" w:rsidR="0069005A" w:rsidRPr="00CA770B" w:rsidRDefault="0069005A" w:rsidP="002F427A">
            <w:pPr>
              <w:pStyle w:val="IPPOQ3"/>
              <w:rPr>
                <w:rFonts w:cs="Arial"/>
                <w:szCs w:val="22"/>
              </w:rPr>
            </w:pPr>
            <w:r w:rsidRPr="00651181">
              <w:rPr>
                <w:rFonts w:cs="Arial"/>
              </w:rPr>
              <w:t xml:space="preserve">Description and scale of key monetised </w:t>
            </w:r>
            <w:r w:rsidRPr="00F96CCD">
              <w:rPr>
                <w:rFonts w:cs="Arial"/>
              </w:rPr>
              <w:t xml:space="preserve">benefits by ‘main affected groups’ </w:t>
            </w:r>
          </w:p>
          <w:p w14:paraId="05336932" w14:textId="77777777" w:rsidR="0069005A" w:rsidRPr="006E0A89" w:rsidRDefault="0069005A" w:rsidP="00497776">
            <w:pPr>
              <w:pStyle w:val="IAPOA3"/>
              <w:rPr>
                <w:rFonts w:cs="Arial"/>
              </w:rPr>
            </w:pPr>
            <w:r w:rsidRPr="005E39CA">
              <w:rPr>
                <w:rFonts w:cs="Arial"/>
                <w:sz w:val="20"/>
              </w:rPr>
              <w:t>None quantified.</w:t>
            </w:r>
          </w:p>
        </w:tc>
      </w:tr>
      <w:tr w:rsidR="0069005A" w:rsidRPr="00651181" w14:paraId="4011BAA1" w14:textId="77777777" w:rsidTr="002F427A">
        <w:trPr>
          <w:trHeight w:hRule="exact" w:val="1110"/>
        </w:trPr>
        <w:tc>
          <w:tcPr>
            <w:tcW w:w="10235" w:type="dxa"/>
            <w:gridSpan w:val="6"/>
            <w:shd w:val="clear" w:color="auto" w:fill="auto"/>
          </w:tcPr>
          <w:p w14:paraId="5280F94B" w14:textId="77777777" w:rsidR="0069005A" w:rsidRPr="00F96CCD" w:rsidRDefault="0069005A" w:rsidP="005E39CA">
            <w:pPr>
              <w:pStyle w:val="IAPOQ4"/>
              <w:spacing w:before="0" w:after="0"/>
              <w:rPr>
                <w:rFonts w:cs="Arial"/>
                <w:szCs w:val="22"/>
              </w:rPr>
            </w:pPr>
            <w:r w:rsidRPr="00651181">
              <w:rPr>
                <w:rFonts w:cs="Arial"/>
              </w:rPr>
              <w:t xml:space="preserve">Other key non-monetised </w:t>
            </w:r>
            <w:r w:rsidRPr="00F96CCD">
              <w:rPr>
                <w:rFonts w:cs="Arial"/>
              </w:rPr>
              <w:t xml:space="preserve">benefits by ‘main affected groups’ </w:t>
            </w:r>
          </w:p>
          <w:p w14:paraId="38E88139" w14:textId="77777777" w:rsidR="002E741B" w:rsidRPr="005E39CA" w:rsidRDefault="002E741B" w:rsidP="005E39CA">
            <w:pPr>
              <w:pStyle w:val="EBBodyPara"/>
              <w:keepNext/>
              <w:spacing w:after="0"/>
              <w:ind w:left="113" w:right="113"/>
              <w:rPr>
                <w:rFonts w:eastAsia="SimSun"/>
                <w:bCs w:val="0"/>
                <w:color w:val="auto"/>
                <w:spacing w:val="-5"/>
                <w:sz w:val="20"/>
                <w:szCs w:val="20"/>
                <w:lang w:eastAsia="zh-CN"/>
              </w:rPr>
            </w:pPr>
            <w:r w:rsidRPr="005E39CA">
              <w:rPr>
                <w:rFonts w:eastAsia="SimSun"/>
                <w:bCs w:val="0"/>
                <w:color w:val="auto"/>
                <w:spacing w:val="-5"/>
                <w:sz w:val="20"/>
                <w:szCs w:val="20"/>
                <w:lang w:eastAsia="zh-CN"/>
              </w:rPr>
              <w:t xml:space="preserve">Claimants and defendants will not be directly affected by the establishment of an expert panel although they should benefit indirectly from its expertise </w:t>
            </w:r>
            <w:r w:rsidR="001E2CD5">
              <w:rPr>
                <w:rFonts w:eastAsia="SimSun"/>
                <w:bCs w:val="0"/>
                <w:color w:val="auto"/>
                <w:spacing w:val="-5"/>
                <w:sz w:val="20"/>
                <w:szCs w:val="20"/>
                <w:lang w:eastAsia="zh-CN"/>
              </w:rPr>
              <w:t>when</w:t>
            </w:r>
            <w:r w:rsidRPr="005E39CA">
              <w:rPr>
                <w:rFonts w:eastAsia="SimSun"/>
                <w:bCs w:val="0"/>
                <w:color w:val="auto"/>
                <w:spacing w:val="-5"/>
                <w:sz w:val="20"/>
                <w:szCs w:val="20"/>
                <w:lang w:eastAsia="zh-CN"/>
              </w:rPr>
              <w:t xml:space="preserve"> the Lord Chancellor consult</w:t>
            </w:r>
            <w:r w:rsidR="00942B81">
              <w:rPr>
                <w:rFonts w:eastAsia="SimSun"/>
                <w:bCs w:val="0"/>
                <w:color w:val="auto"/>
                <w:spacing w:val="-5"/>
                <w:sz w:val="20"/>
                <w:szCs w:val="20"/>
                <w:lang w:eastAsia="zh-CN"/>
              </w:rPr>
              <w:t>s</w:t>
            </w:r>
            <w:r w:rsidRPr="005E39CA">
              <w:rPr>
                <w:rFonts w:eastAsia="SimSun"/>
                <w:bCs w:val="0"/>
                <w:color w:val="auto"/>
                <w:spacing w:val="-5"/>
                <w:sz w:val="20"/>
                <w:szCs w:val="20"/>
                <w:lang w:eastAsia="zh-CN"/>
              </w:rPr>
              <w:t xml:space="preserve"> it with regarding to the issues he/she should consider when setting the rate. </w:t>
            </w:r>
          </w:p>
          <w:p w14:paraId="4AB22C6A" w14:textId="77777777" w:rsidR="0069005A" w:rsidRPr="005E39CA" w:rsidRDefault="0069005A" w:rsidP="002F427A">
            <w:pPr>
              <w:pStyle w:val="IAPOA3"/>
              <w:rPr>
                <w:sz w:val="20"/>
              </w:rPr>
            </w:pPr>
          </w:p>
          <w:p w14:paraId="305ECE01" w14:textId="77777777" w:rsidR="0069005A" w:rsidRPr="006E0A89" w:rsidRDefault="0069005A" w:rsidP="002F427A">
            <w:pPr>
              <w:pStyle w:val="IAPOA4"/>
              <w:rPr>
                <w:rFonts w:cs="Arial"/>
              </w:rPr>
            </w:pPr>
          </w:p>
        </w:tc>
      </w:tr>
      <w:tr w:rsidR="0069005A" w:rsidRPr="00651181" w14:paraId="555D9A5D" w14:textId="77777777" w:rsidTr="002F427A">
        <w:trPr>
          <w:trHeight w:hRule="exact" w:val="346"/>
        </w:trPr>
        <w:tc>
          <w:tcPr>
            <w:tcW w:w="9375" w:type="dxa"/>
            <w:gridSpan w:val="5"/>
            <w:tcBorders>
              <w:top w:val="single" w:sz="6" w:space="0" w:color="auto"/>
              <w:bottom w:val="nil"/>
            </w:tcBorders>
            <w:shd w:val="clear" w:color="auto" w:fill="auto"/>
          </w:tcPr>
          <w:p w14:paraId="03318A29" w14:textId="77777777" w:rsidR="0069005A" w:rsidRPr="00651181" w:rsidRDefault="0069005A" w:rsidP="002F427A">
            <w:pPr>
              <w:pStyle w:val="IATableLabel"/>
              <w:tabs>
                <w:tab w:val="left" w:pos="7655"/>
              </w:tabs>
              <w:rPr>
                <w:rFonts w:cs="Arial"/>
              </w:rPr>
            </w:pPr>
            <w:r w:rsidRPr="00F54332">
              <w:rPr>
                <w:rStyle w:val="IAPOQ5Char"/>
                <w:rFonts w:cs="Arial"/>
                <w:b/>
              </w:rPr>
              <w:t>Key assumptions/sensitivities/risks</w:t>
            </w:r>
            <w:r w:rsidRPr="00651181">
              <w:rPr>
                <w:rFonts w:cs="Arial"/>
              </w:rPr>
              <w:tab/>
              <w:t xml:space="preserve">Discount rate </w:t>
            </w:r>
          </w:p>
          <w:p w14:paraId="1E8DE7F1" w14:textId="77777777" w:rsidR="0069005A" w:rsidRPr="00F96CCD" w:rsidRDefault="0069005A" w:rsidP="002F427A">
            <w:pPr>
              <w:pStyle w:val="IATableLabel"/>
              <w:rPr>
                <w:rFonts w:cs="Arial"/>
              </w:rPr>
            </w:pPr>
          </w:p>
        </w:tc>
        <w:tc>
          <w:tcPr>
            <w:tcW w:w="860" w:type="dxa"/>
            <w:tcBorders>
              <w:top w:val="single" w:sz="6" w:space="0" w:color="auto"/>
              <w:bottom w:val="single" w:sz="4" w:space="0" w:color="auto"/>
            </w:tcBorders>
            <w:shd w:val="clear" w:color="auto" w:fill="auto"/>
          </w:tcPr>
          <w:p w14:paraId="4507C000" w14:textId="77777777" w:rsidR="0069005A" w:rsidRPr="006E0A89" w:rsidRDefault="0069005A" w:rsidP="002F427A">
            <w:pPr>
              <w:pStyle w:val="IAPODisRate"/>
              <w:rPr>
                <w:rFonts w:cs="Arial"/>
              </w:rPr>
            </w:pPr>
            <w:r>
              <w:rPr>
                <w:rFonts w:cs="Arial"/>
              </w:rPr>
              <w:t>NA</w:t>
            </w:r>
          </w:p>
        </w:tc>
      </w:tr>
      <w:tr w:rsidR="0069005A" w:rsidRPr="00651181" w14:paraId="753BF6EA" w14:textId="77777777" w:rsidTr="00D52681">
        <w:trPr>
          <w:trHeight w:hRule="exact" w:val="697"/>
        </w:trPr>
        <w:tc>
          <w:tcPr>
            <w:tcW w:w="10235" w:type="dxa"/>
            <w:gridSpan w:val="6"/>
            <w:tcBorders>
              <w:top w:val="nil"/>
              <w:bottom w:val="single" w:sz="12" w:space="0" w:color="auto"/>
            </w:tcBorders>
            <w:shd w:val="clear" w:color="auto" w:fill="auto"/>
          </w:tcPr>
          <w:p w14:paraId="02F7BDE0" w14:textId="77777777" w:rsidR="0069005A" w:rsidRPr="006E0A89" w:rsidRDefault="0069005A" w:rsidP="002F427A">
            <w:pPr>
              <w:pStyle w:val="IAPOA5"/>
              <w:rPr>
                <w:rFonts w:cs="Arial"/>
              </w:rPr>
            </w:pPr>
            <w:r w:rsidRPr="005E39CA">
              <w:rPr>
                <w:sz w:val="20"/>
              </w:rPr>
              <w:t>It is assumed that the volume of personal injury claims subject to the discount rate will not change as a result of the institution of a panel.</w:t>
            </w:r>
          </w:p>
        </w:tc>
      </w:tr>
    </w:tbl>
    <w:p w14:paraId="187C6639" w14:textId="77777777" w:rsidR="0069005A" w:rsidRPr="00651181" w:rsidRDefault="0069005A" w:rsidP="0069005A">
      <w:pPr>
        <w:pStyle w:val="IASpacer"/>
        <w:rPr>
          <w:rFonts w:cs="Arial"/>
        </w:rPr>
      </w:pPr>
    </w:p>
    <w:p w14:paraId="776A62CF" w14:textId="77777777" w:rsidR="0069005A" w:rsidRPr="006E0A89" w:rsidRDefault="0069005A" w:rsidP="0069005A">
      <w:pPr>
        <w:pStyle w:val="IAHeadLabel"/>
        <w:spacing w:before="50"/>
        <w:rPr>
          <w:rFonts w:cs="Arial"/>
        </w:rPr>
      </w:pPr>
      <w:r w:rsidRPr="00F96CCD">
        <w:rPr>
          <w:rFonts w:cs="Arial"/>
        </w:rPr>
        <w:t xml:space="preserve">BUSINESS ASSESSMENT (Option </w:t>
      </w:r>
      <w:r>
        <w:rPr>
          <w:rFonts w:cs="Arial"/>
        </w:rPr>
        <w:t>3</w:t>
      </w:r>
      <w:r w:rsidRPr="006E0A89">
        <w:rPr>
          <w:rFonts w:cs="Arial"/>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4"/>
        <w:gridCol w:w="1839"/>
        <w:gridCol w:w="1698"/>
        <w:gridCol w:w="4814"/>
      </w:tblGrid>
      <w:tr w:rsidR="0069005A" w:rsidRPr="00651181" w14:paraId="19890DC2" w14:textId="77777777" w:rsidTr="002F427A">
        <w:trPr>
          <w:trHeight w:hRule="exact" w:val="384"/>
        </w:trPr>
        <w:tc>
          <w:tcPr>
            <w:tcW w:w="5392" w:type="dxa"/>
            <w:gridSpan w:val="3"/>
            <w:tcBorders>
              <w:top w:val="single" w:sz="4" w:space="0" w:color="auto"/>
              <w:bottom w:val="nil"/>
              <w:right w:val="single" w:sz="4" w:space="0" w:color="auto"/>
            </w:tcBorders>
          </w:tcPr>
          <w:p w14:paraId="475D91B1" w14:textId="77777777" w:rsidR="0069005A" w:rsidRPr="006E0A89" w:rsidRDefault="0069005A" w:rsidP="002F427A">
            <w:pPr>
              <w:pStyle w:val="IATableLabel"/>
              <w:rPr>
                <w:rFonts w:cs="Arial"/>
              </w:rPr>
            </w:pPr>
            <w:r w:rsidRPr="006E0A89">
              <w:rPr>
                <w:rFonts w:cs="Arial"/>
              </w:rPr>
              <w:t xml:space="preserve">Direct impact on business (Equivalent Annual) £m: </w:t>
            </w:r>
          </w:p>
        </w:tc>
        <w:tc>
          <w:tcPr>
            <w:tcW w:w="4823" w:type="dxa"/>
            <w:vMerge w:val="restart"/>
            <w:tcBorders>
              <w:top w:val="single" w:sz="4" w:space="0" w:color="auto"/>
              <w:left w:val="single" w:sz="4" w:space="0" w:color="auto"/>
              <w:right w:val="single" w:sz="4" w:space="0" w:color="auto"/>
            </w:tcBorders>
          </w:tcPr>
          <w:p w14:paraId="6BAAFBC1" w14:textId="77777777" w:rsidR="0069005A" w:rsidRPr="006E0A89" w:rsidRDefault="0069005A" w:rsidP="002F427A">
            <w:pPr>
              <w:pStyle w:val="IATableLabel"/>
              <w:rPr>
                <w:rFonts w:cs="Arial"/>
              </w:rPr>
            </w:pPr>
            <w:r w:rsidRPr="006E0A89">
              <w:rPr>
                <w:rFonts w:cs="Arial"/>
              </w:rPr>
              <w:t>Score for Business Impact Target (qualifying provisions only) £m:</w:t>
            </w:r>
          </w:p>
        </w:tc>
      </w:tr>
      <w:tr w:rsidR="0069005A" w:rsidRPr="00651181" w14:paraId="305C1BAB" w14:textId="77777777" w:rsidTr="002F427A">
        <w:trPr>
          <w:trHeight w:hRule="exact" w:val="340"/>
        </w:trPr>
        <w:tc>
          <w:tcPr>
            <w:tcW w:w="1848" w:type="dxa"/>
            <w:vMerge w:val="restart"/>
            <w:tcBorders>
              <w:top w:val="nil"/>
              <w:right w:val="single" w:sz="4" w:space="0" w:color="auto"/>
            </w:tcBorders>
            <w:shd w:val="clear" w:color="auto" w:fill="FFFFFF"/>
          </w:tcPr>
          <w:p w14:paraId="39E17BA8" w14:textId="77777777" w:rsidR="0069005A" w:rsidRPr="006E0A89" w:rsidRDefault="0069005A" w:rsidP="002F427A">
            <w:pPr>
              <w:pStyle w:val="IATableLabel"/>
              <w:rPr>
                <w:rFonts w:cs="Arial"/>
              </w:rPr>
            </w:pPr>
            <w:r w:rsidRPr="00651181">
              <w:rPr>
                <w:rFonts w:cs="Arial"/>
              </w:rPr>
              <w:t xml:space="preserve">Costs: </w:t>
            </w:r>
            <w:r>
              <w:rPr>
                <w:rStyle w:val="IAPODICostChar"/>
                <w:rFonts w:cs="Arial"/>
              </w:rPr>
              <w:t>NQ</w:t>
            </w:r>
          </w:p>
        </w:tc>
        <w:tc>
          <w:tcPr>
            <w:tcW w:w="1843" w:type="dxa"/>
            <w:vMerge w:val="restart"/>
            <w:tcBorders>
              <w:top w:val="nil"/>
              <w:right w:val="single" w:sz="4" w:space="0" w:color="auto"/>
            </w:tcBorders>
            <w:shd w:val="clear" w:color="auto" w:fill="FFFFFF"/>
          </w:tcPr>
          <w:p w14:paraId="1A51AE01" w14:textId="77777777" w:rsidR="0069005A" w:rsidRPr="006E0A89" w:rsidRDefault="0069005A" w:rsidP="002F427A">
            <w:pPr>
              <w:pStyle w:val="IATableLabel"/>
              <w:rPr>
                <w:rFonts w:cs="Arial"/>
              </w:rPr>
            </w:pPr>
            <w:r w:rsidRPr="006E0A89">
              <w:rPr>
                <w:rFonts w:cs="Arial"/>
              </w:rPr>
              <w:t xml:space="preserve">Benefits: </w:t>
            </w:r>
            <w:r>
              <w:rPr>
                <w:rStyle w:val="IAPODIBenChar"/>
                <w:rFonts w:cs="Arial"/>
              </w:rPr>
              <w:t>NQ</w:t>
            </w:r>
          </w:p>
        </w:tc>
        <w:tc>
          <w:tcPr>
            <w:tcW w:w="1701" w:type="dxa"/>
            <w:vMerge w:val="restart"/>
            <w:tcBorders>
              <w:top w:val="nil"/>
              <w:right w:val="single" w:sz="4" w:space="0" w:color="auto"/>
            </w:tcBorders>
            <w:shd w:val="clear" w:color="auto" w:fill="FFFFFF"/>
          </w:tcPr>
          <w:p w14:paraId="4A8D2B43" w14:textId="77777777" w:rsidR="0069005A" w:rsidRPr="006E0A89" w:rsidRDefault="0069005A" w:rsidP="002F427A">
            <w:pPr>
              <w:pStyle w:val="IATableLabel"/>
              <w:rPr>
                <w:rFonts w:cs="Arial"/>
              </w:rPr>
            </w:pPr>
            <w:r w:rsidRPr="006E0A89">
              <w:rPr>
                <w:rFonts w:cs="Arial"/>
              </w:rPr>
              <w:t xml:space="preserve">Net: </w:t>
            </w:r>
            <w:r>
              <w:rPr>
                <w:rStyle w:val="IAPODINetChar"/>
                <w:rFonts w:cs="Arial"/>
              </w:rPr>
              <w:t>NQ</w:t>
            </w:r>
          </w:p>
        </w:tc>
        <w:tc>
          <w:tcPr>
            <w:tcW w:w="4823" w:type="dxa"/>
            <w:vMerge/>
            <w:tcBorders>
              <w:left w:val="single" w:sz="4" w:space="0" w:color="auto"/>
              <w:bottom w:val="single" w:sz="4" w:space="0" w:color="auto"/>
              <w:right w:val="single" w:sz="4" w:space="0" w:color="auto"/>
            </w:tcBorders>
            <w:shd w:val="clear" w:color="auto" w:fill="FFFFFF"/>
          </w:tcPr>
          <w:p w14:paraId="24C18D72" w14:textId="77777777" w:rsidR="0069005A" w:rsidRPr="006E0A89" w:rsidRDefault="0069005A" w:rsidP="002F427A">
            <w:pPr>
              <w:pStyle w:val="IAPODIMQ"/>
              <w:rPr>
                <w:rFonts w:cs="Arial"/>
              </w:rPr>
            </w:pPr>
          </w:p>
        </w:tc>
      </w:tr>
      <w:tr w:rsidR="0069005A" w:rsidRPr="00651181" w14:paraId="2A4F0CE6" w14:textId="77777777" w:rsidTr="002F427A">
        <w:trPr>
          <w:trHeight w:hRule="exact" w:val="340"/>
        </w:trPr>
        <w:tc>
          <w:tcPr>
            <w:tcW w:w="1848" w:type="dxa"/>
            <w:vMerge/>
            <w:tcBorders>
              <w:bottom w:val="single" w:sz="4" w:space="0" w:color="auto"/>
              <w:right w:val="single" w:sz="4" w:space="0" w:color="auto"/>
            </w:tcBorders>
            <w:shd w:val="clear" w:color="auto" w:fill="FFFFFF"/>
          </w:tcPr>
          <w:p w14:paraId="589E2D03" w14:textId="77777777" w:rsidR="0069005A" w:rsidRPr="006E0A89" w:rsidRDefault="0069005A" w:rsidP="002F427A">
            <w:pPr>
              <w:pStyle w:val="IATableLabel"/>
              <w:rPr>
                <w:rFonts w:cs="Arial"/>
              </w:rPr>
            </w:pPr>
          </w:p>
        </w:tc>
        <w:tc>
          <w:tcPr>
            <w:tcW w:w="1843" w:type="dxa"/>
            <w:vMerge/>
            <w:tcBorders>
              <w:bottom w:val="single" w:sz="4" w:space="0" w:color="auto"/>
              <w:right w:val="single" w:sz="4" w:space="0" w:color="auto"/>
            </w:tcBorders>
            <w:shd w:val="clear" w:color="auto" w:fill="FFFFFF"/>
          </w:tcPr>
          <w:p w14:paraId="4731A747" w14:textId="77777777" w:rsidR="0069005A" w:rsidRPr="006E0A89" w:rsidRDefault="0069005A" w:rsidP="002F427A">
            <w:pPr>
              <w:pStyle w:val="IATableLabel"/>
              <w:rPr>
                <w:rFonts w:cs="Arial"/>
              </w:rPr>
            </w:pPr>
          </w:p>
        </w:tc>
        <w:tc>
          <w:tcPr>
            <w:tcW w:w="1701" w:type="dxa"/>
            <w:vMerge/>
            <w:tcBorders>
              <w:bottom w:val="single" w:sz="4" w:space="0" w:color="auto"/>
              <w:right w:val="single" w:sz="4" w:space="0" w:color="auto"/>
            </w:tcBorders>
            <w:shd w:val="clear" w:color="auto" w:fill="FFFFFF"/>
          </w:tcPr>
          <w:p w14:paraId="56EB2ACE" w14:textId="77777777" w:rsidR="0069005A" w:rsidRPr="006E0A89" w:rsidRDefault="0069005A" w:rsidP="002F427A">
            <w:pPr>
              <w:pStyle w:val="IATableLabel"/>
              <w:rPr>
                <w:rFonts w:cs="Arial"/>
              </w:rPr>
            </w:pPr>
          </w:p>
        </w:tc>
        <w:tc>
          <w:tcPr>
            <w:tcW w:w="4823" w:type="dxa"/>
            <w:tcBorders>
              <w:top w:val="nil"/>
              <w:left w:val="single" w:sz="4" w:space="0" w:color="auto"/>
              <w:bottom w:val="single" w:sz="4" w:space="0" w:color="auto"/>
              <w:right w:val="single" w:sz="4" w:space="0" w:color="auto"/>
            </w:tcBorders>
            <w:shd w:val="clear" w:color="auto" w:fill="FFFFFF"/>
          </w:tcPr>
          <w:p w14:paraId="16D5FCC7" w14:textId="77777777" w:rsidR="0069005A" w:rsidRPr="006E0A89" w:rsidRDefault="0069005A" w:rsidP="002F427A">
            <w:pPr>
              <w:pStyle w:val="IAPODIMQ"/>
              <w:rPr>
                <w:rFonts w:cs="Arial"/>
              </w:rPr>
            </w:pPr>
            <w:r>
              <w:rPr>
                <w:rFonts w:cs="Arial"/>
              </w:rPr>
              <w:t>NA</w:t>
            </w:r>
          </w:p>
        </w:tc>
      </w:tr>
    </w:tbl>
    <w:p w14:paraId="35AEACA5" w14:textId="77777777" w:rsidR="0069005A" w:rsidRPr="006E0A89" w:rsidRDefault="0069005A" w:rsidP="0069005A">
      <w:pPr>
        <w:rPr>
          <w:rFonts w:ascii="Arial" w:hAnsi="Arial" w:cs="Arial"/>
        </w:rPr>
        <w:sectPr w:rsidR="0069005A" w:rsidRPr="006E0A89" w:rsidSect="002F427A">
          <w:headerReference w:type="default" r:id="rId13"/>
          <w:footerReference w:type="default" r:id="rId14"/>
          <w:footnotePr>
            <w:numRestart w:val="eachSect"/>
          </w:footnotePr>
          <w:pgSz w:w="11907" w:h="16840" w:code="9"/>
          <w:pgMar w:top="680" w:right="851" w:bottom="680" w:left="851" w:header="284" w:footer="284" w:gutter="0"/>
          <w:cols w:space="708"/>
          <w:docGrid w:linePitch="360"/>
        </w:sectPr>
      </w:pPr>
    </w:p>
    <w:p w14:paraId="09220EA9" w14:textId="77777777" w:rsidR="0069005A" w:rsidRPr="00B24226" w:rsidRDefault="0069005A" w:rsidP="0069005A">
      <w:pPr>
        <w:pStyle w:val="Heading1"/>
        <w:spacing w:before="0"/>
        <w:rPr>
          <w:rFonts w:ascii="Arial" w:hAnsi="Arial"/>
        </w:rPr>
      </w:pPr>
      <w:bookmarkStart w:id="20" w:name="EvidenceHead"/>
      <w:r w:rsidRPr="00B24226">
        <w:rPr>
          <w:rFonts w:ascii="Arial" w:hAnsi="Arial"/>
        </w:rPr>
        <w:t>Evidence Base</w:t>
      </w:r>
    </w:p>
    <w:bookmarkEnd w:id="20"/>
    <w:p w14:paraId="7A991F44" w14:textId="77777777" w:rsidR="0069005A" w:rsidRPr="00B655C9" w:rsidRDefault="0069005A" w:rsidP="0069005A">
      <w:pPr>
        <w:pStyle w:val="Heading2"/>
        <w:rPr>
          <w:b/>
          <w:sz w:val="28"/>
          <w:szCs w:val="28"/>
        </w:rPr>
      </w:pPr>
      <w:r w:rsidRPr="00B655C9">
        <w:rPr>
          <w:b/>
          <w:sz w:val="28"/>
          <w:szCs w:val="28"/>
        </w:rPr>
        <w:t>A. Background</w:t>
      </w:r>
    </w:p>
    <w:p w14:paraId="5F51648B" w14:textId="77777777" w:rsidR="0069005A" w:rsidRDefault="0069005A" w:rsidP="0069005A">
      <w:pPr>
        <w:pStyle w:val="EBBodyPara"/>
        <w:keepNext/>
      </w:pPr>
      <w:r w:rsidRPr="008A77C4">
        <w:rPr>
          <w:i/>
        </w:rPr>
        <w:t>The Personal Injury Discount Rate</w:t>
      </w:r>
    </w:p>
    <w:p w14:paraId="508B179D" w14:textId="77777777" w:rsidR="0069005A" w:rsidRDefault="0069005A" w:rsidP="0069005A">
      <w:pPr>
        <w:pStyle w:val="EBBodyPara"/>
        <w:keepNext/>
        <w:numPr>
          <w:ilvl w:val="0"/>
          <w:numId w:val="25"/>
        </w:numPr>
        <w:spacing w:before="240"/>
      </w:pPr>
      <w:r w:rsidRPr="00F96CCD">
        <w:t>Under the current legal framework, the P</w:t>
      </w:r>
      <w:r>
        <w:t>ersonal Injury D</w:t>
      </w:r>
      <w:r w:rsidRPr="00F96CCD">
        <w:t xml:space="preserve">iscount </w:t>
      </w:r>
      <w:r>
        <w:t>R</w:t>
      </w:r>
      <w:r w:rsidRPr="00F96CCD">
        <w:t>ate</w:t>
      </w:r>
      <w:r>
        <w:t xml:space="preserve"> (PIDR) </w:t>
      </w:r>
      <w:r w:rsidRPr="00F96CCD">
        <w:t xml:space="preserve">is set by the Lord Chancellor under section 1 of the Damages Act 1996. </w:t>
      </w:r>
      <w:r>
        <w:t xml:space="preserve">The </w:t>
      </w:r>
      <w:r w:rsidR="000F476D">
        <w:t>precise</w:t>
      </w:r>
      <w:r>
        <w:t xml:space="preserve"> principles </w:t>
      </w:r>
      <w:r w:rsidR="000F476D">
        <w:t xml:space="preserve">applied are those </w:t>
      </w:r>
      <w:r>
        <w:t xml:space="preserve">established in case law, in particular </w:t>
      </w:r>
      <w:r w:rsidRPr="00DF6B90">
        <w:rPr>
          <w:i/>
        </w:rPr>
        <w:t xml:space="preserve">Wells v Wells [1999] 1 AC 34. </w:t>
      </w:r>
      <w:r w:rsidDel="0048196C">
        <w:t xml:space="preserve"> </w:t>
      </w:r>
    </w:p>
    <w:p w14:paraId="4A766821" w14:textId="4068A00B" w:rsidR="00914C8A" w:rsidRDefault="0069005A" w:rsidP="0069005A">
      <w:pPr>
        <w:pStyle w:val="EBBodyPara"/>
        <w:keepNext/>
        <w:numPr>
          <w:ilvl w:val="0"/>
          <w:numId w:val="25"/>
        </w:numPr>
        <w:spacing w:before="240"/>
      </w:pPr>
      <w:r w:rsidRPr="00DF6B90">
        <w:t xml:space="preserve">The current legal framework makes clear that claimants </w:t>
      </w:r>
      <w:r w:rsidR="003876A4">
        <w:t xml:space="preserve">in personal injury cases </w:t>
      </w:r>
      <w:r w:rsidRPr="00DF6B90">
        <w:t xml:space="preserve">must be treated as </w:t>
      </w:r>
      <w:r>
        <w:t xml:space="preserve">very </w:t>
      </w:r>
      <w:r w:rsidRPr="00DF6B90">
        <w:t>risk averse investors, reflecting the fact that they may be financially dependent on the lump sum awarded, often for long periods or the duration</w:t>
      </w:r>
      <w:r w:rsidR="006E6A99">
        <w:t>s</w:t>
      </w:r>
      <w:r w:rsidRPr="00DF6B90">
        <w:t xml:space="preserve"> of their </w:t>
      </w:r>
      <w:r w:rsidR="006E6A99">
        <w:t>lives</w:t>
      </w:r>
      <w:r>
        <w:t>.</w:t>
      </w:r>
      <w:r w:rsidRPr="00DF6B90">
        <w:t xml:space="preserve"> </w:t>
      </w:r>
      <w:r w:rsidR="00C47712">
        <w:t xml:space="preserve">Given this, claimants in serious personal injury cases (e.g., people with serious injuries or facing a life of suffering due to the fault and negligence of others) </w:t>
      </w:r>
      <w:r w:rsidR="000B0939">
        <w:t xml:space="preserve">were seen to be, and remain, </w:t>
      </w:r>
      <w:r w:rsidR="00C47712">
        <w:t>different from other</w:t>
      </w:r>
      <w:r w:rsidR="000B0939">
        <w:t>, ordinary,</w:t>
      </w:r>
      <w:r w:rsidR="00C47712">
        <w:t xml:space="preserve"> investors</w:t>
      </w:r>
      <w:r w:rsidR="000B0939">
        <w:t>. This is because</w:t>
      </w:r>
      <w:r w:rsidR="00C47712">
        <w:t xml:space="preserve"> they </w:t>
      </w:r>
      <w:r w:rsidR="000B0939">
        <w:t>are required to invest their settlements to restore and secure their previous financial position rather than as those whose primary motive to invest is to obtain a higher rate of return.</w:t>
      </w:r>
    </w:p>
    <w:p w14:paraId="0315CA31" w14:textId="40C7C251" w:rsidR="0069005A" w:rsidRDefault="0069005A" w:rsidP="0069005A">
      <w:pPr>
        <w:pStyle w:val="EBBodyPara"/>
        <w:keepNext/>
        <w:numPr>
          <w:ilvl w:val="0"/>
          <w:numId w:val="25"/>
        </w:numPr>
        <w:spacing w:before="240"/>
      </w:pPr>
      <w:r w:rsidRPr="00DF6B90">
        <w:t xml:space="preserve">The principles in </w:t>
      </w:r>
      <w:r w:rsidRPr="006319B4">
        <w:rPr>
          <w:i/>
        </w:rPr>
        <w:t>Wells v Wells</w:t>
      </w:r>
      <w:r w:rsidRPr="00DF6B90">
        <w:t xml:space="preserve"> lead to the conclusion that the </w:t>
      </w:r>
      <w:r>
        <w:t>PIDR</w:t>
      </w:r>
      <w:r w:rsidRPr="00DF6B90">
        <w:t xml:space="preserve"> should be based on the investment portfolio that offers the least risk to personal injury claimant investors in protecting an award of damages against inflation and against market risk. A portfolio that contains 100% Index-Linked </w:t>
      </w:r>
      <w:r w:rsidR="008131FC">
        <w:t>Gilts</w:t>
      </w:r>
      <w:r w:rsidRPr="00DF6B90">
        <w:t xml:space="preserve"> (ILGS) </w:t>
      </w:r>
      <w:r w:rsidR="006246D0">
        <w:t xml:space="preserve">was assumed to </w:t>
      </w:r>
      <w:r w:rsidRPr="00DF6B90">
        <w:t>best meet that criterion</w:t>
      </w:r>
      <w:r w:rsidR="005863AB">
        <w:t xml:space="preserve"> at the time </w:t>
      </w:r>
      <w:r w:rsidR="00EB6A44">
        <w:t xml:space="preserve">that the judgement in </w:t>
      </w:r>
      <w:r w:rsidR="005863AB" w:rsidRPr="00EB6A44">
        <w:rPr>
          <w:i/>
        </w:rPr>
        <w:t>Wells</w:t>
      </w:r>
      <w:r w:rsidR="005863AB">
        <w:t xml:space="preserve"> was handed down</w:t>
      </w:r>
      <w:r w:rsidRPr="00DF6B90">
        <w:t>.</w:t>
      </w:r>
      <w:r>
        <w:t xml:space="preserve"> </w:t>
      </w:r>
    </w:p>
    <w:p w14:paraId="75FA5958" w14:textId="77777777" w:rsidR="0069005A" w:rsidRPr="00651181" w:rsidRDefault="0069005A" w:rsidP="0069005A">
      <w:pPr>
        <w:pStyle w:val="EBBodyPara"/>
        <w:keepNext/>
        <w:numPr>
          <w:ilvl w:val="0"/>
          <w:numId w:val="25"/>
        </w:numPr>
        <w:spacing w:before="240"/>
      </w:pPr>
      <w:r w:rsidRPr="00651181">
        <w:t xml:space="preserve">The object of the award of damages set out by the House of Lords in </w:t>
      </w:r>
      <w:hyperlink r:id="rId15" w:history="1">
        <w:r w:rsidRPr="00DF6B90">
          <w:rPr>
            <w:i/>
          </w:rPr>
          <w:t>Wells v Wells</w:t>
        </w:r>
      </w:hyperlink>
      <w:r w:rsidRPr="00651181">
        <w:t xml:space="preserve">, </w:t>
      </w:r>
      <w:r>
        <w:t>by</w:t>
      </w:r>
      <w:r w:rsidRPr="00651181">
        <w:t xml:space="preserve"> Lord Hope of Craighead (page 390A-B) </w:t>
      </w:r>
      <w:r>
        <w:t xml:space="preserve">is </w:t>
      </w:r>
      <w:r w:rsidRPr="00651181">
        <w:t>as follows:</w:t>
      </w:r>
    </w:p>
    <w:p w14:paraId="204270DF" w14:textId="77777777" w:rsidR="0069005A" w:rsidRPr="00B655C9" w:rsidRDefault="0069005A" w:rsidP="0069005A">
      <w:pPr>
        <w:pStyle w:val="Quote"/>
        <w:jc w:val="left"/>
        <w:rPr>
          <w:rFonts w:ascii="Arial" w:hAnsi="Arial" w:cs="Arial"/>
          <w:lang w:eastAsia="en-GB"/>
        </w:rPr>
      </w:pPr>
      <w:r w:rsidRPr="00B655C9">
        <w:rPr>
          <w:rFonts w:ascii="Arial" w:hAnsi="Arial" w:cs="Arial"/>
          <w:lang w:eastAsia="en-GB"/>
        </w:rPr>
        <w:t>“...to place the injured party as nearly as possible in the same financial position he or she would have been in but for the accident. The aim is to award such a sum of money as will amount to no more, and at the same time no less, than the net loss…”</w:t>
      </w:r>
    </w:p>
    <w:p w14:paraId="2FF0D4C8" w14:textId="77777777" w:rsidR="0069005A" w:rsidRPr="008D7FE0" w:rsidRDefault="0069005A" w:rsidP="0069005A">
      <w:pPr>
        <w:pStyle w:val="EBBodyPara"/>
        <w:keepNext/>
        <w:numPr>
          <w:ilvl w:val="0"/>
          <w:numId w:val="25"/>
        </w:numPr>
        <w:spacing w:before="240"/>
      </w:pPr>
      <w:r w:rsidRPr="00651181">
        <w:rPr>
          <w:bCs w:val="0"/>
        </w:rPr>
        <w:t xml:space="preserve">Under these principles, </w:t>
      </w:r>
      <w:r w:rsidR="000934E6">
        <w:rPr>
          <w:bCs w:val="0"/>
        </w:rPr>
        <w:t>any damages</w:t>
      </w:r>
      <w:r w:rsidRPr="00651181">
        <w:rPr>
          <w:bCs w:val="0"/>
        </w:rPr>
        <w:t xml:space="preserve"> should be such that a claimant is not better or worse off, but fully compensated</w:t>
      </w:r>
      <w:r>
        <w:rPr>
          <w:bCs w:val="0"/>
        </w:rPr>
        <w:t xml:space="preserve"> for their losses</w:t>
      </w:r>
      <w:r w:rsidRPr="00651181">
        <w:rPr>
          <w:bCs w:val="0"/>
        </w:rPr>
        <w:t xml:space="preserve">. </w:t>
      </w:r>
      <w:r>
        <w:rPr>
          <w:bCs w:val="0"/>
        </w:rPr>
        <w:t>This is the principle of ‘100 per cent’ or ‘full’ compensation.</w:t>
      </w:r>
    </w:p>
    <w:p w14:paraId="451FD838" w14:textId="77777777" w:rsidR="0069005A" w:rsidRPr="001C0BCC" w:rsidRDefault="0069005A" w:rsidP="0069005A">
      <w:pPr>
        <w:pStyle w:val="EBBodyPara"/>
        <w:keepNext/>
        <w:numPr>
          <w:ilvl w:val="0"/>
          <w:numId w:val="25"/>
        </w:numPr>
        <w:spacing w:before="240"/>
        <w:rPr>
          <w:bCs w:val="0"/>
        </w:rPr>
      </w:pPr>
      <w:r w:rsidRPr="00DF6B90">
        <w:rPr>
          <w:bCs w:val="0"/>
        </w:rPr>
        <w:t xml:space="preserve">Where damages for future loss </w:t>
      </w:r>
      <w:r w:rsidR="00B6737C">
        <w:rPr>
          <w:bCs w:val="0"/>
        </w:rPr>
        <w:t>take</w:t>
      </w:r>
      <w:r w:rsidRPr="00DF6B90">
        <w:rPr>
          <w:bCs w:val="0"/>
        </w:rPr>
        <w:t xml:space="preserve"> the form of a lump sum, that award is adjusted to take account of the effect of the injured person being able to invest the money before the loss or expense for which it is awarded has actually occurred. The </w:t>
      </w:r>
      <w:r w:rsidR="00574BFA">
        <w:rPr>
          <w:bCs w:val="0"/>
        </w:rPr>
        <w:t>adjustment factor is the</w:t>
      </w:r>
      <w:r w:rsidRPr="00DF6B90">
        <w:rPr>
          <w:bCs w:val="0"/>
        </w:rPr>
        <w:t xml:space="preserve"> </w:t>
      </w:r>
      <w:r w:rsidR="00574BFA">
        <w:rPr>
          <w:bCs w:val="0"/>
        </w:rPr>
        <w:t>PIDR which</w:t>
      </w:r>
      <w:r w:rsidRPr="00DF6B90">
        <w:rPr>
          <w:bCs w:val="0"/>
        </w:rPr>
        <w:t xml:space="preserve"> </w:t>
      </w:r>
      <w:r w:rsidR="005863AB">
        <w:rPr>
          <w:bCs w:val="0"/>
        </w:rPr>
        <w:t>should represent</w:t>
      </w:r>
      <w:r w:rsidR="005863AB" w:rsidRPr="00DF6B90">
        <w:rPr>
          <w:bCs w:val="0"/>
        </w:rPr>
        <w:t xml:space="preserve"> </w:t>
      </w:r>
      <w:r w:rsidR="005863AB">
        <w:rPr>
          <w:bCs w:val="0"/>
        </w:rPr>
        <w:t>an</w:t>
      </w:r>
      <w:r w:rsidRPr="00DF6B90">
        <w:rPr>
          <w:bCs w:val="0"/>
        </w:rPr>
        <w:t xml:space="preserve"> </w:t>
      </w:r>
      <w:r w:rsidRPr="00655E31">
        <w:rPr>
          <w:bCs w:val="0"/>
          <w:i/>
        </w:rPr>
        <w:t>appropriate</w:t>
      </w:r>
      <w:r w:rsidRPr="00DF6B90">
        <w:rPr>
          <w:bCs w:val="0"/>
        </w:rPr>
        <w:t xml:space="preserve"> rate of return on investing the award</w:t>
      </w:r>
      <w:r>
        <w:rPr>
          <w:bCs w:val="0"/>
        </w:rPr>
        <w:t xml:space="preserve">. </w:t>
      </w:r>
      <w:r w:rsidR="002D2DC5">
        <w:rPr>
          <w:bCs w:val="0"/>
        </w:rPr>
        <w:t xml:space="preserve">The PIDR </w:t>
      </w:r>
      <w:r>
        <w:rPr>
          <w:bCs w:val="0"/>
        </w:rPr>
        <w:t xml:space="preserve">is applied </w:t>
      </w:r>
      <w:r w:rsidRPr="00DF6B90">
        <w:rPr>
          <w:bCs w:val="0"/>
        </w:rPr>
        <w:t>o</w:t>
      </w:r>
      <w:r>
        <w:rPr>
          <w:bCs w:val="0"/>
        </w:rPr>
        <w:t xml:space="preserve">nce the court has assessed the claimant’s financial losses associated with the injury – principally those relating to reductions in future income and any on-going medical and care expenses. </w:t>
      </w:r>
    </w:p>
    <w:p w14:paraId="71B6B4D5" w14:textId="77777777" w:rsidR="00002509" w:rsidRPr="00002509" w:rsidRDefault="0069005A" w:rsidP="0069005A">
      <w:pPr>
        <w:pStyle w:val="EBBodyPara"/>
        <w:keepNext/>
        <w:numPr>
          <w:ilvl w:val="0"/>
          <w:numId w:val="25"/>
        </w:numPr>
        <w:spacing w:before="240"/>
      </w:pPr>
      <w:r>
        <w:rPr>
          <w:bCs w:val="0"/>
        </w:rPr>
        <w:t xml:space="preserve">The forms of personal injury where the PIDR is most commonly (though not always) applied </w:t>
      </w:r>
      <w:r w:rsidR="003E58C7">
        <w:rPr>
          <w:bCs w:val="0"/>
        </w:rPr>
        <w:t>arise from</w:t>
      </w:r>
      <w:r>
        <w:rPr>
          <w:bCs w:val="0"/>
        </w:rPr>
        <w:t xml:space="preserve"> medical negligence, industrial accidents and road traffic accidents. As these are often instances where liable defendant</w:t>
      </w:r>
      <w:r w:rsidR="006D73C8">
        <w:rPr>
          <w:bCs w:val="0"/>
        </w:rPr>
        <w:t>s</w:t>
      </w:r>
      <w:r>
        <w:rPr>
          <w:bCs w:val="0"/>
        </w:rPr>
        <w:t xml:space="preserve"> will hold insurance, any lump sum </w:t>
      </w:r>
      <w:r w:rsidR="006E6A99">
        <w:rPr>
          <w:bCs w:val="0"/>
        </w:rPr>
        <w:t xml:space="preserve">will ultimately be </w:t>
      </w:r>
      <w:r>
        <w:rPr>
          <w:bCs w:val="0"/>
        </w:rPr>
        <w:t>recouped from insurance premiums payable by all policy holders</w:t>
      </w:r>
      <w:r w:rsidR="00D81F91">
        <w:rPr>
          <w:bCs w:val="0"/>
        </w:rPr>
        <w:t>.</w:t>
      </w:r>
      <w:r>
        <w:rPr>
          <w:bCs w:val="0"/>
        </w:rPr>
        <w:t xml:space="preserve"> </w:t>
      </w:r>
    </w:p>
    <w:p w14:paraId="09443D14" w14:textId="145A266A" w:rsidR="0069005A" w:rsidRPr="00F2378C" w:rsidRDefault="0069005A" w:rsidP="0069005A">
      <w:pPr>
        <w:pStyle w:val="EBBodyPara"/>
        <w:keepNext/>
        <w:numPr>
          <w:ilvl w:val="0"/>
          <w:numId w:val="25"/>
        </w:numPr>
        <w:spacing w:before="240"/>
      </w:pPr>
      <w:r>
        <w:rPr>
          <w:bCs w:val="0"/>
        </w:rPr>
        <w:t xml:space="preserve">In many cases of clinical negligence, costs will also fall on the National Health Service (NHS) (and similar services in the devolved administrations), medical defence </w:t>
      </w:r>
      <w:r w:rsidR="00A80F38">
        <w:rPr>
          <w:bCs w:val="0"/>
        </w:rPr>
        <w:t>organisations</w:t>
      </w:r>
      <w:r>
        <w:rPr>
          <w:bCs w:val="0"/>
        </w:rPr>
        <w:t xml:space="preserve"> and, ultimately, the taxpayer. A higher PIDR implies lower costs to insurance policy holders and the taxpayer because lump sum awards are discounted more under a higher PIDR (i.e. awards are smaller for any given heads of claim</w:t>
      </w:r>
      <w:r w:rsidR="005863AB">
        <w:rPr>
          <w:bCs w:val="0"/>
        </w:rPr>
        <w:t xml:space="preserve"> that include future loss</w:t>
      </w:r>
      <w:r w:rsidR="003C4799">
        <w:rPr>
          <w:bCs w:val="0"/>
        </w:rPr>
        <w:t>es</w:t>
      </w:r>
      <w:r w:rsidR="005863AB">
        <w:rPr>
          <w:bCs w:val="0"/>
        </w:rPr>
        <w:t xml:space="preserve"> such as future care costs or loss of earnings</w:t>
      </w:r>
      <w:r>
        <w:rPr>
          <w:bCs w:val="0"/>
        </w:rPr>
        <w:t xml:space="preserve">). </w:t>
      </w:r>
    </w:p>
    <w:p w14:paraId="19E7D8BF" w14:textId="77777777" w:rsidR="0069005A" w:rsidRPr="008D7FE0" w:rsidRDefault="0069005A" w:rsidP="0069005A">
      <w:pPr>
        <w:pStyle w:val="EBBodyPara"/>
        <w:keepNext/>
        <w:spacing w:before="240"/>
        <w:ind w:left="360"/>
      </w:pPr>
      <w:r w:rsidRPr="008A77C4">
        <w:rPr>
          <w:bCs w:val="0"/>
          <w:i/>
        </w:rPr>
        <w:t xml:space="preserve">Issues </w:t>
      </w:r>
      <w:r>
        <w:rPr>
          <w:bCs w:val="0"/>
          <w:i/>
        </w:rPr>
        <w:t>w</w:t>
      </w:r>
      <w:r w:rsidRPr="008A77C4">
        <w:rPr>
          <w:bCs w:val="0"/>
          <w:i/>
        </w:rPr>
        <w:t>ith the Current Legal Framework</w:t>
      </w:r>
    </w:p>
    <w:p w14:paraId="6E72DEDE" w14:textId="77777777" w:rsidR="0069005A" w:rsidRPr="001C0BCC" w:rsidRDefault="00997C9E" w:rsidP="0069005A">
      <w:pPr>
        <w:pStyle w:val="EBBodyPara"/>
        <w:keepNext/>
        <w:numPr>
          <w:ilvl w:val="0"/>
          <w:numId w:val="25"/>
        </w:numPr>
        <w:spacing w:before="240"/>
        <w:rPr>
          <w:bCs w:val="0"/>
        </w:rPr>
      </w:pPr>
      <w:r>
        <w:rPr>
          <w:bCs w:val="0"/>
        </w:rPr>
        <w:t>As described above, t</w:t>
      </w:r>
      <w:r w:rsidR="0069005A">
        <w:rPr>
          <w:bCs w:val="0"/>
        </w:rPr>
        <w:t>he PIDR is currently set with reference to the return on ILGS</w:t>
      </w:r>
      <w:r w:rsidR="00C33C19">
        <w:rPr>
          <w:bCs w:val="0"/>
        </w:rPr>
        <w:t xml:space="preserve">. </w:t>
      </w:r>
      <w:r w:rsidR="002B39B7">
        <w:rPr>
          <w:bCs w:val="0"/>
        </w:rPr>
        <w:t>However, e</w:t>
      </w:r>
      <w:r w:rsidR="00C33C19">
        <w:rPr>
          <w:bCs w:val="0"/>
        </w:rPr>
        <w:t xml:space="preserve">vidence </w:t>
      </w:r>
      <w:r w:rsidR="002B39B7">
        <w:rPr>
          <w:bCs w:val="0"/>
        </w:rPr>
        <w:t>gathered during</w:t>
      </w:r>
      <w:r w:rsidR="00C33C19">
        <w:rPr>
          <w:bCs w:val="0"/>
        </w:rPr>
        <w:t xml:space="preserve"> the </w:t>
      </w:r>
      <w:r w:rsidR="002B39B7">
        <w:rPr>
          <w:bCs w:val="0"/>
        </w:rPr>
        <w:t xml:space="preserve">recent </w:t>
      </w:r>
      <w:r w:rsidR="00C33C19">
        <w:rPr>
          <w:bCs w:val="0"/>
        </w:rPr>
        <w:t xml:space="preserve">consultation </w:t>
      </w:r>
      <w:r w:rsidR="002B39B7">
        <w:rPr>
          <w:bCs w:val="0"/>
        </w:rPr>
        <w:t xml:space="preserve">(see below) </w:t>
      </w:r>
      <w:r w:rsidR="00C33C19">
        <w:rPr>
          <w:bCs w:val="0"/>
        </w:rPr>
        <w:t xml:space="preserve">has shown that </w:t>
      </w:r>
      <w:r w:rsidR="0069005A">
        <w:rPr>
          <w:bCs w:val="0"/>
        </w:rPr>
        <w:t xml:space="preserve">this return does not </w:t>
      </w:r>
      <w:r w:rsidR="00C33C19">
        <w:rPr>
          <w:bCs w:val="0"/>
        </w:rPr>
        <w:t xml:space="preserve">reflect </w:t>
      </w:r>
      <w:r w:rsidR="001C2C31">
        <w:rPr>
          <w:bCs w:val="0"/>
        </w:rPr>
        <w:t xml:space="preserve">the investments claimants </w:t>
      </w:r>
      <w:r w:rsidR="00320755">
        <w:rPr>
          <w:bCs w:val="0"/>
        </w:rPr>
        <w:t xml:space="preserve">actually </w:t>
      </w:r>
      <w:r w:rsidR="001C2C31">
        <w:rPr>
          <w:bCs w:val="0"/>
        </w:rPr>
        <w:t>make or are advised to make</w:t>
      </w:r>
      <w:r w:rsidR="0069005A">
        <w:rPr>
          <w:bCs w:val="0"/>
        </w:rPr>
        <w:t xml:space="preserve">. This gives rise to concerns that the assumption that </w:t>
      </w:r>
      <w:r w:rsidR="006D73C8">
        <w:rPr>
          <w:bCs w:val="0"/>
        </w:rPr>
        <w:t xml:space="preserve">treating </w:t>
      </w:r>
      <w:r w:rsidR="0069005A">
        <w:rPr>
          <w:bCs w:val="0"/>
        </w:rPr>
        <w:t xml:space="preserve">all claimants </w:t>
      </w:r>
      <w:r w:rsidR="0069005A" w:rsidRPr="001B3B56">
        <w:rPr>
          <w:bCs w:val="0"/>
        </w:rPr>
        <w:t>as</w:t>
      </w:r>
      <w:r w:rsidR="0069005A">
        <w:rPr>
          <w:bCs w:val="0"/>
        </w:rPr>
        <w:t xml:space="preserve"> very</w:t>
      </w:r>
      <w:r w:rsidR="0069005A" w:rsidRPr="001B3B56">
        <w:rPr>
          <w:bCs w:val="0"/>
        </w:rPr>
        <w:t xml:space="preserve"> risk averse investors</w:t>
      </w:r>
      <w:r w:rsidR="0069005A">
        <w:rPr>
          <w:bCs w:val="0"/>
        </w:rPr>
        <w:t xml:space="preserve"> may not always be appropriate</w:t>
      </w:r>
      <w:r w:rsidR="00917979">
        <w:rPr>
          <w:bCs w:val="0"/>
        </w:rPr>
        <w:t>.</w:t>
      </w:r>
      <w:r w:rsidR="0069005A">
        <w:rPr>
          <w:bCs w:val="0"/>
        </w:rPr>
        <w:t xml:space="preserve"> If so, the principles established in </w:t>
      </w:r>
      <w:r w:rsidR="0069005A" w:rsidRPr="006319B4">
        <w:rPr>
          <w:bCs w:val="0"/>
          <w:i/>
        </w:rPr>
        <w:t>Wells v Wells</w:t>
      </w:r>
      <w:r w:rsidR="0069005A">
        <w:rPr>
          <w:bCs w:val="0"/>
        </w:rPr>
        <w:t xml:space="preserve"> would lead to the award of lump sum</w:t>
      </w:r>
      <w:r w:rsidR="006D73C8">
        <w:rPr>
          <w:bCs w:val="0"/>
        </w:rPr>
        <w:t>s</w:t>
      </w:r>
      <w:r w:rsidR="0069005A">
        <w:rPr>
          <w:bCs w:val="0"/>
        </w:rPr>
        <w:t xml:space="preserve"> which would over-compensate such claimants.</w:t>
      </w:r>
    </w:p>
    <w:p w14:paraId="47DCCF6D" w14:textId="19B0044F" w:rsidR="0069005A" w:rsidRDefault="0069005A" w:rsidP="0069005A">
      <w:pPr>
        <w:pStyle w:val="EBBodyPara"/>
        <w:keepNext/>
        <w:numPr>
          <w:ilvl w:val="0"/>
          <w:numId w:val="25"/>
        </w:numPr>
        <w:spacing w:before="240"/>
      </w:pPr>
      <w:r>
        <w:t xml:space="preserve">In addition, </w:t>
      </w:r>
      <w:r w:rsidR="00C33C19">
        <w:t>c</w:t>
      </w:r>
      <w:r>
        <w:t>laimant</w:t>
      </w:r>
      <w:r w:rsidR="00C33C19">
        <w:t xml:space="preserve">s will, in many cases, have the option of </w:t>
      </w:r>
      <w:r w:rsidR="001E021C">
        <w:t>see</w:t>
      </w:r>
      <w:r w:rsidR="00C33C19">
        <w:t xml:space="preserve">king </w:t>
      </w:r>
      <w:r>
        <w:t>a periodic</w:t>
      </w:r>
      <w:r w:rsidR="00E2134A">
        <w:t>al</w:t>
      </w:r>
      <w:r>
        <w:t xml:space="preserve"> payment order (PPO) instead of a lump sum. PPOs</w:t>
      </w:r>
      <w:r>
        <w:rPr>
          <w:bCs w:val="0"/>
        </w:rPr>
        <w:t xml:space="preserve"> </w:t>
      </w:r>
      <w:r w:rsidRPr="000D0091">
        <w:rPr>
          <w:bCs w:val="0"/>
        </w:rPr>
        <w:t>are orders of the court made under section 2 of the Damages Act 1996 that specif</w:t>
      </w:r>
      <w:r>
        <w:rPr>
          <w:bCs w:val="0"/>
        </w:rPr>
        <w:t>y that</w:t>
      </w:r>
      <w:r w:rsidRPr="000D0091">
        <w:rPr>
          <w:bCs w:val="0"/>
        </w:rPr>
        <w:t xml:space="preserve"> payments be made by the defendant to the claimant at fixed intervals over a period of time</w:t>
      </w:r>
      <w:r>
        <w:rPr>
          <w:rStyle w:val="FootnoteReference"/>
          <w:bCs w:val="0"/>
        </w:rPr>
        <w:footnoteReference w:id="2"/>
      </w:r>
      <w:r w:rsidRPr="009F2C6A">
        <w:rPr>
          <w:bCs w:val="0"/>
        </w:rPr>
        <w:t xml:space="preserve">. </w:t>
      </w:r>
      <w:r w:rsidR="00273A80">
        <w:rPr>
          <w:bCs w:val="0"/>
        </w:rPr>
        <w:t xml:space="preserve"> </w:t>
      </w:r>
      <w:r>
        <w:t>A PPO involves the regular payment of the assessed costs of the injury for the remainder of the claimant’s life or the expected duration of the injury (as appropriate)</w:t>
      </w:r>
      <w:r w:rsidR="00C33C19">
        <w:t xml:space="preserve"> and is</w:t>
      </w:r>
      <w:r w:rsidR="001C2C31">
        <w:t>,</w:t>
      </w:r>
      <w:r w:rsidR="00C33C19">
        <w:t xml:space="preserve"> therefore</w:t>
      </w:r>
      <w:r w:rsidR="001C2C31">
        <w:t>,</w:t>
      </w:r>
      <w:r w:rsidR="00C33C19">
        <w:t xml:space="preserve"> not subject to the </w:t>
      </w:r>
      <w:r w:rsidR="005D1016">
        <w:t>PIDR</w:t>
      </w:r>
      <w:r>
        <w:t xml:space="preserve">. Where </w:t>
      </w:r>
      <w:r w:rsidR="002C4272">
        <w:t xml:space="preserve">a </w:t>
      </w:r>
      <w:r>
        <w:t xml:space="preserve">PPO </w:t>
      </w:r>
      <w:r w:rsidR="002C4272">
        <w:t>is</w:t>
      </w:r>
      <w:r>
        <w:t xml:space="preserve"> available</w:t>
      </w:r>
      <w:r w:rsidR="00530052">
        <w:t xml:space="preserve">, </w:t>
      </w:r>
      <w:r w:rsidR="00C33C19">
        <w:t xml:space="preserve">claimants have access to an income stream which is not subject to any investment risk. </w:t>
      </w:r>
    </w:p>
    <w:p w14:paraId="7D0E6E46" w14:textId="77777777" w:rsidR="0069005A" w:rsidRPr="00485FB6" w:rsidRDefault="0069005A">
      <w:pPr>
        <w:pStyle w:val="EBBodyPara"/>
        <w:keepNext/>
        <w:numPr>
          <w:ilvl w:val="0"/>
          <w:numId w:val="25"/>
        </w:numPr>
        <w:spacing w:before="240"/>
      </w:pPr>
      <w:r>
        <w:t>In addition, t</w:t>
      </w:r>
      <w:r w:rsidRPr="00DC036C">
        <w:t>here is currently n</w:t>
      </w:r>
      <w:r w:rsidRPr="003876A4">
        <w:t xml:space="preserve">o set frequency for how often the PIDR should be reviewed, aside from the power the Lord Chancellor has to conduct a review from time to time. This creates uncertainty and </w:t>
      </w:r>
      <w:r w:rsidR="001C2C31">
        <w:t>can mean</w:t>
      </w:r>
      <w:r w:rsidR="001C2C31" w:rsidRPr="003876A4">
        <w:t xml:space="preserve"> </w:t>
      </w:r>
      <w:r w:rsidRPr="003876A4">
        <w:t>that the PIDR</w:t>
      </w:r>
      <w:r w:rsidR="0082177D">
        <w:t xml:space="preserve"> </w:t>
      </w:r>
      <w:r w:rsidR="00320755">
        <w:t>is subject to</w:t>
      </w:r>
      <w:r w:rsidR="0082177D">
        <w:t xml:space="preserve"> relatively large movement each </w:t>
      </w:r>
      <w:r w:rsidR="00320755">
        <w:t xml:space="preserve">time it is </w:t>
      </w:r>
      <w:r w:rsidR="0082177D">
        <w:t>set</w:t>
      </w:r>
      <w:r w:rsidRPr="003876A4">
        <w:t xml:space="preserve">. Establishing rules in relation to the review frequency </w:t>
      </w:r>
      <w:r w:rsidR="0082177D">
        <w:t>will</w:t>
      </w:r>
      <w:r w:rsidRPr="003876A4">
        <w:t xml:space="preserve"> provide clarity and increase certainty</w:t>
      </w:r>
      <w:r w:rsidR="00320755">
        <w:t xml:space="preserve"> to all those involved in personal injury claims</w:t>
      </w:r>
      <w:r w:rsidRPr="003876A4">
        <w:t>.</w:t>
      </w:r>
      <w:r w:rsidR="003876A4">
        <w:rPr>
          <w:bCs w:val="0"/>
        </w:rPr>
        <w:t xml:space="preserve"> </w:t>
      </w:r>
      <w:r w:rsidRPr="003876A4">
        <w:rPr>
          <w:bCs w:val="0"/>
        </w:rPr>
        <w:t xml:space="preserve">It may also </w:t>
      </w:r>
      <w:r w:rsidR="006C2A7D">
        <w:rPr>
          <w:bCs w:val="0"/>
        </w:rPr>
        <w:t xml:space="preserve">provide a </w:t>
      </w:r>
      <w:r w:rsidR="00320755">
        <w:rPr>
          <w:bCs w:val="0"/>
        </w:rPr>
        <w:t xml:space="preserve">more </w:t>
      </w:r>
      <w:r w:rsidR="006C2A7D" w:rsidRPr="00954411">
        <w:t>transparent and predictable framework</w:t>
      </w:r>
      <w:r w:rsidR="006C2A7D" w:rsidRPr="006C2A7D">
        <w:t xml:space="preserve"> </w:t>
      </w:r>
      <w:r w:rsidRPr="003876A4">
        <w:rPr>
          <w:bCs w:val="0"/>
        </w:rPr>
        <w:t xml:space="preserve">for the </w:t>
      </w:r>
      <w:r w:rsidR="00F32055">
        <w:rPr>
          <w:bCs w:val="0"/>
        </w:rPr>
        <w:t>PIDR</w:t>
      </w:r>
      <w:r w:rsidRPr="003876A4">
        <w:rPr>
          <w:bCs w:val="0"/>
        </w:rPr>
        <w:t xml:space="preserve"> to be set on the basis of a wider range of expert advice than </w:t>
      </w:r>
      <w:r w:rsidR="00254C57">
        <w:rPr>
          <w:bCs w:val="0"/>
        </w:rPr>
        <w:t xml:space="preserve">is </w:t>
      </w:r>
      <w:r w:rsidRPr="003876A4">
        <w:rPr>
          <w:bCs w:val="0"/>
        </w:rPr>
        <w:t>currently taken.</w:t>
      </w:r>
    </w:p>
    <w:p w14:paraId="2DA95FED" w14:textId="77777777" w:rsidR="00CA3C98" w:rsidRPr="00F54332" w:rsidRDefault="00CA3C98" w:rsidP="00F54332">
      <w:pPr>
        <w:pStyle w:val="EBBodyPara"/>
        <w:keepNext/>
        <w:spacing w:before="240"/>
        <w:rPr>
          <w:i/>
        </w:rPr>
      </w:pPr>
      <w:r w:rsidRPr="00F54332">
        <w:rPr>
          <w:bCs w:val="0"/>
          <w:i/>
        </w:rPr>
        <w:t>Consultation</w:t>
      </w:r>
    </w:p>
    <w:p w14:paraId="55D1E189" w14:textId="6EF27384" w:rsidR="004E3FF5" w:rsidRPr="003876A4" w:rsidRDefault="0069005A" w:rsidP="00485FB6">
      <w:pPr>
        <w:pStyle w:val="EBBodyPara"/>
        <w:keepNext/>
        <w:numPr>
          <w:ilvl w:val="0"/>
          <w:numId w:val="25"/>
        </w:numPr>
        <w:spacing w:before="240"/>
      </w:pPr>
      <w:r w:rsidRPr="00485FB6">
        <w:rPr>
          <w:bCs w:val="0"/>
        </w:rPr>
        <w:t xml:space="preserve">Given these concerns, the Government </w:t>
      </w:r>
      <w:r w:rsidRPr="00656648">
        <w:rPr>
          <w:bCs w:val="0"/>
        </w:rPr>
        <w:t>consult</w:t>
      </w:r>
      <w:r w:rsidR="00CA3C98" w:rsidRPr="00656648">
        <w:rPr>
          <w:bCs w:val="0"/>
        </w:rPr>
        <w:t>ed</w:t>
      </w:r>
      <w:r w:rsidRPr="00656648">
        <w:rPr>
          <w:bCs w:val="0"/>
        </w:rPr>
        <w:t xml:space="preserve"> on the legal framework within which the PIDR is set</w:t>
      </w:r>
      <w:r w:rsidR="00CA3C98" w:rsidRPr="00656648">
        <w:rPr>
          <w:bCs w:val="0"/>
        </w:rPr>
        <w:t>. Th</w:t>
      </w:r>
      <w:r w:rsidR="00CD4B0C">
        <w:rPr>
          <w:bCs w:val="0"/>
        </w:rPr>
        <w:t>e</w:t>
      </w:r>
      <w:r w:rsidR="00CA3C98" w:rsidRPr="00656648">
        <w:rPr>
          <w:bCs w:val="0"/>
        </w:rPr>
        <w:t xml:space="preserve"> consultation </w:t>
      </w:r>
      <w:r w:rsidR="00CD4B0C">
        <w:rPr>
          <w:bCs w:val="0"/>
        </w:rPr>
        <w:t xml:space="preserve">commenced on the 30 March and </w:t>
      </w:r>
      <w:r w:rsidR="00CA3C98" w:rsidRPr="00656648">
        <w:rPr>
          <w:bCs w:val="0"/>
        </w:rPr>
        <w:t>closed on the 11 May 2017 and there were 1</w:t>
      </w:r>
      <w:r w:rsidR="0028748A">
        <w:rPr>
          <w:bCs w:val="0"/>
        </w:rPr>
        <w:t>35</w:t>
      </w:r>
      <w:r w:rsidR="00CA3C98" w:rsidRPr="00656648">
        <w:rPr>
          <w:bCs w:val="0"/>
        </w:rPr>
        <w:t xml:space="preserve"> responses</w:t>
      </w:r>
      <w:r w:rsidRPr="00656648">
        <w:rPr>
          <w:bCs w:val="0"/>
        </w:rPr>
        <w:t xml:space="preserve">. </w:t>
      </w:r>
      <w:r w:rsidR="00CA3C98" w:rsidRPr="00656648">
        <w:rPr>
          <w:bCs w:val="0"/>
        </w:rPr>
        <w:t>The bulk of these responses were from individuals and organisations representing claimants (mainly lawyers)</w:t>
      </w:r>
      <w:r w:rsidR="004E3FF5">
        <w:rPr>
          <w:bCs w:val="0"/>
        </w:rPr>
        <w:t>,</w:t>
      </w:r>
      <w:r w:rsidR="00CA3C98" w:rsidRPr="00656648">
        <w:rPr>
          <w:bCs w:val="0"/>
        </w:rPr>
        <w:t xml:space="preserve"> defendants (mainly insur</w:t>
      </w:r>
      <w:r w:rsidR="004E3FF5">
        <w:rPr>
          <w:bCs w:val="0"/>
        </w:rPr>
        <w:t>ers</w:t>
      </w:r>
      <w:r w:rsidR="00CA3C98" w:rsidRPr="00656648">
        <w:rPr>
          <w:bCs w:val="0"/>
        </w:rPr>
        <w:t xml:space="preserve">) </w:t>
      </w:r>
      <w:r w:rsidR="004E3FF5">
        <w:rPr>
          <w:bCs w:val="0"/>
        </w:rPr>
        <w:t xml:space="preserve">and </w:t>
      </w:r>
      <w:r w:rsidR="00CA3C98" w:rsidRPr="00656648">
        <w:rPr>
          <w:bCs w:val="0"/>
        </w:rPr>
        <w:t>other interested groups such as actuaries</w:t>
      </w:r>
      <w:r w:rsidR="000A32E1">
        <w:rPr>
          <w:bCs w:val="0"/>
        </w:rPr>
        <w:t>, legal bodies</w:t>
      </w:r>
      <w:r w:rsidR="00656648" w:rsidRPr="00656648">
        <w:rPr>
          <w:bCs w:val="0"/>
        </w:rPr>
        <w:t xml:space="preserve"> and financial advisors</w:t>
      </w:r>
      <w:r w:rsidR="00CA3C98" w:rsidRPr="00656648">
        <w:rPr>
          <w:bCs w:val="0"/>
        </w:rPr>
        <w:t xml:space="preserve">. </w:t>
      </w:r>
    </w:p>
    <w:p w14:paraId="6FC627D2" w14:textId="77777777" w:rsidR="002805CB" w:rsidRPr="009C64EE" w:rsidRDefault="00CA3C98" w:rsidP="00485FB6">
      <w:pPr>
        <w:pStyle w:val="EBBodyPara"/>
        <w:keepNext/>
        <w:numPr>
          <w:ilvl w:val="0"/>
          <w:numId w:val="25"/>
        </w:numPr>
        <w:spacing w:before="240"/>
      </w:pPr>
      <w:r w:rsidRPr="00656648">
        <w:rPr>
          <w:bCs w:val="0"/>
        </w:rPr>
        <w:t>As part of the consultation</w:t>
      </w:r>
      <w:r w:rsidR="00656648">
        <w:rPr>
          <w:bCs w:val="0"/>
        </w:rPr>
        <w:t xml:space="preserve"> </w:t>
      </w:r>
      <w:r w:rsidRPr="00485FB6">
        <w:rPr>
          <w:bCs w:val="0"/>
        </w:rPr>
        <w:t xml:space="preserve">respondents were asked </w:t>
      </w:r>
      <w:r w:rsidR="00273A80">
        <w:rPr>
          <w:bCs w:val="0"/>
        </w:rPr>
        <w:t xml:space="preserve">to </w:t>
      </w:r>
      <w:r w:rsidR="001F64F2">
        <w:rPr>
          <w:bCs w:val="0"/>
        </w:rPr>
        <w:t>give their views concerning</w:t>
      </w:r>
      <w:r w:rsidR="00F32055">
        <w:rPr>
          <w:bCs w:val="0"/>
        </w:rPr>
        <w:t>:</w:t>
      </w:r>
      <w:r w:rsidR="001F64F2">
        <w:rPr>
          <w:bCs w:val="0"/>
        </w:rPr>
        <w:t xml:space="preserve"> </w:t>
      </w:r>
    </w:p>
    <w:p w14:paraId="1FF2A870" w14:textId="77777777" w:rsidR="00CA3C98" w:rsidRPr="009C64EE" w:rsidRDefault="005108DB" w:rsidP="00F54332">
      <w:pPr>
        <w:pStyle w:val="EBBodyPara"/>
        <w:keepNext/>
        <w:numPr>
          <w:ilvl w:val="0"/>
          <w:numId w:val="31"/>
        </w:numPr>
        <w:spacing w:before="240"/>
      </w:pPr>
      <w:r>
        <w:rPr>
          <w:bCs w:val="0"/>
        </w:rPr>
        <w:t>T</w:t>
      </w:r>
      <w:r w:rsidR="001F64F2">
        <w:rPr>
          <w:bCs w:val="0"/>
        </w:rPr>
        <w:t xml:space="preserve">he appropriate risk appetite to be assumed </w:t>
      </w:r>
      <w:r w:rsidR="001C2C31">
        <w:rPr>
          <w:bCs w:val="0"/>
        </w:rPr>
        <w:t>to apply for</w:t>
      </w:r>
      <w:r w:rsidR="001F64F2">
        <w:rPr>
          <w:bCs w:val="0"/>
        </w:rPr>
        <w:t xml:space="preserve"> personal injury claimants, the makeup of any investment portfolios which they believed would be appropriate for such an investor, and </w:t>
      </w:r>
      <w:r w:rsidR="00EF7D80">
        <w:rPr>
          <w:bCs w:val="0"/>
        </w:rPr>
        <w:t xml:space="preserve">about </w:t>
      </w:r>
      <w:r w:rsidR="00CA3C98" w:rsidRPr="00485FB6">
        <w:rPr>
          <w:bCs w:val="0"/>
        </w:rPr>
        <w:t xml:space="preserve">information </w:t>
      </w:r>
      <w:r w:rsidR="00EF7D80">
        <w:rPr>
          <w:bCs w:val="0"/>
        </w:rPr>
        <w:t xml:space="preserve">they might have </w:t>
      </w:r>
      <w:r w:rsidR="00CA3C98" w:rsidRPr="00485FB6">
        <w:rPr>
          <w:bCs w:val="0"/>
        </w:rPr>
        <w:t xml:space="preserve">about how claimants </w:t>
      </w:r>
      <w:r w:rsidR="00CA3C98" w:rsidRPr="00656648">
        <w:rPr>
          <w:bCs w:val="0"/>
        </w:rPr>
        <w:t>invest their awards.</w:t>
      </w:r>
    </w:p>
    <w:p w14:paraId="3B34A1FC" w14:textId="77777777" w:rsidR="002805CB" w:rsidRPr="009C64EE" w:rsidRDefault="002805CB" w:rsidP="00F54332">
      <w:pPr>
        <w:pStyle w:val="EBBodyPara"/>
        <w:keepNext/>
        <w:numPr>
          <w:ilvl w:val="0"/>
          <w:numId w:val="31"/>
        </w:numPr>
        <w:spacing w:before="240"/>
      </w:pPr>
      <w:r>
        <w:rPr>
          <w:bCs w:val="0"/>
        </w:rPr>
        <w:t xml:space="preserve">Who should set the PIDR; </w:t>
      </w:r>
    </w:p>
    <w:p w14:paraId="6D371D75" w14:textId="77777777" w:rsidR="002805CB" w:rsidRPr="007565D9" w:rsidRDefault="002805CB" w:rsidP="00F54332">
      <w:pPr>
        <w:pStyle w:val="EBBodyPara"/>
        <w:keepNext/>
        <w:numPr>
          <w:ilvl w:val="0"/>
          <w:numId w:val="31"/>
        </w:numPr>
        <w:spacing w:before="240"/>
      </w:pPr>
      <w:r>
        <w:rPr>
          <w:bCs w:val="0"/>
        </w:rPr>
        <w:t>The frequency with which the rate should be reviewed</w:t>
      </w:r>
      <w:r w:rsidR="00254C57">
        <w:rPr>
          <w:bCs w:val="0"/>
        </w:rPr>
        <w:t>; and</w:t>
      </w:r>
    </w:p>
    <w:p w14:paraId="7671F455" w14:textId="77777777" w:rsidR="007565D9" w:rsidRPr="003876A4" w:rsidRDefault="007565D9" w:rsidP="00F54332">
      <w:pPr>
        <w:pStyle w:val="EBBodyPara"/>
        <w:keepNext/>
        <w:numPr>
          <w:ilvl w:val="0"/>
          <w:numId w:val="31"/>
        </w:numPr>
        <w:spacing w:before="240"/>
      </w:pPr>
      <w:r>
        <w:t xml:space="preserve">Whether the current legal framework with regard to PPOs </w:t>
      </w:r>
      <w:r w:rsidR="001C2C31">
        <w:t xml:space="preserve">is </w:t>
      </w:r>
      <w:r>
        <w:t xml:space="preserve">appropriate. </w:t>
      </w:r>
    </w:p>
    <w:p w14:paraId="0CB75133" w14:textId="77777777" w:rsidR="001F64F2" w:rsidRPr="009C64EE" w:rsidRDefault="001F64F2" w:rsidP="00485FB6">
      <w:pPr>
        <w:pStyle w:val="EBBodyPara"/>
        <w:keepNext/>
        <w:numPr>
          <w:ilvl w:val="0"/>
          <w:numId w:val="25"/>
        </w:numPr>
        <w:spacing w:before="240"/>
      </w:pPr>
      <w:r>
        <w:rPr>
          <w:bCs w:val="0"/>
        </w:rPr>
        <w:t xml:space="preserve">In terms of responses, the largest groups of respondents </w:t>
      </w:r>
      <w:r w:rsidR="002805CB">
        <w:rPr>
          <w:bCs w:val="0"/>
        </w:rPr>
        <w:t xml:space="preserve">(51 responses mainly from insurers and their advisors) </w:t>
      </w:r>
      <w:r>
        <w:rPr>
          <w:bCs w:val="0"/>
        </w:rPr>
        <w:t>suggested that claimants be assumed to be ‘low risk’ investors (i.e., between ‘very low risk’ and ‘ordinary prudent’ investors)</w:t>
      </w:r>
      <w:r w:rsidR="002805CB">
        <w:rPr>
          <w:bCs w:val="0"/>
        </w:rPr>
        <w:t xml:space="preserve"> while 41 responses favoured retaining the </w:t>
      </w:r>
      <w:r w:rsidR="002805CB" w:rsidRPr="00F54332">
        <w:rPr>
          <w:bCs w:val="0"/>
          <w:i/>
        </w:rPr>
        <w:t>Wells v Wells</w:t>
      </w:r>
      <w:r w:rsidR="002805CB">
        <w:rPr>
          <w:bCs w:val="0"/>
        </w:rPr>
        <w:t xml:space="preserve"> assumption of ‘very low risk’</w:t>
      </w:r>
      <w:r>
        <w:rPr>
          <w:bCs w:val="0"/>
        </w:rPr>
        <w:t xml:space="preserve">. </w:t>
      </w:r>
      <w:r w:rsidR="002805CB">
        <w:rPr>
          <w:bCs w:val="0"/>
        </w:rPr>
        <w:t xml:space="preserve">Among those who favoured it, a ‘low risk’ </w:t>
      </w:r>
      <w:r>
        <w:rPr>
          <w:bCs w:val="0"/>
        </w:rPr>
        <w:t>appetite was</w:t>
      </w:r>
      <w:r w:rsidR="008B442A">
        <w:rPr>
          <w:bCs w:val="0"/>
        </w:rPr>
        <w:t xml:space="preserve"> </w:t>
      </w:r>
      <w:r w:rsidR="002805CB">
        <w:rPr>
          <w:bCs w:val="0"/>
        </w:rPr>
        <w:t xml:space="preserve">generally </w:t>
      </w:r>
      <w:r w:rsidR="008B442A">
        <w:rPr>
          <w:bCs w:val="0"/>
        </w:rPr>
        <w:t xml:space="preserve">held to be consistent with investing in a ‘mixed portfolio’ of assets which, in addition to ILGS, </w:t>
      </w:r>
      <w:r w:rsidR="002805CB">
        <w:rPr>
          <w:bCs w:val="0"/>
        </w:rPr>
        <w:t xml:space="preserve">might </w:t>
      </w:r>
      <w:r w:rsidR="008B442A">
        <w:rPr>
          <w:bCs w:val="0"/>
        </w:rPr>
        <w:t>include a wide range of other asset types. Such a portfolio also appeared consistent with evidence on how claimants were advised to invest (</w:t>
      </w:r>
      <w:r w:rsidR="00D81F91">
        <w:rPr>
          <w:bCs w:val="0"/>
        </w:rPr>
        <w:t xml:space="preserve">virtually </w:t>
      </w:r>
      <w:r w:rsidR="006C2A7D">
        <w:rPr>
          <w:bCs w:val="0"/>
        </w:rPr>
        <w:t xml:space="preserve">no </w:t>
      </w:r>
      <w:r w:rsidR="008B442A">
        <w:rPr>
          <w:bCs w:val="0"/>
        </w:rPr>
        <w:t>respondents stated that claimants were, or should be</w:t>
      </w:r>
      <w:r w:rsidR="00254C57">
        <w:rPr>
          <w:bCs w:val="0"/>
        </w:rPr>
        <w:t>,</w:t>
      </w:r>
      <w:r w:rsidR="008B442A">
        <w:rPr>
          <w:bCs w:val="0"/>
        </w:rPr>
        <w:t xml:space="preserve"> advised to invest solely in ILGS alone) and with how many chose to invest their awards.</w:t>
      </w:r>
      <w:r w:rsidR="002805CB">
        <w:rPr>
          <w:bCs w:val="0"/>
        </w:rPr>
        <w:t xml:space="preserve"> Respondents favouring this option generally argued that the return on such a portfolio should be calculated net of taxation and investment management expenses.</w:t>
      </w:r>
    </w:p>
    <w:p w14:paraId="6FB2CFCA" w14:textId="77777777" w:rsidR="002805CB" w:rsidRPr="009C64EE" w:rsidRDefault="002805CB" w:rsidP="00485FB6">
      <w:pPr>
        <w:pStyle w:val="EBBodyPara"/>
        <w:keepNext/>
        <w:numPr>
          <w:ilvl w:val="0"/>
          <w:numId w:val="25"/>
        </w:numPr>
        <w:spacing w:before="240"/>
      </w:pPr>
      <w:r>
        <w:rPr>
          <w:bCs w:val="0"/>
        </w:rPr>
        <w:t>In terms of who should set the rate, 35 responses favoured the use of an expert panel while 17 favoured a co-decision between</w:t>
      </w:r>
      <w:r w:rsidR="000A32E1">
        <w:rPr>
          <w:bCs w:val="0"/>
        </w:rPr>
        <w:t xml:space="preserve"> such a panel and another person. However, 48 responses favoured a minister based on advice received from an expert panel. Of these, the most favoured minister was the Lord Chancellor given that </w:t>
      </w:r>
      <w:r w:rsidR="001C2C31">
        <w:rPr>
          <w:bCs w:val="0"/>
        </w:rPr>
        <w:t>the holder of this office is</w:t>
      </w:r>
      <w:r w:rsidR="000A32E1">
        <w:rPr>
          <w:bCs w:val="0"/>
        </w:rPr>
        <w:t xml:space="preserve"> responsible for the courts and the general law of damages.</w:t>
      </w:r>
    </w:p>
    <w:p w14:paraId="39DA766A" w14:textId="77777777" w:rsidR="000A32E1" w:rsidRPr="005108DB" w:rsidRDefault="000A32E1" w:rsidP="00485FB6">
      <w:pPr>
        <w:pStyle w:val="EBBodyPara"/>
        <w:keepNext/>
        <w:numPr>
          <w:ilvl w:val="0"/>
          <w:numId w:val="25"/>
        </w:numPr>
        <w:spacing w:before="240"/>
      </w:pPr>
      <w:r>
        <w:rPr>
          <w:bCs w:val="0"/>
        </w:rPr>
        <w:t xml:space="preserve">In terms of when the rate </w:t>
      </w:r>
      <w:r w:rsidR="000E35F0">
        <w:rPr>
          <w:bCs w:val="0"/>
        </w:rPr>
        <w:t xml:space="preserve">should </w:t>
      </w:r>
      <w:r>
        <w:rPr>
          <w:bCs w:val="0"/>
        </w:rPr>
        <w:t xml:space="preserve">be set, there was general agreement that the current approach was defective with 94 responses favouring specifying when the rate should be reviewed in legislation compared </w:t>
      </w:r>
      <w:r w:rsidR="002E58A3">
        <w:rPr>
          <w:bCs w:val="0"/>
        </w:rPr>
        <w:t xml:space="preserve">with </w:t>
      </w:r>
      <w:r>
        <w:rPr>
          <w:bCs w:val="0"/>
        </w:rPr>
        <w:t>18 respondents who disagreed. However, there was considerable diversity as to whether, if this was to be at fixed dates, at what intervals this should occur (with suggested intervals ranging from 1 year or less to 10 years) or whether changes in the rate be ‘triggered’ by movements in a specified economic variable.</w:t>
      </w:r>
      <w:r w:rsidR="006C2A7D">
        <w:rPr>
          <w:bCs w:val="0"/>
        </w:rPr>
        <w:t xml:space="preserve"> There was general agreement that the frequency would depend on the methodology chosen for setting the rate.</w:t>
      </w:r>
    </w:p>
    <w:p w14:paraId="0CFD8811" w14:textId="39FB7884" w:rsidR="005108DB" w:rsidRPr="003876A4" w:rsidRDefault="0097097E" w:rsidP="00485FB6">
      <w:pPr>
        <w:pStyle w:val="EBBodyPara"/>
        <w:keepNext/>
        <w:numPr>
          <w:ilvl w:val="0"/>
          <w:numId w:val="25"/>
        </w:numPr>
        <w:spacing w:before="240"/>
      </w:pPr>
      <w:r>
        <w:rPr>
          <w:bCs w:val="0"/>
        </w:rPr>
        <w:t xml:space="preserve">The consultation responses suggested that many </w:t>
      </w:r>
      <w:r w:rsidR="00860851">
        <w:rPr>
          <w:bCs w:val="0"/>
        </w:rPr>
        <w:t xml:space="preserve">of the larger </w:t>
      </w:r>
      <w:r>
        <w:rPr>
          <w:bCs w:val="0"/>
        </w:rPr>
        <w:t xml:space="preserve">settlements </w:t>
      </w:r>
      <w:r w:rsidR="00860851">
        <w:rPr>
          <w:bCs w:val="0"/>
        </w:rPr>
        <w:t xml:space="preserve">(£1m+ in value) </w:t>
      </w:r>
      <w:r>
        <w:rPr>
          <w:bCs w:val="0"/>
        </w:rPr>
        <w:t xml:space="preserve">take the form of both a lump sum and a PPO with the claimant’s wishes being paramount in most cases. </w:t>
      </w:r>
      <w:r w:rsidR="004B2F1D">
        <w:rPr>
          <w:bCs w:val="0"/>
        </w:rPr>
        <w:t>T</w:t>
      </w:r>
      <w:r w:rsidR="005108DB">
        <w:rPr>
          <w:bCs w:val="0"/>
        </w:rPr>
        <w:t xml:space="preserve">here was </w:t>
      </w:r>
      <w:r w:rsidR="007959E2">
        <w:rPr>
          <w:bCs w:val="0"/>
        </w:rPr>
        <w:t xml:space="preserve">a </w:t>
      </w:r>
      <w:r w:rsidR="005108DB">
        <w:rPr>
          <w:bCs w:val="0"/>
        </w:rPr>
        <w:t xml:space="preserve">general agreement among respondents, including those representing claimants and </w:t>
      </w:r>
      <w:r w:rsidR="007959E2">
        <w:rPr>
          <w:bCs w:val="0"/>
        </w:rPr>
        <w:t xml:space="preserve">those representing </w:t>
      </w:r>
      <w:r w:rsidR="005108DB">
        <w:rPr>
          <w:bCs w:val="0"/>
        </w:rPr>
        <w:t xml:space="preserve">defendants, that </w:t>
      </w:r>
      <w:r w:rsidR="004B2F1D">
        <w:rPr>
          <w:bCs w:val="0"/>
        </w:rPr>
        <w:t>the current legal framework concerning PPOs</w:t>
      </w:r>
      <w:r w:rsidR="005108DB">
        <w:rPr>
          <w:bCs w:val="0"/>
        </w:rPr>
        <w:t xml:space="preserve"> was appropriate and not in need of</w:t>
      </w:r>
      <w:r w:rsidR="00843633">
        <w:rPr>
          <w:bCs w:val="0"/>
        </w:rPr>
        <w:t xml:space="preserve"> the potential</w:t>
      </w:r>
      <w:r w:rsidR="004B2F1D">
        <w:rPr>
          <w:bCs w:val="0"/>
        </w:rPr>
        <w:t xml:space="preserve"> </w:t>
      </w:r>
      <w:r w:rsidR="005108DB">
        <w:rPr>
          <w:bCs w:val="0"/>
        </w:rPr>
        <w:t>reform</w:t>
      </w:r>
      <w:r w:rsidR="004B2F1D">
        <w:rPr>
          <w:bCs w:val="0"/>
        </w:rPr>
        <w:t>s</w:t>
      </w:r>
      <w:r w:rsidR="00843633">
        <w:rPr>
          <w:bCs w:val="0"/>
        </w:rPr>
        <w:t xml:space="preserve"> </w:t>
      </w:r>
      <w:r w:rsidR="007959E2">
        <w:rPr>
          <w:bCs w:val="0"/>
        </w:rPr>
        <w:t xml:space="preserve">discussed </w:t>
      </w:r>
      <w:r w:rsidR="00843633">
        <w:rPr>
          <w:bCs w:val="0"/>
        </w:rPr>
        <w:t>in the consultation document</w:t>
      </w:r>
      <w:r w:rsidR="005108DB">
        <w:rPr>
          <w:bCs w:val="0"/>
        </w:rPr>
        <w:t>.</w:t>
      </w:r>
    </w:p>
    <w:p w14:paraId="7559B98E" w14:textId="77777777" w:rsidR="00CA3C98" w:rsidRPr="00485FB6" w:rsidRDefault="00CA3C98">
      <w:pPr>
        <w:pStyle w:val="EBBodyPara"/>
        <w:keepNext/>
        <w:numPr>
          <w:ilvl w:val="0"/>
          <w:numId w:val="25"/>
        </w:numPr>
        <w:spacing w:before="240"/>
      </w:pPr>
      <w:r>
        <w:rPr>
          <w:bCs w:val="0"/>
        </w:rPr>
        <w:t>In addition</w:t>
      </w:r>
      <w:r w:rsidR="005108DB">
        <w:rPr>
          <w:bCs w:val="0"/>
        </w:rPr>
        <w:t xml:space="preserve"> to the consultation</w:t>
      </w:r>
      <w:r>
        <w:rPr>
          <w:bCs w:val="0"/>
        </w:rPr>
        <w:t>, the Ministry of Justice commissioned the Government Actuary’s Department (GAD) to</w:t>
      </w:r>
      <w:r w:rsidR="00656648">
        <w:rPr>
          <w:bCs w:val="0"/>
        </w:rPr>
        <w:t xml:space="preserve"> conduct analysis of the impacts of setting the PIDR using different risk appetites and investment strategies. This analysis involved simulation modelling of various scenarios using portfolios </w:t>
      </w:r>
      <w:r w:rsidR="00273A80">
        <w:rPr>
          <w:bCs w:val="0"/>
        </w:rPr>
        <w:t>with</w:t>
      </w:r>
      <w:r w:rsidR="00656648">
        <w:rPr>
          <w:bCs w:val="0"/>
        </w:rPr>
        <w:t xml:space="preserve"> </w:t>
      </w:r>
      <w:r w:rsidR="00273A80">
        <w:rPr>
          <w:bCs w:val="0"/>
        </w:rPr>
        <w:t>differing</w:t>
      </w:r>
      <w:r w:rsidR="00656648">
        <w:rPr>
          <w:bCs w:val="0"/>
        </w:rPr>
        <w:t xml:space="preserve"> degrees of risk and data on the performance of a range of financial assets.</w:t>
      </w:r>
      <w:r w:rsidR="005108DB">
        <w:rPr>
          <w:bCs w:val="0"/>
        </w:rPr>
        <w:t xml:space="preserve"> The Ministry of Justice also </w:t>
      </w:r>
      <w:r w:rsidR="00843633">
        <w:rPr>
          <w:bCs w:val="0"/>
        </w:rPr>
        <w:t>gathered evidence from</w:t>
      </w:r>
      <w:r w:rsidR="005108DB">
        <w:rPr>
          <w:bCs w:val="0"/>
        </w:rPr>
        <w:t xml:space="preserve"> independent financial advisors and wealth managers with experience of advising personal injury claimants concerning the types of investment they would recommend in a variety of situations which varied by the nature and duration of the settlement.</w:t>
      </w:r>
    </w:p>
    <w:p w14:paraId="0E30846F" w14:textId="2F18D727" w:rsidR="0069005A" w:rsidRPr="009C64EE" w:rsidRDefault="00656648">
      <w:pPr>
        <w:pStyle w:val="EBBodyPara"/>
        <w:keepNext/>
        <w:numPr>
          <w:ilvl w:val="0"/>
          <w:numId w:val="25"/>
        </w:numPr>
        <w:spacing w:before="240"/>
      </w:pPr>
      <w:r>
        <w:rPr>
          <w:bCs w:val="0"/>
        </w:rPr>
        <w:t xml:space="preserve">A </w:t>
      </w:r>
      <w:r w:rsidR="001F64F2">
        <w:rPr>
          <w:bCs w:val="0"/>
        </w:rPr>
        <w:t xml:space="preserve">full </w:t>
      </w:r>
      <w:r>
        <w:rPr>
          <w:bCs w:val="0"/>
        </w:rPr>
        <w:t xml:space="preserve">summary of the </w:t>
      </w:r>
      <w:r w:rsidR="0029027B">
        <w:rPr>
          <w:bCs w:val="0"/>
        </w:rPr>
        <w:t xml:space="preserve">consultation </w:t>
      </w:r>
      <w:r>
        <w:rPr>
          <w:bCs w:val="0"/>
        </w:rPr>
        <w:t>responses</w:t>
      </w:r>
      <w:r w:rsidR="00254C57">
        <w:rPr>
          <w:bCs w:val="0"/>
        </w:rPr>
        <w:t>,</w:t>
      </w:r>
      <w:r w:rsidR="0029027B">
        <w:rPr>
          <w:bCs w:val="0"/>
        </w:rPr>
        <w:t xml:space="preserve"> the other evidence gathered during the consultation period</w:t>
      </w:r>
      <w:r>
        <w:rPr>
          <w:bCs w:val="0"/>
        </w:rPr>
        <w:t xml:space="preserve"> and a full discussion of the Government’s </w:t>
      </w:r>
      <w:r w:rsidR="005D1016">
        <w:rPr>
          <w:bCs w:val="0"/>
        </w:rPr>
        <w:t>preferred options</w:t>
      </w:r>
      <w:r>
        <w:rPr>
          <w:bCs w:val="0"/>
        </w:rPr>
        <w:t xml:space="preserve"> is provided in the consultation response document which </w:t>
      </w:r>
      <w:r w:rsidR="00E2134A">
        <w:rPr>
          <w:bCs w:val="0"/>
        </w:rPr>
        <w:t>was</w:t>
      </w:r>
      <w:r>
        <w:rPr>
          <w:bCs w:val="0"/>
        </w:rPr>
        <w:t xml:space="preserve"> published alongside th</w:t>
      </w:r>
      <w:r w:rsidR="00E2134A">
        <w:rPr>
          <w:bCs w:val="0"/>
        </w:rPr>
        <w:t>e draft legislation</w:t>
      </w:r>
      <w:r w:rsidR="009531C8">
        <w:rPr>
          <w:bCs w:val="0"/>
        </w:rPr>
        <w:t xml:space="preserve"> in September 2017</w:t>
      </w:r>
      <w:r>
        <w:rPr>
          <w:bCs w:val="0"/>
        </w:rPr>
        <w:t xml:space="preserve">. </w:t>
      </w:r>
      <w:r w:rsidR="0069005A" w:rsidRPr="00485FB6">
        <w:rPr>
          <w:bCs w:val="0"/>
        </w:rPr>
        <w:t xml:space="preserve"> </w:t>
      </w:r>
      <w:r>
        <w:rPr>
          <w:bCs w:val="0"/>
        </w:rPr>
        <w:t xml:space="preserve">Therefore, this </w:t>
      </w:r>
      <w:r w:rsidR="009531C8">
        <w:rPr>
          <w:bCs w:val="0"/>
        </w:rPr>
        <w:t>Impact Assessment (</w:t>
      </w:r>
      <w:r>
        <w:rPr>
          <w:bCs w:val="0"/>
        </w:rPr>
        <w:t>IA</w:t>
      </w:r>
      <w:r w:rsidR="009531C8">
        <w:rPr>
          <w:bCs w:val="0"/>
        </w:rPr>
        <w:t>)</w:t>
      </w:r>
      <w:r>
        <w:rPr>
          <w:bCs w:val="0"/>
        </w:rPr>
        <w:t xml:space="preserve"> </w:t>
      </w:r>
      <w:r w:rsidR="008B6D5E" w:rsidRPr="00485FB6">
        <w:rPr>
          <w:bCs w:val="0"/>
        </w:rPr>
        <w:t>reviews the evidence gained from the consultation</w:t>
      </w:r>
      <w:r w:rsidR="0029027B">
        <w:rPr>
          <w:bCs w:val="0"/>
        </w:rPr>
        <w:t>,</w:t>
      </w:r>
      <w:r w:rsidR="00CA3C98">
        <w:rPr>
          <w:bCs w:val="0"/>
        </w:rPr>
        <w:t xml:space="preserve"> the GAD analysis </w:t>
      </w:r>
      <w:r w:rsidR="0029027B">
        <w:rPr>
          <w:bCs w:val="0"/>
        </w:rPr>
        <w:t xml:space="preserve">and the evidence from wealth managers </w:t>
      </w:r>
      <w:r w:rsidR="00CA3C98">
        <w:rPr>
          <w:bCs w:val="0"/>
        </w:rPr>
        <w:t>to assess</w:t>
      </w:r>
      <w:r w:rsidR="008B6D5E" w:rsidRPr="00485FB6">
        <w:rPr>
          <w:bCs w:val="0"/>
        </w:rPr>
        <w:t xml:space="preserve"> the effects of the </w:t>
      </w:r>
      <w:r w:rsidR="00280B4E">
        <w:rPr>
          <w:bCs w:val="0"/>
        </w:rPr>
        <w:t>preferred options</w:t>
      </w:r>
      <w:r w:rsidR="00CA3C98">
        <w:rPr>
          <w:bCs w:val="0"/>
        </w:rPr>
        <w:t xml:space="preserve">. This </w:t>
      </w:r>
      <w:r w:rsidR="008B6D5E" w:rsidRPr="00485FB6">
        <w:rPr>
          <w:bCs w:val="0"/>
        </w:rPr>
        <w:t>includ</w:t>
      </w:r>
      <w:r w:rsidR="00CA3C98">
        <w:rPr>
          <w:bCs w:val="0"/>
        </w:rPr>
        <w:t>es</w:t>
      </w:r>
      <w:r w:rsidR="008B6D5E" w:rsidRPr="00CA3C98">
        <w:rPr>
          <w:bCs w:val="0"/>
        </w:rPr>
        <w:t xml:space="preserve"> the sorts of portfolios the Lord Chancellor </w:t>
      </w:r>
      <w:r w:rsidR="00673C49">
        <w:rPr>
          <w:bCs w:val="0"/>
        </w:rPr>
        <w:t xml:space="preserve">might consider when setting the </w:t>
      </w:r>
      <w:r w:rsidR="0029027B">
        <w:rPr>
          <w:bCs w:val="0"/>
        </w:rPr>
        <w:t>PIDR</w:t>
      </w:r>
      <w:r w:rsidR="008B6D5E" w:rsidRPr="00CA3C98">
        <w:rPr>
          <w:bCs w:val="0"/>
        </w:rPr>
        <w:t>.</w:t>
      </w:r>
      <w:r w:rsidR="00A25272">
        <w:rPr>
          <w:bCs w:val="0"/>
        </w:rPr>
        <w:t xml:space="preserve"> This IA also assesses the impact of the amendments to the Bill described in paragraph 25 below.</w:t>
      </w:r>
    </w:p>
    <w:p w14:paraId="765555EF" w14:textId="77777777" w:rsidR="00784F64" w:rsidRPr="00651181" w:rsidRDefault="00784F64">
      <w:pPr>
        <w:pStyle w:val="EBBodyPara"/>
        <w:keepNext/>
        <w:numPr>
          <w:ilvl w:val="0"/>
          <w:numId w:val="25"/>
        </w:numPr>
        <w:spacing w:before="240"/>
      </w:pPr>
      <w:r>
        <w:rPr>
          <w:bCs w:val="0"/>
        </w:rPr>
        <w:t>Th</w:t>
      </w:r>
      <w:r w:rsidR="00273A80">
        <w:rPr>
          <w:bCs w:val="0"/>
        </w:rPr>
        <w:t>is</w:t>
      </w:r>
      <w:r>
        <w:rPr>
          <w:bCs w:val="0"/>
        </w:rPr>
        <w:t xml:space="preserve"> IA only assesses the impacts of changing the current legal framework under which the PIDR is set. Thus, other than making the assumption that any PIDR set under the preferred options</w:t>
      </w:r>
      <w:r w:rsidR="00B643D5">
        <w:rPr>
          <w:bCs w:val="0"/>
        </w:rPr>
        <w:t xml:space="preserve"> is likely to be higher than </w:t>
      </w:r>
      <w:r w:rsidR="00273A80">
        <w:rPr>
          <w:bCs w:val="0"/>
        </w:rPr>
        <w:t>that set under the current legal framework</w:t>
      </w:r>
      <w:r w:rsidR="00B643D5">
        <w:rPr>
          <w:bCs w:val="0"/>
        </w:rPr>
        <w:t xml:space="preserve">, it does not offer </w:t>
      </w:r>
      <w:r w:rsidR="001C2C31">
        <w:rPr>
          <w:bCs w:val="0"/>
        </w:rPr>
        <w:t>a quantitative</w:t>
      </w:r>
      <w:r w:rsidR="00B643D5">
        <w:rPr>
          <w:bCs w:val="0"/>
        </w:rPr>
        <w:t xml:space="preserve"> assessment of </w:t>
      </w:r>
      <w:r w:rsidR="001C2C31">
        <w:rPr>
          <w:bCs w:val="0"/>
        </w:rPr>
        <w:t xml:space="preserve">impacts on claimants and defendants at </w:t>
      </w:r>
      <w:r w:rsidR="00B643D5">
        <w:rPr>
          <w:bCs w:val="0"/>
        </w:rPr>
        <w:t>any particular level of the rate.</w:t>
      </w:r>
    </w:p>
    <w:p w14:paraId="42CEBA32" w14:textId="77777777" w:rsidR="0069005A" w:rsidRPr="006B3B99" w:rsidRDefault="0069005A" w:rsidP="0069005A">
      <w:pPr>
        <w:pStyle w:val="EBBodyPara"/>
        <w:spacing w:before="360"/>
      </w:pPr>
      <w:r w:rsidRPr="00B655C9">
        <w:rPr>
          <w:b/>
          <w:bCs w:val="0"/>
          <w:sz w:val="28"/>
          <w:szCs w:val="28"/>
        </w:rPr>
        <w:t>B</w:t>
      </w:r>
      <w:r w:rsidRPr="00DC036C">
        <w:t xml:space="preserve">. </w:t>
      </w:r>
      <w:r w:rsidRPr="00B655C9">
        <w:rPr>
          <w:b/>
          <w:bCs w:val="0"/>
          <w:sz w:val="28"/>
          <w:szCs w:val="28"/>
        </w:rPr>
        <w:t>Rationale</w:t>
      </w:r>
      <w:r>
        <w:rPr>
          <w:b/>
          <w:bCs w:val="0"/>
          <w:sz w:val="28"/>
          <w:szCs w:val="28"/>
        </w:rPr>
        <w:t xml:space="preserve"> and Policy Objectives</w:t>
      </w:r>
      <w:r w:rsidRPr="00B655C9">
        <w:rPr>
          <w:b/>
          <w:bCs w:val="0"/>
          <w:sz w:val="28"/>
          <w:szCs w:val="28"/>
        </w:rPr>
        <w:t xml:space="preserve"> </w:t>
      </w:r>
    </w:p>
    <w:p w14:paraId="0FC9DA1F" w14:textId="77777777" w:rsidR="0069005A" w:rsidRPr="00D24FFC" w:rsidRDefault="0069005A" w:rsidP="0069005A">
      <w:pPr>
        <w:pStyle w:val="EBBodyPara"/>
        <w:keepNext/>
        <w:numPr>
          <w:ilvl w:val="0"/>
          <w:numId w:val="25"/>
        </w:numPr>
        <w:spacing w:before="240"/>
      </w:pPr>
      <w:r w:rsidRPr="00D24FFC">
        <w:t>The conventional economic approach to government intervention is based on efficiency or equity arguments. Governments may consider intervening if there are strong enough failures in the way markets operate, e.g. monopolies overcharging debtors, or if there are strong enough failures in existing government interventions, e.g. outdated regulations generating inefficiencies. In all cases the proposed intervention should avoid generating a further set of disproportionate costs and distortions. Governments may also intervene for reasons of equity (fairness) and for re</w:t>
      </w:r>
      <w:r w:rsidR="001C2C31">
        <w:t>-</w:t>
      </w:r>
      <w:r w:rsidRPr="00D24FFC">
        <w:t>distributional reasons (e.g. reallocating resources from one group in society to another).</w:t>
      </w:r>
    </w:p>
    <w:p w14:paraId="4DC19574" w14:textId="77777777" w:rsidR="001C2C31" w:rsidRDefault="0069005A" w:rsidP="00055446">
      <w:pPr>
        <w:pStyle w:val="EBBodyPara"/>
        <w:keepNext/>
        <w:numPr>
          <w:ilvl w:val="0"/>
          <w:numId w:val="25"/>
        </w:numPr>
        <w:spacing w:before="240"/>
      </w:pPr>
      <w:r w:rsidRPr="00651181">
        <w:t xml:space="preserve">In this case intervention is </w:t>
      </w:r>
      <w:r>
        <w:t xml:space="preserve">primarily </w:t>
      </w:r>
      <w:r w:rsidRPr="00651181">
        <w:t>justified on equity (fairness) grounds</w:t>
      </w:r>
      <w:r>
        <w:t xml:space="preserve">: </w:t>
      </w:r>
      <w:r w:rsidR="00DB77C2" w:rsidRPr="00485FB6">
        <w:t xml:space="preserve">At present the </w:t>
      </w:r>
      <w:r w:rsidR="0029027B">
        <w:t>PIDR</w:t>
      </w:r>
      <w:r w:rsidR="00DB77C2" w:rsidRPr="00485FB6">
        <w:t xml:space="preserve"> is set with reference to very low risk investments (ILGS). </w:t>
      </w:r>
      <w:r w:rsidR="000E35F0">
        <w:t>However, the consultation evidence suggested p</w:t>
      </w:r>
      <w:r w:rsidR="00D53E43">
        <w:rPr>
          <w:color w:val="auto"/>
        </w:rPr>
        <w:t xml:space="preserve">ersonal </w:t>
      </w:r>
      <w:r w:rsidR="00D53E43" w:rsidRPr="00485FB6">
        <w:rPr>
          <w:color w:val="auto"/>
        </w:rPr>
        <w:t>injury</w:t>
      </w:r>
      <w:r w:rsidR="00DB77C2" w:rsidRPr="00F54332">
        <w:rPr>
          <w:color w:val="auto"/>
        </w:rPr>
        <w:t xml:space="preserve"> claimants are advised and do invest in a wide range of portfolios</w:t>
      </w:r>
      <w:r w:rsidR="001637C7">
        <w:rPr>
          <w:color w:val="auto"/>
        </w:rPr>
        <w:t xml:space="preserve"> including</w:t>
      </w:r>
      <w:r w:rsidR="00DB77C2" w:rsidRPr="00F54332">
        <w:rPr>
          <w:color w:val="auto"/>
        </w:rPr>
        <w:t xml:space="preserve"> </w:t>
      </w:r>
      <w:r w:rsidR="002C4272">
        <w:rPr>
          <w:color w:val="auto"/>
        </w:rPr>
        <w:t xml:space="preserve">those of </w:t>
      </w:r>
      <w:r w:rsidR="00DB77C2" w:rsidRPr="00F54332">
        <w:rPr>
          <w:color w:val="auto"/>
        </w:rPr>
        <w:t>low risk</w:t>
      </w:r>
      <w:r w:rsidR="002C4272">
        <w:rPr>
          <w:color w:val="auto"/>
        </w:rPr>
        <w:t xml:space="preserve"> </w:t>
      </w:r>
      <w:r w:rsidR="001637C7">
        <w:rPr>
          <w:color w:val="auto"/>
        </w:rPr>
        <w:t>and</w:t>
      </w:r>
      <w:r w:rsidR="00DB77C2" w:rsidRPr="00F54332">
        <w:rPr>
          <w:color w:val="auto"/>
        </w:rPr>
        <w:t xml:space="preserve"> medium risk</w:t>
      </w:r>
      <w:r w:rsidR="0029027B">
        <w:rPr>
          <w:color w:val="auto"/>
        </w:rPr>
        <w:t xml:space="preserve"> (</w:t>
      </w:r>
      <w:r w:rsidR="000C0242">
        <w:rPr>
          <w:color w:val="auto"/>
        </w:rPr>
        <w:t xml:space="preserve">and </w:t>
      </w:r>
      <w:r w:rsidR="0029027B">
        <w:rPr>
          <w:color w:val="auto"/>
        </w:rPr>
        <w:t>none invested in ILGS alone)</w:t>
      </w:r>
      <w:r w:rsidR="00DB77C2" w:rsidRPr="00F54332">
        <w:rPr>
          <w:color w:val="auto"/>
        </w:rPr>
        <w:t xml:space="preserve">. </w:t>
      </w:r>
      <w:r w:rsidR="00DB77C2" w:rsidRPr="00485FB6">
        <w:t xml:space="preserve">By adopting an investment strategy that is low </w:t>
      </w:r>
      <w:r w:rsidR="00DB77C2" w:rsidRPr="003876A4">
        <w:t xml:space="preserve">or medium risk, claimants are </w:t>
      </w:r>
      <w:r w:rsidR="001C2C31">
        <w:t xml:space="preserve">exposing themselves to higher levels of investment risk than assumed under the current legal framework but are, </w:t>
      </w:r>
      <w:r w:rsidR="00DB77C2" w:rsidRPr="003876A4">
        <w:t>on average</w:t>
      </w:r>
      <w:r w:rsidR="001C2C31">
        <w:t>,</w:t>
      </w:r>
      <w:r w:rsidR="00DB77C2" w:rsidRPr="003876A4">
        <w:t xml:space="preserve"> likely to achieve returns considerably higher than the </w:t>
      </w:r>
      <w:r w:rsidR="001C2C31">
        <w:t xml:space="preserve">current </w:t>
      </w:r>
      <w:r w:rsidR="000E35F0">
        <w:t>PIDR</w:t>
      </w:r>
      <w:r w:rsidR="001C2C31">
        <w:t>; that is,</w:t>
      </w:r>
      <w:r w:rsidR="00DB77C2" w:rsidRPr="003876A4">
        <w:t xml:space="preserve"> </w:t>
      </w:r>
      <w:r w:rsidR="001C2C31">
        <w:t xml:space="preserve">they are likely to </w:t>
      </w:r>
      <w:r w:rsidR="00DB77C2" w:rsidRPr="003876A4">
        <w:t>be o</w:t>
      </w:r>
      <w:r w:rsidR="0096258E">
        <w:t>ver-comp</w:t>
      </w:r>
      <w:r w:rsidR="00DB77C2" w:rsidRPr="003876A4">
        <w:t>ensated</w:t>
      </w:r>
      <w:r w:rsidR="0029027B">
        <w:t>,</w:t>
      </w:r>
      <w:r w:rsidR="00DB77C2" w:rsidRPr="003876A4">
        <w:t xml:space="preserve"> on average</w:t>
      </w:r>
      <w:r w:rsidR="00DB77C2" w:rsidRPr="009C64EE">
        <w:t>.</w:t>
      </w:r>
      <w:r w:rsidR="001C2C31">
        <w:t xml:space="preserve"> Notwithstanding a greater level of investment risk assumed for the claimant, b</w:t>
      </w:r>
      <w:r w:rsidR="00DB77C2" w:rsidRPr="001C2C31">
        <w:t xml:space="preserve">y setting the </w:t>
      </w:r>
      <w:r w:rsidR="000E35F0" w:rsidRPr="001C2C31">
        <w:t>PIDR</w:t>
      </w:r>
      <w:r w:rsidR="00DB77C2" w:rsidRPr="001C2C31">
        <w:t xml:space="preserve"> with reference to a low risk investment portfolio rather than </w:t>
      </w:r>
      <w:r w:rsidR="00254C57" w:rsidRPr="001C2C31">
        <w:t xml:space="preserve">a </w:t>
      </w:r>
      <w:r w:rsidR="00DB77C2" w:rsidRPr="001C2C31">
        <w:t>very low risk</w:t>
      </w:r>
      <w:r w:rsidR="00254C57" w:rsidRPr="001C2C31">
        <w:t xml:space="preserve"> one</w:t>
      </w:r>
      <w:r w:rsidR="00DB77C2" w:rsidRPr="001C2C31">
        <w:t>, the level of over compensation is likely to be reduced overall.</w:t>
      </w:r>
    </w:p>
    <w:p w14:paraId="168F53D7" w14:textId="36753C1C" w:rsidR="0069005A" w:rsidRDefault="0069005A" w:rsidP="00055446">
      <w:pPr>
        <w:pStyle w:val="EBBodyPara"/>
        <w:keepNext/>
        <w:numPr>
          <w:ilvl w:val="0"/>
          <w:numId w:val="25"/>
        </w:numPr>
        <w:spacing w:before="240"/>
      </w:pPr>
      <w:r w:rsidRPr="001C2C31">
        <w:t xml:space="preserve">The </w:t>
      </w:r>
      <w:r w:rsidR="004315B6">
        <w:t xml:space="preserve">Act </w:t>
      </w:r>
      <w:r w:rsidR="000E35F0" w:rsidRPr="001C2C31">
        <w:t xml:space="preserve">also </w:t>
      </w:r>
      <w:r w:rsidR="002D77DA">
        <w:t>include</w:t>
      </w:r>
      <w:r w:rsidR="004315B6">
        <w:t>s</w:t>
      </w:r>
      <w:r w:rsidR="002D77DA">
        <w:t xml:space="preserve"> legislative measures</w:t>
      </w:r>
      <w:r w:rsidRPr="001C2C31">
        <w:t xml:space="preserve"> to increase the level</w:t>
      </w:r>
      <w:r w:rsidR="00273A80" w:rsidRPr="001C2C31">
        <w:t>s</w:t>
      </w:r>
      <w:r w:rsidRPr="001C2C31">
        <w:t xml:space="preserve"> of transparency</w:t>
      </w:r>
      <w:r w:rsidR="006C2A7D" w:rsidRPr="001C2C31">
        <w:t xml:space="preserve"> and predictability </w:t>
      </w:r>
      <w:r w:rsidRPr="001C2C31">
        <w:t>in setting the PIDR in future.</w:t>
      </w:r>
      <w:r w:rsidR="006C2A7D" w:rsidRPr="001C2C31">
        <w:t xml:space="preserve"> </w:t>
      </w:r>
    </w:p>
    <w:p w14:paraId="0C6D7EA1" w14:textId="051E9B3F" w:rsidR="005C0F5B" w:rsidRDefault="00C35F20" w:rsidP="00C35F20">
      <w:pPr>
        <w:numPr>
          <w:ilvl w:val="0"/>
          <w:numId w:val="25"/>
        </w:numPr>
        <w:spacing w:after="0" w:line="240" w:lineRule="auto"/>
        <w:rPr>
          <w:rFonts w:ascii="Arial" w:hAnsi="Arial" w:cs="Arial"/>
        </w:rPr>
      </w:pPr>
      <w:r>
        <w:rPr>
          <w:rFonts w:ascii="Arial" w:hAnsi="Arial" w:cs="Arial"/>
        </w:rPr>
        <w:t>To address these policy objectives, t</w:t>
      </w:r>
      <w:r w:rsidRPr="00963A42">
        <w:rPr>
          <w:rFonts w:ascii="Arial" w:hAnsi="Arial" w:cs="Arial"/>
        </w:rPr>
        <w:t xml:space="preserve">he </w:t>
      </w:r>
      <w:r>
        <w:rPr>
          <w:rFonts w:ascii="Arial" w:hAnsi="Arial" w:cs="Arial"/>
        </w:rPr>
        <w:t xml:space="preserve">Government published draft legislation and the </w:t>
      </w:r>
      <w:r w:rsidRPr="00963A42">
        <w:rPr>
          <w:rFonts w:ascii="Arial" w:hAnsi="Arial" w:cs="Arial"/>
        </w:rPr>
        <w:t xml:space="preserve">Justice Select Committee </w:t>
      </w:r>
      <w:r>
        <w:rPr>
          <w:rFonts w:ascii="Arial" w:hAnsi="Arial" w:cs="Arial"/>
        </w:rPr>
        <w:t xml:space="preserve">(JSC) </w:t>
      </w:r>
      <w:r w:rsidRPr="00963A42">
        <w:rPr>
          <w:rFonts w:ascii="Arial" w:hAnsi="Arial" w:cs="Arial"/>
        </w:rPr>
        <w:t xml:space="preserve">conducted </w:t>
      </w:r>
      <w:r>
        <w:rPr>
          <w:rFonts w:ascii="Arial" w:hAnsi="Arial" w:cs="Arial"/>
        </w:rPr>
        <w:t xml:space="preserve">a </w:t>
      </w:r>
      <w:r w:rsidRPr="00963A42">
        <w:rPr>
          <w:rFonts w:ascii="Arial" w:hAnsi="Arial" w:cs="Arial"/>
        </w:rPr>
        <w:t>pre-legislative scrutiny of the</w:t>
      </w:r>
      <w:r>
        <w:rPr>
          <w:rFonts w:ascii="Arial" w:hAnsi="Arial" w:cs="Arial"/>
        </w:rPr>
        <w:t>se</w:t>
      </w:r>
      <w:r w:rsidRPr="00963A42">
        <w:rPr>
          <w:rFonts w:ascii="Arial" w:hAnsi="Arial" w:cs="Arial"/>
        </w:rPr>
        <w:t xml:space="preserve"> proposals </w:t>
      </w:r>
      <w:r>
        <w:rPr>
          <w:rFonts w:ascii="Arial" w:hAnsi="Arial" w:cs="Arial"/>
        </w:rPr>
        <w:t>in the autumn of 2017. The JSC</w:t>
      </w:r>
      <w:r w:rsidRPr="00963A42">
        <w:rPr>
          <w:rFonts w:ascii="Arial" w:hAnsi="Arial" w:cs="Arial"/>
        </w:rPr>
        <w:t xml:space="preserve"> published </w:t>
      </w:r>
      <w:r>
        <w:rPr>
          <w:rFonts w:ascii="Arial" w:hAnsi="Arial" w:cs="Arial"/>
        </w:rPr>
        <w:t>its</w:t>
      </w:r>
      <w:r w:rsidRPr="00963A42">
        <w:rPr>
          <w:rFonts w:ascii="Arial" w:hAnsi="Arial" w:cs="Arial"/>
        </w:rPr>
        <w:t xml:space="preserve"> report on </w:t>
      </w:r>
      <w:r>
        <w:rPr>
          <w:rFonts w:ascii="Arial" w:hAnsi="Arial" w:cs="Arial"/>
        </w:rPr>
        <w:t xml:space="preserve">30 November 2017 in which it raised several important issues concerning the policy to which the Government has now responded. The Government response, alongside the </w:t>
      </w:r>
      <w:r w:rsidR="00A25272">
        <w:rPr>
          <w:rFonts w:ascii="Arial" w:hAnsi="Arial" w:cs="Arial"/>
        </w:rPr>
        <w:t>earlier</w:t>
      </w:r>
      <w:r>
        <w:rPr>
          <w:rFonts w:ascii="Arial" w:hAnsi="Arial" w:cs="Arial"/>
        </w:rPr>
        <w:t xml:space="preserve"> IA for this measure, set out further details of the Government’s preferred option and more specific policy objectives with regard to the future setting of the PI</w:t>
      </w:r>
      <w:r w:rsidR="00A25272">
        <w:rPr>
          <w:rFonts w:ascii="Arial" w:hAnsi="Arial" w:cs="Arial"/>
        </w:rPr>
        <w:t>DR</w:t>
      </w:r>
      <w:r>
        <w:rPr>
          <w:rFonts w:ascii="Arial" w:hAnsi="Arial" w:cs="Arial"/>
        </w:rPr>
        <w:t>.</w:t>
      </w:r>
      <w:r w:rsidR="00005F90">
        <w:rPr>
          <w:rFonts w:ascii="Arial" w:hAnsi="Arial" w:cs="Arial"/>
        </w:rPr>
        <w:t xml:space="preserve"> </w:t>
      </w:r>
    </w:p>
    <w:p w14:paraId="526A2CEB" w14:textId="77777777" w:rsidR="005C0F5B" w:rsidRDefault="005C0F5B" w:rsidP="00B12186">
      <w:pPr>
        <w:spacing w:after="0" w:line="240" w:lineRule="auto"/>
        <w:ind w:left="360"/>
        <w:rPr>
          <w:rFonts w:ascii="Arial" w:hAnsi="Arial" w:cs="Arial"/>
        </w:rPr>
      </w:pPr>
    </w:p>
    <w:p w14:paraId="6136A33A" w14:textId="4A8FDE14" w:rsidR="004315B6" w:rsidRDefault="00005F90" w:rsidP="00A0512E">
      <w:pPr>
        <w:numPr>
          <w:ilvl w:val="0"/>
          <w:numId w:val="25"/>
        </w:numPr>
        <w:spacing w:after="0" w:line="240" w:lineRule="auto"/>
        <w:rPr>
          <w:rFonts w:ascii="Arial" w:hAnsi="Arial" w:cs="Arial"/>
        </w:rPr>
      </w:pPr>
      <w:r>
        <w:rPr>
          <w:rFonts w:ascii="Arial" w:hAnsi="Arial" w:cs="Arial"/>
        </w:rPr>
        <w:t>Legislative provisions to implement the proposals were introduced into the House of Lords in March 2018. The Bill completed its Lords’ stages on 27 June and was introduced into the House of Commons on 28 June. In the Lords’ the Bill was amended to require</w:t>
      </w:r>
      <w:r w:rsidR="00860851">
        <w:rPr>
          <w:rFonts w:ascii="Arial" w:hAnsi="Arial" w:cs="Arial"/>
        </w:rPr>
        <w:t>:</w:t>
      </w:r>
      <w:r>
        <w:rPr>
          <w:rFonts w:ascii="Arial" w:hAnsi="Arial" w:cs="Arial"/>
        </w:rPr>
        <w:t xml:space="preserve"> the first review of the rate to be </w:t>
      </w:r>
      <w:r w:rsidR="00147D24">
        <w:rPr>
          <w:rFonts w:ascii="Arial" w:hAnsi="Arial" w:cs="Arial"/>
        </w:rPr>
        <w:t xml:space="preserve">begun and </w:t>
      </w:r>
      <w:r>
        <w:rPr>
          <w:rFonts w:ascii="Arial" w:hAnsi="Arial" w:cs="Arial"/>
        </w:rPr>
        <w:t xml:space="preserve">completed more quickly and as part of this aim the </w:t>
      </w:r>
      <w:r w:rsidR="00147D24">
        <w:rPr>
          <w:rFonts w:ascii="Arial" w:hAnsi="Arial" w:cs="Arial"/>
        </w:rPr>
        <w:t>PIDR provisions in the legislation came into force on Royal Assent</w:t>
      </w:r>
      <w:r w:rsidR="00096FCB">
        <w:rPr>
          <w:rFonts w:ascii="Arial" w:hAnsi="Arial" w:cs="Arial"/>
        </w:rPr>
        <w:t xml:space="preserve"> and the legislation requires the first </w:t>
      </w:r>
      <w:r>
        <w:rPr>
          <w:rFonts w:ascii="Arial" w:hAnsi="Arial" w:cs="Arial"/>
        </w:rPr>
        <w:t xml:space="preserve">review is to be </w:t>
      </w:r>
      <w:r w:rsidR="00096FCB">
        <w:rPr>
          <w:rFonts w:ascii="Arial" w:hAnsi="Arial" w:cs="Arial"/>
        </w:rPr>
        <w:t xml:space="preserve">begun within 90 days of Royal Assent and </w:t>
      </w:r>
      <w:r>
        <w:rPr>
          <w:rFonts w:ascii="Arial" w:hAnsi="Arial" w:cs="Arial"/>
        </w:rPr>
        <w:t xml:space="preserve">completed within 140 </w:t>
      </w:r>
      <w:r w:rsidR="00096FCB">
        <w:rPr>
          <w:rFonts w:ascii="Arial" w:hAnsi="Arial" w:cs="Arial"/>
        </w:rPr>
        <w:t xml:space="preserve">days </w:t>
      </w:r>
      <w:r>
        <w:rPr>
          <w:rFonts w:ascii="Arial" w:hAnsi="Arial" w:cs="Arial"/>
        </w:rPr>
        <w:t>rather than 180 days</w:t>
      </w:r>
      <w:r w:rsidR="00096FCB">
        <w:rPr>
          <w:rFonts w:ascii="Arial" w:hAnsi="Arial" w:cs="Arial"/>
        </w:rPr>
        <w:t xml:space="preserve"> of starting</w:t>
      </w:r>
      <w:r w:rsidR="00860851">
        <w:rPr>
          <w:rFonts w:ascii="Arial" w:hAnsi="Arial" w:cs="Arial"/>
        </w:rPr>
        <w:t xml:space="preserve">; </w:t>
      </w:r>
      <w:r>
        <w:rPr>
          <w:rFonts w:ascii="Arial" w:hAnsi="Arial" w:cs="Arial"/>
        </w:rPr>
        <w:t xml:space="preserve"> the Lord Chancellor is to consult the </w:t>
      </w:r>
      <w:r w:rsidR="007773AE">
        <w:rPr>
          <w:rFonts w:ascii="Arial" w:hAnsi="Arial" w:cs="Arial"/>
        </w:rPr>
        <w:t>Government Actuary rather than the expert panel on the first review</w:t>
      </w:r>
      <w:r w:rsidR="00860851">
        <w:rPr>
          <w:rFonts w:ascii="Arial" w:hAnsi="Arial" w:cs="Arial"/>
        </w:rPr>
        <w:t>; and the PIDR to be reviewed at least every five years</w:t>
      </w:r>
      <w:r w:rsidR="007773AE">
        <w:rPr>
          <w:rFonts w:ascii="Arial" w:hAnsi="Arial" w:cs="Arial"/>
        </w:rPr>
        <w:t>.</w:t>
      </w:r>
      <w:r>
        <w:rPr>
          <w:rFonts w:ascii="Arial" w:hAnsi="Arial" w:cs="Arial"/>
        </w:rPr>
        <w:t xml:space="preserve"> </w:t>
      </w:r>
    </w:p>
    <w:p w14:paraId="6AEE50C2" w14:textId="77777777" w:rsidR="004315B6" w:rsidRDefault="004315B6" w:rsidP="000C0F2C">
      <w:pPr>
        <w:pStyle w:val="ListParagraph"/>
        <w:spacing w:after="0"/>
        <w:rPr>
          <w:rFonts w:ascii="Arial" w:hAnsi="Arial" w:cs="Arial"/>
        </w:rPr>
      </w:pPr>
    </w:p>
    <w:p w14:paraId="13902AA3" w14:textId="655D2C15" w:rsidR="00C35F20" w:rsidRDefault="00860851" w:rsidP="00A0512E">
      <w:pPr>
        <w:numPr>
          <w:ilvl w:val="0"/>
          <w:numId w:val="25"/>
        </w:numPr>
        <w:spacing w:after="0" w:line="240" w:lineRule="auto"/>
        <w:rPr>
          <w:rFonts w:ascii="Arial" w:hAnsi="Arial" w:cs="Arial"/>
        </w:rPr>
      </w:pPr>
      <w:r>
        <w:rPr>
          <w:rFonts w:ascii="Arial" w:hAnsi="Arial" w:cs="Arial"/>
        </w:rPr>
        <w:t xml:space="preserve">The provisions of the Bill relating to the </w:t>
      </w:r>
      <w:r w:rsidR="00DE5139">
        <w:rPr>
          <w:rFonts w:ascii="Arial" w:hAnsi="Arial" w:cs="Arial"/>
        </w:rPr>
        <w:t xml:space="preserve">setting of the </w:t>
      </w:r>
      <w:r>
        <w:rPr>
          <w:rFonts w:ascii="Arial" w:hAnsi="Arial" w:cs="Arial"/>
        </w:rPr>
        <w:t>PIDR were not amended in the Commons</w:t>
      </w:r>
      <w:r w:rsidR="00DE5139">
        <w:rPr>
          <w:rFonts w:ascii="Arial" w:hAnsi="Arial" w:cs="Arial"/>
        </w:rPr>
        <w:t>. Provisions were</w:t>
      </w:r>
      <w:r w:rsidR="00A0512E">
        <w:rPr>
          <w:rFonts w:ascii="Arial" w:hAnsi="Arial" w:cs="Arial"/>
        </w:rPr>
        <w:t>, however,</w:t>
      </w:r>
      <w:r w:rsidR="00DE5139">
        <w:rPr>
          <w:rFonts w:ascii="Arial" w:hAnsi="Arial" w:cs="Arial"/>
        </w:rPr>
        <w:t xml:space="preserve"> added in the Commons and approved by the Lords under which t</w:t>
      </w:r>
      <w:r w:rsidR="00DE5139" w:rsidRPr="00DE5139">
        <w:rPr>
          <w:rFonts w:ascii="Arial" w:hAnsi="Arial" w:cs="Arial"/>
        </w:rPr>
        <w:t xml:space="preserve">he Treasury will make regulations holding insurers to account against their public commitments to pass on savings from the </w:t>
      </w:r>
      <w:r w:rsidR="00DE5139">
        <w:rPr>
          <w:rFonts w:ascii="Arial" w:hAnsi="Arial" w:cs="Arial"/>
        </w:rPr>
        <w:t>legislation, including the changes to the setting of the PIDR,</w:t>
      </w:r>
      <w:r w:rsidR="00DE5139" w:rsidRPr="00DE5139">
        <w:rPr>
          <w:rFonts w:ascii="Arial" w:hAnsi="Arial" w:cs="Arial"/>
        </w:rPr>
        <w:t xml:space="preserve"> to consumers</w:t>
      </w:r>
      <w:r w:rsidR="00A0512E">
        <w:rPr>
          <w:rFonts w:ascii="Arial" w:hAnsi="Arial" w:cs="Arial"/>
        </w:rPr>
        <w:t xml:space="preserve"> (when </w:t>
      </w:r>
      <w:r w:rsidR="00A0512E" w:rsidRPr="00A0512E">
        <w:rPr>
          <w:rFonts w:ascii="Arial" w:hAnsi="Arial" w:cs="Arial"/>
        </w:rPr>
        <w:t>the Bill was introduced twenty-six ABI members, representing most of the UK motor insurance market, gave a written commitment to the Government to pass on cost benefits to customers if the package of measures in the Bill be</w:t>
      </w:r>
      <w:r w:rsidR="004315B6">
        <w:rPr>
          <w:rFonts w:ascii="Arial" w:hAnsi="Arial" w:cs="Arial"/>
        </w:rPr>
        <w:t>ca</w:t>
      </w:r>
      <w:r w:rsidR="00A0512E" w:rsidRPr="00A0512E">
        <w:rPr>
          <w:rFonts w:ascii="Arial" w:hAnsi="Arial" w:cs="Arial"/>
        </w:rPr>
        <w:t>me</w:t>
      </w:r>
      <w:r w:rsidR="004315B6">
        <w:rPr>
          <w:rFonts w:ascii="Arial" w:hAnsi="Arial" w:cs="Arial"/>
        </w:rPr>
        <w:t xml:space="preserve"> law</w:t>
      </w:r>
      <w:r w:rsidR="00A0512E">
        <w:rPr>
          <w:rFonts w:ascii="Arial" w:hAnsi="Arial" w:cs="Arial"/>
        </w:rPr>
        <w:t>. Under the provisions i</w:t>
      </w:r>
      <w:r w:rsidR="00DE5139" w:rsidRPr="00DE5139">
        <w:rPr>
          <w:rFonts w:ascii="Arial" w:hAnsi="Arial" w:cs="Arial"/>
        </w:rPr>
        <w:t>nsurers will be required to report information on claims costs, premium income, and other factors to the F</w:t>
      </w:r>
      <w:r w:rsidR="00DE5139">
        <w:rPr>
          <w:rFonts w:ascii="Arial" w:hAnsi="Arial" w:cs="Arial"/>
        </w:rPr>
        <w:t xml:space="preserve">inancial </w:t>
      </w:r>
      <w:r w:rsidR="00DE5139" w:rsidRPr="00DE5139">
        <w:rPr>
          <w:rFonts w:ascii="Arial" w:hAnsi="Arial" w:cs="Arial"/>
        </w:rPr>
        <w:t>C</w:t>
      </w:r>
      <w:r w:rsidR="00DE5139">
        <w:rPr>
          <w:rFonts w:ascii="Arial" w:hAnsi="Arial" w:cs="Arial"/>
        </w:rPr>
        <w:t xml:space="preserve">onduct </w:t>
      </w:r>
      <w:r w:rsidR="00DE5139" w:rsidRPr="00DE5139">
        <w:rPr>
          <w:rFonts w:ascii="Arial" w:hAnsi="Arial" w:cs="Arial"/>
        </w:rPr>
        <w:t>A</w:t>
      </w:r>
      <w:r w:rsidR="00DE5139">
        <w:rPr>
          <w:rFonts w:ascii="Arial" w:hAnsi="Arial" w:cs="Arial"/>
        </w:rPr>
        <w:t>uthority</w:t>
      </w:r>
      <w:r w:rsidR="00DE5139" w:rsidRPr="00DE5139">
        <w:rPr>
          <w:rFonts w:ascii="Arial" w:hAnsi="Arial" w:cs="Arial"/>
        </w:rPr>
        <w:t>.</w:t>
      </w:r>
      <w:r w:rsidR="002455D1">
        <w:rPr>
          <w:rFonts w:ascii="Arial" w:hAnsi="Arial" w:cs="Arial"/>
        </w:rPr>
        <w:t xml:space="preserve"> </w:t>
      </w:r>
    </w:p>
    <w:p w14:paraId="1CC0664A" w14:textId="77777777" w:rsidR="0069005A" w:rsidRPr="001C0BCC" w:rsidRDefault="0069005A" w:rsidP="0069005A">
      <w:pPr>
        <w:pStyle w:val="EBBodyPara"/>
        <w:spacing w:before="360"/>
        <w:rPr>
          <w:b/>
          <w:bCs w:val="0"/>
          <w:sz w:val="28"/>
          <w:szCs w:val="28"/>
        </w:rPr>
      </w:pPr>
      <w:r w:rsidRPr="004F56AE">
        <w:rPr>
          <w:b/>
          <w:bCs w:val="0"/>
          <w:sz w:val="28"/>
          <w:szCs w:val="28"/>
        </w:rPr>
        <w:t>C</w:t>
      </w:r>
      <w:r w:rsidRPr="001C0BCC">
        <w:rPr>
          <w:b/>
          <w:bCs w:val="0"/>
          <w:sz w:val="28"/>
          <w:szCs w:val="28"/>
        </w:rPr>
        <w:t>. Affected Stakeholder Groups, Organisations and Sectors</w:t>
      </w:r>
    </w:p>
    <w:p w14:paraId="1C20EBC4" w14:textId="77777777" w:rsidR="0069005A" w:rsidRPr="000D0091" w:rsidRDefault="0069005A" w:rsidP="00F54332">
      <w:pPr>
        <w:pStyle w:val="Heading3"/>
        <w:numPr>
          <w:ilvl w:val="0"/>
          <w:numId w:val="25"/>
        </w:numPr>
        <w:spacing w:before="240"/>
        <w:rPr>
          <w:rFonts w:ascii="Arial" w:eastAsia="Times New Roman" w:hAnsi="Arial" w:cs="Arial"/>
          <w:bCs/>
          <w:color w:val="000000"/>
          <w:sz w:val="22"/>
          <w:szCs w:val="22"/>
          <w:lang w:eastAsia="en-GB"/>
        </w:rPr>
      </w:pPr>
      <w:r w:rsidRPr="000D0091">
        <w:rPr>
          <w:rFonts w:ascii="Arial" w:eastAsia="Times New Roman" w:hAnsi="Arial" w:cs="Arial"/>
          <w:bCs/>
          <w:color w:val="000000"/>
          <w:sz w:val="22"/>
          <w:szCs w:val="22"/>
          <w:lang w:eastAsia="en-GB"/>
        </w:rPr>
        <w:t xml:space="preserve">The following individuals/sectors are </w:t>
      </w:r>
      <w:r w:rsidR="00C56768">
        <w:rPr>
          <w:rFonts w:ascii="Arial" w:eastAsia="Times New Roman" w:hAnsi="Arial" w:cs="Arial"/>
          <w:bCs/>
          <w:color w:val="000000"/>
          <w:sz w:val="22"/>
          <w:szCs w:val="22"/>
          <w:lang w:eastAsia="en-GB"/>
        </w:rPr>
        <w:t xml:space="preserve">most </w:t>
      </w:r>
      <w:r w:rsidRPr="000D0091">
        <w:rPr>
          <w:rFonts w:ascii="Arial" w:eastAsia="Times New Roman" w:hAnsi="Arial" w:cs="Arial"/>
          <w:bCs/>
          <w:color w:val="000000"/>
          <w:sz w:val="22"/>
          <w:szCs w:val="22"/>
          <w:lang w:eastAsia="en-GB"/>
        </w:rPr>
        <w:t xml:space="preserve">likely to be affected by the </w:t>
      </w:r>
      <w:r w:rsidR="0018594C">
        <w:rPr>
          <w:rFonts w:ascii="Arial" w:eastAsia="Times New Roman" w:hAnsi="Arial" w:cs="Arial"/>
          <w:bCs/>
          <w:color w:val="000000"/>
          <w:sz w:val="22"/>
          <w:szCs w:val="22"/>
          <w:lang w:eastAsia="en-GB"/>
        </w:rPr>
        <w:t>preferred options</w:t>
      </w:r>
      <w:r w:rsidRPr="000D0091">
        <w:rPr>
          <w:rFonts w:ascii="Arial" w:eastAsia="Times New Roman" w:hAnsi="Arial" w:cs="Arial"/>
          <w:bCs/>
          <w:color w:val="000000"/>
          <w:sz w:val="22"/>
          <w:szCs w:val="22"/>
          <w:lang w:eastAsia="en-GB"/>
        </w:rPr>
        <w:t>:</w:t>
      </w:r>
    </w:p>
    <w:p w14:paraId="36019199" w14:textId="77777777" w:rsidR="0069005A" w:rsidRPr="00651181" w:rsidRDefault="0069005A" w:rsidP="0069005A">
      <w:pPr>
        <w:pStyle w:val="Default"/>
        <w:rPr>
          <w:sz w:val="22"/>
          <w:szCs w:val="22"/>
        </w:rPr>
      </w:pPr>
    </w:p>
    <w:p w14:paraId="753B7AC9" w14:textId="77777777" w:rsidR="0069005A" w:rsidRPr="00651181" w:rsidRDefault="0069005A" w:rsidP="0069005A">
      <w:pPr>
        <w:pStyle w:val="EBBodyPara"/>
        <w:keepNext/>
        <w:numPr>
          <w:ilvl w:val="0"/>
          <w:numId w:val="26"/>
        </w:numPr>
        <w:ind w:left="757"/>
      </w:pPr>
      <w:r w:rsidRPr="00651181">
        <w:t>Claimants in personal injury cases</w:t>
      </w:r>
      <w:r>
        <w:t xml:space="preserve"> and, in some cases, their personal representatives</w:t>
      </w:r>
      <w:r w:rsidRPr="00651181">
        <w:t xml:space="preserve">. </w:t>
      </w:r>
    </w:p>
    <w:p w14:paraId="05E279EB" w14:textId="77777777" w:rsidR="0069005A" w:rsidRDefault="0069005A" w:rsidP="0069005A">
      <w:pPr>
        <w:pStyle w:val="EBBodyPara"/>
        <w:keepNext/>
        <w:numPr>
          <w:ilvl w:val="0"/>
          <w:numId w:val="26"/>
        </w:numPr>
        <w:ind w:left="757"/>
      </w:pPr>
      <w:r w:rsidRPr="00651181">
        <w:t xml:space="preserve">Defendants in personal injury cases, including public sector bodies such </w:t>
      </w:r>
      <w:r w:rsidR="00273A80">
        <w:t xml:space="preserve">as </w:t>
      </w:r>
      <w:r w:rsidRPr="00651181">
        <w:t>NHS</w:t>
      </w:r>
      <w:r w:rsidR="00B643D5">
        <w:t xml:space="preserve"> Resolution (who negotiate settlements on behalf of the NHS in personal injury cases)</w:t>
      </w:r>
      <w:r w:rsidRPr="00651181">
        <w:t>, other businesses, insurers</w:t>
      </w:r>
      <w:r w:rsidR="00273A80">
        <w:t xml:space="preserve"> </w:t>
      </w:r>
      <w:r w:rsidR="00807E0F">
        <w:t>and</w:t>
      </w:r>
      <w:r w:rsidR="00A36847">
        <w:t xml:space="preserve"> </w:t>
      </w:r>
      <w:r w:rsidR="00273A80">
        <w:t>Medical Defence Organisations</w:t>
      </w:r>
      <w:r w:rsidRPr="00651181">
        <w:t>.</w:t>
      </w:r>
    </w:p>
    <w:p w14:paraId="5C6BDA73" w14:textId="77777777" w:rsidR="0069005A" w:rsidRPr="00651181" w:rsidRDefault="0069005A" w:rsidP="0069005A">
      <w:pPr>
        <w:pStyle w:val="EBBodyPara"/>
        <w:keepNext/>
        <w:numPr>
          <w:ilvl w:val="0"/>
          <w:numId w:val="26"/>
        </w:numPr>
        <w:ind w:left="757"/>
      </w:pPr>
      <w:r>
        <w:t xml:space="preserve">Members of </w:t>
      </w:r>
      <w:r w:rsidR="00B643D5">
        <w:t>the</w:t>
      </w:r>
      <w:r>
        <w:t xml:space="preserve"> expert panel </w:t>
      </w:r>
      <w:r w:rsidR="00B643D5">
        <w:t xml:space="preserve">proposed </w:t>
      </w:r>
      <w:r>
        <w:t>under Option 3</w:t>
      </w:r>
      <w:r w:rsidR="008B6D5E">
        <w:t>.</w:t>
      </w:r>
    </w:p>
    <w:p w14:paraId="30A862D1" w14:textId="77777777" w:rsidR="0069005A" w:rsidRPr="00651181" w:rsidRDefault="0069005A" w:rsidP="0069005A">
      <w:pPr>
        <w:pStyle w:val="EBBodyPara"/>
        <w:keepNext/>
        <w:numPr>
          <w:ilvl w:val="0"/>
          <w:numId w:val="26"/>
        </w:numPr>
        <w:ind w:left="757"/>
      </w:pPr>
      <w:r w:rsidRPr="00651181">
        <w:t>Legal services providers</w:t>
      </w:r>
      <w:r>
        <w:t>,</w:t>
      </w:r>
      <w:r w:rsidRPr="00651181">
        <w:t xml:space="preserve"> financial advisers</w:t>
      </w:r>
      <w:r>
        <w:t>, wealth managers and professional deputies</w:t>
      </w:r>
      <w:r w:rsidRPr="00651181">
        <w:t>.</w:t>
      </w:r>
    </w:p>
    <w:p w14:paraId="46E3BB20" w14:textId="77777777" w:rsidR="0069005A" w:rsidRPr="00651181" w:rsidRDefault="0069005A" w:rsidP="0069005A">
      <w:pPr>
        <w:pStyle w:val="EBBodyPara"/>
        <w:keepNext/>
        <w:numPr>
          <w:ilvl w:val="0"/>
          <w:numId w:val="26"/>
        </w:numPr>
        <w:ind w:left="757"/>
      </w:pPr>
      <w:r w:rsidRPr="00651181">
        <w:t>H</w:t>
      </w:r>
      <w:r>
        <w:t xml:space="preserve">er </w:t>
      </w:r>
      <w:r w:rsidRPr="00651181">
        <w:t>M</w:t>
      </w:r>
      <w:r>
        <w:t>ajesty’s</w:t>
      </w:r>
      <w:r w:rsidRPr="00651181">
        <w:t xml:space="preserve"> Courts </w:t>
      </w:r>
      <w:r>
        <w:t>and</w:t>
      </w:r>
      <w:r w:rsidRPr="00651181">
        <w:t xml:space="preserve"> Tribunals Service</w:t>
      </w:r>
      <w:r>
        <w:t xml:space="preserve"> (HMCTS) and the judiciary</w:t>
      </w:r>
      <w:r w:rsidRPr="00651181">
        <w:t>.</w:t>
      </w:r>
    </w:p>
    <w:p w14:paraId="298E943E" w14:textId="3628C4F5" w:rsidR="0069005A" w:rsidRDefault="0069005A" w:rsidP="0069005A">
      <w:pPr>
        <w:pStyle w:val="EBBodyPara"/>
        <w:keepNext/>
        <w:numPr>
          <w:ilvl w:val="0"/>
          <w:numId w:val="26"/>
        </w:numPr>
        <w:ind w:left="757"/>
      </w:pPr>
      <w:r>
        <w:t xml:space="preserve">Government </w:t>
      </w:r>
      <w:r w:rsidR="00EB657D">
        <w:t>departments</w:t>
      </w:r>
      <w:r>
        <w:t>, including the</w:t>
      </w:r>
      <w:r w:rsidRPr="00651181">
        <w:t xml:space="preserve"> Ministry of Justice</w:t>
      </w:r>
      <w:r w:rsidR="000C4F99">
        <w:t xml:space="preserve"> (MoJ)</w:t>
      </w:r>
      <w:r w:rsidR="00EB657D">
        <w:t>, and local authorities</w:t>
      </w:r>
      <w:r w:rsidRPr="00651181">
        <w:t xml:space="preserve">. </w:t>
      </w:r>
    </w:p>
    <w:p w14:paraId="5DD9CB4A" w14:textId="77777777" w:rsidR="0069005A" w:rsidRPr="00390EA1" w:rsidRDefault="0069005A" w:rsidP="0069005A">
      <w:pPr>
        <w:pStyle w:val="EBBodyPara"/>
        <w:keepNext/>
        <w:numPr>
          <w:ilvl w:val="0"/>
          <w:numId w:val="26"/>
        </w:numPr>
        <w:ind w:left="757"/>
      </w:pPr>
      <w:r>
        <w:t xml:space="preserve">Wider society, either as </w:t>
      </w:r>
      <w:r w:rsidR="002100BC">
        <w:t>individuals and groups</w:t>
      </w:r>
      <w:r>
        <w:t xml:space="preserve"> with views concerning equity and fairness,</w:t>
      </w:r>
      <w:r w:rsidRPr="003A755F">
        <w:t xml:space="preserve"> </w:t>
      </w:r>
      <w:r w:rsidRPr="00651181">
        <w:t xml:space="preserve">and </w:t>
      </w:r>
      <w:r>
        <w:t xml:space="preserve">as </w:t>
      </w:r>
      <w:r w:rsidRPr="00651181">
        <w:t>individuals</w:t>
      </w:r>
      <w:r w:rsidR="002100BC">
        <w:t xml:space="preserve"> who</w:t>
      </w:r>
      <w:r w:rsidRPr="00651181">
        <w:t xml:space="preserve"> </w:t>
      </w:r>
      <w:r>
        <w:t xml:space="preserve">currently </w:t>
      </w:r>
      <w:r w:rsidRPr="00651181">
        <w:t>pay insurance premiums</w:t>
      </w:r>
      <w:r>
        <w:t xml:space="preserve"> and taxation but also as potential claimants in future personal injury cases.</w:t>
      </w:r>
    </w:p>
    <w:p w14:paraId="0758BBA4" w14:textId="77777777" w:rsidR="0069005A" w:rsidRDefault="0069005A" w:rsidP="0069005A">
      <w:pPr>
        <w:pStyle w:val="EBBodyPara"/>
        <w:keepNext/>
        <w:numPr>
          <w:ilvl w:val="0"/>
          <w:numId w:val="25"/>
        </w:numPr>
        <w:spacing w:before="240"/>
      </w:pPr>
      <w:r>
        <w:t>Of these</w:t>
      </w:r>
      <w:r w:rsidR="006E6A99">
        <w:t>,</w:t>
      </w:r>
      <w:r>
        <w:t xml:space="preserve"> only claimants and defendants are examined in detail in the analysis that follows (Section E)</w:t>
      </w:r>
      <w:r w:rsidR="00DB77C2">
        <w:t xml:space="preserve"> as the o</w:t>
      </w:r>
      <w:r>
        <w:t xml:space="preserve">thers </w:t>
      </w:r>
      <w:r w:rsidR="00DB77C2">
        <w:t>will be</w:t>
      </w:r>
      <w:r>
        <w:t xml:space="preserve"> only affected marginally or indirectly. In the rest of this section we briefly explain the possible impacts on those parties who </w:t>
      </w:r>
      <w:r w:rsidR="00DB77C2">
        <w:t>will be</w:t>
      </w:r>
      <w:r>
        <w:t xml:space="preserve"> less likely to be affected by each option. </w:t>
      </w:r>
    </w:p>
    <w:p w14:paraId="72232950" w14:textId="77777777" w:rsidR="0069005A" w:rsidRDefault="0069005A" w:rsidP="0069005A">
      <w:pPr>
        <w:pStyle w:val="EBBodyPara"/>
        <w:keepNext/>
        <w:numPr>
          <w:ilvl w:val="0"/>
          <w:numId w:val="25"/>
        </w:numPr>
        <w:spacing w:before="240"/>
      </w:pPr>
      <w:r>
        <w:t xml:space="preserve">Legal service providers </w:t>
      </w:r>
      <w:r w:rsidR="00B643D5">
        <w:t>will</w:t>
      </w:r>
      <w:r>
        <w:t xml:space="preserve"> not be affected </w:t>
      </w:r>
      <w:r w:rsidR="004A69CB">
        <w:t>by</w:t>
      </w:r>
      <w:r>
        <w:t xml:space="preserve"> the </w:t>
      </w:r>
      <w:r w:rsidR="002100BC">
        <w:t xml:space="preserve">preferred </w:t>
      </w:r>
      <w:r>
        <w:t>options. Firstly, in personal injury cases, t</w:t>
      </w:r>
      <w:r w:rsidRPr="007842A4">
        <w:t>he lawyer’s fee is not directly related to the damages recovered</w:t>
      </w:r>
      <w:r>
        <w:t xml:space="preserve"> and the success fee under any conditional fee arrangement or damage based agreement agreed with the claimant is capped at a level determined by reference to damages for pain, suffering and loss of amenity and past loss (to which the PIDR does not apply) rather than damages for future pecuniary loss (</w:t>
      </w:r>
      <w:r w:rsidR="00B643D5">
        <w:t xml:space="preserve">where </w:t>
      </w:r>
      <w:r>
        <w:t xml:space="preserve">the PIDR </w:t>
      </w:r>
      <w:r w:rsidR="008B6D5E">
        <w:t xml:space="preserve">does </w:t>
      </w:r>
      <w:r>
        <w:t>appl</w:t>
      </w:r>
      <w:r w:rsidR="008B6D5E">
        <w:t>y</w:t>
      </w:r>
      <w:r>
        <w:t xml:space="preserve">). Secondly, </w:t>
      </w:r>
      <w:r w:rsidR="002100BC">
        <w:t xml:space="preserve">as </w:t>
      </w:r>
      <w:r>
        <w:t>there is unlikely to be any latent demand for legal services among victims of serious personal injury</w:t>
      </w:r>
      <w:r w:rsidR="002100BC">
        <w:t>, w</w:t>
      </w:r>
      <w:r>
        <w:t>e assume that the volume of cases handled by lawyers will not change</w:t>
      </w:r>
      <w:r w:rsidR="002100BC">
        <w:t>.</w:t>
      </w:r>
    </w:p>
    <w:p w14:paraId="49F4DEBE" w14:textId="048E4F35" w:rsidR="0069005A" w:rsidRDefault="0069005A" w:rsidP="0069005A">
      <w:pPr>
        <w:pStyle w:val="EBBodyPara"/>
        <w:keepNext/>
        <w:numPr>
          <w:ilvl w:val="0"/>
          <w:numId w:val="25"/>
        </w:numPr>
        <w:spacing w:before="240"/>
      </w:pPr>
      <w:r>
        <w:t xml:space="preserve">There is scope for an extended negotiation process if the frequency of review is not set appropriately under Option 2. For example, </w:t>
      </w:r>
      <w:r w:rsidR="00A622D7">
        <w:t>if</w:t>
      </w:r>
      <w:r>
        <w:t xml:space="preserve"> the PIDR </w:t>
      </w:r>
      <w:r w:rsidR="00A622D7">
        <w:t>were only reviewed</w:t>
      </w:r>
      <w:r>
        <w:t xml:space="preserve"> infrequently</w:t>
      </w:r>
      <w:r w:rsidR="00A622D7">
        <w:t xml:space="preserve">, the existing rate may </w:t>
      </w:r>
      <w:r>
        <w:t>no</w:t>
      </w:r>
      <w:r w:rsidR="00A622D7">
        <w:t xml:space="preserve"> longer reflect prevailing</w:t>
      </w:r>
      <w:r>
        <w:t xml:space="preserve"> economic conditions</w:t>
      </w:r>
      <w:r w:rsidR="00A622D7">
        <w:t>. If this were to occur</w:t>
      </w:r>
      <w:r>
        <w:t xml:space="preserve">, </w:t>
      </w:r>
      <w:r w:rsidR="00A622D7">
        <w:t>and depending on the direction of the divergence, either the claimant or defendant might</w:t>
      </w:r>
      <w:r>
        <w:t xml:space="preserve"> attempt to</w:t>
      </w:r>
      <w:r w:rsidRPr="00D3736C">
        <w:t xml:space="preserve"> delay settlement until a new rate </w:t>
      </w:r>
      <w:r w:rsidR="00B643D5">
        <w:t xml:space="preserve">is set </w:t>
      </w:r>
      <w:r w:rsidRPr="00D3736C">
        <w:t>which is more favourable to them</w:t>
      </w:r>
      <w:r>
        <w:t>selves</w:t>
      </w:r>
      <w:r w:rsidRPr="00D3736C">
        <w:t xml:space="preserve">. </w:t>
      </w:r>
      <w:r>
        <w:t>However, any additional fees a lawyer may claim for the work conducted during an extended negotiation may be offset by the opportunity cost of not taking up other cases.</w:t>
      </w:r>
      <w:r w:rsidR="008B6D5E">
        <w:t xml:space="preserve"> Evidence gathered in </w:t>
      </w:r>
      <w:r w:rsidR="00273A80">
        <w:t xml:space="preserve">the </w:t>
      </w:r>
      <w:r w:rsidR="008B6D5E">
        <w:t>consultation indicate</w:t>
      </w:r>
      <w:r w:rsidR="00273A80">
        <w:t>d</w:t>
      </w:r>
      <w:r w:rsidR="008B6D5E">
        <w:t xml:space="preserve"> that </w:t>
      </w:r>
      <w:r w:rsidR="00316CF4">
        <w:t xml:space="preserve">although there was a spread of opinion as to what period of time would be the best maximum interval between reviews, </w:t>
      </w:r>
      <w:r w:rsidR="008B6D5E">
        <w:t>a three</w:t>
      </w:r>
      <w:r w:rsidR="005273C1">
        <w:t>-</w:t>
      </w:r>
      <w:r w:rsidR="008B6D5E">
        <w:t xml:space="preserve">year interval </w:t>
      </w:r>
      <w:r w:rsidR="00273A80">
        <w:t xml:space="preserve">would </w:t>
      </w:r>
      <w:r w:rsidR="008B6D5E">
        <w:t>achieve the appropriate balance of allowing award settlements to be conducted with a degree of certainty without introducing undue incentives for parties to delay settlement in anticipation of a large change in the rate.</w:t>
      </w:r>
      <w:r w:rsidR="00273A80">
        <w:t xml:space="preserve"> </w:t>
      </w:r>
      <w:bookmarkStart w:id="21" w:name="_GoBack"/>
      <w:bookmarkEnd w:id="21"/>
      <w:r w:rsidR="00273A80">
        <w:t xml:space="preserve">The </w:t>
      </w:r>
      <w:r w:rsidR="00316CF4">
        <w:t xml:space="preserve">Government proposed this period in the Bill as introduced and considered that the </w:t>
      </w:r>
      <w:r w:rsidR="00273A80">
        <w:t>possibility of further discretionary reviews reduce</w:t>
      </w:r>
      <w:r w:rsidR="00316CF4">
        <w:t>d</w:t>
      </w:r>
      <w:r w:rsidR="00273A80">
        <w:t xml:space="preserve"> this risk further.</w:t>
      </w:r>
      <w:r w:rsidR="00316CF4">
        <w:t xml:space="preserve"> In the House of Lords, however, several Peers expressed concern that a three</w:t>
      </w:r>
      <w:r w:rsidR="00027119">
        <w:t>-</w:t>
      </w:r>
      <w:r w:rsidR="00316CF4">
        <w:t xml:space="preserve">year period was too short and that </w:t>
      </w:r>
      <w:r w:rsidR="00EF76A0">
        <w:t>it should be replaced by a five-</w:t>
      </w:r>
      <w:r w:rsidR="00316CF4">
        <w:t xml:space="preserve">year period to reduce the opportunities for “gaming” the expected outcome of the next review. In response to these arguments the period was extended by amendment to a maximum of five years. </w:t>
      </w:r>
    </w:p>
    <w:p w14:paraId="52120274" w14:textId="77777777" w:rsidR="0069005A" w:rsidRDefault="0069005A" w:rsidP="0069005A">
      <w:pPr>
        <w:pStyle w:val="EBBodyPara"/>
        <w:keepNext/>
        <w:numPr>
          <w:ilvl w:val="0"/>
          <w:numId w:val="25"/>
        </w:numPr>
        <w:spacing w:before="240"/>
      </w:pPr>
      <w:r>
        <w:t>Professional financial advisors and wealth managers (including the investment</w:t>
      </w:r>
      <w:r w:rsidRPr="004606DB">
        <w:t xml:space="preserve"> arms</w:t>
      </w:r>
      <w:r>
        <w:t xml:space="preserve"> of insurance and legal service firms), who advise claimants how to invest lump sums or manage the claimant’s assets often charge fee</w:t>
      </w:r>
      <w:r w:rsidR="00CA3C98">
        <w:t>s</w:t>
      </w:r>
      <w:r>
        <w:t xml:space="preserve"> related to the amount invested. Any change to the PIDR resulting from a change in the assumed risk tolerance of the claimant is likely to have a financial impact on this group (unless the lump sum awarded is sufficiently large that they consider the claimant could achieve the required return without the need for active portfolio management or advice). Professional deputies appointed to manage the affairs of claimants lacking mental capacity </w:t>
      </w:r>
      <w:r w:rsidR="00CA3C98">
        <w:t>will</w:t>
      </w:r>
      <w:r>
        <w:t xml:space="preserve"> be similarly affected. We do not consider these any further because the impacts are qualitatively similar to those on the claimant</w:t>
      </w:r>
      <w:r w:rsidR="008B6D5E">
        <w:t xml:space="preserve">. </w:t>
      </w:r>
      <w:r>
        <w:t xml:space="preserve"> </w:t>
      </w:r>
    </w:p>
    <w:p w14:paraId="17F4F768" w14:textId="77777777" w:rsidR="0069005A" w:rsidRDefault="0069005A" w:rsidP="0069005A">
      <w:pPr>
        <w:pStyle w:val="EBBodyPara"/>
        <w:keepNext/>
        <w:numPr>
          <w:ilvl w:val="0"/>
          <w:numId w:val="25"/>
        </w:numPr>
        <w:spacing w:before="240"/>
      </w:pPr>
      <w:r>
        <w:t xml:space="preserve">Professional financial advisors and wealth managers are regulated by the Financial Conduct Authority and are required to consider their clients’ best interests when providing their services. We have not, therefore, considered as likely any perverse incentives among these professionals to advise investing inappropriately (for example </w:t>
      </w:r>
      <w:r w:rsidR="002100BC">
        <w:t xml:space="preserve">by </w:t>
      </w:r>
      <w:r>
        <w:t xml:space="preserve">advising investment in high yield, high risk assets </w:t>
      </w:r>
      <w:r w:rsidR="0018594C">
        <w:t xml:space="preserve">solely </w:t>
      </w:r>
      <w:r>
        <w:t xml:space="preserve">for the sake of raising fee income) under </w:t>
      </w:r>
      <w:r w:rsidR="003048E5">
        <w:t xml:space="preserve">the </w:t>
      </w:r>
      <w:r>
        <w:t xml:space="preserve">principles </w:t>
      </w:r>
      <w:r w:rsidR="003048E5">
        <w:t xml:space="preserve">adopted </w:t>
      </w:r>
      <w:r>
        <w:t xml:space="preserve">under Option 1. </w:t>
      </w:r>
    </w:p>
    <w:p w14:paraId="2BC40D66" w14:textId="5C33DBEF" w:rsidR="0069005A" w:rsidRDefault="0069005A" w:rsidP="0069005A">
      <w:pPr>
        <w:pStyle w:val="EBBodyPara"/>
        <w:keepNext/>
        <w:numPr>
          <w:ilvl w:val="0"/>
          <w:numId w:val="25"/>
        </w:numPr>
        <w:spacing w:before="240"/>
      </w:pPr>
      <w:r>
        <w:t xml:space="preserve">The courts are unlikely to be affected by any of the </w:t>
      </w:r>
      <w:r w:rsidR="004315B6">
        <w:t xml:space="preserve">preferred </w:t>
      </w:r>
      <w:r>
        <w:t xml:space="preserve">options over and above being the decision makers to whom the rate is directed. There may be small additional costs related to training and guidance to judges in applying any new rate, especially </w:t>
      </w:r>
      <w:r w:rsidR="00316CF4">
        <w:t xml:space="preserve">as </w:t>
      </w:r>
      <w:r>
        <w:t xml:space="preserve">the rate </w:t>
      </w:r>
      <w:r w:rsidR="00316CF4">
        <w:t>will be</w:t>
      </w:r>
      <w:r>
        <w:t xml:space="preserve"> set more regularly</w:t>
      </w:r>
      <w:r w:rsidR="00316CF4">
        <w:t xml:space="preserve"> in the future</w:t>
      </w:r>
      <w:r>
        <w:t xml:space="preserve">. We assume no change in claim volume and no change in the volume that reach later court stages. To the extent that the latter does change, the additional volume is expected to be negligible in comparison with the court’s existing workload.  </w:t>
      </w:r>
    </w:p>
    <w:p w14:paraId="1B42D9E0" w14:textId="49B4E690" w:rsidR="0069005A" w:rsidRPr="006E0A89" w:rsidRDefault="0069005A" w:rsidP="0069005A">
      <w:pPr>
        <w:pStyle w:val="EBBodyPara"/>
        <w:keepNext/>
        <w:numPr>
          <w:ilvl w:val="0"/>
          <w:numId w:val="25"/>
        </w:numPr>
        <w:spacing w:before="240"/>
      </w:pPr>
      <w:r>
        <w:t xml:space="preserve">Government administrations such as the </w:t>
      </w:r>
      <w:r w:rsidR="000C4F99">
        <w:t>MoJ</w:t>
      </w:r>
      <w:r>
        <w:t xml:space="preserve"> may be engaged in the decision-making process to a greater or lesser extent than currently. The change is assumed to be handled as business-as-usual work with negligible financial impact. There </w:t>
      </w:r>
      <w:r w:rsidR="0007282D">
        <w:t>will</w:t>
      </w:r>
      <w:r>
        <w:t xml:space="preserve"> be remuneration or at least disbursement costs associated with administering an expert panel considered under Option 3.</w:t>
      </w:r>
    </w:p>
    <w:p w14:paraId="6EAD155A" w14:textId="77777777" w:rsidR="0069005A" w:rsidRPr="00651181" w:rsidRDefault="0069005A" w:rsidP="0069005A">
      <w:pPr>
        <w:pStyle w:val="Heading2"/>
        <w:spacing w:before="360"/>
      </w:pPr>
      <w:r w:rsidRPr="00B10D6F">
        <w:rPr>
          <w:b/>
          <w:sz w:val="28"/>
          <w:szCs w:val="28"/>
        </w:rPr>
        <w:t>D</w:t>
      </w:r>
      <w:r w:rsidRPr="00651181">
        <w:t xml:space="preserve">. </w:t>
      </w:r>
      <w:r w:rsidRPr="00B655C9">
        <w:rPr>
          <w:b/>
          <w:sz w:val="28"/>
          <w:szCs w:val="28"/>
        </w:rPr>
        <w:t>Description of options considered</w:t>
      </w:r>
      <w:r w:rsidRPr="00651181">
        <w:t xml:space="preserve"> </w:t>
      </w:r>
    </w:p>
    <w:p w14:paraId="011919A2" w14:textId="6A2F74AC" w:rsidR="00E853BE" w:rsidRDefault="005F7893" w:rsidP="0069005A">
      <w:pPr>
        <w:pStyle w:val="EBBodyPara"/>
        <w:keepNext/>
        <w:numPr>
          <w:ilvl w:val="0"/>
          <w:numId w:val="25"/>
        </w:numPr>
      </w:pPr>
      <w:r>
        <w:t>Following a consideration of the consultation responses, and t</w:t>
      </w:r>
      <w:r w:rsidR="0069005A">
        <w:t>o meet the policy objectives, t</w:t>
      </w:r>
      <w:r w:rsidR="0069005A" w:rsidRPr="00F96CCD">
        <w:t xml:space="preserve">he </w:t>
      </w:r>
      <w:r w:rsidR="006F5950">
        <w:t xml:space="preserve">Government </w:t>
      </w:r>
      <w:r>
        <w:t>decided to</w:t>
      </w:r>
      <w:r w:rsidR="00DB77C2">
        <w:t xml:space="preserve"> </w:t>
      </w:r>
      <w:r w:rsidR="006F5950">
        <w:t>reform</w:t>
      </w:r>
      <w:r w:rsidR="0069005A" w:rsidRPr="00F96CCD">
        <w:t xml:space="preserve"> the legal framework </w:t>
      </w:r>
      <w:r w:rsidR="0069005A">
        <w:t>used for setting the PIDR</w:t>
      </w:r>
      <w:r w:rsidR="0069005A" w:rsidRPr="00F96CCD">
        <w:t xml:space="preserve">. </w:t>
      </w:r>
      <w:r w:rsidR="00DB77C2">
        <w:t xml:space="preserve">While </w:t>
      </w:r>
      <w:r w:rsidR="00E853BE">
        <w:t>these options are not</w:t>
      </w:r>
      <w:r w:rsidR="0069005A" w:rsidRPr="00F96CCD">
        <w:t xml:space="preserve"> mutually exclusive</w:t>
      </w:r>
      <w:r w:rsidR="00E853BE">
        <w:t>, for simplicity we have chosen to assess them as a package</w:t>
      </w:r>
      <w:r w:rsidR="0069005A" w:rsidRPr="00F96CCD">
        <w:t xml:space="preserve">. </w:t>
      </w:r>
      <w:r w:rsidR="007773AE">
        <w:t xml:space="preserve">For simplicity we have not included an additional option in relation to the first review of the rate, which, following amendments in the House of Lords, will follow a different pattern from the subsequent reviews. The practical difference will be that a panel </w:t>
      </w:r>
      <w:r w:rsidR="000C4F99">
        <w:t>will</w:t>
      </w:r>
      <w:r w:rsidR="007773AE">
        <w:t xml:space="preserve"> not need to be recruited or remunerated for the first review. </w:t>
      </w:r>
    </w:p>
    <w:p w14:paraId="3AF8F9C0" w14:textId="77777777" w:rsidR="0069005A" w:rsidRDefault="0069005A" w:rsidP="0069005A">
      <w:pPr>
        <w:pStyle w:val="EBBodyPara"/>
        <w:keepNext/>
        <w:numPr>
          <w:ilvl w:val="0"/>
          <w:numId w:val="25"/>
        </w:numPr>
      </w:pPr>
      <w:r>
        <w:t>These options</w:t>
      </w:r>
      <w:r w:rsidR="003048E5">
        <w:t xml:space="preserve"> </w:t>
      </w:r>
      <w:r>
        <w:t>are:</w:t>
      </w:r>
    </w:p>
    <w:p w14:paraId="7C92006E" w14:textId="77777777" w:rsidR="0069005A" w:rsidRDefault="0069005A" w:rsidP="0069005A">
      <w:pPr>
        <w:pStyle w:val="Heading3"/>
        <w:numPr>
          <w:ilvl w:val="0"/>
          <w:numId w:val="27"/>
        </w:numPr>
        <w:spacing w:before="240"/>
        <w:rPr>
          <w:rFonts w:ascii="Arial" w:hAnsi="Arial" w:cs="Arial"/>
          <w:b/>
          <w:color w:val="auto"/>
          <w:sz w:val="22"/>
          <w:szCs w:val="22"/>
        </w:rPr>
      </w:pPr>
      <w:r w:rsidRPr="00B655C9">
        <w:rPr>
          <w:rFonts w:ascii="Arial" w:hAnsi="Arial" w:cs="Arial"/>
          <w:b/>
          <w:color w:val="auto"/>
          <w:sz w:val="22"/>
          <w:szCs w:val="22"/>
        </w:rPr>
        <w:t>Option 0</w:t>
      </w:r>
      <w:r w:rsidR="00C01E9A">
        <w:rPr>
          <w:rFonts w:ascii="Arial" w:hAnsi="Arial" w:cs="Arial"/>
          <w:b/>
          <w:color w:val="auto"/>
          <w:sz w:val="22"/>
          <w:szCs w:val="22"/>
        </w:rPr>
        <w:t>/</w:t>
      </w:r>
      <w:r w:rsidR="009E7DA9" w:rsidRPr="00655E31">
        <w:rPr>
          <w:rFonts w:ascii="Arial" w:hAnsi="Arial" w:cs="Arial"/>
          <w:b/>
          <w:color w:val="auto"/>
          <w:sz w:val="22"/>
          <w:szCs w:val="22"/>
        </w:rPr>
        <w:t>Do nothing. Continue to set the PIDR in accordance with the current legal framework.</w:t>
      </w:r>
    </w:p>
    <w:p w14:paraId="082784C9" w14:textId="62AF0D0E" w:rsidR="0069005A" w:rsidRPr="009E7DA9" w:rsidRDefault="009E7DA9" w:rsidP="00655E31">
      <w:pPr>
        <w:pStyle w:val="Heading3"/>
        <w:numPr>
          <w:ilvl w:val="0"/>
          <w:numId w:val="27"/>
        </w:numPr>
        <w:spacing w:before="0"/>
        <w:ind w:left="714" w:hanging="357"/>
        <w:rPr>
          <w:rFonts w:ascii="Arial" w:hAnsi="Arial" w:cs="Arial"/>
          <w:b/>
          <w:color w:val="auto"/>
          <w:sz w:val="22"/>
          <w:szCs w:val="22"/>
        </w:rPr>
      </w:pPr>
      <w:r>
        <w:rPr>
          <w:rFonts w:ascii="Arial" w:hAnsi="Arial" w:cs="Arial"/>
          <w:b/>
          <w:color w:val="auto"/>
          <w:sz w:val="22"/>
          <w:szCs w:val="22"/>
        </w:rPr>
        <w:t xml:space="preserve">Option 1: </w:t>
      </w:r>
      <w:r w:rsidRPr="00655E31">
        <w:rPr>
          <w:rFonts w:ascii="Arial" w:hAnsi="Arial" w:cs="Arial"/>
          <w:b/>
          <w:color w:val="auto"/>
          <w:sz w:val="22"/>
          <w:szCs w:val="22"/>
        </w:rPr>
        <w:t xml:space="preserve">Change the legal framework, in particular </w:t>
      </w:r>
      <w:r w:rsidR="002649C9">
        <w:rPr>
          <w:rFonts w:ascii="Arial" w:hAnsi="Arial" w:cs="Arial"/>
          <w:b/>
          <w:color w:val="auto"/>
          <w:sz w:val="22"/>
          <w:szCs w:val="22"/>
        </w:rPr>
        <w:t xml:space="preserve">by </w:t>
      </w:r>
      <w:r w:rsidRPr="00655E31">
        <w:rPr>
          <w:rFonts w:ascii="Arial" w:hAnsi="Arial" w:cs="Arial"/>
          <w:b/>
          <w:color w:val="auto"/>
          <w:sz w:val="22"/>
          <w:szCs w:val="22"/>
        </w:rPr>
        <w:t xml:space="preserve">setting the </w:t>
      </w:r>
      <w:r w:rsidR="002649C9">
        <w:rPr>
          <w:rFonts w:ascii="Arial" w:hAnsi="Arial" w:cs="Arial"/>
          <w:b/>
          <w:color w:val="auto"/>
          <w:sz w:val="22"/>
          <w:szCs w:val="22"/>
        </w:rPr>
        <w:t xml:space="preserve">PIDR </w:t>
      </w:r>
      <w:r w:rsidRPr="00655E31">
        <w:rPr>
          <w:rFonts w:ascii="Arial" w:hAnsi="Arial" w:cs="Arial"/>
          <w:b/>
          <w:color w:val="auto"/>
          <w:sz w:val="22"/>
          <w:szCs w:val="22"/>
        </w:rPr>
        <w:t xml:space="preserve">with reference to an investment strategy with a higher expected </w:t>
      </w:r>
      <w:r w:rsidR="00316CF4">
        <w:rPr>
          <w:rFonts w:ascii="Arial" w:hAnsi="Arial" w:cs="Arial"/>
          <w:b/>
          <w:color w:val="auto"/>
          <w:sz w:val="22"/>
          <w:szCs w:val="22"/>
        </w:rPr>
        <w:t xml:space="preserve">gross </w:t>
      </w:r>
      <w:r w:rsidRPr="00655E31">
        <w:rPr>
          <w:rFonts w:ascii="Arial" w:hAnsi="Arial" w:cs="Arial"/>
          <w:b/>
          <w:color w:val="auto"/>
          <w:sz w:val="22"/>
          <w:szCs w:val="22"/>
        </w:rPr>
        <w:t>return than assumed under the current framework.</w:t>
      </w:r>
    </w:p>
    <w:p w14:paraId="6F1DBA34" w14:textId="2D4236B7" w:rsidR="0069005A" w:rsidRPr="001E1479" w:rsidRDefault="0069005A" w:rsidP="0069005A">
      <w:pPr>
        <w:pStyle w:val="Heading3"/>
        <w:numPr>
          <w:ilvl w:val="0"/>
          <w:numId w:val="27"/>
        </w:numPr>
        <w:rPr>
          <w:rFonts w:ascii="Arial" w:hAnsi="Arial" w:cs="Arial"/>
          <w:b/>
          <w:color w:val="auto"/>
          <w:sz w:val="22"/>
          <w:szCs w:val="22"/>
        </w:rPr>
      </w:pPr>
      <w:r w:rsidRPr="001E1479">
        <w:rPr>
          <w:rFonts w:ascii="Arial" w:hAnsi="Arial" w:cs="Arial"/>
          <w:b/>
          <w:color w:val="auto"/>
          <w:sz w:val="22"/>
          <w:szCs w:val="22"/>
        </w:rPr>
        <w:t xml:space="preserve">Option 2: </w:t>
      </w:r>
      <w:r w:rsidR="009E7DA9" w:rsidRPr="00655E31">
        <w:rPr>
          <w:rFonts w:ascii="Arial" w:hAnsi="Arial" w:cs="Arial"/>
          <w:b/>
          <w:color w:val="auto"/>
          <w:sz w:val="22"/>
          <w:szCs w:val="22"/>
        </w:rPr>
        <w:t xml:space="preserve">Specify that the PIDR should be set at least every </w:t>
      </w:r>
      <w:r w:rsidR="00D7566F">
        <w:rPr>
          <w:rFonts w:ascii="Arial" w:hAnsi="Arial" w:cs="Arial"/>
          <w:b/>
          <w:color w:val="auto"/>
          <w:sz w:val="22"/>
          <w:szCs w:val="22"/>
        </w:rPr>
        <w:t>five</w:t>
      </w:r>
      <w:r w:rsidR="009E7DA9" w:rsidRPr="00655E31">
        <w:rPr>
          <w:rFonts w:ascii="Arial" w:hAnsi="Arial" w:cs="Arial"/>
          <w:b/>
          <w:color w:val="auto"/>
          <w:sz w:val="22"/>
          <w:szCs w:val="22"/>
        </w:rPr>
        <w:t xml:space="preserve"> years with the Lord Chancellor retaining discretion to set the PIDR within </w:t>
      </w:r>
      <w:r w:rsidR="000C4F99">
        <w:rPr>
          <w:rFonts w:ascii="Arial" w:hAnsi="Arial" w:cs="Arial"/>
          <w:b/>
          <w:color w:val="auto"/>
          <w:sz w:val="22"/>
          <w:szCs w:val="22"/>
        </w:rPr>
        <w:t>five</w:t>
      </w:r>
      <w:r w:rsidR="009E7DA9" w:rsidRPr="00655E31">
        <w:rPr>
          <w:rFonts w:ascii="Arial" w:hAnsi="Arial" w:cs="Arial"/>
          <w:b/>
          <w:color w:val="auto"/>
          <w:sz w:val="22"/>
          <w:szCs w:val="22"/>
        </w:rPr>
        <w:t xml:space="preserve"> years if necessary</w:t>
      </w:r>
      <w:r w:rsidR="009E7DA9">
        <w:rPr>
          <w:rFonts w:ascii="Arial" w:hAnsi="Arial" w:cs="Arial"/>
          <w:b/>
          <w:color w:val="auto"/>
          <w:sz w:val="22"/>
          <w:szCs w:val="22"/>
        </w:rPr>
        <w:t>.</w:t>
      </w:r>
    </w:p>
    <w:p w14:paraId="627D5D04" w14:textId="2F76E657" w:rsidR="0069005A" w:rsidRPr="00B655C9" w:rsidRDefault="0069005A" w:rsidP="0069005A">
      <w:pPr>
        <w:pStyle w:val="Heading3"/>
        <w:numPr>
          <w:ilvl w:val="0"/>
          <w:numId w:val="27"/>
        </w:numPr>
        <w:rPr>
          <w:rFonts w:ascii="Arial" w:hAnsi="Arial" w:cs="Arial"/>
          <w:b/>
          <w:color w:val="auto"/>
          <w:sz w:val="22"/>
          <w:szCs w:val="22"/>
        </w:rPr>
      </w:pPr>
      <w:r w:rsidRPr="00B655C9">
        <w:rPr>
          <w:rFonts w:ascii="Arial" w:hAnsi="Arial" w:cs="Arial"/>
          <w:b/>
          <w:color w:val="auto"/>
          <w:sz w:val="22"/>
          <w:szCs w:val="22"/>
        </w:rPr>
        <w:t xml:space="preserve">Option 3: </w:t>
      </w:r>
      <w:r w:rsidR="009E7DA9" w:rsidRPr="00655E31">
        <w:rPr>
          <w:rFonts w:ascii="Arial" w:hAnsi="Arial" w:cs="Arial"/>
          <w:b/>
          <w:color w:val="auto"/>
          <w:sz w:val="22"/>
          <w:szCs w:val="22"/>
        </w:rPr>
        <w:t xml:space="preserve">Set up an expert panel </w:t>
      </w:r>
      <w:r w:rsidR="00917979">
        <w:rPr>
          <w:rFonts w:ascii="Arial" w:hAnsi="Arial" w:cs="Arial"/>
          <w:b/>
          <w:color w:val="auto"/>
          <w:sz w:val="22"/>
          <w:szCs w:val="22"/>
        </w:rPr>
        <w:t xml:space="preserve">for </w:t>
      </w:r>
      <w:r w:rsidR="009E7DA9" w:rsidRPr="00655E31">
        <w:rPr>
          <w:rFonts w:ascii="Arial" w:hAnsi="Arial" w:cs="Arial"/>
          <w:b/>
          <w:color w:val="auto"/>
          <w:sz w:val="22"/>
          <w:szCs w:val="22"/>
        </w:rPr>
        <w:t xml:space="preserve">the Lord Chancellor </w:t>
      </w:r>
      <w:r w:rsidR="007773AE">
        <w:rPr>
          <w:rFonts w:ascii="Arial" w:hAnsi="Arial" w:cs="Arial"/>
          <w:b/>
          <w:color w:val="auto"/>
          <w:sz w:val="22"/>
          <w:szCs w:val="22"/>
        </w:rPr>
        <w:t xml:space="preserve">to </w:t>
      </w:r>
      <w:r w:rsidR="00917979">
        <w:rPr>
          <w:rFonts w:ascii="Arial" w:hAnsi="Arial" w:cs="Arial"/>
          <w:b/>
          <w:color w:val="auto"/>
          <w:sz w:val="22"/>
          <w:szCs w:val="22"/>
        </w:rPr>
        <w:t xml:space="preserve">consult </w:t>
      </w:r>
      <w:r w:rsidR="009E7DA9" w:rsidRPr="00655E31">
        <w:rPr>
          <w:rFonts w:ascii="Arial" w:hAnsi="Arial" w:cs="Arial"/>
          <w:b/>
          <w:color w:val="auto"/>
          <w:sz w:val="22"/>
          <w:szCs w:val="22"/>
        </w:rPr>
        <w:t xml:space="preserve">on </w:t>
      </w:r>
      <w:r w:rsidR="00975564">
        <w:rPr>
          <w:rFonts w:ascii="Arial" w:hAnsi="Arial" w:cs="Arial"/>
          <w:b/>
          <w:color w:val="auto"/>
          <w:sz w:val="22"/>
          <w:szCs w:val="22"/>
        </w:rPr>
        <w:t>the issues to consider when setting the PIDR</w:t>
      </w:r>
      <w:r w:rsidR="007773AE">
        <w:rPr>
          <w:rFonts w:ascii="Arial" w:hAnsi="Arial" w:cs="Arial"/>
          <w:b/>
          <w:color w:val="auto"/>
          <w:sz w:val="22"/>
          <w:szCs w:val="22"/>
        </w:rPr>
        <w:t>.</w:t>
      </w:r>
    </w:p>
    <w:p w14:paraId="7E6653AB" w14:textId="6039D3AF" w:rsidR="0069005A" w:rsidRDefault="0069005A" w:rsidP="0069005A">
      <w:pPr>
        <w:pStyle w:val="ListParagraph"/>
        <w:numPr>
          <w:ilvl w:val="0"/>
          <w:numId w:val="25"/>
        </w:numPr>
        <w:spacing w:before="240"/>
        <w:rPr>
          <w:rFonts w:ascii="Arial" w:hAnsi="Arial" w:cs="Arial"/>
        </w:rPr>
      </w:pPr>
      <w:r>
        <w:rPr>
          <w:rFonts w:ascii="Arial" w:hAnsi="Arial" w:cs="Arial"/>
          <w:b/>
        </w:rPr>
        <w:t xml:space="preserve"> </w:t>
      </w:r>
      <w:r w:rsidRPr="00B655C9">
        <w:rPr>
          <w:rFonts w:ascii="Arial" w:hAnsi="Arial" w:cs="Arial"/>
        </w:rPr>
        <w:t xml:space="preserve">The Government </w:t>
      </w:r>
      <w:r w:rsidR="00316CF4">
        <w:rPr>
          <w:rFonts w:ascii="Arial" w:hAnsi="Arial" w:cs="Arial"/>
        </w:rPr>
        <w:t>is</w:t>
      </w:r>
      <w:r w:rsidR="003048E5">
        <w:rPr>
          <w:rFonts w:ascii="Arial" w:hAnsi="Arial" w:cs="Arial"/>
        </w:rPr>
        <w:t xml:space="preserve"> implement</w:t>
      </w:r>
      <w:r w:rsidR="00316CF4">
        <w:rPr>
          <w:rFonts w:ascii="Arial" w:hAnsi="Arial" w:cs="Arial"/>
        </w:rPr>
        <w:t>ing</w:t>
      </w:r>
      <w:r w:rsidR="003048E5">
        <w:rPr>
          <w:rFonts w:ascii="Arial" w:hAnsi="Arial" w:cs="Arial"/>
        </w:rPr>
        <w:t xml:space="preserve"> Options 1</w:t>
      </w:r>
      <w:r w:rsidR="00DB77C2">
        <w:rPr>
          <w:rFonts w:ascii="Arial" w:hAnsi="Arial" w:cs="Arial"/>
        </w:rPr>
        <w:t>-</w:t>
      </w:r>
      <w:r w:rsidR="003048E5">
        <w:rPr>
          <w:rFonts w:ascii="Arial" w:hAnsi="Arial" w:cs="Arial"/>
        </w:rPr>
        <w:t>3</w:t>
      </w:r>
      <w:r w:rsidR="00DB77C2">
        <w:rPr>
          <w:rFonts w:ascii="Arial" w:hAnsi="Arial" w:cs="Arial"/>
        </w:rPr>
        <w:t xml:space="preserve"> as they best meet the policy objectives</w:t>
      </w:r>
      <w:r w:rsidR="003048E5">
        <w:rPr>
          <w:rFonts w:ascii="Arial" w:hAnsi="Arial" w:cs="Arial"/>
        </w:rPr>
        <w:t>.</w:t>
      </w:r>
      <w:r>
        <w:rPr>
          <w:rFonts w:ascii="Arial" w:hAnsi="Arial" w:cs="Arial"/>
        </w:rPr>
        <w:t xml:space="preserve"> </w:t>
      </w:r>
    </w:p>
    <w:p w14:paraId="61AA88D2" w14:textId="77777777" w:rsidR="0069005A" w:rsidRPr="00B655C9" w:rsidRDefault="0069005A" w:rsidP="0069005A">
      <w:pPr>
        <w:spacing w:before="240"/>
        <w:rPr>
          <w:rFonts w:ascii="Arial" w:hAnsi="Arial" w:cs="Arial"/>
          <w:b/>
        </w:rPr>
      </w:pPr>
      <w:r w:rsidRPr="00B655C9">
        <w:rPr>
          <w:rFonts w:ascii="Arial" w:hAnsi="Arial" w:cs="Arial"/>
          <w:b/>
        </w:rPr>
        <w:t xml:space="preserve">Option 0: </w:t>
      </w:r>
      <w:r w:rsidR="009E7DA9">
        <w:rPr>
          <w:rFonts w:ascii="Arial" w:hAnsi="Arial" w:cs="Arial"/>
          <w:b/>
        </w:rPr>
        <w:t xml:space="preserve">Do nothing </w:t>
      </w:r>
    </w:p>
    <w:p w14:paraId="664FDB8B" w14:textId="77777777" w:rsidR="0069005A" w:rsidRDefault="0069005A" w:rsidP="0069005A">
      <w:pPr>
        <w:pStyle w:val="EBBodyPara"/>
        <w:keepNext/>
        <w:numPr>
          <w:ilvl w:val="0"/>
          <w:numId w:val="25"/>
        </w:numPr>
      </w:pPr>
      <w:r>
        <w:t>Under the</w:t>
      </w:r>
      <w:r w:rsidRPr="00651181">
        <w:t xml:space="preserve"> ‘do nothing’ option the principles underpinning the setting of the </w:t>
      </w:r>
      <w:r>
        <w:t>PIDR would</w:t>
      </w:r>
      <w:r w:rsidRPr="00651181">
        <w:t xml:space="preserve"> not change</w:t>
      </w:r>
      <w:r>
        <w:t xml:space="preserve">: </w:t>
      </w:r>
      <w:r w:rsidR="00485FB6">
        <w:t>a</w:t>
      </w:r>
      <w:r>
        <w:t xml:space="preserve"> single PIDR</w:t>
      </w:r>
      <w:r w:rsidRPr="00651181">
        <w:t xml:space="preserve"> </w:t>
      </w:r>
      <w:r w:rsidR="000A2D6D">
        <w:t xml:space="preserve">(or split PIDR, if considered appropriate) </w:t>
      </w:r>
      <w:r w:rsidRPr="00651181">
        <w:t>would continue to be set by the Lord Chancellor under the</w:t>
      </w:r>
      <w:r w:rsidRPr="009D7A11">
        <w:t xml:space="preserve"> current legal framework</w:t>
      </w:r>
      <w:r>
        <w:t xml:space="preserve">, including the principles from </w:t>
      </w:r>
      <w:r w:rsidRPr="00D45075">
        <w:rPr>
          <w:i/>
        </w:rPr>
        <w:t>Wells v. Wells</w:t>
      </w:r>
      <w:r>
        <w:t>.</w:t>
      </w:r>
    </w:p>
    <w:p w14:paraId="20A65BFC" w14:textId="4351A65F" w:rsidR="0069005A" w:rsidRPr="00651181" w:rsidRDefault="0069005A" w:rsidP="0069005A">
      <w:pPr>
        <w:pStyle w:val="EBBodyPara"/>
        <w:keepNext/>
        <w:numPr>
          <w:ilvl w:val="0"/>
          <w:numId w:val="25"/>
        </w:numPr>
        <w:spacing w:before="240"/>
      </w:pPr>
      <w:r w:rsidRPr="00651181">
        <w:t>Under Option 0</w:t>
      </w:r>
      <w:r>
        <w:t xml:space="preserve">, </w:t>
      </w:r>
      <w:r w:rsidR="000F7B8F">
        <w:t>claimants would continue to be on average over</w:t>
      </w:r>
      <w:r w:rsidR="0097097E">
        <w:t>-</w:t>
      </w:r>
      <w:r w:rsidR="000F7B8F">
        <w:t>compensated</w:t>
      </w:r>
      <w:r w:rsidR="0097097E">
        <w:t xml:space="preserve"> if, as suggested by the consultation responses</w:t>
      </w:r>
      <w:r w:rsidR="00316CF4">
        <w:t xml:space="preserve"> and other evidence gathered by MoJ</w:t>
      </w:r>
      <w:r w:rsidR="0097097E">
        <w:t xml:space="preserve">, they </w:t>
      </w:r>
      <w:r w:rsidR="00781783">
        <w:t xml:space="preserve">invest and </w:t>
      </w:r>
      <w:r w:rsidR="00835355">
        <w:t xml:space="preserve">are advised to </w:t>
      </w:r>
      <w:r w:rsidR="0097097E">
        <w:t xml:space="preserve">invest in assets with a higher expected return that </w:t>
      </w:r>
      <w:r w:rsidR="00781783">
        <w:t xml:space="preserve">a portfolio of 100% </w:t>
      </w:r>
      <w:r w:rsidR="0097097E">
        <w:t>ILGS</w:t>
      </w:r>
      <w:r w:rsidR="000F7B8F">
        <w:t xml:space="preserve">. </w:t>
      </w:r>
    </w:p>
    <w:p w14:paraId="29238905" w14:textId="77777777" w:rsidR="0069005A" w:rsidRDefault="0069005A" w:rsidP="0069005A">
      <w:pPr>
        <w:pStyle w:val="EBBodyPara"/>
        <w:keepNext/>
        <w:numPr>
          <w:ilvl w:val="0"/>
          <w:numId w:val="25"/>
        </w:numPr>
        <w:spacing w:before="240"/>
      </w:pPr>
      <w:r w:rsidRPr="00651181">
        <w:t xml:space="preserve">Under Option 0, the Lord Chancellor would continue to be responsible for setting the </w:t>
      </w:r>
      <w:r>
        <w:t>PIDR</w:t>
      </w:r>
      <w:r w:rsidRPr="00651181">
        <w:t xml:space="preserve"> after seeking the views of statutory consultees, HM Treasury and the Government Actuary, without a specified time period for a review. </w:t>
      </w:r>
    </w:p>
    <w:p w14:paraId="534C60AD" w14:textId="3571B31C" w:rsidR="0069005A" w:rsidRDefault="0069005A" w:rsidP="0069005A">
      <w:pPr>
        <w:pStyle w:val="Heading3"/>
        <w:spacing w:before="240"/>
        <w:rPr>
          <w:rFonts w:ascii="Arial" w:hAnsi="Arial" w:cs="Arial"/>
          <w:b/>
          <w:color w:val="auto"/>
          <w:sz w:val="22"/>
          <w:szCs w:val="22"/>
        </w:rPr>
      </w:pPr>
      <w:r w:rsidRPr="00B655C9">
        <w:rPr>
          <w:rFonts w:ascii="Arial" w:hAnsi="Arial" w:cs="Arial"/>
          <w:b/>
          <w:color w:val="auto"/>
          <w:sz w:val="22"/>
          <w:szCs w:val="22"/>
        </w:rPr>
        <w:t xml:space="preserve">Option 1: </w:t>
      </w:r>
      <w:r w:rsidR="003F5E4D" w:rsidRPr="00414F2A">
        <w:rPr>
          <w:rFonts w:ascii="Arial" w:hAnsi="Arial" w:cs="Arial"/>
          <w:b/>
          <w:color w:val="auto"/>
          <w:sz w:val="22"/>
          <w:szCs w:val="22"/>
        </w:rPr>
        <w:t>Change the legal framework</w:t>
      </w:r>
      <w:r w:rsidR="008C45E1">
        <w:rPr>
          <w:rFonts w:ascii="Arial" w:hAnsi="Arial" w:cs="Arial"/>
          <w:b/>
          <w:color w:val="auto"/>
          <w:sz w:val="22"/>
          <w:szCs w:val="22"/>
        </w:rPr>
        <w:t>,</w:t>
      </w:r>
      <w:r w:rsidR="003F5E4D" w:rsidRPr="00414F2A">
        <w:rPr>
          <w:rFonts w:ascii="Arial" w:hAnsi="Arial" w:cs="Arial"/>
          <w:b/>
          <w:color w:val="auto"/>
          <w:sz w:val="22"/>
          <w:szCs w:val="22"/>
        </w:rPr>
        <w:t xml:space="preserve"> in particular </w:t>
      </w:r>
      <w:r w:rsidR="00F02CD2">
        <w:rPr>
          <w:rFonts w:ascii="Arial" w:hAnsi="Arial" w:cs="Arial"/>
          <w:b/>
          <w:color w:val="auto"/>
          <w:sz w:val="22"/>
          <w:szCs w:val="22"/>
        </w:rPr>
        <w:t xml:space="preserve">by </w:t>
      </w:r>
      <w:r w:rsidR="003F5E4D" w:rsidRPr="00414F2A">
        <w:rPr>
          <w:rFonts w:ascii="Arial" w:hAnsi="Arial" w:cs="Arial"/>
          <w:b/>
          <w:color w:val="auto"/>
          <w:sz w:val="22"/>
          <w:szCs w:val="22"/>
        </w:rPr>
        <w:t xml:space="preserve">setting the </w:t>
      </w:r>
      <w:r w:rsidR="00F02CD2">
        <w:rPr>
          <w:rFonts w:ascii="Arial" w:hAnsi="Arial" w:cs="Arial"/>
          <w:b/>
          <w:color w:val="auto"/>
          <w:sz w:val="22"/>
          <w:szCs w:val="22"/>
        </w:rPr>
        <w:t>PIDR</w:t>
      </w:r>
      <w:r w:rsidR="003F5E4D" w:rsidRPr="00414F2A">
        <w:rPr>
          <w:rFonts w:ascii="Arial" w:hAnsi="Arial" w:cs="Arial"/>
          <w:b/>
          <w:color w:val="auto"/>
          <w:sz w:val="22"/>
          <w:szCs w:val="22"/>
        </w:rPr>
        <w:t xml:space="preserve"> with reference to an investment strategy with a higher expected </w:t>
      </w:r>
      <w:r w:rsidR="004303AF">
        <w:rPr>
          <w:rFonts w:ascii="Arial" w:hAnsi="Arial" w:cs="Arial"/>
          <w:b/>
          <w:color w:val="auto"/>
          <w:sz w:val="22"/>
          <w:szCs w:val="22"/>
        </w:rPr>
        <w:t xml:space="preserve">gross </w:t>
      </w:r>
      <w:r w:rsidR="003F5E4D" w:rsidRPr="00414F2A">
        <w:rPr>
          <w:rFonts w:ascii="Arial" w:hAnsi="Arial" w:cs="Arial"/>
          <w:b/>
          <w:color w:val="auto"/>
          <w:sz w:val="22"/>
          <w:szCs w:val="22"/>
        </w:rPr>
        <w:t>return than assumed under the current framework.</w:t>
      </w:r>
    </w:p>
    <w:p w14:paraId="3425C136" w14:textId="77777777" w:rsidR="0089441B" w:rsidRDefault="0089441B" w:rsidP="0089441B">
      <w:pPr>
        <w:pStyle w:val="ListParagraph"/>
        <w:keepNext/>
        <w:numPr>
          <w:ilvl w:val="0"/>
          <w:numId w:val="25"/>
        </w:numPr>
        <w:spacing w:before="240"/>
      </w:pPr>
      <w:r>
        <w:rPr>
          <w:rFonts w:ascii="Arial" w:hAnsi="Arial" w:cs="Arial"/>
        </w:rPr>
        <w:t>Under Option 1, t</w:t>
      </w:r>
      <w:r w:rsidRPr="00954CCC">
        <w:rPr>
          <w:rFonts w:ascii="Arial" w:hAnsi="Arial" w:cs="Arial"/>
        </w:rPr>
        <w:t>he PIDR will be set on the basis that it reasonably reflects, in the Lord Chancellor’s opinion, the return which a recipient of damages could be expect</w:t>
      </w:r>
      <w:r>
        <w:rPr>
          <w:rFonts w:ascii="Arial" w:hAnsi="Arial" w:cs="Arial"/>
        </w:rPr>
        <w:t xml:space="preserve">ed to achieve on investing his or her lump sum damages. </w:t>
      </w:r>
      <w:r w:rsidRPr="00954CCC">
        <w:rPr>
          <w:rFonts w:ascii="Arial" w:hAnsi="Arial" w:cs="Arial"/>
        </w:rPr>
        <w:t xml:space="preserve">This investment must be </w:t>
      </w:r>
      <w:r w:rsidR="007071C1">
        <w:rPr>
          <w:rFonts w:ascii="Arial" w:hAnsi="Arial" w:cs="Arial"/>
        </w:rPr>
        <w:t xml:space="preserve">made </w:t>
      </w:r>
      <w:r w:rsidRPr="00954CCC">
        <w:rPr>
          <w:rFonts w:ascii="Arial" w:hAnsi="Arial" w:cs="Arial"/>
        </w:rPr>
        <w:t>with the object of meeting the losses and costs expected in full and on time with the award exhausted by the end of the term of the award.</w:t>
      </w:r>
      <w:r>
        <w:t xml:space="preserve"> </w:t>
      </w:r>
    </w:p>
    <w:p w14:paraId="277211D4" w14:textId="257ACC2C" w:rsidR="003F278E" w:rsidRDefault="00EA7EEA" w:rsidP="003F278E">
      <w:pPr>
        <w:pStyle w:val="EBBodyPara"/>
        <w:keepNext/>
        <w:numPr>
          <w:ilvl w:val="0"/>
          <w:numId w:val="25"/>
        </w:numPr>
        <w:spacing w:before="240"/>
      </w:pPr>
      <w:r>
        <w:rPr>
          <w:rFonts w:eastAsia="Calibri"/>
        </w:rPr>
        <w:t>Under this option, and based on the evidence submitted as part of the consultation,</w:t>
      </w:r>
      <w:r w:rsidR="003F278E" w:rsidRPr="00F54332">
        <w:rPr>
          <w:rFonts w:eastAsia="Calibri"/>
        </w:rPr>
        <w:t xml:space="preserve"> for the purposes of setting the PIDR, the assumed investment risk profile of </w:t>
      </w:r>
      <w:r w:rsidR="003F278E">
        <w:rPr>
          <w:rFonts w:eastAsia="Calibri"/>
        </w:rPr>
        <w:t>personal injury</w:t>
      </w:r>
      <w:r w:rsidR="003F278E" w:rsidRPr="00F54332">
        <w:rPr>
          <w:rFonts w:eastAsia="Calibri"/>
        </w:rPr>
        <w:t xml:space="preserve"> claimants </w:t>
      </w:r>
      <w:r w:rsidR="000C4F99">
        <w:rPr>
          <w:rFonts w:eastAsia="Calibri"/>
        </w:rPr>
        <w:t>will</w:t>
      </w:r>
      <w:r w:rsidR="003F278E" w:rsidRPr="00F54332">
        <w:rPr>
          <w:rFonts w:eastAsia="Calibri"/>
        </w:rPr>
        <w:t xml:space="preserve"> be ‘low risk’</w:t>
      </w:r>
      <w:r>
        <w:rPr>
          <w:rFonts w:eastAsia="Calibri"/>
        </w:rPr>
        <w:t>.</w:t>
      </w:r>
      <w:r w:rsidR="003F278E" w:rsidRPr="0028263E">
        <w:t xml:space="preserve"> </w:t>
      </w:r>
      <w:r w:rsidR="003F278E">
        <w:t xml:space="preserve">‘Low risk’ will be defined as being higher than ‘very low risk’ </w:t>
      </w:r>
      <w:r w:rsidR="003A714D" w:rsidRPr="00381479">
        <w:t xml:space="preserve">(that is essentially the current approach based on </w:t>
      </w:r>
      <w:r w:rsidR="003A714D" w:rsidRPr="00381479">
        <w:rPr>
          <w:i/>
        </w:rPr>
        <w:t>Wells v Wells</w:t>
      </w:r>
      <w:r w:rsidR="003A714D" w:rsidRPr="00381479">
        <w:t xml:space="preserve"> and ILGS)</w:t>
      </w:r>
      <w:r w:rsidR="003A714D">
        <w:t xml:space="preserve"> </w:t>
      </w:r>
      <w:r w:rsidR="003F278E">
        <w:t xml:space="preserve">but less than the risk expected of an ‘ordinary prudent investor’. </w:t>
      </w:r>
    </w:p>
    <w:p w14:paraId="5E22CA5B" w14:textId="475DFA0F" w:rsidR="0089441B" w:rsidRPr="005E39CA" w:rsidRDefault="0089441B" w:rsidP="0089441B">
      <w:pPr>
        <w:pStyle w:val="EBBodyPara"/>
        <w:keepNext/>
        <w:numPr>
          <w:ilvl w:val="0"/>
          <w:numId w:val="25"/>
        </w:numPr>
        <w:spacing w:before="240"/>
      </w:pPr>
      <w:r w:rsidRPr="00646EEB">
        <w:rPr>
          <w:rFonts w:eastAsia="Calibri"/>
        </w:rPr>
        <w:t xml:space="preserve">Although </w:t>
      </w:r>
      <w:r w:rsidR="007071C1">
        <w:rPr>
          <w:rFonts w:eastAsia="Calibri"/>
        </w:rPr>
        <w:t xml:space="preserve">the consultations responses suggested </w:t>
      </w:r>
      <w:r w:rsidRPr="00646EEB">
        <w:rPr>
          <w:rFonts w:eastAsia="Calibri"/>
        </w:rPr>
        <w:t xml:space="preserve">claimants are advised to and are investing </w:t>
      </w:r>
      <w:r>
        <w:t xml:space="preserve">in assets with a higher expected return than that of a portfolio of 100% ILGS, it is not entirely clear at present what return a claimant should be expected to pursue. This is because the PIDR and a claimant’s investment strategy </w:t>
      </w:r>
      <w:r w:rsidR="00673C49">
        <w:t xml:space="preserve">may influence </w:t>
      </w:r>
      <w:r>
        <w:t xml:space="preserve">one another, i.e. the size of a claimant’s lump sum (determined by the PIDR) </w:t>
      </w:r>
      <w:r w:rsidR="00673C49">
        <w:t xml:space="preserve">may </w:t>
      </w:r>
      <w:r w:rsidR="00C564C2">
        <w:t>a</w:t>
      </w:r>
      <w:r w:rsidR="00673C49">
        <w:t>ffect t</w:t>
      </w:r>
      <w:r>
        <w:t>he investment strategy pursued. Nevertheless, even after accounting for this inter-dependency</w:t>
      </w:r>
      <w:r>
        <w:rPr>
          <w:rFonts w:eastAsia="Calibri"/>
        </w:rPr>
        <w:t>, it is likely that</w:t>
      </w:r>
      <w:r w:rsidR="003F278E">
        <w:rPr>
          <w:rFonts w:eastAsia="Calibri"/>
        </w:rPr>
        <w:t>, under this option,</w:t>
      </w:r>
      <w:r>
        <w:rPr>
          <w:rFonts w:eastAsia="Calibri"/>
        </w:rPr>
        <w:t xml:space="preserve"> the</w:t>
      </w:r>
      <w:r w:rsidRPr="00646EEB">
        <w:rPr>
          <w:rFonts w:eastAsia="Calibri"/>
        </w:rPr>
        <w:t xml:space="preserve"> PIDR w</w:t>
      </w:r>
      <w:r>
        <w:rPr>
          <w:rFonts w:eastAsia="Calibri"/>
        </w:rPr>
        <w:t>ill</w:t>
      </w:r>
      <w:r w:rsidRPr="00646EEB">
        <w:rPr>
          <w:rFonts w:eastAsia="Calibri"/>
        </w:rPr>
        <w:t xml:space="preserve"> be set with reference to an investment strategy with a higher expected </w:t>
      </w:r>
      <w:r w:rsidR="00615EEB">
        <w:rPr>
          <w:rFonts w:eastAsia="Calibri"/>
        </w:rPr>
        <w:t xml:space="preserve">gross </w:t>
      </w:r>
      <w:r w:rsidRPr="00646EEB">
        <w:rPr>
          <w:rFonts w:eastAsia="Calibri"/>
        </w:rPr>
        <w:t>return than assumed under the current framework</w:t>
      </w:r>
      <w:r>
        <w:rPr>
          <w:rFonts w:eastAsia="Calibri"/>
        </w:rPr>
        <w:t>.</w:t>
      </w:r>
    </w:p>
    <w:p w14:paraId="77B9E4D0" w14:textId="1E39EFE1" w:rsidR="00EA7EEA" w:rsidRPr="005E39CA" w:rsidRDefault="00EA7EEA" w:rsidP="005E39CA">
      <w:pPr>
        <w:keepNext/>
        <w:numPr>
          <w:ilvl w:val="0"/>
          <w:numId w:val="25"/>
        </w:numPr>
        <w:spacing w:before="240"/>
      </w:pPr>
      <w:r>
        <w:rPr>
          <w:rFonts w:ascii="Arial" w:hAnsi="Arial" w:cs="Arial"/>
        </w:rPr>
        <w:t>Under this option, when</w:t>
      </w:r>
      <w:r w:rsidRPr="00DF08EE">
        <w:rPr>
          <w:rFonts w:ascii="Arial" w:hAnsi="Arial" w:cs="Arial"/>
        </w:rPr>
        <w:t xml:space="preserve"> setting the PIDR, the Lord Chancellor may adopt an approach that seeks to balance the aims of reducing the level of over</w:t>
      </w:r>
      <w:r>
        <w:rPr>
          <w:rFonts w:ascii="Arial" w:hAnsi="Arial" w:cs="Arial"/>
        </w:rPr>
        <w:t>-</w:t>
      </w:r>
      <w:r w:rsidRPr="00DF08EE">
        <w:rPr>
          <w:rFonts w:ascii="Arial" w:hAnsi="Arial" w:cs="Arial"/>
        </w:rPr>
        <w:t>compensation with a desire to not lead to significant levels of under</w:t>
      </w:r>
      <w:r>
        <w:rPr>
          <w:rFonts w:ascii="Arial" w:hAnsi="Arial" w:cs="Arial"/>
        </w:rPr>
        <w:t>-</w:t>
      </w:r>
      <w:r w:rsidRPr="00DF08EE">
        <w:rPr>
          <w:rFonts w:ascii="Arial" w:hAnsi="Arial" w:cs="Arial"/>
        </w:rPr>
        <w:t>compensation.</w:t>
      </w:r>
      <w:r>
        <w:rPr>
          <w:rFonts w:ascii="Arial" w:hAnsi="Arial" w:cs="Arial"/>
        </w:rPr>
        <w:t xml:space="preserve"> </w:t>
      </w:r>
      <w:r w:rsidRPr="005E39CA">
        <w:rPr>
          <w:rFonts w:ascii="Arial" w:hAnsi="Arial" w:cs="Arial"/>
        </w:rPr>
        <w:t xml:space="preserve">The value of the PIDR </w:t>
      </w:r>
      <w:r w:rsidR="00615EEB">
        <w:rPr>
          <w:rFonts w:ascii="Arial" w:hAnsi="Arial" w:cs="Arial"/>
        </w:rPr>
        <w:t>will</w:t>
      </w:r>
      <w:r w:rsidR="00615EEB" w:rsidRPr="005E39CA">
        <w:rPr>
          <w:rFonts w:ascii="Arial" w:hAnsi="Arial" w:cs="Arial"/>
        </w:rPr>
        <w:t xml:space="preserve"> </w:t>
      </w:r>
      <w:r w:rsidRPr="005E39CA">
        <w:rPr>
          <w:rFonts w:ascii="Arial" w:hAnsi="Arial" w:cs="Arial"/>
        </w:rPr>
        <w:t>also need to be adjusted downwards to allow for typical investment management charges and product fees associated with such a portfolio, and tax. These issues are discussed in more detail below.</w:t>
      </w:r>
    </w:p>
    <w:p w14:paraId="318C0503" w14:textId="322525BF" w:rsidR="00EA7EEA" w:rsidRDefault="00EA7EEA">
      <w:pPr>
        <w:pStyle w:val="EBBodyPara"/>
        <w:keepNext/>
        <w:numPr>
          <w:ilvl w:val="0"/>
          <w:numId w:val="25"/>
        </w:numPr>
        <w:spacing w:before="240"/>
      </w:pPr>
      <w:r>
        <w:t>Finally, under this option, the existing legal framework, whereby the Lord Chancellor may set more than one PIDR will be retained. Therefore, under this option, the Lord Chancellor may introduce different PIDRs for different classes of case</w:t>
      </w:r>
      <w:r w:rsidR="00615EEB">
        <w:t xml:space="preserve"> (e.g. as categorised by heads of loss</w:t>
      </w:r>
      <w:r w:rsidR="003C4799">
        <w:t xml:space="preserve"> or expected duration</w:t>
      </w:r>
      <w:r w:rsidR="00615EEB">
        <w:t xml:space="preserve"> of the award</w:t>
      </w:r>
      <w:r w:rsidR="00EF76A0">
        <w:t>)</w:t>
      </w:r>
      <w:r>
        <w:t>.</w:t>
      </w:r>
    </w:p>
    <w:p w14:paraId="63A90AE5" w14:textId="77777777" w:rsidR="00EA7EEA" w:rsidRPr="005E39CA" w:rsidRDefault="00EA7EEA" w:rsidP="005E39CA">
      <w:pPr>
        <w:pStyle w:val="EBBodyPara"/>
        <w:keepNext/>
        <w:spacing w:before="240"/>
        <w:rPr>
          <w:i/>
        </w:rPr>
      </w:pPr>
      <w:r w:rsidRPr="005E39CA">
        <w:rPr>
          <w:i/>
        </w:rPr>
        <w:t>The GAD Analysis</w:t>
      </w:r>
    </w:p>
    <w:p w14:paraId="6713E5FB" w14:textId="2446B137" w:rsidR="00651FD7" w:rsidRPr="005E39CA" w:rsidRDefault="00651FD7" w:rsidP="0089441B">
      <w:pPr>
        <w:pStyle w:val="ListParagraph"/>
        <w:numPr>
          <w:ilvl w:val="0"/>
          <w:numId w:val="25"/>
        </w:numPr>
        <w:spacing w:before="240"/>
        <w:rPr>
          <w:rFonts w:ascii="Arial" w:hAnsi="Arial" w:cs="Arial"/>
        </w:rPr>
      </w:pPr>
      <w:r w:rsidRPr="005E39CA">
        <w:rPr>
          <w:rFonts w:ascii="Arial" w:eastAsia="Calibri" w:hAnsi="Arial" w:cs="Arial"/>
        </w:rPr>
        <w:t>In order to understand the impacts of this option, it is necessary to explore further</w:t>
      </w:r>
      <w:r>
        <w:rPr>
          <w:rFonts w:ascii="Arial" w:eastAsia="Calibri" w:hAnsi="Arial" w:cs="Arial"/>
        </w:rPr>
        <w:t xml:space="preserve"> the impact on claimant outcomes from changing the assumed risk profile to be used in setting the PIDR. To do this, the Ministry of Justice commissioned GAD to undertake an analysis of these impacts</w:t>
      </w:r>
      <w:r w:rsidR="003C4799">
        <w:rPr>
          <w:rFonts w:ascii="Arial" w:eastAsia="Calibri" w:hAnsi="Arial" w:cs="Arial"/>
        </w:rPr>
        <w:t>. A</w:t>
      </w:r>
      <w:r>
        <w:rPr>
          <w:rFonts w:ascii="Arial" w:eastAsia="Calibri" w:hAnsi="Arial" w:cs="Arial"/>
        </w:rPr>
        <w:t xml:space="preserve"> summary of </w:t>
      </w:r>
      <w:r w:rsidR="003C4799">
        <w:rPr>
          <w:rFonts w:ascii="Arial" w:eastAsia="Calibri" w:hAnsi="Arial" w:cs="Arial"/>
        </w:rPr>
        <w:t>the GAD</w:t>
      </w:r>
      <w:r>
        <w:rPr>
          <w:rFonts w:ascii="Arial" w:eastAsia="Calibri" w:hAnsi="Arial" w:cs="Arial"/>
        </w:rPr>
        <w:t xml:space="preserve"> analysis </w:t>
      </w:r>
      <w:r w:rsidR="003C4799">
        <w:rPr>
          <w:rFonts w:ascii="Arial" w:eastAsia="Calibri" w:hAnsi="Arial" w:cs="Arial"/>
        </w:rPr>
        <w:t xml:space="preserve">was </w:t>
      </w:r>
      <w:r>
        <w:rPr>
          <w:rFonts w:ascii="Arial" w:eastAsia="Calibri" w:hAnsi="Arial" w:cs="Arial"/>
        </w:rPr>
        <w:t>published alongside th</w:t>
      </w:r>
      <w:r w:rsidR="003C4799">
        <w:rPr>
          <w:rFonts w:ascii="Arial" w:eastAsia="Calibri" w:hAnsi="Arial" w:cs="Arial"/>
        </w:rPr>
        <w:t>e Government’s response to the consultation</w:t>
      </w:r>
      <w:r w:rsidR="002B39E2">
        <w:rPr>
          <w:rStyle w:val="FootnoteReference"/>
          <w:rFonts w:ascii="Arial" w:eastAsia="Calibri" w:hAnsi="Arial" w:cs="Arial"/>
        </w:rPr>
        <w:footnoteReference w:id="3"/>
      </w:r>
      <w:r>
        <w:rPr>
          <w:rFonts w:ascii="Arial" w:eastAsia="Calibri" w:hAnsi="Arial" w:cs="Arial"/>
        </w:rPr>
        <w:t>.</w:t>
      </w:r>
    </w:p>
    <w:p w14:paraId="016AB284" w14:textId="77777777" w:rsidR="00651FD7" w:rsidRPr="005E39CA" w:rsidRDefault="00651FD7" w:rsidP="005E39CA">
      <w:pPr>
        <w:pStyle w:val="ListParagraph"/>
        <w:spacing w:before="240"/>
        <w:ind w:left="360"/>
      </w:pPr>
    </w:p>
    <w:p w14:paraId="754F2DBE" w14:textId="5625E19C" w:rsidR="0089441B" w:rsidRPr="002B63B4" w:rsidRDefault="0089441B" w:rsidP="00116A01">
      <w:pPr>
        <w:pStyle w:val="ListParagraph"/>
        <w:numPr>
          <w:ilvl w:val="0"/>
          <w:numId w:val="25"/>
        </w:numPr>
        <w:spacing w:before="240"/>
        <w:rPr>
          <w:rFonts w:ascii="Arial" w:hAnsi="Arial" w:cs="Arial"/>
        </w:rPr>
      </w:pPr>
      <w:r w:rsidRPr="00F54332">
        <w:rPr>
          <w:rFonts w:ascii="Arial" w:hAnsi="Arial" w:cs="Arial"/>
        </w:rPr>
        <w:t>Several independent financial advisers (IFAs) and wealth managers (WMs) provided in-house scales of investment risk as part of their consultation responses, each attached to explicit portfolios</w:t>
      </w:r>
      <w:r w:rsidRPr="00F54332">
        <w:rPr>
          <w:vertAlign w:val="superscript"/>
        </w:rPr>
        <w:footnoteReference w:id="4"/>
      </w:r>
      <w:r w:rsidR="000F7EB6" w:rsidRPr="00F54332">
        <w:rPr>
          <w:rFonts w:ascii="Arial" w:hAnsi="Arial" w:cs="Arial"/>
        </w:rPr>
        <w:t>.</w:t>
      </w:r>
      <w:r w:rsidRPr="00F54332">
        <w:rPr>
          <w:rFonts w:ascii="Arial" w:hAnsi="Arial" w:cs="Arial"/>
        </w:rPr>
        <w:t xml:space="preserve"> To understand what </w:t>
      </w:r>
      <w:r>
        <w:rPr>
          <w:rFonts w:ascii="Arial" w:hAnsi="Arial" w:cs="Arial"/>
        </w:rPr>
        <w:t xml:space="preserve">such </w:t>
      </w:r>
      <w:r w:rsidRPr="00F54332">
        <w:rPr>
          <w:rFonts w:ascii="Arial" w:hAnsi="Arial" w:cs="Arial"/>
        </w:rPr>
        <w:t xml:space="preserve">a low risk mixed portfolio </w:t>
      </w:r>
      <w:r>
        <w:rPr>
          <w:rFonts w:ascii="Arial" w:hAnsi="Arial" w:cs="Arial"/>
        </w:rPr>
        <w:t xml:space="preserve">might </w:t>
      </w:r>
      <w:r w:rsidRPr="00F54332">
        <w:rPr>
          <w:rFonts w:ascii="Arial" w:hAnsi="Arial" w:cs="Arial"/>
        </w:rPr>
        <w:t xml:space="preserve">look like, the asset allocations of those portfolios corresponding most closely with the concept of low risk, based on descriptions provided by the IFAs and WMs, were aggregated </w:t>
      </w:r>
      <w:r w:rsidR="00651FD7">
        <w:rPr>
          <w:rFonts w:ascii="Arial" w:hAnsi="Arial" w:cs="Arial"/>
        </w:rPr>
        <w:t xml:space="preserve">by the </w:t>
      </w:r>
      <w:r w:rsidR="000C4F99">
        <w:rPr>
          <w:rFonts w:ascii="Arial" w:hAnsi="Arial" w:cs="Arial"/>
        </w:rPr>
        <w:t>MoJ</w:t>
      </w:r>
      <w:r w:rsidR="00651FD7">
        <w:rPr>
          <w:rFonts w:ascii="Arial" w:hAnsi="Arial" w:cs="Arial"/>
        </w:rPr>
        <w:t xml:space="preserve"> </w:t>
      </w:r>
      <w:r w:rsidRPr="00F54332">
        <w:rPr>
          <w:rFonts w:ascii="Arial" w:hAnsi="Arial" w:cs="Arial"/>
        </w:rPr>
        <w:t xml:space="preserve">to construct </w:t>
      </w:r>
      <w:r w:rsidR="00116A01">
        <w:rPr>
          <w:rFonts w:ascii="Arial" w:hAnsi="Arial" w:cs="Arial"/>
        </w:rPr>
        <w:t>a</w:t>
      </w:r>
      <w:r w:rsidRPr="00F54332">
        <w:rPr>
          <w:rFonts w:ascii="Arial" w:hAnsi="Arial" w:cs="Arial"/>
        </w:rPr>
        <w:t xml:space="preserve"> representative </w:t>
      </w:r>
      <w:r w:rsidR="00116A01">
        <w:rPr>
          <w:rFonts w:ascii="Arial" w:hAnsi="Arial" w:cs="Arial"/>
        </w:rPr>
        <w:t xml:space="preserve">low risk </w:t>
      </w:r>
      <w:r w:rsidRPr="00F54332">
        <w:rPr>
          <w:rFonts w:ascii="Arial" w:hAnsi="Arial" w:cs="Arial"/>
        </w:rPr>
        <w:t>portfolio</w:t>
      </w:r>
      <w:r w:rsidR="00116A01">
        <w:rPr>
          <w:rFonts w:ascii="Arial" w:hAnsi="Arial" w:cs="Arial"/>
        </w:rPr>
        <w:t>.</w:t>
      </w:r>
      <w:r w:rsidR="00116A01" w:rsidRPr="00733F38">
        <w:rPr>
          <w:rFonts w:ascii="Arial" w:hAnsi="Arial" w:cs="Arial"/>
        </w:rPr>
        <w:t xml:space="preserve"> </w:t>
      </w:r>
      <w:r w:rsidR="00116A01">
        <w:rPr>
          <w:rFonts w:ascii="Arial" w:hAnsi="Arial" w:cs="Arial"/>
        </w:rPr>
        <w:t xml:space="preserve">A second portfolio was produced which </w:t>
      </w:r>
      <w:r w:rsidR="00CD1544">
        <w:rPr>
          <w:rFonts w:ascii="Arial" w:hAnsi="Arial" w:cs="Arial"/>
        </w:rPr>
        <w:t xml:space="preserve">was determined by </w:t>
      </w:r>
      <w:r w:rsidR="00116A01" w:rsidRPr="00116A01">
        <w:rPr>
          <w:rFonts w:ascii="Arial" w:hAnsi="Arial" w:cs="Arial"/>
        </w:rPr>
        <w:t>what the MoJ</w:t>
      </w:r>
      <w:r w:rsidR="00116A01" w:rsidRPr="00733F38">
        <w:rPr>
          <w:rFonts w:ascii="Arial" w:hAnsi="Arial" w:cs="Arial"/>
        </w:rPr>
        <w:t xml:space="preserve"> have interpreted as being </w:t>
      </w:r>
      <w:r w:rsidR="002E0FD8">
        <w:rPr>
          <w:rFonts w:ascii="Arial" w:hAnsi="Arial" w:cs="Arial"/>
        </w:rPr>
        <w:t xml:space="preserve">representative of </w:t>
      </w:r>
      <w:r w:rsidR="00116A01" w:rsidRPr="00733F38">
        <w:rPr>
          <w:rFonts w:ascii="Arial" w:hAnsi="Arial" w:cs="Arial"/>
        </w:rPr>
        <w:t xml:space="preserve">the highest risk IFAs and WMs say they would recommend or have recommended for </w:t>
      </w:r>
      <w:r w:rsidR="00E61EC1">
        <w:rPr>
          <w:rFonts w:ascii="Arial" w:hAnsi="Arial" w:cs="Arial"/>
        </w:rPr>
        <w:t>personal injury</w:t>
      </w:r>
      <w:r w:rsidR="00E61EC1" w:rsidRPr="00733F38">
        <w:rPr>
          <w:rFonts w:ascii="Arial" w:hAnsi="Arial" w:cs="Arial"/>
        </w:rPr>
        <w:t xml:space="preserve"> </w:t>
      </w:r>
      <w:r w:rsidR="00116A01" w:rsidRPr="00733F38">
        <w:rPr>
          <w:rFonts w:ascii="Arial" w:hAnsi="Arial" w:cs="Arial"/>
        </w:rPr>
        <w:t>claimants</w:t>
      </w:r>
      <w:r w:rsidR="00116A01">
        <w:rPr>
          <w:rFonts w:ascii="Arial" w:hAnsi="Arial" w:cs="Arial"/>
        </w:rPr>
        <w:t xml:space="preserve">. </w:t>
      </w:r>
      <w:r w:rsidR="00651FD7" w:rsidRPr="002B63B4">
        <w:rPr>
          <w:rFonts w:ascii="Arial" w:hAnsi="Arial" w:cs="Arial"/>
        </w:rPr>
        <w:t xml:space="preserve">In what follows, we report the results for the portfolio with the lower level of expected risk (‘Portfolio A’ in the </w:t>
      </w:r>
      <w:r w:rsidR="004A458E" w:rsidRPr="002B63B4">
        <w:rPr>
          <w:rFonts w:ascii="Arial" w:hAnsi="Arial" w:cs="Arial"/>
        </w:rPr>
        <w:t>GAD analysis document).</w:t>
      </w:r>
    </w:p>
    <w:p w14:paraId="799AD047" w14:textId="77777777" w:rsidR="0089441B" w:rsidRDefault="0089441B" w:rsidP="0089441B">
      <w:pPr>
        <w:pStyle w:val="ListParagraph"/>
        <w:spacing w:before="240"/>
        <w:ind w:left="0"/>
        <w:rPr>
          <w:rFonts w:ascii="Arial" w:hAnsi="Arial" w:cs="Arial"/>
        </w:rPr>
      </w:pPr>
    </w:p>
    <w:p w14:paraId="43351BB8" w14:textId="77777777" w:rsidR="0089441B" w:rsidRDefault="0089441B" w:rsidP="0089441B">
      <w:pPr>
        <w:pStyle w:val="ListParagraph"/>
        <w:numPr>
          <w:ilvl w:val="0"/>
          <w:numId w:val="25"/>
        </w:numPr>
        <w:rPr>
          <w:rFonts w:ascii="Arial" w:hAnsi="Arial" w:cs="Arial"/>
        </w:rPr>
      </w:pPr>
      <w:r w:rsidRPr="00F54332">
        <w:rPr>
          <w:rFonts w:ascii="Arial" w:hAnsi="Arial" w:cs="Arial"/>
        </w:rPr>
        <w:t>This representative ‘low risk’ mixed portfolio includ</w:t>
      </w:r>
      <w:r w:rsidR="007071C1">
        <w:rPr>
          <w:rFonts w:ascii="Arial" w:hAnsi="Arial" w:cs="Arial"/>
        </w:rPr>
        <w:t>ed</w:t>
      </w:r>
      <w:r w:rsidRPr="00F54332">
        <w:rPr>
          <w:rFonts w:ascii="Arial" w:hAnsi="Arial" w:cs="Arial"/>
        </w:rPr>
        <w:t xml:space="preserve"> a diversified range of asset types, </w:t>
      </w:r>
      <w:r w:rsidR="00D06570">
        <w:rPr>
          <w:rFonts w:ascii="Arial" w:hAnsi="Arial" w:cs="Arial"/>
        </w:rPr>
        <w:t>t</w:t>
      </w:r>
      <w:r w:rsidR="007071C1">
        <w:rPr>
          <w:rFonts w:ascii="Arial" w:hAnsi="Arial" w:cs="Arial"/>
        </w:rPr>
        <w:t xml:space="preserve">he composition of </w:t>
      </w:r>
      <w:r w:rsidR="00D06570">
        <w:rPr>
          <w:rFonts w:ascii="Arial" w:hAnsi="Arial" w:cs="Arial"/>
        </w:rPr>
        <w:t xml:space="preserve">which </w:t>
      </w:r>
      <w:r w:rsidR="007071C1">
        <w:rPr>
          <w:rFonts w:ascii="Arial" w:hAnsi="Arial" w:cs="Arial"/>
        </w:rPr>
        <w:t>is</w:t>
      </w:r>
      <w:r>
        <w:rPr>
          <w:rFonts w:ascii="Arial" w:hAnsi="Arial" w:cs="Arial"/>
        </w:rPr>
        <w:t xml:space="preserve"> shown </w:t>
      </w:r>
      <w:r w:rsidRPr="00A164AC">
        <w:rPr>
          <w:rFonts w:ascii="Arial" w:hAnsi="Arial" w:cs="Arial"/>
        </w:rPr>
        <w:t xml:space="preserve">in Table </w:t>
      </w:r>
      <w:r>
        <w:rPr>
          <w:rFonts w:ascii="Arial" w:hAnsi="Arial" w:cs="Arial"/>
        </w:rPr>
        <w:t>1 below.</w:t>
      </w:r>
    </w:p>
    <w:p w14:paraId="67753948" w14:textId="77777777" w:rsidR="0089441B" w:rsidRPr="00D06570" w:rsidRDefault="0089441B" w:rsidP="0089441B">
      <w:pPr>
        <w:pStyle w:val="ListParagraph"/>
        <w:ind w:left="0"/>
        <w:rPr>
          <w:rFonts w:ascii="Arial" w:hAnsi="Arial" w:cs="Arial"/>
        </w:rPr>
      </w:pPr>
    </w:p>
    <w:tbl>
      <w:tblPr>
        <w:tblW w:w="5000" w:type="pct"/>
        <w:shd w:val="clear" w:color="auto" w:fill="FFFFFF"/>
        <w:tblLook w:val="04A0" w:firstRow="1" w:lastRow="0" w:firstColumn="1" w:lastColumn="0" w:noHBand="0" w:noVBand="1"/>
      </w:tblPr>
      <w:tblGrid>
        <w:gridCol w:w="6692"/>
        <w:gridCol w:w="3503"/>
      </w:tblGrid>
      <w:tr w:rsidR="0089441B" w:rsidRPr="00D06570" w14:paraId="47B45FC6" w14:textId="77777777" w:rsidTr="007071C1">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7237E63" w14:textId="77777777" w:rsidR="0089441B" w:rsidRPr="00D06570" w:rsidRDefault="0089441B" w:rsidP="00D06570">
            <w:pPr>
              <w:keepNext/>
              <w:keepLines/>
              <w:spacing w:after="0" w:line="240" w:lineRule="auto"/>
              <w:rPr>
                <w:rFonts w:eastAsia="Times New Roman"/>
                <w:b/>
                <w:bCs/>
                <w:color w:val="000000"/>
                <w:lang w:eastAsia="en-GB"/>
              </w:rPr>
            </w:pPr>
            <w:r w:rsidRPr="00D06570">
              <w:rPr>
                <w:rFonts w:ascii="Arial" w:hAnsi="Arial" w:cs="Arial"/>
                <w:b/>
              </w:rPr>
              <w:t>Table 1: Asset types in a representative ‘low risk’ mixed portfolio</w:t>
            </w:r>
          </w:p>
        </w:tc>
      </w:tr>
      <w:tr w:rsidR="0089441B" w:rsidRPr="00C966AC" w14:paraId="2FE25D16" w14:textId="77777777" w:rsidTr="007071C1">
        <w:trPr>
          <w:trHeight w:val="419"/>
        </w:trPr>
        <w:tc>
          <w:tcPr>
            <w:tcW w:w="328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DCB1787" w14:textId="77777777" w:rsidR="0089441B" w:rsidRPr="00A2439F" w:rsidRDefault="0089441B" w:rsidP="007071C1">
            <w:pPr>
              <w:keepNext/>
              <w:keepLines/>
              <w:spacing w:after="0" w:line="240" w:lineRule="auto"/>
              <w:jc w:val="center"/>
              <w:rPr>
                <w:rFonts w:ascii="Arial" w:eastAsia="Times New Roman" w:hAnsi="Arial" w:cs="Arial"/>
                <w:b/>
                <w:bCs/>
                <w:color w:val="000000"/>
                <w:sz w:val="20"/>
                <w:szCs w:val="20"/>
                <w:lang w:eastAsia="en-GB"/>
              </w:rPr>
            </w:pPr>
            <w:r w:rsidRPr="00A2439F">
              <w:rPr>
                <w:rFonts w:ascii="Arial" w:eastAsia="Times New Roman" w:hAnsi="Arial" w:cs="Arial"/>
                <w:b/>
                <w:bCs/>
                <w:color w:val="000000"/>
                <w:sz w:val="20"/>
                <w:szCs w:val="20"/>
                <w:lang w:eastAsia="en-GB"/>
              </w:rPr>
              <w:t xml:space="preserve">Asset </w:t>
            </w:r>
            <w:r>
              <w:rPr>
                <w:rFonts w:ascii="Arial" w:eastAsia="Times New Roman" w:hAnsi="Arial" w:cs="Arial"/>
                <w:b/>
                <w:bCs/>
                <w:color w:val="000000"/>
                <w:sz w:val="20"/>
                <w:szCs w:val="20"/>
                <w:lang w:eastAsia="en-GB"/>
              </w:rPr>
              <w:t>Type</w:t>
            </w:r>
          </w:p>
        </w:tc>
        <w:tc>
          <w:tcPr>
            <w:tcW w:w="1718" w:type="pct"/>
            <w:tcBorders>
              <w:top w:val="single" w:sz="4" w:space="0" w:color="auto"/>
              <w:left w:val="nil"/>
              <w:bottom w:val="single" w:sz="4" w:space="0" w:color="auto"/>
              <w:right w:val="single" w:sz="4" w:space="0" w:color="auto"/>
            </w:tcBorders>
            <w:shd w:val="clear" w:color="auto" w:fill="FFFFFF"/>
            <w:vAlign w:val="bottom"/>
            <w:hideMark/>
          </w:tcPr>
          <w:p w14:paraId="235285C3" w14:textId="77777777" w:rsidR="0089441B" w:rsidRPr="00A2439F" w:rsidRDefault="0089441B" w:rsidP="007071C1">
            <w:pPr>
              <w:keepNext/>
              <w:keepLines/>
              <w:spacing w:after="0" w:line="240" w:lineRule="auto"/>
              <w:jc w:val="center"/>
              <w:rPr>
                <w:rFonts w:ascii="Arial" w:eastAsia="Times New Roman" w:hAnsi="Arial" w:cs="Arial"/>
                <w:b/>
                <w:bCs/>
                <w:color w:val="000000"/>
                <w:sz w:val="20"/>
                <w:szCs w:val="20"/>
                <w:lang w:eastAsia="en-GB"/>
              </w:rPr>
            </w:pPr>
            <w:r w:rsidRPr="00A2439F">
              <w:rPr>
                <w:rFonts w:ascii="Arial" w:eastAsia="Times New Roman" w:hAnsi="Arial" w:cs="Arial"/>
                <w:b/>
                <w:bCs/>
                <w:color w:val="000000"/>
                <w:sz w:val="20"/>
                <w:szCs w:val="20"/>
                <w:lang w:eastAsia="en-GB"/>
              </w:rPr>
              <w:t xml:space="preserve">LOW RISK PORTFOLIO AVERAGE </w:t>
            </w:r>
          </w:p>
        </w:tc>
      </w:tr>
      <w:tr w:rsidR="00682EEB" w:rsidRPr="00C966AC" w14:paraId="51A78C28"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1A19E744"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UK Equities</w:t>
            </w:r>
          </w:p>
        </w:tc>
        <w:tc>
          <w:tcPr>
            <w:tcW w:w="1718" w:type="pct"/>
            <w:tcBorders>
              <w:top w:val="nil"/>
              <w:left w:val="nil"/>
              <w:bottom w:val="single" w:sz="4" w:space="0" w:color="auto"/>
              <w:right w:val="single" w:sz="4" w:space="0" w:color="auto"/>
            </w:tcBorders>
            <w:shd w:val="clear" w:color="auto" w:fill="FFFFFF"/>
            <w:noWrap/>
            <w:vAlign w:val="center"/>
            <w:hideMark/>
          </w:tcPr>
          <w:p w14:paraId="6EC9E01C"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13%</w:t>
            </w:r>
          </w:p>
        </w:tc>
      </w:tr>
      <w:tr w:rsidR="00682EEB" w:rsidRPr="00C966AC" w14:paraId="6C3016A5"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23B8A948"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Overseas Equities</w:t>
            </w:r>
          </w:p>
        </w:tc>
        <w:tc>
          <w:tcPr>
            <w:tcW w:w="1718" w:type="pct"/>
            <w:tcBorders>
              <w:top w:val="nil"/>
              <w:left w:val="nil"/>
              <w:bottom w:val="single" w:sz="4" w:space="0" w:color="auto"/>
              <w:right w:val="single" w:sz="4" w:space="0" w:color="auto"/>
            </w:tcBorders>
            <w:shd w:val="clear" w:color="auto" w:fill="FFFFFF"/>
            <w:noWrap/>
            <w:vAlign w:val="center"/>
            <w:hideMark/>
          </w:tcPr>
          <w:p w14:paraId="7E430552"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15%</w:t>
            </w:r>
          </w:p>
        </w:tc>
      </w:tr>
      <w:tr w:rsidR="00682EEB" w:rsidRPr="00C966AC" w14:paraId="5E8D508F"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0BE19B86"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Fixed Interest Gilts</w:t>
            </w:r>
          </w:p>
        </w:tc>
        <w:tc>
          <w:tcPr>
            <w:tcW w:w="1718" w:type="pct"/>
            <w:tcBorders>
              <w:top w:val="nil"/>
              <w:left w:val="nil"/>
              <w:bottom w:val="single" w:sz="4" w:space="0" w:color="auto"/>
              <w:right w:val="single" w:sz="4" w:space="0" w:color="auto"/>
            </w:tcBorders>
            <w:shd w:val="clear" w:color="auto" w:fill="FFFFFF"/>
            <w:noWrap/>
            <w:vAlign w:val="center"/>
            <w:hideMark/>
          </w:tcPr>
          <w:p w14:paraId="69182697"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15%</w:t>
            </w:r>
          </w:p>
        </w:tc>
      </w:tr>
      <w:tr w:rsidR="00682EEB" w:rsidRPr="00C966AC" w14:paraId="2CBD9C85"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6E5878C1"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Index-linked gilts</w:t>
            </w:r>
          </w:p>
        </w:tc>
        <w:tc>
          <w:tcPr>
            <w:tcW w:w="1718" w:type="pct"/>
            <w:tcBorders>
              <w:top w:val="nil"/>
              <w:left w:val="nil"/>
              <w:bottom w:val="single" w:sz="4" w:space="0" w:color="auto"/>
              <w:right w:val="single" w:sz="4" w:space="0" w:color="auto"/>
            </w:tcBorders>
            <w:shd w:val="clear" w:color="auto" w:fill="FFFFFF"/>
            <w:noWrap/>
            <w:vAlign w:val="center"/>
            <w:hideMark/>
          </w:tcPr>
          <w:p w14:paraId="531D7927"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5%</w:t>
            </w:r>
          </w:p>
        </w:tc>
      </w:tr>
      <w:tr w:rsidR="00682EEB" w:rsidRPr="00C966AC" w14:paraId="51453241"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012A5B82"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Corporate Bonds</w:t>
            </w:r>
          </w:p>
        </w:tc>
        <w:tc>
          <w:tcPr>
            <w:tcW w:w="1718" w:type="pct"/>
            <w:tcBorders>
              <w:top w:val="nil"/>
              <w:left w:val="nil"/>
              <w:bottom w:val="single" w:sz="4" w:space="0" w:color="auto"/>
              <w:right w:val="single" w:sz="4" w:space="0" w:color="auto"/>
            </w:tcBorders>
            <w:shd w:val="clear" w:color="auto" w:fill="FFFFFF"/>
            <w:noWrap/>
            <w:vAlign w:val="center"/>
            <w:hideMark/>
          </w:tcPr>
          <w:p w14:paraId="51053EC0"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21%</w:t>
            </w:r>
          </w:p>
        </w:tc>
      </w:tr>
      <w:tr w:rsidR="00682EEB" w:rsidRPr="00C966AC" w14:paraId="16D02B17"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66A5B922"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Cash</w:t>
            </w:r>
          </w:p>
        </w:tc>
        <w:tc>
          <w:tcPr>
            <w:tcW w:w="1718" w:type="pct"/>
            <w:tcBorders>
              <w:top w:val="nil"/>
              <w:left w:val="nil"/>
              <w:bottom w:val="single" w:sz="4" w:space="0" w:color="auto"/>
              <w:right w:val="single" w:sz="4" w:space="0" w:color="auto"/>
            </w:tcBorders>
            <w:shd w:val="clear" w:color="auto" w:fill="FFFFFF"/>
            <w:noWrap/>
            <w:vAlign w:val="center"/>
            <w:hideMark/>
          </w:tcPr>
          <w:p w14:paraId="7EBC3F2A"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10%</w:t>
            </w:r>
          </w:p>
        </w:tc>
      </w:tr>
      <w:tr w:rsidR="00682EEB" w:rsidRPr="00C966AC" w14:paraId="07EF0E91"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4B11DC82"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Property</w:t>
            </w:r>
          </w:p>
        </w:tc>
        <w:tc>
          <w:tcPr>
            <w:tcW w:w="1718" w:type="pct"/>
            <w:tcBorders>
              <w:top w:val="nil"/>
              <w:left w:val="nil"/>
              <w:bottom w:val="single" w:sz="4" w:space="0" w:color="auto"/>
              <w:right w:val="single" w:sz="4" w:space="0" w:color="auto"/>
            </w:tcBorders>
            <w:shd w:val="clear" w:color="auto" w:fill="FFFFFF"/>
            <w:noWrap/>
            <w:vAlign w:val="center"/>
            <w:hideMark/>
          </w:tcPr>
          <w:p w14:paraId="07454830"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4%</w:t>
            </w:r>
          </w:p>
        </w:tc>
      </w:tr>
      <w:tr w:rsidR="00682EEB" w:rsidRPr="00C966AC" w14:paraId="255C30B5"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790E7BD5" w14:textId="77777777" w:rsidR="00682EEB" w:rsidRPr="00A2439F" w:rsidRDefault="00682EEB" w:rsidP="00530052">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Alternatives</w:t>
            </w:r>
            <w:r w:rsidR="00DF0E6F">
              <w:rPr>
                <w:rStyle w:val="FootnoteReference"/>
                <w:rFonts w:ascii="Arial" w:eastAsia="Times New Roman" w:hAnsi="Arial" w:cs="Arial"/>
                <w:color w:val="000000"/>
                <w:sz w:val="20"/>
                <w:szCs w:val="20"/>
                <w:lang w:eastAsia="en-GB"/>
              </w:rPr>
              <w:footnoteReference w:id="5"/>
            </w:r>
          </w:p>
        </w:tc>
        <w:tc>
          <w:tcPr>
            <w:tcW w:w="1718" w:type="pct"/>
            <w:tcBorders>
              <w:top w:val="nil"/>
              <w:left w:val="nil"/>
              <w:bottom w:val="single" w:sz="4" w:space="0" w:color="auto"/>
              <w:right w:val="single" w:sz="4" w:space="0" w:color="auto"/>
            </w:tcBorders>
            <w:shd w:val="clear" w:color="auto" w:fill="FFFFFF"/>
            <w:noWrap/>
            <w:vAlign w:val="center"/>
            <w:hideMark/>
          </w:tcPr>
          <w:p w14:paraId="3BB18C32" w14:textId="77777777" w:rsidR="00682EEB" w:rsidRPr="00A2439F" w:rsidRDefault="00682EEB" w:rsidP="00682EEB">
            <w:pPr>
              <w:keepNext/>
              <w:keepLines/>
              <w:spacing w:after="0" w:line="240" w:lineRule="auto"/>
              <w:jc w:val="center"/>
              <w:rPr>
                <w:rFonts w:ascii="Arial" w:eastAsia="Times New Roman" w:hAnsi="Arial" w:cs="Arial"/>
                <w:color w:val="000000"/>
                <w:sz w:val="20"/>
                <w:szCs w:val="20"/>
                <w:lang w:eastAsia="en-GB"/>
              </w:rPr>
            </w:pPr>
            <w:r w:rsidRPr="00D06570">
              <w:rPr>
                <w:rFonts w:ascii="Arial" w:eastAsia="Times New Roman" w:hAnsi="Arial" w:cs="Arial"/>
                <w:color w:val="000000"/>
                <w:sz w:val="20"/>
                <w:szCs w:val="20"/>
                <w:lang w:eastAsia="en-GB"/>
              </w:rPr>
              <w:t>18%</w:t>
            </w:r>
          </w:p>
        </w:tc>
      </w:tr>
      <w:tr w:rsidR="00682EEB" w:rsidRPr="00C966AC" w14:paraId="71503EB2" w14:textId="77777777" w:rsidTr="00D06570">
        <w:trPr>
          <w:trHeight w:val="287"/>
        </w:trPr>
        <w:tc>
          <w:tcPr>
            <w:tcW w:w="3282" w:type="pct"/>
            <w:tcBorders>
              <w:top w:val="nil"/>
              <w:left w:val="single" w:sz="4" w:space="0" w:color="auto"/>
              <w:bottom w:val="single" w:sz="4" w:space="0" w:color="auto"/>
              <w:right w:val="single" w:sz="4" w:space="0" w:color="auto"/>
            </w:tcBorders>
            <w:shd w:val="clear" w:color="auto" w:fill="FFFFFF"/>
            <w:noWrap/>
            <w:vAlign w:val="center"/>
            <w:hideMark/>
          </w:tcPr>
          <w:p w14:paraId="5CC561B9" w14:textId="77777777" w:rsidR="00682EEB" w:rsidRPr="00D06570" w:rsidRDefault="00682EEB" w:rsidP="00682EEB">
            <w:pPr>
              <w:keepNext/>
              <w:keepLines/>
              <w:spacing w:after="0" w:line="240" w:lineRule="auto"/>
              <w:jc w:val="center"/>
              <w:rPr>
                <w:rFonts w:ascii="Arial" w:eastAsia="Times New Roman" w:hAnsi="Arial" w:cs="Arial"/>
                <w:b/>
                <w:color w:val="000000"/>
                <w:sz w:val="20"/>
                <w:szCs w:val="20"/>
                <w:lang w:eastAsia="en-GB"/>
              </w:rPr>
            </w:pPr>
            <w:r w:rsidRPr="00D06570">
              <w:rPr>
                <w:rFonts w:ascii="Arial" w:eastAsia="Times New Roman" w:hAnsi="Arial" w:cs="Arial"/>
                <w:b/>
                <w:color w:val="000000"/>
                <w:sz w:val="20"/>
                <w:szCs w:val="20"/>
                <w:lang w:eastAsia="en-GB"/>
              </w:rPr>
              <w:t>Total</w:t>
            </w:r>
          </w:p>
        </w:tc>
        <w:tc>
          <w:tcPr>
            <w:tcW w:w="1718" w:type="pct"/>
            <w:tcBorders>
              <w:top w:val="nil"/>
              <w:left w:val="nil"/>
              <w:bottom w:val="single" w:sz="4" w:space="0" w:color="auto"/>
              <w:right w:val="single" w:sz="4" w:space="0" w:color="auto"/>
            </w:tcBorders>
            <w:shd w:val="clear" w:color="auto" w:fill="FFFFFF"/>
            <w:noWrap/>
            <w:vAlign w:val="center"/>
            <w:hideMark/>
          </w:tcPr>
          <w:p w14:paraId="1B42EB79" w14:textId="77777777" w:rsidR="00682EEB" w:rsidRPr="00D06570" w:rsidRDefault="00682EEB" w:rsidP="00682EEB">
            <w:pPr>
              <w:keepNext/>
              <w:keepLines/>
              <w:spacing w:after="0" w:line="240" w:lineRule="auto"/>
              <w:jc w:val="center"/>
              <w:rPr>
                <w:rFonts w:ascii="Arial" w:eastAsia="Times New Roman" w:hAnsi="Arial" w:cs="Arial"/>
                <w:b/>
                <w:color w:val="000000"/>
                <w:sz w:val="20"/>
                <w:szCs w:val="20"/>
                <w:lang w:eastAsia="en-GB"/>
              </w:rPr>
            </w:pPr>
            <w:r w:rsidRPr="00D06570">
              <w:rPr>
                <w:rFonts w:ascii="Arial" w:eastAsia="Times New Roman" w:hAnsi="Arial" w:cs="Arial"/>
                <w:b/>
                <w:color w:val="000000"/>
                <w:sz w:val="20"/>
                <w:szCs w:val="20"/>
                <w:lang w:eastAsia="en-GB"/>
              </w:rPr>
              <w:t>100%</w:t>
            </w:r>
          </w:p>
        </w:tc>
      </w:tr>
      <w:tr w:rsidR="0089441B" w:rsidRPr="00C966AC" w14:paraId="5203561F" w14:textId="77777777" w:rsidTr="007071C1">
        <w:trPr>
          <w:trHeight w:val="28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E822648" w14:textId="77777777" w:rsidR="0089441B" w:rsidRPr="00682EEB" w:rsidRDefault="00682EEB" w:rsidP="000C0242">
            <w:pPr>
              <w:keepNext/>
              <w:keepLines/>
              <w:spacing w:after="0" w:line="240" w:lineRule="auto"/>
              <w:rPr>
                <w:rFonts w:ascii="Arial" w:eastAsia="Times New Roman" w:hAnsi="Arial" w:cs="Arial"/>
                <w:bCs/>
                <w:color w:val="000000"/>
                <w:sz w:val="20"/>
                <w:szCs w:val="20"/>
                <w:lang w:eastAsia="en-GB"/>
              </w:rPr>
            </w:pPr>
            <w:r w:rsidRPr="00682EEB">
              <w:rPr>
                <w:rFonts w:ascii="Arial" w:eastAsia="Times New Roman" w:hAnsi="Arial" w:cs="Arial"/>
                <w:bCs/>
                <w:color w:val="000000"/>
                <w:sz w:val="20"/>
                <w:szCs w:val="20"/>
                <w:lang w:eastAsia="en-GB"/>
              </w:rPr>
              <w:t xml:space="preserve">Note: </w:t>
            </w:r>
            <w:r>
              <w:rPr>
                <w:rFonts w:ascii="Arial" w:eastAsia="Times New Roman" w:hAnsi="Arial" w:cs="Arial"/>
                <w:bCs/>
                <w:color w:val="000000"/>
                <w:sz w:val="20"/>
                <w:szCs w:val="20"/>
                <w:lang w:eastAsia="en-GB"/>
              </w:rPr>
              <w:t xml:space="preserve">Sum of each asset class </w:t>
            </w:r>
            <w:r w:rsidR="000C0242">
              <w:rPr>
                <w:rFonts w:ascii="Arial" w:eastAsia="Times New Roman" w:hAnsi="Arial" w:cs="Arial"/>
                <w:bCs/>
                <w:color w:val="000000"/>
                <w:sz w:val="20"/>
                <w:szCs w:val="20"/>
                <w:lang w:eastAsia="en-GB"/>
              </w:rPr>
              <w:t xml:space="preserve">does </w:t>
            </w:r>
            <w:r>
              <w:rPr>
                <w:rFonts w:ascii="Arial" w:eastAsia="Times New Roman" w:hAnsi="Arial" w:cs="Arial"/>
                <w:bCs/>
                <w:color w:val="000000"/>
                <w:sz w:val="20"/>
                <w:szCs w:val="20"/>
                <w:lang w:eastAsia="en-GB"/>
              </w:rPr>
              <w:t xml:space="preserve">not equal </w:t>
            </w:r>
            <w:r w:rsidRPr="00682EEB">
              <w:rPr>
                <w:rFonts w:ascii="Arial" w:eastAsia="Times New Roman" w:hAnsi="Arial" w:cs="Arial"/>
                <w:bCs/>
                <w:color w:val="000000"/>
                <w:sz w:val="20"/>
                <w:szCs w:val="20"/>
                <w:lang w:eastAsia="en-GB"/>
              </w:rPr>
              <w:t xml:space="preserve">100% </w:t>
            </w:r>
            <w:r w:rsidRPr="00D06570">
              <w:rPr>
                <w:rFonts w:ascii="Arial" w:hAnsi="Arial" w:cs="Arial"/>
                <w:sz w:val="20"/>
              </w:rPr>
              <w:t>due to rounding</w:t>
            </w:r>
          </w:p>
        </w:tc>
      </w:tr>
    </w:tbl>
    <w:p w14:paraId="650BC56A" w14:textId="77777777" w:rsidR="0089441B" w:rsidRDefault="0089441B" w:rsidP="0089441B">
      <w:pPr>
        <w:pStyle w:val="ListParagraph"/>
        <w:ind w:left="0"/>
        <w:rPr>
          <w:rFonts w:ascii="Arial" w:hAnsi="Arial" w:cs="Arial"/>
        </w:rPr>
      </w:pPr>
    </w:p>
    <w:p w14:paraId="0FA171C4" w14:textId="77777777" w:rsidR="0089441B" w:rsidRDefault="0089441B" w:rsidP="0089441B">
      <w:pPr>
        <w:pStyle w:val="ListParagraph"/>
        <w:rPr>
          <w:rFonts w:ascii="Arial" w:hAnsi="Arial" w:cs="Arial"/>
        </w:rPr>
      </w:pPr>
    </w:p>
    <w:p w14:paraId="3F962227" w14:textId="40F6D2BF" w:rsidR="0089441B" w:rsidRPr="0091661E" w:rsidRDefault="0089441B" w:rsidP="0089441B">
      <w:pPr>
        <w:pStyle w:val="ListParagraph"/>
        <w:numPr>
          <w:ilvl w:val="0"/>
          <w:numId w:val="25"/>
        </w:numPr>
      </w:pPr>
      <w:r w:rsidRPr="0041080F">
        <w:rPr>
          <w:rFonts w:ascii="Arial" w:hAnsi="Arial" w:cs="Arial"/>
        </w:rPr>
        <w:t xml:space="preserve">The portfolio </w:t>
      </w:r>
      <w:r w:rsidRPr="00A164AC">
        <w:rPr>
          <w:rFonts w:ascii="Arial" w:hAnsi="Arial" w:cs="Arial"/>
        </w:rPr>
        <w:t xml:space="preserve">in Table 1 </w:t>
      </w:r>
      <w:r w:rsidRPr="001F6D1C">
        <w:rPr>
          <w:rFonts w:ascii="Arial" w:hAnsi="Arial" w:cs="Arial"/>
        </w:rPr>
        <w:t xml:space="preserve">is only </w:t>
      </w:r>
      <w:r>
        <w:rPr>
          <w:rFonts w:ascii="Arial" w:hAnsi="Arial" w:cs="Arial"/>
        </w:rPr>
        <w:t xml:space="preserve">one </w:t>
      </w:r>
      <w:r w:rsidR="008D38E8" w:rsidRPr="00F36DF1">
        <w:rPr>
          <w:rFonts w:ascii="Arial" w:hAnsi="Arial" w:cs="Arial"/>
        </w:rPr>
        <w:t>illustration</w:t>
      </w:r>
      <w:r w:rsidR="008D38E8">
        <w:rPr>
          <w:rFonts w:ascii="Arial" w:hAnsi="Arial" w:cs="Arial"/>
        </w:rPr>
        <w:t xml:space="preserve"> </w:t>
      </w:r>
      <w:r>
        <w:rPr>
          <w:rFonts w:ascii="Arial" w:hAnsi="Arial" w:cs="Arial"/>
        </w:rPr>
        <w:t xml:space="preserve">of what a </w:t>
      </w:r>
      <w:r w:rsidRPr="0041080F">
        <w:rPr>
          <w:rFonts w:ascii="Arial" w:hAnsi="Arial" w:cs="Arial"/>
        </w:rPr>
        <w:t>‘low risk’ portfolio</w:t>
      </w:r>
      <w:r>
        <w:rPr>
          <w:rFonts w:ascii="Arial" w:hAnsi="Arial" w:cs="Arial"/>
        </w:rPr>
        <w:t xml:space="preserve"> </w:t>
      </w:r>
      <w:r w:rsidR="008D38E8" w:rsidRPr="00F36DF1">
        <w:rPr>
          <w:rFonts w:ascii="Arial" w:hAnsi="Arial" w:cs="Arial"/>
        </w:rPr>
        <w:t>might</w:t>
      </w:r>
      <w:r w:rsidR="008D38E8">
        <w:rPr>
          <w:rFonts w:ascii="Arial" w:hAnsi="Arial" w:cs="Arial"/>
        </w:rPr>
        <w:t xml:space="preserve"> </w:t>
      </w:r>
      <w:r w:rsidR="000A2D6D">
        <w:rPr>
          <w:rFonts w:ascii="Arial" w:hAnsi="Arial" w:cs="Arial"/>
        </w:rPr>
        <w:t>comprise</w:t>
      </w:r>
      <w:r>
        <w:rPr>
          <w:rFonts w:ascii="Arial" w:hAnsi="Arial" w:cs="Arial"/>
        </w:rPr>
        <w:t xml:space="preserve">. </w:t>
      </w:r>
      <w:r w:rsidRPr="0041080F">
        <w:rPr>
          <w:rFonts w:ascii="Arial" w:hAnsi="Arial" w:cs="Arial"/>
        </w:rPr>
        <w:t xml:space="preserve">It does not prejudice the benchmark investment by reference to which the Lord Chancellor, aided by </w:t>
      </w:r>
      <w:r w:rsidR="007773AE">
        <w:rPr>
          <w:rFonts w:ascii="Arial" w:hAnsi="Arial" w:cs="Arial"/>
        </w:rPr>
        <w:t xml:space="preserve">the Government Actuary or </w:t>
      </w:r>
      <w:r w:rsidRPr="0041080F">
        <w:rPr>
          <w:rFonts w:ascii="Arial" w:hAnsi="Arial" w:cs="Arial"/>
        </w:rPr>
        <w:t xml:space="preserve">an expert panel, might choose to set the PIDR when </w:t>
      </w:r>
      <w:r w:rsidR="007071C1">
        <w:rPr>
          <w:rFonts w:ascii="Arial" w:hAnsi="Arial" w:cs="Arial"/>
        </w:rPr>
        <w:t xml:space="preserve">it is </w:t>
      </w:r>
      <w:r w:rsidRPr="0041080F">
        <w:rPr>
          <w:rFonts w:ascii="Arial" w:hAnsi="Arial" w:cs="Arial"/>
        </w:rPr>
        <w:t xml:space="preserve">next reviewed. </w:t>
      </w:r>
    </w:p>
    <w:p w14:paraId="7DA9039D" w14:textId="77777777" w:rsidR="0089441B" w:rsidRPr="0091661E" w:rsidRDefault="0089441B" w:rsidP="0089441B">
      <w:pPr>
        <w:pStyle w:val="ListParagraph"/>
        <w:ind w:left="0"/>
      </w:pPr>
    </w:p>
    <w:p w14:paraId="57FC88E2" w14:textId="064CF39E" w:rsidR="006E5FBE" w:rsidRPr="00733F38" w:rsidRDefault="000A2D6D" w:rsidP="006E5FBE">
      <w:pPr>
        <w:pStyle w:val="ListParagraph"/>
        <w:numPr>
          <w:ilvl w:val="0"/>
          <w:numId w:val="25"/>
        </w:numPr>
        <w:rPr>
          <w:rFonts w:ascii="Calibri" w:hAnsi="Calibri" w:cs="Times New Roman"/>
        </w:rPr>
      </w:pPr>
      <w:r w:rsidRPr="006E5FBE">
        <w:rPr>
          <w:rFonts w:ascii="Arial" w:hAnsi="Arial" w:cs="Arial"/>
        </w:rPr>
        <w:t>For</w:t>
      </w:r>
      <w:r w:rsidR="0089441B" w:rsidRPr="006E5FBE">
        <w:rPr>
          <w:rFonts w:ascii="Arial" w:hAnsi="Arial" w:cs="Arial"/>
        </w:rPr>
        <w:t xml:space="preserve"> illustration only, </w:t>
      </w:r>
      <w:r w:rsidR="00651FD7" w:rsidRPr="006E5FBE">
        <w:rPr>
          <w:rFonts w:ascii="Arial" w:hAnsi="Arial" w:cs="Arial"/>
        </w:rPr>
        <w:t xml:space="preserve">the </w:t>
      </w:r>
      <w:r w:rsidR="000C4F99">
        <w:rPr>
          <w:rFonts w:ascii="Arial" w:hAnsi="Arial" w:cs="Arial"/>
        </w:rPr>
        <w:t>MoJ</w:t>
      </w:r>
      <w:r w:rsidR="0089441B" w:rsidRPr="006E5FBE">
        <w:rPr>
          <w:rFonts w:ascii="Arial" w:hAnsi="Arial" w:cs="Arial"/>
        </w:rPr>
        <w:t xml:space="preserve"> asked GAD to consider the investment return and risk profile of this </w:t>
      </w:r>
      <w:r w:rsidR="008D38E8" w:rsidRPr="00F36DF1">
        <w:rPr>
          <w:rFonts w:ascii="Arial" w:hAnsi="Arial" w:cs="Arial"/>
        </w:rPr>
        <w:t>illustrative</w:t>
      </w:r>
      <w:r w:rsidR="008D38E8" w:rsidRPr="006E5FBE">
        <w:rPr>
          <w:rFonts w:ascii="Arial" w:hAnsi="Arial" w:cs="Arial"/>
        </w:rPr>
        <w:t xml:space="preserve"> </w:t>
      </w:r>
      <w:r w:rsidR="0089441B" w:rsidRPr="006E5FBE">
        <w:rPr>
          <w:rFonts w:ascii="Arial" w:hAnsi="Arial" w:cs="Arial"/>
        </w:rPr>
        <w:t xml:space="preserve">low risk portfolio. </w:t>
      </w:r>
      <w:r w:rsidR="006E5FBE" w:rsidRPr="006E5FBE">
        <w:rPr>
          <w:rFonts w:ascii="Arial" w:hAnsi="Arial" w:cs="Arial"/>
        </w:rPr>
        <w:t>To do this, GAD compared the</w:t>
      </w:r>
      <w:r w:rsidR="006E5FBE" w:rsidRPr="00733F38">
        <w:rPr>
          <w:rFonts w:ascii="Arial" w:hAnsi="Arial" w:cs="Arial"/>
        </w:rPr>
        <w:t xml:space="preserve"> award value given to the claimant </w:t>
      </w:r>
      <w:r w:rsidR="00E61EC1">
        <w:rPr>
          <w:rFonts w:ascii="Arial" w:hAnsi="Arial" w:cs="Arial"/>
        </w:rPr>
        <w:t xml:space="preserve">(calculated based on a range of different PIDRs) </w:t>
      </w:r>
      <w:r w:rsidR="006E5FBE" w:rsidRPr="00733F38">
        <w:rPr>
          <w:rFonts w:ascii="Arial" w:hAnsi="Arial" w:cs="Arial"/>
        </w:rPr>
        <w:t xml:space="preserve">against the amount required for the claimant to run out of income exactly at the end of the term of his or her award. If the amount awarded in practice is larger than the amount required then the claimant is described as over-compensated and if the amount is less than required </w:t>
      </w:r>
      <w:r w:rsidR="004D2009" w:rsidRPr="00733F38">
        <w:rPr>
          <w:rFonts w:ascii="Arial" w:hAnsi="Arial" w:cs="Arial"/>
        </w:rPr>
        <w:t>th</w:t>
      </w:r>
      <w:r w:rsidR="004D2009">
        <w:rPr>
          <w:rFonts w:ascii="Arial" w:hAnsi="Arial" w:cs="Arial"/>
        </w:rPr>
        <w:t>e</w:t>
      </w:r>
      <w:r w:rsidR="004D2009" w:rsidRPr="00733F38">
        <w:rPr>
          <w:rFonts w:ascii="Arial" w:hAnsi="Arial" w:cs="Arial"/>
        </w:rPr>
        <w:t xml:space="preserve">n </w:t>
      </w:r>
      <w:r w:rsidR="006E5FBE" w:rsidRPr="00733F38">
        <w:rPr>
          <w:rFonts w:ascii="Arial" w:hAnsi="Arial" w:cs="Arial"/>
        </w:rPr>
        <w:t xml:space="preserve">the claimant is described as under-compensated. This comparison is calculated for each scenario, meaning that a distribution of outcomes is derived. </w:t>
      </w:r>
      <w:r w:rsidR="007071C1" w:rsidRPr="006E5FBE">
        <w:rPr>
          <w:rFonts w:ascii="Arial" w:hAnsi="Arial" w:cs="Arial"/>
        </w:rPr>
        <w:t>‘</w:t>
      </w:r>
      <w:r w:rsidR="0089441B" w:rsidRPr="006E5FBE">
        <w:rPr>
          <w:rFonts w:ascii="Arial" w:hAnsi="Arial" w:cs="Arial"/>
        </w:rPr>
        <w:t>Risk profile</w:t>
      </w:r>
      <w:r w:rsidR="007071C1" w:rsidRPr="006E5FBE">
        <w:rPr>
          <w:rFonts w:ascii="Arial" w:hAnsi="Arial" w:cs="Arial"/>
        </w:rPr>
        <w:t>’</w:t>
      </w:r>
      <w:r w:rsidR="0089441B" w:rsidRPr="006E5FBE">
        <w:rPr>
          <w:rFonts w:ascii="Arial" w:hAnsi="Arial" w:cs="Arial"/>
        </w:rPr>
        <w:t xml:space="preserve"> </w:t>
      </w:r>
      <w:r w:rsidR="007071C1" w:rsidRPr="006E5FBE">
        <w:rPr>
          <w:rFonts w:ascii="Arial" w:hAnsi="Arial" w:cs="Arial"/>
        </w:rPr>
        <w:t xml:space="preserve">in this instance </w:t>
      </w:r>
      <w:r w:rsidR="00E61EC1">
        <w:rPr>
          <w:rFonts w:ascii="Arial" w:hAnsi="Arial" w:cs="Arial"/>
        </w:rPr>
        <w:t>refers to the</w:t>
      </w:r>
      <w:r w:rsidR="002B3ADF" w:rsidRPr="00733F38">
        <w:rPr>
          <w:rFonts w:ascii="Arial" w:hAnsi="Arial" w:cs="Arial"/>
        </w:rPr>
        <w:t xml:space="preserve"> range of potential claimant outcomes</w:t>
      </w:r>
      <w:r w:rsidR="002B3ADF">
        <w:rPr>
          <w:rFonts w:ascii="Arial" w:hAnsi="Arial" w:cs="Arial"/>
        </w:rPr>
        <w:t xml:space="preserve"> with respect to </w:t>
      </w:r>
      <w:r w:rsidR="006E5FBE" w:rsidRPr="006E5FBE">
        <w:rPr>
          <w:rFonts w:ascii="Arial" w:hAnsi="Arial" w:cs="Arial"/>
        </w:rPr>
        <w:t xml:space="preserve">under/over compensation. </w:t>
      </w:r>
    </w:p>
    <w:p w14:paraId="0E1C20D8" w14:textId="77777777" w:rsidR="006E5FBE" w:rsidRPr="00733F38" w:rsidRDefault="006E5FBE" w:rsidP="00733F38">
      <w:pPr>
        <w:pStyle w:val="ListParagraph"/>
        <w:rPr>
          <w:rFonts w:ascii="Arial" w:hAnsi="Arial" w:cs="Arial"/>
        </w:rPr>
      </w:pPr>
    </w:p>
    <w:p w14:paraId="6824B0AB" w14:textId="77777777" w:rsidR="00733F38" w:rsidRDefault="007308DA" w:rsidP="00733F38">
      <w:pPr>
        <w:pStyle w:val="ListParagraph"/>
        <w:numPr>
          <w:ilvl w:val="0"/>
          <w:numId w:val="25"/>
        </w:numPr>
        <w:rPr>
          <w:rFonts w:ascii="Arial" w:hAnsi="Arial" w:cs="Arial"/>
        </w:rPr>
      </w:pPr>
      <w:r>
        <w:rPr>
          <w:rFonts w:ascii="Arial" w:hAnsi="Arial" w:cs="Arial"/>
        </w:rPr>
        <w:t>Returns and risk profiles were</w:t>
      </w:r>
      <w:r w:rsidR="0089441B" w:rsidRPr="00733F38">
        <w:rPr>
          <w:rFonts w:ascii="Arial" w:hAnsi="Arial" w:cs="Arial"/>
        </w:rPr>
        <w:t xml:space="preserve"> considered over a 30-year period, based on investment modelling using an Economic Scenario Generator.</w:t>
      </w:r>
      <w:r w:rsidR="000A2D6D" w:rsidRPr="00733F38">
        <w:rPr>
          <w:rFonts w:ascii="Arial" w:hAnsi="Arial" w:cs="Arial"/>
        </w:rPr>
        <w:t xml:space="preserve"> </w:t>
      </w:r>
      <w:r w:rsidR="00733F38" w:rsidRPr="00733F38">
        <w:rPr>
          <w:rFonts w:ascii="Arial" w:hAnsi="Arial" w:cs="Arial"/>
        </w:rPr>
        <w:t>For simplicity, t</w:t>
      </w:r>
      <w:r w:rsidR="002B3ADF" w:rsidRPr="00733F38">
        <w:rPr>
          <w:rFonts w:ascii="Arial" w:hAnsi="Arial" w:cs="Arial"/>
        </w:rPr>
        <w:t xml:space="preserve">he investment strategies included in </w:t>
      </w:r>
      <w:r w:rsidR="00E61EC1">
        <w:rPr>
          <w:rFonts w:ascii="Arial" w:hAnsi="Arial" w:cs="Arial"/>
        </w:rPr>
        <w:t>GAD’s</w:t>
      </w:r>
      <w:r w:rsidR="00E61EC1" w:rsidRPr="00733F38">
        <w:rPr>
          <w:rFonts w:ascii="Arial" w:hAnsi="Arial" w:cs="Arial"/>
        </w:rPr>
        <w:t xml:space="preserve"> </w:t>
      </w:r>
      <w:r w:rsidR="002B3ADF" w:rsidRPr="00733F38">
        <w:rPr>
          <w:rFonts w:ascii="Arial" w:hAnsi="Arial" w:cs="Arial"/>
        </w:rPr>
        <w:t xml:space="preserve">modelling </w:t>
      </w:r>
      <w:r w:rsidR="00E61EC1">
        <w:rPr>
          <w:rFonts w:ascii="Arial" w:hAnsi="Arial" w:cs="Arial"/>
        </w:rPr>
        <w:t>are</w:t>
      </w:r>
      <w:r w:rsidR="00E61EC1" w:rsidRPr="00733F38">
        <w:rPr>
          <w:rFonts w:ascii="Arial" w:hAnsi="Arial" w:cs="Arial"/>
        </w:rPr>
        <w:t xml:space="preserve"> </w:t>
      </w:r>
      <w:r w:rsidR="002B3ADF" w:rsidRPr="00733F38">
        <w:rPr>
          <w:rFonts w:ascii="Arial" w:hAnsi="Arial" w:cs="Arial"/>
        </w:rPr>
        <w:t xml:space="preserve">assumed to be ‘static’ in that the claimant is assumed to rebalance the portfolio each year to maintain the </w:t>
      </w:r>
      <w:r w:rsidR="00E61EC1">
        <w:rPr>
          <w:rFonts w:ascii="Arial" w:hAnsi="Arial" w:cs="Arial"/>
        </w:rPr>
        <w:t xml:space="preserve">original asset </w:t>
      </w:r>
      <w:r w:rsidR="002B3ADF" w:rsidRPr="00733F38">
        <w:rPr>
          <w:rFonts w:ascii="Arial" w:hAnsi="Arial" w:cs="Arial"/>
        </w:rPr>
        <w:t>allocation</w:t>
      </w:r>
      <w:r w:rsidR="004D2009">
        <w:rPr>
          <w:rFonts w:ascii="Arial" w:hAnsi="Arial" w:cs="Arial"/>
        </w:rPr>
        <w:t xml:space="preserve"> (e.g., in line with Table 1 above for the low risk portfolio)</w:t>
      </w:r>
      <w:r w:rsidR="002B3ADF" w:rsidRPr="00733F38">
        <w:rPr>
          <w:rFonts w:ascii="Arial" w:hAnsi="Arial" w:cs="Arial"/>
          <w:vertAlign w:val="superscript"/>
        </w:rPr>
        <w:footnoteReference w:id="6"/>
      </w:r>
      <w:r w:rsidR="002B3ADF" w:rsidRPr="00733F38">
        <w:rPr>
          <w:rFonts w:ascii="Arial" w:hAnsi="Arial" w:cs="Arial"/>
        </w:rPr>
        <w:t xml:space="preserve">. In practice claimants are likely to change their strategy over time – </w:t>
      </w:r>
      <w:r w:rsidR="00C16C68">
        <w:rPr>
          <w:rFonts w:ascii="Arial" w:hAnsi="Arial" w:cs="Arial"/>
        </w:rPr>
        <w:t>e.g., to</w:t>
      </w:r>
      <w:r w:rsidR="002B3ADF" w:rsidRPr="00733F38">
        <w:rPr>
          <w:rFonts w:ascii="Arial" w:hAnsi="Arial" w:cs="Arial"/>
        </w:rPr>
        <w:t xml:space="preserve"> reduce levels of risk to ‘bank’ periods of good returns, </w:t>
      </w:r>
      <w:r w:rsidR="00C16C68">
        <w:rPr>
          <w:rFonts w:ascii="Arial" w:hAnsi="Arial" w:cs="Arial"/>
        </w:rPr>
        <w:t xml:space="preserve">to </w:t>
      </w:r>
      <w:r w:rsidR="002B3ADF" w:rsidRPr="00733F38">
        <w:rPr>
          <w:rFonts w:ascii="Arial" w:hAnsi="Arial" w:cs="Arial"/>
        </w:rPr>
        <w:t>increase levels of risk to recover from periods of poor returns or to reduce the level of risk as the remaining period of the award reduces</w:t>
      </w:r>
      <w:r w:rsidR="00733F38" w:rsidRPr="00733F38">
        <w:rPr>
          <w:rFonts w:ascii="Arial" w:hAnsi="Arial" w:cs="Arial"/>
        </w:rPr>
        <w:t xml:space="preserve">. As such the range of outcomes </w:t>
      </w:r>
      <w:r w:rsidR="00582616">
        <w:rPr>
          <w:rFonts w:ascii="Arial" w:hAnsi="Arial" w:cs="Arial"/>
        </w:rPr>
        <w:t xml:space="preserve">shown in the </w:t>
      </w:r>
      <w:r w:rsidR="00C16C68">
        <w:rPr>
          <w:rFonts w:ascii="Arial" w:hAnsi="Arial" w:cs="Arial"/>
        </w:rPr>
        <w:t xml:space="preserve">GAD </w:t>
      </w:r>
      <w:r w:rsidR="00582616">
        <w:rPr>
          <w:rFonts w:ascii="Arial" w:hAnsi="Arial" w:cs="Arial"/>
        </w:rPr>
        <w:t xml:space="preserve">analysis </w:t>
      </w:r>
      <w:r w:rsidR="00733F38" w:rsidRPr="00733F38">
        <w:rPr>
          <w:rFonts w:ascii="Arial" w:hAnsi="Arial" w:cs="Arial"/>
        </w:rPr>
        <w:t>is likely to be wider than that which claimants might achieve should they adopt these approaches</w:t>
      </w:r>
      <w:r w:rsidR="00733F38">
        <w:rPr>
          <w:rFonts w:ascii="Arial" w:hAnsi="Arial" w:cs="Arial"/>
        </w:rPr>
        <w:t>.</w:t>
      </w:r>
    </w:p>
    <w:p w14:paraId="629A84C8" w14:textId="77777777" w:rsidR="00733F38" w:rsidRPr="00733F38" w:rsidRDefault="00733F38" w:rsidP="00733F38">
      <w:pPr>
        <w:pStyle w:val="ListParagraph"/>
        <w:ind w:left="360"/>
        <w:rPr>
          <w:rFonts w:ascii="Arial" w:hAnsi="Arial" w:cs="Arial"/>
        </w:rPr>
      </w:pPr>
    </w:p>
    <w:p w14:paraId="5CE4E5BD" w14:textId="512AB4FC" w:rsidR="000A2D6D" w:rsidRPr="003D46C7" w:rsidRDefault="000A2D6D" w:rsidP="0089441B">
      <w:pPr>
        <w:pStyle w:val="ListParagraph"/>
        <w:numPr>
          <w:ilvl w:val="0"/>
          <w:numId w:val="25"/>
        </w:numPr>
        <w:rPr>
          <w:rFonts w:ascii="Calibri" w:hAnsi="Calibri" w:cs="Times New Roman"/>
        </w:rPr>
      </w:pPr>
      <w:r w:rsidRPr="00544801">
        <w:rPr>
          <w:rFonts w:ascii="Arial" w:hAnsi="Arial" w:cs="Arial"/>
        </w:rPr>
        <w:t xml:space="preserve">Under the current legal framework, the PIDR is set with reference to real gross redemption yields on ILGS, returns on which are adjusted in line with movements in the Retail Price Index (RPI). For consistency, </w:t>
      </w:r>
      <w:r w:rsidR="004A458E">
        <w:rPr>
          <w:rFonts w:ascii="Arial" w:hAnsi="Arial" w:cs="Arial"/>
        </w:rPr>
        <w:t xml:space="preserve">the </w:t>
      </w:r>
      <w:r w:rsidR="000C4F99">
        <w:rPr>
          <w:rFonts w:ascii="Arial" w:hAnsi="Arial" w:cs="Arial"/>
        </w:rPr>
        <w:t>MoJ</w:t>
      </w:r>
      <w:r w:rsidRPr="00544801">
        <w:rPr>
          <w:rFonts w:ascii="Arial" w:hAnsi="Arial" w:cs="Arial"/>
        </w:rPr>
        <w:t xml:space="preserve"> asked GAD to conduct their analysis with reference to RPI, therefore the results from their analysis are presented in relation to this measure of inflation.</w:t>
      </w:r>
    </w:p>
    <w:p w14:paraId="544E71E1" w14:textId="77777777" w:rsidR="000A2D6D" w:rsidRPr="003D46C7" w:rsidRDefault="000A2D6D" w:rsidP="003D46C7">
      <w:pPr>
        <w:pStyle w:val="ListParagraph"/>
        <w:rPr>
          <w:rFonts w:ascii="Arial" w:hAnsi="Arial" w:cs="Arial"/>
        </w:rPr>
      </w:pPr>
    </w:p>
    <w:p w14:paraId="6073A5FE" w14:textId="77777777" w:rsidR="00351881" w:rsidRPr="005E39CA" w:rsidRDefault="0089441B" w:rsidP="00351881">
      <w:pPr>
        <w:pStyle w:val="ListParagraph"/>
        <w:numPr>
          <w:ilvl w:val="0"/>
          <w:numId w:val="25"/>
        </w:numPr>
        <w:rPr>
          <w:rFonts w:ascii="Calibri" w:hAnsi="Calibri" w:cs="Times New Roman"/>
        </w:rPr>
      </w:pPr>
      <w:r w:rsidRPr="00E84CFC">
        <w:rPr>
          <w:rFonts w:ascii="Arial" w:hAnsi="Arial" w:cs="Arial"/>
        </w:rPr>
        <w:t xml:space="preserve">By investing in </w:t>
      </w:r>
      <w:r w:rsidR="000A2D6D">
        <w:rPr>
          <w:rFonts w:ascii="Arial" w:hAnsi="Arial" w:cs="Arial"/>
        </w:rPr>
        <w:t>the</w:t>
      </w:r>
      <w:r w:rsidRPr="00E84CFC">
        <w:rPr>
          <w:rFonts w:ascii="Arial" w:hAnsi="Arial" w:cs="Arial"/>
        </w:rPr>
        <w:t xml:space="preserve"> portfolio</w:t>
      </w:r>
      <w:r w:rsidR="000A2D6D">
        <w:rPr>
          <w:rFonts w:ascii="Arial" w:hAnsi="Arial" w:cs="Arial"/>
        </w:rPr>
        <w:t xml:space="preserve"> in Table 1</w:t>
      </w:r>
      <w:r w:rsidRPr="00E84CFC">
        <w:rPr>
          <w:rFonts w:ascii="Arial" w:hAnsi="Arial" w:cs="Arial"/>
        </w:rPr>
        <w:t xml:space="preserve">, the GAD analysis showed a claimant </w:t>
      </w:r>
      <w:r w:rsidR="007071C1">
        <w:rPr>
          <w:rFonts w:ascii="Arial" w:hAnsi="Arial" w:cs="Arial"/>
        </w:rPr>
        <w:t>would</w:t>
      </w:r>
      <w:r w:rsidRPr="00E84CFC">
        <w:rPr>
          <w:rFonts w:ascii="Arial" w:hAnsi="Arial" w:cs="Arial"/>
        </w:rPr>
        <w:t xml:space="preserve"> be expected to achieve a higher rate of return on their investments when compared with investing in ILGS alone</w:t>
      </w:r>
      <w:r w:rsidR="000A2D6D">
        <w:rPr>
          <w:rFonts w:ascii="Arial" w:hAnsi="Arial" w:cs="Arial"/>
        </w:rPr>
        <w:t>, specifically a real return of just</w:t>
      </w:r>
      <w:r w:rsidR="000A2D6D" w:rsidRPr="00E84CFC">
        <w:rPr>
          <w:rFonts w:ascii="Arial" w:hAnsi="Arial" w:cs="Arial"/>
        </w:rPr>
        <w:t xml:space="preserve"> above 1% p</w:t>
      </w:r>
      <w:r w:rsidR="000A2D6D">
        <w:rPr>
          <w:rFonts w:ascii="Arial" w:hAnsi="Arial" w:cs="Arial"/>
        </w:rPr>
        <w:t>er annum</w:t>
      </w:r>
      <w:r w:rsidR="000A2D6D" w:rsidRPr="00E84CFC">
        <w:rPr>
          <w:rFonts w:ascii="Arial" w:hAnsi="Arial" w:cs="Arial"/>
        </w:rPr>
        <w:t xml:space="preserve"> (before tax and investment charges)</w:t>
      </w:r>
      <w:r w:rsidRPr="00E84CFC">
        <w:rPr>
          <w:rFonts w:ascii="Arial" w:hAnsi="Arial" w:cs="Arial"/>
        </w:rPr>
        <w:t>.</w:t>
      </w:r>
    </w:p>
    <w:p w14:paraId="4FB3F8A2" w14:textId="77777777" w:rsidR="00351881" w:rsidRDefault="00351881" w:rsidP="005E39CA">
      <w:pPr>
        <w:pStyle w:val="ListParagraph"/>
        <w:ind w:left="360"/>
        <w:rPr>
          <w:rFonts w:ascii="Arial" w:hAnsi="Arial" w:cs="Arial"/>
        </w:rPr>
      </w:pPr>
    </w:p>
    <w:p w14:paraId="46564641" w14:textId="77777777" w:rsidR="00E44C4D" w:rsidRDefault="0089441B" w:rsidP="005E39CA">
      <w:pPr>
        <w:pStyle w:val="ListParagraph"/>
        <w:numPr>
          <w:ilvl w:val="0"/>
          <w:numId w:val="25"/>
        </w:numPr>
        <w:rPr>
          <w:rFonts w:ascii="Arial" w:hAnsi="Arial" w:cs="Arial"/>
        </w:rPr>
      </w:pPr>
      <w:r w:rsidRPr="0096258E">
        <w:rPr>
          <w:rFonts w:ascii="Arial" w:hAnsi="Arial" w:cs="Arial"/>
        </w:rPr>
        <w:t xml:space="preserve">Table 2 </w:t>
      </w:r>
      <w:r w:rsidR="007071C1" w:rsidRPr="0096258E">
        <w:rPr>
          <w:rFonts w:ascii="Arial" w:hAnsi="Arial" w:cs="Arial"/>
        </w:rPr>
        <w:t xml:space="preserve">(below) </w:t>
      </w:r>
      <w:r w:rsidRPr="0096258E">
        <w:rPr>
          <w:rFonts w:ascii="Arial" w:hAnsi="Arial" w:cs="Arial"/>
        </w:rPr>
        <w:t xml:space="preserve">demonstrates the relationship between different PIDRs </w:t>
      </w:r>
      <w:r w:rsidR="003D7F9D">
        <w:rPr>
          <w:rFonts w:ascii="Arial" w:hAnsi="Arial" w:cs="Arial"/>
        </w:rPr>
        <w:t>and</w:t>
      </w:r>
      <w:r w:rsidRPr="0096258E">
        <w:rPr>
          <w:rFonts w:ascii="Arial" w:hAnsi="Arial" w:cs="Arial"/>
        </w:rPr>
        <w:t xml:space="preserve"> the levels of under and o</w:t>
      </w:r>
      <w:r w:rsidR="0096258E" w:rsidRPr="0096258E">
        <w:rPr>
          <w:rFonts w:ascii="Arial" w:hAnsi="Arial" w:cs="Arial"/>
        </w:rPr>
        <w:t>ver-comp</w:t>
      </w:r>
      <w:r w:rsidRPr="0096258E">
        <w:rPr>
          <w:rFonts w:ascii="Arial" w:hAnsi="Arial" w:cs="Arial"/>
        </w:rPr>
        <w:t xml:space="preserve">ensation associated with </w:t>
      </w:r>
      <w:r w:rsidR="003D7F9D" w:rsidRPr="00E0167D">
        <w:rPr>
          <w:rFonts w:ascii="Arial" w:hAnsi="Arial" w:cs="Arial"/>
        </w:rPr>
        <w:t>the returns from the low-risk p</w:t>
      </w:r>
      <w:r w:rsidR="003D7F9D">
        <w:rPr>
          <w:rFonts w:ascii="Arial" w:hAnsi="Arial" w:cs="Arial"/>
        </w:rPr>
        <w:t>ortfolio outlined in Table 1</w:t>
      </w:r>
      <w:r w:rsidRPr="0096258E">
        <w:rPr>
          <w:rFonts w:ascii="Arial" w:hAnsi="Arial" w:cs="Arial"/>
        </w:rPr>
        <w:t>.</w:t>
      </w:r>
      <w:r w:rsidR="000A2D6D">
        <w:rPr>
          <w:rFonts w:ascii="Arial" w:hAnsi="Arial" w:cs="Arial"/>
        </w:rPr>
        <w:t xml:space="preserve"> </w:t>
      </w:r>
      <w:r w:rsidR="00C203E5">
        <w:rPr>
          <w:rFonts w:ascii="Arial" w:hAnsi="Arial" w:cs="Arial"/>
        </w:rPr>
        <w:t>If all scenarios are ranked in order from levels of under compensation to over compensation, the median (or the 50</w:t>
      </w:r>
      <w:r w:rsidR="00C203E5" w:rsidRPr="00EF4E9C">
        <w:rPr>
          <w:rFonts w:ascii="Arial" w:hAnsi="Arial" w:cs="Arial"/>
          <w:vertAlign w:val="superscript"/>
        </w:rPr>
        <w:t>th</w:t>
      </w:r>
      <w:r w:rsidR="00C203E5">
        <w:rPr>
          <w:rFonts w:ascii="Arial" w:hAnsi="Arial" w:cs="Arial"/>
        </w:rPr>
        <w:t xml:space="preserve"> percentile) </w:t>
      </w:r>
      <w:r w:rsidR="00682EEB">
        <w:rPr>
          <w:rFonts w:ascii="Arial" w:hAnsi="Arial" w:cs="Arial"/>
        </w:rPr>
        <w:t>means that t</w:t>
      </w:r>
      <w:r w:rsidR="00682EEB" w:rsidRPr="00682EEB">
        <w:rPr>
          <w:rFonts w:ascii="Arial" w:hAnsi="Arial" w:cs="Arial"/>
        </w:rPr>
        <w:t>here is an equal probability that the level of compensation will be above or below this leve</w:t>
      </w:r>
      <w:r w:rsidR="00682EEB">
        <w:rPr>
          <w:rFonts w:ascii="Arial" w:hAnsi="Arial" w:cs="Arial"/>
        </w:rPr>
        <w:t>l.</w:t>
      </w:r>
      <w:r w:rsidR="00C203E5">
        <w:rPr>
          <w:rFonts w:ascii="Arial" w:hAnsi="Arial" w:cs="Arial"/>
        </w:rPr>
        <w:t xml:space="preserve"> </w:t>
      </w:r>
      <w:r w:rsidR="00662E91">
        <w:rPr>
          <w:rFonts w:ascii="Arial" w:hAnsi="Arial" w:cs="Arial"/>
        </w:rPr>
        <w:t>Here, a</w:t>
      </w:r>
      <w:r w:rsidR="00662E91" w:rsidRPr="006F1688">
        <w:rPr>
          <w:rFonts w:ascii="Arial" w:hAnsi="Arial" w:cs="Arial"/>
        </w:rPr>
        <w:t>n award basis of ‘RPI</w:t>
      </w:r>
      <w:r w:rsidR="00662E91" w:rsidRPr="00467412">
        <w:rPr>
          <w:rFonts w:ascii="Arial" w:hAnsi="Arial" w:cs="Arial"/>
        </w:rPr>
        <w:t>-0.75%’</w:t>
      </w:r>
      <w:r w:rsidR="00662E91" w:rsidRPr="000A2D6D">
        <w:rPr>
          <w:rFonts w:ascii="Arial" w:hAnsi="Arial" w:cs="Arial"/>
        </w:rPr>
        <w:t xml:space="preserve"> means a rate of -0.75% after inflation has been taken into account</w:t>
      </w:r>
      <w:r w:rsidR="007308DA">
        <w:rPr>
          <w:rFonts w:ascii="Arial" w:hAnsi="Arial" w:cs="Arial"/>
        </w:rPr>
        <w:t>,</w:t>
      </w:r>
      <w:r w:rsidR="00662E91" w:rsidRPr="000A2D6D">
        <w:rPr>
          <w:rFonts w:ascii="Arial" w:hAnsi="Arial" w:cs="Arial"/>
        </w:rPr>
        <w:t xml:space="preserve"> which is the current approach.</w:t>
      </w:r>
      <w:r w:rsidR="00662E91">
        <w:rPr>
          <w:rFonts w:ascii="Arial" w:hAnsi="Arial" w:cs="Arial"/>
        </w:rPr>
        <w:t xml:space="preserve"> </w:t>
      </w:r>
    </w:p>
    <w:p w14:paraId="76D1F890" w14:textId="205BCB82" w:rsidR="0089441B" w:rsidRPr="00F41B8E" w:rsidRDefault="00E44C4D" w:rsidP="00C203E5">
      <w:pPr>
        <w:numPr>
          <w:ilvl w:val="0"/>
          <w:numId w:val="25"/>
        </w:numPr>
        <w:rPr>
          <w:rFonts w:ascii="Arial" w:hAnsi="Arial" w:cs="Arial"/>
        </w:rPr>
      </w:pPr>
      <w:r w:rsidRPr="00E44C4D">
        <w:rPr>
          <w:rFonts w:ascii="Arial" w:hAnsi="Arial" w:cs="Arial"/>
        </w:rPr>
        <w:t>Table 2 shows that t</w:t>
      </w:r>
      <w:r w:rsidR="00662E91" w:rsidRPr="00E44C4D">
        <w:rPr>
          <w:rFonts w:ascii="Arial" w:hAnsi="Arial" w:cs="Arial"/>
        </w:rPr>
        <w:t xml:space="preserve">he median over-compensation to claimants investing in the low-risk portfolio under the current approach is </w:t>
      </w:r>
      <w:r w:rsidR="003D578B">
        <w:rPr>
          <w:rFonts w:ascii="Arial" w:hAnsi="Arial" w:cs="Arial"/>
        </w:rPr>
        <w:t xml:space="preserve">expected to be </w:t>
      </w:r>
      <w:r w:rsidR="00662E91" w:rsidRPr="00E44C4D">
        <w:rPr>
          <w:rFonts w:ascii="Arial" w:hAnsi="Arial" w:cs="Arial"/>
        </w:rPr>
        <w:t>35%, without accounting for tax or management fees</w:t>
      </w:r>
      <w:r w:rsidR="00682EEB">
        <w:rPr>
          <w:rFonts w:ascii="Arial" w:hAnsi="Arial" w:cs="Arial"/>
        </w:rPr>
        <w:t xml:space="preserve">. </w:t>
      </w:r>
      <w:r>
        <w:rPr>
          <w:rFonts w:ascii="Arial" w:hAnsi="Arial" w:cs="Arial"/>
        </w:rPr>
        <w:t>However</w:t>
      </w:r>
      <w:r w:rsidR="0089441B" w:rsidRPr="00351881">
        <w:rPr>
          <w:rFonts w:ascii="Arial" w:hAnsi="Arial" w:cs="Arial"/>
        </w:rPr>
        <w:t xml:space="preserve">, for example, </w:t>
      </w:r>
      <w:r>
        <w:rPr>
          <w:rFonts w:ascii="Arial" w:hAnsi="Arial" w:cs="Arial"/>
        </w:rPr>
        <w:t xml:space="preserve">if </w:t>
      </w:r>
      <w:r w:rsidR="0089441B" w:rsidRPr="00351881">
        <w:rPr>
          <w:rFonts w:ascii="Arial" w:hAnsi="Arial" w:cs="Arial"/>
        </w:rPr>
        <w:t xml:space="preserve">the PIDR were set at 0% with respect to the RPI and claimants invested in the ‘low risk’ investment strategy, </w:t>
      </w:r>
      <w:r>
        <w:rPr>
          <w:rFonts w:ascii="Arial" w:hAnsi="Arial" w:cs="Arial"/>
        </w:rPr>
        <w:t xml:space="preserve">Table 2 shows that </w:t>
      </w:r>
      <w:r w:rsidR="003D7F9D" w:rsidRPr="00351881">
        <w:rPr>
          <w:rFonts w:ascii="Arial" w:hAnsi="Arial" w:cs="Arial"/>
        </w:rPr>
        <w:t xml:space="preserve">the median over-compensation </w:t>
      </w:r>
      <w:r w:rsidR="003D7F9D" w:rsidRPr="00C203E5">
        <w:rPr>
          <w:rFonts w:ascii="Arial" w:hAnsi="Arial" w:cs="Arial"/>
        </w:rPr>
        <w:t xml:space="preserve">to claimants adopting this investment strategy is </w:t>
      </w:r>
      <w:r w:rsidR="003D578B">
        <w:rPr>
          <w:rFonts w:ascii="Arial" w:hAnsi="Arial" w:cs="Arial"/>
        </w:rPr>
        <w:t xml:space="preserve">expected to be </w:t>
      </w:r>
      <w:r w:rsidR="003D7F9D" w:rsidRPr="00C203E5">
        <w:rPr>
          <w:rFonts w:ascii="Arial" w:hAnsi="Arial" w:cs="Arial"/>
        </w:rPr>
        <w:t xml:space="preserve">21% (ignoring any impacts that adjustment for investment management charges and tax may have). </w:t>
      </w:r>
      <w:r w:rsidR="003D7F9D" w:rsidRPr="00351881">
        <w:rPr>
          <w:rFonts w:ascii="Arial" w:hAnsi="Arial" w:cs="Arial"/>
        </w:rPr>
        <w:t xml:space="preserve">However, </w:t>
      </w:r>
      <w:r w:rsidR="0089441B" w:rsidRPr="00351881">
        <w:rPr>
          <w:rFonts w:ascii="Arial" w:hAnsi="Arial" w:cs="Arial"/>
        </w:rPr>
        <w:t xml:space="preserve">there is an 11% chance </w:t>
      </w:r>
      <w:r w:rsidR="009E6FD5">
        <w:rPr>
          <w:rFonts w:ascii="Arial" w:hAnsi="Arial" w:cs="Arial"/>
        </w:rPr>
        <w:t xml:space="preserve">that </w:t>
      </w:r>
      <w:r w:rsidR="003D7F9D" w:rsidRPr="00351881">
        <w:rPr>
          <w:rFonts w:ascii="Arial" w:hAnsi="Arial" w:cs="Arial"/>
        </w:rPr>
        <w:t>claimants</w:t>
      </w:r>
      <w:r w:rsidR="0089441B" w:rsidRPr="00351881">
        <w:rPr>
          <w:rFonts w:ascii="Arial" w:hAnsi="Arial" w:cs="Arial"/>
        </w:rPr>
        <w:t xml:space="preserve"> would be un</w:t>
      </w:r>
      <w:r w:rsidR="0096258E" w:rsidRPr="00351881">
        <w:rPr>
          <w:rFonts w:ascii="Arial" w:hAnsi="Arial" w:cs="Arial"/>
        </w:rPr>
        <w:t>der-comp</w:t>
      </w:r>
      <w:r w:rsidR="0089441B" w:rsidRPr="00351881">
        <w:rPr>
          <w:rFonts w:ascii="Arial" w:hAnsi="Arial" w:cs="Arial"/>
        </w:rPr>
        <w:t>ensated by 5% or more, and a 6% chance they would be un</w:t>
      </w:r>
      <w:r w:rsidR="0096258E" w:rsidRPr="00F41B8E">
        <w:rPr>
          <w:rFonts w:ascii="Arial" w:hAnsi="Arial" w:cs="Arial"/>
        </w:rPr>
        <w:t>der-comp</w:t>
      </w:r>
      <w:r w:rsidR="0089441B" w:rsidRPr="00F41B8E">
        <w:rPr>
          <w:rFonts w:ascii="Arial" w:hAnsi="Arial" w:cs="Arial"/>
        </w:rPr>
        <w:t>ensated by 10% or more</w:t>
      </w:r>
      <w:r w:rsidR="003D7F9D" w:rsidRPr="00F41B8E">
        <w:rPr>
          <w:rFonts w:ascii="Arial" w:hAnsi="Arial" w:cs="Arial"/>
        </w:rPr>
        <w:t>.</w:t>
      </w:r>
    </w:p>
    <w:p w14:paraId="70399B0E" w14:textId="77777777" w:rsidR="0089441B" w:rsidRPr="00954CCC" w:rsidRDefault="00E44C4D" w:rsidP="0089441B">
      <w:pPr>
        <w:numPr>
          <w:ilvl w:val="0"/>
          <w:numId w:val="25"/>
        </w:numPr>
        <w:rPr>
          <w:rFonts w:ascii="Arial" w:hAnsi="Arial" w:cs="Arial"/>
        </w:rPr>
      </w:pPr>
      <w:r>
        <w:rPr>
          <w:rFonts w:ascii="Arial" w:hAnsi="Arial" w:cs="Arial"/>
        </w:rPr>
        <w:t>Table 2 also shows that a</w:t>
      </w:r>
      <w:r w:rsidR="0089441B">
        <w:rPr>
          <w:rFonts w:ascii="Arial" w:hAnsi="Arial" w:cs="Arial"/>
        </w:rPr>
        <w:t xml:space="preserve">s the PIDR increases, the </w:t>
      </w:r>
      <w:r w:rsidR="003D7F9D">
        <w:rPr>
          <w:rFonts w:ascii="Arial" w:hAnsi="Arial" w:cs="Arial"/>
        </w:rPr>
        <w:t xml:space="preserve">median </w:t>
      </w:r>
      <w:r w:rsidR="0089441B">
        <w:rPr>
          <w:rFonts w:ascii="Arial" w:hAnsi="Arial" w:cs="Arial"/>
        </w:rPr>
        <w:t>level of o</w:t>
      </w:r>
      <w:r w:rsidR="0096258E">
        <w:rPr>
          <w:rFonts w:ascii="Arial" w:hAnsi="Arial" w:cs="Arial"/>
        </w:rPr>
        <w:t>ver-comp</w:t>
      </w:r>
      <w:r w:rsidR="0089441B">
        <w:rPr>
          <w:rFonts w:ascii="Arial" w:hAnsi="Arial" w:cs="Arial"/>
        </w:rPr>
        <w:t>ensation falls. However, the chance that a claimant would be un</w:t>
      </w:r>
      <w:r w:rsidR="0096258E">
        <w:rPr>
          <w:rFonts w:ascii="Arial" w:hAnsi="Arial" w:cs="Arial"/>
        </w:rPr>
        <w:t>der-comp</w:t>
      </w:r>
      <w:r w:rsidR="0089441B">
        <w:rPr>
          <w:rFonts w:ascii="Arial" w:hAnsi="Arial" w:cs="Arial"/>
        </w:rPr>
        <w:t>ensated by 5% or more increases</w:t>
      </w:r>
      <w:r w:rsidR="00B868D7">
        <w:rPr>
          <w:rFonts w:ascii="Arial" w:hAnsi="Arial" w:cs="Arial"/>
        </w:rPr>
        <w:t xml:space="preserve">. </w:t>
      </w:r>
      <w:r w:rsidR="0089441B">
        <w:rPr>
          <w:rFonts w:ascii="Arial" w:hAnsi="Arial" w:cs="Arial"/>
        </w:rPr>
        <w:t xml:space="preserve"> </w:t>
      </w:r>
    </w:p>
    <w:tbl>
      <w:tblPr>
        <w:tblW w:w="437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firstRow="0" w:lastRow="0" w:firstColumn="0" w:lastColumn="0" w:noHBand="1" w:noVBand="1"/>
      </w:tblPr>
      <w:tblGrid>
        <w:gridCol w:w="1349"/>
        <w:gridCol w:w="2275"/>
        <w:gridCol w:w="648"/>
        <w:gridCol w:w="690"/>
        <w:gridCol w:w="979"/>
        <w:gridCol w:w="1411"/>
        <w:gridCol w:w="1568"/>
      </w:tblGrid>
      <w:tr w:rsidR="0089441B" w:rsidRPr="00FA79A5" w14:paraId="73E5D3CE" w14:textId="77777777" w:rsidTr="005E39CA">
        <w:trPr>
          <w:trHeight w:val="249"/>
          <w:jc w:val="center"/>
        </w:trPr>
        <w:tc>
          <w:tcPr>
            <w:tcW w:w="5000" w:type="pct"/>
            <w:gridSpan w:val="7"/>
            <w:shd w:val="clear" w:color="auto" w:fill="auto"/>
            <w:tcMar>
              <w:top w:w="15" w:type="dxa"/>
              <w:left w:w="15" w:type="dxa"/>
              <w:bottom w:w="0" w:type="dxa"/>
              <w:right w:w="15" w:type="dxa"/>
            </w:tcMar>
            <w:vAlign w:val="center"/>
          </w:tcPr>
          <w:p w14:paraId="6CFE53E8" w14:textId="77777777" w:rsidR="0089441B" w:rsidRPr="00CB0A93" w:rsidRDefault="0089441B" w:rsidP="00E220A6">
            <w:pPr>
              <w:keepNext/>
              <w:keepLines/>
              <w:spacing w:after="0"/>
              <w:rPr>
                <w:rFonts w:ascii="Arial" w:hAnsi="Arial" w:cs="Arial"/>
                <w:b/>
              </w:rPr>
            </w:pPr>
            <w:r>
              <w:rPr>
                <w:rFonts w:ascii="Arial" w:hAnsi="Arial" w:cs="Arial"/>
                <w:b/>
              </w:rPr>
              <w:t xml:space="preserve">Table 2: </w:t>
            </w:r>
            <w:r w:rsidR="00682EEB" w:rsidRPr="00733F38">
              <w:rPr>
                <w:rFonts w:ascii="Arial" w:hAnsi="Arial" w:cs="Arial"/>
                <w:b/>
              </w:rPr>
              <w:t>Risk profiles of the low risk portfolio, based on different assumed PIDRs (Award basis) used to calculate the compensation amount</w:t>
            </w:r>
          </w:p>
        </w:tc>
      </w:tr>
      <w:tr w:rsidR="0089441B" w:rsidRPr="00FA79A5" w14:paraId="557490B1" w14:textId="77777777" w:rsidTr="004C23D6">
        <w:trPr>
          <w:trHeight w:val="1333"/>
          <w:jc w:val="center"/>
        </w:trPr>
        <w:tc>
          <w:tcPr>
            <w:tcW w:w="756" w:type="pct"/>
            <w:vMerge w:val="restart"/>
            <w:shd w:val="clear" w:color="auto" w:fill="auto"/>
            <w:tcMar>
              <w:top w:w="15" w:type="dxa"/>
              <w:left w:w="15" w:type="dxa"/>
              <w:bottom w:w="0" w:type="dxa"/>
              <w:right w:w="15" w:type="dxa"/>
            </w:tcMar>
            <w:vAlign w:val="center"/>
            <w:hideMark/>
          </w:tcPr>
          <w:p w14:paraId="52FB6EA9" w14:textId="77777777" w:rsidR="0089441B" w:rsidRPr="00CB0A93" w:rsidRDefault="0089441B" w:rsidP="007071C1">
            <w:pPr>
              <w:keepNext/>
              <w:keepLines/>
              <w:spacing w:after="0"/>
              <w:rPr>
                <w:rFonts w:ascii="Arial" w:hAnsi="Arial" w:cs="Arial"/>
                <w:b/>
              </w:rPr>
            </w:pPr>
            <w:r w:rsidRPr="00CB0A93">
              <w:rPr>
                <w:rFonts w:ascii="Arial" w:hAnsi="Arial" w:cs="Arial"/>
                <w:b/>
              </w:rPr>
              <w:t>Award basis</w:t>
            </w:r>
          </w:p>
        </w:tc>
        <w:tc>
          <w:tcPr>
            <w:tcW w:w="1275" w:type="pct"/>
            <w:vMerge w:val="restart"/>
            <w:shd w:val="clear" w:color="auto" w:fill="auto"/>
            <w:tcMar>
              <w:top w:w="15" w:type="dxa"/>
              <w:left w:w="15" w:type="dxa"/>
              <w:bottom w:w="0" w:type="dxa"/>
              <w:right w:w="15" w:type="dxa"/>
            </w:tcMar>
            <w:vAlign w:val="center"/>
            <w:hideMark/>
          </w:tcPr>
          <w:p w14:paraId="12D127BB" w14:textId="77777777" w:rsidR="0089441B" w:rsidRPr="00CB0A93" w:rsidRDefault="0079058E" w:rsidP="0079058E">
            <w:pPr>
              <w:keepNext/>
              <w:keepLines/>
              <w:spacing w:after="0"/>
              <w:rPr>
                <w:rFonts w:ascii="Arial" w:hAnsi="Arial" w:cs="Arial"/>
                <w:b/>
              </w:rPr>
            </w:pPr>
            <w:r>
              <w:rPr>
                <w:rFonts w:ascii="Arial" w:hAnsi="Arial" w:cs="Arial"/>
                <w:b/>
              </w:rPr>
              <w:t>Median level of o</w:t>
            </w:r>
            <w:r w:rsidR="0096258E">
              <w:rPr>
                <w:rFonts w:ascii="Arial" w:hAnsi="Arial" w:cs="Arial"/>
                <w:b/>
              </w:rPr>
              <w:t>ver-comp</w:t>
            </w:r>
            <w:r w:rsidR="0089441B">
              <w:rPr>
                <w:rFonts w:ascii="Arial" w:hAnsi="Arial" w:cs="Arial"/>
                <w:b/>
              </w:rPr>
              <w:t xml:space="preserve">ensation </w:t>
            </w:r>
          </w:p>
        </w:tc>
        <w:tc>
          <w:tcPr>
            <w:tcW w:w="750" w:type="pct"/>
            <w:gridSpan w:val="2"/>
            <w:shd w:val="clear" w:color="auto" w:fill="auto"/>
            <w:tcMar>
              <w:top w:w="15" w:type="dxa"/>
              <w:left w:w="15" w:type="dxa"/>
              <w:bottom w:w="0" w:type="dxa"/>
              <w:right w:w="15" w:type="dxa"/>
            </w:tcMar>
            <w:vAlign w:val="center"/>
            <w:hideMark/>
          </w:tcPr>
          <w:p w14:paraId="7CEDFEB5" w14:textId="77777777" w:rsidR="0089441B" w:rsidRPr="00CB0A93" w:rsidRDefault="0089441B" w:rsidP="007071C1">
            <w:pPr>
              <w:keepNext/>
              <w:keepLines/>
              <w:spacing w:after="0"/>
              <w:rPr>
                <w:rFonts w:ascii="Arial" w:hAnsi="Arial" w:cs="Arial"/>
                <w:b/>
              </w:rPr>
            </w:pPr>
            <w:r w:rsidRPr="00CB0A93">
              <w:rPr>
                <w:rFonts w:ascii="Arial" w:hAnsi="Arial" w:cs="Arial"/>
                <w:b/>
              </w:rPr>
              <w:t>Tail percentile</w:t>
            </w:r>
          </w:p>
        </w:tc>
        <w:tc>
          <w:tcPr>
            <w:tcW w:w="1340" w:type="pct"/>
            <w:gridSpan w:val="2"/>
            <w:shd w:val="clear" w:color="auto" w:fill="auto"/>
            <w:tcMar>
              <w:top w:w="15" w:type="dxa"/>
              <w:left w:w="15" w:type="dxa"/>
              <w:bottom w:w="0" w:type="dxa"/>
              <w:right w:w="15" w:type="dxa"/>
            </w:tcMar>
            <w:vAlign w:val="center"/>
            <w:hideMark/>
          </w:tcPr>
          <w:p w14:paraId="5151546C" w14:textId="77777777" w:rsidR="0089441B" w:rsidRPr="00CB0A93" w:rsidRDefault="0089441B" w:rsidP="007071C1">
            <w:pPr>
              <w:keepNext/>
              <w:keepLines/>
              <w:spacing w:after="0"/>
              <w:rPr>
                <w:rFonts w:ascii="Arial" w:hAnsi="Arial" w:cs="Arial"/>
                <w:b/>
              </w:rPr>
            </w:pPr>
            <w:r w:rsidRPr="00CB0A93">
              <w:rPr>
                <w:rFonts w:ascii="Arial" w:hAnsi="Arial" w:cs="Arial"/>
                <w:b/>
              </w:rPr>
              <w:t>Probability of being un</w:t>
            </w:r>
            <w:r w:rsidR="0096258E">
              <w:rPr>
                <w:rFonts w:ascii="Arial" w:hAnsi="Arial" w:cs="Arial"/>
                <w:b/>
              </w:rPr>
              <w:t>der-comp</w:t>
            </w:r>
            <w:r w:rsidRPr="00CB0A93">
              <w:rPr>
                <w:rFonts w:ascii="Arial" w:hAnsi="Arial" w:cs="Arial"/>
                <w:b/>
              </w:rPr>
              <w:t>ensated by…</w:t>
            </w:r>
          </w:p>
        </w:tc>
        <w:tc>
          <w:tcPr>
            <w:tcW w:w="879" w:type="pct"/>
            <w:vMerge w:val="restart"/>
            <w:shd w:val="clear" w:color="auto" w:fill="auto"/>
            <w:tcMar>
              <w:top w:w="15" w:type="dxa"/>
              <w:left w:w="15" w:type="dxa"/>
              <w:bottom w:w="0" w:type="dxa"/>
              <w:right w:w="15" w:type="dxa"/>
            </w:tcMar>
            <w:vAlign w:val="center"/>
            <w:hideMark/>
          </w:tcPr>
          <w:p w14:paraId="38209804" w14:textId="77777777" w:rsidR="0089441B" w:rsidRPr="00CB0A93" w:rsidRDefault="0089441B" w:rsidP="007071C1">
            <w:pPr>
              <w:keepNext/>
              <w:keepLines/>
              <w:spacing w:after="0"/>
              <w:rPr>
                <w:rFonts w:ascii="Arial" w:hAnsi="Arial" w:cs="Arial"/>
                <w:b/>
              </w:rPr>
            </w:pPr>
            <w:r w:rsidRPr="00CB0A93">
              <w:rPr>
                <w:rFonts w:ascii="Arial" w:hAnsi="Arial" w:cs="Arial"/>
                <w:b/>
              </w:rPr>
              <w:t>90th percentile</w:t>
            </w:r>
          </w:p>
        </w:tc>
      </w:tr>
      <w:tr w:rsidR="0089441B" w:rsidRPr="00FA79A5" w14:paraId="06FEA22E" w14:textId="77777777" w:rsidTr="004C23D6">
        <w:trPr>
          <w:trHeight w:val="259"/>
          <w:jc w:val="center"/>
        </w:trPr>
        <w:tc>
          <w:tcPr>
            <w:tcW w:w="756" w:type="pct"/>
            <w:vMerge/>
            <w:shd w:val="clear" w:color="auto" w:fill="auto"/>
            <w:vAlign w:val="center"/>
            <w:hideMark/>
          </w:tcPr>
          <w:p w14:paraId="73DFBBD3" w14:textId="77777777" w:rsidR="0089441B" w:rsidRPr="00FA79A5" w:rsidRDefault="0089441B" w:rsidP="007071C1">
            <w:pPr>
              <w:keepNext/>
              <w:keepLines/>
              <w:spacing w:after="0"/>
              <w:rPr>
                <w:rFonts w:ascii="Arial" w:hAnsi="Arial" w:cs="Arial"/>
              </w:rPr>
            </w:pPr>
          </w:p>
        </w:tc>
        <w:tc>
          <w:tcPr>
            <w:tcW w:w="1275" w:type="pct"/>
            <w:vMerge/>
            <w:shd w:val="clear" w:color="auto" w:fill="auto"/>
            <w:vAlign w:val="center"/>
            <w:hideMark/>
          </w:tcPr>
          <w:p w14:paraId="69359293" w14:textId="77777777" w:rsidR="0089441B" w:rsidRPr="00FA79A5" w:rsidRDefault="0089441B" w:rsidP="007071C1">
            <w:pPr>
              <w:keepNext/>
              <w:keepLines/>
              <w:spacing w:after="0"/>
              <w:rPr>
                <w:rFonts w:ascii="Arial" w:hAnsi="Arial" w:cs="Arial"/>
              </w:rPr>
            </w:pPr>
          </w:p>
        </w:tc>
        <w:tc>
          <w:tcPr>
            <w:tcW w:w="363" w:type="pct"/>
            <w:shd w:val="clear" w:color="auto" w:fill="auto"/>
            <w:tcMar>
              <w:top w:w="15" w:type="dxa"/>
              <w:left w:w="15" w:type="dxa"/>
              <w:bottom w:w="0" w:type="dxa"/>
              <w:right w:w="15" w:type="dxa"/>
            </w:tcMar>
            <w:vAlign w:val="center"/>
            <w:hideMark/>
          </w:tcPr>
          <w:p w14:paraId="4744F43C" w14:textId="77777777" w:rsidR="0089441B" w:rsidRPr="00FA79A5" w:rsidRDefault="0089441B" w:rsidP="007071C1">
            <w:pPr>
              <w:keepNext/>
              <w:keepLines/>
              <w:spacing w:after="0"/>
              <w:rPr>
                <w:rFonts w:ascii="Arial" w:hAnsi="Arial" w:cs="Arial"/>
              </w:rPr>
            </w:pPr>
            <w:r w:rsidRPr="00FA79A5">
              <w:rPr>
                <w:rFonts w:ascii="Arial" w:hAnsi="Arial" w:cs="Arial"/>
              </w:rPr>
              <w:t>5</w:t>
            </w:r>
            <w:r w:rsidRPr="005E39CA">
              <w:rPr>
                <w:rFonts w:ascii="Arial" w:hAnsi="Arial" w:cs="Arial"/>
                <w:vertAlign w:val="superscript"/>
              </w:rPr>
              <w:t>th</w:t>
            </w:r>
          </w:p>
        </w:tc>
        <w:tc>
          <w:tcPr>
            <w:tcW w:w="387" w:type="pct"/>
            <w:shd w:val="clear" w:color="auto" w:fill="auto"/>
            <w:tcMar>
              <w:top w:w="15" w:type="dxa"/>
              <w:left w:w="15" w:type="dxa"/>
              <w:bottom w:w="0" w:type="dxa"/>
              <w:right w:w="15" w:type="dxa"/>
            </w:tcMar>
            <w:vAlign w:val="center"/>
            <w:hideMark/>
          </w:tcPr>
          <w:p w14:paraId="3B5A6BAD" w14:textId="77777777" w:rsidR="0089441B" w:rsidRPr="00FA79A5" w:rsidRDefault="0089441B" w:rsidP="007071C1">
            <w:pPr>
              <w:keepNext/>
              <w:keepLines/>
              <w:spacing w:after="0"/>
              <w:rPr>
                <w:rFonts w:ascii="Arial" w:hAnsi="Arial" w:cs="Arial"/>
              </w:rPr>
            </w:pPr>
            <w:r w:rsidRPr="00FA79A5">
              <w:rPr>
                <w:rFonts w:ascii="Arial" w:hAnsi="Arial" w:cs="Arial"/>
              </w:rPr>
              <w:t>10</w:t>
            </w:r>
            <w:r w:rsidRPr="005E39CA">
              <w:rPr>
                <w:rFonts w:ascii="Arial" w:hAnsi="Arial" w:cs="Arial"/>
                <w:vertAlign w:val="superscript"/>
              </w:rPr>
              <w:t>th</w:t>
            </w:r>
          </w:p>
        </w:tc>
        <w:tc>
          <w:tcPr>
            <w:tcW w:w="549" w:type="pct"/>
            <w:shd w:val="clear" w:color="auto" w:fill="auto"/>
            <w:tcMar>
              <w:top w:w="15" w:type="dxa"/>
              <w:left w:w="15" w:type="dxa"/>
              <w:bottom w:w="0" w:type="dxa"/>
              <w:right w:w="15" w:type="dxa"/>
            </w:tcMar>
            <w:vAlign w:val="center"/>
            <w:hideMark/>
          </w:tcPr>
          <w:p w14:paraId="16E1A970" w14:textId="77777777" w:rsidR="0089441B" w:rsidRPr="00FA79A5" w:rsidRDefault="0089441B" w:rsidP="007071C1">
            <w:pPr>
              <w:keepNext/>
              <w:keepLines/>
              <w:spacing w:after="0"/>
              <w:rPr>
                <w:rFonts w:ascii="Arial" w:hAnsi="Arial" w:cs="Arial"/>
              </w:rPr>
            </w:pPr>
            <w:r w:rsidRPr="00FA79A5">
              <w:rPr>
                <w:rFonts w:ascii="Arial" w:hAnsi="Arial" w:cs="Arial"/>
              </w:rPr>
              <w:t>…5% or more</w:t>
            </w:r>
          </w:p>
        </w:tc>
        <w:tc>
          <w:tcPr>
            <w:tcW w:w="791" w:type="pct"/>
            <w:shd w:val="clear" w:color="auto" w:fill="auto"/>
            <w:tcMar>
              <w:top w:w="15" w:type="dxa"/>
              <w:left w:w="15" w:type="dxa"/>
              <w:bottom w:w="0" w:type="dxa"/>
              <w:right w:w="15" w:type="dxa"/>
            </w:tcMar>
            <w:vAlign w:val="center"/>
            <w:hideMark/>
          </w:tcPr>
          <w:p w14:paraId="6A2DDC24" w14:textId="77777777" w:rsidR="0089441B" w:rsidRPr="00FA79A5" w:rsidRDefault="0089441B" w:rsidP="007071C1">
            <w:pPr>
              <w:keepNext/>
              <w:keepLines/>
              <w:spacing w:after="0"/>
              <w:rPr>
                <w:rFonts w:ascii="Arial" w:hAnsi="Arial" w:cs="Arial"/>
              </w:rPr>
            </w:pPr>
            <w:r w:rsidRPr="00FA79A5">
              <w:rPr>
                <w:rFonts w:ascii="Arial" w:hAnsi="Arial" w:cs="Arial"/>
              </w:rPr>
              <w:t>…10% or more</w:t>
            </w:r>
          </w:p>
        </w:tc>
        <w:tc>
          <w:tcPr>
            <w:tcW w:w="879" w:type="pct"/>
            <w:vMerge/>
            <w:shd w:val="clear" w:color="auto" w:fill="auto"/>
            <w:vAlign w:val="center"/>
            <w:hideMark/>
          </w:tcPr>
          <w:p w14:paraId="7C634297" w14:textId="77777777" w:rsidR="0089441B" w:rsidRPr="00FA79A5" w:rsidRDefault="0089441B" w:rsidP="007071C1">
            <w:pPr>
              <w:keepNext/>
              <w:keepLines/>
              <w:spacing w:after="0"/>
              <w:rPr>
                <w:rFonts w:ascii="Arial" w:hAnsi="Arial" w:cs="Arial"/>
              </w:rPr>
            </w:pPr>
          </w:p>
        </w:tc>
      </w:tr>
      <w:tr w:rsidR="0089441B" w:rsidRPr="00FA79A5" w14:paraId="1833B7CB" w14:textId="77777777" w:rsidTr="004C23D6">
        <w:trPr>
          <w:trHeight w:val="467"/>
          <w:jc w:val="center"/>
        </w:trPr>
        <w:tc>
          <w:tcPr>
            <w:tcW w:w="756" w:type="pct"/>
            <w:shd w:val="clear" w:color="auto" w:fill="auto"/>
            <w:tcMar>
              <w:top w:w="15" w:type="dxa"/>
              <w:left w:w="15" w:type="dxa"/>
              <w:bottom w:w="0" w:type="dxa"/>
              <w:right w:w="15" w:type="dxa"/>
            </w:tcMar>
            <w:vAlign w:val="center"/>
            <w:hideMark/>
          </w:tcPr>
          <w:p w14:paraId="71A073FB" w14:textId="77777777" w:rsidR="0089441B" w:rsidRPr="00FA79A5" w:rsidRDefault="0089441B" w:rsidP="007071C1">
            <w:pPr>
              <w:keepNext/>
              <w:keepLines/>
              <w:spacing w:after="0"/>
              <w:rPr>
                <w:rFonts w:ascii="Arial" w:hAnsi="Arial" w:cs="Arial"/>
              </w:rPr>
            </w:pPr>
            <w:r w:rsidRPr="00FA79A5">
              <w:rPr>
                <w:rFonts w:ascii="Arial" w:hAnsi="Arial" w:cs="Arial"/>
              </w:rPr>
              <w:t>RPI-1.75%</w:t>
            </w:r>
          </w:p>
        </w:tc>
        <w:tc>
          <w:tcPr>
            <w:tcW w:w="1275" w:type="pct"/>
            <w:shd w:val="clear" w:color="auto" w:fill="auto"/>
            <w:tcMar>
              <w:top w:w="15" w:type="dxa"/>
              <w:left w:w="15" w:type="dxa"/>
              <w:bottom w:w="0" w:type="dxa"/>
              <w:right w:w="15" w:type="dxa"/>
            </w:tcMar>
            <w:vAlign w:val="center"/>
            <w:hideMark/>
          </w:tcPr>
          <w:p w14:paraId="338E6A02" w14:textId="77777777" w:rsidR="0089441B" w:rsidRPr="00FA79A5" w:rsidRDefault="0089441B" w:rsidP="007071C1">
            <w:pPr>
              <w:keepNext/>
              <w:keepLines/>
              <w:spacing w:after="0"/>
              <w:rPr>
                <w:rFonts w:ascii="Arial" w:hAnsi="Arial" w:cs="Arial"/>
              </w:rPr>
            </w:pPr>
            <w:r w:rsidRPr="00FA79A5">
              <w:rPr>
                <w:rFonts w:ascii="Arial" w:hAnsi="Arial" w:cs="Arial"/>
              </w:rPr>
              <w:t>59%</w:t>
            </w:r>
          </w:p>
        </w:tc>
        <w:tc>
          <w:tcPr>
            <w:tcW w:w="363" w:type="pct"/>
            <w:shd w:val="clear" w:color="auto" w:fill="auto"/>
            <w:tcMar>
              <w:top w:w="15" w:type="dxa"/>
              <w:left w:w="15" w:type="dxa"/>
              <w:bottom w:w="0" w:type="dxa"/>
              <w:right w:w="15" w:type="dxa"/>
            </w:tcMar>
            <w:vAlign w:val="center"/>
            <w:hideMark/>
          </w:tcPr>
          <w:p w14:paraId="79859215" w14:textId="77777777" w:rsidR="0089441B" w:rsidRPr="00FA79A5" w:rsidRDefault="0089441B" w:rsidP="007071C1">
            <w:pPr>
              <w:keepNext/>
              <w:keepLines/>
              <w:spacing w:after="0"/>
              <w:rPr>
                <w:rFonts w:ascii="Arial" w:hAnsi="Arial" w:cs="Arial"/>
              </w:rPr>
            </w:pPr>
            <w:r w:rsidRPr="00FA79A5">
              <w:rPr>
                <w:rFonts w:ascii="Arial" w:hAnsi="Arial" w:cs="Arial"/>
              </w:rPr>
              <w:t>16%</w:t>
            </w:r>
          </w:p>
        </w:tc>
        <w:tc>
          <w:tcPr>
            <w:tcW w:w="387" w:type="pct"/>
            <w:shd w:val="clear" w:color="auto" w:fill="auto"/>
            <w:tcMar>
              <w:top w:w="15" w:type="dxa"/>
              <w:left w:w="15" w:type="dxa"/>
              <w:bottom w:w="0" w:type="dxa"/>
              <w:right w:w="15" w:type="dxa"/>
            </w:tcMar>
            <w:vAlign w:val="center"/>
            <w:hideMark/>
          </w:tcPr>
          <w:p w14:paraId="14423B26" w14:textId="77777777" w:rsidR="0089441B" w:rsidRPr="00FA79A5" w:rsidRDefault="0089441B" w:rsidP="007071C1">
            <w:pPr>
              <w:keepNext/>
              <w:keepLines/>
              <w:spacing w:after="0"/>
              <w:rPr>
                <w:rFonts w:ascii="Arial" w:hAnsi="Arial" w:cs="Arial"/>
              </w:rPr>
            </w:pPr>
            <w:r w:rsidRPr="00FA79A5">
              <w:rPr>
                <w:rFonts w:ascii="Arial" w:hAnsi="Arial" w:cs="Arial"/>
              </w:rPr>
              <w:t>25%</w:t>
            </w:r>
          </w:p>
        </w:tc>
        <w:tc>
          <w:tcPr>
            <w:tcW w:w="549" w:type="pct"/>
            <w:shd w:val="clear" w:color="auto" w:fill="auto"/>
            <w:tcMar>
              <w:top w:w="15" w:type="dxa"/>
              <w:left w:w="15" w:type="dxa"/>
              <w:bottom w:w="0" w:type="dxa"/>
              <w:right w:w="15" w:type="dxa"/>
            </w:tcMar>
            <w:vAlign w:val="center"/>
            <w:hideMark/>
          </w:tcPr>
          <w:p w14:paraId="4BE3DCAC" w14:textId="77777777" w:rsidR="0089441B" w:rsidRPr="00FA79A5" w:rsidRDefault="0089441B" w:rsidP="007071C1">
            <w:pPr>
              <w:keepNext/>
              <w:keepLines/>
              <w:spacing w:after="0"/>
              <w:rPr>
                <w:rFonts w:ascii="Arial" w:hAnsi="Arial" w:cs="Arial"/>
              </w:rPr>
            </w:pPr>
            <w:r w:rsidRPr="00FA79A5">
              <w:rPr>
                <w:rFonts w:ascii="Arial" w:hAnsi="Arial" w:cs="Arial"/>
              </w:rPr>
              <w:t>1%</w:t>
            </w:r>
          </w:p>
        </w:tc>
        <w:tc>
          <w:tcPr>
            <w:tcW w:w="791" w:type="pct"/>
            <w:shd w:val="clear" w:color="auto" w:fill="auto"/>
            <w:tcMar>
              <w:top w:w="15" w:type="dxa"/>
              <w:left w:w="15" w:type="dxa"/>
              <w:bottom w:w="0" w:type="dxa"/>
              <w:right w:w="15" w:type="dxa"/>
            </w:tcMar>
            <w:vAlign w:val="center"/>
            <w:hideMark/>
          </w:tcPr>
          <w:p w14:paraId="7F959157" w14:textId="77777777" w:rsidR="0089441B" w:rsidRPr="00FA79A5" w:rsidRDefault="0089441B" w:rsidP="007071C1">
            <w:pPr>
              <w:keepNext/>
              <w:keepLines/>
              <w:spacing w:after="0"/>
              <w:rPr>
                <w:rFonts w:ascii="Arial" w:hAnsi="Arial" w:cs="Arial"/>
              </w:rPr>
            </w:pPr>
            <w:r w:rsidRPr="00FA79A5">
              <w:rPr>
                <w:rFonts w:ascii="Arial" w:hAnsi="Arial" w:cs="Arial"/>
              </w:rPr>
              <w:t>0%</w:t>
            </w:r>
          </w:p>
        </w:tc>
        <w:tc>
          <w:tcPr>
            <w:tcW w:w="879" w:type="pct"/>
            <w:shd w:val="clear" w:color="auto" w:fill="auto"/>
            <w:tcMar>
              <w:top w:w="15" w:type="dxa"/>
              <w:left w:w="15" w:type="dxa"/>
              <w:bottom w:w="0" w:type="dxa"/>
              <w:right w:w="15" w:type="dxa"/>
            </w:tcMar>
            <w:vAlign w:val="center"/>
            <w:hideMark/>
          </w:tcPr>
          <w:p w14:paraId="27F5B529" w14:textId="77777777" w:rsidR="0089441B" w:rsidRPr="00FA79A5" w:rsidRDefault="0089441B" w:rsidP="007071C1">
            <w:pPr>
              <w:keepNext/>
              <w:keepLines/>
              <w:spacing w:after="0"/>
              <w:rPr>
                <w:rFonts w:ascii="Arial" w:hAnsi="Arial" w:cs="Arial"/>
              </w:rPr>
            </w:pPr>
            <w:r w:rsidRPr="00FA79A5">
              <w:rPr>
                <w:rFonts w:ascii="Arial" w:hAnsi="Arial" w:cs="Arial"/>
              </w:rPr>
              <w:t>104%</w:t>
            </w:r>
          </w:p>
        </w:tc>
      </w:tr>
      <w:tr w:rsidR="0089441B" w:rsidRPr="00FA79A5" w14:paraId="2641D317" w14:textId="77777777" w:rsidTr="004C23D6">
        <w:trPr>
          <w:trHeight w:val="454"/>
          <w:jc w:val="center"/>
        </w:trPr>
        <w:tc>
          <w:tcPr>
            <w:tcW w:w="756" w:type="pct"/>
            <w:shd w:val="clear" w:color="auto" w:fill="auto"/>
            <w:tcMar>
              <w:top w:w="15" w:type="dxa"/>
              <w:left w:w="15" w:type="dxa"/>
              <w:bottom w:w="0" w:type="dxa"/>
              <w:right w:w="15" w:type="dxa"/>
            </w:tcMar>
            <w:vAlign w:val="center"/>
            <w:hideMark/>
          </w:tcPr>
          <w:p w14:paraId="131EAEAE" w14:textId="77777777" w:rsidR="0089441B" w:rsidRPr="00FA79A5" w:rsidRDefault="0089441B" w:rsidP="007071C1">
            <w:pPr>
              <w:keepNext/>
              <w:keepLines/>
              <w:spacing w:after="0"/>
              <w:rPr>
                <w:rFonts w:ascii="Arial" w:hAnsi="Arial" w:cs="Arial"/>
              </w:rPr>
            </w:pPr>
            <w:r w:rsidRPr="00FA79A5">
              <w:rPr>
                <w:rFonts w:ascii="Arial" w:hAnsi="Arial" w:cs="Arial"/>
              </w:rPr>
              <w:t>RPI-0.75%</w:t>
            </w:r>
          </w:p>
        </w:tc>
        <w:tc>
          <w:tcPr>
            <w:tcW w:w="1275" w:type="pct"/>
            <w:shd w:val="clear" w:color="auto" w:fill="auto"/>
            <w:tcMar>
              <w:top w:w="15" w:type="dxa"/>
              <w:left w:w="15" w:type="dxa"/>
              <w:bottom w:w="0" w:type="dxa"/>
              <w:right w:w="15" w:type="dxa"/>
            </w:tcMar>
            <w:vAlign w:val="center"/>
            <w:hideMark/>
          </w:tcPr>
          <w:p w14:paraId="1B200B13" w14:textId="77777777" w:rsidR="0089441B" w:rsidRPr="00FA79A5" w:rsidRDefault="0089441B" w:rsidP="007071C1">
            <w:pPr>
              <w:keepNext/>
              <w:keepLines/>
              <w:spacing w:after="0"/>
              <w:rPr>
                <w:rFonts w:ascii="Arial" w:hAnsi="Arial" w:cs="Arial"/>
              </w:rPr>
            </w:pPr>
            <w:r w:rsidRPr="00FA79A5">
              <w:rPr>
                <w:rFonts w:ascii="Arial" w:hAnsi="Arial" w:cs="Arial"/>
              </w:rPr>
              <w:t>35%</w:t>
            </w:r>
          </w:p>
        </w:tc>
        <w:tc>
          <w:tcPr>
            <w:tcW w:w="363" w:type="pct"/>
            <w:shd w:val="clear" w:color="auto" w:fill="auto"/>
            <w:tcMar>
              <w:top w:w="15" w:type="dxa"/>
              <w:left w:w="15" w:type="dxa"/>
              <w:bottom w:w="0" w:type="dxa"/>
              <w:right w:w="15" w:type="dxa"/>
            </w:tcMar>
            <w:vAlign w:val="center"/>
            <w:hideMark/>
          </w:tcPr>
          <w:p w14:paraId="3755A4C8" w14:textId="77777777" w:rsidR="0089441B" w:rsidRPr="00FA79A5" w:rsidRDefault="0089441B" w:rsidP="007071C1">
            <w:pPr>
              <w:keepNext/>
              <w:keepLines/>
              <w:spacing w:after="0"/>
              <w:rPr>
                <w:rFonts w:ascii="Arial" w:hAnsi="Arial" w:cs="Arial"/>
              </w:rPr>
            </w:pPr>
            <w:r w:rsidRPr="00FA79A5">
              <w:rPr>
                <w:rFonts w:ascii="Arial" w:hAnsi="Arial" w:cs="Arial"/>
              </w:rPr>
              <w:t>-1%</w:t>
            </w:r>
          </w:p>
        </w:tc>
        <w:tc>
          <w:tcPr>
            <w:tcW w:w="387" w:type="pct"/>
            <w:shd w:val="clear" w:color="auto" w:fill="auto"/>
            <w:tcMar>
              <w:top w:w="15" w:type="dxa"/>
              <w:left w:w="15" w:type="dxa"/>
              <w:bottom w:w="0" w:type="dxa"/>
              <w:right w:w="15" w:type="dxa"/>
            </w:tcMar>
            <w:vAlign w:val="center"/>
            <w:hideMark/>
          </w:tcPr>
          <w:p w14:paraId="6B9F4E11" w14:textId="77777777" w:rsidR="0089441B" w:rsidRPr="00FA79A5" w:rsidRDefault="0089441B" w:rsidP="007071C1">
            <w:pPr>
              <w:keepNext/>
              <w:keepLines/>
              <w:spacing w:after="0"/>
              <w:rPr>
                <w:rFonts w:ascii="Arial" w:hAnsi="Arial" w:cs="Arial"/>
              </w:rPr>
            </w:pPr>
            <w:r w:rsidRPr="00FA79A5">
              <w:rPr>
                <w:rFonts w:ascii="Arial" w:hAnsi="Arial" w:cs="Arial"/>
              </w:rPr>
              <w:t>6%</w:t>
            </w:r>
          </w:p>
        </w:tc>
        <w:tc>
          <w:tcPr>
            <w:tcW w:w="549" w:type="pct"/>
            <w:shd w:val="clear" w:color="auto" w:fill="auto"/>
            <w:tcMar>
              <w:top w:w="15" w:type="dxa"/>
              <w:left w:w="15" w:type="dxa"/>
              <w:bottom w:w="0" w:type="dxa"/>
              <w:right w:w="15" w:type="dxa"/>
            </w:tcMar>
            <w:vAlign w:val="center"/>
            <w:hideMark/>
          </w:tcPr>
          <w:p w14:paraId="5982D1F8" w14:textId="77777777" w:rsidR="0089441B" w:rsidRPr="00FA79A5" w:rsidRDefault="0089441B" w:rsidP="007071C1">
            <w:pPr>
              <w:keepNext/>
              <w:keepLines/>
              <w:spacing w:after="0"/>
              <w:rPr>
                <w:rFonts w:ascii="Arial" w:hAnsi="Arial" w:cs="Arial"/>
              </w:rPr>
            </w:pPr>
            <w:r w:rsidRPr="00FA79A5">
              <w:rPr>
                <w:rFonts w:ascii="Arial" w:hAnsi="Arial" w:cs="Arial"/>
              </w:rPr>
              <w:t>4%</w:t>
            </w:r>
          </w:p>
        </w:tc>
        <w:tc>
          <w:tcPr>
            <w:tcW w:w="791" w:type="pct"/>
            <w:shd w:val="clear" w:color="auto" w:fill="auto"/>
            <w:tcMar>
              <w:top w:w="15" w:type="dxa"/>
              <w:left w:w="15" w:type="dxa"/>
              <w:bottom w:w="0" w:type="dxa"/>
              <w:right w:w="15" w:type="dxa"/>
            </w:tcMar>
            <w:vAlign w:val="center"/>
            <w:hideMark/>
          </w:tcPr>
          <w:p w14:paraId="0ABDF13C" w14:textId="77777777" w:rsidR="0089441B" w:rsidRPr="00FA79A5" w:rsidRDefault="0089441B" w:rsidP="007071C1">
            <w:pPr>
              <w:keepNext/>
              <w:keepLines/>
              <w:spacing w:after="0"/>
              <w:rPr>
                <w:rFonts w:ascii="Arial" w:hAnsi="Arial" w:cs="Arial"/>
              </w:rPr>
            </w:pPr>
            <w:r w:rsidRPr="00FA79A5">
              <w:rPr>
                <w:rFonts w:ascii="Arial" w:hAnsi="Arial" w:cs="Arial"/>
              </w:rPr>
              <w:t>2%</w:t>
            </w:r>
          </w:p>
        </w:tc>
        <w:tc>
          <w:tcPr>
            <w:tcW w:w="879" w:type="pct"/>
            <w:shd w:val="clear" w:color="auto" w:fill="auto"/>
            <w:tcMar>
              <w:top w:w="15" w:type="dxa"/>
              <w:left w:w="15" w:type="dxa"/>
              <w:bottom w:w="0" w:type="dxa"/>
              <w:right w:w="15" w:type="dxa"/>
            </w:tcMar>
            <w:vAlign w:val="center"/>
            <w:hideMark/>
          </w:tcPr>
          <w:p w14:paraId="33DC51FB" w14:textId="77777777" w:rsidR="0089441B" w:rsidRPr="00FA79A5" w:rsidRDefault="0089441B" w:rsidP="007071C1">
            <w:pPr>
              <w:keepNext/>
              <w:keepLines/>
              <w:spacing w:after="0"/>
              <w:rPr>
                <w:rFonts w:ascii="Arial" w:hAnsi="Arial" w:cs="Arial"/>
              </w:rPr>
            </w:pPr>
            <w:r w:rsidRPr="00FA79A5">
              <w:rPr>
                <w:rFonts w:ascii="Arial" w:hAnsi="Arial" w:cs="Arial"/>
              </w:rPr>
              <w:t>74%</w:t>
            </w:r>
          </w:p>
        </w:tc>
      </w:tr>
      <w:tr w:rsidR="0089441B" w:rsidRPr="00FA79A5" w14:paraId="13F35DE4" w14:textId="77777777" w:rsidTr="004C23D6">
        <w:trPr>
          <w:trHeight w:val="454"/>
          <w:jc w:val="center"/>
        </w:trPr>
        <w:tc>
          <w:tcPr>
            <w:tcW w:w="756" w:type="pct"/>
            <w:shd w:val="clear" w:color="auto" w:fill="auto"/>
            <w:tcMar>
              <w:top w:w="15" w:type="dxa"/>
              <w:left w:w="15" w:type="dxa"/>
              <w:bottom w:w="0" w:type="dxa"/>
              <w:right w:w="15" w:type="dxa"/>
            </w:tcMar>
            <w:vAlign w:val="center"/>
            <w:hideMark/>
          </w:tcPr>
          <w:p w14:paraId="464BE914" w14:textId="77777777" w:rsidR="0089441B" w:rsidRPr="00FA79A5" w:rsidRDefault="0089441B" w:rsidP="007071C1">
            <w:pPr>
              <w:keepNext/>
              <w:keepLines/>
              <w:spacing w:after="0"/>
              <w:rPr>
                <w:rFonts w:ascii="Arial" w:hAnsi="Arial" w:cs="Arial"/>
              </w:rPr>
            </w:pPr>
            <w:r w:rsidRPr="00FA79A5">
              <w:rPr>
                <w:rFonts w:ascii="Arial" w:hAnsi="Arial" w:cs="Arial"/>
              </w:rPr>
              <w:t>RPI-0.5%</w:t>
            </w:r>
          </w:p>
        </w:tc>
        <w:tc>
          <w:tcPr>
            <w:tcW w:w="1275" w:type="pct"/>
            <w:shd w:val="clear" w:color="auto" w:fill="auto"/>
            <w:tcMar>
              <w:top w:w="15" w:type="dxa"/>
              <w:left w:w="15" w:type="dxa"/>
              <w:bottom w:w="0" w:type="dxa"/>
              <w:right w:w="15" w:type="dxa"/>
            </w:tcMar>
            <w:vAlign w:val="center"/>
            <w:hideMark/>
          </w:tcPr>
          <w:p w14:paraId="6939884B" w14:textId="77777777" w:rsidR="0089441B" w:rsidRPr="00FA79A5" w:rsidRDefault="0089441B" w:rsidP="007071C1">
            <w:pPr>
              <w:keepNext/>
              <w:keepLines/>
              <w:spacing w:after="0"/>
              <w:rPr>
                <w:rFonts w:ascii="Arial" w:hAnsi="Arial" w:cs="Arial"/>
              </w:rPr>
            </w:pPr>
            <w:r w:rsidRPr="00FA79A5">
              <w:rPr>
                <w:rFonts w:ascii="Arial" w:hAnsi="Arial" w:cs="Arial"/>
              </w:rPr>
              <w:t>30%</w:t>
            </w:r>
          </w:p>
        </w:tc>
        <w:tc>
          <w:tcPr>
            <w:tcW w:w="363" w:type="pct"/>
            <w:shd w:val="clear" w:color="auto" w:fill="auto"/>
            <w:tcMar>
              <w:top w:w="15" w:type="dxa"/>
              <w:left w:w="15" w:type="dxa"/>
              <w:bottom w:w="0" w:type="dxa"/>
              <w:right w:w="15" w:type="dxa"/>
            </w:tcMar>
            <w:vAlign w:val="center"/>
            <w:hideMark/>
          </w:tcPr>
          <w:p w14:paraId="5F2E91E4" w14:textId="77777777" w:rsidR="0089441B" w:rsidRPr="00FA79A5" w:rsidRDefault="0089441B" w:rsidP="007071C1">
            <w:pPr>
              <w:keepNext/>
              <w:keepLines/>
              <w:spacing w:after="0"/>
              <w:rPr>
                <w:rFonts w:ascii="Arial" w:hAnsi="Arial" w:cs="Arial"/>
              </w:rPr>
            </w:pPr>
            <w:r w:rsidRPr="00FA79A5">
              <w:rPr>
                <w:rFonts w:ascii="Arial" w:hAnsi="Arial" w:cs="Arial"/>
              </w:rPr>
              <w:t>-5%</w:t>
            </w:r>
          </w:p>
        </w:tc>
        <w:tc>
          <w:tcPr>
            <w:tcW w:w="387" w:type="pct"/>
            <w:shd w:val="clear" w:color="auto" w:fill="auto"/>
            <w:tcMar>
              <w:top w:w="15" w:type="dxa"/>
              <w:left w:w="15" w:type="dxa"/>
              <w:bottom w:w="0" w:type="dxa"/>
              <w:right w:w="15" w:type="dxa"/>
            </w:tcMar>
            <w:vAlign w:val="center"/>
            <w:hideMark/>
          </w:tcPr>
          <w:p w14:paraId="189FC035" w14:textId="77777777" w:rsidR="0089441B" w:rsidRPr="00FA79A5" w:rsidRDefault="0089441B" w:rsidP="007071C1">
            <w:pPr>
              <w:keepNext/>
              <w:keepLines/>
              <w:spacing w:after="0"/>
              <w:rPr>
                <w:rFonts w:ascii="Arial" w:hAnsi="Arial" w:cs="Arial"/>
              </w:rPr>
            </w:pPr>
            <w:r w:rsidRPr="00FA79A5">
              <w:rPr>
                <w:rFonts w:ascii="Arial" w:hAnsi="Arial" w:cs="Arial"/>
              </w:rPr>
              <w:t>2%</w:t>
            </w:r>
          </w:p>
        </w:tc>
        <w:tc>
          <w:tcPr>
            <w:tcW w:w="549" w:type="pct"/>
            <w:shd w:val="clear" w:color="auto" w:fill="auto"/>
            <w:tcMar>
              <w:top w:w="15" w:type="dxa"/>
              <w:left w:w="15" w:type="dxa"/>
              <w:bottom w:w="0" w:type="dxa"/>
              <w:right w:w="15" w:type="dxa"/>
            </w:tcMar>
            <w:vAlign w:val="center"/>
            <w:hideMark/>
          </w:tcPr>
          <w:p w14:paraId="439D65B4" w14:textId="77777777" w:rsidR="0089441B" w:rsidRPr="00FA79A5" w:rsidRDefault="0089441B" w:rsidP="007071C1">
            <w:pPr>
              <w:keepNext/>
              <w:keepLines/>
              <w:spacing w:after="0"/>
              <w:rPr>
                <w:rFonts w:ascii="Arial" w:hAnsi="Arial" w:cs="Arial"/>
              </w:rPr>
            </w:pPr>
            <w:r w:rsidRPr="00FA79A5">
              <w:rPr>
                <w:rFonts w:ascii="Arial" w:hAnsi="Arial" w:cs="Arial"/>
              </w:rPr>
              <w:t>5%</w:t>
            </w:r>
          </w:p>
        </w:tc>
        <w:tc>
          <w:tcPr>
            <w:tcW w:w="791" w:type="pct"/>
            <w:shd w:val="clear" w:color="auto" w:fill="auto"/>
            <w:tcMar>
              <w:top w:w="15" w:type="dxa"/>
              <w:left w:w="15" w:type="dxa"/>
              <w:bottom w:w="0" w:type="dxa"/>
              <w:right w:w="15" w:type="dxa"/>
            </w:tcMar>
            <w:vAlign w:val="center"/>
            <w:hideMark/>
          </w:tcPr>
          <w:p w14:paraId="085389EE" w14:textId="77777777" w:rsidR="0089441B" w:rsidRPr="00FA79A5" w:rsidRDefault="0089441B" w:rsidP="007071C1">
            <w:pPr>
              <w:keepNext/>
              <w:keepLines/>
              <w:spacing w:after="0"/>
              <w:rPr>
                <w:rFonts w:ascii="Arial" w:hAnsi="Arial" w:cs="Arial"/>
              </w:rPr>
            </w:pPr>
            <w:r w:rsidRPr="00FA79A5">
              <w:rPr>
                <w:rFonts w:ascii="Arial" w:hAnsi="Arial" w:cs="Arial"/>
              </w:rPr>
              <w:t>3%</w:t>
            </w:r>
          </w:p>
        </w:tc>
        <w:tc>
          <w:tcPr>
            <w:tcW w:w="879" w:type="pct"/>
            <w:shd w:val="clear" w:color="auto" w:fill="auto"/>
            <w:tcMar>
              <w:top w:w="15" w:type="dxa"/>
              <w:left w:w="15" w:type="dxa"/>
              <w:bottom w:w="0" w:type="dxa"/>
              <w:right w:w="15" w:type="dxa"/>
            </w:tcMar>
            <w:vAlign w:val="center"/>
            <w:hideMark/>
          </w:tcPr>
          <w:p w14:paraId="07DF1348" w14:textId="77777777" w:rsidR="0089441B" w:rsidRPr="00FA79A5" w:rsidRDefault="0089441B" w:rsidP="007071C1">
            <w:pPr>
              <w:keepNext/>
              <w:keepLines/>
              <w:spacing w:after="0"/>
              <w:rPr>
                <w:rFonts w:ascii="Arial" w:hAnsi="Arial" w:cs="Arial"/>
              </w:rPr>
            </w:pPr>
            <w:r w:rsidRPr="00FA79A5">
              <w:rPr>
                <w:rFonts w:ascii="Arial" w:hAnsi="Arial" w:cs="Arial"/>
              </w:rPr>
              <w:t>67%</w:t>
            </w:r>
          </w:p>
        </w:tc>
      </w:tr>
      <w:tr w:rsidR="0089441B" w:rsidRPr="00FA79A5" w14:paraId="2915377C" w14:textId="77777777" w:rsidTr="004C23D6">
        <w:trPr>
          <w:trHeight w:val="234"/>
          <w:jc w:val="center"/>
        </w:trPr>
        <w:tc>
          <w:tcPr>
            <w:tcW w:w="756" w:type="pct"/>
            <w:shd w:val="clear" w:color="auto" w:fill="auto"/>
            <w:tcMar>
              <w:top w:w="15" w:type="dxa"/>
              <w:left w:w="15" w:type="dxa"/>
              <w:bottom w:w="0" w:type="dxa"/>
              <w:right w:w="15" w:type="dxa"/>
            </w:tcMar>
            <w:vAlign w:val="center"/>
            <w:hideMark/>
          </w:tcPr>
          <w:p w14:paraId="7A65B829" w14:textId="77777777" w:rsidR="0089441B" w:rsidRPr="00FA79A5" w:rsidRDefault="0089441B" w:rsidP="007071C1">
            <w:pPr>
              <w:keepNext/>
              <w:keepLines/>
              <w:spacing w:after="0"/>
              <w:rPr>
                <w:rFonts w:ascii="Arial" w:hAnsi="Arial" w:cs="Arial"/>
              </w:rPr>
            </w:pPr>
            <w:r w:rsidRPr="00FA79A5">
              <w:rPr>
                <w:rFonts w:ascii="Arial" w:hAnsi="Arial" w:cs="Arial"/>
              </w:rPr>
              <w:t>RPI+0%</w:t>
            </w:r>
          </w:p>
        </w:tc>
        <w:tc>
          <w:tcPr>
            <w:tcW w:w="1275" w:type="pct"/>
            <w:shd w:val="clear" w:color="auto" w:fill="auto"/>
            <w:tcMar>
              <w:top w:w="15" w:type="dxa"/>
              <w:left w:w="15" w:type="dxa"/>
              <w:bottom w:w="0" w:type="dxa"/>
              <w:right w:w="15" w:type="dxa"/>
            </w:tcMar>
            <w:vAlign w:val="center"/>
            <w:hideMark/>
          </w:tcPr>
          <w:p w14:paraId="2B56EFE9" w14:textId="77777777" w:rsidR="0089441B" w:rsidRPr="00FA79A5" w:rsidRDefault="0089441B" w:rsidP="007071C1">
            <w:pPr>
              <w:keepNext/>
              <w:keepLines/>
              <w:spacing w:after="0"/>
              <w:rPr>
                <w:rFonts w:ascii="Arial" w:hAnsi="Arial" w:cs="Arial"/>
              </w:rPr>
            </w:pPr>
            <w:r w:rsidRPr="00FA79A5">
              <w:rPr>
                <w:rFonts w:ascii="Arial" w:hAnsi="Arial" w:cs="Arial"/>
              </w:rPr>
              <w:t>21%</w:t>
            </w:r>
          </w:p>
        </w:tc>
        <w:tc>
          <w:tcPr>
            <w:tcW w:w="363" w:type="pct"/>
            <w:shd w:val="clear" w:color="auto" w:fill="auto"/>
            <w:tcMar>
              <w:top w:w="15" w:type="dxa"/>
              <w:left w:w="15" w:type="dxa"/>
              <w:bottom w:w="0" w:type="dxa"/>
              <w:right w:w="15" w:type="dxa"/>
            </w:tcMar>
            <w:vAlign w:val="center"/>
            <w:hideMark/>
          </w:tcPr>
          <w:p w14:paraId="413E9097" w14:textId="77777777" w:rsidR="0089441B" w:rsidRPr="00FA79A5" w:rsidRDefault="0089441B" w:rsidP="007071C1">
            <w:pPr>
              <w:keepNext/>
              <w:keepLines/>
              <w:spacing w:after="0"/>
              <w:rPr>
                <w:rFonts w:ascii="Arial" w:hAnsi="Arial" w:cs="Arial"/>
              </w:rPr>
            </w:pPr>
            <w:r w:rsidRPr="00FA79A5">
              <w:rPr>
                <w:rFonts w:ascii="Arial" w:hAnsi="Arial" w:cs="Arial"/>
              </w:rPr>
              <w:t>-12%</w:t>
            </w:r>
          </w:p>
        </w:tc>
        <w:tc>
          <w:tcPr>
            <w:tcW w:w="387" w:type="pct"/>
            <w:shd w:val="clear" w:color="auto" w:fill="auto"/>
            <w:tcMar>
              <w:top w:w="15" w:type="dxa"/>
              <w:left w:w="15" w:type="dxa"/>
              <w:bottom w:w="0" w:type="dxa"/>
              <w:right w:w="15" w:type="dxa"/>
            </w:tcMar>
            <w:vAlign w:val="center"/>
            <w:hideMark/>
          </w:tcPr>
          <w:p w14:paraId="183DCD9F" w14:textId="77777777" w:rsidR="0089441B" w:rsidRPr="00FA79A5" w:rsidRDefault="0089441B" w:rsidP="007071C1">
            <w:pPr>
              <w:keepNext/>
              <w:keepLines/>
              <w:spacing w:after="0"/>
              <w:rPr>
                <w:rFonts w:ascii="Arial" w:hAnsi="Arial" w:cs="Arial"/>
              </w:rPr>
            </w:pPr>
            <w:r w:rsidRPr="00FA79A5">
              <w:rPr>
                <w:rFonts w:ascii="Arial" w:hAnsi="Arial" w:cs="Arial"/>
              </w:rPr>
              <w:t>-5%</w:t>
            </w:r>
          </w:p>
        </w:tc>
        <w:tc>
          <w:tcPr>
            <w:tcW w:w="549" w:type="pct"/>
            <w:shd w:val="clear" w:color="auto" w:fill="auto"/>
            <w:tcMar>
              <w:top w:w="15" w:type="dxa"/>
              <w:left w:w="15" w:type="dxa"/>
              <w:bottom w:w="0" w:type="dxa"/>
              <w:right w:w="15" w:type="dxa"/>
            </w:tcMar>
            <w:vAlign w:val="center"/>
            <w:hideMark/>
          </w:tcPr>
          <w:p w14:paraId="1605FB4C" w14:textId="77777777" w:rsidR="0089441B" w:rsidRPr="00FA79A5" w:rsidRDefault="0089441B" w:rsidP="007071C1">
            <w:pPr>
              <w:keepNext/>
              <w:keepLines/>
              <w:spacing w:after="0"/>
              <w:rPr>
                <w:rFonts w:ascii="Arial" w:hAnsi="Arial" w:cs="Arial"/>
              </w:rPr>
            </w:pPr>
            <w:r w:rsidRPr="00FA79A5">
              <w:rPr>
                <w:rFonts w:ascii="Arial" w:hAnsi="Arial" w:cs="Arial"/>
              </w:rPr>
              <w:t>11%</w:t>
            </w:r>
          </w:p>
        </w:tc>
        <w:tc>
          <w:tcPr>
            <w:tcW w:w="791" w:type="pct"/>
            <w:shd w:val="clear" w:color="auto" w:fill="auto"/>
            <w:tcMar>
              <w:top w:w="15" w:type="dxa"/>
              <w:left w:w="15" w:type="dxa"/>
              <w:bottom w:w="0" w:type="dxa"/>
              <w:right w:w="15" w:type="dxa"/>
            </w:tcMar>
            <w:vAlign w:val="center"/>
            <w:hideMark/>
          </w:tcPr>
          <w:p w14:paraId="7E863E5D" w14:textId="77777777" w:rsidR="0089441B" w:rsidRPr="00FA79A5" w:rsidRDefault="0089441B" w:rsidP="007071C1">
            <w:pPr>
              <w:keepNext/>
              <w:keepLines/>
              <w:spacing w:after="0"/>
              <w:rPr>
                <w:rFonts w:ascii="Arial" w:hAnsi="Arial" w:cs="Arial"/>
              </w:rPr>
            </w:pPr>
            <w:r w:rsidRPr="00FA79A5">
              <w:rPr>
                <w:rFonts w:ascii="Arial" w:hAnsi="Arial" w:cs="Arial"/>
              </w:rPr>
              <w:t>6%</w:t>
            </w:r>
          </w:p>
        </w:tc>
        <w:tc>
          <w:tcPr>
            <w:tcW w:w="879" w:type="pct"/>
            <w:shd w:val="clear" w:color="auto" w:fill="auto"/>
            <w:tcMar>
              <w:top w:w="15" w:type="dxa"/>
              <w:left w:w="15" w:type="dxa"/>
              <w:bottom w:w="0" w:type="dxa"/>
              <w:right w:w="15" w:type="dxa"/>
            </w:tcMar>
            <w:vAlign w:val="center"/>
            <w:hideMark/>
          </w:tcPr>
          <w:p w14:paraId="7F1378FB" w14:textId="77777777" w:rsidR="0089441B" w:rsidRPr="00FA79A5" w:rsidRDefault="0089441B" w:rsidP="007071C1">
            <w:pPr>
              <w:keepNext/>
              <w:keepLines/>
              <w:spacing w:after="0"/>
              <w:rPr>
                <w:rFonts w:ascii="Arial" w:hAnsi="Arial" w:cs="Arial"/>
              </w:rPr>
            </w:pPr>
            <w:r w:rsidRPr="00FA79A5">
              <w:rPr>
                <w:rFonts w:ascii="Arial" w:hAnsi="Arial" w:cs="Arial"/>
              </w:rPr>
              <w:t>55%</w:t>
            </w:r>
          </w:p>
        </w:tc>
      </w:tr>
      <w:tr w:rsidR="0089441B" w:rsidRPr="00FA79A5" w14:paraId="2B10AEF3" w14:textId="77777777" w:rsidTr="004C23D6">
        <w:trPr>
          <w:trHeight w:val="454"/>
          <w:jc w:val="center"/>
        </w:trPr>
        <w:tc>
          <w:tcPr>
            <w:tcW w:w="756" w:type="pct"/>
            <w:shd w:val="clear" w:color="auto" w:fill="auto"/>
            <w:tcMar>
              <w:top w:w="15" w:type="dxa"/>
              <w:left w:w="15" w:type="dxa"/>
              <w:bottom w:w="0" w:type="dxa"/>
              <w:right w:w="15" w:type="dxa"/>
            </w:tcMar>
            <w:vAlign w:val="center"/>
            <w:hideMark/>
          </w:tcPr>
          <w:p w14:paraId="2DFE6518" w14:textId="77777777" w:rsidR="0089441B" w:rsidRPr="00FA79A5" w:rsidRDefault="0089441B" w:rsidP="007071C1">
            <w:pPr>
              <w:keepNext/>
              <w:keepLines/>
              <w:spacing w:after="0"/>
              <w:rPr>
                <w:rFonts w:ascii="Arial" w:hAnsi="Arial" w:cs="Arial"/>
              </w:rPr>
            </w:pPr>
            <w:r w:rsidRPr="00FA79A5">
              <w:rPr>
                <w:rFonts w:ascii="Arial" w:hAnsi="Arial" w:cs="Arial"/>
              </w:rPr>
              <w:t>RPI+0.5%</w:t>
            </w:r>
          </w:p>
        </w:tc>
        <w:tc>
          <w:tcPr>
            <w:tcW w:w="1275" w:type="pct"/>
            <w:shd w:val="clear" w:color="auto" w:fill="auto"/>
            <w:tcMar>
              <w:top w:w="15" w:type="dxa"/>
              <w:left w:w="15" w:type="dxa"/>
              <w:bottom w:w="0" w:type="dxa"/>
              <w:right w:w="15" w:type="dxa"/>
            </w:tcMar>
            <w:vAlign w:val="center"/>
            <w:hideMark/>
          </w:tcPr>
          <w:p w14:paraId="1379036B" w14:textId="77777777" w:rsidR="0089441B" w:rsidRPr="00FA79A5" w:rsidRDefault="0089441B" w:rsidP="007071C1">
            <w:pPr>
              <w:keepNext/>
              <w:keepLines/>
              <w:spacing w:after="0"/>
              <w:rPr>
                <w:rFonts w:ascii="Arial" w:hAnsi="Arial" w:cs="Arial"/>
              </w:rPr>
            </w:pPr>
            <w:r w:rsidRPr="00FA79A5">
              <w:rPr>
                <w:rFonts w:ascii="Arial" w:hAnsi="Arial" w:cs="Arial"/>
              </w:rPr>
              <w:t>12%</w:t>
            </w:r>
          </w:p>
        </w:tc>
        <w:tc>
          <w:tcPr>
            <w:tcW w:w="363" w:type="pct"/>
            <w:shd w:val="clear" w:color="auto" w:fill="auto"/>
            <w:tcMar>
              <w:top w:w="15" w:type="dxa"/>
              <w:left w:w="15" w:type="dxa"/>
              <w:bottom w:w="0" w:type="dxa"/>
              <w:right w:w="15" w:type="dxa"/>
            </w:tcMar>
            <w:vAlign w:val="center"/>
            <w:hideMark/>
          </w:tcPr>
          <w:p w14:paraId="2484CE1B" w14:textId="77777777" w:rsidR="0089441B" w:rsidRPr="00FA79A5" w:rsidRDefault="0089441B" w:rsidP="007071C1">
            <w:pPr>
              <w:keepNext/>
              <w:keepLines/>
              <w:spacing w:after="0"/>
              <w:rPr>
                <w:rFonts w:ascii="Arial" w:hAnsi="Arial" w:cs="Arial"/>
              </w:rPr>
            </w:pPr>
            <w:r w:rsidRPr="00FA79A5">
              <w:rPr>
                <w:rFonts w:ascii="Arial" w:hAnsi="Arial" w:cs="Arial"/>
              </w:rPr>
              <w:t>-18%</w:t>
            </w:r>
          </w:p>
        </w:tc>
        <w:tc>
          <w:tcPr>
            <w:tcW w:w="387" w:type="pct"/>
            <w:shd w:val="clear" w:color="auto" w:fill="auto"/>
            <w:tcMar>
              <w:top w:w="15" w:type="dxa"/>
              <w:left w:w="15" w:type="dxa"/>
              <w:bottom w:w="0" w:type="dxa"/>
              <w:right w:w="15" w:type="dxa"/>
            </w:tcMar>
            <w:vAlign w:val="center"/>
            <w:hideMark/>
          </w:tcPr>
          <w:p w14:paraId="15E3980F" w14:textId="77777777" w:rsidR="0089441B" w:rsidRPr="00FA79A5" w:rsidRDefault="0089441B" w:rsidP="007071C1">
            <w:pPr>
              <w:keepNext/>
              <w:keepLines/>
              <w:spacing w:after="0"/>
              <w:rPr>
                <w:rFonts w:ascii="Arial" w:hAnsi="Arial" w:cs="Arial"/>
              </w:rPr>
            </w:pPr>
            <w:r w:rsidRPr="00FA79A5">
              <w:rPr>
                <w:rFonts w:ascii="Arial" w:hAnsi="Arial" w:cs="Arial"/>
              </w:rPr>
              <w:t>-12%</w:t>
            </w:r>
          </w:p>
        </w:tc>
        <w:tc>
          <w:tcPr>
            <w:tcW w:w="549" w:type="pct"/>
            <w:shd w:val="clear" w:color="auto" w:fill="auto"/>
            <w:tcMar>
              <w:top w:w="15" w:type="dxa"/>
              <w:left w:w="15" w:type="dxa"/>
              <w:bottom w:w="0" w:type="dxa"/>
              <w:right w:w="15" w:type="dxa"/>
            </w:tcMar>
            <w:vAlign w:val="center"/>
            <w:hideMark/>
          </w:tcPr>
          <w:p w14:paraId="574D3E68" w14:textId="77777777" w:rsidR="0089441B" w:rsidRPr="00FA79A5" w:rsidRDefault="0089441B" w:rsidP="007071C1">
            <w:pPr>
              <w:keepNext/>
              <w:keepLines/>
              <w:spacing w:after="0"/>
              <w:rPr>
                <w:rFonts w:ascii="Arial" w:hAnsi="Arial" w:cs="Arial"/>
              </w:rPr>
            </w:pPr>
            <w:r w:rsidRPr="00FA79A5">
              <w:rPr>
                <w:rFonts w:ascii="Arial" w:hAnsi="Arial" w:cs="Arial"/>
              </w:rPr>
              <w:t>19%</w:t>
            </w:r>
          </w:p>
        </w:tc>
        <w:tc>
          <w:tcPr>
            <w:tcW w:w="791" w:type="pct"/>
            <w:shd w:val="clear" w:color="auto" w:fill="auto"/>
            <w:tcMar>
              <w:top w:w="15" w:type="dxa"/>
              <w:left w:w="15" w:type="dxa"/>
              <w:bottom w:w="0" w:type="dxa"/>
              <w:right w:w="15" w:type="dxa"/>
            </w:tcMar>
            <w:vAlign w:val="center"/>
            <w:hideMark/>
          </w:tcPr>
          <w:p w14:paraId="495FF625" w14:textId="77777777" w:rsidR="0089441B" w:rsidRPr="00FA79A5" w:rsidRDefault="0089441B" w:rsidP="007071C1">
            <w:pPr>
              <w:keepNext/>
              <w:keepLines/>
              <w:spacing w:after="0"/>
              <w:rPr>
                <w:rFonts w:ascii="Arial" w:hAnsi="Arial" w:cs="Arial"/>
              </w:rPr>
            </w:pPr>
            <w:r w:rsidRPr="00FA79A5">
              <w:rPr>
                <w:rFonts w:ascii="Arial" w:hAnsi="Arial" w:cs="Arial"/>
              </w:rPr>
              <w:t>12%</w:t>
            </w:r>
          </w:p>
        </w:tc>
        <w:tc>
          <w:tcPr>
            <w:tcW w:w="879" w:type="pct"/>
            <w:shd w:val="clear" w:color="auto" w:fill="auto"/>
            <w:tcMar>
              <w:top w:w="15" w:type="dxa"/>
              <w:left w:w="15" w:type="dxa"/>
              <w:bottom w:w="0" w:type="dxa"/>
              <w:right w:w="15" w:type="dxa"/>
            </w:tcMar>
            <w:vAlign w:val="center"/>
            <w:hideMark/>
          </w:tcPr>
          <w:p w14:paraId="0172C588" w14:textId="77777777" w:rsidR="0089441B" w:rsidRPr="00FA79A5" w:rsidRDefault="0089441B" w:rsidP="007071C1">
            <w:pPr>
              <w:keepNext/>
              <w:keepLines/>
              <w:spacing w:after="0"/>
              <w:rPr>
                <w:rFonts w:ascii="Arial" w:hAnsi="Arial" w:cs="Arial"/>
              </w:rPr>
            </w:pPr>
            <w:r w:rsidRPr="00FA79A5">
              <w:rPr>
                <w:rFonts w:ascii="Arial" w:hAnsi="Arial" w:cs="Arial"/>
              </w:rPr>
              <w:t>44%</w:t>
            </w:r>
          </w:p>
        </w:tc>
      </w:tr>
      <w:tr w:rsidR="0089441B" w:rsidRPr="00FA79A5" w14:paraId="45B27B5A" w14:textId="77777777" w:rsidTr="004C23D6">
        <w:trPr>
          <w:trHeight w:val="234"/>
          <w:jc w:val="center"/>
        </w:trPr>
        <w:tc>
          <w:tcPr>
            <w:tcW w:w="756" w:type="pct"/>
            <w:shd w:val="clear" w:color="auto" w:fill="auto"/>
            <w:tcMar>
              <w:top w:w="15" w:type="dxa"/>
              <w:left w:w="15" w:type="dxa"/>
              <w:bottom w:w="0" w:type="dxa"/>
              <w:right w:w="15" w:type="dxa"/>
            </w:tcMar>
            <w:vAlign w:val="center"/>
            <w:hideMark/>
          </w:tcPr>
          <w:p w14:paraId="3A147120" w14:textId="77777777" w:rsidR="0089441B" w:rsidRPr="00FA79A5" w:rsidRDefault="0089441B" w:rsidP="007071C1">
            <w:pPr>
              <w:keepNext/>
              <w:keepLines/>
              <w:spacing w:after="0"/>
              <w:rPr>
                <w:rFonts w:ascii="Arial" w:hAnsi="Arial" w:cs="Arial"/>
              </w:rPr>
            </w:pPr>
            <w:r w:rsidRPr="00FA79A5">
              <w:rPr>
                <w:rFonts w:ascii="Arial" w:hAnsi="Arial" w:cs="Arial"/>
              </w:rPr>
              <w:t>RPI+1%</w:t>
            </w:r>
          </w:p>
        </w:tc>
        <w:tc>
          <w:tcPr>
            <w:tcW w:w="1275" w:type="pct"/>
            <w:shd w:val="clear" w:color="auto" w:fill="auto"/>
            <w:tcMar>
              <w:top w:w="15" w:type="dxa"/>
              <w:left w:w="15" w:type="dxa"/>
              <w:bottom w:w="0" w:type="dxa"/>
              <w:right w:w="15" w:type="dxa"/>
            </w:tcMar>
            <w:vAlign w:val="center"/>
            <w:hideMark/>
          </w:tcPr>
          <w:p w14:paraId="3D44BD97" w14:textId="77777777" w:rsidR="0089441B" w:rsidRPr="00FA79A5" w:rsidRDefault="0089441B" w:rsidP="007071C1">
            <w:pPr>
              <w:keepNext/>
              <w:keepLines/>
              <w:spacing w:after="0"/>
              <w:rPr>
                <w:rFonts w:ascii="Arial" w:hAnsi="Arial" w:cs="Arial"/>
              </w:rPr>
            </w:pPr>
            <w:r w:rsidRPr="00FA79A5">
              <w:rPr>
                <w:rFonts w:ascii="Arial" w:hAnsi="Arial" w:cs="Arial"/>
              </w:rPr>
              <w:t>4%</w:t>
            </w:r>
          </w:p>
        </w:tc>
        <w:tc>
          <w:tcPr>
            <w:tcW w:w="363" w:type="pct"/>
            <w:shd w:val="clear" w:color="auto" w:fill="auto"/>
            <w:tcMar>
              <w:top w:w="15" w:type="dxa"/>
              <w:left w:w="15" w:type="dxa"/>
              <w:bottom w:w="0" w:type="dxa"/>
              <w:right w:w="15" w:type="dxa"/>
            </w:tcMar>
            <w:vAlign w:val="center"/>
            <w:hideMark/>
          </w:tcPr>
          <w:p w14:paraId="112A2DAA" w14:textId="77777777" w:rsidR="0089441B" w:rsidRPr="00FA79A5" w:rsidRDefault="0089441B" w:rsidP="007071C1">
            <w:pPr>
              <w:keepNext/>
              <w:keepLines/>
              <w:spacing w:after="0"/>
              <w:rPr>
                <w:rFonts w:ascii="Arial" w:hAnsi="Arial" w:cs="Arial"/>
              </w:rPr>
            </w:pPr>
            <w:r w:rsidRPr="00FA79A5">
              <w:rPr>
                <w:rFonts w:ascii="Arial" w:hAnsi="Arial" w:cs="Arial"/>
              </w:rPr>
              <w:t>-24%</w:t>
            </w:r>
          </w:p>
        </w:tc>
        <w:tc>
          <w:tcPr>
            <w:tcW w:w="387" w:type="pct"/>
            <w:shd w:val="clear" w:color="auto" w:fill="auto"/>
            <w:tcMar>
              <w:top w:w="15" w:type="dxa"/>
              <w:left w:w="15" w:type="dxa"/>
              <w:bottom w:w="0" w:type="dxa"/>
              <w:right w:w="15" w:type="dxa"/>
            </w:tcMar>
            <w:vAlign w:val="center"/>
            <w:hideMark/>
          </w:tcPr>
          <w:p w14:paraId="1A268423" w14:textId="77777777" w:rsidR="0089441B" w:rsidRPr="00FA79A5" w:rsidRDefault="0089441B" w:rsidP="007071C1">
            <w:pPr>
              <w:keepNext/>
              <w:keepLines/>
              <w:spacing w:after="0"/>
              <w:rPr>
                <w:rFonts w:ascii="Arial" w:hAnsi="Arial" w:cs="Arial"/>
              </w:rPr>
            </w:pPr>
            <w:r w:rsidRPr="00FA79A5">
              <w:rPr>
                <w:rFonts w:ascii="Arial" w:hAnsi="Arial" w:cs="Arial"/>
              </w:rPr>
              <w:t>-18%</w:t>
            </w:r>
          </w:p>
        </w:tc>
        <w:tc>
          <w:tcPr>
            <w:tcW w:w="549" w:type="pct"/>
            <w:shd w:val="clear" w:color="auto" w:fill="auto"/>
            <w:tcMar>
              <w:top w:w="15" w:type="dxa"/>
              <w:left w:w="15" w:type="dxa"/>
              <w:bottom w:w="0" w:type="dxa"/>
              <w:right w:w="15" w:type="dxa"/>
            </w:tcMar>
            <w:vAlign w:val="center"/>
            <w:hideMark/>
          </w:tcPr>
          <w:p w14:paraId="52A80117" w14:textId="77777777" w:rsidR="0089441B" w:rsidRPr="00FA79A5" w:rsidRDefault="0089441B" w:rsidP="007071C1">
            <w:pPr>
              <w:keepNext/>
              <w:keepLines/>
              <w:spacing w:after="0"/>
              <w:rPr>
                <w:rFonts w:ascii="Arial" w:hAnsi="Arial" w:cs="Arial"/>
              </w:rPr>
            </w:pPr>
            <w:r w:rsidRPr="00FA79A5">
              <w:rPr>
                <w:rFonts w:ascii="Arial" w:hAnsi="Arial" w:cs="Arial"/>
              </w:rPr>
              <w:t>30%</w:t>
            </w:r>
          </w:p>
        </w:tc>
        <w:tc>
          <w:tcPr>
            <w:tcW w:w="791" w:type="pct"/>
            <w:shd w:val="clear" w:color="auto" w:fill="auto"/>
            <w:tcMar>
              <w:top w:w="15" w:type="dxa"/>
              <w:left w:w="15" w:type="dxa"/>
              <w:bottom w:w="0" w:type="dxa"/>
              <w:right w:w="15" w:type="dxa"/>
            </w:tcMar>
            <w:vAlign w:val="center"/>
            <w:hideMark/>
          </w:tcPr>
          <w:p w14:paraId="123EA90C" w14:textId="77777777" w:rsidR="0089441B" w:rsidRPr="00FA79A5" w:rsidRDefault="0089441B" w:rsidP="007071C1">
            <w:pPr>
              <w:keepNext/>
              <w:keepLines/>
              <w:spacing w:after="0"/>
              <w:rPr>
                <w:rFonts w:ascii="Arial" w:hAnsi="Arial" w:cs="Arial"/>
              </w:rPr>
            </w:pPr>
            <w:r w:rsidRPr="00FA79A5">
              <w:rPr>
                <w:rFonts w:ascii="Arial" w:hAnsi="Arial" w:cs="Arial"/>
              </w:rPr>
              <w:t>22%</w:t>
            </w:r>
          </w:p>
        </w:tc>
        <w:tc>
          <w:tcPr>
            <w:tcW w:w="879" w:type="pct"/>
            <w:shd w:val="clear" w:color="auto" w:fill="auto"/>
            <w:tcMar>
              <w:top w:w="15" w:type="dxa"/>
              <w:left w:w="15" w:type="dxa"/>
              <w:bottom w:w="0" w:type="dxa"/>
              <w:right w:w="15" w:type="dxa"/>
            </w:tcMar>
            <w:vAlign w:val="center"/>
            <w:hideMark/>
          </w:tcPr>
          <w:p w14:paraId="08E7F519" w14:textId="77777777" w:rsidR="0089441B" w:rsidRPr="00FA79A5" w:rsidRDefault="0089441B" w:rsidP="007071C1">
            <w:pPr>
              <w:keepNext/>
              <w:keepLines/>
              <w:spacing w:after="0"/>
              <w:rPr>
                <w:rFonts w:ascii="Arial" w:hAnsi="Arial" w:cs="Arial"/>
              </w:rPr>
            </w:pPr>
            <w:r w:rsidRPr="00FA79A5">
              <w:rPr>
                <w:rFonts w:ascii="Arial" w:hAnsi="Arial" w:cs="Arial"/>
              </w:rPr>
              <w:t>34%</w:t>
            </w:r>
          </w:p>
        </w:tc>
      </w:tr>
      <w:tr w:rsidR="004C23D6" w:rsidRPr="00FA79A5" w14:paraId="1D8DDFC8" w14:textId="77777777" w:rsidTr="004C23D6">
        <w:trPr>
          <w:trHeight w:val="234"/>
          <w:jc w:val="center"/>
        </w:trPr>
        <w:tc>
          <w:tcPr>
            <w:tcW w:w="5000" w:type="pct"/>
            <w:gridSpan w:val="7"/>
            <w:shd w:val="clear" w:color="auto" w:fill="auto"/>
            <w:tcMar>
              <w:top w:w="15" w:type="dxa"/>
              <w:left w:w="15" w:type="dxa"/>
              <w:bottom w:w="0" w:type="dxa"/>
              <w:right w:w="15" w:type="dxa"/>
            </w:tcMar>
            <w:vAlign w:val="center"/>
          </w:tcPr>
          <w:p w14:paraId="6B32F92B" w14:textId="77777777" w:rsidR="004C23D6" w:rsidRPr="00FA79A5" w:rsidRDefault="004C23D6" w:rsidP="007071C1">
            <w:pPr>
              <w:keepNext/>
              <w:keepLines/>
              <w:spacing w:after="0"/>
              <w:rPr>
                <w:rFonts w:ascii="Arial" w:hAnsi="Arial" w:cs="Arial"/>
              </w:rPr>
            </w:pPr>
            <w:r>
              <w:rPr>
                <w:rFonts w:ascii="Arial" w:hAnsi="Arial" w:cs="Arial"/>
              </w:rPr>
              <w:t>Source: Adapted from Table 11 in GAD (2017).</w:t>
            </w:r>
          </w:p>
        </w:tc>
      </w:tr>
    </w:tbl>
    <w:p w14:paraId="66CECA8E" w14:textId="77777777" w:rsidR="0089441B" w:rsidRDefault="0089441B" w:rsidP="0089441B">
      <w:pPr>
        <w:rPr>
          <w:rFonts w:ascii="Arial" w:hAnsi="Arial" w:cs="Arial"/>
        </w:rPr>
      </w:pPr>
    </w:p>
    <w:p w14:paraId="263D8DB1" w14:textId="77777777" w:rsidR="0089441B" w:rsidRPr="002E741B" w:rsidRDefault="0089441B" w:rsidP="00701B71">
      <w:pPr>
        <w:numPr>
          <w:ilvl w:val="0"/>
          <w:numId w:val="25"/>
        </w:numPr>
        <w:rPr>
          <w:rFonts w:ascii="Arial" w:hAnsi="Arial" w:cs="Arial"/>
        </w:rPr>
      </w:pPr>
      <w:r w:rsidRPr="00701B71">
        <w:rPr>
          <w:rFonts w:ascii="Arial" w:hAnsi="Arial" w:cs="Arial"/>
        </w:rPr>
        <w:t xml:space="preserve">Figure </w:t>
      </w:r>
      <w:r w:rsidR="003D7F9D" w:rsidRPr="00701B71">
        <w:rPr>
          <w:rFonts w:ascii="Arial" w:hAnsi="Arial" w:cs="Arial"/>
        </w:rPr>
        <w:t>1</w:t>
      </w:r>
      <w:r w:rsidRPr="00F60B7F">
        <w:rPr>
          <w:rFonts w:ascii="Arial" w:hAnsi="Arial" w:cs="Arial"/>
        </w:rPr>
        <w:t xml:space="preserve"> </w:t>
      </w:r>
      <w:r w:rsidR="005F04BB">
        <w:rPr>
          <w:rFonts w:ascii="Arial" w:hAnsi="Arial" w:cs="Arial"/>
        </w:rPr>
        <w:t xml:space="preserve">(below) </w:t>
      </w:r>
      <w:r w:rsidRPr="00F60B7F">
        <w:rPr>
          <w:rFonts w:ascii="Arial" w:hAnsi="Arial" w:cs="Arial"/>
        </w:rPr>
        <w:t>demonstrates the distribution of under/over-compensat</w:t>
      </w:r>
      <w:r w:rsidR="00F41B8E" w:rsidRPr="00F60B7F">
        <w:rPr>
          <w:rFonts w:ascii="Arial" w:hAnsi="Arial" w:cs="Arial"/>
        </w:rPr>
        <w:t>ion,</w:t>
      </w:r>
      <w:r w:rsidR="00351881" w:rsidRPr="00F60B7F">
        <w:rPr>
          <w:rFonts w:ascii="Arial" w:hAnsi="Arial" w:cs="Arial"/>
        </w:rPr>
        <w:t xml:space="preserve"> </w:t>
      </w:r>
      <w:r w:rsidR="00F41B8E" w:rsidRPr="00F60B7F">
        <w:rPr>
          <w:rFonts w:ascii="Arial" w:hAnsi="Arial" w:cs="Arial"/>
        </w:rPr>
        <w:t>showing</w:t>
      </w:r>
      <w:r w:rsidR="00351881" w:rsidRPr="000D1C37">
        <w:rPr>
          <w:rFonts w:ascii="Arial" w:hAnsi="Arial" w:cs="Arial"/>
        </w:rPr>
        <w:t xml:space="preserve"> the spread of outcomes </w:t>
      </w:r>
      <w:r w:rsidR="00F41B8E" w:rsidRPr="000D1C37">
        <w:rPr>
          <w:rFonts w:ascii="Arial" w:hAnsi="Arial" w:cs="Arial"/>
        </w:rPr>
        <w:t>for each percentile of the distribution</w:t>
      </w:r>
      <w:r w:rsidR="00F41B8E" w:rsidRPr="002E741B">
        <w:rPr>
          <w:rFonts w:ascii="Arial" w:hAnsi="Arial" w:cs="Arial"/>
        </w:rPr>
        <w:t xml:space="preserve"> </w:t>
      </w:r>
      <w:r w:rsidRPr="002E741B">
        <w:rPr>
          <w:rFonts w:ascii="Arial" w:hAnsi="Arial" w:cs="Arial"/>
        </w:rPr>
        <w:t>diagrammatically.</w:t>
      </w:r>
      <w:r w:rsidR="00F41B8E" w:rsidRPr="002E741B">
        <w:rPr>
          <w:rFonts w:ascii="Arial" w:hAnsi="Arial" w:cs="Arial"/>
        </w:rPr>
        <w:t xml:space="preserve">  </w:t>
      </w:r>
      <w:r w:rsidR="00F41B8E" w:rsidRPr="005E39CA">
        <w:rPr>
          <w:rFonts w:ascii="Arial" w:hAnsi="Arial" w:cs="Arial"/>
        </w:rPr>
        <w:t xml:space="preserve">A percentile </w:t>
      </w:r>
      <w:r w:rsidR="00F41B8E" w:rsidRPr="00701B71">
        <w:rPr>
          <w:rFonts w:ascii="Arial" w:hAnsi="Arial" w:cs="Arial"/>
        </w:rPr>
        <w:t xml:space="preserve">indicates </w:t>
      </w:r>
      <w:r w:rsidR="00F41B8E" w:rsidRPr="005E39CA">
        <w:rPr>
          <w:rFonts w:ascii="Arial" w:hAnsi="Arial" w:cs="Arial"/>
        </w:rPr>
        <w:t xml:space="preserve">the value below which a given percentage of </w:t>
      </w:r>
      <w:r w:rsidR="00701B71" w:rsidRPr="00701B71">
        <w:rPr>
          <w:rFonts w:ascii="Arial" w:hAnsi="Arial" w:cs="Arial"/>
        </w:rPr>
        <w:t>scenarios i</w:t>
      </w:r>
      <w:r w:rsidR="00F41B8E" w:rsidRPr="005E39CA">
        <w:rPr>
          <w:rFonts w:ascii="Arial" w:hAnsi="Arial" w:cs="Arial"/>
        </w:rPr>
        <w:t>n a group of observ</w:t>
      </w:r>
      <w:r w:rsidR="00701B71" w:rsidRPr="00701B71">
        <w:rPr>
          <w:rFonts w:ascii="Arial" w:hAnsi="Arial" w:cs="Arial"/>
        </w:rPr>
        <w:t>ations fall. For example, the 5</w:t>
      </w:r>
      <w:r w:rsidR="00F41B8E" w:rsidRPr="005E39CA">
        <w:rPr>
          <w:rFonts w:ascii="Arial" w:hAnsi="Arial" w:cs="Arial"/>
        </w:rPr>
        <w:t>th perce</w:t>
      </w:r>
      <w:r w:rsidR="00701B71" w:rsidRPr="00701B71">
        <w:rPr>
          <w:rFonts w:ascii="Arial" w:hAnsi="Arial" w:cs="Arial"/>
        </w:rPr>
        <w:t>ntile is the value below which 5</w:t>
      </w:r>
      <w:r w:rsidR="00F41B8E" w:rsidRPr="005E39CA">
        <w:rPr>
          <w:rFonts w:ascii="Arial" w:hAnsi="Arial" w:cs="Arial"/>
        </w:rPr>
        <w:t>% of the observations may be found</w:t>
      </w:r>
      <w:r w:rsidR="00701B71" w:rsidRPr="00701B71">
        <w:rPr>
          <w:rFonts w:ascii="Arial" w:hAnsi="Arial" w:cs="Arial"/>
        </w:rPr>
        <w:t xml:space="preserve">. </w:t>
      </w:r>
      <w:r w:rsidR="00F41B8E" w:rsidRPr="00701B71">
        <w:rPr>
          <w:rFonts w:ascii="Arial" w:hAnsi="Arial" w:cs="Arial"/>
        </w:rPr>
        <w:t xml:space="preserve"> </w:t>
      </w:r>
      <w:r w:rsidRPr="00F60B7F">
        <w:rPr>
          <w:rFonts w:ascii="Arial" w:hAnsi="Arial" w:cs="Arial"/>
        </w:rPr>
        <w:t>Note that 0% on the over/under compensation scale equates with a compensation lump sum being exactly the amount required such that, by investing in the low risk investment strategy, the assumed</w:t>
      </w:r>
      <w:r w:rsidRPr="002E741B">
        <w:rPr>
          <w:rFonts w:ascii="Arial" w:hAnsi="Arial" w:cs="Arial"/>
        </w:rPr>
        <w:t xml:space="preserve"> award profile is met, leaving exactly no money left at the end of the 30-year period.</w:t>
      </w:r>
      <w:r w:rsidR="00351881" w:rsidRPr="002E741B">
        <w:rPr>
          <w:rFonts w:ascii="Arial" w:hAnsi="Arial" w:cs="Arial"/>
        </w:rPr>
        <w:t xml:space="preserve"> </w:t>
      </w:r>
    </w:p>
    <w:p w14:paraId="22718C8E" w14:textId="12CB67DE" w:rsidR="0089441B" w:rsidRPr="008D25B7" w:rsidRDefault="005F04BB" w:rsidP="0089441B">
      <w:pPr>
        <w:numPr>
          <w:ilvl w:val="0"/>
          <w:numId w:val="25"/>
        </w:numPr>
        <w:rPr>
          <w:rFonts w:ascii="Arial" w:hAnsi="Arial" w:cs="Arial"/>
        </w:rPr>
      </w:pPr>
      <w:r>
        <w:rPr>
          <w:rFonts w:ascii="Arial" w:hAnsi="Arial" w:cs="Arial"/>
        </w:rPr>
        <w:t xml:space="preserve">Under the current RPI-0.75% PIDR, Figure 1 shows that there is a </w:t>
      </w:r>
      <w:r w:rsidR="00540EAE">
        <w:rPr>
          <w:rFonts w:ascii="Arial" w:hAnsi="Arial" w:cs="Arial"/>
        </w:rPr>
        <w:t>c</w:t>
      </w:r>
      <w:r w:rsidR="00530052">
        <w:rPr>
          <w:rFonts w:ascii="Arial" w:hAnsi="Arial" w:cs="Arial"/>
        </w:rPr>
        <w:t xml:space="preserve">. </w:t>
      </w:r>
      <w:r>
        <w:rPr>
          <w:rFonts w:ascii="Arial" w:hAnsi="Arial" w:cs="Arial"/>
        </w:rPr>
        <w:t>5% chance</w:t>
      </w:r>
      <w:r w:rsidR="001A2503">
        <w:rPr>
          <w:rFonts w:ascii="Arial" w:hAnsi="Arial" w:cs="Arial"/>
        </w:rPr>
        <w:t xml:space="preserve"> that, if claimants invest in the ‘low risk’ investment strategy, they would be under</w:t>
      </w:r>
      <w:r w:rsidR="00530052">
        <w:rPr>
          <w:rFonts w:ascii="Arial" w:hAnsi="Arial" w:cs="Arial"/>
        </w:rPr>
        <w:t>-</w:t>
      </w:r>
      <w:r w:rsidR="001A2503">
        <w:rPr>
          <w:rFonts w:ascii="Arial" w:hAnsi="Arial" w:cs="Arial"/>
        </w:rPr>
        <w:t>compensated by some amount</w:t>
      </w:r>
      <w:r w:rsidR="000C0242">
        <w:rPr>
          <w:rFonts w:ascii="Arial" w:hAnsi="Arial" w:cs="Arial"/>
        </w:rPr>
        <w:t xml:space="preserve">. </w:t>
      </w:r>
      <w:r w:rsidR="001A2503">
        <w:rPr>
          <w:rFonts w:ascii="Arial" w:hAnsi="Arial" w:cs="Arial"/>
        </w:rPr>
        <w:t xml:space="preserve">This is where the RPI-0.75% curve meets 0% on the under/over-compensation axis. </w:t>
      </w:r>
      <w:r w:rsidR="00540EAE">
        <w:rPr>
          <w:rFonts w:ascii="Arial" w:hAnsi="Arial" w:cs="Arial"/>
        </w:rPr>
        <w:t>The chances of being o</w:t>
      </w:r>
      <w:r w:rsidR="00530052">
        <w:rPr>
          <w:rFonts w:ascii="Arial" w:hAnsi="Arial" w:cs="Arial"/>
        </w:rPr>
        <w:t>ver-compensat</w:t>
      </w:r>
      <w:r w:rsidR="00540EAE">
        <w:rPr>
          <w:rFonts w:ascii="Arial" w:hAnsi="Arial" w:cs="Arial"/>
        </w:rPr>
        <w:t>ed are c</w:t>
      </w:r>
      <w:r w:rsidR="00530052">
        <w:rPr>
          <w:rFonts w:ascii="Arial" w:hAnsi="Arial" w:cs="Arial"/>
        </w:rPr>
        <w:t xml:space="preserve">. </w:t>
      </w:r>
      <w:r w:rsidR="00540EAE">
        <w:rPr>
          <w:rFonts w:ascii="Arial" w:hAnsi="Arial" w:cs="Arial"/>
        </w:rPr>
        <w:t xml:space="preserve">95%. </w:t>
      </w:r>
      <w:r w:rsidR="001A2503">
        <w:rPr>
          <w:rFonts w:ascii="Arial" w:hAnsi="Arial" w:cs="Arial"/>
        </w:rPr>
        <w:t xml:space="preserve">Likewise, and </w:t>
      </w:r>
      <w:r w:rsidR="003154F3">
        <w:rPr>
          <w:rFonts w:ascii="Arial" w:hAnsi="Arial" w:cs="Arial"/>
        </w:rPr>
        <w:t>based on</w:t>
      </w:r>
      <w:r w:rsidR="0089441B">
        <w:rPr>
          <w:rFonts w:ascii="Arial" w:hAnsi="Arial" w:cs="Arial"/>
        </w:rPr>
        <w:t xml:space="preserve"> the example </w:t>
      </w:r>
      <w:r w:rsidR="001A2503">
        <w:rPr>
          <w:rFonts w:ascii="Arial" w:hAnsi="Arial" w:cs="Arial"/>
        </w:rPr>
        <w:t xml:space="preserve">in paragraph 51 </w:t>
      </w:r>
      <w:r w:rsidR="00BD5A61">
        <w:rPr>
          <w:rFonts w:ascii="Arial" w:hAnsi="Arial" w:cs="Arial"/>
        </w:rPr>
        <w:t>above,</w:t>
      </w:r>
      <w:r w:rsidR="0089441B">
        <w:rPr>
          <w:rFonts w:ascii="Arial" w:hAnsi="Arial" w:cs="Arial"/>
        </w:rPr>
        <w:t xml:space="preserve"> if the </w:t>
      </w:r>
      <w:r w:rsidR="0089441B" w:rsidRPr="00954CCC">
        <w:rPr>
          <w:rFonts w:ascii="Arial" w:hAnsi="Arial" w:cs="Arial"/>
        </w:rPr>
        <w:t xml:space="preserve">PIDR were set at 0% </w:t>
      </w:r>
      <w:r w:rsidR="0089441B">
        <w:rPr>
          <w:rFonts w:ascii="Arial" w:hAnsi="Arial" w:cs="Arial"/>
        </w:rPr>
        <w:t xml:space="preserve">with respect to RPI </w:t>
      </w:r>
      <w:r w:rsidR="0089441B" w:rsidRPr="00954CCC">
        <w:rPr>
          <w:rFonts w:ascii="Arial" w:hAnsi="Arial" w:cs="Arial"/>
        </w:rPr>
        <w:t xml:space="preserve">and claimants invested in the ‘low risk’ investment strategy, </w:t>
      </w:r>
      <w:r w:rsidR="0089441B">
        <w:rPr>
          <w:rFonts w:ascii="Arial" w:hAnsi="Arial" w:cs="Arial"/>
        </w:rPr>
        <w:t xml:space="preserve">Figure </w:t>
      </w:r>
      <w:r w:rsidR="003D7F9D">
        <w:rPr>
          <w:rFonts w:ascii="Arial" w:hAnsi="Arial" w:cs="Arial"/>
        </w:rPr>
        <w:t>1</w:t>
      </w:r>
      <w:r w:rsidR="0089441B">
        <w:rPr>
          <w:rFonts w:ascii="Arial" w:hAnsi="Arial" w:cs="Arial"/>
        </w:rPr>
        <w:t xml:space="preserve"> shows </w:t>
      </w:r>
      <w:r w:rsidR="0089441B" w:rsidRPr="00954CCC">
        <w:rPr>
          <w:rFonts w:ascii="Arial" w:hAnsi="Arial" w:cs="Arial"/>
        </w:rPr>
        <w:t xml:space="preserve">there is a </w:t>
      </w:r>
      <w:r w:rsidR="009333A1">
        <w:rPr>
          <w:rFonts w:ascii="Arial" w:hAnsi="Arial" w:cs="Arial"/>
        </w:rPr>
        <w:t>c</w:t>
      </w:r>
      <w:r w:rsidR="00530052">
        <w:rPr>
          <w:rFonts w:ascii="Arial" w:hAnsi="Arial" w:cs="Arial"/>
        </w:rPr>
        <w:t xml:space="preserve">. </w:t>
      </w:r>
      <w:r w:rsidR="0089441B" w:rsidRPr="00954CCC">
        <w:rPr>
          <w:rFonts w:ascii="Arial" w:hAnsi="Arial" w:cs="Arial"/>
        </w:rPr>
        <w:t xml:space="preserve">15% chance that </w:t>
      </w:r>
      <w:r w:rsidR="001A2503">
        <w:rPr>
          <w:rFonts w:ascii="Arial" w:hAnsi="Arial" w:cs="Arial"/>
        </w:rPr>
        <w:t>they</w:t>
      </w:r>
      <w:r w:rsidR="0089441B" w:rsidRPr="00954CCC">
        <w:rPr>
          <w:rFonts w:ascii="Arial" w:hAnsi="Arial" w:cs="Arial"/>
        </w:rPr>
        <w:t xml:space="preserve"> would be un</w:t>
      </w:r>
      <w:r w:rsidR="0096258E">
        <w:rPr>
          <w:rFonts w:ascii="Arial" w:hAnsi="Arial" w:cs="Arial"/>
        </w:rPr>
        <w:t>der-comp</w:t>
      </w:r>
      <w:r w:rsidR="0089441B" w:rsidRPr="00954CCC">
        <w:rPr>
          <w:rFonts w:ascii="Arial" w:hAnsi="Arial" w:cs="Arial"/>
        </w:rPr>
        <w:t>ensated by some amount</w:t>
      </w:r>
      <w:r w:rsidR="00540EAE">
        <w:rPr>
          <w:rFonts w:ascii="Arial" w:hAnsi="Arial" w:cs="Arial"/>
        </w:rPr>
        <w:t xml:space="preserve"> </w:t>
      </w:r>
      <w:r w:rsidR="009333A1">
        <w:rPr>
          <w:rFonts w:ascii="Arial" w:hAnsi="Arial" w:cs="Arial"/>
        </w:rPr>
        <w:t>and a c</w:t>
      </w:r>
      <w:r w:rsidR="00530052">
        <w:rPr>
          <w:rFonts w:ascii="Arial" w:hAnsi="Arial" w:cs="Arial"/>
        </w:rPr>
        <w:t xml:space="preserve">. </w:t>
      </w:r>
      <w:r w:rsidR="009333A1">
        <w:rPr>
          <w:rFonts w:ascii="Arial" w:hAnsi="Arial" w:cs="Arial"/>
        </w:rPr>
        <w:t>85% chance of being over</w:t>
      </w:r>
      <w:r w:rsidR="00530052">
        <w:rPr>
          <w:rFonts w:ascii="Arial" w:hAnsi="Arial" w:cs="Arial"/>
        </w:rPr>
        <w:t>-</w:t>
      </w:r>
      <w:r w:rsidR="009333A1">
        <w:rPr>
          <w:rFonts w:ascii="Arial" w:hAnsi="Arial" w:cs="Arial"/>
        </w:rPr>
        <w:t xml:space="preserve">compensated by some amount </w:t>
      </w:r>
      <w:r w:rsidR="00540EAE">
        <w:rPr>
          <w:rFonts w:ascii="Arial" w:hAnsi="Arial" w:cs="Arial"/>
        </w:rPr>
        <w:t>before any allowance is made of investment management cha</w:t>
      </w:r>
      <w:r w:rsidR="008D38E8" w:rsidRPr="00F36DF1">
        <w:rPr>
          <w:rFonts w:ascii="Arial" w:hAnsi="Arial" w:cs="Arial"/>
        </w:rPr>
        <w:t>r</w:t>
      </w:r>
      <w:r w:rsidR="00540EAE">
        <w:rPr>
          <w:rFonts w:ascii="Arial" w:hAnsi="Arial" w:cs="Arial"/>
        </w:rPr>
        <w:t>ges</w:t>
      </w:r>
      <w:r w:rsidR="002F1287">
        <w:rPr>
          <w:rFonts w:ascii="Arial" w:hAnsi="Arial" w:cs="Arial"/>
        </w:rPr>
        <w:t xml:space="preserve"> and taxation</w:t>
      </w:r>
      <w:r w:rsidR="0089441B">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41B" w:rsidRPr="00690DC0" w14:paraId="56BBE082" w14:textId="77777777" w:rsidTr="005E39CA">
        <w:trPr>
          <w:jc w:val="center"/>
        </w:trPr>
        <w:tc>
          <w:tcPr>
            <w:tcW w:w="9242" w:type="dxa"/>
            <w:shd w:val="clear" w:color="auto" w:fill="auto"/>
          </w:tcPr>
          <w:p w14:paraId="7929E179" w14:textId="77777777" w:rsidR="0089441B" w:rsidRPr="002B63B4" w:rsidRDefault="0089441B" w:rsidP="00E220A6">
            <w:pPr>
              <w:keepNext/>
              <w:keepLines/>
              <w:spacing w:after="0"/>
              <w:rPr>
                <w:rFonts w:ascii="Arial" w:hAnsi="Arial" w:cs="Arial"/>
                <w:b/>
              </w:rPr>
            </w:pPr>
            <w:r w:rsidRPr="002B63B4">
              <w:rPr>
                <w:rFonts w:ascii="Arial" w:hAnsi="Arial" w:cs="Arial"/>
                <w:b/>
              </w:rPr>
              <w:t xml:space="preserve">Figure </w:t>
            </w:r>
            <w:r w:rsidR="009F4A9D" w:rsidRPr="002B63B4">
              <w:rPr>
                <w:rFonts w:ascii="Arial" w:hAnsi="Arial" w:cs="Arial"/>
                <w:b/>
              </w:rPr>
              <w:t>1</w:t>
            </w:r>
            <w:r w:rsidRPr="002B63B4">
              <w:rPr>
                <w:rFonts w:ascii="Arial" w:hAnsi="Arial" w:cs="Arial"/>
                <w:b/>
              </w:rPr>
              <w:t xml:space="preserve">: </w:t>
            </w:r>
            <w:r w:rsidR="00E220A6" w:rsidRPr="002B63B4">
              <w:rPr>
                <w:rFonts w:ascii="Arial" w:hAnsi="Arial" w:cs="Arial"/>
                <w:b/>
              </w:rPr>
              <w:t xml:space="preserve"> Distribution of over/under-compensation under low risk portfolio based on different assumed PIDRs (Award basis) used to calculate the compensation amount</w:t>
            </w:r>
          </w:p>
        </w:tc>
      </w:tr>
      <w:tr w:rsidR="0089441B" w:rsidRPr="00690DC0" w14:paraId="30A55AF8" w14:textId="77777777" w:rsidTr="005E39CA">
        <w:trPr>
          <w:jc w:val="center"/>
        </w:trPr>
        <w:tc>
          <w:tcPr>
            <w:tcW w:w="9242" w:type="dxa"/>
            <w:shd w:val="clear" w:color="auto" w:fill="auto"/>
          </w:tcPr>
          <w:p w14:paraId="00A0B751" w14:textId="77777777" w:rsidR="0089441B" w:rsidRPr="00690DC0" w:rsidRDefault="00F41B8E" w:rsidP="005E39CA">
            <w:pPr>
              <w:keepNext/>
              <w:keepLines/>
              <w:spacing w:after="0"/>
              <w:rPr>
                <w:rFonts w:ascii="Arial" w:hAnsi="Arial" w:cs="Arial"/>
              </w:rPr>
            </w:pPr>
            <w:r>
              <w:rPr>
                <w:noProof/>
                <w:lang w:eastAsia="en-GB"/>
              </w:rPr>
              <w:drawing>
                <wp:inline distT="0" distB="0" distL="0" distR="0" wp14:anchorId="2BF99D58" wp14:editId="221613C9">
                  <wp:extent cx="4810125" cy="42194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0259"/>
                          <a:stretch/>
                        </pic:blipFill>
                        <pic:spPr bwMode="auto">
                          <a:xfrm>
                            <a:off x="0" y="0"/>
                            <a:ext cx="4839935" cy="42455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441B" w:rsidRPr="00690DC0" w14:paraId="52BA7E84" w14:textId="77777777" w:rsidTr="005E39CA">
        <w:trPr>
          <w:jc w:val="center"/>
        </w:trPr>
        <w:tc>
          <w:tcPr>
            <w:tcW w:w="9242" w:type="dxa"/>
            <w:shd w:val="clear" w:color="auto" w:fill="auto"/>
          </w:tcPr>
          <w:p w14:paraId="529FACF1" w14:textId="77777777" w:rsidR="0089441B" w:rsidRPr="00690DC0" w:rsidRDefault="002B5AF9" w:rsidP="005E39CA">
            <w:pPr>
              <w:keepNext/>
              <w:keepLines/>
              <w:spacing w:after="0"/>
              <w:rPr>
                <w:rFonts w:ascii="Arial" w:hAnsi="Arial" w:cs="Arial"/>
              </w:rPr>
            </w:pPr>
            <w:r>
              <w:rPr>
                <w:rFonts w:ascii="Arial" w:hAnsi="Arial" w:cs="Arial"/>
              </w:rPr>
              <w:t>Source: GAD (2017), Figure 1</w:t>
            </w:r>
          </w:p>
        </w:tc>
      </w:tr>
    </w:tbl>
    <w:p w14:paraId="579471C2" w14:textId="77777777" w:rsidR="0089441B" w:rsidRDefault="0089441B" w:rsidP="0089441B">
      <w:pPr>
        <w:rPr>
          <w:rFonts w:ascii="Arial" w:hAnsi="Arial" w:cs="Arial"/>
        </w:rPr>
      </w:pPr>
    </w:p>
    <w:p w14:paraId="74DCF737" w14:textId="6E6E176A" w:rsidR="0089441B" w:rsidRPr="00381479" w:rsidRDefault="00335366" w:rsidP="0089441B">
      <w:pPr>
        <w:numPr>
          <w:ilvl w:val="0"/>
          <w:numId w:val="25"/>
        </w:numPr>
        <w:rPr>
          <w:rFonts w:ascii="Arial" w:hAnsi="Arial" w:cs="Arial"/>
        </w:rPr>
      </w:pPr>
      <w:r>
        <w:rPr>
          <w:rFonts w:ascii="Arial" w:hAnsi="Arial" w:cs="Arial"/>
        </w:rPr>
        <w:t>Figure 1 shows that, b</w:t>
      </w:r>
      <w:r w:rsidR="0089441B" w:rsidRPr="00954CCC">
        <w:rPr>
          <w:rFonts w:ascii="Arial" w:hAnsi="Arial" w:cs="Arial"/>
        </w:rPr>
        <w:t xml:space="preserve">y pursuing an investment strategy which targets a higher expected return than the PIDR, claimants have the possibility of being over-compensated. However, increasing the expected return </w:t>
      </w:r>
      <w:r w:rsidR="003D7F9D">
        <w:rPr>
          <w:rFonts w:ascii="Arial" w:hAnsi="Arial" w:cs="Arial"/>
        </w:rPr>
        <w:t>can</w:t>
      </w:r>
      <w:r w:rsidR="003D7F9D" w:rsidRPr="00954CCC">
        <w:rPr>
          <w:rFonts w:ascii="Arial" w:hAnsi="Arial" w:cs="Arial"/>
        </w:rPr>
        <w:t xml:space="preserve"> </w:t>
      </w:r>
      <w:r w:rsidR="0089441B" w:rsidRPr="00954CCC">
        <w:rPr>
          <w:rFonts w:ascii="Arial" w:hAnsi="Arial" w:cs="Arial"/>
        </w:rPr>
        <w:t>also increase the risk of under-compensation, as the range of possible outcomes widens</w:t>
      </w:r>
      <w:r w:rsidR="0089441B">
        <w:rPr>
          <w:rFonts w:ascii="Arial" w:hAnsi="Arial" w:cs="Arial"/>
        </w:rPr>
        <w:t xml:space="preserve"> (</w:t>
      </w:r>
      <w:r w:rsidR="003D7F9D">
        <w:rPr>
          <w:rFonts w:ascii="Arial" w:hAnsi="Arial" w:cs="Arial"/>
        </w:rPr>
        <w:t>not shown</w:t>
      </w:r>
      <w:r w:rsidR="0089441B">
        <w:rPr>
          <w:rFonts w:ascii="Arial" w:hAnsi="Arial" w:cs="Arial"/>
        </w:rPr>
        <w:t>)</w:t>
      </w:r>
      <w:r w:rsidR="0089441B" w:rsidRPr="00954CCC">
        <w:rPr>
          <w:rFonts w:ascii="Arial" w:hAnsi="Arial" w:cs="Arial"/>
        </w:rPr>
        <w:t>.</w:t>
      </w:r>
      <w:r w:rsidR="003D7F9D">
        <w:rPr>
          <w:rFonts w:ascii="Arial" w:hAnsi="Arial" w:cs="Arial"/>
        </w:rPr>
        <w:t xml:space="preserve"> Conversely, setting a PIDR lower than expected return </w:t>
      </w:r>
      <w:r w:rsidR="00162794">
        <w:rPr>
          <w:rFonts w:ascii="Arial" w:hAnsi="Arial" w:cs="Arial"/>
        </w:rPr>
        <w:t>reduces</w:t>
      </w:r>
      <w:r w:rsidR="003D7F9D">
        <w:rPr>
          <w:rFonts w:ascii="Arial" w:hAnsi="Arial" w:cs="Arial"/>
        </w:rPr>
        <w:t xml:space="preserve"> the risk of under-compensation.</w:t>
      </w:r>
      <w:r w:rsidR="003A714D">
        <w:rPr>
          <w:rFonts w:ascii="Arial" w:hAnsi="Arial" w:cs="Arial"/>
        </w:rPr>
        <w:t xml:space="preserve"> </w:t>
      </w:r>
      <w:r w:rsidR="003A714D" w:rsidRPr="00381479">
        <w:rPr>
          <w:rFonts w:ascii="Arial" w:hAnsi="Arial" w:cs="Arial"/>
        </w:rPr>
        <w:t xml:space="preserve">Portfolio A, for example, is expected to return just over RPI+1%, so </w:t>
      </w:r>
      <w:r w:rsidR="0023740D">
        <w:rPr>
          <w:rFonts w:ascii="Arial" w:hAnsi="Arial" w:cs="Arial"/>
        </w:rPr>
        <w:t xml:space="preserve"> a PIDR</w:t>
      </w:r>
      <w:r w:rsidR="003A714D" w:rsidRPr="00381479">
        <w:rPr>
          <w:rFonts w:ascii="Arial" w:hAnsi="Arial" w:cs="Arial"/>
        </w:rPr>
        <w:t xml:space="preserve"> </w:t>
      </w:r>
      <w:r w:rsidR="00381479" w:rsidRPr="00381479">
        <w:rPr>
          <w:rFonts w:ascii="Arial" w:hAnsi="Arial" w:cs="Arial"/>
        </w:rPr>
        <w:t>substantially</w:t>
      </w:r>
      <w:r w:rsidR="003A714D" w:rsidRPr="00381479">
        <w:rPr>
          <w:rFonts w:ascii="Arial" w:hAnsi="Arial" w:cs="Arial"/>
        </w:rPr>
        <w:t xml:space="preserve"> lower than this rate would be expected to result in higher levels of over-compensation.</w:t>
      </w:r>
    </w:p>
    <w:p w14:paraId="5C04EDB8" w14:textId="6BADE6BD" w:rsidR="0089441B" w:rsidRDefault="0089441B" w:rsidP="0079058E">
      <w:pPr>
        <w:pStyle w:val="EBBodyPara"/>
        <w:keepNext/>
        <w:numPr>
          <w:ilvl w:val="0"/>
          <w:numId w:val="25"/>
        </w:numPr>
        <w:spacing w:before="240"/>
      </w:pPr>
      <w:r>
        <w:t xml:space="preserve">As part of their report, GAD commented on allowances for tax and management expenses. They concluded that although there will be a </w:t>
      </w:r>
      <w:r w:rsidRPr="0032757F">
        <w:t>range of tax implications depending on individual circumstances</w:t>
      </w:r>
      <w:r>
        <w:t>, the overall the impact of tax is likely to be small. With respect to management expenses, GAD</w:t>
      </w:r>
      <w:r w:rsidR="0079058E" w:rsidRPr="0079058E">
        <w:t xml:space="preserve"> </w:t>
      </w:r>
      <w:r w:rsidR="0079058E">
        <w:t xml:space="preserve">noted that further analysis would need to be undertaken to specifically consider this aspect. </w:t>
      </w:r>
      <w:r>
        <w:t xml:space="preserve"> </w:t>
      </w:r>
      <w:r w:rsidR="0079058E">
        <w:t>But, based on an initial high</w:t>
      </w:r>
      <w:r w:rsidR="005273C1">
        <w:t>-</w:t>
      </w:r>
      <w:r w:rsidR="0079058E">
        <w:t>level assessment, GAD suggested that an annual deduction of around 0.5 percent for both tax and management expenses was likely to be reasonable</w:t>
      </w:r>
      <w:r w:rsidR="003D7F9D">
        <w:t>.</w:t>
      </w:r>
      <w:r w:rsidR="00147D24">
        <w:t xml:space="preserve"> Further research and analysis of the appropriate deduction will be carried out prior to the first review. </w:t>
      </w:r>
      <w:r>
        <w:t xml:space="preserve">  </w:t>
      </w:r>
    </w:p>
    <w:p w14:paraId="442085AF" w14:textId="5DF45675" w:rsidR="0069005A" w:rsidRPr="00B655C9" w:rsidRDefault="0069005A" w:rsidP="0069005A">
      <w:pPr>
        <w:pStyle w:val="Heading3"/>
        <w:spacing w:before="240"/>
      </w:pPr>
      <w:r w:rsidRPr="00B655C9">
        <w:rPr>
          <w:rFonts w:ascii="Arial" w:hAnsi="Arial" w:cs="Arial"/>
          <w:b/>
          <w:color w:val="auto"/>
          <w:sz w:val="22"/>
          <w:szCs w:val="22"/>
        </w:rPr>
        <w:t xml:space="preserve">Option 2: </w:t>
      </w:r>
      <w:r w:rsidR="003F5E4D" w:rsidRPr="00414F2A">
        <w:rPr>
          <w:rFonts w:ascii="Arial" w:hAnsi="Arial" w:cs="Arial"/>
          <w:b/>
          <w:color w:val="auto"/>
          <w:sz w:val="22"/>
          <w:szCs w:val="22"/>
        </w:rPr>
        <w:t xml:space="preserve">Specify that the PIDR should be set at least every </w:t>
      </w:r>
      <w:r w:rsidR="00102616">
        <w:rPr>
          <w:rFonts w:ascii="Arial" w:hAnsi="Arial" w:cs="Arial"/>
          <w:b/>
          <w:color w:val="auto"/>
          <w:sz w:val="22"/>
          <w:szCs w:val="22"/>
        </w:rPr>
        <w:t>five</w:t>
      </w:r>
      <w:r w:rsidR="003F5E4D" w:rsidRPr="00414F2A">
        <w:rPr>
          <w:rFonts w:ascii="Arial" w:hAnsi="Arial" w:cs="Arial"/>
          <w:b/>
          <w:color w:val="auto"/>
          <w:sz w:val="22"/>
          <w:szCs w:val="22"/>
        </w:rPr>
        <w:t xml:space="preserve"> years with the Lord Chancellor retaining discretion to set the PIDR within </w:t>
      </w:r>
      <w:r w:rsidR="000C4F99">
        <w:rPr>
          <w:rFonts w:ascii="Arial" w:hAnsi="Arial" w:cs="Arial"/>
          <w:b/>
          <w:color w:val="auto"/>
          <w:sz w:val="22"/>
          <w:szCs w:val="22"/>
        </w:rPr>
        <w:t>five</w:t>
      </w:r>
      <w:r w:rsidR="003F5E4D" w:rsidRPr="00414F2A">
        <w:rPr>
          <w:rFonts w:ascii="Arial" w:hAnsi="Arial" w:cs="Arial"/>
          <w:b/>
          <w:color w:val="auto"/>
          <w:sz w:val="22"/>
          <w:szCs w:val="22"/>
        </w:rPr>
        <w:t xml:space="preserve"> years if necessary</w:t>
      </w:r>
      <w:r w:rsidR="003F5E4D">
        <w:rPr>
          <w:rFonts w:ascii="Arial" w:hAnsi="Arial" w:cs="Arial"/>
          <w:b/>
          <w:color w:val="auto"/>
          <w:sz w:val="22"/>
          <w:szCs w:val="22"/>
        </w:rPr>
        <w:t>.</w:t>
      </w:r>
    </w:p>
    <w:p w14:paraId="2EB55C3F" w14:textId="4D499C02" w:rsidR="00737984" w:rsidRDefault="002D77DA" w:rsidP="0069005A">
      <w:pPr>
        <w:pStyle w:val="EBBodyPara"/>
        <w:keepNext/>
        <w:numPr>
          <w:ilvl w:val="0"/>
          <w:numId w:val="25"/>
        </w:numPr>
        <w:spacing w:before="240"/>
      </w:pPr>
      <w:r>
        <w:t xml:space="preserve">This option </w:t>
      </w:r>
      <w:r w:rsidR="0023740D">
        <w:t>will</w:t>
      </w:r>
      <w:r>
        <w:t xml:space="preserve"> increase the level of predictability in setting the PIDR in future. </w:t>
      </w:r>
      <w:r w:rsidR="0069005A">
        <w:t xml:space="preserve">Under </w:t>
      </w:r>
      <w:r>
        <w:t>O</w:t>
      </w:r>
      <w:r w:rsidR="0069005A">
        <w:t>ption</w:t>
      </w:r>
      <w:r>
        <w:t xml:space="preserve"> 2</w:t>
      </w:r>
      <w:r w:rsidR="0069005A">
        <w:t>, t</w:t>
      </w:r>
      <w:r w:rsidR="0069005A" w:rsidRPr="00651181">
        <w:t>he</w:t>
      </w:r>
      <w:r w:rsidR="007D11B4">
        <w:t xml:space="preserve"> </w:t>
      </w:r>
      <w:r w:rsidR="003048E5">
        <w:t xml:space="preserve">Lord Chancellor </w:t>
      </w:r>
      <w:r w:rsidR="003048E5" w:rsidRPr="00651181">
        <w:t>w</w:t>
      </w:r>
      <w:r w:rsidR="003048E5">
        <w:t>ill</w:t>
      </w:r>
      <w:r w:rsidR="003048E5" w:rsidRPr="00651181">
        <w:t xml:space="preserve"> be </w:t>
      </w:r>
      <w:r w:rsidR="002649C9">
        <w:t xml:space="preserve">required to </w:t>
      </w:r>
      <w:r w:rsidR="003048E5" w:rsidRPr="00651181">
        <w:t xml:space="preserve">review the rate </w:t>
      </w:r>
      <w:r w:rsidR="003048E5">
        <w:t>at least</w:t>
      </w:r>
      <w:r w:rsidR="003048E5" w:rsidRPr="00651181">
        <w:t xml:space="preserve"> every </w:t>
      </w:r>
      <w:r w:rsidR="00102616">
        <w:t>five</w:t>
      </w:r>
      <w:r w:rsidR="003048E5" w:rsidRPr="00651181">
        <w:t xml:space="preserve"> years</w:t>
      </w:r>
      <w:r w:rsidR="007773AE">
        <w:t>, following an initial review occurring promptly after commencement</w:t>
      </w:r>
      <w:r w:rsidR="002649C9">
        <w:t xml:space="preserve">. </w:t>
      </w:r>
      <w:r w:rsidR="007773AE">
        <w:t>Other than on this first review, t</w:t>
      </w:r>
      <w:r w:rsidR="002649C9">
        <w:t>he Lord Chancellor will be required to</w:t>
      </w:r>
      <w:r w:rsidR="00737984">
        <w:t xml:space="preserve"> consult an independent </w:t>
      </w:r>
      <w:r w:rsidR="002649C9">
        <w:t xml:space="preserve">expert </w:t>
      </w:r>
      <w:r w:rsidR="00737984">
        <w:t>panel</w:t>
      </w:r>
      <w:r w:rsidR="005C0F5B">
        <w:t>, chaired by the Government Actuary,</w:t>
      </w:r>
      <w:r w:rsidR="00737984">
        <w:t xml:space="preserve"> (</w:t>
      </w:r>
      <w:r w:rsidR="00651FD7">
        <w:t>O</w:t>
      </w:r>
      <w:r w:rsidR="00737984">
        <w:t>ption 3) who must respond within 90 days</w:t>
      </w:r>
      <w:r w:rsidR="003048E5">
        <w:t xml:space="preserve">. </w:t>
      </w:r>
      <w:r w:rsidR="00737984">
        <w:t>The Lord Chancellor will be required to conclude the review and decide whether to change the PIDR as soon as is practically possible and, in any event, within 180 days of the beginning of the review.</w:t>
      </w:r>
      <w:r w:rsidR="006C4FE7">
        <w:t xml:space="preserve"> If the Lord Chancellor decides to change the rate, he/she will make </w:t>
      </w:r>
      <w:r w:rsidR="00F02CD2">
        <w:t>a statutory instrument subject to a negative resolution procedure.</w:t>
      </w:r>
      <w:r w:rsidR="007773AE">
        <w:t xml:space="preserve"> The Lord Chancellor will also consult HM Treasury</w:t>
      </w:r>
      <w:r w:rsidR="005C0F5B">
        <w:t xml:space="preserve"> whenever the rate is set under the new legal framework</w:t>
      </w:r>
      <w:r w:rsidR="007773AE">
        <w:t>.</w:t>
      </w:r>
    </w:p>
    <w:p w14:paraId="7EA0B646" w14:textId="1D9C3B23" w:rsidR="006C4FE7" w:rsidRDefault="00737984" w:rsidP="00F54332">
      <w:pPr>
        <w:pStyle w:val="EBBodyPara"/>
        <w:keepNext/>
        <w:numPr>
          <w:ilvl w:val="0"/>
          <w:numId w:val="25"/>
        </w:numPr>
        <w:spacing w:before="240"/>
      </w:pPr>
      <w:r>
        <w:t xml:space="preserve">The Lord Chancellor </w:t>
      </w:r>
      <w:r w:rsidR="003048E5">
        <w:t>will retain</w:t>
      </w:r>
      <w:r w:rsidR="003048E5" w:rsidRPr="00651181">
        <w:t xml:space="preserve"> </w:t>
      </w:r>
      <w:r w:rsidR="003048E5">
        <w:t xml:space="preserve">the discretion to </w:t>
      </w:r>
      <w:r w:rsidR="003048E5" w:rsidRPr="00BF78F9">
        <w:t>trigger</w:t>
      </w:r>
      <w:r w:rsidR="003048E5">
        <w:t xml:space="preserve"> </w:t>
      </w:r>
      <w:r w:rsidR="003048E5" w:rsidRPr="00BF78F9">
        <w:t>an earlier review</w:t>
      </w:r>
      <w:r w:rsidR="003048E5">
        <w:t>, if necessary.</w:t>
      </w:r>
      <w:r w:rsidR="008C45E1">
        <w:t xml:space="preserve"> Any review within the </w:t>
      </w:r>
      <w:r w:rsidR="00102616">
        <w:t>five</w:t>
      </w:r>
      <w:r w:rsidR="005273C1">
        <w:t>-</w:t>
      </w:r>
      <w:r w:rsidR="008C45E1">
        <w:t>year period would be at the Lord Chancellor’s discretion and there would be no set criteria in place which might ‘trigger’ such a process.</w:t>
      </w:r>
      <w:r w:rsidR="006C4FE7" w:rsidRPr="006C4FE7">
        <w:t xml:space="preserve"> </w:t>
      </w:r>
      <w:r w:rsidR="006C4FE7">
        <w:t xml:space="preserve">After such a review, the </w:t>
      </w:r>
      <w:r w:rsidR="00102616">
        <w:t>five</w:t>
      </w:r>
      <w:r w:rsidR="005273C1">
        <w:t>-</w:t>
      </w:r>
      <w:r w:rsidR="006C4FE7">
        <w:t xml:space="preserve">year period </w:t>
      </w:r>
      <w:r w:rsidR="002649C9">
        <w:t xml:space="preserve">described above </w:t>
      </w:r>
      <w:r w:rsidR="006C4FE7">
        <w:t xml:space="preserve">would be re-set from </w:t>
      </w:r>
      <w:r w:rsidR="002649C9">
        <w:t xml:space="preserve">the date </w:t>
      </w:r>
      <w:r w:rsidR="006C4FE7">
        <w:t>when the review has been completed.</w:t>
      </w:r>
    </w:p>
    <w:p w14:paraId="767D9004" w14:textId="0D955D86" w:rsidR="00737984" w:rsidRDefault="007773AE" w:rsidP="0069005A">
      <w:pPr>
        <w:pStyle w:val="EBBodyPara"/>
        <w:keepNext/>
        <w:numPr>
          <w:ilvl w:val="0"/>
          <w:numId w:val="25"/>
        </w:numPr>
        <w:spacing w:before="240"/>
      </w:pPr>
      <w:r>
        <w:t xml:space="preserve">The </w:t>
      </w:r>
      <w:r w:rsidR="001817E2">
        <w:t>initial review w</w:t>
      </w:r>
      <w:r w:rsidR="008C45E1">
        <w:t>ill</w:t>
      </w:r>
      <w:r w:rsidR="001817E2">
        <w:t xml:space="preserve"> begin within 90 days of </w:t>
      </w:r>
      <w:r w:rsidR="00147D24">
        <w:t>Royal Assent</w:t>
      </w:r>
      <w:r w:rsidR="001817E2">
        <w:t xml:space="preserve">. </w:t>
      </w:r>
      <w:r>
        <w:t>The Lord Chancellor will consult the Government Actuary within 20 days of the review commencing and the Government Actuary must respond within 80 days of being asked. The review must be completed within 140 days.</w:t>
      </w:r>
      <w:r w:rsidR="00737984">
        <w:t xml:space="preserve"> </w:t>
      </w:r>
      <w:r>
        <w:t>The Lord Chancellor will also consult HM Treasury.</w:t>
      </w:r>
    </w:p>
    <w:p w14:paraId="4A0ADB92" w14:textId="77777777" w:rsidR="0069005A" w:rsidRDefault="0069005A" w:rsidP="0069005A">
      <w:pPr>
        <w:pStyle w:val="Heading3"/>
        <w:spacing w:before="240"/>
        <w:rPr>
          <w:rFonts w:ascii="Arial" w:hAnsi="Arial" w:cs="Arial"/>
          <w:b/>
          <w:color w:val="auto"/>
          <w:sz w:val="22"/>
          <w:szCs w:val="22"/>
        </w:rPr>
      </w:pPr>
      <w:r w:rsidRPr="00B655C9">
        <w:rPr>
          <w:rFonts w:ascii="Arial" w:hAnsi="Arial" w:cs="Arial"/>
          <w:b/>
          <w:color w:val="auto"/>
          <w:sz w:val="22"/>
          <w:szCs w:val="22"/>
        </w:rPr>
        <w:t xml:space="preserve">Option 3:  </w:t>
      </w:r>
      <w:r w:rsidR="003F5E4D" w:rsidRPr="00414F2A">
        <w:rPr>
          <w:rFonts w:ascii="Arial" w:hAnsi="Arial" w:cs="Arial"/>
          <w:b/>
          <w:color w:val="auto"/>
          <w:sz w:val="22"/>
          <w:szCs w:val="22"/>
        </w:rPr>
        <w:t xml:space="preserve">Set up an expert panel </w:t>
      </w:r>
      <w:r w:rsidR="00CD096B">
        <w:rPr>
          <w:rFonts w:ascii="Arial" w:hAnsi="Arial" w:cs="Arial"/>
          <w:b/>
          <w:color w:val="auto"/>
          <w:sz w:val="22"/>
          <w:szCs w:val="22"/>
        </w:rPr>
        <w:t>for</w:t>
      </w:r>
      <w:r w:rsidR="003F5E4D" w:rsidRPr="00414F2A">
        <w:rPr>
          <w:rFonts w:ascii="Arial" w:hAnsi="Arial" w:cs="Arial"/>
          <w:b/>
          <w:color w:val="auto"/>
          <w:sz w:val="22"/>
          <w:szCs w:val="22"/>
        </w:rPr>
        <w:t xml:space="preserve"> the Lord Chancellor </w:t>
      </w:r>
      <w:r w:rsidR="00CD096B">
        <w:rPr>
          <w:rFonts w:ascii="Arial" w:hAnsi="Arial" w:cs="Arial"/>
          <w:b/>
          <w:color w:val="auto"/>
          <w:sz w:val="22"/>
          <w:szCs w:val="22"/>
        </w:rPr>
        <w:t xml:space="preserve">to consult </w:t>
      </w:r>
      <w:r w:rsidR="003F5E4D" w:rsidRPr="00414F2A">
        <w:rPr>
          <w:rFonts w:ascii="Arial" w:hAnsi="Arial" w:cs="Arial"/>
          <w:b/>
          <w:color w:val="auto"/>
          <w:sz w:val="22"/>
          <w:szCs w:val="22"/>
        </w:rPr>
        <w:t xml:space="preserve">on </w:t>
      </w:r>
      <w:r w:rsidR="00975564">
        <w:rPr>
          <w:rFonts w:ascii="Arial" w:hAnsi="Arial" w:cs="Arial"/>
          <w:b/>
          <w:color w:val="auto"/>
          <w:sz w:val="22"/>
          <w:szCs w:val="22"/>
        </w:rPr>
        <w:t>the issues to consider when setting the PIDR</w:t>
      </w:r>
    </w:p>
    <w:p w14:paraId="1D963C18" w14:textId="22CE799D" w:rsidR="003048E5" w:rsidRPr="00692708" w:rsidRDefault="002D77DA" w:rsidP="003048E5">
      <w:pPr>
        <w:pStyle w:val="EBBodyPara"/>
        <w:keepNext/>
        <w:numPr>
          <w:ilvl w:val="0"/>
          <w:numId w:val="25"/>
        </w:numPr>
        <w:autoSpaceDE w:val="0"/>
        <w:autoSpaceDN w:val="0"/>
        <w:adjustRightInd w:val="0"/>
        <w:spacing w:before="240" w:after="0"/>
      </w:pPr>
      <w:r>
        <w:t>Option 3 will increase the transparency in setting the PIDR in future</w:t>
      </w:r>
      <w:r w:rsidR="007773AE">
        <w:t xml:space="preserve"> from the second review onwards</w:t>
      </w:r>
      <w:r>
        <w:t xml:space="preserve">. </w:t>
      </w:r>
      <w:r w:rsidR="0069005A" w:rsidRPr="00F96CCD">
        <w:t xml:space="preserve">Under </w:t>
      </w:r>
      <w:r>
        <w:t>this o</w:t>
      </w:r>
      <w:r w:rsidR="0069005A" w:rsidRPr="00F96CCD">
        <w:t xml:space="preserve">ption, </w:t>
      </w:r>
      <w:r w:rsidR="003048E5" w:rsidRPr="00DC036C">
        <w:t xml:space="preserve">the Lord Chancellor </w:t>
      </w:r>
      <w:r w:rsidR="006F5950">
        <w:t>will retain</w:t>
      </w:r>
      <w:r w:rsidR="003048E5">
        <w:t xml:space="preserve"> </w:t>
      </w:r>
      <w:r w:rsidR="003048E5" w:rsidRPr="00782DB8">
        <w:t>r</w:t>
      </w:r>
      <w:r w:rsidR="003048E5" w:rsidRPr="004E36BB">
        <w:t xml:space="preserve">esponsibility for setting the </w:t>
      </w:r>
      <w:r w:rsidR="003048E5">
        <w:t>PIDR</w:t>
      </w:r>
      <w:r w:rsidR="003048E5" w:rsidRPr="004E36BB">
        <w:t xml:space="preserve"> </w:t>
      </w:r>
      <w:r w:rsidR="003048E5">
        <w:t xml:space="preserve">but in doing so will </w:t>
      </w:r>
      <w:r w:rsidR="003A714D" w:rsidRPr="00381479">
        <w:t>consult</w:t>
      </w:r>
      <w:r w:rsidR="003048E5">
        <w:t xml:space="preserve"> </w:t>
      </w:r>
      <w:r w:rsidR="00977F10">
        <w:t xml:space="preserve">with </w:t>
      </w:r>
      <w:r w:rsidR="003048E5">
        <w:t>an expert panel</w:t>
      </w:r>
      <w:r w:rsidR="00F133B3">
        <w:t xml:space="preserve"> and HM Treasury</w:t>
      </w:r>
      <w:r w:rsidR="003048E5" w:rsidRPr="00651181">
        <w:t>. The panel</w:t>
      </w:r>
      <w:r w:rsidR="00052FF5">
        <w:t>, whose composition will be determined at each time the rate is reviewed,</w:t>
      </w:r>
      <w:r w:rsidR="00754F24">
        <w:t xml:space="preserve"> </w:t>
      </w:r>
      <w:r w:rsidR="003048E5" w:rsidRPr="00651181">
        <w:t>w</w:t>
      </w:r>
      <w:r w:rsidR="003048E5">
        <w:t>ill</w:t>
      </w:r>
      <w:r w:rsidR="003048E5" w:rsidRPr="00651181">
        <w:t xml:space="preserve"> be made up of appropriate experts</w:t>
      </w:r>
      <w:r w:rsidR="003048E5">
        <w:t xml:space="preserve">, </w:t>
      </w:r>
      <w:r w:rsidR="003048E5" w:rsidRPr="00BF78F9">
        <w:t>consisting of</w:t>
      </w:r>
      <w:r w:rsidR="003048E5" w:rsidRPr="00692708">
        <w:t xml:space="preserve"> the Government Actuary, who </w:t>
      </w:r>
      <w:r w:rsidR="00C56768" w:rsidRPr="00692708">
        <w:t>will</w:t>
      </w:r>
      <w:r w:rsidR="003048E5" w:rsidRPr="00692708">
        <w:t xml:space="preserve"> chair the panel, and four other members appointed by the Lord Chancellor</w:t>
      </w:r>
      <w:r w:rsidR="002B5E0A" w:rsidRPr="00692708">
        <w:t xml:space="preserve"> on the basis of their individual experience</w:t>
      </w:r>
      <w:r w:rsidR="003048E5" w:rsidRPr="00692708">
        <w:t>, such that:</w:t>
      </w:r>
    </w:p>
    <w:p w14:paraId="278C2635" w14:textId="77777777" w:rsidR="003048E5" w:rsidRPr="00692708" w:rsidRDefault="003048E5" w:rsidP="00F54332">
      <w:pPr>
        <w:pStyle w:val="EBBodyPara"/>
        <w:keepNext/>
        <w:numPr>
          <w:ilvl w:val="0"/>
          <w:numId w:val="21"/>
        </w:numPr>
        <w:spacing w:before="240"/>
      </w:pPr>
      <w:r w:rsidRPr="00BF78F9">
        <w:t>one</w:t>
      </w:r>
      <w:r w:rsidRPr="00692708">
        <w:t xml:space="preserve"> appointed member has experience as an actuary;</w:t>
      </w:r>
    </w:p>
    <w:p w14:paraId="46A28FA7" w14:textId="77777777" w:rsidR="003048E5" w:rsidRPr="00692708" w:rsidRDefault="003048E5" w:rsidP="003048E5">
      <w:pPr>
        <w:pStyle w:val="EBBodyPara"/>
        <w:keepNext/>
        <w:numPr>
          <w:ilvl w:val="0"/>
          <w:numId w:val="21"/>
        </w:numPr>
      </w:pPr>
      <w:r w:rsidRPr="00692708">
        <w:t>one appointed member has experience of managing investments;</w:t>
      </w:r>
    </w:p>
    <w:p w14:paraId="656DCFAF" w14:textId="77777777" w:rsidR="003048E5" w:rsidRPr="00692708" w:rsidRDefault="003048E5" w:rsidP="003048E5">
      <w:pPr>
        <w:pStyle w:val="EBBodyPara"/>
        <w:keepNext/>
        <w:numPr>
          <w:ilvl w:val="0"/>
          <w:numId w:val="21"/>
        </w:numPr>
      </w:pPr>
      <w:r w:rsidRPr="00692708">
        <w:t>one appointed member has experience as an economist;</w:t>
      </w:r>
    </w:p>
    <w:p w14:paraId="40C55A7F" w14:textId="77777777" w:rsidR="003048E5" w:rsidRPr="00692708" w:rsidRDefault="003048E5" w:rsidP="00F133B3">
      <w:pPr>
        <w:pStyle w:val="EBBodyPara"/>
        <w:keepNext/>
        <w:numPr>
          <w:ilvl w:val="0"/>
          <w:numId w:val="21"/>
        </w:numPr>
      </w:pPr>
      <w:r w:rsidRPr="00692708">
        <w:t xml:space="preserve">one appointed member has </w:t>
      </w:r>
      <w:r w:rsidR="00F133B3" w:rsidRPr="00692708">
        <w:t>experience in consumer matters as relating to investments.</w:t>
      </w:r>
    </w:p>
    <w:p w14:paraId="6E2D7F85" w14:textId="77777777" w:rsidR="007A02D3" w:rsidRDefault="007A02D3" w:rsidP="0069005A">
      <w:pPr>
        <w:pStyle w:val="EBBodyPara"/>
        <w:keepNext/>
        <w:numPr>
          <w:ilvl w:val="0"/>
          <w:numId w:val="25"/>
        </w:numPr>
        <w:spacing w:before="240"/>
      </w:pPr>
      <w:r>
        <w:t xml:space="preserve">The Lord Chancellor will </w:t>
      </w:r>
      <w:r w:rsidR="00F133B3">
        <w:t xml:space="preserve">consult </w:t>
      </w:r>
      <w:r w:rsidR="00A41516">
        <w:t xml:space="preserve">the panel </w:t>
      </w:r>
      <w:r>
        <w:t xml:space="preserve">in connection with </w:t>
      </w:r>
      <w:r w:rsidR="00245A42">
        <w:t xml:space="preserve">the issues he or she will need to consider when </w:t>
      </w:r>
      <w:r>
        <w:t>setting the PIDR. In giving its advice, the panel</w:t>
      </w:r>
      <w:r w:rsidR="005D63EC">
        <w:t>, established for each review, will</w:t>
      </w:r>
      <w:r>
        <w:t xml:space="preserve"> be required to take into account the duties imposed on the Lord Chancellor in the setting of the rate.</w:t>
      </w:r>
    </w:p>
    <w:p w14:paraId="6281F2CC" w14:textId="782D508E" w:rsidR="0069005A" w:rsidRPr="00651181" w:rsidRDefault="0069005A" w:rsidP="0069005A">
      <w:pPr>
        <w:pStyle w:val="EBBodyPara"/>
        <w:keepNext/>
        <w:numPr>
          <w:ilvl w:val="0"/>
          <w:numId w:val="25"/>
        </w:numPr>
        <w:spacing w:before="240"/>
      </w:pPr>
      <w:r w:rsidRPr="00651181">
        <w:t>The appointments w</w:t>
      </w:r>
      <w:r>
        <w:t>ould</w:t>
      </w:r>
      <w:r w:rsidRPr="00651181">
        <w:t xml:space="preserve"> comply with the </w:t>
      </w:r>
      <w:r w:rsidR="007773AE">
        <w:t>principles applicable to public appointments</w:t>
      </w:r>
      <w:r w:rsidRPr="00651181">
        <w:t>.</w:t>
      </w:r>
      <w:r w:rsidR="007A02D3">
        <w:t xml:space="preserve"> The remuneration and expenses of the panel will be met by the Lord Chancellor.</w:t>
      </w:r>
    </w:p>
    <w:p w14:paraId="2E4C6217" w14:textId="77777777" w:rsidR="0069005A" w:rsidRPr="00B655C9" w:rsidRDefault="0069005A" w:rsidP="0069005A">
      <w:pPr>
        <w:pStyle w:val="Heading2"/>
        <w:spacing w:before="360"/>
        <w:rPr>
          <w:b/>
          <w:sz w:val="28"/>
          <w:szCs w:val="28"/>
        </w:rPr>
      </w:pPr>
      <w:r w:rsidRPr="00B655C9">
        <w:rPr>
          <w:b/>
          <w:sz w:val="28"/>
          <w:szCs w:val="28"/>
        </w:rPr>
        <w:t xml:space="preserve">E. Cost and Benefit Analysis </w:t>
      </w:r>
    </w:p>
    <w:p w14:paraId="435BC800" w14:textId="36318CCF" w:rsidR="0069005A" w:rsidRDefault="0069005A" w:rsidP="0069005A">
      <w:pPr>
        <w:pStyle w:val="EBBodyPara"/>
        <w:keepNext/>
        <w:numPr>
          <w:ilvl w:val="0"/>
          <w:numId w:val="25"/>
        </w:numPr>
      </w:pPr>
      <w:r w:rsidRPr="00F96CCD">
        <w:t>This IA identifies</w:t>
      </w:r>
      <w:r w:rsidR="0023740D">
        <w:t xml:space="preserve"> the</w:t>
      </w:r>
      <w:r w:rsidRPr="00F96CCD">
        <w:t xml:space="preserve"> </w:t>
      </w:r>
      <w:r w:rsidRPr="00A9508C">
        <w:rPr>
          <w:i/>
        </w:rPr>
        <w:t>non-monetised</w:t>
      </w:r>
      <w:r w:rsidRPr="00F96CCD">
        <w:t xml:space="preserve"> impacts of the </w:t>
      </w:r>
      <w:r w:rsidR="0023740D">
        <w:t>preferred options</w:t>
      </w:r>
      <w:r w:rsidRPr="00F96CCD">
        <w:t xml:space="preserve"> on individuals and groups in the UK. </w:t>
      </w:r>
      <w:r w:rsidR="00975564">
        <w:t>These i</w:t>
      </w:r>
      <w:r w:rsidR="002C5783">
        <w:t>mpacts are not monetised</w:t>
      </w:r>
      <w:r w:rsidRPr="00CA770B">
        <w:t xml:space="preserve"> </w:t>
      </w:r>
      <w:r w:rsidR="00975564">
        <w:t>as this IA only relates to changing the legal framework under which the PIDR is set which does not imply a particular rate.</w:t>
      </w:r>
      <w:r w:rsidRPr="00DC036C">
        <w:t xml:space="preserve"> </w:t>
      </w:r>
      <w:r w:rsidR="00975564">
        <w:t>Instead</w:t>
      </w:r>
      <w:r w:rsidRPr="00DC036C">
        <w:t xml:space="preserve">, we consider it important to </w:t>
      </w:r>
      <w:r w:rsidR="00975564">
        <w:t>assess</w:t>
      </w:r>
      <w:r w:rsidRPr="00DC036C">
        <w:t xml:space="preserve"> the principles under which the </w:t>
      </w:r>
      <w:r>
        <w:t>PIDR</w:t>
      </w:r>
      <w:r w:rsidRPr="00DC036C">
        <w:t xml:space="preserve"> should be set and for stakeholders to understand </w:t>
      </w:r>
      <w:r w:rsidR="00975564">
        <w:t xml:space="preserve">the impacts of </w:t>
      </w:r>
      <w:r w:rsidRPr="00DC036C">
        <w:t xml:space="preserve">these, rather than focussing on </w:t>
      </w:r>
      <w:r w:rsidR="002F1287">
        <w:t xml:space="preserve">the </w:t>
      </w:r>
      <w:r w:rsidRPr="00DC036C">
        <w:t xml:space="preserve">definitive impacts </w:t>
      </w:r>
      <w:r w:rsidR="002F1287">
        <w:t>of</w:t>
      </w:r>
      <w:r w:rsidRPr="00DC036C">
        <w:t xml:space="preserve"> different level</w:t>
      </w:r>
      <w:r w:rsidRPr="00651181">
        <w:t xml:space="preserve">s </w:t>
      </w:r>
      <w:r w:rsidR="002F1287">
        <w:t xml:space="preserve">of </w:t>
      </w:r>
      <w:r w:rsidRPr="00651181">
        <w:t xml:space="preserve">the </w:t>
      </w:r>
      <w:r>
        <w:t>PIDR</w:t>
      </w:r>
      <w:r w:rsidR="002F1287">
        <w:t>.</w:t>
      </w:r>
      <w:r>
        <w:t xml:space="preserve"> </w:t>
      </w:r>
    </w:p>
    <w:p w14:paraId="331471F5" w14:textId="77777777" w:rsidR="0069005A" w:rsidRDefault="0069005A" w:rsidP="00F54332">
      <w:pPr>
        <w:pStyle w:val="EBBodyPara"/>
        <w:keepNext/>
        <w:numPr>
          <w:ilvl w:val="0"/>
          <w:numId w:val="25"/>
        </w:numPr>
        <w:spacing w:before="240"/>
      </w:pPr>
      <w:r w:rsidRPr="003550E1">
        <w:t>The costs and benefits of each policy option are compared with the “do nothing” option. As the ‘do nothing’ option is compared against itself, the costs and benefits of this option are necessarily zero.</w:t>
      </w:r>
    </w:p>
    <w:p w14:paraId="32648232" w14:textId="633A259E" w:rsidR="0069005A" w:rsidRPr="003550E1" w:rsidRDefault="000A2D6D" w:rsidP="00F54332">
      <w:pPr>
        <w:pStyle w:val="EBBodyPara"/>
        <w:keepNext/>
        <w:numPr>
          <w:ilvl w:val="0"/>
          <w:numId w:val="25"/>
        </w:numPr>
        <w:spacing w:before="240"/>
      </w:pPr>
      <w:r>
        <w:t>I</w:t>
      </w:r>
      <w:r w:rsidRPr="00BF3A3B">
        <w:t xml:space="preserve">n the case of reforms to the </w:t>
      </w:r>
      <w:r>
        <w:t xml:space="preserve">legal framework for setting the </w:t>
      </w:r>
      <w:r w:rsidRPr="00BF3A3B">
        <w:t xml:space="preserve">PIDR, and especially any effects of changing the methodology by how it is set, </w:t>
      </w:r>
      <w:r w:rsidR="0023740D">
        <w:t xml:space="preserve">the preferred options </w:t>
      </w:r>
      <w:r w:rsidR="00096FCB">
        <w:t>c</w:t>
      </w:r>
      <w:r w:rsidRPr="00BF3A3B">
        <w:t>ould lead to material changes in the distribution of resources between claimants, defendants and wider society.</w:t>
      </w:r>
      <w:r>
        <w:t xml:space="preserve"> </w:t>
      </w:r>
      <w:r w:rsidR="0069005A" w:rsidRPr="00BF3A3B">
        <w:t xml:space="preserve">It is normal practice in IAs to ignore effects which only represent the redistribution of resources between individuals (‘transfer payments’) and to include in the impacts section </w:t>
      </w:r>
      <w:r w:rsidR="002C5783">
        <w:t xml:space="preserve">only </w:t>
      </w:r>
      <w:r w:rsidR="0069005A" w:rsidRPr="00BF3A3B">
        <w:t xml:space="preserve">those which relate </w:t>
      </w:r>
      <w:r w:rsidR="002C5783">
        <w:t xml:space="preserve">to </w:t>
      </w:r>
      <w:r w:rsidR="0069005A" w:rsidRPr="00BF3A3B">
        <w:t>the use of real resources. However</w:t>
      </w:r>
      <w:r w:rsidR="002C5783">
        <w:t>,</w:t>
      </w:r>
      <w:r w:rsidR="0069005A" w:rsidRPr="00BF3A3B">
        <w:t xml:space="preserve"> </w:t>
      </w:r>
      <w:r w:rsidR="00F82492">
        <w:t>g</w:t>
      </w:r>
      <w:r w:rsidR="0069005A" w:rsidRPr="00BF3A3B">
        <w:t xml:space="preserve">iven the nature of the groups affected and the magnitude of any potential changes, we think it is important to include these effects within the IA so as to inform </w:t>
      </w:r>
      <w:r w:rsidR="002C5783">
        <w:t xml:space="preserve">properly </w:t>
      </w:r>
      <w:r w:rsidR="0069005A" w:rsidRPr="00BF3A3B">
        <w:t xml:space="preserve">the </w:t>
      </w:r>
      <w:r w:rsidR="00096FCB">
        <w:t>understanding of the legislation</w:t>
      </w:r>
      <w:r w:rsidR="002C5783">
        <w:t>.</w:t>
      </w:r>
    </w:p>
    <w:p w14:paraId="54E388DC" w14:textId="77777777" w:rsidR="0069005A" w:rsidRPr="005C0B5C" w:rsidRDefault="0069005A" w:rsidP="0069005A">
      <w:pPr>
        <w:pStyle w:val="Heading3"/>
        <w:spacing w:before="240"/>
        <w:rPr>
          <w:rFonts w:ascii="Arial" w:hAnsi="Arial" w:cs="Arial"/>
          <w:b/>
          <w:color w:val="auto"/>
          <w:sz w:val="22"/>
          <w:szCs w:val="22"/>
          <w:u w:val="single"/>
        </w:rPr>
      </w:pPr>
      <w:r w:rsidRPr="005C0B5C">
        <w:rPr>
          <w:rFonts w:ascii="Arial" w:hAnsi="Arial" w:cs="Arial"/>
          <w:b/>
          <w:color w:val="auto"/>
          <w:sz w:val="22"/>
          <w:szCs w:val="22"/>
          <w:u w:val="single"/>
        </w:rPr>
        <w:t>Option 1:</w:t>
      </w:r>
      <w:r w:rsidRPr="00F54332">
        <w:rPr>
          <w:rFonts w:ascii="Arial" w:hAnsi="Arial" w:cs="Arial"/>
          <w:color w:val="auto"/>
          <w:sz w:val="22"/>
          <w:szCs w:val="22"/>
          <w:u w:val="single"/>
        </w:rPr>
        <w:t xml:space="preserve"> </w:t>
      </w:r>
      <w:r w:rsidR="003048E5" w:rsidRPr="00F54332">
        <w:rPr>
          <w:rFonts w:ascii="Arial" w:hAnsi="Arial" w:cs="Arial"/>
          <w:b/>
          <w:color w:val="auto"/>
          <w:sz w:val="22"/>
          <w:szCs w:val="22"/>
          <w:u w:val="single"/>
        </w:rPr>
        <w:t xml:space="preserve">Change the legal framework, in particular </w:t>
      </w:r>
      <w:r w:rsidR="002649C9">
        <w:rPr>
          <w:rFonts w:ascii="Arial" w:hAnsi="Arial" w:cs="Arial"/>
          <w:b/>
          <w:color w:val="auto"/>
          <w:sz w:val="22"/>
          <w:szCs w:val="22"/>
          <w:u w:val="single"/>
        </w:rPr>
        <w:t xml:space="preserve">by </w:t>
      </w:r>
      <w:r w:rsidR="003048E5" w:rsidRPr="00F54332">
        <w:rPr>
          <w:rFonts w:ascii="Arial" w:hAnsi="Arial" w:cs="Arial"/>
          <w:b/>
          <w:color w:val="auto"/>
          <w:sz w:val="22"/>
          <w:szCs w:val="22"/>
          <w:u w:val="single"/>
        </w:rPr>
        <w:t xml:space="preserve">setting the </w:t>
      </w:r>
      <w:r w:rsidR="002649C9">
        <w:rPr>
          <w:rFonts w:ascii="Arial" w:hAnsi="Arial" w:cs="Arial"/>
          <w:b/>
          <w:color w:val="auto"/>
          <w:sz w:val="22"/>
          <w:szCs w:val="22"/>
          <w:u w:val="single"/>
        </w:rPr>
        <w:t>PIDR</w:t>
      </w:r>
      <w:r w:rsidR="003048E5" w:rsidRPr="00F54332">
        <w:rPr>
          <w:rFonts w:ascii="Arial" w:hAnsi="Arial" w:cs="Arial"/>
          <w:b/>
          <w:color w:val="auto"/>
          <w:sz w:val="22"/>
          <w:szCs w:val="22"/>
          <w:u w:val="single"/>
        </w:rPr>
        <w:t xml:space="preserve"> with reference to an investment strategy with a higher expected return than assumed under the current framework.</w:t>
      </w:r>
    </w:p>
    <w:p w14:paraId="743AC8EC" w14:textId="48C21CF4" w:rsidR="00F80021" w:rsidRDefault="002263FA" w:rsidP="0069005A">
      <w:pPr>
        <w:pStyle w:val="EBBodyPara"/>
        <w:keepNext/>
        <w:numPr>
          <w:ilvl w:val="0"/>
          <w:numId w:val="25"/>
        </w:numPr>
        <w:spacing w:before="240"/>
        <w:rPr>
          <w:rFonts w:eastAsiaTheme="majorEastAsia"/>
        </w:rPr>
      </w:pPr>
      <w:r>
        <w:rPr>
          <w:rFonts w:eastAsiaTheme="majorEastAsia"/>
        </w:rPr>
        <w:t xml:space="preserve">As described above, due to the serious and long-term nature of their conditions, the government accepts that claimants in serious personal injury cases will need to remain far more dependent on the performance of their investments that other, more ordinary, investors.  </w:t>
      </w:r>
      <w:r w:rsidR="000F1E03">
        <w:rPr>
          <w:rFonts w:eastAsiaTheme="majorEastAsia"/>
        </w:rPr>
        <w:t xml:space="preserve">As such, claimants will continue to be treated as having a different, and lower, risk appetite than other investors. </w:t>
      </w:r>
      <w:r>
        <w:rPr>
          <w:rFonts w:eastAsiaTheme="majorEastAsia"/>
        </w:rPr>
        <w:t xml:space="preserve">The </w:t>
      </w:r>
      <w:r w:rsidR="0023740D">
        <w:rPr>
          <w:rFonts w:eastAsiaTheme="majorEastAsia"/>
        </w:rPr>
        <w:t>legislative measures</w:t>
      </w:r>
      <w:r>
        <w:rPr>
          <w:rFonts w:eastAsiaTheme="majorEastAsia"/>
        </w:rPr>
        <w:t xml:space="preserve"> which form Option 1 have been formulated with this consideration firmly in view.</w:t>
      </w:r>
    </w:p>
    <w:p w14:paraId="7FEFFB6A" w14:textId="68780B87" w:rsidR="00E735EF" w:rsidRPr="00782DB8" w:rsidRDefault="00E735EF" w:rsidP="00E735EF">
      <w:pPr>
        <w:pStyle w:val="EBBodyPara"/>
        <w:keepNext/>
        <w:numPr>
          <w:ilvl w:val="0"/>
          <w:numId w:val="25"/>
        </w:numPr>
        <w:spacing w:before="240"/>
      </w:pPr>
      <w:r>
        <w:t>Option 1 will, however, depart from</w:t>
      </w:r>
      <w:r w:rsidRPr="00651181">
        <w:t xml:space="preserve"> the </w:t>
      </w:r>
      <w:r>
        <w:t xml:space="preserve">assumption under the current legal framework that the claimant is a very-low </w:t>
      </w:r>
      <w:r w:rsidRPr="00546384">
        <w:t xml:space="preserve">risk </w:t>
      </w:r>
      <w:r>
        <w:t>investor. While t</w:t>
      </w:r>
      <w:r w:rsidRPr="00F96CCD">
        <w:t xml:space="preserve">he principle of full compensation </w:t>
      </w:r>
      <w:r>
        <w:t>will</w:t>
      </w:r>
      <w:r w:rsidRPr="00F96CCD">
        <w:t xml:space="preserve"> be retained</w:t>
      </w:r>
      <w:r>
        <w:t>, namely that</w:t>
      </w:r>
      <w:r w:rsidRPr="00782DB8">
        <w:t xml:space="preserve"> the claimant</w:t>
      </w:r>
      <w:r>
        <w:t>’s award</w:t>
      </w:r>
      <w:r w:rsidRPr="00782DB8">
        <w:t xml:space="preserve"> </w:t>
      </w:r>
      <w:r>
        <w:t xml:space="preserve">should place him or her </w:t>
      </w:r>
      <w:r w:rsidRPr="00782DB8">
        <w:t xml:space="preserve">in the same financial position as </w:t>
      </w:r>
      <w:r>
        <w:t>if</w:t>
      </w:r>
      <w:r w:rsidRPr="00DC036C">
        <w:t xml:space="preserve"> the </w:t>
      </w:r>
      <w:r>
        <w:t>injury</w:t>
      </w:r>
      <w:r w:rsidRPr="00DC036C">
        <w:t xml:space="preserve"> </w:t>
      </w:r>
      <w:r>
        <w:t xml:space="preserve">had </w:t>
      </w:r>
      <w:r w:rsidRPr="00DC036C">
        <w:t>not occurred</w:t>
      </w:r>
      <w:r>
        <w:t>, the claimant will be assumed to be able to bear a low level of investment risk</w:t>
      </w:r>
      <w:r w:rsidR="0014749E">
        <w:t xml:space="preserve"> rather than a very low level of investment risk</w:t>
      </w:r>
      <w:r>
        <w:t xml:space="preserve">. </w:t>
      </w:r>
      <w:r w:rsidRPr="00782DB8">
        <w:t xml:space="preserve">  </w:t>
      </w:r>
    </w:p>
    <w:p w14:paraId="380651D0" w14:textId="123F4026" w:rsidR="0069005A" w:rsidRPr="00EF3177" w:rsidRDefault="00E735EF" w:rsidP="0069005A">
      <w:pPr>
        <w:pStyle w:val="EBBodyPara"/>
        <w:keepNext/>
        <w:numPr>
          <w:ilvl w:val="0"/>
          <w:numId w:val="25"/>
        </w:numPr>
        <w:spacing w:before="240"/>
        <w:rPr>
          <w:rFonts w:eastAsiaTheme="majorEastAsia"/>
        </w:rPr>
      </w:pPr>
      <w:r>
        <w:t xml:space="preserve">Because </w:t>
      </w:r>
      <w:r w:rsidR="0069005A">
        <w:t xml:space="preserve">claimants </w:t>
      </w:r>
      <w:r w:rsidR="005A66C4">
        <w:t>will be</w:t>
      </w:r>
      <w:r w:rsidR="0069005A">
        <w:t xml:space="preserve"> assumed to be able</w:t>
      </w:r>
      <w:r w:rsidR="004E173A">
        <w:t xml:space="preserve"> to bear a higher level of risk</w:t>
      </w:r>
      <w:r>
        <w:t>, t</w:t>
      </w:r>
      <w:r w:rsidR="004E173A">
        <w:t xml:space="preserve">he resulting </w:t>
      </w:r>
      <w:r w:rsidR="006E6A99">
        <w:t>PIDR</w:t>
      </w:r>
      <w:r w:rsidR="0069005A" w:rsidRPr="0051753E">
        <w:t xml:space="preserve"> </w:t>
      </w:r>
      <w:r w:rsidR="0014749E">
        <w:t>should</w:t>
      </w:r>
      <w:r w:rsidR="0014749E" w:rsidRPr="0051753E">
        <w:t xml:space="preserve"> </w:t>
      </w:r>
      <w:r w:rsidR="004E173A">
        <w:t xml:space="preserve">be higher </w:t>
      </w:r>
      <w:r w:rsidR="00DB1DD2">
        <w:t xml:space="preserve">under this option </w:t>
      </w:r>
      <w:r w:rsidR="0069005A" w:rsidRPr="0051753E">
        <w:t>lead</w:t>
      </w:r>
      <w:r w:rsidR="004E173A">
        <w:t>ing</w:t>
      </w:r>
      <w:r w:rsidR="0069005A" w:rsidRPr="0051753E">
        <w:t xml:space="preserve"> to lower lump sum compensation payments as future losses </w:t>
      </w:r>
      <w:r w:rsidR="00C56768">
        <w:t>will</w:t>
      </w:r>
      <w:r w:rsidR="0069005A" w:rsidRPr="0051753E">
        <w:t xml:space="preserve"> be more heavily discounted. This </w:t>
      </w:r>
      <w:r w:rsidR="0069005A">
        <w:t>w</w:t>
      </w:r>
      <w:r w:rsidR="00C56768">
        <w:t>ill</w:t>
      </w:r>
      <w:r w:rsidR="0069005A">
        <w:t xml:space="preserve"> </w:t>
      </w:r>
      <w:r w:rsidR="0069005A" w:rsidRPr="0051753E">
        <w:t xml:space="preserve">primarily represent a transfer from claimants to defendants including </w:t>
      </w:r>
      <w:r w:rsidR="00CE580F">
        <w:t>NHS</w:t>
      </w:r>
      <w:r w:rsidR="005A66C4">
        <w:t xml:space="preserve"> Resolution</w:t>
      </w:r>
      <w:r w:rsidR="00CE580F">
        <w:t xml:space="preserve"> and </w:t>
      </w:r>
      <w:r w:rsidR="0069005A" w:rsidRPr="0051753E">
        <w:t>insurers</w:t>
      </w:r>
      <w:r w:rsidR="00CE580F">
        <w:t xml:space="preserve">. </w:t>
      </w:r>
      <w:r w:rsidR="00212AFB">
        <w:t>Most of t</w:t>
      </w:r>
      <w:r w:rsidR="00CE580F">
        <w:t xml:space="preserve">hese savings </w:t>
      </w:r>
      <w:r w:rsidR="00212AFB">
        <w:t>are assumed</w:t>
      </w:r>
      <w:r w:rsidR="00CE580F">
        <w:t xml:space="preserve"> to be transferred to wider society in the form of lower government spending and </w:t>
      </w:r>
      <w:r w:rsidR="0023740D">
        <w:t xml:space="preserve">reduced </w:t>
      </w:r>
      <w:r w:rsidR="00CE580F">
        <w:t>insurance premiums.</w:t>
      </w:r>
      <w:r w:rsidR="0069005A" w:rsidRPr="0051753E">
        <w:t xml:space="preserve"> </w:t>
      </w:r>
    </w:p>
    <w:p w14:paraId="50B2C895" w14:textId="756DA1A1" w:rsidR="00FE3622" w:rsidRPr="00A660DD" w:rsidRDefault="00FE3622" w:rsidP="0069005A">
      <w:pPr>
        <w:pStyle w:val="EBBodyPara"/>
        <w:keepNext/>
        <w:numPr>
          <w:ilvl w:val="0"/>
          <w:numId w:val="25"/>
        </w:numPr>
        <w:spacing w:before="240"/>
        <w:rPr>
          <w:rFonts w:eastAsiaTheme="majorEastAsia"/>
        </w:rPr>
      </w:pPr>
      <w:r>
        <w:t>As the new legal framework will lead to lower lump sum payments than under the base case, the risk of claimants running out of money before the expected term of their award (under</w:t>
      </w:r>
      <w:r w:rsidR="0023740D">
        <w:t>-</w:t>
      </w:r>
      <w:r>
        <w:t xml:space="preserve">compensation) will increase. This is </w:t>
      </w:r>
      <w:r w:rsidR="00881963">
        <w:t xml:space="preserve">mainly </w:t>
      </w:r>
      <w:r>
        <w:t>due to the presence of investment risk and some of the ways by which this might occur are discussed below. However, under this option, the Lord Chancellor will not be required to achieve a zero rate of over</w:t>
      </w:r>
      <w:r w:rsidR="0014749E">
        <w:t>-</w:t>
      </w:r>
      <w:r>
        <w:t>compensation</w:t>
      </w:r>
      <w:r w:rsidR="007421EE">
        <w:t xml:space="preserve"> (i.e., the median level)</w:t>
      </w:r>
      <w:r>
        <w:t xml:space="preserve"> and will have the option of seeking advice from the independent expert panel proposed under option 3 on how best to balance </w:t>
      </w:r>
      <w:r w:rsidR="00E735EF">
        <w:t xml:space="preserve">the need to </w:t>
      </w:r>
      <w:r>
        <w:t>reduc</w:t>
      </w:r>
      <w:r w:rsidR="00E735EF">
        <w:t>e</w:t>
      </w:r>
      <w:r w:rsidR="0014749E">
        <w:t xml:space="preserve"> the likelihood of</w:t>
      </w:r>
      <w:r>
        <w:t xml:space="preserve"> over-compensation with the risk of increasing </w:t>
      </w:r>
      <w:r w:rsidR="00E735EF">
        <w:t xml:space="preserve">the </w:t>
      </w:r>
      <w:r>
        <w:t>levels of under compensation.</w:t>
      </w:r>
    </w:p>
    <w:p w14:paraId="657D75FF" w14:textId="77777777" w:rsidR="0069005A" w:rsidRPr="00B655C9" w:rsidRDefault="0069005A" w:rsidP="0069005A">
      <w:pPr>
        <w:pStyle w:val="Heading4"/>
        <w:spacing w:before="240"/>
        <w:rPr>
          <w:rFonts w:ascii="Arial" w:hAnsi="Arial" w:cs="Arial"/>
          <w:color w:val="auto"/>
        </w:rPr>
      </w:pPr>
      <w:r w:rsidRPr="00B655C9">
        <w:rPr>
          <w:rFonts w:ascii="Arial" w:hAnsi="Arial" w:cs="Arial"/>
          <w:color w:val="auto"/>
        </w:rPr>
        <w:t xml:space="preserve">Investment risk, risk </w:t>
      </w:r>
      <w:r>
        <w:rPr>
          <w:rFonts w:ascii="Arial" w:hAnsi="Arial" w:cs="Arial"/>
          <w:color w:val="auto"/>
        </w:rPr>
        <w:t>factors for claimants,</w:t>
      </w:r>
      <w:r w:rsidRPr="00B655C9">
        <w:rPr>
          <w:rFonts w:ascii="Arial" w:hAnsi="Arial" w:cs="Arial"/>
          <w:color w:val="auto"/>
        </w:rPr>
        <w:t xml:space="preserve"> and assumed investment portfolios</w:t>
      </w:r>
    </w:p>
    <w:p w14:paraId="2DD64580" w14:textId="77777777" w:rsidR="0069005A" w:rsidRDefault="0069005A" w:rsidP="0069005A">
      <w:pPr>
        <w:pStyle w:val="EBBodyPara"/>
        <w:keepNext/>
        <w:numPr>
          <w:ilvl w:val="0"/>
          <w:numId w:val="25"/>
        </w:numPr>
        <w:spacing w:before="240"/>
      </w:pPr>
      <w:r w:rsidRPr="00DC036C">
        <w:t xml:space="preserve">Investment risk is exposure to scenarios where the value of an investment can go up or down. As </w:t>
      </w:r>
      <w:r w:rsidRPr="00DD153B">
        <w:t xml:space="preserve">a general rule, </w:t>
      </w:r>
      <w:r>
        <w:t>a high</w:t>
      </w:r>
      <w:r w:rsidRPr="0062132C">
        <w:t xml:space="preserve"> rate of return on </w:t>
      </w:r>
      <w:r>
        <w:t xml:space="preserve">an </w:t>
      </w:r>
      <w:r w:rsidRPr="0062132C">
        <w:t xml:space="preserve">investment </w:t>
      </w:r>
      <w:r>
        <w:t>is associated with high risk</w:t>
      </w:r>
      <w:r w:rsidRPr="0062132C">
        <w:t xml:space="preserve">. </w:t>
      </w:r>
      <w:r w:rsidRPr="00651181">
        <w:t>This is because</w:t>
      </w:r>
      <w:r>
        <w:t>,</w:t>
      </w:r>
      <w:r w:rsidRPr="00651181">
        <w:t xml:space="preserve"> if someone invests in a risky portfolio whereby the value of the investment can go up or down, </w:t>
      </w:r>
      <w:r>
        <w:t>he or she</w:t>
      </w:r>
      <w:r w:rsidRPr="00651181">
        <w:t xml:space="preserve"> </w:t>
      </w:r>
      <w:r w:rsidR="004E173A">
        <w:t xml:space="preserve">will </w:t>
      </w:r>
      <w:r w:rsidRPr="00651181">
        <w:t xml:space="preserve">need to be compensated for taking on this risk by receiving a greater return on </w:t>
      </w:r>
      <w:r>
        <w:t>his or her</w:t>
      </w:r>
      <w:r w:rsidRPr="00651181">
        <w:t xml:space="preserve"> investment </w:t>
      </w:r>
      <w:r>
        <w:t>(</w:t>
      </w:r>
      <w:r w:rsidRPr="00651181">
        <w:t>over the alternative of investing in a risk</w:t>
      </w:r>
      <w:r w:rsidR="005273C1">
        <w:t>-</w:t>
      </w:r>
      <w:r w:rsidRPr="00651181">
        <w:t>free asset with guaranteed returns</w:t>
      </w:r>
      <w:r>
        <w:t>)</w:t>
      </w:r>
      <w:r w:rsidRPr="00651181">
        <w:t xml:space="preserve">. </w:t>
      </w:r>
      <w:r>
        <w:t xml:space="preserve">A summary of some of the risks </w:t>
      </w:r>
      <w:r w:rsidR="004E173A">
        <w:t xml:space="preserve">that </w:t>
      </w:r>
      <w:r>
        <w:t>a claimant may need to consider can be viewed at Annex A.</w:t>
      </w:r>
    </w:p>
    <w:p w14:paraId="1034F959" w14:textId="77777777" w:rsidR="001C1C55" w:rsidRDefault="0069005A" w:rsidP="001C1C55">
      <w:pPr>
        <w:pStyle w:val="EBBodyPara"/>
        <w:keepNext/>
        <w:numPr>
          <w:ilvl w:val="0"/>
          <w:numId w:val="25"/>
        </w:numPr>
        <w:spacing w:before="240"/>
      </w:pPr>
      <w:r w:rsidRPr="00651181">
        <w:t>T</w:t>
      </w:r>
      <w:r>
        <w:t xml:space="preserve">he degree to which a claimant will assume risk </w:t>
      </w:r>
      <w:r w:rsidRPr="00651181">
        <w:t>in pursuit of a given rate of return</w:t>
      </w:r>
      <w:r>
        <w:t xml:space="preserve">, i.e., the claimant’s risk tolerance, may be </w:t>
      </w:r>
      <w:r w:rsidR="00E72762">
        <w:t>influenced by a number of factors, bot</w:t>
      </w:r>
      <w:r w:rsidR="001C1C55">
        <w:t>h intrinsic and circumstantial:</w:t>
      </w:r>
    </w:p>
    <w:p w14:paraId="5B4E8780" w14:textId="77777777" w:rsidR="001C1C55" w:rsidRDefault="001C1C55" w:rsidP="00912042">
      <w:pPr>
        <w:pStyle w:val="EBBodyPara"/>
        <w:keepNext/>
        <w:numPr>
          <w:ilvl w:val="0"/>
          <w:numId w:val="32"/>
        </w:numPr>
        <w:spacing w:before="240"/>
      </w:pPr>
      <w:r>
        <w:t>Two</w:t>
      </w:r>
      <w:r w:rsidR="0069005A" w:rsidRPr="00651181">
        <w:t xml:space="preserve"> claimants </w:t>
      </w:r>
      <w:r w:rsidR="0057302F">
        <w:t xml:space="preserve">with </w:t>
      </w:r>
      <w:r w:rsidR="0069005A" w:rsidRPr="00651181">
        <w:t>similar personal chara</w:t>
      </w:r>
      <w:r w:rsidR="0069005A">
        <w:t>cteristics and</w:t>
      </w:r>
      <w:r w:rsidR="0069005A" w:rsidRPr="00651181">
        <w:t xml:space="preserve"> circumstances could have different </w:t>
      </w:r>
      <w:r w:rsidR="00E72762">
        <w:t>attitudes to</w:t>
      </w:r>
      <w:r w:rsidR="0069005A" w:rsidRPr="00651181">
        <w:t xml:space="preserve"> risk</w:t>
      </w:r>
      <w:r w:rsidR="006240DE">
        <w:t>: o</w:t>
      </w:r>
      <w:r w:rsidR="0069005A" w:rsidRPr="00651181">
        <w:t>ne may only be willing to invest in ILG</w:t>
      </w:r>
      <w:r w:rsidR="0069005A">
        <w:t>S</w:t>
      </w:r>
      <w:r w:rsidR="0069005A" w:rsidRPr="00651181">
        <w:t xml:space="preserve">, whereas the other may be willing </w:t>
      </w:r>
      <w:r w:rsidR="0069005A">
        <w:t>to invest in riskier assets</w:t>
      </w:r>
      <w:r w:rsidR="0069005A" w:rsidRPr="00651181">
        <w:t>.</w:t>
      </w:r>
    </w:p>
    <w:p w14:paraId="6EB10DDE" w14:textId="77777777" w:rsidR="001C1C55" w:rsidRDefault="008431C4" w:rsidP="00912042">
      <w:pPr>
        <w:pStyle w:val="EBBodyPara"/>
        <w:keepNext/>
        <w:numPr>
          <w:ilvl w:val="0"/>
          <w:numId w:val="32"/>
        </w:numPr>
        <w:spacing w:before="240"/>
      </w:pPr>
      <w:r>
        <w:t>Claimants who lack the capacity to manage their own affairs will have investment decisions made for them by a representative who may consider it inappropriate to take any more risk than is absolutely necessary</w:t>
      </w:r>
      <w:r w:rsidR="001C1C55">
        <w:t>.</w:t>
      </w:r>
    </w:p>
    <w:p w14:paraId="196DEBB9" w14:textId="7EAB3697" w:rsidR="0069005A" w:rsidRDefault="001C1C55" w:rsidP="00912042">
      <w:pPr>
        <w:pStyle w:val="EBBodyPara"/>
        <w:keepNext/>
        <w:numPr>
          <w:ilvl w:val="0"/>
          <w:numId w:val="32"/>
        </w:numPr>
        <w:spacing w:before="240"/>
      </w:pPr>
      <w:r>
        <w:t xml:space="preserve">Claimants may differ in their circumstances, such as age, life expectancy and injury, which determine </w:t>
      </w:r>
      <w:r w:rsidR="0009694B">
        <w:t xml:space="preserve">their </w:t>
      </w:r>
      <w:r>
        <w:t>capacity for loss. A claimant may</w:t>
      </w:r>
      <w:r w:rsidRPr="00F96CCD">
        <w:t xml:space="preserve"> not </w:t>
      </w:r>
      <w:r>
        <w:t xml:space="preserve">be </w:t>
      </w:r>
      <w:r w:rsidRPr="00F96CCD">
        <w:t xml:space="preserve">in a position to </w:t>
      </w:r>
      <w:r>
        <w:t>take any</w:t>
      </w:r>
      <w:r w:rsidRPr="00F96CCD">
        <w:t xml:space="preserve"> risk because </w:t>
      </w:r>
      <w:r>
        <w:t>he or she has particular and expensive care needs and no access to alternative funds</w:t>
      </w:r>
      <w:r w:rsidR="009531C8">
        <w:t>.</w:t>
      </w:r>
    </w:p>
    <w:p w14:paraId="28F8C53E" w14:textId="77777777" w:rsidR="0069005A" w:rsidRDefault="00AC3D94" w:rsidP="008D3434">
      <w:pPr>
        <w:pStyle w:val="EBBodyPara"/>
        <w:keepNext/>
        <w:numPr>
          <w:ilvl w:val="0"/>
          <w:numId w:val="25"/>
        </w:numPr>
        <w:spacing w:before="240"/>
      </w:pPr>
      <w:r>
        <w:t>C</w:t>
      </w:r>
      <w:r w:rsidR="0069005A">
        <w:t xml:space="preserve">laimants may </w:t>
      </w:r>
      <w:r w:rsidR="00532D1C">
        <w:t xml:space="preserve">also </w:t>
      </w:r>
      <w:r w:rsidR="0069005A">
        <w:t>need to make provision for the risk that the duration of their injur</w:t>
      </w:r>
      <w:r w:rsidR="008D3434">
        <w:t>ies</w:t>
      </w:r>
      <w:r w:rsidR="0069005A">
        <w:t xml:space="preserve"> or their life expectanc</w:t>
      </w:r>
      <w:r w:rsidR="008D3434">
        <w:t>ies</w:t>
      </w:r>
      <w:r w:rsidR="0069005A">
        <w:t xml:space="preserve"> may exceed that assumed when their lump sum</w:t>
      </w:r>
      <w:r w:rsidR="008D3434">
        <w:t>s</w:t>
      </w:r>
      <w:r w:rsidR="0069005A">
        <w:t xml:space="preserve"> </w:t>
      </w:r>
      <w:r w:rsidR="008D3434">
        <w:t xml:space="preserve">were </w:t>
      </w:r>
      <w:r w:rsidR="0069005A">
        <w:t xml:space="preserve">calculated. </w:t>
      </w:r>
      <w:r w:rsidR="001C1C55">
        <w:t xml:space="preserve"> </w:t>
      </w:r>
      <w:r w:rsidR="0006497D">
        <w:t>It should be noted that t</w:t>
      </w:r>
      <w:r w:rsidR="00532D1C">
        <w:t xml:space="preserve">his </w:t>
      </w:r>
      <w:r w:rsidR="0006497D">
        <w:t>‘mortality risk’ is already</w:t>
      </w:r>
      <w:r w:rsidR="00532D1C">
        <w:t xml:space="preserve"> a factor in claimants</w:t>
      </w:r>
      <w:r w:rsidR="00B254FD">
        <w:t>’</w:t>
      </w:r>
      <w:r w:rsidR="00532D1C">
        <w:t xml:space="preserve"> investment strategies under the current methodology based on </w:t>
      </w:r>
      <w:r w:rsidR="00F67948">
        <w:t>ILGS</w:t>
      </w:r>
      <w:r w:rsidR="001C1C55">
        <w:t>.</w:t>
      </w:r>
    </w:p>
    <w:p w14:paraId="6AB3955E" w14:textId="77777777" w:rsidR="001C1C55" w:rsidRDefault="001C1C55" w:rsidP="00751DE1">
      <w:pPr>
        <w:pStyle w:val="EBBodyPara"/>
        <w:keepNext/>
        <w:numPr>
          <w:ilvl w:val="0"/>
          <w:numId w:val="25"/>
        </w:numPr>
        <w:spacing w:before="240"/>
      </w:pPr>
      <w:r>
        <w:t>A claimant’s intrinsic attitude to risk and their provision for mortality risk and other risks are unobservable. As a proxy, a claimant’s actual investment behaviour may be used to gauge their preferences for risk. However, it is not possible to draw firm conclusions</w:t>
      </w:r>
      <w:r w:rsidR="00F82492">
        <w:t>:</w:t>
      </w:r>
      <w:r>
        <w:t xml:space="preserve"> the PIDR and a claimant’s investment strategy </w:t>
      </w:r>
      <w:r w:rsidR="00673C49">
        <w:t xml:space="preserve">may influence </w:t>
      </w:r>
      <w:r>
        <w:t xml:space="preserve">one another, i.e. the size of a claimant’s lump sum (determined by the PIDR) </w:t>
      </w:r>
      <w:r w:rsidR="00673C49">
        <w:t xml:space="preserve">could </w:t>
      </w:r>
      <w:r>
        <w:t>define the investment strategy pursued. Nevertheless, under Option 1 i</w:t>
      </w:r>
      <w:r w:rsidR="0069005A">
        <w:t xml:space="preserve">t </w:t>
      </w:r>
      <w:r w:rsidR="004E173A">
        <w:t>is</w:t>
      </w:r>
      <w:r w:rsidR="0069005A">
        <w:t xml:space="preserve"> assumed that the claimant can bear some risk</w:t>
      </w:r>
      <w:r w:rsidR="0069005A" w:rsidRPr="00651181">
        <w:t xml:space="preserve"> </w:t>
      </w:r>
      <w:r w:rsidR="0069005A">
        <w:t>a</w:t>
      </w:r>
      <w:r w:rsidR="005D63EC">
        <w:t>nd therefore a</w:t>
      </w:r>
      <w:r w:rsidR="0069005A">
        <w:t xml:space="preserve"> mixed portfolio, containing</w:t>
      </w:r>
      <w:r w:rsidR="0069005A" w:rsidRPr="00651181">
        <w:t xml:space="preserve"> a range of assets besides ILG</w:t>
      </w:r>
      <w:r w:rsidR="0069005A">
        <w:t>S</w:t>
      </w:r>
      <w:r w:rsidR="00C71D5E">
        <w:t xml:space="preserve"> </w:t>
      </w:r>
      <w:r w:rsidR="004E173A">
        <w:t>would be</w:t>
      </w:r>
      <w:r w:rsidR="00C71D5E">
        <w:t xml:space="preserve"> appropriate</w:t>
      </w:r>
      <w:r w:rsidR="0069005A">
        <w:t>.</w:t>
      </w:r>
    </w:p>
    <w:p w14:paraId="067619AF" w14:textId="77777777" w:rsidR="0069005A" w:rsidRDefault="0069005A" w:rsidP="00751DE1">
      <w:pPr>
        <w:pStyle w:val="EBBodyPara"/>
        <w:keepNext/>
        <w:numPr>
          <w:ilvl w:val="0"/>
          <w:numId w:val="25"/>
        </w:numPr>
        <w:spacing w:before="240"/>
      </w:pPr>
      <w:r>
        <w:t>Mixed portfolios</w:t>
      </w:r>
      <w:r w:rsidRPr="00651181">
        <w:t xml:space="preserve"> </w:t>
      </w:r>
      <w:r w:rsidR="00B60D7B">
        <w:t>may</w:t>
      </w:r>
      <w:r w:rsidR="00B60D7B" w:rsidRPr="00651181">
        <w:t xml:space="preserve"> </w:t>
      </w:r>
      <w:r w:rsidRPr="00651181">
        <w:t>carry higher investment risks than ILG</w:t>
      </w:r>
      <w:r>
        <w:t>S</w:t>
      </w:r>
      <w:r w:rsidRPr="00651181">
        <w:t xml:space="preserve"> alone but also</w:t>
      </w:r>
      <w:r>
        <w:t>, on average, a</w:t>
      </w:r>
      <w:r w:rsidRPr="00651181">
        <w:t xml:space="preserve"> higher </w:t>
      </w:r>
      <w:r>
        <w:t xml:space="preserve">rate of </w:t>
      </w:r>
      <w:r w:rsidRPr="00651181">
        <w:t>return</w:t>
      </w:r>
      <w:r w:rsidR="004E173A">
        <w:t>, leading to a</w:t>
      </w:r>
      <w:r w:rsidRPr="00651181">
        <w:t xml:space="preserve"> higher </w:t>
      </w:r>
      <w:r w:rsidR="006E6A99">
        <w:t>PIDR</w:t>
      </w:r>
      <w:r w:rsidRPr="00651181">
        <w:t xml:space="preserve">. </w:t>
      </w:r>
      <w:r w:rsidR="001C1C55">
        <w:t>T</w:t>
      </w:r>
      <w:r>
        <w:t>he higher risk associated with a mixed portfolio</w:t>
      </w:r>
      <w:r w:rsidRPr="00651181">
        <w:t xml:space="preserve"> </w:t>
      </w:r>
      <w:r>
        <w:t>might</w:t>
      </w:r>
      <w:r w:rsidRPr="00651181">
        <w:t xml:space="preserve"> mean that some claimants</w:t>
      </w:r>
      <w:r w:rsidR="001E1A46">
        <w:t xml:space="preserve"> </w:t>
      </w:r>
      <w:r w:rsidR="004E173A">
        <w:t>will</w:t>
      </w:r>
      <w:r w:rsidRPr="00651181">
        <w:t xml:space="preserve"> be worse off </w:t>
      </w:r>
      <w:r>
        <w:t>if they are</w:t>
      </w:r>
      <w:r w:rsidRPr="00651181">
        <w:t xml:space="preserve"> </w:t>
      </w:r>
      <w:r>
        <w:t xml:space="preserve">unwilling </w:t>
      </w:r>
      <w:r w:rsidRPr="00651181">
        <w:t xml:space="preserve">to take risk due to their </w:t>
      </w:r>
      <w:r>
        <w:t xml:space="preserve">personal preferences and </w:t>
      </w:r>
      <w:r w:rsidRPr="00651181">
        <w:t>personal care needs.</w:t>
      </w:r>
    </w:p>
    <w:p w14:paraId="7BC3FC94" w14:textId="77777777" w:rsidR="00A16D15" w:rsidRPr="00D11650" w:rsidRDefault="008A4648" w:rsidP="00CA049E">
      <w:pPr>
        <w:pStyle w:val="EBBodyPara"/>
        <w:keepNext/>
        <w:spacing w:before="240"/>
        <w:rPr>
          <w:b/>
        </w:rPr>
      </w:pPr>
      <w:r w:rsidRPr="00655E31" w:rsidDel="008A4648">
        <w:rPr>
          <w:i/>
        </w:rPr>
        <w:t xml:space="preserve"> </w:t>
      </w:r>
      <w:r w:rsidR="00A16D15" w:rsidRPr="00D11650">
        <w:rPr>
          <w:b/>
        </w:rPr>
        <w:t xml:space="preserve">Costs of Option </w:t>
      </w:r>
      <w:r w:rsidR="00A16D15">
        <w:rPr>
          <w:b/>
        </w:rPr>
        <w:t>1</w:t>
      </w:r>
    </w:p>
    <w:p w14:paraId="28BDA7D6" w14:textId="09DEA1E4" w:rsidR="00C67F71" w:rsidRPr="00A660DD" w:rsidRDefault="00C67F71" w:rsidP="00F54332">
      <w:pPr>
        <w:pStyle w:val="EBBodyPara"/>
        <w:keepNext/>
        <w:numPr>
          <w:ilvl w:val="0"/>
          <w:numId w:val="25"/>
        </w:numPr>
        <w:spacing w:before="240"/>
      </w:pPr>
      <w:r>
        <w:t xml:space="preserve">Under this option, there </w:t>
      </w:r>
      <w:r w:rsidR="00A15393">
        <w:t>will</w:t>
      </w:r>
      <w:r w:rsidRPr="00651181">
        <w:t xml:space="preserve"> be some one-off familiarisation costs for all affected parties. These costs are expected to be negligible. </w:t>
      </w:r>
    </w:p>
    <w:p w14:paraId="0EDC9024" w14:textId="77777777" w:rsidR="0069005A" w:rsidRPr="00D11650" w:rsidRDefault="0069005A" w:rsidP="0069005A">
      <w:pPr>
        <w:pStyle w:val="Heading5"/>
        <w:spacing w:before="240"/>
        <w:rPr>
          <w:rFonts w:ascii="Arial" w:hAnsi="Arial" w:cs="Arial"/>
          <w:i/>
          <w:color w:val="auto"/>
        </w:rPr>
      </w:pPr>
      <w:r w:rsidRPr="00D11650">
        <w:rPr>
          <w:rFonts w:ascii="Arial" w:hAnsi="Arial" w:cs="Arial"/>
          <w:i/>
          <w:color w:val="auto"/>
        </w:rPr>
        <w:t xml:space="preserve">Claimants </w:t>
      </w:r>
    </w:p>
    <w:p w14:paraId="3E926EEC" w14:textId="5DA0B011" w:rsidR="005D63EC" w:rsidRDefault="0069005A" w:rsidP="006A6AE1">
      <w:pPr>
        <w:pStyle w:val="EBBodyPara"/>
        <w:keepNext/>
        <w:numPr>
          <w:ilvl w:val="0"/>
          <w:numId w:val="25"/>
        </w:numPr>
        <w:spacing w:before="240"/>
      </w:pPr>
      <w:r w:rsidRPr="00651181">
        <w:t>A</w:t>
      </w:r>
      <w:r w:rsidR="0014749E">
        <w:t>ssuming Option 1 leads to a</w:t>
      </w:r>
      <w:r w:rsidRPr="00651181">
        <w:t xml:space="preserve"> higher </w:t>
      </w:r>
      <w:r w:rsidR="006E6A99">
        <w:t>PID</w:t>
      </w:r>
      <w:r w:rsidR="0014749E">
        <w:t xml:space="preserve">R, this </w:t>
      </w:r>
      <w:r w:rsidR="00C67F71">
        <w:t>will</w:t>
      </w:r>
      <w:r w:rsidRPr="00651181">
        <w:t xml:space="preserve"> result in reduced lump sum compensation to claimants relative to </w:t>
      </w:r>
      <w:r>
        <w:t>Option 0</w:t>
      </w:r>
      <w:r w:rsidRPr="00651181">
        <w:t xml:space="preserve">. This </w:t>
      </w:r>
      <w:r w:rsidR="00A15393">
        <w:t xml:space="preserve">will </w:t>
      </w:r>
      <w:r w:rsidRPr="00651181">
        <w:t>be a cost to claimants and a benefit to defendants</w:t>
      </w:r>
      <w:r w:rsidR="00701B71">
        <w:t xml:space="preserve">, although this </w:t>
      </w:r>
      <w:r w:rsidR="000F1E03">
        <w:t xml:space="preserve">needs to be seen </w:t>
      </w:r>
      <w:r w:rsidR="00701B71">
        <w:t xml:space="preserve">in the </w:t>
      </w:r>
      <w:r w:rsidR="000F1E03">
        <w:t xml:space="preserve">wider </w:t>
      </w:r>
      <w:r w:rsidR="00701B71">
        <w:t>context of attempting to reduce overall o</w:t>
      </w:r>
      <w:r w:rsidR="00530052">
        <w:t>ver-compensat</w:t>
      </w:r>
      <w:r w:rsidR="00701B71">
        <w:t xml:space="preserve">ion. </w:t>
      </w:r>
      <w:r w:rsidRPr="00651181">
        <w:t xml:space="preserve"> </w:t>
      </w:r>
      <w:r w:rsidR="006A6AE1">
        <w:t xml:space="preserve"> </w:t>
      </w:r>
    </w:p>
    <w:p w14:paraId="12B63645" w14:textId="77777777" w:rsidR="0069005A" w:rsidRPr="0051753E" w:rsidRDefault="00052FF5" w:rsidP="006A6AE1">
      <w:pPr>
        <w:pStyle w:val="EBBodyPara"/>
        <w:keepNext/>
        <w:numPr>
          <w:ilvl w:val="0"/>
          <w:numId w:val="25"/>
        </w:numPr>
        <w:spacing w:before="240"/>
      </w:pPr>
      <w:r>
        <w:t xml:space="preserve">While </w:t>
      </w:r>
      <w:r w:rsidR="006A6AE1">
        <w:t>GAD’s analysis showed that investing solely in ILGS, as assumed in the current legal framework, is not risk free</w:t>
      </w:r>
      <w:r>
        <w:t>, a</w:t>
      </w:r>
      <w:r w:rsidR="0069005A" w:rsidRPr="00F96CCD">
        <w:t xml:space="preserve"> higher </w:t>
      </w:r>
      <w:r w:rsidR="006E6A99">
        <w:t>PIDR</w:t>
      </w:r>
      <w:r w:rsidR="0069005A" w:rsidRPr="00F96CCD">
        <w:t xml:space="preserve"> may lead some claimants </w:t>
      </w:r>
      <w:r w:rsidR="00E45253">
        <w:t xml:space="preserve">to </w:t>
      </w:r>
      <w:r w:rsidR="0069005A" w:rsidRPr="00F96CCD">
        <w:t xml:space="preserve">invest in assets with </w:t>
      </w:r>
      <w:r w:rsidR="005D63EC">
        <w:t>a h</w:t>
      </w:r>
      <w:r w:rsidR="004E173A">
        <w:t>igher level of</w:t>
      </w:r>
      <w:r w:rsidR="0069005A" w:rsidRPr="00F96CCD">
        <w:t xml:space="preserve"> </w:t>
      </w:r>
      <w:r w:rsidR="0069005A">
        <w:t>investment</w:t>
      </w:r>
      <w:r w:rsidR="0069005A" w:rsidRPr="00782DB8">
        <w:t xml:space="preserve"> risk than they otherwise would have </w:t>
      </w:r>
      <w:r w:rsidR="004E173A">
        <w:t>chosen</w:t>
      </w:r>
      <w:r w:rsidR="0069005A" w:rsidRPr="00DC036C">
        <w:t>, to ensure that their lump sum award</w:t>
      </w:r>
      <w:r w:rsidR="000E47DF">
        <w:t>s</w:t>
      </w:r>
      <w:r w:rsidR="0069005A" w:rsidRPr="00DC036C">
        <w:t xml:space="preserve"> meet their requirements. </w:t>
      </w:r>
      <w:r w:rsidR="00D15B13">
        <w:t>C</w:t>
      </w:r>
      <w:r w:rsidR="0069005A" w:rsidRPr="0051753E">
        <w:t>laimants who have risk appetite</w:t>
      </w:r>
      <w:r w:rsidR="008D3434">
        <w:t>s</w:t>
      </w:r>
      <w:r w:rsidR="0069005A" w:rsidRPr="0051753E">
        <w:t xml:space="preserve"> lower than that implied by the new </w:t>
      </w:r>
      <w:r w:rsidR="00D15B13">
        <w:t>legal framework</w:t>
      </w:r>
      <w:r w:rsidR="0069005A" w:rsidRPr="0051753E">
        <w:t xml:space="preserve"> may choose to invest in riskier assets than their appetite</w:t>
      </w:r>
      <w:r w:rsidR="008D3434">
        <w:t>s</w:t>
      </w:r>
      <w:r w:rsidR="0069005A" w:rsidRPr="0051753E">
        <w:t xml:space="preserve"> impl</w:t>
      </w:r>
      <w:r w:rsidR="008D3434">
        <w:t>y</w:t>
      </w:r>
      <w:r w:rsidR="0069005A" w:rsidRPr="0051753E">
        <w:t xml:space="preserve">, as a result of a change in the </w:t>
      </w:r>
      <w:r w:rsidR="006E6A99">
        <w:t>PIDR</w:t>
      </w:r>
      <w:r w:rsidR="0069005A" w:rsidRPr="0051753E">
        <w:t>. Such claimants w</w:t>
      </w:r>
      <w:r w:rsidR="004E173A">
        <w:t>ill also</w:t>
      </w:r>
      <w:r w:rsidR="0069005A" w:rsidRPr="0051753E">
        <w:t xml:space="preserve"> </w:t>
      </w:r>
      <w:r w:rsidR="008D3434">
        <w:t>be affected by</w:t>
      </w:r>
      <w:r w:rsidR="008D3434" w:rsidRPr="0051753E">
        <w:t xml:space="preserve"> </w:t>
      </w:r>
      <w:r w:rsidR="0069005A" w:rsidRPr="0051753E">
        <w:t xml:space="preserve">higher costs associated with greater volatility if investment risks materialise. </w:t>
      </w:r>
      <w:r w:rsidR="0069005A">
        <w:t>Some of these</w:t>
      </w:r>
      <w:r w:rsidR="0069005A" w:rsidRPr="0051753E">
        <w:t xml:space="preserve"> risks </w:t>
      </w:r>
      <w:r w:rsidR="0069005A">
        <w:t xml:space="preserve">are </w:t>
      </w:r>
      <w:r w:rsidR="0069005A" w:rsidRPr="0051753E">
        <w:t>outlined below</w:t>
      </w:r>
      <w:r w:rsidR="0069005A">
        <w:t>.</w:t>
      </w:r>
    </w:p>
    <w:p w14:paraId="734CA312" w14:textId="77777777" w:rsidR="0069005A" w:rsidRDefault="0069005A" w:rsidP="0069005A">
      <w:pPr>
        <w:pStyle w:val="EBBodyPara"/>
        <w:keepNext/>
        <w:numPr>
          <w:ilvl w:val="0"/>
          <w:numId w:val="25"/>
        </w:numPr>
        <w:spacing w:before="240"/>
      </w:pPr>
      <w:r w:rsidRPr="003473EB">
        <w:t xml:space="preserve">The capital investment could be </w:t>
      </w:r>
      <w:r w:rsidR="006A3D58">
        <w:t xml:space="preserve">more </w:t>
      </w:r>
      <w:r w:rsidRPr="003473EB">
        <w:t xml:space="preserve">volatile </w:t>
      </w:r>
      <w:r w:rsidR="00381479">
        <w:t xml:space="preserve">relative to the value of liabilities </w:t>
      </w:r>
      <w:r w:rsidRPr="003473EB">
        <w:t xml:space="preserve">due to the inclusion </w:t>
      </w:r>
      <w:r w:rsidR="00906743">
        <w:t xml:space="preserve">in the portfolio </w:t>
      </w:r>
      <w:r w:rsidRPr="003473EB">
        <w:t xml:space="preserve">of riskier assets such as equities. There could also be a higher level of credit risk on the capital value associated with companies defaulting and, if some proportion of the investment is held in non-Sterling investments, there could be a risk arising from exchange rate fluctuations. </w:t>
      </w:r>
      <w:r>
        <w:t>Finally, a</w:t>
      </w:r>
      <w:r w:rsidRPr="003473EB">
        <w:t>lthough equities offer some protection against inflation, they are not index-linked, unlike ILG</w:t>
      </w:r>
      <w:r>
        <w:t>S</w:t>
      </w:r>
      <w:r w:rsidRPr="003473EB">
        <w:t xml:space="preserve">. </w:t>
      </w:r>
    </w:p>
    <w:p w14:paraId="5E18D79B" w14:textId="77777777" w:rsidR="0069005A" w:rsidRPr="00B24226" w:rsidRDefault="0069005A" w:rsidP="0069005A">
      <w:pPr>
        <w:pStyle w:val="EBBodyPara"/>
        <w:keepNext/>
        <w:numPr>
          <w:ilvl w:val="0"/>
          <w:numId w:val="25"/>
        </w:numPr>
        <w:spacing w:before="240"/>
      </w:pPr>
      <w:r w:rsidRPr="006E0A89">
        <w:t xml:space="preserve">Furthermore, fluctuations in capital values might lead the claimant to get a low price for the asset </w:t>
      </w:r>
      <w:r w:rsidR="00673C49">
        <w:t xml:space="preserve">when they are sold to meet the claimant’s ongoing costs </w:t>
      </w:r>
      <w:r w:rsidRPr="006E0A89">
        <w:t>and deplete the award of damages more quickly than planned. This may prompt the claimant to increase risk in t</w:t>
      </w:r>
      <w:r w:rsidRPr="00B24226">
        <w:t>heir investments in order to recoup the losses, which could lead to further losses. There may also be tax implications and transaction costs as a result of being forced to sell investments earlier than expected.</w:t>
      </w:r>
    </w:p>
    <w:p w14:paraId="7A144F10" w14:textId="24525686" w:rsidR="0069005A" w:rsidRPr="00B24226" w:rsidRDefault="007E56FE" w:rsidP="007E56FE">
      <w:pPr>
        <w:pStyle w:val="EBBodyPara"/>
        <w:keepNext/>
        <w:numPr>
          <w:ilvl w:val="0"/>
          <w:numId w:val="25"/>
        </w:numPr>
        <w:spacing w:before="240"/>
      </w:pPr>
      <w:r>
        <w:t>Unless they dispense with the services of financial advisers, t</w:t>
      </w:r>
      <w:r w:rsidR="0069005A" w:rsidRPr="00B24226">
        <w:t xml:space="preserve">hese claimants </w:t>
      </w:r>
      <w:r>
        <w:t>will</w:t>
      </w:r>
      <w:r w:rsidRPr="00B24226">
        <w:t xml:space="preserve"> </w:t>
      </w:r>
      <w:r w:rsidR="0069005A" w:rsidRPr="00B24226">
        <w:t xml:space="preserve">also face additional costs associated with managing their </w:t>
      </w:r>
      <w:r>
        <w:t xml:space="preserve">portfolio of “low risk” </w:t>
      </w:r>
      <w:r w:rsidR="0069005A" w:rsidRPr="00B24226">
        <w:t>investments</w:t>
      </w:r>
      <w:r>
        <w:t>,</w:t>
      </w:r>
      <w:r w:rsidR="0069005A" w:rsidRPr="00B24226">
        <w:t xml:space="preserve"> </w:t>
      </w:r>
      <w:r>
        <w:t xml:space="preserve">which would </w:t>
      </w:r>
      <w:r w:rsidR="00CC24B4">
        <w:t>(as the previous law in effect assumed</w:t>
      </w:r>
      <w:r>
        <w:t>) not be necessary in an ILGS only portfolio. However, the burden of these costs will to some extent be taken into account in the setting of the PIDR, because</w:t>
      </w:r>
      <w:r w:rsidR="006A6AE1">
        <w:t xml:space="preserve"> </w:t>
      </w:r>
      <w:r>
        <w:t xml:space="preserve">the Lord Chancellor must make such </w:t>
      </w:r>
      <w:r w:rsidR="000D510E">
        <w:t>allowance</w:t>
      </w:r>
      <w:r w:rsidR="006A6AE1">
        <w:t xml:space="preserve"> for investment management </w:t>
      </w:r>
      <w:r w:rsidR="000C0F2C">
        <w:t>fees as</w:t>
      </w:r>
      <w:r w:rsidR="006A6AE1">
        <w:t xml:space="preserve"> </w:t>
      </w:r>
      <w:r>
        <w:t>he</w:t>
      </w:r>
      <w:r w:rsidR="000D510E">
        <w:t xml:space="preserve"> considers </w:t>
      </w:r>
      <w:r w:rsidR="006A6AE1">
        <w:t>appropriate</w:t>
      </w:r>
      <w:r>
        <w:t xml:space="preserve"> </w:t>
      </w:r>
      <w:r w:rsidRPr="007E56FE">
        <w:t>when setting the PIDR</w:t>
      </w:r>
      <w:r w:rsidR="006A6AE1">
        <w:t xml:space="preserve">. </w:t>
      </w:r>
    </w:p>
    <w:p w14:paraId="782A1F61" w14:textId="1EEEEBDD" w:rsidR="00E9258B" w:rsidRDefault="0069005A" w:rsidP="00981F7D">
      <w:pPr>
        <w:pStyle w:val="EBBodyPara"/>
        <w:keepNext/>
        <w:numPr>
          <w:ilvl w:val="0"/>
          <w:numId w:val="25"/>
        </w:numPr>
        <w:spacing w:before="240"/>
      </w:pPr>
      <w:r w:rsidRPr="00B24226">
        <w:t xml:space="preserve">Alternatively, if claimants with lower risk </w:t>
      </w:r>
      <w:r>
        <w:t>tolerances</w:t>
      </w:r>
      <w:r w:rsidRPr="00B24226">
        <w:t xml:space="preserve"> are </w:t>
      </w:r>
      <w:r>
        <w:t xml:space="preserve">unwilling </w:t>
      </w:r>
      <w:r w:rsidRPr="00B24226">
        <w:t xml:space="preserve">to invest in the types of assets used to set the </w:t>
      </w:r>
      <w:r w:rsidR="006E6A99">
        <w:t>PIDR</w:t>
      </w:r>
      <w:r w:rsidRPr="00B24226">
        <w:t xml:space="preserve"> they may invest in less risky assets with lower average rates of return. I</w:t>
      </w:r>
      <w:r w:rsidR="00353772">
        <w:t>f so,</w:t>
      </w:r>
      <w:r w:rsidRPr="00B24226">
        <w:t xml:space="preserve"> they </w:t>
      </w:r>
      <w:r w:rsidR="00353772">
        <w:t xml:space="preserve">risk </w:t>
      </w:r>
      <w:r w:rsidRPr="00B24226">
        <w:t>not fully achiev</w:t>
      </w:r>
      <w:r w:rsidR="00353772">
        <w:t>ing</w:t>
      </w:r>
      <w:r w:rsidRPr="00B24226">
        <w:t xml:space="preserve"> the stream</w:t>
      </w:r>
      <w:r w:rsidR="00862A81">
        <w:t>s</w:t>
      </w:r>
      <w:r w:rsidRPr="00B24226">
        <w:t xml:space="preserve"> of income assumed in their settlement</w:t>
      </w:r>
      <w:r w:rsidR="00862A81">
        <w:t>s</w:t>
      </w:r>
      <w:r w:rsidR="00E9258B" w:rsidRPr="00E9258B">
        <w:t xml:space="preserve"> </w:t>
      </w:r>
      <w:r w:rsidR="000E47DF">
        <w:t xml:space="preserve">and running </w:t>
      </w:r>
      <w:r w:rsidR="00E9258B" w:rsidRPr="00081E47">
        <w:t>out of money before the expected term</w:t>
      </w:r>
      <w:r w:rsidR="00862A81">
        <w:t>s</w:t>
      </w:r>
      <w:r w:rsidR="00E9258B" w:rsidRPr="00081E47">
        <w:t xml:space="preserve"> of the</w:t>
      </w:r>
      <w:r w:rsidR="000E47DF">
        <w:t>ir</w:t>
      </w:r>
      <w:r w:rsidR="00E9258B" w:rsidRPr="00081E47">
        <w:t xml:space="preserve"> award</w:t>
      </w:r>
      <w:r w:rsidR="000E47DF">
        <w:t>s</w:t>
      </w:r>
      <w:r w:rsidR="00E9258B" w:rsidRPr="00081E47">
        <w:t xml:space="preserve">. </w:t>
      </w:r>
      <w:r w:rsidR="00E9258B">
        <w:t xml:space="preserve">In the event </w:t>
      </w:r>
      <w:r w:rsidR="00862A81">
        <w:t>a</w:t>
      </w:r>
      <w:r w:rsidR="00E9258B">
        <w:t xml:space="preserve"> claimant run</w:t>
      </w:r>
      <w:r w:rsidR="00862A81">
        <w:t>s</w:t>
      </w:r>
      <w:r w:rsidR="00E9258B">
        <w:t xml:space="preserve"> out of money, </w:t>
      </w:r>
      <w:r w:rsidR="00353772">
        <w:t xml:space="preserve">they </w:t>
      </w:r>
      <w:r w:rsidR="007E56FE">
        <w:t>c</w:t>
      </w:r>
      <w:r w:rsidR="00E9258B">
        <w:t>ould be</w:t>
      </w:r>
      <w:r w:rsidR="00611285">
        <w:t>come solely</w:t>
      </w:r>
      <w:r w:rsidR="00E9258B">
        <w:t xml:space="preserve"> reliant on</w:t>
      </w:r>
      <w:r w:rsidR="00E9258B" w:rsidRPr="00081E47">
        <w:t xml:space="preserve"> the NHS </w:t>
      </w:r>
      <w:r w:rsidR="00E9258B">
        <w:t xml:space="preserve">and state benefits, </w:t>
      </w:r>
      <w:r w:rsidR="00E9258B" w:rsidRPr="00081E47">
        <w:t>with associated costs</w:t>
      </w:r>
      <w:r w:rsidR="00E9258B">
        <w:t xml:space="preserve"> to the taxpayer</w:t>
      </w:r>
      <w:r w:rsidR="00E9258B" w:rsidRPr="00081E47">
        <w:t>.</w:t>
      </w:r>
    </w:p>
    <w:p w14:paraId="0302D523" w14:textId="77777777" w:rsidR="0069005A" w:rsidRPr="00B24226" w:rsidRDefault="0069005A" w:rsidP="0069005A">
      <w:pPr>
        <w:pStyle w:val="EBBodyPara"/>
        <w:keepNext/>
        <w:numPr>
          <w:ilvl w:val="0"/>
          <w:numId w:val="25"/>
        </w:numPr>
        <w:spacing w:before="240"/>
      </w:pPr>
      <w:r>
        <w:t xml:space="preserve">If measures </w:t>
      </w:r>
      <w:r w:rsidR="00353772">
        <w:t xml:space="preserve">were </w:t>
      </w:r>
      <w:r>
        <w:t xml:space="preserve">in place to mitigate the impacts on this group of claimants in the form of a PIDR varying by the term of loss, size of award, heads of claim or varying by some other factor, the impact on this group </w:t>
      </w:r>
      <w:r w:rsidR="006A3D58">
        <w:t xml:space="preserve">may </w:t>
      </w:r>
      <w:r>
        <w:t xml:space="preserve">be reduced.  </w:t>
      </w:r>
      <w:r w:rsidRPr="00BA601D">
        <w:t>However, introducing varied rates according to a certain factor may create</w:t>
      </w:r>
      <w:r>
        <w:t xml:space="preserve"> perverse incentives for claimants.</w:t>
      </w:r>
      <w:r w:rsidRPr="00BA601D">
        <w:t xml:space="preserve"> For example, it could encourage claimants to change their claim according to that factor so that their claim would fall under the most favourable </w:t>
      </w:r>
      <w:r w:rsidR="006E6A99">
        <w:t>PIDR</w:t>
      </w:r>
      <w:r w:rsidRPr="00BA601D">
        <w:t xml:space="preserve">.   </w:t>
      </w:r>
    </w:p>
    <w:p w14:paraId="1EB74DCC" w14:textId="4EDB3974" w:rsidR="0069005A" w:rsidRPr="00A660DD" w:rsidRDefault="0069005A" w:rsidP="0069005A">
      <w:pPr>
        <w:pStyle w:val="EBBodyPara"/>
        <w:keepNext/>
        <w:numPr>
          <w:ilvl w:val="0"/>
          <w:numId w:val="25"/>
        </w:numPr>
        <w:spacing w:before="240"/>
      </w:pPr>
      <w:r w:rsidRPr="00B24226">
        <w:t xml:space="preserve">Claimants who have a risk appetite equal to or greater than that implied by the </w:t>
      </w:r>
      <w:r w:rsidR="006E6A99">
        <w:t>PIDR</w:t>
      </w:r>
      <w:r w:rsidRPr="00B24226">
        <w:t xml:space="preserve"> </w:t>
      </w:r>
      <w:r w:rsidR="00B833AC">
        <w:t xml:space="preserve">set under the new legal framework </w:t>
      </w:r>
      <w:r w:rsidRPr="00B24226">
        <w:t xml:space="preserve">are assumed to continue to invest in assets which are consistent with their risk appetite and are </w:t>
      </w:r>
      <w:r w:rsidR="00B833AC">
        <w:t xml:space="preserve">also </w:t>
      </w:r>
      <w:r w:rsidRPr="00B24226">
        <w:t xml:space="preserve">assumed to </w:t>
      </w:r>
      <w:r w:rsidR="008D3434">
        <w:t>be unaffected by</w:t>
      </w:r>
      <w:r w:rsidRPr="00B24226">
        <w:t xml:space="preserve"> </w:t>
      </w:r>
      <w:r w:rsidR="00B833AC">
        <w:t xml:space="preserve">any </w:t>
      </w:r>
      <w:r w:rsidRPr="00B24226">
        <w:t>additional costs from investment risk or management</w:t>
      </w:r>
      <w:r w:rsidR="00B833AC">
        <w:t xml:space="preserve"> costs</w:t>
      </w:r>
      <w:r w:rsidRPr="00B24226">
        <w:t xml:space="preserve">. That said, if a higher </w:t>
      </w:r>
      <w:r w:rsidR="006E6A99">
        <w:t>PIDR</w:t>
      </w:r>
      <w:r w:rsidRPr="00B24226">
        <w:t xml:space="preserve"> </w:t>
      </w:r>
      <w:r>
        <w:t>were</w:t>
      </w:r>
      <w:r w:rsidRPr="00B24226">
        <w:t xml:space="preserve"> used to calculate the compensation lump sum owed, this </w:t>
      </w:r>
      <w:r w:rsidR="00A15393">
        <w:t>will</w:t>
      </w:r>
      <w:r w:rsidRPr="00B24226">
        <w:t xml:space="preserve"> result in a lower award, which may in turn affect their investment choices.</w:t>
      </w:r>
    </w:p>
    <w:p w14:paraId="793059C9" w14:textId="77777777" w:rsidR="0069005A" w:rsidRPr="00D11650" w:rsidRDefault="0069005A" w:rsidP="0069005A">
      <w:pPr>
        <w:pStyle w:val="Heading5"/>
        <w:spacing w:before="240"/>
        <w:rPr>
          <w:rFonts w:ascii="Arial" w:hAnsi="Arial" w:cs="Arial"/>
          <w:i/>
          <w:color w:val="auto"/>
        </w:rPr>
      </w:pPr>
      <w:r w:rsidRPr="00D11650">
        <w:rPr>
          <w:rFonts w:ascii="Arial" w:hAnsi="Arial" w:cs="Arial"/>
          <w:i/>
          <w:color w:val="auto"/>
        </w:rPr>
        <w:t xml:space="preserve">Defendants </w:t>
      </w:r>
    </w:p>
    <w:p w14:paraId="4EF15A39" w14:textId="4B37EB82" w:rsidR="0069005A" w:rsidRDefault="007E56FE">
      <w:pPr>
        <w:pStyle w:val="EBBodyPara"/>
        <w:keepNext/>
        <w:numPr>
          <w:ilvl w:val="0"/>
          <w:numId w:val="25"/>
        </w:numPr>
        <w:spacing w:before="240"/>
      </w:pPr>
      <w:r>
        <w:t>At present</w:t>
      </w:r>
      <w:r w:rsidR="00CC24B4">
        <w:t>, claimants cannot recover the cost of future investment management expenses as a separate head of damages. However, it is possible that a</w:t>
      </w:r>
      <w:r w:rsidR="0069005A" w:rsidRPr="00651181">
        <w:t>ny change in the costs to claimants of managing lump sums might ultimately be passed to defendants as pa</w:t>
      </w:r>
      <w:r w:rsidR="0069005A" w:rsidRPr="00F96CCD">
        <w:t>rt of negotiating the final settlement.</w:t>
      </w:r>
    </w:p>
    <w:p w14:paraId="1C1F0D42" w14:textId="77777777" w:rsidR="00AE7C78" w:rsidRDefault="0069005A" w:rsidP="0069005A">
      <w:pPr>
        <w:pStyle w:val="EBBodyPara"/>
        <w:keepNext/>
        <w:numPr>
          <w:ilvl w:val="0"/>
          <w:numId w:val="25"/>
        </w:numPr>
        <w:spacing w:before="240"/>
      </w:pPr>
      <w:r>
        <w:t xml:space="preserve">A higher PIDR </w:t>
      </w:r>
      <w:r w:rsidR="00AE7C78">
        <w:t xml:space="preserve">will </w:t>
      </w:r>
      <w:r>
        <w:t>make PPOs</w:t>
      </w:r>
      <w:r w:rsidR="00DE3F9A">
        <w:t xml:space="preserve"> relatively</w:t>
      </w:r>
      <w:r>
        <w:t xml:space="preserve"> more attractive to claimants who are unwilling to invest in higher risk portfolios. </w:t>
      </w:r>
      <w:r w:rsidR="00261510" w:rsidRPr="00A31D06">
        <w:t>I</w:t>
      </w:r>
      <w:r w:rsidRPr="00A31D06">
        <w:t>nsurers</w:t>
      </w:r>
      <w:r w:rsidR="00261510" w:rsidRPr="00A31D06">
        <w:t>, on the other hand,</w:t>
      </w:r>
      <w:r w:rsidRPr="00A31D06">
        <w:t xml:space="preserve"> must hold </w:t>
      </w:r>
      <w:r w:rsidR="00261510" w:rsidRPr="00A31D06">
        <w:t xml:space="preserve">additional </w:t>
      </w:r>
      <w:r w:rsidRPr="00A31D06">
        <w:t xml:space="preserve">capital </w:t>
      </w:r>
      <w:r w:rsidR="00261510" w:rsidRPr="00A31D06">
        <w:t xml:space="preserve">for PPOs </w:t>
      </w:r>
      <w:r w:rsidRPr="00A31D06">
        <w:t xml:space="preserve">to meet solvency requirements under Solvency II. An increased propensity for PPOs </w:t>
      </w:r>
      <w:r w:rsidR="00A31D06">
        <w:t>at a high PIDR would</w:t>
      </w:r>
      <w:r w:rsidRPr="00A31D06">
        <w:t xml:space="preserve">, therefore, represent an immediate cost to insurers, albeit one that is </w:t>
      </w:r>
      <w:r w:rsidR="00CA049E" w:rsidRPr="00A31D06">
        <w:t xml:space="preserve">likely to be </w:t>
      </w:r>
      <w:r w:rsidRPr="00A31D06">
        <w:t xml:space="preserve">offset by the reduced or absent lump sum in cases settling by a PPO rather than </w:t>
      </w:r>
      <w:r w:rsidR="00906743" w:rsidRPr="00A31D06">
        <w:t xml:space="preserve">by </w:t>
      </w:r>
      <w:r w:rsidRPr="00A31D06">
        <w:t>a lump sum alone</w:t>
      </w:r>
    </w:p>
    <w:p w14:paraId="6E4C5A91" w14:textId="3B52C84C" w:rsidR="0069005A" w:rsidRPr="00F96CCD" w:rsidRDefault="005A66C4" w:rsidP="0069005A">
      <w:pPr>
        <w:pStyle w:val="EBBodyPara"/>
        <w:keepNext/>
        <w:numPr>
          <w:ilvl w:val="0"/>
          <w:numId w:val="25"/>
        </w:numPr>
        <w:spacing w:before="240"/>
      </w:pPr>
      <w:r>
        <w:t>N</w:t>
      </w:r>
      <w:r w:rsidR="0069005A">
        <w:t>HS</w:t>
      </w:r>
      <w:r>
        <w:t xml:space="preserve"> Resolution</w:t>
      </w:r>
      <w:r w:rsidR="0069005A">
        <w:t xml:space="preserve"> </w:t>
      </w:r>
      <w:r w:rsidR="00FA253D">
        <w:t xml:space="preserve">does not have to meet Solvency II requirements </w:t>
      </w:r>
      <w:r w:rsidR="0069005A">
        <w:t>so w</w:t>
      </w:r>
      <w:r w:rsidR="00A15393">
        <w:t>ill</w:t>
      </w:r>
      <w:r w:rsidR="0069005A">
        <w:t xml:space="preserve"> not be affected in the same way as insurers.</w:t>
      </w:r>
    </w:p>
    <w:p w14:paraId="023B525C" w14:textId="77777777" w:rsidR="0069005A" w:rsidRPr="00D11650" w:rsidRDefault="00307039" w:rsidP="0069005A">
      <w:pPr>
        <w:pStyle w:val="Heading5"/>
        <w:spacing w:before="240"/>
        <w:rPr>
          <w:rFonts w:ascii="Arial" w:hAnsi="Arial" w:cs="Arial"/>
          <w:i/>
          <w:color w:val="auto"/>
        </w:rPr>
      </w:pPr>
      <w:r>
        <w:rPr>
          <w:rFonts w:ascii="Arial" w:hAnsi="Arial" w:cs="Arial"/>
          <w:i/>
          <w:color w:val="auto"/>
        </w:rPr>
        <w:t xml:space="preserve">Wider Society including </w:t>
      </w:r>
      <w:r w:rsidR="00CA049E">
        <w:rPr>
          <w:rFonts w:ascii="Arial" w:hAnsi="Arial" w:cs="Arial"/>
          <w:i/>
          <w:color w:val="auto"/>
        </w:rPr>
        <w:t>Taxpayers and Insurance Policy Holders</w:t>
      </w:r>
      <w:r w:rsidR="0069005A" w:rsidRPr="00D11650">
        <w:rPr>
          <w:rFonts w:ascii="Arial" w:hAnsi="Arial" w:cs="Arial"/>
          <w:i/>
          <w:color w:val="auto"/>
        </w:rPr>
        <w:t xml:space="preserve"> </w:t>
      </w:r>
    </w:p>
    <w:p w14:paraId="38D33344" w14:textId="502EE740" w:rsidR="0069005A" w:rsidRDefault="0069005A" w:rsidP="00CC24B4">
      <w:pPr>
        <w:pStyle w:val="EBBodyPara"/>
        <w:keepNext/>
        <w:numPr>
          <w:ilvl w:val="0"/>
          <w:numId w:val="25"/>
        </w:numPr>
        <w:spacing w:before="240"/>
      </w:pPr>
      <w:r>
        <w:t xml:space="preserve">Society </w:t>
      </w:r>
      <w:r w:rsidR="00C56768">
        <w:t>will</w:t>
      </w:r>
      <w:r>
        <w:t xml:space="preserve"> suffer a cost</w:t>
      </w:r>
      <w:r w:rsidR="000D510E">
        <w:t xml:space="preserve"> </w:t>
      </w:r>
      <w:r w:rsidR="00D15B13">
        <w:t xml:space="preserve">if claimants </w:t>
      </w:r>
      <w:r w:rsidR="00CC24B4">
        <w:t>have to fall back on the State</w:t>
      </w:r>
      <w:r>
        <w:t xml:space="preserve"> </w:t>
      </w:r>
      <w:r w:rsidR="00D15B13">
        <w:t>as a result of</w:t>
      </w:r>
      <w:r>
        <w:t xml:space="preserve"> </w:t>
      </w:r>
      <w:r w:rsidR="00CC24B4">
        <w:t>their investments failing to match the rate of return predicted by the PIDR and not having other assets to use. As the legislation assumes a higher level of investment risk, t</w:t>
      </w:r>
      <w:r>
        <w:t>h</w:t>
      </w:r>
      <w:r w:rsidR="00CC24B4">
        <w:t>is outcome may be more likely than under the previous law, where only very low risk investment was assumed</w:t>
      </w:r>
      <w:r w:rsidR="00836797">
        <w:t>. Claimants</w:t>
      </w:r>
      <w:r>
        <w:t xml:space="preserve"> may,</w:t>
      </w:r>
      <w:r w:rsidR="00836797">
        <w:t xml:space="preserve"> therefore,</w:t>
      </w:r>
      <w:r>
        <w:t xml:space="preserve"> in </w:t>
      </w:r>
      <w:r w:rsidR="00836797">
        <w:t xml:space="preserve">more </w:t>
      </w:r>
      <w:r>
        <w:t>instances</w:t>
      </w:r>
      <w:r w:rsidR="00836797">
        <w:t xml:space="preserve"> than at present</w:t>
      </w:r>
      <w:r>
        <w:t xml:space="preserve">, suffer the stress of running out of money and becoming </w:t>
      </w:r>
      <w:r w:rsidR="00D15B13">
        <w:t xml:space="preserve">solely </w:t>
      </w:r>
      <w:r>
        <w:t xml:space="preserve">dependent on the </w:t>
      </w:r>
      <w:r w:rsidR="00836797">
        <w:t>S</w:t>
      </w:r>
      <w:r>
        <w:t>tate</w:t>
      </w:r>
      <w:r w:rsidR="00B60434">
        <w:t>.</w:t>
      </w:r>
    </w:p>
    <w:p w14:paraId="68BF292F" w14:textId="326A519A" w:rsidR="00DB1DD2" w:rsidRDefault="00DB1DD2" w:rsidP="0069005A">
      <w:pPr>
        <w:pStyle w:val="EBBodyPara"/>
        <w:keepNext/>
        <w:numPr>
          <w:ilvl w:val="0"/>
          <w:numId w:val="25"/>
        </w:numPr>
        <w:spacing w:before="240"/>
      </w:pPr>
      <w:r>
        <w:t>As noted above, the Lord Chancellor will have the option of consulting with the independent expert panel about how to take account of the increased risk of under</w:t>
      </w:r>
      <w:r w:rsidR="00937AD4">
        <w:t>-</w:t>
      </w:r>
      <w:r>
        <w:t>compensation. This option should help ensure that society’s views concerning equity are taken into account when setting the PIDR.</w:t>
      </w:r>
    </w:p>
    <w:p w14:paraId="1962991D" w14:textId="77777777" w:rsidR="0069005A" w:rsidRPr="00D11650" w:rsidRDefault="0069005A" w:rsidP="0069005A">
      <w:pPr>
        <w:pStyle w:val="Heading4"/>
        <w:spacing w:before="240"/>
        <w:rPr>
          <w:rFonts w:ascii="Arial" w:hAnsi="Arial" w:cs="Arial"/>
          <w:b/>
          <w:i w:val="0"/>
          <w:color w:val="auto"/>
        </w:rPr>
      </w:pPr>
      <w:r w:rsidRPr="00D11650">
        <w:rPr>
          <w:rFonts w:ascii="Arial" w:hAnsi="Arial" w:cs="Arial"/>
          <w:b/>
          <w:i w:val="0"/>
          <w:color w:val="auto"/>
        </w:rPr>
        <w:t xml:space="preserve">Benefits </w:t>
      </w:r>
      <w:r>
        <w:rPr>
          <w:rFonts w:ascii="Arial" w:hAnsi="Arial" w:cs="Arial"/>
          <w:b/>
          <w:i w:val="0"/>
          <w:color w:val="auto"/>
        </w:rPr>
        <w:t>of Option 1</w:t>
      </w:r>
    </w:p>
    <w:p w14:paraId="7698BD1B" w14:textId="77777777" w:rsidR="00AA5A61" w:rsidRDefault="00AA5A61" w:rsidP="0069005A">
      <w:pPr>
        <w:pStyle w:val="Heading5"/>
        <w:spacing w:before="240"/>
        <w:rPr>
          <w:rFonts w:ascii="Arial" w:hAnsi="Arial" w:cs="Arial"/>
          <w:i/>
          <w:color w:val="auto"/>
        </w:rPr>
      </w:pPr>
      <w:r>
        <w:rPr>
          <w:rFonts w:ascii="Arial" w:hAnsi="Arial" w:cs="Arial"/>
          <w:i/>
          <w:color w:val="auto"/>
        </w:rPr>
        <w:t>Claimants</w:t>
      </w:r>
    </w:p>
    <w:p w14:paraId="5C9BB143" w14:textId="176C23AA" w:rsidR="006A6AE1" w:rsidRPr="00094671" w:rsidRDefault="00AA5A61" w:rsidP="006A6AE1">
      <w:pPr>
        <w:pStyle w:val="ListParagraph"/>
        <w:numPr>
          <w:ilvl w:val="0"/>
          <w:numId w:val="25"/>
        </w:numPr>
        <w:spacing w:before="240"/>
        <w:rPr>
          <w:rFonts w:ascii="Arial" w:hAnsi="Arial" w:cs="Arial"/>
        </w:rPr>
      </w:pPr>
      <w:r w:rsidRPr="00F25458">
        <w:rPr>
          <w:rFonts w:ascii="Arial" w:hAnsi="Arial" w:cs="Arial"/>
        </w:rPr>
        <w:t xml:space="preserve">A higher PIDR </w:t>
      </w:r>
      <w:r w:rsidR="00836797">
        <w:rPr>
          <w:rFonts w:ascii="Arial" w:hAnsi="Arial" w:cs="Arial"/>
        </w:rPr>
        <w:t>will</w:t>
      </w:r>
      <w:r w:rsidR="00836797" w:rsidRPr="00F25458">
        <w:rPr>
          <w:rFonts w:ascii="Arial" w:hAnsi="Arial" w:cs="Arial"/>
        </w:rPr>
        <w:t xml:space="preserve"> </w:t>
      </w:r>
      <w:r w:rsidRPr="00F25458">
        <w:rPr>
          <w:rFonts w:ascii="Arial" w:hAnsi="Arial" w:cs="Arial"/>
        </w:rPr>
        <w:t>make PPOs more attractive to claimants who are unwilling to invest in higher risk portfolios</w:t>
      </w:r>
      <w:r w:rsidR="002F1287">
        <w:rPr>
          <w:rFonts w:ascii="Arial" w:hAnsi="Arial" w:cs="Arial"/>
        </w:rPr>
        <w:t xml:space="preserve"> and </w:t>
      </w:r>
      <w:r w:rsidR="0016175A">
        <w:rPr>
          <w:rFonts w:ascii="Arial" w:hAnsi="Arial" w:cs="Arial"/>
        </w:rPr>
        <w:t xml:space="preserve">who want to </w:t>
      </w:r>
      <w:r w:rsidR="002F1287">
        <w:rPr>
          <w:rFonts w:ascii="Arial" w:hAnsi="Arial" w:cs="Arial"/>
        </w:rPr>
        <w:t>remove or reduce the levels of mortality and investment risk they will face</w:t>
      </w:r>
      <w:r w:rsidRPr="00F25458">
        <w:rPr>
          <w:rFonts w:ascii="Arial" w:hAnsi="Arial" w:cs="Arial"/>
        </w:rPr>
        <w:t>.</w:t>
      </w:r>
    </w:p>
    <w:p w14:paraId="5BEC4C4D" w14:textId="77777777" w:rsidR="0069005A" w:rsidRPr="00D11650" w:rsidRDefault="0069005A" w:rsidP="0069005A">
      <w:pPr>
        <w:pStyle w:val="Heading5"/>
        <w:spacing w:before="240"/>
        <w:rPr>
          <w:rFonts w:ascii="Arial" w:hAnsi="Arial" w:cs="Arial"/>
          <w:i/>
          <w:color w:val="auto"/>
        </w:rPr>
      </w:pPr>
      <w:r w:rsidRPr="00D11650">
        <w:rPr>
          <w:rFonts w:ascii="Arial" w:hAnsi="Arial" w:cs="Arial"/>
          <w:i/>
          <w:color w:val="auto"/>
        </w:rPr>
        <w:t xml:space="preserve">Defendants </w:t>
      </w:r>
    </w:p>
    <w:p w14:paraId="13381492" w14:textId="5FA2A0DE" w:rsidR="0069005A" w:rsidRDefault="0069005A" w:rsidP="0069005A">
      <w:pPr>
        <w:pStyle w:val="EBBodyPara"/>
        <w:keepNext/>
        <w:numPr>
          <w:ilvl w:val="0"/>
          <w:numId w:val="25"/>
        </w:numPr>
        <w:autoSpaceDE w:val="0"/>
        <w:autoSpaceDN w:val="0"/>
        <w:adjustRightInd w:val="0"/>
        <w:spacing w:before="240" w:after="0"/>
      </w:pPr>
      <w:r w:rsidRPr="00651181">
        <w:t xml:space="preserve">A higher </w:t>
      </w:r>
      <w:r w:rsidR="006E6A99">
        <w:t>PIDR</w:t>
      </w:r>
      <w:r w:rsidRPr="00651181">
        <w:t xml:space="preserve"> </w:t>
      </w:r>
      <w:r w:rsidR="00A15393">
        <w:t>will</w:t>
      </w:r>
      <w:r w:rsidRPr="00651181">
        <w:t xml:space="preserve"> result in reduced lump sum compensation </w:t>
      </w:r>
      <w:r>
        <w:t>awards</w:t>
      </w:r>
      <w:r w:rsidRPr="00651181">
        <w:t xml:space="preserve"> by defendants relative to the base case. Defendants </w:t>
      </w:r>
      <w:r w:rsidR="00A15393">
        <w:t>will</w:t>
      </w:r>
      <w:r w:rsidRPr="00651181">
        <w:t xml:space="preserve"> include insurers, government bodies such as the NHS and uninsured businesses and individual</w:t>
      </w:r>
      <w:r w:rsidRPr="00F96CCD">
        <w:t>s. In the case of insurers</w:t>
      </w:r>
      <w:r w:rsidR="005273C1">
        <w:t>,</w:t>
      </w:r>
      <w:r w:rsidRPr="00F96CCD">
        <w:t xml:space="preserve"> </w:t>
      </w:r>
      <w:r w:rsidR="005C0B5C">
        <w:t xml:space="preserve">it is </w:t>
      </w:r>
      <w:r w:rsidR="007E3CEC">
        <w:t xml:space="preserve">expected </w:t>
      </w:r>
      <w:r w:rsidR="005C0B5C">
        <w:t>that these</w:t>
      </w:r>
      <w:r w:rsidRPr="00F96CCD">
        <w:t xml:space="preserve"> benefits </w:t>
      </w:r>
      <w:r w:rsidR="005C0B5C">
        <w:t xml:space="preserve">will be </w:t>
      </w:r>
      <w:r w:rsidRPr="00F96CCD">
        <w:t xml:space="preserve">passed on to consumers in the form of lower insurance premiums relative to the base case. </w:t>
      </w:r>
    </w:p>
    <w:p w14:paraId="6979DC69" w14:textId="5AD64B10" w:rsidR="0069005A" w:rsidRPr="000D2D49" w:rsidRDefault="0069005A" w:rsidP="0069005A">
      <w:pPr>
        <w:pStyle w:val="EBBodyPara"/>
        <w:keepNext/>
        <w:numPr>
          <w:ilvl w:val="0"/>
          <w:numId w:val="25"/>
        </w:numPr>
        <w:autoSpaceDE w:val="0"/>
        <w:autoSpaceDN w:val="0"/>
        <w:adjustRightInd w:val="0"/>
        <w:spacing w:before="240" w:after="0"/>
      </w:pPr>
      <w:r w:rsidRPr="000D2D49">
        <w:t>NHS</w:t>
      </w:r>
      <w:r w:rsidR="00312E30" w:rsidRPr="000D2D49">
        <w:t xml:space="preserve"> Resolution</w:t>
      </w:r>
      <w:r w:rsidRPr="000D2D49">
        <w:t xml:space="preserve"> </w:t>
      </w:r>
      <w:r w:rsidR="007000FC" w:rsidRPr="000D2D49">
        <w:t>may</w:t>
      </w:r>
      <w:r w:rsidR="00CA049E" w:rsidRPr="000D2D49">
        <w:t xml:space="preserve"> </w:t>
      </w:r>
      <w:r w:rsidRPr="000D2D49">
        <w:t xml:space="preserve">benefit in the short term from an increased </w:t>
      </w:r>
      <w:r w:rsidR="000D510E" w:rsidRPr="000D2D49">
        <w:t>uptake of PPOs</w:t>
      </w:r>
      <w:r w:rsidRPr="000D2D49">
        <w:t xml:space="preserve"> as it </w:t>
      </w:r>
      <w:r w:rsidR="00A15393">
        <w:t>will</w:t>
      </w:r>
      <w:r w:rsidRPr="000D2D49">
        <w:t xml:space="preserve"> mean lower immediate payments in the cases settling with a PPO rather than a lump sum alone, although total future liabilities w</w:t>
      </w:r>
      <w:r w:rsidR="00A15393">
        <w:t>ould</w:t>
      </w:r>
      <w:r w:rsidRPr="000D2D49">
        <w:t xml:space="preserve"> increase</w:t>
      </w:r>
      <w:r w:rsidR="00A15393">
        <w:t xml:space="preserve"> if this were to occur</w:t>
      </w:r>
      <w:r w:rsidRPr="000D2D49">
        <w:t xml:space="preserve">. </w:t>
      </w:r>
    </w:p>
    <w:p w14:paraId="03098AE7" w14:textId="77777777" w:rsidR="0069005A" w:rsidRPr="00D11650" w:rsidRDefault="00307039" w:rsidP="0069005A">
      <w:pPr>
        <w:pStyle w:val="Heading5"/>
        <w:spacing w:before="240"/>
        <w:rPr>
          <w:rFonts w:ascii="Arial" w:hAnsi="Arial" w:cs="Arial"/>
          <w:i/>
          <w:color w:val="auto"/>
        </w:rPr>
      </w:pPr>
      <w:r>
        <w:rPr>
          <w:rFonts w:ascii="Arial" w:hAnsi="Arial" w:cs="Arial"/>
          <w:i/>
          <w:color w:val="auto"/>
        </w:rPr>
        <w:t xml:space="preserve">Wider Society including </w:t>
      </w:r>
      <w:r w:rsidR="00CA049E">
        <w:rPr>
          <w:rFonts w:ascii="Arial" w:hAnsi="Arial" w:cs="Arial"/>
          <w:i/>
          <w:color w:val="auto"/>
        </w:rPr>
        <w:t>Taxpayers and Insurance Policy Holders</w:t>
      </w:r>
      <w:r w:rsidR="0069005A" w:rsidRPr="00D11650">
        <w:rPr>
          <w:rFonts w:ascii="Arial" w:hAnsi="Arial" w:cs="Arial"/>
          <w:i/>
          <w:color w:val="auto"/>
        </w:rPr>
        <w:t xml:space="preserve"> </w:t>
      </w:r>
    </w:p>
    <w:p w14:paraId="202282D5" w14:textId="696C9450" w:rsidR="0069005A" w:rsidRPr="00F96CCD" w:rsidRDefault="0069005A" w:rsidP="0069005A">
      <w:pPr>
        <w:pStyle w:val="EBBodyPara"/>
        <w:keepNext/>
        <w:numPr>
          <w:ilvl w:val="0"/>
          <w:numId w:val="25"/>
        </w:numPr>
        <w:spacing w:before="240"/>
      </w:pPr>
      <w:r w:rsidRPr="00651181">
        <w:t xml:space="preserve">Society </w:t>
      </w:r>
      <w:r w:rsidR="005C0B5C">
        <w:t>will</w:t>
      </w:r>
      <w:r w:rsidRPr="00651181">
        <w:t xml:space="preserve"> benefit from greater equity (fairness) </w:t>
      </w:r>
      <w:r w:rsidR="00781783">
        <w:t>as</w:t>
      </w:r>
      <w:r w:rsidRPr="00651181">
        <w:t xml:space="preserve"> the current legal </w:t>
      </w:r>
      <w:r w:rsidR="00D15B13">
        <w:t>framework</w:t>
      </w:r>
      <w:r w:rsidRPr="00651181">
        <w:t xml:space="preserve"> </w:t>
      </w:r>
      <w:r>
        <w:t xml:space="preserve">is </w:t>
      </w:r>
      <w:r w:rsidR="00781783">
        <w:t>resulting in</w:t>
      </w:r>
      <w:r w:rsidR="00052FF5">
        <w:t xml:space="preserve"> the</w:t>
      </w:r>
      <w:r w:rsidR="00836797">
        <w:t xml:space="preserve"> expected</w:t>
      </w:r>
      <w:r w:rsidR="00052FF5">
        <w:t xml:space="preserve"> </w:t>
      </w:r>
      <w:r w:rsidR="00781783">
        <w:t>o</w:t>
      </w:r>
      <w:r w:rsidRPr="00651181">
        <w:t>ver-compensat</w:t>
      </w:r>
      <w:r w:rsidR="00781783">
        <w:t>ion of</w:t>
      </w:r>
      <w:r w:rsidRPr="00651181">
        <w:t xml:space="preserve"> personal injury claimants. </w:t>
      </w:r>
    </w:p>
    <w:p w14:paraId="6701E0B9" w14:textId="5CBD5B75" w:rsidR="0069005A" w:rsidRPr="00A660DD" w:rsidRDefault="0069005A" w:rsidP="002455D1">
      <w:pPr>
        <w:pStyle w:val="EBBodyPara"/>
        <w:keepNext/>
        <w:numPr>
          <w:ilvl w:val="0"/>
          <w:numId w:val="25"/>
        </w:numPr>
        <w:spacing w:before="240"/>
      </w:pPr>
      <w:r w:rsidRPr="00EB733A">
        <w:t xml:space="preserve">Individuals and businesses in wider society </w:t>
      </w:r>
      <w:r w:rsidR="00A15393">
        <w:t>will</w:t>
      </w:r>
      <w:r w:rsidR="00836797" w:rsidRPr="00EB733A">
        <w:t xml:space="preserve"> </w:t>
      </w:r>
      <w:r w:rsidRPr="00EB733A">
        <w:t xml:space="preserve">also benefit from lower insurance premiums if insurers </w:t>
      </w:r>
      <w:r w:rsidR="00A15393">
        <w:t>pass on their</w:t>
      </w:r>
      <w:r w:rsidRPr="00EB733A">
        <w:t xml:space="preserve"> lower costs</w:t>
      </w:r>
      <w:r w:rsidR="002455D1">
        <w:t xml:space="preserve"> (see paragraph 25)</w:t>
      </w:r>
      <w:r w:rsidRPr="00EB733A">
        <w:t>. Such businesses and individuals w</w:t>
      </w:r>
      <w:r w:rsidR="002E5ACE">
        <w:t>ill</w:t>
      </w:r>
      <w:r w:rsidRPr="00EB733A">
        <w:t xml:space="preserve"> also be p</w:t>
      </w:r>
      <w:r w:rsidRPr="00DC036C">
        <w:t xml:space="preserve">otential defendants. This would be </w:t>
      </w:r>
      <w:r>
        <w:t>an indirect</w:t>
      </w:r>
      <w:r w:rsidRPr="00DC036C">
        <w:t xml:space="preserve"> impact of this proposal.</w:t>
      </w:r>
      <w:r w:rsidR="007E3CEC" w:rsidRPr="007E3CEC">
        <w:t xml:space="preserve"> </w:t>
      </w:r>
      <w:r w:rsidR="004E173A">
        <w:t>Taxpayers</w:t>
      </w:r>
      <w:r w:rsidR="007E3CEC">
        <w:t xml:space="preserve"> </w:t>
      </w:r>
      <w:r w:rsidR="00A15393">
        <w:t>will</w:t>
      </w:r>
      <w:r w:rsidR="007E3CEC">
        <w:t xml:space="preserve"> benefit </w:t>
      </w:r>
      <w:r w:rsidR="00836797">
        <w:t>from</w:t>
      </w:r>
      <w:r w:rsidR="007E3CEC">
        <w:t xml:space="preserve"> lower government spending on compensation payments</w:t>
      </w:r>
      <w:r w:rsidR="002E5ACE">
        <w:t xml:space="preserve"> in clinical negligence cases</w:t>
      </w:r>
      <w:r w:rsidR="007E3CEC">
        <w:t>.</w:t>
      </w:r>
      <w:r w:rsidR="002E5ACE">
        <w:t xml:space="preserve"> </w:t>
      </w:r>
    </w:p>
    <w:p w14:paraId="4E1704A7" w14:textId="791533F1" w:rsidR="0069005A" w:rsidRPr="00B655C9" w:rsidRDefault="0069005A" w:rsidP="0069005A">
      <w:pPr>
        <w:pStyle w:val="Heading3"/>
        <w:spacing w:before="240"/>
        <w:rPr>
          <w:rFonts w:ascii="Arial" w:hAnsi="Arial" w:cs="Arial"/>
          <w:b/>
          <w:color w:val="auto"/>
          <w:sz w:val="22"/>
          <w:szCs w:val="22"/>
          <w:u w:val="single"/>
        </w:rPr>
      </w:pPr>
      <w:r w:rsidRPr="00B655C9">
        <w:rPr>
          <w:rFonts w:ascii="Arial" w:hAnsi="Arial" w:cs="Arial"/>
          <w:b/>
          <w:color w:val="auto"/>
          <w:sz w:val="22"/>
          <w:szCs w:val="22"/>
          <w:u w:val="single"/>
        </w:rPr>
        <w:t xml:space="preserve">Option 2: </w:t>
      </w:r>
      <w:r w:rsidR="00432D16" w:rsidRPr="00655E31">
        <w:rPr>
          <w:rFonts w:ascii="Arial" w:hAnsi="Arial" w:cs="Arial"/>
          <w:b/>
          <w:color w:val="auto"/>
          <w:sz w:val="22"/>
          <w:szCs w:val="22"/>
          <w:u w:val="single"/>
        </w:rPr>
        <w:t xml:space="preserve">Specify that the PIDR should be set at least every </w:t>
      </w:r>
      <w:r w:rsidR="00102616">
        <w:rPr>
          <w:rFonts w:ascii="Arial" w:hAnsi="Arial" w:cs="Arial"/>
          <w:b/>
          <w:color w:val="auto"/>
          <w:sz w:val="22"/>
          <w:szCs w:val="22"/>
          <w:u w:val="single"/>
        </w:rPr>
        <w:t>five</w:t>
      </w:r>
      <w:r w:rsidR="00432D16" w:rsidRPr="00655E31">
        <w:rPr>
          <w:rFonts w:ascii="Arial" w:hAnsi="Arial" w:cs="Arial"/>
          <w:b/>
          <w:color w:val="auto"/>
          <w:sz w:val="22"/>
          <w:szCs w:val="22"/>
          <w:u w:val="single"/>
        </w:rPr>
        <w:t xml:space="preserve"> years with the Lord Chancellor r</w:t>
      </w:r>
      <w:r w:rsidR="00432D16" w:rsidRPr="00432D16">
        <w:rPr>
          <w:rFonts w:ascii="Arial" w:hAnsi="Arial" w:cs="Arial"/>
          <w:b/>
          <w:color w:val="auto"/>
          <w:sz w:val="22"/>
          <w:szCs w:val="22"/>
          <w:u w:val="single"/>
        </w:rPr>
        <w:t>etaining discretion to set the PIDR</w:t>
      </w:r>
      <w:r w:rsidR="00432D16" w:rsidRPr="00655E31">
        <w:rPr>
          <w:rFonts w:ascii="Arial" w:hAnsi="Arial" w:cs="Arial"/>
          <w:b/>
          <w:color w:val="auto"/>
          <w:sz w:val="22"/>
          <w:szCs w:val="22"/>
          <w:u w:val="single"/>
        </w:rPr>
        <w:t xml:space="preserve"> within </w:t>
      </w:r>
      <w:r w:rsidR="00102616">
        <w:rPr>
          <w:rFonts w:ascii="Arial" w:hAnsi="Arial" w:cs="Arial"/>
          <w:b/>
          <w:color w:val="auto"/>
          <w:sz w:val="22"/>
          <w:szCs w:val="22"/>
          <w:u w:val="single"/>
        </w:rPr>
        <w:t>five</w:t>
      </w:r>
      <w:r w:rsidR="00432D16" w:rsidRPr="00655E31">
        <w:rPr>
          <w:rFonts w:ascii="Arial" w:hAnsi="Arial" w:cs="Arial"/>
          <w:b/>
          <w:color w:val="auto"/>
          <w:sz w:val="22"/>
          <w:szCs w:val="22"/>
          <w:u w:val="single"/>
        </w:rPr>
        <w:t xml:space="preserve"> years if necessary</w:t>
      </w:r>
      <w:r w:rsidR="00432D16" w:rsidRPr="00B655C9" w:rsidDel="00D36856">
        <w:rPr>
          <w:rFonts w:ascii="Arial" w:hAnsi="Arial" w:cs="Arial"/>
          <w:b/>
          <w:color w:val="auto"/>
          <w:sz w:val="22"/>
          <w:szCs w:val="22"/>
          <w:u w:val="single"/>
        </w:rPr>
        <w:t xml:space="preserve"> </w:t>
      </w:r>
    </w:p>
    <w:p w14:paraId="641A66A3" w14:textId="77777777" w:rsidR="006E3226" w:rsidRDefault="006E3226" w:rsidP="00D36856">
      <w:pPr>
        <w:pStyle w:val="EBBodyPara"/>
        <w:keepNext/>
        <w:numPr>
          <w:ilvl w:val="0"/>
          <w:numId w:val="25"/>
        </w:numPr>
        <w:spacing w:before="240"/>
      </w:pPr>
      <w:r w:rsidRPr="000465C7">
        <w:t xml:space="preserve">The </w:t>
      </w:r>
      <w:r w:rsidR="006E6A99">
        <w:t>PIDR</w:t>
      </w:r>
      <w:r w:rsidRPr="000465C7">
        <w:t xml:space="preserve"> should </w:t>
      </w:r>
      <w:r>
        <w:t xml:space="preserve">reflect the </w:t>
      </w:r>
      <w:r w:rsidRPr="000465C7">
        <w:t>returns on the investments by reference to which the rate is to be set. In principle, subject to avoiding over-frequent changes, it should</w:t>
      </w:r>
      <w:r w:rsidR="008D3434">
        <w:t>,</w:t>
      </w:r>
      <w:r w:rsidRPr="000465C7">
        <w:t xml:space="preserve"> therefore</w:t>
      </w:r>
      <w:r w:rsidR="008D3434">
        <w:t>,</w:t>
      </w:r>
      <w:r w:rsidRPr="000465C7">
        <w:t xml:space="preserve"> be reviewed as often as is necessary to reflect material changes in </w:t>
      </w:r>
      <w:r w:rsidR="000D510E">
        <w:t xml:space="preserve">expected </w:t>
      </w:r>
      <w:r w:rsidRPr="000465C7">
        <w:t>returns from those investments</w:t>
      </w:r>
      <w:r w:rsidR="00564032">
        <w:t xml:space="preserve">. </w:t>
      </w:r>
      <w:r w:rsidR="00616508">
        <w:t>However, t</w:t>
      </w:r>
      <w:r w:rsidR="00564032">
        <w:t xml:space="preserve">he </w:t>
      </w:r>
      <w:r w:rsidR="00616508">
        <w:t>PIDR at any point in time will be</w:t>
      </w:r>
      <w:r w:rsidR="00564032">
        <w:t xml:space="preserve"> an approximation of the underlying investment </w:t>
      </w:r>
      <w:r w:rsidR="008D3434">
        <w:t>return</w:t>
      </w:r>
      <w:r w:rsidR="00564032">
        <w:t xml:space="preserve"> and will result in claimants and defendants being either advantaged or disadvantaged</w:t>
      </w:r>
      <w:r w:rsidR="00673C49">
        <w:t xml:space="preserve">. The degree to which this happens will depend </w:t>
      </w:r>
      <w:r w:rsidR="00564032">
        <w:t xml:space="preserve">on whether the </w:t>
      </w:r>
      <w:r w:rsidR="006E6A99">
        <w:t>PIDR</w:t>
      </w:r>
      <w:r w:rsidR="00564032">
        <w:t xml:space="preserve"> is either higher or lower than the rate </w:t>
      </w:r>
      <w:r w:rsidR="00673C49">
        <w:t xml:space="preserve">of return </w:t>
      </w:r>
      <w:r w:rsidR="00564032">
        <w:t>implied by the underlying investment</w:t>
      </w:r>
      <w:r w:rsidR="00365243">
        <w:t xml:space="preserve"> portfolio</w:t>
      </w:r>
      <w:r w:rsidR="00673C49">
        <w:t xml:space="preserve"> at the point of settlement</w:t>
      </w:r>
      <w:r w:rsidR="00564032">
        <w:t xml:space="preserve">. </w:t>
      </w:r>
    </w:p>
    <w:p w14:paraId="63E0719A" w14:textId="70557F0E" w:rsidR="00616508" w:rsidRDefault="00616508" w:rsidP="00D36856">
      <w:pPr>
        <w:pStyle w:val="EBBodyPara"/>
        <w:keepNext/>
        <w:numPr>
          <w:ilvl w:val="0"/>
          <w:numId w:val="25"/>
        </w:numPr>
        <w:spacing w:before="240"/>
      </w:pPr>
      <w:r>
        <w:t xml:space="preserve">As noted above, the consultation responses contained a wide range of views concerning the timing of any review of the PIDR. In addition, any formal review of the </w:t>
      </w:r>
      <w:r w:rsidR="00937AD4">
        <w:t>PIDR</w:t>
      </w:r>
      <w:r>
        <w:t xml:space="preserve"> will be likely to generate some degree of speculation beforehand with regards to its outcome and this may lead to strategic behaviour by claimants and defendants in cases which are yet to settle which may generate additional costs. Having considered the</w:t>
      </w:r>
      <w:r w:rsidR="00836797">
        <w:t xml:space="preserve"> opinions expressed in parliament as to the relative merits of three and five</w:t>
      </w:r>
      <w:r w:rsidR="00027119">
        <w:t>-</w:t>
      </w:r>
      <w:r w:rsidR="00836797">
        <w:t>year maximum intervals,</w:t>
      </w:r>
      <w:r>
        <w:t xml:space="preserve"> the Go</w:t>
      </w:r>
      <w:r w:rsidR="002E5ACE">
        <w:t>vernment has decided</w:t>
      </w:r>
      <w:r w:rsidR="00836797">
        <w:t xml:space="preserve"> </w:t>
      </w:r>
      <w:r w:rsidR="002E5ACE">
        <w:t xml:space="preserve">that a </w:t>
      </w:r>
      <w:r w:rsidR="00102616">
        <w:t>five</w:t>
      </w:r>
      <w:r w:rsidR="005273C1">
        <w:t>-</w:t>
      </w:r>
      <w:r w:rsidR="002E5ACE">
        <w:t>year review period is one which best meets the overall policy objectives</w:t>
      </w:r>
      <w:r w:rsidR="00836797">
        <w:t xml:space="preserve"> – and this is what the legislation provides</w:t>
      </w:r>
      <w:r w:rsidR="002E5ACE">
        <w:t>.</w:t>
      </w:r>
    </w:p>
    <w:p w14:paraId="3472FA7C" w14:textId="79235B83" w:rsidR="00616508" w:rsidRPr="009C64EE" w:rsidRDefault="00616508" w:rsidP="00616508">
      <w:pPr>
        <w:pStyle w:val="EBBodyPara"/>
        <w:keepNext/>
        <w:numPr>
          <w:ilvl w:val="0"/>
          <w:numId w:val="25"/>
        </w:numPr>
        <w:spacing w:before="240"/>
      </w:pPr>
      <w:r>
        <w:t>In addition to the requirement to review th</w:t>
      </w:r>
      <w:r w:rsidR="002E5ACE">
        <w:t>e PIDR</w:t>
      </w:r>
      <w:r>
        <w:t xml:space="preserve"> at least once every </w:t>
      </w:r>
      <w:r w:rsidR="00102616">
        <w:t>five</w:t>
      </w:r>
      <w:r>
        <w:t xml:space="preserve"> years, the Lord Chancellor will retain the power to review the PIDR within such periods</w:t>
      </w:r>
      <w:r w:rsidR="0002101D">
        <w:t xml:space="preserve"> with the </w:t>
      </w:r>
      <w:r w:rsidR="00102616">
        <w:t>five</w:t>
      </w:r>
      <w:r w:rsidR="005273C1">
        <w:t>-</w:t>
      </w:r>
      <w:r w:rsidR="0002101D">
        <w:t>year period being reset at the end of such a review</w:t>
      </w:r>
      <w:r>
        <w:t xml:space="preserve">. If the Lord Chancellor were to choose to exercise </w:t>
      </w:r>
      <w:r w:rsidR="004E1CD2">
        <w:t xml:space="preserve">his or her </w:t>
      </w:r>
      <w:r>
        <w:t>d</w:t>
      </w:r>
      <w:r w:rsidR="002E5ACE">
        <w:t>iscretion by raising the PIDR in situations where</w:t>
      </w:r>
      <w:r>
        <w:t xml:space="preserve"> the</w:t>
      </w:r>
      <w:r w:rsidR="00365243">
        <w:t xml:space="preserve"> expected</w:t>
      </w:r>
      <w:r>
        <w:t xml:space="preserve"> yields from a low risk portfolio are increasing and reducing it when they are falling any divergence between the PIDR and the investment returns achieved by claimants </w:t>
      </w:r>
      <w:r w:rsidR="00DE5139">
        <w:t xml:space="preserve">will </w:t>
      </w:r>
      <w:r>
        <w:t xml:space="preserve">be reduced, </w:t>
      </w:r>
      <w:r w:rsidR="002E5ACE">
        <w:t xml:space="preserve">reducing </w:t>
      </w:r>
      <w:r>
        <w:t>the risk of over or under-compensation.</w:t>
      </w:r>
    </w:p>
    <w:p w14:paraId="3A004336" w14:textId="77777777" w:rsidR="0069005A" w:rsidRDefault="0069005A" w:rsidP="00F54332">
      <w:pPr>
        <w:pStyle w:val="Heading4"/>
        <w:spacing w:before="240"/>
        <w:rPr>
          <w:rFonts w:ascii="Arial" w:hAnsi="Arial" w:cs="Arial"/>
          <w:b/>
          <w:i w:val="0"/>
          <w:color w:val="auto"/>
        </w:rPr>
      </w:pPr>
      <w:r w:rsidRPr="00B655C9">
        <w:rPr>
          <w:rFonts w:ascii="Arial" w:hAnsi="Arial" w:cs="Arial"/>
          <w:b/>
          <w:i w:val="0"/>
          <w:color w:val="auto"/>
        </w:rPr>
        <w:t>Impacts of Option 2</w:t>
      </w:r>
    </w:p>
    <w:p w14:paraId="371F3221" w14:textId="77777777" w:rsidR="004A458E" w:rsidRPr="005E39CA" w:rsidRDefault="004A458E" w:rsidP="005E39CA">
      <w:pPr>
        <w:spacing w:before="240"/>
        <w:rPr>
          <w:rFonts w:ascii="Arial" w:hAnsi="Arial" w:cs="Arial"/>
        </w:rPr>
      </w:pPr>
      <w:r w:rsidRPr="005E39CA">
        <w:rPr>
          <w:rFonts w:ascii="Arial" w:hAnsi="Arial" w:cs="Arial"/>
          <w:i/>
        </w:rPr>
        <w:t>Claimants and Defendants</w:t>
      </w:r>
    </w:p>
    <w:p w14:paraId="42D2E8B7" w14:textId="69AF2F8F" w:rsidR="004A458E" w:rsidRDefault="0069005A">
      <w:pPr>
        <w:pStyle w:val="EBBodyPara"/>
        <w:keepNext/>
        <w:numPr>
          <w:ilvl w:val="0"/>
          <w:numId w:val="25"/>
        </w:numPr>
        <w:spacing w:before="240"/>
      </w:pPr>
      <w:r>
        <w:t xml:space="preserve">Assuming </w:t>
      </w:r>
      <w:r w:rsidR="00E853BE">
        <w:t xml:space="preserve">the </w:t>
      </w:r>
      <w:r w:rsidR="00365243">
        <w:t xml:space="preserve">expected </w:t>
      </w:r>
      <w:r>
        <w:t xml:space="preserve">real </w:t>
      </w:r>
      <w:r w:rsidR="0042152C">
        <w:t xml:space="preserve">returns on a </w:t>
      </w:r>
      <w:r w:rsidR="00F50A4C">
        <w:t xml:space="preserve">low risk mixed </w:t>
      </w:r>
      <w:r w:rsidR="0042152C">
        <w:t xml:space="preserve">portfolio </w:t>
      </w:r>
      <w:r>
        <w:t xml:space="preserve">are equally likely to rise or fall over any given period going forward, </w:t>
      </w:r>
      <w:r w:rsidR="00F50A4C">
        <w:t>reviewing th</w:t>
      </w:r>
      <w:r>
        <w:t xml:space="preserve">e </w:t>
      </w:r>
      <w:r w:rsidR="006E6A99">
        <w:t>PIDR</w:t>
      </w:r>
      <w:r>
        <w:t xml:space="preserve"> </w:t>
      </w:r>
      <w:r w:rsidR="00F50A4C">
        <w:t xml:space="preserve">at least every </w:t>
      </w:r>
      <w:r w:rsidR="00102616">
        <w:t>five</w:t>
      </w:r>
      <w:r w:rsidR="00F50A4C">
        <w:t xml:space="preserve"> years</w:t>
      </w:r>
      <w:r w:rsidR="001817E2">
        <w:t xml:space="preserve"> </w:t>
      </w:r>
      <w:r w:rsidR="0029150A">
        <w:t xml:space="preserve">will </w:t>
      </w:r>
      <w:r w:rsidR="00C56768">
        <w:t>be</w:t>
      </w:r>
      <w:r>
        <w:t xml:space="preserve"> </w:t>
      </w:r>
      <w:r w:rsidR="00F60B7F">
        <w:t>cost neutral with respect to expected compensation</w:t>
      </w:r>
      <w:r w:rsidR="00F60B7F" w:rsidRPr="00F60B7F">
        <w:t xml:space="preserve"> </w:t>
      </w:r>
      <w:r w:rsidR="00F60B7F">
        <w:t>in the long run</w:t>
      </w:r>
      <w:r w:rsidR="00F60B7F" w:rsidRPr="005E39CA">
        <w:t xml:space="preserve">, as gains from one review period </w:t>
      </w:r>
      <w:r w:rsidR="00DE5139">
        <w:t>should</w:t>
      </w:r>
      <w:r w:rsidR="00DE5139" w:rsidRPr="005E39CA">
        <w:t xml:space="preserve"> </w:t>
      </w:r>
      <w:r w:rsidR="00F60B7F" w:rsidRPr="005E39CA">
        <w:t>cancel out any losses from another review period.</w:t>
      </w:r>
      <w:r w:rsidR="00F60B7F">
        <w:rPr>
          <w:sz w:val="20"/>
        </w:rPr>
        <w:t xml:space="preserve"> </w:t>
      </w:r>
    </w:p>
    <w:p w14:paraId="30368E52" w14:textId="344D0F66" w:rsidR="006F1688" w:rsidRDefault="006F1688">
      <w:pPr>
        <w:pStyle w:val="EBBodyPara"/>
        <w:keepNext/>
        <w:numPr>
          <w:ilvl w:val="0"/>
          <w:numId w:val="25"/>
        </w:numPr>
        <w:spacing w:before="240"/>
      </w:pPr>
      <w:r>
        <w:t>In the short term, t</w:t>
      </w:r>
      <w:r w:rsidR="0069005A">
        <w:t xml:space="preserve">he </w:t>
      </w:r>
      <w:r w:rsidR="004A458E">
        <w:t xml:space="preserve">length of the </w:t>
      </w:r>
      <w:r w:rsidR="0069005A">
        <w:t xml:space="preserve">review interval </w:t>
      </w:r>
      <w:r w:rsidR="004A458E">
        <w:t>may have</w:t>
      </w:r>
      <w:r w:rsidR="0069005A">
        <w:t xml:space="preserve"> equity impacts</w:t>
      </w:r>
      <w:r w:rsidR="000D510E">
        <w:t xml:space="preserve"> as </w:t>
      </w:r>
      <w:r w:rsidR="004A458E">
        <w:t>it may</w:t>
      </w:r>
      <w:r w:rsidR="0069005A">
        <w:t xml:space="preserve"> </w:t>
      </w:r>
      <w:r w:rsidR="000D510E">
        <w:t xml:space="preserve">affect </w:t>
      </w:r>
      <w:r w:rsidR="0069005A">
        <w:t xml:space="preserve">the </w:t>
      </w:r>
      <w:r w:rsidR="001335EE">
        <w:t xml:space="preserve">magnitude of any </w:t>
      </w:r>
      <w:r w:rsidR="004A458E">
        <w:t xml:space="preserve">settlements received by claimants with similar types of injury. This is because, </w:t>
      </w:r>
      <w:r w:rsidR="00052FF5">
        <w:t>i</w:t>
      </w:r>
      <w:r w:rsidR="000D510E">
        <w:t xml:space="preserve">f </w:t>
      </w:r>
      <w:r w:rsidR="00A6154A">
        <w:t xml:space="preserve">expected </w:t>
      </w:r>
      <w:r w:rsidR="00052FF5">
        <w:t>investment returns are</w:t>
      </w:r>
      <w:r w:rsidR="000D510E">
        <w:t xml:space="preserve"> </w:t>
      </w:r>
      <w:r w:rsidR="00A6154A">
        <w:t>increasing</w:t>
      </w:r>
      <w:r w:rsidR="00467412">
        <w:t>,</w:t>
      </w:r>
      <w:r w:rsidR="000D510E">
        <w:t xml:space="preserve"> </w:t>
      </w:r>
      <w:r w:rsidR="0069005A">
        <w:t>claimants who settle within the review period would be treated equally</w:t>
      </w:r>
      <w:r>
        <w:t>,</w:t>
      </w:r>
      <w:r w:rsidR="000D510E">
        <w:t xml:space="preserve"> </w:t>
      </w:r>
      <w:r w:rsidR="004A458E">
        <w:t>but those w</w:t>
      </w:r>
      <w:r w:rsidR="0069005A">
        <w:t xml:space="preserve">ho settle just before </w:t>
      </w:r>
      <w:r w:rsidR="004A458E">
        <w:t>a</w:t>
      </w:r>
      <w:r w:rsidR="0069005A">
        <w:t xml:space="preserve"> review </w:t>
      </w:r>
      <w:r w:rsidR="004A458E">
        <w:t>c</w:t>
      </w:r>
      <w:r w:rsidR="0069005A">
        <w:t xml:space="preserve">ould </w:t>
      </w:r>
      <w:r w:rsidR="0035120D">
        <w:t xml:space="preserve">receive a different amount of compensation </w:t>
      </w:r>
      <w:r w:rsidR="004A458E">
        <w:t xml:space="preserve">to those </w:t>
      </w:r>
      <w:r w:rsidR="0069005A">
        <w:t>who settle just afterwards.</w:t>
      </w:r>
      <w:r w:rsidR="00467412">
        <w:t xml:space="preserve"> There will be an associated effect on defendants.</w:t>
      </w:r>
    </w:p>
    <w:p w14:paraId="3C4AAEB8" w14:textId="1DBF2BBB" w:rsidR="002F1287" w:rsidRPr="00845357" w:rsidRDefault="002F1287" w:rsidP="002F1287">
      <w:pPr>
        <w:pStyle w:val="EBBodyPara"/>
        <w:keepNext/>
        <w:numPr>
          <w:ilvl w:val="0"/>
          <w:numId w:val="25"/>
        </w:numPr>
        <w:spacing w:before="240"/>
      </w:pPr>
      <w:r w:rsidRPr="00DD153B">
        <w:t xml:space="preserve">There may </w:t>
      </w:r>
      <w:r>
        <w:t xml:space="preserve">also </w:t>
      </w:r>
      <w:r w:rsidRPr="00DD153B">
        <w:t>be behavioural impacts that result from reviewing the rate at</w:t>
      </w:r>
      <w:r>
        <w:t xml:space="preserve"> least once every </w:t>
      </w:r>
      <w:r w:rsidR="00102616">
        <w:t>five</w:t>
      </w:r>
      <w:r>
        <w:t xml:space="preserve"> years. </w:t>
      </w:r>
      <w:r w:rsidRPr="00B6428D">
        <w:rPr>
          <w:bCs w:val="0"/>
        </w:rPr>
        <w:t xml:space="preserve">For example, in situations where </w:t>
      </w:r>
      <w:r>
        <w:rPr>
          <w:bCs w:val="0"/>
        </w:rPr>
        <w:t xml:space="preserve">the expected returns on a portfolio </w:t>
      </w:r>
      <w:r w:rsidRPr="00B6428D">
        <w:rPr>
          <w:bCs w:val="0"/>
        </w:rPr>
        <w:t xml:space="preserve">are falling, claimants may be incentivised to </w:t>
      </w:r>
      <w:r w:rsidRPr="006D5866">
        <w:rPr>
          <w:bCs w:val="0"/>
        </w:rPr>
        <w:t>delay</w:t>
      </w:r>
      <w:r w:rsidRPr="00400C96">
        <w:rPr>
          <w:bCs w:val="0"/>
        </w:rPr>
        <w:t xml:space="preserve"> settling a claim in the expectation that a review of the rate </w:t>
      </w:r>
      <w:r>
        <w:rPr>
          <w:bCs w:val="0"/>
        </w:rPr>
        <w:t>would</w:t>
      </w:r>
      <w:r w:rsidRPr="00400C96">
        <w:rPr>
          <w:bCs w:val="0"/>
        </w:rPr>
        <w:t xml:space="preserve"> mean they receive a larger lump sum</w:t>
      </w:r>
      <w:r w:rsidRPr="00460E07">
        <w:rPr>
          <w:bCs w:val="0"/>
        </w:rPr>
        <w:t xml:space="preserve">. </w:t>
      </w:r>
      <w:r>
        <w:rPr>
          <w:bCs w:val="0"/>
        </w:rPr>
        <w:t xml:space="preserve">Equally, in situations where the expected returns on a portfolio are increasing, defendants may be incentivised to delay settling, in the expectation that a review of the rate would mean their costs are lower. We regard these incentives to be modest under a </w:t>
      </w:r>
      <w:r w:rsidR="00102616">
        <w:rPr>
          <w:bCs w:val="0"/>
        </w:rPr>
        <w:t>five</w:t>
      </w:r>
      <w:r w:rsidR="00DE5139">
        <w:rPr>
          <w:bCs w:val="0"/>
        </w:rPr>
        <w:t>-</w:t>
      </w:r>
      <w:r>
        <w:rPr>
          <w:bCs w:val="0"/>
        </w:rPr>
        <w:t>year interval.</w:t>
      </w:r>
    </w:p>
    <w:p w14:paraId="37FEB176" w14:textId="19BF2897" w:rsidR="006F1688" w:rsidRDefault="006F1688" w:rsidP="006F1688">
      <w:pPr>
        <w:pStyle w:val="EBBodyPara"/>
        <w:keepNext/>
        <w:numPr>
          <w:ilvl w:val="0"/>
          <w:numId w:val="25"/>
        </w:numPr>
        <w:spacing w:before="240"/>
      </w:pPr>
      <w:r>
        <w:t xml:space="preserve">Nevertheless, both claimants and defendants will benefit from greater certainty in the timing of any review of the PIDR in comparison to the base case and </w:t>
      </w:r>
      <w:r w:rsidR="004A458E">
        <w:t xml:space="preserve">any </w:t>
      </w:r>
      <w:r>
        <w:t xml:space="preserve">inequities </w:t>
      </w:r>
      <w:r w:rsidR="005B2498">
        <w:t xml:space="preserve">and incentive impacts </w:t>
      </w:r>
      <w:r>
        <w:t xml:space="preserve">related to timing are likely to be small at a review interval of </w:t>
      </w:r>
      <w:r w:rsidR="00102616">
        <w:t>five</w:t>
      </w:r>
      <w:r>
        <w:t xml:space="preserve"> years. This conclusion is strengthened if it is assumed that the Lord Chancellor will exercise his or her discretion in reviewing the PIDR at shorter intervals than </w:t>
      </w:r>
      <w:r w:rsidR="00102616">
        <w:t>five</w:t>
      </w:r>
      <w:r>
        <w:t xml:space="preserve"> years should the rate of return on a low risk mixed portfolio be found to be diverging from those assumed in the PIDR. </w:t>
      </w:r>
    </w:p>
    <w:p w14:paraId="237A72F7" w14:textId="11AF376D" w:rsidR="0024209E" w:rsidRPr="00EB49FE" w:rsidRDefault="0024209E" w:rsidP="006F1688">
      <w:pPr>
        <w:pStyle w:val="EBBodyPara"/>
        <w:keepNext/>
        <w:numPr>
          <w:ilvl w:val="0"/>
          <w:numId w:val="25"/>
        </w:numPr>
        <w:spacing w:before="240"/>
      </w:pPr>
      <w:r w:rsidRPr="00EB49FE">
        <w:t>In preparation for a review of the PIDR, the Government will carry out or commission research and analysis in relation to the factors the Lord Chancellor might consider in setting the rate. This is estimated to cost between £250k and £320k at each review.</w:t>
      </w:r>
    </w:p>
    <w:p w14:paraId="0C041335" w14:textId="77777777" w:rsidR="00432D16" w:rsidRPr="00655E31" w:rsidRDefault="0069005A" w:rsidP="00432D16">
      <w:pPr>
        <w:pStyle w:val="Heading3"/>
        <w:spacing w:before="240"/>
      </w:pPr>
      <w:r w:rsidRPr="00B655C9">
        <w:rPr>
          <w:rFonts w:ascii="Arial" w:hAnsi="Arial" w:cs="Arial"/>
          <w:b/>
          <w:color w:val="auto"/>
          <w:sz w:val="22"/>
          <w:szCs w:val="22"/>
          <w:u w:val="single"/>
        </w:rPr>
        <w:t xml:space="preserve">Option 3: </w:t>
      </w:r>
      <w:r w:rsidR="00432D16" w:rsidRPr="00F54332">
        <w:rPr>
          <w:rFonts w:ascii="Arial" w:hAnsi="Arial" w:cs="Arial"/>
          <w:b/>
          <w:color w:val="auto"/>
          <w:sz w:val="22"/>
          <w:u w:val="single"/>
        </w:rPr>
        <w:t xml:space="preserve">Set up an expert panel </w:t>
      </w:r>
      <w:r w:rsidR="00D15B13">
        <w:rPr>
          <w:rFonts w:ascii="Arial" w:hAnsi="Arial" w:cs="Arial"/>
          <w:b/>
          <w:color w:val="auto"/>
          <w:sz w:val="22"/>
          <w:u w:val="single"/>
        </w:rPr>
        <w:t>for</w:t>
      </w:r>
      <w:r w:rsidR="00432D16" w:rsidRPr="00F54332">
        <w:rPr>
          <w:rFonts w:ascii="Arial" w:hAnsi="Arial" w:cs="Arial"/>
          <w:b/>
          <w:color w:val="auto"/>
          <w:sz w:val="22"/>
          <w:u w:val="single"/>
        </w:rPr>
        <w:t xml:space="preserve"> the Lord Chancellor </w:t>
      </w:r>
      <w:r w:rsidR="00D15B13">
        <w:rPr>
          <w:rFonts w:ascii="Arial" w:hAnsi="Arial" w:cs="Arial"/>
          <w:b/>
          <w:color w:val="auto"/>
          <w:sz w:val="22"/>
          <w:u w:val="single"/>
        </w:rPr>
        <w:t xml:space="preserve">to consult </w:t>
      </w:r>
      <w:r w:rsidR="00432D16" w:rsidRPr="00F54332">
        <w:rPr>
          <w:rFonts w:ascii="Arial" w:hAnsi="Arial" w:cs="Arial"/>
          <w:b/>
          <w:color w:val="auto"/>
          <w:sz w:val="22"/>
          <w:u w:val="single"/>
        </w:rPr>
        <w:t xml:space="preserve">on </w:t>
      </w:r>
      <w:r w:rsidR="00975564">
        <w:rPr>
          <w:rFonts w:ascii="Arial" w:hAnsi="Arial" w:cs="Arial"/>
          <w:b/>
          <w:color w:val="auto"/>
          <w:sz w:val="22"/>
          <w:u w:val="single"/>
        </w:rPr>
        <w:t>the issues to consider when setting the PIDR</w:t>
      </w:r>
      <w:r w:rsidR="00432D16" w:rsidRPr="00F54332">
        <w:rPr>
          <w:rFonts w:ascii="Arial" w:hAnsi="Arial" w:cs="Arial"/>
          <w:b/>
          <w:color w:val="auto"/>
          <w:sz w:val="22"/>
          <w:u w:val="single"/>
        </w:rPr>
        <w:t>.</w:t>
      </w:r>
    </w:p>
    <w:p w14:paraId="13617DA5" w14:textId="77777777" w:rsidR="0069005A" w:rsidRDefault="0069005A" w:rsidP="0069005A">
      <w:pPr>
        <w:pStyle w:val="Heading4"/>
        <w:spacing w:before="240"/>
        <w:rPr>
          <w:rFonts w:ascii="Arial" w:hAnsi="Arial" w:cs="Arial"/>
          <w:b/>
          <w:i w:val="0"/>
          <w:color w:val="auto"/>
        </w:rPr>
      </w:pPr>
      <w:r w:rsidRPr="00B655C9">
        <w:rPr>
          <w:rFonts w:ascii="Arial" w:hAnsi="Arial" w:cs="Arial"/>
          <w:b/>
          <w:i w:val="0"/>
          <w:color w:val="auto"/>
        </w:rPr>
        <w:t xml:space="preserve">Costs of Option </w:t>
      </w:r>
      <w:r>
        <w:rPr>
          <w:rFonts w:ascii="Arial" w:hAnsi="Arial" w:cs="Arial"/>
          <w:b/>
          <w:i w:val="0"/>
          <w:color w:val="auto"/>
        </w:rPr>
        <w:t>3</w:t>
      </w:r>
    </w:p>
    <w:p w14:paraId="1E1DEEEC" w14:textId="77777777" w:rsidR="0069005A" w:rsidRPr="00FF029C" w:rsidRDefault="0069005A" w:rsidP="0069005A">
      <w:pPr>
        <w:pStyle w:val="EBBodyPara"/>
        <w:keepNext/>
        <w:spacing w:before="240"/>
        <w:rPr>
          <w:i/>
        </w:rPr>
      </w:pPr>
      <w:r w:rsidRPr="00FF029C">
        <w:rPr>
          <w:i/>
        </w:rPr>
        <w:t>Expert Panel Members</w:t>
      </w:r>
    </w:p>
    <w:p w14:paraId="158E0C57" w14:textId="3D7BE732" w:rsidR="00B12186" w:rsidRPr="00EB49FE" w:rsidRDefault="00ED4ECE" w:rsidP="00B12186">
      <w:pPr>
        <w:pStyle w:val="Heading5"/>
        <w:numPr>
          <w:ilvl w:val="0"/>
          <w:numId w:val="25"/>
        </w:numPr>
        <w:spacing w:before="240"/>
        <w:rPr>
          <w:rFonts w:ascii="Arial" w:hAnsi="Arial" w:cs="Arial"/>
          <w:color w:val="auto"/>
        </w:rPr>
      </w:pPr>
      <w:r w:rsidRPr="00B12186">
        <w:rPr>
          <w:rFonts w:ascii="Arial" w:hAnsi="Arial" w:cs="Arial"/>
          <w:color w:val="auto"/>
        </w:rPr>
        <w:t>M</w:t>
      </w:r>
      <w:r w:rsidR="0069005A" w:rsidRPr="00B12186">
        <w:rPr>
          <w:rFonts w:ascii="Arial" w:hAnsi="Arial" w:cs="Arial"/>
          <w:color w:val="auto"/>
        </w:rPr>
        <w:t xml:space="preserve">embers of </w:t>
      </w:r>
      <w:r w:rsidRPr="00B12186">
        <w:rPr>
          <w:rFonts w:ascii="Arial" w:hAnsi="Arial" w:cs="Arial"/>
          <w:color w:val="auto"/>
        </w:rPr>
        <w:t>the</w:t>
      </w:r>
      <w:r w:rsidR="0069005A" w:rsidRPr="00B12186">
        <w:rPr>
          <w:rFonts w:ascii="Arial" w:hAnsi="Arial" w:cs="Arial"/>
          <w:color w:val="auto"/>
        </w:rPr>
        <w:t xml:space="preserve"> expert panel </w:t>
      </w:r>
      <w:r w:rsidR="000C2BD9" w:rsidRPr="00B12186">
        <w:rPr>
          <w:rFonts w:ascii="Arial" w:hAnsi="Arial" w:cs="Arial"/>
          <w:color w:val="auto"/>
        </w:rPr>
        <w:t>will</w:t>
      </w:r>
      <w:r w:rsidR="00E50B59" w:rsidRPr="00B12186">
        <w:rPr>
          <w:rFonts w:ascii="Arial" w:hAnsi="Arial" w:cs="Arial"/>
          <w:color w:val="auto"/>
        </w:rPr>
        <w:t xml:space="preserve"> be</w:t>
      </w:r>
      <w:r w:rsidR="0069005A" w:rsidRPr="00B12186">
        <w:rPr>
          <w:rFonts w:ascii="Arial" w:hAnsi="Arial" w:cs="Arial"/>
          <w:color w:val="auto"/>
        </w:rPr>
        <w:t xml:space="preserve"> remunerated for their time. </w:t>
      </w:r>
      <w:r w:rsidR="00C52A7C" w:rsidRPr="00EB49FE">
        <w:rPr>
          <w:rFonts w:ascii="Arial" w:hAnsi="Arial" w:cs="Arial"/>
          <w:color w:val="auto"/>
        </w:rPr>
        <w:t xml:space="preserve">Appointed members of the panel are expected to receive approximately £300 in remuneration for each day’s work, up to a maximum of 90 days. </w:t>
      </w:r>
      <w:r w:rsidR="0069005A" w:rsidRPr="00EB49FE">
        <w:rPr>
          <w:rFonts w:ascii="Arial" w:hAnsi="Arial" w:cs="Arial"/>
          <w:color w:val="auto"/>
        </w:rPr>
        <w:t xml:space="preserve"> </w:t>
      </w:r>
    </w:p>
    <w:p w14:paraId="6F552821" w14:textId="04ADAB37" w:rsidR="0069005A" w:rsidRPr="007773AE" w:rsidRDefault="0069005A" w:rsidP="007773AE">
      <w:pPr>
        <w:pStyle w:val="Heading5"/>
        <w:spacing w:before="240"/>
        <w:rPr>
          <w:rFonts w:ascii="Arial" w:hAnsi="Arial" w:cs="Arial"/>
          <w:i/>
          <w:color w:val="auto"/>
        </w:rPr>
      </w:pPr>
      <w:r w:rsidRPr="007773AE">
        <w:rPr>
          <w:rFonts w:ascii="Arial" w:hAnsi="Arial" w:cs="Arial"/>
          <w:i/>
          <w:color w:val="auto"/>
        </w:rPr>
        <w:t>Claimants and defendants</w:t>
      </w:r>
    </w:p>
    <w:p w14:paraId="30F175FF" w14:textId="77777777" w:rsidR="0069005A" w:rsidRPr="00651181" w:rsidRDefault="0069005A" w:rsidP="0069005A">
      <w:pPr>
        <w:pStyle w:val="EBBodyPara"/>
        <w:keepNext/>
        <w:numPr>
          <w:ilvl w:val="0"/>
          <w:numId w:val="25"/>
        </w:numPr>
        <w:spacing w:before="240"/>
      </w:pPr>
      <w:r>
        <w:t xml:space="preserve">Claimants and defendants </w:t>
      </w:r>
      <w:r w:rsidR="000C2BD9">
        <w:t>will</w:t>
      </w:r>
      <w:r>
        <w:t xml:space="preserve"> not be </w:t>
      </w:r>
      <w:r w:rsidR="00C564C2">
        <w:t xml:space="preserve">directly </w:t>
      </w:r>
      <w:r>
        <w:t xml:space="preserve">affected by the </w:t>
      </w:r>
      <w:r w:rsidR="00C564C2">
        <w:t>establishment</w:t>
      </w:r>
      <w:r>
        <w:t xml:space="preserve"> of a</w:t>
      </w:r>
      <w:r w:rsidR="00E853BE">
        <w:t>n expert</w:t>
      </w:r>
      <w:r>
        <w:t xml:space="preserve"> panel</w:t>
      </w:r>
      <w:r w:rsidR="00C564C2">
        <w:t xml:space="preserve"> although they should benefit indirectly from its expertise </w:t>
      </w:r>
      <w:r w:rsidR="00942B81">
        <w:t>when</w:t>
      </w:r>
      <w:r w:rsidR="00C564C2">
        <w:t xml:space="preserve"> the Lord Chancellor consult</w:t>
      </w:r>
      <w:r w:rsidR="00942B81">
        <w:t>s</w:t>
      </w:r>
      <w:r w:rsidR="00C564C2">
        <w:t xml:space="preserve"> it with regarding to the issues he/she should consider when setting the rate</w:t>
      </w:r>
      <w:r w:rsidR="002E741B">
        <w:t>.</w:t>
      </w:r>
      <w:r>
        <w:t xml:space="preserve"> </w:t>
      </w:r>
    </w:p>
    <w:p w14:paraId="3A4882CA" w14:textId="77777777" w:rsidR="0069005A" w:rsidRPr="00B655C9" w:rsidRDefault="0069005A" w:rsidP="0069005A">
      <w:pPr>
        <w:pStyle w:val="Heading5"/>
        <w:spacing w:before="240"/>
        <w:rPr>
          <w:rFonts w:ascii="Arial" w:hAnsi="Arial" w:cs="Arial"/>
          <w:i/>
          <w:color w:val="auto"/>
        </w:rPr>
      </w:pPr>
      <w:r w:rsidRPr="00B655C9">
        <w:rPr>
          <w:rFonts w:ascii="Arial" w:hAnsi="Arial" w:cs="Arial"/>
          <w:i/>
          <w:color w:val="auto"/>
        </w:rPr>
        <w:t>Ministry of Justice</w:t>
      </w:r>
    </w:p>
    <w:p w14:paraId="0ACE6058" w14:textId="5584F79B" w:rsidR="0069005A" w:rsidRPr="007773AE" w:rsidRDefault="0024209E" w:rsidP="00EE0760">
      <w:pPr>
        <w:pStyle w:val="ListParagraph"/>
        <w:keepNext/>
        <w:numPr>
          <w:ilvl w:val="0"/>
          <w:numId w:val="25"/>
        </w:numPr>
        <w:spacing w:before="240"/>
      </w:pPr>
      <w:r w:rsidRPr="00EB49FE">
        <w:rPr>
          <w:rFonts w:ascii="Arial" w:hAnsi="Arial" w:cs="Arial"/>
        </w:rPr>
        <w:t xml:space="preserve">There </w:t>
      </w:r>
      <w:r w:rsidR="00937AD4">
        <w:rPr>
          <w:rFonts w:ascii="Arial" w:hAnsi="Arial" w:cs="Arial"/>
        </w:rPr>
        <w:t>will</w:t>
      </w:r>
      <w:r w:rsidRPr="00EB49FE">
        <w:rPr>
          <w:rFonts w:ascii="Arial" w:hAnsi="Arial" w:cs="Arial"/>
        </w:rPr>
        <w:t xml:space="preserve"> be administrative costs in relation to setting up and maintaining an expert panel. Such costs are estimated to be between £40k and £50k for the public appointments process.</w:t>
      </w:r>
      <w:r>
        <w:rPr>
          <w:rFonts w:cs="Arial"/>
          <w:sz w:val="20"/>
        </w:rPr>
        <w:t xml:space="preserve"> </w:t>
      </w:r>
      <w:bookmarkStart w:id="22" w:name="_Hlk517688686"/>
      <w:r>
        <w:rPr>
          <w:rFonts w:cs="Arial"/>
          <w:sz w:val="20"/>
        </w:rPr>
        <w:t xml:space="preserve"> </w:t>
      </w:r>
      <w:bookmarkEnd w:id="22"/>
      <w:r w:rsidR="00B274CE" w:rsidRPr="007773AE">
        <w:rPr>
          <w:rFonts w:ascii="Arial" w:eastAsia="Times New Roman" w:hAnsi="Arial" w:cs="Arial"/>
          <w:bCs/>
          <w:color w:val="000000"/>
          <w:lang w:eastAsia="en-GB"/>
        </w:rPr>
        <w:t xml:space="preserve">Additional costs may arise if multiple panels are established to review more than one PIDR.  </w:t>
      </w:r>
      <w:r w:rsidR="0069005A" w:rsidRPr="007773AE">
        <w:rPr>
          <w:rFonts w:ascii="Arial" w:eastAsia="Times New Roman" w:hAnsi="Arial" w:cs="Arial"/>
          <w:bCs/>
          <w:color w:val="000000"/>
          <w:lang w:eastAsia="en-GB"/>
        </w:rPr>
        <w:t xml:space="preserve"> </w:t>
      </w:r>
    </w:p>
    <w:p w14:paraId="2A52C518" w14:textId="77777777" w:rsidR="0069005A" w:rsidRPr="00B655C9" w:rsidRDefault="0069005A" w:rsidP="0069005A">
      <w:pPr>
        <w:pStyle w:val="Heading5"/>
        <w:spacing w:before="240"/>
        <w:rPr>
          <w:rFonts w:ascii="Arial" w:hAnsi="Arial" w:cs="Arial"/>
          <w:i/>
        </w:rPr>
      </w:pPr>
      <w:r w:rsidRPr="00B655C9">
        <w:rPr>
          <w:rFonts w:ascii="Arial" w:hAnsi="Arial" w:cs="Arial"/>
          <w:i/>
          <w:color w:val="auto"/>
        </w:rPr>
        <w:t>Third parties commissioned by the panel</w:t>
      </w:r>
    </w:p>
    <w:p w14:paraId="445FFB3E" w14:textId="691BCB79" w:rsidR="0069005A" w:rsidRDefault="00B274CE" w:rsidP="0069005A">
      <w:pPr>
        <w:pStyle w:val="EBBodyPara"/>
        <w:keepNext/>
        <w:numPr>
          <w:ilvl w:val="0"/>
          <w:numId w:val="25"/>
        </w:numPr>
        <w:spacing w:before="240"/>
      </w:pPr>
      <w:r>
        <w:t>I</w:t>
      </w:r>
      <w:r w:rsidR="0069005A">
        <w:t>t is possible th</w:t>
      </w:r>
      <w:r w:rsidR="000C2BD9">
        <w:t xml:space="preserve">at </w:t>
      </w:r>
      <w:r>
        <w:t>the panel</w:t>
      </w:r>
      <w:r w:rsidR="0069005A">
        <w:t xml:space="preserve"> may commission third parties to provide investment data or analysis for informing </w:t>
      </w:r>
      <w:r>
        <w:t xml:space="preserve">the Lord Chancellor’s </w:t>
      </w:r>
      <w:r w:rsidR="0069005A">
        <w:t xml:space="preserve">decision on what the </w:t>
      </w:r>
      <w:r w:rsidR="006E6A99">
        <w:t>PIDR</w:t>
      </w:r>
      <w:r w:rsidR="0069005A">
        <w:t xml:space="preserve"> should be. The costs of ongoing administration </w:t>
      </w:r>
      <w:r w:rsidR="00937AD4">
        <w:t>will</w:t>
      </w:r>
      <w:r w:rsidR="0069005A">
        <w:t xml:space="preserve"> depend on the mechanism for setting the rate. </w:t>
      </w:r>
    </w:p>
    <w:p w14:paraId="313644FA" w14:textId="77777777" w:rsidR="0069005A" w:rsidRPr="00B655C9" w:rsidRDefault="0069005A" w:rsidP="0069005A">
      <w:pPr>
        <w:pStyle w:val="Heading4"/>
        <w:spacing w:before="240"/>
        <w:rPr>
          <w:rFonts w:ascii="Arial" w:hAnsi="Arial" w:cs="Arial"/>
          <w:b/>
          <w:i w:val="0"/>
          <w:color w:val="auto"/>
        </w:rPr>
      </w:pPr>
      <w:r w:rsidRPr="00B655C9">
        <w:rPr>
          <w:rFonts w:ascii="Arial" w:hAnsi="Arial" w:cs="Arial"/>
          <w:b/>
          <w:i w:val="0"/>
          <w:color w:val="auto"/>
        </w:rPr>
        <w:t xml:space="preserve">Benefits of Option </w:t>
      </w:r>
      <w:r>
        <w:rPr>
          <w:rFonts w:ascii="Arial" w:hAnsi="Arial" w:cs="Arial"/>
          <w:b/>
          <w:i w:val="0"/>
          <w:color w:val="auto"/>
        </w:rPr>
        <w:t>3</w:t>
      </w:r>
    </w:p>
    <w:p w14:paraId="0A01014B" w14:textId="77777777" w:rsidR="0069005A" w:rsidRPr="00FF029C" w:rsidRDefault="0069005A" w:rsidP="0069005A">
      <w:pPr>
        <w:pStyle w:val="EBBodyPara"/>
        <w:keepNext/>
        <w:spacing w:before="240"/>
        <w:rPr>
          <w:i/>
        </w:rPr>
      </w:pPr>
      <w:r w:rsidRPr="00FF029C">
        <w:rPr>
          <w:i/>
        </w:rPr>
        <w:t>Ministry of Justice</w:t>
      </w:r>
    </w:p>
    <w:p w14:paraId="639B3EE2" w14:textId="6A59DCD0" w:rsidR="0069005A" w:rsidRPr="00651181" w:rsidRDefault="0069005A" w:rsidP="0069005A">
      <w:pPr>
        <w:pStyle w:val="EBBodyPara"/>
        <w:keepNext/>
        <w:numPr>
          <w:ilvl w:val="0"/>
          <w:numId w:val="25"/>
        </w:numPr>
        <w:spacing w:before="240"/>
      </w:pPr>
      <w:r>
        <w:t>The M</w:t>
      </w:r>
      <w:r w:rsidR="00937AD4">
        <w:t>oJ</w:t>
      </w:r>
      <w:r>
        <w:t xml:space="preserve"> </w:t>
      </w:r>
      <w:r w:rsidR="000C2BD9">
        <w:t>will</w:t>
      </w:r>
      <w:r>
        <w:t xml:space="preserve"> benefit from the independence of using a panel of experts when setting the PIDR.</w:t>
      </w:r>
    </w:p>
    <w:p w14:paraId="55C85D7C" w14:textId="77777777" w:rsidR="0069005A" w:rsidRPr="00D11650" w:rsidRDefault="0069005A" w:rsidP="0069005A">
      <w:pPr>
        <w:pStyle w:val="Heading2"/>
        <w:spacing w:before="360"/>
        <w:rPr>
          <w:b/>
          <w:sz w:val="28"/>
          <w:szCs w:val="28"/>
        </w:rPr>
      </w:pPr>
      <w:r w:rsidRPr="00D11650">
        <w:rPr>
          <w:b/>
          <w:sz w:val="28"/>
          <w:szCs w:val="28"/>
        </w:rPr>
        <w:t>F</w:t>
      </w:r>
      <w:r w:rsidRPr="00651181">
        <w:t xml:space="preserve">. </w:t>
      </w:r>
      <w:r w:rsidRPr="00D11650">
        <w:rPr>
          <w:b/>
          <w:sz w:val="28"/>
          <w:szCs w:val="28"/>
        </w:rPr>
        <w:t xml:space="preserve">Assumptions and Risks </w:t>
      </w:r>
    </w:p>
    <w:p w14:paraId="02B741C8" w14:textId="77777777" w:rsidR="0069005A" w:rsidRDefault="0069005A" w:rsidP="0069005A">
      <w:pPr>
        <w:pStyle w:val="EBBodyPara"/>
        <w:keepNext/>
        <w:numPr>
          <w:ilvl w:val="0"/>
          <w:numId w:val="25"/>
        </w:numPr>
      </w:pPr>
      <w:r>
        <w:t>In this section</w:t>
      </w:r>
      <w:r w:rsidR="005273C1">
        <w:t>,</w:t>
      </w:r>
      <w:r>
        <w:t xml:space="preserve"> we outline the </w:t>
      </w:r>
      <w:r w:rsidR="00F82492">
        <w:t xml:space="preserve">main </w:t>
      </w:r>
      <w:r>
        <w:t>assumptions that have been made in preparing the analysis presented above and any risks associated with these.</w:t>
      </w:r>
    </w:p>
    <w:p w14:paraId="4B634011" w14:textId="00449D69" w:rsidR="0069005A" w:rsidRDefault="0069005A" w:rsidP="0069005A">
      <w:pPr>
        <w:pStyle w:val="EBBodyPara"/>
        <w:keepNext/>
        <w:numPr>
          <w:ilvl w:val="0"/>
          <w:numId w:val="29"/>
        </w:numPr>
        <w:spacing w:before="240"/>
      </w:pPr>
      <w:r>
        <w:t>We assume the</w:t>
      </w:r>
      <w:r w:rsidRPr="008B7EC0">
        <w:t xml:space="preserve"> volume of </w:t>
      </w:r>
      <w:r>
        <w:t xml:space="preserve">personal injury claims subject to the </w:t>
      </w:r>
      <w:r w:rsidR="006E6A99">
        <w:t>PIDR</w:t>
      </w:r>
      <w:r w:rsidRPr="008B7EC0">
        <w:t xml:space="preserve"> will not change under</w:t>
      </w:r>
      <w:r>
        <w:t xml:space="preserve"> </w:t>
      </w:r>
      <w:r w:rsidR="00937AD4">
        <w:t xml:space="preserve">the preferred </w:t>
      </w:r>
      <w:r>
        <w:t>options. Claims for which future pecuniary loss is relevant are made regardless of the value of the lump sum expected.</w:t>
      </w:r>
    </w:p>
    <w:p w14:paraId="399D9EAD" w14:textId="4BEE9CC8" w:rsidR="0069005A" w:rsidRDefault="0069005A" w:rsidP="0069005A">
      <w:pPr>
        <w:pStyle w:val="EBBodyPara"/>
        <w:keepNext/>
        <w:numPr>
          <w:ilvl w:val="0"/>
          <w:numId w:val="29"/>
        </w:numPr>
      </w:pPr>
      <w:r>
        <w:t>We assume the volume of claims reaching the latter court stages is constant. The courts are not affected</w:t>
      </w:r>
      <w:r w:rsidR="003F2E4D">
        <w:t xml:space="preserve"> materially</w:t>
      </w:r>
      <w:r>
        <w:t xml:space="preserve"> </w:t>
      </w:r>
      <w:r w:rsidR="000C0F2C">
        <w:t>by the</w:t>
      </w:r>
      <w:r w:rsidR="00937AD4">
        <w:t xml:space="preserve"> preferred options</w:t>
      </w:r>
      <w:r>
        <w:t>.</w:t>
      </w:r>
    </w:p>
    <w:p w14:paraId="6EDD1CCD" w14:textId="77777777" w:rsidR="0069005A" w:rsidRDefault="0069005A" w:rsidP="0069005A">
      <w:pPr>
        <w:pStyle w:val="EBBodyPara"/>
        <w:keepNext/>
        <w:numPr>
          <w:ilvl w:val="0"/>
          <w:numId w:val="29"/>
        </w:numPr>
      </w:pPr>
      <w:r>
        <w:t xml:space="preserve">We assume a change in the legal framework under Option 1 will lead to an increase in the </w:t>
      </w:r>
      <w:r w:rsidR="006E6A99">
        <w:t>PIDR</w:t>
      </w:r>
      <w:r>
        <w:t xml:space="preserve"> with respect to Option 0. </w:t>
      </w:r>
    </w:p>
    <w:p w14:paraId="33A6C907" w14:textId="76A12D2F" w:rsidR="0069005A" w:rsidRDefault="0069005A" w:rsidP="0069005A">
      <w:pPr>
        <w:pStyle w:val="EBBodyPara"/>
        <w:keepNext/>
        <w:numPr>
          <w:ilvl w:val="0"/>
          <w:numId w:val="29"/>
        </w:numPr>
      </w:pPr>
      <w:r>
        <w:t xml:space="preserve">The benefits to wider society under Option 1 in terms of lower insurance premiums is based on the assumption that insurance companies </w:t>
      </w:r>
      <w:r w:rsidR="00937AD4">
        <w:t xml:space="preserve">will </w:t>
      </w:r>
      <w:r>
        <w:t>pass their savings from paying out lower lump sums onto consumers</w:t>
      </w:r>
      <w:r w:rsidR="00A0512E">
        <w:t xml:space="preserve"> (see paragraph 25)</w:t>
      </w:r>
      <w:r w:rsidR="003F2E4D">
        <w:t>.</w:t>
      </w:r>
      <w:r>
        <w:t xml:space="preserve"> </w:t>
      </w:r>
    </w:p>
    <w:p w14:paraId="207AE265" w14:textId="7F09D0F7" w:rsidR="0069005A" w:rsidRDefault="0069005A" w:rsidP="0069005A">
      <w:pPr>
        <w:pStyle w:val="EBBodyPara"/>
        <w:keepNext/>
        <w:numPr>
          <w:ilvl w:val="0"/>
          <w:numId w:val="29"/>
        </w:numPr>
      </w:pPr>
      <w:r>
        <w:t xml:space="preserve">There is a risk that some claimants may be unwilling to assume more risk, even if the principles adopted </w:t>
      </w:r>
      <w:r w:rsidR="00A0512E">
        <w:t xml:space="preserve">assume </w:t>
      </w:r>
      <w:r>
        <w:t xml:space="preserve">a prudent investor in their situation </w:t>
      </w:r>
      <w:r w:rsidR="00A0512E">
        <w:t xml:space="preserve">would be willing </w:t>
      </w:r>
      <w:r>
        <w:t xml:space="preserve">to bear the assumed risk. Where this happens, the return would not match the </w:t>
      </w:r>
      <w:r w:rsidR="006E6A99">
        <w:t>PIDR</w:t>
      </w:r>
      <w:r>
        <w:t xml:space="preserve"> and the individual would run out of money before the expected term of the award. This </w:t>
      </w:r>
      <w:r w:rsidR="00A0512E">
        <w:t>c</w:t>
      </w:r>
      <w:r>
        <w:t xml:space="preserve">ould lead to more individuals relying </w:t>
      </w:r>
      <w:r w:rsidR="00CA049E">
        <w:t xml:space="preserve">solely </w:t>
      </w:r>
      <w:r>
        <w:t>on the NHS</w:t>
      </w:r>
      <w:r w:rsidR="00CA049E">
        <w:t xml:space="preserve"> and on other government transfers</w:t>
      </w:r>
      <w:r>
        <w:t xml:space="preserve"> at the end of their awards with associated costs to the tax payer.</w:t>
      </w:r>
    </w:p>
    <w:p w14:paraId="254BEFCB" w14:textId="5039D312" w:rsidR="0069005A" w:rsidRDefault="0069005A" w:rsidP="0069005A">
      <w:pPr>
        <w:pStyle w:val="EBBodyPara"/>
        <w:keepNext/>
        <w:numPr>
          <w:ilvl w:val="0"/>
          <w:numId w:val="29"/>
        </w:numPr>
      </w:pPr>
      <w:r>
        <w:t xml:space="preserve">An increase in the </w:t>
      </w:r>
      <w:r w:rsidR="006E6A99">
        <w:t>PIDR</w:t>
      </w:r>
      <w:r>
        <w:t xml:space="preserve"> may make PPOs more attractive to claimants, which </w:t>
      </w:r>
      <w:r w:rsidR="00A0512E">
        <w:t>c</w:t>
      </w:r>
      <w:r>
        <w:t xml:space="preserve">ould </w:t>
      </w:r>
      <w:r w:rsidR="00365243">
        <w:t xml:space="preserve">mean some </w:t>
      </w:r>
      <w:r>
        <w:t xml:space="preserve">defendants </w:t>
      </w:r>
      <w:r w:rsidR="00365243">
        <w:t>face higher costs</w:t>
      </w:r>
      <w:r>
        <w:t xml:space="preserve">. This </w:t>
      </w:r>
      <w:r w:rsidR="00A0512E">
        <w:t xml:space="preserve">will be </w:t>
      </w:r>
      <w:r>
        <w:t>offset, however, by the reduced lump sums they w</w:t>
      </w:r>
      <w:r w:rsidR="00A0512E">
        <w:t>ill</w:t>
      </w:r>
      <w:r>
        <w:t xml:space="preserve"> pay in other cases.</w:t>
      </w:r>
    </w:p>
    <w:p w14:paraId="6D3B13F0" w14:textId="5E5AF446" w:rsidR="00F82492" w:rsidRDefault="00F82492" w:rsidP="0069005A">
      <w:pPr>
        <w:pStyle w:val="EBBodyPara"/>
        <w:keepNext/>
        <w:numPr>
          <w:ilvl w:val="0"/>
          <w:numId w:val="29"/>
        </w:numPr>
      </w:pPr>
      <w:r>
        <w:t xml:space="preserve">There is risk that claimants or defendants may be affected abruptly by changes to the </w:t>
      </w:r>
      <w:r w:rsidR="006C5A8A">
        <w:t>PIDR</w:t>
      </w:r>
      <w:r>
        <w:t xml:space="preserve"> or that they may seek to delay settlement if they anticipate a pending review will produce a </w:t>
      </w:r>
      <w:r w:rsidR="006C5A8A">
        <w:t>PIDR</w:t>
      </w:r>
      <w:r w:rsidR="00A0512E">
        <w:t xml:space="preserve"> more</w:t>
      </w:r>
      <w:r>
        <w:t xml:space="preserve"> advantageous to themselves. </w:t>
      </w:r>
      <w:r>
        <w:rPr>
          <w:bCs w:val="0"/>
        </w:rPr>
        <w:t xml:space="preserve">We regard these risks to be modest under a </w:t>
      </w:r>
      <w:r w:rsidR="006C5A8A">
        <w:rPr>
          <w:bCs w:val="0"/>
        </w:rPr>
        <w:t>five</w:t>
      </w:r>
      <w:r w:rsidR="005273C1">
        <w:rPr>
          <w:bCs w:val="0"/>
        </w:rPr>
        <w:t>-</w:t>
      </w:r>
      <w:r>
        <w:rPr>
          <w:bCs w:val="0"/>
        </w:rPr>
        <w:t>year interval. The risks are further mitigated by t</w:t>
      </w:r>
      <w:r>
        <w:t xml:space="preserve">he discretion of the Lord Chancellor to review the rate at an interval less than </w:t>
      </w:r>
      <w:r w:rsidR="006C5A8A">
        <w:t>five</w:t>
      </w:r>
      <w:r>
        <w:t xml:space="preserve"> year</w:t>
      </w:r>
      <w:r w:rsidR="006C5A8A">
        <w:t>s</w:t>
      </w:r>
      <w:r>
        <w:t>, if deemed appropriate.</w:t>
      </w:r>
    </w:p>
    <w:p w14:paraId="0E78CC30" w14:textId="77777777" w:rsidR="0069005A" w:rsidRPr="00D11650" w:rsidRDefault="0069005A" w:rsidP="0069005A">
      <w:pPr>
        <w:pStyle w:val="Heading2"/>
        <w:spacing w:before="360"/>
        <w:rPr>
          <w:sz w:val="22"/>
        </w:rPr>
      </w:pPr>
      <w:r w:rsidRPr="00D11650">
        <w:rPr>
          <w:b/>
          <w:sz w:val="28"/>
          <w:szCs w:val="28"/>
        </w:rPr>
        <w:t xml:space="preserve">G. Direct costs and benefits to business calculations (following </w:t>
      </w:r>
      <w:r>
        <w:rPr>
          <w:b/>
          <w:sz w:val="28"/>
          <w:szCs w:val="28"/>
        </w:rPr>
        <w:t>the Better Regulation Framework and Business Impact Target (</w:t>
      </w:r>
      <w:r w:rsidRPr="00D11650">
        <w:rPr>
          <w:b/>
          <w:sz w:val="28"/>
          <w:szCs w:val="28"/>
        </w:rPr>
        <w:t>BIT</w:t>
      </w:r>
      <w:r>
        <w:rPr>
          <w:b/>
          <w:sz w:val="28"/>
          <w:szCs w:val="28"/>
        </w:rPr>
        <w:t>)</w:t>
      </w:r>
      <w:r w:rsidRPr="00D11650">
        <w:rPr>
          <w:b/>
          <w:sz w:val="28"/>
          <w:szCs w:val="28"/>
        </w:rPr>
        <w:t xml:space="preserve"> methodology)</w:t>
      </w:r>
      <w:r w:rsidRPr="00D11650">
        <w:rPr>
          <w:sz w:val="22"/>
        </w:rPr>
        <w:t xml:space="preserve"> </w:t>
      </w:r>
    </w:p>
    <w:p w14:paraId="4B3DF36D" w14:textId="77777777" w:rsidR="0069005A" w:rsidRDefault="0069005A" w:rsidP="0069005A">
      <w:pPr>
        <w:pStyle w:val="EBBodyPara"/>
        <w:keepNext/>
        <w:numPr>
          <w:ilvl w:val="0"/>
          <w:numId w:val="25"/>
        </w:numPr>
        <w:spacing w:before="240"/>
      </w:pPr>
      <w:r>
        <w:t xml:space="preserve">The change to the way that the </w:t>
      </w:r>
      <w:r w:rsidR="006E6A99">
        <w:t>PIDR</w:t>
      </w:r>
      <w:r>
        <w:t xml:space="preserve"> is set under Options 1 and 2 do not qualify as regulatory provisions and do not meet this definition under s22 of the Small Business, Enterprise and Employment Act (2015). Accordingly, Options 1 and 2 would have no direct impact on business for the purposes of the BIT.</w:t>
      </w:r>
    </w:p>
    <w:p w14:paraId="22B079F6" w14:textId="77777777" w:rsidR="0069005A" w:rsidRDefault="0069005A" w:rsidP="0069005A">
      <w:pPr>
        <w:pStyle w:val="EBBodyPara"/>
        <w:keepNext/>
        <w:numPr>
          <w:ilvl w:val="0"/>
          <w:numId w:val="25"/>
        </w:numPr>
        <w:spacing w:before="240"/>
      </w:pPr>
      <w:r>
        <w:t>With regard to s22(3)(a), which defines a regulatory provision in relation to a business activity as one which ‘imposes or amends requirements, restrictions or conditions, or sets or amends standards or gives or amends guidance in relation to the activity’; the guidance the Lord Chancellor is amending solely relates to the court’s role in awarding damages and is not guidance on how to carry out a business activity.  While the application of the guidance by courts may have knock</w:t>
      </w:r>
      <w:r w:rsidR="003F2E4D">
        <w:t>-</w:t>
      </w:r>
      <w:r>
        <w:t xml:space="preserve">on consequences for business (e.g. lower </w:t>
      </w:r>
      <w:r w:rsidR="000C2BD9">
        <w:t>lump sum settlements for</w:t>
      </w:r>
      <w:r>
        <w:t xml:space="preserve"> insurers or lower insurance premiums for businesses) this does not mean the Government is giving guidance on business activities.</w:t>
      </w:r>
    </w:p>
    <w:p w14:paraId="67439247" w14:textId="77777777" w:rsidR="0069005A" w:rsidRDefault="0069005A" w:rsidP="0069005A">
      <w:pPr>
        <w:pStyle w:val="EBBodyPara"/>
        <w:keepNext/>
        <w:numPr>
          <w:ilvl w:val="0"/>
          <w:numId w:val="25"/>
        </w:numPr>
        <w:spacing w:before="240"/>
      </w:pPr>
      <w:r>
        <w:t>With regard to s22(3)(b), which also defines a regulatory provision as one</w:t>
      </w:r>
      <w:r w:rsidRPr="002C5BF5">
        <w:t xml:space="preserve"> </w:t>
      </w:r>
      <w:r>
        <w:t>‘relating to the securing of compliance with, or the enforcement of, requirements, restrictions’, etc., while the damages that a court awards in a personal injury case might have an indirect effect on business compliance, the court’s role in awarding damages is about compensating the victim rather than ensuring any future regulatory compliance.</w:t>
      </w:r>
      <w:r w:rsidR="00B274CE">
        <w:t xml:space="preserve"> </w:t>
      </w:r>
    </w:p>
    <w:p w14:paraId="264FABAD" w14:textId="77777777" w:rsidR="0069005A" w:rsidRDefault="000C2BD9" w:rsidP="0069005A">
      <w:pPr>
        <w:pStyle w:val="EBBodyPara"/>
        <w:keepNext/>
        <w:numPr>
          <w:ilvl w:val="0"/>
          <w:numId w:val="25"/>
        </w:numPr>
        <w:spacing w:before="240"/>
      </w:pPr>
      <w:r>
        <w:t xml:space="preserve">Establishing the expert panel </w:t>
      </w:r>
      <w:r w:rsidR="0069005A">
        <w:t xml:space="preserve">under Option 3 </w:t>
      </w:r>
      <w:r>
        <w:t>will</w:t>
      </w:r>
      <w:r w:rsidR="0069005A">
        <w:t xml:space="preserve"> also be out of scope of the BIT</w:t>
      </w:r>
      <w:r w:rsidR="00B274CE">
        <w:t>.</w:t>
      </w:r>
    </w:p>
    <w:p w14:paraId="5979C551" w14:textId="77777777" w:rsidR="0069005A" w:rsidRPr="000D0091" w:rsidRDefault="0069005A" w:rsidP="0069005A">
      <w:pPr>
        <w:pStyle w:val="Heading2"/>
        <w:spacing w:before="360"/>
        <w:rPr>
          <w:b/>
          <w:sz w:val="28"/>
          <w:szCs w:val="28"/>
        </w:rPr>
      </w:pPr>
      <w:r>
        <w:rPr>
          <w:b/>
          <w:sz w:val="28"/>
          <w:szCs w:val="28"/>
        </w:rPr>
        <w:t>H</w:t>
      </w:r>
      <w:r w:rsidRPr="00D11650">
        <w:rPr>
          <w:b/>
          <w:sz w:val="28"/>
          <w:szCs w:val="28"/>
        </w:rPr>
        <w:t xml:space="preserve">. Wider impacts </w:t>
      </w:r>
    </w:p>
    <w:p w14:paraId="2F939A7B" w14:textId="77777777" w:rsidR="0069005A" w:rsidRDefault="0069005A" w:rsidP="0069005A">
      <w:pPr>
        <w:pStyle w:val="EBBodyPara"/>
        <w:keepNext/>
        <w:numPr>
          <w:ilvl w:val="0"/>
          <w:numId w:val="25"/>
        </w:numPr>
        <w:spacing w:before="240"/>
      </w:pPr>
      <w:r>
        <w:t xml:space="preserve">We have identified that the </w:t>
      </w:r>
      <w:r w:rsidR="00E95A7D">
        <w:t xml:space="preserve">policy options outlines above </w:t>
      </w:r>
      <w:r>
        <w:t>may have equality impacts</w:t>
      </w:r>
      <w:r w:rsidR="00E95A7D">
        <w:t xml:space="preserve"> and have set these out in the equalities impact assessment.</w:t>
      </w:r>
    </w:p>
    <w:p w14:paraId="4C9A234B" w14:textId="77777777" w:rsidR="0069005A" w:rsidRPr="00C57020" w:rsidRDefault="0069005A" w:rsidP="00C01E75">
      <w:pPr>
        <w:pStyle w:val="EBBodyPara"/>
        <w:keepNext/>
        <w:spacing w:before="240"/>
      </w:pPr>
      <w:r w:rsidRPr="00D45075">
        <w:rPr>
          <w:rFonts w:eastAsiaTheme="majorEastAsia"/>
          <w:i/>
          <w:color w:val="auto"/>
          <w:lang w:eastAsia="en-US"/>
        </w:rPr>
        <w:t>Small and micro business assessment (SaMBA)</w:t>
      </w:r>
      <w:r>
        <w:rPr>
          <w:rFonts w:eastAsiaTheme="majorEastAsia"/>
          <w:i/>
          <w:color w:val="auto"/>
          <w:lang w:eastAsia="en-US"/>
        </w:rPr>
        <w:t xml:space="preserve">. </w:t>
      </w:r>
    </w:p>
    <w:p w14:paraId="5048E071" w14:textId="77777777" w:rsidR="00530052" w:rsidRDefault="0069005A" w:rsidP="00530052">
      <w:pPr>
        <w:pStyle w:val="EBBodyPara"/>
        <w:keepNext/>
        <w:numPr>
          <w:ilvl w:val="0"/>
          <w:numId w:val="25"/>
        </w:numPr>
        <w:spacing w:before="240"/>
      </w:pPr>
      <w:r>
        <w:t xml:space="preserve">We have carried out a competition assessment and do not anticipate that the choice of the parameters for setting the </w:t>
      </w:r>
      <w:r w:rsidR="006E6A99">
        <w:t>PIDR</w:t>
      </w:r>
      <w:r>
        <w:t xml:space="preserve"> will have any competition impact. Any effect will be indirect. The choice of parameters and the rate will apply to all businesses irrespective of their size as any business found liable for a personal injury mu</w:t>
      </w:r>
      <w:r w:rsidR="00530052">
        <w:t>st pay damages to the claimant.</w:t>
      </w:r>
    </w:p>
    <w:p w14:paraId="16D733FB" w14:textId="77777777" w:rsidR="00530052" w:rsidRDefault="0069005A" w:rsidP="00530052">
      <w:pPr>
        <w:pStyle w:val="EBBodyPara"/>
        <w:keepNext/>
        <w:numPr>
          <w:ilvl w:val="0"/>
          <w:numId w:val="25"/>
        </w:numPr>
        <w:spacing w:before="240"/>
      </w:pPr>
      <w:r>
        <w:t xml:space="preserve">We do not consider that the choice of parameters will affect the operations or performance of small firms or affect them differently from other businesses. This is because the </w:t>
      </w:r>
      <w:r w:rsidR="006E6A99">
        <w:t>PIDR</w:t>
      </w:r>
      <w:r>
        <w:t xml:space="preserve"> is applied by the court to its quantification of an established legal liability in personal injury cases, irrespective of the identity of the defendant. </w:t>
      </w:r>
    </w:p>
    <w:p w14:paraId="58F1F15C" w14:textId="77777777" w:rsidR="0069005A" w:rsidRDefault="0069005A" w:rsidP="00090650">
      <w:pPr>
        <w:pStyle w:val="EBBodyPara"/>
        <w:keepNext/>
        <w:numPr>
          <w:ilvl w:val="0"/>
          <w:numId w:val="25"/>
        </w:numPr>
        <w:spacing w:before="360"/>
        <w:sectPr w:rsidR="0069005A" w:rsidSect="002F427A">
          <w:headerReference w:type="even" r:id="rId17"/>
          <w:footerReference w:type="default" r:id="rId18"/>
          <w:footnotePr>
            <w:numRestart w:val="eachSect"/>
          </w:footnotePr>
          <w:pgSz w:w="11907" w:h="16840" w:code="9"/>
          <w:pgMar w:top="680" w:right="851" w:bottom="680" w:left="851" w:header="284" w:footer="284" w:gutter="0"/>
          <w:cols w:space="708"/>
          <w:formProt w:val="0"/>
          <w:docGrid w:linePitch="360"/>
        </w:sectPr>
      </w:pPr>
    </w:p>
    <w:p w14:paraId="54C533B5" w14:textId="77777777" w:rsidR="0069005A" w:rsidRPr="000D0091" w:rsidRDefault="0069005A" w:rsidP="0069005A">
      <w:pPr>
        <w:pStyle w:val="Heading2"/>
        <w:rPr>
          <w:b/>
          <w:sz w:val="28"/>
          <w:szCs w:val="28"/>
        </w:rPr>
      </w:pPr>
      <w:r w:rsidRPr="000D0091">
        <w:rPr>
          <w:b/>
          <w:sz w:val="28"/>
          <w:szCs w:val="28"/>
        </w:rPr>
        <w:t>Annex A: Types of investment risk</w:t>
      </w:r>
    </w:p>
    <w:p w14:paraId="2C5D8610" w14:textId="77777777" w:rsidR="0069005A" w:rsidRPr="000D0091" w:rsidRDefault="0069005A" w:rsidP="0069005A">
      <w:pPr>
        <w:pStyle w:val="Subtitle"/>
        <w:rPr>
          <w:rFonts w:ascii="Arial" w:eastAsiaTheme="minorHAnsi" w:hAnsi="Arial" w:cs="Arial"/>
          <w:color w:val="auto"/>
          <w:spacing w:val="0"/>
        </w:rPr>
      </w:pPr>
      <w:r w:rsidRPr="000D0091">
        <w:rPr>
          <w:rFonts w:ascii="Arial" w:eastAsiaTheme="minorHAnsi" w:hAnsi="Arial" w:cs="Arial"/>
          <w:color w:val="auto"/>
          <w:spacing w:val="0"/>
        </w:rPr>
        <w:t>There are different types of risk to be considered when investing in a portfolio. The table below summarises various types of investment risk (but is not an exhaustive list), noting that the types of risks claimants will be exposed to will vary according to their characteristics and circumstances: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637"/>
      </w:tblGrid>
      <w:tr w:rsidR="0069005A" w:rsidRPr="00836F96" w14:paraId="4E825D5F" w14:textId="77777777" w:rsidTr="002F427A">
        <w:trPr>
          <w:jc w:val="center"/>
        </w:trPr>
        <w:tc>
          <w:tcPr>
            <w:tcW w:w="1379" w:type="dxa"/>
            <w:shd w:val="clear" w:color="auto" w:fill="auto"/>
          </w:tcPr>
          <w:p w14:paraId="1AECEF74" w14:textId="77777777" w:rsidR="0069005A" w:rsidRPr="000D0091" w:rsidRDefault="0069005A" w:rsidP="002F427A">
            <w:pPr>
              <w:pStyle w:val="EBBodyPara"/>
              <w:widowControl w:val="0"/>
              <w:rPr>
                <w:color w:val="auto"/>
              </w:rPr>
            </w:pPr>
            <w:r w:rsidRPr="000D0091">
              <w:rPr>
                <w:color w:val="auto"/>
              </w:rPr>
              <w:t>Risk Type</w:t>
            </w:r>
          </w:p>
        </w:tc>
        <w:tc>
          <w:tcPr>
            <w:tcW w:w="7863" w:type="dxa"/>
            <w:shd w:val="clear" w:color="auto" w:fill="auto"/>
          </w:tcPr>
          <w:p w14:paraId="0EAAEE3D" w14:textId="77777777" w:rsidR="0069005A" w:rsidRPr="000D0091" w:rsidRDefault="0069005A" w:rsidP="002F427A">
            <w:pPr>
              <w:pStyle w:val="EBBodyPara"/>
              <w:widowControl w:val="0"/>
              <w:rPr>
                <w:color w:val="auto"/>
              </w:rPr>
            </w:pPr>
            <w:r w:rsidRPr="000D0091">
              <w:rPr>
                <w:color w:val="auto"/>
              </w:rPr>
              <w:t>Description</w:t>
            </w:r>
          </w:p>
        </w:tc>
      </w:tr>
      <w:tr w:rsidR="0069005A" w:rsidRPr="00836F96" w14:paraId="0152E272" w14:textId="77777777" w:rsidTr="002F427A">
        <w:trPr>
          <w:jc w:val="center"/>
        </w:trPr>
        <w:tc>
          <w:tcPr>
            <w:tcW w:w="1379" w:type="dxa"/>
            <w:shd w:val="clear" w:color="auto" w:fill="auto"/>
          </w:tcPr>
          <w:p w14:paraId="7A44DCBA" w14:textId="77777777" w:rsidR="0069005A" w:rsidRPr="000D0091" w:rsidRDefault="0069005A" w:rsidP="002F427A">
            <w:pPr>
              <w:rPr>
                <w:rFonts w:ascii="Arial" w:hAnsi="Arial" w:cs="Arial"/>
              </w:rPr>
            </w:pPr>
            <w:r w:rsidRPr="00836F96">
              <w:rPr>
                <w:rFonts w:ascii="Arial" w:hAnsi="Arial" w:cs="Arial"/>
              </w:rPr>
              <w:t>Default (or Credit)</w:t>
            </w:r>
          </w:p>
        </w:tc>
        <w:tc>
          <w:tcPr>
            <w:tcW w:w="7863" w:type="dxa"/>
            <w:shd w:val="clear" w:color="auto" w:fill="auto"/>
          </w:tcPr>
          <w:p w14:paraId="3ED4B5E5" w14:textId="77777777" w:rsidR="0069005A" w:rsidRPr="000D0091" w:rsidRDefault="0069005A" w:rsidP="002F427A">
            <w:pPr>
              <w:rPr>
                <w:rFonts w:ascii="Arial" w:hAnsi="Arial" w:cs="Arial"/>
              </w:rPr>
            </w:pPr>
            <w:r w:rsidRPr="00836F96">
              <w:rPr>
                <w:rFonts w:ascii="Arial" w:hAnsi="Arial" w:cs="Arial"/>
              </w:rPr>
              <w:t>Where a lender cannot meet the required payment obligations to the borrower (e.g. a bond issuer cannot pay the interest or principal payments) they default on the investment.</w:t>
            </w:r>
          </w:p>
        </w:tc>
      </w:tr>
      <w:tr w:rsidR="0069005A" w:rsidRPr="00836F96" w14:paraId="69A20944" w14:textId="77777777" w:rsidTr="002F427A">
        <w:trPr>
          <w:jc w:val="center"/>
        </w:trPr>
        <w:tc>
          <w:tcPr>
            <w:tcW w:w="1379" w:type="dxa"/>
            <w:shd w:val="clear" w:color="auto" w:fill="auto"/>
          </w:tcPr>
          <w:p w14:paraId="63C5D121" w14:textId="77777777" w:rsidR="0069005A" w:rsidRPr="000D0091" w:rsidRDefault="0069005A" w:rsidP="002F427A">
            <w:pPr>
              <w:rPr>
                <w:rFonts w:ascii="Arial" w:hAnsi="Arial" w:cs="Arial"/>
              </w:rPr>
            </w:pPr>
            <w:r w:rsidRPr="00836F96">
              <w:rPr>
                <w:rFonts w:ascii="Arial" w:hAnsi="Arial" w:cs="Arial"/>
              </w:rPr>
              <w:t>Liquidity</w:t>
            </w:r>
          </w:p>
        </w:tc>
        <w:tc>
          <w:tcPr>
            <w:tcW w:w="7863" w:type="dxa"/>
            <w:shd w:val="clear" w:color="auto" w:fill="auto"/>
          </w:tcPr>
          <w:p w14:paraId="36F4D527" w14:textId="77777777" w:rsidR="0069005A" w:rsidRPr="000D0091" w:rsidRDefault="0069005A" w:rsidP="002F427A">
            <w:pPr>
              <w:rPr>
                <w:rFonts w:ascii="Arial" w:hAnsi="Arial" w:cs="Arial"/>
              </w:rPr>
            </w:pPr>
            <w:r w:rsidRPr="00836F96">
              <w:rPr>
                <w:rFonts w:ascii="Arial" w:hAnsi="Arial" w:cs="Arial"/>
              </w:rPr>
              <w:t>If an investor has a need to realise an investment quickly (for cash), it may be difficult to sell the asset immediately. In such cases the asset is said to be illiquid (e.g. property).</w:t>
            </w:r>
          </w:p>
        </w:tc>
      </w:tr>
      <w:tr w:rsidR="0069005A" w:rsidRPr="00836F96" w14:paraId="1B167048" w14:textId="77777777" w:rsidTr="002F427A">
        <w:trPr>
          <w:jc w:val="center"/>
        </w:trPr>
        <w:tc>
          <w:tcPr>
            <w:tcW w:w="1379" w:type="dxa"/>
            <w:shd w:val="clear" w:color="auto" w:fill="auto"/>
          </w:tcPr>
          <w:p w14:paraId="084A5637" w14:textId="77777777" w:rsidR="0069005A" w:rsidRPr="000D0091" w:rsidRDefault="0069005A" w:rsidP="002F427A">
            <w:pPr>
              <w:rPr>
                <w:rFonts w:ascii="Arial" w:hAnsi="Arial" w:cs="Arial"/>
              </w:rPr>
            </w:pPr>
            <w:r w:rsidRPr="00836F96">
              <w:rPr>
                <w:rFonts w:ascii="Arial" w:hAnsi="Arial" w:cs="Arial"/>
              </w:rPr>
              <w:t>Inflation</w:t>
            </w:r>
          </w:p>
        </w:tc>
        <w:tc>
          <w:tcPr>
            <w:tcW w:w="7863" w:type="dxa"/>
            <w:shd w:val="clear" w:color="auto" w:fill="auto"/>
          </w:tcPr>
          <w:p w14:paraId="26DA2DA9" w14:textId="77777777" w:rsidR="0069005A" w:rsidRPr="000D0091" w:rsidRDefault="0069005A" w:rsidP="002F427A">
            <w:pPr>
              <w:rPr>
                <w:rFonts w:ascii="Arial" w:hAnsi="Arial" w:cs="Arial"/>
              </w:rPr>
            </w:pPr>
            <w:r w:rsidRPr="00836F96">
              <w:rPr>
                <w:rFonts w:ascii="Arial" w:hAnsi="Arial" w:cs="Arial"/>
              </w:rPr>
              <w:t>Where the value of an asset does not keep up with inflation, so that the purchasing power of the asset is reduced.</w:t>
            </w:r>
          </w:p>
        </w:tc>
      </w:tr>
      <w:tr w:rsidR="0069005A" w:rsidRPr="00836F96" w14:paraId="2398EF5D" w14:textId="77777777" w:rsidTr="002F427A">
        <w:trPr>
          <w:jc w:val="center"/>
        </w:trPr>
        <w:tc>
          <w:tcPr>
            <w:tcW w:w="1379" w:type="dxa"/>
            <w:shd w:val="clear" w:color="auto" w:fill="auto"/>
          </w:tcPr>
          <w:p w14:paraId="46DE435C" w14:textId="77777777" w:rsidR="0069005A" w:rsidRPr="000D0091" w:rsidRDefault="0069005A" w:rsidP="002F427A">
            <w:pPr>
              <w:rPr>
                <w:rFonts w:ascii="Arial" w:hAnsi="Arial" w:cs="Arial"/>
              </w:rPr>
            </w:pPr>
            <w:r w:rsidRPr="00836F96">
              <w:rPr>
                <w:rFonts w:ascii="Arial" w:hAnsi="Arial" w:cs="Arial"/>
              </w:rPr>
              <w:t>Currency</w:t>
            </w:r>
          </w:p>
        </w:tc>
        <w:tc>
          <w:tcPr>
            <w:tcW w:w="7863" w:type="dxa"/>
            <w:shd w:val="clear" w:color="auto" w:fill="auto"/>
          </w:tcPr>
          <w:p w14:paraId="57CB0C05" w14:textId="77777777" w:rsidR="0069005A" w:rsidRPr="000D0091" w:rsidRDefault="0069005A" w:rsidP="002F427A">
            <w:pPr>
              <w:rPr>
                <w:rFonts w:ascii="Arial" w:hAnsi="Arial" w:cs="Arial"/>
              </w:rPr>
            </w:pPr>
            <w:r w:rsidRPr="00836F96">
              <w:rPr>
                <w:rFonts w:ascii="Arial" w:hAnsi="Arial" w:cs="Arial"/>
              </w:rPr>
              <w:t>If the asset is denominated in a non-Sterling currency, exchange rate fluctuations may depreciate the value of the asset (in Sterling terms)</w:t>
            </w:r>
          </w:p>
        </w:tc>
      </w:tr>
      <w:tr w:rsidR="0069005A" w:rsidRPr="00836F96" w14:paraId="4C82F6D9" w14:textId="77777777" w:rsidTr="002F427A">
        <w:trPr>
          <w:jc w:val="center"/>
        </w:trPr>
        <w:tc>
          <w:tcPr>
            <w:tcW w:w="1379" w:type="dxa"/>
            <w:shd w:val="clear" w:color="auto" w:fill="auto"/>
          </w:tcPr>
          <w:p w14:paraId="3D238A91" w14:textId="77777777" w:rsidR="0069005A" w:rsidRPr="000D0091" w:rsidRDefault="0069005A" w:rsidP="002F427A">
            <w:pPr>
              <w:rPr>
                <w:rFonts w:ascii="Arial" w:hAnsi="Arial" w:cs="Arial"/>
              </w:rPr>
            </w:pPr>
            <w:r w:rsidRPr="00836F96">
              <w:rPr>
                <w:rFonts w:ascii="Arial" w:hAnsi="Arial" w:cs="Arial"/>
              </w:rPr>
              <w:t>Market (or Volatility)</w:t>
            </w:r>
          </w:p>
        </w:tc>
        <w:tc>
          <w:tcPr>
            <w:tcW w:w="7863" w:type="dxa"/>
            <w:shd w:val="clear" w:color="auto" w:fill="auto"/>
          </w:tcPr>
          <w:p w14:paraId="1787B6F8" w14:textId="77777777" w:rsidR="0069005A" w:rsidRPr="000D0091" w:rsidRDefault="0069005A" w:rsidP="002F427A">
            <w:pPr>
              <w:rPr>
                <w:rFonts w:ascii="Arial" w:hAnsi="Arial" w:cs="Arial"/>
              </w:rPr>
            </w:pPr>
            <w:r w:rsidRPr="00836F96">
              <w:rPr>
                <w:rFonts w:ascii="Arial" w:hAnsi="Arial" w:cs="Arial"/>
              </w:rPr>
              <w:t>The price of any asset will depend on supply and demand in the financial markets.  Some assets tend to be more volatile, with greater fluctuations in price.</w:t>
            </w:r>
          </w:p>
        </w:tc>
      </w:tr>
      <w:tr w:rsidR="0069005A" w:rsidRPr="00836F96" w14:paraId="0AD478AE" w14:textId="77777777" w:rsidTr="002F427A">
        <w:trPr>
          <w:jc w:val="center"/>
        </w:trPr>
        <w:tc>
          <w:tcPr>
            <w:tcW w:w="1379" w:type="dxa"/>
            <w:shd w:val="clear" w:color="auto" w:fill="auto"/>
          </w:tcPr>
          <w:p w14:paraId="5744C9DB" w14:textId="77777777" w:rsidR="0069005A" w:rsidRPr="000D0091" w:rsidRDefault="0069005A" w:rsidP="002F427A">
            <w:pPr>
              <w:rPr>
                <w:rFonts w:ascii="Arial" w:hAnsi="Arial" w:cs="Arial"/>
              </w:rPr>
            </w:pPr>
            <w:r w:rsidRPr="00836F96">
              <w:rPr>
                <w:rFonts w:ascii="Arial" w:hAnsi="Arial" w:cs="Arial"/>
              </w:rPr>
              <w:t>Longevity</w:t>
            </w:r>
            <w:r>
              <w:rPr>
                <w:rFonts w:ascii="Arial" w:hAnsi="Arial" w:cs="Arial"/>
              </w:rPr>
              <w:t xml:space="preserve"> (or Mortality)</w:t>
            </w:r>
          </w:p>
        </w:tc>
        <w:tc>
          <w:tcPr>
            <w:tcW w:w="7863" w:type="dxa"/>
            <w:shd w:val="clear" w:color="auto" w:fill="auto"/>
          </w:tcPr>
          <w:p w14:paraId="0500CD66" w14:textId="77777777" w:rsidR="0069005A" w:rsidRPr="000D0091" w:rsidRDefault="0069005A" w:rsidP="002F427A">
            <w:pPr>
              <w:rPr>
                <w:rFonts w:ascii="Arial" w:hAnsi="Arial" w:cs="Arial"/>
              </w:rPr>
            </w:pPr>
            <w:r w:rsidRPr="00836F96">
              <w:rPr>
                <w:rFonts w:ascii="Arial" w:hAnsi="Arial" w:cs="Arial"/>
              </w:rPr>
              <w:t>If an investor lives longer than expected, then they may run out of money if they are exposed to this risk.</w:t>
            </w:r>
          </w:p>
        </w:tc>
      </w:tr>
      <w:tr w:rsidR="0069005A" w:rsidRPr="00836F96" w14:paraId="51C2EFC6" w14:textId="77777777" w:rsidTr="002F427A">
        <w:trPr>
          <w:jc w:val="center"/>
        </w:trPr>
        <w:tc>
          <w:tcPr>
            <w:tcW w:w="1379" w:type="dxa"/>
            <w:shd w:val="clear" w:color="auto" w:fill="auto"/>
          </w:tcPr>
          <w:p w14:paraId="14266EA6" w14:textId="77777777" w:rsidR="0069005A" w:rsidRPr="000D0091" w:rsidRDefault="0069005A" w:rsidP="002F427A">
            <w:pPr>
              <w:rPr>
                <w:rFonts w:ascii="Arial" w:hAnsi="Arial" w:cs="Arial"/>
              </w:rPr>
            </w:pPr>
            <w:r w:rsidRPr="00836F96">
              <w:rPr>
                <w:rFonts w:ascii="Arial" w:hAnsi="Arial" w:cs="Arial"/>
              </w:rPr>
              <w:t>Mismatch</w:t>
            </w:r>
          </w:p>
        </w:tc>
        <w:tc>
          <w:tcPr>
            <w:tcW w:w="7863" w:type="dxa"/>
            <w:shd w:val="clear" w:color="auto" w:fill="auto"/>
          </w:tcPr>
          <w:p w14:paraId="216F9C11" w14:textId="77777777" w:rsidR="0069005A" w:rsidRPr="000D0091" w:rsidRDefault="0069005A" w:rsidP="002F427A">
            <w:pPr>
              <w:rPr>
                <w:rFonts w:ascii="Arial" w:hAnsi="Arial" w:cs="Arial"/>
              </w:rPr>
            </w:pPr>
            <w:r w:rsidRPr="00836F96">
              <w:rPr>
                <w:rFonts w:ascii="Arial" w:hAnsi="Arial" w:cs="Arial"/>
              </w:rPr>
              <w:t>When an investor’s assets and liabilities are not matched (e.g. the short</w:t>
            </w:r>
            <w:r w:rsidR="005273C1">
              <w:rPr>
                <w:rFonts w:ascii="Arial" w:hAnsi="Arial" w:cs="Arial"/>
              </w:rPr>
              <w:t>-</w:t>
            </w:r>
            <w:r w:rsidRPr="00836F96">
              <w:rPr>
                <w:rFonts w:ascii="Arial" w:hAnsi="Arial" w:cs="Arial"/>
              </w:rPr>
              <w:t>term income needs of the investor are not met by the income being generated from the asset).  In personal injury cases, unexpected expenditure needs may result in a mismatch.</w:t>
            </w:r>
          </w:p>
        </w:tc>
      </w:tr>
      <w:tr w:rsidR="0069005A" w:rsidRPr="00836F96" w14:paraId="7B208903" w14:textId="77777777" w:rsidTr="002F427A">
        <w:trPr>
          <w:jc w:val="center"/>
        </w:trPr>
        <w:tc>
          <w:tcPr>
            <w:tcW w:w="1379" w:type="dxa"/>
            <w:shd w:val="clear" w:color="auto" w:fill="auto"/>
          </w:tcPr>
          <w:p w14:paraId="3E75503A" w14:textId="77777777" w:rsidR="0069005A" w:rsidRPr="000D0091" w:rsidRDefault="0069005A" w:rsidP="002F427A">
            <w:pPr>
              <w:rPr>
                <w:rFonts w:ascii="Arial" w:hAnsi="Arial" w:cs="Arial"/>
              </w:rPr>
            </w:pPr>
            <w:r w:rsidRPr="00836F96">
              <w:rPr>
                <w:rFonts w:ascii="Arial" w:hAnsi="Arial" w:cs="Arial"/>
              </w:rPr>
              <w:t>Sequencing</w:t>
            </w:r>
          </w:p>
        </w:tc>
        <w:tc>
          <w:tcPr>
            <w:tcW w:w="7863" w:type="dxa"/>
            <w:shd w:val="clear" w:color="auto" w:fill="auto"/>
          </w:tcPr>
          <w:p w14:paraId="35939DFB" w14:textId="77777777" w:rsidR="0069005A" w:rsidRPr="000D0091" w:rsidRDefault="0069005A" w:rsidP="002F427A">
            <w:pPr>
              <w:rPr>
                <w:rFonts w:ascii="Arial" w:hAnsi="Arial" w:cs="Arial"/>
              </w:rPr>
            </w:pPr>
            <w:r w:rsidRPr="00836F96">
              <w:rPr>
                <w:rFonts w:ascii="Arial" w:hAnsi="Arial" w:cs="Arial"/>
              </w:rPr>
              <w:t>Sequencing risk occurs where one year of below investment returns is immediately followed by another, which is immediately followed by another etc. Poor investment return sequences combine with portfolio withdrawals in a highly destructive way because more fund units need to be enchased to generate the same annual income.</w:t>
            </w:r>
          </w:p>
        </w:tc>
      </w:tr>
      <w:tr w:rsidR="0069005A" w:rsidRPr="00836F96" w14:paraId="7A91C3CA" w14:textId="77777777" w:rsidTr="002F427A">
        <w:trPr>
          <w:jc w:val="center"/>
        </w:trPr>
        <w:tc>
          <w:tcPr>
            <w:tcW w:w="1379" w:type="dxa"/>
            <w:shd w:val="clear" w:color="auto" w:fill="auto"/>
          </w:tcPr>
          <w:p w14:paraId="2A352856" w14:textId="77777777" w:rsidR="0069005A" w:rsidRPr="00836F96" w:rsidRDefault="0069005A" w:rsidP="002F427A">
            <w:pPr>
              <w:rPr>
                <w:rFonts w:ascii="Arial" w:hAnsi="Arial" w:cs="Arial"/>
              </w:rPr>
            </w:pPr>
            <w:r w:rsidRPr="00836F96">
              <w:rPr>
                <w:rFonts w:ascii="Arial" w:hAnsi="Arial" w:cs="Arial"/>
              </w:rPr>
              <w:t>Capital investment</w:t>
            </w:r>
          </w:p>
        </w:tc>
        <w:tc>
          <w:tcPr>
            <w:tcW w:w="7863" w:type="dxa"/>
            <w:shd w:val="clear" w:color="auto" w:fill="auto"/>
          </w:tcPr>
          <w:p w14:paraId="5459229D" w14:textId="77777777" w:rsidR="0069005A" w:rsidRPr="00836F96" w:rsidRDefault="0069005A" w:rsidP="002F427A">
            <w:pPr>
              <w:rPr>
                <w:rFonts w:ascii="Arial" w:hAnsi="Arial" w:cs="Arial"/>
              </w:rPr>
            </w:pPr>
            <w:r w:rsidRPr="000D0091">
              <w:rPr>
                <w:rFonts w:ascii="Arial" w:hAnsi="Arial" w:cs="Arial"/>
              </w:rPr>
              <w:t xml:space="preserve">The risk that an investor may lose all or part of the principal amount invested, which may arise from being exposed to a combination of the risks as described above </w:t>
            </w:r>
          </w:p>
        </w:tc>
      </w:tr>
    </w:tbl>
    <w:p w14:paraId="451105A8" w14:textId="77777777" w:rsidR="0069005A" w:rsidRPr="000D0091" w:rsidRDefault="0069005A" w:rsidP="0069005A">
      <w:pPr>
        <w:pStyle w:val="EBBodyPara"/>
        <w:widowControl w:val="0"/>
        <w:spacing w:after="0"/>
        <w:rPr>
          <w:color w:val="auto"/>
        </w:rPr>
      </w:pPr>
    </w:p>
    <w:p w14:paraId="3912DFD0" w14:textId="77777777" w:rsidR="0069005A" w:rsidRDefault="0069005A" w:rsidP="0069005A">
      <w:pPr>
        <w:rPr>
          <w:rFonts w:ascii="Arial" w:hAnsi="Arial" w:cs="Arial"/>
        </w:rPr>
      </w:pPr>
      <w:r>
        <w:rPr>
          <w:rFonts w:ascii="Arial" w:hAnsi="Arial" w:cs="Arial"/>
        </w:rPr>
        <w:br w:type="page"/>
      </w:r>
    </w:p>
    <w:p w14:paraId="242109FA" w14:textId="77777777" w:rsidR="0069005A" w:rsidRPr="000D0091" w:rsidRDefault="0069005A" w:rsidP="0069005A">
      <w:pPr>
        <w:pStyle w:val="Subtitle"/>
        <w:rPr>
          <w:rFonts w:ascii="Arial" w:eastAsiaTheme="minorHAnsi" w:hAnsi="Arial" w:cs="Arial"/>
          <w:color w:val="auto"/>
          <w:spacing w:val="0"/>
        </w:rPr>
      </w:pPr>
      <w:r w:rsidRPr="000D0091">
        <w:rPr>
          <w:rFonts w:ascii="Arial" w:eastAsiaTheme="minorHAnsi" w:hAnsi="Arial" w:cs="Arial"/>
          <w:color w:val="auto"/>
          <w:spacing w:val="0"/>
        </w:rPr>
        <w:t xml:space="preserve">The following are measures of some of these risks.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634"/>
      </w:tblGrid>
      <w:tr w:rsidR="0069005A" w:rsidRPr="00836F96" w14:paraId="5F8A71DE" w14:textId="77777777" w:rsidTr="002F427A">
        <w:trPr>
          <w:jc w:val="center"/>
        </w:trPr>
        <w:tc>
          <w:tcPr>
            <w:tcW w:w="1384" w:type="dxa"/>
            <w:shd w:val="clear" w:color="auto" w:fill="auto"/>
          </w:tcPr>
          <w:p w14:paraId="22888660" w14:textId="77777777" w:rsidR="0069005A" w:rsidRPr="00836F96" w:rsidRDefault="0069005A" w:rsidP="002F427A">
            <w:pPr>
              <w:widowControl w:val="0"/>
              <w:rPr>
                <w:rFonts w:ascii="Arial" w:hAnsi="Arial" w:cs="Arial"/>
              </w:rPr>
            </w:pPr>
            <w:r w:rsidRPr="00836F96">
              <w:rPr>
                <w:rFonts w:ascii="Arial" w:hAnsi="Arial" w:cs="Arial"/>
              </w:rPr>
              <w:t>Standard Deviation</w:t>
            </w:r>
          </w:p>
        </w:tc>
        <w:tc>
          <w:tcPr>
            <w:tcW w:w="7858" w:type="dxa"/>
            <w:shd w:val="clear" w:color="auto" w:fill="auto"/>
          </w:tcPr>
          <w:p w14:paraId="6A97E072" w14:textId="77777777" w:rsidR="0069005A" w:rsidRPr="00836F96" w:rsidRDefault="0069005A" w:rsidP="002F427A">
            <w:pPr>
              <w:widowControl w:val="0"/>
              <w:autoSpaceDE w:val="0"/>
              <w:autoSpaceDN w:val="0"/>
              <w:adjustRightInd w:val="0"/>
              <w:spacing w:after="0" w:line="240" w:lineRule="auto"/>
              <w:rPr>
                <w:rFonts w:ascii="Arial" w:hAnsi="Arial" w:cs="Arial"/>
              </w:rPr>
            </w:pPr>
            <w:r w:rsidRPr="00836F96">
              <w:rPr>
                <w:rFonts w:ascii="Arial" w:hAnsi="Arial" w:cs="Arial"/>
                <w:lang w:eastAsia="en-GB"/>
              </w:rPr>
              <w:t>A standardised measure of investment return variability that reports downside and upside variability together as one number. Standard deviation tells us how tightly the investment returns are clustered around the mean value. When the investment returns are spread apart the standard deviation is larger. When the investment returns are tightly bunched together the standard deviation is smaller.</w:t>
            </w:r>
          </w:p>
        </w:tc>
      </w:tr>
      <w:tr w:rsidR="0069005A" w:rsidRPr="00836F96" w14:paraId="14174D8D" w14:textId="77777777" w:rsidTr="002F427A">
        <w:trPr>
          <w:jc w:val="center"/>
        </w:trPr>
        <w:tc>
          <w:tcPr>
            <w:tcW w:w="1384" w:type="dxa"/>
            <w:shd w:val="clear" w:color="auto" w:fill="auto"/>
          </w:tcPr>
          <w:p w14:paraId="5D3F4689" w14:textId="77777777" w:rsidR="0069005A" w:rsidRPr="00836F96" w:rsidRDefault="0069005A" w:rsidP="002F427A">
            <w:pPr>
              <w:widowControl w:val="0"/>
              <w:rPr>
                <w:rFonts w:ascii="Arial" w:hAnsi="Arial" w:cs="Arial"/>
              </w:rPr>
            </w:pPr>
            <w:r w:rsidRPr="00836F96">
              <w:rPr>
                <w:rFonts w:ascii="Arial" w:hAnsi="Arial" w:cs="Arial"/>
              </w:rPr>
              <w:t>Drawdown</w:t>
            </w:r>
          </w:p>
        </w:tc>
        <w:tc>
          <w:tcPr>
            <w:tcW w:w="7858" w:type="dxa"/>
            <w:shd w:val="clear" w:color="auto" w:fill="auto"/>
          </w:tcPr>
          <w:p w14:paraId="5F81DD65" w14:textId="77777777" w:rsidR="0069005A" w:rsidRPr="00836F96" w:rsidRDefault="0069005A" w:rsidP="002F427A">
            <w:pPr>
              <w:widowControl w:val="0"/>
              <w:autoSpaceDE w:val="0"/>
              <w:autoSpaceDN w:val="0"/>
              <w:adjustRightInd w:val="0"/>
              <w:spacing w:after="0" w:line="240" w:lineRule="auto"/>
              <w:rPr>
                <w:rFonts w:ascii="Arial" w:hAnsi="Arial" w:cs="Arial"/>
              </w:rPr>
            </w:pPr>
            <w:r w:rsidRPr="00836F96">
              <w:rPr>
                <w:rFonts w:ascii="Arial" w:hAnsi="Arial" w:cs="Arial"/>
                <w:lang w:eastAsia="en-GB"/>
              </w:rPr>
              <w:t>The amount of capital lost due either to a sequence of falling returns or a single large drop. Drawdown calculates the drop from the highest peak value to the lowest trough value over a given time period of an investment and reports that as a percentage change.</w:t>
            </w:r>
          </w:p>
        </w:tc>
      </w:tr>
      <w:tr w:rsidR="0069005A" w:rsidRPr="00836F96" w14:paraId="78F15CF3" w14:textId="77777777" w:rsidTr="002F427A">
        <w:trPr>
          <w:jc w:val="center"/>
        </w:trPr>
        <w:tc>
          <w:tcPr>
            <w:tcW w:w="1384" w:type="dxa"/>
            <w:shd w:val="clear" w:color="auto" w:fill="auto"/>
          </w:tcPr>
          <w:p w14:paraId="5D06D63D" w14:textId="77777777" w:rsidR="0069005A" w:rsidRPr="00836F96" w:rsidRDefault="0069005A" w:rsidP="002F427A">
            <w:pPr>
              <w:widowControl w:val="0"/>
              <w:rPr>
                <w:rFonts w:ascii="Arial" w:hAnsi="Arial" w:cs="Arial"/>
              </w:rPr>
            </w:pPr>
            <w:r w:rsidRPr="00836F96">
              <w:rPr>
                <w:rFonts w:ascii="Arial" w:hAnsi="Arial" w:cs="Arial"/>
              </w:rPr>
              <w:t>Value at Risk (VaR)</w:t>
            </w:r>
          </w:p>
        </w:tc>
        <w:tc>
          <w:tcPr>
            <w:tcW w:w="7858" w:type="dxa"/>
            <w:shd w:val="clear" w:color="auto" w:fill="auto"/>
          </w:tcPr>
          <w:p w14:paraId="6A55CEF4" w14:textId="77777777" w:rsidR="0069005A" w:rsidRPr="00836F96" w:rsidRDefault="0069005A" w:rsidP="002F427A">
            <w:pPr>
              <w:widowControl w:val="0"/>
              <w:autoSpaceDE w:val="0"/>
              <w:autoSpaceDN w:val="0"/>
              <w:adjustRightInd w:val="0"/>
              <w:spacing w:after="0" w:line="240" w:lineRule="auto"/>
              <w:rPr>
                <w:rFonts w:ascii="Arial" w:hAnsi="Arial" w:cs="Arial"/>
              </w:rPr>
            </w:pPr>
            <w:r w:rsidRPr="00836F96">
              <w:rPr>
                <w:rFonts w:ascii="Arial" w:hAnsi="Arial" w:cs="Arial"/>
                <w:lang w:eastAsia="en-GB"/>
              </w:rPr>
              <w:t>The per cent of capital, or fund value, that’s expected to be lost at a given probability level. The probability level of 95% gives an estimate of the value lost at the threshold where 95% of investment returns will be better but 5% worse. So</w:t>
            </w:r>
            <w:r w:rsidR="005273C1">
              <w:rPr>
                <w:rFonts w:ascii="Arial" w:hAnsi="Arial" w:cs="Arial"/>
                <w:lang w:eastAsia="en-GB"/>
              </w:rPr>
              <w:t>,</w:t>
            </w:r>
            <w:r w:rsidRPr="00836F96">
              <w:rPr>
                <w:rFonts w:ascii="Arial" w:hAnsi="Arial" w:cs="Arial"/>
                <w:lang w:eastAsia="en-GB"/>
              </w:rPr>
              <w:t xml:space="preserve"> if an investor has a 20 year investment time horizon, 95% VaR tells the investor the loss that is likely 1 year in every 20.</w:t>
            </w:r>
          </w:p>
        </w:tc>
      </w:tr>
      <w:tr w:rsidR="0069005A" w:rsidRPr="00836F96" w14:paraId="7BF162CB" w14:textId="77777777" w:rsidTr="002F427A">
        <w:trPr>
          <w:jc w:val="center"/>
        </w:trPr>
        <w:tc>
          <w:tcPr>
            <w:tcW w:w="1384" w:type="dxa"/>
            <w:shd w:val="clear" w:color="auto" w:fill="auto"/>
          </w:tcPr>
          <w:p w14:paraId="5E87CF36" w14:textId="77777777" w:rsidR="0069005A" w:rsidRPr="00836F96" w:rsidRDefault="0069005A" w:rsidP="002F427A">
            <w:pPr>
              <w:widowControl w:val="0"/>
              <w:rPr>
                <w:rFonts w:ascii="Arial" w:hAnsi="Arial" w:cs="Arial"/>
              </w:rPr>
            </w:pPr>
            <w:r w:rsidRPr="00836F96">
              <w:rPr>
                <w:rFonts w:ascii="Arial" w:hAnsi="Arial" w:cs="Arial"/>
              </w:rPr>
              <w:t>Conditional Value at Risk (CVaR)</w:t>
            </w:r>
          </w:p>
        </w:tc>
        <w:tc>
          <w:tcPr>
            <w:tcW w:w="7858" w:type="dxa"/>
            <w:shd w:val="clear" w:color="auto" w:fill="auto"/>
          </w:tcPr>
          <w:p w14:paraId="1B252B0D" w14:textId="77777777" w:rsidR="0069005A" w:rsidRPr="00836F96" w:rsidRDefault="0069005A" w:rsidP="002F427A">
            <w:pPr>
              <w:widowControl w:val="0"/>
              <w:autoSpaceDE w:val="0"/>
              <w:autoSpaceDN w:val="0"/>
              <w:adjustRightInd w:val="0"/>
              <w:spacing w:after="0" w:line="240" w:lineRule="auto"/>
              <w:rPr>
                <w:rFonts w:ascii="Arial" w:hAnsi="Arial" w:cs="Arial"/>
              </w:rPr>
            </w:pPr>
            <w:r w:rsidRPr="00836F96">
              <w:rPr>
                <w:rFonts w:ascii="Arial" w:hAnsi="Arial" w:cs="Arial"/>
                <w:lang w:eastAsia="en-GB"/>
              </w:rPr>
              <w:t>The average, or mean, investment return on the portfolio in the worst 5% of the cases. It is a measure of ‘tail risk’ and focused on the very worst investment outcomes. CVaR tells us “if I do end up in the tail of the 5% of worst investment return outcomes, what is the average loss I will incur”.</w:t>
            </w:r>
          </w:p>
        </w:tc>
      </w:tr>
      <w:tr w:rsidR="0069005A" w:rsidRPr="00836F96" w14:paraId="43BF0DA2" w14:textId="77777777" w:rsidTr="002F427A">
        <w:trPr>
          <w:jc w:val="center"/>
        </w:trPr>
        <w:tc>
          <w:tcPr>
            <w:tcW w:w="1384" w:type="dxa"/>
            <w:shd w:val="clear" w:color="auto" w:fill="auto"/>
          </w:tcPr>
          <w:p w14:paraId="7667F41D" w14:textId="77777777" w:rsidR="0069005A" w:rsidRPr="00836F96" w:rsidRDefault="0069005A" w:rsidP="002F427A">
            <w:pPr>
              <w:widowControl w:val="0"/>
              <w:rPr>
                <w:rFonts w:ascii="Arial" w:hAnsi="Arial" w:cs="Arial"/>
              </w:rPr>
            </w:pPr>
            <w:r w:rsidRPr="00836F96">
              <w:rPr>
                <w:rFonts w:ascii="Arial" w:hAnsi="Arial" w:cs="Arial"/>
              </w:rPr>
              <w:t>Downside Variation</w:t>
            </w:r>
          </w:p>
        </w:tc>
        <w:tc>
          <w:tcPr>
            <w:tcW w:w="7858" w:type="dxa"/>
            <w:shd w:val="clear" w:color="auto" w:fill="auto"/>
          </w:tcPr>
          <w:p w14:paraId="0D0CEBCF" w14:textId="77777777" w:rsidR="0069005A" w:rsidRPr="00836F96" w:rsidRDefault="0069005A" w:rsidP="002F427A">
            <w:pPr>
              <w:widowControl w:val="0"/>
              <w:autoSpaceDE w:val="0"/>
              <w:autoSpaceDN w:val="0"/>
              <w:adjustRightInd w:val="0"/>
              <w:spacing w:after="0" w:line="240" w:lineRule="auto"/>
              <w:rPr>
                <w:rFonts w:ascii="Arial" w:hAnsi="Arial" w:cs="Arial"/>
              </w:rPr>
            </w:pPr>
            <w:r w:rsidRPr="00836F96">
              <w:rPr>
                <w:rFonts w:ascii="Arial" w:hAnsi="Arial" w:cs="Arial"/>
                <w:lang w:eastAsia="en-GB"/>
              </w:rPr>
              <w:t>The long-run average annual investment return divided by the investment risk (standard deviation), or the investment return earned per unit of downside risk.</w:t>
            </w:r>
          </w:p>
        </w:tc>
      </w:tr>
    </w:tbl>
    <w:p w14:paraId="137AEADA" w14:textId="77777777" w:rsidR="0069005A" w:rsidRPr="000D0091" w:rsidRDefault="0069005A" w:rsidP="0069005A">
      <w:pPr>
        <w:pStyle w:val="EBBodyPara"/>
        <w:rPr>
          <w:color w:val="auto"/>
        </w:rPr>
      </w:pPr>
    </w:p>
    <w:p w14:paraId="6D906F5B" w14:textId="77777777" w:rsidR="0069005A" w:rsidRPr="000D0091" w:rsidRDefault="0069005A" w:rsidP="0069005A">
      <w:pPr>
        <w:pStyle w:val="EBBodyPara"/>
        <w:rPr>
          <w:color w:val="auto"/>
        </w:rPr>
      </w:pPr>
    </w:p>
    <w:p w14:paraId="590CDECF" w14:textId="77777777" w:rsidR="002F427A" w:rsidRDefault="002F427A"/>
    <w:sectPr w:rsidR="002F4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2D6A" w14:textId="77777777" w:rsidR="008A6EF2" w:rsidRDefault="008A6EF2" w:rsidP="0069005A">
      <w:pPr>
        <w:spacing w:after="0" w:line="240" w:lineRule="auto"/>
      </w:pPr>
      <w:r>
        <w:separator/>
      </w:r>
    </w:p>
  </w:endnote>
  <w:endnote w:type="continuationSeparator" w:id="0">
    <w:p w14:paraId="1F8837D2" w14:textId="77777777" w:rsidR="008A6EF2" w:rsidRDefault="008A6EF2" w:rsidP="0069005A">
      <w:pPr>
        <w:spacing w:after="0" w:line="240" w:lineRule="auto"/>
      </w:pPr>
      <w:r>
        <w:continuationSeparator/>
      </w:r>
    </w:p>
  </w:endnote>
  <w:endnote w:type="continuationNotice" w:id="1">
    <w:p w14:paraId="692DC4EF" w14:textId="77777777" w:rsidR="008A6EF2" w:rsidRDefault="008A6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7844" w14:textId="7F420C9C" w:rsidR="008A6EF2" w:rsidRPr="00EB43FD" w:rsidRDefault="008A6EF2" w:rsidP="002F427A">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0C0F2C">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751C" w14:textId="155A41E8" w:rsidR="008A6EF2" w:rsidRPr="00EB43FD" w:rsidRDefault="008A6EF2" w:rsidP="002F427A">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0C0F2C">
      <w:rPr>
        <w:rStyle w:val="PageNumber"/>
        <w:rFonts w:eastAsia="SimSun"/>
        <w:b w:val="0"/>
        <w:noProof/>
        <w:szCs w:val="18"/>
      </w:rPr>
      <w:t>4</w:t>
    </w:r>
    <w:r w:rsidRPr="00EB43FD">
      <w:rPr>
        <w:rStyle w:val="PageNumber"/>
        <w:rFonts w:eastAsia="SimSu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EC30" w14:textId="1AB2A513" w:rsidR="008A6EF2" w:rsidRPr="00EB43FD" w:rsidRDefault="008A6EF2" w:rsidP="002F427A">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0C0F2C">
      <w:rPr>
        <w:rStyle w:val="PageNumber"/>
        <w:b w:val="0"/>
        <w:noProof/>
        <w:szCs w:val="18"/>
      </w:rPr>
      <w:t>13</w:t>
    </w:r>
    <w:r w:rsidRPr="00EB43FD">
      <w:rPr>
        <w:rStyle w:val="PageNumber"/>
        <w:b w:val="0"/>
        <w:szCs w:val="18"/>
      </w:rPr>
      <w:fldChar w:fldCharType="end"/>
    </w:r>
  </w:p>
  <w:p w14:paraId="2294A64F" w14:textId="77777777" w:rsidR="008A6EF2" w:rsidRDefault="008A6EF2"/>
  <w:p w14:paraId="3BBCF95E" w14:textId="77777777" w:rsidR="008A6EF2" w:rsidRDefault="008A6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CAB1" w14:textId="77777777" w:rsidR="008A6EF2" w:rsidRDefault="008A6EF2" w:rsidP="0069005A">
      <w:pPr>
        <w:spacing w:after="0" w:line="240" w:lineRule="auto"/>
      </w:pPr>
      <w:r>
        <w:separator/>
      </w:r>
    </w:p>
  </w:footnote>
  <w:footnote w:type="continuationSeparator" w:id="0">
    <w:p w14:paraId="3E02E275" w14:textId="77777777" w:rsidR="008A6EF2" w:rsidRDefault="008A6EF2" w:rsidP="0069005A">
      <w:pPr>
        <w:spacing w:after="0" w:line="240" w:lineRule="auto"/>
      </w:pPr>
      <w:r>
        <w:continuationSeparator/>
      </w:r>
    </w:p>
  </w:footnote>
  <w:footnote w:type="continuationNotice" w:id="1">
    <w:p w14:paraId="68CCB69E" w14:textId="77777777" w:rsidR="008A6EF2" w:rsidRDefault="008A6EF2">
      <w:pPr>
        <w:spacing w:after="0" w:line="240" w:lineRule="auto"/>
      </w:pPr>
    </w:p>
  </w:footnote>
  <w:footnote w:id="2">
    <w:p w14:paraId="07E6664F" w14:textId="77777777" w:rsidR="008A6EF2" w:rsidRPr="00F859CD" w:rsidRDefault="008A6EF2" w:rsidP="0069005A">
      <w:pPr>
        <w:pStyle w:val="Default"/>
        <w:rPr>
          <w:rFonts w:eastAsiaTheme="minorHAnsi"/>
          <w:sz w:val="20"/>
          <w:szCs w:val="20"/>
          <w:lang w:eastAsia="en-US"/>
        </w:rPr>
      </w:pPr>
      <w:r>
        <w:rPr>
          <w:rStyle w:val="FootnoteReference"/>
        </w:rPr>
        <w:footnoteRef/>
      </w:r>
      <w:r>
        <w:t xml:space="preserve"> </w:t>
      </w:r>
      <w:r w:rsidRPr="003550E1">
        <w:rPr>
          <w:bCs/>
          <w:sz w:val="20"/>
          <w:szCs w:val="20"/>
        </w:rPr>
        <w:t>The most common form of periodical payment orders are orders where the payments can simply be index-linked to a variety of indices, including, for example, the Retail Price Index and Annual Survey of Hours and Earnings (ASHE) 6115</w:t>
      </w:r>
      <w:r>
        <w:rPr>
          <w:bCs/>
          <w:sz w:val="20"/>
          <w:szCs w:val="20"/>
        </w:rPr>
        <w:t xml:space="preserve">. The </w:t>
      </w:r>
      <w:r w:rsidRPr="0026315E">
        <w:rPr>
          <w:bCs/>
          <w:sz w:val="20"/>
          <w:szCs w:val="20"/>
        </w:rPr>
        <w:t>Annual Survey of Hours and Earnings</w:t>
      </w:r>
      <w:r w:rsidRPr="00BA601D">
        <w:rPr>
          <w:bCs/>
          <w:sz w:val="20"/>
          <w:szCs w:val="20"/>
        </w:rPr>
        <w:t xml:space="preserve"> provides d</w:t>
      </w:r>
      <w:r w:rsidRPr="008355B1">
        <w:rPr>
          <w:sz w:val="20"/>
          <w:szCs w:val="20"/>
        </w:rPr>
        <w:t>ata on levels, distribution and make-up of earnings and hours worked for UK employees by</w:t>
      </w:r>
      <w:r w:rsidRPr="00BD1514">
        <w:rPr>
          <w:sz w:val="20"/>
          <w:szCs w:val="20"/>
        </w:rPr>
        <w:t xml:space="preserve"> sex and full-time or part-time status in all industries and occupations. The Standard Occupational Classification code for c</w:t>
      </w:r>
      <w:r w:rsidRPr="00BD1514">
        <w:rPr>
          <w:rFonts w:eastAsiaTheme="minorHAnsi"/>
          <w:sz w:val="20"/>
          <w:szCs w:val="20"/>
          <w:lang w:eastAsia="en-US"/>
        </w:rPr>
        <w:t>are assistants and home carers is 6115</w:t>
      </w:r>
      <w:r>
        <w:rPr>
          <w:rFonts w:eastAsiaTheme="minorHAnsi"/>
          <w:sz w:val="20"/>
          <w:szCs w:val="20"/>
          <w:lang w:eastAsia="en-US"/>
        </w:rPr>
        <w:t>.</w:t>
      </w:r>
    </w:p>
    <w:p w14:paraId="2CEF96E7" w14:textId="77777777" w:rsidR="008A6EF2" w:rsidRDefault="008A6EF2" w:rsidP="0069005A">
      <w:pPr>
        <w:pStyle w:val="FootnoteText"/>
      </w:pPr>
    </w:p>
  </w:footnote>
  <w:footnote w:id="3">
    <w:p w14:paraId="635F7698" w14:textId="0DD723A6" w:rsidR="008A6EF2" w:rsidRPr="00EF3177" w:rsidRDefault="008A6EF2">
      <w:pPr>
        <w:pStyle w:val="FootnoteText"/>
        <w:rPr>
          <w:rFonts w:ascii="Arial" w:hAnsi="Arial" w:cs="Arial"/>
          <w:sz w:val="18"/>
          <w:szCs w:val="18"/>
        </w:rPr>
      </w:pPr>
      <w:r>
        <w:rPr>
          <w:rStyle w:val="FootnoteReference"/>
        </w:rPr>
        <w:footnoteRef/>
      </w:r>
      <w:r>
        <w:t xml:space="preserve"> </w:t>
      </w:r>
      <w:r w:rsidRPr="00EF3177">
        <w:rPr>
          <w:rFonts w:ascii="Arial" w:hAnsi="Arial" w:cs="Arial"/>
          <w:sz w:val="18"/>
          <w:szCs w:val="18"/>
        </w:rPr>
        <w:t>A copy of the GAD analysis can be found at: https://consult.justice.gov.uk/digital-communications/personal-injury-discount-rate/</w:t>
      </w:r>
    </w:p>
  </w:footnote>
  <w:footnote w:id="4">
    <w:p w14:paraId="7E7CEA37" w14:textId="77777777" w:rsidR="008A6EF2" w:rsidRPr="00F54332" w:rsidRDefault="008A6EF2" w:rsidP="0089441B">
      <w:pPr>
        <w:rPr>
          <w:rFonts w:ascii="Arial" w:hAnsi="Arial" w:cs="Arial"/>
          <w:sz w:val="18"/>
          <w:szCs w:val="18"/>
        </w:rPr>
      </w:pPr>
      <w:r w:rsidRPr="00F54332">
        <w:rPr>
          <w:rStyle w:val="FootnoteReference"/>
          <w:rFonts w:cs="Arial"/>
          <w:sz w:val="18"/>
          <w:szCs w:val="18"/>
        </w:rPr>
        <w:footnoteRef/>
      </w:r>
      <w:r w:rsidRPr="00F54332">
        <w:rPr>
          <w:rFonts w:ascii="Arial" w:hAnsi="Arial" w:cs="Arial"/>
          <w:sz w:val="18"/>
          <w:szCs w:val="18"/>
        </w:rPr>
        <w:t xml:space="preserve"> In addition to the portfolios and asset allocations provided directly in response to the consultation, portfolio recommendations were provided by four member firms of the Wealth Management Association offering bespoke investment advice to personal injury claimants. This was in response to a MoJ questionnaire, in relation to three representative personal injury cases, with compensation awards calculated based on three different assumed discount rates. The focus of this analysis was on severe personal injury cases, with all four firms having significant experience in advising on Court of Protection cases.  </w:t>
      </w:r>
    </w:p>
    <w:p w14:paraId="19323911" w14:textId="77777777" w:rsidR="008A6EF2" w:rsidRDefault="008A6EF2" w:rsidP="0089441B">
      <w:pPr>
        <w:pStyle w:val="FootnoteText"/>
      </w:pPr>
    </w:p>
  </w:footnote>
  <w:footnote w:id="5">
    <w:p w14:paraId="36C40908" w14:textId="77777777" w:rsidR="008A6EF2" w:rsidRDefault="008A6EF2">
      <w:pPr>
        <w:pStyle w:val="FootnoteText"/>
      </w:pPr>
      <w:r>
        <w:rPr>
          <w:rStyle w:val="FootnoteReference"/>
        </w:rPr>
        <w:footnoteRef/>
      </w:r>
      <w:r>
        <w:t xml:space="preserve"> T</w:t>
      </w:r>
      <w:r w:rsidRPr="000B7728">
        <w:t xml:space="preserve">o keep the modelling simple, </w:t>
      </w:r>
      <w:r>
        <w:t>GAD</w:t>
      </w:r>
      <w:r w:rsidRPr="000B7728">
        <w:t xml:space="preserve"> did not generate returns for all possible asset classes.</w:t>
      </w:r>
      <w:r>
        <w:t xml:space="preserve"> </w:t>
      </w:r>
      <w:r w:rsidRPr="00DF0E6F">
        <w:t>‘</w:t>
      </w:r>
      <w:r>
        <w:t>A</w:t>
      </w:r>
      <w:r w:rsidRPr="00DF0E6F">
        <w:t>lternative’ investments (such as commodities) are modelled as a ‘</w:t>
      </w:r>
      <w:r>
        <w:t xml:space="preserve">Fund of Fund Hedge Funds’ in the GAD analysis </w:t>
      </w:r>
      <w:r w:rsidRPr="00F36DF1">
        <w:t>(see A.3, p.28)</w:t>
      </w:r>
      <w:r>
        <w:t>.</w:t>
      </w:r>
    </w:p>
  </w:footnote>
  <w:footnote w:id="6">
    <w:p w14:paraId="199B592A" w14:textId="77777777" w:rsidR="008A6EF2" w:rsidRDefault="008A6EF2" w:rsidP="002B3ADF">
      <w:pPr>
        <w:pStyle w:val="FootnoteText"/>
      </w:pPr>
      <w:r>
        <w:rPr>
          <w:rStyle w:val="FootnoteReference"/>
        </w:rPr>
        <w:footnoteRef/>
      </w:r>
      <w:r>
        <w:t xml:space="preserve"> Apart from the index-linked gilt portfolio, which is assumed to rebalance between index-linked gilts of different maturities to provide a better match to the damage profile – see section 5 and Appendix B of GAD’s report for more details.</w:t>
      </w:r>
    </w:p>
    <w:p w14:paraId="77B87141" w14:textId="77777777" w:rsidR="008A6EF2" w:rsidRDefault="008A6EF2" w:rsidP="002B3A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DE8A" w14:textId="77777777" w:rsidR="008A6EF2" w:rsidRDefault="008A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E142" w14:textId="77777777" w:rsidR="008A6EF2" w:rsidRDefault="008A6EF2"/>
  <w:p w14:paraId="0A29502F" w14:textId="77777777" w:rsidR="008A6EF2" w:rsidRDefault="008A6E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5CF"/>
    <w:multiLevelType w:val="hybridMultilevel"/>
    <w:tmpl w:val="A8426126"/>
    <w:lvl w:ilvl="0" w:tplc="8F2AD6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3CD9"/>
    <w:multiLevelType w:val="hybridMultilevel"/>
    <w:tmpl w:val="900CA5BA"/>
    <w:lvl w:ilvl="0" w:tplc="D05043FC">
      <w:start w:val="1"/>
      <w:numFmt w:val="decimal"/>
      <w:lvlText w:val="%1."/>
      <w:lvlJc w:val="left"/>
      <w:pPr>
        <w:ind w:left="36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1656F"/>
    <w:multiLevelType w:val="hybridMultilevel"/>
    <w:tmpl w:val="3710C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D51320"/>
    <w:multiLevelType w:val="hybridMultilevel"/>
    <w:tmpl w:val="BCBCFA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7A9B29"/>
    <w:multiLevelType w:val="hybridMultilevel"/>
    <w:tmpl w:val="F5F9C0E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EC4476"/>
    <w:multiLevelType w:val="hybridMultilevel"/>
    <w:tmpl w:val="F9002234"/>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2F7C79"/>
    <w:multiLevelType w:val="hybridMultilevel"/>
    <w:tmpl w:val="1E80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25930"/>
    <w:multiLevelType w:val="hybridMultilevel"/>
    <w:tmpl w:val="54F4A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1F7143"/>
    <w:multiLevelType w:val="hybridMultilevel"/>
    <w:tmpl w:val="572459CA"/>
    <w:lvl w:ilvl="0" w:tplc="F5D44D84">
      <w:start w:val="1"/>
      <w:numFmt w:val="decimal"/>
      <w:lvlText w:val="%1."/>
      <w:lvlJc w:val="left"/>
      <w:pPr>
        <w:ind w:left="786" w:hanging="360"/>
      </w:pPr>
      <w:rPr>
        <w:b w:val="0"/>
        <w:sz w:val="22"/>
        <w:szCs w:val="22"/>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0" w15:restartNumberingAfterBreak="0">
    <w:nsid w:val="2760596E"/>
    <w:multiLevelType w:val="hybridMultilevel"/>
    <w:tmpl w:val="1CE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4D92B71"/>
    <w:multiLevelType w:val="hybridMultilevel"/>
    <w:tmpl w:val="AA68CF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E172A"/>
    <w:multiLevelType w:val="hybridMultilevel"/>
    <w:tmpl w:val="5F4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543EF"/>
    <w:multiLevelType w:val="hybridMultilevel"/>
    <w:tmpl w:val="F05CB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9B6D73"/>
    <w:multiLevelType w:val="hybridMultilevel"/>
    <w:tmpl w:val="5238C8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CE6377"/>
    <w:multiLevelType w:val="hybridMultilevel"/>
    <w:tmpl w:val="E60AA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575B6"/>
    <w:multiLevelType w:val="hybridMultilevel"/>
    <w:tmpl w:val="4BD49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44C81"/>
    <w:multiLevelType w:val="hybridMultilevel"/>
    <w:tmpl w:val="99084184"/>
    <w:lvl w:ilvl="0" w:tplc="8F2AD660">
      <w:start w:val="1"/>
      <w:numFmt w:val="upperLetter"/>
      <w:lvlText w:val="%1)"/>
      <w:lvlJc w:val="left"/>
      <w:pPr>
        <w:ind w:left="720" w:hanging="360"/>
      </w:pPr>
      <w:rPr>
        <w:rFonts w:hint="default"/>
      </w:rPr>
    </w:lvl>
    <w:lvl w:ilvl="1" w:tplc="F2B23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6424B"/>
    <w:multiLevelType w:val="multilevel"/>
    <w:tmpl w:val="C73AAADE"/>
    <w:lvl w:ilvl="0">
      <w:start w:val="1"/>
      <w:numFmt w:val="decimal"/>
      <w:pStyle w:val="GSectionHead2"/>
      <w:lvlText w:val="%1"/>
      <w:lvlJc w:val="left"/>
      <w:pPr>
        <w:ind w:left="709" w:hanging="709"/>
      </w:pPr>
      <w:rPr>
        <w:rFonts w:hint="default"/>
      </w:rPr>
    </w:lvl>
    <w:lvl w:ilvl="1">
      <w:start w:val="1"/>
      <w:numFmt w:val="decimal"/>
      <w:pStyle w:val="GBodyPara"/>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0" w15:restartNumberingAfterBreak="0">
    <w:nsid w:val="48105D35"/>
    <w:multiLevelType w:val="hybridMultilevel"/>
    <w:tmpl w:val="04C2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D4640"/>
    <w:multiLevelType w:val="hybridMultilevel"/>
    <w:tmpl w:val="A920C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05006"/>
    <w:multiLevelType w:val="hybridMultilevel"/>
    <w:tmpl w:val="72FA6C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9B3621"/>
    <w:multiLevelType w:val="hybridMultilevel"/>
    <w:tmpl w:val="99084184"/>
    <w:lvl w:ilvl="0" w:tplc="8F2AD660">
      <w:start w:val="1"/>
      <w:numFmt w:val="upperLetter"/>
      <w:lvlText w:val="%1)"/>
      <w:lvlJc w:val="left"/>
      <w:pPr>
        <w:ind w:left="720" w:hanging="360"/>
      </w:pPr>
      <w:rPr>
        <w:rFonts w:hint="default"/>
      </w:rPr>
    </w:lvl>
    <w:lvl w:ilvl="1" w:tplc="F2B23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D107E"/>
    <w:multiLevelType w:val="hybridMultilevel"/>
    <w:tmpl w:val="B54460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C6F5E"/>
    <w:multiLevelType w:val="hybridMultilevel"/>
    <w:tmpl w:val="6A3C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992DA8"/>
    <w:multiLevelType w:val="hybridMultilevel"/>
    <w:tmpl w:val="99084184"/>
    <w:lvl w:ilvl="0" w:tplc="8F2AD660">
      <w:start w:val="1"/>
      <w:numFmt w:val="upperLetter"/>
      <w:lvlText w:val="%1)"/>
      <w:lvlJc w:val="left"/>
      <w:pPr>
        <w:ind w:left="720" w:hanging="360"/>
      </w:pPr>
      <w:rPr>
        <w:rFonts w:hint="default"/>
      </w:rPr>
    </w:lvl>
    <w:lvl w:ilvl="1" w:tplc="F2B23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44F14"/>
    <w:multiLevelType w:val="hybridMultilevel"/>
    <w:tmpl w:val="99084184"/>
    <w:lvl w:ilvl="0" w:tplc="8F2AD660">
      <w:start w:val="1"/>
      <w:numFmt w:val="upperLetter"/>
      <w:lvlText w:val="%1)"/>
      <w:lvlJc w:val="left"/>
      <w:pPr>
        <w:ind w:left="720" w:hanging="360"/>
      </w:pPr>
      <w:rPr>
        <w:rFonts w:hint="default"/>
      </w:rPr>
    </w:lvl>
    <w:lvl w:ilvl="1" w:tplc="F2B23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57B04"/>
    <w:multiLevelType w:val="hybridMultilevel"/>
    <w:tmpl w:val="39A61B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3453E"/>
    <w:multiLevelType w:val="hybridMultilevel"/>
    <w:tmpl w:val="38744376"/>
    <w:lvl w:ilvl="0" w:tplc="08090001">
      <w:start w:val="1"/>
      <w:numFmt w:val="bullet"/>
      <w:lvlText w:val=""/>
      <w:lvlJc w:val="left"/>
      <w:pPr>
        <w:ind w:left="720" w:hanging="360"/>
      </w:pPr>
      <w:rPr>
        <w:rFonts w:ascii="Symbol" w:hAnsi="Symbol" w:hint="default"/>
      </w:rPr>
    </w:lvl>
    <w:lvl w:ilvl="1" w:tplc="F2B23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25293"/>
    <w:multiLevelType w:val="hybridMultilevel"/>
    <w:tmpl w:val="560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509CC"/>
    <w:multiLevelType w:val="hybridMultilevel"/>
    <w:tmpl w:val="2E3C097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6CC80B78"/>
    <w:multiLevelType w:val="hybridMultilevel"/>
    <w:tmpl w:val="99084184"/>
    <w:lvl w:ilvl="0" w:tplc="8F2AD660">
      <w:start w:val="1"/>
      <w:numFmt w:val="upperLetter"/>
      <w:lvlText w:val="%1)"/>
      <w:lvlJc w:val="left"/>
      <w:pPr>
        <w:ind w:left="720" w:hanging="360"/>
      </w:pPr>
      <w:rPr>
        <w:rFonts w:hint="default"/>
      </w:rPr>
    </w:lvl>
    <w:lvl w:ilvl="1" w:tplc="F2B231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E66D0"/>
    <w:multiLevelType w:val="hybridMultilevel"/>
    <w:tmpl w:val="FBB2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928A6"/>
    <w:multiLevelType w:val="hybridMultilevel"/>
    <w:tmpl w:val="69184A00"/>
    <w:lvl w:ilvl="0" w:tplc="DFB00C36">
      <w:start w:val="1"/>
      <w:numFmt w:val="decimal"/>
      <w:lvlText w:val="%1."/>
      <w:lvlJc w:val="left"/>
      <w:pPr>
        <w:ind w:left="360" w:hanging="360"/>
      </w:pPr>
      <w:rPr>
        <w:rFonts w:ascii="Arial" w:hAnsi="Arial" w:cs="Arial" w:hint="default"/>
        <w:b w:val="0"/>
        <w:i w:val="0"/>
        <w:sz w:val="22"/>
        <w:szCs w:val="22"/>
      </w:rPr>
    </w:lvl>
    <w:lvl w:ilvl="1" w:tplc="08090001">
      <w:start w:val="1"/>
      <w:numFmt w:val="bullet"/>
      <w:lvlText w:val=""/>
      <w:lvlJc w:val="left"/>
      <w:pPr>
        <w:ind w:left="-3806" w:hanging="360"/>
      </w:pPr>
      <w:rPr>
        <w:rFonts w:ascii="Symbol" w:hAnsi="Symbol" w:hint="default"/>
      </w:rPr>
    </w:lvl>
    <w:lvl w:ilvl="2" w:tplc="0809001B" w:tentative="1">
      <w:start w:val="1"/>
      <w:numFmt w:val="lowerRoman"/>
      <w:lvlText w:val="%3."/>
      <w:lvlJc w:val="right"/>
      <w:pPr>
        <w:ind w:left="-3086" w:hanging="180"/>
      </w:pPr>
    </w:lvl>
    <w:lvl w:ilvl="3" w:tplc="0809000F" w:tentative="1">
      <w:start w:val="1"/>
      <w:numFmt w:val="decimal"/>
      <w:lvlText w:val="%4."/>
      <w:lvlJc w:val="left"/>
      <w:pPr>
        <w:ind w:left="-2366" w:hanging="360"/>
      </w:pPr>
    </w:lvl>
    <w:lvl w:ilvl="4" w:tplc="08090019" w:tentative="1">
      <w:start w:val="1"/>
      <w:numFmt w:val="lowerLetter"/>
      <w:lvlText w:val="%5."/>
      <w:lvlJc w:val="left"/>
      <w:pPr>
        <w:ind w:left="-1646" w:hanging="360"/>
      </w:pPr>
    </w:lvl>
    <w:lvl w:ilvl="5" w:tplc="0809001B" w:tentative="1">
      <w:start w:val="1"/>
      <w:numFmt w:val="lowerRoman"/>
      <w:lvlText w:val="%6."/>
      <w:lvlJc w:val="right"/>
      <w:pPr>
        <w:ind w:left="-926" w:hanging="180"/>
      </w:pPr>
    </w:lvl>
    <w:lvl w:ilvl="6" w:tplc="0809000F" w:tentative="1">
      <w:start w:val="1"/>
      <w:numFmt w:val="decimal"/>
      <w:lvlText w:val="%7."/>
      <w:lvlJc w:val="left"/>
      <w:pPr>
        <w:ind w:left="-206" w:hanging="360"/>
      </w:pPr>
    </w:lvl>
    <w:lvl w:ilvl="7" w:tplc="08090019" w:tentative="1">
      <w:start w:val="1"/>
      <w:numFmt w:val="lowerLetter"/>
      <w:lvlText w:val="%8."/>
      <w:lvlJc w:val="left"/>
      <w:pPr>
        <w:ind w:left="514" w:hanging="360"/>
      </w:pPr>
    </w:lvl>
    <w:lvl w:ilvl="8" w:tplc="0809001B" w:tentative="1">
      <w:start w:val="1"/>
      <w:numFmt w:val="lowerRoman"/>
      <w:lvlText w:val="%9."/>
      <w:lvlJc w:val="right"/>
      <w:pPr>
        <w:ind w:left="1234" w:hanging="180"/>
      </w:pPr>
    </w:lvl>
  </w:abstractNum>
  <w:abstractNum w:abstractNumId="35" w15:restartNumberingAfterBreak="0">
    <w:nsid w:val="7E414DDD"/>
    <w:multiLevelType w:val="hybridMultilevel"/>
    <w:tmpl w:val="D8720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2"/>
  </w:num>
  <w:num w:numId="3">
    <w:abstractNumId w:val="15"/>
  </w:num>
  <w:num w:numId="4">
    <w:abstractNumId w:val="36"/>
  </w:num>
  <w:num w:numId="5">
    <w:abstractNumId w:val="31"/>
  </w:num>
  <w:num w:numId="6">
    <w:abstractNumId w:val="8"/>
  </w:num>
  <w:num w:numId="7">
    <w:abstractNumId w:val="32"/>
  </w:num>
  <w:num w:numId="8">
    <w:abstractNumId w:val="0"/>
  </w:num>
  <w:num w:numId="9">
    <w:abstractNumId w:val="22"/>
  </w:num>
  <w:num w:numId="10">
    <w:abstractNumId w:val="20"/>
  </w:num>
  <w:num w:numId="11">
    <w:abstractNumId w:val="7"/>
  </w:num>
  <w:num w:numId="12">
    <w:abstractNumId w:val="4"/>
  </w:num>
  <w:num w:numId="13">
    <w:abstractNumId w:val="16"/>
  </w:num>
  <w:num w:numId="14">
    <w:abstractNumId w:val="10"/>
  </w:num>
  <w:num w:numId="15">
    <w:abstractNumId w:val="28"/>
  </w:num>
  <w:num w:numId="16">
    <w:abstractNumId w:val="3"/>
  </w:num>
  <w:num w:numId="17">
    <w:abstractNumId w:val="26"/>
  </w:num>
  <w:num w:numId="18">
    <w:abstractNumId w:val="25"/>
  </w:num>
  <w:num w:numId="19">
    <w:abstractNumId w:val="18"/>
  </w:num>
  <w:num w:numId="20">
    <w:abstractNumId w:val="23"/>
  </w:num>
  <w:num w:numId="21">
    <w:abstractNumId w:val="24"/>
  </w:num>
  <w:num w:numId="22">
    <w:abstractNumId w:val="12"/>
  </w:num>
  <w:num w:numId="23">
    <w:abstractNumId w:val="27"/>
  </w:num>
  <w:num w:numId="24">
    <w:abstractNumId w:val="21"/>
  </w:num>
  <w:num w:numId="25">
    <w:abstractNumId w:val="34"/>
  </w:num>
  <w:num w:numId="26">
    <w:abstractNumId w:val="13"/>
  </w:num>
  <w:num w:numId="27">
    <w:abstractNumId w:val="33"/>
  </w:num>
  <w:num w:numId="28">
    <w:abstractNumId w:val="6"/>
  </w:num>
  <w:num w:numId="29">
    <w:abstractNumId w:val="29"/>
  </w:num>
  <w:num w:numId="30">
    <w:abstractNumId w:val="30"/>
  </w:num>
  <w:num w:numId="31">
    <w:abstractNumId w:val="14"/>
  </w:num>
  <w:num w:numId="32">
    <w:abstractNumId w:val="17"/>
  </w:num>
  <w:num w:numId="33">
    <w:abstractNumId w:val="5"/>
  </w:num>
  <w:num w:numId="34">
    <w:abstractNumId w:val="9"/>
  </w:num>
  <w:num w:numId="35">
    <w:abstractNumId w:val="19"/>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5A"/>
    <w:rsid w:val="00002509"/>
    <w:rsid w:val="0000552B"/>
    <w:rsid w:val="00005F90"/>
    <w:rsid w:val="00005FC6"/>
    <w:rsid w:val="000069F9"/>
    <w:rsid w:val="00010548"/>
    <w:rsid w:val="000116CF"/>
    <w:rsid w:val="0002101D"/>
    <w:rsid w:val="00027119"/>
    <w:rsid w:val="000306C2"/>
    <w:rsid w:val="00034BB5"/>
    <w:rsid w:val="00052FF5"/>
    <w:rsid w:val="00055446"/>
    <w:rsid w:val="0006497D"/>
    <w:rsid w:val="0006682B"/>
    <w:rsid w:val="0007282D"/>
    <w:rsid w:val="00073E50"/>
    <w:rsid w:val="00077E84"/>
    <w:rsid w:val="00081BD7"/>
    <w:rsid w:val="00090650"/>
    <w:rsid w:val="000909DD"/>
    <w:rsid w:val="000934E6"/>
    <w:rsid w:val="00094671"/>
    <w:rsid w:val="0009694B"/>
    <w:rsid w:val="00096FCB"/>
    <w:rsid w:val="000A2D6D"/>
    <w:rsid w:val="000A32E1"/>
    <w:rsid w:val="000B0077"/>
    <w:rsid w:val="000B0939"/>
    <w:rsid w:val="000B7728"/>
    <w:rsid w:val="000C0242"/>
    <w:rsid w:val="000C048F"/>
    <w:rsid w:val="000C0F2C"/>
    <w:rsid w:val="000C2BD9"/>
    <w:rsid w:val="000C4F99"/>
    <w:rsid w:val="000C5C14"/>
    <w:rsid w:val="000D1C37"/>
    <w:rsid w:val="000D2D49"/>
    <w:rsid w:val="000D2EB2"/>
    <w:rsid w:val="000D510E"/>
    <w:rsid w:val="000D6D4C"/>
    <w:rsid w:val="000E35F0"/>
    <w:rsid w:val="000E4400"/>
    <w:rsid w:val="000E47DF"/>
    <w:rsid w:val="000F1C0E"/>
    <w:rsid w:val="000F1E03"/>
    <w:rsid w:val="000F448E"/>
    <w:rsid w:val="000F476D"/>
    <w:rsid w:val="000F5FCD"/>
    <w:rsid w:val="000F758D"/>
    <w:rsid w:val="000F79CF"/>
    <w:rsid w:val="000F7B8F"/>
    <w:rsid w:val="000F7EB6"/>
    <w:rsid w:val="00102616"/>
    <w:rsid w:val="00110BE7"/>
    <w:rsid w:val="00111D51"/>
    <w:rsid w:val="00115A20"/>
    <w:rsid w:val="00115B5B"/>
    <w:rsid w:val="00116A01"/>
    <w:rsid w:val="001335EE"/>
    <w:rsid w:val="00137CB8"/>
    <w:rsid w:val="0014253C"/>
    <w:rsid w:val="001428A3"/>
    <w:rsid w:val="0014749E"/>
    <w:rsid w:val="00147D24"/>
    <w:rsid w:val="0015319A"/>
    <w:rsid w:val="00160DFE"/>
    <w:rsid w:val="0016175A"/>
    <w:rsid w:val="00162794"/>
    <w:rsid w:val="001637C7"/>
    <w:rsid w:val="00165A8D"/>
    <w:rsid w:val="00167AED"/>
    <w:rsid w:val="00171B6D"/>
    <w:rsid w:val="001817E2"/>
    <w:rsid w:val="0018594C"/>
    <w:rsid w:val="00192181"/>
    <w:rsid w:val="001A2503"/>
    <w:rsid w:val="001A2C31"/>
    <w:rsid w:val="001A4074"/>
    <w:rsid w:val="001B5769"/>
    <w:rsid w:val="001C1C55"/>
    <w:rsid w:val="001C2C31"/>
    <w:rsid w:val="001D6610"/>
    <w:rsid w:val="001E021C"/>
    <w:rsid w:val="001E1A46"/>
    <w:rsid w:val="001E2368"/>
    <w:rsid w:val="001E2CD5"/>
    <w:rsid w:val="001E6CC1"/>
    <w:rsid w:val="001F1F65"/>
    <w:rsid w:val="001F2AEB"/>
    <w:rsid w:val="001F58A5"/>
    <w:rsid w:val="001F64F2"/>
    <w:rsid w:val="0020552F"/>
    <w:rsid w:val="00207C8A"/>
    <w:rsid w:val="002100BC"/>
    <w:rsid w:val="00212AFB"/>
    <w:rsid w:val="00222C94"/>
    <w:rsid w:val="00222D95"/>
    <w:rsid w:val="002263FA"/>
    <w:rsid w:val="002305DF"/>
    <w:rsid w:val="0023590C"/>
    <w:rsid w:val="0023740D"/>
    <w:rsid w:val="00237D98"/>
    <w:rsid w:val="0024209E"/>
    <w:rsid w:val="002455D1"/>
    <w:rsid w:val="00245A42"/>
    <w:rsid w:val="002462AA"/>
    <w:rsid w:val="00246896"/>
    <w:rsid w:val="00251A06"/>
    <w:rsid w:val="00251C1A"/>
    <w:rsid w:val="00253793"/>
    <w:rsid w:val="00254012"/>
    <w:rsid w:val="00254BFF"/>
    <w:rsid w:val="00254C57"/>
    <w:rsid w:val="00261510"/>
    <w:rsid w:val="00262F93"/>
    <w:rsid w:val="002649C9"/>
    <w:rsid w:val="00265B80"/>
    <w:rsid w:val="00266598"/>
    <w:rsid w:val="00273A80"/>
    <w:rsid w:val="0027442E"/>
    <w:rsid w:val="002767D7"/>
    <w:rsid w:val="002768C1"/>
    <w:rsid w:val="002779EB"/>
    <w:rsid w:val="002805CB"/>
    <w:rsid w:val="00280B4E"/>
    <w:rsid w:val="0028263E"/>
    <w:rsid w:val="0028748A"/>
    <w:rsid w:val="0029027B"/>
    <w:rsid w:val="0029150A"/>
    <w:rsid w:val="002A6225"/>
    <w:rsid w:val="002B208A"/>
    <w:rsid w:val="002B39B7"/>
    <w:rsid w:val="002B39E2"/>
    <w:rsid w:val="002B3ADF"/>
    <w:rsid w:val="002B5880"/>
    <w:rsid w:val="002B5AF9"/>
    <w:rsid w:val="002B5E0A"/>
    <w:rsid w:val="002B63B4"/>
    <w:rsid w:val="002B6A5A"/>
    <w:rsid w:val="002C4272"/>
    <w:rsid w:val="002C5783"/>
    <w:rsid w:val="002C5CEF"/>
    <w:rsid w:val="002D24DF"/>
    <w:rsid w:val="002D2DC5"/>
    <w:rsid w:val="002D77DA"/>
    <w:rsid w:val="002E0FD8"/>
    <w:rsid w:val="002E58A3"/>
    <w:rsid w:val="002E5ACE"/>
    <w:rsid w:val="002E741B"/>
    <w:rsid w:val="002F1287"/>
    <w:rsid w:val="002F427A"/>
    <w:rsid w:val="002F450C"/>
    <w:rsid w:val="002F4D2D"/>
    <w:rsid w:val="003048E5"/>
    <w:rsid w:val="00307039"/>
    <w:rsid w:val="00312E30"/>
    <w:rsid w:val="003154F3"/>
    <w:rsid w:val="00316CF4"/>
    <w:rsid w:val="00320755"/>
    <w:rsid w:val="00320BBE"/>
    <w:rsid w:val="00321772"/>
    <w:rsid w:val="0032707A"/>
    <w:rsid w:val="00332B02"/>
    <w:rsid w:val="00335366"/>
    <w:rsid w:val="003473F3"/>
    <w:rsid w:val="0035120D"/>
    <w:rsid w:val="00351881"/>
    <w:rsid w:val="00351AB9"/>
    <w:rsid w:val="00353134"/>
    <w:rsid w:val="00353772"/>
    <w:rsid w:val="00356EAD"/>
    <w:rsid w:val="00365243"/>
    <w:rsid w:val="003743D6"/>
    <w:rsid w:val="003765A1"/>
    <w:rsid w:val="00381479"/>
    <w:rsid w:val="003876A4"/>
    <w:rsid w:val="003947EA"/>
    <w:rsid w:val="0039677E"/>
    <w:rsid w:val="003A2250"/>
    <w:rsid w:val="003A714D"/>
    <w:rsid w:val="003B40C2"/>
    <w:rsid w:val="003C4799"/>
    <w:rsid w:val="003C70C3"/>
    <w:rsid w:val="003D46C7"/>
    <w:rsid w:val="003D578B"/>
    <w:rsid w:val="003D7F9D"/>
    <w:rsid w:val="003E58C7"/>
    <w:rsid w:val="003F278E"/>
    <w:rsid w:val="003F2E4D"/>
    <w:rsid w:val="003F5BF1"/>
    <w:rsid w:val="003F5E4D"/>
    <w:rsid w:val="00405BFC"/>
    <w:rsid w:val="0042152C"/>
    <w:rsid w:val="004303AF"/>
    <w:rsid w:val="004315B6"/>
    <w:rsid w:val="00432D16"/>
    <w:rsid w:val="00441136"/>
    <w:rsid w:val="0044327A"/>
    <w:rsid w:val="0044328B"/>
    <w:rsid w:val="004442DF"/>
    <w:rsid w:val="00467412"/>
    <w:rsid w:val="0047616D"/>
    <w:rsid w:val="00480BA3"/>
    <w:rsid w:val="00485FB6"/>
    <w:rsid w:val="0049035B"/>
    <w:rsid w:val="00494E9B"/>
    <w:rsid w:val="00497776"/>
    <w:rsid w:val="004A1D76"/>
    <w:rsid w:val="004A458E"/>
    <w:rsid w:val="004A6153"/>
    <w:rsid w:val="004A69CB"/>
    <w:rsid w:val="004B296E"/>
    <w:rsid w:val="004B2F1D"/>
    <w:rsid w:val="004B333A"/>
    <w:rsid w:val="004C046B"/>
    <w:rsid w:val="004C0BA3"/>
    <w:rsid w:val="004C23D6"/>
    <w:rsid w:val="004D02DF"/>
    <w:rsid w:val="004D2009"/>
    <w:rsid w:val="004D6F6B"/>
    <w:rsid w:val="004E173A"/>
    <w:rsid w:val="004E1CD2"/>
    <w:rsid w:val="004E3B89"/>
    <w:rsid w:val="004E3FF5"/>
    <w:rsid w:val="004E4812"/>
    <w:rsid w:val="004F2109"/>
    <w:rsid w:val="005108DB"/>
    <w:rsid w:val="00517857"/>
    <w:rsid w:val="005244CE"/>
    <w:rsid w:val="005273C1"/>
    <w:rsid w:val="00530052"/>
    <w:rsid w:val="00532D1C"/>
    <w:rsid w:val="00540EAE"/>
    <w:rsid w:val="00544801"/>
    <w:rsid w:val="005469EC"/>
    <w:rsid w:val="00556B9A"/>
    <w:rsid w:val="00564032"/>
    <w:rsid w:val="0057302F"/>
    <w:rsid w:val="00574BFA"/>
    <w:rsid w:val="0057641E"/>
    <w:rsid w:val="00581FBA"/>
    <w:rsid w:val="00582616"/>
    <w:rsid w:val="005843F5"/>
    <w:rsid w:val="005863AB"/>
    <w:rsid w:val="005909BF"/>
    <w:rsid w:val="005911E2"/>
    <w:rsid w:val="005A66C4"/>
    <w:rsid w:val="005A7855"/>
    <w:rsid w:val="005B2498"/>
    <w:rsid w:val="005B438A"/>
    <w:rsid w:val="005B4891"/>
    <w:rsid w:val="005B7BEF"/>
    <w:rsid w:val="005C0B5C"/>
    <w:rsid w:val="005C0DA1"/>
    <w:rsid w:val="005C0EE4"/>
    <w:rsid w:val="005C0F5B"/>
    <w:rsid w:val="005D1016"/>
    <w:rsid w:val="005D60A3"/>
    <w:rsid w:val="005D63EC"/>
    <w:rsid w:val="005E39CA"/>
    <w:rsid w:val="005E78F6"/>
    <w:rsid w:val="005F04BB"/>
    <w:rsid w:val="005F2ECF"/>
    <w:rsid w:val="005F2EE1"/>
    <w:rsid w:val="005F7893"/>
    <w:rsid w:val="0060150B"/>
    <w:rsid w:val="00611285"/>
    <w:rsid w:val="006143CE"/>
    <w:rsid w:val="00615EEB"/>
    <w:rsid w:val="00616124"/>
    <w:rsid w:val="00616508"/>
    <w:rsid w:val="00620D46"/>
    <w:rsid w:val="006240DE"/>
    <w:rsid w:val="006246D0"/>
    <w:rsid w:val="00631A24"/>
    <w:rsid w:val="00632857"/>
    <w:rsid w:val="006350D8"/>
    <w:rsid w:val="006410DC"/>
    <w:rsid w:val="006415B4"/>
    <w:rsid w:val="006427B1"/>
    <w:rsid w:val="00651FD7"/>
    <w:rsid w:val="00654840"/>
    <w:rsid w:val="00654937"/>
    <w:rsid w:val="00655E31"/>
    <w:rsid w:val="00656648"/>
    <w:rsid w:val="00662E91"/>
    <w:rsid w:val="00664AB8"/>
    <w:rsid w:val="00673C49"/>
    <w:rsid w:val="00682EEB"/>
    <w:rsid w:val="0069005A"/>
    <w:rsid w:val="00691FB6"/>
    <w:rsid w:val="00692708"/>
    <w:rsid w:val="006A3D58"/>
    <w:rsid w:val="006A5C4D"/>
    <w:rsid w:val="006A6AE1"/>
    <w:rsid w:val="006B6774"/>
    <w:rsid w:val="006C0281"/>
    <w:rsid w:val="006C0CD8"/>
    <w:rsid w:val="006C2A7D"/>
    <w:rsid w:val="006C4FE7"/>
    <w:rsid w:val="006C5A8A"/>
    <w:rsid w:val="006C7B6E"/>
    <w:rsid w:val="006D73C8"/>
    <w:rsid w:val="006D7CF8"/>
    <w:rsid w:val="006E0DD8"/>
    <w:rsid w:val="006E3226"/>
    <w:rsid w:val="006E4995"/>
    <w:rsid w:val="006E5FBE"/>
    <w:rsid w:val="006E6A99"/>
    <w:rsid w:val="006F0872"/>
    <w:rsid w:val="006F1688"/>
    <w:rsid w:val="006F35D9"/>
    <w:rsid w:val="006F3BB4"/>
    <w:rsid w:val="006F5950"/>
    <w:rsid w:val="007000FC"/>
    <w:rsid w:val="00701B71"/>
    <w:rsid w:val="007071C1"/>
    <w:rsid w:val="00721EB3"/>
    <w:rsid w:val="007308DA"/>
    <w:rsid w:val="00730D0E"/>
    <w:rsid w:val="00733861"/>
    <w:rsid w:val="00733F38"/>
    <w:rsid w:val="007351B0"/>
    <w:rsid w:val="00737984"/>
    <w:rsid w:val="007421EE"/>
    <w:rsid w:val="00743EE5"/>
    <w:rsid w:val="007478C0"/>
    <w:rsid w:val="00751DE1"/>
    <w:rsid w:val="007542A2"/>
    <w:rsid w:val="00754F24"/>
    <w:rsid w:val="007565D9"/>
    <w:rsid w:val="00757A90"/>
    <w:rsid w:val="0076246F"/>
    <w:rsid w:val="00771516"/>
    <w:rsid w:val="00772849"/>
    <w:rsid w:val="00775B4F"/>
    <w:rsid w:val="007773AE"/>
    <w:rsid w:val="00781783"/>
    <w:rsid w:val="00784F64"/>
    <w:rsid w:val="0079058E"/>
    <w:rsid w:val="0079408B"/>
    <w:rsid w:val="007959E2"/>
    <w:rsid w:val="0079708C"/>
    <w:rsid w:val="007A02D3"/>
    <w:rsid w:val="007B2574"/>
    <w:rsid w:val="007B361B"/>
    <w:rsid w:val="007C7692"/>
    <w:rsid w:val="007D0539"/>
    <w:rsid w:val="007D11B4"/>
    <w:rsid w:val="007E3CEC"/>
    <w:rsid w:val="007E4519"/>
    <w:rsid w:val="007E4DC4"/>
    <w:rsid w:val="007E4F4E"/>
    <w:rsid w:val="007E56FE"/>
    <w:rsid w:val="007F3314"/>
    <w:rsid w:val="007F564A"/>
    <w:rsid w:val="008002C8"/>
    <w:rsid w:val="00804317"/>
    <w:rsid w:val="00807E0F"/>
    <w:rsid w:val="008131FC"/>
    <w:rsid w:val="00814A6E"/>
    <w:rsid w:val="00817D85"/>
    <w:rsid w:val="0082177D"/>
    <w:rsid w:val="00835355"/>
    <w:rsid w:val="00836797"/>
    <w:rsid w:val="008431C4"/>
    <w:rsid w:val="0084358C"/>
    <w:rsid w:val="00843633"/>
    <w:rsid w:val="00850683"/>
    <w:rsid w:val="00853473"/>
    <w:rsid w:val="00860851"/>
    <w:rsid w:val="00862A81"/>
    <w:rsid w:val="00862D7D"/>
    <w:rsid w:val="008669C9"/>
    <w:rsid w:val="00881963"/>
    <w:rsid w:val="00881EBE"/>
    <w:rsid w:val="00891623"/>
    <w:rsid w:val="00891660"/>
    <w:rsid w:val="0089441B"/>
    <w:rsid w:val="008A1142"/>
    <w:rsid w:val="008A358C"/>
    <w:rsid w:val="008A4648"/>
    <w:rsid w:val="008A6EF2"/>
    <w:rsid w:val="008A7B09"/>
    <w:rsid w:val="008B442A"/>
    <w:rsid w:val="008B6D5E"/>
    <w:rsid w:val="008C45E1"/>
    <w:rsid w:val="008D3434"/>
    <w:rsid w:val="008D36F9"/>
    <w:rsid w:val="008D38E8"/>
    <w:rsid w:val="008D58CB"/>
    <w:rsid w:val="008E3F47"/>
    <w:rsid w:val="008F5C86"/>
    <w:rsid w:val="00906743"/>
    <w:rsid w:val="00912042"/>
    <w:rsid w:val="00914C8A"/>
    <w:rsid w:val="00915C77"/>
    <w:rsid w:val="00917979"/>
    <w:rsid w:val="00923A6F"/>
    <w:rsid w:val="009333A1"/>
    <w:rsid w:val="00934B70"/>
    <w:rsid w:val="00937AD4"/>
    <w:rsid w:val="00940299"/>
    <w:rsid w:val="00942B81"/>
    <w:rsid w:val="009473BF"/>
    <w:rsid w:val="009531C8"/>
    <w:rsid w:val="00954411"/>
    <w:rsid w:val="0096258E"/>
    <w:rsid w:val="009651D9"/>
    <w:rsid w:val="0097097E"/>
    <w:rsid w:val="00971A5D"/>
    <w:rsid w:val="00975564"/>
    <w:rsid w:val="00977F10"/>
    <w:rsid w:val="00981F7D"/>
    <w:rsid w:val="0098487D"/>
    <w:rsid w:val="00991C2C"/>
    <w:rsid w:val="00997C9E"/>
    <w:rsid w:val="009B6179"/>
    <w:rsid w:val="009B79C0"/>
    <w:rsid w:val="009C472A"/>
    <w:rsid w:val="009C64EE"/>
    <w:rsid w:val="009C7780"/>
    <w:rsid w:val="009D0E67"/>
    <w:rsid w:val="009D4CDE"/>
    <w:rsid w:val="009E6FD5"/>
    <w:rsid w:val="009E7BA2"/>
    <w:rsid w:val="009E7DA9"/>
    <w:rsid w:val="009E7DE5"/>
    <w:rsid w:val="009F0E54"/>
    <w:rsid w:val="009F2FA5"/>
    <w:rsid w:val="009F49A9"/>
    <w:rsid w:val="009F4A9D"/>
    <w:rsid w:val="00A02680"/>
    <w:rsid w:val="00A03734"/>
    <w:rsid w:val="00A0512E"/>
    <w:rsid w:val="00A05D2F"/>
    <w:rsid w:val="00A15393"/>
    <w:rsid w:val="00A16D15"/>
    <w:rsid w:val="00A25272"/>
    <w:rsid w:val="00A26664"/>
    <w:rsid w:val="00A300F6"/>
    <w:rsid w:val="00A31D06"/>
    <w:rsid w:val="00A355AF"/>
    <w:rsid w:val="00A36847"/>
    <w:rsid w:val="00A41516"/>
    <w:rsid w:val="00A55FF1"/>
    <w:rsid w:val="00A57AFB"/>
    <w:rsid w:val="00A6154A"/>
    <w:rsid w:val="00A622D7"/>
    <w:rsid w:val="00A638CE"/>
    <w:rsid w:val="00A72779"/>
    <w:rsid w:val="00A74710"/>
    <w:rsid w:val="00A80C00"/>
    <w:rsid w:val="00A80F38"/>
    <w:rsid w:val="00A81118"/>
    <w:rsid w:val="00A87DEA"/>
    <w:rsid w:val="00A93860"/>
    <w:rsid w:val="00AA0353"/>
    <w:rsid w:val="00AA23EE"/>
    <w:rsid w:val="00AA319A"/>
    <w:rsid w:val="00AA4F32"/>
    <w:rsid w:val="00AA5A61"/>
    <w:rsid w:val="00AB05D8"/>
    <w:rsid w:val="00AB1967"/>
    <w:rsid w:val="00AB4DDB"/>
    <w:rsid w:val="00AC0824"/>
    <w:rsid w:val="00AC1C20"/>
    <w:rsid w:val="00AC3D94"/>
    <w:rsid w:val="00AC3E75"/>
    <w:rsid w:val="00AC7CEB"/>
    <w:rsid w:val="00AD133F"/>
    <w:rsid w:val="00AE7C78"/>
    <w:rsid w:val="00AF1614"/>
    <w:rsid w:val="00AF4FEF"/>
    <w:rsid w:val="00B06519"/>
    <w:rsid w:val="00B10D6F"/>
    <w:rsid w:val="00B12186"/>
    <w:rsid w:val="00B123FB"/>
    <w:rsid w:val="00B207D8"/>
    <w:rsid w:val="00B21C87"/>
    <w:rsid w:val="00B22054"/>
    <w:rsid w:val="00B254FD"/>
    <w:rsid w:val="00B274CE"/>
    <w:rsid w:val="00B303A0"/>
    <w:rsid w:val="00B30ECE"/>
    <w:rsid w:val="00B3796C"/>
    <w:rsid w:val="00B40BE6"/>
    <w:rsid w:val="00B507B4"/>
    <w:rsid w:val="00B546F7"/>
    <w:rsid w:val="00B54A9D"/>
    <w:rsid w:val="00B57424"/>
    <w:rsid w:val="00B60434"/>
    <w:rsid w:val="00B60D7B"/>
    <w:rsid w:val="00B643D5"/>
    <w:rsid w:val="00B65459"/>
    <w:rsid w:val="00B6737C"/>
    <w:rsid w:val="00B833AC"/>
    <w:rsid w:val="00B868D7"/>
    <w:rsid w:val="00B90561"/>
    <w:rsid w:val="00BA3227"/>
    <w:rsid w:val="00BB0D43"/>
    <w:rsid w:val="00BB1F6A"/>
    <w:rsid w:val="00BC3A69"/>
    <w:rsid w:val="00BD518D"/>
    <w:rsid w:val="00BD5A61"/>
    <w:rsid w:val="00BE4996"/>
    <w:rsid w:val="00C00962"/>
    <w:rsid w:val="00C01E75"/>
    <w:rsid w:val="00C01E9A"/>
    <w:rsid w:val="00C05498"/>
    <w:rsid w:val="00C06A28"/>
    <w:rsid w:val="00C07562"/>
    <w:rsid w:val="00C16C68"/>
    <w:rsid w:val="00C17AAF"/>
    <w:rsid w:val="00C203E5"/>
    <w:rsid w:val="00C20555"/>
    <w:rsid w:val="00C33C19"/>
    <w:rsid w:val="00C34503"/>
    <w:rsid w:val="00C35339"/>
    <w:rsid w:val="00C35F20"/>
    <w:rsid w:val="00C47712"/>
    <w:rsid w:val="00C52A7C"/>
    <w:rsid w:val="00C564C2"/>
    <w:rsid w:val="00C56768"/>
    <w:rsid w:val="00C67F71"/>
    <w:rsid w:val="00C71D5E"/>
    <w:rsid w:val="00C77489"/>
    <w:rsid w:val="00C82C63"/>
    <w:rsid w:val="00CA049E"/>
    <w:rsid w:val="00CA26DF"/>
    <w:rsid w:val="00CA3514"/>
    <w:rsid w:val="00CA3C98"/>
    <w:rsid w:val="00CA5C90"/>
    <w:rsid w:val="00CA7FEB"/>
    <w:rsid w:val="00CC0454"/>
    <w:rsid w:val="00CC17FC"/>
    <w:rsid w:val="00CC24B4"/>
    <w:rsid w:val="00CC5A6A"/>
    <w:rsid w:val="00CD096B"/>
    <w:rsid w:val="00CD1544"/>
    <w:rsid w:val="00CD2CC4"/>
    <w:rsid w:val="00CD4587"/>
    <w:rsid w:val="00CD4B0C"/>
    <w:rsid w:val="00CE4079"/>
    <w:rsid w:val="00CE580F"/>
    <w:rsid w:val="00CF1E97"/>
    <w:rsid w:val="00D06570"/>
    <w:rsid w:val="00D13A38"/>
    <w:rsid w:val="00D15B13"/>
    <w:rsid w:val="00D17D0D"/>
    <w:rsid w:val="00D20FEF"/>
    <w:rsid w:val="00D36856"/>
    <w:rsid w:val="00D41AD7"/>
    <w:rsid w:val="00D4533C"/>
    <w:rsid w:val="00D46AE2"/>
    <w:rsid w:val="00D52681"/>
    <w:rsid w:val="00D53E43"/>
    <w:rsid w:val="00D67BAC"/>
    <w:rsid w:val="00D7005E"/>
    <w:rsid w:val="00D7292C"/>
    <w:rsid w:val="00D7566F"/>
    <w:rsid w:val="00D75E11"/>
    <w:rsid w:val="00D81D6E"/>
    <w:rsid w:val="00D81F91"/>
    <w:rsid w:val="00D93AAF"/>
    <w:rsid w:val="00DA19D0"/>
    <w:rsid w:val="00DB1DD2"/>
    <w:rsid w:val="00DB473D"/>
    <w:rsid w:val="00DB7444"/>
    <w:rsid w:val="00DB77C2"/>
    <w:rsid w:val="00DE3F9A"/>
    <w:rsid w:val="00DE5139"/>
    <w:rsid w:val="00DE5211"/>
    <w:rsid w:val="00DE5979"/>
    <w:rsid w:val="00DF0E6F"/>
    <w:rsid w:val="00DF2748"/>
    <w:rsid w:val="00E01B13"/>
    <w:rsid w:val="00E03C25"/>
    <w:rsid w:val="00E10DEB"/>
    <w:rsid w:val="00E113E0"/>
    <w:rsid w:val="00E16745"/>
    <w:rsid w:val="00E2134A"/>
    <w:rsid w:val="00E220A6"/>
    <w:rsid w:val="00E30DCD"/>
    <w:rsid w:val="00E33FF8"/>
    <w:rsid w:val="00E4334D"/>
    <w:rsid w:val="00E44C4D"/>
    <w:rsid w:val="00E45253"/>
    <w:rsid w:val="00E467A8"/>
    <w:rsid w:val="00E50B59"/>
    <w:rsid w:val="00E61EC1"/>
    <w:rsid w:val="00E72762"/>
    <w:rsid w:val="00E735EF"/>
    <w:rsid w:val="00E83ED7"/>
    <w:rsid w:val="00E853BE"/>
    <w:rsid w:val="00E9258B"/>
    <w:rsid w:val="00E92963"/>
    <w:rsid w:val="00E95A7D"/>
    <w:rsid w:val="00EA7EEA"/>
    <w:rsid w:val="00EB0E4E"/>
    <w:rsid w:val="00EB49FE"/>
    <w:rsid w:val="00EB657D"/>
    <w:rsid w:val="00EB6A44"/>
    <w:rsid w:val="00EC78C5"/>
    <w:rsid w:val="00ED4ECE"/>
    <w:rsid w:val="00ED6457"/>
    <w:rsid w:val="00ED6F28"/>
    <w:rsid w:val="00EE0760"/>
    <w:rsid w:val="00EF18C8"/>
    <w:rsid w:val="00EF3177"/>
    <w:rsid w:val="00EF574D"/>
    <w:rsid w:val="00EF76A0"/>
    <w:rsid w:val="00EF7D80"/>
    <w:rsid w:val="00F02CD2"/>
    <w:rsid w:val="00F0752A"/>
    <w:rsid w:val="00F133B3"/>
    <w:rsid w:val="00F16B43"/>
    <w:rsid w:val="00F21498"/>
    <w:rsid w:val="00F25458"/>
    <w:rsid w:val="00F32055"/>
    <w:rsid w:val="00F321DC"/>
    <w:rsid w:val="00F359C4"/>
    <w:rsid w:val="00F36DF1"/>
    <w:rsid w:val="00F41B8E"/>
    <w:rsid w:val="00F50A4C"/>
    <w:rsid w:val="00F54332"/>
    <w:rsid w:val="00F55FBF"/>
    <w:rsid w:val="00F60B7F"/>
    <w:rsid w:val="00F67948"/>
    <w:rsid w:val="00F743B4"/>
    <w:rsid w:val="00F80021"/>
    <w:rsid w:val="00F82492"/>
    <w:rsid w:val="00F876CE"/>
    <w:rsid w:val="00FA253D"/>
    <w:rsid w:val="00FD062E"/>
    <w:rsid w:val="00FE05D5"/>
    <w:rsid w:val="00FE3622"/>
    <w:rsid w:val="00FE48F1"/>
    <w:rsid w:val="00FF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4E7C"/>
  <w15:chartTrackingRefBased/>
  <w15:docId w15:val="{4827C93E-D1EE-42FA-8715-E9396E7E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05A"/>
  </w:style>
  <w:style w:type="paragraph" w:styleId="Heading1">
    <w:name w:val="heading 1"/>
    <w:basedOn w:val="Normal"/>
    <w:next w:val="Normal"/>
    <w:link w:val="Heading1Char"/>
    <w:qFormat/>
    <w:rsid w:val="0069005A"/>
    <w:pPr>
      <w:keepNext/>
      <w:tabs>
        <w:tab w:val="right" w:pos="10206"/>
      </w:tabs>
      <w:spacing w:before="240" w:after="60" w:line="240" w:lineRule="auto"/>
      <w:outlineLvl w:val="0"/>
    </w:pPr>
    <w:rPr>
      <w:rFonts w:ascii="Arial Bold" w:eastAsia="Times New Roman" w:hAnsi="Arial Bold" w:cs="Arial"/>
      <w:b/>
      <w:bCs/>
      <w:spacing w:val="-4"/>
      <w:kern w:val="32"/>
      <w:sz w:val="32"/>
      <w:szCs w:val="32"/>
    </w:rPr>
  </w:style>
  <w:style w:type="paragraph" w:styleId="Heading2">
    <w:name w:val="heading 2"/>
    <w:aliases w:val="EBHeading1"/>
    <w:basedOn w:val="Normal"/>
    <w:next w:val="EBBodyPara"/>
    <w:link w:val="Heading2Char"/>
    <w:qFormat/>
    <w:rsid w:val="0069005A"/>
    <w:pPr>
      <w:keepNext/>
      <w:keepLines/>
      <w:spacing w:before="480" w:after="240" w:line="240" w:lineRule="auto"/>
      <w:outlineLvl w:val="1"/>
    </w:pPr>
    <w:rPr>
      <w:rFonts w:ascii="Arial" w:eastAsia="Times New Roman" w:hAnsi="Arial" w:cs="Arial"/>
      <w:bCs/>
      <w:color w:val="000000"/>
      <w:sz w:val="32"/>
      <w:lang w:eastAsia="en-GB"/>
    </w:rPr>
  </w:style>
  <w:style w:type="paragraph" w:styleId="Heading3">
    <w:name w:val="heading 3"/>
    <w:basedOn w:val="Normal"/>
    <w:next w:val="Normal"/>
    <w:link w:val="Heading3Char"/>
    <w:uiPriority w:val="9"/>
    <w:unhideWhenUsed/>
    <w:qFormat/>
    <w:rsid w:val="00690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00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00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05A"/>
    <w:rPr>
      <w:rFonts w:ascii="Arial Bold" w:eastAsia="Times New Roman" w:hAnsi="Arial Bold" w:cs="Arial"/>
      <w:b/>
      <w:bCs/>
      <w:spacing w:val="-4"/>
      <w:kern w:val="32"/>
      <w:sz w:val="32"/>
      <w:szCs w:val="32"/>
    </w:rPr>
  </w:style>
  <w:style w:type="character" w:customStyle="1" w:styleId="Heading2Char">
    <w:name w:val="Heading 2 Char"/>
    <w:aliases w:val="EBHeading1 Char"/>
    <w:basedOn w:val="DefaultParagraphFont"/>
    <w:link w:val="Heading2"/>
    <w:rsid w:val="0069005A"/>
    <w:rPr>
      <w:rFonts w:ascii="Arial" w:eastAsia="Times New Roman" w:hAnsi="Arial" w:cs="Arial"/>
      <w:bCs/>
      <w:color w:val="000000"/>
      <w:sz w:val="32"/>
      <w:lang w:eastAsia="en-GB"/>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color w:val="2E74B5" w:themeColor="accent1" w:themeShade="BF"/>
    </w:rPr>
  </w:style>
  <w:style w:type="paragraph" w:customStyle="1" w:styleId="IATableLabel">
    <w:name w:val="IATableLabel"/>
    <w:basedOn w:val="Normal"/>
    <w:link w:val="IATableLabelCharChar"/>
    <w:rsid w:val="0069005A"/>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link w:val="IATableLabel"/>
    <w:rsid w:val="0069005A"/>
    <w:rPr>
      <w:rFonts w:ascii="Arial" w:eastAsia="SimSun" w:hAnsi="Arial" w:cs="Times New Roman"/>
      <w:b/>
      <w:color w:val="000000"/>
      <w:spacing w:val="-5"/>
      <w:sz w:val="20"/>
      <w:szCs w:val="20"/>
      <w:lang w:eastAsia="zh-CN"/>
    </w:rPr>
  </w:style>
  <w:style w:type="paragraph" w:customStyle="1" w:styleId="IASpacer">
    <w:name w:val="IASpacer"/>
    <w:basedOn w:val="Normal"/>
    <w:rsid w:val="0069005A"/>
    <w:pPr>
      <w:spacing w:after="0" w:line="80" w:lineRule="exact"/>
    </w:pPr>
    <w:rPr>
      <w:rFonts w:ascii="Arial" w:eastAsia="SimSun" w:hAnsi="Arial" w:cs="Times New Roman"/>
      <w:szCs w:val="24"/>
      <w:lang w:eastAsia="zh-CN"/>
    </w:rPr>
  </w:style>
  <w:style w:type="paragraph" w:customStyle="1" w:styleId="IATableText">
    <w:name w:val="IATableText"/>
    <w:basedOn w:val="IATableLabel"/>
    <w:link w:val="IATableTextChar"/>
    <w:rsid w:val="0069005A"/>
    <w:rPr>
      <w:b w:val="0"/>
      <w:color w:val="auto"/>
      <w:sz w:val="22"/>
    </w:rPr>
  </w:style>
  <w:style w:type="character" w:customStyle="1" w:styleId="IATableTextChar">
    <w:name w:val="IATableText Char"/>
    <w:link w:val="IATableText"/>
    <w:rsid w:val="0069005A"/>
    <w:rPr>
      <w:rFonts w:ascii="Arial" w:eastAsia="SimSun" w:hAnsi="Arial" w:cs="Times New Roman"/>
      <w:spacing w:val="-5"/>
      <w:szCs w:val="20"/>
      <w:lang w:eastAsia="zh-CN"/>
    </w:rPr>
  </w:style>
  <w:style w:type="paragraph" w:styleId="Title">
    <w:name w:val="Title"/>
    <w:basedOn w:val="Normal"/>
    <w:link w:val="TitleChar"/>
    <w:qFormat/>
    <w:rsid w:val="0069005A"/>
    <w:pPr>
      <w:spacing w:after="0" w:line="240" w:lineRule="auto"/>
      <w:ind w:left="113"/>
      <w:outlineLvl w:val="0"/>
    </w:pPr>
    <w:rPr>
      <w:rFonts w:ascii="Arial" w:eastAsia="Times New Roman" w:hAnsi="Arial" w:cs="Arial"/>
      <w:bCs/>
      <w:color w:val="FFFFFF"/>
      <w:kern w:val="28"/>
      <w:sz w:val="32"/>
      <w:szCs w:val="32"/>
    </w:rPr>
  </w:style>
  <w:style w:type="character" w:customStyle="1" w:styleId="TitleChar">
    <w:name w:val="Title Char"/>
    <w:basedOn w:val="DefaultParagraphFont"/>
    <w:link w:val="Title"/>
    <w:rsid w:val="0069005A"/>
    <w:rPr>
      <w:rFonts w:ascii="Arial" w:eastAsia="Times New Roman" w:hAnsi="Arial" w:cs="Arial"/>
      <w:bCs/>
      <w:color w:val="FFFFFF"/>
      <w:kern w:val="28"/>
      <w:sz w:val="32"/>
      <w:szCs w:val="32"/>
    </w:rPr>
  </w:style>
  <w:style w:type="paragraph" w:customStyle="1" w:styleId="IAHeadLabel">
    <w:name w:val="IAHeadLabel"/>
    <w:basedOn w:val="IATableLabel"/>
    <w:link w:val="IAHeadLabelChar"/>
    <w:rsid w:val="0069005A"/>
    <w:pPr>
      <w:spacing w:before="110"/>
      <w:ind w:left="0" w:right="0"/>
    </w:pPr>
  </w:style>
  <w:style w:type="character" w:customStyle="1" w:styleId="IAHeadLabelChar">
    <w:name w:val="IAHeadLabel Char"/>
    <w:basedOn w:val="IATableLabelCharChar"/>
    <w:link w:val="IAHeadLabel"/>
    <w:rsid w:val="0069005A"/>
    <w:rPr>
      <w:rFonts w:ascii="Arial" w:eastAsia="SimSun" w:hAnsi="Arial" w:cs="Times New Roman"/>
      <w:b/>
      <w:color w:val="000000"/>
      <w:spacing w:val="-5"/>
      <w:sz w:val="20"/>
      <w:szCs w:val="20"/>
      <w:lang w:eastAsia="zh-CN"/>
    </w:rPr>
  </w:style>
  <w:style w:type="paragraph" w:customStyle="1" w:styleId="IATableNotes">
    <w:name w:val="IATableNotes"/>
    <w:basedOn w:val="Normal"/>
    <w:link w:val="IATableNotesChar"/>
    <w:rsid w:val="0069005A"/>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link w:val="IATableNotes"/>
    <w:rsid w:val="0069005A"/>
    <w:rPr>
      <w:rFonts w:ascii="Arial" w:eastAsia="SimSun" w:hAnsi="Arial" w:cs="Times New Roman"/>
      <w:sz w:val="18"/>
      <w:szCs w:val="20"/>
      <w:lang w:eastAsia="zh-CN"/>
    </w:rPr>
  </w:style>
  <w:style w:type="paragraph" w:customStyle="1" w:styleId="IAHeadTitle">
    <w:name w:val="IAHeadTitle"/>
    <w:basedOn w:val="Normal"/>
    <w:link w:val="IAHeadTitleChar"/>
    <w:rsid w:val="0069005A"/>
    <w:pPr>
      <w:spacing w:after="0" w:line="240" w:lineRule="auto"/>
      <w:ind w:right="57"/>
    </w:pPr>
    <w:rPr>
      <w:rFonts w:ascii="Arial" w:eastAsia="SimSun" w:hAnsi="Arial" w:cs="Times New Roman"/>
      <w:b/>
      <w:spacing w:val="-6"/>
      <w:sz w:val="28"/>
      <w:szCs w:val="28"/>
      <w:lang w:eastAsia="zh-CN"/>
    </w:rPr>
  </w:style>
  <w:style w:type="paragraph" w:customStyle="1" w:styleId="IASignature">
    <w:name w:val="IA Signature"/>
    <w:basedOn w:val="IATableText"/>
    <w:rsid w:val="0069005A"/>
    <w:pPr>
      <w:tabs>
        <w:tab w:val="left" w:leader="dot" w:pos="6804"/>
        <w:tab w:val="right" w:leader="dot" w:pos="10206"/>
      </w:tabs>
      <w:spacing w:before="0" w:after="0"/>
      <w:ind w:left="0"/>
    </w:pPr>
  </w:style>
  <w:style w:type="paragraph" w:customStyle="1" w:styleId="IASign-off">
    <w:name w:val="IA Sign-off"/>
    <w:basedOn w:val="IATableText"/>
    <w:rsid w:val="0069005A"/>
    <w:pPr>
      <w:spacing w:before="0" w:after="0"/>
      <w:ind w:left="0" w:right="284"/>
    </w:pPr>
    <w:rPr>
      <w:b/>
      <w:i/>
    </w:rPr>
  </w:style>
  <w:style w:type="paragraph" w:styleId="Header">
    <w:name w:val="header"/>
    <w:basedOn w:val="Normal"/>
    <w:link w:val="HeaderChar"/>
    <w:rsid w:val="0069005A"/>
    <w:pPr>
      <w:spacing w:after="0" w:line="240" w:lineRule="auto"/>
      <w:jc w:val="center"/>
    </w:pPr>
    <w:rPr>
      <w:rFonts w:ascii="Arial" w:eastAsia="Times New Roman" w:hAnsi="Arial" w:cs="Times New Roman"/>
      <w:caps/>
      <w:sz w:val="24"/>
      <w:szCs w:val="24"/>
    </w:rPr>
  </w:style>
  <w:style w:type="character" w:customStyle="1" w:styleId="HeaderChar">
    <w:name w:val="Header Char"/>
    <w:basedOn w:val="DefaultParagraphFont"/>
    <w:link w:val="Header"/>
    <w:rsid w:val="0069005A"/>
    <w:rPr>
      <w:rFonts w:ascii="Arial" w:eastAsia="Times New Roman" w:hAnsi="Arial" w:cs="Times New Roman"/>
      <w:caps/>
      <w:sz w:val="24"/>
      <w:szCs w:val="24"/>
    </w:rPr>
  </w:style>
  <w:style w:type="paragraph" w:styleId="Footer">
    <w:name w:val="footer"/>
    <w:basedOn w:val="Normal"/>
    <w:link w:val="FooterChar"/>
    <w:rsid w:val="0069005A"/>
    <w:pPr>
      <w:tabs>
        <w:tab w:val="center" w:pos="5132"/>
        <w:tab w:val="right" w:pos="10260"/>
      </w:tabs>
      <w:spacing w:after="0" w:line="240" w:lineRule="auto"/>
      <w:jc w:val="center"/>
    </w:pPr>
    <w:rPr>
      <w:rFonts w:ascii="Arial" w:eastAsia="Times New Roman" w:hAnsi="Arial" w:cs="Times New Roman"/>
      <w:b/>
      <w:sz w:val="18"/>
      <w:szCs w:val="24"/>
    </w:rPr>
  </w:style>
  <w:style w:type="character" w:customStyle="1" w:styleId="FooterChar">
    <w:name w:val="Footer Char"/>
    <w:basedOn w:val="DefaultParagraphFont"/>
    <w:link w:val="Footer"/>
    <w:rsid w:val="0069005A"/>
    <w:rPr>
      <w:rFonts w:ascii="Arial" w:eastAsia="Times New Roman" w:hAnsi="Arial" w:cs="Times New Roman"/>
      <w:b/>
      <w:sz w:val="18"/>
      <w:szCs w:val="24"/>
    </w:rPr>
  </w:style>
  <w:style w:type="character" w:styleId="PageNumber">
    <w:name w:val="page number"/>
    <w:basedOn w:val="DefaultParagraphFont"/>
    <w:rsid w:val="0069005A"/>
  </w:style>
  <w:style w:type="paragraph" w:customStyle="1" w:styleId="EBBodyPara">
    <w:name w:val="EBBodyPara"/>
    <w:basedOn w:val="BodyText"/>
    <w:rsid w:val="0069005A"/>
    <w:pPr>
      <w:spacing w:line="240" w:lineRule="auto"/>
    </w:pPr>
    <w:rPr>
      <w:rFonts w:ascii="Arial" w:eastAsia="Times New Roman" w:hAnsi="Arial" w:cs="Arial"/>
      <w:bCs/>
      <w:color w:val="000000"/>
      <w:lang w:eastAsia="en-GB"/>
    </w:rPr>
  </w:style>
  <w:style w:type="paragraph" w:customStyle="1" w:styleId="POPBY">
    <w:name w:val="POPBY"/>
    <w:basedOn w:val="IATableLabel"/>
    <w:rsid w:val="0069005A"/>
  </w:style>
  <w:style w:type="paragraph" w:customStyle="1" w:styleId="EBBullet">
    <w:name w:val="EBBullet"/>
    <w:basedOn w:val="BodyText"/>
    <w:rsid w:val="0069005A"/>
    <w:pPr>
      <w:numPr>
        <w:numId w:val="1"/>
      </w:numPr>
      <w:tabs>
        <w:tab w:val="clear" w:pos="284"/>
        <w:tab w:val="num" w:pos="360"/>
      </w:tabs>
      <w:spacing w:line="240" w:lineRule="auto"/>
      <w:ind w:left="0" w:firstLine="0"/>
    </w:pPr>
    <w:rPr>
      <w:rFonts w:ascii="Arial" w:eastAsia="Times New Roman" w:hAnsi="Arial" w:cs="Arial"/>
      <w:bCs/>
      <w:color w:val="000000"/>
      <w:lang w:eastAsia="en-GB"/>
    </w:rPr>
  </w:style>
  <w:style w:type="paragraph" w:customStyle="1" w:styleId="IAHeadLabel0">
    <w:name w:val="IAHeadLabel0"/>
    <w:basedOn w:val="IAHeadLabel"/>
    <w:next w:val="IAHeadTitle"/>
    <w:rsid w:val="0069005A"/>
    <w:pPr>
      <w:spacing w:before="0"/>
    </w:pPr>
  </w:style>
  <w:style w:type="paragraph" w:customStyle="1" w:styleId="IATableLines">
    <w:name w:val="IATableLines"/>
    <w:basedOn w:val="IATableText"/>
    <w:link w:val="IATableLinesChar"/>
    <w:rsid w:val="0069005A"/>
    <w:pPr>
      <w:spacing w:before="0" w:after="0"/>
    </w:pPr>
  </w:style>
  <w:style w:type="paragraph" w:customStyle="1" w:styleId="IASpacer2">
    <w:name w:val="IASpacer2"/>
    <w:basedOn w:val="IASpacer"/>
    <w:rsid w:val="0069005A"/>
    <w:pPr>
      <w:spacing w:line="40" w:lineRule="exact"/>
    </w:pPr>
  </w:style>
  <w:style w:type="paragraph" w:customStyle="1" w:styleId="POPVBY">
    <w:name w:val="POPVBY"/>
    <w:basedOn w:val="IATableLabel"/>
    <w:rsid w:val="0069005A"/>
  </w:style>
  <w:style w:type="paragraph" w:customStyle="1" w:styleId="POTPY">
    <w:name w:val="POTPY"/>
    <w:basedOn w:val="IATableLabel"/>
    <w:rsid w:val="0069005A"/>
  </w:style>
  <w:style w:type="paragraph" w:customStyle="1" w:styleId="PONBLow">
    <w:name w:val="PONBLow"/>
    <w:basedOn w:val="IATableLabel"/>
    <w:link w:val="PONBLowCharChar"/>
    <w:rsid w:val="0069005A"/>
    <w:rPr>
      <w:b w:val="0"/>
      <w:szCs w:val="22"/>
    </w:rPr>
  </w:style>
  <w:style w:type="character" w:customStyle="1" w:styleId="PONBLowCharChar">
    <w:name w:val="PONBLow Char Char"/>
    <w:link w:val="PONBLow"/>
    <w:rsid w:val="0069005A"/>
    <w:rPr>
      <w:rFonts w:ascii="Arial" w:eastAsia="SimSun" w:hAnsi="Arial" w:cs="Times New Roman"/>
      <w:color w:val="000000"/>
      <w:spacing w:val="-5"/>
      <w:sz w:val="20"/>
      <w:lang w:eastAsia="zh-CN"/>
    </w:rPr>
  </w:style>
  <w:style w:type="paragraph" w:customStyle="1" w:styleId="PONBHigh">
    <w:name w:val="PONBHigh"/>
    <w:basedOn w:val="IATableLabel"/>
    <w:link w:val="PONBHighChar"/>
    <w:rsid w:val="0069005A"/>
    <w:rPr>
      <w:b w:val="0"/>
      <w:szCs w:val="22"/>
    </w:rPr>
  </w:style>
  <w:style w:type="character" w:customStyle="1" w:styleId="PONBHighChar">
    <w:name w:val="PONBHigh Char"/>
    <w:link w:val="PONBHigh"/>
    <w:rsid w:val="0069005A"/>
    <w:rPr>
      <w:rFonts w:ascii="Arial" w:eastAsia="SimSun" w:hAnsi="Arial" w:cs="Times New Roman"/>
      <w:color w:val="000000"/>
      <w:spacing w:val="-5"/>
      <w:sz w:val="20"/>
      <w:lang w:eastAsia="zh-CN"/>
    </w:rPr>
  </w:style>
  <w:style w:type="paragraph" w:customStyle="1" w:styleId="PONBBestEst">
    <w:name w:val="PONBBestEst"/>
    <w:basedOn w:val="IATableLabel"/>
    <w:link w:val="PONBBestEstChar"/>
    <w:rsid w:val="0069005A"/>
    <w:rPr>
      <w:b w:val="0"/>
      <w:szCs w:val="22"/>
    </w:rPr>
  </w:style>
  <w:style w:type="character" w:customStyle="1" w:styleId="PONBBestEstChar">
    <w:name w:val="PONBBestEst Char"/>
    <w:link w:val="PONBBestEst"/>
    <w:rsid w:val="0069005A"/>
    <w:rPr>
      <w:rFonts w:ascii="Arial" w:eastAsia="SimSun" w:hAnsi="Arial" w:cs="Times New Roman"/>
      <w:color w:val="000000"/>
      <w:spacing w:val="-5"/>
      <w:sz w:val="20"/>
      <w:lang w:eastAsia="zh-CN"/>
    </w:rPr>
  </w:style>
  <w:style w:type="paragraph" w:customStyle="1" w:styleId="POTTCostsHigh">
    <w:name w:val="POTTCostsHigh"/>
    <w:basedOn w:val="IATableText"/>
    <w:rsid w:val="0069005A"/>
    <w:pPr>
      <w:jc w:val="right"/>
    </w:pPr>
  </w:style>
  <w:style w:type="paragraph" w:customStyle="1" w:styleId="POTTCostsLow">
    <w:name w:val="POTTCostsLow"/>
    <w:basedOn w:val="POTTCostsHigh"/>
    <w:rsid w:val="0069005A"/>
  </w:style>
  <w:style w:type="paragraph" w:customStyle="1" w:styleId="POTTCostsBest">
    <w:name w:val="POTTCostsBest"/>
    <w:basedOn w:val="IATableText"/>
    <w:rsid w:val="0069005A"/>
    <w:pPr>
      <w:jc w:val="right"/>
    </w:pPr>
  </w:style>
  <w:style w:type="paragraph" w:customStyle="1" w:styleId="POTTCostsYear">
    <w:name w:val="POTTCostsYear"/>
    <w:basedOn w:val="IATableText"/>
    <w:rsid w:val="0069005A"/>
    <w:pPr>
      <w:jc w:val="center"/>
    </w:pPr>
    <w:rPr>
      <w:szCs w:val="18"/>
    </w:rPr>
  </w:style>
  <w:style w:type="paragraph" w:customStyle="1" w:styleId="POAACostsLow">
    <w:name w:val="POAACostsLow"/>
    <w:basedOn w:val="IATableText"/>
    <w:rsid w:val="0069005A"/>
    <w:pPr>
      <w:jc w:val="right"/>
    </w:pPr>
  </w:style>
  <w:style w:type="paragraph" w:customStyle="1" w:styleId="POAACostsHigh">
    <w:name w:val="POAACostsHigh"/>
    <w:basedOn w:val="POAACostsLow"/>
    <w:rsid w:val="0069005A"/>
  </w:style>
  <w:style w:type="paragraph" w:customStyle="1" w:styleId="POAACostsBest">
    <w:name w:val="POAACostsBest"/>
    <w:basedOn w:val="IATableText"/>
    <w:rsid w:val="0069005A"/>
    <w:pPr>
      <w:jc w:val="right"/>
    </w:pPr>
  </w:style>
  <w:style w:type="paragraph" w:customStyle="1" w:styleId="POTCCostsLow">
    <w:name w:val="POTCCostsLow"/>
    <w:basedOn w:val="IATableText"/>
    <w:rsid w:val="0069005A"/>
    <w:pPr>
      <w:jc w:val="right"/>
    </w:pPr>
    <w:rPr>
      <w:b/>
    </w:rPr>
  </w:style>
  <w:style w:type="paragraph" w:customStyle="1" w:styleId="POTCCostsHigh">
    <w:name w:val="POTCCostsHigh"/>
    <w:basedOn w:val="IATableText"/>
    <w:rsid w:val="0069005A"/>
    <w:pPr>
      <w:jc w:val="right"/>
    </w:pPr>
    <w:rPr>
      <w:b/>
    </w:rPr>
  </w:style>
  <w:style w:type="paragraph" w:customStyle="1" w:styleId="POTCCostsBest">
    <w:name w:val="POTCCostsBest"/>
    <w:basedOn w:val="IATableText"/>
    <w:rsid w:val="0069005A"/>
    <w:pPr>
      <w:jc w:val="right"/>
    </w:pPr>
    <w:rPr>
      <w:b/>
    </w:rPr>
  </w:style>
  <w:style w:type="paragraph" w:customStyle="1" w:styleId="IAPOQ1">
    <w:name w:val="IAPOQ1"/>
    <w:basedOn w:val="IATableLabel"/>
    <w:rsid w:val="0069005A"/>
  </w:style>
  <w:style w:type="paragraph" w:customStyle="1" w:styleId="IAPOA1">
    <w:name w:val="IAPOA1"/>
    <w:basedOn w:val="IATableLines"/>
    <w:rsid w:val="0069005A"/>
  </w:style>
  <w:style w:type="paragraph" w:customStyle="1" w:styleId="IAPOQ2">
    <w:name w:val="IAPOQ2"/>
    <w:basedOn w:val="IATableLabel"/>
    <w:link w:val="IAPOQ2Char"/>
    <w:rsid w:val="0069005A"/>
  </w:style>
  <w:style w:type="paragraph" w:customStyle="1" w:styleId="IAPOA2">
    <w:name w:val="IAPOA2"/>
    <w:basedOn w:val="IATableLines"/>
    <w:rsid w:val="0069005A"/>
  </w:style>
  <w:style w:type="paragraph" w:customStyle="1" w:styleId="POTTBenLow">
    <w:name w:val="POTTBenLow"/>
    <w:basedOn w:val="POTTCostsLow"/>
    <w:rsid w:val="0069005A"/>
  </w:style>
  <w:style w:type="paragraph" w:customStyle="1" w:styleId="POTTBenHigh">
    <w:name w:val="POTTBenHigh"/>
    <w:basedOn w:val="POTTCostsHigh"/>
    <w:rsid w:val="0069005A"/>
  </w:style>
  <w:style w:type="paragraph" w:customStyle="1" w:styleId="POTTBenBest">
    <w:name w:val="POTTBenBest"/>
    <w:basedOn w:val="POTTCostsBest"/>
    <w:rsid w:val="0069005A"/>
  </w:style>
  <w:style w:type="paragraph" w:customStyle="1" w:styleId="POAABenLow">
    <w:name w:val="POAABenLow"/>
    <w:basedOn w:val="POAACostsLow"/>
    <w:rsid w:val="0069005A"/>
  </w:style>
  <w:style w:type="paragraph" w:customStyle="1" w:styleId="POAABenHigh">
    <w:name w:val="POAABenHigh"/>
    <w:basedOn w:val="POAABenLow"/>
    <w:rsid w:val="0069005A"/>
  </w:style>
  <w:style w:type="paragraph" w:customStyle="1" w:styleId="POAABenBest">
    <w:name w:val="POAABenBest"/>
    <w:basedOn w:val="POAABenHigh"/>
    <w:rsid w:val="0069005A"/>
  </w:style>
  <w:style w:type="paragraph" w:customStyle="1" w:styleId="POTBBenLow">
    <w:name w:val="POTBBenLow"/>
    <w:basedOn w:val="POTCCostsLow"/>
    <w:rsid w:val="0069005A"/>
  </w:style>
  <w:style w:type="paragraph" w:customStyle="1" w:styleId="POTBBenHigh">
    <w:name w:val="POTBBenHigh"/>
    <w:basedOn w:val="POTBBenLow"/>
    <w:rsid w:val="0069005A"/>
  </w:style>
  <w:style w:type="paragraph" w:customStyle="1" w:styleId="POTBBenBest">
    <w:name w:val="POTBBenBest"/>
    <w:basedOn w:val="POTBBenHigh"/>
    <w:rsid w:val="0069005A"/>
  </w:style>
  <w:style w:type="paragraph" w:customStyle="1" w:styleId="IPPOQ3">
    <w:name w:val="IPPOQ3"/>
    <w:basedOn w:val="IAPOQ2"/>
    <w:link w:val="IPPOQ3Char"/>
    <w:rsid w:val="0069005A"/>
  </w:style>
  <w:style w:type="paragraph" w:customStyle="1" w:styleId="IAPOQ4">
    <w:name w:val="IAPOQ4"/>
    <w:basedOn w:val="IPPOQ3"/>
    <w:link w:val="IAPOQ4Char"/>
    <w:rsid w:val="0069005A"/>
  </w:style>
  <w:style w:type="paragraph" w:customStyle="1" w:styleId="IAPOA3">
    <w:name w:val="IAPOA3"/>
    <w:basedOn w:val="IAPOA2"/>
    <w:rsid w:val="0069005A"/>
  </w:style>
  <w:style w:type="paragraph" w:customStyle="1" w:styleId="IAPOA4">
    <w:name w:val="IAPOA4"/>
    <w:basedOn w:val="IAPOA3"/>
    <w:rsid w:val="0069005A"/>
  </w:style>
  <w:style w:type="paragraph" w:customStyle="1" w:styleId="IAPOA5">
    <w:name w:val="IAPOA5"/>
    <w:basedOn w:val="IAPOA4"/>
    <w:rsid w:val="0069005A"/>
  </w:style>
  <w:style w:type="paragraph" w:customStyle="1" w:styleId="IAPOQ5">
    <w:name w:val="IAPOQ5"/>
    <w:basedOn w:val="IAPOQ4"/>
    <w:link w:val="IAPOQ5Char"/>
    <w:rsid w:val="0069005A"/>
  </w:style>
  <w:style w:type="character" w:customStyle="1" w:styleId="IAPOQ2Char">
    <w:name w:val="IAPOQ2 Char"/>
    <w:basedOn w:val="IATableLabelCharChar"/>
    <w:link w:val="IAPOQ2"/>
    <w:rsid w:val="0069005A"/>
    <w:rPr>
      <w:rFonts w:ascii="Arial" w:eastAsia="SimSun" w:hAnsi="Arial" w:cs="Times New Roman"/>
      <w:b/>
      <w:color w:val="000000"/>
      <w:spacing w:val="-5"/>
      <w:sz w:val="20"/>
      <w:szCs w:val="20"/>
      <w:lang w:eastAsia="zh-CN"/>
    </w:rPr>
  </w:style>
  <w:style w:type="character" w:customStyle="1" w:styleId="IPPOQ3Char">
    <w:name w:val="IPPOQ3 Char"/>
    <w:basedOn w:val="IAPOQ2Char"/>
    <w:link w:val="IPPOQ3"/>
    <w:rsid w:val="0069005A"/>
    <w:rPr>
      <w:rFonts w:ascii="Arial" w:eastAsia="SimSun" w:hAnsi="Arial" w:cs="Times New Roman"/>
      <w:b/>
      <w:color w:val="000000"/>
      <w:spacing w:val="-5"/>
      <w:sz w:val="20"/>
      <w:szCs w:val="20"/>
      <w:lang w:eastAsia="zh-CN"/>
    </w:rPr>
  </w:style>
  <w:style w:type="character" w:customStyle="1" w:styleId="IAPOQ4Char">
    <w:name w:val="IAPOQ4 Char"/>
    <w:basedOn w:val="IPPOQ3Char"/>
    <w:link w:val="IAPOQ4"/>
    <w:rsid w:val="0069005A"/>
    <w:rPr>
      <w:rFonts w:ascii="Arial" w:eastAsia="SimSun" w:hAnsi="Arial" w:cs="Times New Roman"/>
      <w:b/>
      <w:color w:val="000000"/>
      <w:spacing w:val="-5"/>
      <w:sz w:val="20"/>
      <w:szCs w:val="20"/>
      <w:lang w:eastAsia="zh-CN"/>
    </w:rPr>
  </w:style>
  <w:style w:type="character" w:customStyle="1" w:styleId="IAPOQ5Char">
    <w:name w:val="IAPOQ5 Char"/>
    <w:basedOn w:val="IAPOQ4Char"/>
    <w:link w:val="IAPOQ5"/>
    <w:rsid w:val="0069005A"/>
    <w:rPr>
      <w:rFonts w:ascii="Arial" w:eastAsia="SimSun" w:hAnsi="Arial" w:cs="Times New Roman"/>
      <w:b/>
      <w:color w:val="000000"/>
      <w:spacing w:val="-5"/>
      <w:sz w:val="20"/>
      <w:szCs w:val="20"/>
      <w:lang w:eastAsia="zh-CN"/>
    </w:rPr>
  </w:style>
  <w:style w:type="paragraph" w:customStyle="1" w:styleId="IAPODisRate">
    <w:name w:val="IAPODisRate"/>
    <w:basedOn w:val="IATableLabel"/>
    <w:rsid w:val="0069005A"/>
    <w:pPr>
      <w:ind w:left="0"/>
      <w:jc w:val="center"/>
    </w:pPr>
    <w:rPr>
      <w:b w:val="0"/>
    </w:rPr>
  </w:style>
  <w:style w:type="paragraph" w:customStyle="1" w:styleId="IAPODICost">
    <w:name w:val="IAPODICost"/>
    <w:basedOn w:val="IATableLabel"/>
    <w:link w:val="IAPODICostChar"/>
    <w:rsid w:val="0069005A"/>
    <w:rPr>
      <w:b w:val="0"/>
      <w:sz w:val="22"/>
      <w:szCs w:val="22"/>
    </w:rPr>
  </w:style>
  <w:style w:type="character" w:customStyle="1" w:styleId="IAPODICostChar">
    <w:name w:val="IAPODICost Char"/>
    <w:link w:val="IAPODICost"/>
    <w:rsid w:val="0069005A"/>
    <w:rPr>
      <w:rFonts w:ascii="Arial" w:eastAsia="SimSun" w:hAnsi="Arial" w:cs="Times New Roman"/>
      <w:color w:val="000000"/>
      <w:spacing w:val="-5"/>
      <w:lang w:eastAsia="zh-CN"/>
    </w:rPr>
  </w:style>
  <w:style w:type="paragraph" w:customStyle="1" w:styleId="IAPODIBen">
    <w:name w:val="IAPODIBen"/>
    <w:basedOn w:val="IATableLabel"/>
    <w:link w:val="IAPODIBenChar"/>
    <w:rsid w:val="0069005A"/>
    <w:rPr>
      <w:b w:val="0"/>
      <w:sz w:val="22"/>
      <w:szCs w:val="22"/>
    </w:rPr>
  </w:style>
  <w:style w:type="paragraph" w:customStyle="1" w:styleId="IAPODINet">
    <w:name w:val="IAPODINet"/>
    <w:basedOn w:val="IATableLabel"/>
    <w:link w:val="IAPODINetChar"/>
    <w:rsid w:val="0069005A"/>
    <w:rPr>
      <w:b w:val="0"/>
      <w:sz w:val="22"/>
      <w:szCs w:val="22"/>
    </w:rPr>
  </w:style>
  <w:style w:type="character" w:customStyle="1" w:styleId="IAPODINetChar">
    <w:name w:val="IAPODINet Char"/>
    <w:link w:val="IAPODINet"/>
    <w:rsid w:val="0069005A"/>
    <w:rPr>
      <w:rFonts w:ascii="Arial" w:eastAsia="SimSun" w:hAnsi="Arial" w:cs="Times New Roman"/>
      <w:color w:val="000000"/>
      <w:spacing w:val="-5"/>
      <w:lang w:eastAsia="zh-CN"/>
    </w:rPr>
  </w:style>
  <w:style w:type="character" w:customStyle="1" w:styleId="IAPODIBenChar">
    <w:name w:val="IAPODIBen Char"/>
    <w:link w:val="IAPODIBen"/>
    <w:rsid w:val="0069005A"/>
    <w:rPr>
      <w:rFonts w:ascii="Arial" w:eastAsia="SimSun" w:hAnsi="Arial" w:cs="Times New Roman"/>
      <w:color w:val="000000"/>
      <w:spacing w:val="-5"/>
      <w:lang w:eastAsia="zh-CN"/>
    </w:rPr>
  </w:style>
  <w:style w:type="paragraph" w:customStyle="1" w:styleId="IAPODIMQ">
    <w:name w:val="IAPODIMQ"/>
    <w:basedOn w:val="IATableText"/>
    <w:rsid w:val="0069005A"/>
    <w:rPr>
      <w:color w:val="000000"/>
      <w:sz w:val="20"/>
    </w:rPr>
  </w:style>
  <w:style w:type="paragraph" w:customStyle="1" w:styleId="IATitle">
    <w:name w:val="IATitle"/>
    <w:basedOn w:val="Normal"/>
    <w:rsid w:val="0069005A"/>
    <w:pPr>
      <w:spacing w:after="0" w:line="240" w:lineRule="auto"/>
      <w:ind w:left="113"/>
    </w:pPr>
    <w:rPr>
      <w:rFonts w:ascii="Arial" w:eastAsia="SimSun" w:hAnsi="Arial" w:cs="Arial"/>
      <w:sz w:val="20"/>
      <w:szCs w:val="24"/>
    </w:rPr>
  </w:style>
  <w:style w:type="paragraph" w:customStyle="1" w:styleId="IANo">
    <w:name w:val="IANo"/>
    <w:basedOn w:val="Normal"/>
    <w:link w:val="IANoChar"/>
    <w:rsid w:val="0069005A"/>
    <w:pPr>
      <w:spacing w:after="0" w:line="240" w:lineRule="auto"/>
      <w:ind w:left="113"/>
    </w:pPr>
    <w:rPr>
      <w:rFonts w:ascii="Arial" w:eastAsia="Times New Roman" w:hAnsi="Arial" w:cs="Times New Roman"/>
      <w:sz w:val="20"/>
    </w:rPr>
  </w:style>
  <w:style w:type="character" w:customStyle="1" w:styleId="IAHeadTitleChar">
    <w:name w:val="IAHeadTitle Char"/>
    <w:link w:val="IAHeadTitle"/>
    <w:rsid w:val="0069005A"/>
    <w:rPr>
      <w:rFonts w:ascii="Arial" w:eastAsia="SimSun" w:hAnsi="Arial" w:cs="Times New Roman"/>
      <w:b/>
      <w:spacing w:val="-6"/>
      <w:sz w:val="28"/>
      <w:szCs w:val="28"/>
      <w:lang w:eastAsia="zh-CN"/>
    </w:rPr>
  </w:style>
  <w:style w:type="character" w:customStyle="1" w:styleId="IANoChar">
    <w:name w:val="IANo Char"/>
    <w:link w:val="IANo"/>
    <w:rsid w:val="0069005A"/>
    <w:rPr>
      <w:rFonts w:ascii="Arial" w:eastAsia="Times New Roman" w:hAnsi="Arial" w:cs="Times New Roman"/>
      <w:sz w:val="20"/>
    </w:rPr>
  </w:style>
  <w:style w:type="paragraph" w:customStyle="1" w:styleId="IALeadDept">
    <w:name w:val="IALeadDept"/>
    <w:basedOn w:val="Normal"/>
    <w:rsid w:val="0069005A"/>
    <w:pPr>
      <w:spacing w:after="0" w:line="240" w:lineRule="auto"/>
      <w:ind w:left="113"/>
    </w:pPr>
    <w:rPr>
      <w:rFonts w:ascii="Arial" w:eastAsia="Arial Unicode MS" w:hAnsi="Arial" w:cs="Arial"/>
      <w:noProof/>
      <w:sz w:val="20"/>
      <w:szCs w:val="24"/>
    </w:rPr>
  </w:style>
  <w:style w:type="paragraph" w:customStyle="1" w:styleId="IADate">
    <w:name w:val="IADate"/>
    <w:basedOn w:val="IATableLabel"/>
    <w:link w:val="IADateChar"/>
    <w:rsid w:val="0069005A"/>
    <w:rPr>
      <w:b w:val="0"/>
      <w:sz w:val="22"/>
      <w:szCs w:val="22"/>
    </w:rPr>
  </w:style>
  <w:style w:type="paragraph" w:customStyle="1" w:styleId="IAStage">
    <w:name w:val="IAStage"/>
    <w:basedOn w:val="IATableLabel"/>
    <w:link w:val="IAStageChar"/>
    <w:rsid w:val="0069005A"/>
    <w:rPr>
      <w:b w:val="0"/>
      <w:sz w:val="22"/>
    </w:rPr>
  </w:style>
  <w:style w:type="paragraph" w:customStyle="1" w:styleId="IASOI">
    <w:name w:val="IASOI"/>
    <w:basedOn w:val="IATableLabel"/>
    <w:link w:val="IASOIChar"/>
    <w:rsid w:val="0069005A"/>
    <w:rPr>
      <w:b w:val="0"/>
      <w:sz w:val="22"/>
    </w:rPr>
  </w:style>
  <w:style w:type="paragraph" w:customStyle="1" w:styleId="IATOM">
    <w:name w:val="IATOM"/>
    <w:basedOn w:val="IATableLabel"/>
    <w:link w:val="IATOMChar"/>
    <w:rsid w:val="0069005A"/>
    <w:rPr>
      <w:b w:val="0"/>
      <w:sz w:val="22"/>
    </w:rPr>
  </w:style>
  <w:style w:type="paragraph" w:customStyle="1" w:styleId="IACOE">
    <w:name w:val="IACOE"/>
    <w:basedOn w:val="Normal"/>
    <w:link w:val="IACOEChar"/>
    <w:autoRedefine/>
    <w:rsid w:val="0069005A"/>
    <w:pPr>
      <w:spacing w:after="0" w:line="240" w:lineRule="auto"/>
    </w:pPr>
    <w:rPr>
      <w:rFonts w:ascii="Arial" w:eastAsia="SimSun" w:hAnsi="Arial" w:cs="Times New Roman"/>
      <w:spacing w:val="-5"/>
      <w:sz w:val="20"/>
      <w:szCs w:val="24"/>
      <w:lang w:eastAsia="zh-CN"/>
    </w:rPr>
  </w:style>
  <w:style w:type="paragraph" w:customStyle="1" w:styleId="IARPC">
    <w:name w:val="IARPC"/>
    <w:basedOn w:val="Title"/>
    <w:link w:val="IARPCChar"/>
    <w:rsid w:val="0069005A"/>
    <w:rPr>
      <w:rFonts w:eastAsia="SimSun"/>
      <w:color w:val="000000"/>
      <w:sz w:val="24"/>
      <w:szCs w:val="24"/>
    </w:rPr>
  </w:style>
  <w:style w:type="paragraph" w:customStyle="1" w:styleId="IAIIOTNPV">
    <w:name w:val="IAIIOTNPV"/>
    <w:basedOn w:val="IATableLabel"/>
    <w:rsid w:val="0069005A"/>
    <w:pPr>
      <w:spacing w:before="0" w:after="0"/>
      <w:jc w:val="both"/>
    </w:pPr>
    <w:rPr>
      <w:b w:val="0"/>
      <w:sz w:val="22"/>
      <w:szCs w:val="22"/>
    </w:rPr>
  </w:style>
  <w:style w:type="paragraph" w:customStyle="1" w:styleId="IAIOBNPV">
    <w:name w:val="IAIOBNPV"/>
    <w:basedOn w:val="IATableLabel"/>
    <w:rsid w:val="0069005A"/>
    <w:pPr>
      <w:spacing w:before="0" w:after="0"/>
    </w:pPr>
    <w:rPr>
      <w:b w:val="0"/>
      <w:sz w:val="22"/>
      <w:szCs w:val="22"/>
    </w:rPr>
  </w:style>
  <w:style w:type="paragraph" w:customStyle="1" w:styleId="IAIONCTBPY">
    <w:name w:val="IAIONCTBPY"/>
    <w:basedOn w:val="IATableLabel"/>
    <w:rsid w:val="0069005A"/>
    <w:pPr>
      <w:spacing w:before="0" w:after="0"/>
    </w:pPr>
    <w:rPr>
      <w:b w:val="0"/>
      <w:sz w:val="22"/>
      <w:szCs w:val="22"/>
    </w:rPr>
  </w:style>
  <w:style w:type="paragraph" w:customStyle="1" w:styleId="IAIOInScopeInOut">
    <w:name w:val="IAIOInScopeInOut"/>
    <w:basedOn w:val="IATableLabel"/>
    <w:rsid w:val="0069005A"/>
    <w:pPr>
      <w:spacing w:before="0" w:after="0"/>
    </w:pPr>
    <w:rPr>
      <w:b w:val="0"/>
      <w:sz w:val="22"/>
      <w:szCs w:val="22"/>
    </w:rPr>
  </w:style>
  <w:style w:type="paragraph" w:customStyle="1" w:styleId="IAIOPrefMQ">
    <w:name w:val="IAIOPrefMQ"/>
    <w:basedOn w:val="IATableText"/>
    <w:rsid w:val="0069005A"/>
    <w:pPr>
      <w:spacing w:before="0" w:after="0"/>
    </w:pPr>
    <w:rPr>
      <w:color w:val="000000"/>
      <w:szCs w:val="22"/>
    </w:rPr>
  </w:style>
  <w:style w:type="paragraph" w:customStyle="1" w:styleId="IAIOQ1">
    <w:name w:val="IAIOQ1"/>
    <w:basedOn w:val="IATableLabel"/>
    <w:rsid w:val="0069005A"/>
  </w:style>
  <w:style w:type="paragraph" w:customStyle="1" w:styleId="IAIOQ2">
    <w:name w:val="IAIOQ2"/>
    <w:basedOn w:val="IATableLabel"/>
    <w:rsid w:val="0069005A"/>
  </w:style>
  <w:style w:type="paragraph" w:customStyle="1" w:styleId="IAIOQ3">
    <w:name w:val="IAIOQ3"/>
    <w:basedOn w:val="IATableLabel"/>
    <w:rsid w:val="0069005A"/>
  </w:style>
  <w:style w:type="paragraph" w:customStyle="1" w:styleId="IAIOPolicyReview">
    <w:name w:val="IAIOPolicyReview"/>
    <w:basedOn w:val="IATableLabel"/>
    <w:link w:val="IAIOPolicyReviewChar"/>
    <w:rsid w:val="0069005A"/>
    <w:rPr>
      <w:b w:val="0"/>
      <w:sz w:val="22"/>
      <w:szCs w:val="22"/>
    </w:rPr>
  </w:style>
  <w:style w:type="character" w:customStyle="1" w:styleId="IAIOPolicyReviewChar">
    <w:name w:val="IAIOPolicyReview Char"/>
    <w:link w:val="IAIOPolicyReview"/>
    <w:rsid w:val="0069005A"/>
    <w:rPr>
      <w:rFonts w:ascii="Arial" w:eastAsia="SimSun" w:hAnsi="Arial" w:cs="Times New Roman"/>
      <w:color w:val="000000"/>
      <w:spacing w:val="-5"/>
      <w:lang w:eastAsia="zh-CN"/>
    </w:rPr>
  </w:style>
  <w:style w:type="paragraph" w:customStyle="1" w:styleId="IAIOReviewMonth">
    <w:name w:val="IAIOReviewMonth"/>
    <w:basedOn w:val="IATableLabel"/>
    <w:link w:val="IAIOReviewMonthChar"/>
    <w:rsid w:val="0069005A"/>
    <w:rPr>
      <w:b w:val="0"/>
      <w:sz w:val="22"/>
      <w:szCs w:val="22"/>
    </w:rPr>
  </w:style>
  <w:style w:type="paragraph" w:customStyle="1" w:styleId="IAIOReviewYear">
    <w:name w:val="IAIOReviewYear"/>
    <w:basedOn w:val="IATableLabel"/>
    <w:link w:val="IAIOReviewYearChar"/>
    <w:rsid w:val="0069005A"/>
    <w:rPr>
      <w:b w:val="0"/>
      <w:sz w:val="22"/>
      <w:szCs w:val="22"/>
    </w:rPr>
  </w:style>
  <w:style w:type="paragraph" w:customStyle="1" w:styleId="IAIOCheckEU">
    <w:name w:val="IAIOCheckEU"/>
    <w:basedOn w:val="IATableText"/>
    <w:rsid w:val="0069005A"/>
    <w:pPr>
      <w:spacing w:before="0" w:after="0"/>
    </w:pPr>
    <w:rPr>
      <w:sz w:val="20"/>
    </w:rPr>
  </w:style>
  <w:style w:type="character" w:customStyle="1" w:styleId="IAIOReviewYearChar">
    <w:name w:val="IAIOReviewYear Char"/>
    <w:link w:val="IAIOReviewYear"/>
    <w:rsid w:val="0069005A"/>
    <w:rPr>
      <w:rFonts w:ascii="Arial" w:eastAsia="SimSun" w:hAnsi="Arial" w:cs="Times New Roman"/>
      <w:color w:val="000000"/>
      <w:spacing w:val="-5"/>
      <w:lang w:eastAsia="zh-CN"/>
    </w:rPr>
  </w:style>
  <w:style w:type="character" w:customStyle="1" w:styleId="IAIOReviewMonthChar">
    <w:name w:val="IAIOReviewMonth Char"/>
    <w:link w:val="IAIOReviewMonth"/>
    <w:rsid w:val="0069005A"/>
    <w:rPr>
      <w:rFonts w:ascii="Arial" w:eastAsia="SimSun" w:hAnsi="Arial" w:cs="Times New Roman"/>
      <w:color w:val="000000"/>
      <w:spacing w:val="-5"/>
      <w:lang w:eastAsia="zh-CN"/>
    </w:rPr>
  </w:style>
  <w:style w:type="paragraph" w:customStyle="1" w:styleId="IAIOCheckMicro">
    <w:name w:val="IAIOCheckMicro"/>
    <w:basedOn w:val="IATableLines"/>
    <w:link w:val="IAIOCheckMicroChar"/>
    <w:rsid w:val="0069005A"/>
    <w:rPr>
      <w:sz w:val="20"/>
    </w:rPr>
  </w:style>
  <w:style w:type="paragraph" w:customStyle="1" w:styleId="IAIOCheckSmall">
    <w:name w:val="IAIOCheckSmall"/>
    <w:basedOn w:val="IATableLines"/>
    <w:link w:val="IAIOCheckSmallChar"/>
    <w:rsid w:val="0069005A"/>
    <w:rPr>
      <w:sz w:val="20"/>
    </w:rPr>
  </w:style>
  <w:style w:type="paragraph" w:customStyle="1" w:styleId="IAIOCheckMedium">
    <w:name w:val="IAIOCheckMedium"/>
    <w:basedOn w:val="IATableLines"/>
    <w:link w:val="IAIOCheckMediumChar"/>
    <w:rsid w:val="0069005A"/>
    <w:rPr>
      <w:sz w:val="20"/>
    </w:rPr>
  </w:style>
  <w:style w:type="paragraph" w:customStyle="1" w:styleId="IAIOCheckLarge">
    <w:name w:val="IAIOCheckLarge"/>
    <w:basedOn w:val="IATableLines"/>
    <w:link w:val="IAIOCheckLargeChar"/>
    <w:rsid w:val="0069005A"/>
    <w:rPr>
      <w:sz w:val="20"/>
    </w:rPr>
  </w:style>
  <w:style w:type="paragraph" w:customStyle="1" w:styleId="IAIOCO2Traded">
    <w:name w:val="IAIOCO2Traded"/>
    <w:basedOn w:val="IATableLabel"/>
    <w:link w:val="IAIOCO2TradedChar"/>
    <w:rsid w:val="0069005A"/>
    <w:rPr>
      <w:b w:val="0"/>
      <w:sz w:val="22"/>
    </w:rPr>
  </w:style>
  <w:style w:type="paragraph" w:customStyle="1" w:styleId="IAIOtextSign">
    <w:name w:val="IAIOtextSign"/>
    <w:basedOn w:val="Normal"/>
    <w:rsid w:val="0069005A"/>
    <w:pPr>
      <w:spacing w:after="0" w:line="240" w:lineRule="auto"/>
      <w:jc w:val="center"/>
    </w:pPr>
    <w:rPr>
      <w:rFonts w:ascii="Arial" w:eastAsia="Times New Roman" w:hAnsi="Arial" w:cs="Times New Roman"/>
      <w:sz w:val="24"/>
      <w:szCs w:val="24"/>
    </w:rPr>
  </w:style>
  <w:style w:type="paragraph" w:customStyle="1" w:styleId="IAIOSigDate">
    <w:name w:val="IAIOSigDate"/>
    <w:basedOn w:val="Normal"/>
    <w:rsid w:val="0069005A"/>
    <w:pPr>
      <w:spacing w:after="0" w:line="240" w:lineRule="auto"/>
      <w:jc w:val="center"/>
    </w:pPr>
    <w:rPr>
      <w:rFonts w:ascii="Arial" w:eastAsia="Times New Roman" w:hAnsi="Arial" w:cs="Times New Roman"/>
    </w:rPr>
  </w:style>
  <w:style w:type="paragraph" w:customStyle="1" w:styleId="IAPODescription">
    <w:name w:val="IAPODescription"/>
    <w:basedOn w:val="IAHeadLabel"/>
    <w:link w:val="IAPODescriptionCharChar"/>
    <w:rsid w:val="0069005A"/>
    <w:pPr>
      <w:spacing w:before="50"/>
    </w:pPr>
    <w:rPr>
      <w:b w:val="0"/>
    </w:rPr>
  </w:style>
  <w:style w:type="character" w:customStyle="1" w:styleId="IAPODescriptionCharChar">
    <w:name w:val="IAPODescription Char Char"/>
    <w:basedOn w:val="IAHeadLabelChar"/>
    <w:link w:val="IAPODescription"/>
    <w:rsid w:val="0069005A"/>
    <w:rPr>
      <w:rFonts w:ascii="Arial" w:eastAsia="SimSun" w:hAnsi="Arial" w:cs="Times New Roman"/>
      <w:b w:val="0"/>
      <w:color w:val="000000"/>
      <w:spacing w:val="-5"/>
      <w:sz w:val="20"/>
      <w:szCs w:val="20"/>
      <w:lang w:eastAsia="zh-CN"/>
    </w:rPr>
  </w:style>
  <w:style w:type="character" w:customStyle="1" w:styleId="IADateChar">
    <w:name w:val="IADate Char"/>
    <w:link w:val="IADate"/>
    <w:rsid w:val="0069005A"/>
    <w:rPr>
      <w:rFonts w:ascii="Arial" w:eastAsia="SimSun" w:hAnsi="Arial" w:cs="Times New Roman"/>
      <w:color w:val="000000"/>
      <w:spacing w:val="-5"/>
      <w:lang w:eastAsia="zh-CN"/>
    </w:rPr>
  </w:style>
  <w:style w:type="character" w:customStyle="1" w:styleId="IATableLinesChar">
    <w:name w:val="IATableLines Char"/>
    <w:basedOn w:val="IATableTextChar"/>
    <w:link w:val="IATableLines"/>
    <w:rsid w:val="0069005A"/>
    <w:rPr>
      <w:rFonts w:ascii="Arial" w:eastAsia="SimSun" w:hAnsi="Arial" w:cs="Times New Roman"/>
      <w:spacing w:val="-5"/>
      <w:szCs w:val="20"/>
      <w:lang w:eastAsia="zh-CN"/>
    </w:rPr>
  </w:style>
  <w:style w:type="character" w:customStyle="1" w:styleId="IACOEChar">
    <w:name w:val="IACOE Char"/>
    <w:link w:val="IACOE"/>
    <w:rsid w:val="0069005A"/>
    <w:rPr>
      <w:rFonts w:ascii="Arial" w:eastAsia="SimSun" w:hAnsi="Arial" w:cs="Times New Roman"/>
      <w:spacing w:val="-5"/>
      <w:sz w:val="20"/>
      <w:szCs w:val="24"/>
      <w:lang w:eastAsia="zh-CN"/>
    </w:rPr>
  </w:style>
  <w:style w:type="character" w:customStyle="1" w:styleId="IAStageChar">
    <w:name w:val="IAStage Char"/>
    <w:link w:val="IAStage"/>
    <w:rsid w:val="0069005A"/>
    <w:rPr>
      <w:rFonts w:ascii="Arial" w:eastAsia="SimSun" w:hAnsi="Arial" w:cs="Times New Roman"/>
      <w:color w:val="000000"/>
      <w:spacing w:val="-5"/>
      <w:szCs w:val="20"/>
      <w:lang w:eastAsia="zh-CN"/>
    </w:rPr>
  </w:style>
  <w:style w:type="character" w:customStyle="1" w:styleId="IASOIChar">
    <w:name w:val="IASOI Char"/>
    <w:link w:val="IASOI"/>
    <w:rsid w:val="0069005A"/>
    <w:rPr>
      <w:rFonts w:ascii="Arial" w:eastAsia="SimSun" w:hAnsi="Arial" w:cs="Times New Roman"/>
      <w:color w:val="000000"/>
      <w:spacing w:val="-5"/>
      <w:szCs w:val="20"/>
      <w:lang w:eastAsia="zh-CN"/>
    </w:rPr>
  </w:style>
  <w:style w:type="character" w:customStyle="1" w:styleId="IATOMChar">
    <w:name w:val="IATOM Char"/>
    <w:link w:val="IATOM"/>
    <w:rsid w:val="0069005A"/>
    <w:rPr>
      <w:rFonts w:ascii="Arial" w:eastAsia="SimSun" w:hAnsi="Arial" w:cs="Times New Roman"/>
      <w:color w:val="000000"/>
      <w:spacing w:val="-5"/>
      <w:szCs w:val="20"/>
      <w:lang w:eastAsia="zh-CN"/>
    </w:rPr>
  </w:style>
  <w:style w:type="character" w:customStyle="1" w:styleId="IARPCChar">
    <w:name w:val="IARPC Char"/>
    <w:link w:val="IARPC"/>
    <w:rsid w:val="0069005A"/>
    <w:rPr>
      <w:rFonts w:ascii="Arial" w:eastAsia="SimSun" w:hAnsi="Arial" w:cs="Arial"/>
      <w:bCs/>
      <w:color w:val="000000"/>
      <w:kern w:val="28"/>
      <w:sz w:val="24"/>
      <w:szCs w:val="24"/>
    </w:rPr>
  </w:style>
  <w:style w:type="character" w:customStyle="1" w:styleId="IAIOCheckMicroChar">
    <w:name w:val="IAIOCheckMicro Char"/>
    <w:basedOn w:val="IATableLinesChar"/>
    <w:link w:val="IAIOCheckMicro"/>
    <w:rsid w:val="0069005A"/>
    <w:rPr>
      <w:rFonts w:ascii="Arial" w:eastAsia="SimSun" w:hAnsi="Arial" w:cs="Times New Roman"/>
      <w:spacing w:val="-5"/>
      <w:sz w:val="20"/>
      <w:szCs w:val="20"/>
      <w:lang w:eastAsia="zh-CN"/>
    </w:rPr>
  </w:style>
  <w:style w:type="character" w:customStyle="1" w:styleId="IAIOCheckSmallChar">
    <w:name w:val="IAIOCheckSmall Char"/>
    <w:basedOn w:val="IATableLinesChar"/>
    <w:link w:val="IAIOCheckSmall"/>
    <w:rsid w:val="0069005A"/>
    <w:rPr>
      <w:rFonts w:ascii="Arial" w:eastAsia="SimSun" w:hAnsi="Arial" w:cs="Times New Roman"/>
      <w:spacing w:val="-5"/>
      <w:sz w:val="20"/>
      <w:szCs w:val="20"/>
      <w:lang w:eastAsia="zh-CN"/>
    </w:rPr>
  </w:style>
  <w:style w:type="character" w:customStyle="1" w:styleId="IAIOCheckMediumChar">
    <w:name w:val="IAIOCheckMedium Char"/>
    <w:basedOn w:val="IATableLinesChar"/>
    <w:link w:val="IAIOCheckMedium"/>
    <w:rsid w:val="0069005A"/>
    <w:rPr>
      <w:rFonts w:ascii="Arial" w:eastAsia="SimSun" w:hAnsi="Arial" w:cs="Times New Roman"/>
      <w:spacing w:val="-5"/>
      <w:sz w:val="20"/>
      <w:szCs w:val="20"/>
      <w:lang w:eastAsia="zh-CN"/>
    </w:rPr>
  </w:style>
  <w:style w:type="character" w:customStyle="1" w:styleId="IAIOCheckLargeChar">
    <w:name w:val="IAIOCheckLarge Char"/>
    <w:basedOn w:val="IATableLinesChar"/>
    <w:link w:val="IAIOCheckLarge"/>
    <w:rsid w:val="0069005A"/>
    <w:rPr>
      <w:rFonts w:ascii="Arial" w:eastAsia="SimSun" w:hAnsi="Arial" w:cs="Times New Roman"/>
      <w:spacing w:val="-5"/>
      <w:sz w:val="20"/>
      <w:szCs w:val="20"/>
      <w:lang w:eastAsia="zh-CN"/>
    </w:rPr>
  </w:style>
  <w:style w:type="character" w:customStyle="1" w:styleId="IAIOCO2TradedChar">
    <w:name w:val="IAIOCO2Traded Char"/>
    <w:link w:val="IAIOCO2Traded"/>
    <w:rsid w:val="0069005A"/>
    <w:rPr>
      <w:rFonts w:ascii="Arial" w:eastAsia="SimSun" w:hAnsi="Arial" w:cs="Times New Roman"/>
      <w:color w:val="000000"/>
      <w:spacing w:val="-5"/>
      <w:szCs w:val="20"/>
      <w:lang w:eastAsia="zh-CN"/>
    </w:rPr>
  </w:style>
  <w:style w:type="paragraph" w:styleId="BodyText">
    <w:name w:val="Body Text"/>
    <w:basedOn w:val="Normal"/>
    <w:link w:val="BodyTextChar"/>
    <w:uiPriority w:val="99"/>
    <w:semiHidden/>
    <w:unhideWhenUsed/>
    <w:rsid w:val="0069005A"/>
    <w:pPr>
      <w:spacing w:after="120"/>
    </w:pPr>
  </w:style>
  <w:style w:type="character" w:customStyle="1" w:styleId="BodyTextChar">
    <w:name w:val="Body Text Char"/>
    <w:basedOn w:val="DefaultParagraphFont"/>
    <w:link w:val="BodyText"/>
    <w:uiPriority w:val="99"/>
    <w:semiHidden/>
    <w:rsid w:val="0069005A"/>
  </w:style>
  <w:style w:type="paragraph" w:styleId="ListParagraph">
    <w:name w:val="List Paragraph"/>
    <w:basedOn w:val="Normal"/>
    <w:link w:val="ListParagraphChar"/>
    <w:uiPriority w:val="34"/>
    <w:qFormat/>
    <w:rsid w:val="0069005A"/>
    <w:pPr>
      <w:ind w:left="720"/>
      <w:contextualSpacing/>
    </w:pPr>
  </w:style>
  <w:style w:type="paragraph" w:styleId="BalloonText">
    <w:name w:val="Balloon Text"/>
    <w:basedOn w:val="Normal"/>
    <w:link w:val="BalloonTextChar"/>
    <w:uiPriority w:val="99"/>
    <w:semiHidden/>
    <w:unhideWhenUsed/>
    <w:rsid w:val="0069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5A"/>
    <w:rPr>
      <w:rFonts w:ascii="Segoe UI" w:hAnsi="Segoe UI" w:cs="Segoe UI"/>
      <w:sz w:val="18"/>
      <w:szCs w:val="18"/>
    </w:rPr>
  </w:style>
  <w:style w:type="paragraph" w:customStyle="1" w:styleId="Default">
    <w:name w:val="Default"/>
    <w:rsid w:val="0069005A"/>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69005A"/>
    <w:rPr>
      <w:sz w:val="16"/>
      <w:szCs w:val="16"/>
    </w:rPr>
  </w:style>
  <w:style w:type="paragraph" w:styleId="CommentText">
    <w:name w:val="annotation text"/>
    <w:basedOn w:val="Normal"/>
    <w:link w:val="CommentTextChar"/>
    <w:uiPriority w:val="99"/>
    <w:unhideWhenUsed/>
    <w:rsid w:val="0069005A"/>
    <w:pPr>
      <w:spacing w:line="240" w:lineRule="auto"/>
    </w:pPr>
    <w:rPr>
      <w:sz w:val="20"/>
      <w:szCs w:val="20"/>
    </w:rPr>
  </w:style>
  <w:style w:type="character" w:customStyle="1" w:styleId="CommentTextChar">
    <w:name w:val="Comment Text Char"/>
    <w:basedOn w:val="DefaultParagraphFont"/>
    <w:link w:val="CommentText"/>
    <w:uiPriority w:val="99"/>
    <w:rsid w:val="0069005A"/>
    <w:rPr>
      <w:sz w:val="20"/>
      <w:szCs w:val="20"/>
    </w:rPr>
  </w:style>
  <w:style w:type="paragraph" w:styleId="CommentSubject">
    <w:name w:val="annotation subject"/>
    <w:basedOn w:val="CommentText"/>
    <w:next w:val="CommentText"/>
    <w:link w:val="CommentSubjectChar"/>
    <w:uiPriority w:val="99"/>
    <w:semiHidden/>
    <w:unhideWhenUsed/>
    <w:rsid w:val="0069005A"/>
    <w:rPr>
      <w:b/>
      <w:bCs/>
    </w:rPr>
  </w:style>
  <w:style w:type="character" w:customStyle="1" w:styleId="CommentSubjectChar">
    <w:name w:val="Comment Subject Char"/>
    <w:basedOn w:val="CommentTextChar"/>
    <w:link w:val="CommentSubject"/>
    <w:uiPriority w:val="99"/>
    <w:semiHidden/>
    <w:rsid w:val="0069005A"/>
    <w:rPr>
      <w:b/>
      <w:bCs/>
      <w:sz w:val="20"/>
      <w:szCs w:val="20"/>
    </w:rPr>
  </w:style>
  <w:style w:type="paragraph" w:customStyle="1" w:styleId="EBNumber">
    <w:name w:val="EBNumber"/>
    <w:basedOn w:val="BodyText"/>
    <w:link w:val="EBNumberCharChar"/>
    <w:rsid w:val="0069005A"/>
    <w:pPr>
      <w:numPr>
        <w:ilvl w:val="1"/>
        <w:numId w:val="4"/>
      </w:numPr>
      <w:spacing w:line="240" w:lineRule="auto"/>
    </w:pPr>
    <w:rPr>
      <w:rFonts w:ascii="Arial" w:eastAsia="Times New Roman" w:hAnsi="Arial" w:cs="Arial"/>
      <w:bCs/>
      <w:color w:val="000000"/>
      <w:lang w:eastAsia="en-GB"/>
    </w:rPr>
  </w:style>
  <w:style w:type="paragraph" w:customStyle="1" w:styleId="EBNumberRestart">
    <w:name w:val="EBNumberRestart"/>
    <w:basedOn w:val="BodyText"/>
    <w:next w:val="EBNumber"/>
    <w:rsid w:val="0069005A"/>
    <w:pPr>
      <w:numPr>
        <w:numId w:val="4"/>
      </w:numPr>
      <w:spacing w:line="240" w:lineRule="auto"/>
    </w:pPr>
    <w:rPr>
      <w:rFonts w:ascii="Arial" w:eastAsia="Times New Roman" w:hAnsi="Arial" w:cs="Arial"/>
      <w:bCs/>
      <w:color w:val="000000"/>
      <w:lang w:eastAsia="en-GB"/>
    </w:rPr>
  </w:style>
  <w:style w:type="character" w:customStyle="1" w:styleId="EBNumberCharChar">
    <w:name w:val="EBNumber Char Char"/>
    <w:basedOn w:val="DefaultParagraphFont"/>
    <w:link w:val="EBNumber"/>
    <w:locked/>
    <w:rsid w:val="0069005A"/>
    <w:rPr>
      <w:rFonts w:ascii="Arial" w:eastAsia="Times New Roman" w:hAnsi="Arial" w:cs="Arial"/>
      <w:bCs/>
      <w:color w:val="000000"/>
      <w:lang w:eastAsia="en-GB"/>
    </w:rPr>
  </w:style>
  <w:style w:type="paragraph" w:customStyle="1" w:styleId="IAHeading2">
    <w:name w:val="IAHeading2"/>
    <w:basedOn w:val="Normal"/>
    <w:semiHidden/>
    <w:rsid w:val="0069005A"/>
    <w:pPr>
      <w:keepNext/>
      <w:keepLines/>
      <w:spacing w:before="60" w:after="60" w:line="240" w:lineRule="auto"/>
      <w:ind w:left="113" w:right="113"/>
    </w:pPr>
    <w:rPr>
      <w:rFonts w:ascii="Arial" w:eastAsia="SimSun" w:hAnsi="Arial" w:cs="Times New Roman"/>
      <w:b/>
      <w:sz w:val="20"/>
      <w:szCs w:val="24"/>
      <w:lang w:eastAsia="zh-CN"/>
    </w:rPr>
  </w:style>
  <w:style w:type="table" w:styleId="TableGrid">
    <w:name w:val="Table Grid"/>
    <w:basedOn w:val="TableNormal"/>
    <w:uiPriority w:val="39"/>
    <w:rsid w:val="0069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900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9005A"/>
    <w:rPr>
      <w:i/>
      <w:iCs/>
      <w:color w:val="404040" w:themeColor="text1" w:themeTint="BF"/>
    </w:rPr>
  </w:style>
  <w:style w:type="paragraph" w:styleId="Subtitle">
    <w:name w:val="Subtitle"/>
    <w:basedOn w:val="Normal"/>
    <w:next w:val="Normal"/>
    <w:link w:val="SubtitleChar"/>
    <w:uiPriority w:val="11"/>
    <w:qFormat/>
    <w:rsid w:val="006900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005A"/>
    <w:rPr>
      <w:rFonts w:eastAsiaTheme="minorEastAsia"/>
      <w:color w:val="5A5A5A" w:themeColor="text1" w:themeTint="A5"/>
      <w:spacing w:val="15"/>
    </w:rPr>
  </w:style>
  <w:style w:type="paragraph" w:styleId="NoSpacing">
    <w:name w:val="No Spacing"/>
    <w:uiPriority w:val="1"/>
    <w:qFormat/>
    <w:rsid w:val="0069005A"/>
    <w:pPr>
      <w:spacing w:after="0" w:line="240" w:lineRule="auto"/>
    </w:pPr>
  </w:style>
  <w:style w:type="paragraph" w:styleId="Revision">
    <w:name w:val="Revision"/>
    <w:hidden/>
    <w:uiPriority w:val="99"/>
    <w:semiHidden/>
    <w:rsid w:val="0069005A"/>
    <w:pPr>
      <w:spacing w:after="0" w:line="240" w:lineRule="auto"/>
    </w:pPr>
  </w:style>
  <w:style w:type="character" w:customStyle="1" w:styleId="st">
    <w:name w:val="st"/>
    <w:basedOn w:val="DefaultParagraphFont"/>
    <w:rsid w:val="0069005A"/>
  </w:style>
  <w:style w:type="paragraph" w:styleId="FootnoteText">
    <w:name w:val="footnote text"/>
    <w:basedOn w:val="Normal"/>
    <w:link w:val="FootnoteTextChar"/>
    <w:semiHidden/>
    <w:unhideWhenUsed/>
    <w:rsid w:val="0069005A"/>
    <w:pPr>
      <w:spacing w:after="0" w:line="240" w:lineRule="auto"/>
    </w:pPr>
    <w:rPr>
      <w:sz w:val="20"/>
      <w:szCs w:val="20"/>
    </w:rPr>
  </w:style>
  <w:style w:type="character" w:customStyle="1" w:styleId="FootnoteTextChar">
    <w:name w:val="Footnote Text Char"/>
    <w:basedOn w:val="DefaultParagraphFont"/>
    <w:link w:val="FootnoteText"/>
    <w:semiHidden/>
    <w:rsid w:val="0069005A"/>
    <w:rPr>
      <w:sz w:val="20"/>
      <w:szCs w:val="20"/>
    </w:rPr>
  </w:style>
  <w:style w:type="character" w:styleId="FootnoteReference">
    <w:name w:val="footnote reference"/>
    <w:basedOn w:val="DefaultParagraphFont"/>
    <w:semiHidden/>
    <w:unhideWhenUsed/>
    <w:rsid w:val="0069005A"/>
    <w:rPr>
      <w:vertAlign w:val="superscript"/>
    </w:rPr>
  </w:style>
  <w:style w:type="character" w:customStyle="1" w:styleId="ListParagraphChar">
    <w:name w:val="List Paragraph Char"/>
    <w:link w:val="ListParagraph"/>
    <w:uiPriority w:val="34"/>
    <w:locked/>
    <w:rsid w:val="0089441B"/>
  </w:style>
  <w:style w:type="paragraph" w:customStyle="1" w:styleId="Textnumbered">
    <w:name w:val="Text numbered"/>
    <w:qFormat/>
    <w:rsid w:val="00940299"/>
    <w:pPr>
      <w:numPr>
        <w:numId w:val="34"/>
      </w:numPr>
      <w:spacing w:after="240" w:line="240" w:lineRule="auto"/>
    </w:pPr>
    <w:rPr>
      <w:rFonts w:ascii="Arial" w:eastAsia="Times New Roman" w:hAnsi="Arial" w:cs="Times New Roman"/>
      <w:szCs w:val="20"/>
      <w:lang w:eastAsia="en-GB"/>
    </w:rPr>
  </w:style>
  <w:style w:type="paragraph" w:customStyle="1" w:styleId="GSectionHead2">
    <w:name w:val="G_Section_Head_2"/>
    <w:basedOn w:val="Normal"/>
    <w:next w:val="Normal"/>
    <w:qFormat/>
    <w:rsid w:val="006E5FBE"/>
    <w:pPr>
      <w:keepLines/>
      <w:numPr>
        <w:numId w:val="35"/>
      </w:numPr>
      <w:spacing w:before="360" w:after="360" w:line="240" w:lineRule="auto"/>
      <w:outlineLvl w:val="1"/>
    </w:pPr>
    <w:rPr>
      <w:rFonts w:ascii="Arial" w:eastAsia="Times New Roman" w:hAnsi="Arial" w:cs="Arial"/>
      <w:b/>
      <w:color w:val="BF2E1A"/>
      <w:sz w:val="28"/>
    </w:rPr>
  </w:style>
  <w:style w:type="paragraph" w:customStyle="1" w:styleId="GBodyPara">
    <w:name w:val="G_Body_Para"/>
    <w:link w:val="GBodyParaChar"/>
    <w:qFormat/>
    <w:rsid w:val="006E5FBE"/>
    <w:pPr>
      <w:keepLines/>
      <w:numPr>
        <w:ilvl w:val="1"/>
        <w:numId w:val="35"/>
      </w:numPr>
      <w:spacing w:after="240" w:line="240" w:lineRule="auto"/>
    </w:pPr>
    <w:rPr>
      <w:rFonts w:ascii="Arial" w:eastAsia="Times New Roman" w:hAnsi="Arial" w:cs="Arial"/>
    </w:rPr>
  </w:style>
  <w:style w:type="character" w:customStyle="1" w:styleId="GBodyParaChar">
    <w:name w:val="G_Body_Para Char"/>
    <w:basedOn w:val="DefaultParagraphFont"/>
    <w:link w:val="GBodyPara"/>
    <w:rsid w:val="006E5FB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3076">
      <w:bodyDiv w:val="1"/>
      <w:marLeft w:val="0"/>
      <w:marRight w:val="0"/>
      <w:marTop w:val="0"/>
      <w:marBottom w:val="0"/>
      <w:divBdr>
        <w:top w:val="none" w:sz="0" w:space="0" w:color="auto"/>
        <w:left w:val="none" w:sz="0" w:space="0" w:color="auto"/>
        <w:bottom w:val="none" w:sz="0" w:space="0" w:color="auto"/>
        <w:right w:val="none" w:sz="0" w:space="0" w:color="auto"/>
      </w:divBdr>
    </w:div>
    <w:div w:id="487481872">
      <w:bodyDiv w:val="1"/>
      <w:marLeft w:val="0"/>
      <w:marRight w:val="0"/>
      <w:marTop w:val="0"/>
      <w:marBottom w:val="0"/>
      <w:divBdr>
        <w:top w:val="none" w:sz="0" w:space="0" w:color="auto"/>
        <w:left w:val="none" w:sz="0" w:space="0" w:color="auto"/>
        <w:bottom w:val="none" w:sz="0" w:space="0" w:color="auto"/>
        <w:right w:val="none" w:sz="0" w:space="0" w:color="auto"/>
      </w:divBdr>
    </w:div>
    <w:div w:id="917522290">
      <w:bodyDiv w:val="1"/>
      <w:marLeft w:val="0"/>
      <w:marRight w:val="0"/>
      <w:marTop w:val="0"/>
      <w:marBottom w:val="0"/>
      <w:divBdr>
        <w:top w:val="none" w:sz="0" w:space="0" w:color="auto"/>
        <w:left w:val="none" w:sz="0" w:space="0" w:color="auto"/>
        <w:bottom w:val="none" w:sz="0" w:space="0" w:color="auto"/>
        <w:right w:val="none" w:sz="0" w:space="0" w:color="auto"/>
      </w:divBdr>
    </w:div>
    <w:div w:id="1893542073">
      <w:bodyDiv w:val="1"/>
      <w:marLeft w:val="0"/>
      <w:marRight w:val="0"/>
      <w:marTop w:val="0"/>
      <w:marBottom w:val="0"/>
      <w:divBdr>
        <w:top w:val="none" w:sz="0" w:space="0" w:color="auto"/>
        <w:left w:val="none" w:sz="0" w:space="0" w:color="auto"/>
        <w:bottom w:val="none" w:sz="0" w:space="0" w:color="auto"/>
        <w:right w:val="none" w:sz="0" w:space="0" w:color="auto"/>
      </w:divBdr>
    </w:div>
    <w:div w:id="2058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arliament.the-stationery-office.co.uk/pa/ld199798/ldjudgmt/jd980716/page01.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2250998C5D789742AB9159BF81C7D6AA" ma:contentTypeVersion="8" ma:contentTypeDescription="Create an HMT Document" ma:contentTypeScope="" ma:versionID="3570514fd54cc043b5f337e667168899">
  <xsd:schema xmlns:xsd="http://www.w3.org/2001/XMLSchema" xmlns:xs="http://www.w3.org/2001/XMLSchema" xmlns:p="http://schemas.microsoft.com/office/2006/metadata/properties" xmlns:ns1="http://schemas.microsoft.com/sharepoint/v3" xmlns:ns2="98c8d95d-2d9f-4dc8-96cb-b5553d868587" xmlns:ns3="2e4aaef1-a7e7-4eac-bed7-f31ab1fb0f36" xmlns:ns4="add61d5d-3a02-4438-9b5d-324c1aca2514" xmlns:ns5="4a464416-bdc5-4356-8206-fe8f0bb16586" xmlns:ns6="http://schemas.microsoft.com/sharepoint/v4" targetNamespace="http://schemas.microsoft.com/office/2006/metadata/properties" ma:root="true" ma:fieldsID="efad326b5261728c0a37703200bd4f0f" ns1:_="" ns2:_="" ns3:_="" ns4:_="" ns5:_="" ns6:_="">
    <xsd:import namespace="http://schemas.microsoft.com/sharepoint/v3"/>
    <xsd:import namespace="98c8d95d-2d9f-4dc8-96cb-b5553d868587"/>
    <xsd:import namespace="2e4aaef1-a7e7-4eac-bed7-f31ab1fb0f36"/>
    <xsd:import namespace="add61d5d-3a02-4438-9b5d-324c1aca2514"/>
    <xsd:import namespace="4a464416-bdc5-4356-8206-fe8f0bb16586"/>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_dlc_DocId" minOccurs="0"/>
                <xsd:element ref="ns3:_dlc_DocIdUrl" minOccurs="0"/>
                <xsd:element ref="ns3:_dlc_DocIdPersistId" minOccurs="0"/>
                <xsd:element ref="ns4:HMT_DocumentTypeHTField0" minOccurs="0"/>
                <xsd:element ref="ns4:HMT_GroupHTField0" minOccurs="0"/>
                <xsd:element ref="ns4:HMT_TeamHTField0" minOccurs="0"/>
                <xsd:element ref="ns4:HMT_SubTeamHTField0" minOccurs="0"/>
                <xsd:element ref="ns4:HMT_CategoryHTField0" minOccurs="0"/>
                <xsd:element ref="ns4:HMT_ThemeHTField0" minOccurs="0"/>
                <xsd:element ref="ns4:HMT_TopicHTField0" minOccurs="0"/>
                <xsd:element ref="ns4:HMT_SubTopicHTField0" minOccurs="0"/>
                <xsd:element ref="ns4: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c8d95d-2d9f-4dc8-96cb-b5553d868587"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8" nillable="true" ma:displayName="Closed On" ma:description="The date this item was closed on" ma:format="DateTime" ma:hidden="true" ma:internalName="HMT_ClosedOn" ma:readOnly="true">
      <xsd:simpleType>
        <xsd:restriction base="dms:DateTime"/>
      </xsd:simpleType>
    </xsd:element>
    <xsd:element name="HMT_DeletedOn" ma:index="39" nillable="true" ma:displayName="Deleted On" ma:description="The date this item was deleted on" ma:format="DateTime" ma:hidden="true" ma:internalName="HMT_DeletedOn" ma:readOnly="true">
      <xsd:simpleType>
        <xsd:restriction base="dms:DateTime"/>
      </xsd:simpleType>
    </xsd:element>
    <xsd:element name="HMT_ArchivedOn" ma:index="40" nillable="true" ma:displayName="Archived On" ma:description="The date this item was archived on" ma:format="DateTime" ma:hidden="true" ma:internalName="HMT_ArchivedOn" ma:readOnly="true">
      <xsd:simpleType>
        <xsd:restriction base="dms:DateTime"/>
      </xsd:simpleType>
    </xsd:element>
    <xsd:element name="HMT_LegacyItemID" ma:index="41" nillable="true" ma:displayName="Legacy Item ID" ma:hidden="true" ma:internalName="HMT_LegacyItemID" ma:readOnly="true">
      <xsd:simpleType>
        <xsd:restriction base="dms:Text"/>
      </xsd:simpleType>
    </xsd:element>
    <xsd:element name="HMT_LegacyCreatedBy" ma:index="42" nillable="true" ma:displayName="Legacy Created By" ma:hidden="true" ma:internalName="HMT_LegacyCreatedBy" ma:readOnly="true">
      <xsd:simpleType>
        <xsd:restriction base="dms:Text"/>
      </xsd:simpleType>
    </xsd:element>
    <xsd:element name="HMT_LegacyModifiedBy" ma:index="43" nillable="true" ma:displayName="Legacy Modified By" ma:hidden="true" ma:internalName="HMT_LegacyModifiedBy" ma:readOnly="true">
      <xsd:simpleType>
        <xsd:restriction base="dms:Text"/>
      </xsd:simpleType>
    </xsd:element>
    <xsd:element name="HMT_LegacyOrigSource" ma:index="44" nillable="true" ma:displayName="Original Source" ma:hidden="true" ma:internalName="HMT_LegacyOrigSource" ma:readOnly="true">
      <xsd:simpleType>
        <xsd:restriction base="dms:Text"/>
      </xsd:simpleType>
    </xsd:element>
    <xsd:element name="HMT_LegacyExtRef" ma:index="45" nillable="true" ma:displayName="External Reference" ma:hidden="true" ma:internalName="HMT_LegacyExtRef" ma:readOnly="true">
      <xsd:simpleType>
        <xsd:restriction base="dms:Text"/>
      </xsd:simpleType>
    </xsd:element>
    <xsd:element name="HMT_LegacySensitive" ma:index="46" nillable="true" ma:displayName="Sensitive Item" ma:default="0" ma:hidden="true" ma:internalName="HMT_LegacySensitive" ma:readOnly="true">
      <xsd:simpleType>
        <xsd:restriction base="dms:Boolean"/>
      </xsd:simpleType>
    </xsd:element>
    <xsd:element name="HMT_LegacyRecord" ma:index="47" nillable="true" ma:displayName="Legacy Record" ma:default="0" ma:hidden="true" ma:internalName="HMT_LegacyRecord" ma:readOnly="true">
      <xsd:simpleType>
        <xsd:restriction base="dms:Boolean"/>
      </xsd:simpleType>
    </xsd:element>
    <xsd:element name="HMT_Audit" ma:index="48" nillable="true" ma:displayName="Audit Log" ma:description="Audit Log" ma:internalName="HMT_Audit" ma:readOnly="true">
      <xsd:simpleType>
        <xsd:restriction base="dms:Note">
          <xsd:maxLength value="255"/>
        </xsd:restriction>
      </xsd:simpleType>
    </xsd:element>
    <xsd:element name="HMT_ClosedBy" ma:index="49"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50"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51" nillable="true" ma:displayName="Closed Archive" ma:default="0" ma:description="Item sent to closed archive" ma:hidden="true" ma:internalName="HMT_ClosedArchive" ma:readOnly="true">
      <xsd:simpleType>
        <xsd:restriction base="dms:Boolean"/>
      </xsd:simpleType>
    </xsd:element>
    <xsd:element name="HMT_ClosedOnOrig" ma:index="52"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3"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61d5d-3a02-4438-9b5d-324c1aca2514" elementFormDefault="qualified">
    <xsd:import namespace="http://schemas.microsoft.com/office/2006/documentManagement/types"/>
    <xsd:import namespace="http://schemas.microsoft.com/office/infopath/2007/PartnerControls"/>
    <xsd:element name="HMT_DocumentTypeHTField0" ma:index="21"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3" nillable="true" ma:taxonomy="true" ma:internalName="HMT_GroupHTField0" ma:taxonomyFieldName="HMT_Group" ma:displayName="Group" ma:indexed="true" ma:readOnly="true" ma:default="1;#Public Services|200a2968-f57d-4757-93d0-f532b12fee42"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5" nillable="true" ma:taxonomy="true" ma:internalName="HMT_TeamHTField0" ma:taxonomyFieldName="HMT_Team" ma:displayName="Team" ma:indexed="true" ma:readOnly="true" ma:default="621;#Home and Legal|3ad24543-5ffd-44af-bc4c-d6f8f5701730" ma:fieldId="{2eefa5c6-211a-4a5e-9a50-7e1c1c1599ef}" ma:sspId="eacbe5a3-01f8-4aa6-9f93-764bd56914ab" ma:termSetId="bfb00256-4f71-4b34-808b-e2a5e274e13b" ma:anchorId="200a2968-f57d-4757-93d0-f532b12fee42" ma:open="false" ma:isKeyword="false">
      <xsd:complexType>
        <xsd:sequence>
          <xsd:element ref="pc:Terms" minOccurs="0" maxOccurs="1"/>
        </xsd:sequence>
      </xsd:complexType>
    </xsd:element>
    <xsd:element name="HMT_SubTeamHTField0" ma:index="27"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200a2968-f57d-4757-93d0-f532b12fee42" ma:open="false" ma:isKeyword="false">
      <xsd:complexType>
        <xsd:sequence>
          <xsd:element ref="pc:Terms" minOccurs="0" maxOccurs="1"/>
        </xsd:sequence>
      </xsd:complexType>
    </xsd:element>
    <xsd:element name="HMT_CategoryHTField0" ma:index="29"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31" nillable="true" ma:taxonomy="true" ma:internalName="HMT_ThemeHTField0" ma:taxonomyFieldName="HMT_Theme" ma:displayName="Library" ma:indexed="true" ma:readOnly="true" ma:default="4543;#HL Personal Injuries Discount Rate project|8e33fb1e-f4bb-4d61-9c23-d8c62542edc0" ma:fieldId="{b4fdd2ce-4232-4903-96aa-344e31f74d8e}" ma:sspId="eacbe5a3-01f8-4aa6-9f93-764bd56914ab" ma:termSetId="904cad50-9d11-4080-9bc8-e157b86cc23f" ma:anchorId="00000000-0000-0000-0000-000000000000" ma:open="false" ma:isKeyword="false">
      <xsd:complexType>
        <xsd:sequence>
          <xsd:element ref="pc:Terms" minOccurs="0" maxOccurs="1"/>
        </xsd:sequence>
      </xsd:complexType>
    </xsd:element>
    <xsd:element name="HMT_TopicHTField0" ma:index="33" nillable="true" ma:taxonomy="true" ma:internalName="HMT_TopicHTField0" ma:taxonomyFieldName="HMT_Topic" ma:displayName="Topic" ma:indexed="true" ma:readOnly="true" ma:fieldId="{3c76c0d6-9b0a-4430-9f7b-b16407c92353}" ma:sspId="eacbe5a3-01f8-4aa6-9f93-764bd56914ab" ma:termSetId="904cad50-9d11-4080-9bc8-e157b86cc23f" ma:anchorId="8e33fb1e-f4bb-4d61-9c23-d8c62542edc0" ma:open="false" ma:isKeyword="false">
      <xsd:complexType>
        <xsd:sequence>
          <xsd:element ref="pc:Terms" minOccurs="0" maxOccurs="1"/>
        </xsd:sequence>
      </xsd:complexType>
    </xsd:element>
    <xsd:element name="HMT_SubTopicHTField0" ma:index="35" nillable="true" ma:taxonomy="true" ma:internalName="HMT_SubTopicHTField0" ma:taxonomyFieldName="HMT_SubTopic" ma:displayName="Sub Topic" ma:indexed="true" ma:readOnly="true" ma:fieldId="{d3acaa1f-b1fd-45d6-9e64-98ce1656c037}" ma:sspId="eacbe5a3-01f8-4aa6-9f93-764bd56914ab" ma:termSetId="904cad50-9d11-4080-9bc8-e157b86cc23f" ma:anchorId="8e33fb1e-f4bb-4d61-9c23-d8c62542edc0" ma:open="false" ma:isKeyword="false">
      <xsd:complexType>
        <xsd:sequence>
          <xsd:element ref="pc:Terms" minOccurs="0" maxOccurs="1"/>
        </xsd:sequence>
      </xsd:complexType>
    </xsd:element>
    <xsd:element name="HMT_ClassificationHTField0" ma:index="37" nillable="true" ma:taxonomy="true" ma:internalName="HMT_ClassificationHTField0" ma:taxonomyFieldName="HMT_Classification" ma:displayName="Classification" ma:indexed="true" ma:readOnly="true" ma:default="2798;#Sensitive|e4b4762f-94f6-4901-a732-9ab10906c6ba"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464416-bdc5-4356-8206-fe8f0bb16586"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ef50c391-868f-4f24-b993-edbc55b4d5e1}" ma:internalName="TaxCatchAll" ma:showField="CatchAllData" ma:web="4a464416-bdc5-4356-8206-fe8f0bb165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eefa5c6211a4a5e9a507e1c1c1599ef xmlns="98c8d95d-2d9f-4dc8-96cb-b5553d868587" xsi:nil="true"/>
    <b4fdd2ce4232490396aa344e31f74d8e xmlns="98c8d95d-2d9f-4dc8-96cb-b5553d868587" xsi:nil="true"/>
    <m4e205a008724e269aef64ca7bdb5848 xmlns="98c8d95d-2d9f-4dc8-96cb-b5553d868587" xsi:nil="true"/>
    <IconOverlay xmlns="http://schemas.microsoft.com/sharepoint/v4" xsi:nil="true"/>
    <g3bf77b0a02d47ea8bec4fb357d1f3ee xmlns="98c8d95d-2d9f-4dc8-96cb-b5553d868587" xsi:nil="true"/>
    <dlc_EmailReceivedUTC xmlns="http://schemas.microsoft.com/sharepoint/v3" xsi:nil="true"/>
    <b9c42a306c8b47fcbaf8a41a71352f3a xmlns="98c8d95d-2d9f-4dc8-96cb-b5553d868587" xsi:nil="true"/>
    <dlc_EmailSentUTC xmlns="http://schemas.microsoft.com/sharepoint/v3" xsi:nil="true"/>
    <jc76c0d69b0a44309f7bb16407c92353 xmlns="98c8d95d-2d9f-4dc8-96cb-b5553d868587" xsi:nil="true"/>
    <g727aac2e2204289aa2b5b6dcdadae03 xmlns="98c8d95d-2d9f-4dc8-96cb-b5553d868587" xsi:nil="true"/>
    <d3acaa1fb1fd45d69e6498ce1656c037 xmlns="98c8d95d-2d9f-4dc8-96cb-b5553d868587" xsi:nil="true"/>
    <TaxCatchAll xmlns="4a464416-bdc5-4356-8206-fe8f0bb16586">
      <Value>4</Value>
      <Value>2798</Value>
      <Value>621</Value>
      <Value>4699</Value>
      <Value>5</Value>
      <Value>4543</Value>
      <Value>1</Value>
      <Value>4931</Value>
    </TaxCatchAll>
    <HMT_DocumentTypeHTField0 xmlns="add61d5d-3a02-4438-9b5d-324c1aca251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b8bc0391a2e4089a24d47de9e4a6672 xmlns="98c8d95d-2d9f-4dc8-96cb-b5553d868587" xsi:nil="true"/>
    <dlc_EmailSubject xmlns="http://schemas.microsoft.com/sharepoint/v3" xsi:nil="true"/>
    <dlc_EmailTo xmlns="http://schemas.microsoft.com/sharepoint/v3" xsi:nil="true"/>
    <dlc_EmailFrom xmlns="http://schemas.microsoft.com/sharepoint/v3" xsi:nil="true"/>
    <dlc_EmailMailbox xmlns="http://schemas.microsoft.com/sharepoint/v3">
      <UserInfo>
        <DisplayName/>
        <AccountId xsi:nil="true"/>
        <AccountType/>
      </UserInfo>
    </dlc_EmailMailbox>
    <HMT_ClassificationHTField0 xmlns="add61d5d-3a02-4438-9b5d-324c1aca2514">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HMT_ClassificationHTField0>
    <HMT_TeamHTField0 xmlns="add61d5d-3a02-4438-9b5d-324c1aca2514">
      <Terms xmlns="http://schemas.microsoft.com/office/infopath/2007/PartnerControls">
        <TermInfo xmlns="http://schemas.microsoft.com/office/infopath/2007/PartnerControls">
          <TermName xmlns="http://schemas.microsoft.com/office/infopath/2007/PartnerControls">Home and Legal</TermName>
          <TermId xmlns="http://schemas.microsoft.com/office/infopath/2007/PartnerControls">3ad24543-5ffd-44af-bc4c-d6f8f5701730</TermId>
        </TermInfo>
      </Terms>
    </HMT_TeamHTField0>
    <HMT_GroupHTField0 xmlns="add61d5d-3a02-4438-9b5d-324c1aca2514">
      <Terms xmlns="http://schemas.microsoft.com/office/infopath/2007/PartnerControls">
        <TermInfo xmlns="http://schemas.microsoft.com/office/infopath/2007/PartnerControls">
          <TermName xmlns="http://schemas.microsoft.com/office/infopath/2007/PartnerControls">Public Services</TermName>
          <TermId xmlns="http://schemas.microsoft.com/office/infopath/2007/PartnerControls">200a2968-f57d-4757-93d0-f532b12fee42</TermId>
        </TermInfo>
      </Terms>
    </HMT_GroupHTField0>
    <HMT_CategoryHTField0 xmlns="add61d5d-3a02-4438-9b5d-324c1aca2514">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HTField0 xmlns="add61d5d-3a02-4438-9b5d-324c1aca2514">
      <Terms xmlns="http://schemas.microsoft.com/office/infopath/2007/PartnerControls">
        <TermInfo xmlns="http://schemas.microsoft.com/office/infopath/2007/PartnerControls">
          <TermName xmlns="http://schemas.microsoft.com/office/infopath/2007/PartnerControls">HL Personal Injuries Discount Rate project</TermName>
          <TermId xmlns="http://schemas.microsoft.com/office/infopath/2007/PartnerControls">8e33fb1e-f4bb-4d61-9c23-d8c62542edc0</TermId>
        </TermInfo>
      </Terms>
    </HMT_ThemeHTField0>
    <_dlc_DocId xmlns="2e4aaef1-a7e7-4eac-bed7-f31ab1fb0f36">HMTPUBSRV-142-673</_dlc_DocId>
    <_dlc_DocIdUrl xmlns="2e4aaef1-a7e7-4eac-bed7-f31ab1fb0f36">
      <Url>http://sphmt/sites/pubsrvg/IS/_layouts/15/DocIdRedir.aspx?ID=HMTPUBSRV-142-673</Url>
      <Description>HMTPUBSRV-142-673</Description>
    </_dlc_DocIdUrl>
    <HMT_SubTopicHTField0 xmlns="add61d5d-3a02-4438-9b5d-324c1aca2514">
      <Terms xmlns="http://schemas.microsoft.com/office/infopath/2007/PartnerControls">
        <TermInfo xmlns="http://schemas.microsoft.com/office/infopath/2007/PartnerControls">
          <TermName xmlns="http://schemas.microsoft.com/office/infopath/2007/PartnerControls">Announcement docs for legislation</TermName>
          <TermId xmlns="http://schemas.microsoft.com/office/infopath/2007/PartnerControls">9c516e3a-f15d-45e2-98f1-ce792861bcf5</TermId>
        </TermInfo>
      </Terms>
    </HMT_SubTopicHTField0>
    <HMT_SubTeamHTField0 xmlns="add61d5d-3a02-4438-9b5d-324c1aca2514">
      <Terms xmlns="http://schemas.microsoft.com/office/infopath/2007/PartnerControls"/>
    </HMT_SubTeamHTField0>
    <HMT_TopicHTField0 xmlns="add61d5d-3a02-4438-9b5d-324c1aca2514">
      <Terms xmlns="http://schemas.microsoft.com/office/infopath/2007/PartnerControls">
        <TermInfo xmlns="http://schemas.microsoft.com/office/infopath/2007/PartnerControls">
          <TermName xmlns="http://schemas.microsoft.com/office/infopath/2007/PartnerControls">Consultation Document</TermName>
          <TermId xmlns="http://schemas.microsoft.com/office/infopath/2007/PartnerControls">055a408e-0842-48fa-a1e5-503f78b03916</TermId>
        </TermInfo>
      </Terms>
    </HMT_TopicHTField0>
    <dlc_EmailBCC xmlns="http://schemas.microsoft.com/sharepoint/v3" xsi:nil="true"/>
    <dlc_EmailCC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B738-42D0-42C2-A332-7A9FAD8B7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8d95d-2d9f-4dc8-96cb-b5553d868587"/>
    <ds:schemaRef ds:uri="2e4aaef1-a7e7-4eac-bed7-f31ab1fb0f36"/>
    <ds:schemaRef ds:uri="add61d5d-3a02-4438-9b5d-324c1aca2514"/>
    <ds:schemaRef ds:uri="4a464416-bdc5-4356-8206-fe8f0bb1658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BE24-13F2-4E2B-B3C5-3F5FE2854186}">
  <ds:schemaRefs>
    <ds:schemaRef ds:uri="http://schemas.microsoft.com/sharepoint/v3/contenttype/forms"/>
  </ds:schemaRefs>
</ds:datastoreItem>
</file>

<file path=customXml/itemProps3.xml><?xml version="1.0" encoding="utf-8"?>
<ds:datastoreItem xmlns:ds="http://schemas.openxmlformats.org/officeDocument/2006/customXml" ds:itemID="{CA1B3F06-A4DC-49A0-B879-8CA5248846F3}">
  <ds:schemaRefs>
    <ds:schemaRef ds:uri="http://purl.org/dc/elements/1.1/"/>
    <ds:schemaRef ds:uri="http://schemas.microsoft.com/office/2006/metadata/properties"/>
    <ds:schemaRef ds:uri="http://schemas.microsoft.com/sharepoint/v3"/>
    <ds:schemaRef ds:uri="2e4aaef1-a7e7-4eac-bed7-f31ab1fb0f3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4a464416-bdc5-4356-8206-fe8f0bb16586"/>
    <ds:schemaRef ds:uri="add61d5d-3a02-4438-9b5d-324c1aca2514"/>
    <ds:schemaRef ds:uri="98c8d95d-2d9f-4dc8-96cb-b5553d868587"/>
    <ds:schemaRef ds:uri="http://www.w3.org/XML/1998/namespace"/>
    <ds:schemaRef ds:uri="http://purl.org/dc/dcmitype/"/>
  </ds:schemaRefs>
</ds:datastoreItem>
</file>

<file path=customXml/itemProps4.xml><?xml version="1.0" encoding="utf-8"?>
<ds:datastoreItem xmlns:ds="http://schemas.openxmlformats.org/officeDocument/2006/customXml" ds:itemID="{2B265B4E-9A1E-490E-94D7-890596B96B5E}">
  <ds:schemaRefs>
    <ds:schemaRef ds:uri="http://schemas.microsoft.com/sharepoint/events"/>
  </ds:schemaRefs>
</ds:datastoreItem>
</file>

<file path=customXml/itemProps5.xml><?xml version="1.0" encoding="utf-8"?>
<ds:datastoreItem xmlns:ds="http://schemas.openxmlformats.org/officeDocument/2006/customXml" ds:itemID="{6804F67B-0AA9-4711-8680-BE020A6D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11656</Words>
  <Characters>66441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77942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Felicity - HMT</dc:creator>
  <cp:keywords/>
  <dc:description/>
  <cp:lastModifiedBy>Hughes, Paul (Civil Law)</cp:lastModifiedBy>
  <cp:revision>3</cp:revision>
  <cp:lastPrinted>2018-06-25T10:18:00Z</cp:lastPrinted>
  <dcterms:created xsi:type="dcterms:W3CDTF">2018-12-19T11:43:00Z</dcterms:created>
  <dcterms:modified xsi:type="dcterms:W3CDTF">2018-12-19T11:46:00Z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0x010100672A3FCA98991645BE083C320B7539B70073E2331C55A74AA0969608FB8C0629F6002250998C5D789742AB9159BF81C7D6AA</vt:lpwstr>
  </property>
  <property fmtid="{D5CDD505-2E9C-101B-9397-08002B2CF9AE}" pid="3" name="HMT_DocumentType">
    <vt:lpwstr>5;#Other|c235b5c2-f697-427b-a70a-43d69599f998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d6cf2bc5-a3b5-403e-90d9-215dc46d51bd</vt:lpwstr>
  </property>
  <property fmtid="{D5CDD505-2E9C-101B-9397-08002B2CF9AE}" pid="7" name="HMT_Group">
    <vt:lpwstr>1;#Public Services|200a2968-f57d-4757-93d0-f532b12fee42</vt:lpwstr>
  </property>
  <property fmtid="{D5CDD505-2E9C-101B-9397-08002B2CF9AE}" pid="8" name="HMT_Topic">
    <vt:lpwstr>4699;#Consultation Document|055a408e-0842-48fa-a1e5-503f78b03916</vt:lpwstr>
  </property>
  <property fmtid="{D5CDD505-2E9C-101B-9397-08002B2CF9AE}" pid="9" name="HMT_Category">
    <vt:lpwstr>4;#Policy Document Types|bd4325a7-7f6a-48f9-b0dc-cc3aef626e65</vt:lpwstr>
  </property>
  <property fmtid="{D5CDD505-2E9C-101B-9397-08002B2CF9AE}" pid="10" name="HMT_SubTeam">
    <vt:lpwstr/>
  </property>
  <property fmtid="{D5CDD505-2E9C-101B-9397-08002B2CF9AE}" pid="11" name="HMT_Classification">
    <vt:lpwstr>2798;#Sensitive|e4b4762f-94f6-4901-a732-9ab10906c6ba</vt:lpwstr>
  </property>
  <property fmtid="{D5CDD505-2E9C-101B-9397-08002B2CF9AE}" pid="12" name="HMT_Theme">
    <vt:lpwstr>4543;#HL Personal Injuries Discount Rate project|8e33fb1e-f4bb-4d61-9c23-d8c62542edc0</vt:lpwstr>
  </property>
  <property fmtid="{D5CDD505-2E9C-101B-9397-08002B2CF9AE}" pid="13" name="HMT_SubTopic">
    <vt:lpwstr>4931;#Announcement docs for legislation|9c516e3a-f15d-45e2-98f1-ce792861bcf5</vt:lpwstr>
  </property>
  <property fmtid="{D5CDD505-2E9C-101B-9397-08002B2CF9AE}" pid="14" name="HMT_Team">
    <vt:lpwstr>621;#Home and Legal|3ad24543-5ffd-44af-bc4c-d6f8f5701730</vt:lpwstr>
  </property>
</Properties>
</file>