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7562" w14:textId="77777777" w:rsidR="00F02597" w:rsidRPr="005E0DFD" w:rsidRDefault="00F02597" w:rsidP="005E0DFD">
      <w:pPr>
        <w:keepNext/>
        <w:keepLines/>
        <w:pageBreakBefore/>
        <w:numPr>
          <w:ilvl w:val="0"/>
          <w:numId w:val="1"/>
        </w:numPr>
        <w:spacing w:after="0" w:line="240" w:lineRule="auto"/>
        <w:ind w:hanging="1080"/>
        <w:outlineLvl w:val="0"/>
        <w:rPr>
          <w:rFonts w:eastAsia="Times New Roman"/>
          <w:b/>
          <w:color w:val="1F497D" w:themeColor="text2"/>
          <w:sz w:val="50"/>
          <w:szCs w:val="50"/>
        </w:rPr>
      </w:pPr>
      <w:r w:rsidRPr="005E0DFD">
        <w:rPr>
          <w:rFonts w:eastAsia="Times New Roman"/>
          <w:b/>
          <w:color w:val="1F497D" w:themeColor="text2"/>
          <w:sz w:val="50"/>
          <w:szCs w:val="50"/>
        </w:rPr>
        <w:t>Environment</w:t>
      </w:r>
      <w:r w:rsidR="00AC475A">
        <w:rPr>
          <w:rFonts w:eastAsia="Times New Roman"/>
          <w:b/>
          <w:color w:val="1F497D" w:themeColor="text2"/>
          <w:sz w:val="50"/>
          <w:szCs w:val="50"/>
        </w:rPr>
        <w:t>al</w:t>
      </w:r>
      <w:r w:rsidRPr="005E0DFD">
        <w:rPr>
          <w:rFonts w:eastAsia="Times New Roman"/>
          <w:b/>
          <w:color w:val="1F497D" w:themeColor="text2"/>
          <w:sz w:val="50"/>
          <w:szCs w:val="50"/>
        </w:rPr>
        <w:t xml:space="preserve"> Considerations</w:t>
      </w:r>
    </w:p>
    <w:p w14:paraId="79751A06" w14:textId="77777777" w:rsidR="00F02597" w:rsidRDefault="00F02597" w:rsidP="00F02597">
      <w:pPr>
        <w:keepNext/>
        <w:spacing w:before="120" w:after="0" w:line="240" w:lineRule="auto"/>
        <w:outlineLvl w:val="1"/>
        <w:rPr>
          <w:rFonts w:eastAsia="Arial Unicode MS"/>
          <w:b/>
          <w:lang w:eastAsia="en-GB"/>
        </w:rPr>
      </w:pPr>
    </w:p>
    <w:p w14:paraId="1C7447E6" w14:textId="77777777" w:rsidR="00F02597" w:rsidRPr="005E0DFD" w:rsidRDefault="00F02597" w:rsidP="00054B59">
      <w:pPr>
        <w:spacing w:before="120"/>
        <w:rPr>
          <w:color w:val="1F497D" w:themeColor="text2"/>
          <w:sz w:val="32"/>
          <w:szCs w:val="32"/>
        </w:rPr>
      </w:pPr>
      <w:r w:rsidRPr="005E0DFD">
        <w:rPr>
          <w:color w:val="1F497D" w:themeColor="text2"/>
          <w:sz w:val="32"/>
          <w:szCs w:val="32"/>
        </w:rPr>
        <w:t>Introduction</w:t>
      </w:r>
    </w:p>
    <w:p w14:paraId="33F715CD" w14:textId="754131B9" w:rsidR="00001167" w:rsidRPr="004645C7" w:rsidRDefault="005E0DFD" w:rsidP="00474FA5">
      <w:pPr>
        <w:tabs>
          <w:tab w:val="left" w:pos="851"/>
        </w:tabs>
        <w:spacing w:after="240"/>
        <w:ind w:left="709" w:hanging="709"/>
        <w:rPr>
          <w:sz w:val="23"/>
          <w:szCs w:val="23"/>
        </w:rPr>
      </w:pPr>
      <w:r>
        <w:rPr>
          <w:szCs w:val="22"/>
        </w:rPr>
        <w:t>12.1</w:t>
      </w:r>
      <w:r>
        <w:rPr>
          <w:szCs w:val="22"/>
        </w:rPr>
        <w:tab/>
      </w:r>
      <w:r w:rsidR="00F20822" w:rsidRPr="004645C7">
        <w:rPr>
          <w:sz w:val="23"/>
          <w:szCs w:val="23"/>
        </w:rPr>
        <w:t>D</w:t>
      </w:r>
      <w:r w:rsidR="00A25087" w:rsidRPr="004645C7">
        <w:rPr>
          <w:sz w:val="23"/>
          <w:szCs w:val="23"/>
        </w:rPr>
        <w:t xml:space="preserve">ecommissioning </w:t>
      </w:r>
      <w:r w:rsidR="00F00BEB">
        <w:rPr>
          <w:sz w:val="23"/>
          <w:szCs w:val="23"/>
        </w:rPr>
        <w:t>options</w:t>
      </w:r>
      <w:r w:rsidR="00F00BEB" w:rsidRPr="004645C7">
        <w:rPr>
          <w:sz w:val="23"/>
          <w:szCs w:val="23"/>
        </w:rPr>
        <w:t xml:space="preserve"> </w:t>
      </w:r>
      <w:r w:rsidR="00F20822" w:rsidRPr="004645C7">
        <w:rPr>
          <w:sz w:val="23"/>
          <w:szCs w:val="23"/>
        </w:rPr>
        <w:t xml:space="preserve">must </w:t>
      </w:r>
      <w:r w:rsidR="00A25087" w:rsidRPr="004645C7">
        <w:rPr>
          <w:sz w:val="23"/>
          <w:szCs w:val="23"/>
        </w:rPr>
        <w:t xml:space="preserve">have proper regard for the </w:t>
      </w:r>
      <w:r w:rsidR="00DB4901" w:rsidRPr="004645C7">
        <w:rPr>
          <w:sz w:val="23"/>
          <w:szCs w:val="23"/>
        </w:rPr>
        <w:t xml:space="preserve">marine </w:t>
      </w:r>
      <w:r w:rsidR="00A25087" w:rsidRPr="004645C7">
        <w:rPr>
          <w:sz w:val="23"/>
          <w:szCs w:val="23"/>
        </w:rPr>
        <w:t>environment</w:t>
      </w:r>
      <w:r w:rsidR="00C20B21" w:rsidRPr="004645C7">
        <w:rPr>
          <w:sz w:val="23"/>
          <w:szCs w:val="23"/>
        </w:rPr>
        <w:t>,</w:t>
      </w:r>
      <w:r w:rsidR="00F20822" w:rsidRPr="004645C7">
        <w:rPr>
          <w:sz w:val="23"/>
          <w:szCs w:val="23"/>
        </w:rPr>
        <w:t xml:space="preserve"> and</w:t>
      </w:r>
      <w:r w:rsidR="00DB4901" w:rsidRPr="004645C7">
        <w:rPr>
          <w:sz w:val="23"/>
          <w:szCs w:val="23"/>
        </w:rPr>
        <w:t xml:space="preserve"> </w:t>
      </w:r>
      <w:r w:rsidR="00F20822" w:rsidRPr="004645C7">
        <w:rPr>
          <w:sz w:val="23"/>
          <w:szCs w:val="23"/>
        </w:rPr>
        <w:t xml:space="preserve">the </w:t>
      </w:r>
      <w:r w:rsidR="00BD0FDA" w:rsidRPr="004645C7">
        <w:rPr>
          <w:sz w:val="23"/>
          <w:szCs w:val="23"/>
        </w:rPr>
        <w:t>Decommissioning Programme</w:t>
      </w:r>
      <w:r w:rsidR="002D64CE" w:rsidRPr="004645C7">
        <w:rPr>
          <w:sz w:val="23"/>
          <w:szCs w:val="23"/>
        </w:rPr>
        <w:t xml:space="preserve"> (DP)</w:t>
      </w:r>
      <w:r w:rsidR="00BD0FDA" w:rsidRPr="004645C7">
        <w:rPr>
          <w:sz w:val="23"/>
          <w:szCs w:val="23"/>
        </w:rPr>
        <w:t xml:space="preserve"> must include supporting informat</w:t>
      </w:r>
      <w:r w:rsidR="00B31455" w:rsidRPr="004645C7">
        <w:rPr>
          <w:sz w:val="23"/>
          <w:szCs w:val="23"/>
        </w:rPr>
        <w:t xml:space="preserve">ion detailing the </w:t>
      </w:r>
      <w:r w:rsidR="006A07C7">
        <w:rPr>
          <w:sz w:val="23"/>
          <w:szCs w:val="23"/>
        </w:rPr>
        <w:t xml:space="preserve">potential </w:t>
      </w:r>
      <w:r w:rsidR="00B31455" w:rsidRPr="004645C7">
        <w:rPr>
          <w:sz w:val="23"/>
          <w:szCs w:val="23"/>
        </w:rPr>
        <w:t>environmental</w:t>
      </w:r>
      <w:r w:rsidR="00A25087" w:rsidRPr="004645C7">
        <w:rPr>
          <w:sz w:val="23"/>
          <w:szCs w:val="23"/>
        </w:rPr>
        <w:t xml:space="preserve"> impact</w:t>
      </w:r>
      <w:r w:rsidR="006C2408">
        <w:rPr>
          <w:sz w:val="23"/>
          <w:szCs w:val="23"/>
        </w:rPr>
        <w:t>s</w:t>
      </w:r>
      <w:r w:rsidR="00A25087" w:rsidRPr="004645C7">
        <w:rPr>
          <w:sz w:val="23"/>
          <w:szCs w:val="23"/>
        </w:rPr>
        <w:t xml:space="preserve"> of the</w:t>
      </w:r>
      <w:r w:rsidR="00BD0FDA" w:rsidRPr="004645C7">
        <w:rPr>
          <w:sz w:val="23"/>
          <w:szCs w:val="23"/>
        </w:rPr>
        <w:t xml:space="preserve"> proposed</w:t>
      </w:r>
      <w:r w:rsidR="00A25087" w:rsidRPr="004645C7">
        <w:rPr>
          <w:sz w:val="23"/>
          <w:szCs w:val="23"/>
        </w:rPr>
        <w:t xml:space="preserve"> decom</w:t>
      </w:r>
      <w:r w:rsidR="0085154A" w:rsidRPr="004645C7">
        <w:rPr>
          <w:sz w:val="23"/>
          <w:szCs w:val="23"/>
        </w:rPr>
        <w:t>missioning activit</w:t>
      </w:r>
      <w:r w:rsidR="00AC475A" w:rsidRPr="004645C7">
        <w:rPr>
          <w:sz w:val="23"/>
          <w:szCs w:val="23"/>
        </w:rPr>
        <w:t>ies</w:t>
      </w:r>
      <w:r w:rsidR="0085154A" w:rsidRPr="004645C7">
        <w:rPr>
          <w:sz w:val="23"/>
          <w:szCs w:val="23"/>
        </w:rPr>
        <w:t>, based upon:</w:t>
      </w:r>
      <w:r w:rsidR="00001167" w:rsidRPr="004645C7">
        <w:rPr>
          <w:sz w:val="23"/>
          <w:szCs w:val="23"/>
        </w:rPr>
        <w:t xml:space="preserve"> </w:t>
      </w:r>
    </w:p>
    <w:p w14:paraId="290C2BBF" w14:textId="611D8A61" w:rsidR="00001167" w:rsidRPr="004645C7" w:rsidRDefault="00A25087" w:rsidP="00054B59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rPr>
          <w:rFonts w:ascii="Arial" w:hAnsi="Arial" w:cs="Arial"/>
          <w:sz w:val="23"/>
          <w:szCs w:val="23"/>
        </w:rPr>
      </w:pPr>
      <w:r w:rsidRPr="004645C7">
        <w:rPr>
          <w:rFonts w:ascii="Arial" w:hAnsi="Arial" w:cs="Arial"/>
          <w:sz w:val="23"/>
          <w:szCs w:val="23"/>
        </w:rPr>
        <w:t>the presumption that</w:t>
      </w:r>
      <w:r w:rsidR="00C20B21" w:rsidRPr="004645C7">
        <w:rPr>
          <w:rFonts w:ascii="Arial" w:hAnsi="Arial" w:cs="Arial"/>
          <w:sz w:val="23"/>
          <w:szCs w:val="23"/>
        </w:rPr>
        <w:t>, wherever possible,</w:t>
      </w:r>
      <w:r w:rsidRPr="004645C7">
        <w:rPr>
          <w:rFonts w:ascii="Arial" w:hAnsi="Arial" w:cs="Arial"/>
          <w:sz w:val="23"/>
          <w:szCs w:val="23"/>
        </w:rPr>
        <w:t xml:space="preserve"> all offshore </w:t>
      </w:r>
      <w:r w:rsidR="006A07C7">
        <w:rPr>
          <w:rFonts w:ascii="Arial" w:hAnsi="Arial" w:cs="Arial"/>
          <w:sz w:val="23"/>
          <w:szCs w:val="23"/>
        </w:rPr>
        <w:t>infrastructure</w:t>
      </w:r>
      <w:r w:rsidR="006A07C7" w:rsidRPr="004645C7">
        <w:rPr>
          <w:rFonts w:ascii="Arial" w:hAnsi="Arial" w:cs="Arial"/>
          <w:sz w:val="23"/>
          <w:szCs w:val="23"/>
        </w:rPr>
        <w:t xml:space="preserve"> </w:t>
      </w:r>
      <w:r w:rsidRPr="004645C7">
        <w:rPr>
          <w:rFonts w:ascii="Arial" w:hAnsi="Arial" w:cs="Arial"/>
          <w:sz w:val="23"/>
          <w:szCs w:val="23"/>
        </w:rPr>
        <w:t xml:space="preserve">will be reused, recycled or disposed </w:t>
      </w:r>
      <w:r w:rsidR="007405C8" w:rsidRPr="004645C7">
        <w:rPr>
          <w:rFonts w:ascii="Arial" w:hAnsi="Arial" w:cs="Arial"/>
          <w:sz w:val="23"/>
          <w:szCs w:val="23"/>
        </w:rPr>
        <w:t>o</w:t>
      </w:r>
      <w:r w:rsidRPr="004645C7">
        <w:rPr>
          <w:rFonts w:ascii="Arial" w:hAnsi="Arial" w:cs="Arial"/>
          <w:sz w:val="23"/>
          <w:szCs w:val="23"/>
        </w:rPr>
        <w:t>f on land;</w:t>
      </w:r>
    </w:p>
    <w:p w14:paraId="69331FBA" w14:textId="5E2E2C19" w:rsidR="00F95BB2" w:rsidRPr="004645C7" w:rsidRDefault="00F95BB2" w:rsidP="00054B59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rPr>
          <w:rFonts w:ascii="Arial" w:hAnsi="Arial" w:cs="Arial"/>
          <w:sz w:val="23"/>
          <w:szCs w:val="23"/>
        </w:rPr>
      </w:pPr>
      <w:r w:rsidRPr="004645C7">
        <w:rPr>
          <w:rFonts w:ascii="Arial" w:hAnsi="Arial" w:cs="Arial"/>
          <w:sz w:val="23"/>
          <w:szCs w:val="23"/>
        </w:rPr>
        <w:t>t</w:t>
      </w:r>
      <w:r w:rsidR="009F3B0E" w:rsidRPr="004645C7">
        <w:rPr>
          <w:rFonts w:ascii="Arial" w:hAnsi="Arial" w:cs="Arial"/>
          <w:sz w:val="23"/>
          <w:szCs w:val="23"/>
        </w:rPr>
        <w:t>he use</w:t>
      </w:r>
      <w:r w:rsidR="00A25087" w:rsidRPr="004645C7">
        <w:rPr>
          <w:rFonts w:ascii="Arial" w:hAnsi="Arial" w:cs="Arial"/>
          <w:sz w:val="23"/>
          <w:szCs w:val="23"/>
        </w:rPr>
        <w:t xml:space="preserve"> of </w:t>
      </w:r>
      <w:r w:rsidR="0085154A" w:rsidRPr="004645C7">
        <w:rPr>
          <w:rFonts w:ascii="Arial" w:hAnsi="Arial" w:cs="Arial"/>
          <w:sz w:val="23"/>
          <w:szCs w:val="23"/>
        </w:rPr>
        <w:t xml:space="preserve">a </w:t>
      </w:r>
      <w:r w:rsidR="00A25087" w:rsidRPr="004645C7">
        <w:rPr>
          <w:rFonts w:ascii="Arial" w:hAnsi="Arial" w:cs="Arial"/>
          <w:sz w:val="23"/>
          <w:szCs w:val="23"/>
        </w:rPr>
        <w:t xml:space="preserve">Comparative Assessment </w:t>
      </w:r>
      <w:r w:rsidR="004D25B2" w:rsidRPr="004645C7">
        <w:rPr>
          <w:rFonts w:ascii="Arial" w:hAnsi="Arial" w:cs="Arial"/>
          <w:sz w:val="23"/>
          <w:szCs w:val="23"/>
        </w:rPr>
        <w:t xml:space="preserve">(CA) </w:t>
      </w:r>
      <w:r w:rsidRPr="004645C7">
        <w:rPr>
          <w:rFonts w:ascii="Arial" w:hAnsi="Arial" w:cs="Arial"/>
          <w:sz w:val="23"/>
          <w:szCs w:val="23"/>
        </w:rPr>
        <w:t xml:space="preserve">process, </w:t>
      </w:r>
      <w:r w:rsidR="00A25087" w:rsidRPr="004645C7">
        <w:rPr>
          <w:rFonts w:ascii="Arial" w:hAnsi="Arial" w:cs="Arial"/>
          <w:sz w:val="23"/>
          <w:szCs w:val="23"/>
        </w:rPr>
        <w:t>and in mo</w:t>
      </w:r>
      <w:r w:rsidR="0085154A" w:rsidRPr="004645C7">
        <w:rPr>
          <w:rFonts w:ascii="Arial" w:hAnsi="Arial" w:cs="Arial"/>
          <w:sz w:val="23"/>
          <w:szCs w:val="23"/>
        </w:rPr>
        <w:t>re complex cases the operator</w:t>
      </w:r>
      <w:r w:rsidR="006B21C7" w:rsidRPr="004645C7">
        <w:rPr>
          <w:rFonts w:ascii="Arial" w:hAnsi="Arial" w:cs="Arial"/>
          <w:sz w:val="23"/>
          <w:szCs w:val="23"/>
        </w:rPr>
        <w:t>’</w:t>
      </w:r>
      <w:r w:rsidR="0085154A" w:rsidRPr="004645C7">
        <w:rPr>
          <w:rFonts w:ascii="Arial" w:hAnsi="Arial" w:cs="Arial"/>
          <w:sz w:val="23"/>
          <w:szCs w:val="23"/>
        </w:rPr>
        <w:t xml:space="preserve">s risk </w:t>
      </w:r>
      <w:r w:rsidRPr="004645C7">
        <w:rPr>
          <w:rFonts w:ascii="Arial" w:hAnsi="Arial" w:cs="Arial"/>
          <w:sz w:val="23"/>
          <w:szCs w:val="23"/>
        </w:rPr>
        <w:t>and</w:t>
      </w:r>
      <w:r w:rsidR="0085154A" w:rsidRPr="004645C7">
        <w:rPr>
          <w:rFonts w:ascii="Arial" w:hAnsi="Arial" w:cs="Arial"/>
          <w:sz w:val="23"/>
          <w:szCs w:val="23"/>
        </w:rPr>
        <w:t xml:space="preserve"> c</w:t>
      </w:r>
      <w:r w:rsidR="00A25087" w:rsidRPr="004645C7">
        <w:rPr>
          <w:rFonts w:ascii="Arial" w:hAnsi="Arial" w:cs="Arial"/>
          <w:sz w:val="23"/>
          <w:szCs w:val="23"/>
        </w:rPr>
        <w:t>onsequence evaluation</w:t>
      </w:r>
      <w:r w:rsidRPr="004645C7">
        <w:rPr>
          <w:rFonts w:ascii="Arial" w:hAnsi="Arial" w:cs="Arial"/>
          <w:sz w:val="23"/>
          <w:szCs w:val="23"/>
        </w:rPr>
        <w:t>,</w:t>
      </w:r>
      <w:r w:rsidR="00A25087" w:rsidRPr="004645C7">
        <w:rPr>
          <w:rFonts w:ascii="Arial" w:hAnsi="Arial" w:cs="Arial"/>
          <w:sz w:val="23"/>
          <w:szCs w:val="23"/>
        </w:rPr>
        <w:t xml:space="preserve"> to identify the most appropriate decommissioning </w:t>
      </w:r>
      <w:r w:rsidR="00967F32">
        <w:rPr>
          <w:rFonts w:ascii="Arial" w:hAnsi="Arial" w:cs="Arial"/>
          <w:sz w:val="23"/>
          <w:szCs w:val="23"/>
        </w:rPr>
        <w:t>option</w:t>
      </w:r>
      <w:r w:rsidR="00967F32" w:rsidRPr="004645C7">
        <w:rPr>
          <w:rFonts w:ascii="Arial" w:hAnsi="Arial" w:cs="Arial"/>
          <w:sz w:val="23"/>
          <w:szCs w:val="23"/>
        </w:rPr>
        <w:t xml:space="preserve"> </w:t>
      </w:r>
      <w:r w:rsidR="00A25087" w:rsidRPr="004645C7">
        <w:rPr>
          <w:rFonts w:ascii="Arial" w:hAnsi="Arial" w:cs="Arial"/>
          <w:sz w:val="23"/>
          <w:szCs w:val="23"/>
        </w:rPr>
        <w:t>for any infrastructure</w:t>
      </w:r>
      <w:r w:rsidRPr="004645C7">
        <w:rPr>
          <w:rFonts w:ascii="Arial" w:hAnsi="Arial" w:cs="Arial"/>
          <w:sz w:val="23"/>
          <w:szCs w:val="23"/>
        </w:rPr>
        <w:t xml:space="preserve"> that cannot be reused, recycled or disposed of on land;</w:t>
      </w:r>
    </w:p>
    <w:p w14:paraId="7E04B5B9" w14:textId="706DCF88" w:rsidR="006A07C7" w:rsidRDefault="006A07C7" w:rsidP="006A07C7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assessment </w:t>
      </w:r>
      <w:r w:rsidR="00F95BB2" w:rsidRPr="004645C7">
        <w:rPr>
          <w:rFonts w:ascii="Arial" w:hAnsi="Arial" w:cs="Arial"/>
          <w:sz w:val="23"/>
          <w:szCs w:val="23"/>
        </w:rPr>
        <w:t xml:space="preserve">of the </w:t>
      </w:r>
      <w:r>
        <w:rPr>
          <w:rFonts w:ascii="Arial" w:hAnsi="Arial" w:cs="Arial"/>
          <w:sz w:val="23"/>
          <w:szCs w:val="23"/>
        </w:rPr>
        <w:t>selected</w:t>
      </w:r>
      <w:r w:rsidR="00C8750B" w:rsidRPr="004645C7">
        <w:rPr>
          <w:rFonts w:ascii="Arial" w:hAnsi="Arial" w:cs="Arial"/>
          <w:sz w:val="23"/>
          <w:szCs w:val="23"/>
        </w:rPr>
        <w:t xml:space="preserve"> </w:t>
      </w:r>
      <w:r w:rsidR="00F95BB2" w:rsidRPr="004645C7">
        <w:rPr>
          <w:rFonts w:ascii="Arial" w:hAnsi="Arial" w:cs="Arial"/>
          <w:sz w:val="23"/>
          <w:szCs w:val="23"/>
        </w:rPr>
        <w:t xml:space="preserve">decommissioning </w:t>
      </w:r>
      <w:r w:rsidR="00C8750B">
        <w:rPr>
          <w:rFonts w:ascii="Arial" w:hAnsi="Arial" w:cs="Arial"/>
          <w:sz w:val="23"/>
          <w:szCs w:val="23"/>
        </w:rPr>
        <w:t xml:space="preserve">option </w:t>
      </w:r>
      <w:r w:rsidR="00F95BB2" w:rsidRPr="004645C7">
        <w:rPr>
          <w:rFonts w:ascii="Arial" w:hAnsi="Arial" w:cs="Arial"/>
          <w:sz w:val="23"/>
          <w:szCs w:val="23"/>
        </w:rPr>
        <w:t>in accordance with current domestic and international requirements</w:t>
      </w:r>
      <w:r>
        <w:rPr>
          <w:rFonts w:ascii="Arial" w:hAnsi="Arial" w:cs="Arial"/>
          <w:sz w:val="23"/>
          <w:szCs w:val="23"/>
        </w:rPr>
        <w:t>; and</w:t>
      </w:r>
    </w:p>
    <w:p w14:paraId="7756AAA0" w14:textId="7ABB0C40" w:rsidR="006A07C7" w:rsidRPr="004645C7" w:rsidRDefault="006A07C7" w:rsidP="006A07C7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rPr>
          <w:rFonts w:ascii="Arial" w:hAnsi="Arial" w:cs="Arial"/>
          <w:sz w:val="23"/>
          <w:szCs w:val="23"/>
        </w:rPr>
      </w:pPr>
      <w:r w:rsidRPr="004645C7">
        <w:rPr>
          <w:rFonts w:ascii="Arial" w:hAnsi="Arial" w:cs="Arial"/>
          <w:sz w:val="23"/>
          <w:szCs w:val="23"/>
        </w:rPr>
        <w:t>assessment in accordance with the provisions of OSPAR Decision 98/3 for any offshore installation that cannot be totally reused, recycled or disposed of on land</w:t>
      </w:r>
      <w:r w:rsidR="00591C04">
        <w:rPr>
          <w:rFonts w:ascii="Arial" w:hAnsi="Arial" w:cs="Arial"/>
          <w:sz w:val="23"/>
          <w:szCs w:val="23"/>
        </w:rPr>
        <w:t>.</w:t>
      </w:r>
    </w:p>
    <w:p w14:paraId="007A6ABF" w14:textId="390A2948" w:rsidR="00F2021F" w:rsidRPr="004645C7" w:rsidRDefault="005E0DFD" w:rsidP="00054B59">
      <w:pPr>
        <w:suppressAutoHyphens/>
        <w:spacing w:before="120" w:after="120"/>
        <w:ind w:left="709" w:hanging="709"/>
        <w:rPr>
          <w:rFonts w:eastAsia="Times New Roman"/>
          <w:sz w:val="23"/>
          <w:szCs w:val="23"/>
          <w:lang w:eastAsia="da-DK"/>
        </w:rPr>
      </w:pPr>
      <w:r w:rsidRPr="004645C7">
        <w:rPr>
          <w:rFonts w:eastAsia="Times New Roman"/>
          <w:sz w:val="23"/>
          <w:szCs w:val="23"/>
          <w:lang w:eastAsia="da-DK"/>
        </w:rPr>
        <w:t>12.</w:t>
      </w:r>
      <w:r w:rsidR="00F67E59">
        <w:rPr>
          <w:rFonts w:eastAsia="Times New Roman"/>
          <w:sz w:val="23"/>
          <w:szCs w:val="23"/>
          <w:lang w:eastAsia="da-DK"/>
        </w:rPr>
        <w:t>2</w:t>
      </w:r>
      <w:r w:rsidRPr="004645C7">
        <w:rPr>
          <w:rFonts w:eastAsia="Times New Roman"/>
          <w:sz w:val="23"/>
          <w:szCs w:val="23"/>
          <w:lang w:eastAsia="da-DK"/>
        </w:rPr>
        <w:tab/>
      </w:r>
      <w:r w:rsidR="006A07C7">
        <w:rPr>
          <w:rFonts w:eastAsia="Times New Roman"/>
          <w:sz w:val="23"/>
          <w:szCs w:val="23"/>
          <w:lang w:eastAsia="da-DK"/>
        </w:rPr>
        <w:t>The</w:t>
      </w:r>
      <w:r w:rsidR="006A07C7" w:rsidRPr="004645C7">
        <w:rPr>
          <w:rFonts w:eastAsia="Times New Roman"/>
          <w:sz w:val="23"/>
          <w:szCs w:val="23"/>
          <w:lang w:eastAsia="da-DK"/>
        </w:rPr>
        <w:t xml:space="preserve"> </w:t>
      </w:r>
      <w:r w:rsidR="00BD0FDA" w:rsidRPr="004645C7">
        <w:rPr>
          <w:rFonts w:eastAsia="Times New Roman"/>
          <w:sz w:val="23"/>
          <w:szCs w:val="23"/>
          <w:lang w:eastAsia="da-DK"/>
        </w:rPr>
        <w:t>environmental impact assessment must be documented in a</w:t>
      </w:r>
      <w:r w:rsidR="00B612BD" w:rsidRPr="004645C7">
        <w:rPr>
          <w:rFonts w:eastAsia="Times New Roman"/>
          <w:sz w:val="23"/>
          <w:szCs w:val="23"/>
          <w:lang w:eastAsia="da-DK"/>
        </w:rPr>
        <w:t xml:space="preserve">n </w:t>
      </w:r>
      <w:r w:rsidR="005758DE" w:rsidRPr="004645C7">
        <w:rPr>
          <w:rFonts w:eastAsia="Times New Roman"/>
          <w:sz w:val="23"/>
          <w:szCs w:val="23"/>
          <w:lang w:eastAsia="da-DK"/>
        </w:rPr>
        <w:t xml:space="preserve">Environmental Appraisal </w:t>
      </w:r>
      <w:r w:rsidR="00BD0FDA" w:rsidRPr="004645C7">
        <w:rPr>
          <w:rFonts w:eastAsia="Times New Roman"/>
          <w:sz w:val="23"/>
          <w:szCs w:val="23"/>
          <w:lang w:eastAsia="da-DK"/>
        </w:rPr>
        <w:t xml:space="preserve">(EA) </w:t>
      </w:r>
      <w:r w:rsidR="006A07C7">
        <w:rPr>
          <w:rFonts w:eastAsia="Times New Roman"/>
          <w:sz w:val="23"/>
          <w:szCs w:val="23"/>
          <w:lang w:eastAsia="da-DK"/>
        </w:rPr>
        <w:t xml:space="preserve">report </w:t>
      </w:r>
      <w:r w:rsidR="005758DE" w:rsidRPr="004645C7">
        <w:rPr>
          <w:rFonts w:eastAsia="Times New Roman"/>
          <w:sz w:val="23"/>
          <w:szCs w:val="23"/>
          <w:lang w:eastAsia="da-DK"/>
        </w:rPr>
        <w:t>provid</w:t>
      </w:r>
      <w:r w:rsidR="00F20822" w:rsidRPr="004645C7">
        <w:rPr>
          <w:rFonts w:eastAsia="Times New Roman"/>
          <w:sz w:val="23"/>
          <w:szCs w:val="23"/>
          <w:lang w:eastAsia="da-DK"/>
        </w:rPr>
        <w:t>ing</w:t>
      </w:r>
      <w:r w:rsidR="005758DE" w:rsidRPr="004645C7">
        <w:rPr>
          <w:rFonts w:eastAsia="Times New Roman"/>
          <w:sz w:val="23"/>
          <w:szCs w:val="23"/>
          <w:lang w:eastAsia="da-DK"/>
        </w:rPr>
        <w:t xml:space="preserve"> a</w:t>
      </w:r>
      <w:r w:rsidR="00550E46">
        <w:rPr>
          <w:rFonts w:eastAsia="Times New Roman"/>
          <w:sz w:val="23"/>
          <w:szCs w:val="23"/>
          <w:lang w:eastAsia="da-DK"/>
        </w:rPr>
        <w:t>n</w:t>
      </w:r>
      <w:r w:rsidR="005758DE" w:rsidRPr="004645C7">
        <w:rPr>
          <w:rFonts w:eastAsia="Times New Roman"/>
          <w:sz w:val="23"/>
          <w:szCs w:val="23"/>
          <w:lang w:eastAsia="da-DK"/>
        </w:rPr>
        <w:t xml:space="preserve"> assessment of the </w:t>
      </w:r>
      <w:r w:rsidR="00AC475A" w:rsidRPr="004645C7">
        <w:rPr>
          <w:rFonts w:eastAsia="Times New Roman"/>
          <w:sz w:val="23"/>
          <w:szCs w:val="23"/>
          <w:lang w:eastAsia="da-DK"/>
        </w:rPr>
        <w:t xml:space="preserve">potential </w:t>
      </w:r>
      <w:r w:rsidR="00E578DB" w:rsidRPr="004645C7">
        <w:rPr>
          <w:rFonts w:eastAsia="Times New Roman"/>
          <w:sz w:val="23"/>
          <w:szCs w:val="23"/>
          <w:lang w:eastAsia="da-DK"/>
        </w:rPr>
        <w:t xml:space="preserve">environmental impacts of </w:t>
      </w:r>
      <w:r w:rsidR="00F20822" w:rsidRPr="004645C7">
        <w:rPr>
          <w:rFonts w:eastAsia="Times New Roman"/>
          <w:sz w:val="23"/>
          <w:szCs w:val="23"/>
          <w:lang w:eastAsia="da-DK"/>
        </w:rPr>
        <w:t>the</w:t>
      </w:r>
      <w:r w:rsidR="004D25B2" w:rsidRPr="004645C7">
        <w:rPr>
          <w:rFonts w:eastAsia="Times New Roman"/>
          <w:sz w:val="23"/>
          <w:szCs w:val="23"/>
          <w:lang w:eastAsia="da-DK"/>
        </w:rPr>
        <w:t xml:space="preserve"> </w:t>
      </w:r>
      <w:r w:rsidR="006A07C7">
        <w:rPr>
          <w:rFonts w:eastAsia="Times New Roman"/>
          <w:sz w:val="23"/>
          <w:szCs w:val="23"/>
          <w:lang w:eastAsia="da-DK"/>
        </w:rPr>
        <w:t>selected</w:t>
      </w:r>
      <w:r w:rsidR="00967F32" w:rsidRPr="004645C7">
        <w:rPr>
          <w:rFonts w:eastAsia="Times New Roman"/>
          <w:sz w:val="23"/>
          <w:szCs w:val="23"/>
          <w:lang w:eastAsia="da-DK"/>
        </w:rPr>
        <w:t xml:space="preserve"> </w:t>
      </w:r>
      <w:r w:rsidR="005758DE" w:rsidRPr="004645C7">
        <w:rPr>
          <w:rFonts w:eastAsia="Times New Roman"/>
          <w:sz w:val="23"/>
          <w:szCs w:val="23"/>
          <w:lang w:eastAsia="da-DK"/>
        </w:rPr>
        <w:t>decommissioning</w:t>
      </w:r>
      <w:r w:rsidR="00BD0FDA" w:rsidRPr="004645C7">
        <w:rPr>
          <w:rFonts w:eastAsia="Times New Roman"/>
          <w:sz w:val="23"/>
          <w:szCs w:val="23"/>
          <w:lang w:eastAsia="da-DK"/>
        </w:rPr>
        <w:t xml:space="preserve"> </w:t>
      </w:r>
      <w:r w:rsidR="00967F32">
        <w:rPr>
          <w:rFonts w:eastAsia="Times New Roman"/>
          <w:sz w:val="23"/>
          <w:szCs w:val="23"/>
          <w:lang w:eastAsia="da-DK"/>
        </w:rPr>
        <w:t>option</w:t>
      </w:r>
      <w:r w:rsidR="00967F32" w:rsidRPr="004645C7">
        <w:rPr>
          <w:rFonts w:eastAsia="Times New Roman"/>
          <w:sz w:val="23"/>
          <w:szCs w:val="23"/>
          <w:lang w:eastAsia="da-DK"/>
        </w:rPr>
        <w:t xml:space="preserve"> </w:t>
      </w:r>
      <w:r w:rsidR="00BD0FDA" w:rsidRPr="004645C7">
        <w:rPr>
          <w:rFonts w:eastAsia="Times New Roman"/>
          <w:sz w:val="23"/>
          <w:szCs w:val="23"/>
          <w:lang w:eastAsia="da-DK"/>
        </w:rPr>
        <w:t>and</w:t>
      </w:r>
      <w:r w:rsidR="005758DE" w:rsidRPr="004645C7">
        <w:rPr>
          <w:rFonts w:eastAsia="Times New Roman"/>
          <w:sz w:val="23"/>
          <w:szCs w:val="23"/>
          <w:lang w:eastAsia="da-DK"/>
        </w:rPr>
        <w:t xml:space="preserve"> </w:t>
      </w:r>
      <w:r w:rsidR="00D45DD1">
        <w:rPr>
          <w:rFonts w:eastAsia="Times New Roman"/>
          <w:sz w:val="23"/>
          <w:szCs w:val="23"/>
          <w:lang w:eastAsia="da-DK"/>
        </w:rPr>
        <w:t xml:space="preserve">identifying any significant environmental impacts and </w:t>
      </w:r>
      <w:r w:rsidR="005758DE" w:rsidRPr="004645C7">
        <w:rPr>
          <w:rFonts w:eastAsia="Times New Roman"/>
          <w:sz w:val="23"/>
          <w:szCs w:val="23"/>
          <w:lang w:eastAsia="da-DK"/>
        </w:rPr>
        <w:t xml:space="preserve">any </w:t>
      </w:r>
      <w:r w:rsidR="004D5715">
        <w:rPr>
          <w:rFonts w:eastAsia="Times New Roman"/>
          <w:sz w:val="23"/>
          <w:szCs w:val="23"/>
          <w:lang w:eastAsia="da-DK"/>
        </w:rPr>
        <w:t xml:space="preserve">mitigation or </w:t>
      </w:r>
      <w:r w:rsidR="00BD0FDA" w:rsidRPr="004645C7">
        <w:rPr>
          <w:rFonts w:eastAsia="Times New Roman"/>
          <w:sz w:val="23"/>
          <w:szCs w:val="23"/>
          <w:lang w:eastAsia="da-DK"/>
        </w:rPr>
        <w:t xml:space="preserve">remedial works </w:t>
      </w:r>
      <w:r w:rsidR="005758DE" w:rsidRPr="004645C7">
        <w:rPr>
          <w:rFonts w:eastAsia="Times New Roman"/>
          <w:sz w:val="23"/>
          <w:szCs w:val="23"/>
          <w:lang w:eastAsia="da-DK"/>
        </w:rPr>
        <w:t>which may be required</w:t>
      </w:r>
      <w:r w:rsidR="00BD0FDA" w:rsidRPr="004645C7">
        <w:rPr>
          <w:rFonts w:eastAsia="Times New Roman"/>
          <w:sz w:val="23"/>
          <w:szCs w:val="23"/>
          <w:lang w:eastAsia="da-DK"/>
        </w:rPr>
        <w:t xml:space="preserve">.  </w:t>
      </w:r>
    </w:p>
    <w:p w14:paraId="735DD084" w14:textId="02C13EF3" w:rsidR="00F2021F" w:rsidRPr="004645C7" w:rsidRDefault="009D4C9E" w:rsidP="00054B59">
      <w:pPr>
        <w:suppressAutoHyphens/>
        <w:spacing w:before="120" w:after="120"/>
        <w:ind w:left="709" w:hanging="709"/>
        <w:rPr>
          <w:sz w:val="23"/>
          <w:szCs w:val="23"/>
        </w:rPr>
      </w:pPr>
      <w:r w:rsidRPr="004645C7">
        <w:rPr>
          <w:sz w:val="23"/>
          <w:szCs w:val="23"/>
        </w:rPr>
        <w:t>12.</w:t>
      </w:r>
      <w:r w:rsidR="00F67E59">
        <w:rPr>
          <w:sz w:val="23"/>
          <w:szCs w:val="23"/>
        </w:rPr>
        <w:t>3</w:t>
      </w:r>
      <w:r w:rsidRPr="004645C7">
        <w:rPr>
          <w:sz w:val="23"/>
          <w:szCs w:val="23"/>
        </w:rPr>
        <w:tab/>
      </w:r>
      <w:r w:rsidR="00F2021F" w:rsidRPr="004645C7">
        <w:rPr>
          <w:sz w:val="23"/>
          <w:szCs w:val="23"/>
        </w:rPr>
        <w:t xml:space="preserve">The </w:t>
      </w:r>
      <w:r w:rsidR="0013283B" w:rsidRPr="004645C7">
        <w:rPr>
          <w:sz w:val="23"/>
          <w:szCs w:val="23"/>
        </w:rPr>
        <w:t>EA</w:t>
      </w:r>
      <w:r w:rsidR="00F2021F" w:rsidRPr="004645C7">
        <w:rPr>
          <w:sz w:val="23"/>
          <w:szCs w:val="23"/>
        </w:rPr>
        <w:t xml:space="preserve"> </w:t>
      </w:r>
      <w:r w:rsidR="004D25B2" w:rsidRPr="004645C7">
        <w:rPr>
          <w:sz w:val="23"/>
          <w:szCs w:val="23"/>
        </w:rPr>
        <w:t xml:space="preserve">must </w:t>
      </w:r>
      <w:r w:rsidR="00F2021F" w:rsidRPr="004645C7">
        <w:rPr>
          <w:sz w:val="23"/>
          <w:szCs w:val="23"/>
        </w:rPr>
        <w:t xml:space="preserve">be submitted </w:t>
      </w:r>
      <w:r w:rsidR="004D25B2" w:rsidRPr="004645C7">
        <w:rPr>
          <w:sz w:val="23"/>
          <w:szCs w:val="23"/>
        </w:rPr>
        <w:t xml:space="preserve">to </w:t>
      </w:r>
      <w:r w:rsidR="008737A6">
        <w:rPr>
          <w:sz w:val="23"/>
          <w:szCs w:val="23"/>
        </w:rPr>
        <w:t>OPRED’s</w:t>
      </w:r>
      <w:r w:rsidR="004D5715">
        <w:rPr>
          <w:sz w:val="23"/>
          <w:szCs w:val="23"/>
        </w:rPr>
        <w:t xml:space="preserve"> Offshore Decommissioning Unit (</w:t>
      </w:r>
      <w:r w:rsidR="008828CD">
        <w:rPr>
          <w:sz w:val="23"/>
          <w:szCs w:val="23"/>
        </w:rPr>
        <w:t>OPRED-</w:t>
      </w:r>
      <w:r w:rsidR="004D5715">
        <w:rPr>
          <w:sz w:val="23"/>
          <w:szCs w:val="23"/>
        </w:rPr>
        <w:t xml:space="preserve">ODU) to </w:t>
      </w:r>
      <w:r w:rsidR="004D25B2" w:rsidRPr="004645C7">
        <w:rPr>
          <w:sz w:val="23"/>
          <w:szCs w:val="23"/>
        </w:rPr>
        <w:t>support</w:t>
      </w:r>
      <w:r w:rsidR="00F2021F" w:rsidRPr="004645C7">
        <w:rPr>
          <w:sz w:val="23"/>
          <w:szCs w:val="23"/>
        </w:rPr>
        <w:t xml:space="preserve"> the </w:t>
      </w:r>
      <w:r w:rsidR="002D64CE" w:rsidRPr="004645C7">
        <w:rPr>
          <w:sz w:val="23"/>
          <w:szCs w:val="23"/>
        </w:rPr>
        <w:t>DP</w:t>
      </w:r>
      <w:r w:rsidR="008828CD">
        <w:rPr>
          <w:sz w:val="23"/>
          <w:szCs w:val="23"/>
        </w:rPr>
        <w:t>:</w:t>
      </w:r>
      <w:r w:rsidR="00F2021F" w:rsidRPr="004645C7">
        <w:rPr>
          <w:sz w:val="23"/>
          <w:szCs w:val="23"/>
        </w:rPr>
        <w:t xml:space="preserve">  </w:t>
      </w:r>
    </w:p>
    <w:p w14:paraId="71153B75" w14:textId="77777777" w:rsidR="00F2021F" w:rsidRPr="004645C7" w:rsidRDefault="00F2021F" w:rsidP="003D2858">
      <w:pPr>
        <w:pStyle w:val="ListParagraph"/>
        <w:numPr>
          <w:ilvl w:val="0"/>
          <w:numId w:val="16"/>
        </w:numPr>
        <w:suppressAutoHyphens/>
        <w:spacing w:before="120" w:after="120" w:line="276" w:lineRule="auto"/>
        <w:ind w:left="1434" w:hanging="357"/>
        <w:rPr>
          <w:rFonts w:ascii="Arial" w:hAnsi="Arial" w:cs="Arial"/>
          <w:bCs/>
          <w:sz w:val="23"/>
          <w:szCs w:val="23"/>
          <w:lang w:eastAsia="da-DK"/>
        </w:rPr>
      </w:pPr>
      <w:r w:rsidRPr="004645C7">
        <w:rPr>
          <w:rFonts w:ascii="Arial" w:hAnsi="Arial" w:cs="Arial"/>
          <w:sz w:val="23"/>
          <w:szCs w:val="23"/>
        </w:rPr>
        <w:t>in draft form</w:t>
      </w:r>
      <w:r w:rsidR="004903FC" w:rsidRPr="004645C7">
        <w:rPr>
          <w:rFonts w:ascii="Arial" w:hAnsi="Arial" w:cs="Arial"/>
          <w:sz w:val="23"/>
          <w:szCs w:val="23"/>
        </w:rPr>
        <w:t xml:space="preserve"> for consideration</w:t>
      </w:r>
      <w:r w:rsidRPr="004645C7">
        <w:rPr>
          <w:rFonts w:ascii="Arial" w:hAnsi="Arial" w:cs="Arial"/>
          <w:sz w:val="23"/>
          <w:szCs w:val="23"/>
        </w:rPr>
        <w:t xml:space="preserve"> at the Public Consultation stage; </w:t>
      </w:r>
      <w:r w:rsidR="004903FC" w:rsidRPr="004645C7">
        <w:rPr>
          <w:rFonts w:ascii="Arial" w:hAnsi="Arial" w:cs="Arial"/>
          <w:sz w:val="23"/>
          <w:szCs w:val="23"/>
        </w:rPr>
        <w:t>and</w:t>
      </w:r>
    </w:p>
    <w:p w14:paraId="5696E546" w14:textId="77777777" w:rsidR="00F2021F" w:rsidRDefault="00F2021F" w:rsidP="003D2858">
      <w:pPr>
        <w:pStyle w:val="ListParagraph"/>
        <w:numPr>
          <w:ilvl w:val="0"/>
          <w:numId w:val="16"/>
        </w:numPr>
        <w:suppressAutoHyphens/>
        <w:spacing w:before="120" w:line="276" w:lineRule="auto"/>
        <w:ind w:left="1434" w:hanging="357"/>
        <w:rPr>
          <w:rFonts w:ascii="Arial" w:hAnsi="Arial" w:cs="Arial"/>
          <w:bCs/>
          <w:sz w:val="24"/>
          <w:szCs w:val="24"/>
          <w:lang w:eastAsia="da-DK"/>
        </w:rPr>
      </w:pPr>
      <w:r w:rsidRPr="004645C7">
        <w:rPr>
          <w:rFonts w:ascii="Arial" w:hAnsi="Arial" w:cs="Arial"/>
          <w:sz w:val="23"/>
          <w:szCs w:val="23"/>
        </w:rPr>
        <w:t xml:space="preserve">in final form, when the </w:t>
      </w:r>
      <w:r w:rsidR="002D64CE" w:rsidRPr="004645C7">
        <w:rPr>
          <w:rFonts w:ascii="Arial" w:hAnsi="Arial" w:cs="Arial"/>
          <w:sz w:val="23"/>
          <w:szCs w:val="23"/>
        </w:rPr>
        <w:t>DP</w:t>
      </w:r>
      <w:r w:rsidRPr="004645C7">
        <w:rPr>
          <w:rFonts w:ascii="Arial" w:hAnsi="Arial" w:cs="Arial"/>
          <w:sz w:val="23"/>
          <w:szCs w:val="23"/>
        </w:rPr>
        <w:t xml:space="preserve"> is submitted for approval</w:t>
      </w:r>
      <w:r w:rsidRPr="004645C7">
        <w:rPr>
          <w:rFonts w:ascii="Arial" w:hAnsi="Arial" w:cs="Arial"/>
          <w:sz w:val="23"/>
          <w:szCs w:val="23"/>
        </w:rPr>
        <w:br/>
      </w:r>
    </w:p>
    <w:p w14:paraId="75E68C50" w14:textId="77777777" w:rsidR="00384CC0" w:rsidRPr="009D4C9E" w:rsidRDefault="0043645B" w:rsidP="00054B59">
      <w:pPr>
        <w:suppressAutoHyphens/>
        <w:spacing w:before="120"/>
        <w:rPr>
          <w:bCs/>
          <w:color w:val="1F497D" w:themeColor="text2"/>
          <w:sz w:val="32"/>
          <w:szCs w:val="32"/>
          <w:lang w:eastAsia="da-DK"/>
        </w:rPr>
      </w:pPr>
      <w:r>
        <w:rPr>
          <w:bCs/>
          <w:color w:val="1F497D" w:themeColor="text2"/>
          <w:sz w:val="32"/>
          <w:szCs w:val="32"/>
          <w:lang w:eastAsia="da-DK"/>
        </w:rPr>
        <w:t xml:space="preserve">EA </w:t>
      </w:r>
      <w:r w:rsidR="004903FC">
        <w:rPr>
          <w:bCs/>
          <w:color w:val="1F497D" w:themeColor="text2"/>
          <w:sz w:val="32"/>
          <w:szCs w:val="32"/>
          <w:lang w:eastAsia="da-DK"/>
        </w:rPr>
        <w:t>versu</w:t>
      </w:r>
      <w:r w:rsidR="004903FC" w:rsidRPr="009D4C9E">
        <w:rPr>
          <w:bCs/>
          <w:color w:val="1F497D" w:themeColor="text2"/>
          <w:sz w:val="32"/>
          <w:szCs w:val="32"/>
          <w:lang w:eastAsia="da-DK"/>
        </w:rPr>
        <w:t xml:space="preserve">s </w:t>
      </w:r>
      <w:r w:rsidR="009D4C9E" w:rsidRPr="009D4C9E">
        <w:rPr>
          <w:bCs/>
          <w:color w:val="1F497D" w:themeColor="text2"/>
          <w:sz w:val="32"/>
          <w:szCs w:val="32"/>
          <w:lang w:eastAsia="da-DK"/>
        </w:rPr>
        <w:t>t</w:t>
      </w:r>
      <w:r w:rsidR="00A55F9A" w:rsidRPr="009D4C9E">
        <w:rPr>
          <w:bCs/>
          <w:color w:val="1F497D" w:themeColor="text2"/>
          <w:sz w:val="32"/>
          <w:szCs w:val="32"/>
          <w:lang w:eastAsia="da-DK"/>
        </w:rPr>
        <w:t xml:space="preserve">he </w:t>
      </w:r>
      <w:r w:rsidR="00977164" w:rsidRPr="009D4C9E">
        <w:rPr>
          <w:bCs/>
          <w:color w:val="1F497D" w:themeColor="text2"/>
          <w:sz w:val="32"/>
          <w:szCs w:val="32"/>
          <w:lang w:eastAsia="da-DK"/>
        </w:rPr>
        <w:t>EIA</w:t>
      </w:r>
      <w:r w:rsidR="00A55F9A" w:rsidRPr="009D4C9E">
        <w:rPr>
          <w:bCs/>
          <w:color w:val="1F497D" w:themeColor="text2"/>
          <w:sz w:val="32"/>
          <w:szCs w:val="32"/>
          <w:lang w:eastAsia="da-DK"/>
        </w:rPr>
        <w:t xml:space="preserve"> Directive</w:t>
      </w:r>
    </w:p>
    <w:p w14:paraId="28A1C9C2" w14:textId="33A66259" w:rsidR="00977164" w:rsidRPr="004645C7" w:rsidRDefault="009D4C9E" w:rsidP="00FD4C43">
      <w:pPr>
        <w:suppressAutoHyphens/>
        <w:spacing w:before="120" w:after="120"/>
        <w:ind w:left="709" w:hanging="709"/>
        <w:rPr>
          <w:rFonts w:eastAsia="Times New Roman"/>
          <w:bCs/>
          <w:sz w:val="23"/>
          <w:szCs w:val="23"/>
          <w:lang w:eastAsia="da-DK"/>
        </w:rPr>
      </w:pPr>
      <w:r>
        <w:rPr>
          <w:rFonts w:eastAsia="Times New Roman"/>
          <w:bCs/>
          <w:lang w:eastAsia="da-DK"/>
        </w:rPr>
        <w:t>12.</w:t>
      </w:r>
      <w:r w:rsidR="00F67E59">
        <w:rPr>
          <w:rFonts w:eastAsia="Times New Roman"/>
          <w:bCs/>
          <w:lang w:eastAsia="da-DK"/>
        </w:rPr>
        <w:t>4</w:t>
      </w:r>
      <w:r>
        <w:rPr>
          <w:rFonts w:eastAsia="Times New Roman"/>
          <w:bCs/>
          <w:lang w:eastAsia="da-DK"/>
        </w:rPr>
        <w:tab/>
      </w:r>
      <w:r w:rsidR="00AC500C" w:rsidRPr="004645C7">
        <w:rPr>
          <w:rFonts w:eastAsia="Times New Roman"/>
          <w:bCs/>
          <w:sz w:val="23"/>
          <w:szCs w:val="23"/>
          <w:lang w:eastAsia="da-DK"/>
        </w:rPr>
        <w:t xml:space="preserve">In order to </w:t>
      </w:r>
      <w:r w:rsidR="004D5715">
        <w:rPr>
          <w:rFonts w:eastAsia="Times New Roman"/>
          <w:bCs/>
          <w:sz w:val="23"/>
          <w:szCs w:val="23"/>
          <w:lang w:eastAsia="da-DK"/>
        </w:rPr>
        <w:t>demonstrate the potential</w:t>
      </w:r>
      <w:r w:rsidR="00AC500C" w:rsidRPr="004645C7">
        <w:rPr>
          <w:rFonts w:eastAsia="Times New Roman"/>
          <w:bCs/>
          <w:sz w:val="23"/>
          <w:szCs w:val="23"/>
          <w:lang w:eastAsia="da-DK"/>
        </w:rPr>
        <w:t xml:space="preserve"> environmental impact</w:t>
      </w:r>
      <w:r w:rsidR="006C2408">
        <w:rPr>
          <w:rFonts w:eastAsia="Times New Roman"/>
          <w:bCs/>
          <w:sz w:val="23"/>
          <w:szCs w:val="23"/>
          <w:lang w:eastAsia="da-DK"/>
        </w:rPr>
        <w:t>s</w:t>
      </w:r>
      <w:r w:rsidR="00AC500C" w:rsidRPr="004645C7">
        <w:rPr>
          <w:rFonts w:eastAsia="Times New Roman"/>
          <w:bCs/>
          <w:sz w:val="23"/>
          <w:szCs w:val="23"/>
          <w:lang w:eastAsia="da-DK"/>
        </w:rPr>
        <w:t xml:space="preserve"> of proposed decommissioning activity on the marine environment</w:t>
      </w:r>
      <w:r w:rsidR="00374225" w:rsidRPr="004645C7">
        <w:rPr>
          <w:rFonts w:eastAsia="Times New Roman"/>
          <w:bCs/>
          <w:sz w:val="23"/>
          <w:szCs w:val="23"/>
          <w:lang w:eastAsia="da-DK"/>
        </w:rPr>
        <w:t>,</w:t>
      </w:r>
      <w:r w:rsidR="00AC500C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4D5715">
        <w:rPr>
          <w:rFonts w:eastAsia="Times New Roman"/>
          <w:bCs/>
          <w:sz w:val="23"/>
          <w:szCs w:val="23"/>
          <w:lang w:eastAsia="da-DK"/>
        </w:rPr>
        <w:t>an</w:t>
      </w:r>
      <w:r w:rsidR="004D5715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AC500C" w:rsidRPr="004645C7">
        <w:rPr>
          <w:rFonts w:eastAsia="Times New Roman"/>
          <w:bCs/>
          <w:sz w:val="23"/>
          <w:szCs w:val="23"/>
          <w:lang w:eastAsia="da-DK"/>
        </w:rPr>
        <w:t xml:space="preserve">environmental impact assessment process must be executed. </w:t>
      </w:r>
      <w:r w:rsidR="005C5E8E">
        <w:rPr>
          <w:rFonts w:eastAsia="Times New Roman"/>
          <w:bCs/>
          <w:sz w:val="23"/>
          <w:szCs w:val="23"/>
          <w:lang w:eastAsia="da-DK"/>
        </w:rPr>
        <w:t xml:space="preserve">Most operators </w:t>
      </w:r>
      <w:r w:rsidR="00BD082F">
        <w:rPr>
          <w:rFonts w:eastAsia="Times New Roman"/>
          <w:bCs/>
          <w:sz w:val="23"/>
          <w:szCs w:val="23"/>
          <w:lang w:eastAsia="da-DK"/>
        </w:rPr>
        <w:t xml:space="preserve">seemed to </w:t>
      </w:r>
      <w:r w:rsidR="00374225" w:rsidRPr="004645C7">
        <w:rPr>
          <w:rFonts w:eastAsia="Times New Roman"/>
          <w:bCs/>
          <w:sz w:val="23"/>
          <w:szCs w:val="23"/>
          <w:lang w:eastAsia="da-DK"/>
        </w:rPr>
        <w:t xml:space="preserve">assume </w:t>
      </w:r>
      <w:r w:rsidR="00BD082F">
        <w:rPr>
          <w:rFonts w:eastAsia="Times New Roman"/>
          <w:bCs/>
          <w:sz w:val="23"/>
          <w:szCs w:val="23"/>
          <w:lang w:eastAsia="da-DK"/>
        </w:rPr>
        <w:t xml:space="preserve">that the assessment should </w:t>
      </w:r>
      <w:r w:rsidR="00374225" w:rsidRPr="004645C7">
        <w:rPr>
          <w:rFonts w:eastAsia="Times New Roman"/>
          <w:bCs/>
          <w:sz w:val="23"/>
          <w:szCs w:val="23"/>
          <w:lang w:eastAsia="da-DK"/>
        </w:rPr>
        <w:t xml:space="preserve">be </w:t>
      </w:r>
      <w:r w:rsidR="00AC500C" w:rsidRPr="004645C7">
        <w:rPr>
          <w:rFonts w:eastAsia="Times New Roman"/>
          <w:bCs/>
          <w:sz w:val="23"/>
          <w:szCs w:val="23"/>
          <w:lang w:eastAsia="da-DK"/>
        </w:rPr>
        <w:t>aligned with the requirements of the E</w:t>
      </w:r>
      <w:r w:rsidR="002D64CE" w:rsidRPr="004645C7">
        <w:rPr>
          <w:rFonts w:eastAsia="Times New Roman"/>
          <w:bCs/>
          <w:sz w:val="23"/>
          <w:szCs w:val="23"/>
          <w:lang w:eastAsia="da-DK"/>
        </w:rPr>
        <w:t xml:space="preserve">nvironmental </w:t>
      </w:r>
      <w:r w:rsidR="00AC500C" w:rsidRPr="004645C7">
        <w:rPr>
          <w:rFonts w:eastAsia="Times New Roman"/>
          <w:bCs/>
          <w:sz w:val="23"/>
          <w:szCs w:val="23"/>
          <w:lang w:eastAsia="da-DK"/>
        </w:rPr>
        <w:t>I</w:t>
      </w:r>
      <w:r w:rsidR="002D64CE" w:rsidRPr="004645C7">
        <w:rPr>
          <w:rFonts w:eastAsia="Times New Roman"/>
          <w:bCs/>
          <w:sz w:val="23"/>
          <w:szCs w:val="23"/>
          <w:lang w:eastAsia="da-DK"/>
        </w:rPr>
        <w:t xml:space="preserve">mpact </w:t>
      </w:r>
      <w:r w:rsidR="00AC500C" w:rsidRPr="004645C7">
        <w:rPr>
          <w:rFonts w:eastAsia="Times New Roman"/>
          <w:bCs/>
          <w:sz w:val="23"/>
          <w:szCs w:val="23"/>
          <w:lang w:eastAsia="da-DK"/>
        </w:rPr>
        <w:t>A</w:t>
      </w:r>
      <w:r w:rsidR="002D64CE" w:rsidRPr="004645C7">
        <w:rPr>
          <w:rFonts w:eastAsia="Times New Roman"/>
          <w:bCs/>
          <w:sz w:val="23"/>
          <w:szCs w:val="23"/>
          <w:lang w:eastAsia="da-DK"/>
        </w:rPr>
        <w:t>ssessment (EIA)</w:t>
      </w:r>
      <w:r w:rsidR="00AC500C" w:rsidRPr="004645C7">
        <w:rPr>
          <w:rFonts w:eastAsia="Times New Roman"/>
          <w:bCs/>
          <w:sz w:val="23"/>
          <w:szCs w:val="23"/>
          <w:lang w:eastAsia="da-DK"/>
        </w:rPr>
        <w:t xml:space="preserve"> Directive (Directive 201</w:t>
      </w:r>
      <w:r w:rsidR="00474FA5" w:rsidRPr="004645C7">
        <w:rPr>
          <w:rFonts w:eastAsia="Times New Roman"/>
          <w:bCs/>
          <w:sz w:val="23"/>
          <w:szCs w:val="23"/>
          <w:lang w:eastAsia="da-DK"/>
        </w:rPr>
        <w:t>1/92/EU as amended</w:t>
      </w:r>
      <w:r w:rsidR="00374225" w:rsidRPr="004645C7">
        <w:rPr>
          <w:rFonts w:eastAsia="Times New Roman"/>
          <w:bCs/>
          <w:sz w:val="23"/>
          <w:szCs w:val="23"/>
          <w:lang w:eastAsia="da-DK"/>
        </w:rPr>
        <w:t xml:space="preserve"> by </w:t>
      </w:r>
      <w:r w:rsidR="00AC500C" w:rsidRPr="004645C7">
        <w:rPr>
          <w:rFonts w:eastAsia="Times New Roman"/>
          <w:bCs/>
          <w:sz w:val="23"/>
          <w:szCs w:val="23"/>
          <w:lang w:eastAsia="da-DK"/>
        </w:rPr>
        <w:t xml:space="preserve">Directive 2014/52/EU). However, there is no statutory requirement to undertake an </w:t>
      </w:r>
      <w:r w:rsidR="00BD082F">
        <w:rPr>
          <w:rFonts w:eastAsia="Times New Roman"/>
          <w:bCs/>
          <w:sz w:val="23"/>
          <w:szCs w:val="23"/>
          <w:lang w:eastAsia="da-DK"/>
        </w:rPr>
        <w:t>environmental impact assessment</w:t>
      </w:r>
      <w:r w:rsidR="00BD082F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AC500C" w:rsidRPr="004645C7">
        <w:rPr>
          <w:rFonts w:eastAsia="Times New Roman"/>
          <w:bCs/>
          <w:sz w:val="23"/>
          <w:szCs w:val="23"/>
          <w:lang w:eastAsia="da-DK"/>
        </w:rPr>
        <w:t>that satisfies the EIA Directive requirements</w:t>
      </w:r>
      <w:r w:rsidR="00C24F8A" w:rsidRPr="004645C7">
        <w:rPr>
          <w:rFonts w:eastAsia="Times New Roman"/>
          <w:bCs/>
          <w:sz w:val="23"/>
          <w:szCs w:val="23"/>
          <w:lang w:eastAsia="da-DK"/>
        </w:rPr>
        <w:t xml:space="preserve"> for </w:t>
      </w:r>
      <w:r w:rsidR="006C2408">
        <w:rPr>
          <w:rFonts w:eastAsia="Times New Roman"/>
          <w:bCs/>
          <w:sz w:val="23"/>
          <w:szCs w:val="23"/>
          <w:lang w:eastAsia="da-DK"/>
        </w:rPr>
        <w:t xml:space="preserve">proposed </w:t>
      </w:r>
      <w:r w:rsidR="00C24F8A" w:rsidRPr="004645C7">
        <w:rPr>
          <w:rFonts w:eastAsia="Times New Roman"/>
          <w:bCs/>
          <w:sz w:val="23"/>
          <w:szCs w:val="23"/>
          <w:lang w:eastAsia="da-DK"/>
        </w:rPr>
        <w:t>decommissioning act</w:t>
      </w:r>
      <w:r w:rsidR="00CA0FB1" w:rsidRPr="004645C7">
        <w:rPr>
          <w:rFonts w:eastAsia="Times New Roman"/>
          <w:bCs/>
          <w:sz w:val="23"/>
          <w:szCs w:val="23"/>
          <w:lang w:eastAsia="da-DK"/>
        </w:rPr>
        <w:t>i</w:t>
      </w:r>
      <w:r w:rsidR="00C24F8A" w:rsidRPr="004645C7">
        <w:rPr>
          <w:rFonts w:eastAsia="Times New Roman"/>
          <w:bCs/>
          <w:sz w:val="23"/>
          <w:szCs w:val="23"/>
          <w:lang w:eastAsia="da-DK"/>
        </w:rPr>
        <w:t>vities</w:t>
      </w:r>
      <w:r w:rsidR="009E389A" w:rsidRPr="004645C7">
        <w:rPr>
          <w:rFonts w:eastAsia="Times New Roman"/>
          <w:bCs/>
          <w:sz w:val="23"/>
          <w:szCs w:val="23"/>
          <w:lang w:eastAsia="da-DK"/>
        </w:rPr>
        <w:t xml:space="preserve"> (f</w:t>
      </w:r>
      <w:r w:rsidR="00CD07A3" w:rsidRPr="004645C7">
        <w:rPr>
          <w:rFonts w:eastAsia="Times New Roman"/>
          <w:bCs/>
          <w:sz w:val="23"/>
          <w:szCs w:val="23"/>
          <w:lang w:eastAsia="da-DK"/>
        </w:rPr>
        <w:t xml:space="preserve">or example, there is no expectation to </w:t>
      </w:r>
      <w:r w:rsidR="00374225" w:rsidRPr="004645C7">
        <w:rPr>
          <w:rFonts w:eastAsia="Times New Roman"/>
          <w:bCs/>
          <w:sz w:val="23"/>
          <w:szCs w:val="23"/>
          <w:lang w:eastAsia="da-DK"/>
        </w:rPr>
        <w:t xml:space="preserve">assess </w:t>
      </w:r>
      <w:r w:rsidR="00967F32" w:rsidRPr="004645C7">
        <w:rPr>
          <w:rFonts w:eastAsia="Times New Roman"/>
          <w:bCs/>
          <w:sz w:val="23"/>
          <w:szCs w:val="23"/>
          <w:lang w:eastAsia="da-DK"/>
        </w:rPr>
        <w:t>all</w:t>
      </w:r>
      <w:r w:rsidR="006B21C7" w:rsidRPr="004645C7">
        <w:rPr>
          <w:rFonts w:eastAsia="Times New Roman"/>
          <w:bCs/>
          <w:sz w:val="23"/>
          <w:szCs w:val="23"/>
          <w:lang w:eastAsia="da-DK"/>
        </w:rPr>
        <w:t xml:space="preserve"> the options considered in the</w:t>
      </w:r>
      <w:r w:rsidR="00474FA5" w:rsidRPr="004645C7">
        <w:rPr>
          <w:rFonts w:eastAsia="Times New Roman"/>
          <w:bCs/>
          <w:sz w:val="23"/>
          <w:szCs w:val="23"/>
          <w:lang w:eastAsia="da-DK"/>
        </w:rPr>
        <w:t xml:space="preserve"> CA</w:t>
      </w:r>
      <w:r w:rsidR="00374225" w:rsidRPr="004645C7">
        <w:rPr>
          <w:rFonts w:eastAsia="Times New Roman"/>
          <w:bCs/>
          <w:sz w:val="23"/>
          <w:szCs w:val="23"/>
          <w:lang w:eastAsia="da-DK"/>
        </w:rPr>
        <w:t>,</w:t>
      </w:r>
      <w:r w:rsidR="006B21C7" w:rsidRPr="004645C7">
        <w:rPr>
          <w:rFonts w:eastAsia="Times New Roman"/>
          <w:bCs/>
          <w:sz w:val="23"/>
          <w:szCs w:val="23"/>
          <w:lang w:eastAsia="da-DK"/>
        </w:rPr>
        <w:t xml:space="preserve"> or </w:t>
      </w:r>
      <w:r w:rsidR="00374225" w:rsidRPr="004645C7">
        <w:rPr>
          <w:rFonts w:eastAsia="Times New Roman"/>
          <w:bCs/>
          <w:sz w:val="23"/>
          <w:szCs w:val="23"/>
          <w:lang w:eastAsia="da-DK"/>
        </w:rPr>
        <w:t xml:space="preserve">to </w:t>
      </w:r>
      <w:r w:rsidR="006B21C7" w:rsidRPr="004645C7">
        <w:rPr>
          <w:rFonts w:eastAsia="Times New Roman"/>
          <w:bCs/>
          <w:sz w:val="23"/>
          <w:szCs w:val="23"/>
          <w:lang w:eastAsia="da-DK"/>
        </w:rPr>
        <w:t>assess</w:t>
      </w:r>
      <w:r w:rsidR="00374225" w:rsidRPr="004645C7">
        <w:rPr>
          <w:rFonts w:eastAsia="Times New Roman"/>
          <w:bCs/>
          <w:sz w:val="23"/>
          <w:szCs w:val="23"/>
          <w:lang w:eastAsia="da-DK"/>
        </w:rPr>
        <w:t xml:space="preserve"> the impact</w:t>
      </w:r>
      <w:r w:rsidR="006B21C7" w:rsidRPr="004645C7">
        <w:rPr>
          <w:rFonts w:eastAsia="Times New Roman"/>
          <w:bCs/>
          <w:sz w:val="23"/>
          <w:szCs w:val="23"/>
          <w:lang w:eastAsia="da-DK"/>
        </w:rPr>
        <w:t xml:space="preserve"> of </w:t>
      </w:r>
      <w:r w:rsidR="006B21C7" w:rsidRPr="00967F32">
        <w:rPr>
          <w:rFonts w:eastAsia="Times New Roman"/>
          <w:bCs/>
          <w:sz w:val="23"/>
          <w:szCs w:val="23"/>
          <w:lang w:eastAsia="da-DK"/>
        </w:rPr>
        <w:t>accidental events</w:t>
      </w:r>
      <w:r w:rsidR="00C8750B" w:rsidRPr="00967F32">
        <w:rPr>
          <w:rFonts w:eastAsia="Times New Roman"/>
          <w:bCs/>
          <w:sz w:val="23"/>
          <w:szCs w:val="23"/>
          <w:lang w:eastAsia="da-DK"/>
        </w:rPr>
        <w:t xml:space="preserve"> e.g.</w:t>
      </w:r>
      <w:r w:rsidR="00C8750B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967F32">
        <w:rPr>
          <w:rFonts w:eastAsia="Times New Roman"/>
          <w:bCs/>
          <w:sz w:val="23"/>
          <w:szCs w:val="23"/>
          <w:lang w:eastAsia="da-DK"/>
        </w:rPr>
        <w:t>spills from vessels</w:t>
      </w:r>
      <w:r w:rsidR="009E389A" w:rsidRPr="004645C7">
        <w:rPr>
          <w:rFonts w:eastAsia="Times New Roman"/>
          <w:bCs/>
          <w:sz w:val="23"/>
          <w:szCs w:val="23"/>
          <w:lang w:eastAsia="da-DK"/>
        </w:rPr>
        <w:t>)</w:t>
      </w:r>
      <w:r w:rsidR="006B21C7" w:rsidRPr="004645C7">
        <w:rPr>
          <w:rFonts w:eastAsia="Times New Roman"/>
          <w:bCs/>
          <w:sz w:val="23"/>
          <w:szCs w:val="23"/>
          <w:lang w:eastAsia="da-DK"/>
        </w:rPr>
        <w:t>.</w:t>
      </w:r>
      <w:r w:rsidR="009E389A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BD082F">
        <w:rPr>
          <w:rFonts w:eastAsia="Times New Roman"/>
          <w:bCs/>
          <w:sz w:val="23"/>
          <w:szCs w:val="23"/>
          <w:lang w:eastAsia="da-DK"/>
        </w:rPr>
        <w:t>U</w:t>
      </w:r>
      <w:r w:rsidR="009E389A" w:rsidRPr="004645C7">
        <w:rPr>
          <w:rFonts w:eastAsia="Times New Roman"/>
          <w:bCs/>
          <w:sz w:val="23"/>
          <w:szCs w:val="23"/>
          <w:lang w:eastAsia="da-DK"/>
        </w:rPr>
        <w:t xml:space="preserve">nder the </w:t>
      </w:r>
      <w:r w:rsidR="009E389A" w:rsidRPr="0024170A">
        <w:rPr>
          <w:rFonts w:eastAsia="Times New Roman"/>
          <w:bCs/>
          <w:sz w:val="23"/>
          <w:szCs w:val="23"/>
          <w:lang w:eastAsia="da-DK"/>
        </w:rPr>
        <w:t xml:space="preserve">Petroleum Act </w:t>
      </w:r>
      <w:r w:rsidR="009E389A" w:rsidRPr="0024170A">
        <w:rPr>
          <w:rFonts w:eastAsia="Times New Roman"/>
          <w:bCs/>
          <w:sz w:val="23"/>
          <w:szCs w:val="23"/>
          <w:lang w:eastAsia="da-DK"/>
        </w:rPr>
        <w:lastRenderedPageBreak/>
        <w:t>1998</w:t>
      </w:r>
      <w:r w:rsidR="009E389A" w:rsidRPr="004645C7">
        <w:rPr>
          <w:rFonts w:eastAsia="Times New Roman"/>
          <w:bCs/>
          <w:sz w:val="23"/>
          <w:szCs w:val="23"/>
          <w:lang w:eastAsia="da-DK"/>
        </w:rPr>
        <w:t xml:space="preserve"> there is a </w:t>
      </w:r>
      <w:r w:rsidR="00BD082F">
        <w:rPr>
          <w:rFonts w:eastAsia="Times New Roman"/>
          <w:bCs/>
          <w:sz w:val="23"/>
          <w:szCs w:val="23"/>
          <w:lang w:eastAsia="da-DK"/>
        </w:rPr>
        <w:t xml:space="preserve">more straightforward </w:t>
      </w:r>
      <w:r w:rsidR="009E389A" w:rsidRPr="004645C7">
        <w:rPr>
          <w:rFonts w:eastAsia="Times New Roman"/>
          <w:bCs/>
          <w:sz w:val="23"/>
          <w:szCs w:val="23"/>
          <w:lang w:eastAsia="da-DK"/>
        </w:rPr>
        <w:t xml:space="preserve">requirement </w:t>
      </w:r>
      <w:r w:rsidR="00BD082F">
        <w:rPr>
          <w:rFonts w:eastAsia="Times New Roman"/>
          <w:bCs/>
          <w:sz w:val="23"/>
          <w:szCs w:val="23"/>
          <w:lang w:eastAsia="da-DK"/>
        </w:rPr>
        <w:t>to undertake</w:t>
      </w:r>
      <w:r w:rsidR="009E389A" w:rsidRPr="004645C7">
        <w:rPr>
          <w:rFonts w:eastAsia="Times New Roman"/>
          <w:bCs/>
          <w:sz w:val="23"/>
          <w:szCs w:val="23"/>
          <w:lang w:eastAsia="da-DK"/>
        </w:rPr>
        <w:t xml:space="preserve"> an assessment </w:t>
      </w:r>
      <w:r w:rsidR="00071D72" w:rsidRPr="004645C7">
        <w:rPr>
          <w:rFonts w:eastAsia="Times New Roman"/>
          <w:bCs/>
          <w:sz w:val="23"/>
          <w:szCs w:val="23"/>
          <w:lang w:eastAsia="da-DK"/>
        </w:rPr>
        <w:t xml:space="preserve">of </w:t>
      </w:r>
      <w:r w:rsidR="00374225" w:rsidRPr="004645C7">
        <w:rPr>
          <w:rFonts w:eastAsia="Times New Roman"/>
          <w:bCs/>
          <w:sz w:val="23"/>
          <w:szCs w:val="23"/>
          <w:lang w:eastAsia="da-DK"/>
        </w:rPr>
        <w:t xml:space="preserve">the </w:t>
      </w:r>
      <w:r w:rsidR="00BD082F">
        <w:rPr>
          <w:rFonts w:eastAsia="Times New Roman"/>
          <w:bCs/>
          <w:sz w:val="23"/>
          <w:szCs w:val="23"/>
          <w:lang w:eastAsia="da-DK"/>
        </w:rPr>
        <w:t xml:space="preserve">potential </w:t>
      </w:r>
      <w:r w:rsidR="00374225" w:rsidRPr="004645C7">
        <w:rPr>
          <w:rFonts w:eastAsia="Times New Roman"/>
          <w:bCs/>
          <w:sz w:val="23"/>
          <w:szCs w:val="23"/>
          <w:lang w:eastAsia="da-DK"/>
        </w:rPr>
        <w:t>environmental impact</w:t>
      </w:r>
      <w:r w:rsidR="006C2408">
        <w:rPr>
          <w:rFonts w:eastAsia="Times New Roman"/>
          <w:bCs/>
          <w:sz w:val="23"/>
          <w:szCs w:val="23"/>
          <w:lang w:eastAsia="da-DK"/>
        </w:rPr>
        <w:t>s</w:t>
      </w:r>
      <w:r w:rsidR="00374225" w:rsidRPr="004645C7">
        <w:rPr>
          <w:rFonts w:eastAsia="Times New Roman"/>
          <w:bCs/>
          <w:sz w:val="23"/>
          <w:szCs w:val="23"/>
          <w:lang w:eastAsia="da-DK"/>
        </w:rPr>
        <w:t xml:space="preserve"> of the </w:t>
      </w:r>
      <w:r w:rsidR="00BD082F">
        <w:rPr>
          <w:rFonts w:eastAsia="Times New Roman"/>
          <w:bCs/>
          <w:sz w:val="23"/>
          <w:szCs w:val="23"/>
          <w:lang w:eastAsia="da-DK"/>
        </w:rPr>
        <w:t xml:space="preserve">proposed </w:t>
      </w:r>
      <w:r w:rsidR="00071D72" w:rsidRPr="004645C7">
        <w:rPr>
          <w:rFonts w:eastAsia="Times New Roman"/>
          <w:bCs/>
          <w:sz w:val="23"/>
          <w:szCs w:val="23"/>
          <w:lang w:eastAsia="da-DK"/>
        </w:rPr>
        <w:t>decommissioning proposals</w:t>
      </w:r>
      <w:r w:rsidR="00374225" w:rsidRPr="004645C7">
        <w:rPr>
          <w:rFonts w:eastAsia="Times New Roman"/>
          <w:bCs/>
          <w:sz w:val="23"/>
          <w:szCs w:val="23"/>
          <w:lang w:eastAsia="da-DK"/>
        </w:rPr>
        <w:t>, and</w:t>
      </w:r>
      <w:r w:rsidR="00071D72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374225" w:rsidRPr="004645C7">
        <w:rPr>
          <w:rFonts w:eastAsia="Times New Roman"/>
          <w:bCs/>
          <w:sz w:val="23"/>
          <w:szCs w:val="23"/>
          <w:lang w:eastAsia="da-DK"/>
        </w:rPr>
        <w:t>t</w:t>
      </w:r>
      <w:r w:rsidR="00071D72" w:rsidRPr="004645C7">
        <w:rPr>
          <w:rFonts w:eastAsia="Times New Roman"/>
          <w:bCs/>
          <w:sz w:val="23"/>
          <w:szCs w:val="23"/>
          <w:lang w:eastAsia="da-DK"/>
        </w:rPr>
        <w:t>he EA described here fulfils that requirement.</w:t>
      </w:r>
    </w:p>
    <w:p w14:paraId="61C5D225" w14:textId="1117D078" w:rsidR="00977164" w:rsidRPr="004645C7" w:rsidRDefault="009D4C9E" w:rsidP="00FD4C43">
      <w:pPr>
        <w:suppressAutoHyphens/>
        <w:spacing w:before="120" w:after="120"/>
        <w:ind w:left="709" w:hanging="709"/>
        <w:rPr>
          <w:rFonts w:eastAsia="Times New Roman"/>
          <w:bCs/>
          <w:sz w:val="23"/>
          <w:szCs w:val="23"/>
          <w:lang w:eastAsia="da-DK"/>
        </w:rPr>
      </w:pPr>
      <w:r w:rsidRPr="004645C7">
        <w:rPr>
          <w:rFonts w:eastAsia="Times New Roman"/>
          <w:bCs/>
          <w:sz w:val="23"/>
          <w:szCs w:val="23"/>
          <w:lang w:eastAsia="da-DK"/>
        </w:rPr>
        <w:t>12.</w:t>
      </w:r>
      <w:r w:rsidR="00F67E59">
        <w:rPr>
          <w:rFonts w:eastAsia="Times New Roman"/>
          <w:bCs/>
          <w:sz w:val="23"/>
          <w:szCs w:val="23"/>
          <w:lang w:eastAsia="da-DK"/>
        </w:rPr>
        <w:t>5</w:t>
      </w:r>
      <w:r w:rsidRPr="004645C7">
        <w:rPr>
          <w:rFonts w:eastAsia="Times New Roman"/>
          <w:bCs/>
          <w:sz w:val="23"/>
          <w:szCs w:val="23"/>
          <w:lang w:eastAsia="da-DK"/>
        </w:rPr>
        <w:tab/>
      </w:r>
      <w:r w:rsidR="00CD07A3" w:rsidRPr="004645C7">
        <w:rPr>
          <w:rFonts w:eastAsia="Times New Roman"/>
          <w:bCs/>
          <w:sz w:val="23"/>
          <w:szCs w:val="23"/>
          <w:lang w:eastAsia="da-DK"/>
        </w:rPr>
        <w:t xml:space="preserve">The EA </w:t>
      </w:r>
      <w:r w:rsidR="00CD7829" w:rsidRPr="004645C7">
        <w:rPr>
          <w:rFonts w:eastAsia="Times New Roman"/>
          <w:bCs/>
          <w:sz w:val="23"/>
          <w:szCs w:val="23"/>
          <w:lang w:eastAsia="da-DK"/>
        </w:rPr>
        <w:t>should be</w:t>
      </w:r>
      <w:r w:rsidR="00CD07A3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4C3A12" w:rsidRPr="004645C7">
        <w:rPr>
          <w:rFonts w:eastAsia="Times New Roman"/>
          <w:bCs/>
          <w:sz w:val="23"/>
          <w:szCs w:val="23"/>
          <w:lang w:eastAsia="da-DK"/>
        </w:rPr>
        <w:t>proportiona</w:t>
      </w:r>
      <w:r w:rsidR="00CD7829" w:rsidRPr="004645C7">
        <w:rPr>
          <w:rFonts w:eastAsia="Times New Roman"/>
          <w:bCs/>
          <w:sz w:val="23"/>
          <w:szCs w:val="23"/>
          <w:lang w:eastAsia="da-DK"/>
        </w:rPr>
        <w:t xml:space="preserve">l with respect to the proposed decommissioning activities, the potential environmental impacts and the sensitivities </w:t>
      </w:r>
      <w:r w:rsidR="009E389A" w:rsidRPr="004645C7">
        <w:rPr>
          <w:rFonts w:eastAsia="Times New Roman"/>
          <w:bCs/>
          <w:sz w:val="23"/>
          <w:szCs w:val="23"/>
          <w:lang w:eastAsia="da-DK"/>
        </w:rPr>
        <w:t xml:space="preserve">of the marine environment </w:t>
      </w:r>
      <w:r w:rsidR="00CD7829" w:rsidRPr="004645C7">
        <w:rPr>
          <w:rFonts w:eastAsia="Times New Roman"/>
          <w:bCs/>
          <w:sz w:val="23"/>
          <w:szCs w:val="23"/>
          <w:lang w:eastAsia="da-DK"/>
        </w:rPr>
        <w:t xml:space="preserve">in the vicinity of </w:t>
      </w:r>
      <w:r w:rsidR="00374225" w:rsidRPr="004645C7">
        <w:rPr>
          <w:rFonts w:eastAsia="Times New Roman"/>
          <w:bCs/>
          <w:sz w:val="23"/>
          <w:szCs w:val="23"/>
          <w:lang w:eastAsia="da-DK"/>
        </w:rPr>
        <w:t xml:space="preserve">the </w:t>
      </w:r>
      <w:r w:rsidR="00CD7829" w:rsidRPr="004645C7">
        <w:rPr>
          <w:rFonts w:eastAsia="Times New Roman"/>
          <w:bCs/>
          <w:sz w:val="23"/>
          <w:szCs w:val="23"/>
          <w:lang w:eastAsia="da-DK"/>
        </w:rPr>
        <w:t xml:space="preserve">activities. </w:t>
      </w:r>
      <w:r w:rsidR="00BD082F">
        <w:rPr>
          <w:rFonts w:eastAsia="Times New Roman"/>
          <w:bCs/>
          <w:sz w:val="23"/>
          <w:szCs w:val="23"/>
          <w:lang w:eastAsia="da-DK"/>
        </w:rPr>
        <w:t>I</w:t>
      </w:r>
      <w:r w:rsidR="00CD7829" w:rsidRPr="004645C7">
        <w:rPr>
          <w:rFonts w:eastAsia="Times New Roman"/>
          <w:bCs/>
          <w:sz w:val="23"/>
          <w:szCs w:val="23"/>
          <w:lang w:eastAsia="da-DK"/>
        </w:rPr>
        <w:t xml:space="preserve">t should provide a </w:t>
      </w:r>
      <w:r w:rsidR="004C3A12" w:rsidRPr="004645C7">
        <w:rPr>
          <w:rFonts w:eastAsia="Times New Roman"/>
          <w:bCs/>
          <w:sz w:val="23"/>
          <w:szCs w:val="23"/>
          <w:lang w:eastAsia="da-DK"/>
        </w:rPr>
        <w:t xml:space="preserve">satisfactory level of information in order to </w:t>
      </w:r>
      <w:r w:rsidR="00BD082F">
        <w:rPr>
          <w:rFonts w:eastAsia="Times New Roman"/>
          <w:bCs/>
          <w:sz w:val="23"/>
          <w:szCs w:val="23"/>
          <w:lang w:eastAsia="da-DK"/>
        </w:rPr>
        <w:t xml:space="preserve">describe the potential environmental impacts of the selected decommissioning option and </w:t>
      </w:r>
      <w:r w:rsidR="006C2408">
        <w:rPr>
          <w:rFonts w:eastAsia="Times New Roman"/>
          <w:bCs/>
          <w:sz w:val="23"/>
          <w:szCs w:val="23"/>
          <w:lang w:eastAsia="da-DK"/>
        </w:rPr>
        <w:t xml:space="preserve">should </w:t>
      </w:r>
      <w:r w:rsidR="00BD082F">
        <w:rPr>
          <w:rFonts w:eastAsia="Times New Roman"/>
          <w:bCs/>
          <w:sz w:val="23"/>
          <w:szCs w:val="23"/>
          <w:lang w:eastAsia="da-DK"/>
        </w:rPr>
        <w:t xml:space="preserve">provide a more detailed </w:t>
      </w:r>
      <w:r w:rsidR="004C3A12" w:rsidRPr="004645C7">
        <w:rPr>
          <w:rFonts w:eastAsia="Times New Roman"/>
          <w:bCs/>
          <w:sz w:val="23"/>
          <w:szCs w:val="23"/>
          <w:lang w:eastAsia="da-DK"/>
        </w:rPr>
        <w:t>assess</w:t>
      </w:r>
      <w:r w:rsidR="00BD082F">
        <w:rPr>
          <w:rFonts w:eastAsia="Times New Roman"/>
          <w:bCs/>
          <w:sz w:val="23"/>
          <w:szCs w:val="23"/>
          <w:lang w:eastAsia="da-DK"/>
        </w:rPr>
        <w:t xml:space="preserve">ment of any potentially significant </w:t>
      </w:r>
      <w:r w:rsidR="004C3A12" w:rsidRPr="004645C7">
        <w:rPr>
          <w:rFonts w:eastAsia="Times New Roman"/>
          <w:bCs/>
          <w:sz w:val="23"/>
          <w:szCs w:val="23"/>
          <w:lang w:eastAsia="da-DK"/>
        </w:rPr>
        <w:t>environmental impact</w:t>
      </w:r>
      <w:r w:rsidR="00BD082F">
        <w:rPr>
          <w:rFonts w:eastAsia="Times New Roman"/>
          <w:bCs/>
          <w:sz w:val="23"/>
          <w:szCs w:val="23"/>
          <w:lang w:eastAsia="da-DK"/>
        </w:rPr>
        <w:t>s</w:t>
      </w:r>
      <w:r w:rsidR="00CD07A3" w:rsidRPr="004645C7">
        <w:rPr>
          <w:rFonts w:eastAsia="Times New Roman"/>
          <w:bCs/>
          <w:sz w:val="23"/>
          <w:szCs w:val="23"/>
          <w:lang w:eastAsia="da-DK"/>
        </w:rPr>
        <w:t xml:space="preserve">.  </w:t>
      </w:r>
    </w:p>
    <w:p w14:paraId="2B6ABFF5" w14:textId="33B3843D" w:rsidR="009D4C9E" w:rsidRPr="009D4C9E" w:rsidRDefault="009D4C9E" w:rsidP="00FD4C43">
      <w:pPr>
        <w:suppressAutoHyphens/>
        <w:spacing w:before="120" w:after="120"/>
        <w:ind w:left="709" w:hanging="709"/>
        <w:rPr>
          <w:rFonts w:eastAsia="Times New Roman"/>
          <w:bCs/>
          <w:sz w:val="23"/>
          <w:szCs w:val="23"/>
          <w:lang w:eastAsia="da-DK"/>
        </w:rPr>
      </w:pPr>
      <w:r w:rsidRPr="004645C7">
        <w:rPr>
          <w:rFonts w:eastAsia="Times New Roman"/>
          <w:bCs/>
          <w:sz w:val="23"/>
          <w:szCs w:val="23"/>
          <w:lang w:eastAsia="da-DK"/>
        </w:rPr>
        <w:t>12.</w:t>
      </w:r>
      <w:r w:rsidR="00F67E59">
        <w:rPr>
          <w:rFonts w:eastAsia="Times New Roman"/>
          <w:bCs/>
          <w:sz w:val="23"/>
          <w:szCs w:val="23"/>
          <w:lang w:eastAsia="da-DK"/>
        </w:rPr>
        <w:t>6</w:t>
      </w:r>
      <w:r w:rsidRPr="004645C7">
        <w:rPr>
          <w:rFonts w:eastAsia="Times New Roman"/>
          <w:bCs/>
          <w:sz w:val="23"/>
          <w:szCs w:val="23"/>
          <w:lang w:eastAsia="da-DK"/>
        </w:rPr>
        <w:tab/>
      </w:r>
      <w:r w:rsidR="00CD7829" w:rsidRPr="004645C7">
        <w:rPr>
          <w:rFonts w:eastAsia="Times New Roman"/>
          <w:bCs/>
          <w:sz w:val="23"/>
          <w:szCs w:val="23"/>
          <w:lang w:eastAsia="da-DK"/>
        </w:rPr>
        <w:t>The following sections i</w:t>
      </w:r>
      <w:r w:rsidR="00FD15EA">
        <w:rPr>
          <w:rFonts w:eastAsia="Times New Roman"/>
          <w:bCs/>
          <w:sz w:val="23"/>
          <w:szCs w:val="23"/>
          <w:lang w:eastAsia="da-DK"/>
        </w:rPr>
        <w:t>nclude</w:t>
      </w:r>
      <w:r w:rsidR="00CD7829" w:rsidRPr="004645C7">
        <w:rPr>
          <w:rFonts w:eastAsia="Times New Roman"/>
          <w:bCs/>
          <w:sz w:val="23"/>
          <w:szCs w:val="23"/>
          <w:lang w:eastAsia="da-DK"/>
        </w:rPr>
        <w:t xml:space="preserve"> guidance on the type and level of information expected within an EA.</w:t>
      </w:r>
      <w:r w:rsidR="00B31455" w:rsidRPr="004645C7">
        <w:rPr>
          <w:rFonts w:eastAsia="Times New Roman"/>
          <w:bCs/>
          <w:sz w:val="23"/>
          <w:szCs w:val="23"/>
          <w:lang w:eastAsia="da-DK"/>
        </w:rPr>
        <w:t xml:space="preserve">  </w:t>
      </w:r>
    </w:p>
    <w:p w14:paraId="6CF2424E" w14:textId="77777777" w:rsidR="00A704C6" w:rsidRPr="00A704C6" w:rsidRDefault="00A704C6" w:rsidP="00FD4C43">
      <w:pPr>
        <w:suppressAutoHyphens/>
        <w:spacing w:before="120"/>
        <w:rPr>
          <w:rFonts w:eastAsia="Times New Roman"/>
          <w:bCs/>
          <w:color w:val="1F497D" w:themeColor="text2"/>
          <w:sz w:val="20"/>
          <w:szCs w:val="20"/>
          <w:lang w:eastAsia="da-DK"/>
        </w:rPr>
      </w:pPr>
    </w:p>
    <w:p w14:paraId="3952E5E8" w14:textId="37BD1C45" w:rsidR="002D23B5" w:rsidRPr="009D4C9E" w:rsidRDefault="002D23B5" w:rsidP="00FD4C43">
      <w:pPr>
        <w:suppressAutoHyphens/>
        <w:spacing w:before="120"/>
        <w:rPr>
          <w:rFonts w:eastAsia="Times New Roman"/>
          <w:bCs/>
          <w:color w:val="1F497D" w:themeColor="text2"/>
          <w:sz w:val="32"/>
          <w:szCs w:val="32"/>
          <w:lang w:eastAsia="da-DK"/>
        </w:rPr>
      </w:pPr>
      <w:r w:rsidRPr="009D4C9E">
        <w:rPr>
          <w:rFonts w:eastAsia="Times New Roman"/>
          <w:bCs/>
          <w:color w:val="1F497D" w:themeColor="text2"/>
          <w:sz w:val="32"/>
          <w:szCs w:val="32"/>
          <w:lang w:eastAsia="da-DK"/>
        </w:rPr>
        <w:t>Undertaking an EA</w:t>
      </w:r>
    </w:p>
    <w:p w14:paraId="3C4ACF32" w14:textId="77777777" w:rsidR="00F470AB" w:rsidRPr="005C07B8" w:rsidRDefault="00F470AB" w:rsidP="00FD4C43">
      <w:pPr>
        <w:suppressAutoHyphens/>
        <w:spacing w:before="120" w:after="120"/>
        <w:rPr>
          <w:rFonts w:eastAsia="Times New Roman"/>
          <w:bCs/>
          <w:color w:val="1F497D" w:themeColor="text2"/>
          <w:sz w:val="23"/>
          <w:szCs w:val="23"/>
          <w:lang w:eastAsia="da-DK"/>
        </w:rPr>
      </w:pPr>
      <w:r w:rsidRPr="005C07B8">
        <w:rPr>
          <w:rFonts w:eastAsia="Times New Roman"/>
          <w:bCs/>
          <w:color w:val="1F497D" w:themeColor="text2"/>
          <w:sz w:val="23"/>
          <w:szCs w:val="23"/>
          <w:lang w:eastAsia="da-DK"/>
        </w:rPr>
        <w:t>Information expected within an EA</w:t>
      </w:r>
    </w:p>
    <w:p w14:paraId="1CFB89CF" w14:textId="4F5EBB9D" w:rsidR="002063C1" w:rsidRDefault="009D4C9E" w:rsidP="00FD4C43">
      <w:pPr>
        <w:suppressAutoHyphens/>
        <w:spacing w:before="120" w:after="120"/>
        <w:ind w:left="709" w:hanging="709"/>
        <w:rPr>
          <w:rFonts w:eastAsia="Times New Roman"/>
          <w:bCs/>
          <w:sz w:val="23"/>
          <w:szCs w:val="23"/>
          <w:lang w:eastAsia="da-DK"/>
        </w:rPr>
      </w:pPr>
      <w:r w:rsidRPr="009D4C9E">
        <w:rPr>
          <w:rFonts w:eastAsia="Times New Roman"/>
          <w:bCs/>
          <w:sz w:val="23"/>
          <w:szCs w:val="23"/>
          <w:lang w:eastAsia="da-DK"/>
        </w:rPr>
        <w:t>12.</w:t>
      </w:r>
      <w:r w:rsidR="000B5B4D">
        <w:rPr>
          <w:rFonts w:eastAsia="Times New Roman"/>
          <w:bCs/>
          <w:sz w:val="23"/>
          <w:szCs w:val="23"/>
          <w:lang w:eastAsia="da-DK"/>
        </w:rPr>
        <w:t>7</w:t>
      </w:r>
      <w:r w:rsidRPr="009D4C9E">
        <w:rPr>
          <w:rFonts w:eastAsia="Times New Roman"/>
          <w:bCs/>
          <w:sz w:val="23"/>
          <w:szCs w:val="23"/>
          <w:lang w:eastAsia="da-DK"/>
        </w:rPr>
        <w:tab/>
      </w:r>
      <w:r w:rsidR="002D23B5" w:rsidRPr="004645C7">
        <w:rPr>
          <w:rFonts w:eastAsia="Times New Roman"/>
          <w:bCs/>
          <w:sz w:val="23"/>
          <w:szCs w:val="23"/>
          <w:lang w:eastAsia="da-DK"/>
        </w:rPr>
        <w:t xml:space="preserve">The EA should be a single standalone document </w:t>
      </w:r>
      <w:r w:rsidR="005A4C90" w:rsidRPr="004645C7">
        <w:rPr>
          <w:rFonts w:eastAsia="Times New Roman"/>
          <w:bCs/>
          <w:sz w:val="23"/>
          <w:szCs w:val="23"/>
          <w:lang w:eastAsia="da-DK"/>
        </w:rPr>
        <w:t>that</w:t>
      </w:r>
      <w:r w:rsidR="002D23B5" w:rsidRPr="004645C7">
        <w:rPr>
          <w:rFonts w:eastAsia="Times New Roman"/>
          <w:bCs/>
          <w:sz w:val="23"/>
          <w:szCs w:val="23"/>
          <w:lang w:eastAsia="da-DK"/>
        </w:rPr>
        <w:t xml:space="preserve"> assesses the </w:t>
      </w:r>
      <w:r w:rsidR="00BD082F">
        <w:rPr>
          <w:rFonts w:eastAsia="Times New Roman"/>
          <w:bCs/>
          <w:sz w:val="23"/>
          <w:szCs w:val="23"/>
          <w:lang w:eastAsia="da-DK"/>
        </w:rPr>
        <w:t xml:space="preserve">potential </w:t>
      </w:r>
      <w:r w:rsidR="002D23B5" w:rsidRPr="004645C7">
        <w:rPr>
          <w:rFonts w:eastAsia="Times New Roman"/>
          <w:bCs/>
          <w:sz w:val="23"/>
          <w:szCs w:val="23"/>
          <w:lang w:eastAsia="da-DK"/>
        </w:rPr>
        <w:t>environmental impact</w:t>
      </w:r>
      <w:r w:rsidR="006C2408">
        <w:rPr>
          <w:rFonts w:eastAsia="Times New Roman"/>
          <w:bCs/>
          <w:sz w:val="23"/>
          <w:szCs w:val="23"/>
          <w:lang w:eastAsia="da-DK"/>
        </w:rPr>
        <w:t>s</w:t>
      </w:r>
      <w:r w:rsidR="002D23B5" w:rsidRPr="004645C7">
        <w:rPr>
          <w:rFonts w:eastAsia="Times New Roman"/>
          <w:bCs/>
          <w:sz w:val="23"/>
          <w:szCs w:val="23"/>
          <w:lang w:eastAsia="da-DK"/>
        </w:rPr>
        <w:t xml:space="preserve"> of the </w:t>
      </w:r>
      <w:r w:rsidR="006C2408">
        <w:rPr>
          <w:rFonts w:eastAsia="Times New Roman"/>
          <w:bCs/>
          <w:sz w:val="23"/>
          <w:szCs w:val="23"/>
          <w:lang w:eastAsia="da-DK"/>
        </w:rPr>
        <w:t xml:space="preserve">selected </w:t>
      </w:r>
      <w:r w:rsidR="002D23B5" w:rsidRPr="004645C7">
        <w:rPr>
          <w:rFonts w:eastAsia="Times New Roman"/>
          <w:bCs/>
          <w:sz w:val="23"/>
          <w:szCs w:val="23"/>
          <w:lang w:eastAsia="da-DK"/>
        </w:rPr>
        <w:t xml:space="preserve">decommissioning </w:t>
      </w:r>
      <w:r w:rsidR="006C2408">
        <w:rPr>
          <w:rFonts w:eastAsia="Times New Roman"/>
          <w:bCs/>
          <w:sz w:val="23"/>
          <w:szCs w:val="23"/>
          <w:lang w:eastAsia="da-DK"/>
        </w:rPr>
        <w:t xml:space="preserve">option described </w:t>
      </w:r>
      <w:r w:rsidR="002D23B5" w:rsidRPr="004645C7">
        <w:rPr>
          <w:rFonts w:eastAsia="Times New Roman"/>
          <w:bCs/>
          <w:sz w:val="23"/>
          <w:szCs w:val="23"/>
          <w:lang w:eastAsia="da-DK"/>
        </w:rPr>
        <w:t xml:space="preserve">in the </w:t>
      </w:r>
      <w:r w:rsidR="00987472" w:rsidRPr="004645C7">
        <w:rPr>
          <w:rFonts w:eastAsia="Times New Roman"/>
          <w:bCs/>
          <w:sz w:val="23"/>
          <w:szCs w:val="23"/>
          <w:lang w:eastAsia="da-DK"/>
        </w:rPr>
        <w:t xml:space="preserve">DP </w:t>
      </w:r>
      <w:r w:rsidR="002D23B5" w:rsidRPr="004645C7">
        <w:rPr>
          <w:rFonts w:eastAsia="Times New Roman"/>
          <w:bCs/>
          <w:sz w:val="23"/>
          <w:szCs w:val="23"/>
          <w:lang w:eastAsia="da-DK"/>
        </w:rPr>
        <w:t xml:space="preserve">and </w:t>
      </w:r>
      <w:r w:rsidR="009E389A" w:rsidRPr="004645C7">
        <w:rPr>
          <w:rFonts w:eastAsia="Times New Roman"/>
          <w:bCs/>
          <w:sz w:val="23"/>
          <w:szCs w:val="23"/>
          <w:lang w:eastAsia="da-DK"/>
        </w:rPr>
        <w:t xml:space="preserve">discussed in the </w:t>
      </w:r>
      <w:r w:rsidR="002D64CE" w:rsidRPr="004645C7">
        <w:rPr>
          <w:rFonts w:eastAsia="Times New Roman"/>
          <w:bCs/>
          <w:sz w:val="23"/>
          <w:szCs w:val="23"/>
          <w:lang w:eastAsia="da-DK"/>
        </w:rPr>
        <w:t>CA</w:t>
      </w:r>
      <w:r w:rsidR="001332AC" w:rsidRPr="004645C7">
        <w:rPr>
          <w:rFonts w:eastAsia="Times New Roman"/>
          <w:bCs/>
          <w:sz w:val="23"/>
          <w:szCs w:val="23"/>
          <w:lang w:eastAsia="da-DK"/>
        </w:rPr>
        <w:t>. It</w:t>
      </w:r>
      <w:r w:rsidR="009E389A" w:rsidRPr="004645C7">
        <w:rPr>
          <w:rFonts w:eastAsia="Times New Roman"/>
          <w:bCs/>
          <w:sz w:val="23"/>
          <w:szCs w:val="23"/>
          <w:lang w:eastAsia="da-DK"/>
        </w:rPr>
        <w:t xml:space="preserve"> should </w:t>
      </w:r>
      <w:r w:rsidR="002D23B5" w:rsidRPr="004645C7">
        <w:rPr>
          <w:rFonts w:eastAsia="Times New Roman"/>
          <w:bCs/>
          <w:sz w:val="23"/>
          <w:szCs w:val="23"/>
          <w:lang w:eastAsia="da-DK"/>
        </w:rPr>
        <w:t xml:space="preserve">provide </w:t>
      </w:r>
      <w:r w:rsidR="00B57042" w:rsidRPr="004645C7">
        <w:rPr>
          <w:rFonts w:eastAsia="Times New Roman"/>
          <w:bCs/>
          <w:sz w:val="23"/>
          <w:szCs w:val="23"/>
          <w:lang w:eastAsia="da-DK"/>
        </w:rPr>
        <w:t xml:space="preserve">an </w:t>
      </w:r>
      <w:r w:rsidR="00F12699">
        <w:rPr>
          <w:rFonts w:eastAsia="Times New Roman"/>
          <w:bCs/>
          <w:sz w:val="23"/>
          <w:szCs w:val="23"/>
          <w:lang w:eastAsia="da-DK"/>
        </w:rPr>
        <w:t xml:space="preserve">environmental </w:t>
      </w:r>
      <w:r w:rsidR="002D23B5" w:rsidRPr="004645C7">
        <w:rPr>
          <w:rFonts w:eastAsia="Times New Roman"/>
          <w:bCs/>
          <w:sz w:val="23"/>
          <w:szCs w:val="23"/>
          <w:lang w:eastAsia="da-DK"/>
        </w:rPr>
        <w:t xml:space="preserve">evidence base and justification with respect to the </w:t>
      </w:r>
      <w:r w:rsidR="00F12699">
        <w:rPr>
          <w:rFonts w:eastAsia="Times New Roman"/>
          <w:bCs/>
          <w:sz w:val="23"/>
          <w:szCs w:val="23"/>
          <w:lang w:eastAsia="da-DK"/>
        </w:rPr>
        <w:t xml:space="preserve">selected </w:t>
      </w:r>
      <w:r w:rsidR="00C33190">
        <w:rPr>
          <w:rFonts w:eastAsia="Times New Roman"/>
          <w:bCs/>
          <w:sz w:val="23"/>
          <w:szCs w:val="23"/>
          <w:lang w:eastAsia="da-DK"/>
        </w:rPr>
        <w:t>option</w:t>
      </w:r>
      <w:r w:rsidR="002D23B5" w:rsidRPr="004645C7">
        <w:rPr>
          <w:rFonts w:eastAsia="Times New Roman"/>
          <w:bCs/>
          <w:sz w:val="23"/>
          <w:szCs w:val="23"/>
          <w:lang w:eastAsia="da-DK"/>
        </w:rPr>
        <w:t xml:space="preserve">. </w:t>
      </w:r>
      <w:r w:rsidR="002063C1">
        <w:rPr>
          <w:rFonts w:eastAsia="Times New Roman"/>
          <w:bCs/>
          <w:sz w:val="23"/>
          <w:szCs w:val="23"/>
          <w:lang w:eastAsia="da-DK"/>
        </w:rPr>
        <w:t xml:space="preserve">Where </w:t>
      </w:r>
      <w:proofErr w:type="gramStart"/>
      <w:r w:rsidR="002063C1">
        <w:rPr>
          <w:rFonts w:eastAsia="Times New Roman"/>
          <w:bCs/>
          <w:sz w:val="23"/>
          <w:szCs w:val="23"/>
          <w:lang w:eastAsia="da-DK"/>
        </w:rPr>
        <w:t>a number of</w:t>
      </w:r>
      <w:proofErr w:type="gramEnd"/>
      <w:r w:rsidR="002063C1">
        <w:rPr>
          <w:rFonts w:eastAsia="Times New Roman"/>
          <w:bCs/>
          <w:sz w:val="23"/>
          <w:szCs w:val="23"/>
          <w:lang w:eastAsia="da-DK"/>
        </w:rPr>
        <w:t xml:space="preserve"> decommissioning methodologies </w:t>
      </w:r>
      <w:r w:rsidR="00455396">
        <w:rPr>
          <w:rFonts w:eastAsia="Times New Roman"/>
          <w:bCs/>
          <w:sz w:val="23"/>
          <w:szCs w:val="23"/>
          <w:lang w:eastAsia="da-DK"/>
        </w:rPr>
        <w:t xml:space="preserve">for the selected option </w:t>
      </w:r>
      <w:r w:rsidR="002063C1">
        <w:rPr>
          <w:rFonts w:eastAsia="Times New Roman"/>
          <w:bCs/>
          <w:sz w:val="23"/>
          <w:szCs w:val="23"/>
          <w:lang w:eastAsia="da-DK"/>
        </w:rPr>
        <w:t>remain under consideration,</w:t>
      </w:r>
      <w:r w:rsidR="001361AC" w:rsidRPr="004645C7">
        <w:rPr>
          <w:rFonts w:eastAsia="Times New Roman"/>
          <w:bCs/>
          <w:sz w:val="23"/>
          <w:szCs w:val="23"/>
          <w:lang w:eastAsia="da-DK"/>
        </w:rPr>
        <w:t xml:space="preserve"> the </w:t>
      </w:r>
      <w:r w:rsidR="00987472" w:rsidRPr="004645C7">
        <w:rPr>
          <w:rFonts w:eastAsia="Times New Roman"/>
          <w:bCs/>
          <w:sz w:val="23"/>
          <w:szCs w:val="23"/>
          <w:lang w:eastAsia="da-DK"/>
        </w:rPr>
        <w:t xml:space="preserve">worse-case </w:t>
      </w:r>
      <w:r w:rsidR="002063C1">
        <w:rPr>
          <w:rFonts w:eastAsia="Times New Roman"/>
          <w:bCs/>
          <w:sz w:val="23"/>
          <w:szCs w:val="23"/>
          <w:lang w:eastAsia="da-DK"/>
        </w:rPr>
        <w:t xml:space="preserve">scenario </w:t>
      </w:r>
      <w:r w:rsidR="00455396">
        <w:rPr>
          <w:rFonts w:eastAsia="Times New Roman"/>
          <w:bCs/>
          <w:sz w:val="23"/>
          <w:szCs w:val="23"/>
          <w:lang w:eastAsia="da-DK"/>
        </w:rPr>
        <w:t>in terms of</w:t>
      </w:r>
      <w:r w:rsidR="002063C1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987472" w:rsidRPr="004645C7">
        <w:rPr>
          <w:rFonts w:eastAsia="Times New Roman"/>
          <w:bCs/>
          <w:sz w:val="23"/>
          <w:szCs w:val="23"/>
          <w:lang w:eastAsia="da-DK"/>
        </w:rPr>
        <w:t>potential environmental impact</w:t>
      </w:r>
      <w:r w:rsidR="0037049E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2063C1">
        <w:rPr>
          <w:rFonts w:eastAsia="Times New Roman"/>
          <w:bCs/>
          <w:sz w:val="23"/>
          <w:szCs w:val="23"/>
          <w:lang w:eastAsia="da-DK"/>
        </w:rPr>
        <w:t>should be assessed</w:t>
      </w:r>
      <w:r w:rsidR="00B57042" w:rsidRPr="004645C7">
        <w:rPr>
          <w:rFonts w:eastAsia="Times New Roman"/>
          <w:bCs/>
          <w:sz w:val="23"/>
          <w:szCs w:val="23"/>
          <w:lang w:eastAsia="da-DK"/>
        </w:rPr>
        <w:t xml:space="preserve">. </w:t>
      </w:r>
      <w:r w:rsidR="00B31455" w:rsidRPr="004645C7">
        <w:rPr>
          <w:rFonts w:eastAsia="Times New Roman"/>
          <w:bCs/>
          <w:sz w:val="23"/>
          <w:szCs w:val="23"/>
          <w:lang w:eastAsia="da-DK"/>
        </w:rPr>
        <w:t>Table 1</w:t>
      </w:r>
      <w:r w:rsidR="00D91B96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C6591C" w:rsidRPr="004645C7">
        <w:rPr>
          <w:rFonts w:eastAsia="Times New Roman"/>
          <w:bCs/>
          <w:sz w:val="23"/>
          <w:szCs w:val="23"/>
          <w:lang w:eastAsia="da-DK"/>
        </w:rPr>
        <w:t xml:space="preserve">summarises </w:t>
      </w:r>
      <w:r w:rsidR="00896DB1" w:rsidRPr="004645C7">
        <w:rPr>
          <w:rFonts w:eastAsia="Times New Roman"/>
          <w:bCs/>
          <w:sz w:val="23"/>
          <w:szCs w:val="23"/>
          <w:lang w:eastAsia="da-DK"/>
        </w:rPr>
        <w:t>the in</w:t>
      </w:r>
      <w:r w:rsidR="0040321A" w:rsidRPr="004645C7">
        <w:rPr>
          <w:rFonts w:eastAsia="Times New Roman"/>
          <w:bCs/>
          <w:sz w:val="23"/>
          <w:szCs w:val="23"/>
          <w:lang w:eastAsia="da-DK"/>
        </w:rPr>
        <w:t>for</w:t>
      </w:r>
      <w:r w:rsidR="00613EAE" w:rsidRPr="004645C7">
        <w:rPr>
          <w:rFonts w:eastAsia="Times New Roman"/>
          <w:bCs/>
          <w:sz w:val="23"/>
          <w:szCs w:val="23"/>
          <w:lang w:eastAsia="da-DK"/>
        </w:rPr>
        <w:t xml:space="preserve">mation expected within an EA. </w:t>
      </w:r>
    </w:p>
    <w:p w14:paraId="234CCF69" w14:textId="005063E2" w:rsidR="002D23B5" w:rsidRPr="004645C7" w:rsidRDefault="00613EAE" w:rsidP="00B7640C">
      <w:pPr>
        <w:suppressAutoHyphens/>
        <w:spacing w:before="120" w:after="120"/>
        <w:ind w:left="709" w:hanging="709"/>
        <w:rPr>
          <w:rFonts w:eastAsia="Times New Roman"/>
          <w:bCs/>
          <w:sz w:val="23"/>
          <w:szCs w:val="23"/>
          <w:lang w:eastAsia="da-DK"/>
        </w:rPr>
      </w:pPr>
      <w:r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36165A" w:rsidRPr="004645C7">
        <w:rPr>
          <w:rFonts w:eastAsia="Times New Roman"/>
          <w:bCs/>
          <w:sz w:val="23"/>
          <w:szCs w:val="23"/>
          <w:lang w:eastAsia="da-DK"/>
        </w:rPr>
        <w:t>12.</w:t>
      </w:r>
      <w:r w:rsidR="000B5B4D">
        <w:rPr>
          <w:rFonts w:eastAsia="Times New Roman"/>
          <w:bCs/>
          <w:sz w:val="23"/>
          <w:szCs w:val="23"/>
          <w:lang w:eastAsia="da-DK"/>
        </w:rPr>
        <w:t>8</w:t>
      </w:r>
      <w:r w:rsidR="0036165A" w:rsidRPr="004645C7">
        <w:rPr>
          <w:rFonts w:eastAsia="Times New Roman"/>
          <w:bCs/>
          <w:sz w:val="23"/>
          <w:szCs w:val="23"/>
          <w:lang w:eastAsia="da-DK"/>
        </w:rPr>
        <w:tab/>
      </w:r>
      <w:r w:rsidR="00455396">
        <w:rPr>
          <w:rFonts w:eastAsia="Times New Roman"/>
          <w:bCs/>
          <w:sz w:val="23"/>
          <w:szCs w:val="23"/>
          <w:lang w:eastAsia="da-DK"/>
        </w:rPr>
        <w:t>T</w:t>
      </w:r>
      <w:r w:rsidR="00D91B96" w:rsidRPr="004645C7">
        <w:rPr>
          <w:rFonts w:eastAsia="Times New Roman"/>
          <w:bCs/>
          <w:sz w:val="23"/>
          <w:szCs w:val="23"/>
          <w:lang w:eastAsia="da-DK"/>
        </w:rPr>
        <w:t xml:space="preserve">he level of information </w:t>
      </w:r>
      <w:r w:rsidR="00455396">
        <w:rPr>
          <w:rFonts w:eastAsia="Times New Roman"/>
          <w:bCs/>
          <w:sz w:val="23"/>
          <w:szCs w:val="23"/>
          <w:lang w:eastAsia="da-DK"/>
        </w:rPr>
        <w:t>in</w:t>
      </w:r>
      <w:r w:rsidR="00D12A67" w:rsidRPr="004645C7">
        <w:rPr>
          <w:rFonts w:eastAsia="Times New Roman"/>
          <w:bCs/>
          <w:sz w:val="23"/>
          <w:szCs w:val="23"/>
          <w:lang w:eastAsia="da-DK"/>
        </w:rPr>
        <w:t xml:space="preserve"> the EA </w:t>
      </w:r>
      <w:r w:rsidRPr="004645C7">
        <w:rPr>
          <w:rFonts w:eastAsia="Times New Roman"/>
          <w:bCs/>
          <w:sz w:val="23"/>
          <w:szCs w:val="23"/>
          <w:lang w:eastAsia="da-DK"/>
        </w:rPr>
        <w:t>should</w:t>
      </w:r>
      <w:r w:rsidR="00D12A67" w:rsidRPr="004645C7">
        <w:rPr>
          <w:rFonts w:eastAsia="Times New Roman"/>
          <w:bCs/>
          <w:sz w:val="23"/>
          <w:szCs w:val="23"/>
          <w:lang w:eastAsia="da-DK"/>
        </w:rPr>
        <w:t xml:space="preserve"> be proportionate to the </w:t>
      </w:r>
      <w:r w:rsidR="00455396">
        <w:rPr>
          <w:rFonts w:eastAsia="Times New Roman"/>
          <w:bCs/>
          <w:sz w:val="23"/>
          <w:szCs w:val="23"/>
          <w:lang w:eastAsia="da-DK"/>
        </w:rPr>
        <w:t xml:space="preserve">scale of the </w:t>
      </w:r>
      <w:r w:rsidR="00D12A67" w:rsidRPr="004645C7">
        <w:rPr>
          <w:rFonts w:eastAsia="Times New Roman"/>
          <w:bCs/>
          <w:sz w:val="23"/>
          <w:szCs w:val="23"/>
          <w:lang w:eastAsia="da-DK"/>
        </w:rPr>
        <w:t xml:space="preserve">activities </w:t>
      </w:r>
      <w:r w:rsidR="00455396">
        <w:rPr>
          <w:rFonts w:eastAsia="Times New Roman"/>
          <w:bCs/>
          <w:sz w:val="23"/>
          <w:szCs w:val="23"/>
          <w:lang w:eastAsia="da-DK"/>
        </w:rPr>
        <w:t>described in</w:t>
      </w:r>
      <w:r w:rsidR="00D12A67" w:rsidRPr="004645C7">
        <w:rPr>
          <w:rFonts w:eastAsia="Times New Roman"/>
          <w:bCs/>
          <w:sz w:val="23"/>
          <w:szCs w:val="23"/>
          <w:lang w:eastAsia="da-DK"/>
        </w:rPr>
        <w:t xml:space="preserve"> the DP</w:t>
      </w:r>
      <w:r w:rsidR="00E219D7" w:rsidRPr="004645C7">
        <w:rPr>
          <w:rFonts w:eastAsia="Times New Roman"/>
          <w:bCs/>
          <w:sz w:val="23"/>
          <w:szCs w:val="23"/>
          <w:lang w:eastAsia="da-DK"/>
        </w:rPr>
        <w:t xml:space="preserve">. </w:t>
      </w:r>
      <w:r w:rsidR="009B3F65">
        <w:rPr>
          <w:rFonts w:eastAsia="Times New Roman"/>
          <w:bCs/>
          <w:sz w:val="23"/>
          <w:szCs w:val="23"/>
          <w:lang w:eastAsia="da-DK"/>
        </w:rPr>
        <w:t>Where</w:t>
      </w:r>
      <w:r w:rsidR="00B12DB5" w:rsidRPr="004645C7">
        <w:rPr>
          <w:rFonts w:eastAsia="Times New Roman"/>
          <w:bCs/>
          <w:sz w:val="23"/>
          <w:szCs w:val="23"/>
          <w:lang w:eastAsia="da-DK"/>
        </w:rPr>
        <w:t xml:space="preserve"> the proposed activities </w:t>
      </w:r>
      <w:r w:rsidR="00C33190">
        <w:rPr>
          <w:rFonts w:eastAsia="Times New Roman"/>
          <w:bCs/>
          <w:sz w:val="23"/>
          <w:szCs w:val="23"/>
          <w:lang w:eastAsia="da-DK"/>
        </w:rPr>
        <w:t xml:space="preserve">could impact </w:t>
      </w:r>
      <w:r w:rsidR="00B12DB5" w:rsidRPr="004645C7">
        <w:rPr>
          <w:rFonts w:eastAsia="Times New Roman"/>
          <w:bCs/>
          <w:sz w:val="23"/>
          <w:szCs w:val="23"/>
          <w:lang w:eastAsia="da-DK"/>
        </w:rPr>
        <w:t>a sensitive area</w:t>
      </w:r>
      <w:r w:rsidR="006923E4" w:rsidRPr="004645C7">
        <w:rPr>
          <w:rFonts w:eastAsia="Times New Roman"/>
          <w:bCs/>
          <w:sz w:val="23"/>
          <w:szCs w:val="23"/>
          <w:lang w:eastAsia="da-DK"/>
        </w:rPr>
        <w:t xml:space="preserve"> (e.g. </w:t>
      </w:r>
      <w:r w:rsidR="00455396">
        <w:rPr>
          <w:rFonts w:eastAsia="Times New Roman"/>
          <w:bCs/>
          <w:sz w:val="23"/>
          <w:szCs w:val="23"/>
          <w:lang w:eastAsia="da-DK"/>
        </w:rPr>
        <w:t xml:space="preserve">a </w:t>
      </w:r>
      <w:r w:rsidR="006923E4" w:rsidRPr="004645C7">
        <w:rPr>
          <w:rFonts w:eastAsia="Times New Roman"/>
          <w:bCs/>
          <w:sz w:val="23"/>
          <w:szCs w:val="23"/>
          <w:lang w:eastAsia="da-DK"/>
        </w:rPr>
        <w:t>Marine Protected Area or coast</w:t>
      </w:r>
      <w:r w:rsidR="00455396">
        <w:rPr>
          <w:rFonts w:eastAsia="Times New Roman"/>
          <w:bCs/>
          <w:sz w:val="23"/>
          <w:szCs w:val="23"/>
          <w:lang w:eastAsia="da-DK"/>
        </w:rPr>
        <w:t>a</w:t>
      </w:r>
      <w:r w:rsidR="006923E4" w:rsidRPr="004645C7">
        <w:rPr>
          <w:rFonts w:eastAsia="Times New Roman"/>
          <w:bCs/>
          <w:sz w:val="23"/>
          <w:szCs w:val="23"/>
          <w:lang w:eastAsia="da-DK"/>
        </w:rPr>
        <w:t>l</w:t>
      </w:r>
      <w:r w:rsidR="00455396">
        <w:rPr>
          <w:rFonts w:eastAsia="Times New Roman"/>
          <w:bCs/>
          <w:sz w:val="23"/>
          <w:szCs w:val="23"/>
          <w:lang w:eastAsia="da-DK"/>
        </w:rPr>
        <w:t xml:space="preserve"> resources</w:t>
      </w:r>
      <w:r w:rsidR="006923E4" w:rsidRPr="004645C7">
        <w:rPr>
          <w:rFonts w:eastAsia="Times New Roman"/>
          <w:bCs/>
          <w:sz w:val="23"/>
          <w:szCs w:val="23"/>
          <w:lang w:eastAsia="da-DK"/>
        </w:rPr>
        <w:t>)</w:t>
      </w:r>
      <w:r w:rsidR="00B12DB5" w:rsidRPr="004645C7">
        <w:rPr>
          <w:rFonts w:eastAsia="Times New Roman"/>
          <w:bCs/>
          <w:sz w:val="23"/>
          <w:szCs w:val="23"/>
          <w:lang w:eastAsia="da-DK"/>
        </w:rPr>
        <w:t xml:space="preserve">, this </w:t>
      </w:r>
      <w:r w:rsidR="00455396">
        <w:rPr>
          <w:rFonts w:eastAsia="Times New Roman"/>
          <w:bCs/>
          <w:sz w:val="23"/>
          <w:szCs w:val="23"/>
          <w:lang w:eastAsia="da-DK"/>
        </w:rPr>
        <w:t xml:space="preserve">will also usually </w:t>
      </w:r>
      <w:r w:rsidR="00B12DB5" w:rsidRPr="004645C7">
        <w:rPr>
          <w:rFonts w:eastAsia="Times New Roman"/>
          <w:bCs/>
          <w:sz w:val="23"/>
          <w:szCs w:val="23"/>
          <w:lang w:eastAsia="da-DK"/>
        </w:rPr>
        <w:t xml:space="preserve">merit more </w:t>
      </w:r>
      <w:r w:rsidR="006923E4" w:rsidRPr="004645C7">
        <w:rPr>
          <w:rFonts w:eastAsia="Times New Roman"/>
          <w:bCs/>
          <w:sz w:val="23"/>
          <w:szCs w:val="23"/>
          <w:lang w:eastAsia="da-DK"/>
        </w:rPr>
        <w:t>detailed</w:t>
      </w:r>
      <w:r w:rsidR="00B12DB5" w:rsidRPr="004645C7">
        <w:rPr>
          <w:rFonts w:eastAsia="Times New Roman"/>
          <w:bCs/>
          <w:sz w:val="23"/>
          <w:szCs w:val="23"/>
          <w:lang w:eastAsia="da-DK"/>
        </w:rPr>
        <w:t xml:space="preserve"> information </w:t>
      </w:r>
      <w:r w:rsidR="006923E4" w:rsidRPr="004645C7">
        <w:rPr>
          <w:rFonts w:eastAsia="Times New Roman"/>
          <w:bCs/>
          <w:sz w:val="23"/>
          <w:szCs w:val="23"/>
          <w:lang w:eastAsia="da-DK"/>
        </w:rPr>
        <w:t xml:space="preserve">and a more robust assessment </w:t>
      </w:r>
      <w:r w:rsidR="00B12DB5" w:rsidRPr="004645C7">
        <w:rPr>
          <w:rFonts w:eastAsia="Times New Roman"/>
          <w:bCs/>
          <w:sz w:val="23"/>
          <w:szCs w:val="23"/>
          <w:lang w:eastAsia="da-DK"/>
        </w:rPr>
        <w:t xml:space="preserve">of the </w:t>
      </w:r>
      <w:r w:rsidR="004F7225">
        <w:rPr>
          <w:rFonts w:eastAsia="Times New Roman"/>
          <w:bCs/>
          <w:sz w:val="23"/>
          <w:szCs w:val="23"/>
          <w:lang w:eastAsia="da-DK"/>
        </w:rPr>
        <w:t>potential</w:t>
      </w:r>
      <w:r w:rsidR="004F7225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B12DB5" w:rsidRPr="004645C7">
        <w:rPr>
          <w:rFonts w:eastAsia="Times New Roman"/>
          <w:bCs/>
          <w:sz w:val="23"/>
          <w:szCs w:val="23"/>
          <w:lang w:eastAsia="da-DK"/>
        </w:rPr>
        <w:t>impacts.</w:t>
      </w:r>
    </w:p>
    <w:p w14:paraId="54BDB773" w14:textId="77777777" w:rsidR="00896DB1" w:rsidRPr="004645C7" w:rsidRDefault="00896DB1" w:rsidP="00FD4C43">
      <w:pPr>
        <w:suppressAutoHyphens/>
        <w:spacing w:before="120" w:after="120"/>
        <w:rPr>
          <w:rFonts w:eastAsia="Times New Roman"/>
          <w:bCs/>
          <w:sz w:val="23"/>
          <w:szCs w:val="23"/>
          <w:lang w:eastAsia="da-DK"/>
        </w:rPr>
      </w:pPr>
    </w:p>
    <w:p w14:paraId="0D339B7C" w14:textId="77777777" w:rsidR="00F470AB" w:rsidRDefault="00F470AB" w:rsidP="00F2021F">
      <w:pPr>
        <w:suppressAutoHyphens/>
        <w:spacing w:before="120" w:after="120" w:line="280" w:lineRule="atLeast"/>
        <w:rPr>
          <w:rFonts w:eastAsia="Times New Roman"/>
          <w:bCs/>
          <w:lang w:eastAsia="da-DK"/>
        </w:rPr>
        <w:sectPr w:rsidR="00F470AB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E09C52" w14:textId="77777777" w:rsidR="00EE4C50" w:rsidRPr="003707A7" w:rsidRDefault="009D4C9E" w:rsidP="003707A7">
      <w:pPr>
        <w:suppressAutoHyphens/>
        <w:spacing w:before="120" w:line="280" w:lineRule="atLeast"/>
        <w:rPr>
          <w:rFonts w:eastAsia="Times New Roman"/>
          <w:bCs/>
          <w:color w:val="1F497D" w:themeColor="text2"/>
          <w:lang w:eastAsia="da-DK"/>
        </w:rPr>
      </w:pPr>
      <w:r w:rsidRPr="003707A7">
        <w:rPr>
          <w:rFonts w:eastAsia="Times New Roman"/>
          <w:bCs/>
          <w:color w:val="1F497D" w:themeColor="text2"/>
          <w:lang w:eastAsia="da-DK"/>
        </w:rPr>
        <w:lastRenderedPageBreak/>
        <w:t>Table 1: Type and level of information expected in an 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6973"/>
        <w:gridCol w:w="4194"/>
      </w:tblGrid>
      <w:tr w:rsidR="00F470AB" w14:paraId="5F9CC4B6" w14:textId="77777777" w:rsidTr="00A02816">
        <w:tc>
          <w:tcPr>
            <w:tcW w:w="2802" w:type="dxa"/>
          </w:tcPr>
          <w:p w14:paraId="36D9B913" w14:textId="77777777" w:rsidR="00F470AB" w:rsidRPr="005C4913" w:rsidRDefault="00F470AB" w:rsidP="00F2021F">
            <w:pPr>
              <w:suppressAutoHyphens/>
              <w:spacing w:before="120" w:after="120" w:line="280" w:lineRule="atLeast"/>
              <w:rPr>
                <w:rFonts w:ascii="Arial" w:hAnsi="Arial" w:cs="Arial"/>
                <w:b/>
                <w:bCs/>
                <w:color w:val="1F497D" w:themeColor="text2"/>
                <w:sz w:val="23"/>
                <w:szCs w:val="23"/>
                <w:lang w:eastAsia="da-DK"/>
              </w:rPr>
            </w:pPr>
            <w:r w:rsidRPr="005C4913">
              <w:rPr>
                <w:rFonts w:ascii="Arial" w:hAnsi="Arial" w:cs="Arial"/>
                <w:b/>
                <w:bCs/>
                <w:color w:val="1F497D" w:themeColor="text2"/>
                <w:sz w:val="23"/>
                <w:szCs w:val="23"/>
                <w:lang w:eastAsia="da-DK"/>
              </w:rPr>
              <w:t>Section</w:t>
            </w:r>
          </w:p>
        </w:tc>
        <w:tc>
          <w:tcPr>
            <w:tcW w:w="7087" w:type="dxa"/>
          </w:tcPr>
          <w:p w14:paraId="599DEC16" w14:textId="77777777" w:rsidR="00F470AB" w:rsidRPr="005C4913" w:rsidRDefault="00F470AB" w:rsidP="00F2021F">
            <w:pPr>
              <w:suppressAutoHyphens/>
              <w:spacing w:before="120" w:after="120" w:line="280" w:lineRule="atLeast"/>
              <w:rPr>
                <w:rFonts w:ascii="Arial" w:hAnsi="Arial" w:cs="Arial"/>
                <w:b/>
                <w:bCs/>
                <w:color w:val="1F497D" w:themeColor="text2"/>
                <w:sz w:val="23"/>
                <w:szCs w:val="23"/>
                <w:lang w:eastAsia="da-DK"/>
              </w:rPr>
            </w:pPr>
            <w:r w:rsidRPr="005C4913">
              <w:rPr>
                <w:rFonts w:ascii="Arial" w:hAnsi="Arial" w:cs="Arial"/>
                <w:b/>
                <w:bCs/>
                <w:color w:val="1F497D" w:themeColor="text2"/>
                <w:sz w:val="23"/>
                <w:szCs w:val="23"/>
                <w:lang w:eastAsia="da-DK"/>
              </w:rPr>
              <w:t>Type of information</w:t>
            </w:r>
          </w:p>
        </w:tc>
        <w:tc>
          <w:tcPr>
            <w:tcW w:w="4253" w:type="dxa"/>
          </w:tcPr>
          <w:p w14:paraId="1A76EE32" w14:textId="77777777" w:rsidR="00F470AB" w:rsidRPr="005C4913" w:rsidRDefault="00F470AB" w:rsidP="00F2021F">
            <w:pPr>
              <w:suppressAutoHyphens/>
              <w:spacing w:before="120" w:after="120" w:line="280" w:lineRule="atLeast"/>
              <w:rPr>
                <w:rFonts w:ascii="Arial" w:hAnsi="Arial" w:cs="Arial"/>
                <w:b/>
                <w:bCs/>
                <w:color w:val="1F497D" w:themeColor="text2"/>
                <w:sz w:val="23"/>
                <w:szCs w:val="23"/>
                <w:lang w:eastAsia="da-DK"/>
              </w:rPr>
            </w:pPr>
            <w:r w:rsidRPr="005C4913">
              <w:rPr>
                <w:rFonts w:ascii="Arial" w:hAnsi="Arial" w:cs="Arial"/>
                <w:b/>
                <w:bCs/>
                <w:color w:val="1F497D" w:themeColor="text2"/>
                <w:sz w:val="23"/>
                <w:szCs w:val="23"/>
                <w:lang w:eastAsia="da-DK"/>
              </w:rPr>
              <w:t>Level of information</w:t>
            </w:r>
          </w:p>
        </w:tc>
      </w:tr>
      <w:tr w:rsidR="00F470AB" w14:paraId="68F292C2" w14:textId="77777777" w:rsidTr="00A02816">
        <w:tc>
          <w:tcPr>
            <w:tcW w:w="2802" w:type="dxa"/>
          </w:tcPr>
          <w:p w14:paraId="1C335E13" w14:textId="77777777" w:rsidR="00F470AB" w:rsidRPr="00D91B96" w:rsidRDefault="00F470AB" w:rsidP="00B1255F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D91B96">
              <w:rPr>
                <w:rFonts w:ascii="Arial" w:hAnsi="Arial" w:cs="Arial"/>
                <w:bCs/>
                <w:lang w:eastAsia="da-DK"/>
              </w:rPr>
              <w:t>Non-technical summary</w:t>
            </w:r>
          </w:p>
        </w:tc>
        <w:tc>
          <w:tcPr>
            <w:tcW w:w="7087" w:type="dxa"/>
          </w:tcPr>
          <w:p w14:paraId="79ACBE37" w14:textId="7B82B8C3" w:rsidR="00F470AB" w:rsidRPr="00D85EC5" w:rsidRDefault="00BD6A9D" w:rsidP="00B1255F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D85EC5">
              <w:rPr>
                <w:rFonts w:ascii="Arial" w:hAnsi="Arial" w:cs="Arial"/>
                <w:bCs/>
                <w:lang w:eastAsia="da-DK"/>
              </w:rPr>
              <w:t xml:space="preserve">This should include a summary description of the </w:t>
            </w:r>
            <w:r w:rsidR="00455396">
              <w:rPr>
                <w:rFonts w:ascii="Arial" w:hAnsi="Arial" w:cs="Arial"/>
                <w:bCs/>
                <w:lang w:eastAsia="da-DK"/>
              </w:rPr>
              <w:t>selected</w:t>
            </w:r>
            <w:r w:rsidR="0040251D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Pr="00D85EC5">
              <w:rPr>
                <w:rFonts w:ascii="Arial" w:hAnsi="Arial" w:cs="Arial"/>
                <w:bCs/>
                <w:lang w:eastAsia="da-DK"/>
              </w:rPr>
              <w:t>decomm</w:t>
            </w:r>
            <w:r w:rsidR="00613EAE">
              <w:rPr>
                <w:rFonts w:ascii="Arial" w:hAnsi="Arial" w:cs="Arial"/>
                <w:bCs/>
                <w:lang w:eastAsia="da-DK"/>
              </w:rPr>
              <w:t xml:space="preserve">issioning </w:t>
            </w:r>
            <w:r w:rsidR="0040251D">
              <w:rPr>
                <w:rFonts w:ascii="Arial" w:hAnsi="Arial" w:cs="Arial"/>
                <w:bCs/>
                <w:lang w:eastAsia="da-DK"/>
              </w:rPr>
              <w:t xml:space="preserve">option (and any decommissioning methods which </w:t>
            </w:r>
            <w:r w:rsidR="00455396">
              <w:rPr>
                <w:rFonts w:ascii="Arial" w:hAnsi="Arial" w:cs="Arial"/>
                <w:bCs/>
                <w:lang w:eastAsia="da-DK"/>
              </w:rPr>
              <w:t>may be employed</w:t>
            </w:r>
            <w:r w:rsidR="0040251D">
              <w:rPr>
                <w:rFonts w:ascii="Arial" w:hAnsi="Arial" w:cs="Arial"/>
                <w:bCs/>
                <w:lang w:eastAsia="da-DK"/>
              </w:rPr>
              <w:t>)</w:t>
            </w:r>
            <w:r w:rsidRPr="00D85EC5">
              <w:rPr>
                <w:rFonts w:ascii="Arial" w:hAnsi="Arial" w:cs="Arial"/>
                <w:bCs/>
                <w:lang w:eastAsia="da-DK"/>
              </w:rPr>
              <w:t>, the baseline</w:t>
            </w:r>
            <w:r w:rsidR="00F55AEF">
              <w:rPr>
                <w:rFonts w:ascii="Arial" w:hAnsi="Arial" w:cs="Arial"/>
                <w:bCs/>
                <w:lang w:eastAsia="da-DK"/>
              </w:rPr>
              <w:t xml:space="preserve"> environment and</w:t>
            </w:r>
            <w:r w:rsidRPr="00D85EC5">
              <w:rPr>
                <w:rFonts w:ascii="Arial" w:hAnsi="Arial" w:cs="Arial"/>
                <w:bCs/>
                <w:lang w:eastAsia="da-DK"/>
              </w:rPr>
              <w:t xml:space="preserve"> environmental sensitivities, the aspects of the environment likely to be affected by the activities</w:t>
            </w:r>
            <w:r w:rsidR="001361AC">
              <w:rPr>
                <w:rFonts w:ascii="Arial" w:hAnsi="Arial" w:cs="Arial"/>
                <w:bCs/>
                <w:lang w:eastAsia="da-DK"/>
              </w:rPr>
              <w:t>,</w:t>
            </w:r>
            <w:r w:rsidRPr="00D85EC5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F55AEF">
              <w:rPr>
                <w:rFonts w:ascii="Arial" w:hAnsi="Arial" w:cs="Arial"/>
                <w:bCs/>
                <w:lang w:eastAsia="da-DK"/>
              </w:rPr>
              <w:t>any</w:t>
            </w:r>
            <w:r w:rsidR="0040251D">
              <w:rPr>
                <w:rFonts w:ascii="Arial" w:hAnsi="Arial" w:cs="Arial"/>
                <w:bCs/>
                <w:lang w:eastAsia="da-DK"/>
              </w:rPr>
              <w:t xml:space="preserve"> identified</w:t>
            </w:r>
            <w:r w:rsidR="0040251D" w:rsidRPr="00D85EC5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Pr="00D85EC5">
              <w:rPr>
                <w:rFonts w:ascii="Arial" w:hAnsi="Arial" w:cs="Arial"/>
                <w:bCs/>
                <w:lang w:eastAsia="da-DK"/>
              </w:rPr>
              <w:t xml:space="preserve">likely significant impacts and any mitigation measures to be implemented.  </w:t>
            </w:r>
          </w:p>
        </w:tc>
        <w:tc>
          <w:tcPr>
            <w:tcW w:w="4253" w:type="dxa"/>
          </w:tcPr>
          <w:p w14:paraId="730A3079" w14:textId="001F32B7" w:rsidR="00F470AB" w:rsidRPr="00BD6A9D" w:rsidRDefault="00BD6A9D" w:rsidP="00B1255F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BD6A9D">
              <w:rPr>
                <w:rFonts w:ascii="Arial" w:hAnsi="Arial" w:cs="Arial"/>
                <w:bCs/>
                <w:lang w:eastAsia="da-DK"/>
              </w:rPr>
              <w:t xml:space="preserve">Provision of </w:t>
            </w:r>
            <w:proofErr w:type="gramStart"/>
            <w:r w:rsidRPr="00BD6A9D">
              <w:rPr>
                <w:rFonts w:ascii="Arial" w:hAnsi="Arial" w:cs="Arial"/>
                <w:bCs/>
                <w:lang w:eastAsia="da-DK"/>
              </w:rPr>
              <w:t>sufficient</w:t>
            </w:r>
            <w:proofErr w:type="gramEnd"/>
            <w:r w:rsidR="00987472">
              <w:rPr>
                <w:rFonts w:ascii="Arial" w:hAnsi="Arial" w:cs="Arial"/>
                <w:bCs/>
                <w:lang w:eastAsia="da-DK"/>
              </w:rPr>
              <w:t>, but concise</w:t>
            </w:r>
            <w:r w:rsidRPr="00BD6A9D">
              <w:rPr>
                <w:rFonts w:ascii="Arial" w:hAnsi="Arial" w:cs="Arial"/>
                <w:bCs/>
                <w:lang w:eastAsia="da-DK"/>
              </w:rPr>
              <w:t xml:space="preserve"> information to allow a non-specialist reader to understand the proposals</w:t>
            </w:r>
            <w:r w:rsidR="00C33190">
              <w:rPr>
                <w:rFonts w:ascii="Arial" w:hAnsi="Arial" w:cs="Arial"/>
                <w:bCs/>
                <w:lang w:eastAsia="da-DK"/>
              </w:rPr>
              <w:t>,</w:t>
            </w:r>
            <w:r w:rsidRPr="00BD6A9D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C33190">
              <w:rPr>
                <w:rFonts w:ascii="Arial" w:hAnsi="Arial" w:cs="Arial"/>
                <w:bCs/>
                <w:lang w:eastAsia="da-DK"/>
              </w:rPr>
              <w:t xml:space="preserve">the </w:t>
            </w:r>
            <w:r w:rsidR="00455396">
              <w:rPr>
                <w:rFonts w:ascii="Arial" w:hAnsi="Arial" w:cs="Arial"/>
                <w:bCs/>
                <w:lang w:eastAsia="da-DK"/>
              </w:rPr>
              <w:t xml:space="preserve">potential </w:t>
            </w:r>
            <w:r w:rsidRPr="00BD6A9D">
              <w:rPr>
                <w:rFonts w:ascii="Arial" w:hAnsi="Arial" w:cs="Arial"/>
                <w:bCs/>
                <w:lang w:eastAsia="da-DK"/>
              </w:rPr>
              <w:t xml:space="preserve">impacts and </w:t>
            </w:r>
            <w:r w:rsidR="00C33190">
              <w:rPr>
                <w:rFonts w:ascii="Arial" w:hAnsi="Arial" w:cs="Arial"/>
                <w:bCs/>
                <w:lang w:eastAsia="da-DK"/>
              </w:rPr>
              <w:t xml:space="preserve">the </w:t>
            </w:r>
            <w:r w:rsidRPr="00BD6A9D">
              <w:rPr>
                <w:rFonts w:ascii="Arial" w:hAnsi="Arial" w:cs="Arial"/>
                <w:bCs/>
                <w:lang w:eastAsia="da-DK"/>
              </w:rPr>
              <w:t xml:space="preserve">proposed mitigation, without recourse to consideration of the rest of the submission.  </w:t>
            </w:r>
          </w:p>
        </w:tc>
      </w:tr>
      <w:tr w:rsidR="00F470AB" w14:paraId="511F2C53" w14:textId="77777777" w:rsidTr="00A02816">
        <w:tc>
          <w:tcPr>
            <w:tcW w:w="2802" w:type="dxa"/>
          </w:tcPr>
          <w:p w14:paraId="3CF4FF9B" w14:textId="77777777" w:rsidR="00F470AB" w:rsidRPr="00D91B96" w:rsidRDefault="00F470AB" w:rsidP="00B1255F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D91B96">
              <w:rPr>
                <w:rFonts w:ascii="Arial" w:hAnsi="Arial" w:cs="Arial"/>
                <w:bCs/>
                <w:lang w:eastAsia="da-DK"/>
              </w:rPr>
              <w:t>Introduction</w:t>
            </w:r>
          </w:p>
        </w:tc>
        <w:tc>
          <w:tcPr>
            <w:tcW w:w="7087" w:type="dxa"/>
          </w:tcPr>
          <w:p w14:paraId="1DFEC310" w14:textId="0D67CB2A" w:rsidR="00F470AB" w:rsidRPr="00BD6A9D" w:rsidRDefault="0034121A" w:rsidP="00B1255F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 xml:space="preserve">Details the rationale of the assessment, including </w:t>
            </w:r>
            <w:r w:rsidR="002F71CE">
              <w:rPr>
                <w:rFonts w:ascii="Arial" w:hAnsi="Arial" w:cs="Arial"/>
                <w:bCs/>
                <w:lang w:eastAsia="da-DK"/>
              </w:rPr>
              <w:t>a summary of why it has been undertaken. This may include a summary of the policy and regulatory context, if not presented in a separate section.</w:t>
            </w:r>
          </w:p>
        </w:tc>
        <w:tc>
          <w:tcPr>
            <w:tcW w:w="4253" w:type="dxa"/>
          </w:tcPr>
          <w:p w14:paraId="518E09EA" w14:textId="77777777" w:rsidR="00F470AB" w:rsidRPr="00BD6A9D" w:rsidRDefault="002F71CE" w:rsidP="00B1255F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>Clear and concise.</w:t>
            </w:r>
          </w:p>
        </w:tc>
      </w:tr>
      <w:tr w:rsidR="00F470AB" w14:paraId="6F232383" w14:textId="77777777" w:rsidTr="00A02816">
        <w:tc>
          <w:tcPr>
            <w:tcW w:w="2802" w:type="dxa"/>
          </w:tcPr>
          <w:p w14:paraId="33F44F95" w14:textId="77777777" w:rsidR="00F470AB" w:rsidRPr="00D91B96" w:rsidRDefault="00F470AB" w:rsidP="00B1255F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D91B96">
              <w:rPr>
                <w:rFonts w:ascii="Arial" w:hAnsi="Arial" w:cs="Arial"/>
                <w:bCs/>
                <w:lang w:eastAsia="da-DK"/>
              </w:rPr>
              <w:t>Policy and regulatory context</w:t>
            </w:r>
          </w:p>
        </w:tc>
        <w:tc>
          <w:tcPr>
            <w:tcW w:w="7087" w:type="dxa"/>
          </w:tcPr>
          <w:p w14:paraId="3E9DE264" w14:textId="70B954D4" w:rsidR="00F470AB" w:rsidRPr="00BD6A9D" w:rsidRDefault="002F71CE" w:rsidP="00B1255F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>If not included in the introduction, a summary of the relevant policy and legislation and how the EA and the proposed activities comply with th</w:t>
            </w:r>
            <w:r w:rsidR="001361AC">
              <w:rPr>
                <w:rFonts w:ascii="Arial" w:hAnsi="Arial" w:cs="Arial"/>
                <w:bCs/>
                <w:lang w:eastAsia="da-DK"/>
              </w:rPr>
              <w:t>e requirements</w:t>
            </w:r>
            <w:r>
              <w:rPr>
                <w:rFonts w:ascii="Arial" w:hAnsi="Arial" w:cs="Arial"/>
                <w:bCs/>
                <w:lang w:eastAsia="da-DK"/>
              </w:rPr>
              <w:t>.</w:t>
            </w:r>
          </w:p>
        </w:tc>
        <w:tc>
          <w:tcPr>
            <w:tcW w:w="4253" w:type="dxa"/>
          </w:tcPr>
          <w:p w14:paraId="4A02F94F" w14:textId="77777777" w:rsidR="00F470AB" w:rsidRPr="00BD6A9D" w:rsidRDefault="002F71CE" w:rsidP="00B1255F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>Clear and concise.</w:t>
            </w:r>
          </w:p>
        </w:tc>
      </w:tr>
      <w:tr w:rsidR="00F470AB" w14:paraId="21B02D4B" w14:textId="77777777" w:rsidTr="00A02816">
        <w:tc>
          <w:tcPr>
            <w:tcW w:w="2802" w:type="dxa"/>
          </w:tcPr>
          <w:p w14:paraId="3216544C" w14:textId="77777777" w:rsidR="00F470AB" w:rsidRPr="00D91B96" w:rsidRDefault="00F470AB" w:rsidP="00B1255F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D91B96">
              <w:rPr>
                <w:rFonts w:ascii="Arial" w:hAnsi="Arial" w:cs="Arial"/>
                <w:bCs/>
                <w:lang w:eastAsia="da-DK"/>
              </w:rPr>
              <w:t>Stakeholder consultation</w:t>
            </w:r>
          </w:p>
        </w:tc>
        <w:tc>
          <w:tcPr>
            <w:tcW w:w="7087" w:type="dxa"/>
          </w:tcPr>
          <w:p w14:paraId="1DACBD41" w14:textId="10F83F8E" w:rsidR="00F470AB" w:rsidRPr="00BD6A9D" w:rsidRDefault="00613EAE" w:rsidP="00B1255F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>Where</w:t>
            </w:r>
            <w:r w:rsidR="006A3D67">
              <w:rPr>
                <w:rFonts w:ascii="Arial" w:hAnsi="Arial" w:cs="Arial"/>
                <w:bCs/>
                <w:lang w:eastAsia="da-DK"/>
              </w:rPr>
              <w:t xml:space="preserve"> stakeholder consultation has been undertaken, the relevant stakeholders </w:t>
            </w:r>
            <w:r w:rsidR="00F55AEF">
              <w:rPr>
                <w:rFonts w:ascii="Arial" w:hAnsi="Arial" w:cs="Arial"/>
                <w:bCs/>
                <w:lang w:eastAsia="da-DK"/>
              </w:rPr>
              <w:t xml:space="preserve">should be </w:t>
            </w:r>
            <w:proofErr w:type="gramStart"/>
            <w:r w:rsidR="00F55AEF">
              <w:rPr>
                <w:rFonts w:ascii="Arial" w:hAnsi="Arial" w:cs="Arial"/>
                <w:bCs/>
                <w:lang w:eastAsia="da-DK"/>
              </w:rPr>
              <w:t>identified</w:t>
            </w:r>
            <w:proofErr w:type="gramEnd"/>
            <w:r w:rsidR="00F55AEF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6A3D67">
              <w:rPr>
                <w:rFonts w:ascii="Arial" w:hAnsi="Arial" w:cs="Arial"/>
                <w:bCs/>
                <w:lang w:eastAsia="da-DK"/>
              </w:rPr>
              <w:t xml:space="preserve">and their comments should be </w:t>
            </w:r>
            <w:r w:rsidR="0040251D">
              <w:rPr>
                <w:rFonts w:ascii="Arial" w:hAnsi="Arial" w:cs="Arial"/>
                <w:bCs/>
                <w:lang w:eastAsia="da-DK"/>
              </w:rPr>
              <w:t>summarised</w:t>
            </w:r>
            <w:r w:rsidR="006A3D67">
              <w:rPr>
                <w:rFonts w:ascii="Arial" w:hAnsi="Arial" w:cs="Arial"/>
                <w:bCs/>
                <w:lang w:eastAsia="da-DK"/>
              </w:rPr>
              <w:t xml:space="preserve">, </w:t>
            </w:r>
            <w:r w:rsidR="002F600F">
              <w:rPr>
                <w:rFonts w:ascii="Arial" w:hAnsi="Arial" w:cs="Arial"/>
                <w:bCs/>
                <w:lang w:eastAsia="da-DK"/>
              </w:rPr>
              <w:t xml:space="preserve">stating </w:t>
            </w:r>
            <w:r w:rsidR="006A3D67">
              <w:rPr>
                <w:rFonts w:ascii="Arial" w:hAnsi="Arial" w:cs="Arial"/>
                <w:bCs/>
                <w:lang w:eastAsia="da-DK"/>
              </w:rPr>
              <w:t xml:space="preserve">where in the </w:t>
            </w:r>
            <w:r w:rsidR="0040321A">
              <w:rPr>
                <w:rFonts w:ascii="Arial" w:hAnsi="Arial" w:cs="Arial"/>
                <w:bCs/>
                <w:lang w:eastAsia="da-DK"/>
              </w:rPr>
              <w:t xml:space="preserve">EA </w:t>
            </w:r>
            <w:r w:rsidR="002F600F">
              <w:rPr>
                <w:rFonts w:ascii="Arial" w:hAnsi="Arial" w:cs="Arial"/>
                <w:bCs/>
                <w:lang w:eastAsia="da-DK"/>
              </w:rPr>
              <w:t>any comments</w:t>
            </w:r>
            <w:r w:rsidR="006A3D67">
              <w:rPr>
                <w:rFonts w:ascii="Arial" w:hAnsi="Arial" w:cs="Arial"/>
                <w:bCs/>
                <w:lang w:eastAsia="da-DK"/>
              </w:rPr>
              <w:t xml:space="preserve"> have been </w:t>
            </w:r>
            <w:r>
              <w:rPr>
                <w:rFonts w:ascii="Arial" w:hAnsi="Arial" w:cs="Arial"/>
                <w:bCs/>
                <w:lang w:eastAsia="da-DK"/>
              </w:rPr>
              <w:t>addressed</w:t>
            </w:r>
            <w:r w:rsidR="006A3D67">
              <w:rPr>
                <w:rFonts w:ascii="Arial" w:hAnsi="Arial" w:cs="Arial"/>
                <w:bCs/>
                <w:lang w:eastAsia="da-DK"/>
              </w:rPr>
              <w:t>.</w:t>
            </w:r>
          </w:p>
        </w:tc>
        <w:tc>
          <w:tcPr>
            <w:tcW w:w="4253" w:type="dxa"/>
          </w:tcPr>
          <w:p w14:paraId="06E531B2" w14:textId="1E26C5B1" w:rsidR="00F470AB" w:rsidRPr="00BD6A9D" w:rsidRDefault="006A3D67" w:rsidP="00B1255F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 xml:space="preserve">This should be clear and concise </w:t>
            </w:r>
            <w:r w:rsidR="00F55AEF">
              <w:rPr>
                <w:rFonts w:ascii="Arial" w:hAnsi="Arial" w:cs="Arial"/>
                <w:bCs/>
                <w:lang w:eastAsia="da-DK"/>
              </w:rPr>
              <w:t>(</w:t>
            </w:r>
            <w:r>
              <w:rPr>
                <w:rFonts w:ascii="Arial" w:hAnsi="Arial" w:cs="Arial"/>
                <w:bCs/>
                <w:lang w:eastAsia="da-DK"/>
              </w:rPr>
              <w:t xml:space="preserve">either text or </w:t>
            </w:r>
            <w:r w:rsidR="00F55AEF">
              <w:rPr>
                <w:rFonts w:ascii="Arial" w:hAnsi="Arial" w:cs="Arial"/>
                <w:bCs/>
                <w:lang w:eastAsia="da-DK"/>
              </w:rPr>
              <w:t xml:space="preserve">a </w:t>
            </w:r>
            <w:r>
              <w:rPr>
                <w:rFonts w:ascii="Arial" w:hAnsi="Arial" w:cs="Arial"/>
                <w:bCs/>
                <w:lang w:eastAsia="da-DK"/>
              </w:rPr>
              <w:t>tabular format would be acceptable</w:t>
            </w:r>
            <w:r w:rsidR="00F55AEF">
              <w:rPr>
                <w:rFonts w:ascii="Arial" w:hAnsi="Arial" w:cs="Arial"/>
                <w:bCs/>
                <w:lang w:eastAsia="da-DK"/>
              </w:rPr>
              <w:t>)</w:t>
            </w:r>
            <w:r>
              <w:rPr>
                <w:rFonts w:ascii="Arial" w:hAnsi="Arial" w:cs="Arial"/>
                <w:bCs/>
                <w:lang w:eastAsia="da-DK"/>
              </w:rPr>
              <w:t>.</w:t>
            </w:r>
          </w:p>
        </w:tc>
      </w:tr>
      <w:tr w:rsidR="00F470AB" w14:paraId="271733B3" w14:textId="77777777" w:rsidTr="00A02816">
        <w:tc>
          <w:tcPr>
            <w:tcW w:w="2802" w:type="dxa"/>
          </w:tcPr>
          <w:p w14:paraId="7EC64F7D" w14:textId="77777777" w:rsidR="00F470AB" w:rsidRPr="00D91B96" w:rsidRDefault="00F470AB" w:rsidP="00B1255F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D91B96">
              <w:rPr>
                <w:rFonts w:ascii="Arial" w:hAnsi="Arial" w:cs="Arial"/>
                <w:bCs/>
                <w:lang w:eastAsia="da-DK"/>
              </w:rPr>
              <w:t>Decommissioning activities</w:t>
            </w:r>
          </w:p>
        </w:tc>
        <w:tc>
          <w:tcPr>
            <w:tcW w:w="7087" w:type="dxa"/>
          </w:tcPr>
          <w:p w14:paraId="18E465EC" w14:textId="504666A2" w:rsidR="00F470AB" w:rsidRPr="00BD6A9D" w:rsidRDefault="000C0B2E" w:rsidP="00B1255F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>This should include a detailed, but not overly technical description of the proposed decommissioning activities</w:t>
            </w:r>
            <w:r w:rsidR="00E011E4">
              <w:rPr>
                <w:rFonts w:ascii="Arial" w:hAnsi="Arial" w:cs="Arial"/>
                <w:bCs/>
                <w:lang w:eastAsia="da-DK"/>
              </w:rPr>
              <w:t xml:space="preserve"> and methodologies</w:t>
            </w:r>
            <w:r w:rsidR="00D85EC5">
              <w:rPr>
                <w:rFonts w:ascii="Arial" w:hAnsi="Arial" w:cs="Arial"/>
                <w:bCs/>
                <w:lang w:eastAsia="da-DK"/>
              </w:rPr>
              <w:t xml:space="preserve"> that</w:t>
            </w:r>
            <w:r w:rsidR="00E011E4">
              <w:rPr>
                <w:rFonts w:ascii="Arial" w:hAnsi="Arial" w:cs="Arial"/>
                <w:bCs/>
                <w:lang w:eastAsia="da-DK"/>
              </w:rPr>
              <w:t xml:space="preserve"> have been selected</w:t>
            </w:r>
            <w:r w:rsidR="00D85EC5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F55AEF">
              <w:rPr>
                <w:rFonts w:ascii="Arial" w:hAnsi="Arial" w:cs="Arial"/>
                <w:bCs/>
                <w:lang w:eastAsia="da-DK"/>
              </w:rPr>
              <w:t xml:space="preserve">and are described </w:t>
            </w:r>
            <w:r w:rsidR="00D85EC5">
              <w:rPr>
                <w:rFonts w:ascii="Arial" w:hAnsi="Arial" w:cs="Arial"/>
                <w:bCs/>
                <w:lang w:eastAsia="da-DK"/>
              </w:rPr>
              <w:t xml:space="preserve">in the </w:t>
            </w:r>
            <w:r w:rsidR="002D64CE">
              <w:rPr>
                <w:rFonts w:ascii="Arial" w:hAnsi="Arial" w:cs="Arial"/>
                <w:bCs/>
                <w:lang w:eastAsia="da-DK"/>
              </w:rPr>
              <w:t>DP</w:t>
            </w:r>
            <w:r w:rsidR="00D85EC5">
              <w:rPr>
                <w:rFonts w:ascii="Arial" w:hAnsi="Arial" w:cs="Arial"/>
                <w:bCs/>
                <w:lang w:eastAsia="da-DK"/>
              </w:rPr>
              <w:t>. The description</w:t>
            </w:r>
            <w:r>
              <w:rPr>
                <w:rFonts w:ascii="Arial" w:hAnsi="Arial" w:cs="Arial"/>
                <w:bCs/>
                <w:lang w:eastAsia="da-DK"/>
              </w:rPr>
              <w:t xml:space="preserve"> should include</w:t>
            </w:r>
            <w:r w:rsidR="00401BCE">
              <w:rPr>
                <w:rFonts w:ascii="Arial" w:hAnsi="Arial" w:cs="Arial"/>
                <w:bCs/>
                <w:lang w:eastAsia="da-DK"/>
              </w:rPr>
              <w:t xml:space="preserve"> information </w:t>
            </w:r>
            <w:r w:rsidR="00F55AEF">
              <w:rPr>
                <w:rFonts w:ascii="Arial" w:hAnsi="Arial" w:cs="Arial"/>
                <w:bCs/>
                <w:lang w:eastAsia="da-DK"/>
              </w:rPr>
              <w:t>relating to</w:t>
            </w:r>
            <w:r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2F600F">
              <w:rPr>
                <w:rFonts w:ascii="Arial" w:hAnsi="Arial" w:cs="Arial"/>
                <w:bCs/>
                <w:lang w:eastAsia="da-DK"/>
              </w:rPr>
              <w:t xml:space="preserve">the </w:t>
            </w:r>
            <w:r w:rsidR="00D85EC5">
              <w:rPr>
                <w:rFonts w:ascii="Arial" w:hAnsi="Arial" w:cs="Arial"/>
                <w:bCs/>
                <w:lang w:eastAsia="da-DK"/>
              </w:rPr>
              <w:t xml:space="preserve">design and </w:t>
            </w:r>
            <w:r w:rsidR="00F55AEF">
              <w:rPr>
                <w:rFonts w:ascii="Arial" w:hAnsi="Arial" w:cs="Arial"/>
                <w:bCs/>
                <w:lang w:eastAsia="da-DK"/>
              </w:rPr>
              <w:t xml:space="preserve">proposed execution </w:t>
            </w:r>
            <w:r w:rsidR="00D85EC5">
              <w:rPr>
                <w:rFonts w:ascii="Arial" w:hAnsi="Arial" w:cs="Arial"/>
                <w:bCs/>
                <w:lang w:eastAsia="da-DK"/>
              </w:rPr>
              <w:t>of the activities,</w:t>
            </w:r>
            <w:r w:rsidR="009F3B0E">
              <w:rPr>
                <w:rFonts w:ascii="Arial" w:hAnsi="Arial" w:cs="Arial"/>
                <w:bCs/>
                <w:lang w:eastAsia="da-DK"/>
              </w:rPr>
              <w:t xml:space="preserve"> including methodologies, </w:t>
            </w:r>
            <w:r w:rsidR="002F600F">
              <w:rPr>
                <w:rFonts w:ascii="Arial" w:hAnsi="Arial" w:cs="Arial"/>
                <w:bCs/>
                <w:lang w:eastAsia="da-DK"/>
              </w:rPr>
              <w:t xml:space="preserve">the </w:t>
            </w:r>
            <w:r w:rsidR="00D85EC5">
              <w:rPr>
                <w:rFonts w:ascii="Arial" w:hAnsi="Arial" w:cs="Arial"/>
                <w:bCs/>
                <w:lang w:eastAsia="da-DK"/>
              </w:rPr>
              <w:t xml:space="preserve">location, </w:t>
            </w:r>
            <w:r w:rsidR="00566158">
              <w:rPr>
                <w:rFonts w:ascii="Arial" w:hAnsi="Arial" w:cs="Arial"/>
                <w:bCs/>
                <w:lang w:eastAsia="da-DK"/>
              </w:rPr>
              <w:t xml:space="preserve">spatial extent, </w:t>
            </w:r>
            <w:r w:rsidR="00D85EC5">
              <w:rPr>
                <w:rFonts w:ascii="Arial" w:hAnsi="Arial" w:cs="Arial"/>
                <w:bCs/>
                <w:lang w:eastAsia="da-DK"/>
              </w:rPr>
              <w:t>timing and duration</w:t>
            </w:r>
            <w:r w:rsidR="002F600F">
              <w:rPr>
                <w:rFonts w:ascii="Arial" w:hAnsi="Arial" w:cs="Arial"/>
                <w:bCs/>
                <w:lang w:eastAsia="da-DK"/>
              </w:rPr>
              <w:t xml:space="preserve"> of the activities</w:t>
            </w:r>
            <w:r w:rsidR="00D85EC5">
              <w:rPr>
                <w:rFonts w:ascii="Arial" w:hAnsi="Arial" w:cs="Arial"/>
                <w:bCs/>
                <w:lang w:eastAsia="da-DK"/>
              </w:rPr>
              <w:t xml:space="preserve">, </w:t>
            </w:r>
            <w:r w:rsidR="00566158">
              <w:rPr>
                <w:rFonts w:ascii="Arial" w:hAnsi="Arial" w:cs="Arial"/>
                <w:bCs/>
                <w:lang w:eastAsia="da-DK"/>
              </w:rPr>
              <w:t>and</w:t>
            </w:r>
            <w:r w:rsidR="00D85EC5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2F600F">
              <w:rPr>
                <w:rFonts w:ascii="Arial" w:hAnsi="Arial" w:cs="Arial"/>
                <w:bCs/>
                <w:lang w:eastAsia="da-DK"/>
              </w:rPr>
              <w:t xml:space="preserve">the nature and </w:t>
            </w:r>
            <w:r w:rsidR="00D85EC5">
              <w:rPr>
                <w:rFonts w:ascii="Arial" w:hAnsi="Arial" w:cs="Arial"/>
                <w:bCs/>
                <w:lang w:eastAsia="da-DK"/>
              </w:rPr>
              <w:t xml:space="preserve">quantities of </w:t>
            </w:r>
            <w:r w:rsidR="00F55AEF">
              <w:rPr>
                <w:rFonts w:ascii="Arial" w:hAnsi="Arial" w:cs="Arial"/>
                <w:bCs/>
                <w:lang w:eastAsia="da-DK"/>
              </w:rPr>
              <w:t xml:space="preserve">any proposed </w:t>
            </w:r>
            <w:r w:rsidR="00D85EC5">
              <w:rPr>
                <w:rFonts w:ascii="Arial" w:hAnsi="Arial" w:cs="Arial"/>
                <w:bCs/>
                <w:lang w:eastAsia="da-DK"/>
              </w:rPr>
              <w:t>deposits</w:t>
            </w:r>
            <w:r w:rsidR="00F55AEF">
              <w:rPr>
                <w:rFonts w:ascii="Arial" w:hAnsi="Arial" w:cs="Arial"/>
                <w:bCs/>
                <w:lang w:eastAsia="da-DK"/>
              </w:rPr>
              <w:t>,</w:t>
            </w:r>
            <w:r w:rsidR="00D85EC5">
              <w:rPr>
                <w:rFonts w:ascii="Arial" w:hAnsi="Arial" w:cs="Arial"/>
                <w:bCs/>
                <w:lang w:eastAsia="da-DK"/>
              </w:rPr>
              <w:t xml:space="preserve"> discharges</w:t>
            </w:r>
            <w:r w:rsidR="00F55AEF">
              <w:rPr>
                <w:rFonts w:ascii="Arial" w:hAnsi="Arial" w:cs="Arial"/>
                <w:bCs/>
                <w:lang w:eastAsia="da-DK"/>
              </w:rPr>
              <w:t>, emissions</w:t>
            </w:r>
            <w:r w:rsidR="00D85EC5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F55AEF">
              <w:rPr>
                <w:rFonts w:ascii="Arial" w:hAnsi="Arial" w:cs="Arial"/>
                <w:bCs/>
                <w:lang w:eastAsia="da-DK"/>
              </w:rPr>
              <w:t>or</w:t>
            </w:r>
            <w:r w:rsidR="00D85EC5">
              <w:rPr>
                <w:rFonts w:ascii="Arial" w:hAnsi="Arial" w:cs="Arial"/>
                <w:bCs/>
                <w:lang w:eastAsia="da-DK"/>
              </w:rPr>
              <w:t xml:space="preserve"> other aspects relevant to the </w:t>
            </w:r>
            <w:r w:rsidR="00F55AEF">
              <w:rPr>
                <w:rFonts w:ascii="Arial" w:hAnsi="Arial" w:cs="Arial"/>
                <w:bCs/>
                <w:lang w:eastAsia="da-DK"/>
              </w:rPr>
              <w:t>impact assessment</w:t>
            </w:r>
            <w:r w:rsidR="009D592C">
              <w:rPr>
                <w:rFonts w:ascii="Arial" w:hAnsi="Arial" w:cs="Arial"/>
                <w:bCs/>
                <w:lang w:eastAsia="da-DK"/>
              </w:rPr>
              <w:t xml:space="preserve">, including </w:t>
            </w:r>
            <w:r w:rsidR="002F600F">
              <w:rPr>
                <w:rFonts w:ascii="Arial" w:hAnsi="Arial" w:cs="Arial"/>
                <w:bCs/>
                <w:lang w:eastAsia="da-DK"/>
              </w:rPr>
              <w:t xml:space="preserve">reference to any </w:t>
            </w:r>
            <w:r w:rsidR="009D592C">
              <w:rPr>
                <w:rFonts w:ascii="Arial" w:hAnsi="Arial" w:cs="Arial"/>
                <w:bCs/>
                <w:lang w:eastAsia="da-DK"/>
              </w:rPr>
              <w:t>debris clearance surveys</w:t>
            </w:r>
            <w:r w:rsidR="002F600F">
              <w:rPr>
                <w:rFonts w:ascii="Arial" w:hAnsi="Arial" w:cs="Arial"/>
                <w:bCs/>
                <w:lang w:eastAsia="da-DK"/>
              </w:rPr>
              <w:t xml:space="preserve"> and proposals</w:t>
            </w:r>
            <w:r w:rsidR="00401BCE">
              <w:rPr>
                <w:rFonts w:ascii="Arial" w:hAnsi="Arial" w:cs="Arial"/>
                <w:bCs/>
                <w:lang w:eastAsia="da-DK"/>
              </w:rPr>
              <w:t>.</w:t>
            </w:r>
            <w:r w:rsidR="00D85EC5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705038">
              <w:rPr>
                <w:rFonts w:ascii="Arial" w:hAnsi="Arial" w:cs="Arial"/>
                <w:bCs/>
                <w:lang w:eastAsia="da-DK"/>
              </w:rPr>
              <w:t xml:space="preserve">The description does not need to provide a full inventory of </w:t>
            </w:r>
            <w:r w:rsidR="00566158">
              <w:rPr>
                <w:rFonts w:ascii="Arial" w:hAnsi="Arial" w:cs="Arial"/>
                <w:bCs/>
                <w:lang w:eastAsia="da-DK"/>
              </w:rPr>
              <w:t xml:space="preserve">the </w:t>
            </w:r>
            <w:r w:rsidR="00705038">
              <w:rPr>
                <w:rFonts w:ascii="Arial" w:hAnsi="Arial" w:cs="Arial"/>
                <w:bCs/>
                <w:lang w:eastAsia="da-DK"/>
              </w:rPr>
              <w:t>infrastructure</w:t>
            </w:r>
            <w:r w:rsidR="002F600F">
              <w:rPr>
                <w:rFonts w:ascii="Arial" w:hAnsi="Arial" w:cs="Arial"/>
                <w:bCs/>
                <w:lang w:eastAsia="da-DK"/>
              </w:rPr>
              <w:t>, as</w:t>
            </w:r>
            <w:r w:rsidR="00705038">
              <w:rPr>
                <w:rFonts w:ascii="Arial" w:hAnsi="Arial" w:cs="Arial"/>
                <w:bCs/>
                <w:lang w:eastAsia="da-DK"/>
              </w:rPr>
              <w:t xml:space="preserve"> that shoul</w:t>
            </w:r>
            <w:r w:rsidR="009F3B0E">
              <w:rPr>
                <w:rFonts w:ascii="Arial" w:hAnsi="Arial" w:cs="Arial"/>
                <w:bCs/>
                <w:lang w:eastAsia="da-DK"/>
              </w:rPr>
              <w:t xml:space="preserve">d already </w:t>
            </w:r>
            <w:r w:rsidR="002F600F">
              <w:rPr>
                <w:rFonts w:ascii="Arial" w:hAnsi="Arial" w:cs="Arial"/>
                <w:bCs/>
                <w:lang w:eastAsia="da-DK"/>
              </w:rPr>
              <w:t xml:space="preserve">be </w:t>
            </w:r>
            <w:r w:rsidR="009F3B0E">
              <w:rPr>
                <w:rFonts w:ascii="Arial" w:hAnsi="Arial" w:cs="Arial"/>
                <w:bCs/>
                <w:lang w:eastAsia="da-DK"/>
              </w:rPr>
              <w:t xml:space="preserve">included in the DP, but it should set the parameters of the proposed activities </w:t>
            </w:r>
            <w:r w:rsidR="00566158">
              <w:rPr>
                <w:rFonts w:ascii="Arial" w:hAnsi="Arial" w:cs="Arial"/>
                <w:bCs/>
                <w:lang w:eastAsia="da-DK"/>
              </w:rPr>
              <w:t>relevant to</w:t>
            </w:r>
            <w:r w:rsidR="009F3B0E">
              <w:rPr>
                <w:rFonts w:ascii="Arial" w:hAnsi="Arial" w:cs="Arial"/>
                <w:bCs/>
                <w:lang w:eastAsia="da-DK"/>
              </w:rPr>
              <w:t xml:space="preserve"> the EA, such as worse-case scenarios with respect</w:t>
            </w:r>
            <w:r w:rsidR="002F600F">
              <w:rPr>
                <w:rFonts w:ascii="Arial" w:hAnsi="Arial" w:cs="Arial"/>
                <w:bCs/>
                <w:lang w:eastAsia="da-DK"/>
              </w:rPr>
              <w:t xml:space="preserve"> to,</w:t>
            </w:r>
            <w:r w:rsidR="009F3B0E">
              <w:rPr>
                <w:rFonts w:ascii="Arial" w:hAnsi="Arial" w:cs="Arial"/>
                <w:bCs/>
                <w:lang w:eastAsia="da-DK"/>
              </w:rPr>
              <w:t xml:space="preserve"> for example, </w:t>
            </w:r>
            <w:r w:rsidR="00566158">
              <w:rPr>
                <w:rFonts w:ascii="Arial" w:hAnsi="Arial" w:cs="Arial"/>
                <w:bCs/>
                <w:lang w:eastAsia="da-DK"/>
              </w:rPr>
              <w:t xml:space="preserve">deposits, discharges, </w:t>
            </w:r>
            <w:r w:rsidR="009F3B0E">
              <w:rPr>
                <w:rFonts w:ascii="Arial" w:hAnsi="Arial" w:cs="Arial"/>
                <w:bCs/>
                <w:lang w:eastAsia="da-DK"/>
              </w:rPr>
              <w:t>emissions</w:t>
            </w:r>
            <w:r w:rsidR="00566158">
              <w:rPr>
                <w:rFonts w:ascii="Arial" w:hAnsi="Arial" w:cs="Arial"/>
                <w:bCs/>
                <w:lang w:eastAsia="da-DK"/>
              </w:rPr>
              <w:t xml:space="preserve"> (including noise)</w:t>
            </w:r>
            <w:r w:rsidR="009F3B0E">
              <w:rPr>
                <w:rFonts w:ascii="Arial" w:hAnsi="Arial" w:cs="Arial"/>
                <w:bCs/>
                <w:lang w:eastAsia="da-DK"/>
              </w:rPr>
              <w:t>, deposits, area of i</w:t>
            </w:r>
            <w:r w:rsidR="00566158">
              <w:rPr>
                <w:rFonts w:ascii="Arial" w:hAnsi="Arial" w:cs="Arial"/>
                <w:bCs/>
                <w:lang w:eastAsia="da-DK"/>
              </w:rPr>
              <w:t>mpact</w:t>
            </w:r>
            <w:r w:rsidR="00E87833">
              <w:rPr>
                <w:rFonts w:ascii="Arial" w:hAnsi="Arial" w:cs="Arial"/>
                <w:bCs/>
                <w:lang w:eastAsia="da-DK"/>
              </w:rPr>
              <w:t>,</w:t>
            </w:r>
            <w:r w:rsidR="009F3B0E">
              <w:rPr>
                <w:rFonts w:ascii="Arial" w:hAnsi="Arial" w:cs="Arial"/>
                <w:bCs/>
                <w:lang w:eastAsia="da-DK"/>
              </w:rPr>
              <w:t xml:space="preserve"> etc.</w:t>
            </w:r>
            <w:r w:rsidR="00705038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D85EC5">
              <w:rPr>
                <w:rFonts w:ascii="Arial" w:hAnsi="Arial" w:cs="Arial"/>
                <w:bCs/>
                <w:lang w:eastAsia="da-DK"/>
              </w:rPr>
              <w:t xml:space="preserve">The description </w:t>
            </w:r>
            <w:r w:rsidR="00566158">
              <w:rPr>
                <w:rFonts w:ascii="Arial" w:hAnsi="Arial" w:cs="Arial"/>
                <w:bCs/>
                <w:lang w:eastAsia="da-DK"/>
              </w:rPr>
              <w:t>should always</w:t>
            </w:r>
            <w:r w:rsidR="00D85EC5">
              <w:rPr>
                <w:rFonts w:ascii="Arial" w:hAnsi="Arial" w:cs="Arial"/>
                <w:bCs/>
                <w:lang w:eastAsia="da-DK"/>
              </w:rPr>
              <w:t xml:space="preserve"> be supported by maps and/or diagrams where applicable.</w:t>
            </w:r>
          </w:p>
        </w:tc>
        <w:tc>
          <w:tcPr>
            <w:tcW w:w="4253" w:type="dxa"/>
          </w:tcPr>
          <w:p w14:paraId="0D26DDCA" w14:textId="78D960E1" w:rsidR="00F470AB" w:rsidRPr="00BD6A9D" w:rsidRDefault="00D85EC5" w:rsidP="00B1255F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D85EC5">
              <w:rPr>
                <w:rFonts w:ascii="Arial" w:hAnsi="Arial" w:cs="Arial"/>
                <w:bCs/>
                <w:lang w:eastAsia="da-DK"/>
              </w:rPr>
              <w:t xml:space="preserve">Each element of the project should be described in </w:t>
            </w:r>
            <w:proofErr w:type="gramStart"/>
            <w:r w:rsidRPr="00D85EC5">
              <w:rPr>
                <w:rFonts w:ascii="Arial" w:hAnsi="Arial" w:cs="Arial"/>
                <w:bCs/>
                <w:lang w:eastAsia="da-DK"/>
              </w:rPr>
              <w:t>sufficient</w:t>
            </w:r>
            <w:proofErr w:type="gramEnd"/>
            <w:r w:rsidRPr="00D85EC5">
              <w:rPr>
                <w:rFonts w:ascii="Arial" w:hAnsi="Arial" w:cs="Arial"/>
                <w:bCs/>
                <w:lang w:eastAsia="da-DK"/>
              </w:rPr>
              <w:t xml:space="preserve"> detail to enable adequate identification and assessment of the </w:t>
            </w:r>
            <w:r w:rsidR="00604EAA">
              <w:rPr>
                <w:rFonts w:ascii="Arial" w:hAnsi="Arial" w:cs="Arial"/>
                <w:bCs/>
                <w:lang w:eastAsia="da-DK"/>
              </w:rPr>
              <w:t xml:space="preserve">potential </w:t>
            </w:r>
            <w:r w:rsidRPr="00D85EC5">
              <w:rPr>
                <w:rFonts w:ascii="Arial" w:hAnsi="Arial" w:cs="Arial"/>
                <w:bCs/>
                <w:lang w:eastAsia="da-DK"/>
              </w:rPr>
              <w:t>environmental impacts</w:t>
            </w:r>
            <w:r>
              <w:rPr>
                <w:rFonts w:ascii="Arial" w:hAnsi="Arial" w:cs="Arial"/>
                <w:bCs/>
                <w:lang w:eastAsia="da-DK"/>
              </w:rPr>
              <w:t xml:space="preserve"> and </w:t>
            </w:r>
            <w:r w:rsidR="00E5695A">
              <w:rPr>
                <w:rFonts w:ascii="Arial" w:hAnsi="Arial" w:cs="Arial"/>
                <w:bCs/>
                <w:lang w:eastAsia="da-DK"/>
              </w:rPr>
              <w:t xml:space="preserve">to </w:t>
            </w:r>
            <w:r>
              <w:rPr>
                <w:rFonts w:ascii="Arial" w:hAnsi="Arial" w:cs="Arial"/>
                <w:bCs/>
                <w:lang w:eastAsia="da-DK"/>
              </w:rPr>
              <w:t>enable the reader to understand the proposals.</w:t>
            </w:r>
          </w:p>
        </w:tc>
      </w:tr>
      <w:tr w:rsidR="00480781" w14:paraId="36BBC867" w14:textId="77777777" w:rsidTr="00A02816">
        <w:tc>
          <w:tcPr>
            <w:tcW w:w="2802" w:type="dxa"/>
          </w:tcPr>
          <w:p w14:paraId="40271F09" w14:textId="77777777" w:rsidR="00480781" w:rsidRPr="00D91B96" w:rsidRDefault="00480781" w:rsidP="005C4913">
            <w:pPr>
              <w:suppressAutoHyphens/>
              <w:spacing w:before="120" w:after="120"/>
              <w:rPr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lastRenderedPageBreak/>
              <w:t>Environmental B</w:t>
            </w:r>
            <w:r w:rsidRPr="00D91B96">
              <w:rPr>
                <w:rFonts w:ascii="Arial" w:hAnsi="Arial" w:cs="Arial"/>
                <w:bCs/>
                <w:lang w:eastAsia="da-DK"/>
              </w:rPr>
              <w:t>aseline</w:t>
            </w:r>
          </w:p>
        </w:tc>
        <w:tc>
          <w:tcPr>
            <w:tcW w:w="7087" w:type="dxa"/>
          </w:tcPr>
          <w:p w14:paraId="37DE8146" w14:textId="77777777" w:rsidR="00480781" w:rsidRPr="005538B7" w:rsidRDefault="00480781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>It is important that the</w:t>
            </w:r>
            <w:r w:rsidRPr="005538B7">
              <w:rPr>
                <w:rFonts w:ascii="Arial" w:hAnsi="Arial" w:cs="Arial"/>
                <w:bCs/>
                <w:lang w:eastAsia="da-DK"/>
              </w:rPr>
              <w:t xml:space="preserve"> area covered by the environmental description should be consistent with the area that could potentially be impacted by the pro</w:t>
            </w:r>
            <w:r>
              <w:rPr>
                <w:rFonts w:ascii="Arial" w:hAnsi="Arial" w:cs="Arial"/>
                <w:bCs/>
                <w:lang w:eastAsia="da-DK"/>
              </w:rPr>
              <w:t>posed activities</w:t>
            </w:r>
            <w:r w:rsidRPr="005538B7">
              <w:rPr>
                <w:rFonts w:ascii="Arial" w:hAnsi="Arial" w:cs="Arial"/>
                <w:bCs/>
                <w:lang w:eastAsia="da-DK"/>
              </w:rPr>
              <w:t xml:space="preserve">.  </w:t>
            </w:r>
          </w:p>
          <w:p w14:paraId="6E122E92" w14:textId="7A47748A" w:rsidR="00480781" w:rsidRDefault="00480781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5538B7">
              <w:rPr>
                <w:rFonts w:ascii="Arial" w:hAnsi="Arial" w:cs="Arial"/>
                <w:bCs/>
                <w:lang w:eastAsia="da-DK"/>
              </w:rPr>
              <w:t xml:space="preserve">The environmental description should describe the </w:t>
            </w:r>
            <w:r w:rsidR="00604EAA">
              <w:rPr>
                <w:rFonts w:ascii="Arial" w:hAnsi="Arial" w:cs="Arial"/>
                <w:bCs/>
                <w:lang w:eastAsia="da-DK"/>
              </w:rPr>
              <w:t>existing</w:t>
            </w:r>
            <w:r w:rsidR="00604EAA" w:rsidRPr="005538B7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Pr="005538B7">
              <w:rPr>
                <w:rFonts w:ascii="Arial" w:hAnsi="Arial" w:cs="Arial"/>
                <w:bCs/>
                <w:lang w:eastAsia="da-DK"/>
              </w:rPr>
              <w:t>environment at the project location</w:t>
            </w:r>
            <w:r w:rsidR="00127413">
              <w:rPr>
                <w:rFonts w:ascii="Arial" w:hAnsi="Arial" w:cs="Arial"/>
                <w:bCs/>
                <w:lang w:eastAsia="da-DK"/>
              </w:rPr>
              <w:t xml:space="preserve">. The description should draw on </w:t>
            </w:r>
            <w:r w:rsidR="009C3817">
              <w:rPr>
                <w:rFonts w:ascii="Arial" w:hAnsi="Arial" w:cs="Arial"/>
                <w:bCs/>
                <w:lang w:eastAsia="da-DK"/>
              </w:rPr>
              <w:t>available</w:t>
            </w:r>
            <w:r w:rsidR="009C3817" w:rsidRPr="005538B7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Pr="005538B7">
              <w:rPr>
                <w:rFonts w:ascii="Arial" w:hAnsi="Arial" w:cs="Arial"/>
                <w:bCs/>
                <w:lang w:eastAsia="da-DK"/>
              </w:rPr>
              <w:t>data such as the information included in S</w:t>
            </w:r>
            <w:r>
              <w:rPr>
                <w:rFonts w:ascii="Arial" w:hAnsi="Arial" w:cs="Arial"/>
                <w:bCs/>
                <w:lang w:eastAsia="da-DK"/>
              </w:rPr>
              <w:t xml:space="preserve">trategic </w:t>
            </w:r>
            <w:r w:rsidRPr="005538B7">
              <w:rPr>
                <w:rFonts w:ascii="Arial" w:hAnsi="Arial" w:cs="Arial"/>
                <w:bCs/>
                <w:lang w:eastAsia="da-DK"/>
              </w:rPr>
              <w:t>E</w:t>
            </w:r>
            <w:r>
              <w:rPr>
                <w:rFonts w:ascii="Arial" w:hAnsi="Arial" w:cs="Arial"/>
                <w:bCs/>
                <w:lang w:eastAsia="da-DK"/>
              </w:rPr>
              <w:t xml:space="preserve">nvironmental </w:t>
            </w:r>
            <w:r w:rsidRPr="005538B7">
              <w:rPr>
                <w:rFonts w:ascii="Arial" w:hAnsi="Arial" w:cs="Arial"/>
                <w:bCs/>
                <w:lang w:eastAsia="da-DK"/>
              </w:rPr>
              <w:t>A</w:t>
            </w:r>
            <w:r>
              <w:rPr>
                <w:rFonts w:ascii="Arial" w:hAnsi="Arial" w:cs="Arial"/>
                <w:bCs/>
                <w:lang w:eastAsia="da-DK"/>
              </w:rPr>
              <w:t>ssessment (SEA)</w:t>
            </w:r>
            <w:r w:rsidRPr="005538B7">
              <w:rPr>
                <w:rFonts w:ascii="Arial" w:hAnsi="Arial" w:cs="Arial"/>
                <w:bCs/>
                <w:lang w:eastAsia="da-DK"/>
              </w:rPr>
              <w:t xml:space="preserve"> </w:t>
            </w:r>
            <w:r>
              <w:rPr>
                <w:rFonts w:ascii="Arial" w:hAnsi="Arial" w:cs="Arial"/>
                <w:bCs/>
                <w:lang w:eastAsia="da-DK"/>
              </w:rPr>
              <w:t xml:space="preserve">and related </w:t>
            </w:r>
            <w:r w:rsidRPr="005538B7">
              <w:rPr>
                <w:rFonts w:ascii="Arial" w:hAnsi="Arial" w:cs="Arial"/>
                <w:bCs/>
                <w:lang w:eastAsia="da-DK"/>
              </w:rPr>
              <w:t>studies undertaken by the Department</w:t>
            </w:r>
            <w:r w:rsidR="00127413">
              <w:rPr>
                <w:rFonts w:ascii="Arial" w:hAnsi="Arial" w:cs="Arial"/>
                <w:bCs/>
                <w:lang w:eastAsia="da-DK"/>
              </w:rPr>
              <w:t xml:space="preserve">, available operational data, previous survey reports (e.g. environmental, pipeline inspection and ROV survey reports) </w:t>
            </w:r>
            <w:r w:rsidRPr="005538B7">
              <w:rPr>
                <w:rFonts w:ascii="Arial" w:hAnsi="Arial" w:cs="Arial"/>
                <w:bCs/>
                <w:lang w:eastAsia="da-DK"/>
              </w:rPr>
              <w:t xml:space="preserve">and information </w:t>
            </w:r>
            <w:r w:rsidR="00127413">
              <w:rPr>
                <w:rFonts w:ascii="Arial" w:hAnsi="Arial" w:cs="Arial"/>
                <w:bCs/>
                <w:lang w:eastAsia="da-DK"/>
              </w:rPr>
              <w:t xml:space="preserve">obtained from </w:t>
            </w:r>
            <w:r w:rsidRPr="005538B7">
              <w:rPr>
                <w:rFonts w:ascii="Arial" w:hAnsi="Arial" w:cs="Arial"/>
                <w:bCs/>
                <w:lang w:eastAsia="da-DK"/>
              </w:rPr>
              <w:t>p</w:t>
            </w:r>
            <w:r>
              <w:rPr>
                <w:rFonts w:ascii="Arial" w:hAnsi="Arial" w:cs="Arial"/>
                <w:bCs/>
                <w:lang w:eastAsia="da-DK"/>
              </w:rPr>
              <w:t xml:space="preserve">ublished literature. </w:t>
            </w:r>
            <w:r w:rsidR="00127413">
              <w:rPr>
                <w:rFonts w:ascii="Arial" w:hAnsi="Arial" w:cs="Arial"/>
                <w:bCs/>
                <w:lang w:eastAsia="da-DK"/>
              </w:rPr>
              <w:t>W</w:t>
            </w:r>
            <w:r>
              <w:rPr>
                <w:rFonts w:ascii="Arial" w:hAnsi="Arial" w:cs="Arial"/>
                <w:bCs/>
                <w:lang w:eastAsia="da-DK"/>
              </w:rPr>
              <w:t>here app</w:t>
            </w:r>
            <w:r w:rsidR="00127413">
              <w:rPr>
                <w:rFonts w:ascii="Arial" w:hAnsi="Arial" w:cs="Arial"/>
                <w:bCs/>
                <w:lang w:eastAsia="da-DK"/>
              </w:rPr>
              <w:t>ropriate</w:t>
            </w:r>
            <w:r w:rsidRPr="005538B7">
              <w:rPr>
                <w:rFonts w:ascii="Arial" w:hAnsi="Arial" w:cs="Arial"/>
                <w:bCs/>
                <w:lang w:eastAsia="da-DK"/>
              </w:rPr>
              <w:t xml:space="preserve"> it should also incorporate site-specific </w:t>
            </w:r>
            <w:r w:rsidR="00127413">
              <w:rPr>
                <w:rFonts w:ascii="Arial" w:hAnsi="Arial" w:cs="Arial"/>
                <w:bCs/>
                <w:lang w:eastAsia="da-DK"/>
              </w:rPr>
              <w:t xml:space="preserve">survey </w:t>
            </w:r>
            <w:r w:rsidRPr="005538B7">
              <w:rPr>
                <w:rFonts w:ascii="Arial" w:hAnsi="Arial" w:cs="Arial"/>
                <w:bCs/>
                <w:lang w:eastAsia="da-DK"/>
              </w:rPr>
              <w:t>data directly rel</w:t>
            </w:r>
            <w:r w:rsidR="009C3817">
              <w:rPr>
                <w:rFonts w:ascii="Arial" w:hAnsi="Arial" w:cs="Arial"/>
                <w:bCs/>
                <w:lang w:eastAsia="da-DK"/>
              </w:rPr>
              <w:t>evant</w:t>
            </w:r>
            <w:r w:rsidRPr="005538B7">
              <w:rPr>
                <w:rFonts w:ascii="Arial" w:hAnsi="Arial" w:cs="Arial"/>
                <w:bCs/>
                <w:lang w:eastAsia="da-DK"/>
              </w:rPr>
              <w:t xml:space="preserve"> to aspects that are likely to be affected by the pro</w:t>
            </w:r>
            <w:r w:rsidR="00127413">
              <w:rPr>
                <w:rFonts w:ascii="Arial" w:hAnsi="Arial" w:cs="Arial"/>
                <w:bCs/>
                <w:lang w:eastAsia="da-DK"/>
              </w:rPr>
              <w:t xml:space="preserve">posed activities and </w:t>
            </w:r>
            <w:r w:rsidRPr="005538B7">
              <w:rPr>
                <w:rFonts w:ascii="Arial" w:hAnsi="Arial" w:cs="Arial"/>
                <w:bCs/>
                <w:lang w:eastAsia="da-DK"/>
              </w:rPr>
              <w:t xml:space="preserve">relevant </w:t>
            </w:r>
            <w:r w:rsidR="009C3817">
              <w:rPr>
                <w:rFonts w:ascii="Arial" w:hAnsi="Arial" w:cs="Arial"/>
                <w:bCs/>
                <w:lang w:eastAsia="da-DK"/>
              </w:rPr>
              <w:t xml:space="preserve">to any </w:t>
            </w:r>
            <w:r w:rsidRPr="005538B7">
              <w:rPr>
                <w:rFonts w:ascii="Arial" w:hAnsi="Arial" w:cs="Arial"/>
                <w:bCs/>
                <w:lang w:eastAsia="da-DK"/>
              </w:rPr>
              <w:t xml:space="preserve">existing activities.  </w:t>
            </w:r>
          </w:p>
          <w:p w14:paraId="4A919691" w14:textId="03BDE007" w:rsidR="00480781" w:rsidRDefault="00480781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5538B7">
              <w:rPr>
                <w:rFonts w:ascii="Arial" w:hAnsi="Arial" w:cs="Arial"/>
                <w:bCs/>
                <w:lang w:eastAsia="da-DK"/>
              </w:rPr>
              <w:t>The</w:t>
            </w:r>
            <w:r>
              <w:rPr>
                <w:rFonts w:ascii="Arial" w:hAnsi="Arial" w:cs="Arial"/>
                <w:bCs/>
                <w:lang w:eastAsia="da-DK"/>
              </w:rPr>
              <w:t xml:space="preserve"> description should</w:t>
            </w:r>
            <w:r w:rsidRPr="005538B7">
              <w:rPr>
                <w:rFonts w:ascii="Arial" w:hAnsi="Arial" w:cs="Arial"/>
                <w:bCs/>
                <w:lang w:eastAsia="da-DK"/>
              </w:rPr>
              <w:t xml:space="preserve"> include information relating to</w:t>
            </w:r>
            <w:r>
              <w:rPr>
                <w:rFonts w:ascii="Arial" w:hAnsi="Arial" w:cs="Arial"/>
                <w:bCs/>
                <w:lang w:eastAsia="da-DK"/>
              </w:rPr>
              <w:t xml:space="preserve"> the environment and </w:t>
            </w:r>
            <w:r w:rsidR="00237DAF">
              <w:rPr>
                <w:rFonts w:ascii="Arial" w:hAnsi="Arial" w:cs="Arial"/>
                <w:bCs/>
                <w:lang w:eastAsia="da-DK"/>
              </w:rPr>
              <w:t xml:space="preserve">the </w:t>
            </w:r>
            <w:r>
              <w:rPr>
                <w:rFonts w:ascii="Arial" w:hAnsi="Arial" w:cs="Arial"/>
                <w:bCs/>
                <w:lang w:eastAsia="da-DK"/>
              </w:rPr>
              <w:t xml:space="preserve">proposed activities, including for example, </w:t>
            </w:r>
            <w:r w:rsidRPr="00631131">
              <w:rPr>
                <w:rFonts w:ascii="Arial" w:hAnsi="Arial" w:cs="Arial"/>
                <w:bCs/>
                <w:lang w:eastAsia="da-DK"/>
              </w:rPr>
              <w:t>sediment characterisat</w:t>
            </w:r>
            <w:r>
              <w:rPr>
                <w:rFonts w:ascii="Arial" w:hAnsi="Arial" w:cs="Arial"/>
                <w:bCs/>
                <w:lang w:eastAsia="da-DK"/>
              </w:rPr>
              <w:t xml:space="preserve">ion, chemical contamination, benthic organisms, </w:t>
            </w:r>
            <w:r w:rsidR="009C3817">
              <w:rPr>
                <w:rFonts w:ascii="Arial" w:hAnsi="Arial" w:cs="Arial"/>
                <w:bCs/>
                <w:lang w:eastAsia="da-DK"/>
              </w:rPr>
              <w:t xml:space="preserve">fish spawning/nursery areas, </w:t>
            </w:r>
            <w:r>
              <w:rPr>
                <w:rFonts w:ascii="Arial" w:hAnsi="Arial" w:cs="Arial"/>
                <w:bCs/>
                <w:lang w:eastAsia="da-DK"/>
              </w:rPr>
              <w:t>seabird sensitivities, marine mammal</w:t>
            </w:r>
            <w:r w:rsidR="00237DAF">
              <w:rPr>
                <w:rFonts w:ascii="Arial" w:hAnsi="Arial" w:cs="Arial"/>
                <w:bCs/>
                <w:lang w:eastAsia="da-DK"/>
              </w:rPr>
              <w:t xml:space="preserve"> sensitivities</w:t>
            </w:r>
            <w:r>
              <w:rPr>
                <w:rFonts w:ascii="Arial" w:hAnsi="Arial" w:cs="Arial"/>
                <w:bCs/>
                <w:lang w:eastAsia="da-DK"/>
              </w:rPr>
              <w:t>, protected habitats and species</w:t>
            </w:r>
            <w:r w:rsidR="00AF531C">
              <w:rPr>
                <w:rFonts w:ascii="Arial" w:hAnsi="Arial" w:cs="Arial"/>
                <w:bCs/>
                <w:lang w:eastAsia="da-DK"/>
              </w:rPr>
              <w:t>, marine plan policies</w:t>
            </w:r>
            <w:r>
              <w:rPr>
                <w:rFonts w:ascii="Arial" w:hAnsi="Arial" w:cs="Arial"/>
                <w:bCs/>
                <w:lang w:eastAsia="da-DK"/>
              </w:rPr>
              <w:t xml:space="preserve"> and </w:t>
            </w:r>
            <w:r w:rsidRPr="005538B7">
              <w:rPr>
                <w:rFonts w:ascii="Arial" w:hAnsi="Arial" w:cs="Arial"/>
                <w:bCs/>
                <w:lang w:eastAsia="da-DK"/>
              </w:rPr>
              <w:t>other users of the sea</w:t>
            </w:r>
            <w:r w:rsidR="00203656" w:rsidRPr="005538B7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203656">
              <w:rPr>
                <w:rFonts w:ascii="Arial" w:hAnsi="Arial" w:cs="Arial"/>
                <w:bCs/>
                <w:lang w:eastAsia="da-DK"/>
              </w:rPr>
              <w:t xml:space="preserve">(including </w:t>
            </w:r>
            <w:r w:rsidR="00203656" w:rsidRPr="005538B7">
              <w:rPr>
                <w:rFonts w:ascii="Arial" w:hAnsi="Arial" w:cs="Arial"/>
                <w:bCs/>
                <w:lang w:eastAsia="da-DK"/>
              </w:rPr>
              <w:t xml:space="preserve">aspects such as amenity use, </w:t>
            </w:r>
            <w:r w:rsidR="009C3817" w:rsidRPr="005538B7">
              <w:rPr>
                <w:rFonts w:ascii="Arial" w:hAnsi="Arial" w:cs="Arial"/>
                <w:bCs/>
                <w:lang w:eastAsia="da-DK"/>
              </w:rPr>
              <w:t>fishing,</w:t>
            </w:r>
            <w:r w:rsidR="009C3817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203656" w:rsidRPr="005538B7">
              <w:rPr>
                <w:rFonts w:ascii="Arial" w:hAnsi="Arial" w:cs="Arial"/>
                <w:bCs/>
                <w:lang w:eastAsia="da-DK"/>
              </w:rPr>
              <w:t>shipping, offshore renewables and aggregate extraction</w:t>
            </w:r>
            <w:r w:rsidR="00203656">
              <w:rPr>
                <w:rFonts w:ascii="Arial" w:hAnsi="Arial" w:cs="Arial"/>
                <w:bCs/>
                <w:lang w:eastAsia="da-DK"/>
              </w:rPr>
              <w:t xml:space="preserve">), and should identify any potential </w:t>
            </w:r>
            <w:r>
              <w:rPr>
                <w:rFonts w:ascii="Arial" w:hAnsi="Arial" w:cs="Arial"/>
                <w:bCs/>
                <w:lang w:eastAsia="da-DK"/>
              </w:rPr>
              <w:t>conflict of interest</w:t>
            </w:r>
            <w:r w:rsidR="00203656">
              <w:rPr>
                <w:rFonts w:ascii="Arial" w:hAnsi="Arial" w:cs="Arial"/>
                <w:bCs/>
                <w:lang w:eastAsia="da-DK"/>
              </w:rPr>
              <w:t xml:space="preserve">s </w:t>
            </w:r>
            <w:r>
              <w:rPr>
                <w:rFonts w:ascii="Arial" w:hAnsi="Arial" w:cs="Arial"/>
                <w:bCs/>
                <w:lang w:eastAsia="da-DK"/>
              </w:rPr>
              <w:t xml:space="preserve">or where </w:t>
            </w:r>
            <w:r w:rsidR="00203656">
              <w:rPr>
                <w:rFonts w:ascii="Arial" w:hAnsi="Arial" w:cs="Arial"/>
                <w:bCs/>
                <w:lang w:eastAsia="da-DK"/>
              </w:rPr>
              <w:t xml:space="preserve">there may be </w:t>
            </w:r>
            <w:r>
              <w:rPr>
                <w:rFonts w:ascii="Arial" w:hAnsi="Arial" w:cs="Arial"/>
                <w:bCs/>
                <w:lang w:eastAsia="da-DK"/>
              </w:rPr>
              <w:t xml:space="preserve">in-combination </w:t>
            </w:r>
            <w:r w:rsidR="00203656">
              <w:rPr>
                <w:rFonts w:ascii="Arial" w:hAnsi="Arial" w:cs="Arial"/>
                <w:bCs/>
                <w:lang w:eastAsia="da-DK"/>
              </w:rPr>
              <w:t>or cumulative impacts.</w:t>
            </w:r>
            <w:r w:rsidRPr="005538B7">
              <w:rPr>
                <w:rFonts w:ascii="Arial" w:hAnsi="Arial" w:cs="Arial"/>
                <w:bCs/>
                <w:lang w:eastAsia="da-DK"/>
              </w:rPr>
              <w:t xml:space="preserve">  </w:t>
            </w:r>
          </w:p>
          <w:p w14:paraId="4E4A1882" w14:textId="11C831F8" w:rsidR="00480781" w:rsidRDefault="00480781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C22011">
              <w:rPr>
                <w:rFonts w:ascii="Arial" w:hAnsi="Arial" w:cs="Arial"/>
                <w:bCs/>
                <w:lang w:eastAsia="da-DK"/>
              </w:rPr>
              <w:t xml:space="preserve">Maps and/or diagrams are </w:t>
            </w:r>
            <w:r w:rsidR="009C3817">
              <w:rPr>
                <w:rFonts w:ascii="Arial" w:hAnsi="Arial" w:cs="Arial"/>
                <w:bCs/>
                <w:lang w:eastAsia="da-DK"/>
              </w:rPr>
              <w:t xml:space="preserve">very useful </w:t>
            </w:r>
            <w:r w:rsidR="00203656">
              <w:rPr>
                <w:rFonts w:ascii="Arial" w:hAnsi="Arial" w:cs="Arial"/>
                <w:bCs/>
                <w:lang w:eastAsia="da-DK"/>
              </w:rPr>
              <w:t xml:space="preserve">for </w:t>
            </w:r>
            <w:r w:rsidRPr="00C22011">
              <w:rPr>
                <w:rFonts w:ascii="Arial" w:hAnsi="Arial" w:cs="Arial"/>
                <w:bCs/>
                <w:lang w:eastAsia="da-DK"/>
              </w:rPr>
              <w:t xml:space="preserve">putting proposals into context in relation to important features, such as </w:t>
            </w:r>
            <w:r w:rsidR="00AF531C" w:rsidRPr="00C22011">
              <w:rPr>
                <w:rFonts w:ascii="Arial" w:hAnsi="Arial" w:cs="Arial"/>
                <w:bCs/>
                <w:lang w:eastAsia="da-DK"/>
              </w:rPr>
              <w:t>fish spawning</w:t>
            </w:r>
            <w:r w:rsidR="00AF531C">
              <w:rPr>
                <w:rFonts w:ascii="Arial" w:hAnsi="Arial" w:cs="Arial"/>
                <w:bCs/>
                <w:lang w:eastAsia="da-DK"/>
              </w:rPr>
              <w:t>/</w:t>
            </w:r>
            <w:r w:rsidR="00AF531C" w:rsidRPr="00C22011">
              <w:rPr>
                <w:rFonts w:ascii="Arial" w:hAnsi="Arial" w:cs="Arial"/>
                <w:bCs/>
                <w:lang w:eastAsia="da-DK"/>
              </w:rPr>
              <w:t>nursery areas</w:t>
            </w:r>
            <w:r w:rsidR="00AF531C">
              <w:rPr>
                <w:rFonts w:ascii="Arial" w:hAnsi="Arial" w:cs="Arial"/>
                <w:bCs/>
                <w:lang w:eastAsia="da-DK"/>
              </w:rPr>
              <w:t xml:space="preserve">; </w:t>
            </w:r>
            <w:r w:rsidR="00203656" w:rsidRPr="00C22011">
              <w:rPr>
                <w:rFonts w:ascii="Arial" w:hAnsi="Arial" w:cs="Arial"/>
                <w:bCs/>
                <w:lang w:eastAsia="da-DK"/>
              </w:rPr>
              <w:t>seabird sensitivit</w:t>
            </w:r>
            <w:r w:rsidR="00203656">
              <w:rPr>
                <w:rFonts w:ascii="Arial" w:hAnsi="Arial" w:cs="Arial"/>
                <w:bCs/>
                <w:lang w:eastAsia="da-DK"/>
              </w:rPr>
              <w:t>ies</w:t>
            </w:r>
            <w:r w:rsidR="00203656" w:rsidRPr="00C22011">
              <w:rPr>
                <w:rFonts w:ascii="Arial" w:hAnsi="Arial" w:cs="Arial"/>
                <w:bCs/>
                <w:lang w:eastAsia="da-DK"/>
              </w:rPr>
              <w:t xml:space="preserve">; marine mammal sensitivities; </w:t>
            </w:r>
            <w:r w:rsidRPr="00C22011">
              <w:rPr>
                <w:rFonts w:ascii="Arial" w:hAnsi="Arial" w:cs="Arial"/>
                <w:bCs/>
                <w:lang w:eastAsia="da-DK"/>
              </w:rPr>
              <w:t>sites protected under international or domestic legislation</w:t>
            </w:r>
            <w:r w:rsidR="00203656">
              <w:rPr>
                <w:rFonts w:ascii="Arial" w:hAnsi="Arial" w:cs="Arial"/>
                <w:bCs/>
                <w:lang w:eastAsia="da-DK"/>
              </w:rPr>
              <w:t xml:space="preserve"> (</w:t>
            </w:r>
            <w:r w:rsidRPr="00C22011">
              <w:rPr>
                <w:rFonts w:ascii="Arial" w:hAnsi="Arial" w:cs="Arial"/>
                <w:bCs/>
                <w:lang w:eastAsia="da-DK"/>
              </w:rPr>
              <w:t>e.g. Special Areas of Conservation (SACs), Special Protect</w:t>
            </w:r>
            <w:r w:rsidR="00AF531C">
              <w:rPr>
                <w:rFonts w:ascii="Arial" w:hAnsi="Arial" w:cs="Arial"/>
                <w:bCs/>
                <w:lang w:eastAsia="da-DK"/>
              </w:rPr>
              <w:t>ion</w:t>
            </w:r>
            <w:r w:rsidRPr="00C22011">
              <w:rPr>
                <w:rFonts w:ascii="Arial" w:hAnsi="Arial" w:cs="Arial"/>
                <w:bCs/>
                <w:lang w:eastAsia="da-DK"/>
              </w:rPr>
              <w:t xml:space="preserve"> Areas (SPAs), Marine Conservation Zones (MCZs) and Marine Protected Areas (MPAs)</w:t>
            </w:r>
            <w:r w:rsidR="00203656">
              <w:rPr>
                <w:rFonts w:ascii="Arial" w:hAnsi="Arial" w:cs="Arial"/>
                <w:bCs/>
                <w:lang w:eastAsia="da-DK"/>
              </w:rPr>
              <w:t>)</w:t>
            </w:r>
            <w:r w:rsidR="00237DAF">
              <w:rPr>
                <w:rFonts w:ascii="Arial" w:hAnsi="Arial" w:cs="Arial"/>
                <w:bCs/>
                <w:lang w:eastAsia="da-DK"/>
              </w:rPr>
              <w:t xml:space="preserve">; </w:t>
            </w:r>
            <w:r w:rsidR="00AF531C">
              <w:rPr>
                <w:rFonts w:ascii="Arial" w:hAnsi="Arial" w:cs="Arial"/>
                <w:bCs/>
                <w:lang w:eastAsia="da-DK"/>
              </w:rPr>
              <w:t>m</w:t>
            </w:r>
            <w:r w:rsidR="00237DAF">
              <w:rPr>
                <w:rFonts w:ascii="Arial" w:hAnsi="Arial" w:cs="Arial"/>
                <w:bCs/>
                <w:lang w:eastAsia="da-DK"/>
              </w:rPr>
              <w:t xml:space="preserve">arine </w:t>
            </w:r>
            <w:r w:rsidR="00AF531C">
              <w:rPr>
                <w:rFonts w:ascii="Arial" w:hAnsi="Arial" w:cs="Arial"/>
                <w:bCs/>
                <w:lang w:eastAsia="da-DK"/>
              </w:rPr>
              <w:t>p</w:t>
            </w:r>
            <w:r w:rsidR="00237DAF">
              <w:rPr>
                <w:rFonts w:ascii="Arial" w:hAnsi="Arial" w:cs="Arial"/>
                <w:bCs/>
                <w:lang w:eastAsia="da-DK"/>
              </w:rPr>
              <w:t xml:space="preserve">lan areas; </w:t>
            </w:r>
            <w:r w:rsidRPr="00C22011">
              <w:rPr>
                <w:rFonts w:ascii="Arial" w:hAnsi="Arial" w:cs="Arial"/>
                <w:bCs/>
                <w:lang w:eastAsia="da-DK"/>
              </w:rPr>
              <w:t>fishing</w:t>
            </w:r>
            <w:r w:rsidR="00AF531C">
              <w:rPr>
                <w:rFonts w:ascii="Arial" w:hAnsi="Arial" w:cs="Arial"/>
                <w:bCs/>
                <w:lang w:eastAsia="da-DK"/>
              </w:rPr>
              <w:t xml:space="preserve"> and shipping</w:t>
            </w:r>
            <w:r w:rsidRPr="00C22011">
              <w:rPr>
                <w:rFonts w:ascii="Arial" w:hAnsi="Arial" w:cs="Arial"/>
                <w:bCs/>
                <w:lang w:eastAsia="da-DK"/>
              </w:rPr>
              <w:t xml:space="preserve"> intensity</w:t>
            </w:r>
            <w:r w:rsidR="00AF531C">
              <w:rPr>
                <w:rFonts w:ascii="Arial" w:hAnsi="Arial" w:cs="Arial"/>
                <w:bCs/>
                <w:lang w:eastAsia="da-DK"/>
              </w:rPr>
              <w:t>; and</w:t>
            </w:r>
            <w:r w:rsidR="00AF531C" w:rsidRPr="00C22011">
              <w:rPr>
                <w:rFonts w:ascii="Arial" w:hAnsi="Arial" w:cs="Arial"/>
                <w:bCs/>
                <w:lang w:eastAsia="da-DK"/>
              </w:rPr>
              <w:t xml:space="preserve"> windfarms or aggregate extraction areas</w:t>
            </w:r>
            <w:r w:rsidRPr="00C22011">
              <w:rPr>
                <w:rFonts w:ascii="Arial" w:hAnsi="Arial" w:cs="Arial"/>
                <w:bCs/>
                <w:lang w:eastAsia="da-DK"/>
              </w:rPr>
              <w:t>.</w:t>
            </w:r>
          </w:p>
          <w:p w14:paraId="0B9B1948" w14:textId="4831ACD1" w:rsidR="00480781" w:rsidRDefault="00237DAF" w:rsidP="005C4913">
            <w:pPr>
              <w:suppressAutoHyphens/>
              <w:spacing w:before="120" w:after="120"/>
              <w:rPr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>A</w:t>
            </w:r>
            <w:r w:rsidR="00480781" w:rsidRPr="005538B7">
              <w:rPr>
                <w:rFonts w:ascii="Arial" w:hAnsi="Arial" w:cs="Arial"/>
                <w:bCs/>
                <w:lang w:eastAsia="da-DK"/>
              </w:rPr>
              <w:t xml:space="preserve">ny gaps or limitations in the environmental information </w:t>
            </w:r>
            <w:r>
              <w:rPr>
                <w:rFonts w:ascii="Arial" w:hAnsi="Arial" w:cs="Arial"/>
                <w:bCs/>
                <w:lang w:eastAsia="da-DK"/>
              </w:rPr>
              <w:t xml:space="preserve">provided </w:t>
            </w:r>
            <w:r w:rsidR="00480781" w:rsidRPr="005538B7">
              <w:rPr>
                <w:rFonts w:ascii="Arial" w:hAnsi="Arial" w:cs="Arial"/>
                <w:bCs/>
                <w:lang w:eastAsia="da-DK"/>
              </w:rPr>
              <w:t xml:space="preserve">should be acknowledged and, where appropriate, strategies proposed to address </w:t>
            </w:r>
            <w:r w:rsidR="00AF531C">
              <w:rPr>
                <w:rFonts w:ascii="Arial" w:hAnsi="Arial" w:cs="Arial"/>
                <w:bCs/>
                <w:lang w:eastAsia="da-DK"/>
              </w:rPr>
              <w:t>critical</w:t>
            </w:r>
            <w:r w:rsidR="00480781" w:rsidRPr="005538B7">
              <w:rPr>
                <w:rFonts w:ascii="Arial" w:hAnsi="Arial" w:cs="Arial"/>
                <w:bCs/>
                <w:lang w:eastAsia="da-DK"/>
              </w:rPr>
              <w:t xml:space="preserve"> deficiencies.  </w:t>
            </w:r>
          </w:p>
        </w:tc>
        <w:tc>
          <w:tcPr>
            <w:tcW w:w="4253" w:type="dxa"/>
          </w:tcPr>
          <w:p w14:paraId="5825A1C4" w14:textId="76CD8F84" w:rsidR="00480781" w:rsidRPr="00D85EC5" w:rsidRDefault="00480781" w:rsidP="005C4913">
            <w:pPr>
              <w:suppressAutoHyphens/>
              <w:spacing w:before="120" w:after="120"/>
              <w:rPr>
                <w:bCs/>
                <w:lang w:eastAsia="da-DK"/>
              </w:rPr>
            </w:pPr>
            <w:r w:rsidRPr="00C22011">
              <w:rPr>
                <w:rFonts w:ascii="Arial" w:hAnsi="Arial" w:cs="Arial"/>
                <w:bCs/>
                <w:lang w:eastAsia="da-DK"/>
              </w:rPr>
              <w:t>It is important that all the relevant environmental considerations are included</w:t>
            </w:r>
            <w:r>
              <w:rPr>
                <w:rFonts w:ascii="Arial" w:hAnsi="Arial" w:cs="Arial"/>
                <w:bCs/>
                <w:lang w:eastAsia="da-DK"/>
              </w:rPr>
              <w:t xml:space="preserve"> and </w:t>
            </w:r>
            <w:r w:rsidR="009C3817">
              <w:rPr>
                <w:rFonts w:ascii="Arial" w:hAnsi="Arial" w:cs="Arial"/>
                <w:bCs/>
                <w:lang w:eastAsia="da-DK"/>
              </w:rPr>
              <w:t xml:space="preserve">sufficiently </w:t>
            </w:r>
            <w:r>
              <w:rPr>
                <w:rFonts w:ascii="Arial" w:hAnsi="Arial" w:cs="Arial"/>
                <w:bCs/>
                <w:lang w:eastAsia="da-DK"/>
              </w:rPr>
              <w:t>de</w:t>
            </w:r>
            <w:r w:rsidR="00237DAF">
              <w:rPr>
                <w:rFonts w:ascii="Arial" w:hAnsi="Arial" w:cs="Arial"/>
                <w:bCs/>
                <w:lang w:eastAsia="da-DK"/>
              </w:rPr>
              <w:t xml:space="preserve">scribed </w:t>
            </w:r>
            <w:r>
              <w:rPr>
                <w:rFonts w:ascii="Arial" w:hAnsi="Arial" w:cs="Arial"/>
                <w:bCs/>
                <w:lang w:eastAsia="da-DK"/>
              </w:rPr>
              <w:t>to adequately identify and assess environmental impact</w:t>
            </w:r>
            <w:r w:rsidR="00237DAF">
              <w:rPr>
                <w:rFonts w:ascii="Arial" w:hAnsi="Arial" w:cs="Arial"/>
                <w:bCs/>
                <w:lang w:eastAsia="da-DK"/>
              </w:rPr>
              <w:t>s</w:t>
            </w:r>
            <w:r>
              <w:rPr>
                <w:rFonts w:ascii="Arial" w:hAnsi="Arial" w:cs="Arial"/>
                <w:bCs/>
                <w:lang w:eastAsia="da-DK"/>
              </w:rPr>
              <w:t>.</w:t>
            </w:r>
            <w:r w:rsidR="00C13E54">
              <w:rPr>
                <w:rFonts w:ascii="Arial" w:hAnsi="Arial" w:cs="Arial"/>
                <w:bCs/>
                <w:lang w:eastAsia="da-DK"/>
              </w:rPr>
              <w:t xml:space="preserve"> </w:t>
            </w:r>
            <w:r>
              <w:rPr>
                <w:rFonts w:ascii="Arial" w:hAnsi="Arial" w:cs="Arial"/>
                <w:bCs/>
                <w:lang w:eastAsia="da-DK"/>
              </w:rPr>
              <w:t xml:space="preserve">Each element of the description should be proportional and achieve the right emphasis in terms of its importance and </w:t>
            </w:r>
            <w:r w:rsidR="009C3817">
              <w:rPr>
                <w:rFonts w:ascii="Arial" w:hAnsi="Arial" w:cs="Arial"/>
                <w:bCs/>
                <w:lang w:eastAsia="da-DK"/>
              </w:rPr>
              <w:t xml:space="preserve">its </w:t>
            </w:r>
            <w:r>
              <w:rPr>
                <w:rFonts w:ascii="Arial" w:hAnsi="Arial" w:cs="Arial"/>
                <w:bCs/>
                <w:lang w:eastAsia="da-DK"/>
              </w:rPr>
              <w:t xml:space="preserve">relevance to the potential environmental impact and </w:t>
            </w:r>
            <w:r w:rsidR="00237DAF">
              <w:rPr>
                <w:rFonts w:ascii="Arial" w:hAnsi="Arial" w:cs="Arial"/>
                <w:bCs/>
                <w:lang w:eastAsia="da-DK"/>
              </w:rPr>
              <w:t xml:space="preserve">the </w:t>
            </w:r>
            <w:r>
              <w:rPr>
                <w:rFonts w:ascii="Arial" w:hAnsi="Arial" w:cs="Arial"/>
                <w:bCs/>
                <w:lang w:eastAsia="da-DK"/>
              </w:rPr>
              <w:t xml:space="preserve">conclusions of </w:t>
            </w:r>
            <w:r w:rsidR="00237DAF">
              <w:rPr>
                <w:rFonts w:ascii="Arial" w:hAnsi="Arial" w:cs="Arial"/>
                <w:bCs/>
                <w:lang w:eastAsia="da-DK"/>
              </w:rPr>
              <w:t xml:space="preserve">the </w:t>
            </w:r>
            <w:r>
              <w:rPr>
                <w:rFonts w:ascii="Arial" w:hAnsi="Arial" w:cs="Arial"/>
                <w:bCs/>
                <w:lang w:eastAsia="da-DK"/>
              </w:rPr>
              <w:t>EA.</w:t>
            </w:r>
          </w:p>
        </w:tc>
      </w:tr>
      <w:tr w:rsidR="00F470AB" w14:paraId="18EA0F0E" w14:textId="77777777" w:rsidTr="00A02816">
        <w:tc>
          <w:tcPr>
            <w:tcW w:w="2802" w:type="dxa"/>
          </w:tcPr>
          <w:p w14:paraId="5D03D5FB" w14:textId="1E9A8AF7" w:rsidR="00F470AB" w:rsidRPr="00D91B96" w:rsidRDefault="004D307D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>Environmental Issues Identification</w:t>
            </w:r>
          </w:p>
        </w:tc>
        <w:tc>
          <w:tcPr>
            <w:tcW w:w="7087" w:type="dxa"/>
          </w:tcPr>
          <w:p w14:paraId="7734F1B8" w14:textId="15B26EF2" w:rsidR="00DA0840" w:rsidRPr="00DA0840" w:rsidRDefault="004D307D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>As part of the EA</w:t>
            </w:r>
            <w:r w:rsidR="00E87833">
              <w:rPr>
                <w:rFonts w:ascii="Arial" w:hAnsi="Arial" w:cs="Arial"/>
                <w:bCs/>
                <w:lang w:eastAsia="da-DK"/>
              </w:rPr>
              <w:t>,</w:t>
            </w:r>
            <w:r w:rsidR="00DA0840" w:rsidRPr="00DA0840">
              <w:rPr>
                <w:rFonts w:ascii="Arial" w:hAnsi="Arial" w:cs="Arial"/>
                <w:bCs/>
                <w:lang w:eastAsia="da-DK"/>
              </w:rPr>
              <w:t xml:space="preserve"> project data </w:t>
            </w:r>
            <w:r>
              <w:rPr>
                <w:rFonts w:ascii="Arial" w:hAnsi="Arial" w:cs="Arial"/>
                <w:bCs/>
                <w:lang w:eastAsia="da-DK"/>
              </w:rPr>
              <w:t xml:space="preserve">should be </w:t>
            </w:r>
            <w:r w:rsidR="00E87833">
              <w:rPr>
                <w:rFonts w:ascii="Arial" w:hAnsi="Arial" w:cs="Arial"/>
                <w:bCs/>
                <w:lang w:eastAsia="da-DK"/>
              </w:rPr>
              <w:t>subjected to a preliminary scoping exercise to identify relevant potential environmental issues and impacts</w:t>
            </w:r>
            <w:r w:rsidR="00534490">
              <w:rPr>
                <w:rFonts w:ascii="Arial" w:hAnsi="Arial" w:cs="Arial"/>
                <w:bCs/>
                <w:lang w:eastAsia="da-DK"/>
              </w:rPr>
              <w:t>.</w:t>
            </w:r>
            <w:r w:rsidR="00C13E54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534490">
              <w:rPr>
                <w:rFonts w:ascii="Arial" w:hAnsi="Arial" w:cs="Arial"/>
                <w:bCs/>
                <w:lang w:eastAsia="da-DK"/>
              </w:rPr>
              <w:t xml:space="preserve">This could involve using </w:t>
            </w:r>
            <w:r>
              <w:rPr>
                <w:rFonts w:ascii="Arial" w:hAnsi="Arial" w:cs="Arial"/>
                <w:bCs/>
                <w:lang w:eastAsia="da-DK"/>
              </w:rPr>
              <w:t>a</w:t>
            </w:r>
            <w:r w:rsidR="00534490">
              <w:rPr>
                <w:rFonts w:ascii="Arial" w:hAnsi="Arial" w:cs="Arial"/>
                <w:bCs/>
                <w:lang w:eastAsia="da-DK"/>
              </w:rPr>
              <w:t xml:space="preserve"> standard industry or company </w:t>
            </w:r>
            <w:r>
              <w:rPr>
                <w:rFonts w:ascii="Arial" w:hAnsi="Arial" w:cs="Arial"/>
                <w:bCs/>
                <w:lang w:eastAsia="da-DK"/>
              </w:rPr>
              <w:t xml:space="preserve">Environmental Issues Identification (ENVID) </w:t>
            </w:r>
            <w:r w:rsidR="00534490">
              <w:rPr>
                <w:rFonts w:ascii="Arial" w:hAnsi="Arial" w:cs="Arial"/>
                <w:bCs/>
                <w:lang w:eastAsia="da-DK"/>
              </w:rPr>
              <w:t>system.</w:t>
            </w:r>
            <w:r>
              <w:rPr>
                <w:rFonts w:ascii="Arial" w:hAnsi="Arial" w:cs="Arial"/>
                <w:bCs/>
                <w:lang w:eastAsia="da-DK"/>
              </w:rPr>
              <w:t xml:space="preserve">  </w:t>
            </w:r>
          </w:p>
          <w:p w14:paraId="39905AC0" w14:textId="18C970E3" w:rsidR="00645C0B" w:rsidRDefault="00DA0840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DA0840">
              <w:rPr>
                <w:rFonts w:ascii="Arial" w:hAnsi="Arial" w:cs="Arial"/>
                <w:bCs/>
                <w:lang w:eastAsia="da-DK"/>
              </w:rPr>
              <w:lastRenderedPageBreak/>
              <w:t xml:space="preserve">The key objective of </w:t>
            </w:r>
            <w:r w:rsidR="006B6B28">
              <w:rPr>
                <w:rFonts w:ascii="Arial" w:hAnsi="Arial" w:cs="Arial"/>
                <w:bCs/>
                <w:lang w:eastAsia="da-DK"/>
              </w:rPr>
              <w:t xml:space="preserve">the </w:t>
            </w:r>
            <w:r w:rsidR="002D64CE">
              <w:rPr>
                <w:rFonts w:ascii="Arial" w:hAnsi="Arial" w:cs="Arial"/>
                <w:bCs/>
                <w:lang w:eastAsia="da-DK"/>
              </w:rPr>
              <w:t>scoping process</w:t>
            </w:r>
            <w:r w:rsidRPr="00DA0840">
              <w:rPr>
                <w:rFonts w:ascii="Arial" w:hAnsi="Arial" w:cs="Arial"/>
                <w:bCs/>
                <w:lang w:eastAsia="da-DK"/>
              </w:rPr>
              <w:t xml:space="preserve"> is to identify</w:t>
            </w:r>
            <w:r w:rsidR="00E011E4">
              <w:rPr>
                <w:rFonts w:ascii="Arial" w:hAnsi="Arial" w:cs="Arial"/>
                <w:bCs/>
                <w:lang w:eastAsia="da-DK"/>
              </w:rPr>
              <w:t xml:space="preserve"> all</w:t>
            </w:r>
            <w:r w:rsidRPr="00DA0840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705038">
              <w:rPr>
                <w:rFonts w:ascii="Arial" w:hAnsi="Arial" w:cs="Arial"/>
                <w:bCs/>
                <w:lang w:eastAsia="da-DK"/>
              </w:rPr>
              <w:t xml:space="preserve">relevant </w:t>
            </w:r>
            <w:r w:rsidRPr="00DA0840">
              <w:rPr>
                <w:rFonts w:ascii="Arial" w:hAnsi="Arial" w:cs="Arial"/>
                <w:bCs/>
                <w:lang w:eastAsia="da-DK"/>
              </w:rPr>
              <w:t xml:space="preserve">issues resulting from </w:t>
            </w:r>
            <w:r w:rsidR="00705038">
              <w:rPr>
                <w:rFonts w:ascii="Arial" w:hAnsi="Arial" w:cs="Arial"/>
                <w:bCs/>
                <w:lang w:eastAsia="da-DK"/>
              </w:rPr>
              <w:t>the</w:t>
            </w:r>
            <w:r w:rsidRPr="00DA0840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AF531C">
              <w:rPr>
                <w:rFonts w:ascii="Arial" w:hAnsi="Arial" w:cs="Arial"/>
                <w:bCs/>
                <w:lang w:eastAsia="da-DK"/>
              </w:rPr>
              <w:t>selected</w:t>
            </w:r>
            <w:r w:rsidR="00422B9B" w:rsidRPr="00DA0840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705038" w:rsidRPr="00DA0840">
              <w:rPr>
                <w:rFonts w:ascii="Arial" w:hAnsi="Arial" w:cs="Arial"/>
                <w:bCs/>
                <w:lang w:eastAsia="da-DK"/>
              </w:rPr>
              <w:t>de</w:t>
            </w:r>
            <w:r w:rsidR="00705038">
              <w:rPr>
                <w:rFonts w:ascii="Arial" w:hAnsi="Arial" w:cs="Arial"/>
                <w:bCs/>
                <w:lang w:eastAsia="da-DK"/>
              </w:rPr>
              <w:t xml:space="preserve">commissioning </w:t>
            </w:r>
            <w:r w:rsidR="00422B9B">
              <w:rPr>
                <w:rFonts w:ascii="Arial" w:hAnsi="Arial" w:cs="Arial"/>
                <w:bCs/>
                <w:lang w:eastAsia="da-DK"/>
              </w:rPr>
              <w:t>option</w:t>
            </w:r>
            <w:r w:rsidR="0055594A">
              <w:rPr>
                <w:rFonts w:ascii="Arial" w:hAnsi="Arial" w:cs="Arial"/>
                <w:bCs/>
                <w:lang w:eastAsia="da-DK"/>
              </w:rPr>
              <w:t>,</w:t>
            </w:r>
            <w:r w:rsidR="00705038" w:rsidRPr="00DA0840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Pr="00DA0840">
              <w:rPr>
                <w:rFonts w:ascii="Arial" w:hAnsi="Arial" w:cs="Arial"/>
                <w:bCs/>
                <w:lang w:eastAsia="da-DK"/>
              </w:rPr>
              <w:t xml:space="preserve">and </w:t>
            </w:r>
            <w:r w:rsidR="0055594A">
              <w:rPr>
                <w:rFonts w:ascii="Arial" w:hAnsi="Arial" w:cs="Arial"/>
                <w:bCs/>
                <w:lang w:eastAsia="da-DK"/>
              </w:rPr>
              <w:t xml:space="preserve">to </w:t>
            </w:r>
            <w:r w:rsidRPr="00DA0840">
              <w:rPr>
                <w:rFonts w:ascii="Arial" w:hAnsi="Arial" w:cs="Arial"/>
                <w:bCs/>
                <w:lang w:eastAsia="da-DK"/>
              </w:rPr>
              <w:t xml:space="preserve">agree practicable measures to ensure that throughout the </w:t>
            </w:r>
            <w:r w:rsidR="00705038">
              <w:rPr>
                <w:rFonts w:ascii="Arial" w:hAnsi="Arial" w:cs="Arial"/>
                <w:bCs/>
                <w:lang w:eastAsia="da-DK"/>
              </w:rPr>
              <w:t>duration</w:t>
            </w:r>
            <w:r w:rsidRPr="00DA0840">
              <w:rPr>
                <w:rFonts w:ascii="Arial" w:hAnsi="Arial" w:cs="Arial"/>
                <w:bCs/>
                <w:lang w:eastAsia="da-DK"/>
              </w:rPr>
              <w:t xml:space="preserve"> of the </w:t>
            </w:r>
            <w:r w:rsidR="00705038">
              <w:rPr>
                <w:rFonts w:ascii="Arial" w:hAnsi="Arial" w:cs="Arial"/>
                <w:bCs/>
                <w:lang w:eastAsia="da-DK"/>
              </w:rPr>
              <w:t>operations</w:t>
            </w:r>
            <w:r w:rsidR="00705038" w:rsidRPr="00DA0840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55594A">
              <w:rPr>
                <w:rFonts w:ascii="Arial" w:hAnsi="Arial" w:cs="Arial"/>
                <w:bCs/>
                <w:lang w:eastAsia="da-DK"/>
              </w:rPr>
              <w:t>there is</w:t>
            </w:r>
            <w:r w:rsidRPr="00DA0840">
              <w:rPr>
                <w:rFonts w:ascii="Arial" w:hAnsi="Arial" w:cs="Arial"/>
                <w:bCs/>
                <w:lang w:eastAsia="da-DK"/>
              </w:rPr>
              <w:t xml:space="preserve"> minimal harm to the environment. The process</w:t>
            </w:r>
            <w:r w:rsidR="00705038">
              <w:rPr>
                <w:rFonts w:ascii="Arial" w:hAnsi="Arial" w:cs="Arial"/>
                <w:bCs/>
                <w:lang w:eastAsia="da-DK"/>
              </w:rPr>
              <w:t xml:space="preserve"> should</w:t>
            </w:r>
            <w:r w:rsidRPr="00DA0840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705038">
              <w:rPr>
                <w:rFonts w:ascii="Arial" w:hAnsi="Arial" w:cs="Arial"/>
                <w:bCs/>
                <w:lang w:eastAsia="da-DK"/>
              </w:rPr>
              <w:t>consider</w:t>
            </w:r>
            <w:r w:rsidR="00892210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645C0B">
              <w:rPr>
                <w:rFonts w:ascii="Arial" w:hAnsi="Arial" w:cs="Arial"/>
                <w:bCs/>
                <w:lang w:eastAsia="da-DK"/>
              </w:rPr>
              <w:t>all</w:t>
            </w:r>
            <w:r w:rsidR="00645C0B" w:rsidRPr="00DA0840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Pr="00DA0840">
              <w:rPr>
                <w:rFonts w:ascii="Arial" w:hAnsi="Arial" w:cs="Arial"/>
                <w:bCs/>
                <w:lang w:eastAsia="da-DK"/>
              </w:rPr>
              <w:t xml:space="preserve">relevant factors, based on expert judgement </w:t>
            </w:r>
            <w:r w:rsidR="00705038">
              <w:rPr>
                <w:rFonts w:ascii="Arial" w:hAnsi="Arial" w:cs="Arial"/>
                <w:bCs/>
                <w:lang w:eastAsia="da-DK"/>
              </w:rPr>
              <w:t>using</w:t>
            </w:r>
            <w:r w:rsidRPr="00DA0840">
              <w:rPr>
                <w:rFonts w:ascii="Arial" w:hAnsi="Arial" w:cs="Arial"/>
                <w:bCs/>
                <w:lang w:eastAsia="da-DK"/>
              </w:rPr>
              <w:t xml:space="preserve"> multidisciplinary team strengths, particularl</w:t>
            </w:r>
            <w:r w:rsidR="005538B7">
              <w:rPr>
                <w:rFonts w:ascii="Arial" w:hAnsi="Arial" w:cs="Arial"/>
                <w:bCs/>
                <w:lang w:eastAsia="da-DK"/>
              </w:rPr>
              <w:t xml:space="preserve">y </w:t>
            </w:r>
            <w:proofErr w:type="gramStart"/>
            <w:r w:rsidR="005538B7">
              <w:rPr>
                <w:rFonts w:ascii="Arial" w:hAnsi="Arial" w:cs="Arial"/>
                <w:bCs/>
                <w:lang w:eastAsia="da-DK"/>
              </w:rPr>
              <w:t>with regard to</w:t>
            </w:r>
            <w:proofErr w:type="gramEnd"/>
            <w:r w:rsidR="005538B7">
              <w:rPr>
                <w:rFonts w:ascii="Arial" w:hAnsi="Arial" w:cs="Arial"/>
                <w:bCs/>
                <w:lang w:eastAsia="da-DK"/>
              </w:rPr>
              <w:t xml:space="preserve"> understanding </w:t>
            </w:r>
            <w:r w:rsidRPr="00DA0840">
              <w:rPr>
                <w:rFonts w:ascii="Arial" w:hAnsi="Arial" w:cs="Arial"/>
                <w:bCs/>
                <w:lang w:eastAsia="da-DK"/>
              </w:rPr>
              <w:t>both demonstrated and perceived potenti</w:t>
            </w:r>
            <w:r w:rsidR="005538B7">
              <w:rPr>
                <w:rFonts w:ascii="Arial" w:hAnsi="Arial" w:cs="Arial"/>
                <w:bCs/>
                <w:lang w:eastAsia="da-DK"/>
              </w:rPr>
              <w:t>al environmental</w:t>
            </w:r>
            <w:r w:rsidR="00CF0DCE">
              <w:rPr>
                <w:rFonts w:ascii="Arial" w:hAnsi="Arial" w:cs="Arial"/>
                <w:bCs/>
                <w:lang w:eastAsia="da-DK"/>
              </w:rPr>
              <w:t xml:space="preserve"> impacts, </w:t>
            </w:r>
            <w:r w:rsidR="005538B7">
              <w:rPr>
                <w:rFonts w:ascii="Arial" w:hAnsi="Arial" w:cs="Arial"/>
                <w:bCs/>
                <w:lang w:eastAsia="da-DK"/>
              </w:rPr>
              <w:t>sensitivities</w:t>
            </w:r>
            <w:r w:rsidR="00CF0DCE">
              <w:rPr>
                <w:rFonts w:ascii="Arial" w:hAnsi="Arial" w:cs="Arial"/>
                <w:bCs/>
                <w:lang w:eastAsia="da-DK"/>
              </w:rPr>
              <w:t xml:space="preserve"> and mitigation</w:t>
            </w:r>
            <w:r w:rsidR="005538B7">
              <w:rPr>
                <w:rFonts w:ascii="Arial" w:hAnsi="Arial" w:cs="Arial"/>
                <w:bCs/>
                <w:lang w:eastAsia="da-DK"/>
              </w:rPr>
              <w:t>.</w:t>
            </w:r>
            <w:r w:rsidR="00645C0B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55594A">
              <w:rPr>
                <w:rFonts w:ascii="Arial" w:hAnsi="Arial" w:cs="Arial"/>
                <w:bCs/>
                <w:lang w:eastAsia="da-DK"/>
              </w:rPr>
              <w:t>T</w:t>
            </w:r>
            <w:r w:rsidR="00CF0DCE">
              <w:rPr>
                <w:rFonts w:ascii="Arial" w:hAnsi="Arial" w:cs="Arial"/>
                <w:bCs/>
                <w:lang w:eastAsia="da-DK"/>
              </w:rPr>
              <w:t xml:space="preserve">his process </w:t>
            </w:r>
            <w:r w:rsidR="0055594A">
              <w:rPr>
                <w:rFonts w:ascii="Arial" w:hAnsi="Arial" w:cs="Arial"/>
                <w:bCs/>
                <w:lang w:eastAsia="da-DK"/>
              </w:rPr>
              <w:t>should</w:t>
            </w:r>
            <w:r w:rsidR="00CF0DCE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645C0B">
              <w:rPr>
                <w:rFonts w:ascii="Arial" w:hAnsi="Arial" w:cs="Arial"/>
                <w:bCs/>
                <w:lang w:eastAsia="da-DK"/>
              </w:rPr>
              <w:t xml:space="preserve">also </w:t>
            </w:r>
            <w:r w:rsidR="00CF0DCE">
              <w:rPr>
                <w:rFonts w:ascii="Arial" w:hAnsi="Arial" w:cs="Arial"/>
                <w:bCs/>
                <w:lang w:eastAsia="da-DK"/>
              </w:rPr>
              <w:t xml:space="preserve">determine the issues </w:t>
            </w:r>
            <w:r w:rsidR="0055594A">
              <w:rPr>
                <w:rFonts w:ascii="Arial" w:hAnsi="Arial" w:cs="Arial"/>
                <w:bCs/>
                <w:lang w:eastAsia="da-DK"/>
              </w:rPr>
              <w:t xml:space="preserve">that need </w:t>
            </w:r>
            <w:r w:rsidR="00CF0DCE">
              <w:rPr>
                <w:rFonts w:ascii="Arial" w:hAnsi="Arial" w:cs="Arial"/>
                <w:bCs/>
                <w:lang w:eastAsia="da-DK"/>
              </w:rPr>
              <w:t xml:space="preserve">to be further assessed as they have been </w:t>
            </w:r>
            <w:r w:rsidR="009973BC">
              <w:rPr>
                <w:rFonts w:ascii="Arial" w:hAnsi="Arial" w:cs="Arial"/>
                <w:bCs/>
                <w:lang w:eastAsia="da-DK"/>
              </w:rPr>
              <w:t>identified</w:t>
            </w:r>
            <w:r w:rsidR="00CF0DCE">
              <w:rPr>
                <w:rFonts w:ascii="Arial" w:hAnsi="Arial" w:cs="Arial"/>
                <w:bCs/>
                <w:lang w:eastAsia="da-DK"/>
              </w:rPr>
              <w:t xml:space="preserve"> a</w:t>
            </w:r>
            <w:r w:rsidR="00645C0B">
              <w:rPr>
                <w:rFonts w:ascii="Arial" w:hAnsi="Arial" w:cs="Arial"/>
                <w:bCs/>
                <w:lang w:eastAsia="da-DK"/>
              </w:rPr>
              <w:t>s having the</w:t>
            </w:r>
            <w:r w:rsidR="00CF0DCE">
              <w:rPr>
                <w:rFonts w:ascii="Arial" w:hAnsi="Arial" w:cs="Arial"/>
                <w:bCs/>
                <w:lang w:eastAsia="da-DK"/>
              </w:rPr>
              <w:t xml:space="preserve"> potential </w:t>
            </w:r>
            <w:r w:rsidR="00645C0B">
              <w:rPr>
                <w:rFonts w:ascii="Arial" w:hAnsi="Arial" w:cs="Arial"/>
                <w:bCs/>
                <w:lang w:eastAsia="da-DK"/>
              </w:rPr>
              <w:t xml:space="preserve">to result in a </w:t>
            </w:r>
            <w:r w:rsidR="00CF0DCE">
              <w:rPr>
                <w:rFonts w:ascii="Arial" w:hAnsi="Arial" w:cs="Arial"/>
                <w:bCs/>
                <w:lang w:eastAsia="da-DK"/>
              </w:rPr>
              <w:t>significant impact</w:t>
            </w:r>
            <w:r w:rsidR="00422B9B">
              <w:rPr>
                <w:rFonts w:ascii="Arial" w:hAnsi="Arial" w:cs="Arial"/>
                <w:bCs/>
                <w:lang w:eastAsia="da-DK"/>
              </w:rPr>
              <w:t>.</w:t>
            </w:r>
          </w:p>
          <w:p w14:paraId="7CA07827" w14:textId="44059F54" w:rsidR="00CF0DCE" w:rsidRPr="00BD6A9D" w:rsidRDefault="00645C0B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CF0DCE">
              <w:rPr>
                <w:rFonts w:ascii="Arial" w:hAnsi="Arial" w:cs="Arial"/>
                <w:bCs/>
                <w:lang w:eastAsia="da-DK"/>
              </w:rPr>
              <w:t xml:space="preserve">There are </w:t>
            </w:r>
            <w:r>
              <w:rPr>
                <w:rFonts w:ascii="Arial" w:hAnsi="Arial" w:cs="Arial"/>
                <w:bCs/>
                <w:lang w:eastAsia="da-DK"/>
              </w:rPr>
              <w:t>several</w:t>
            </w:r>
            <w:r w:rsidRPr="00CF0DCE">
              <w:rPr>
                <w:rFonts w:ascii="Arial" w:hAnsi="Arial" w:cs="Arial"/>
                <w:bCs/>
                <w:lang w:eastAsia="da-DK"/>
              </w:rPr>
              <w:t xml:space="preserve"> methodologies used to identify impacts, but the most commonly used in the UK is the qualitative risk-based interaction matrices</w:t>
            </w:r>
            <w:r>
              <w:rPr>
                <w:rFonts w:ascii="Arial" w:hAnsi="Arial" w:cs="Arial"/>
                <w:bCs/>
                <w:lang w:eastAsia="da-DK"/>
              </w:rPr>
              <w:t>.</w:t>
            </w:r>
            <w:r w:rsidR="00C13E54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C641E8">
              <w:rPr>
                <w:rFonts w:ascii="Arial" w:hAnsi="Arial" w:cs="Arial"/>
                <w:bCs/>
                <w:lang w:eastAsia="da-DK"/>
              </w:rPr>
              <w:t>W</w:t>
            </w:r>
            <w:r>
              <w:rPr>
                <w:rFonts w:ascii="Arial" w:hAnsi="Arial" w:cs="Arial"/>
                <w:bCs/>
                <w:lang w:eastAsia="da-DK"/>
              </w:rPr>
              <w:t>hatever methodology is used</w:t>
            </w:r>
            <w:r w:rsidR="00E918F7">
              <w:rPr>
                <w:rFonts w:ascii="Arial" w:hAnsi="Arial" w:cs="Arial"/>
                <w:bCs/>
                <w:lang w:eastAsia="da-DK"/>
              </w:rPr>
              <w:t xml:space="preserve">, it should be </w:t>
            </w:r>
            <w:r w:rsidR="00422B9B">
              <w:rPr>
                <w:rFonts w:ascii="Arial" w:hAnsi="Arial" w:cs="Arial"/>
                <w:bCs/>
                <w:lang w:eastAsia="da-DK"/>
              </w:rPr>
              <w:t>clearly identified</w:t>
            </w:r>
            <w:r w:rsidR="00E918F7">
              <w:rPr>
                <w:rFonts w:ascii="Arial" w:hAnsi="Arial" w:cs="Arial"/>
                <w:bCs/>
                <w:lang w:eastAsia="da-DK"/>
              </w:rPr>
              <w:t xml:space="preserve"> a formal summary of the process should be included either as standalone section in the EA report or as an appendix to the report.</w:t>
            </w:r>
            <w:r w:rsidR="00CF0DCE" w:rsidRPr="00CF0DCE">
              <w:rPr>
                <w:rFonts w:ascii="Arial" w:hAnsi="Arial" w:cs="Arial"/>
                <w:bCs/>
                <w:lang w:eastAsia="da-DK"/>
              </w:rPr>
              <w:t xml:space="preserve"> </w:t>
            </w:r>
          </w:p>
        </w:tc>
        <w:tc>
          <w:tcPr>
            <w:tcW w:w="4253" w:type="dxa"/>
          </w:tcPr>
          <w:p w14:paraId="332E7923" w14:textId="700D6B53" w:rsidR="006B3829" w:rsidRPr="00BD6A9D" w:rsidRDefault="004D307D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4D307D">
              <w:rPr>
                <w:rFonts w:ascii="Arial" w:hAnsi="Arial" w:cs="Arial"/>
                <w:bCs/>
                <w:lang w:eastAsia="da-DK"/>
              </w:rPr>
              <w:lastRenderedPageBreak/>
              <w:t xml:space="preserve">There are several methods for presenting the results of a </w:t>
            </w:r>
            <w:r w:rsidR="005A7091">
              <w:rPr>
                <w:rFonts w:ascii="Arial" w:hAnsi="Arial" w:cs="Arial"/>
                <w:bCs/>
                <w:lang w:eastAsia="da-DK"/>
              </w:rPr>
              <w:t>scoping exercise,</w:t>
            </w:r>
            <w:r w:rsidRPr="004D307D">
              <w:rPr>
                <w:rFonts w:ascii="Arial" w:hAnsi="Arial" w:cs="Arial"/>
                <w:bCs/>
                <w:lang w:eastAsia="da-DK"/>
              </w:rPr>
              <w:t xml:space="preserve"> the most commonly used being matrices or tables.</w:t>
            </w:r>
            <w:r w:rsidR="00C13E54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705038">
              <w:rPr>
                <w:rFonts w:ascii="Arial" w:hAnsi="Arial" w:cs="Arial"/>
                <w:bCs/>
                <w:lang w:eastAsia="da-DK"/>
              </w:rPr>
              <w:t xml:space="preserve">However, there is no preference, </w:t>
            </w:r>
            <w:proofErr w:type="gramStart"/>
            <w:r w:rsidR="00705038">
              <w:rPr>
                <w:rFonts w:ascii="Arial" w:hAnsi="Arial" w:cs="Arial"/>
                <w:bCs/>
                <w:lang w:eastAsia="da-DK"/>
              </w:rPr>
              <w:t>as long as</w:t>
            </w:r>
            <w:proofErr w:type="gramEnd"/>
            <w:r w:rsidR="00705038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5A7091">
              <w:rPr>
                <w:rFonts w:ascii="Arial" w:hAnsi="Arial" w:cs="Arial"/>
                <w:bCs/>
                <w:lang w:eastAsia="da-DK"/>
              </w:rPr>
              <w:lastRenderedPageBreak/>
              <w:t>the outcome</w:t>
            </w:r>
            <w:r w:rsidR="00705038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6B3829">
              <w:rPr>
                <w:rFonts w:ascii="Arial" w:hAnsi="Arial" w:cs="Arial"/>
                <w:bCs/>
                <w:lang w:eastAsia="da-DK"/>
              </w:rPr>
              <w:t xml:space="preserve">is presented in a logical and clear manner.  </w:t>
            </w:r>
          </w:p>
        </w:tc>
      </w:tr>
      <w:tr w:rsidR="00F470AB" w14:paraId="384D0C7F" w14:textId="77777777" w:rsidTr="00A02816">
        <w:tc>
          <w:tcPr>
            <w:tcW w:w="2802" w:type="dxa"/>
          </w:tcPr>
          <w:p w14:paraId="66504FAB" w14:textId="77777777" w:rsidR="00F470AB" w:rsidRPr="00D91B96" w:rsidRDefault="00F470AB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D91B96">
              <w:rPr>
                <w:rFonts w:ascii="Arial" w:hAnsi="Arial" w:cs="Arial"/>
                <w:bCs/>
                <w:lang w:eastAsia="da-DK"/>
              </w:rPr>
              <w:lastRenderedPageBreak/>
              <w:t>Environmental Assessment</w:t>
            </w:r>
          </w:p>
        </w:tc>
        <w:tc>
          <w:tcPr>
            <w:tcW w:w="7087" w:type="dxa"/>
          </w:tcPr>
          <w:p w14:paraId="320D4D2E" w14:textId="58DFC329" w:rsidR="00625276" w:rsidRDefault="009973BC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 xml:space="preserve">The assessment should </w:t>
            </w:r>
            <w:r w:rsidR="00AF531C">
              <w:rPr>
                <w:rFonts w:ascii="Arial" w:hAnsi="Arial" w:cs="Arial"/>
                <w:bCs/>
                <w:lang w:eastAsia="da-DK"/>
              </w:rPr>
              <w:t xml:space="preserve">identify all potential environmental impacts, </w:t>
            </w:r>
            <w:r w:rsidR="00E918F7">
              <w:rPr>
                <w:rFonts w:ascii="Arial" w:hAnsi="Arial" w:cs="Arial"/>
                <w:bCs/>
                <w:lang w:eastAsia="da-DK"/>
              </w:rPr>
              <w:t xml:space="preserve">placing them in a spatial and quantitative context e.g. area of impact, and </w:t>
            </w:r>
            <w:r w:rsidR="00AF531C">
              <w:rPr>
                <w:rFonts w:ascii="Arial" w:hAnsi="Arial" w:cs="Arial"/>
                <w:bCs/>
                <w:lang w:eastAsia="da-DK"/>
              </w:rPr>
              <w:t xml:space="preserve">should </w:t>
            </w:r>
            <w:r>
              <w:rPr>
                <w:rFonts w:ascii="Arial" w:hAnsi="Arial" w:cs="Arial"/>
                <w:bCs/>
                <w:lang w:eastAsia="da-DK"/>
              </w:rPr>
              <w:t xml:space="preserve">focus on those impacts that been identified </w:t>
            </w:r>
            <w:r w:rsidR="00625276">
              <w:rPr>
                <w:rFonts w:ascii="Arial" w:hAnsi="Arial" w:cs="Arial"/>
                <w:bCs/>
                <w:lang w:eastAsia="da-DK"/>
              </w:rPr>
              <w:t xml:space="preserve">in the scoping process as </w:t>
            </w:r>
            <w:r>
              <w:rPr>
                <w:rFonts w:ascii="Arial" w:hAnsi="Arial" w:cs="Arial"/>
                <w:bCs/>
                <w:lang w:eastAsia="da-DK"/>
              </w:rPr>
              <w:t>potential</w:t>
            </w:r>
            <w:r w:rsidR="00625276">
              <w:rPr>
                <w:rFonts w:ascii="Arial" w:hAnsi="Arial" w:cs="Arial"/>
                <w:bCs/>
                <w:lang w:eastAsia="da-DK"/>
              </w:rPr>
              <w:t>ly</w:t>
            </w:r>
            <w:r>
              <w:rPr>
                <w:rFonts w:ascii="Arial" w:hAnsi="Arial" w:cs="Arial"/>
                <w:bCs/>
                <w:lang w:eastAsia="da-DK"/>
              </w:rPr>
              <w:t xml:space="preserve"> significan</w:t>
            </w:r>
            <w:r w:rsidR="00625276">
              <w:rPr>
                <w:rFonts w:ascii="Arial" w:hAnsi="Arial" w:cs="Arial"/>
                <w:bCs/>
                <w:lang w:eastAsia="da-DK"/>
              </w:rPr>
              <w:t xml:space="preserve">t </w:t>
            </w:r>
            <w:r>
              <w:rPr>
                <w:rFonts w:ascii="Arial" w:hAnsi="Arial" w:cs="Arial"/>
                <w:bCs/>
                <w:lang w:eastAsia="da-DK"/>
              </w:rPr>
              <w:t>and therefore requir</w:t>
            </w:r>
            <w:r w:rsidR="00625276">
              <w:rPr>
                <w:rFonts w:ascii="Arial" w:hAnsi="Arial" w:cs="Arial"/>
                <w:bCs/>
                <w:lang w:eastAsia="da-DK"/>
              </w:rPr>
              <w:t>ing</w:t>
            </w:r>
            <w:r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AF531C">
              <w:rPr>
                <w:rFonts w:ascii="Arial" w:hAnsi="Arial" w:cs="Arial"/>
                <w:bCs/>
                <w:lang w:eastAsia="da-DK"/>
              </w:rPr>
              <w:t>detailed</w:t>
            </w:r>
            <w:r>
              <w:rPr>
                <w:rFonts w:ascii="Arial" w:hAnsi="Arial" w:cs="Arial"/>
                <w:bCs/>
                <w:lang w:eastAsia="da-DK"/>
              </w:rPr>
              <w:t xml:space="preserve"> assessment.</w:t>
            </w:r>
          </w:p>
          <w:p w14:paraId="4356B36E" w14:textId="410E0B0A" w:rsidR="00056D31" w:rsidRDefault="00056D31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056D31">
              <w:rPr>
                <w:rFonts w:ascii="Arial" w:hAnsi="Arial" w:cs="Arial"/>
                <w:bCs/>
                <w:lang w:eastAsia="da-DK"/>
              </w:rPr>
              <w:t xml:space="preserve">The assessment of the </w:t>
            </w:r>
            <w:r w:rsidR="00E87833">
              <w:rPr>
                <w:rFonts w:ascii="Arial" w:hAnsi="Arial" w:cs="Arial"/>
                <w:bCs/>
                <w:lang w:eastAsia="da-DK"/>
              </w:rPr>
              <w:t xml:space="preserve">impacts and their </w:t>
            </w:r>
            <w:r w:rsidRPr="00056D31">
              <w:rPr>
                <w:rFonts w:ascii="Arial" w:hAnsi="Arial" w:cs="Arial"/>
                <w:bCs/>
                <w:lang w:eastAsia="da-DK"/>
              </w:rPr>
              <w:t>significance should demonstrate an understanding of the environment</w:t>
            </w:r>
            <w:r w:rsidR="004F7225">
              <w:rPr>
                <w:rFonts w:ascii="Arial" w:hAnsi="Arial" w:cs="Arial"/>
                <w:bCs/>
                <w:lang w:eastAsia="da-DK"/>
              </w:rPr>
              <w:t xml:space="preserve"> in the area of </w:t>
            </w:r>
            <w:r w:rsidR="00E87833">
              <w:rPr>
                <w:rFonts w:ascii="Arial" w:hAnsi="Arial" w:cs="Arial"/>
                <w:bCs/>
                <w:lang w:eastAsia="da-DK"/>
              </w:rPr>
              <w:t xml:space="preserve">the proposed </w:t>
            </w:r>
            <w:r w:rsidR="004F7225">
              <w:rPr>
                <w:rFonts w:ascii="Arial" w:hAnsi="Arial" w:cs="Arial"/>
                <w:bCs/>
                <w:lang w:eastAsia="da-DK"/>
              </w:rPr>
              <w:t>activity</w:t>
            </w:r>
            <w:r w:rsidR="00AC549F">
              <w:rPr>
                <w:rFonts w:ascii="Arial" w:hAnsi="Arial" w:cs="Arial"/>
                <w:bCs/>
                <w:lang w:eastAsia="da-DK"/>
              </w:rPr>
              <w:t>, including its spatial and temporal variation,</w:t>
            </w:r>
            <w:r w:rsidRPr="00056D31">
              <w:rPr>
                <w:rFonts w:ascii="Arial" w:hAnsi="Arial" w:cs="Arial"/>
                <w:bCs/>
                <w:lang w:eastAsia="da-DK"/>
              </w:rPr>
              <w:t xml:space="preserve"> using the baseline information to inform the assessment. For some impacts, modelling can be used to gain a better understanding of the extent and magnitude of potential</w:t>
            </w:r>
            <w:r w:rsidR="00AC549F">
              <w:rPr>
                <w:rFonts w:ascii="Arial" w:hAnsi="Arial" w:cs="Arial"/>
                <w:bCs/>
                <w:lang w:eastAsia="da-DK"/>
              </w:rPr>
              <w:t>ly significant</w:t>
            </w:r>
            <w:r w:rsidRPr="00056D31">
              <w:rPr>
                <w:rFonts w:ascii="Arial" w:hAnsi="Arial" w:cs="Arial"/>
                <w:bCs/>
                <w:lang w:eastAsia="da-DK"/>
              </w:rPr>
              <w:t xml:space="preserve"> impacts</w:t>
            </w:r>
            <w:r w:rsidR="00E87833">
              <w:rPr>
                <w:rFonts w:ascii="Arial" w:hAnsi="Arial" w:cs="Arial"/>
                <w:bCs/>
                <w:lang w:eastAsia="da-DK"/>
              </w:rPr>
              <w:t>,</w:t>
            </w:r>
            <w:r w:rsidRPr="00056D31">
              <w:rPr>
                <w:rFonts w:ascii="Arial" w:hAnsi="Arial" w:cs="Arial"/>
                <w:bCs/>
                <w:lang w:eastAsia="da-DK"/>
              </w:rPr>
              <w:t xml:space="preserve"> such as discharge modelling</w:t>
            </w:r>
            <w:r w:rsidR="008A0B03">
              <w:rPr>
                <w:rFonts w:ascii="Arial" w:hAnsi="Arial" w:cs="Arial"/>
                <w:bCs/>
                <w:lang w:eastAsia="da-DK"/>
              </w:rPr>
              <w:t>,</w:t>
            </w:r>
            <w:r w:rsidR="00E87833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Pr="00056D31">
              <w:rPr>
                <w:rFonts w:ascii="Arial" w:hAnsi="Arial" w:cs="Arial"/>
                <w:bCs/>
                <w:lang w:eastAsia="da-DK"/>
              </w:rPr>
              <w:t>noise</w:t>
            </w:r>
            <w:r w:rsidR="008A0B03">
              <w:rPr>
                <w:rFonts w:ascii="Arial" w:hAnsi="Arial" w:cs="Arial"/>
                <w:bCs/>
                <w:lang w:eastAsia="da-DK"/>
              </w:rPr>
              <w:t xml:space="preserve"> modelling</w:t>
            </w:r>
            <w:r w:rsidR="00BF4940">
              <w:rPr>
                <w:rFonts w:ascii="Arial" w:hAnsi="Arial" w:cs="Arial"/>
                <w:bCs/>
                <w:lang w:eastAsia="da-DK"/>
              </w:rPr>
              <w:t>, etc.</w:t>
            </w:r>
          </w:p>
          <w:p w14:paraId="01915E43" w14:textId="23065E5A" w:rsidR="00055662" w:rsidRDefault="00FE0638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 xml:space="preserve">The assessment should </w:t>
            </w:r>
            <w:r w:rsidR="00E918F7">
              <w:rPr>
                <w:rFonts w:ascii="Arial" w:hAnsi="Arial" w:cs="Arial"/>
                <w:bCs/>
                <w:lang w:eastAsia="da-DK"/>
              </w:rPr>
              <w:t xml:space="preserve">include third party impacts, such as </w:t>
            </w:r>
            <w:r w:rsidR="003B4AFC">
              <w:rPr>
                <w:rFonts w:ascii="Arial" w:hAnsi="Arial" w:cs="Arial"/>
                <w:bCs/>
                <w:lang w:eastAsia="da-DK"/>
              </w:rPr>
              <w:t>navigational safety</w:t>
            </w:r>
            <w:r w:rsidR="006B0CC7">
              <w:rPr>
                <w:rFonts w:ascii="Arial" w:hAnsi="Arial" w:cs="Arial"/>
                <w:bCs/>
                <w:lang w:eastAsia="da-DK"/>
              </w:rPr>
              <w:t xml:space="preserve">, </w:t>
            </w:r>
            <w:r w:rsidR="00E918F7">
              <w:rPr>
                <w:rFonts w:ascii="Arial" w:hAnsi="Arial" w:cs="Arial"/>
                <w:bCs/>
                <w:lang w:eastAsia="da-DK"/>
              </w:rPr>
              <w:t xml:space="preserve">the disturbance of cuttings pile by fishing gear and the snagging of fishing gear </w:t>
            </w:r>
            <w:r w:rsidR="0024125E">
              <w:rPr>
                <w:rFonts w:ascii="Arial" w:hAnsi="Arial" w:cs="Arial"/>
                <w:bCs/>
                <w:lang w:eastAsia="da-DK"/>
              </w:rPr>
              <w:t>on infrastructure left in place and should</w:t>
            </w:r>
            <w:r w:rsidR="00E918F7">
              <w:rPr>
                <w:rFonts w:ascii="Arial" w:hAnsi="Arial" w:cs="Arial"/>
                <w:bCs/>
                <w:lang w:eastAsia="da-DK"/>
              </w:rPr>
              <w:t xml:space="preserve"> </w:t>
            </w:r>
            <w:r>
              <w:rPr>
                <w:rFonts w:ascii="Arial" w:hAnsi="Arial" w:cs="Arial"/>
                <w:bCs/>
                <w:lang w:eastAsia="da-DK"/>
              </w:rPr>
              <w:t xml:space="preserve">also include </w:t>
            </w:r>
            <w:r w:rsidR="008A0B03">
              <w:rPr>
                <w:rFonts w:ascii="Arial" w:hAnsi="Arial" w:cs="Arial"/>
                <w:bCs/>
                <w:lang w:eastAsia="da-DK"/>
              </w:rPr>
              <w:t xml:space="preserve">in-combination and </w:t>
            </w:r>
            <w:r>
              <w:rPr>
                <w:rFonts w:ascii="Arial" w:hAnsi="Arial" w:cs="Arial"/>
                <w:bCs/>
                <w:lang w:eastAsia="da-DK"/>
              </w:rPr>
              <w:t xml:space="preserve">cumulative </w:t>
            </w:r>
            <w:r w:rsidR="008A0B03">
              <w:rPr>
                <w:rFonts w:ascii="Arial" w:hAnsi="Arial" w:cs="Arial"/>
                <w:bCs/>
                <w:lang w:eastAsia="da-DK"/>
              </w:rPr>
              <w:t xml:space="preserve">impact </w:t>
            </w:r>
            <w:r>
              <w:rPr>
                <w:rFonts w:ascii="Arial" w:hAnsi="Arial" w:cs="Arial"/>
                <w:bCs/>
                <w:lang w:eastAsia="da-DK"/>
              </w:rPr>
              <w:t xml:space="preserve">assessment where applicable. </w:t>
            </w:r>
            <w:r w:rsidR="0024125E">
              <w:rPr>
                <w:rFonts w:ascii="Arial" w:hAnsi="Arial" w:cs="Arial"/>
                <w:bCs/>
                <w:lang w:eastAsia="da-DK"/>
              </w:rPr>
              <w:t xml:space="preserve">The assessment should also consider </w:t>
            </w:r>
            <w:r w:rsidR="0024125E" w:rsidRPr="00FC58EA">
              <w:rPr>
                <w:rFonts w:ascii="Arial" w:hAnsi="Arial" w:cs="Arial"/>
                <w:bCs/>
                <w:lang w:eastAsia="da-DK"/>
              </w:rPr>
              <w:t>whether the proposed activities are in accordance with relevant marine plan policies</w:t>
            </w:r>
            <w:r w:rsidR="0024125E">
              <w:rPr>
                <w:rFonts w:ascii="Arial" w:hAnsi="Arial" w:cs="Arial"/>
                <w:bCs/>
                <w:lang w:eastAsia="da-DK"/>
              </w:rPr>
              <w:t>, and i</w:t>
            </w:r>
            <w:r>
              <w:rPr>
                <w:rFonts w:ascii="Arial" w:hAnsi="Arial" w:cs="Arial"/>
                <w:bCs/>
                <w:lang w:eastAsia="da-DK"/>
              </w:rPr>
              <w:t xml:space="preserve">t may be necessary to make </w:t>
            </w:r>
            <w:r w:rsidR="0024125E">
              <w:rPr>
                <w:rFonts w:ascii="Arial" w:hAnsi="Arial" w:cs="Arial"/>
                <w:bCs/>
                <w:lang w:eastAsia="da-DK"/>
              </w:rPr>
              <w:t xml:space="preserve">a more detailed </w:t>
            </w:r>
            <w:r>
              <w:rPr>
                <w:rFonts w:ascii="Arial" w:hAnsi="Arial" w:cs="Arial"/>
                <w:bCs/>
                <w:lang w:eastAsia="da-DK"/>
              </w:rPr>
              <w:t>assessment if the proposed activities are within a Special Area of Conservation (SAC)</w:t>
            </w:r>
            <w:r w:rsidR="00715F8A">
              <w:rPr>
                <w:rFonts w:ascii="Arial" w:hAnsi="Arial" w:cs="Arial"/>
                <w:bCs/>
                <w:lang w:eastAsia="da-DK"/>
              </w:rPr>
              <w:t xml:space="preserve">, </w:t>
            </w:r>
            <w:r>
              <w:rPr>
                <w:rFonts w:ascii="Arial" w:hAnsi="Arial" w:cs="Arial"/>
                <w:bCs/>
                <w:lang w:eastAsia="da-DK"/>
              </w:rPr>
              <w:t>Special Protection Area (SPA)</w:t>
            </w:r>
            <w:r w:rsidR="00715F8A">
              <w:rPr>
                <w:rFonts w:ascii="Arial" w:hAnsi="Arial" w:cs="Arial"/>
                <w:bCs/>
                <w:lang w:eastAsia="da-DK"/>
              </w:rPr>
              <w:t xml:space="preserve"> and/or other Marine Protected Areas</w:t>
            </w:r>
            <w:r w:rsidR="0024125E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4D6069">
              <w:rPr>
                <w:rFonts w:ascii="Arial" w:hAnsi="Arial" w:cs="Arial"/>
                <w:bCs/>
                <w:lang w:eastAsia="da-DK"/>
              </w:rPr>
              <w:t>(MPA’s)</w:t>
            </w:r>
            <w:r>
              <w:rPr>
                <w:rFonts w:ascii="Arial" w:hAnsi="Arial" w:cs="Arial"/>
                <w:bCs/>
                <w:lang w:eastAsia="da-DK"/>
              </w:rPr>
              <w:t>.</w:t>
            </w:r>
          </w:p>
          <w:p w14:paraId="20FF7F5B" w14:textId="77663CBC" w:rsidR="00A0561E" w:rsidRDefault="00A0561E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lastRenderedPageBreak/>
              <w:t>The assessment</w:t>
            </w:r>
            <w:r w:rsidRPr="00A0561E">
              <w:rPr>
                <w:rFonts w:ascii="Arial" w:hAnsi="Arial" w:cs="Arial"/>
                <w:bCs/>
                <w:lang w:eastAsia="da-DK"/>
              </w:rPr>
              <w:t xml:space="preserve"> should</w:t>
            </w:r>
            <w:r>
              <w:rPr>
                <w:rFonts w:ascii="Arial" w:hAnsi="Arial" w:cs="Arial"/>
                <w:bCs/>
                <w:lang w:eastAsia="da-DK"/>
              </w:rPr>
              <w:t xml:space="preserve"> also</w:t>
            </w:r>
            <w:r w:rsidRPr="00A0561E">
              <w:rPr>
                <w:rFonts w:ascii="Arial" w:hAnsi="Arial" w:cs="Arial"/>
                <w:bCs/>
                <w:lang w:eastAsia="da-DK"/>
              </w:rPr>
              <w:t xml:space="preserve"> describe the measures proposed to eliminate, reduce or otherwise mitigate potential adverse impacts. It should provide an indication of the predicted effectiveness of the stated </w:t>
            </w:r>
            <w:proofErr w:type="gramStart"/>
            <w:r w:rsidRPr="00A0561E">
              <w:rPr>
                <w:rFonts w:ascii="Arial" w:hAnsi="Arial" w:cs="Arial"/>
                <w:bCs/>
                <w:lang w:eastAsia="da-DK"/>
              </w:rPr>
              <w:t>measures, and</w:t>
            </w:r>
            <w:proofErr w:type="gramEnd"/>
            <w:r w:rsidRPr="00A0561E">
              <w:rPr>
                <w:rFonts w:ascii="Arial" w:hAnsi="Arial" w:cs="Arial"/>
                <w:bCs/>
                <w:lang w:eastAsia="da-DK"/>
              </w:rPr>
              <w:t xml:space="preserve"> demonstrate a firm commitment to implementing the proposed measures</w:t>
            </w:r>
            <w:r w:rsidR="00A02816">
              <w:rPr>
                <w:rFonts w:ascii="Arial" w:hAnsi="Arial" w:cs="Arial"/>
                <w:bCs/>
                <w:lang w:eastAsia="da-DK"/>
              </w:rPr>
              <w:t xml:space="preserve">. </w:t>
            </w:r>
          </w:p>
          <w:p w14:paraId="01D1DCEE" w14:textId="2834F115" w:rsidR="005A7091" w:rsidRPr="00BD6A9D" w:rsidRDefault="005A7091" w:rsidP="005A7091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 xml:space="preserve">Finally, it should be noted there is no expectation for the EA to include an </w:t>
            </w:r>
            <w:r w:rsidR="0038336E">
              <w:rPr>
                <w:rFonts w:ascii="Arial" w:hAnsi="Arial" w:cs="Arial"/>
                <w:bCs/>
                <w:lang w:eastAsia="da-DK"/>
              </w:rPr>
              <w:t>a</w:t>
            </w:r>
            <w:r>
              <w:rPr>
                <w:rFonts w:ascii="Arial" w:hAnsi="Arial" w:cs="Arial"/>
                <w:bCs/>
                <w:lang w:eastAsia="da-DK"/>
              </w:rPr>
              <w:t>ssessment of wastes or waste management returned to shore for treatment or disposal. as this is considered an onshore issue and not relevant to impacts in the marine environment. Section 9 of this guidance discusses further the DP requirements for waste disposal.</w:t>
            </w:r>
          </w:p>
        </w:tc>
        <w:tc>
          <w:tcPr>
            <w:tcW w:w="4253" w:type="dxa"/>
          </w:tcPr>
          <w:p w14:paraId="6B155267" w14:textId="01A343CE" w:rsidR="00055662" w:rsidRDefault="00055662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lastRenderedPageBreak/>
              <w:t>The environmental assessment should</w:t>
            </w:r>
            <w:r w:rsidRPr="00055662">
              <w:rPr>
                <w:rFonts w:ascii="Arial" w:hAnsi="Arial" w:cs="Arial"/>
                <w:bCs/>
                <w:lang w:eastAsia="da-DK"/>
              </w:rPr>
              <w:t xml:space="preserve"> be clear and logical in its layout and presentation</w:t>
            </w:r>
            <w:r w:rsidR="005A7091">
              <w:rPr>
                <w:rFonts w:ascii="Arial" w:hAnsi="Arial" w:cs="Arial"/>
                <w:bCs/>
                <w:lang w:eastAsia="da-DK"/>
              </w:rPr>
              <w:t>.</w:t>
            </w:r>
            <w:r w:rsidR="0038336E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5A7091">
              <w:rPr>
                <w:rFonts w:ascii="Arial" w:hAnsi="Arial" w:cs="Arial"/>
                <w:bCs/>
                <w:lang w:eastAsia="da-DK"/>
              </w:rPr>
              <w:t>I</w:t>
            </w:r>
            <w:r w:rsidRPr="00055662">
              <w:rPr>
                <w:rFonts w:ascii="Arial" w:hAnsi="Arial" w:cs="Arial"/>
                <w:bCs/>
                <w:lang w:eastAsia="da-DK"/>
              </w:rPr>
              <w:t>t should clearly detail the potential direct and indirect impacts of the proposed activities.</w:t>
            </w:r>
          </w:p>
          <w:p w14:paraId="2C071F40" w14:textId="17410A06" w:rsidR="00F470AB" w:rsidRDefault="004D0709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4D0709">
              <w:rPr>
                <w:rFonts w:ascii="Arial" w:hAnsi="Arial" w:cs="Arial"/>
                <w:bCs/>
                <w:lang w:eastAsia="da-DK"/>
              </w:rPr>
              <w:t xml:space="preserve">It is important that all the relevant environmental </w:t>
            </w:r>
            <w:r>
              <w:rPr>
                <w:rFonts w:ascii="Arial" w:hAnsi="Arial" w:cs="Arial"/>
                <w:bCs/>
                <w:lang w:eastAsia="da-DK"/>
              </w:rPr>
              <w:t>impacts</w:t>
            </w:r>
            <w:r w:rsidRPr="004D0709">
              <w:rPr>
                <w:rFonts w:ascii="Arial" w:hAnsi="Arial" w:cs="Arial"/>
                <w:bCs/>
                <w:lang w:eastAsia="da-DK"/>
              </w:rPr>
              <w:t xml:space="preserve"> are </w:t>
            </w:r>
            <w:r w:rsidR="00F642A6" w:rsidRPr="004D0709">
              <w:rPr>
                <w:rFonts w:ascii="Arial" w:hAnsi="Arial" w:cs="Arial"/>
                <w:bCs/>
                <w:lang w:eastAsia="da-DK"/>
              </w:rPr>
              <w:t>included,</w:t>
            </w:r>
            <w:r w:rsidRPr="004D0709">
              <w:rPr>
                <w:rFonts w:ascii="Arial" w:hAnsi="Arial" w:cs="Arial"/>
                <w:bCs/>
                <w:lang w:eastAsia="da-DK"/>
              </w:rPr>
              <w:t xml:space="preserve"> and </w:t>
            </w:r>
            <w:r>
              <w:rPr>
                <w:rFonts w:ascii="Arial" w:hAnsi="Arial" w:cs="Arial"/>
                <w:bCs/>
                <w:lang w:eastAsia="da-DK"/>
              </w:rPr>
              <w:t xml:space="preserve">the assessment is </w:t>
            </w:r>
            <w:proofErr w:type="gramStart"/>
            <w:r>
              <w:rPr>
                <w:rFonts w:ascii="Arial" w:hAnsi="Arial" w:cs="Arial"/>
                <w:bCs/>
                <w:lang w:eastAsia="da-DK"/>
              </w:rPr>
              <w:t>sufficient</w:t>
            </w:r>
            <w:proofErr w:type="gramEnd"/>
            <w:r>
              <w:rPr>
                <w:rFonts w:ascii="Arial" w:hAnsi="Arial" w:cs="Arial"/>
                <w:bCs/>
                <w:lang w:eastAsia="da-DK"/>
              </w:rPr>
              <w:t xml:space="preserve"> so that the reader</w:t>
            </w:r>
            <w:r w:rsidR="00C96AC3">
              <w:rPr>
                <w:rFonts w:ascii="Arial" w:hAnsi="Arial" w:cs="Arial"/>
                <w:bCs/>
                <w:lang w:eastAsia="da-DK"/>
              </w:rPr>
              <w:t xml:space="preserve"> can draw the same conclusions</w:t>
            </w:r>
            <w:r w:rsidR="00541755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5A7091">
              <w:rPr>
                <w:rFonts w:ascii="Arial" w:hAnsi="Arial" w:cs="Arial"/>
                <w:bCs/>
                <w:lang w:eastAsia="da-DK"/>
              </w:rPr>
              <w:t xml:space="preserve">as the report </w:t>
            </w:r>
            <w:r w:rsidR="00541755">
              <w:rPr>
                <w:rFonts w:ascii="Arial" w:hAnsi="Arial" w:cs="Arial"/>
                <w:bCs/>
                <w:lang w:eastAsia="da-DK"/>
              </w:rPr>
              <w:t>with regard to significance</w:t>
            </w:r>
            <w:r w:rsidR="00C96AC3">
              <w:rPr>
                <w:rFonts w:ascii="Arial" w:hAnsi="Arial" w:cs="Arial"/>
                <w:bCs/>
                <w:lang w:eastAsia="da-DK"/>
              </w:rPr>
              <w:t xml:space="preserve">. Each element of </w:t>
            </w:r>
            <w:r w:rsidR="005A7091">
              <w:rPr>
                <w:rFonts w:ascii="Arial" w:hAnsi="Arial" w:cs="Arial"/>
                <w:bCs/>
                <w:lang w:eastAsia="da-DK"/>
              </w:rPr>
              <w:t xml:space="preserve">the </w:t>
            </w:r>
            <w:r w:rsidR="00C96AC3">
              <w:rPr>
                <w:rFonts w:ascii="Arial" w:hAnsi="Arial" w:cs="Arial"/>
                <w:bCs/>
                <w:lang w:eastAsia="da-DK"/>
              </w:rPr>
              <w:t>assessment</w:t>
            </w:r>
            <w:r w:rsidRPr="004D0709">
              <w:rPr>
                <w:rFonts w:ascii="Arial" w:hAnsi="Arial" w:cs="Arial"/>
                <w:bCs/>
                <w:lang w:eastAsia="da-DK"/>
              </w:rPr>
              <w:t xml:space="preserve"> should be proportional and achieve the right emphasis in terms of its importance and relevance to the </w:t>
            </w:r>
            <w:r w:rsidR="00C96AC3">
              <w:rPr>
                <w:rFonts w:ascii="Arial" w:hAnsi="Arial" w:cs="Arial"/>
                <w:bCs/>
                <w:lang w:eastAsia="da-DK"/>
              </w:rPr>
              <w:t xml:space="preserve">receiving environment and </w:t>
            </w:r>
            <w:r w:rsidR="00541755">
              <w:rPr>
                <w:rFonts w:ascii="Arial" w:hAnsi="Arial" w:cs="Arial"/>
                <w:bCs/>
                <w:lang w:eastAsia="da-DK"/>
              </w:rPr>
              <w:t xml:space="preserve">the </w:t>
            </w:r>
            <w:r w:rsidR="00C96AC3">
              <w:rPr>
                <w:rFonts w:ascii="Arial" w:hAnsi="Arial" w:cs="Arial"/>
                <w:bCs/>
                <w:lang w:eastAsia="da-DK"/>
              </w:rPr>
              <w:t>significance</w:t>
            </w:r>
            <w:r w:rsidR="00541755">
              <w:rPr>
                <w:rFonts w:ascii="Arial" w:hAnsi="Arial" w:cs="Arial"/>
                <w:bCs/>
                <w:lang w:eastAsia="da-DK"/>
              </w:rPr>
              <w:t xml:space="preserve"> of the impact</w:t>
            </w:r>
            <w:r w:rsidR="00C96AC3">
              <w:rPr>
                <w:rFonts w:ascii="Arial" w:hAnsi="Arial" w:cs="Arial"/>
                <w:bCs/>
                <w:lang w:eastAsia="da-DK"/>
              </w:rPr>
              <w:t xml:space="preserve">.  </w:t>
            </w:r>
          </w:p>
          <w:p w14:paraId="28469EF6" w14:textId="77777777" w:rsidR="00C96AC3" w:rsidRPr="00BD6A9D" w:rsidRDefault="00C96AC3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</w:p>
        </w:tc>
      </w:tr>
      <w:tr w:rsidR="00F470AB" w14:paraId="38B176B8" w14:textId="77777777" w:rsidTr="00A02816">
        <w:tc>
          <w:tcPr>
            <w:tcW w:w="2802" w:type="dxa"/>
          </w:tcPr>
          <w:p w14:paraId="7EE548C3" w14:textId="77777777" w:rsidR="00F470AB" w:rsidRPr="00D91B96" w:rsidRDefault="00F470AB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D91B96">
              <w:rPr>
                <w:rFonts w:ascii="Arial" w:hAnsi="Arial" w:cs="Arial"/>
                <w:bCs/>
                <w:lang w:eastAsia="da-DK"/>
              </w:rPr>
              <w:lastRenderedPageBreak/>
              <w:t>EA Conclusions</w:t>
            </w:r>
          </w:p>
        </w:tc>
        <w:tc>
          <w:tcPr>
            <w:tcW w:w="7087" w:type="dxa"/>
          </w:tcPr>
          <w:p w14:paraId="3D255EDF" w14:textId="5DD7DF30" w:rsidR="000B0762" w:rsidRPr="000B0762" w:rsidRDefault="00541755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>The</w:t>
            </w:r>
            <w:r w:rsidR="00A02816" w:rsidRPr="00A02816">
              <w:rPr>
                <w:rFonts w:ascii="Arial" w:hAnsi="Arial" w:cs="Arial"/>
                <w:bCs/>
                <w:lang w:eastAsia="da-DK"/>
              </w:rPr>
              <w:t xml:space="preserve"> conclusion </w:t>
            </w:r>
            <w:r>
              <w:rPr>
                <w:rFonts w:ascii="Arial" w:hAnsi="Arial" w:cs="Arial"/>
                <w:bCs/>
                <w:lang w:eastAsia="da-DK"/>
              </w:rPr>
              <w:t>should</w:t>
            </w:r>
            <w:r w:rsidR="00A02816" w:rsidRPr="00A02816">
              <w:rPr>
                <w:rFonts w:ascii="Arial" w:hAnsi="Arial" w:cs="Arial"/>
                <w:bCs/>
                <w:lang w:eastAsia="da-DK"/>
              </w:rPr>
              <w:t xml:space="preserve"> not </w:t>
            </w:r>
            <w:r>
              <w:rPr>
                <w:rFonts w:ascii="Arial" w:hAnsi="Arial" w:cs="Arial"/>
                <w:bCs/>
                <w:lang w:eastAsia="da-DK"/>
              </w:rPr>
              <w:t xml:space="preserve">be </w:t>
            </w:r>
            <w:r w:rsidR="00A02816" w:rsidRPr="00A02816">
              <w:rPr>
                <w:rFonts w:ascii="Arial" w:hAnsi="Arial" w:cs="Arial"/>
                <w:bCs/>
                <w:lang w:eastAsia="da-DK"/>
              </w:rPr>
              <w:t xml:space="preserve">a summary of everything </w:t>
            </w:r>
            <w:r w:rsidR="000B0762">
              <w:rPr>
                <w:rFonts w:ascii="Arial" w:hAnsi="Arial" w:cs="Arial"/>
                <w:bCs/>
                <w:lang w:eastAsia="da-DK"/>
              </w:rPr>
              <w:t>within the report</w:t>
            </w:r>
            <w:r w:rsidR="005A7091">
              <w:rPr>
                <w:rFonts w:ascii="Arial" w:hAnsi="Arial" w:cs="Arial"/>
                <w:bCs/>
                <w:lang w:eastAsia="da-DK"/>
              </w:rPr>
              <w:t xml:space="preserve">, but it </w:t>
            </w:r>
            <w:r w:rsidR="007B47DC">
              <w:rPr>
                <w:rFonts w:ascii="Arial" w:hAnsi="Arial" w:cs="Arial"/>
                <w:bCs/>
                <w:lang w:eastAsia="da-DK"/>
              </w:rPr>
              <w:t xml:space="preserve">should </w:t>
            </w:r>
            <w:r w:rsidR="00752C2A">
              <w:rPr>
                <w:rFonts w:ascii="Arial" w:hAnsi="Arial" w:cs="Arial"/>
                <w:bCs/>
                <w:lang w:eastAsia="da-DK"/>
              </w:rPr>
              <w:t>provide the reader with</w:t>
            </w:r>
            <w:r w:rsidR="00A02816" w:rsidRPr="00A02816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5A7091">
              <w:rPr>
                <w:rFonts w:ascii="Arial" w:hAnsi="Arial" w:cs="Arial"/>
                <w:bCs/>
                <w:lang w:eastAsia="da-DK"/>
              </w:rPr>
              <w:t xml:space="preserve">a clear and concise understanding of </w:t>
            </w:r>
            <w:r w:rsidR="00A02816" w:rsidRPr="00A02816">
              <w:rPr>
                <w:rFonts w:ascii="Arial" w:hAnsi="Arial" w:cs="Arial"/>
                <w:bCs/>
                <w:lang w:eastAsia="da-DK"/>
              </w:rPr>
              <w:t xml:space="preserve">the overall message </w:t>
            </w:r>
            <w:r w:rsidR="00752C2A">
              <w:rPr>
                <w:rFonts w:ascii="Arial" w:hAnsi="Arial" w:cs="Arial"/>
                <w:bCs/>
                <w:lang w:eastAsia="da-DK"/>
              </w:rPr>
              <w:t>of the EA.</w:t>
            </w:r>
          </w:p>
          <w:p w14:paraId="5DB55891" w14:textId="77777777" w:rsidR="00F470AB" w:rsidRPr="00BD6A9D" w:rsidRDefault="00F470AB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</w:p>
        </w:tc>
        <w:tc>
          <w:tcPr>
            <w:tcW w:w="4253" w:type="dxa"/>
          </w:tcPr>
          <w:p w14:paraId="11139E6D" w14:textId="3027791A" w:rsidR="00F470AB" w:rsidRPr="00BD6A9D" w:rsidRDefault="00752C2A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752C2A">
              <w:rPr>
                <w:rFonts w:ascii="Arial" w:hAnsi="Arial" w:cs="Arial"/>
                <w:bCs/>
                <w:lang w:eastAsia="da-DK"/>
              </w:rPr>
              <w:t xml:space="preserve">The conclusion should provide a brief explanation of </w:t>
            </w:r>
            <w:r w:rsidR="005A7091">
              <w:rPr>
                <w:rFonts w:ascii="Arial" w:hAnsi="Arial" w:cs="Arial"/>
                <w:bCs/>
                <w:lang w:eastAsia="da-DK"/>
              </w:rPr>
              <w:t>the</w:t>
            </w:r>
            <w:r w:rsidR="005A7091" w:rsidRPr="00752C2A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Pr="00752C2A">
              <w:rPr>
                <w:rFonts w:ascii="Arial" w:hAnsi="Arial" w:cs="Arial"/>
                <w:bCs/>
                <w:lang w:eastAsia="da-DK"/>
              </w:rPr>
              <w:t xml:space="preserve">main findings. </w:t>
            </w:r>
            <w:r w:rsidR="00AC549F">
              <w:rPr>
                <w:rFonts w:ascii="Arial" w:hAnsi="Arial" w:cs="Arial"/>
                <w:bCs/>
                <w:lang w:eastAsia="da-DK"/>
              </w:rPr>
              <w:t>Conclude</w:t>
            </w:r>
            <w:r w:rsidR="0024125E">
              <w:rPr>
                <w:rFonts w:ascii="Arial" w:hAnsi="Arial" w:cs="Arial"/>
                <w:bCs/>
                <w:lang w:eastAsia="da-DK"/>
              </w:rPr>
              <w:t xml:space="preserve"> -</w:t>
            </w:r>
            <w:r w:rsidRPr="00752C2A">
              <w:rPr>
                <w:rFonts w:ascii="Arial" w:hAnsi="Arial" w:cs="Arial"/>
                <w:bCs/>
                <w:lang w:eastAsia="da-DK"/>
              </w:rPr>
              <w:t xml:space="preserve"> do not just summarise.</w:t>
            </w:r>
          </w:p>
        </w:tc>
      </w:tr>
      <w:tr w:rsidR="00F470AB" w14:paraId="24D671D9" w14:textId="77777777" w:rsidTr="00A02816">
        <w:tc>
          <w:tcPr>
            <w:tcW w:w="2802" w:type="dxa"/>
          </w:tcPr>
          <w:p w14:paraId="0B243063" w14:textId="77777777" w:rsidR="00F470AB" w:rsidRPr="00D91B96" w:rsidRDefault="00F470AB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D91B96">
              <w:rPr>
                <w:rFonts w:ascii="Arial" w:hAnsi="Arial" w:cs="Arial"/>
                <w:bCs/>
                <w:lang w:eastAsia="da-DK"/>
              </w:rPr>
              <w:t>References</w:t>
            </w:r>
          </w:p>
        </w:tc>
        <w:tc>
          <w:tcPr>
            <w:tcW w:w="7087" w:type="dxa"/>
          </w:tcPr>
          <w:p w14:paraId="0660FAA5" w14:textId="55B33975" w:rsidR="00F470AB" w:rsidRPr="00BD6A9D" w:rsidRDefault="00752C2A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 xml:space="preserve">Correct and </w:t>
            </w:r>
            <w:r w:rsidR="005A7091">
              <w:rPr>
                <w:rFonts w:ascii="Arial" w:hAnsi="Arial" w:cs="Arial"/>
                <w:bCs/>
                <w:lang w:eastAsia="da-DK"/>
              </w:rPr>
              <w:t>complete</w:t>
            </w:r>
            <w:r>
              <w:rPr>
                <w:rFonts w:ascii="Arial" w:hAnsi="Arial" w:cs="Arial"/>
                <w:bCs/>
                <w:lang w:eastAsia="da-DK"/>
              </w:rPr>
              <w:t xml:space="preserve"> references should be included. Regardless of whether the </w:t>
            </w:r>
            <w:r w:rsidR="005A7091">
              <w:rPr>
                <w:rFonts w:ascii="Arial" w:hAnsi="Arial" w:cs="Arial"/>
                <w:bCs/>
                <w:lang w:eastAsia="da-DK"/>
              </w:rPr>
              <w:t>informa</w:t>
            </w:r>
            <w:r w:rsidR="002B3968">
              <w:rPr>
                <w:rFonts w:ascii="Arial" w:hAnsi="Arial" w:cs="Arial"/>
                <w:bCs/>
                <w:lang w:eastAsia="da-DK"/>
              </w:rPr>
              <w:t>tion</w:t>
            </w:r>
            <w:r w:rsidR="005A7091" w:rsidRPr="00752C2A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774038">
              <w:rPr>
                <w:rFonts w:ascii="Arial" w:hAnsi="Arial" w:cs="Arial"/>
                <w:bCs/>
                <w:lang w:eastAsia="da-DK"/>
              </w:rPr>
              <w:t xml:space="preserve">is </w:t>
            </w:r>
            <w:r>
              <w:rPr>
                <w:rFonts w:ascii="Arial" w:hAnsi="Arial" w:cs="Arial"/>
                <w:bCs/>
                <w:lang w:eastAsia="da-DK"/>
              </w:rPr>
              <w:t xml:space="preserve">directly quoted, </w:t>
            </w:r>
            <w:r w:rsidRPr="00752C2A">
              <w:rPr>
                <w:rFonts w:ascii="Arial" w:hAnsi="Arial" w:cs="Arial"/>
                <w:bCs/>
                <w:lang w:eastAsia="da-DK"/>
              </w:rPr>
              <w:t>paraphrased o</w:t>
            </w:r>
            <w:r>
              <w:rPr>
                <w:rFonts w:ascii="Arial" w:hAnsi="Arial" w:cs="Arial"/>
                <w:bCs/>
                <w:lang w:eastAsia="da-DK"/>
              </w:rPr>
              <w:t>r summarised</w:t>
            </w:r>
            <w:r w:rsidR="00541755">
              <w:rPr>
                <w:rFonts w:ascii="Arial" w:hAnsi="Arial" w:cs="Arial"/>
                <w:bCs/>
                <w:lang w:eastAsia="da-DK"/>
              </w:rPr>
              <w:t>,</w:t>
            </w:r>
            <w:r w:rsidR="008218B2" w:rsidRPr="008218B2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2B3968">
              <w:rPr>
                <w:rFonts w:ascii="Arial" w:hAnsi="Arial" w:cs="Arial"/>
                <w:bCs/>
                <w:lang w:eastAsia="da-DK"/>
              </w:rPr>
              <w:t xml:space="preserve">and taken from </w:t>
            </w:r>
            <w:r w:rsidR="008218B2">
              <w:rPr>
                <w:rFonts w:ascii="Arial" w:hAnsi="Arial" w:cs="Arial"/>
                <w:bCs/>
                <w:lang w:eastAsia="da-DK"/>
              </w:rPr>
              <w:t>a journal article,</w:t>
            </w:r>
            <w:r w:rsidR="00D228EC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541755">
              <w:rPr>
                <w:rFonts w:ascii="Arial" w:hAnsi="Arial" w:cs="Arial"/>
                <w:bCs/>
                <w:lang w:eastAsia="da-DK"/>
              </w:rPr>
              <w:t xml:space="preserve">a </w:t>
            </w:r>
            <w:r w:rsidR="00D228EC">
              <w:rPr>
                <w:rFonts w:ascii="Arial" w:hAnsi="Arial" w:cs="Arial"/>
                <w:bCs/>
                <w:lang w:eastAsia="da-DK"/>
              </w:rPr>
              <w:t>report</w:t>
            </w:r>
            <w:r w:rsidR="00541755">
              <w:rPr>
                <w:rFonts w:ascii="Arial" w:hAnsi="Arial" w:cs="Arial"/>
                <w:bCs/>
                <w:lang w:eastAsia="da-DK"/>
              </w:rPr>
              <w:t xml:space="preserve"> (including survey reports)</w:t>
            </w:r>
            <w:r w:rsidR="00D228EC">
              <w:rPr>
                <w:rFonts w:ascii="Arial" w:hAnsi="Arial" w:cs="Arial"/>
                <w:bCs/>
                <w:lang w:eastAsia="da-DK"/>
              </w:rPr>
              <w:t>,</w:t>
            </w:r>
            <w:r w:rsidR="008218B2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541755">
              <w:rPr>
                <w:rFonts w:ascii="Arial" w:hAnsi="Arial" w:cs="Arial"/>
                <w:bCs/>
                <w:lang w:eastAsia="da-DK"/>
              </w:rPr>
              <w:t xml:space="preserve">a </w:t>
            </w:r>
            <w:r w:rsidR="008218B2">
              <w:rPr>
                <w:rFonts w:ascii="Arial" w:hAnsi="Arial" w:cs="Arial"/>
                <w:bCs/>
                <w:lang w:eastAsia="da-DK"/>
              </w:rPr>
              <w:t>textbook</w:t>
            </w:r>
            <w:r w:rsidR="008218B2" w:rsidRPr="008218B2">
              <w:rPr>
                <w:rFonts w:ascii="Arial" w:hAnsi="Arial" w:cs="Arial"/>
                <w:bCs/>
                <w:lang w:eastAsia="da-DK"/>
              </w:rPr>
              <w:t xml:space="preserve"> </w:t>
            </w:r>
            <w:r w:rsidR="00541755">
              <w:rPr>
                <w:rFonts w:ascii="Arial" w:hAnsi="Arial" w:cs="Arial"/>
                <w:bCs/>
                <w:lang w:eastAsia="da-DK"/>
              </w:rPr>
              <w:t xml:space="preserve">or a </w:t>
            </w:r>
            <w:r w:rsidR="008218B2" w:rsidRPr="008218B2">
              <w:rPr>
                <w:rFonts w:ascii="Arial" w:hAnsi="Arial" w:cs="Arial"/>
                <w:bCs/>
                <w:lang w:eastAsia="da-DK"/>
              </w:rPr>
              <w:t>website</w:t>
            </w:r>
            <w:r w:rsidR="00541755">
              <w:rPr>
                <w:rFonts w:ascii="Arial" w:hAnsi="Arial" w:cs="Arial"/>
                <w:bCs/>
                <w:lang w:eastAsia="da-DK"/>
              </w:rPr>
              <w:t>,</w:t>
            </w:r>
            <w:r w:rsidR="008218B2">
              <w:rPr>
                <w:rFonts w:ascii="Arial" w:hAnsi="Arial" w:cs="Arial"/>
                <w:bCs/>
                <w:lang w:eastAsia="da-DK"/>
              </w:rPr>
              <w:t xml:space="preserve"> the original author </w:t>
            </w:r>
            <w:r w:rsidR="00541755">
              <w:rPr>
                <w:rFonts w:ascii="Arial" w:hAnsi="Arial" w:cs="Arial"/>
                <w:bCs/>
                <w:lang w:eastAsia="da-DK"/>
              </w:rPr>
              <w:t xml:space="preserve">and title </w:t>
            </w:r>
            <w:r w:rsidR="008218B2">
              <w:rPr>
                <w:rFonts w:ascii="Arial" w:hAnsi="Arial" w:cs="Arial"/>
                <w:bCs/>
                <w:lang w:eastAsia="da-DK"/>
              </w:rPr>
              <w:t xml:space="preserve">must be cited.  </w:t>
            </w:r>
          </w:p>
        </w:tc>
        <w:tc>
          <w:tcPr>
            <w:tcW w:w="4253" w:type="dxa"/>
          </w:tcPr>
          <w:p w14:paraId="517C33A7" w14:textId="57B0220E" w:rsidR="00F470AB" w:rsidRPr="00BD6A9D" w:rsidRDefault="008218B2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 xml:space="preserve">There are number of different types/methods of referencing. There is no preferred method, </w:t>
            </w:r>
            <w:proofErr w:type="gramStart"/>
            <w:r>
              <w:rPr>
                <w:rFonts w:ascii="Arial" w:hAnsi="Arial" w:cs="Arial"/>
                <w:bCs/>
                <w:lang w:eastAsia="da-DK"/>
              </w:rPr>
              <w:t>as long as</w:t>
            </w:r>
            <w:proofErr w:type="gramEnd"/>
            <w:r>
              <w:rPr>
                <w:rFonts w:ascii="Arial" w:hAnsi="Arial" w:cs="Arial"/>
                <w:bCs/>
                <w:lang w:eastAsia="da-DK"/>
              </w:rPr>
              <w:t xml:space="preserve"> it is consistent</w:t>
            </w:r>
            <w:r w:rsidR="005A7091">
              <w:rPr>
                <w:rFonts w:ascii="Arial" w:hAnsi="Arial" w:cs="Arial"/>
                <w:bCs/>
                <w:lang w:eastAsia="da-DK"/>
              </w:rPr>
              <w:t>ly applied</w:t>
            </w:r>
            <w:r>
              <w:rPr>
                <w:rFonts w:ascii="Arial" w:hAnsi="Arial" w:cs="Arial"/>
                <w:bCs/>
                <w:lang w:eastAsia="da-DK"/>
              </w:rPr>
              <w:t xml:space="preserve">. </w:t>
            </w:r>
          </w:p>
        </w:tc>
      </w:tr>
      <w:tr w:rsidR="00F470AB" w14:paraId="6AF836C0" w14:textId="77777777" w:rsidTr="00A02816">
        <w:tc>
          <w:tcPr>
            <w:tcW w:w="2802" w:type="dxa"/>
          </w:tcPr>
          <w:p w14:paraId="51DA660D" w14:textId="77777777" w:rsidR="00F470AB" w:rsidRPr="00D91B96" w:rsidRDefault="00F470AB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 w:rsidRPr="00D91B96">
              <w:rPr>
                <w:rFonts w:ascii="Arial" w:hAnsi="Arial" w:cs="Arial"/>
                <w:bCs/>
                <w:lang w:eastAsia="da-DK"/>
              </w:rPr>
              <w:t>A</w:t>
            </w:r>
            <w:r w:rsidR="00D228EC">
              <w:rPr>
                <w:rFonts w:ascii="Arial" w:hAnsi="Arial" w:cs="Arial"/>
                <w:bCs/>
                <w:lang w:eastAsia="da-DK"/>
              </w:rPr>
              <w:t>ppendix</w:t>
            </w:r>
          </w:p>
        </w:tc>
        <w:tc>
          <w:tcPr>
            <w:tcW w:w="7087" w:type="dxa"/>
          </w:tcPr>
          <w:p w14:paraId="4289E0DB" w14:textId="66ED91D8" w:rsidR="00F470AB" w:rsidRPr="00BD6A9D" w:rsidRDefault="00D228EC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 xml:space="preserve">Supplementary information that provides context or value to the body of the report should be provided in the appendix e.g. </w:t>
            </w:r>
            <w:r w:rsidR="005A7091">
              <w:rPr>
                <w:rFonts w:ascii="Arial" w:hAnsi="Arial" w:cs="Arial"/>
                <w:bCs/>
                <w:lang w:eastAsia="da-DK"/>
              </w:rPr>
              <w:t xml:space="preserve">a scoping or </w:t>
            </w:r>
            <w:r>
              <w:rPr>
                <w:rFonts w:ascii="Arial" w:hAnsi="Arial" w:cs="Arial"/>
                <w:bCs/>
                <w:lang w:eastAsia="da-DK"/>
              </w:rPr>
              <w:t>ENVID summary, modelling scenarios and statistical information.</w:t>
            </w:r>
          </w:p>
        </w:tc>
        <w:tc>
          <w:tcPr>
            <w:tcW w:w="4253" w:type="dxa"/>
          </w:tcPr>
          <w:p w14:paraId="3E840D1F" w14:textId="77777777" w:rsidR="00F470AB" w:rsidRPr="00BD6A9D" w:rsidRDefault="00541755" w:rsidP="005C4913">
            <w:pPr>
              <w:suppressAutoHyphens/>
              <w:spacing w:before="120" w:after="120"/>
              <w:rPr>
                <w:rFonts w:ascii="Arial" w:hAnsi="Arial" w:cs="Arial"/>
                <w:bCs/>
                <w:lang w:eastAsia="da-DK"/>
              </w:rPr>
            </w:pPr>
            <w:r>
              <w:rPr>
                <w:rFonts w:ascii="Arial" w:hAnsi="Arial" w:cs="Arial"/>
                <w:bCs/>
                <w:lang w:eastAsia="da-DK"/>
              </w:rPr>
              <w:t>Appendices s</w:t>
            </w:r>
            <w:r w:rsidR="00D228EC">
              <w:rPr>
                <w:rFonts w:ascii="Arial" w:hAnsi="Arial" w:cs="Arial"/>
                <w:bCs/>
                <w:lang w:eastAsia="da-DK"/>
              </w:rPr>
              <w:t>hould be relevant to the body of the report</w:t>
            </w:r>
            <w:r w:rsidR="0084434C">
              <w:rPr>
                <w:rFonts w:ascii="Arial" w:hAnsi="Arial" w:cs="Arial"/>
                <w:bCs/>
                <w:lang w:eastAsia="da-DK"/>
              </w:rPr>
              <w:t xml:space="preserve"> and referenced where applicable.</w:t>
            </w:r>
          </w:p>
        </w:tc>
      </w:tr>
    </w:tbl>
    <w:p w14:paraId="4F595172" w14:textId="61719781" w:rsidR="007F497B" w:rsidRDefault="007F497B" w:rsidP="00F2021F">
      <w:pPr>
        <w:suppressAutoHyphens/>
        <w:spacing w:before="120" w:after="120" w:line="280" w:lineRule="atLeast"/>
        <w:rPr>
          <w:rFonts w:eastAsia="Times New Roman"/>
          <w:bCs/>
          <w:lang w:eastAsia="da-DK"/>
        </w:rPr>
      </w:pPr>
    </w:p>
    <w:p w14:paraId="12EB0076" w14:textId="77777777" w:rsidR="007F497B" w:rsidRDefault="007F497B" w:rsidP="00F2021F">
      <w:pPr>
        <w:suppressAutoHyphens/>
        <w:spacing w:before="120" w:after="120" w:line="280" w:lineRule="atLeast"/>
        <w:rPr>
          <w:rFonts w:eastAsia="Times New Roman"/>
          <w:bCs/>
          <w:lang w:eastAsia="da-DK"/>
        </w:rPr>
        <w:sectPr w:rsidR="007F497B" w:rsidSect="00F470A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C7D6D48" w14:textId="77777777" w:rsidR="00F424BB" w:rsidRPr="00B1255F" w:rsidRDefault="00F424BB" w:rsidP="00B1255F">
      <w:pPr>
        <w:suppressAutoHyphens/>
        <w:spacing w:before="120"/>
        <w:rPr>
          <w:rFonts w:eastAsia="Times New Roman"/>
          <w:bCs/>
          <w:color w:val="1F497D" w:themeColor="text2"/>
          <w:sz w:val="32"/>
          <w:szCs w:val="32"/>
          <w:lang w:eastAsia="da-DK"/>
        </w:rPr>
      </w:pPr>
      <w:r w:rsidRPr="00B1255F">
        <w:rPr>
          <w:rFonts w:eastAsia="Times New Roman"/>
          <w:bCs/>
          <w:color w:val="1F497D" w:themeColor="text2"/>
          <w:sz w:val="32"/>
          <w:szCs w:val="32"/>
          <w:lang w:eastAsia="da-DK"/>
        </w:rPr>
        <w:lastRenderedPageBreak/>
        <w:t>Marine Protect</w:t>
      </w:r>
      <w:r w:rsidR="00B1255F">
        <w:rPr>
          <w:rFonts w:eastAsia="Times New Roman"/>
          <w:bCs/>
          <w:color w:val="1F497D" w:themeColor="text2"/>
          <w:sz w:val="32"/>
          <w:szCs w:val="32"/>
          <w:lang w:eastAsia="da-DK"/>
        </w:rPr>
        <w:t>ion</w:t>
      </w:r>
    </w:p>
    <w:p w14:paraId="52D648C2" w14:textId="77777777" w:rsidR="00F424BB" w:rsidRPr="004645C7" w:rsidRDefault="00F424BB" w:rsidP="00B1255F">
      <w:pPr>
        <w:suppressAutoHyphens/>
        <w:spacing w:before="120" w:after="120"/>
        <w:rPr>
          <w:rFonts w:eastAsia="Times New Roman"/>
          <w:bCs/>
          <w:color w:val="1F497D" w:themeColor="text2"/>
          <w:sz w:val="23"/>
          <w:szCs w:val="23"/>
          <w:lang w:eastAsia="da-DK"/>
        </w:rPr>
      </w:pPr>
      <w:r w:rsidRPr="004645C7">
        <w:rPr>
          <w:rFonts w:eastAsia="Times New Roman"/>
          <w:bCs/>
          <w:color w:val="1F497D" w:themeColor="text2"/>
          <w:sz w:val="23"/>
          <w:szCs w:val="23"/>
          <w:lang w:eastAsia="da-DK"/>
        </w:rPr>
        <w:t>Sites for the protection of Annex I habitats and Annex II species</w:t>
      </w:r>
    </w:p>
    <w:p w14:paraId="01B22002" w14:textId="6964D967" w:rsidR="00F424BB" w:rsidRPr="004645C7" w:rsidRDefault="005C07B8" w:rsidP="00B1255F">
      <w:pPr>
        <w:suppressAutoHyphens/>
        <w:spacing w:before="120" w:after="120"/>
        <w:ind w:left="709" w:hanging="709"/>
        <w:rPr>
          <w:rFonts w:eastAsia="Times New Roman"/>
          <w:bCs/>
          <w:sz w:val="23"/>
          <w:szCs w:val="23"/>
          <w:lang w:eastAsia="da-DK"/>
        </w:rPr>
      </w:pPr>
      <w:r w:rsidRPr="004645C7">
        <w:rPr>
          <w:rFonts w:eastAsia="Times New Roman"/>
          <w:bCs/>
          <w:sz w:val="23"/>
          <w:szCs w:val="23"/>
          <w:lang w:eastAsia="da-DK"/>
        </w:rPr>
        <w:t>12.</w:t>
      </w:r>
      <w:r w:rsidR="00906BD6">
        <w:rPr>
          <w:rFonts w:eastAsia="Times New Roman"/>
          <w:bCs/>
          <w:sz w:val="23"/>
          <w:szCs w:val="23"/>
          <w:lang w:eastAsia="da-DK"/>
        </w:rPr>
        <w:t>9</w:t>
      </w:r>
      <w:r w:rsidRPr="004645C7">
        <w:rPr>
          <w:rFonts w:eastAsia="Times New Roman"/>
          <w:bCs/>
          <w:sz w:val="23"/>
          <w:szCs w:val="23"/>
          <w:lang w:eastAsia="da-DK"/>
        </w:rPr>
        <w:tab/>
      </w:r>
      <w:r w:rsidR="0040321A" w:rsidRPr="004645C7">
        <w:rPr>
          <w:rFonts w:eastAsia="Times New Roman"/>
          <w:bCs/>
          <w:sz w:val="23"/>
          <w:szCs w:val="23"/>
          <w:lang w:eastAsia="da-DK"/>
        </w:rPr>
        <w:t>As stated in T</w:t>
      </w:r>
      <w:r w:rsidR="00F424BB" w:rsidRPr="004645C7">
        <w:rPr>
          <w:rFonts w:eastAsia="Times New Roman"/>
          <w:bCs/>
          <w:sz w:val="23"/>
          <w:szCs w:val="23"/>
          <w:lang w:eastAsia="da-DK"/>
        </w:rPr>
        <w:t xml:space="preserve">able 1 any relevant Special Areas of Conservation (SAC’s) </w:t>
      </w:r>
      <w:r w:rsidR="00FC02FB" w:rsidRPr="004645C7">
        <w:rPr>
          <w:rFonts w:eastAsia="Times New Roman"/>
          <w:bCs/>
          <w:sz w:val="23"/>
          <w:szCs w:val="23"/>
          <w:lang w:eastAsia="da-DK"/>
        </w:rPr>
        <w:t xml:space="preserve">or </w:t>
      </w:r>
      <w:r w:rsidR="00F424BB" w:rsidRPr="004645C7">
        <w:rPr>
          <w:rFonts w:eastAsia="Times New Roman"/>
          <w:bCs/>
          <w:sz w:val="23"/>
          <w:szCs w:val="23"/>
          <w:lang w:eastAsia="da-DK"/>
        </w:rPr>
        <w:t xml:space="preserve">Special Protection Areas (SPA’s) which could be impacted by the proposed activities must be </w:t>
      </w:r>
      <w:r w:rsidR="00FC02FB" w:rsidRPr="004645C7">
        <w:rPr>
          <w:rFonts w:eastAsia="Times New Roman"/>
          <w:bCs/>
          <w:sz w:val="23"/>
          <w:szCs w:val="23"/>
          <w:lang w:eastAsia="da-DK"/>
        </w:rPr>
        <w:t xml:space="preserve">identified </w:t>
      </w:r>
      <w:r w:rsidR="00F424BB" w:rsidRPr="004645C7">
        <w:rPr>
          <w:rFonts w:eastAsia="Times New Roman"/>
          <w:bCs/>
          <w:sz w:val="23"/>
          <w:szCs w:val="23"/>
          <w:lang w:eastAsia="da-DK"/>
        </w:rPr>
        <w:t>in the environmental baseline description</w:t>
      </w:r>
      <w:r w:rsidR="002B3968">
        <w:rPr>
          <w:rFonts w:eastAsia="Times New Roman"/>
          <w:bCs/>
          <w:sz w:val="23"/>
          <w:szCs w:val="23"/>
          <w:lang w:eastAsia="da-DK"/>
        </w:rPr>
        <w:t>, and any beneficial or adverse impacts must be detailed in the assessment</w:t>
      </w:r>
      <w:r w:rsidR="00F424BB" w:rsidRPr="004645C7">
        <w:rPr>
          <w:rFonts w:eastAsia="Times New Roman"/>
          <w:bCs/>
          <w:sz w:val="23"/>
          <w:szCs w:val="23"/>
          <w:lang w:eastAsia="da-DK"/>
        </w:rPr>
        <w:t>.</w:t>
      </w:r>
    </w:p>
    <w:p w14:paraId="2982A4ED" w14:textId="27149385" w:rsidR="00B74670" w:rsidRPr="004645C7" w:rsidRDefault="005C07B8" w:rsidP="00B1255F">
      <w:pPr>
        <w:suppressAutoHyphens/>
        <w:spacing w:before="120" w:after="120"/>
        <w:ind w:left="709" w:hanging="709"/>
        <w:rPr>
          <w:rFonts w:eastAsia="Times New Roman"/>
          <w:bCs/>
          <w:sz w:val="23"/>
          <w:szCs w:val="23"/>
          <w:lang w:eastAsia="da-DK"/>
        </w:rPr>
      </w:pPr>
      <w:r w:rsidRPr="004645C7">
        <w:rPr>
          <w:rFonts w:eastAsia="Times New Roman"/>
          <w:bCs/>
          <w:sz w:val="23"/>
          <w:szCs w:val="23"/>
          <w:lang w:eastAsia="da-DK"/>
        </w:rPr>
        <w:t>12.1</w:t>
      </w:r>
      <w:r w:rsidR="00906BD6">
        <w:rPr>
          <w:rFonts w:eastAsia="Times New Roman"/>
          <w:bCs/>
          <w:sz w:val="23"/>
          <w:szCs w:val="23"/>
          <w:lang w:eastAsia="da-DK"/>
        </w:rPr>
        <w:t>0</w:t>
      </w:r>
      <w:r w:rsidRPr="004645C7">
        <w:rPr>
          <w:rFonts w:eastAsia="Times New Roman"/>
          <w:bCs/>
          <w:sz w:val="23"/>
          <w:szCs w:val="23"/>
          <w:lang w:eastAsia="da-DK"/>
        </w:rPr>
        <w:tab/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 xml:space="preserve">Where </w:t>
      </w:r>
      <w:r w:rsidR="00692A08" w:rsidRPr="004645C7">
        <w:rPr>
          <w:rFonts w:eastAsia="Times New Roman"/>
          <w:bCs/>
          <w:sz w:val="23"/>
          <w:szCs w:val="23"/>
          <w:lang w:eastAsia="da-DK"/>
        </w:rPr>
        <w:t>OPRED</w:t>
      </w:r>
      <w:r w:rsidR="00263645">
        <w:rPr>
          <w:rFonts w:eastAsia="Times New Roman"/>
          <w:bCs/>
          <w:sz w:val="23"/>
          <w:szCs w:val="23"/>
          <w:lang w:eastAsia="da-DK"/>
        </w:rPr>
        <w:t>’s Environmental Management Team (OPRED-</w:t>
      </w:r>
      <w:r w:rsidR="00C26081">
        <w:rPr>
          <w:rFonts w:eastAsia="Times New Roman"/>
          <w:bCs/>
          <w:sz w:val="23"/>
          <w:szCs w:val="23"/>
          <w:lang w:eastAsia="da-DK"/>
        </w:rPr>
        <w:t>EMT</w:t>
      </w:r>
      <w:r w:rsidR="00263645">
        <w:rPr>
          <w:rFonts w:eastAsia="Times New Roman"/>
          <w:bCs/>
          <w:sz w:val="23"/>
          <w:szCs w:val="23"/>
          <w:lang w:eastAsia="da-DK"/>
        </w:rPr>
        <w:t>)</w:t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 xml:space="preserve"> or the relevant Statutory Nature Conservation Body (SNCB) considers that </w:t>
      </w:r>
      <w:r w:rsidR="002B3968">
        <w:rPr>
          <w:rFonts w:eastAsia="Times New Roman"/>
          <w:bCs/>
          <w:sz w:val="23"/>
          <w:szCs w:val="23"/>
          <w:lang w:eastAsia="da-DK"/>
        </w:rPr>
        <w:t xml:space="preserve">the </w:t>
      </w:r>
      <w:r w:rsidR="007B40BF" w:rsidRPr="004645C7">
        <w:rPr>
          <w:rFonts w:eastAsia="Times New Roman"/>
          <w:bCs/>
          <w:sz w:val="23"/>
          <w:szCs w:val="23"/>
          <w:lang w:eastAsia="da-DK"/>
        </w:rPr>
        <w:t>decommissioning proposals</w:t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7B40BF" w:rsidRPr="004645C7">
        <w:rPr>
          <w:rFonts w:eastAsia="Times New Roman"/>
          <w:bCs/>
          <w:sz w:val="23"/>
          <w:szCs w:val="23"/>
          <w:lang w:eastAsia="da-DK"/>
        </w:rPr>
        <w:t xml:space="preserve">may </w:t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>have a significant effect on</w:t>
      </w:r>
      <w:r w:rsidR="002B3968">
        <w:rPr>
          <w:rFonts w:eastAsia="Times New Roman"/>
          <w:bCs/>
          <w:sz w:val="23"/>
          <w:szCs w:val="23"/>
          <w:lang w:eastAsia="da-DK"/>
        </w:rPr>
        <w:t xml:space="preserve"> the integrity of</w:t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 xml:space="preserve"> a SAC or SPA, it is likely that </w:t>
      </w:r>
      <w:r w:rsidR="00692A08" w:rsidRPr="004645C7">
        <w:rPr>
          <w:rFonts w:eastAsia="Times New Roman"/>
          <w:bCs/>
          <w:sz w:val="23"/>
          <w:szCs w:val="23"/>
          <w:lang w:eastAsia="da-DK"/>
        </w:rPr>
        <w:t>OPRED</w:t>
      </w:r>
      <w:r w:rsidR="00243E80">
        <w:rPr>
          <w:rFonts w:eastAsia="Times New Roman"/>
          <w:bCs/>
          <w:sz w:val="23"/>
          <w:szCs w:val="23"/>
          <w:lang w:eastAsia="da-DK"/>
        </w:rPr>
        <w:t>-EMT</w:t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 xml:space="preserve">, as the competent authority, </w:t>
      </w:r>
      <w:r w:rsidR="0098484A" w:rsidRPr="004645C7">
        <w:rPr>
          <w:rFonts w:eastAsia="Times New Roman"/>
          <w:bCs/>
          <w:sz w:val="23"/>
          <w:szCs w:val="23"/>
          <w:lang w:eastAsia="da-DK"/>
        </w:rPr>
        <w:t xml:space="preserve">will </w:t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>undertake a Habitats Regulations Assessment (HRA)</w:t>
      </w:r>
      <w:r w:rsidR="007B40BF" w:rsidRPr="004645C7">
        <w:rPr>
          <w:rFonts w:eastAsia="Times New Roman"/>
          <w:bCs/>
          <w:sz w:val="23"/>
          <w:szCs w:val="23"/>
          <w:lang w:eastAsia="da-DK"/>
        </w:rPr>
        <w:t xml:space="preserve"> at the DP stage.</w:t>
      </w:r>
      <w:r w:rsidR="00FC02FB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E87B2E" w:rsidRPr="004645C7">
        <w:rPr>
          <w:rFonts w:eastAsia="Times New Roman"/>
          <w:bCs/>
          <w:sz w:val="23"/>
          <w:szCs w:val="23"/>
          <w:lang w:eastAsia="da-DK"/>
        </w:rPr>
        <w:t>The</w:t>
      </w:r>
      <w:r w:rsidR="0003311A" w:rsidRPr="004645C7">
        <w:rPr>
          <w:rFonts w:eastAsia="Times New Roman"/>
          <w:bCs/>
          <w:sz w:val="23"/>
          <w:szCs w:val="23"/>
          <w:lang w:eastAsia="da-DK"/>
        </w:rPr>
        <w:t xml:space="preserve"> HRA </w:t>
      </w:r>
      <w:r w:rsidR="00E87B2E" w:rsidRPr="004645C7">
        <w:rPr>
          <w:rFonts w:eastAsia="Times New Roman"/>
          <w:bCs/>
          <w:sz w:val="23"/>
          <w:szCs w:val="23"/>
          <w:lang w:eastAsia="da-DK"/>
        </w:rPr>
        <w:t xml:space="preserve">can be </w:t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>a screening assessment (often called a Likely Significant Effects assessment, or LSE assessment)</w:t>
      </w:r>
      <w:r w:rsidR="00E87B2E" w:rsidRPr="004645C7">
        <w:rPr>
          <w:rFonts w:eastAsia="Times New Roman"/>
          <w:bCs/>
          <w:sz w:val="23"/>
          <w:szCs w:val="23"/>
          <w:lang w:eastAsia="da-DK"/>
        </w:rPr>
        <w:t>,</w:t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AC549F">
        <w:rPr>
          <w:rFonts w:eastAsia="Times New Roman"/>
          <w:bCs/>
          <w:sz w:val="23"/>
          <w:szCs w:val="23"/>
          <w:lang w:eastAsia="da-DK"/>
        </w:rPr>
        <w:t>and/</w:t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 xml:space="preserve">or a full Appropriate Assessment (AA) if the activities </w:t>
      </w:r>
      <w:r w:rsidR="00E87B2E" w:rsidRPr="004645C7">
        <w:rPr>
          <w:rFonts w:eastAsia="Times New Roman"/>
          <w:bCs/>
          <w:sz w:val="23"/>
          <w:szCs w:val="23"/>
          <w:lang w:eastAsia="da-DK"/>
        </w:rPr>
        <w:t>are considered</w:t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 xml:space="preserve"> likely </w:t>
      </w:r>
      <w:r w:rsidR="00E87B2E" w:rsidRPr="004645C7">
        <w:rPr>
          <w:rFonts w:eastAsia="Times New Roman"/>
          <w:bCs/>
          <w:sz w:val="23"/>
          <w:szCs w:val="23"/>
          <w:lang w:eastAsia="da-DK"/>
        </w:rPr>
        <w:t xml:space="preserve">to have a </w:t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>significant effect</w:t>
      </w:r>
      <w:r w:rsidR="0003311A" w:rsidRPr="004645C7">
        <w:rPr>
          <w:rFonts w:eastAsia="Times New Roman"/>
          <w:bCs/>
          <w:sz w:val="23"/>
          <w:szCs w:val="23"/>
          <w:lang w:eastAsia="da-DK"/>
        </w:rPr>
        <w:t xml:space="preserve"> on the integrity of the relevant site</w:t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 xml:space="preserve">.    </w:t>
      </w:r>
    </w:p>
    <w:p w14:paraId="13FDD46C" w14:textId="5C5D7F80" w:rsidR="00F424BB" w:rsidRPr="004645C7" w:rsidRDefault="005C07B8" w:rsidP="00B1255F">
      <w:pPr>
        <w:suppressAutoHyphens/>
        <w:spacing w:before="120" w:after="120"/>
        <w:ind w:left="709" w:hanging="709"/>
        <w:rPr>
          <w:rFonts w:eastAsia="Times New Roman"/>
          <w:bCs/>
          <w:sz w:val="23"/>
          <w:szCs w:val="23"/>
          <w:lang w:eastAsia="da-DK"/>
        </w:rPr>
      </w:pPr>
      <w:r w:rsidRPr="004645C7">
        <w:rPr>
          <w:rFonts w:eastAsia="Times New Roman"/>
          <w:bCs/>
          <w:sz w:val="23"/>
          <w:szCs w:val="23"/>
          <w:lang w:eastAsia="da-DK"/>
        </w:rPr>
        <w:t>12.1</w:t>
      </w:r>
      <w:r w:rsidR="00906BD6">
        <w:rPr>
          <w:rFonts w:eastAsia="Times New Roman"/>
          <w:bCs/>
          <w:sz w:val="23"/>
          <w:szCs w:val="23"/>
          <w:lang w:eastAsia="da-DK"/>
        </w:rPr>
        <w:t>1</w:t>
      </w:r>
      <w:r w:rsidRPr="004645C7">
        <w:rPr>
          <w:rFonts w:eastAsia="Times New Roman"/>
          <w:bCs/>
          <w:sz w:val="23"/>
          <w:szCs w:val="23"/>
          <w:lang w:eastAsia="da-DK"/>
        </w:rPr>
        <w:tab/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 xml:space="preserve">Although the requirement to undertake the HRA rests with </w:t>
      </w:r>
      <w:r w:rsidR="00692A08" w:rsidRPr="004645C7">
        <w:rPr>
          <w:rFonts w:eastAsia="Times New Roman"/>
          <w:bCs/>
          <w:sz w:val="23"/>
          <w:szCs w:val="23"/>
          <w:lang w:eastAsia="da-DK"/>
        </w:rPr>
        <w:t>OPRED</w:t>
      </w:r>
      <w:r w:rsidR="00B74670" w:rsidRPr="004645C7">
        <w:rPr>
          <w:rFonts w:eastAsia="Times New Roman"/>
          <w:bCs/>
          <w:sz w:val="23"/>
          <w:szCs w:val="23"/>
          <w:lang w:eastAsia="da-DK"/>
        </w:rPr>
        <w:t>, it is essential that E</w:t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 xml:space="preserve">A submissions address the potential impacts on SACs or SPAs as part of the </w:t>
      </w:r>
      <w:r w:rsidR="00E87B2E" w:rsidRPr="004645C7">
        <w:rPr>
          <w:rFonts w:eastAsia="Times New Roman"/>
          <w:bCs/>
          <w:sz w:val="23"/>
          <w:szCs w:val="23"/>
          <w:lang w:eastAsia="da-DK"/>
        </w:rPr>
        <w:t xml:space="preserve">overall </w:t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>assessment of the proposed activities</w:t>
      </w:r>
      <w:r w:rsidR="00E87B2E" w:rsidRPr="004645C7">
        <w:rPr>
          <w:rFonts w:eastAsia="Times New Roman"/>
          <w:bCs/>
          <w:sz w:val="23"/>
          <w:szCs w:val="23"/>
          <w:lang w:eastAsia="da-DK"/>
        </w:rPr>
        <w:t>,</w:t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 xml:space="preserve"> and </w:t>
      </w:r>
      <w:r w:rsidR="00E87B2E" w:rsidRPr="004645C7">
        <w:rPr>
          <w:rFonts w:eastAsia="Times New Roman"/>
          <w:bCs/>
          <w:sz w:val="23"/>
          <w:szCs w:val="23"/>
          <w:lang w:eastAsia="da-DK"/>
        </w:rPr>
        <w:t xml:space="preserve">the information must be </w:t>
      </w:r>
      <w:proofErr w:type="gramStart"/>
      <w:r w:rsidR="00E87B2E" w:rsidRPr="004645C7">
        <w:rPr>
          <w:rFonts w:eastAsia="Times New Roman"/>
          <w:bCs/>
          <w:sz w:val="23"/>
          <w:szCs w:val="23"/>
          <w:lang w:eastAsia="da-DK"/>
        </w:rPr>
        <w:t>sufficient</w:t>
      </w:r>
      <w:proofErr w:type="gramEnd"/>
      <w:r w:rsidR="00E87B2E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 xml:space="preserve">to inform </w:t>
      </w:r>
      <w:r w:rsidR="00692A08" w:rsidRPr="004645C7">
        <w:rPr>
          <w:rFonts w:eastAsia="Times New Roman"/>
          <w:bCs/>
          <w:sz w:val="23"/>
          <w:szCs w:val="23"/>
          <w:lang w:eastAsia="da-DK"/>
        </w:rPr>
        <w:t>OPRED’s</w:t>
      </w:r>
      <w:r w:rsidR="00D50E75" w:rsidRPr="004645C7">
        <w:rPr>
          <w:rFonts w:eastAsia="Times New Roman"/>
          <w:bCs/>
          <w:sz w:val="23"/>
          <w:szCs w:val="23"/>
          <w:lang w:eastAsia="da-DK"/>
        </w:rPr>
        <w:t xml:space="preserve"> HRA. Wherever possible, the information provided should be both qualitative and quantitative, for example to confirm the proportion of the protected site or species likely to be affected by the project. </w:t>
      </w:r>
      <w:r w:rsidR="00AD2CEF" w:rsidRPr="004645C7">
        <w:rPr>
          <w:rFonts w:eastAsia="Times New Roman"/>
          <w:bCs/>
          <w:sz w:val="23"/>
          <w:szCs w:val="23"/>
          <w:lang w:eastAsia="da-DK"/>
        </w:rPr>
        <w:t xml:space="preserve">If uncertain about the requirements, the </w:t>
      </w:r>
      <w:r w:rsidR="00BB0690" w:rsidRPr="004645C7">
        <w:rPr>
          <w:rFonts w:eastAsia="Times New Roman"/>
          <w:bCs/>
          <w:sz w:val="23"/>
          <w:szCs w:val="23"/>
          <w:lang w:eastAsia="da-DK"/>
        </w:rPr>
        <w:t>o</w:t>
      </w:r>
      <w:r w:rsidR="00AD2CEF" w:rsidRPr="004645C7">
        <w:rPr>
          <w:rFonts w:eastAsia="Times New Roman"/>
          <w:bCs/>
          <w:sz w:val="23"/>
          <w:szCs w:val="23"/>
          <w:lang w:eastAsia="da-DK"/>
        </w:rPr>
        <w:t>perator should seek advice from OPRED</w:t>
      </w:r>
      <w:r w:rsidR="00E560DB">
        <w:rPr>
          <w:rFonts w:eastAsia="Times New Roman"/>
          <w:bCs/>
          <w:sz w:val="23"/>
          <w:szCs w:val="23"/>
          <w:lang w:eastAsia="da-DK"/>
        </w:rPr>
        <w:t>-</w:t>
      </w:r>
      <w:r w:rsidR="00800314">
        <w:rPr>
          <w:rFonts w:eastAsia="Times New Roman"/>
          <w:bCs/>
          <w:sz w:val="23"/>
          <w:szCs w:val="23"/>
          <w:lang w:eastAsia="da-DK"/>
        </w:rPr>
        <w:t>EMT</w:t>
      </w:r>
      <w:r w:rsidR="00C862AC" w:rsidRPr="004645C7">
        <w:rPr>
          <w:rFonts w:eastAsia="Times New Roman"/>
          <w:bCs/>
          <w:sz w:val="23"/>
          <w:szCs w:val="23"/>
          <w:lang w:eastAsia="da-DK"/>
        </w:rPr>
        <w:t>.</w:t>
      </w:r>
    </w:p>
    <w:p w14:paraId="00F931B1" w14:textId="77777777" w:rsidR="00F424BB" w:rsidRPr="004645C7" w:rsidRDefault="00D50E75" w:rsidP="00B1255F">
      <w:pPr>
        <w:suppressAutoHyphens/>
        <w:spacing w:before="120" w:after="120"/>
        <w:rPr>
          <w:rFonts w:eastAsia="Times New Roman"/>
          <w:bCs/>
          <w:color w:val="1F497D" w:themeColor="text2"/>
          <w:sz w:val="23"/>
          <w:szCs w:val="23"/>
          <w:lang w:eastAsia="da-DK"/>
        </w:rPr>
      </w:pPr>
      <w:r w:rsidRPr="004645C7">
        <w:rPr>
          <w:rFonts w:eastAsia="Times New Roman"/>
          <w:bCs/>
          <w:color w:val="1F497D" w:themeColor="text2"/>
          <w:sz w:val="23"/>
          <w:szCs w:val="23"/>
          <w:lang w:eastAsia="da-DK"/>
        </w:rPr>
        <w:t>Other protected habitats and species</w:t>
      </w:r>
    </w:p>
    <w:p w14:paraId="72F401D4" w14:textId="09F12B45" w:rsidR="00335D88" w:rsidRPr="004645C7" w:rsidRDefault="005C07B8" w:rsidP="00B1255F">
      <w:pPr>
        <w:suppressAutoHyphens/>
        <w:spacing w:before="120" w:after="120"/>
        <w:ind w:left="709" w:hanging="709"/>
        <w:rPr>
          <w:rFonts w:eastAsia="Times New Roman"/>
          <w:bCs/>
          <w:sz w:val="23"/>
          <w:szCs w:val="23"/>
          <w:lang w:eastAsia="da-DK"/>
        </w:rPr>
      </w:pPr>
      <w:r w:rsidRPr="004645C7">
        <w:rPr>
          <w:rFonts w:eastAsia="Times New Roman"/>
          <w:bCs/>
          <w:sz w:val="23"/>
          <w:szCs w:val="23"/>
          <w:lang w:eastAsia="da-DK"/>
        </w:rPr>
        <w:t>12.1</w:t>
      </w:r>
      <w:r w:rsidR="00906BD6">
        <w:rPr>
          <w:rFonts w:eastAsia="Times New Roman"/>
          <w:bCs/>
          <w:sz w:val="23"/>
          <w:szCs w:val="23"/>
          <w:lang w:eastAsia="da-DK"/>
        </w:rPr>
        <w:t>2</w:t>
      </w:r>
      <w:r w:rsidRPr="004645C7">
        <w:rPr>
          <w:rFonts w:eastAsia="Times New Roman"/>
          <w:bCs/>
          <w:sz w:val="23"/>
          <w:szCs w:val="23"/>
          <w:lang w:eastAsia="da-DK"/>
        </w:rPr>
        <w:tab/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Details of any other protected sites or species or proposed </w:t>
      </w:r>
      <w:r w:rsidR="005F2C57" w:rsidRPr="004645C7">
        <w:rPr>
          <w:rFonts w:eastAsia="Times New Roman"/>
          <w:bCs/>
          <w:sz w:val="23"/>
          <w:szCs w:val="23"/>
          <w:lang w:eastAsia="da-DK"/>
        </w:rPr>
        <w:t xml:space="preserve">protected 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>sites or species that are the subject of consultation</w:t>
      </w:r>
      <w:r w:rsidR="005F2C57" w:rsidRPr="004645C7">
        <w:rPr>
          <w:rFonts w:eastAsia="Times New Roman"/>
          <w:bCs/>
          <w:sz w:val="23"/>
          <w:szCs w:val="23"/>
          <w:lang w:eastAsia="da-DK"/>
        </w:rPr>
        <w:t>,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 should also be included in the baseline environmental description, including details of any protected mobile species</w:t>
      </w:r>
      <w:r w:rsidR="00EB62DA">
        <w:rPr>
          <w:rFonts w:eastAsia="Times New Roman"/>
          <w:bCs/>
          <w:sz w:val="23"/>
          <w:szCs w:val="23"/>
          <w:lang w:eastAsia="da-DK"/>
        </w:rPr>
        <w:t xml:space="preserve"> (e.g. European Protected Species)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 that are not associated with a specific protected site but are found in the vicinity of the project. The sites considered should include any MCZs, international and domestic MPAs, Marine Nature Reserves (MNRs)</w:t>
      </w:r>
      <w:r w:rsidR="005F2C57" w:rsidRPr="004645C7">
        <w:rPr>
          <w:rFonts w:eastAsia="Times New Roman"/>
          <w:bCs/>
          <w:sz w:val="23"/>
          <w:szCs w:val="23"/>
          <w:lang w:eastAsia="da-DK"/>
        </w:rPr>
        <w:t xml:space="preserve">, Ramsar </w:t>
      </w:r>
      <w:r w:rsidR="00F24FFE" w:rsidRPr="004645C7">
        <w:rPr>
          <w:rFonts w:eastAsia="Times New Roman"/>
          <w:bCs/>
          <w:sz w:val="23"/>
          <w:szCs w:val="23"/>
          <w:lang w:eastAsia="da-DK"/>
        </w:rPr>
        <w:t>S</w:t>
      </w:r>
      <w:r w:rsidR="005F2C57" w:rsidRPr="004645C7">
        <w:rPr>
          <w:rFonts w:eastAsia="Times New Roman"/>
          <w:bCs/>
          <w:sz w:val="23"/>
          <w:szCs w:val="23"/>
          <w:lang w:eastAsia="da-DK"/>
        </w:rPr>
        <w:t xml:space="preserve">ites, 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>and Sites of Special Scientific Interest (SSSIs).</w:t>
      </w:r>
    </w:p>
    <w:p w14:paraId="15F71A81" w14:textId="3AE54D98" w:rsidR="00D50E75" w:rsidRPr="004645C7" w:rsidRDefault="005C07B8" w:rsidP="00B1255F">
      <w:pPr>
        <w:suppressAutoHyphens/>
        <w:spacing w:before="120" w:after="120"/>
        <w:ind w:left="709" w:hanging="709"/>
        <w:rPr>
          <w:rFonts w:eastAsia="Times New Roman"/>
          <w:bCs/>
          <w:sz w:val="23"/>
          <w:szCs w:val="23"/>
          <w:lang w:eastAsia="da-DK"/>
        </w:rPr>
      </w:pPr>
      <w:r w:rsidRPr="004645C7">
        <w:rPr>
          <w:rFonts w:eastAsia="Times New Roman"/>
          <w:bCs/>
          <w:sz w:val="23"/>
          <w:szCs w:val="23"/>
          <w:lang w:eastAsia="da-DK"/>
        </w:rPr>
        <w:t>12.1</w:t>
      </w:r>
      <w:r w:rsidR="00906BD6">
        <w:rPr>
          <w:rFonts w:eastAsia="Times New Roman"/>
          <w:bCs/>
          <w:sz w:val="23"/>
          <w:szCs w:val="23"/>
          <w:lang w:eastAsia="da-DK"/>
        </w:rPr>
        <w:t>3</w:t>
      </w:r>
      <w:r w:rsidRPr="004645C7">
        <w:rPr>
          <w:rFonts w:eastAsia="Times New Roman"/>
          <w:bCs/>
          <w:sz w:val="23"/>
          <w:szCs w:val="23"/>
          <w:lang w:eastAsia="da-DK"/>
        </w:rPr>
        <w:tab/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Although there is no requirement for </w:t>
      </w:r>
      <w:r w:rsidR="00692A08" w:rsidRPr="004645C7">
        <w:rPr>
          <w:rFonts w:eastAsia="Times New Roman"/>
          <w:bCs/>
          <w:sz w:val="23"/>
          <w:szCs w:val="23"/>
          <w:lang w:eastAsia="da-DK"/>
        </w:rPr>
        <w:t>OPRED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 to undertake a separate assessment (HRA) for sites other than SACs and SPAs, it is still essential that the EA submission addresses potential impacts on </w:t>
      </w:r>
      <w:r w:rsidR="00552F1F">
        <w:rPr>
          <w:rFonts w:eastAsia="Times New Roman"/>
          <w:bCs/>
          <w:sz w:val="23"/>
          <w:szCs w:val="23"/>
          <w:lang w:eastAsia="da-DK"/>
        </w:rPr>
        <w:t>all</w:t>
      </w:r>
      <w:r w:rsidR="00552F1F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protected sites and species.  </w:t>
      </w:r>
    </w:p>
    <w:p w14:paraId="4C4FD430" w14:textId="77777777" w:rsidR="00335D88" w:rsidRPr="004645C7" w:rsidRDefault="00335D88" w:rsidP="00B1255F">
      <w:pPr>
        <w:suppressAutoHyphens/>
        <w:spacing w:before="120" w:after="120"/>
        <w:rPr>
          <w:rFonts w:eastAsia="Times New Roman"/>
          <w:bCs/>
          <w:color w:val="1F497D" w:themeColor="text2"/>
          <w:sz w:val="23"/>
          <w:szCs w:val="23"/>
          <w:lang w:eastAsia="da-DK"/>
        </w:rPr>
      </w:pPr>
      <w:r w:rsidRPr="004645C7">
        <w:rPr>
          <w:rFonts w:eastAsia="Times New Roman"/>
          <w:bCs/>
          <w:color w:val="1F497D" w:themeColor="text2"/>
          <w:sz w:val="23"/>
          <w:szCs w:val="23"/>
          <w:lang w:eastAsia="da-DK"/>
        </w:rPr>
        <w:t>Marine Plans</w:t>
      </w:r>
    </w:p>
    <w:p w14:paraId="2D8C14F9" w14:textId="354C7F8A" w:rsidR="000554BC" w:rsidRPr="004645C7" w:rsidRDefault="005C07B8" w:rsidP="00B1255F">
      <w:pPr>
        <w:suppressAutoHyphens/>
        <w:spacing w:before="120" w:after="120"/>
        <w:ind w:left="709" w:hanging="709"/>
        <w:rPr>
          <w:rFonts w:eastAsia="Times New Roman"/>
          <w:bCs/>
          <w:sz w:val="23"/>
          <w:szCs w:val="23"/>
          <w:lang w:eastAsia="da-DK"/>
        </w:rPr>
      </w:pPr>
      <w:r w:rsidRPr="004645C7">
        <w:rPr>
          <w:rFonts w:eastAsia="Times New Roman"/>
          <w:bCs/>
          <w:sz w:val="23"/>
          <w:szCs w:val="23"/>
          <w:lang w:eastAsia="da-DK"/>
        </w:rPr>
        <w:t>12.1</w:t>
      </w:r>
      <w:r w:rsidR="00E51573">
        <w:rPr>
          <w:rFonts w:eastAsia="Times New Roman"/>
          <w:bCs/>
          <w:sz w:val="23"/>
          <w:szCs w:val="23"/>
          <w:lang w:eastAsia="da-DK"/>
        </w:rPr>
        <w:t>4</w:t>
      </w:r>
      <w:r w:rsidRPr="004645C7">
        <w:rPr>
          <w:rFonts w:eastAsia="Times New Roman"/>
          <w:bCs/>
          <w:sz w:val="23"/>
          <w:szCs w:val="23"/>
          <w:lang w:eastAsia="da-DK"/>
        </w:rPr>
        <w:tab/>
      </w:r>
      <w:r w:rsidR="000554BC" w:rsidRPr="004645C7">
        <w:rPr>
          <w:rFonts w:eastAsia="Times New Roman"/>
          <w:bCs/>
          <w:sz w:val="23"/>
          <w:szCs w:val="23"/>
          <w:lang w:eastAsia="da-DK"/>
        </w:rPr>
        <w:t>Where activities are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 within an area that is covered by an adopted marine plan</w:t>
      </w:r>
      <w:r w:rsidR="005F2C57" w:rsidRPr="004645C7">
        <w:rPr>
          <w:rFonts w:eastAsia="Times New Roman"/>
          <w:bCs/>
          <w:sz w:val="23"/>
          <w:szCs w:val="23"/>
          <w:lang w:eastAsia="da-DK"/>
        </w:rPr>
        <w:t>,</w:t>
      </w:r>
      <w:r w:rsidR="00774038" w:rsidRPr="004645C7">
        <w:rPr>
          <w:rFonts w:eastAsia="Times New Roman"/>
          <w:bCs/>
          <w:sz w:val="23"/>
          <w:szCs w:val="23"/>
          <w:lang w:eastAsia="da-DK"/>
        </w:rPr>
        <w:t xml:space="preserve"> or one that is subject of consultation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, or </w:t>
      </w:r>
      <w:r w:rsidR="006D145A" w:rsidRPr="004645C7">
        <w:rPr>
          <w:rFonts w:eastAsia="Times New Roman"/>
          <w:bCs/>
          <w:sz w:val="23"/>
          <w:szCs w:val="23"/>
          <w:lang w:eastAsia="da-DK"/>
        </w:rPr>
        <w:t xml:space="preserve">located 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in an adjacent area </w:t>
      </w:r>
      <w:r w:rsidR="006D145A" w:rsidRPr="004645C7">
        <w:rPr>
          <w:rFonts w:eastAsia="Times New Roman"/>
          <w:bCs/>
          <w:sz w:val="23"/>
          <w:szCs w:val="23"/>
          <w:lang w:eastAsia="da-DK"/>
        </w:rPr>
        <w:t xml:space="preserve">and 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potential impacts are likely within the marine plan area, </w:t>
      </w:r>
      <w:r w:rsidR="000554BC" w:rsidRPr="004645C7">
        <w:rPr>
          <w:rFonts w:eastAsia="Times New Roman"/>
          <w:bCs/>
          <w:sz w:val="23"/>
          <w:szCs w:val="23"/>
          <w:lang w:eastAsia="da-DK"/>
        </w:rPr>
        <w:t xml:space="preserve">the EA 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>must include consideration of whether the propos</w:t>
      </w:r>
      <w:r w:rsidR="000554BC" w:rsidRPr="004645C7">
        <w:rPr>
          <w:rFonts w:eastAsia="Times New Roman"/>
          <w:bCs/>
          <w:sz w:val="23"/>
          <w:szCs w:val="23"/>
          <w:lang w:eastAsia="da-DK"/>
        </w:rPr>
        <w:t>ed activities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 are in accordance with relevant marine plan policies. There may be </w:t>
      </w:r>
      <w:proofErr w:type="gramStart"/>
      <w:r w:rsidR="00335D88" w:rsidRPr="004645C7">
        <w:rPr>
          <w:rFonts w:eastAsia="Times New Roman"/>
          <w:bCs/>
          <w:sz w:val="23"/>
          <w:szCs w:val="23"/>
          <w:lang w:eastAsia="da-DK"/>
        </w:rPr>
        <w:t>a number of</w:t>
      </w:r>
      <w:proofErr w:type="gramEnd"/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 plan policies that are relevant to the </w:t>
      </w:r>
      <w:r w:rsidR="000554BC" w:rsidRPr="004645C7">
        <w:rPr>
          <w:rFonts w:eastAsia="Times New Roman"/>
          <w:bCs/>
          <w:sz w:val="23"/>
          <w:szCs w:val="23"/>
          <w:lang w:eastAsia="da-DK"/>
        </w:rPr>
        <w:t>activities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, including </w:t>
      </w:r>
      <w:r w:rsidR="006D145A" w:rsidRPr="004645C7">
        <w:rPr>
          <w:rFonts w:eastAsia="Times New Roman"/>
          <w:bCs/>
          <w:sz w:val="23"/>
          <w:szCs w:val="23"/>
          <w:lang w:eastAsia="da-DK"/>
        </w:rPr>
        <w:t xml:space="preserve">both 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general </w:t>
      </w:r>
      <w:r w:rsidR="006D145A" w:rsidRPr="004645C7">
        <w:rPr>
          <w:rFonts w:eastAsia="Times New Roman"/>
          <w:bCs/>
          <w:sz w:val="23"/>
          <w:szCs w:val="23"/>
          <w:lang w:eastAsia="da-DK"/>
        </w:rPr>
        <w:t>and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 sector specific policies. Impacts on the policies should be addressed in a proportionate manner</w:t>
      </w:r>
      <w:r w:rsidR="00774038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6D145A" w:rsidRPr="004645C7">
        <w:rPr>
          <w:rFonts w:eastAsia="Times New Roman"/>
          <w:bCs/>
          <w:sz w:val="23"/>
          <w:szCs w:val="23"/>
          <w:lang w:eastAsia="da-DK"/>
        </w:rPr>
        <w:t xml:space="preserve">depending on the size and complexity of </w:t>
      </w:r>
      <w:r w:rsidR="006D145A" w:rsidRPr="004645C7">
        <w:rPr>
          <w:rFonts w:eastAsia="Times New Roman"/>
          <w:bCs/>
          <w:sz w:val="23"/>
          <w:szCs w:val="23"/>
          <w:lang w:eastAsia="da-DK"/>
        </w:rPr>
        <w:lastRenderedPageBreak/>
        <w:t>the project</w:t>
      </w:r>
      <w:r w:rsidR="004A74D0">
        <w:rPr>
          <w:rFonts w:eastAsia="Times New Roman"/>
          <w:bCs/>
          <w:sz w:val="23"/>
          <w:szCs w:val="23"/>
          <w:lang w:eastAsia="da-DK"/>
        </w:rPr>
        <w:t xml:space="preserve"> and </w:t>
      </w:r>
      <w:r w:rsidR="00E86135">
        <w:rPr>
          <w:rFonts w:eastAsia="Times New Roman"/>
          <w:bCs/>
          <w:sz w:val="23"/>
          <w:szCs w:val="23"/>
          <w:lang w:eastAsia="da-DK"/>
        </w:rPr>
        <w:t xml:space="preserve">the </w:t>
      </w:r>
      <w:r w:rsidR="004A74D0">
        <w:rPr>
          <w:rFonts w:eastAsia="Times New Roman"/>
          <w:bCs/>
          <w:sz w:val="23"/>
          <w:szCs w:val="23"/>
          <w:lang w:eastAsia="da-DK"/>
        </w:rPr>
        <w:t xml:space="preserve">nature of </w:t>
      </w:r>
      <w:r w:rsidR="00E86135">
        <w:rPr>
          <w:rFonts w:eastAsia="Times New Roman"/>
          <w:bCs/>
          <w:sz w:val="23"/>
          <w:szCs w:val="23"/>
          <w:lang w:eastAsia="da-DK"/>
        </w:rPr>
        <w:t>any</w:t>
      </w:r>
      <w:r w:rsidR="004A74D0">
        <w:rPr>
          <w:rFonts w:eastAsia="Times New Roman"/>
          <w:bCs/>
          <w:sz w:val="23"/>
          <w:szCs w:val="23"/>
          <w:lang w:eastAsia="da-DK"/>
        </w:rPr>
        <w:t xml:space="preserve"> interaction with the plan policies.</w:t>
      </w:r>
      <w:r w:rsidR="006D145A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4A74D0">
        <w:rPr>
          <w:rFonts w:eastAsia="Times New Roman"/>
          <w:bCs/>
          <w:sz w:val="23"/>
          <w:szCs w:val="23"/>
          <w:lang w:eastAsia="da-DK"/>
        </w:rPr>
        <w:t>It</w:t>
      </w:r>
      <w:r w:rsidR="00774038" w:rsidRPr="004645C7">
        <w:rPr>
          <w:rFonts w:eastAsia="Times New Roman"/>
          <w:bCs/>
          <w:sz w:val="23"/>
          <w:szCs w:val="23"/>
          <w:lang w:eastAsia="da-DK"/>
        </w:rPr>
        <w:t xml:space="preserve"> is expected </w:t>
      </w:r>
      <w:r w:rsidR="006D145A" w:rsidRPr="004645C7">
        <w:rPr>
          <w:rFonts w:eastAsia="Times New Roman"/>
          <w:bCs/>
          <w:sz w:val="23"/>
          <w:szCs w:val="23"/>
          <w:lang w:eastAsia="da-DK"/>
        </w:rPr>
        <w:t xml:space="preserve">that </w:t>
      </w:r>
      <w:r w:rsidR="004A74D0">
        <w:rPr>
          <w:rFonts w:eastAsia="Times New Roman"/>
          <w:bCs/>
          <w:sz w:val="23"/>
          <w:szCs w:val="23"/>
          <w:lang w:eastAsia="da-DK"/>
        </w:rPr>
        <w:t xml:space="preserve">in most cases, </w:t>
      </w:r>
      <w:r w:rsidR="006D145A" w:rsidRPr="004645C7">
        <w:rPr>
          <w:rFonts w:eastAsia="Times New Roman"/>
          <w:bCs/>
          <w:sz w:val="23"/>
          <w:szCs w:val="23"/>
          <w:lang w:eastAsia="da-DK"/>
        </w:rPr>
        <w:t xml:space="preserve">the </w:t>
      </w:r>
      <w:r w:rsidR="00774038" w:rsidRPr="004645C7">
        <w:rPr>
          <w:rFonts w:eastAsia="Times New Roman"/>
          <w:bCs/>
          <w:sz w:val="23"/>
          <w:szCs w:val="23"/>
          <w:lang w:eastAsia="da-DK"/>
        </w:rPr>
        <w:t xml:space="preserve">consideration will </w:t>
      </w:r>
      <w:r w:rsidR="006D145A" w:rsidRPr="004645C7">
        <w:rPr>
          <w:rFonts w:eastAsia="Times New Roman"/>
          <w:bCs/>
          <w:sz w:val="23"/>
          <w:szCs w:val="23"/>
          <w:lang w:eastAsia="da-DK"/>
        </w:rPr>
        <w:t xml:space="preserve">normally </w:t>
      </w:r>
      <w:r w:rsidR="00774038" w:rsidRPr="004645C7">
        <w:rPr>
          <w:rFonts w:eastAsia="Times New Roman"/>
          <w:bCs/>
          <w:sz w:val="23"/>
          <w:szCs w:val="23"/>
          <w:lang w:eastAsia="da-DK"/>
        </w:rPr>
        <w:t xml:space="preserve">be </w:t>
      </w:r>
      <w:r w:rsidR="006D145A" w:rsidRPr="004645C7">
        <w:rPr>
          <w:rFonts w:eastAsia="Times New Roman"/>
          <w:bCs/>
          <w:sz w:val="23"/>
          <w:szCs w:val="23"/>
          <w:lang w:eastAsia="da-DK"/>
        </w:rPr>
        <w:t xml:space="preserve">at a fairly </w:t>
      </w:r>
      <w:r w:rsidR="00774038" w:rsidRPr="004645C7">
        <w:rPr>
          <w:rFonts w:eastAsia="Times New Roman"/>
          <w:bCs/>
          <w:sz w:val="23"/>
          <w:szCs w:val="23"/>
          <w:lang w:eastAsia="da-DK"/>
        </w:rPr>
        <w:t>high level</w:t>
      </w:r>
      <w:r w:rsidR="00054B59" w:rsidRPr="004645C7">
        <w:rPr>
          <w:rFonts w:eastAsia="Times New Roman"/>
          <w:bCs/>
          <w:sz w:val="23"/>
          <w:szCs w:val="23"/>
          <w:lang w:eastAsia="da-DK"/>
        </w:rPr>
        <w:t xml:space="preserve"> and</w:t>
      </w:r>
      <w:r w:rsidR="00774038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in many it </w:t>
      </w:r>
      <w:r w:rsidR="00C862AC" w:rsidRPr="004645C7">
        <w:rPr>
          <w:rFonts w:eastAsia="Times New Roman"/>
          <w:bCs/>
          <w:sz w:val="23"/>
          <w:szCs w:val="23"/>
          <w:lang w:eastAsia="da-DK"/>
        </w:rPr>
        <w:t xml:space="preserve">may 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be possible to conclude that there will be no impact on a </w:t>
      </w:r>
      <w:r w:rsidR="00E86984">
        <w:rPr>
          <w:rFonts w:eastAsia="Times New Roman"/>
          <w:bCs/>
          <w:sz w:val="23"/>
          <w:szCs w:val="23"/>
          <w:lang w:eastAsia="da-DK"/>
        </w:rPr>
        <w:t xml:space="preserve">marine plan </w:t>
      </w:r>
      <w:r w:rsidR="00335D88" w:rsidRPr="004645C7">
        <w:rPr>
          <w:rFonts w:eastAsia="Times New Roman"/>
          <w:bCs/>
          <w:sz w:val="23"/>
          <w:szCs w:val="23"/>
          <w:lang w:eastAsia="da-DK"/>
        </w:rPr>
        <w:t xml:space="preserve">policy.  </w:t>
      </w:r>
    </w:p>
    <w:p w14:paraId="720D5EA2" w14:textId="77777777" w:rsidR="00C35BD6" w:rsidRDefault="00C35BD6" w:rsidP="00B1255F">
      <w:pPr>
        <w:suppressAutoHyphens/>
        <w:spacing w:before="120" w:after="120"/>
        <w:ind w:left="709" w:hanging="709"/>
        <w:rPr>
          <w:rFonts w:eastAsia="Times New Roman"/>
          <w:bCs/>
          <w:sz w:val="23"/>
          <w:szCs w:val="23"/>
          <w:lang w:eastAsia="da-DK"/>
        </w:rPr>
      </w:pPr>
    </w:p>
    <w:p w14:paraId="05F46650" w14:textId="77777777" w:rsidR="002D23B5" w:rsidRPr="00F24FFE" w:rsidRDefault="001B33A9" w:rsidP="00F24FFE">
      <w:pPr>
        <w:suppressAutoHyphens/>
        <w:spacing w:before="120"/>
        <w:rPr>
          <w:rFonts w:eastAsia="Times New Roman"/>
          <w:bCs/>
          <w:color w:val="1F497D" w:themeColor="text2"/>
          <w:sz w:val="32"/>
          <w:szCs w:val="32"/>
          <w:lang w:eastAsia="da-DK"/>
        </w:rPr>
      </w:pPr>
      <w:r w:rsidRPr="00CF3E1A">
        <w:rPr>
          <w:rFonts w:eastAsia="Times New Roman"/>
          <w:bCs/>
          <w:color w:val="1F497D" w:themeColor="text2"/>
          <w:sz w:val="32"/>
          <w:szCs w:val="32"/>
          <w:lang w:eastAsia="da-DK"/>
        </w:rPr>
        <w:t>Environmental surveys to support the EA</w:t>
      </w:r>
    </w:p>
    <w:p w14:paraId="0C05CF7A" w14:textId="6123E033" w:rsidR="003F6564" w:rsidRPr="004645C7" w:rsidRDefault="00935C79" w:rsidP="00F24FFE">
      <w:pPr>
        <w:suppressAutoHyphens/>
        <w:spacing w:before="120" w:after="120"/>
        <w:ind w:left="709" w:hanging="709"/>
        <w:rPr>
          <w:rFonts w:eastAsia="Times New Roman"/>
          <w:bCs/>
          <w:sz w:val="23"/>
          <w:szCs w:val="23"/>
          <w:lang w:eastAsia="da-DK"/>
        </w:rPr>
      </w:pPr>
      <w:r>
        <w:rPr>
          <w:rFonts w:eastAsia="Times New Roman"/>
          <w:bCs/>
          <w:sz w:val="23"/>
          <w:szCs w:val="23"/>
          <w:lang w:eastAsia="da-DK"/>
        </w:rPr>
        <w:t>12.1</w:t>
      </w:r>
      <w:r w:rsidR="00E51573">
        <w:rPr>
          <w:rFonts w:eastAsia="Times New Roman"/>
          <w:bCs/>
          <w:sz w:val="23"/>
          <w:szCs w:val="23"/>
          <w:lang w:eastAsia="da-DK"/>
        </w:rPr>
        <w:t>5</w:t>
      </w:r>
      <w:r>
        <w:rPr>
          <w:rFonts w:eastAsia="Times New Roman"/>
          <w:bCs/>
          <w:sz w:val="23"/>
          <w:szCs w:val="23"/>
          <w:lang w:eastAsia="da-DK"/>
        </w:rPr>
        <w:tab/>
      </w:r>
      <w:r w:rsidR="003F6564" w:rsidRPr="004645C7">
        <w:rPr>
          <w:rFonts w:eastAsia="Times New Roman"/>
          <w:bCs/>
          <w:sz w:val="23"/>
          <w:szCs w:val="23"/>
          <w:lang w:eastAsia="da-DK"/>
        </w:rPr>
        <w:t xml:space="preserve">The requirements and scope of environmental baseline surveys and sampling may differ according to individual decommissioning activities and the local environmental sensitivities. </w:t>
      </w:r>
    </w:p>
    <w:p w14:paraId="55F52893" w14:textId="7E67DA5A" w:rsidR="003F6564" w:rsidRPr="004645C7" w:rsidRDefault="00935C79" w:rsidP="00F24FFE">
      <w:pPr>
        <w:suppressAutoHyphens/>
        <w:spacing w:before="120" w:after="120"/>
        <w:ind w:left="709" w:hanging="709"/>
        <w:rPr>
          <w:rFonts w:eastAsia="Times New Roman"/>
          <w:bCs/>
          <w:sz w:val="23"/>
          <w:szCs w:val="23"/>
          <w:lang w:eastAsia="da-DK"/>
        </w:rPr>
      </w:pPr>
      <w:r w:rsidRPr="004645C7">
        <w:rPr>
          <w:rFonts w:eastAsia="Times New Roman"/>
          <w:bCs/>
          <w:sz w:val="23"/>
          <w:szCs w:val="23"/>
          <w:lang w:eastAsia="da-DK"/>
        </w:rPr>
        <w:t>12.1</w:t>
      </w:r>
      <w:r w:rsidR="00E345B7">
        <w:rPr>
          <w:rFonts w:eastAsia="Times New Roman"/>
          <w:bCs/>
          <w:sz w:val="23"/>
          <w:szCs w:val="23"/>
          <w:lang w:eastAsia="da-DK"/>
        </w:rPr>
        <w:t>6</w:t>
      </w:r>
      <w:r w:rsidRPr="004645C7">
        <w:rPr>
          <w:rFonts w:eastAsia="Times New Roman"/>
          <w:bCs/>
          <w:sz w:val="23"/>
          <w:szCs w:val="23"/>
          <w:lang w:eastAsia="da-DK"/>
        </w:rPr>
        <w:tab/>
      </w:r>
      <w:r w:rsidR="00EB62DA">
        <w:rPr>
          <w:rFonts w:eastAsia="Times New Roman"/>
          <w:bCs/>
          <w:sz w:val="23"/>
          <w:szCs w:val="23"/>
          <w:lang w:eastAsia="da-DK"/>
        </w:rPr>
        <w:t>It</w:t>
      </w:r>
      <w:r w:rsidR="00501B8D" w:rsidRPr="004645C7">
        <w:rPr>
          <w:rFonts w:eastAsia="Times New Roman"/>
          <w:bCs/>
          <w:sz w:val="23"/>
          <w:szCs w:val="23"/>
          <w:lang w:eastAsia="da-DK"/>
        </w:rPr>
        <w:t xml:space="preserve"> is recommended that </w:t>
      </w:r>
      <w:r w:rsidR="00EB62DA">
        <w:rPr>
          <w:rFonts w:eastAsia="Times New Roman"/>
          <w:bCs/>
          <w:sz w:val="23"/>
          <w:szCs w:val="23"/>
          <w:lang w:eastAsia="da-DK"/>
        </w:rPr>
        <w:t xml:space="preserve">a gap analysis of existing environmental data </w:t>
      </w:r>
      <w:r w:rsidR="00F24FFE" w:rsidRPr="004645C7">
        <w:rPr>
          <w:rFonts w:eastAsia="Times New Roman"/>
          <w:bCs/>
          <w:sz w:val="23"/>
          <w:szCs w:val="23"/>
          <w:lang w:eastAsia="da-DK"/>
        </w:rPr>
        <w:t>is</w:t>
      </w:r>
      <w:r w:rsidR="00501B8D" w:rsidRPr="004645C7">
        <w:rPr>
          <w:rFonts w:eastAsia="Times New Roman"/>
          <w:bCs/>
          <w:sz w:val="23"/>
          <w:szCs w:val="23"/>
          <w:lang w:eastAsia="da-DK"/>
        </w:rPr>
        <w:t xml:space="preserve"> undertaken to determine if </w:t>
      </w:r>
      <w:r w:rsidR="00EB62DA">
        <w:rPr>
          <w:rFonts w:eastAsia="Times New Roman"/>
          <w:bCs/>
          <w:sz w:val="23"/>
          <w:szCs w:val="23"/>
          <w:lang w:eastAsia="da-DK"/>
        </w:rPr>
        <w:t xml:space="preserve">additional baseline information and/or surveys will </w:t>
      </w:r>
      <w:r w:rsidR="00501B8D" w:rsidRPr="004645C7">
        <w:rPr>
          <w:rFonts w:eastAsia="Times New Roman"/>
          <w:bCs/>
          <w:sz w:val="23"/>
          <w:szCs w:val="23"/>
          <w:lang w:eastAsia="da-DK"/>
        </w:rPr>
        <w:t>be required. For some decommissioning proposals</w:t>
      </w:r>
      <w:r w:rsidR="006923E4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3F6564" w:rsidRPr="004645C7">
        <w:rPr>
          <w:rFonts w:eastAsia="Times New Roman"/>
          <w:bCs/>
          <w:sz w:val="23"/>
          <w:szCs w:val="23"/>
          <w:lang w:eastAsia="da-DK"/>
        </w:rPr>
        <w:t xml:space="preserve">it may be possible to use existing </w:t>
      </w:r>
      <w:r w:rsidR="00F24FFE" w:rsidRPr="004645C7">
        <w:rPr>
          <w:rFonts w:eastAsia="Times New Roman"/>
          <w:bCs/>
          <w:sz w:val="23"/>
          <w:szCs w:val="23"/>
          <w:lang w:eastAsia="da-DK"/>
        </w:rPr>
        <w:t xml:space="preserve">regional </w:t>
      </w:r>
      <w:r w:rsidR="003F6564" w:rsidRPr="004645C7">
        <w:rPr>
          <w:rFonts w:eastAsia="Times New Roman"/>
          <w:bCs/>
          <w:sz w:val="23"/>
          <w:szCs w:val="23"/>
          <w:lang w:eastAsia="da-DK"/>
        </w:rPr>
        <w:t xml:space="preserve">and local area survey data to determine an </w:t>
      </w:r>
      <w:r w:rsidR="00F24FFE" w:rsidRPr="004645C7">
        <w:rPr>
          <w:rFonts w:eastAsia="Times New Roman"/>
          <w:bCs/>
          <w:sz w:val="23"/>
          <w:szCs w:val="23"/>
          <w:lang w:eastAsia="da-DK"/>
        </w:rPr>
        <w:t>acceptable baseline</w:t>
      </w:r>
      <w:r w:rsidR="003F6564" w:rsidRPr="004645C7">
        <w:rPr>
          <w:rFonts w:eastAsia="Times New Roman"/>
          <w:bCs/>
          <w:sz w:val="23"/>
          <w:szCs w:val="23"/>
          <w:lang w:eastAsia="da-DK"/>
        </w:rPr>
        <w:t>.</w:t>
      </w:r>
      <w:r w:rsidR="00C936D3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3F6564" w:rsidRPr="004645C7">
        <w:rPr>
          <w:rFonts w:eastAsia="Times New Roman"/>
          <w:bCs/>
          <w:sz w:val="23"/>
          <w:szCs w:val="23"/>
          <w:lang w:eastAsia="da-DK"/>
        </w:rPr>
        <w:t xml:space="preserve">This may encompass data from multiple surveys covering the area under evaluation to establish a baseline of the environmental characteristics. </w:t>
      </w:r>
      <w:r w:rsidR="00E56714" w:rsidRPr="004645C7">
        <w:rPr>
          <w:rFonts w:eastAsia="Times New Roman"/>
          <w:bCs/>
          <w:sz w:val="23"/>
          <w:szCs w:val="23"/>
          <w:lang w:eastAsia="da-DK"/>
        </w:rPr>
        <w:t xml:space="preserve">If no new survey work </w:t>
      </w:r>
      <w:r w:rsidR="00863765" w:rsidRPr="004645C7">
        <w:rPr>
          <w:rFonts w:eastAsia="Times New Roman"/>
          <w:bCs/>
          <w:sz w:val="23"/>
          <w:szCs w:val="23"/>
          <w:lang w:eastAsia="da-DK"/>
        </w:rPr>
        <w:t>is</w:t>
      </w:r>
      <w:r w:rsidR="00E56714" w:rsidRPr="004645C7">
        <w:rPr>
          <w:rFonts w:eastAsia="Times New Roman"/>
          <w:bCs/>
          <w:sz w:val="23"/>
          <w:szCs w:val="23"/>
          <w:lang w:eastAsia="da-DK"/>
        </w:rPr>
        <w:t xml:space="preserve"> undertaken because the information and data available </w:t>
      </w:r>
      <w:r w:rsidR="00863765" w:rsidRPr="004645C7">
        <w:rPr>
          <w:rFonts w:eastAsia="Times New Roman"/>
          <w:bCs/>
          <w:sz w:val="23"/>
          <w:szCs w:val="23"/>
          <w:lang w:eastAsia="da-DK"/>
        </w:rPr>
        <w:t xml:space="preserve">is </w:t>
      </w:r>
      <w:r w:rsidR="00E56714" w:rsidRPr="004645C7">
        <w:rPr>
          <w:rFonts w:eastAsia="Times New Roman"/>
          <w:bCs/>
          <w:sz w:val="23"/>
          <w:szCs w:val="23"/>
          <w:lang w:eastAsia="da-DK"/>
        </w:rPr>
        <w:t xml:space="preserve">deemed to be satisfactory, the EA </w:t>
      </w:r>
      <w:r w:rsidR="00863765" w:rsidRPr="004645C7">
        <w:rPr>
          <w:rFonts w:eastAsia="Times New Roman"/>
          <w:bCs/>
          <w:sz w:val="23"/>
          <w:szCs w:val="23"/>
          <w:lang w:eastAsia="da-DK"/>
        </w:rPr>
        <w:t xml:space="preserve">should </w:t>
      </w:r>
      <w:r w:rsidR="00E56714" w:rsidRPr="004645C7">
        <w:rPr>
          <w:rFonts w:eastAsia="Times New Roman"/>
          <w:bCs/>
          <w:sz w:val="23"/>
          <w:szCs w:val="23"/>
          <w:lang w:eastAsia="da-DK"/>
        </w:rPr>
        <w:t>justif</w:t>
      </w:r>
      <w:r w:rsidR="00C85EB5">
        <w:rPr>
          <w:rFonts w:eastAsia="Times New Roman"/>
          <w:bCs/>
          <w:sz w:val="23"/>
          <w:szCs w:val="23"/>
          <w:lang w:eastAsia="da-DK"/>
        </w:rPr>
        <w:t>y</w:t>
      </w:r>
      <w:r w:rsidR="00E56714" w:rsidRPr="004645C7">
        <w:rPr>
          <w:rFonts w:eastAsia="Times New Roman"/>
          <w:bCs/>
          <w:sz w:val="23"/>
          <w:szCs w:val="23"/>
          <w:lang w:eastAsia="da-DK"/>
        </w:rPr>
        <w:t xml:space="preserve"> that </w:t>
      </w:r>
      <w:r w:rsidR="00863765" w:rsidRPr="004645C7">
        <w:rPr>
          <w:rFonts w:eastAsia="Times New Roman"/>
          <w:bCs/>
          <w:sz w:val="23"/>
          <w:szCs w:val="23"/>
          <w:lang w:eastAsia="da-DK"/>
        </w:rPr>
        <w:t>the</w:t>
      </w:r>
      <w:r w:rsidR="00E56714" w:rsidRPr="004645C7">
        <w:rPr>
          <w:rFonts w:eastAsia="Times New Roman"/>
          <w:bCs/>
          <w:sz w:val="23"/>
          <w:szCs w:val="23"/>
          <w:lang w:eastAsia="da-DK"/>
        </w:rPr>
        <w:t xml:space="preserve"> baseline is </w:t>
      </w:r>
      <w:proofErr w:type="gramStart"/>
      <w:r w:rsidR="00E56714" w:rsidRPr="004645C7">
        <w:rPr>
          <w:rFonts w:eastAsia="Times New Roman"/>
          <w:bCs/>
          <w:sz w:val="23"/>
          <w:szCs w:val="23"/>
          <w:lang w:eastAsia="da-DK"/>
        </w:rPr>
        <w:t>sufficient</w:t>
      </w:r>
      <w:proofErr w:type="gramEnd"/>
      <w:r w:rsidR="00E56714" w:rsidRPr="004645C7">
        <w:rPr>
          <w:rFonts w:eastAsia="Times New Roman"/>
          <w:bCs/>
          <w:sz w:val="23"/>
          <w:szCs w:val="23"/>
          <w:lang w:eastAsia="da-DK"/>
        </w:rPr>
        <w:t xml:space="preserve"> to inform the EA.</w:t>
      </w:r>
    </w:p>
    <w:p w14:paraId="39228484" w14:textId="7130B5A3" w:rsidR="0072593B" w:rsidRDefault="00935C79" w:rsidP="00F24FFE">
      <w:pPr>
        <w:suppressAutoHyphens/>
        <w:spacing w:before="120" w:after="120"/>
        <w:ind w:left="709" w:hanging="709"/>
        <w:rPr>
          <w:rFonts w:eastAsia="Times New Roman"/>
          <w:bCs/>
          <w:sz w:val="23"/>
          <w:szCs w:val="23"/>
          <w:lang w:eastAsia="da-DK"/>
        </w:rPr>
      </w:pPr>
      <w:r w:rsidRPr="004645C7">
        <w:rPr>
          <w:rFonts w:eastAsia="Times New Roman"/>
          <w:bCs/>
          <w:sz w:val="23"/>
          <w:szCs w:val="23"/>
          <w:lang w:eastAsia="da-DK"/>
        </w:rPr>
        <w:t>12.1</w:t>
      </w:r>
      <w:r w:rsidR="00391EF5">
        <w:rPr>
          <w:rFonts w:eastAsia="Times New Roman"/>
          <w:bCs/>
          <w:sz w:val="23"/>
          <w:szCs w:val="23"/>
          <w:lang w:eastAsia="da-DK"/>
        </w:rPr>
        <w:t>7</w:t>
      </w:r>
      <w:r w:rsidRPr="004645C7">
        <w:rPr>
          <w:rFonts w:eastAsia="Times New Roman"/>
          <w:bCs/>
          <w:sz w:val="23"/>
          <w:szCs w:val="23"/>
          <w:lang w:eastAsia="da-DK"/>
        </w:rPr>
        <w:tab/>
      </w:r>
      <w:r w:rsidR="00863765" w:rsidRPr="004645C7">
        <w:rPr>
          <w:rFonts w:eastAsia="Times New Roman"/>
          <w:bCs/>
          <w:sz w:val="23"/>
          <w:szCs w:val="23"/>
          <w:lang w:eastAsia="da-DK"/>
        </w:rPr>
        <w:t>Where</w:t>
      </w:r>
      <w:r w:rsidR="006D48CA">
        <w:rPr>
          <w:rFonts w:eastAsia="Times New Roman"/>
          <w:bCs/>
          <w:sz w:val="23"/>
          <w:szCs w:val="23"/>
          <w:lang w:eastAsia="da-DK"/>
        </w:rPr>
        <w:t xml:space="preserve"> a gap analysis</w:t>
      </w:r>
      <w:r w:rsidR="00863765" w:rsidRPr="004645C7">
        <w:rPr>
          <w:rFonts w:eastAsia="Times New Roman"/>
          <w:bCs/>
          <w:sz w:val="23"/>
          <w:szCs w:val="23"/>
          <w:lang w:eastAsia="da-DK"/>
        </w:rPr>
        <w:t xml:space="preserve"> determine</w:t>
      </w:r>
      <w:r w:rsidR="006D48CA">
        <w:rPr>
          <w:rFonts w:eastAsia="Times New Roman"/>
          <w:bCs/>
          <w:sz w:val="23"/>
          <w:szCs w:val="23"/>
          <w:lang w:eastAsia="da-DK"/>
        </w:rPr>
        <w:t>s</w:t>
      </w:r>
      <w:r w:rsidR="00863765" w:rsidRPr="004645C7">
        <w:rPr>
          <w:rFonts w:eastAsia="Times New Roman"/>
          <w:bCs/>
          <w:sz w:val="23"/>
          <w:szCs w:val="23"/>
          <w:lang w:eastAsia="da-DK"/>
        </w:rPr>
        <w:t xml:space="preserve"> that additional survey data is required, i</w:t>
      </w:r>
      <w:r w:rsidR="0072593B" w:rsidRPr="004645C7">
        <w:rPr>
          <w:rFonts w:eastAsia="Times New Roman"/>
          <w:bCs/>
          <w:sz w:val="23"/>
          <w:szCs w:val="23"/>
          <w:lang w:eastAsia="da-DK"/>
        </w:rPr>
        <w:t xml:space="preserve">t is recommended that baseline environmental surveys should be completed before cessation of production to avoid potential delays in the </w:t>
      </w:r>
      <w:r w:rsidR="00EB62DA">
        <w:rPr>
          <w:rFonts w:eastAsia="Times New Roman"/>
          <w:bCs/>
          <w:sz w:val="23"/>
          <w:szCs w:val="23"/>
          <w:lang w:eastAsia="da-DK"/>
        </w:rPr>
        <w:t>DP</w:t>
      </w:r>
      <w:r w:rsidR="007D3B88">
        <w:rPr>
          <w:rFonts w:eastAsia="Times New Roman"/>
          <w:bCs/>
          <w:sz w:val="23"/>
          <w:szCs w:val="23"/>
          <w:lang w:eastAsia="da-DK"/>
        </w:rPr>
        <w:t xml:space="preserve"> preparation and</w:t>
      </w:r>
      <w:r w:rsidR="000A45C2">
        <w:rPr>
          <w:rFonts w:eastAsia="Times New Roman"/>
          <w:bCs/>
          <w:sz w:val="23"/>
          <w:szCs w:val="23"/>
          <w:lang w:eastAsia="da-DK"/>
        </w:rPr>
        <w:t xml:space="preserve"> approval </w:t>
      </w:r>
      <w:r w:rsidR="0072593B" w:rsidRPr="004645C7">
        <w:rPr>
          <w:rFonts w:eastAsia="Times New Roman"/>
          <w:bCs/>
          <w:sz w:val="23"/>
          <w:szCs w:val="23"/>
          <w:lang w:eastAsia="da-DK"/>
        </w:rPr>
        <w:t xml:space="preserve">process. Bearing this in mind, environmental survey </w:t>
      </w:r>
      <w:r w:rsidR="000A45C2">
        <w:rPr>
          <w:rFonts w:eastAsia="Times New Roman"/>
          <w:bCs/>
          <w:sz w:val="23"/>
          <w:szCs w:val="23"/>
          <w:lang w:eastAsia="da-DK"/>
        </w:rPr>
        <w:t>review</w:t>
      </w:r>
      <w:r w:rsidR="00FF6BBA">
        <w:rPr>
          <w:rFonts w:eastAsia="Times New Roman"/>
          <w:bCs/>
          <w:sz w:val="23"/>
          <w:szCs w:val="23"/>
          <w:lang w:eastAsia="da-DK"/>
        </w:rPr>
        <w:t>s</w:t>
      </w:r>
      <w:r w:rsidR="000A45C2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72593B" w:rsidRPr="004645C7">
        <w:rPr>
          <w:rFonts w:eastAsia="Times New Roman"/>
          <w:bCs/>
          <w:sz w:val="23"/>
          <w:szCs w:val="23"/>
          <w:lang w:eastAsia="da-DK"/>
        </w:rPr>
        <w:t xml:space="preserve">should be </w:t>
      </w:r>
      <w:r w:rsidR="00FF6BBA">
        <w:rPr>
          <w:rFonts w:eastAsia="Times New Roman"/>
          <w:bCs/>
          <w:sz w:val="23"/>
          <w:szCs w:val="23"/>
          <w:lang w:eastAsia="da-DK"/>
        </w:rPr>
        <w:t>undertaken</w:t>
      </w:r>
      <w:r w:rsidR="00FF6BBA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72593B" w:rsidRPr="004645C7">
        <w:rPr>
          <w:rFonts w:eastAsia="Times New Roman"/>
          <w:bCs/>
          <w:sz w:val="23"/>
          <w:szCs w:val="23"/>
          <w:lang w:eastAsia="da-DK"/>
        </w:rPr>
        <w:t>at the earliest opportunity</w:t>
      </w:r>
      <w:r w:rsidR="00600052" w:rsidRPr="004645C7">
        <w:rPr>
          <w:rFonts w:eastAsia="Times New Roman"/>
          <w:bCs/>
          <w:sz w:val="23"/>
          <w:szCs w:val="23"/>
          <w:lang w:eastAsia="da-DK"/>
        </w:rPr>
        <w:t xml:space="preserve"> in order that any new surveys can be executed and interpreted in a timely manner.</w:t>
      </w:r>
    </w:p>
    <w:p w14:paraId="7C42921E" w14:textId="58D2C7EE" w:rsidR="001B33A9" w:rsidRDefault="00935C79" w:rsidP="00F24FFE">
      <w:pPr>
        <w:suppressAutoHyphens/>
        <w:spacing w:before="120" w:after="120"/>
        <w:ind w:left="709" w:hanging="709"/>
        <w:rPr>
          <w:rFonts w:eastAsia="Times New Roman"/>
          <w:bCs/>
          <w:sz w:val="23"/>
          <w:szCs w:val="23"/>
          <w:lang w:eastAsia="da-DK"/>
        </w:rPr>
      </w:pPr>
      <w:r w:rsidRPr="004645C7">
        <w:rPr>
          <w:rFonts w:eastAsia="Times New Roman"/>
          <w:bCs/>
          <w:sz w:val="23"/>
          <w:szCs w:val="23"/>
          <w:lang w:eastAsia="da-DK"/>
        </w:rPr>
        <w:t>12.1</w:t>
      </w:r>
      <w:r w:rsidR="00090739">
        <w:rPr>
          <w:rFonts w:eastAsia="Times New Roman"/>
          <w:bCs/>
          <w:sz w:val="23"/>
          <w:szCs w:val="23"/>
          <w:lang w:eastAsia="da-DK"/>
        </w:rPr>
        <w:t>8</w:t>
      </w:r>
      <w:r w:rsidRPr="004645C7">
        <w:rPr>
          <w:rFonts w:eastAsia="Times New Roman"/>
          <w:bCs/>
          <w:sz w:val="23"/>
          <w:szCs w:val="23"/>
          <w:lang w:eastAsia="da-DK"/>
        </w:rPr>
        <w:tab/>
      </w:r>
      <w:r w:rsidR="00E02AD3" w:rsidRPr="004645C7">
        <w:rPr>
          <w:rFonts w:eastAsia="Times New Roman"/>
          <w:bCs/>
          <w:sz w:val="23"/>
          <w:szCs w:val="23"/>
          <w:lang w:eastAsia="da-DK"/>
        </w:rPr>
        <w:t xml:space="preserve">It is the responsibility of the </w:t>
      </w:r>
      <w:r w:rsidR="00BB0690" w:rsidRPr="004645C7">
        <w:rPr>
          <w:rFonts w:eastAsia="Times New Roman"/>
          <w:bCs/>
          <w:sz w:val="23"/>
          <w:szCs w:val="23"/>
          <w:lang w:eastAsia="da-DK"/>
        </w:rPr>
        <w:t>o</w:t>
      </w:r>
      <w:r w:rsidR="00E02AD3" w:rsidRPr="004645C7">
        <w:rPr>
          <w:rFonts w:eastAsia="Times New Roman"/>
          <w:bCs/>
          <w:sz w:val="23"/>
          <w:szCs w:val="23"/>
          <w:lang w:eastAsia="da-DK"/>
        </w:rPr>
        <w:t>perator to satisfy themsel</w:t>
      </w:r>
      <w:r w:rsidR="00776193" w:rsidRPr="004645C7">
        <w:rPr>
          <w:rFonts w:eastAsia="Times New Roman"/>
          <w:bCs/>
          <w:sz w:val="23"/>
          <w:szCs w:val="23"/>
          <w:lang w:eastAsia="da-DK"/>
        </w:rPr>
        <w:t>ves</w:t>
      </w:r>
      <w:r w:rsidR="00E02AD3" w:rsidRPr="004645C7">
        <w:rPr>
          <w:rFonts w:eastAsia="Times New Roman"/>
          <w:bCs/>
          <w:sz w:val="23"/>
          <w:szCs w:val="23"/>
          <w:lang w:eastAsia="da-DK"/>
        </w:rPr>
        <w:t xml:space="preserve"> that </w:t>
      </w:r>
      <w:r w:rsidR="00EB62DA">
        <w:rPr>
          <w:rFonts w:eastAsia="Times New Roman"/>
          <w:bCs/>
          <w:sz w:val="23"/>
          <w:szCs w:val="23"/>
          <w:lang w:eastAsia="da-DK"/>
        </w:rPr>
        <w:t xml:space="preserve">the environmental baseline data </w:t>
      </w:r>
      <w:r w:rsidR="00E02AD3" w:rsidRPr="004645C7">
        <w:rPr>
          <w:rFonts w:eastAsia="Times New Roman"/>
          <w:bCs/>
          <w:sz w:val="23"/>
          <w:szCs w:val="23"/>
          <w:lang w:eastAsia="da-DK"/>
        </w:rPr>
        <w:t>is adequate to inform the EA</w:t>
      </w:r>
      <w:r w:rsidR="005C1E1B">
        <w:rPr>
          <w:rFonts w:eastAsia="Times New Roman"/>
          <w:bCs/>
          <w:sz w:val="23"/>
          <w:szCs w:val="23"/>
          <w:lang w:eastAsia="da-DK"/>
        </w:rPr>
        <w:t>,</w:t>
      </w:r>
      <w:r w:rsidR="000A45C2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C936D3">
        <w:rPr>
          <w:rFonts w:eastAsia="Times New Roman"/>
          <w:bCs/>
          <w:sz w:val="23"/>
          <w:szCs w:val="23"/>
          <w:lang w:eastAsia="da-DK"/>
        </w:rPr>
        <w:t xml:space="preserve">also </w:t>
      </w:r>
      <w:r w:rsidR="00AA6567">
        <w:rPr>
          <w:rFonts w:eastAsia="Times New Roman"/>
          <w:bCs/>
          <w:sz w:val="23"/>
          <w:szCs w:val="23"/>
          <w:lang w:eastAsia="da-DK"/>
        </w:rPr>
        <w:t xml:space="preserve">bearing in mind </w:t>
      </w:r>
      <w:r w:rsidR="000A45C2">
        <w:rPr>
          <w:rFonts w:eastAsia="Times New Roman"/>
          <w:bCs/>
          <w:sz w:val="23"/>
          <w:szCs w:val="23"/>
          <w:lang w:eastAsia="da-DK"/>
        </w:rPr>
        <w:t>the age of the survey data</w:t>
      </w:r>
      <w:r w:rsidR="00AA6567">
        <w:rPr>
          <w:rFonts w:eastAsia="Times New Roman"/>
          <w:bCs/>
          <w:sz w:val="23"/>
          <w:szCs w:val="23"/>
          <w:lang w:eastAsia="da-DK"/>
        </w:rPr>
        <w:t xml:space="preserve">, </w:t>
      </w:r>
      <w:r w:rsidR="000A45C2">
        <w:rPr>
          <w:rFonts w:eastAsia="Times New Roman"/>
          <w:bCs/>
          <w:sz w:val="23"/>
          <w:szCs w:val="23"/>
          <w:lang w:eastAsia="da-DK"/>
        </w:rPr>
        <w:t>its spatial co</w:t>
      </w:r>
      <w:r w:rsidR="00AA6567">
        <w:rPr>
          <w:rFonts w:eastAsia="Times New Roman"/>
          <w:bCs/>
          <w:sz w:val="23"/>
          <w:szCs w:val="23"/>
          <w:lang w:eastAsia="da-DK"/>
        </w:rPr>
        <w:t xml:space="preserve">verage and </w:t>
      </w:r>
      <w:proofErr w:type="spellStart"/>
      <w:proofErr w:type="gramStart"/>
      <w:r w:rsidR="00630D04">
        <w:rPr>
          <w:rFonts w:eastAsia="Times New Roman"/>
          <w:bCs/>
          <w:sz w:val="23"/>
          <w:szCs w:val="23"/>
          <w:lang w:eastAsia="da-DK"/>
        </w:rPr>
        <w:t>it’s</w:t>
      </w:r>
      <w:proofErr w:type="spellEnd"/>
      <w:proofErr w:type="gramEnd"/>
      <w:r w:rsidR="00630D04">
        <w:rPr>
          <w:rFonts w:eastAsia="Times New Roman"/>
          <w:bCs/>
          <w:sz w:val="23"/>
          <w:szCs w:val="23"/>
          <w:lang w:eastAsia="da-DK"/>
        </w:rPr>
        <w:t xml:space="preserve"> relevance to the proposed decommissioning operations</w:t>
      </w:r>
      <w:r w:rsidR="00E02AD3" w:rsidRPr="004645C7">
        <w:rPr>
          <w:rFonts w:eastAsia="Times New Roman"/>
          <w:bCs/>
          <w:sz w:val="23"/>
          <w:szCs w:val="23"/>
          <w:lang w:eastAsia="da-DK"/>
        </w:rPr>
        <w:t xml:space="preserve">. </w:t>
      </w:r>
      <w:r w:rsidR="00536D29">
        <w:rPr>
          <w:rFonts w:eastAsia="Times New Roman"/>
          <w:bCs/>
          <w:sz w:val="23"/>
          <w:szCs w:val="23"/>
          <w:lang w:eastAsia="da-DK"/>
        </w:rPr>
        <w:t>W</w:t>
      </w:r>
      <w:r w:rsidR="00E02AD3" w:rsidRPr="004645C7">
        <w:rPr>
          <w:rFonts w:eastAsia="Times New Roman"/>
          <w:bCs/>
          <w:sz w:val="23"/>
          <w:szCs w:val="23"/>
          <w:lang w:eastAsia="da-DK"/>
        </w:rPr>
        <w:t xml:space="preserve">here an operator </w:t>
      </w:r>
      <w:r w:rsidR="009462AD" w:rsidRPr="004645C7">
        <w:rPr>
          <w:rFonts w:eastAsia="Times New Roman"/>
          <w:bCs/>
          <w:sz w:val="23"/>
          <w:szCs w:val="23"/>
          <w:lang w:eastAsia="da-DK"/>
        </w:rPr>
        <w:t xml:space="preserve">is </w:t>
      </w:r>
      <w:r w:rsidR="00E02AD3" w:rsidRPr="004645C7">
        <w:rPr>
          <w:rFonts w:eastAsia="Times New Roman"/>
          <w:bCs/>
          <w:sz w:val="23"/>
          <w:szCs w:val="23"/>
          <w:lang w:eastAsia="da-DK"/>
        </w:rPr>
        <w:t>uncertain</w:t>
      </w:r>
      <w:r w:rsidR="009462AD" w:rsidRPr="004645C7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59730D">
        <w:rPr>
          <w:rFonts w:eastAsia="Times New Roman"/>
          <w:bCs/>
          <w:sz w:val="23"/>
          <w:szCs w:val="23"/>
          <w:lang w:eastAsia="da-DK"/>
        </w:rPr>
        <w:t>about the adequacy</w:t>
      </w:r>
      <w:r w:rsidR="00130792">
        <w:rPr>
          <w:rFonts w:eastAsia="Times New Roman"/>
          <w:bCs/>
          <w:sz w:val="23"/>
          <w:szCs w:val="23"/>
          <w:lang w:eastAsia="da-DK"/>
        </w:rPr>
        <w:t>, they</w:t>
      </w:r>
      <w:r w:rsidR="009462AD" w:rsidRPr="004645C7">
        <w:rPr>
          <w:rFonts w:eastAsia="Times New Roman"/>
          <w:bCs/>
          <w:sz w:val="23"/>
          <w:szCs w:val="23"/>
          <w:lang w:eastAsia="da-DK"/>
        </w:rPr>
        <w:t xml:space="preserve"> should engage with OPRED</w:t>
      </w:r>
      <w:r w:rsidR="00F86968">
        <w:rPr>
          <w:rFonts w:eastAsia="Times New Roman"/>
          <w:bCs/>
          <w:sz w:val="23"/>
          <w:szCs w:val="23"/>
          <w:lang w:eastAsia="da-DK"/>
        </w:rPr>
        <w:t>-</w:t>
      </w:r>
      <w:r w:rsidR="000A45C2">
        <w:rPr>
          <w:rFonts w:eastAsia="Times New Roman"/>
          <w:bCs/>
          <w:sz w:val="23"/>
          <w:szCs w:val="23"/>
          <w:lang w:eastAsia="da-DK"/>
        </w:rPr>
        <w:t>EMT</w:t>
      </w:r>
      <w:r w:rsidR="009462AD" w:rsidRPr="004645C7">
        <w:rPr>
          <w:rFonts w:eastAsia="Times New Roman"/>
          <w:bCs/>
          <w:sz w:val="23"/>
          <w:szCs w:val="23"/>
          <w:lang w:eastAsia="da-DK"/>
        </w:rPr>
        <w:t xml:space="preserve"> (and where appropriate the relevant SNCB) at an </w:t>
      </w:r>
      <w:r w:rsidR="003F6564" w:rsidRPr="004645C7">
        <w:rPr>
          <w:rFonts w:eastAsia="Times New Roman"/>
          <w:bCs/>
          <w:sz w:val="23"/>
          <w:szCs w:val="23"/>
          <w:lang w:eastAsia="da-DK"/>
        </w:rPr>
        <w:t xml:space="preserve">early </w:t>
      </w:r>
      <w:r w:rsidR="009462AD" w:rsidRPr="004645C7">
        <w:rPr>
          <w:rFonts w:eastAsia="Times New Roman"/>
          <w:bCs/>
          <w:sz w:val="23"/>
          <w:szCs w:val="23"/>
          <w:lang w:eastAsia="da-DK"/>
        </w:rPr>
        <w:t xml:space="preserve">stage </w:t>
      </w:r>
      <w:r w:rsidR="003F6564" w:rsidRPr="004645C7">
        <w:rPr>
          <w:rFonts w:eastAsia="Times New Roman"/>
          <w:bCs/>
          <w:sz w:val="23"/>
          <w:szCs w:val="23"/>
          <w:lang w:eastAsia="da-DK"/>
        </w:rPr>
        <w:t xml:space="preserve">to </w:t>
      </w:r>
      <w:r w:rsidR="00BC1319" w:rsidRPr="004645C7">
        <w:rPr>
          <w:rFonts w:eastAsia="Times New Roman"/>
          <w:bCs/>
          <w:sz w:val="23"/>
          <w:szCs w:val="23"/>
          <w:lang w:eastAsia="da-DK"/>
        </w:rPr>
        <w:t>discuss</w:t>
      </w:r>
      <w:r w:rsidR="003F6564" w:rsidRPr="004645C7">
        <w:rPr>
          <w:rFonts w:eastAsia="Times New Roman"/>
          <w:bCs/>
          <w:sz w:val="23"/>
          <w:szCs w:val="23"/>
          <w:lang w:eastAsia="da-DK"/>
        </w:rPr>
        <w:t xml:space="preserve"> the</w:t>
      </w:r>
      <w:r w:rsidR="00EB62DA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742F6B">
        <w:rPr>
          <w:rFonts w:eastAsia="Times New Roman"/>
          <w:bCs/>
          <w:sz w:val="23"/>
          <w:szCs w:val="23"/>
          <w:lang w:eastAsia="da-DK"/>
        </w:rPr>
        <w:t>existing</w:t>
      </w:r>
      <w:r w:rsidR="00EB62DA">
        <w:rPr>
          <w:rFonts w:eastAsia="Times New Roman"/>
          <w:bCs/>
          <w:sz w:val="23"/>
          <w:szCs w:val="23"/>
          <w:lang w:eastAsia="da-DK"/>
        </w:rPr>
        <w:t xml:space="preserve"> baseline data and the specification and scheduling of </w:t>
      </w:r>
      <w:r w:rsidR="00742F6B">
        <w:rPr>
          <w:rFonts w:eastAsia="Times New Roman"/>
          <w:bCs/>
          <w:sz w:val="23"/>
          <w:szCs w:val="23"/>
          <w:lang w:eastAsia="da-DK"/>
        </w:rPr>
        <w:t xml:space="preserve">any necessary </w:t>
      </w:r>
      <w:r w:rsidR="00EB62DA">
        <w:rPr>
          <w:rFonts w:eastAsia="Times New Roman"/>
          <w:bCs/>
          <w:sz w:val="23"/>
          <w:szCs w:val="23"/>
          <w:lang w:eastAsia="da-DK"/>
        </w:rPr>
        <w:t>additional</w:t>
      </w:r>
      <w:r w:rsidR="00C32B55">
        <w:rPr>
          <w:rFonts w:eastAsia="Times New Roman"/>
          <w:bCs/>
          <w:sz w:val="23"/>
          <w:szCs w:val="23"/>
          <w:lang w:eastAsia="da-DK"/>
        </w:rPr>
        <w:t xml:space="preserve"> surveys</w:t>
      </w:r>
      <w:r w:rsidR="00D22950">
        <w:rPr>
          <w:rFonts w:eastAsia="Times New Roman"/>
          <w:bCs/>
          <w:sz w:val="23"/>
          <w:szCs w:val="23"/>
          <w:lang w:eastAsia="da-DK"/>
        </w:rPr>
        <w:t>,</w:t>
      </w:r>
      <w:r w:rsidR="00C32B55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A32985" w:rsidRPr="004645C7">
        <w:rPr>
          <w:rFonts w:eastAsia="Times New Roman"/>
          <w:bCs/>
          <w:sz w:val="23"/>
          <w:szCs w:val="23"/>
          <w:lang w:eastAsia="da-DK"/>
        </w:rPr>
        <w:t xml:space="preserve">to ensure </w:t>
      </w:r>
      <w:r w:rsidR="003F6564" w:rsidRPr="004645C7">
        <w:rPr>
          <w:rFonts w:eastAsia="Times New Roman"/>
          <w:bCs/>
          <w:sz w:val="23"/>
          <w:szCs w:val="23"/>
          <w:lang w:eastAsia="da-DK"/>
        </w:rPr>
        <w:t xml:space="preserve">that </w:t>
      </w:r>
      <w:r w:rsidR="00AE581D">
        <w:rPr>
          <w:rFonts w:eastAsia="Times New Roman"/>
          <w:bCs/>
          <w:sz w:val="23"/>
          <w:szCs w:val="23"/>
          <w:lang w:eastAsia="da-DK"/>
        </w:rPr>
        <w:t xml:space="preserve">there is </w:t>
      </w:r>
      <w:proofErr w:type="gramStart"/>
      <w:r w:rsidR="00AE581D">
        <w:rPr>
          <w:rFonts w:eastAsia="Times New Roman"/>
          <w:bCs/>
          <w:sz w:val="23"/>
          <w:szCs w:val="23"/>
          <w:lang w:eastAsia="da-DK"/>
        </w:rPr>
        <w:t>sufficient</w:t>
      </w:r>
      <w:proofErr w:type="gramEnd"/>
      <w:r w:rsidR="00AE581D">
        <w:rPr>
          <w:rFonts w:eastAsia="Times New Roman"/>
          <w:bCs/>
          <w:sz w:val="23"/>
          <w:szCs w:val="23"/>
          <w:lang w:eastAsia="da-DK"/>
        </w:rPr>
        <w:t xml:space="preserve"> information to inform the impact assessment</w:t>
      </w:r>
      <w:r w:rsidR="003F6564" w:rsidRPr="004645C7">
        <w:rPr>
          <w:rFonts w:eastAsia="Times New Roman"/>
          <w:bCs/>
          <w:sz w:val="23"/>
          <w:szCs w:val="23"/>
          <w:lang w:eastAsia="da-DK"/>
        </w:rPr>
        <w:t>.</w:t>
      </w:r>
    </w:p>
    <w:p w14:paraId="20EC84C2" w14:textId="668BC790" w:rsidR="000A45C2" w:rsidRPr="004645C7" w:rsidRDefault="000A45C2" w:rsidP="00F24FFE">
      <w:pPr>
        <w:suppressAutoHyphens/>
        <w:spacing w:before="120" w:after="120"/>
        <w:ind w:left="709" w:hanging="709"/>
        <w:rPr>
          <w:rFonts w:eastAsia="Times New Roman"/>
          <w:bCs/>
          <w:sz w:val="23"/>
          <w:szCs w:val="23"/>
          <w:lang w:eastAsia="da-DK"/>
        </w:rPr>
      </w:pPr>
      <w:r w:rsidRPr="00FE22B6">
        <w:rPr>
          <w:rFonts w:eastAsia="Times New Roman"/>
          <w:bCs/>
          <w:sz w:val="23"/>
          <w:szCs w:val="23"/>
          <w:lang w:eastAsia="da-DK"/>
        </w:rPr>
        <w:t>12.</w:t>
      </w:r>
      <w:r w:rsidR="004A0BBD">
        <w:rPr>
          <w:rFonts w:eastAsia="Times New Roman"/>
          <w:bCs/>
          <w:sz w:val="23"/>
          <w:szCs w:val="23"/>
          <w:lang w:eastAsia="da-DK"/>
        </w:rPr>
        <w:t>19</w:t>
      </w:r>
      <w:r w:rsidRPr="00FE22B6">
        <w:rPr>
          <w:rFonts w:eastAsia="Times New Roman"/>
          <w:bCs/>
          <w:sz w:val="23"/>
          <w:szCs w:val="23"/>
          <w:lang w:eastAsia="da-DK"/>
        </w:rPr>
        <w:tab/>
      </w:r>
      <w:r w:rsidR="00FE22B6" w:rsidRPr="00FE22B6">
        <w:rPr>
          <w:rFonts w:eastAsia="Times New Roman"/>
          <w:bCs/>
          <w:sz w:val="23"/>
          <w:szCs w:val="23"/>
          <w:lang w:eastAsia="da-DK"/>
        </w:rPr>
        <w:t>Drill cuttings</w:t>
      </w:r>
      <w:r w:rsidR="002642AF">
        <w:rPr>
          <w:rFonts w:eastAsia="Times New Roman"/>
          <w:bCs/>
          <w:sz w:val="23"/>
          <w:szCs w:val="23"/>
          <w:lang w:eastAsia="da-DK"/>
        </w:rPr>
        <w:t xml:space="preserve"> pile</w:t>
      </w:r>
      <w:r w:rsidR="00FE22B6" w:rsidRPr="00FE22B6">
        <w:rPr>
          <w:rFonts w:eastAsia="Times New Roman"/>
          <w:bCs/>
          <w:sz w:val="23"/>
          <w:szCs w:val="23"/>
          <w:lang w:eastAsia="da-DK"/>
        </w:rPr>
        <w:t xml:space="preserve"> </w:t>
      </w:r>
      <w:r w:rsidR="009C3817">
        <w:rPr>
          <w:rFonts w:eastAsia="Times New Roman"/>
          <w:bCs/>
          <w:sz w:val="23"/>
          <w:szCs w:val="23"/>
          <w:lang w:eastAsia="da-DK"/>
        </w:rPr>
        <w:t>characterisation</w:t>
      </w:r>
      <w:r w:rsidR="00FE22B6" w:rsidRPr="00FE22B6">
        <w:rPr>
          <w:rFonts w:eastAsia="Times New Roman"/>
          <w:bCs/>
          <w:sz w:val="23"/>
          <w:szCs w:val="23"/>
          <w:lang w:eastAsia="da-DK"/>
        </w:rPr>
        <w:t xml:space="preserve"> may also be required</w:t>
      </w:r>
      <w:r w:rsidR="00194DA9">
        <w:rPr>
          <w:rFonts w:eastAsia="Times New Roman"/>
          <w:bCs/>
          <w:sz w:val="23"/>
          <w:szCs w:val="23"/>
          <w:lang w:eastAsia="da-DK"/>
        </w:rPr>
        <w:t xml:space="preserve"> as part of the baseline data</w:t>
      </w:r>
      <w:r w:rsidR="00FE22B6" w:rsidRPr="00FE22B6">
        <w:rPr>
          <w:rFonts w:eastAsia="Times New Roman"/>
          <w:bCs/>
          <w:sz w:val="23"/>
          <w:szCs w:val="23"/>
          <w:lang w:eastAsia="da-DK"/>
        </w:rPr>
        <w:t xml:space="preserve"> and </w:t>
      </w:r>
      <w:r w:rsidR="009C3817">
        <w:rPr>
          <w:rFonts w:eastAsia="Times New Roman"/>
          <w:bCs/>
          <w:sz w:val="23"/>
          <w:szCs w:val="23"/>
          <w:lang w:eastAsia="da-DK"/>
        </w:rPr>
        <w:t xml:space="preserve">will </w:t>
      </w:r>
      <w:r w:rsidR="007C0F09">
        <w:rPr>
          <w:rFonts w:eastAsia="Times New Roman"/>
          <w:bCs/>
          <w:sz w:val="23"/>
          <w:szCs w:val="23"/>
          <w:lang w:eastAsia="da-DK"/>
        </w:rPr>
        <w:t xml:space="preserve">generally </w:t>
      </w:r>
      <w:r w:rsidR="009C3817">
        <w:rPr>
          <w:rFonts w:eastAsia="Times New Roman"/>
          <w:bCs/>
          <w:sz w:val="23"/>
          <w:szCs w:val="23"/>
          <w:lang w:eastAsia="da-DK"/>
        </w:rPr>
        <w:t xml:space="preserve">be essential for large cuttings piles. </w:t>
      </w:r>
      <w:r w:rsidR="00FE22B6" w:rsidRPr="00FE22B6">
        <w:rPr>
          <w:rFonts w:eastAsia="Times New Roman"/>
          <w:bCs/>
          <w:sz w:val="23"/>
          <w:szCs w:val="23"/>
          <w:lang w:eastAsia="da-DK"/>
        </w:rPr>
        <w:t xml:space="preserve">Section 9 provides further </w:t>
      </w:r>
      <w:r w:rsidR="007C0F09">
        <w:rPr>
          <w:rFonts w:eastAsia="Times New Roman"/>
          <w:bCs/>
          <w:sz w:val="23"/>
          <w:szCs w:val="23"/>
          <w:lang w:eastAsia="da-DK"/>
        </w:rPr>
        <w:t xml:space="preserve">information in relation </w:t>
      </w:r>
      <w:r w:rsidR="00B11503">
        <w:rPr>
          <w:rFonts w:eastAsia="Times New Roman"/>
          <w:bCs/>
          <w:sz w:val="23"/>
          <w:szCs w:val="23"/>
          <w:lang w:eastAsia="da-DK"/>
        </w:rPr>
        <w:t>to</w:t>
      </w:r>
      <w:r w:rsidR="00FE22B6" w:rsidRPr="00FE22B6">
        <w:rPr>
          <w:rFonts w:eastAsia="Times New Roman"/>
          <w:bCs/>
          <w:sz w:val="23"/>
          <w:szCs w:val="23"/>
          <w:lang w:eastAsia="da-DK"/>
        </w:rPr>
        <w:t xml:space="preserve"> the management regime for cuttings piles.</w:t>
      </w:r>
    </w:p>
    <w:p w14:paraId="21394681" w14:textId="77777777" w:rsidR="002C6DE1" w:rsidRPr="00B612BD" w:rsidRDefault="002C6DE1" w:rsidP="00B1255F">
      <w:pPr>
        <w:rPr>
          <w:color w:val="0070C0"/>
        </w:rPr>
      </w:pPr>
    </w:p>
    <w:p w14:paraId="2D52773D" w14:textId="77777777" w:rsidR="00F02597" w:rsidRPr="00BA4C92" w:rsidRDefault="00F02597" w:rsidP="00A32985">
      <w:pPr>
        <w:spacing w:before="120"/>
        <w:ind w:left="357" w:hanging="357"/>
        <w:rPr>
          <w:color w:val="1F497D" w:themeColor="text2"/>
          <w:sz w:val="32"/>
          <w:szCs w:val="32"/>
        </w:rPr>
      </w:pPr>
      <w:r w:rsidRPr="00BA4C92">
        <w:rPr>
          <w:color w:val="1F497D" w:themeColor="text2"/>
          <w:sz w:val="32"/>
          <w:szCs w:val="32"/>
        </w:rPr>
        <w:t>Other environmental approvals</w:t>
      </w:r>
    </w:p>
    <w:p w14:paraId="67A425FA" w14:textId="2DB062B9" w:rsidR="004A0BBD" w:rsidRDefault="00BA4C92" w:rsidP="000A45C2">
      <w:pPr>
        <w:ind w:left="709" w:hanging="709"/>
        <w:rPr>
          <w:color w:val="0070C0"/>
        </w:rPr>
      </w:pPr>
      <w:r>
        <w:rPr>
          <w:sz w:val="23"/>
          <w:szCs w:val="23"/>
        </w:rPr>
        <w:t>12.</w:t>
      </w:r>
      <w:r w:rsidR="00A32985">
        <w:rPr>
          <w:sz w:val="23"/>
          <w:szCs w:val="23"/>
        </w:rPr>
        <w:t>20</w:t>
      </w:r>
      <w:r>
        <w:rPr>
          <w:sz w:val="23"/>
          <w:szCs w:val="23"/>
        </w:rPr>
        <w:tab/>
      </w:r>
      <w:r w:rsidR="00AD546E" w:rsidRPr="004645C7">
        <w:rPr>
          <w:sz w:val="23"/>
          <w:szCs w:val="23"/>
        </w:rPr>
        <w:t xml:space="preserve">During the development and implementation of the </w:t>
      </w:r>
      <w:r w:rsidR="00C35BD6" w:rsidRPr="004645C7">
        <w:rPr>
          <w:sz w:val="23"/>
          <w:szCs w:val="23"/>
        </w:rPr>
        <w:t>DP</w:t>
      </w:r>
      <w:r w:rsidR="00AD546E" w:rsidRPr="004645C7">
        <w:rPr>
          <w:sz w:val="23"/>
          <w:szCs w:val="23"/>
        </w:rPr>
        <w:t xml:space="preserve">, </w:t>
      </w:r>
      <w:r w:rsidR="00BB0690" w:rsidRPr="004645C7">
        <w:rPr>
          <w:sz w:val="23"/>
          <w:szCs w:val="23"/>
        </w:rPr>
        <w:t>o</w:t>
      </w:r>
      <w:r w:rsidR="00AD546E" w:rsidRPr="004645C7">
        <w:rPr>
          <w:sz w:val="23"/>
          <w:szCs w:val="23"/>
        </w:rPr>
        <w:t>perators should discuss the proposals with OPRED</w:t>
      </w:r>
      <w:r w:rsidR="0024484E">
        <w:rPr>
          <w:sz w:val="23"/>
          <w:szCs w:val="23"/>
        </w:rPr>
        <w:t>-</w:t>
      </w:r>
      <w:r w:rsidR="007E75B9">
        <w:rPr>
          <w:sz w:val="23"/>
          <w:szCs w:val="23"/>
        </w:rPr>
        <w:t>EMT</w:t>
      </w:r>
      <w:r w:rsidR="00AD546E" w:rsidRPr="004645C7">
        <w:rPr>
          <w:sz w:val="23"/>
          <w:szCs w:val="23"/>
        </w:rPr>
        <w:t xml:space="preserve"> to </w:t>
      </w:r>
      <w:r w:rsidR="004350D3">
        <w:rPr>
          <w:sz w:val="23"/>
          <w:szCs w:val="23"/>
        </w:rPr>
        <w:t>confirm</w:t>
      </w:r>
      <w:r w:rsidR="004350D3" w:rsidRPr="004645C7">
        <w:rPr>
          <w:sz w:val="23"/>
          <w:szCs w:val="23"/>
        </w:rPr>
        <w:t xml:space="preserve"> </w:t>
      </w:r>
      <w:r w:rsidR="00AD546E" w:rsidRPr="004645C7">
        <w:rPr>
          <w:sz w:val="23"/>
          <w:szCs w:val="23"/>
        </w:rPr>
        <w:t>the environmental regulat</w:t>
      </w:r>
      <w:r w:rsidR="00DC3379">
        <w:rPr>
          <w:sz w:val="23"/>
          <w:szCs w:val="23"/>
        </w:rPr>
        <w:t>ory requirements</w:t>
      </w:r>
      <w:r w:rsidR="00AD546E" w:rsidRPr="004645C7">
        <w:rPr>
          <w:sz w:val="23"/>
          <w:szCs w:val="23"/>
        </w:rPr>
        <w:t xml:space="preserve"> relevant to the proposed decommissioning activities</w:t>
      </w:r>
      <w:r w:rsidR="00FE7FE2">
        <w:rPr>
          <w:sz w:val="23"/>
          <w:szCs w:val="23"/>
        </w:rPr>
        <w:t>,</w:t>
      </w:r>
      <w:r w:rsidR="00AD546E" w:rsidRPr="004645C7">
        <w:rPr>
          <w:sz w:val="23"/>
          <w:szCs w:val="23"/>
        </w:rPr>
        <w:t xml:space="preserve"> and to discuss the procedures for obtaining or surrendering any relevant </w:t>
      </w:r>
      <w:r w:rsidR="007D631E">
        <w:rPr>
          <w:sz w:val="23"/>
          <w:szCs w:val="23"/>
        </w:rPr>
        <w:t xml:space="preserve">consents, </w:t>
      </w:r>
      <w:r w:rsidR="00AD546E" w:rsidRPr="004645C7">
        <w:rPr>
          <w:sz w:val="23"/>
          <w:szCs w:val="23"/>
        </w:rPr>
        <w:t>permits</w:t>
      </w:r>
      <w:r w:rsidR="007D631E">
        <w:rPr>
          <w:sz w:val="23"/>
          <w:szCs w:val="23"/>
        </w:rPr>
        <w:t>, etc</w:t>
      </w:r>
      <w:r w:rsidR="00AD546E" w:rsidRPr="004645C7">
        <w:rPr>
          <w:sz w:val="23"/>
          <w:szCs w:val="23"/>
        </w:rPr>
        <w:t>.</w:t>
      </w:r>
      <w:r w:rsidR="00B016D5">
        <w:rPr>
          <w:sz w:val="23"/>
          <w:szCs w:val="23"/>
        </w:rPr>
        <w:t xml:space="preserve"> </w:t>
      </w:r>
      <w:r w:rsidR="00BC1319" w:rsidRPr="004645C7">
        <w:rPr>
          <w:sz w:val="23"/>
          <w:szCs w:val="23"/>
        </w:rPr>
        <w:lastRenderedPageBreak/>
        <w:t xml:space="preserve">Table 2 summarises the </w:t>
      </w:r>
      <w:r w:rsidR="00726E38">
        <w:rPr>
          <w:sz w:val="23"/>
          <w:szCs w:val="23"/>
        </w:rPr>
        <w:t>principal regulatory requirements</w:t>
      </w:r>
      <w:r w:rsidR="00AB5238">
        <w:rPr>
          <w:sz w:val="23"/>
          <w:szCs w:val="23"/>
        </w:rPr>
        <w:t xml:space="preserve">, most of </w:t>
      </w:r>
      <w:r w:rsidR="00BC1319" w:rsidRPr="004645C7">
        <w:rPr>
          <w:sz w:val="23"/>
          <w:szCs w:val="23"/>
        </w:rPr>
        <w:t xml:space="preserve">which </w:t>
      </w:r>
      <w:r w:rsidR="00BE6BA7" w:rsidRPr="004645C7">
        <w:rPr>
          <w:sz w:val="23"/>
          <w:szCs w:val="23"/>
        </w:rPr>
        <w:t xml:space="preserve">can be </w:t>
      </w:r>
      <w:r w:rsidR="00BC1319" w:rsidRPr="004645C7">
        <w:rPr>
          <w:sz w:val="23"/>
          <w:szCs w:val="23"/>
        </w:rPr>
        <w:t xml:space="preserve">generated and submitted through the </w:t>
      </w:r>
      <w:r w:rsidR="003215AA">
        <w:rPr>
          <w:sz w:val="23"/>
          <w:szCs w:val="23"/>
        </w:rPr>
        <w:t xml:space="preserve">UK Energy </w:t>
      </w:r>
      <w:r w:rsidR="00BC1319" w:rsidRPr="004645C7">
        <w:rPr>
          <w:sz w:val="23"/>
          <w:szCs w:val="23"/>
        </w:rPr>
        <w:t>Portal Environmental Tracking System (PETS)</w:t>
      </w:r>
      <w:r w:rsidR="009701B7">
        <w:rPr>
          <w:sz w:val="23"/>
          <w:szCs w:val="23"/>
        </w:rPr>
        <w:t xml:space="preserve"> </w:t>
      </w:r>
      <w:r w:rsidR="003215AA">
        <w:rPr>
          <w:sz w:val="23"/>
          <w:szCs w:val="23"/>
        </w:rPr>
        <w:t>or the</w:t>
      </w:r>
      <w:r w:rsidR="009701B7">
        <w:rPr>
          <w:sz w:val="23"/>
          <w:szCs w:val="23"/>
        </w:rPr>
        <w:t xml:space="preserve"> ETSWAP (</w:t>
      </w:r>
      <w:r w:rsidR="008168E9">
        <w:rPr>
          <w:sz w:val="23"/>
          <w:szCs w:val="23"/>
        </w:rPr>
        <w:t>Emission Trading Scheme Work</w:t>
      </w:r>
      <w:r w:rsidR="00B623B1">
        <w:rPr>
          <w:sz w:val="23"/>
          <w:szCs w:val="23"/>
        </w:rPr>
        <w:t>flow Automation Project</w:t>
      </w:r>
      <w:r w:rsidR="009701B7">
        <w:rPr>
          <w:sz w:val="23"/>
          <w:szCs w:val="23"/>
        </w:rPr>
        <w:t>)</w:t>
      </w:r>
      <w:r w:rsidR="00CB736B">
        <w:rPr>
          <w:sz w:val="23"/>
          <w:szCs w:val="23"/>
        </w:rPr>
        <w:t xml:space="preserve"> Portal</w:t>
      </w:r>
      <w:r w:rsidR="009701B7">
        <w:rPr>
          <w:sz w:val="23"/>
          <w:szCs w:val="23"/>
        </w:rPr>
        <w:t>.</w:t>
      </w:r>
    </w:p>
    <w:p w14:paraId="3C2E0527" w14:textId="5AE8D8CD" w:rsidR="00281705" w:rsidRDefault="00281705" w:rsidP="00907391">
      <w:pPr>
        <w:rPr>
          <w:color w:val="0070C0"/>
        </w:rPr>
      </w:pPr>
      <w:r>
        <w:rPr>
          <w:color w:val="0070C0"/>
        </w:rPr>
        <w:t xml:space="preserve">Table 2:  </w:t>
      </w:r>
      <w:r w:rsidR="00F23681">
        <w:rPr>
          <w:color w:val="0070C0"/>
        </w:rPr>
        <w:t>O</w:t>
      </w:r>
      <w:r w:rsidR="000A45C2">
        <w:rPr>
          <w:color w:val="0070C0"/>
        </w:rPr>
        <w:t xml:space="preserve">ther </w:t>
      </w:r>
      <w:r w:rsidR="00F23681">
        <w:rPr>
          <w:color w:val="0070C0"/>
        </w:rPr>
        <w:t>regulatory requirements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6882"/>
      </w:tblGrid>
      <w:tr w:rsidR="00281705" w:rsidRPr="00312E97" w14:paraId="2374D69F" w14:textId="77777777" w:rsidTr="003A566B">
        <w:tc>
          <w:tcPr>
            <w:tcW w:w="2014" w:type="dxa"/>
          </w:tcPr>
          <w:p w14:paraId="4C888A6D" w14:textId="0988B477" w:rsidR="00281705" w:rsidRPr="003707A7" w:rsidRDefault="00831E7A" w:rsidP="003A566B">
            <w:pPr>
              <w:keepLines/>
              <w:suppressAutoHyphens/>
              <w:spacing w:before="60" w:after="60" w:line="240" w:lineRule="exact"/>
              <w:rPr>
                <w:rFonts w:ascii="Arial" w:hAnsi="Arial" w:cs="Arial"/>
                <w:b/>
                <w:sz w:val="23"/>
                <w:szCs w:val="23"/>
                <w:lang w:eastAsia="da-DK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da-DK"/>
              </w:rPr>
              <w:t>Regulatory Requirement</w:t>
            </w:r>
          </w:p>
        </w:tc>
        <w:tc>
          <w:tcPr>
            <w:tcW w:w="6882" w:type="dxa"/>
          </w:tcPr>
          <w:p w14:paraId="2D334899" w14:textId="77777777" w:rsidR="00281705" w:rsidRPr="003707A7" w:rsidRDefault="00281705" w:rsidP="003A566B">
            <w:pPr>
              <w:keepLines/>
              <w:suppressAutoHyphens/>
              <w:spacing w:before="60" w:after="60" w:line="240" w:lineRule="exact"/>
              <w:rPr>
                <w:rFonts w:ascii="Arial" w:hAnsi="Arial" w:cs="Arial"/>
                <w:b/>
                <w:sz w:val="23"/>
                <w:szCs w:val="23"/>
                <w:lang w:eastAsia="da-DK"/>
              </w:rPr>
            </w:pPr>
            <w:r w:rsidRPr="003707A7">
              <w:rPr>
                <w:rFonts w:ascii="Arial" w:hAnsi="Arial" w:cs="Arial"/>
                <w:b/>
                <w:sz w:val="23"/>
                <w:szCs w:val="23"/>
                <w:lang w:eastAsia="da-DK"/>
              </w:rPr>
              <w:t>Description</w:t>
            </w:r>
          </w:p>
        </w:tc>
      </w:tr>
      <w:tr w:rsidR="004A73D9" w:rsidRPr="00312E97" w14:paraId="04DA9599" w14:textId="77777777" w:rsidTr="003A566B">
        <w:tc>
          <w:tcPr>
            <w:tcW w:w="2014" w:type="dxa"/>
          </w:tcPr>
          <w:p w14:paraId="545A5EB6" w14:textId="77777777" w:rsidR="004A73D9" w:rsidRPr="003707A7" w:rsidRDefault="004A73D9" w:rsidP="003A566B">
            <w:pPr>
              <w:suppressAutoHyphens/>
              <w:spacing w:before="120" w:after="120"/>
              <w:rPr>
                <w:rFonts w:ascii="Arial" w:hAnsi="Arial" w:cs="Arial"/>
                <w:lang w:eastAsia="da-DK"/>
              </w:rPr>
            </w:pPr>
            <w:r w:rsidRPr="003707A7">
              <w:rPr>
                <w:rFonts w:ascii="Arial" w:hAnsi="Arial" w:cs="Arial"/>
                <w:lang w:eastAsia="da-DK"/>
              </w:rPr>
              <w:t>Marine Licence</w:t>
            </w:r>
          </w:p>
        </w:tc>
        <w:tc>
          <w:tcPr>
            <w:tcW w:w="6882" w:type="dxa"/>
          </w:tcPr>
          <w:p w14:paraId="29F05ADD" w14:textId="3B98E7F9" w:rsidR="004A73D9" w:rsidRPr="00281705" w:rsidRDefault="004A73D9" w:rsidP="00DE0273">
            <w:pPr>
              <w:suppressAutoHyphens/>
              <w:spacing w:before="120" w:after="120"/>
              <w:rPr>
                <w:rFonts w:ascii="Arial" w:hAnsi="Arial" w:cs="Arial"/>
                <w:lang w:eastAsia="da-DK"/>
              </w:rPr>
            </w:pPr>
            <w:r w:rsidRPr="00281705">
              <w:rPr>
                <w:rFonts w:ascii="Arial" w:hAnsi="Arial" w:cs="Arial"/>
                <w:lang w:eastAsia="da-DK"/>
              </w:rPr>
              <w:t>Application for</w:t>
            </w:r>
            <w:r w:rsidR="00030971">
              <w:rPr>
                <w:rFonts w:ascii="Arial" w:hAnsi="Arial" w:cs="Arial"/>
                <w:lang w:eastAsia="da-DK"/>
              </w:rPr>
              <w:t>, or amendment of,</w:t>
            </w:r>
            <w:r w:rsidRPr="00281705">
              <w:rPr>
                <w:rFonts w:ascii="Arial" w:hAnsi="Arial" w:cs="Arial"/>
                <w:lang w:eastAsia="da-DK"/>
              </w:rPr>
              <w:t xml:space="preserve"> </w:t>
            </w:r>
            <w:r w:rsidR="00DE0273">
              <w:rPr>
                <w:rFonts w:ascii="Arial" w:hAnsi="Arial" w:cs="Arial"/>
                <w:lang w:eastAsia="da-DK"/>
              </w:rPr>
              <w:t>a M</w:t>
            </w:r>
            <w:r w:rsidRPr="00281705">
              <w:rPr>
                <w:rFonts w:ascii="Arial" w:hAnsi="Arial" w:cs="Arial"/>
                <w:lang w:eastAsia="da-DK"/>
              </w:rPr>
              <w:t xml:space="preserve">arine </w:t>
            </w:r>
            <w:r w:rsidR="00DE0273">
              <w:rPr>
                <w:rFonts w:ascii="Arial" w:hAnsi="Arial" w:cs="Arial"/>
                <w:lang w:eastAsia="da-DK"/>
              </w:rPr>
              <w:t>L</w:t>
            </w:r>
            <w:r w:rsidRPr="00281705">
              <w:rPr>
                <w:rFonts w:ascii="Arial" w:hAnsi="Arial" w:cs="Arial"/>
                <w:lang w:eastAsia="da-DK"/>
              </w:rPr>
              <w:t xml:space="preserve">icence under the Marine and Coastal Access Act 2009 (MCAA), </w:t>
            </w:r>
            <w:r>
              <w:rPr>
                <w:rFonts w:ascii="Arial" w:hAnsi="Arial" w:cs="Arial"/>
                <w:lang w:eastAsia="da-DK"/>
              </w:rPr>
              <w:t xml:space="preserve">or </w:t>
            </w:r>
            <w:r w:rsidRPr="00281705">
              <w:rPr>
                <w:rFonts w:ascii="Arial" w:hAnsi="Arial" w:cs="Arial"/>
                <w:lang w:eastAsia="da-DK"/>
              </w:rPr>
              <w:t xml:space="preserve">the Food and Environment Protection Act 1985 Part II Deposits in the Sea (FEPA) </w:t>
            </w:r>
            <w:r>
              <w:rPr>
                <w:rFonts w:ascii="Arial" w:hAnsi="Arial" w:cs="Arial"/>
                <w:lang w:eastAsia="da-DK"/>
              </w:rPr>
              <w:t xml:space="preserve">for </w:t>
            </w:r>
            <w:r w:rsidR="00BE0E4E">
              <w:rPr>
                <w:rFonts w:ascii="Arial" w:hAnsi="Arial" w:cs="Arial"/>
                <w:lang w:eastAsia="da-DK"/>
              </w:rPr>
              <w:t>t</w:t>
            </w:r>
            <w:r>
              <w:rPr>
                <w:rFonts w:ascii="Arial" w:hAnsi="Arial" w:cs="Arial"/>
                <w:lang w:eastAsia="da-DK"/>
              </w:rPr>
              <w:t xml:space="preserve">erritorial waters adjacent to Scotland </w:t>
            </w:r>
          </w:p>
        </w:tc>
      </w:tr>
      <w:tr w:rsidR="004A73D9" w:rsidRPr="00312E97" w14:paraId="740DB6AA" w14:textId="77777777" w:rsidTr="003A566B">
        <w:tc>
          <w:tcPr>
            <w:tcW w:w="2014" w:type="dxa"/>
          </w:tcPr>
          <w:p w14:paraId="50A9C2BB" w14:textId="77777777" w:rsidR="004A73D9" w:rsidRPr="003707A7" w:rsidRDefault="004A73D9" w:rsidP="003A566B">
            <w:pPr>
              <w:suppressAutoHyphens/>
              <w:spacing w:before="120" w:after="120"/>
              <w:rPr>
                <w:rFonts w:ascii="Arial" w:hAnsi="Arial" w:cs="Arial"/>
                <w:lang w:eastAsia="da-DK"/>
              </w:rPr>
            </w:pPr>
            <w:r w:rsidRPr="003707A7">
              <w:rPr>
                <w:rFonts w:ascii="Arial" w:hAnsi="Arial" w:cs="Arial"/>
                <w:lang w:eastAsia="da-DK"/>
              </w:rPr>
              <w:t>Consent to Locate</w:t>
            </w:r>
          </w:p>
        </w:tc>
        <w:tc>
          <w:tcPr>
            <w:tcW w:w="6882" w:type="dxa"/>
          </w:tcPr>
          <w:p w14:paraId="1BA069F6" w14:textId="74080422" w:rsidR="004A73D9" w:rsidRPr="003707A7" w:rsidRDefault="004A73D9" w:rsidP="003A566B">
            <w:pPr>
              <w:suppressAutoHyphens/>
              <w:spacing w:before="120" w:after="120"/>
              <w:rPr>
                <w:rFonts w:ascii="Arial" w:hAnsi="Arial" w:cs="Arial"/>
                <w:lang w:eastAsia="da-DK"/>
              </w:rPr>
            </w:pPr>
            <w:r w:rsidRPr="003707A7">
              <w:rPr>
                <w:rFonts w:ascii="Arial" w:hAnsi="Arial" w:cs="Arial"/>
                <w:lang w:eastAsia="da-DK"/>
              </w:rPr>
              <w:t>Application for</w:t>
            </w:r>
            <w:r w:rsidR="00D019ED">
              <w:rPr>
                <w:rFonts w:ascii="Arial" w:hAnsi="Arial" w:cs="Arial"/>
                <w:lang w:eastAsia="da-DK"/>
              </w:rPr>
              <w:t>, or amendment of,</w:t>
            </w:r>
            <w:r w:rsidRPr="003707A7">
              <w:rPr>
                <w:rFonts w:ascii="Arial" w:hAnsi="Arial" w:cs="Arial"/>
                <w:lang w:eastAsia="da-DK"/>
              </w:rPr>
              <w:t xml:space="preserve"> a Consent </w:t>
            </w:r>
            <w:r w:rsidR="00F31E33">
              <w:rPr>
                <w:rFonts w:ascii="Arial" w:hAnsi="Arial" w:cs="Arial"/>
                <w:lang w:eastAsia="da-DK"/>
              </w:rPr>
              <w:t>t</w:t>
            </w:r>
            <w:r w:rsidRPr="003707A7">
              <w:rPr>
                <w:rFonts w:ascii="Arial" w:hAnsi="Arial" w:cs="Arial"/>
                <w:lang w:eastAsia="da-DK"/>
              </w:rPr>
              <w:t>o Locate under Part 4A of The Energy Act 2008 (as amended).</w:t>
            </w:r>
          </w:p>
        </w:tc>
      </w:tr>
      <w:tr w:rsidR="00281705" w:rsidRPr="00312E97" w14:paraId="75D4DAEB" w14:textId="77777777" w:rsidTr="003A566B">
        <w:tc>
          <w:tcPr>
            <w:tcW w:w="2014" w:type="dxa"/>
          </w:tcPr>
          <w:p w14:paraId="4D258FB8" w14:textId="77777777" w:rsidR="00281705" w:rsidRPr="003707A7" w:rsidRDefault="00281705" w:rsidP="003A566B">
            <w:pPr>
              <w:suppressAutoHyphens/>
              <w:spacing w:before="120" w:after="120"/>
              <w:rPr>
                <w:rFonts w:ascii="Arial" w:hAnsi="Arial" w:cs="Arial"/>
                <w:lang w:eastAsia="da-DK"/>
              </w:rPr>
            </w:pPr>
            <w:r w:rsidRPr="003707A7">
              <w:rPr>
                <w:rFonts w:ascii="Arial" w:hAnsi="Arial" w:cs="Arial"/>
                <w:lang w:eastAsia="da-DK"/>
              </w:rPr>
              <w:t>Chemical Permit</w:t>
            </w:r>
          </w:p>
        </w:tc>
        <w:tc>
          <w:tcPr>
            <w:tcW w:w="6882" w:type="dxa"/>
          </w:tcPr>
          <w:p w14:paraId="35075857" w14:textId="191F7AD5" w:rsidR="00281705" w:rsidRPr="003707A7" w:rsidRDefault="00281705" w:rsidP="00DE0273">
            <w:pPr>
              <w:suppressAutoHyphens/>
              <w:spacing w:before="120" w:after="120"/>
              <w:rPr>
                <w:rFonts w:ascii="Arial" w:hAnsi="Arial" w:cs="Arial"/>
                <w:lang w:eastAsia="da-DK"/>
              </w:rPr>
            </w:pPr>
            <w:r w:rsidRPr="003707A7">
              <w:rPr>
                <w:rFonts w:ascii="Arial" w:hAnsi="Arial" w:cs="Arial"/>
                <w:lang w:eastAsia="da-DK"/>
              </w:rPr>
              <w:t>A</w:t>
            </w:r>
            <w:r w:rsidR="00DE0273">
              <w:rPr>
                <w:rFonts w:ascii="Arial" w:hAnsi="Arial" w:cs="Arial"/>
                <w:lang w:eastAsia="da-DK"/>
              </w:rPr>
              <w:t>pplication for</w:t>
            </w:r>
            <w:r w:rsidR="00D019ED">
              <w:rPr>
                <w:rFonts w:ascii="Arial" w:hAnsi="Arial" w:cs="Arial"/>
                <w:lang w:eastAsia="da-DK"/>
              </w:rPr>
              <w:t>, or amendment of,</w:t>
            </w:r>
            <w:r w:rsidR="00DE0273">
              <w:rPr>
                <w:rFonts w:ascii="Arial" w:hAnsi="Arial" w:cs="Arial"/>
                <w:lang w:eastAsia="da-DK"/>
              </w:rPr>
              <w:t xml:space="preserve"> a Chemical P</w:t>
            </w:r>
            <w:r w:rsidRPr="003707A7">
              <w:rPr>
                <w:rFonts w:ascii="Arial" w:hAnsi="Arial" w:cs="Arial"/>
                <w:lang w:eastAsia="da-DK"/>
              </w:rPr>
              <w:t xml:space="preserve">ermit for </w:t>
            </w:r>
            <w:r w:rsidR="00DE0273">
              <w:rPr>
                <w:rFonts w:ascii="Arial" w:hAnsi="Arial" w:cs="Arial"/>
                <w:lang w:eastAsia="da-DK"/>
              </w:rPr>
              <w:t>the</w:t>
            </w:r>
            <w:r w:rsidR="00DE0273" w:rsidRPr="003707A7">
              <w:rPr>
                <w:rFonts w:ascii="Arial" w:hAnsi="Arial" w:cs="Arial"/>
                <w:lang w:eastAsia="da-DK"/>
              </w:rPr>
              <w:t xml:space="preserve"> </w:t>
            </w:r>
            <w:r w:rsidRPr="003707A7">
              <w:rPr>
                <w:rFonts w:ascii="Arial" w:hAnsi="Arial" w:cs="Arial"/>
                <w:lang w:eastAsia="da-DK"/>
              </w:rPr>
              <w:t xml:space="preserve">use and/or discharge </w:t>
            </w:r>
            <w:r w:rsidR="00DE0273">
              <w:rPr>
                <w:rFonts w:ascii="Arial" w:hAnsi="Arial" w:cs="Arial"/>
                <w:lang w:eastAsia="da-DK"/>
              </w:rPr>
              <w:t>of</w:t>
            </w:r>
            <w:r w:rsidR="001F1DB8">
              <w:rPr>
                <w:rFonts w:ascii="Arial" w:hAnsi="Arial" w:cs="Arial"/>
                <w:lang w:eastAsia="da-DK"/>
              </w:rPr>
              <w:t xml:space="preserve"> offshore</w:t>
            </w:r>
            <w:r w:rsidR="00DE0273">
              <w:rPr>
                <w:rFonts w:ascii="Arial" w:hAnsi="Arial" w:cs="Arial"/>
                <w:lang w:eastAsia="da-DK"/>
              </w:rPr>
              <w:t xml:space="preserve"> chemicals </w:t>
            </w:r>
            <w:r w:rsidRPr="003707A7">
              <w:rPr>
                <w:rFonts w:ascii="Arial" w:hAnsi="Arial" w:cs="Arial"/>
                <w:lang w:eastAsia="da-DK"/>
              </w:rPr>
              <w:t>under The Offshore Chemicals Regulations 2002 (as amended).</w:t>
            </w:r>
          </w:p>
        </w:tc>
      </w:tr>
      <w:tr w:rsidR="00281705" w:rsidRPr="00312E97" w14:paraId="0EA94349" w14:textId="77777777" w:rsidTr="003A566B">
        <w:tc>
          <w:tcPr>
            <w:tcW w:w="2014" w:type="dxa"/>
          </w:tcPr>
          <w:p w14:paraId="01DF56FF" w14:textId="77777777" w:rsidR="00281705" w:rsidRPr="003707A7" w:rsidRDefault="00281705" w:rsidP="003A566B">
            <w:pPr>
              <w:suppressAutoHyphens/>
              <w:spacing w:before="120" w:after="120"/>
              <w:rPr>
                <w:rFonts w:ascii="Arial" w:hAnsi="Arial" w:cs="Arial"/>
                <w:lang w:eastAsia="da-DK"/>
              </w:rPr>
            </w:pPr>
            <w:r w:rsidRPr="003707A7">
              <w:rPr>
                <w:rFonts w:ascii="Arial" w:hAnsi="Arial" w:cs="Arial"/>
                <w:lang w:eastAsia="da-DK"/>
              </w:rPr>
              <w:t>Oil Discharge Permit</w:t>
            </w:r>
          </w:p>
        </w:tc>
        <w:tc>
          <w:tcPr>
            <w:tcW w:w="6882" w:type="dxa"/>
          </w:tcPr>
          <w:p w14:paraId="70191E38" w14:textId="4968761C" w:rsidR="00281705" w:rsidRPr="00281705" w:rsidRDefault="00281705" w:rsidP="003A566B">
            <w:pPr>
              <w:suppressAutoHyphens/>
              <w:spacing w:before="120" w:after="120"/>
              <w:rPr>
                <w:rFonts w:ascii="Arial" w:hAnsi="Arial" w:cs="Arial"/>
                <w:lang w:eastAsia="da-DK"/>
              </w:rPr>
            </w:pPr>
            <w:r w:rsidRPr="00281705">
              <w:rPr>
                <w:rFonts w:ascii="Arial" w:hAnsi="Arial" w:cs="Arial"/>
                <w:lang w:eastAsia="da-DK"/>
              </w:rPr>
              <w:t>Application for</w:t>
            </w:r>
            <w:r w:rsidR="00D019ED">
              <w:rPr>
                <w:rFonts w:ascii="Arial" w:hAnsi="Arial" w:cs="Arial"/>
                <w:lang w:eastAsia="da-DK"/>
              </w:rPr>
              <w:t>, or amendment of,</w:t>
            </w:r>
            <w:r w:rsidRPr="00281705">
              <w:rPr>
                <w:rFonts w:ascii="Arial" w:hAnsi="Arial" w:cs="Arial"/>
                <w:lang w:eastAsia="da-DK"/>
              </w:rPr>
              <w:t xml:space="preserve"> an Oil Discharge Permit under The Offshore Petroleum Activities (Oil Pollution Prevention and Control) Regulations 2005 (as amended).</w:t>
            </w:r>
          </w:p>
        </w:tc>
      </w:tr>
      <w:tr w:rsidR="004A73D9" w:rsidRPr="00312E97" w14:paraId="4FEA12FD" w14:textId="77777777" w:rsidTr="003A566B">
        <w:tc>
          <w:tcPr>
            <w:tcW w:w="2014" w:type="dxa"/>
          </w:tcPr>
          <w:p w14:paraId="0E86F228" w14:textId="729393E5" w:rsidR="004A73D9" w:rsidRPr="003707A7" w:rsidRDefault="004A73D9" w:rsidP="003A566B">
            <w:pPr>
              <w:suppressAutoHyphens/>
              <w:spacing w:before="120" w:after="120"/>
              <w:rPr>
                <w:rFonts w:ascii="Arial" w:hAnsi="Arial" w:cs="Arial"/>
                <w:lang w:eastAsia="da-DK"/>
              </w:rPr>
            </w:pPr>
            <w:r w:rsidRPr="003707A7">
              <w:rPr>
                <w:rFonts w:ascii="Arial" w:hAnsi="Arial" w:cs="Arial"/>
                <w:lang w:eastAsia="da-DK"/>
              </w:rPr>
              <w:t>Marine Survey</w:t>
            </w:r>
            <w:r w:rsidR="00030971">
              <w:rPr>
                <w:rFonts w:ascii="Arial" w:hAnsi="Arial" w:cs="Arial"/>
                <w:lang w:eastAsia="da-DK"/>
              </w:rPr>
              <w:t>s</w:t>
            </w:r>
          </w:p>
        </w:tc>
        <w:tc>
          <w:tcPr>
            <w:tcW w:w="6882" w:type="dxa"/>
          </w:tcPr>
          <w:p w14:paraId="6A04A991" w14:textId="0B67E802" w:rsidR="004A73D9" w:rsidRPr="003707A7" w:rsidRDefault="004A73D9" w:rsidP="003A566B">
            <w:pPr>
              <w:suppressAutoHyphens/>
              <w:spacing w:before="120" w:after="120"/>
              <w:rPr>
                <w:rFonts w:ascii="Arial" w:hAnsi="Arial" w:cs="Arial"/>
                <w:lang w:eastAsia="da-DK"/>
              </w:rPr>
            </w:pPr>
            <w:r w:rsidRPr="003707A7">
              <w:rPr>
                <w:rFonts w:ascii="Arial" w:hAnsi="Arial" w:cs="Arial"/>
                <w:lang w:eastAsia="da-DK"/>
              </w:rPr>
              <w:t xml:space="preserve">Notification </w:t>
            </w:r>
            <w:r w:rsidR="00531D05">
              <w:rPr>
                <w:rFonts w:ascii="Arial" w:hAnsi="Arial" w:cs="Arial"/>
                <w:lang w:eastAsia="da-DK"/>
              </w:rPr>
              <w:t xml:space="preserve">of proposed marine survey </w:t>
            </w:r>
            <w:r w:rsidRPr="003707A7">
              <w:rPr>
                <w:rFonts w:ascii="Arial" w:hAnsi="Arial" w:cs="Arial"/>
                <w:lang w:eastAsia="da-DK"/>
              </w:rPr>
              <w:t xml:space="preserve">and/or </w:t>
            </w:r>
            <w:r w:rsidR="00DA4B2D">
              <w:rPr>
                <w:rFonts w:ascii="Arial" w:hAnsi="Arial" w:cs="Arial"/>
                <w:lang w:eastAsia="da-DK"/>
              </w:rPr>
              <w:t>a</w:t>
            </w:r>
            <w:r w:rsidRPr="003707A7">
              <w:rPr>
                <w:rFonts w:ascii="Arial" w:hAnsi="Arial" w:cs="Arial"/>
                <w:lang w:eastAsia="da-DK"/>
              </w:rPr>
              <w:t>pplication for</w:t>
            </w:r>
            <w:r w:rsidR="00D019ED">
              <w:rPr>
                <w:rFonts w:ascii="Arial" w:hAnsi="Arial" w:cs="Arial"/>
                <w:lang w:eastAsia="da-DK"/>
              </w:rPr>
              <w:t>, or amendment of,</w:t>
            </w:r>
            <w:r w:rsidRPr="003707A7">
              <w:rPr>
                <w:rFonts w:ascii="Arial" w:hAnsi="Arial" w:cs="Arial"/>
                <w:lang w:eastAsia="da-DK"/>
              </w:rPr>
              <w:t xml:space="preserve"> a Marine Geological Survey </w:t>
            </w:r>
            <w:r w:rsidR="00DA4B2D">
              <w:rPr>
                <w:rFonts w:ascii="Arial" w:hAnsi="Arial" w:cs="Arial"/>
                <w:lang w:eastAsia="da-DK"/>
              </w:rPr>
              <w:t xml:space="preserve">Consent </w:t>
            </w:r>
            <w:r w:rsidRPr="003707A7">
              <w:rPr>
                <w:rFonts w:ascii="Arial" w:hAnsi="Arial" w:cs="Arial"/>
                <w:lang w:eastAsia="da-DK"/>
              </w:rPr>
              <w:t>under The Offshore Petroleum Activities (Conservation of Habitats) Regulations 2001 (as amended).</w:t>
            </w:r>
          </w:p>
        </w:tc>
      </w:tr>
      <w:tr w:rsidR="00281705" w:rsidRPr="00312E97" w14:paraId="69D4C01E" w14:textId="77777777" w:rsidTr="003A566B">
        <w:tc>
          <w:tcPr>
            <w:tcW w:w="2014" w:type="dxa"/>
          </w:tcPr>
          <w:p w14:paraId="61E762A7" w14:textId="2DCEDCAD" w:rsidR="00281705" w:rsidRPr="003707A7" w:rsidRDefault="00281705" w:rsidP="003A566B">
            <w:pPr>
              <w:suppressAutoHyphens/>
              <w:spacing w:before="120" w:after="120"/>
              <w:rPr>
                <w:rFonts w:ascii="Arial" w:hAnsi="Arial" w:cs="Arial"/>
                <w:lang w:eastAsia="da-DK"/>
              </w:rPr>
            </w:pPr>
            <w:r w:rsidRPr="003707A7">
              <w:rPr>
                <w:rFonts w:ascii="Arial" w:hAnsi="Arial" w:cs="Arial"/>
                <w:lang w:eastAsia="da-DK"/>
              </w:rPr>
              <w:t>European Protected Species</w:t>
            </w:r>
            <w:r w:rsidR="00030971">
              <w:rPr>
                <w:rFonts w:ascii="Arial" w:hAnsi="Arial" w:cs="Arial"/>
                <w:lang w:eastAsia="da-DK"/>
              </w:rPr>
              <w:t xml:space="preserve"> Licence</w:t>
            </w:r>
          </w:p>
        </w:tc>
        <w:tc>
          <w:tcPr>
            <w:tcW w:w="6882" w:type="dxa"/>
          </w:tcPr>
          <w:p w14:paraId="04C08C58" w14:textId="57914ADF" w:rsidR="00281705" w:rsidRPr="00281705" w:rsidRDefault="00281705" w:rsidP="00DE0273">
            <w:pPr>
              <w:suppressAutoHyphens/>
              <w:spacing w:before="120" w:after="120"/>
              <w:rPr>
                <w:rFonts w:ascii="Arial" w:hAnsi="Arial" w:cs="Arial"/>
                <w:lang w:eastAsia="da-DK"/>
              </w:rPr>
            </w:pPr>
            <w:r w:rsidRPr="00281705">
              <w:rPr>
                <w:rFonts w:ascii="Arial" w:hAnsi="Arial" w:cs="Arial"/>
                <w:lang w:eastAsia="da-DK"/>
              </w:rPr>
              <w:t>Application for</w:t>
            </w:r>
            <w:r w:rsidR="00D019ED">
              <w:rPr>
                <w:rFonts w:ascii="Arial" w:hAnsi="Arial" w:cs="Arial"/>
                <w:lang w:eastAsia="da-DK"/>
              </w:rPr>
              <w:t>, or amendment of,</w:t>
            </w:r>
            <w:r w:rsidRPr="00281705">
              <w:rPr>
                <w:rFonts w:ascii="Arial" w:hAnsi="Arial" w:cs="Arial"/>
                <w:lang w:eastAsia="da-DK"/>
              </w:rPr>
              <w:t xml:space="preserve"> a </w:t>
            </w:r>
            <w:r w:rsidR="00B82DD3">
              <w:rPr>
                <w:rFonts w:ascii="Arial" w:hAnsi="Arial" w:cs="Arial"/>
                <w:lang w:eastAsia="da-DK"/>
              </w:rPr>
              <w:t xml:space="preserve">European Protect Species Injury or </w:t>
            </w:r>
            <w:r w:rsidRPr="00281705">
              <w:rPr>
                <w:rFonts w:ascii="Arial" w:hAnsi="Arial" w:cs="Arial"/>
                <w:lang w:eastAsia="da-DK"/>
              </w:rPr>
              <w:t xml:space="preserve">Disturbance Licence under The </w:t>
            </w:r>
            <w:r w:rsidR="0041358C">
              <w:rPr>
                <w:rFonts w:ascii="Arial" w:hAnsi="Arial" w:cs="Arial"/>
                <w:lang w:eastAsia="da-DK"/>
              </w:rPr>
              <w:t xml:space="preserve">Conservation </w:t>
            </w:r>
            <w:r w:rsidR="00225E9A">
              <w:rPr>
                <w:rFonts w:ascii="Arial" w:hAnsi="Arial" w:cs="Arial"/>
                <w:lang w:eastAsia="da-DK"/>
              </w:rPr>
              <w:t xml:space="preserve">of </w:t>
            </w:r>
            <w:r w:rsidRPr="00281705">
              <w:rPr>
                <w:rFonts w:ascii="Arial" w:hAnsi="Arial" w:cs="Arial"/>
                <w:lang w:eastAsia="da-DK"/>
              </w:rPr>
              <w:t>Offshore Marine Habitats</w:t>
            </w:r>
            <w:r w:rsidR="00225E9A">
              <w:rPr>
                <w:rFonts w:ascii="Arial" w:hAnsi="Arial" w:cs="Arial"/>
                <w:lang w:eastAsia="da-DK"/>
              </w:rPr>
              <w:t xml:space="preserve"> and Species</w:t>
            </w:r>
            <w:r w:rsidRPr="00281705">
              <w:rPr>
                <w:rFonts w:ascii="Arial" w:hAnsi="Arial" w:cs="Arial"/>
                <w:lang w:eastAsia="da-DK"/>
              </w:rPr>
              <w:t xml:space="preserve"> Regulations 20</w:t>
            </w:r>
            <w:r w:rsidR="009C254C">
              <w:rPr>
                <w:rFonts w:ascii="Arial" w:hAnsi="Arial" w:cs="Arial"/>
                <w:lang w:eastAsia="da-DK"/>
              </w:rPr>
              <w:t>1</w:t>
            </w:r>
            <w:r w:rsidRPr="00281705">
              <w:rPr>
                <w:rFonts w:ascii="Arial" w:hAnsi="Arial" w:cs="Arial"/>
                <w:lang w:eastAsia="da-DK"/>
              </w:rPr>
              <w:t xml:space="preserve">7. </w:t>
            </w:r>
          </w:p>
        </w:tc>
      </w:tr>
      <w:tr w:rsidR="000A45C2" w:rsidRPr="00312E97" w14:paraId="5D8ADAA6" w14:textId="77777777" w:rsidTr="003A566B">
        <w:tc>
          <w:tcPr>
            <w:tcW w:w="2014" w:type="dxa"/>
          </w:tcPr>
          <w:p w14:paraId="21DB28ED" w14:textId="1755A201" w:rsidR="000A45C2" w:rsidRPr="00844BF3" w:rsidRDefault="003E1BAB" w:rsidP="003A566B">
            <w:pPr>
              <w:suppressAutoHyphens/>
              <w:spacing w:before="120" w:after="120"/>
              <w:rPr>
                <w:rFonts w:ascii="Arial" w:hAnsi="Arial" w:cs="Arial"/>
                <w:highlight w:val="yellow"/>
                <w:lang w:eastAsia="da-DK"/>
              </w:rPr>
            </w:pPr>
            <w:r w:rsidRPr="00155CFE">
              <w:rPr>
                <w:rFonts w:ascii="Arial" w:hAnsi="Arial" w:cs="Arial"/>
                <w:lang w:eastAsia="da-DK"/>
              </w:rPr>
              <w:t xml:space="preserve">Atmospheric </w:t>
            </w:r>
            <w:r w:rsidR="006918F4" w:rsidRPr="00155CFE">
              <w:rPr>
                <w:rFonts w:ascii="Arial" w:hAnsi="Arial" w:cs="Arial"/>
                <w:lang w:eastAsia="da-DK"/>
              </w:rPr>
              <w:t>Emissions Permit</w:t>
            </w:r>
          </w:p>
        </w:tc>
        <w:tc>
          <w:tcPr>
            <w:tcW w:w="6882" w:type="dxa"/>
          </w:tcPr>
          <w:p w14:paraId="6FBDC065" w14:textId="40290DAC" w:rsidR="000A45C2" w:rsidRPr="009701B7" w:rsidRDefault="009701B7" w:rsidP="00DE0273">
            <w:pPr>
              <w:suppressAutoHyphens/>
              <w:spacing w:before="120" w:after="120"/>
              <w:rPr>
                <w:rFonts w:ascii="Arial" w:hAnsi="Arial" w:cs="Arial"/>
                <w:lang w:eastAsia="da-DK"/>
              </w:rPr>
            </w:pPr>
            <w:r w:rsidRPr="009701B7">
              <w:rPr>
                <w:rFonts w:ascii="Arial" w:hAnsi="Arial" w:cs="Arial"/>
                <w:lang w:eastAsia="da-DK"/>
              </w:rPr>
              <w:t>Application for</w:t>
            </w:r>
            <w:r w:rsidR="00D019ED">
              <w:rPr>
                <w:rFonts w:ascii="Arial" w:hAnsi="Arial" w:cs="Arial"/>
                <w:lang w:eastAsia="da-DK"/>
              </w:rPr>
              <w:t>, or amendment of,</w:t>
            </w:r>
            <w:r w:rsidRPr="009701B7">
              <w:rPr>
                <w:rFonts w:ascii="Arial" w:hAnsi="Arial" w:cs="Arial"/>
                <w:lang w:eastAsia="da-DK"/>
              </w:rPr>
              <w:t xml:space="preserve"> a</w:t>
            </w:r>
            <w:r w:rsidR="00097681">
              <w:rPr>
                <w:rFonts w:ascii="Arial" w:hAnsi="Arial" w:cs="Arial"/>
                <w:lang w:eastAsia="da-DK"/>
              </w:rPr>
              <w:t>n Atmospheric Emissions</w:t>
            </w:r>
            <w:r w:rsidRPr="009701B7">
              <w:rPr>
                <w:rFonts w:ascii="Arial" w:hAnsi="Arial" w:cs="Arial"/>
                <w:lang w:eastAsia="da-DK"/>
              </w:rPr>
              <w:t xml:space="preserve"> </w:t>
            </w:r>
            <w:r w:rsidR="00097681">
              <w:rPr>
                <w:rFonts w:ascii="Arial" w:hAnsi="Arial" w:cs="Arial"/>
                <w:lang w:eastAsia="da-DK"/>
              </w:rPr>
              <w:t>P</w:t>
            </w:r>
            <w:r w:rsidRPr="009701B7">
              <w:rPr>
                <w:rFonts w:ascii="Arial" w:hAnsi="Arial" w:cs="Arial"/>
                <w:lang w:eastAsia="da-DK"/>
              </w:rPr>
              <w:t>ermit under The Offshore Combustion Installations (Pollution Prevention and Control) Regulations 2013 (</w:t>
            </w:r>
            <w:r w:rsidR="00097681">
              <w:rPr>
                <w:rFonts w:ascii="Arial" w:hAnsi="Arial" w:cs="Arial"/>
                <w:lang w:eastAsia="da-DK"/>
              </w:rPr>
              <w:t>as amended</w:t>
            </w:r>
            <w:r w:rsidRPr="009701B7">
              <w:rPr>
                <w:rFonts w:ascii="Arial" w:hAnsi="Arial" w:cs="Arial"/>
                <w:lang w:eastAsia="da-DK"/>
              </w:rPr>
              <w:t>)</w:t>
            </w:r>
          </w:p>
        </w:tc>
      </w:tr>
      <w:tr w:rsidR="000A45C2" w:rsidRPr="00312E97" w14:paraId="6D6185A8" w14:textId="77777777" w:rsidTr="003A566B">
        <w:tc>
          <w:tcPr>
            <w:tcW w:w="2014" w:type="dxa"/>
          </w:tcPr>
          <w:p w14:paraId="32F30B2A" w14:textId="682AD315" w:rsidR="000A45C2" w:rsidRPr="00155CFE" w:rsidRDefault="00097681" w:rsidP="003A566B">
            <w:pPr>
              <w:suppressAutoHyphens/>
              <w:spacing w:before="120" w:after="120"/>
              <w:rPr>
                <w:rFonts w:ascii="Arial" w:hAnsi="Arial" w:cs="Arial"/>
                <w:lang w:eastAsia="da-DK"/>
              </w:rPr>
            </w:pPr>
            <w:r w:rsidRPr="00155CFE">
              <w:rPr>
                <w:rFonts w:ascii="Arial" w:hAnsi="Arial" w:cs="Arial"/>
                <w:lang w:eastAsia="da-DK"/>
              </w:rPr>
              <w:t xml:space="preserve">Greenhouse </w:t>
            </w:r>
            <w:r w:rsidR="00BA2527" w:rsidRPr="00155CFE">
              <w:rPr>
                <w:rFonts w:ascii="Arial" w:hAnsi="Arial" w:cs="Arial"/>
                <w:lang w:eastAsia="da-DK"/>
              </w:rPr>
              <w:t>G</w:t>
            </w:r>
            <w:r w:rsidRPr="00155CFE">
              <w:rPr>
                <w:rFonts w:ascii="Arial" w:hAnsi="Arial" w:cs="Arial"/>
                <w:lang w:eastAsia="da-DK"/>
              </w:rPr>
              <w:t xml:space="preserve">as </w:t>
            </w:r>
            <w:r w:rsidR="000A45C2" w:rsidRPr="00155CFE">
              <w:rPr>
                <w:rFonts w:ascii="Arial" w:hAnsi="Arial" w:cs="Arial"/>
                <w:lang w:eastAsia="da-DK"/>
              </w:rPr>
              <w:t>E</w:t>
            </w:r>
            <w:r w:rsidRPr="00155CFE">
              <w:rPr>
                <w:rFonts w:ascii="Arial" w:hAnsi="Arial" w:cs="Arial"/>
                <w:lang w:eastAsia="da-DK"/>
              </w:rPr>
              <w:t xml:space="preserve">missions </w:t>
            </w:r>
            <w:r w:rsidR="006918F4" w:rsidRPr="00155CFE">
              <w:rPr>
                <w:rFonts w:ascii="Arial" w:hAnsi="Arial" w:cs="Arial"/>
                <w:lang w:eastAsia="da-DK"/>
              </w:rPr>
              <w:t>Permit</w:t>
            </w:r>
          </w:p>
        </w:tc>
        <w:tc>
          <w:tcPr>
            <w:tcW w:w="6882" w:type="dxa"/>
          </w:tcPr>
          <w:p w14:paraId="31002393" w14:textId="262EC43F" w:rsidR="000A45C2" w:rsidRPr="009701B7" w:rsidRDefault="00B43221" w:rsidP="00DE0273">
            <w:pPr>
              <w:suppressAutoHyphens/>
              <w:spacing w:before="120" w:after="120"/>
              <w:rPr>
                <w:rFonts w:ascii="Arial" w:hAnsi="Arial" w:cs="Arial"/>
                <w:lang w:eastAsia="da-DK"/>
              </w:rPr>
            </w:pPr>
            <w:r>
              <w:rPr>
                <w:rFonts w:ascii="Arial" w:hAnsi="Arial" w:cs="Arial"/>
                <w:lang w:eastAsia="da-DK"/>
              </w:rPr>
              <w:t>Application for</w:t>
            </w:r>
            <w:r w:rsidR="00CC350F">
              <w:rPr>
                <w:rFonts w:ascii="Arial" w:hAnsi="Arial" w:cs="Arial"/>
                <w:lang w:eastAsia="da-DK"/>
              </w:rPr>
              <w:t>, or amendment of,</w:t>
            </w:r>
            <w:r>
              <w:rPr>
                <w:rFonts w:ascii="Arial" w:hAnsi="Arial" w:cs="Arial"/>
                <w:lang w:eastAsia="da-DK"/>
              </w:rPr>
              <w:t xml:space="preserve"> </w:t>
            </w:r>
            <w:r w:rsidR="002652FA">
              <w:rPr>
                <w:rFonts w:ascii="Arial" w:hAnsi="Arial" w:cs="Arial"/>
                <w:lang w:eastAsia="da-DK"/>
              </w:rPr>
              <w:t xml:space="preserve">a Greenhouse </w:t>
            </w:r>
            <w:r w:rsidR="00343CEC">
              <w:rPr>
                <w:rFonts w:ascii="Arial" w:hAnsi="Arial" w:cs="Arial"/>
                <w:lang w:eastAsia="da-DK"/>
              </w:rPr>
              <w:t>G</w:t>
            </w:r>
            <w:r w:rsidR="002652FA">
              <w:rPr>
                <w:rFonts w:ascii="Arial" w:hAnsi="Arial" w:cs="Arial"/>
                <w:lang w:eastAsia="da-DK"/>
              </w:rPr>
              <w:t xml:space="preserve">as Emissions </w:t>
            </w:r>
            <w:r w:rsidR="00343CEC">
              <w:rPr>
                <w:rFonts w:ascii="Arial" w:hAnsi="Arial" w:cs="Arial"/>
                <w:lang w:eastAsia="da-DK"/>
              </w:rPr>
              <w:t xml:space="preserve">Permit </w:t>
            </w:r>
            <w:r>
              <w:rPr>
                <w:rFonts w:ascii="Arial" w:hAnsi="Arial" w:cs="Arial"/>
                <w:lang w:eastAsia="da-DK"/>
              </w:rPr>
              <w:t xml:space="preserve">under </w:t>
            </w:r>
            <w:r w:rsidR="009701B7" w:rsidRPr="009701B7">
              <w:rPr>
                <w:rFonts w:ascii="Arial" w:hAnsi="Arial" w:cs="Arial"/>
                <w:lang w:eastAsia="da-DK"/>
              </w:rPr>
              <w:t xml:space="preserve">The Greenhouse Gases Emissions Trading Scheme </w:t>
            </w:r>
            <w:r w:rsidR="00066E41">
              <w:rPr>
                <w:rFonts w:ascii="Arial" w:hAnsi="Arial" w:cs="Arial"/>
                <w:lang w:eastAsia="da-DK"/>
              </w:rPr>
              <w:t>Regulations 2012</w:t>
            </w:r>
          </w:p>
        </w:tc>
      </w:tr>
      <w:tr w:rsidR="00EC16A2" w:rsidRPr="00312E97" w14:paraId="41D3730E" w14:textId="77777777" w:rsidTr="003A566B">
        <w:tc>
          <w:tcPr>
            <w:tcW w:w="2014" w:type="dxa"/>
          </w:tcPr>
          <w:p w14:paraId="7D3DE4D4" w14:textId="0B99C5E5" w:rsidR="00EC16A2" w:rsidRPr="00155CFE" w:rsidRDefault="00EC16A2" w:rsidP="003A566B">
            <w:pPr>
              <w:suppressAutoHyphens/>
              <w:spacing w:before="120" w:after="120"/>
              <w:rPr>
                <w:rFonts w:ascii="Arial" w:hAnsi="Arial" w:cs="Arial"/>
                <w:lang w:eastAsia="da-DK"/>
              </w:rPr>
            </w:pPr>
            <w:r w:rsidRPr="00155CFE">
              <w:rPr>
                <w:rFonts w:ascii="Arial" w:hAnsi="Arial" w:cs="Arial"/>
                <w:lang w:eastAsia="da-DK"/>
              </w:rPr>
              <w:t xml:space="preserve">Oil </w:t>
            </w:r>
            <w:r w:rsidR="00CC350F" w:rsidRPr="00155CFE">
              <w:rPr>
                <w:rFonts w:ascii="Arial" w:hAnsi="Arial" w:cs="Arial"/>
                <w:lang w:eastAsia="da-DK"/>
              </w:rPr>
              <w:t>P</w:t>
            </w:r>
            <w:r w:rsidRPr="00155CFE">
              <w:rPr>
                <w:rFonts w:ascii="Arial" w:hAnsi="Arial" w:cs="Arial"/>
                <w:lang w:eastAsia="da-DK"/>
              </w:rPr>
              <w:t>ollution Emergency Plan</w:t>
            </w:r>
          </w:p>
        </w:tc>
        <w:tc>
          <w:tcPr>
            <w:tcW w:w="6882" w:type="dxa"/>
          </w:tcPr>
          <w:p w14:paraId="4A8094A6" w14:textId="2191599B" w:rsidR="00EC16A2" w:rsidRPr="004A0BBD" w:rsidRDefault="009329D4" w:rsidP="00DE0273">
            <w:pPr>
              <w:suppressAutoHyphens/>
              <w:spacing w:before="120" w:after="120"/>
              <w:rPr>
                <w:rFonts w:ascii="Arial" w:hAnsi="Arial" w:cs="Arial"/>
                <w:lang w:eastAsia="da-DK"/>
              </w:rPr>
            </w:pPr>
            <w:r>
              <w:rPr>
                <w:rFonts w:ascii="Arial" w:hAnsi="Arial" w:cs="Arial"/>
                <w:bCs/>
                <w:lang w:val="en"/>
              </w:rPr>
              <w:t xml:space="preserve">Requirement for </w:t>
            </w:r>
            <w:r w:rsidR="006C289B">
              <w:rPr>
                <w:rFonts w:ascii="Arial" w:hAnsi="Arial" w:cs="Arial"/>
                <w:bCs/>
                <w:lang w:val="en"/>
              </w:rPr>
              <w:t xml:space="preserve">Oil Pollution </w:t>
            </w:r>
            <w:proofErr w:type="spellStart"/>
            <w:r w:rsidR="006C289B">
              <w:rPr>
                <w:rFonts w:ascii="Arial" w:hAnsi="Arial" w:cs="Arial"/>
                <w:bCs/>
                <w:lang w:val="en"/>
              </w:rPr>
              <w:t>Emergy</w:t>
            </w:r>
            <w:proofErr w:type="spellEnd"/>
            <w:r w:rsidR="006C289B">
              <w:rPr>
                <w:rFonts w:ascii="Arial" w:hAnsi="Arial" w:cs="Arial"/>
                <w:bCs/>
                <w:lang w:val="en"/>
              </w:rPr>
              <w:t xml:space="preserve"> Plan (OPEP) under </w:t>
            </w:r>
            <w:r w:rsidR="00155CFE" w:rsidRPr="00155CFE">
              <w:rPr>
                <w:rFonts w:ascii="Arial" w:hAnsi="Arial" w:cs="Arial"/>
                <w:bCs/>
                <w:lang w:val="en"/>
              </w:rPr>
              <w:t>The Merchant Shipping (Oil Pollution Preparedness, Response and Co-operation Convention) Regulations 1998</w:t>
            </w:r>
            <w:r w:rsidR="006C289B">
              <w:rPr>
                <w:rFonts w:ascii="Arial" w:hAnsi="Arial" w:cs="Arial"/>
                <w:bCs/>
                <w:lang w:val="en"/>
              </w:rPr>
              <w:t xml:space="preserve"> (as amended)</w:t>
            </w:r>
          </w:p>
        </w:tc>
      </w:tr>
    </w:tbl>
    <w:p w14:paraId="3950B2F0" w14:textId="77777777" w:rsidR="00EF0379" w:rsidRDefault="00EF0379" w:rsidP="00C647A2">
      <w:pPr>
        <w:rPr>
          <w:color w:val="1F497D" w:themeColor="text2"/>
          <w:sz w:val="23"/>
          <w:szCs w:val="23"/>
          <w:highlight w:val="yellow"/>
        </w:rPr>
      </w:pPr>
    </w:p>
    <w:p w14:paraId="18BEBB97" w14:textId="44ACEEC4" w:rsidR="00F02597" w:rsidRPr="004645C7" w:rsidRDefault="00393611" w:rsidP="00C647A2">
      <w:pPr>
        <w:rPr>
          <w:color w:val="1F497D" w:themeColor="text2"/>
          <w:sz w:val="23"/>
          <w:szCs w:val="23"/>
        </w:rPr>
      </w:pPr>
      <w:r w:rsidRPr="0035502C">
        <w:rPr>
          <w:color w:val="1F497D" w:themeColor="text2"/>
          <w:sz w:val="23"/>
          <w:szCs w:val="23"/>
        </w:rPr>
        <w:t>Late-life a</w:t>
      </w:r>
      <w:r w:rsidR="002F5957" w:rsidRPr="0035502C">
        <w:rPr>
          <w:color w:val="1F497D" w:themeColor="text2"/>
          <w:sz w:val="23"/>
          <w:szCs w:val="23"/>
        </w:rPr>
        <w:t>ctivities p</w:t>
      </w:r>
      <w:r w:rsidR="00F02597" w:rsidRPr="0035502C">
        <w:rPr>
          <w:color w:val="1F497D" w:themeColor="text2"/>
          <w:sz w:val="23"/>
          <w:szCs w:val="23"/>
        </w:rPr>
        <w:t>re-DP approval</w:t>
      </w:r>
    </w:p>
    <w:p w14:paraId="682F3E02" w14:textId="07849FEE" w:rsidR="00B75570" w:rsidRDefault="00BA4C92" w:rsidP="004645C7">
      <w:pPr>
        <w:ind w:left="709" w:hanging="709"/>
        <w:rPr>
          <w:sz w:val="23"/>
          <w:szCs w:val="23"/>
        </w:rPr>
      </w:pPr>
      <w:r w:rsidRPr="004645C7">
        <w:rPr>
          <w:sz w:val="23"/>
          <w:szCs w:val="23"/>
        </w:rPr>
        <w:t>12.2</w:t>
      </w:r>
      <w:r w:rsidR="00E15900" w:rsidRPr="004645C7">
        <w:rPr>
          <w:sz w:val="23"/>
          <w:szCs w:val="23"/>
        </w:rPr>
        <w:t>1</w:t>
      </w:r>
      <w:r w:rsidRPr="004645C7">
        <w:rPr>
          <w:sz w:val="23"/>
          <w:szCs w:val="23"/>
        </w:rPr>
        <w:tab/>
      </w:r>
      <w:r w:rsidR="00393611">
        <w:rPr>
          <w:sz w:val="23"/>
          <w:szCs w:val="23"/>
        </w:rPr>
        <w:t>O</w:t>
      </w:r>
      <w:r w:rsidR="009462AD" w:rsidRPr="004645C7">
        <w:rPr>
          <w:sz w:val="23"/>
          <w:szCs w:val="23"/>
        </w:rPr>
        <w:t xml:space="preserve">perators </w:t>
      </w:r>
      <w:r w:rsidR="00393611">
        <w:rPr>
          <w:sz w:val="23"/>
          <w:szCs w:val="23"/>
        </w:rPr>
        <w:t>may</w:t>
      </w:r>
      <w:r w:rsidR="009462AD" w:rsidRPr="004645C7">
        <w:rPr>
          <w:sz w:val="23"/>
          <w:szCs w:val="23"/>
        </w:rPr>
        <w:t xml:space="preserve"> undertake </w:t>
      </w:r>
      <w:r w:rsidR="006D4B93" w:rsidRPr="004645C7">
        <w:rPr>
          <w:sz w:val="23"/>
          <w:szCs w:val="23"/>
        </w:rPr>
        <w:t>limited</w:t>
      </w:r>
      <w:r w:rsidR="0048332F">
        <w:rPr>
          <w:sz w:val="23"/>
          <w:szCs w:val="23"/>
        </w:rPr>
        <w:t>,</w:t>
      </w:r>
      <w:r w:rsidR="006D4B93" w:rsidRPr="004645C7">
        <w:rPr>
          <w:sz w:val="23"/>
          <w:szCs w:val="23"/>
        </w:rPr>
        <w:t xml:space="preserve"> </w:t>
      </w:r>
      <w:r w:rsidR="00393611">
        <w:rPr>
          <w:sz w:val="23"/>
          <w:szCs w:val="23"/>
        </w:rPr>
        <w:t>discrete</w:t>
      </w:r>
      <w:r w:rsidR="0048332F">
        <w:rPr>
          <w:sz w:val="23"/>
          <w:szCs w:val="23"/>
        </w:rPr>
        <w:t>,</w:t>
      </w:r>
      <w:r w:rsidR="00393611">
        <w:rPr>
          <w:sz w:val="23"/>
          <w:szCs w:val="23"/>
        </w:rPr>
        <w:t xml:space="preserve"> decommissioning related activities in </w:t>
      </w:r>
      <w:r w:rsidR="00F01C3C" w:rsidRPr="004645C7">
        <w:rPr>
          <w:sz w:val="23"/>
          <w:szCs w:val="23"/>
        </w:rPr>
        <w:t xml:space="preserve">advance of </w:t>
      </w:r>
      <w:r w:rsidR="00BE6BA7" w:rsidRPr="004645C7">
        <w:rPr>
          <w:sz w:val="23"/>
          <w:szCs w:val="23"/>
        </w:rPr>
        <w:t xml:space="preserve">the main </w:t>
      </w:r>
      <w:r w:rsidR="00F01C3C" w:rsidRPr="004645C7">
        <w:rPr>
          <w:sz w:val="23"/>
          <w:szCs w:val="23"/>
        </w:rPr>
        <w:t>decommissioning</w:t>
      </w:r>
      <w:r w:rsidR="00BE6BA7" w:rsidRPr="004645C7">
        <w:rPr>
          <w:sz w:val="23"/>
          <w:szCs w:val="23"/>
        </w:rPr>
        <w:t xml:space="preserve"> activities</w:t>
      </w:r>
      <w:r w:rsidR="00F01C3C" w:rsidRPr="004645C7">
        <w:rPr>
          <w:sz w:val="23"/>
          <w:szCs w:val="23"/>
        </w:rPr>
        <w:t xml:space="preserve">, such as well abandonment, pipeline flushing and topside cleaning. </w:t>
      </w:r>
      <w:r w:rsidR="007852CE" w:rsidRPr="007852CE">
        <w:rPr>
          <w:sz w:val="23"/>
          <w:szCs w:val="23"/>
        </w:rPr>
        <w:t xml:space="preserve">These activities can be undertaken in advance of </w:t>
      </w:r>
      <w:r w:rsidR="0086286D">
        <w:rPr>
          <w:sz w:val="23"/>
          <w:szCs w:val="23"/>
        </w:rPr>
        <w:t xml:space="preserve">full </w:t>
      </w:r>
      <w:r w:rsidR="007852CE" w:rsidRPr="007852CE">
        <w:rPr>
          <w:sz w:val="23"/>
          <w:szCs w:val="23"/>
        </w:rPr>
        <w:t>DP approval.</w:t>
      </w:r>
      <w:r w:rsidR="007852CE">
        <w:rPr>
          <w:sz w:val="23"/>
          <w:szCs w:val="23"/>
        </w:rPr>
        <w:t xml:space="preserve"> However, </w:t>
      </w:r>
      <w:r w:rsidR="0048332F" w:rsidRPr="004645C7">
        <w:rPr>
          <w:sz w:val="23"/>
          <w:szCs w:val="23"/>
        </w:rPr>
        <w:t>OPRED</w:t>
      </w:r>
      <w:r w:rsidR="000A45C2">
        <w:rPr>
          <w:sz w:val="23"/>
          <w:szCs w:val="23"/>
        </w:rPr>
        <w:t>-ODU</w:t>
      </w:r>
      <w:r w:rsidR="0048332F" w:rsidRPr="004645C7">
        <w:rPr>
          <w:sz w:val="23"/>
          <w:szCs w:val="23"/>
        </w:rPr>
        <w:t xml:space="preserve"> </w:t>
      </w:r>
      <w:r w:rsidR="00641E28">
        <w:rPr>
          <w:sz w:val="23"/>
          <w:szCs w:val="23"/>
        </w:rPr>
        <w:t>must</w:t>
      </w:r>
      <w:r w:rsidR="00641E28" w:rsidRPr="004645C7">
        <w:rPr>
          <w:sz w:val="23"/>
          <w:szCs w:val="23"/>
        </w:rPr>
        <w:t xml:space="preserve"> </w:t>
      </w:r>
      <w:r w:rsidR="0048332F" w:rsidRPr="004645C7">
        <w:rPr>
          <w:sz w:val="23"/>
          <w:szCs w:val="23"/>
        </w:rPr>
        <w:t xml:space="preserve">be advised of the proposed activities </w:t>
      </w:r>
      <w:r w:rsidR="00652989">
        <w:rPr>
          <w:sz w:val="23"/>
          <w:szCs w:val="23"/>
        </w:rPr>
        <w:t>and may require a</w:t>
      </w:r>
      <w:r w:rsidR="00430BE4">
        <w:rPr>
          <w:sz w:val="23"/>
          <w:szCs w:val="23"/>
        </w:rPr>
        <w:t xml:space="preserve"> separate DP submission</w:t>
      </w:r>
      <w:r w:rsidR="00814B4B">
        <w:rPr>
          <w:sz w:val="23"/>
          <w:szCs w:val="23"/>
        </w:rPr>
        <w:t xml:space="preserve">. Advice should </w:t>
      </w:r>
      <w:r w:rsidR="00814B4B">
        <w:rPr>
          <w:sz w:val="23"/>
          <w:szCs w:val="23"/>
        </w:rPr>
        <w:lastRenderedPageBreak/>
        <w:t>also be sought from OPRED-EMT</w:t>
      </w:r>
      <w:r w:rsidR="008668A4">
        <w:rPr>
          <w:sz w:val="23"/>
          <w:szCs w:val="23"/>
        </w:rPr>
        <w:t>, a</w:t>
      </w:r>
      <w:r w:rsidR="002C0EE6">
        <w:rPr>
          <w:sz w:val="23"/>
          <w:szCs w:val="23"/>
        </w:rPr>
        <w:t>s</w:t>
      </w:r>
      <w:r w:rsidR="008668A4">
        <w:rPr>
          <w:sz w:val="23"/>
          <w:szCs w:val="23"/>
        </w:rPr>
        <w:t xml:space="preserve"> </w:t>
      </w:r>
      <w:r w:rsidR="0048332F" w:rsidRPr="004645C7">
        <w:rPr>
          <w:sz w:val="23"/>
          <w:szCs w:val="23"/>
        </w:rPr>
        <w:t xml:space="preserve">in many cases </w:t>
      </w:r>
      <w:r w:rsidR="008668A4">
        <w:rPr>
          <w:sz w:val="23"/>
          <w:szCs w:val="23"/>
        </w:rPr>
        <w:t xml:space="preserve">the proposals </w:t>
      </w:r>
      <w:r w:rsidR="0048332F" w:rsidRPr="004645C7">
        <w:rPr>
          <w:sz w:val="23"/>
          <w:szCs w:val="23"/>
        </w:rPr>
        <w:t xml:space="preserve">will </w:t>
      </w:r>
      <w:r w:rsidR="000E7A11">
        <w:rPr>
          <w:sz w:val="23"/>
          <w:szCs w:val="23"/>
        </w:rPr>
        <w:t xml:space="preserve">also </w:t>
      </w:r>
      <w:r w:rsidR="0048332F" w:rsidRPr="004645C7">
        <w:rPr>
          <w:sz w:val="23"/>
          <w:szCs w:val="23"/>
        </w:rPr>
        <w:t xml:space="preserve">require </w:t>
      </w:r>
      <w:r w:rsidR="007852CE">
        <w:rPr>
          <w:sz w:val="23"/>
          <w:szCs w:val="23"/>
        </w:rPr>
        <w:t xml:space="preserve">environmental </w:t>
      </w:r>
      <w:r w:rsidR="0048332F" w:rsidRPr="004645C7">
        <w:rPr>
          <w:sz w:val="23"/>
          <w:szCs w:val="23"/>
        </w:rPr>
        <w:t>approval prior to execution</w:t>
      </w:r>
      <w:r w:rsidR="000E7A11">
        <w:rPr>
          <w:sz w:val="23"/>
          <w:szCs w:val="23"/>
        </w:rPr>
        <w:t xml:space="preserve"> of the activities</w:t>
      </w:r>
      <w:r w:rsidR="0048332F" w:rsidRPr="004645C7">
        <w:rPr>
          <w:sz w:val="23"/>
          <w:szCs w:val="23"/>
        </w:rPr>
        <w:t>.</w:t>
      </w:r>
      <w:r w:rsidR="0048332F">
        <w:rPr>
          <w:sz w:val="23"/>
          <w:szCs w:val="23"/>
        </w:rPr>
        <w:t xml:space="preserve"> </w:t>
      </w:r>
    </w:p>
    <w:p w14:paraId="776ACEBB" w14:textId="7E7E0B49" w:rsidR="007852CE" w:rsidRDefault="007852CE" w:rsidP="004645C7">
      <w:pPr>
        <w:ind w:left="709" w:hanging="709"/>
        <w:rPr>
          <w:sz w:val="23"/>
          <w:szCs w:val="23"/>
        </w:rPr>
      </w:pPr>
      <w:r>
        <w:rPr>
          <w:sz w:val="23"/>
          <w:szCs w:val="23"/>
        </w:rPr>
        <w:t>12.22</w:t>
      </w:r>
      <w:r>
        <w:rPr>
          <w:sz w:val="23"/>
          <w:szCs w:val="23"/>
        </w:rPr>
        <w:tab/>
        <w:t>The use and discharge of chemicals in preparation for decommissioning of production</w:t>
      </w:r>
      <w:r w:rsidR="000E7A11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 w:rsidR="000E7A1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host installations can be covered by submitting a variation of the relevant production operations application (PRA). </w:t>
      </w:r>
      <w:r w:rsidR="000B211C">
        <w:rPr>
          <w:sz w:val="23"/>
          <w:szCs w:val="23"/>
        </w:rPr>
        <w:t>T</w:t>
      </w:r>
      <w:r>
        <w:rPr>
          <w:sz w:val="23"/>
          <w:szCs w:val="23"/>
        </w:rPr>
        <w:t>he flushing</w:t>
      </w:r>
      <w:r w:rsidR="00BC7A4D">
        <w:rPr>
          <w:sz w:val="23"/>
          <w:szCs w:val="23"/>
        </w:rPr>
        <w:t xml:space="preserve"> and </w:t>
      </w:r>
      <w:r>
        <w:rPr>
          <w:sz w:val="23"/>
          <w:szCs w:val="23"/>
        </w:rPr>
        <w:t>cleaning of pipelines where the discharge point is at an installation (or within 500m of the installation) can</w:t>
      </w:r>
      <w:r w:rsidR="00BC7A4D">
        <w:rPr>
          <w:sz w:val="23"/>
          <w:szCs w:val="23"/>
        </w:rPr>
        <w:t xml:space="preserve">, </w:t>
      </w:r>
      <w:r w:rsidR="00FD1E4B">
        <w:rPr>
          <w:sz w:val="23"/>
          <w:szCs w:val="23"/>
        </w:rPr>
        <w:t xml:space="preserve">in </w:t>
      </w:r>
      <w:r w:rsidR="00BC7A4D">
        <w:rPr>
          <w:sz w:val="23"/>
          <w:szCs w:val="23"/>
        </w:rPr>
        <w:t xml:space="preserve">most cases, also </w:t>
      </w:r>
      <w:r>
        <w:rPr>
          <w:sz w:val="23"/>
          <w:szCs w:val="23"/>
        </w:rPr>
        <w:t>be covered by the relevant PRA</w:t>
      </w:r>
      <w:r w:rsidR="00C40519">
        <w:rPr>
          <w:sz w:val="23"/>
          <w:szCs w:val="23"/>
        </w:rPr>
        <w:t xml:space="preserve">. However, </w:t>
      </w:r>
      <w:r w:rsidR="002A3610">
        <w:rPr>
          <w:sz w:val="23"/>
          <w:szCs w:val="23"/>
        </w:rPr>
        <w:t xml:space="preserve">where the discharge </w:t>
      </w:r>
      <w:r w:rsidR="00FD1E4B">
        <w:rPr>
          <w:sz w:val="23"/>
          <w:szCs w:val="23"/>
        </w:rPr>
        <w:t xml:space="preserve">point is remote from an installation it </w:t>
      </w:r>
      <w:r w:rsidR="00B14C59">
        <w:rPr>
          <w:sz w:val="23"/>
          <w:szCs w:val="23"/>
        </w:rPr>
        <w:t xml:space="preserve">will probably </w:t>
      </w:r>
      <w:r w:rsidR="00FD1E4B">
        <w:rPr>
          <w:sz w:val="23"/>
          <w:szCs w:val="23"/>
        </w:rPr>
        <w:t>be necessary</w:t>
      </w:r>
      <w:r w:rsidR="00C40519">
        <w:rPr>
          <w:sz w:val="23"/>
          <w:szCs w:val="23"/>
        </w:rPr>
        <w:t xml:space="preserve"> to submit a </w:t>
      </w:r>
      <w:r w:rsidR="00B14C59">
        <w:rPr>
          <w:sz w:val="23"/>
          <w:szCs w:val="23"/>
        </w:rPr>
        <w:t>pipeline operations application (PLA)</w:t>
      </w:r>
      <w:r>
        <w:rPr>
          <w:sz w:val="23"/>
          <w:szCs w:val="23"/>
        </w:rPr>
        <w:t>.</w:t>
      </w:r>
    </w:p>
    <w:p w14:paraId="5C98B603" w14:textId="4654D8E1" w:rsidR="00F64743" w:rsidRDefault="007852CE" w:rsidP="00641E28">
      <w:pPr>
        <w:ind w:left="709" w:hanging="709"/>
        <w:rPr>
          <w:color w:val="1F497D" w:themeColor="text2"/>
          <w:sz w:val="23"/>
          <w:szCs w:val="23"/>
        </w:rPr>
      </w:pPr>
      <w:r>
        <w:rPr>
          <w:sz w:val="23"/>
          <w:szCs w:val="23"/>
        </w:rPr>
        <w:t>12.23</w:t>
      </w:r>
      <w:r>
        <w:rPr>
          <w:sz w:val="23"/>
          <w:szCs w:val="23"/>
        </w:rPr>
        <w:tab/>
        <w:t>Well plugging and abandonment operations should be covered by submitting a new Well Intervention application</w:t>
      </w:r>
      <w:r w:rsidR="007E75B9">
        <w:rPr>
          <w:sz w:val="23"/>
          <w:szCs w:val="23"/>
        </w:rPr>
        <w:t xml:space="preserve"> (WIA)</w:t>
      </w:r>
      <w:r w:rsidR="00641E28">
        <w:rPr>
          <w:sz w:val="23"/>
          <w:szCs w:val="23"/>
        </w:rPr>
        <w:t>.</w:t>
      </w:r>
    </w:p>
    <w:p w14:paraId="698B7EA2" w14:textId="77777777" w:rsidR="002F5957" w:rsidRPr="004645C7" w:rsidRDefault="002F5957" w:rsidP="00151C06">
      <w:pPr>
        <w:rPr>
          <w:color w:val="1F497D" w:themeColor="text2"/>
          <w:sz w:val="23"/>
          <w:szCs w:val="23"/>
        </w:rPr>
      </w:pPr>
      <w:r w:rsidRPr="004645C7">
        <w:rPr>
          <w:color w:val="1F497D" w:themeColor="text2"/>
          <w:sz w:val="23"/>
          <w:szCs w:val="23"/>
        </w:rPr>
        <w:t>Activities post-DP approval</w:t>
      </w:r>
    </w:p>
    <w:p w14:paraId="2785FC1F" w14:textId="14AFFC9C" w:rsidR="00641E28" w:rsidRDefault="00BA4C92" w:rsidP="005D4D58">
      <w:pPr>
        <w:ind w:left="709" w:hanging="709"/>
        <w:rPr>
          <w:sz w:val="23"/>
          <w:szCs w:val="23"/>
        </w:rPr>
      </w:pPr>
      <w:r w:rsidRPr="004645C7">
        <w:rPr>
          <w:sz w:val="23"/>
          <w:szCs w:val="23"/>
        </w:rPr>
        <w:t>12.2</w:t>
      </w:r>
      <w:r w:rsidR="005546A1">
        <w:rPr>
          <w:sz w:val="23"/>
          <w:szCs w:val="23"/>
        </w:rPr>
        <w:t>4</w:t>
      </w:r>
      <w:r w:rsidRPr="004645C7">
        <w:rPr>
          <w:sz w:val="23"/>
          <w:szCs w:val="23"/>
        </w:rPr>
        <w:tab/>
      </w:r>
      <w:r w:rsidR="006D4B93" w:rsidRPr="004645C7">
        <w:rPr>
          <w:sz w:val="23"/>
          <w:szCs w:val="23"/>
        </w:rPr>
        <w:t>Most of the a</w:t>
      </w:r>
      <w:r w:rsidR="007C1E6C" w:rsidRPr="004645C7">
        <w:rPr>
          <w:sz w:val="23"/>
          <w:szCs w:val="23"/>
        </w:rPr>
        <w:t xml:space="preserve">ctivities that are detailed in the approved </w:t>
      </w:r>
      <w:r w:rsidR="00C35BD6" w:rsidRPr="004645C7">
        <w:rPr>
          <w:sz w:val="23"/>
          <w:szCs w:val="23"/>
        </w:rPr>
        <w:t>DP</w:t>
      </w:r>
      <w:r w:rsidR="007C1E6C" w:rsidRPr="004645C7">
        <w:rPr>
          <w:sz w:val="23"/>
          <w:szCs w:val="23"/>
        </w:rPr>
        <w:t xml:space="preserve"> </w:t>
      </w:r>
      <w:r w:rsidR="006D4B93" w:rsidRPr="004645C7">
        <w:rPr>
          <w:sz w:val="23"/>
          <w:szCs w:val="23"/>
        </w:rPr>
        <w:t xml:space="preserve">will </w:t>
      </w:r>
      <w:r w:rsidR="007C1E6C" w:rsidRPr="004645C7">
        <w:rPr>
          <w:sz w:val="23"/>
          <w:szCs w:val="23"/>
        </w:rPr>
        <w:t>also require approval from OPRED</w:t>
      </w:r>
      <w:r w:rsidR="007E75B9">
        <w:rPr>
          <w:sz w:val="23"/>
          <w:szCs w:val="23"/>
        </w:rPr>
        <w:t>-EMT</w:t>
      </w:r>
      <w:r w:rsidR="007C1E6C" w:rsidRPr="004645C7">
        <w:rPr>
          <w:sz w:val="23"/>
          <w:szCs w:val="23"/>
        </w:rPr>
        <w:t xml:space="preserve"> </w:t>
      </w:r>
      <w:r w:rsidR="00F01C3C" w:rsidRPr="004645C7">
        <w:rPr>
          <w:sz w:val="23"/>
          <w:szCs w:val="23"/>
        </w:rPr>
        <w:t xml:space="preserve">prior to execution, </w:t>
      </w:r>
      <w:r w:rsidR="007C1E6C" w:rsidRPr="004645C7">
        <w:rPr>
          <w:sz w:val="23"/>
          <w:szCs w:val="23"/>
        </w:rPr>
        <w:t xml:space="preserve">through the </w:t>
      </w:r>
      <w:r w:rsidR="0095162D">
        <w:rPr>
          <w:sz w:val="23"/>
          <w:szCs w:val="23"/>
        </w:rPr>
        <w:t>m</w:t>
      </w:r>
      <w:r w:rsidR="007C1E6C" w:rsidRPr="004645C7">
        <w:rPr>
          <w:sz w:val="23"/>
          <w:szCs w:val="23"/>
        </w:rPr>
        <w:t xml:space="preserve">arine </w:t>
      </w:r>
      <w:r w:rsidR="0095162D">
        <w:rPr>
          <w:sz w:val="23"/>
          <w:szCs w:val="23"/>
        </w:rPr>
        <w:t>l</w:t>
      </w:r>
      <w:r w:rsidR="007C1E6C" w:rsidRPr="004645C7">
        <w:rPr>
          <w:sz w:val="23"/>
          <w:szCs w:val="23"/>
        </w:rPr>
        <w:t>icensing process</w:t>
      </w:r>
      <w:r w:rsidR="00786E3E" w:rsidRPr="004645C7">
        <w:rPr>
          <w:sz w:val="23"/>
          <w:szCs w:val="23"/>
        </w:rPr>
        <w:t>.</w:t>
      </w:r>
      <w:r w:rsidR="00641E28">
        <w:rPr>
          <w:sz w:val="23"/>
          <w:szCs w:val="23"/>
        </w:rPr>
        <w:t xml:space="preserve"> For decommissioning activities associated with the removal of an installation</w:t>
      </w:r>
      <w:r w:rsidR="003D6BCC">
        <w:rPr>
          <w:sz w:val="23"/>
          <w:szCs w:val="23"/>
        </w:rPr>
        <w:t xml:space="preserve"> or associated infrastructure</w:t>
      </w:r>
      <w:r w:rsidR="00641E28">
        <w:rPr>
          <w:sz w:val="23"/>
          <w:szCs w:val="23"/>
        </w:rPr>
        <w:t xml:space="preserve">, this will require a </w:t>
      </w:r>
      <w:r w:rsidR="00FC33C1">
        <w:rPr>
          <w:sz w:val="23"/>
          <w:szCs w:val="23"/>
        </w:rPr>
        <w:t>d</w:t>
      </w:r>
      <w:r w:rsidR="00641E28">
        <w:rPr>
          <w:sz w:val="23"/>
          <w:szCs w:val="23"/>
        </w:rPr>
        <w:t xml:space="preserve">ecommissioning </w:t>
      </w:r>
      <w:r w:rsidR="00FC33C1">
        <w:rPr>
          <w:sz w:val="23"/>
          <w:szCs w:val="23"/>
        </w:rPr>
        <w:t>o</w:t>
      </w:r>
      <w:r w:rsidR="00641E28">
        <w:rPr>
          <w:sz w:val="23"/>
          <w:szCs w:val="23"/>
        </w:rPr>
        <w:t>peration</w:t>
      </w:r>
      <w:r w:rsidR="00FC33C1">
        <w:rPr>
          <w:sz w:val="23"/>
          <w:szCs w:val="23"/>
        </w:rPr>
        <w:t>s</w:t>
      </w:r>
      <w:r w:rsidR="00641E28">
        <w:rPr>
          <w:sz w:val="23"/>
          <w:szCs w:val="23"/>
        </w:rPr>
        <w:t xml:space="preserve"> application</w:t>
      </w:r>
      <w:r w:rsidR="007E75B9">
        <w:rPr>
          <w:sz w:val="23"/>
          <w:szCs w:val="23"/>
        </w:rPr>
        <w:t xml:space="preserve"> (DCA)</w:t>
      </w:r>
      <w:r w:rsidR="00641E28">
        <w:rPr>
          <w:sz w:val="23"/>
          <w:szCs w:val="23"/>
        </w:rPr>
        <w:t xml:space="preserve">. </w:t>
      </w:r>
      <w:r w:rsidR="005546A1">
        <w:rPr>
          <w:sz w:val="23"/>
          <w:szCs w:val="23"/>
        </w:rPr>
        <w:t>For t</w:t>
      </w:r>
      <w:r w:rsidR="00641E28">
        <w:rPr>
          <w:sz w:val="23"/>
          <w:szCs w:val="23"/>
        </w:rPr>
        <w:t>he decommissioning of pipeline systems</w:t>
      </w:r>
      <w:r w:rsidR="00132B0B">
        <w:rPr>
          <w:sz w:val="23"/>
          <w:szCs w:val="23"/>
        </w:rPr>
        <w:t xml:space="preserve">, this will </w:t>
      </w:r>
      <w:r w:rsidR="00B016D5">
        <w:rPr>
          <w:sz w:val="23"/>
          <w:szCs w:val="23"/>
        </w:rPr>
        <w:t xml:space="preserve">usually </w:t>
      </w:r>
      <w:r w:rsidR="00132B0B">
        <w:rPr>
          <w:sz w:val="23"/>
          <w:szCs w:val="23"/>
        </w:rPr>
        <w:t xml:space="preserve">require </w:t>
      </w:r>
      <w:r w:rsidR="00641E28">
        <w:rPr>
          <w:sz w:val="23"/>
          <w:szCs w:val="23"/>
        </w:rPr>
        <w:t xml:space="preserve">a new </w:t>
      </w:r>
      <w:r w:rsidR="007E75B9">
        <w:rPr>
          <w:sz w:val="23"/>
          <w:szCs w:val="23"/>
        </w:rPr>
        <w:t>PLA</w:t>
      </w:r>
      <w:r w:rsidR="00641E28">
        <w:rPr>
          <w:sz w:val="23"/>
          <w:szCs w:val="23"/>
        </w:rPr>
        <w:t>.</w:t>
      </w:r>
    </w:p>
    <w:p w14:paraId="5A2600FC" w14:textId="3E7AA6AB" w:rsidR="00163D6A" w:rsidRDefault="00641E28" w:rsidP="005D4D58">
      <w:pPr>
        <w:ind w:left="709" w:hanging="709"/>
        <w:rPr>
          <w:sz w:val="23"/>
          <w:szCs w:val="23"/>
        </w:rPr>
      </w:pPr>
      <w:r>
        <w:rPr>
          <w:sz w:val="23"/>
          <w:szCs w:val="23"/>
        </w:rPr>
        <w:t>12.2</w:t>
      </w:r>
      <w:r w:rsidR="005546A1">
        <w:rPr>
          <w:sz w:val="23"/>
          <w:szCs w:val="23"/>
        </w:rPr>
        <w:t>5</w:t>
      </w:r>
      <w:r>
        <w:rPr>
          <w:sz w:val="23"/>
          <w:szCs w:val="23"/>
        </w:rPr>
        <w:tab/>
      </w:r>
      <w:r w:rsidR="00786E3E" w:rsidRPr="004645C7">
        <w:rPr>
          <w:sz w:val="23"/>
          <w:szCs w:val="23"/>
        </w:rPr>
        <w:t xml:space="preserve">For </w:t>
      </w:r>
      <w:proofErr w:type="gramStart"/>
      <w:r w:rsidR="00786E3E" w:rsidRPr="004645C7">
        <w:rPr>
          <w:sz w:val="23"/>
          <w:szCs w:val="23"/>
        </w:rPr>
        <w:t>a number of</w:t>
      </w:r>
      <w:proofErr w:type="gramEnd"/>
      <w:r w:rsidR="00786E3E" w:rsidRPr="004645C7">
        <w:rPr>
          <w:sz w:val="23"/>
          <w:szCs w:val="23"/>
        </w:rPr>
        <w:t xml:space="preserve"> decommissioning </w:t>
      </w:r>
      <w:r w:rsidR="00F01C3C" w:rsidRPr="004645C7">
        <w:rPr>
          <w:sz w:val="23"/>
          <w:szCs w:val="23"/>
        </w:rPr>
        <w:t>activities</w:t>
      </w:r>
      <w:r w:rsidR="00786E3E" w:rsidRPr="004645C7">
        <w:rPr>
          <w:sz w:val="23"/>
          <w:szCs w:val="23"/>
        </w:rPr>
        <w:t xml:space="preserve">, there will be operational uncertainties </w:t>
      </w:r>
      <w:r w:rsidR="006D4B93" w:rsidRPr="004645C7">
        <w:rPr>
          <w:sz w:val="23"/>
          <w:szCs w:val="23"/>
        </w:rPr>
        <w:t xml:space="preserve">when the DP is drafted </w:t>
      </w:r>
      <w:r w:rsidR="00786E3E" w:rsidRPr="004645C7">
        <w:rPr>
          <w:sz w:val="23"/>
          <w:szCs w:val="23"/>
        </w:rPr>
        <w:t xml:space="preserve">and </w:t>
      </w:r>
      <w:r w:rsidR="006D4B93" w:rsidRPr="004645C7">
        <w:rPr>
          <w:sz w:val="23"/>
          <w:szCs w:val="23"/>
        </w:rPr>
        <w:t xml:space="preserve">there is </w:t>
      </w:r>
      <w:r w:rsidR="00786E3E" w:rsidRPr="004645C7">
        <w:rPr>
          <w:sz w:val="23"/>
          <w:szCs w:val="23"/>
        </w:rPr>
        <w:t>therefore an expectation that further technical and metho</w:t>
      </w:r>
      <w:r w:rsidR="00163D6A" w:rsidRPr="004645C7">
        <w:rPr>
          <w:sz w:val="23"/>
          <w:szCs w:val="23"/>
        </w:rPr>
        <w:t>dology</w:t>
      </w:r>
      <w:r w:rsidR="00106B96">
        <w:rPr>
          <w:sz w:val="23"/>
          <w:szCs w:val="23"/>
        </w:rPr>
        <w:t xml:space="preserve"> detail</w:t>
      </w:r>
      <w:r w:rsidR="001A0566">
        <w:rPr>
          <w:sz w:val="23"/>
          <w:szCs w:val="23"/>
        </w:rPr>
        <w:t>s</w:t>
      </w:r>
      <w:r w:rsidR="00163D6A" w:rsidRPr="004645C7">
        <w:rPr>
          <w:sz w:val="23"/>
          <w:szCs w:val="23"/>
        </w:rPr>
        <w:t xml:space="preserve"> will be </w:t>
      </w:r>
      <w:r w:rsidR="001A0566">
        <w:rPr>
          <w:sz w:val="23"/>
          <w:szCs w:val="23"/>
        </w:rPr>
        <w:t>provided</w:t>
      </w:r>
      <w:r w:rsidR="001A0566" w:rsidRPr="004645C7">
        <w:rPr>
          <w:sz w:val="23"/>
          <w:szCs w:val="23"/>
        </w:rPr>
        <w:t xml:space="preserve"> </w:t>
      </w:r>
      <w:r w:rsidR="00163D6A" w:rsidRPr="004645C7">
        <w:rPr>
          <w:sz w:val="23"/>
          <w:szCs w:val="23"/>
        </w:rPr>
        <w:t xml:space="preserve">to </w:t>
      </w:r>
      <w:r w:rsidR="006D4B93" w:rsidRPr="004645C7">
        <w:rPr>
          <w:sz w:val="23"/>
          <w:szCs w:val="23"/>
        </w:rPr>
        <w:t>support</w:t>
      </w:r>
      <w:r w:rsidR="00163D6A" w:rsidRPr="004645C7">
        <w:rPr>
          <w:sz w:val="23"/>
          <w:szCs w:val="23"/>
        </w:rPr>
        <w:t xml:space="preserve"> the </w:t>
      </w:r>
      <w:r w:rsidR="00106B96">
        <w:rPr>
          <w:sz w:val="23"/>
          <w:szCs w:val="23"/>
        </w:rPr>
        <w:t xml:space="preserve">Marine Licence </w:t>
      </w:r>
      <w:r w:rsidR="006D4B93" w:rsidRPr="004645C7">
        <w:rPr>
          <w:sz w:val="23"/>
          <w:szCs w:val="23"/>
        </w:rPr>
        <w:t>application</w:t>
      </w:r>
      <w:r w:rsidR="00163D6A" w:rsidRPr="004645C7">
        <w:rPr>
          <w:sz w:val="23"/>
          <w:szCs w:val="23"/>
        </w:rPr>
        <w:t xml:space="preserve">. Where there are changes from </w:t>
      </w:r>
      <w:r w:rsidR="00E15900" w:rsidRPr="004645C7">
        <w:rPr>
          <w:sz w:val="23"/>
          <w:szCs w:val="23"/>
        </w:rPr>
        <w:t>the proposals detailed</w:t>
      </w:r>
      <w:r w:rsidR="00C35BD6" w:rsidRPr="004645C7">
        <w:rPr>
          <w:sz w:val="23"/>
          <w:szCs w:val="23"/>
        </w:rPr>
        <w:t xml:space="preserve"> in the </w:t>
      </w:r>
      <w:r w:rsidR="00D86826">
        <w:rPr>
          <w:sz w:val="23"/>
          <w:szCs w:val="23"/>
        </w:rPr>
        <w:t xml:space="preserve">approved </w:t>
      </w:r>
      <w:r w:rsidR="00C35BD6" w:rsidRPr="004645C7">
        <w:rPr>
          <w:sz w:val="23"/>
          <w:szCs w:val="23"/>
        </w:rPr>
        <w:t>DP</w:t>
      </w:r>
      <w:r w:rsidR="00163D6A" w:rsidRPr="004645C7">
        <w:rPr>
          <w:sz w:val="23"/>
          <w:szCs w:val="23"/>
        </w:rPr>
        <w:t>, the</w:t>
      </w:r>
      <w:r w:rsidR="00E15900" w:rsidRPr="004645C7">
        <w:rPr>
          <w:sz w:val="23"/>
          <w:szCs w:val="23"/>
        </w:rPr>
        <w:t>y</w:t>
      </w:r>
      <w:r w:rsidR="00163D6A" w:rsidRPr="004645C7">
        <w:rPr>
          <w:sz w:val="23"/>
          <w:szCs w:val="23"/>
        </w:rPr>
        <w:t xml:space="preserve"> should be clearly </w:t>
      </w:r>
      <w:r w:rsidRPr="004645C7">
        <w:rPr>
          <w:sz w:val="23"/>
          <w:szCs w:val="23"/>
        </w:rPr>
        <w:t>identified,</w:t>
      </w:r>
      <w:r w:rsidR="00E15900" w:rsidRPr="004645C7">
        <w:rPr>
          <w:sz w:val="23"/>
          <w:szCs w:val="23"/>
        </w:rPr>
        <w:t xml:space="preserve"> </w:t>
      </w:r>
      <w:r w:rsidR="00163D6A" w:rsidRPr="004645C7">
        <w:rPr>
          <w:sz w:val="23"/>
          <w:szCs w:val="23"/>
        </w:rPr>
        <w:t xml:space="preserve">and </w:t>
      </w:r>
      <w:r w:rsidR="0008629F">
        <w:rPr>
          <w:sz w:val="23"/>
          <w:szCs w:val="23"/>
        </w:rPr>
        <w:t xml:space="preserve">relevant changes and additions to the </w:t>
      </w:r>
      <w:r w:rsidR="00923CEC">
        <w:rPr>
          <w:sz w:val="23"/>
          <w:szCs w:val="23"/>
        </w:rPr>
        <w:t>original E</w:t>
      </w:r>
      <w:r w:rsidR="00F95B41">
        <w:rPr>
          <w:sz w:val="23"/>
          <w:szCs w:val="23"/>
        </w:rPr>
        <w:t>A</w:t>
      </w:r>
      <w:r w:rsidR="00163D6A" w:rsidRPr="004645C7">
        <w:rPr>
          <w:sz w:val="23"/>
          <w:szCs w:val="23"/>
        </w:rPr>
        <w:t xml:space="preserve"> should be </w:t>
      </w:r>
      <w:r w:rsidR="006923E4" w:rsidRPr="004645C7">
        <w:rPr>
          <w:sz w:val="23"/>
          <w:szCs w:val="23"/>
        </w:rPr>
        <w:t xml:space="preserve">summarised in the </w:t>
      </w:r>
      <w:r w:rsidR="00F64743">
        <w:rPr>
          <w:sz w:val="23"/>
          <w:szCs w:val="23"/>
        </w:rPr>
        <w:t>impact assessment</w:t>
      </w:r>
      <w:r w:rsidR="006923E4" w:rsidRPr="004645C7">
        <w:rPr>
          <w:sz w:val="23"/>
          <w:szCs w:val="23"/>
        </w:rPr>
        <w:t xml:space="preserve"> </w:t>
      </w:r>
      <w:r w:rsidR="00EB7E89" w:rsidRPr="004645C7">
        <w:rPr>
          <w:sz w:val="23"/>
          <w:szCs w:val="23"/>
        </w:rPr>
        <w:t>submitted in support of the</w:t>
      </w:r>
      <w:r w:rsidR="006923E4" w:rsidRPr="004645C7">
        <w:rPr>
          <w:sz w:val="23"/>
          <w:szCs w:val="23"/>
        </w:rPr>
        <w:t xml:space="preserve"> PETS application(s)</w:t>
      </w:r>
      <w:r w:rsidR="00163D6A" w:rsidRPr="004645C7">
        <w:rPr>
          <w:sz w:val="23"/>
          <w:szCs w:val="23"/>
        </w:rPr>
        <w:t xml:space="preserve">.  </w:t>
      </w:r>
    </w:p>
    <w:p w14:paraId="5297877E" w14:textId="4B1B5144" w:rsidR="001C5683" w:rsidRDefault="002063C1" w:rsidP="005D4D58">
      <w:pPr>
        <w:ind w:left="709" w:hanging="709"/>
        <w:rPr>
          <w:sz w:val="23"/>
          <w:szCs w:val="23"/>
        </w:rPr>
      </w:pPr>
      <w:r>
        <w:rPr>
          <w:sz w:val="23"/>
          <w:szCs w:val="23"/>
        </w:rPr>
        <w:t>12.2</w:t>
      </w:r>
      <w:r w:rsidR="003E40CB">
        <w:rPr>
          <w:sz w:val="23"/>
          <w:szCs w:val="23"/>
        </w:rPr>
        <w:t>6</w:t>
      </w:r>
      <w:r>
        <w:rPr>
          <w:sz w:val="23"/>
          <w:szCs w:val="23"/>
        </w:rPr>
        <w:tab/>
      </w:r>
      <w:r w:rsidR="003E40CB" w:rsidRPr="004645C7">
        <w:rPr>
          <w:sz w:val="23"/>
          <w:szCs w:val="23"/>
        </w:rPr>
        <w:tab/>
      </w:r>
      <w:r w:rsidR="00F9273C">
        <w:rPr>
          <w:sz w:val="23"/>
          <w:szCs w:val="23"/>
        </w:rPr>
        <w:t xml:space="preserve">If the DP </w:t>
      </w:r>
      <w:r w:rsidR="00286A55">
        <w:rPr>
          <w:sz w:val="23"/>
          <w:szCs w:val="23"/>
        </w:rPr>
        <w:t xml:space="preserve">was the subject of </w:t>
      </w:r>
      <w:r w:rsidR="001803F2" w:rsidRPr="004645C7">
        <w:rPr>
          <w:sz w:val="23"/>
          <w:szCs w:val="23"/>
        </w:rPr>
        <w:t>a HRA</w:t>
      </w:r>
      <w:r w:rsidR="00286A55">
        <w:rPr>
          <w:sz w:val="23"/>
          <w:szCs w:val="23"/>
        </w:rPr>
        <w:t xml:space="preserve"> an</w:t>
      </w:r>
      <w:r w:rsidR="005A7695">
        <w:rPr>
          <w:sz w:val="23"/>
          <w:szCs w:val="23"/>
        </w:rPr>
        <w:t>d</w:t>
      </w:r>
      <w:r w:rsidR="00286A55">
        <w:rPr>
          <w:sz w:val="23"/>
          <w:szCs w:val="23"/>
        </w:rPr>
        <w:t xml:space="preserve"> any changes or additional information</w:t>
      </w:r>
      <w:r w:rsidR="005A7695">
        <w:rPr>
          <w:sz w:val="23"/>
          <w:szCs w:val="23"/>
        </w:rPr>
        <w:t xml:space="preserve"> notified </w:t>
      </w:r>
      <w:r w:rsidR="0095162D">
        <w:rPr>
          <w:sz w:val="23"/>
          <w:szCs w:val="23"/>
        </w:rPr>
        <w:t xml:space="preserve">at the marine licensing </w:t>
      </w:r>
      <w:r w:rsidR="004935B1">
        <w:rPr>
          <w:sz w:val="23"/>
          <w:szCs w:val="23"/>
        </w:rPr>
        <w:t xml:space="preserve">stage </w:t>
      </w:r>
      <w:r w:rsidR="001803F2" w:rsidRPr="004645C7">
        <w:rPr>
          <w:sz w:val="23"/>
          <w:szCs w:val="23"/>
        </w:rPr>
        <w:t xml:space="preserve">could have a material impact </w:t>
      </w:r>
      <w:r w:rsidR="001803F2" w:rsidRPr="00507EAE">
        <w:rPr>
          <w:sz w:val="23"/>
          <w:szCs w:val="23"/>
        </w:rPr>
        <w:t>on the con</w:t>
      </w:r>
      <w:r w:rsidR="00507EAE">
        <w:rPr>
          <w:sz w:val="23"/>
          <w:szCs w:val="23"/>
        </w:rPr>
        <w:t>clusions of the HRA</w:t>
      </w:r>
      <w:r w:rsidR="004935B1">
        <w:rPr>
          <w:sz w:val="23"/>
          <w:szCs w:val="23"/>
        </w:rPr>
        <w:t xml:space="preserve">, </w:t>
      </w:r>
      <w:r w:rsidR="001808B3">
        <w:rPr>
          <w:sz w:val="23"/>
          <w:szCs w:val="23"/>
        </w:rPr>
        <w:t xml:space="preserve">or </w:t>
      </w:r>
      <w:r w:rsidR="003178FC">
        <w:rPr>
          <w:sz w:val="23"/>
          <w:szCs w:val="23"/>
        </w:rPr>
        <w:t xml:space="preserve">if </w:t>
      </w:r>
      <w:r w:rsidR="001808B3">
        <w:rPr>
          <w:sz w:val="23"/>
          <w:szCs w:val="23"/>
        </w:rPr>
        <w:t xml:space="preserve">any changes or additional information notified at the marine licensing stage </w:t>
      </w:r>
      <w:r w:rsidR="009214F8">
        <w:rPr>
          <w:sz w:val="23"/>
          <w:szCs w:val="23"/>
        </w:rPr>
        <w:t xml:space="preserve">would </w:t>
      </w:r>
      <w:r w:rsidR="00ED6BEB">
        <w:rPr>
          <w:sz w:val="23"/>
          <w:szCs w:val="23"/>
        </w:rPr>
        <w:t xml:space="preserve">necessitate a new HRA, </w:t>
      </w:r>
      <w:r w:rsidR="001803F2" w:rsidRPr="004645C7">
        <w:rPr>
          <w:sz w:val="23"/>
          <w:szCs w:val="23"/>
        </w:rPr>
        <w:t>OPRED</w:t>
      </w:r>
      <w:r w:rsidR="001803F2">
        <w:rPr>
          <w:sz w:val="23"/>
          <w:szCs w:val="23"/>
        </w:rPr>
        <w:t>-EMT</w:t>
      </w:r>
      <w:r w:rsidR="001803F2" w:rsidRPr="004645C7">
        <w:rPr>
          <w:sz w:val="23"/>
          <w:szCs w:val="23"/>
        </w:rPr>
        <w:t xml:space="preserve"> </w:t>
      </w:r>
      <w:r w:rsidR="00C93F31">
        <w:rPr>
          <w:sz w:val="23"/>
          <w:szCs w:val="23"/>
        </w:rPr>
        <w:t xml:space="preserve">will have to update or complete the </w:t>
      </w:r>
      <w:r w:rsidR="001803F2" w:rsidRPr="004645C7">
        <w:rPr>
          <w:sz w:val="23"/>
          <w:szCs w:val="23"/>
        </w:rPr>
        <w:t xml:space="preserve">HRA </w:t>
      </w:r>
      <w:r w:rsidR="00C93F31">
        <w:rPr>
          <w:sz w:val="23"/>
          <w:szCs w:val="23"/>
        </w:rPr>
        <w:t xml:space="preserve">process </w:t>
      </w:r>
      <w:r w:rsidR="001803F2" w:rsidRPr="004645C7">
        <w:rPr>
          <w:sz w:val="23"/>
          <w:szCs w:val="23"/>
        </w:rPr>
        <w:t>prior to determining the marine licence application.</w:t>
      </w:r>
    </w:p>
    <w:p w14:paraId="62AE4265" w14:textId="2831DFB6" w:rsidR="004706B0" w:rsidRDefault="001C5683" w:rsidP="005D4D58">
      <w:pPr>
        <w:ind w:left="709" w:hanging="709"/>
        <w:rPr>
          <w:sz w:val="23"/>
          <w:szCs w:val="23"/>
        </w:rPr>
      </w:pPr>
      <w:r>
        <w:rPr>
          <w:sz w:val="23"/>
          <w:szCs w:val="23"/>
        </w:rPr>
        <w:t>12.27</w:t>
      </w:r>
      <w:r>
        <w:rPr>
          <w:sz w:val="23"/>
          <w:szCs w:val="23"/>
        </w:rPr>
        <w:tab/>
      </w:r>
      <w:r w:rsidR="003E40CB">
        <w:rPr>
          <w:sz w:val="23"/>
          <w:szCs w:val="23"/>
        </w:rPr>
        <w:t xml:space="preserve">Further </w:t>
      </w:r>
      <w:r w:rsidR="00D20BCC">
        <w:rPr>
          <w:sz w:val="23"/>
          <w:szCs w:val="23"/>
        </w:rPr>
        <w:t>a</w:t>
      </w:r>
      <w:r w:rsidR="003E40CB" w:rsidRPr="004645C7">
        <w:rPr>
          <w:sz w:val="23"/>
          <w:szCs w:val="23"/>
        </w:rPr>
        <w:t xml:space="preserve">dvice </w:t>
      </w:r>
      <w:r w:rsidR="00D20BCC" w:rsidRPr="004645C7">
        <w:rPr>
          <w:sz w:val="23"/>
          <w:szCs w:val="23"/>
        </w:rPr>
        <w:t xml:space="preserve">on the Marine Licensing process </w:t>
      </w:r>
      <w:r w:rsidR="0090359D">
        <w:rPr>
          <w:sz w:val="23"/>
          <w:szCs w:val="23"/>
        </w:rPr>
        <w:t>can be o</w:t>
      </w:r>
      <w:r w:rsidR="001803F2">
        <w:rPr>
          <w:sz w:val="23"/>
          <w:szCs w:val="23"/>
        </w:rPr>
        <w:t>b</w:t>
      </w:r>
      <w:r w:rsidR="0090359D">
        <w:rPr>
          <w:sz w:val="23"/>
          <w:szCs w:val="23"/>
        </w:rPr>
        <w:t xml:space="preserve">tained from </w:t>
      </w:r>
      <w:r w:rsidR="003E40CB" w:rsidRPr="004645C7">
        <w:rPr>
          <w:sz w:val="23"/>
          <w:szCs w:val="23"/>
        </w:rPr>
        <w:t>OPRED</w:t>
      </w:r>
      <w:r w:rsidR="0090359D">
        <w:rPr>
          <w:sz w:val="23"/>
          <w:szCs w:val="23"/>
        </w:rPr>
        <w:noBreakHyphen/>
      </w:r>
      <w:r w:rsidR="003E40CB">
        <w:rPr>
          <w:sz w:val="23"/>
          <w:szCs w:val="23"/>
        </w:rPr>
        <w:t>EMT</w:t>
      </w:r>
      <w:r w:rsidR="0090359D">
        <w:rPr>
          <w:sz w:val="23"/>
          <w:szCs w:val="23"/>
        </w:rPr>
        <w:t xml:space="preserve">, and this is </w:t>
      </w:r>
      <w:r w:rsidR="0080571F">
        <w:rPr>
          <w:sz w:val="23"/>
          <w:szCs w:val="23"/>
        </w:rPr>
        <w:t xml:space="preserve">particularly recommended if the proposed </w:t>
      </w:r>
      <w:r w:rsidR="003E40CB" w:rsidRPr="004645C7">
        <w:rPr>
          <w:sz w:val="23"/>
          <w:szCs w:val="23"/>
        </w:rPr>
        <w:t xml:space="preserve">decommissioning activities are complex and/or where operations </w:t>
      </w:r>
      <w:r w:rsidR="0080571F">
        <w:rPr>
          <w:sz w:val="23"/>
          <w:szCs w:val="23"/>
        </w:rPr>
        <w:t xml:space="preserve">will </w:t>
      </w:r>
      <w:r w:rsidR="003E40CB" w:rsidRPr="004645C7">
        <w:rPr>
          <w:sz w:val="23"/>
          <w:szCs w:val="23"/>
        </w:rPr>
        <w:t xml:space="preserve">extend </w:t>
      </w:r>
      <w:r w:rsidR="003E40CB">
        <w:rPr>
          <w:sz w:val="23"/>
          <w:szCs w:val="23"/>
        </w:rPr>
        <w:t>over a</w:t>
      </w:r>
      <w:r w:rsidR="003E40CB" w:rsidRPr="004645C7">
        <w:rPr>
          <w:sz w:val="23"/>
          <w:szCs w:val="23"/>
        </w:rPr>
        <w:t xml:space="preserve"> prolonged </w:t>
      </w:r>
      <w:proofErr w:type="gramStart"/>
      <w:r w:rsidR="003E40CB" w:rsidRPr="004645C7">
        <w:rPr>
          <w:sz w:val="23"/>
          <w:szCs w:val="23"/>
        </w:rPr>
        <w:t>period of time</w:t>
      </w:r>
      <w:proofErr w:type="gramEnd"/>
      <w:r w:rsidR="003E40CB" w:rsidRPr="004645C7">
        <w:rPr>
          <w:sz w:val="23"/>
          <w:szCs w:val="23"/>
        </w:rPr>
        <w:t>.</w:t>
      </w:r>
    </w:p>
    <w:p w14:paraId="7F00A793" w14:textId="20A05533" w:rsidR="002063C1" w:rsidRDefault="000457CA" w:rsidP="005D4D58">
      <w:pPr>
        <w:ind w:left="709" w:hanging="709"/>
        <w:rPr>
          <w:sz w:val="23"/>
          <w:szCs w:val="23"/>
        </w:rPr>
      </w:pPr>
      <w:r>
        <w:rPr>
          <w:sz w:val="23"/>
          <w:szCs w:val="23"/>
        </w:rPr>
        <w:t>12.28</w:t>
      </w:r>
      <w:r>
        <w:rPr>
          <w:sz w:val="23"/>
          <w:szCs w:val="23"/>
        </w:rPr>
        <w:tab/>
      </w:r>
      <w:r w:rsidR="002063C1">
        <w:rPr>
          <w:sz w:val="23"/>
          <w:szCs w:val="23"/>
        </w:rPr>
        <w:t xml:space="preserve">Where </w:t>
      </w:r>
      <w:r w:rsidR="00B92B1D">
        <w:rPr>
          <w:sz w:val="23"/>
          <w:szCs w:val="23"/>
        </w:rPr>
        <w:t xml:space="preserve">it has been </w:t>
      </w:r>
      <w:r w:rsidR="0067028E">
        <w:rPr>
          <w:sz w:val="23"/>
          <w:szCs w:val="23"/>
        </w:rPr>
        <w:t xml:space="preserve">concluded that </w:t>
      </w:r>
      <w:r w:rsidR="002063C1">
        <w:rPr>
          <w:sz w:val="23"/>
          <w:szCs w:val="23"/>
        </w:rPr>
        <w:t xml:space="preserve">the preferred option cannot be </w:t>
      </w:r>
      <w:proofErr w:type="gramStart"/>
      <w:r w:rsidR="002063C1">
        <w:rPr>
          <w:sz w:val="23"/>
          <w:szCs w:val="23"/>
        </w:rPr>
        <w:t>executed</w:t>
      </w:r>
      <w:proofErr w:type="gramEnd"/>
      <w:r w:rsidR="002063C1">
        <w:rPr>
          <w:sz w:val="23"/>
          <w:szCs w:val="23"/>
        </w:rPr>
        <w:t xml:space="preserve"> and the </w:t>
      </w:r>
      <w:r w:rsidR="001803F2">
        <w:rPr>
          <w:sz w:val="23"/>
          <w:szCs w:val="23"/>
        </w:rPr>
        <w:t>revised proposals were</w:t>
      </w:r>
      <w:r w:rsidR="002063C1">
        <w:rPr>
          <w:sz w:val="23"/>
          <w:szCs w:val="23"/>
        </w:rPr>
        <w:t xml:space="preserve"> not </w:t>
      </w:r>
      <w:r w:rsidR="00F95B41">
        <w:rPr>
          <w:sz w:val="23"/>
          <w:szCs w:val="23"/>
        </w:rPr>
        <w:t>assessed</w:t>
      </w:r>
      <w:r w:rsidR="002063C1">
        <w:rPr>
          <w:sz w:val="23"/>
          <w:szCs w:val="23"/>
        </w:rPr>
        <w:t xml:space="preserve"> in the EA, there may be a requirement to</w:t>
      </w:r>
      <w:r w:rsidR="00C81679">
        <w:rPr>
          <w:sz w:val="23"/>
          <w:szCs w:val="23"/>
        </w:rPr>
        <w:t xml:space="preserve"> </w:t>
      </w:r>
      <w:r w:rsidR="003E40CB">
        <w:rPr>
          <w:sz w:val="23"/>
          <w:szCs w:val="23"/>
        </w:rPr>
        <w:t xml:space="preserve">resubmit the </w:t>
      </w:r>
      <w:r w:rsidR="00C81679">
        <w:rPr>
          <w:sz w:val="23"/>
          <w:szCs w:val="23"/>
        </w:rPr>
        <w:t>DP</w:t>
      </w:r>
      <w:r w:rsidR="001803F2">
        <w:rPr>
          <w:sz w:val="23"/>
          <w:szCs w:val="23"/>
        </w:rPr>
        <w:t xml:space="preserve"> </w:t>
      </w:r>
      <w:r w:rsidR="00C81679">
        <w:rPr>
          <w:sz w:val="23"/>
          <w:szCs w:val="23"/>
        </w:rPr>
        <w:t xml:space="preserve">supported by </w:t>
      </w:r>
      <w:r w:rsidR="001633BB">
        <w:rPr>
          <w:sz w:val="23"/>
          <w:szCs w:val="23"/>
        </w:rPr>
        <w:t xml:space="preserve">a </w:t>
      </w:r>
      <w:r w:rsidR="003E40CB">
        <w:rPr>
          <w:sz w:val="23"/>
          <w:szCs w:val="23"/>
        </w:rPr>
        <w:t>new</w:t>
      </w:r>
      <w:r w:rsidR="00C81679">
        <w:rPr>
          <w:sz w:val="23"/>
          <w:szCs w:val="23"/>
        </w:rPr>
        <w:t xml:space="preserve"> EA.</w:t>
      </w:r>
      <w:r w:rsidR="003E40CB">
        <w:rPr>
          <w:sz w:val="23"/>
          <w:szCs w:val="23"/>
        </w:rPr>
        <w:t xml:space="preserve"> Advi</w:t>
      </w:r>
      <w:r w:rsidR="00075DF8">
        <w:rPr>
          <w:sz w:val="23"/>
          <w:szCs w:val="23"/>
        </w:rPr>
        <w:t>c</w:t>
      </w:r>
      <w:r w:rsidR="003E40CB">
        <w:rPr>
          <w:sz w:val="23"/>
          <w:szCs w:val="23"/>
        </w:rPr>
        <w:t>e should therefore be sought from OPRED-ODU and OPRED-EMT.</w:t>
      </w:r>
    </w:p>
    <w:p w14:paraId="29984401" w14:textId="41F14DFC" w:rsidR="00AA2315" w:rsidRPr="004645C7" w:rsidRDefault="00AA2315" w:rsidP="00AA2315">
      <w:pPr>
        <w:tabs>
          <w:tab w:val="left" w:pos="1276"/>
        </w:tabs>
        <w:ind w:left="709" w:hanging="709"/>
        <w:rPr>
          <w:sz w:val="23"/>
          <w:szCs w:val="23"/>
        </w:rPr>
      </w:pPr>
      <w:r>
        <w:rPr>
          <w:sz w:val="23"/>
          <w:szCs w:val="23"/>
        </w:rPr>
        <w:lastRenderedPageBreak/>
        <w:t>12.29</w:t>
      </w:r>
      <w:r w:rsidR="00A506F1">
        <w:rPr>
          <w:sz w:val="23"/>
          <w:szCs w:val="23"/>
        </w:rPr>
        <w:tab/>
      </w:r>
      <w:r w:rsidR="00F4745C">
        <w:rPr>
          <w:sz w:val="23"/>
          <w:szCs w:val="23"/>
        </w:rPr>
        <w:t>Decommissioning operations may</w:t>
      </w:r>
      <w:r w:rsidR="002774C7">
        <w:rPr>
          <w:sz w:val="23"/>
          <w:szCs w:val="23"/>
        </w:rPr>
        <w:t xml:space="preserve"> also</w:t>
      </w:r>
      <w:r w:rsidRPr="004645C7">
        <w:rPr>
          <w:sz w:val="23"/>
          <w:szCs w:val="23"/>
        </w:rPr>
        <w:t xml:space="preserve"> represent a </w:t>
      </w:r>
      <w:r w:rsidR="00CF5E63">
        <w:rPr>
          <w:sz w:val="23"/>
          <w:szCs w:val="23"/>
        </w:rPr>
        <w:t xml:space="preserve">navigational </w:t>
      </w:r>
      <w:r w:rsidRPr="004645C7">
        <w:rPr>
          <w:sz w:val="23"/>
          <w:szCs w:val="23"/>
        </w:rPr>
        <w:t xml:space="preserve">hazard to </w:t>
      </w:r>
      <w:r w:rsidR="004F7928">
        <w:rPr>
          <w:sz w:val="23"/>
          <w:szCs w:val="23"/>
        </w:rPr>
        <w:t>other users of the sea</w:t>
      </w:r>
      <w:r w:rsidR="00E47C5F">
        <w:rPr>
          <w:sz w:val="23"/>
          <w:szCs w:val="23"/>
        </w:rPr>
        <w:t xml:space="preserve">, and </w:t>
      </w:r>
      <w:r w:rsidR="009C5D2A">
        <w:rPr>
          <w:sz w:val="23"/>
          <w:szCs w:val="23"/>
        </w:rPr>
        <w:t xml:space="preserve">it may therefore be necessary to </w:t>
      </w:r>
      <w:r w:rsidR="001742BF">
        <w:rPr>
          <w:sz w:val="23"/>
          <w:szCs w:val="23"/>
        </w:rPr>
        <w:t xml:space="preserve">amend or obtain a Consent to Locate </w:t>
      </w:r>
      <w:r w:rsidR="00EA668F">
        <w:rPr>
          <w:sz w:val="23"/>
          <w:szCs w:val="23"/>
        </w:rPr>
        <w:t xml:space="preserve">to cover the proposed </w:t>
      </w:r>
      <w:r w:rsidR="003B4AFC">
        <w:rPr>
          <w:sz w:val="23"/>
          <w:szCs w:val="23"/>
        </w:rPr>
        <w:t>operations</w:t>
      </w:r>
      <w:r w:rsidR="000C3F8D">
        <w:rPr>
          <w:sz w:val="23"/>
          <w:szCs w:val="23"/>
        </w:rPr>
        <w:t xml:space="preserve">. Where </w:t>
      </w:r>
      <w:r w:rsidR="00075DF8">
        <w:rPr>
          <w:sz w:val="23"/>
          <w:szCs w:val="23"/>
        </w:rPr>
        <w:t xml:space="preserve">considered </w:t>
      </w:r>
      <w:r w:rsidR="000C3F8D">
        <w:rPr>
          <w:sz w:val="23"/>
          <w:szCs w:val="23"/>
        </w:rPr>
        <w:t>necessary</w:t>
      </w:r>
      <w:r w:rsidR="00D3085D">
        <w:rPr>
          <w:sz w:val="23"/>
          <w:szCs w:val="23"/>
        </w:rPr>
        <w:t xml:space="preserve"> by OPRED-EMT or the selected consultees</w:t>
      </w:r>
      <w:r w:rsidR="000C3F8D">
        <w:rPr>
          <w:sz w:val="23"/>
          <w:szCs w:val="23"/>
        </w:rPr>
        <w:t>, th</w:t>
      </w:r>
      <w:r w:rsidR="0035502C">
        <w:rPr>
          <w:sz w:val="23"/>
          <w:szCs w:val="23"/>
        </w:rPr>
        <w:t xml:space="preserve">e application may need </w:t>
      </w:r>
      <w:r w:rsidR="00CF5E63">
        <w:rPr>
          <w:sz w:val="23"/>
          <w:szCs w:val="23"/>
        </w:rPr>
        <w:t xml:space="preserve">to be </w:t>
      </w:r>
      <w:r w:rsidRPr="004645C7">
        <w:rPr>
          <w:sz w:val="23"/>
          <w:szCs w:val="23"/>
        </w:rPr>
        <w:t>supported by a Vessel Traffic Survey (VTS) and/or a Collision Risk assessment (CRA)</w:t>
      </w:r>
      <w:r w:rsidRPr="009F022E">
        <w:rPr>
          <w:sz w:val="23"/>
          <w:szCs w:val="23"/>
        </w:rPr>
        <w:t>.</w:t>
      </w:r>
    </w:p>
    <w:p w14:paraId="51759EFF" w14:textId="0EBD9595" w:rsidR="00AA2315" w:rsidRDefault="00AA2315" w:rsidP="00AA2315">
      <w:pPr>
        <w:ind w:left="709" w:hanging="709"/>
        <w:rPr>
          <w:sz w:val="23"/>
          <w:szCs w:val="23"/>
        </w:rPr>
      </w:pPr>
      <w:r w:rsidRPr="004645C7">
        <w:rPr>
          <w:sz w:val="23"/>
          <w:szCs w:val="23"/>
        </w:rPr>
        <w:t>12.3</w:t>
      </w:r>
      <w:r w:rsidR="00DC7318">
        <w:rPr>
          <w:sz w:val="23"/>
          <w:szCs w:val="23"/>
        </w:rPr>
        <w:t>0</w:t>
      </w:r>
      <w:r w:rsidRPr="004645C7">
        <w:rPr>
          <w:sz w:val="23"/>
          <w:szCs w:val="23"/>
        </w:rPr>
        <w:tab/>
        <w:t xml:space="preserve">Where decommissioning activity extends over several months or years (e.g. in a phased approach where topsides are removed followed by jacket removal </w:t>
      </w:r>
      <w:proofErr w:type="gramStart"/>
      <w:r w:rsidRPr="004645C7">
        <w:rPr>
          <w:sz w:val="23"/>
          <w:szCs w:val="23"/>
        </w:rPr>
        <w:t>at a later date</w:t>
      </w:r>
      <w:proofErr w:type="gramEnd"/>
      <w:r w:rsidRPr="004645C7">
        <w:rPr>
          <w:sz w:val="23"/>
          <w:szCs w:val="23"/>
        </w:rPr>
        <w:t xml:space="preserve">), the operator may be required to provide additional information on the provision of </w:t>
      </w:r>
      <w:r w:rsidR="00510CC4">
        <w:rPr>
          <w:sz w:val="23"/>
          <w:szCs w:val="23"/>
        </w:rPr>
        <w:t xml:space="preserve">interim </w:t>
      </w:r>
      <w:r w:rsidRPr="004645C7">
        <w:rPr>
          <w:sz w:val="23"/>
          <w:szCs w:val="23"/>
        </w:rPr>
        <w:t>navigational aids</w:t>
      </w:r>
      <w:r w:rsidR="00510CC4">
        <w:rPr>
          <w:sz w:val="23"/>
          <w:szCs w:val="23"/>
        </w:rPr>
        <w:t xml:space="preserve">, covering the </w:t>
      </w:r>
      <w:r w:rsidRPr="004645C7">
        <w:rPr>
          <w:sz w:val="23"/>
          <w:szCs w:val="23"/>
        </w:rPr>
        <w:t xml:space="preserve">key parameters </w:t>
      </w:r>
      <w:r w:rsidR="00C74EF8">
        <w:rPr>
          <w:sz w:val="23"/>
          <w:szCs w:val="23"/>
        </w:rPr>
        <w:t xml:space="preserve">for </w:t>
      </w:r>
      <w:r w:rsidRPr="004645C7">
        <w:rPr>
          <w:sz w:val="23"/>
          <w:szCs w:val="23"/>
        </w:rPr>
        <w:t>Aids to Navigation (accuracy, integrity, availability, continuity and coverage).</w:t>
      </w:r>
    </w:p>
    <w:p w14:paraId="7EB88182" w14:textId="7B7B5A32" w:rsidR="000B0BCA" w:rsidRDefault="004A1174" w:rsidP="004A1174">
      <w:pPr>
        <w:ind w:left="709" w:hanging="709"/>
        <w:rPr>
          <w:sz w:val="23"/>
          <w:szCs w:val="23"/>
        </w:rPr>
      </w:pPr>
      <w:r>
        <w:rPr>
          <w:sz w:val="23"/>
          <w:szCs w:val="23"/>
        </w:rPr>
        <w:t>12.31</w:t>
      </w:r>
      <w:r w:rsidR="00FD5D4E">
        <w:rPr>
          <w:sz w:val="23"/>
          <w:szCs w:val="23"/>
        </w:rPr>
        <w:tab/>
        <w:t>I</w:t>
      </w:r>
      <w:r w:rsidRPr="004645C7">
        <w:rPr>
          <w:sz w:val="23"/>
          <w:szCs w:val="23"/>
        </w:rPr>
        <w:t xml:space="preserve">f an installation has ceased production and the topsides remain, but it is not possible to maintain the </w:t>
      </w:r>
      <w:r w:rsidR="00FD5D4E">
        <w:rPr>
          <w:sz w:val="23"/>
          <w:szCs w:val="23"/>
        </w:rPr>
        <w:t xml:space="preserve">requirements detailed in </w:t>
      </w:r>
      <w:r w:rsidR="003E3548">
        <w:rPr>
          <w:sz w:val="23"/>
          <w:szCs w:val="23"/>
        </w:rPr>
        <w:t xml:space="preserve">the </w:t>
      </w:r>
      <w:r w:rsidRPr="004645C7">
        <w:rPr>
          <w:sz w:val="23"/>
          <w:szCs w:val="23"/>
        </w:rPr>
        <w:t>Standard Marking Schedule (SMS)</w:t>
      </w:r>
      <w:r w:rsidR="003E3548">
        <w:rPr>
          <w:sz w:val="23"/>
          <w:szCs w:val="23"/>
        </w:rPr>
        <w:t xml:space="preserve">, for example because of </w:t>
      </w:r>
      <w:r w:rsidRPr="004645C7">
        <w:rPr>
          <w:sz w:val="23"/>
          <w:szCs w:val="23"/>
        </w:rPr>
        <w:t xml:space="preserve">decreased power supply, the operator should seek dispensation through the </w:t>
      </w:r>
      <w:r w:rsidR="0007184C">
        <w:rPr>
          <w:sz w:val="23"/>
          <w:szCs w:val="23"/>
        </w:rPr>
        <w:t xml:space="preserve">consent </w:t>
      </w:r>
      <w:r w:rsidRPr="004645C7">
        <w:rPr>
          <w:sz w:val="23"/>
          <w:szCs w:val="23"/>
        </w:rPr>
        <w:t xml:space="preserve">variation process and </w:t>
      </w:r>
      <w:r w:rsidR="00FC3BD6">
        <w:rPr>
          <w:sz w:val="23"/>
          <w:szCs w:val="23"/>
        </w:rPr>
        <w:t xml:space="preserve">provide </w:t>
      </w:r>
      <w:r w:rsidRPr="004645C7">
        <w:rPr>
          <w:sz w:val="23"/>
          <w:szCs w:val="23"/>
        </w:rPr>
        <w:t>detail</w:t>
      </w:r>
      <w:r w:rsidR="00FC3BD6">
        <w:rPr>
          <w:sz w:val="23"/>
          <w:szCs w:val="23"/>
        </w:rPr>
        <w:t>s</w:t>
      </w:r>
      <w:r w:rsidRPr="004645C7">
        <w:rPr>
          <w:sz w:val="23"/>
          <w:szCs w:val="23"/>
        </w:rPr>
        <w:t xml:space="preserve"> the propos</w:t>
      </w:r>
      <w:r w:rsidR="000B0BCA">
        <w:rPr>
          <w:sz w:val="23"/>
          <w:szCs w:val="23"/>
        </w:rPr>
        <w:t xml:space="preserve">als </w:t>
      </w:r>
      <w:r w:rsidRPr="004645C7">
        <w:rPr>
          <w:sz w:val="23"/>
          <w:szCs w:val="23"/>
        </w:rPr>
        <w:t>to mitigate the navigational risk.</w:t>
      </w:r>
    </w:p>
    <w:p w14:paraId="71CA2682" w14:textId="26EEF70C" w:rsidR="004A1174" w:rsidRPr="004645C7" w:rsidRDefault="000B0BCA" w:rsidP="004A1174">
      <w:pPr>
        <w:ind w:left="709" w:hanging="709"/>
        <w:rPr>
          <w:sz w:val="23"/>
          <w:szCs w:val="23"/>
        </w:rPr>
      </w:pPr>
      <w:r>
        <w:rPr>
          <w:sz w:val="23"/>
          <w:szCs w:val="23"/>
        </w:rPr>
        <w:t>12.32</w:t>
      </w:r>
      <w:r>
        <w:rPr>
          <w:sz w:val="23"/>
          <w:szCs w:val="23"/>
        </w:rPr>
        <w:tab/>
      </w:r>
      <w:r w:rsidR="00254B19">
        <w:rPr>
          <w:sz w:val="23"/>
          <w:szCs w:val="23"/>
        </w:rPr>
        <w:t>I</w:t>
      </w:r>
      <w:r w:rsidR="004A1174" w:rsidRPr="004645C7">
        <w:rPr>
          <w:sz w:val="23"/>
          <w:szCs w:val="23"/>
        </w:rPr>
        <w:t>f there is a period after topside removal when the jacket</w:t>
      </w:r>
      <w:r w:rsidR="004A1174">
        <w:rPr>
          <w:sz w:val="23"/>
          <w:szCs w:val="23"/>
        </w:rPr>
        <w:t xml:space="preserve"> or suspended subsea infrastructure</w:t>
      </w:r>
      <w:r w:rsidR="004A1174" w:rsidRPr="004645C7">
        <w:rPr>
          <w:sz w:val="23"/>
          <w:szCs w:val="23"/>
        </w:rPr>
        <w:t xml:space="preserve"> will be left in place for future removal</w:t>
      </w:r>
      <w:r w:rsidR="00254B19">
        <w:rPr>
          <w:sz w:val="23"/>
          <w:szCs w:val="23"/>
        </w:rPr>
        <w:t xml:space="preserve">, the operator must </w:t>
      </w:r>
      <w:r w:rsidR="003020AD">
        <w:rPr>
          <w:sz w:val="23"/>
          <w:szCs w:val="23"/>
        </w:rPr>
        <w:t>confirm how they</w:t>
      </w:r>
      <w:r w:rsidR="003020AD" w:rsidRPr="003020AD">
        <w:rPr>
          <w:sz w:val="23"/>
          <w:szCs w:val="23"/>
        </w:rPr>
        <w:t xml:space="preserve"> </w:t>
      </w:r>
      <w:r w:rsidR="003020AD" w:rsidRPr="004645C7">
        <w:rPr>
          <w:sz w:val="23"/>
          <w:szCs w:val="23"/>
        </w:rPr>
        <w:t xml:space="preserve">will address navigational </w:t>
      </w:r>
      <w:r w:rsidR="003020AD">
        <w:rPr>
          <w:sz w:val="23"/>
          <w:szCs w:val="23"/>
        </w:rPr>
        <w:t xml:space="preserve">safety </w:t>
      </w:r>
      <w:r w:rsidR="003020AD" w:rsidRPr="004645C7">
        <w:rPr>
          <w:sz w:val="23"/>
          <w:szCs w:val="23"/>
        </w:rPr>
        <w:t>requirements</w:t>
      </w:r>
      <w:r w:rsidR="004A1174" w:rsidRPr="004645C7">
        <w:rPr>
          <w:sz w:val="23"/>
          <w:szCs w:val="23"/>
        </w:rPr>
        <w:t>.</w:t>
      </w:r>
    </w:p>
    <w:p w14:paraId="2861852A" w14:textId="61499FD3" w:rsidR="00AA2315" w:rsidRPr="004645C7" w:rsidRDefault="00AA2315" w:rsidP="00AA2315">
      <w:pPr>
        <w:ind w:left="709" w:hanging="709"/>
        <w:rPr>
          <w:sz w:val="23"/>
          <w:szCs w:val="23"/>
        </w:rPr>
      </w:pPr>
      <w:r w:rsidRPr="004645C7">
        <w:rPr>
          <w:sz w:val="23"/>
          <w:szCs w:val="23"/>
        </w:rPr>
        <w:t>12.3</w:t>
      </w:r>
      <w:r w:rsidR="00916BB7">
        <w:rPr>
          <w:sz w:val="23"/>
          <w:szCs w:val="23"/>
        </w:rPr>
        <w:t>3</w:t>
      </w:r>
      <w:r w:rsidRPr="004645C7">
        <w:rPr>
          <w:sz w:val="23"/>
          <w:szCs w:val="23"/>
        </w:rPr>
        <w:tab/>
      </w:r>
      <w:r w:rsidR="00916BB7">
        <w:rPr>
          <w:sz w:val="23"/>
          <w:szCs w:val="23"/>
        </w:rPr>
        <w:t xml:space="preserve">In all cases, </w:t>
      </w:r>
      <w:r w:rsidR="002E4525">
        <w:rPr>
          <w:sz w:val="23"/>
          <w:szCs w:val="23"/>
        </w:rPr>
        <w:t>t</w:t>
      </w:r>
      <w:r w:rsidRPr="004645C7">
        <w:rPr>
          <w:sz w:val="23"/>
          <w:szCs w:val="23"/>
        </w:rPr>
        <w:t>he scope and schedul</w:t>
      </w:r>
      <w:r w:rsidR="002E4525">
        <w:rPr>
          <w:sz w:val="23"/>
          <w:szCs w:val="23"/>
        </w:rPr>
        <w:t>ing</w:t>
      </w:r>
      <w:r w:rsidRPr="004645C7">
        <w:rPr>
          <w:sz w:val="23"/>
          <w:szCs w:val="23"/>
        </w:rPr>
        <w:t xml:space="preserve"> of any </w:t>
      </w:r>
      <w:r w:rsidR="00C74EF8">
        <w:rPr>
          <w:sz w:val="23"/>
          <w:szCs w:val="23"/>
        </w:rPr>
        <w:t xml:space="preserve">necessary </w:t>
      </w:r>
      <w:r w:rsidRPr="004645C7">
        <w:rPr>
          <w:sz w:val="23"/>
          <w:szCs w:val="23"/>
        </w:rPr>
        <w:t xml:space="preserve">additional </w:t>
      </w:r>
      <w:r w:rsidR="00C74EF8">
        <w:rPr>
          <w:sz w:val="23"/>
          <w:szCs w:val="23"/>
        </w:rPr>
        <w:t xml:space="preserve">navigational requirements </w:t>
      </w:r>
      <w:r w:rsidRPr="004645C7">
        <w:rPr>
          <w:sz w:val="23"/>
          <w:szCs w:val="23"/>
        </w:rPr>
        <w:t>should be discussed and agreed with OPRED</w:t>
      </w:r>
      <w:r>
        <w:rPr>
          <w:sz w:val="23"/>
          <w:szCs w:val="23"/>
        </w:rPr>
        <w:t>-EMT</w:t>
      </w:r>
      <w:r w:rsidRPr="004645C7">
        <w:rPr>
          <w:sz w:val="23"/>
          <w:szCs w:val="23"/>
        </w:rPr>
        <w:t xml:space="preserve"> early in the DP</w:t>
      </w:r>
      <w:r w:rsidR="00635E54">
        <w:rPr>
          <w:sz w:val="23"/>
          <w:szCs w:val="23"/>
        </w:rPr>
        <w:t xml:space="preserve"> </w:t>
      </w:r>
      <w:r w:rsidRPr="004645C7">
        <w:rPr>
          <w:sz w:val="23"/>
          <w:szCs w:val="23"/>
        </w:rPr>
        <w:t xml:space="preserve">schedule. Consultation with the relevant General Lighthouse Authority may also be </w:t>
      </w:r>
      <w:r w:rsidR="00F8530C">
        <w:rPr>
          <w:sz w:val="23"/>
          <w:szCs w:val="23"/>
        </w:rPr>
        <w:t>appropriate</w:t>
      </w:r>
      <w:r w:rsidR="0007184C" w:rsidRPr="0007184C">
        <w:rPr>
          <w:sz w:val="23"/>
          <w:szCs w:val="23"/>
        </w:rPr>
        <w:t xml:space="preserve"> </w:t>
      </w:r>
      <w:r w:rsidR="0007184C" w:rsidRPr="004645C7">
        <w:rPr>
          <w:sz w:val="23"/>
          <w:szCs w:val="23"/>
        </w:rPr>
        <w:t>to confirm that the</w:t>
      </w:r>
      <w:r w:rsidR="0007184C">
        <w:rPr>
          <w:sz w:val="23"/>
          <w:szCs w:val="23"/>
        </w:rPr>
        <w:t xml:space="preserve"> proposed</w:t>
      </w:r>
      <w:r w:rsidR="0007184C" w:rsidRPr="004645C7">
        <w:rPr>
          <w:sz w:val="23"/>
          <w:szCs w:val="23"/>
        </w:rPr>
        <w:t xml:space="preserve"> provisions are adequate to ensure navigational safety</w:t>
      </w:r>
      <w:r w:rsidRPr="004645C7">
        <w:rPr>
          <w:sz w:val="23"/>
          <w:szCs w:val="23"/>
        </w:rPr>
        <w:t>.</w:t>
      </w:r>
    </w:p>
    <w:p w14:paraId="1706DFA4" w14:textId="75B72C21" w:rsidR="007C1E6C" w:rsidRPr="004645C7" w:rsidRDefault="007C1E6C" w:rsidP="005D4D58">
      <w:pPr>
        <w:rPr>
          <w:color w:val="1F497D" w:themeColor="text2"/>
          <w:sz w:val="23"/>
          <w:szCs w:val="23"/>
        </w:rPr>
      </w:pPr>
      <w:r w:rsidRPr="004645C7">
        <w:rPr>
          <w:color w:val="1F497D" w:themeColor="text2"/>
          <w:sz w:val="23"/>
          <w:szCs w:val="23"/>
        </w:rPr>
        <w:t xml:space="preserve">Surrender of environmental </w:t>
      </w:r>
      <w:r w:rsidR="00D2584F" w:rsidRPr="004645C7">
        <w:rPr>
          <w:color w:val="1F497D" w:themeColor="text2"/>
          <w:sz w:val="23"/>
          <w:szCs w:val="23"/>
        </w:rPr>
        <w:t>approvals</w:t>
      </w:r>
    </w:p>
    <w:p w14:paraId="7DBE4914" w14:textId="75A58400" w:rsidR="00464AA9" w:rsidRPr="004645C7" w:rsidRDefault="00023753">
      <w:pPr>
        <w:ind w:left="709" w:hanging="709"/>
        <w:rPr>
          <w:sz w:val="23"/>
          <w:szCs w:val="23"/>
        </w:rPr>
      </w:pPr>
      <w:r w:rsidRPr="004645C7">
        <w:rPr>
          <w:sz w:val="23"/>
          <w:szCs w:val="23"/>
        </w:rPr>
        <w:t>12.</w:t>
      </w:r>
      <w:r w:rsidR="00DD01F5">
        <w:rPr>
          <w:sz w:val="23"/>
          <w:szCs w:val="23"/>
        </w:rPr>
        <w:t>34</w:t>
      </w:r>
      <w:r w:rsidR="00BA4C92" w:rsidRPr="004645C7">
        <w:rPr>
          <w:sz w:val="23"/>
          <w:szCs w:val="23"/>
        </w:rPr>
        <w:tab/>
      </w:r>
      <w:r w:rsidR="00FA2E64" w:rsidRPr="004645C7">
        <w:rPr>
          <w:sz w:val="23"/>
          <w:szCs w:val="23"/>
        </w:rPr>
        <w:t xml:space="preserve">Operators are </w:t>
      </w:r>
      <w:r w:rsidR="00D2584F" w:rsidRPr="004645C7">
        <w:rPr>
          <w:sz w:val="23"/>
          <w:szCs w:val="23"/>
        </w:rPr>
        <w:t>required</w:t>
      </w:r>
      <w:r w:rsidR="00474FA5" w:rsidRPr="004645C7">
        <w:rPr>
          <w:sz w:val="23"/>
          <w:szCs w:val="23"/>
        </w:rPr>
        <w:t xml:space="preserve"> </w:t>
      </w:r>
      <w:r w:rsidR="006B3002" w:rsidRPr="004645C7">
        <w:rPr>
          <w:sz w:val="23"/>
          <w:szCs w:val="23"/>
        </w:rPr>
        <w:t>to surrender any perm</w:t>
      </w:r>
      <w:r w:rsidR="00464AA9" w:rsidRPr="004645C7">
        <w:rPr>
          <w:sz w:val="23"/>
          <w:szCs w:val="23"/>
        </w:rPr>
        <w:t>its</w:t>
      </w:r>
      <w:r w:rsidR="0070697D" w:rsidRPr="004645C7">
        <w:rPr>
          <w:sz w:val="23"/>
          <w:szCs w:val="23"/>
        </w:rPr>
        <w:t>, consents</w:t>
      </w:r>
      <w:r w:rsidR="008A040E">
        <w:rPr>
          <w:sz w:val="23"/>
          <w:szCs w:val="23"/>
        </w:rPr>
        <w:t>,</w:t>
      </w:r>
      <w:r w:rsidR="0070697D" w:rsidRPr="004645C7">
        <w:rPr>
          <w:sz w:val="23"/>
          <w:szCs w:val="23"/>
        </w:rPr>
        <w:t xml:space="preserve"> licences, etc.</w:t>
      </w:r>
      <w:r w:rsidR="00464AA9" w:rsidRPr="004645C7">
        <w:rPr>
          <w:sz w:val="23"/>
          <w:szCs w:val="23"/>
        </w:rPr>
        <w:t xml:space="preserve"> that are no longer required. </w:t>
      </w:r>
      <w:r w:rsidR="0070697D" w:rsidRPr="004645C7">
        <w:rPr>
          <w:sz w:val="23"/>
          <w:szCs w:val="23"/>
        </w:rPr>
        <w:t>Before surrender, t</w:t>
      </w:r>
      <w:r w:rsidR="00464AA9" w:rsidRPr="004645C7">
        <w:rPr>
          <w:sz w:val="23"/>
          <w:szCs w:val="23"/>
        </w:rPr>
        <w:t>he approval holder</w:t>
      </w:r>
      <w:r w:rsidR="006B3002" w:rsidRPr="004645C7">
        <w:rPr>
          <w:sz w:val="23"/>
          <w:szCs w:val="23"/>
        </w:rPr>
        <w:t xml:space="preserve"> </w:t>
      </w:r>
      <w:r w:rsidR="00464AA9" w:rsidRPr="004645C7">
        <w:rPr>
          <w:sz w:val="23"/>
          <w:szCs w:val="23"/>
        </w:rPr>
        <w:t xml:space="preserve">must ensure that all relevant obligations associated with the </w:t>
      </w:r>
      <w:r w:rsidR="0070697D" w:rsidRPr="004645C7">
        <w:rPr>
          <w:sz w:val="23"/>
          <w:szCs w:val="23"/>
        </w:rPr>
        <w:t xml:space="preserve">approval </w:t>
      </w:r>
      <w:r w:rsidR="00464AA9" w:rsidRPr="004645C7">
        <w:rPr>
          <w:sz w:val="23"/>
          <w:szCs w:val="23"/>
        </w:rPr>
        <w:t xml:space="preserve">or any of its terms or conditions, for example monitoring and reporting requirements, have been met. </w:t>
      </w:r>
    </w:p>
    <w:p w14:paraId="7CF3EFA5" w14:textId="763AA0B8" w:rsidR="00DD351B" w:rsidRDefault="00023753" w:rsidP="00F71CDE">
      <w:pPr>
        <w:ind w:left="709" w:hanging="709"/>
        <w:rPr>
          <w:sz w:val="23"/>
          <w:szCs w:val="23"/>
        </w:rPr>
      </w:pPr>
      <w:r w:rsidRPr="004645C7">
        <w:rPr>
          <w:sz w:val="23"/>
          <w:szCs w:val="23"/>
        </w:rPr>
        <w:t>12.</w:t>
      </w:r>
      <w:r w:rsidR="00DD01F5">
        <w:rPr>
          <w:sz w:val="23"/>
          <w:szCs w:val="23"/>
        </w:rPr>
        <w:t>35</w:t>
      </w:r>
      <w:r w:rsidR="00BA4C92" w:rsidRPr="004645C7">
        <w:rPr>
          <w:sz w:val="23"/>
          <w:szCs w:val="23"/>
        </w:rPr>
        <w:tab/>
      </w:r>
      <w:r w:rsidR="00CC7B1B" w:rsidRPr="004645C7">
        <w:rPr>
          <w:sz w:val="23"/>
          <w:szCs w:val="23"/>
        </w:rPr>
        <w:t xml:space="preserve">To surrender an </w:t>
      </w:r>
      <w:r w:rsidR="00464AA9" w:rsidRPr="004645C7">
        <w:rPr>
          <w:sz w:val="23"/>
          <w:szCs w:val="23"/>
        </w:rPr>
        <w:t>approval</w:t>
      </w:r>
      <w:r w:rsidR="00CC7B1B" w:rsidRPr="004645C7">
        <w:rPr>
          <w:sz w:val="23"/>
          <w:szCs w:val="23"/>
        </w:rPr>
        <w:t xml:space="preserve"> </w:t>
      </w:r>
      <w:r w:rsidR="009E7E41" w:rsidRPr="004645C7">
        <w:rPr>
          <w:sz w:val="23"/>
          <w:szCs w:val="23"/>
        </w:rPr>
        <w:t xml:space="preserve">issued via </w:t>
      </w:r>
      <w:r w:rsidR="00CC7B1B" w:rsidRPr="004645C7">
        <w:rPr>
          <w:sz w:val="23"/>
          <w:szCs w:val="23"/>
        </w:rPr>
        <w:t>PETS</w:t>
      </w:r>
      <w:r w:rsidR="00B24CEC" w:rsidRPr="004645C7">
        <w:rPr>
          <w:sz w:val="23"/>
          <w:szCs w:val="23"/>
        </w:rPr>
        <w:t>, the approval holder should</w:t>
      </w:r>
      <w:r w:rsidR="006B3002" w:rsidRPr="004645C7">
        <w:rPr>
          <w:sz w:val="23"/>
          <w:szCs w:val="23"/>
        </w:rPr>
        <w:t xml:space="preserve"> notify </w:t>
      </w:r>
      <w:r w:rsidR="00A42339" w:rsidRPr="004645C7">
        <w:rPr>
          <w:sz w:val="23"/>
          <w:szCs w:val="23"/>
        </w:rPr>
        <w:t>OPRED</w:t>
      </w:r>
      <w:r w:rsidR="009A2C41">
        <w:rPr>
          <w:sz w:val="23"/>
          <w:szCs w:val="23"/>
        </w:rPr>
        <w:t>-</w:t>
      </w:r>
      <w:r w:rsidR="00265858">
        <w:rPr>
          <w:sz w:val="23"/>
          <w:szCs w:val="23"/>
        </w:rPr>
        <w:t xml:space="preserve">EMT </w:t>
      </w:r>
      <w:r w:rsidR="00D621DF" w:rsidRPr="004645C7">
        <w:rPr>
          <w:sz w:val="23"/>
          <w:szCs w:val="23"/>
        </w:rPr>
        <w:t>in writing detailing the</w:t>
      </w:r>
      <w:r w:rsidR="006B3002" w:rsidRPr="004645C7">
        <w:rPr>
          <w:sz w:val="23"/>
          <w:szCs w:val="23"/>
        </w:rPr>
        <w:t xml:space="preserve"> </w:t>
      </w:r>
      <w:r w:rsidR="00D621DF" w:rsidRPr="004645C7">
        <w:rPr>
          <w:sz w:val="23"/>
          <w:szCs w:val="23"/>
        </w:rPr>
        <w:t>date on which the</w:t>
      </w:r>
      <w:r w:rsidR="006B3002" w:rsidRPr="004645C7">
        <w:rPr>
          <w:sz w:val="23"/>
          <w:szCs w:val="23"/>
        </w:rPr>
        <w:t xml:space="preserve"> approval</w:t>
      </w:r>
      <w:r w:rsidR="00D621DF" w:rsidRPr="004645C7">
        <w:rPr>
          <w:sz w:val="23"/>
          <w:szCs w:val="23"/>
        </w:rPr>
        <w:t xml:space="preserve"> is to be surrendered. </w:t>
      </w:r>
      <w:r w:rsidR="00F14841" w:rsidRPr="004645C7">
        <w:rPr>
          <w:sz w:val="23"/>
          <w:szCs w:val="23"/>
        </w:rPr>
        <w:t>OPRED</w:t>
      </w:r>
      <w:r w:rsidR="009A2C41">
        <w:rPr>
          <w:sz w:val="23"/>
          <w:szCs w:val="23"/>
        </w:rPr>
        <w:t>-</w:t>
      </w:r>
      <w:r w:rsidR="00265858">
        <w:rPr>
          <w:sz w:val="23"/>
          <w:szCs w:val="23"/>
        </w:rPr>
        <w:t xml:space="preserve">EMT </w:t>
      </w:r>
      <w:r w:rsidR="00D621DF" w:rsidRPr="004645C7">
        <w:rPr>
          <w:sz w:val="23"/>
          <w:szCs w:val="23"/>
        </w:rPr>
        <w:t>wi</w:t>
      </w:r>
      <w:r w:rsidR="006B3002" w:rsidRPr="004645C7">
        <w:rPr>
          <w:sz w:val="23"/>
          <w:szCs w:val="23"/>
        </w:rPr>
        <w:t>ll confirm in writing that the approval</w:t>
      </w:r>
      <w:r w:rsidR="00D621DF" w:rsidRPr="004645C7">
        <w:rPr>
          <w:sz w:val="23"/>
          <w:szCs w:val="23"/>
        </w:rPr>
        <w:t xml:space="preserve"> has been</w:t>
      </w:r>
      <w:r w:rsidR="006B3002" w:rsidRPr="004645C7">
        <w:rPr>
          <w:sz w:val="23"/>
          <w:szCs w:val="23"/>
        </w:rPr>
        <w:t xml:space="preserve"> </w:t>
      </w:r>
      <w:r w:rsidR="00D621DF" w:rsidRPr="004645C7">
        <w:rPr>
          <w:sz w:val="23"/>
          <w:szCs w:val="23"/>
        </w:rPr>
        <w:t>surrendered on the due date.</w:t>
      </w:r>
    </w:p>
    <w:p w14:paraId="08066E71" w14:textId="13F2B61A" w:rsidR="00F260A4" w:rsidRPr="004645C7" w:rsidRDefault="00DD351B" w:rsidP="00F71CDE">
      <w:pPr>
        <w:ind w:left="709" w:hanging="709"/>
        <w:rPr>
          <w:sz w:val="23"/>
          <w:szCs w:val="23"/>
        </w:rPr>
      </w:pPr>
      <w:r>
        <w:rPr>
          <w:sz w:val="23"/>
          <w:szCs w:val="23"/>
        </w:rPr>
        <w:t>12.36</w:t>
      </w:r>
      <w:r>
        <w:rPr>
          <w:sz w:val="23"/>
          <w:szCs w:val="23"/>
        </w:rPr>
        <w:tab/>
      </w:r>
      <w:r w:rsidR="00D92951">
        <w:rPr>
          <w:sz w:val="23"/>
          <w:szCs w:val="23"/>
        </w:rPr>
        <w:t>Following the removal of any installation or in</w:t>
      </w:r>
      <w:r w:rsidR="00F71CDE">
        <w:rPr>
          <w:sz w:val="23"/>
          <w:szCs w:val="23"/>
        </w:rPr>
        <w:t>frastructure,</w:t>
      </w:r>
      <w:r w:rsidR="00F71CDE" w:rsidRPr="004645C7">
        <w:rPr>
          <w:sz w:val="23"/>
          <w:szCs w:val="23"/>
        </w:rPr>
        <w:t xml:space="preserve"> </w:t>
      </w:r>
      <w:r w:rsidR="00265F7D">
        <w:rPr>
          <w:sz w:val="23"/>
          <w:szCs w:val="23"/>
        </w:rPr>
        <w:t xml:space="preserve">it will be necessary to </w:t>
      </w:r>
      <w:r w:rsidR="00003AE3">
        <w:rPr>
          <w:sz w:val="23"/>
          <w:szCs w:val="23"/>
        </w:rPr>
        <w:t xml:space="preserve">apply to </w:t>
      </w:r>
      <w:r w:rsidR="00265F7D">
        <w:rPr>
          <w:sz w:val="23"/>
          <w:szCs w:val="23"/>
        </w:rPr>
        <w:t xml:space="preserve">surrender any relevant </w:t>
      </w:r>
      <w:r w:rsidR="00F71CDE" w:rsidRPr="004645C7">
        <w:rPr>
          <w:sz w:val="23"/>
          <w:szCs w:val="23"/>
        </w:rPr>
        <w:t>Consent to Locate</w:t>
      </w:r>
      <w:r w:rsidR="00003AE3">
        <w:rPr>
          <w:sz w:val="23"/>
          <w:szCs w:val="23"/>
        </w:rPr>
        <w:t xml:space="preserve"> as indicated above</w:t>
      </w:r>
      <w:r w:rsidR="00265F7D">
        <w:rPr>
          <w:sz w:val="23"/>
          <w:szCs w:val="23"/>
        </w:rPr>
        <w:t>, but</w:t>
      </w:r>
      <w:r w:rsidR="00F71CDE" w:rsidRPr="004645C7">
        <w:rPr>
          <w:sz w:val="23"/>
          <w:szCs w:val="23"/>
        </w:rPr>
        <w:t xml:space="preserve"> </w:t>
      </w:r>
      <w:r w:rsidR="00265F7D" w:rsidRPr="004645C7">
        <w:rPr>
          <w:sz w:val="23"/>
          <w:szCs w:val="23"/>
        </w:rPr>
        <w:t xml:space="preserve">if any facilities are abandoned </w:t>
      </w:r>
      <w:r w:rsidR="00265F7D" w:rsidRPr="004645C7">
        <w:rPr>
          <w:i/>
          <w:sz w:val="23"/>
          <w:szCs w:val="23"/>
        </w:rPr>
        <w:t>in situ</w:t>
      </w:r>
      <w:r w:rsidR="00265F7D" w:rsidRPr="004645C7">
        <w:rPr>
          <w:sz w:val="23"/>
          <w:szCs w:val="23"/>
        </w:rPr>
        <w:t xml:space="preserve"> </w:t>
      </w:r>
      <w:r w:rsidR="00003AE3">
        <w:rPr>
          <w:sz w:val="23"/>
          <w:szCs w:val="23"/>
        </w:rPr>
        <w:t xml:space="preserve">it may be necessary </w:t>
      </w:r>
      <w:r w:rsidR="004831F6">
        <w:rPr>
          <w:sz w:val="23"/>
          <w:szCs w:val="23"/>
        </w:rPr>
        <w:t>to amend an existing consent or create a new consent</w:t>
      </w:r>
      <w:proofErr w:type="gramStart"/>
      <w:r w:rsidR="0024484E">
        <w:rPr>
          <w:sz w:val="23"/>
          <w:szCs w:val="23"/>
        </w:rPr>
        <w:t xml:space="preserve">. </w:t>
      </w:r>
      <w:proofErr w:type="gramEnd"/>
      <w:r w:rsidR="00C81DB9">
        <w:rPr>
          <w:sz w:val="23"/>
          <w:szCs w:val="23"/>
        </w:rPr>
        <w:t>O</w:t>
      </w:r>
      <w:r w:rsidR="004831F6">
        <w:rPr>
          <w:sz w:val="23"/>
          <w:szCs w:val="23"/>
        </w:rPr>
        <w:t xml:space="preserve">perators should therefore seek </w:t>
      </w:r>
      <w:r w:rsidR="00C81DB9">
        <w:rPr>
          <w:sz w:val="23"/>
          <w:szCs w:val="23"/>
        </w:rPr>
        <w:t xml:space="preserve">advice </w:t>
      </w:r>
      <w:r w:rsidR="004831F6">
        <w:rPr>
          <w:sz w:val="23"/>
          <w:szCs w:val="23"/>
        </w:rPr>
        <w:t>from OPRED</w:t>
      </w:r>
      <w:r w:rsidR="00C81DB9">
        <w:rPr>
          <w:sz w:val="23"/>
          <w:szCs w:val="23"/>
        </w:rPr>
        <w:noBreakHyphen/>
      </w:r>
      <w:r w:rsidR="004831F6">
        <w:rPr>
          <w:sz w:val="23"/>
          <w:szCs w:val="23"/>
        </w:rPr>
        <w:t>EMT</w:t>
      </w:r>
      <w:r w:rsidR="00C81DB9">
        <w:rPr>
          <w:sz w:val="23"/>
          <w:szCs w:val="23"/>
        </w:rPr>
        <w:t>.</w:t>
      </w:r>
      <w:r w:rsidR="00F71CDE" w:rsidRPr="004645C7">
        <w:rPr>
          <w:sz w:val="23"/>
          <w:szCs w:val="23"/>
        </w:rPr>
        <w:t xml:space="preserve">  </w:t>
      </w:r>
    </w:p>
    <w:p w14:paraId="79C7A75C" w14:textId="6140CB26" w:rsidR="00CC7B1B" w:rsidRPr="004645C7" w:rsidRDefault="00CC7B1B">
      <w:pPr>
        <w:ind w:left="709" w:hanging="709"/>
        <w:rPr>
          <w:sz w:val="23"/>
          <w:szCs w:val="23"/>
        </w:rPr>
      </w:pPr>
      <w:r w:rsidRPr="004645C7">
        <w:rPr>
          <w:sz w:val="23"/>
          <w:szCs w:val="23"/>
        </w:rPr>
        <w:t>12.</w:t>
      </w:r>
      <w:r w:rsidR="00C81DB9">
        <w:rPr>
          <w:sz w:val="23"/>
          <w:szCs w:val="23"/>
        </w:rPr>
        <w:t>37</w:t>
      </w:r>
      <w:r w:rsidRPr="004645C7">
        <w:rPr>
          <w:sz w:val="23"/>
          <w:szCs w:val="23"/>
        </w:rPr>
        <w:tab/>
        <w:t xml:space="preserve">To surrender an </w:t>
      </w:r>
      <w:r w:rsidR="009E7E41" w:rsidRPr="004645C7">
        <w:rPr>
          <w:sz w:val="23"/>
          <w:szCs w:val="23"/>
        </w:rPr>
        <w:t xml:space="preserve">EU </w:t>
      </w:r>
      <w:r w:rsidRPr="004645C7">
        <w:rPr>
          <w:sz w:val="23"/>
          <w:szCs w:val="23"/>
        </w:rPr>
        <w:t xml:space="preserve">ETS permit, the approval holder should contact </w:t>
      </w:r>
      <w:r w:rsidR="00224799" w:rsidRPr="004645C7">
        <w:rPr>
          <w:sz w:val="23"/>
          <w:szCs w:val="23"/>
        </w:rPr>
        <w:t>OPRED</w:t>
      </w:r>
      <w:r w:rsidR="00E36209">
        <w:rPr>
          <w:sz w:val="23"/>
          <w:szCs w:val="23"/>
        </w:rPr>
        <w:noBreakHyphen/>
      </w:r>
      <w:r w:rsidR="00650ECB">
        <w:rPr>
          <w:sz w:val="23"/>
          <w:szCs w:val="23"/>
        </w:rPr>
        <w:t xml:space="preserve">EMT </w:t>
      </w:r>
      <w:r w:rsidRPr="004645C7">
        <w:rPr>
          <w:sz w:val="23"/>
          <w:szCs w:val="23"/>
        </w:rPr>
        <w:t xml:space="preserve">within one month of cessation of </w:t>
      </w:r>
      <w:r w:rsidR="00F17BBD" w:rsidRPr="004645C7">
        <w:rPr>
          <w:sz w:val="23"/>
          <w:szCs w:val="23"/>
        </w:rPr>
        <w:t xml:space="preserve">relevant combustion </w:t>
      </w:r>
      <w:r w:rsidRPr="004645C7">
        <w:rPr>
          <w:sz w:val="23"/>
          <w:szCs w:val="23"/>
        </w:rPr>
        <w:t xml:space="preserve">operations to </w:t>
      </w:r>
      <w:r w:rsidRPr="004645C7">
        <w:rPr>
          <w:sz w:val="23"/>
          <w:szCs w:val="23"/>
        </w:rPr>
        <w:lastRenderedPageBreak/>
        <w:t xml:space="preserve">advise </w:t>
      </w:r>
      <w:r w:rsidR="0076286C">
        <w:rPr>
          <w:sz w:val="23"/>
          <w:szCs w:val="23"/>
        </w:rPr>
        <w:t xml:space="preserve">that </w:t>
      </w:r>
      <w:r w:rsidRPr="004645C7">
        <w:rPr>
          <w:sz w:val="23"/>
          <w:szCs w:val="23"/>
        </w:rPr>
        <w:t>they wish to surrender the permit</w:t>
      </w:r>
      <w:r w:rsidR="009E7E41" w:rsidRPr="004645C7">
        <w:rPr>
          <w:sz w:val="23"/>
          <w:szCs w:val="23"/>
        </w:rPr>
        <w:t>. T</w:t>
      </w:r>
      <w:r w:rsidRPr="004645C7">
        <w:rPr>
          <w:sz w:val="23"/>
          <w:szCs w:val="23"/>
        </w:rPr>
        <w:t xml:space="preserve">he surrender should </w:t>
      </w:r>
      <w:r w:rsidR="00F17BBD" w:rsidRPr="004645C7">
        <w:rPr>
          <w:sz w:val="23"/>
          <w:szCs w:val="23"/>
        </w:rPr>
        <w:t xml:space="preserve">then </w:t>
      </w:r>
      <w:r w:rsidRPr="004645C7">
        <w:rPr>
          <w:sz w:val="23"/>
          <w:szCs w:val="23"/>
        </w:rPr>
        <w:t>be made via ETSWAP</w:t>
      </w:r>
      <w:proofErr w:type="gramStart"/>
      <w:r w:rsidR="00952C39">
        <w:rPr>
          <w:sz w:val="23"/>
          <w:szCs w:val="23"/>
        </w:rPr>
        <w:t xml:space="preserve">. </w:t>
      </w:r>
      <w:bookmarkStart w:id="0" w:name="_GoBack"/>
      <w:bookmarkEnd w:id="0"/>
      <w:proofErr w:type="gramEnd"/>
      <w:r w:rsidR="0035502C">
        <w:rPr>
          <w:sz w:val="23"/>
          <w:szCs w:val="23"/>
        </w:rPr>
        <w:t xml:space="preserve">The </w:t>
      </w:r>
      <w:r w:rsidR="00F352C4">
        <w:rPr>
          <w:sz w:val="23"/>
          <w:szCs w:val="23"/>
        </w:rPr>
        <w:t xml:space="preserve">permit </w:t>
      </w:r>
      <w:r w:rsidRPr="004645C7">
        <w:rPr>
          <w:sz w:val="23"/>
          <w:szCs w:val="23"/>
        </w:rPr>
        <w:t>holder</w:t>
      </w:r>
      <w:r w:rsidR="00F17BBD" w:rsidRPr="004645C7">
        <w:rPr>
          <w:sz w:val="23"/>
          <w:szCs w:val="23"/>
        </w:rPr>
        <w:t xml:space="preserve"> will be required</w:t>
      </w:r>
      <w:r w:rsidRPr="004645C7">
        <w:rPr>
          <w:sz w:val="23"/>
          <w:szCs w:val="23"/>
        </w:rPr>
        <w:t xml:space="preserve"> to provide evidence of the cessation of operations</w:t>
      </w:r>
      <w:r w:rsidR="0035502C">
        <w:rPr>
          <w:sz w:val="23"/>
          <w:szCs w:val="23"/>
        </w:rPr>
        <w:t>,</w:t>
      </w:r>
      <w:r w:rsidRPr="004645C7">
        <w:rPr>
          <w:sz w:val="23"/>
          <w:szCs w:val="23"/>
        </w:rPr>
        <w:t xml:space="preserve"> and </w:t>
      </w:r>
      <w:r w:rsidR="00F17BBD" w:rsidRPr="004645C7">
        <w:rPr>
          <w:sz w:val="23"/>
          <w:szCs w:val="23"/>
        </w:rPr>
        <w:t xml:space="preserve">to submit </w:t>
      </w:r>
      <w:r w:rsidRPr="004645C7">
        <w:rPr>
          <w:sz w:val="23"/>
          <w:szCs w:val="23"/>
        </w:rPr>
        <w:t xml:space="preserve">a verified Annual </w:t>
      </w:r>
      <w:r w:rsidR="00F17BBD" w:rsidRPr="004645C7">
        <w:rPr>
          <w:sz w:val="23"/>
          <w:szCs w:val="23"/>
        </w:rPr>
        <w:t>E</w:t>
      </w:r>
      <w:r w:rsidRPr="004645C7">
        <w:rPr>
          <w:sz w:val="23"/>
          <w:szCs w:val="23"/>
        </w:rPr>
        <w:t xml:space="preserve">missions </w:t>
      </w:r>
      <w:r w:rsidR="00F17BBD" w:rsidRPr="004645C7">
        <w:rPr>
          <w:sz w:val="23"/>
          <w:szCs w:val="23"/>
        </w:rPr>
        <w:t>R</w:t>
      </w:r>
      <w:r w:rsidRPr="004645C7">
        <w:rPr>
          <w:sz w:val="23"/>
          <w:szCs w:val="23"/>
        </w:rPr>
        <w:t xml:space="preserve">eport </w:t>
      </w:r>
      <w:r w:rsidR="00650ECB">
        <w:rPr>
          <w:sz w:val="23"/>
          <w:szCs w:val="23"/>
        </w:rPr>
        <w:t xml:space="preserve">for the </w:t>
      </w:r>
      <w:r w:rsidR="00F17BBD" w:rsidRPr="004645C7">
        <w:rPr>
          <w:sz w:val="23"/>
          <w:szCs w:val="23"/>
        </w:rPr>
        <w:t xml:space="preserve">period from </w:t>
      </w:r>
      <w:r w:rsidRPr="004645C7">
        <w:rPr>
          <w:sz w:val="23"/>
          <w:szCs w:val="23"/>
        </w:rPr>
        <w:t>the 1</w:t>
      </w:r>
      <w:r w:rsidR="00F17BBD" w:rsidRPr="004645C7">
        <w:rPr>
          <w:sz w:val="23"/>
          <w:szCs w:val="23"/>
          <w:vertAlign w:val="superscript"/>
        </w:rPr>
        <w:t>st</w:t>
      </w:r>
      <w:r w:rsidR="00F17BBD" w:rsidRPr="004645C7">
        <w:rPr>
          <w:sz w:val="23"/>
          <w:szCs w:val="23"/>
        </w:rPr>
        <w:t xml:space="preserve"> </w:t>
      </w:r>
      <w:r w:rsidRPr="004645C7">
        <w:rPr>
          <w:sz w:val="23"/>
          <w:szCs w:val="23"/>
        </w:rPr>
        <w:t xml:space="preserve">January </w:t>
      </w:r>
      <w:r w:rsidR="00F17BBD" w:rsidRPr="004645C7">
        <w:rPr>
          <w:sz w:val="23"/>
          <w:szCs w:val="23"/>
        </w:rPr>
        <w:t xml:space="preserve">up </w:t>
      </w:r>
      <w:r w:rsidRPr="004645C7">
        <w:rPr>
          <w:sz w:val="23"/>
          <w:szCs w:val="23"/>
        </w:rPr>
        <w:t>to the date at which the surrender took place.</w:t>
      </w:r>
    </w:p>
    <w:p w14:paraId="66A4CF7E" w14:textId="77777777" w:rsidR="002B1673" w:rsidRPr="00BA4C92" w:rsidRDefault="002B1673">
      <w:pPr>
        <w:ind w:left="709" w:hanging="709"/>
        <w:rPr>
          <w:sz w:val="23"/>
          <w:szCs w:val="23"/>
        </w:rPr>
      </w:pPr>
    </w:p>
    <w:p w14:paraId="5BB90218" w14:textId="77777777" w:rsidR="00765186" w:rsidRDefault="00F02597">
      <w:pPr>
        <w:rPr>
          <w:color w:val="1F497D" w:themeColor="text2"/>
          <w:sz w:val="32"/>
          <w:szCs w:val="32"/>
        </w:rPr>
      </w:pPr>
      <w:r w:rsidRPr="00765186">
        <w:rPr>
          <w:color w:val="1F497D" w:themeColor="text2"/>
          <w:sz w:val="32"/>
          <w:szCs w:val="32"/>
        </w:rPr>
        <w:t>Monitoring</w:t>
      </w:r>
    </w:p>
    <w:p w14:paraId="63922D15" w14:textId="77777777" w:rsidR="00385611" w:rsidRPr="004645C7" w:rsidRDefault="00385611">
      <w:pPr>
        <w:rPr>
          <w:color w:val="1F497D" w:themeColor="text2"/>
          <w:sz w:val="23"/>
          <w:szCs w:val="23"/>
        </w:rPr>
      </w:pPr>
      <w:r w:rsidRPr="004645C7">
        <w:rPr>
          <w:rFonts w:eastAsia="Arial Unicode MS"/>
          <w:color w:val="1F497D" w:themeColor="text2"/>
          <w:sz w:val="23"/>
          <w:szCs w:val="23"/>
          <w:lang w:eastAsia="en-GB"/>
        </w:rPr>
        <w:t>Debris surveys and clearance</w:t>
      </w:r>
    </w:p>
    <w:p w14:paraId="79D85AB6" w14:textId="66D49592" w:rsidR="00385611" w:rsidRPr="004645C7" w:rsidRDefault="00404EFD" w:rsidP="0048332F">
      <w:pPr>
        <w:tabs>
          <w:tab w:val="left" w:pos="851"/>
        </w:tabs>
        <w:ind w:left="709" w:hanging="709"/>
        <w:rPr>
          <w:sz w:val="23"/>
          <w:szCs w:val="23"/>
        </w:rPr>
      </w:pPr>
      <w:r w:rsidRPr="004645C7">
        <w:rPr>
          <w:rFonts w:eastAsia="Times New Roman"/>
          <w:sz w:val="23"/>
          <w:szCs w:val="23"/>
          <w:lang w:eastAsia="en-GB"/>
        </w:rPr>
        <w:t>12.3</w:t>
      </w:r>
      <w:r w:rsidR="00F81DC0">
        <w:rPr>
          <w:rFonts w:eastAsia="Times New Roman"/>
          <w:sz w:val="23"/>
          <w:szCs w:val="23"/>
          <w:lang w:eastAsia="en-GB"/>
        </w:rPr>
        <w:t>8</w:t>
      </w:r>
      <w:r w:rsidR="00765186" w:rsidRPr="004645C7">
        <w:rPr>
          <w:rFonts w:eastAsia="Times New Roman"/>
          <w:sz w:val="23"/>
          <w:szCs w:val="23"/>
          <w:lang w:eastAsia="en-GB"/>
        </w:rPr>
        <w:tab/>
      </w:r>
      <w:r w:rsidR="000F065F" w:rsidRPr="004645C7">
        <w:rPr>
          <w:rFonts w:eastAsia="Times New Roman"/>
          <w:sz w:val="23"/>
          <w:szCs w:val="23"/>
          <w:lang w:eastAsia="en-GB"/>
        </w:rPr>
        <w:t xml:space="preserve">As set out in </w:t>
      </w:r>
      <w:r w:rsidR="00FE37D3">
        <w:rPr>
          <w:rFonts w:eastAsia="Times New Roman"/>
          <w:sz w:val="23"/>
          <w:szCs w:val="23"/>
          <w:lang w:eastAsia="en-GB"/>
        </w:rPr>
        <w:t>S</w:t>
      </w:r>
      <w:r w:rsidR="000F065F" w:rsidRPr="004645C7">
        <w:rPr>
          <w:sz w:val="23"/>
          <w:szCs w:val="23"/>
        </w:rPr>
        <w:t>ections 10 and 15 of this guidance, u</w:t>
      </w:r>
      <w:r w:rsidR="00385611" w:rsidRPr="004645C7">
        <w:rPr>
          <w:sz w:val="23"/>
          <w:szCs w:val="23"/>
        </w:rPr>
        <w:t xml:space="preserve">pon completion of </w:t>
      </w:r>
      <w:r w:rsidR="00A6679A" w:rsidRPr="004645C7">
        <w:rPr>
          <w:sz w:val="23"/>
          <w:szCs w:val="23"/>
        </w:rPr>
        <w:t xml:space="preserve">the </w:t>
      </w:r>
      <w:r w:rsidR="00385611" w:rsidRPr="004645C7">
        <w:rPr>
          <w:sz w:val="23"/>
          <w:szCs w:val="23"/>
        </w:rPr>
        <w:t xml:space="preserve">decommissioning </w:t>
      </w:r>
      <w:r w:rsidR="00CC7B1B" w:rsidRPr="004645C7">
        <w:rPr>
          <w:sz w:val="23"/>
          <w:szCs w:val="23"/>
        </w:rPr>
        <w:t>activities</w:t>
      </w:r>
      <w:r w:rsidR="00385611" w:rsidRPr="004645C7">
        <w:rPr>
          <w:sz w:val="23"/>
          <w:szCs w:val="23"/>
        </w:rPr>
        <w:t xml:space="preserve">, appropriate surveys should be undertaken to identify and recover any debris </w:t>
      </w:r>
      <w:r w:rsidR="00351F7E">
        <w:rPr>
          <w:sz w:val="23"/>
          <w:szCs w:val="23"/>
        </w:rPr>
        <w:t xml:space="preserve">or other obstructions </w:t>
      </w:r>
      <w:r w:rsidR="00385611" w:rsidRPr="004645C7">
        <w:rPr>
          <w:sz w:val="23"/>
          <w:szCs w:val="23"/>
        </w:rPr>
        <w:t>on the seabed.</w:t>
      </w:r>
      <w:r w:rsidR="00351F7E">
        <w:rPr>
          <w:sz w:val="23"/>
          <w:szCs w:val="23"/>
        </w:rPr>
        <w:t xml:space="preserve"> </w:t>
      </w:r>
      <w:r w:rsidR="00071D72" w:rsidRPr="004645C7">
        <w:rPr>
          <w:sz w:val="23"/>
          <w:szCs w:val="23"/>
        </w:rPr>
        <w:t xml:space="preserve">Operators should note that </w:t>
      </w:r>
      <w:r w:rsidR="002B60E1">
        <w:rPr>
          <w:sz w:val="23"/>
          <w:szCs w:val="23"/>
        </w:rPr>
        <w:t xml:space="preserve">the </w:t>
      </w:r>
      <w:r w:rsidR="00A6679A" w:rsidRPr="004645C7">
        <w:rPr>
          <w:sz w:val="23"/>
          <w:szCs w:val="23"/>
        </w:rPr>
        <w:t xml:space="preserve">activities </w:t>
      </w:r>
      <w:r w:rsidR="00071D72" w:rsidRPr="004645C7">
        <w:rPr>
          <w:sz w:val="23"/>
          <w:szCs w:val="23"/>
        </w:rPr>
        <w:t xml:space="preserve">may require </w:t>
      </w:r>
      <w:r w:rsidR="0048332F">
        <w:rPr>
          <w:sz w:val="23"/>
          <w:szCs w:val="23"/>
        </w:rPr>
        <w:t xml:space="preserve">a </w:t>
      </w:r>
      <w:r w:rsidR="004274CB" w:rsidRPr="004645C7">
        <w:rPr>
          <w:sz w:val="23"/>
          <w:szCs w:val="23"/>
        </w:rPr>
        <w:t>Geological Survey consent</w:t>
      </w:r>
      <w:r w:rsidR="00B83EE6">
        <w:rPr>
          <w:sz w:val="23"/>
          <w:szCs w:val="23"/>
        </w:rPr>
        <w:t xml:space="preserve"> or notification to cover the proposed </w:t>
      </w:r>
      <w:r w:rsidR="0069739F">
        <w:rPr>
          <w:sz w:val="23"/>
          <w:szCs w:val="23"/>
        </w:rPr>
        <w:t xml:space="preserve">identification </w:t>
      </w:r>
      <w:r w:rsidR="00B83EE6">
        <w:rPr>
          <w:sz w:val="23"/>
          <w:szCs w:val="23"/>
        </w:rPr>
        <w:t>surveys and a</w:t>
      </w:r>
      <w:r w:rsidR="004274CB">
        <w:rPr>
          <w:sz w:val="23"/>
          <w:szCs w:val="23"/>
        </w:rPr>
        <w:t xml:space="preserve"> </w:t>
      </w:r>
      <w:r w:rsidR="0048332F">
        <w:rPr>
          <w:sz w:val="23"/>
          <w:szCs w:val="23"/>
        </w:rPr>
        <w:t>Marine Licence</w:t>
      </w:r>
      <w:r w:rsidR="002B60E1">
        <w:rPr>
          <w:sz w:val="23"/>
          <w:szCs w:val="23"/>
        </w:rPr>
        <w:t xml:space="preserve"> to cover the </w:t>
      </w:r>
      <w:r w:rsidR="00AA04AC">
        <w:rPr>
          <w:sz w:val="23"/>
          <w:szCs w:val="23"/>
        </w:rPr>
        <w:t xml:space="preserve">debris </w:t>
      </w:r>
      <w:r w:rsidR="00067051">
        <w:rPr>
          <w:sz w:val="23"/>
          <w:szCs w:val="23"/>
        </w:rPr>
        <w:t xml:space="preserve">and obstruction </w:t>
      </w:r>
      <w:r w:rsidR="00AA04AC">
        <w:rPr>
          <w:sz w:val="23"/>
          <w:szCs w:val="23"/>
        </w:rPr>
        <w:t>removal</w:t>
      </w:r>
      <w:r w:rsidR="00067051">
        <w:rPr>
          <w:sz w:val="23"/>
          <w:szCs w:val="23"/>
        </w:rPr>
        <w:t xml:space="preserve">. However, </w:t>
      </w:r>
      <w:r w:rsidR="00C65C3F">
        <w:rPr>
          <w:sz w:val="23"/>
          <w:szCs w:val="23"/>
        </w:rPr>
        <w:t>th</w:t>
      </w:r>
      <w:r w:rsidR="003C3C4F">
        <w:rPr>
          <w:sz w:val="23"/>
          <w:szCs w:val="23"/>
        </w:rPr>
        <w:t xml:space="preserve">e </w:t>
      </w:r>
      <w:r w:rsidR="00AA04AC">
        <w:rPr>
          <w:sz w:val="23"/>
          <w:szCs w:val="23"/>
        </w:rPr>
        <w:t xml:space="preserve">debris removal </w:t>
      </w:r>
      <w:r w:rsidR="003C3C4F">
        <w:rPr>
          <w:sz w:val="23"/>
          <w:szCs w:val="23"/>
        </w:rPr>
        <w:t>proposals</w:t>
      </w:r>
      <w:r w:rsidR="00C65C3F">
        <w:rPr>
          <w:sz w:val="23"/>
          <w:szCs w:val="23"/>
        </w:rPr>
        <w:t xml:space="preserve"> can be included in the </w:t>
      </w:r>
      <w:r w:rsidR="00575D74">
        <w:rPr>
          <w:sz w:val="23"/>
          <w:szCs w:val="23"/>
        </w:rPr>
        <w:t>M</w:t>
      </w:r>
      <w:r w:rsidR="00C65C3F">
        <w:rPr>
          <w:sz w:val="23"/>
          <w:szCs w:val="23"/>
        </w:rPr>
        <w:t xml:space="preserve">arine </w:t>
      </w:r>
      <w:r w:rsidR="00575D74">
        <w:rPr>
          <w:sz w:val="23"/>
          <w:szCs w:val="23"/>
        </w:rPr>
        <w:t>L</w:t>
      </w:r>
      <w:r w:rsidR="00C65C3F">
        <w:rPr>
          <w:sz w:val="23"/>
          <w:szCs w:val="23"/>
        </w:rPr>
        <w:t>icence cover</w:t>
      </w:r>
      <w:r w:rsidR="00575D74">
        <w:rPr>
          <w:sz w:val="23"/>
          <w:szCs w:val="23"/>
        </w:rPr>
        <w:t>ing other</w:t>
      </w:r>
      <w:r w:rsidR="00C65C3F">
        <w:rPr>
          <w:sz w:val="23"/>
          <w:szCs w:val="23"/>
        </w:rPr>
        <w:t xml:space="preserve"> </w:t>
      </w:r>
      <w:r w:rsidR="00060F0C">
        <w:rPr>
          <w:sz w:val="23"/>
          <w:szCs w:val="23"/>
        </w:rPr>
        <w:t xml:space="preserve">elements of the </w:t>
      </w:r>
      <w:r w:rsidR="00C65C3F">
        <w:rPr>
          <w:sz w:val="23"/>
          <w:szCs w:val="23"/>
        </w:rPr>
        <w:t>decommissioning activit</w:t>
      </w:r>
      <w:r w:rsidR="00060F0C">
        <w:rPr>
          <w:sz w:val="23"/>
          <w:szCs w:val="23"/>
        </w:rPr>
        <w:t>y</w:t>
      </w:r>
      <w:r w:rsidR="00071D72" w:rsidRPr="004645C7">
        <w:rPr>
          <w:sz w:val="23"/>
          <w:szCs w:val="23"/>
        </w:rPr>
        <w:t>.</w:t>
      </w:r>
    </w:p>
    <w:p w14:paraId="7C1D0162" w14:textId="7FF42E8A" w:rsidR="003D2858" w:rsidRPr="004645C7" w:rsidRDefault="00404EFD" w:rsidP="00C647A2">
      <w:pPr>
        <w:tabs>
          <w:tab w:val="left" w:pos="851"/>
        </w:tabs>
        <w:ind w:left="709" w:hanging="709"/>
        <w:rPr>
          <w:sz w:val="23"/>
          <w:szCs w:val="23"/>
        </w:rPr>
      </w:pPr>
      <w:r w:rsidRPr="004645C7">
        <w:rPr>
          <w:sz w:val="23"/>
          <w:szCs w:val="23"/>
        </w:rPr>
        <w:t>12.3</w:t>
      </w:r>
      <w:r w:rsidR="00060F0C">
        <w:rPr>
          <w:sz w:val="23"/>
          <w:szCs w:val="23"/>
        </w:rPr>
        <w:t>9</w:t>
      </w:r>
      <w:r w:rsidR="00EC7ACD" w:rsidRPr="004645C7">
        <w:rPr>
          <w:sz w:val="23"/>
          <w:szCs w:val="23"/>
        </w:rPr>
        <w:tab/>
      </w:r>
      <w:r w:rsidR="00385611" w:rsidRPr="004645C7">
        <w:rPr>
          <w:sz w:val="23"/>
          <w:szCs w:val="23"/>
        </w:rPr>
        <w:t xml:space="preserve">The area to be covered will depend on the specifics of each decommissioning project. </w:t>
      </w:r>
      <w:r w:rsidR="002C6DE1" w:rsidRPr="004645C7">
        <w:rPr>
          <w:sz w:val="23"/>
          <w:szCs w:val="23"/>
        </w:rPr>
        <w:t>However,</w:t>
      </w:r>
      <w:r w:rsidR="00385611" w:rsidRPr="004645C7">
        <w:rPr>
          <w:sz w:val="23"/>
          <w:szCs w:val="23"/>
        </w:rPr>
        <w:t xml:space="preserve"> the minimum requirement is </w:t>
      </w:r>
      <w:r w:rsidR="00F03F96" w:rsidRPr="004645C7">
        <w:rPr>
          <w:sz w:val="23"/>
          <w:szCs w:val="23"/>
        </w:rPr>
        <w:t xml:space="preserve">to undertake a survey within </w:t>
      </w:r>
      <w:r w:rsidR="00385611" w:rsidRPr="004645C7">
        <w:rPr>
          <w:sz w:val="23"/>
          <w:szCs w:val="23"/>
        </w:rPr>
        <w:t>500</w:t>
      </w:r>
      <w:r w:rsidR="00C90C90">
        <w:rPr>
          <w:sz w:val="23"/>
          <w:szCs w:val="23"/>
        </w:rPr>
        <w:t> metres (</w:t>
      </w:r>
      <w:r w:rsidR="00385611" w:rsidRPr="004645C7">
        <w:rPr>
          <w:sz w:val="23"/>
          <w:szCs w:val="23"/>
        </w:rPr>
        <w:t>m</w:t>
      </w:r>
      <w:r w:rsidR="00C90C90">
        <w:rPr>
          <w:sz w:val="23"/>
          <w:szCs w:val="23"/>
        </w:rPr>
        <w:t>)</w:t>
      </w:r>
      <w:r w:rsidR="00385611" w:rsidRPr="004645C7">
        <w:rPr>
          <w:sz w:val="23"/>
          <w:szCs w:val="23"/>
        </w:rPr>
        <w:t xml:space="preserve"> radius </w:t>
      </w:r>
      <w:r w:rsidR="00F03F96" w:rsidRPr="004645C7">
        <w:rPr>
          <w:sz w:val="23"/>
          <w:szCs w:val="23"/>
        </w:rPr>
        <w:t>of</w:t>
      </w:r>
      <w:r w:rsidR="00385611" w:rsidRPr="004645C7">
        <w:rPr>
          <w:sz w:val="23"/>
          <w:szCs w:val="23"/>
        </w:rPr>
        <w:t xml:space="preserve"> </w:t>
      </w:r>
      <w:r w:rsidR="00355BDF">
        <w:rPr>
          <w:sz w:val="23"/>
          <w:szCs w:val="23"/>
        </w:rPr>
        <w:t>any</w:t>
      </w:r>
      <w:r w:rsidR="00385611" w:rsidRPr="004645C7">
        <w:rPr>
          <w:sz w:val="23"/>
          <w:szCs w:val="23"/>
        </w:rPr>
        <w:t xml:space="preserve"> installation </w:t>
      </w:r>
      <w:r w:rsidR="00355BDF">
        <w:rPr>
          <w:sz w:val="23"/>
          <w:szCs w:val="23"/>
        </w:rPr>
        <w:t>that attracted a safety zone</w:t>
      </w:r>
      <w:r w:rsidR="00385611" w:rsidRPr="004645C7">
        <w:rPr>
          <w:sz w:val="23"/>
          <w:szCs w:val="23"/>
        </w:rPr>
        <w:t>.</w:t>
      </w:r>
      <w:r w:rsidR="00355BDF">
        <w:rPr>
          <w:sz w:val="23"/>
          <w:szCs w:val="23"/>
        </w:rPr>
        <w:t xml:space="preserve"> In exceptional circumstances</w:t>
      </w:r>
      <w:r w:rsidR="00A7351E">
        <w:rPr>
          <w:sz w:val="23"/>
          <w:szCs w:val="23"/>
        </w:rPr>
        <w:t xml:space="preserve">, </w:t>
      </w:r>
      <w:r w:rsidR="00385611" w:rsidRPr="004645C7">
        <w:rPr>
          <w:sz w:val="23"/>
          <w:szCs w:val="23"/>
        </w:rPr>
        <w:t>survey</w:t>
      </w:r>
      <w:r w:rsidR="004E196E">
        <w:rPr>
          <w:sz w:val="23"/>
          <w:szCs w:val="23"/>
        </w:rPr>
        <w:t>s</w:t>
      </w:r>
      <w:r w:rsidR="00385611" w:rsidRPr="004645C7">
        <w:rPr>
          <w:sz w:val="23"/>
          <w:szCs w:val="23"/>
        </w:rPr>
        <w:t xml:space="preserve"> may </w:t>
      </w:r>
      <w:r w:rsidR="00F03F96" w:rsidRPr="004645C7">
        <w:rPr>
          <w:sz w:val="23"/>
          <w:szCs w:val="23"/>
        </w:rPr>
        <w:t xml:space="preserve">also </w:t>
      </w:r>
      <w:r w:rsidR="00385611" w:rsidRPr="004645C7">
        <w:rPr>
          <w:sz w:val="23"/>
          <w:szCs w:val="23"/>
        </w:rPr>
        <w:t xml:space="preserve">be required </w:t>
      </w:r>
      <w:r w:rsidR="00B26582">
        <w:rPr>
          <w:sz w:val="23"/>
          <w:szCs w:val="23"/>
        </w:rPr>
        <w:t xml:space="preserve">to cover an area </w:t>
      </w:r>
      <w:r w:rsidR="00385611" w:rsidRPr="004645C7">
        <w:rPr>
          <w:sz w:val="23"/>
          <w:szCs w:val="23"/>
        </w:rPr>
        <w:t>up to 50</w:t>
      </w:r>
      <w:r w:rsidR="00985D4A">
        <w:rPr>
          <w:sz w:val="23"/>
          <w:szCs w:val="23"/>
        </w:rPr>
        <w:t> </w:t>
      </w:r>
      <w:r w:rsidR="00385611" w:rsidRPr="004645C7">
        <w:rPr>
          <w:sz w:val="23"/>
          <w:szCs w:val="23"/>
        </w:rPr>
        <w:t>m either side of a decommissioned pipeline</w:t>
      </w:r>
      <w:r w:rsidR="00B26582">
        <w:rPr>
          <w:sz w:val="23"/>
          <w:szCs w:val="23"/>
        </w:rPr>
        <w:t>,</w:t>
      </w:r>
      <w:r w:rsidR="00385611" w:rsidRPr="004645C7">
        <w:rPr>
          <w:sz w:val="23"/>
          <w:szCs w:val="23"/>
        </w:rPr>
        <w:t xml:space="preserve"> over </w:t>
      </w:r>
      <w:r w:rsidR="00395C08">
        <w:rPr>
          <w:sz w:val="23"/>
          <w:szCs w:val="23"/>
        </w:rPr>
        <w:t>part</w:t>
      </w:r>
      <w:r w:rsidR="00B26582">
        <w:rPr>
          <w:sz w:val="23"/>
          <w:szCs w:val="23"/>
        </w:rPr>
        <w:t>(</w:t>
      </w:r>
      <w:r w:rsidR="00395C08">
        <w:rPr>
          <w:sz w:val="23"/>
          <w:szCs w:val="23"/>
        </w:rPr>
        <w:t>s</w:t>
      </w:r>
      <w:r w:rsidR="00B26582">
        <w:rPr>
          <w:sz w:val="23"/>
          <w:szCs w:val="23"/>
        </w:rPr>
        <w:t>)</w:t>
      </w:r>
      <w:r w:rsidR="00395C08">
        <w:rPr>
          <w:sz w:val="23"/>
          <w:szCs w:val="23"/>
        </w:rPr>
        <w:t xml:space="preserve"> or </w:t>
      </w:r>
      <w:proofErr w:type="gramStart"/>
      <w:r w:rsidR="00395C08">
        <w:rPr>
          <w:sz w:val="23"/>
          <w:szCs w:val="23"/>
        </w:rPr>
        <w:t>all of</w:t>
      </w:r>
      <w:proofErr w:type="gramEnd"/>
      <w:r w:rsidR="00395C08">
        <w:rPr>
          <w:sz w:val="23"/>
          <w:szCs w:val="23"/>
        </w:rPr>
        <w:t xml:space="preserve"> the pipeline</w:t>
      </w:r>
      <w:r w:rsidR="00385611" w:rsidRPr="004645C7">
        <w:rPr>
          <w:sz w:val="23"/>
          <w:szCs w:val="23"/>
        </w:rPr>
        <w:t xml:space="preserve">, but </w:t>
      </w:r>
      <w:r w:rsidR="007E1CA5">
        <w:rPr>
          <w:sz w:val="23"/>
          <w:szCs w:val="23"/>
        </w:rPr>
        <w:t>operators will usually hold</w:t>
      </w:r>
      <w:r w:rsidR="00385611" w:rsidRPr="004645C7">
        <w:rPr>
          <w:sz w:val="23"/>
          <w:szCs w:val="23"/>
        </w:rPr>
        <w:t xml:space="preserve"> </w:t>
      </w:r>
      <w:r w:rsidR="00F03F96" w:rsidRPr="004645C7">
        <w:rPr>
          <w:sz w:val="23"/>
          <w:szCs w:val="23"/>
        </w:rPr>
        <w:t>existing</w:t>
      </w:r>
      <w:r w:rsidR="00385611" w:rsidRPr="004645C7">
        <w:rPr>
          <w:sz w:val="23"/>
          <w:szCs w:val="23"/>
        </w:rPr>
        <w:t xml:space="preserve"> operational survey data to establish </w:t>
      </w:r>
      <w:r w:rsidR="00EF63E4">
        <w:rPr>
          <w:sz w:val="23"/>
          <w:szCs w:val="23"/>
        </w:rPr>
        <w:t>whether there is a requirement</w:t>
      </w:r>
      <w:r w:rsidR="00385611" w:rsidRPr="004645C7">
        <w:rPr>
          <w:sz w:val="23"/>
          <w:szCs w:val="23"/>
        </w:rPr>
        <w:t xml:space="preserve"> for </w:t>
      </w:r>
      <w:r w:rsidR="00685BB3">
        <w:rPr>
          <w:sz w:val="23"/>
          <w:szCs w:val="23"/>
        </w:rPr>
        <w:t xml:space="preserve">pipeline </w:t>
      </w:r>
      <w:r w:rsidR="00385611" w:rsidRPr="004645C7">
        <w:rPr>
          <w:sz w:val="23"/>
          <w:szCs w:val="23"/>
        </w:rPr>
        <w:t>debris clearance.</w:t>
      </w:r>
    </w:p>
    <w:p w14:paraId="7FCB03CF" w14:textId="115D98ED" w:rsidR="00EC7ACD" w:rsidRPr="004645C7" w:rsidRDefault="00404EFD" w:rsidP="00C647A2">
      <w:pPr>
        <w:tabs>
          <w:tab w:val="left" w:pos="851"/>
        </w:tabs>
        <w:ind w:left="709" w:hanging="709"/>
        <w:rPr>
          <w:rFonts w:eastAsia="Times New Roman"/>
          <w:sz w:val="23"/>
          <w:szCs w:val="23"/>
        </w:rPr>
      </w:pPr>
      <w:r w:rsidRPr="004645C7">
        <w:rPr>
          <w:rFonts w:eastAsia="Times New Roman"/>
          <w:sz w:val="23"/>
          <w:szCs w:val="23"/>
        </w:rPr>
        <w:t>12.</w:t>
      </w:r>
      <w:r w:rsidR="002E68EA">
        <w:rPr>
          <w:rFonts w:eastAsia="Times New Roman"/>
          <w:sz w:val="23"/>
          <w:szCs w:val="23"/>
        </w:rPr>
        <w:t>40</w:t>
      </w:r>
      <w:r w:rsidR="00EC7ACD" w:rsidRPr="004645C7">
        <w:rPr>
          <w:rFonts w:eastAsia="Times New Roman"/>
          <w:sz w:val="23"/>
          <w:szCs w:val="23"/>
        </w:rPr>
        <w:tab/>
      </w:r>
      <w:r w:rsidR="00385611" w:rsidRPr="004645C7">
        <w:rPr>
          <w:rFonts w:eastAsia="Times New Roman"/>
          <w:sz w:val="23"/>
          <w:szCs w:val="23"/>
        </w:rPr>
        <w:t xml:space="preserve">Following the removal of any debris, verification of </w:t>
      </w:r>
      <w:r w:rsidR="00F03F96" w:rsidRPr="004645C7">
        <w:rPr>
          <w:rFonts w:eastAsia="Times New Roman"/>
          <w:sz w:val="23"/>
          <w:szCs w:val="23"/>
        </w:rPr>
        <w:t xml:space="preserve">completion of the </w:t>
      </w:r>
      <w:r w:rsidR="00385611" w:rsidRPr="004645C7">
        <w:rPr>
          <w:rFonts w:eastAsia="Times New Roman"/>
          <w:sz w:val="23"/>
          <w:szCs w:val="23"/>
        </w:rPr>
        <w:t xml:space="preserve">seabed clearance </w:t>
      </w:r>
      <w:r w:rsidR="00F03F96" w:rsidRPr="004645C7">
        <w:rPr>
          <w:rFonts w:eastAsia="Times New Roman"/>
          <w:sz w:val="23"/>
          <w:szCs w:val="23"/>
        </w:rPr>
        <w:t xml:space="preserve">operations </w:t>
      </w:r>
      <w:r w:rsidR="00385611" w:rsidRPr="004645C7">
        <w:rPr>
          <w:rFonts w:eastAsia="Times New Roman"/>
          <w:sz w:val="23"/>
          <w:szCs w:val="23"/>
        </w:rPr>
        <w:t xml:space="preserve">is required. </w:t>
      </w:r>
      <w:r w:rsidR="000F065F" w:rsidRPr="004645C7">
        <w:rPr>
          <w:rFonts w:eastAsiaTheme="majorEastAsia"/>
          <w:sz w:val="23"/>
          <w:szCs w:val="23"/>
        </w:rPr>
        <w:t xml:space="preserve">This requirement may be provided in the form </w:t>
      </w:r>
      <w:r w:rsidR="0041124D">
        <w:rPr>
          <w:rFonts w:eastAsiaTheme="majorEastAsia"/>
          <w:sz w:val="23"/>
          <w:szCs w:val="23"/>
        </w:rPr>
        <w:t xml:space="preserve">of survey reports </w:t>
      </w:r>
      <w:r w:rsidR="000F065F" w:rsidRPr="004645C7">
        <w:rPr>
          <w:rFonts w:eastAsiaTheme="majorEastAsia"/>
          <w:sz w:val="23"/>
          <w:szCs w:val="23"/>
        </w:rPr>
        <w:t>o</w:t>
      </w:r>
      <w:r w:rsidR="0041124D">
        <w:rPr>
          <w:rFonts w:eastAsiaTheme="majorEastAsia"/>
          <w:sz w:val="23"/>
          <w:szCs w:val="23"/>
        </w:rPr>
        <w:t>r</w:t>
      </w:r>
      <w:r w:rsidR="000F065F" w:rsidRPr="004645C7">
        <w:rPr>
          <w:rFonts w:eastAsiaTheme="majorEastAsia"/>
          <w:sz w:val="23"/>
          <w:szCs w:val="23"/>
        </w:rPr>
        <w:t xml:space="preserve"> a seabed clearance certificate issued by </w:t>
      </w:r>
      <w:r w:rsidR="00F03F96" w:rsidRPr="004645C7">
        <w:rPr>
          <w:rFonts w:eastAsiaTheme="majorEastAsia"/>
          <w:sz w:val="23"/>
          <w:szCs w:val="23"/>
        </w:rPr>
        <w:t>the body that undertook the survey and removal operations</w:t>
      </w:r>
      <w:r w:rsidR="000F065F" w:rsidRPr="004645C7">
        <w:rPr>
          <w:rFonts w:eastAsiaTheme="majorEastAsia"/>
          <w:sz w:val="23"/>
          <w:szCs w:val="23"/>
        </w:rPr>
        <w:t>.</w:t>
      </w:r>
    </w:p>
    <w:p w14:paraId="2A5E1C1A" w14:textId="5105DCDD" w:rsidR="00385611" w:rsidRPr="004645C7" w:rsidRDefault="00404EFD" w:rsidP="00C647A2">
      <w:pPr>
        <w:ind w:left="709" w:hanging="709"/>
        <w:contextualSpacing/>
        <w:rPr>
          <w:rFonts w:eastAsia="Times New Roman"/>
          <w:sz w:val="23"/>
          <w:szCs w:val="23"/>
        </w:rPr>
      </w:pPr>
      <w:r w:rsidRPr="004645C7">
        <w:rPr>
          <w:rFonts w:eastAsia="Times New Roman"/>
          <w:sz w:val="23"/>
          <w:szCs w:val="23"/>
        </w:rPr>
        <w:t>12.</w:t>
      </w:r>
      <w:r w:rsidR="00985D4A">
        <w:rPr>
          <w:rFonts w:eastAsia="Times New Roman"/>
          <w:sz w:val="23"/>
          <w:szCs w:val="23"/>
        </w:rPr>
        <w:t>41</w:t>
      </w:r>
      <w:r w:rsidR="00EC7ACD" w:rsidRPr="004645C7">
        <w:rPr>
          <w:rFonts w:eastAsia="Times New Roman"/>
          <w:sz w:val="23"/>
          <w:szCs w:val="23"/>
        </w:rPr>
        <w:tab/>
      </w:r>
      <w:r w:rsidR="00385611" w:rsidRPr="004645C7">
        <w:rPr>
          <w:rFonts w:eastAsia="Times New Roman"/>
          <w:sz w:val="23"/>
          <w:szCs w:val="23"/>
        </w:rPr>
        <w:t xml:space="preserve">Verification </w:t>
      </w:r>
      <w:r w:rsidR="00985D4A">
        <w:rPr>
          <w:rFonts w:eastAsia="Times New Roman"/>
          <w:sz w:val="23"/>
          <w:szCs w:val="23"/>
        </w:rPr>
        <w:t>that an area is clear of debris or o</w:t>
      </w:r>
      <w:r w:rsidR="002C1B74">
        <w:rPr>
          <w:rFonts w:eastAsia="Times New Roman"/>
          <w:sz w:val="23"/>
          <w:szCs w:val="23"/>
        </w:rPr>
        <w:t>b</w:t>
      </w:r>
      <w:r w:rsidR="00985D4A">
        <w:rPr>
          <w:rFonts w:eastAsia="Times New Roman"/>
          <w:sz w:val="23"/>
          <w:szCs w:val="23"/>
        </w:rPr>
        <w:t>struc</w:t>
      </w:r>
      <w:r w:rsidR="002C1B74">
        <w:rPr>
          <w:rFonts w:eastAsia="Times New Roman"/>
          <w:sz w:val="23"/>
          <w:szCs w:val="23"/>
        </w:rPr>
        <w:t>t</w:t>
      </w:r>
      <w:r w:rsidR="00985D4A">
        <w:rPr>
          <w:rFonts w:eastAsia="Times New Roman"/>
          <w:sz w:val="23"/>
          <w:szCs w:val="23"/>
        </w:rPr>
        <w:t>ion</w:t>
      </w:r>
      <w:r w:rsidR="002C1B74">
        <w:rPr>
          <w:rFonts w:eastAsia="Times New Roman"/>
          <w:sz w:val="23"/>
          <w:szCs w:val="23"/>
        </w:rPr>
        <w:t>s</w:t>
      </w:r>
      <w:r w:rsidR="00985D4A">
        <w:rPr>
          <w:rFonts w:eastAsia="Times New Roman"/>
          <w:sz w:val="23"/>
          <w:szCs w:val="23"/>
        </w:rPr>
        <w:t xml:space="preserve"> that could interfere with future fishing operations</w:t>
      </w:r>
      <w:r w:rsidR="002C1B74">
        <w:rPr>
          <w:rFonts w:eastAsia="Times New Roman"/>
          <w:sz w:val="23"/>
          <w:szCs w:val="23"/>
        </w:rPr>
        <w:t xml:space="preserve"> may </w:t>
      </w:r>
      <w:r w:rsidR="009B3931">
        <w:rPr>
          <w:rFonts w:eastAsia="Times New Roman"/>
          <w:sz w:val="23"/>
          <w:szCs w:val="23"/>
        </w:rPr>
        <w:t xml:space="preserve">also be </w:t>
      </w:r>
      <w:r w:rsidR="002C1B74">
        <w:rPr>
          <w:rFonts w:eastAsia="Times New Roman"/>
          <w:sz w:val="23"/>
          <w:szCs w:val="23"/>
        </w:rPr>
        <w:t>require</w:t>
      </w:r>
      <w:r w:rsidR="00F53308">
        <w:rPr>
          <w:rFonts w:eastAsia="Times New Roman"/>
          <w:sz w:val="23"/>
          <w:szCs w:val="23"/>
        </w:rPr>
        <w:t xml:space="preserve">d, and this </w:t>
      </w:r>
      <w:r w:rsidR="00385611" w:rsidRPr="004645C7">
        <w:rPr>
          <w:rFonts w:eastAsia="Times New Roman"/>
          <w:sz w:val="23"/>
          <w:szCs w:val="23"/>
        </w:rPr>
        <w:t xml:space="preserve">is </w:t>
      </w:r>
      <w:r w:rsidR="000F065F" w:rsidRPr="004645C7">
        <w:rPr>
          <w:rFonts w:eastAsia="Times New Roman"/>
          <w:sz w:val="23"/>
          <w:szCs w:val="23"/>
        </w:rPr>
        <w:t xml:space="preserve">normally </w:t>
      </w:r>
      <w:r w:rsidR="000564B8">
        <w:rPr>
          <w:rFonts w:eastAsia="Times New Roman"/>
          <w:sz w:val="23"/>
          <w:szCs w:val="23"/>
        </w:rPr>
        <w:t>provided</w:t>
      </w:r>
      <w:r w:rsidR="000564B8" w:rsidRPr="004645C7">
        <w:rPr>
          <w:rFonts w:eastAsia="Times New Roman"/>
          <w:sz w:val="23"/>
          <w:szCs w:val="23"/>
        </w:rPr>
        <w:t xml:space="preserve"> </w:t>
      </w:r>
      <w:r w:rsidR="00385611" w:rsidRPr="004645C7">
        <w:rPr>
          <w:rFonts w:eastAsia="Times New Roman"/>
          <w:sz w:val="23"/>
          <w:szCs w:val="23"/>
        </w:rPr>
        <w:t xml:space="preserve">by the relevant </w:t>
      </w:r>
      <w:r w:rsidR="000564B8">
        <w:rPr>
          <w:rFonts w:eastAsia="Times New Roman"/>
          <w:sz w:val="23"/>
          <w:szCs w:val="23"/>
        </w:rPr>
        <w:t>fishermen’s representative body</w:t>
      </w:r>
      <w:r w:rsidR="00E220BF">
        <w:rPr>
          <w:rFonts w:eastAsia="Times New Roman"/>
          <w:sz w:val="23"/>
          <w:szCs w:val="23"/>
        </w:rPr>
        <w:t xml:space="preserve"> following a survey undertaken using</w:t>
      </w:r>
      <w:r w:rsidR="00385611" w:rsidRPr="004645C7">
        <w:rPr>
          <w:rFonts w:eastAsia="Times New Roman"/>
          <w:sz w:val="23"/>
          <w:szCs w:val="23"/>
        </w:rPr>
        <w:t xml:space="preserve"> trawl </w:t>
      </w:r>
      <w:r w:rsidR="00E220BF">
        <w:rPr>
          <w:rFonts w:eastAsia="Times New Roman"/>
          <w:sz w:val="23"/>
          <w:szCs w:val="23"/>
        </w:rPr>
        <w:t>gear</w:t>
      </w:r>
      <w:r w:rsidR="00E220BF" w:rsidRPr="004645C7">
        <w:rPr>
          <w:rFonts w:eastAsia="Times New Roman"/>
          <w:sz w:val="23"/>
          <w:szCs w:val="23"/>
        </w:rPr>
        <w:t xml:space="preserve"> </w:t>
      </w:r>
      <w:r w:rsidR="003D2858" w:rsidRPr="004645C7">
        <w:rPr>
          <w:rFonts w:eastAsia="Times New Roman"/>
          <w:sz w:val="23"/>
          <w:szCs w:val="23"/>
        </w:rPr>
        <w:t xml:space="preserve">that is </w:t>
      </w:r>
      <w:r w:rsidR="00385611" w:rsidRPr="004645C7">
        <w:rPr>
          <w:rFonts w:eastAsia="Times New Roman"/>
          <w:sz w:val="23"/>
          <w:szCs w:val="23"/>
        </w:rPr>
        <w:t xml:space="preserve">appropriate for the area under consideration. However, environmental considerations (e.g. cuttings piles, environmental sensitivities) may preclude the use of trawl </w:t>
      </w:r>
      <w:r w:rsidR="00762968">
        <w:rPr>
          <w:rFonts w:eastAsia="Times New Roman"/>
          <w:sz w:val="23"/>
          <w:szCs w:val="23"/>
        </w:rPr>
        <w:t xml:space="preserve">gear </w:t>
      </w:r>
      <w:r w:rsidR="00385611" w:rsidRPr="004645C7">
        <w:rPr>
          <w:rFonts w:eastAsia="Times New Roman"/>
          <w:sz w:val="23"/>
          <w:szCs w:val="23"/>
        </w:rPr>
        <w:t xml:space="preserve">and </w:t>
      </w:r>
      <w:r w:rsidR="003D2858" w:rsidRPr="004645C7">
        <w:rPr>
          <w:rFonts w:eastAsia="Times New Roman"/>
          <w:sz w:val="23"/>
          <w:szCs w:val="23"/>
        </w:rPr>
        <w:t xml:space="preserve">alternative </w:t>
      </w:r>
      <w:r w:rsidR="00385611" w:rsidRPr="004645C7">
        <w:rPr>
          <w:rFonts w:eastAsia="Times New Roman"/>
          <w:sz w:val="23"/>
          <w:szCs w:val="23"/>
        </w:rPr>
        <w:t xml:space="preserve">methods to determine seabed clearance will be considered on a case-by-case basis. </w:t>
      </w:r>
    </w:p>
    <w:p w14:paraId="7768EDAE" w14:textId="77777777" w:rsidR="00C647A2" w:rsidRPr="004645C7" w:rsidRDefault="00C647A2" w:rsidP="00C647A2">
      <w:pPr>
        <w:ind w:left="851" w:hanging="851"/>
        <w:contextualSpacing/>
        <w:rPr>
          <w:rFonts w:eastAsia="Times New Roman"/>
          <w:sz w:val="23"/>
          <w:szCs w:val="23"/>
        </w:rPr>
      </w:pPr>
    </w:p>
    <w:p w14:paraId="0F731D0E" w14:textId="33936181" w:rsidR="00EC7ACD" w:rsidRPr="004645C7" w:rsidRDefault="00404EFD" w:rsidP="003D2858">
      <w:pPr>
        <w:ind w:left="709" w:hanging="709"/>
        <w:rPr>
          <w:rFonts w:eastAsia="Times New Roman"/>
          <w:sz w:val="23"/>
          <w:szCs w:val="23"/>
        </w:rPr>
      </w:pPr>
      <w:r w:rsidRPr="004645C7">
        <w:rPr>
          <w:rFonts w:eastAsia="Times New Roman"/>
          <w:sz w:val="23"/>
          <w:szCs w:val="23"/>
        </w:rPr>
        <w:t>12.</w:t>
      </w:r>
      <w:r w:rsidR="00B3440F">
        <w:rPr>
          <w:rFonts w:eastAsia="Times New Roman"/>
          <w:sz w:val="23"/>
          <w:szCs w:val="23"/>
        </w:rPr>
        <w:t>42</w:t>
      </w:r>
      <w:r w:rsidR="00EC7ACD" w:rsidRPr="004645C7">
        <w:rPr>
          <w:rFonts w:eastAsia="Times New Roman"/>
          <w:sz w:val="23"/>
          <w:szCs w:val="23"/>
        </w:rPr>
        <w:tab/>
      </w:r>
      <w:r w:rsidR="00385611" w:rsidRPr="004645C7">
        <w:rPr>
          <w:rFonts w:eastAsia="Times New Roman"/>
          <w:sz w:val="23"/>
          <w:szCs w:val="23"/>
        </w:rPr>
        <w:t>If an operator proposes to use an alternative organisation</w:t>
      </w:r>
      <w:r w:rsidR="00166227">
        <w:rPr>
          <w:rFonts w:eastAsia="Times New Roman"/>
          <w:sz w:val="23"/>
          <w:szCs w:val="23"/>
        </w:rPr>
        <w:t xml:space="preserve"> to provide v</w:t>
      </w:r>
      <w:r w:rsidR="00166227" w:rsidRPr="004645C7">
        <w:rPr>
          <w:rFonts w:eastAsia="Times New Roman"/>
          <w:sz w:val="23"/>
          <w:szCs w:val="23"/>
        </w:rPr>
        <w:t xml:space="preserve">erification </w:t>
      </w:r>
      <w:r w:rsidR="00166227">
        <w:rPr>
          <w:rFonts w:eastAsia="Times New Roman"/>
          <w:sz w:val="23"/>
          <w:szCs w:val="23"/>
        </w:rPr>
        <w:t>that an area is clear of debris or obstructions that could interfere with future fishing operations</w:t>
      </w:r>
      <w:r w:rsidR="00067143" w:rsidRPr="004645C7">
        <w:rPr>
          <w:rFonts w:eastAsia="Times New Roman"/>
          <w:sz w:val="23"/>
          <w:szCs w:val="23"/>
        </w:rPr>
        <w:t xml:space="preserve">, </w:t>
      </w:r>
      <w:r w:rsidR="00385611" w:rsidRPr="004645C7">
        <w:rPr>
          <w:rFonts w:eastAsia="Times New Roman"/>
          <w:sz w:val="23"/>
          <w:szCs w:val="23"/>
        </w:rPr>
        <w:t>this should be discussed in advance with O</w:t>
      </w:r>
      <w:r w:rsidR="002B1673" w:rsidRPr="004645C7">
        <w:rPr>
          <w:rFonts w:eastAsia="Times New Roman"/>
          <w:sz w:val="23"/>
          <w:szCs w:val="23"/>
        </w:rPr>
        <w:t>PRED</w:t>
      </w:r>
      <w:r w:rsidR="0006026C">
        <w:rPr>
          <w:rFonts w:eastAsia="Times New Roman"/>
          <w:sz w:val="23"/>
          <w:szCs w:val="23"/>
        </w:rPr>
        <w:t>-ODU and OPRED-EMT</w:t>
      </w:r>
      <w:r w:rsidR="00385611" w:rsidRPr="004645C7">
        <w:rPr>
          <w:rFonts w:eastAsia="Times New Roman"/>
          <w:sz w:val="23"/>
          <w:szCs w:val="23"/>
        </w:rPr>
        <w:t xml:space="preserve"> </w:t>
      </w:r>
      <w:r w:rsidR="00EC7ACD" w:rsidRPr="004645C7">
        <w:rPr>
          <w:rFonts w:eastAsia="Times New Roman"/>
          <w:sz w:val="23"/>
          <w:szCs w:val="23"/>
        </w:rPr>
        <w:t>and should cover:</w:t>
      </w:r>
    </w:p>
    <w:p w14:paraId="4E2E6AD7" w14:textId="2CD19AE1" w:rsidR="00EC7ACD" w:rsidRPr="004645C7" w:rsidRDefault="00385611" w:rsidP="003D2858">
      <w:pPr>
        <w:pStyle w:val="ListParagraph"/>
        <w:numPr>
          <w:ilvl w:val="0"/>
          <w:numId w:val="18"/>
        </w:numPr>
        <w:spacing w:after="200" w:line="276" w:lineRule="auto"/>
        <w:ind w:left="1434" w:hanging="357"/>
        <w:rPr>
          <w:rFonts w:ascii="Arial" w:hAnsi="Arial" w:cs="Arial"/>
          <w:sz w:val="23"/>
          <w:szCs w:val="23"/>
        </w:rPr>
      </w:pPr>
      <w:r w:rsidRPr="004645C7">
        <w:rPr>
          <w:rFonts w:ascii="Arial" w:hAnsi="Arial" w:cs="Arial"/>
          <w:sz w:val="23"/>
          <w:szCs w:val="23"/>
        </w:rPr>
        <w:t xml:space="preserve">the means of verification and form of </w:t>
      </w:r>
      <w:r w:rsidR="00166227">
        <w:rPr>
          <w:rFonts w:ascii="Arial" w:hAnsi="Arial" w:cs="Arial"/>
          <w:sz w:val="23"/>
          <w:szCs w:val="23"/>
        </w:rPr>
        <w:t xml:space="preserve">the </w:t>
      </w:r>
      <w:r w:rsidRPr="004645C7">
        <w:rPr>
          <w:rFonts w:ascii="Arial" w:hAnsi="Arial" w:cs="Arial"/>
          <w:sz w:val="23"/>
          <w:szCs w:val="23"/>
        </w:rPr>
        <w:t>clearance certificat</w:t>
      </w:r>
      <w:r w:rsidR="00166227">
        <w:rPr>
          <w:rFonts w:ascii="Arial" w:hAnsi="Arial" w:cs="Arial"/>
          <w:sz w:val="23"/>
          <w:szCs w:val="23"/>
        </w:rPr>
        <w:t>e;</w:t>
      </w:r>
      <w:r w:rsidR="00067143" w:rsidRPr="004645C7">
        <w:rPr>
          <w:rFonts w:ascii="Arial" w:hAnsi="Arial" w:cs="Arial"/>
          <w:sz w:val="23"/>
          <w:szCs w:val="23"/>
        </w:rPr>
        <w:t xml:space="preserve"> and</w:t>
      </w:r>
    </w:p>
    <w:p w14:paraId="65C5A241" w14:textId="002F77AB" w:rsidR="00385611" w:rsidRPr="004645C7" w:rsidRDefault="009D592C" w:rsidP="003D2858">
      <w:pPr>
        <w:pStyle w:val="ListParagraph"/>
        <w:numPr>
          <w:ilvl w:val="0"/>
          <w:numId w:val="18"/>
        </w:numPr>
        <w:spacing w:after="200" w:line="276" w:lineRule="auto"/>
        <w:ind w:left="1434" w:hanging="357"/>
        <w:rPr>
          <w:rFonts w:ascii="Arial" w:eastAsiaTheme="majorEastAsia" w:hAnsi="Arial" w:cs="Arial"/>
          <w:sz w:val="23"/>
          <w:szCs w:val="23"/>
        </w:rPr>
      </w:pPr>
      <w:r w:rsidRPr="004645C7">
        <w:rPr>
          <w:rFonts w:ascii="Arial" w:hAnsi="Arial" w:cs="Arial"/>
          <w:sz w:val="23"/>
          <w:szCs w:val="23"/>
        </w:rPr>
        <w:lastRenderedPageBreak/>
        <w:t>the capability/expertise (with evidence) of</w:t>
      </w:r>
      <w:r w:rsidR="00385611" w:rsidRPr="004645C7">
        <w:rPr>
          <w:rFonts w:ascii="Arial" w:hAnsi="Arial" w:cs="Arial"/>
          <w:sz w:val="23"/>
          <w:szCs w:val="23"/>
        </w:rPr>
        <w:t xml:space="preserve"> the organisation proposed to carry out the work.</w:t>
      </w:r>
      <w:r w:rsidR="00385611" w:rsidRPr="004645C7">
        <w:rPr>
          <w:rFonts w:ascii="Arial" w:eastAsiaTheme="majorEastAsia" w:hAnsi="Arial" w:cs="Arial"/>
          <w:sz w:val="23"/>
          <w:szCs w:val="23"/>
        </w:rPr>
        <w:t xml:space="preserve"> </w:t>
      </w:r>
    </w:p>
    <w:p w14:paraId="78C6FDF9" w14:textId="20F75B77" w:rsidR="00B3440F" w:rsidRPr="004645C7" w:rsidRDefault="00404EFD" w:rsidP="00B3440F">
      <w:pPr>
        <w:tabs>
          <w:tab w:val="left" w:pos="851"/>
        </w:tabs>
        <w:ind w:left="709" w:hanging="709"/>
        <w:rPr>
          <w:sz w:val="23"/>
          <w:szCs w:val="23"/>
        </w:rPr>
      </w:pPr>
      <w:r w:rsidRPr="004645C7">
        <w:rPr>
          <w:rFonts w:eastAsiaTheme="majorEastAsia"/>
          <w:sz w:val="23"/>
          <w:szCs w:val="23"/>
        </w:rPr>
        <w:t>12.</w:t>
      </w:r>
      <w:r w:rsidR="00166227">
        <w:rPr>
          <w:rFonts w:eastAsiaTheme="majorEastAsia"/>
          <w:sz w:val="23"/>
          <w:szCs w:val="23"/>
        </w:rPr>
        <w:t>4</w:t>
      </w:r>
      <w:r w:rsidRPr="004645C7">
        <w:rPr>
          <w:rFonts w:eastAsiaTheme="majorEastAsia"/>
          <w:sz w:val="23"/>
          <w:szCs w:val="23"/>
        </w:rPr>
        <w:t>3</w:t>
      </w:r>
      <w:r w:rsidR="00EC7ACD" w:rsidRPr="004645C7">
        <w:rPr>
          <w:rFonts w:eastAsiaTheme="majorEastAsia"/>
          <w:sz w:val="23"/>
          <w:szCs w:val="23"/>
        </w:rPr>
        <w:tab/>
      </w:r>
      <w:r w:rsidR="00394CF3">
        <w:rPr>
          <w:rFonts w:eastAsiaTheme="majorEastAsia"/>
          <w:sz w:val="23"/>
          <w:szCs w:val="23"/>
        </w:rPr>
        <w:t xml:space="preserve"> </w:t>
      </w:r>
      <w:r w:rsidR="00EE3BA2">
        <w:rPr>
          <w:rFonts w:eastAsiaTheme="majorEastAsia"/>
          <w:sz w:val="23"/>
          <w:szCs w:val="23"/>
        </w:rPr>
        <w:t>In all cases, t</w:t>
      </w:r>
      <w:r w:rsidR="00B3440F" w:rsidRPr="004645C7">
        <w:rPr>
          <w:sz w:val="23"/>
          <w:szCs w:val="23"/>
        </w:rPr>
        <w:t xml:space="preserve">he </w:t>
      </w:r>
      <w:r w:rsidR="00B3440F">
        <w:rPr>
          <w:sz w:val="23"/>
          <w:szCs w:val="23"/>
        </w:rPr>
        <w:t xml:space="preserve">proposed </w:t>
      </w:r>
      <w:r w:rsidR="00B3440F" w:rsidRPr="004645C7">
        <w:rPr>
          <w:sz w:val="23"/>
          <w:szCs w:val="23"/>
        </w:rPr>
        <w:t xml:space="preserve">scope and scheduling of </w:t>
      </w:r>
      <w:r w:rsidR="00B3440F">
        <w:rPr>
          <w:sz w:val="23"/>
          <w:szCs w:val="23"/>
        </w:rPr>
        <w:t xml:space="preserve">any </w:t>
      </w:r>
      <w:r w:rsidR="00B3440F" w:rsidRPr="004645C7">
        <w:rPr>
          <w:sz w:val="23"/>
          <w:szCs w:val="23"/>
        </w:rPr>
        <w:t>survey and clearance activity</w:t>
      </w:r>
      <w:r w:rsidR="00EE3BA2">
        <w:rPr>
          <w:sz w:val="23"/>
          <w:szCs w:val="23"/>
        </w:rPr>
        <w:t xml:space="preserve"> or over-trawl operations </w:t>
      </w:r>
      <w:r w:rsidR="00B3440F" w:rsidRPr="004645C7">
        <w:rPr>
          <w:sz w:val="23"/>
          <w:szCs w:val="23"/>
        </w:rPr>
        <w:t>sh</w:t>
      </w:r>
      <w:r w:rsidR="00B3440F">
        <w:rPr>
          <w:sz w:val="23"/>
          <w:szCs w:val="23"/>
        </w:rPr>
        <w:t>ould always</w:t>
      </w:r>
      <w:r w:rsidR="00B3440F" w:rsidRPr="004645C7">
        <w:rPr>
          <w:sz w:val="23"/>
          <w:szCs w:val="23"/>
        </w:rPr>
        <w:t xml:space="preserve"> be discussed and agreed with the </w:t>
      </w:r>
      <w:r w:rsidR="00C15A5C">
        <w:rPr>
          <w:sz w:val="23"/>
          <w:szCs w:val="23"/>
        </w:rPr>
        <w:t xml:space="preserve">OPRED-ODU and </w:t>
      </w:r>
      <w:r w:rsidR="00B3440F" w:rsidRPr="004645C7">
        <w:rPr>
          <w:sz w:val="23"/>
          <w:szCs w:val="23"/>
        </w:rPr>
        <w:t>OPRED</w:t>
      </w:r>
      <w:r w:rsidR="00B3440F">
        <w:rPr>
          <w:sz w:val="23"/>
          <w:szCs w:val="23"/>
        </w:rPr>
        <w:t>-EMT</w:t>
      </w:r>
      <w:r w:rsidR="00B3440F" w:rsidRPr="004645C7">
        <w:rPr>
          <w:sz w:val="23"/>
          <w:szCs w:val="23"/>
        </w:rPr>
        <w:t xml:space="preserve"> before work commences.</w:t>
      </w:r>
    </w:p>
    <w:p w14:paraId="69EE83E2" w14:textId="1CDDB1A1" w:rsidR="00316E79" w:rsidRPr="004645C7" w:rsidRDefault="00FE37D3" w:rsidP="00151C06">
      <w:pPr>
        <w:ind w:left="709" w:hanging="709"/>
        <w:rPr>
          <w:color w:val="1F497D" w:themeColor="text2"/>
          <w:sz w:val="23"/>
          <w:szCs w:val="23"/>
        </w:rPr>
      </w:pPr>
      <w:r>
        <w:rPr>
          <w:rFonts w:eastAsiaTheme="majorEastAsia"/>
          <w:sz w:val="23"/>
          <w:szCs w:val="23"/>
        </w:rPr>
        <w:t>12.44</w:t>
      </w:r>
      <w:r>
        <w:rPr>
          <w:rFonts w:eastAsiaTheme="majorEastAsia"/>
          <w:sz w:val="23"/>
          <w:szCs w:val="23"/>
        </w:rPr>
        <w:tab/>
      </w:r>
      <w:r w:rsidR="00800B5B">
        <w:rPr>
          <w:rFonts w:eastAsiaTheme="majorEastAsia"/>
          <w:sz w:val="23"/>
          <w:szCs w:val="23"/>
        </w:rPr>
        <w:t>C</w:t>
      </w:r>
      <w:r w:rsidR="003C637E" w:rsidRPr="004645C7">
        <w:rPr>
          <w:rFonts w:eastAsiaTheme="majorEastAsia"/>
          <w:sz w:val="23"/>
          <w:szCs w:val="23"/>
        </w:rPr>
        <w:t>op</w:t>
      </w:r>
      <w:r w:rsidR="00800B5B">
        <w:rPr>
          <w:rFonts w:eastAsiaTheme="majorEastAsia"/>
          <w:sz w:val="23"/>
          <w:szCs w:val="23"/>
        </w:rPr>
        <w:t>ies</w:t>
      </w:r>
      <w:r w:rsidR="003C637E" w:rsidRPr="004645C7">
        <w:rPr>
          <w:rFonts w:eastAsiaTheme="majorEastAsia"/>
          <w:sz w:val="23"/>
          <w:szCs w:val="23"/>
        </w:rPr>
        <w:t xml:space="preserve"> of </w:t>
      </w:r>
      <w:r w:rsidR="00800B5B">
        <w:rPr>
          <w:rFonts w:eastAsiaTheme="majorEastAsia"/>
          <w:sz w:val="23"/>
          <w:szCs w:val="23"/>
        </w:rPr>
        <w:t>any</w:t>
      </w:r>
      <w:r w:rsidR="003C637E" w:rsidRPr="004645C7">
        <w:rPr>
          <w:rFonts w:eastAsiaTheme="majorEastAsia"/>
          <w:sz w:val="23"/>
          <w:szCs w:val="23"/>
        </w:rPr>
        <w:t xml:space="preserve"> seabed clearance certificate </w:t>
      </w:r>
      <w:r w:rsidR="00800B5B">
        <w:rPr>
          <w:rFonts w:eastAsiaTheme="majorEastAsia"/>
          <w:sz w:val="23"/>
          <w:szCs w:val="23"/>
        </w:rPr>
        <w:t xml:space="preserve">must be submitted </w:t>
      </w:r>
      <w:r w:rsidR="00B25B1F">
        <w:rPr>
          <w:rFonts w:eastAsiaTheme="majorEastAsia"/>
          <w:sz w:val="23"/>
          <w:szCs w:val="23"/>
        </w:rPr>
        <w:t>to OPRED</w:t>
      </w:r>
      <w:r w:rsidR="00B25B1F">
        <w:rPr>
          <w:rFonts w:eastAsiaTheme="majorEastAsia"/>
          <w:sz w:val="23"/>
          <w:szCs w:val="23"/>
        </w:rPr>
        <w:noBreakHyphen/>
        <w:t xml:space="preserve">ODU and </w:t>
      </w:r>
      <w:r w:rsidR="003C637E" w:rsidRPr="004645C7">
        <w:rPr>
          <w:rFonts w:eastAsiaTheme="majorEastAsia"/>
          <w:sz w:val="23"/>
          <w:szCs w:val="23"/>
        </w:rPr>
        <w:t>should also be submitted to the Seabed Data Centre (Offshore Installations) at the United Kingdom Hydrographic Office</w:t>
      </w:r>
      <w:r w:rsidR="00486EA0">
        <w:rPr>
          <w:rFonts w:eastAsiaTheme="majorEastAsia"/>
          <w:sz w:val="23"/>
          <w:szCs w:val="23"/>
        </w:rPr>
        <w:t xml:space="preserve"> (Section 14)</w:t>
      </w:r>
      <w:r w:rsidR="003C637E" w:rsidRPr="004645C7">
        <w:rPr>
          <w:rFonts w:eastAsiaTheme="majorEastAsia"/>
          <w:sz w:val="23"/>
          <w:szCs w:val="23"/>
        </w:rPr>
        <w:t xml:space="preserve">.  </w:t>
      </w:r>
    </w:p>
    <w:p w14:paraId="7E4660FF" w14:textId="77777777" w:rsidR="00385611" w:rsidRPr="004645C7" w:rsidRDefault="00385611" w:rsidP="00151C06">
      <w:pPr>
        <w:rPr>
          <w:rFonts w:eastAsia="Times New Roman"/>
          <w:color w:val="1F497D" w:themeColor="text2"/>
          <w:sz w:val="23"/>
          <w:szCs w:val="23"/>
        </w:rPr>
      </w:pPr>
      <w:r w:rsidRPr="004645C7">
        <w:rPr>
          <w:rFonts w:eastAsiaTheme="majorEastAsia"/>
          <w:color w:val="1F497D" w:themeColor="text2"/>
          <w:sz w:val="23"/>
          <w:szCs w:val="23"/>
        </w:rPr>
        <w:t xml:space="preserve">Post-decommissioning </w:t>
      </w:r>
      <w:r w:rsidR="005758DE" w:rsidRPr="004645C7">
        <w:rPr>
          <w:rFonts w:eastAsiaTheme="majorEastAsia"/>
          <w:color w:val="1F497D" w:themeColor="text2"/>
          <w:sz w:val="23"/>
          <w:szCs w:val="23"/>
        </w:rPr>
        <w:t xml:space="preserve">environmental </w:t>
      </w:r>
      <w:r w:rsidR="009D592C" w:rsidRPr="004645C7">
        <w:rPr>
          <w:rFonts w:eastAsiaTheme="majorEastAsia"/>
          <w:color w:val="1F497D" w:themeColor="text2"/>
          <w:sz w:val="23"/>
          <w:szCs w:val="23"/>
        </w:rPr>
        <w:t>monitoring</w:t>
      </w:r>
    </w:p>
    <w:p w14:paraId="6D04060D" w14:textId="7B3C3FE9" w:rsidR="00385611" w:rsidRPr="004645C7" w:rsidRDefault="00404EFD" w:rsidP="00B662E3">
      <w:pPr>
        <w:tabs>
          <w:tab w:val="left" w:pos="851"/>
        </w:tabs>
        <w:ind w:left="709" w:hanging="709"/>
        <w:rPr>
          <w:sz w:val="23"/>
          <w:szCs w:val="23"/>
        </w:rPr>
      </w:pPr>
      <w:r w:rsidRPr="004645C7">
        <w:rPr>
          <w:sz w:val="23"/>
          <w:szCs w:val="23"/>
        </w:rPr>
        <w:t>12.</w:t>
      </w:r>
      <w:r w:rsidR="00E70DD3">
        <w:rPr>
          <w:sz w:val="23"/>
          <w:szCs w:val="23"/>
        </w:rPr>
        <w:t>4</w:t>
      </w:r>
      <w:r w:rsidR="00E8045F">
        <w:rPr>
          <w:sz w:val="23"/>
          <w:szCs w:val="23"/>
        </w:rPr>
        <w:t>5</w:t>
      </w:r>
      <w:r w:rsidR="00EC7ACD" w:rsidRPr="004645C7">
        <w:rPr>
          <w:sz w:val="23"/>
          <w:szCs w:val="23"/>
        </w:rPr>
        <w:tab/>
      </w:r>
      <w:r w:rsidR="00385611" w:rsidRPr="004645C7">
        <w:rPr>
          <w:sz w:val="23"/>
          <w:szCs w:val="23"/>
        </w:rPr>
        <w:t xml:space="preserve">In addition to debris </w:t>
      </w:r>
      <w:r w:rsidR="007035B9">
        <w:rPr>
          <w:sz w:val="23"/>
          <w:szCs w:val="23"/>
        </w:rPr>
        <w:t xml:space="preserve">identification and clearance surveys and over-trawl </w:t>
      </w:r>
      <w:r w:rsidR="00385611" w:rsidRPr="004645C7">
        <w:rPr>
          <w:sz w:val="23"/>
          <w:szCs w:val="23"/>
        </w:rPr>
        <w:t>surveys,</w:t>
      </w:r>
      <w:r w:rsidR="00067143" w:rsidRPr="004645C7">
        <w:rPr>
          <w:sz w:val="23"/>
          <w:szCs w:val="23"/>
        </w:rPr>
        <w:t xml:space="preserve"> </w:t>
      </w:r>
      <w:r w:rsidR="00FC5A06" w:rsidRPr="004645C7">
        <w:rPr>
          <w:sz w:val="23"/>
          <w:szCs w:val="23"/>
        </w:rPr>
        <w:t>there may be instances where</w:t>
      </w:r>
      <w:r w:rsidR="00385611" w:rsidRPr="004645C7">
        <w:rPr>
          <w:sz w:val="23"/>
          <w:szCs w:val="23"/>
        </w:rPr>
        <w:t xml:space="preserve"> a post-decommissioning environmental survey </w:t>
      </w:r>
      <w:r w:rsidR="00FC5A06" w:rsidRPr="004645C7">
        <w:rPr>
          <w:sz w:val="23"/>
          <w:szCs w:val="23"/>
        </w:rPr>
        <w:t xml:space="preserve">is required. This is </w:t>
      </w:r>
      <w:r w:rsidR="00225F84">
        <w:rPr>
          <w:sz w:val="23"/>
          <w:szCs w:val="23"/>
        </w:rPr>
        <w:t xml:space="preserve">most </w:t>
      </w:r>
      <w:r w:rsidR="00FC5A06" w:rsidRPr="004645C7">
        <w:rPr>
          <w:sz w:val="23"/>
          <w:szCs w:val="23"/>
        </w:rPr>
        <w:t xml:space="preserve">likely where </w:t>
      </w:r>
      <w:r w:rsidR="00151C06" w:rsidRPr="004645C7">
        <w:rPr>
          <w:sz w:val="23"/>
          <w:szCs w:val="23"/>
        </w:rPr>
        <w:t>there is significant contamination in the vicinity of an installation</w:t>
      </w:r>
      <w:r w:rsidR="00B662E3" w:rsidRPr="004645C7">
        <w:rPr>
          <w:sz w:val="23"/>
          <w:szCs w:val="23"/>
        </w:rPr>
        <w:t xml:space="preserve"> that necessitates </w:t>
      </w:r>
      <w:r w:rsidR="00385611" w:rsidRPr="004645C7">
        <w:rPr>
          <w:sz w:val="23"/>
          <w:szCs w:val="23"/>
        </w:rPr>
        <w:t>monitor</w:t>
      </w:r>
      <w:r w:rsidR="00FC5A06" w:rsidRPr="004645C7">
        <w:rPr>
          <w:sz w:val="23"/>
          <w:szCs w:val="23"/>
        </w:rPr>
        <w:t>ing of</w:t>
      </w:r>
      <w:r w:rsidR="00385611" w:rsidRPr="004645C7">
        <w:rPr>
          <w:sz w:val="23"/>
          <w:szCs w:val="23"/>
        </w:rPr>
        <w:t xml:space="preserve"> </w:t>
      </w:r>
      <w:r w:rsidR="00B662E3" w:rsidRPr="004645C7">
        <w:rPr>
          <w:sz w:val="23"/>
          <w:szCs w:val="23"/>
        </w:rPr>
        <w:t xml:space="preserve">the </w:t>
      </w:r>
      <w:r w:rsidR="00385611" w:rsidRPr="004645C7">
        <w:rPr>
          <w:sz w:val="23"/>
          <w:szCs w:val="23"/>
        </w:rPr>
        <w:t xml:space="preserve">levels of hydrocarbons, heavy metals </w:t>
      </w:r>
      <w:r w:rsidR="00B662E3" w:rsidRPr="004645C7">
        <w:rPr>
          <w:sz w:val="23"/>
          <w:szCs w:val="23"/>
        </w:rPr>
        <w:t xml:space="preserve">or </w:t>
      </w:r>
      <w:r w:rsidR="00385611" w:rsidRPr="004645C7">
        <w:rPr>
          <w:sz w:val="23"/>
          <w:szCs w:val="23"/>
        </w:rPr>
        <w:t>other contaminants in sediment and biota</w:t>
      </w:r>
      <w:r w:rsidR="00B662E3" w:rsidRPr="004645C7">
        <w:rPr>
          <w:sz w:val="23"/>
          <w:szCs w:val="23"/>
        </w:rPr>
        <w:t xml:space="preserve">, or where infrastructure decommissioned </w:t>
      </w:r>
      <w:r w:rsidR="00B662E3" w:rsidRPr="004645C7">
        <w:rPr>
          <w:i/>
          <w:sz w:val="23"/>
          <w:szCs w:val="23"/>
        </w:rPr>
        <w:t>in situ</w:t>
      </w:r>
      <w:r w:rsidR="00B662E3" w:rsidRPr="004645C7">
        <w:rPr>
          <w:sz w:val="23"/>
          <w:szCs w:val="23"/>
        </w:rPr>
        <w:t xml:space="preserve"> </w:t>
      </w:r>
      <w:r w:rsidR="001363AE">
        <w:rPr>
          <w:sz w:val="23"/>
          <w:szCs w:val="23"/>
        </w:rPr>
        <w:t>needs to be</w:t>
      </w:r>
      <w:r w:rsidR="004956CC">
        <w:rPr>
          <w:sz w:val="23"/>
          <w:szCs w:val="23"/>
        </w:rPr>
        <w:t xml:space="preserve"> monitored to assess </w:t>
      </w:r>
      <w:r w:rsidR="00260463">
        <w:rPr>
          <w:sz w:val="23"/>
          <w:szCs w:val="23"/>
        </w:rPr>
        <w:t>its condition, its colonisation by marine or</w:t>
      </w:r>
      <w:r w:rsidR="002823B7">
        <w:rPr>
          <w:sz w:val="23"/>
          <w:szCs w:val="23"/>
        </w:rPr>
        <w:t>g</w:t>
      </w:r>
      <w:r w:rsidR="00260463">
        <w:rPr>
          <w:sz w:val="23"/>
          <w:szCs w:val="23"/>
        </w:rPr>
        <w:t>anisms</w:t>
      </w:r>
      <w:r w:rsidR="002823B7">
        <w:rPr>
          <w:sz w:val="23"/>
          <w:szCs w:val="23"/>
        </w:rPr>
        <w:t xml:space="preserve"> or the potential </w:t>
      </w:r>
      <w:r w:rsidR="00B662E3" w:rsidRPr="004645C7">
        <w:rPr>
          <w:sz w:val="23"/>
          <w:szCs w:val="23"/>
        </w:rPr>
        <w:t>risk to fishing operations</w:t>
      </w:r>
      <w:r w:rsidR="00385611" w:rsidRPr="004645C7">
        <w:rPr>
          <w:sz w:val="23"/>
          <w:szCs w:val="23"/>
        </w:rPr>
        <w:t>.</w:t>
      </w:r>
      <w:r w:rsidR="008C23AF">
        <w:rPr>
          <w:sz w:val="23"/>
          <w:szCs w:val="23"/>
        </w:rPr>
        <w:t xml:space="preserve"> </w:t>
      </w:r>
    </w:p>
    <w:p w14:paraId="4E6924D2" w14:textId="516CD8B6" w:rsidR="00394CF3" w:rsidRDefault="00404EFD" w:rsidP="00225F84">
      <w:pPr>
        <w:tabs>
          <w:tab w:val="left" w:pos="851"/>
        </w:tabs>
        <w:ind w:left="709" w:hanging="709"/>
        <w:rPr>
          <w:sz w:val="23"/>
          <w:szCs w:val="23"/>
        </w:rPr>
      </w:pPr>
      <w:r w:rsidRPr="004645C7">
        <w:rPr>
          <w:sz w:val="23"/>
          <w:szCs w:val="23"/>
        </w:rPr>
        <w:t>12.</w:t>
      </w:r>
      <w:r w:rsidR="00B662E3" w:rsidRPr="004645C7">
        <w:rPr>
          <w:sz w:val="23"/>
          <w:szCs w:val="23"/>
        </w:rPr>
        <w:t>4</w:t>
      </w:r>
      <w:r w:rsidR="00E8045F">
        <w:rPr>
          <w:sz w:val="23"/>
          <w:szCs w:val="23"/>
        </w:rPr>
        <w:t>6</w:t>
      </w:r>
      <w:r w:rsidR="00EC7ACD" w:rsidRPr="004645C7">
        <w:rPr>
          <w:sz w:val="23"/>
          <w:szCs w:val="23"/>
        </w:rPr>
        <w:tab/>
      </w:r>
      <w:r w:rsidR="00942C0B" w:rsidRPr="004645C7">
        <w:rPr>
          <w:sz w:val="23"/>
          <w:szCs w:val="23"/>
        </w:rPr>
        <w:t>Where</w:t>
      </w:r>
      <w:r w:rsidR="00FB3D8C" w:rsidRPr="004645C7">
        <w:rPr>
          <w:sz w:val="23"/>
          <w:szCs w:val="23"/>
        </w:rPr>
        <w:t>,</w:t>
      </w:r>
      <w:r w:rsidR="00942C0B" w:rsidRPr="004645C7">
        <w:rPr>
          <w:sz w:val="23"/>
          <w:szCs w:val="23"/>
        </w:rPr>
        <w:t xml:space="preserve"> </w:t>
      </w:r>
      <w:r w:rsidR="00FB3D8C" w:rsidRPr="004645C7">
        <w:rPr>
          <w:sz w:val="23"/>
          <w:szCs w:val="23"/>
        </w:rPr>
        <w:t xml:space="preserve">based on the information provided in the DP, </w:t>
      </w:r>
      <w:r w:rsidR="00385611" w:rsidRPr="004645C7">
        <w:rPr>
          <w:sz w:val="23"/>
          <w:szCs w:val="23"/>
        </w:rPr>
        <w:t>O</w:t>
      </w:r>
      <w:r w:rsidR="00B662E3" w:rsidRPr="004645C7">
        <w:rPr>
          <w:sz w:val="23"/>
          <w:szCs w:val="23"/>
        </w:rPr>
        <w:t>PRED</w:t>
      </w:r>
      <w:r w:rsidR="0006026C">
        <w:rPr>
          <w:sz w:val="23"/>
          <w:szCs w:val="23"/>
        </w:rPr>
        <w:t>-ODU</w:t>
      </w:r>
      <w:r w:rsidR="00B662E3" w:rsidRPr="004645C7">
        <w:rPr>
          <w:sz w:val="23"/>
          <w:szCs w:val="23"/>
        </w:rPr>
        <w:t xml:space="preserve"> </w:t>
      </w:r>
      <w:r w:rsidR="00EE260A">
        <w:rPr>
          <w:sz w:val="23"/>
          <w:szCs w:val="23"/>
        </w:rPr>
        <w:t>and OPRED</w:t>
      </w:r>
      <w:r w:rsidR="00EE260A">
        <w:rPr>
          <w:sz w:val="23"/>
          <w:szCs w:val="23"/>
        </w:rPr>
        <w:noBreakHyphen/>
        <w:t xml:space="preserve">EMT </w:t>
      </w:r>
      <w:r w:rsidR="00B662E3" w:rsidRPr="004645C7">
        <w:rPr>
          <w:sz w:val="23"/>
          <w:szCs w:val="23"/>
        </w:rPr>
        <w:t xml:space="preserve">determine that post-decommissioning monitoring is necessary, </w:t>
      </w:r>
      <w:r w:rsidR="00BB0690" w:rsidRPr="004645C7">
        <w:rPr>
          <w:sz w:val="23"/>
          <w:szCs w:val="23"/>
        </w:rPr>
        <w:t>o</w:t>
      </w:r>
      <w:r w:rsidR="00385611" w:rsidRPr="004645C7">
        <w:rPr>
          <w:sz w:val="23"/>
          <w:szCs w:val="23"/>
        </w:rPr>
        <w:t xml:space="preserve">perators </w:t>
      </w:r>
      <w:r w:rsidR="00B662E3" w:rsidRPr="004645C7">
        <w:rPr>
          <w:sz w:val="23"/>
          <w:szCs w:val="23"/>
        </w:rPr>
        <w:t xml:space="preserve">will be required to </w:t>
      </w:r>
      <w:r w:rsidR="00385611" w:rsidRPr="004645C7">
        <w:rPr>
          <w:sz w:val="23"/>
          <w:szCs w:val="23"/>
        </w:rPr>
        <w:t xml:space="preserve">develop </w:t>
      </w:r>
      <w:r w:rsidR="00793832" w:rsidRPr="004645C7">
        <w:rPr>
          <w:sz w:val="23"/>
          <w:szCs w:val="23"/>
        </w:rPr>
        <w:t xml:space="preserve">a </w:t>
      </w:r>
      <w:r w:rsidR="001F20B1">
        <w:rPr>
          <w:sz w:val="23"/>
          <w:szCs w:val="23"/>
        </w:rPr>
        <w:t xml:space="preserve">robust </w:t>
      </w:r>
      <w:r w:rsidR="00385611" w:rsidRPr="004645C7">
        <w:rPr>
          <w:sz w:val="23"/>
          <w:szCs w:val="23"/>
        </w:rPr>
        <w:t xml:space="preserve">survey strategy in consultation with </w:t>
      </w:r>
      <w:r w:rsidR="002B1673" w:rsidRPr="004645C7">
        <w:rPr>
          <w:sz w:val="23"/>
          <w:szCs w:val="23"/>
        </w:rPr>
        <w:t>OPRED</w:t>
      </w:r>
      <w:r w:rsidR="0074605A">
        <w:rPr>
          <w:sz w:val="23"/>
          <w:szCs w:val="23"/>
        </w:rPr>
        <w:t>-EMT</w:t>
      </w:r>
      <w:r w:rsidR="001F20B1">
        <w:rPr>
          <w:sz w:val="23"/>
          <w:szCs w:val="23"/>
        </w:rPr>
        <w:t>.</w:t>
      </w:r>
    </w:p>
    <w:p w14:paraId="32B66F1F" w14:textId="57C29CC0" w:rsidR="00EC7ACD" w:rsidRPr="004645C7" w:rsidRDefault="00404EFD" w:rsidP="00225F84">
      <w:pPr>
        <w:tabs>
          <w:tab w:val="left" w:pos="851"/>
        </w:tabs>
        <w:ind w:left="709" w:hanging="709"/>
        <w:rPr>
          <w:sz w:val="23"/>
          <w:szCs w:val="23"/>
        </w:rPr>
      </w:pPr>
      <w:r w:rsidRPr="004645C7">
        <w:rPr>
          <w:sz w:val="23"/>
          <w:szCs w:val="23"/>
        </w:rPr>
        <w:t>12.4</w:t>
      </w:r>
      <w:r w:rsidR="00E8045F">
        <w:rPr>
          <w:sz w:val="23"/>
          <w:szCs w:val="23"/>
        </w:rPr>
        <w:t>7</w:t>
      </w:r>
      <w:r w:rsidR="00EC7ACD" w:rsidRPr="004645C7">
        <w:rPr>
          <w:sz w:val="23"/>
          <w:szCs w:val="23"/>
        </w:rPr>
        <w:tab/>
      </w:r>
      <w:r w:rsidR="009D732A" w:rsidRPr="004645C7">
        <w:rPr>
          <w:sz w:val="23"/>
          <w:szCs w:val="23"/>
        </w:rPr>
        <w:t>The agreed</w:t>
      </w:r>
      <w:r w:rsidR="00942C0B" w:rsidRPr="004645C7">
        <w:rPr>
          <w:sz w:val="23"/>
          <w:szCs w:val="23"/>
        </w:rPr>
        <w:t xml:space="preserve"> strategy </w:t>
      </w:r>
      <w:r w:rsidR="009D732A" w:rsidRPr="004645C7">
        <w:rPr>
          <w:sz w:val="23"/>
          <w:szCs w:val="23"/>
        </w:rPr>
        <w:t>may</w:t>
      </w:r>
      <w:r w:rsidR="00942C0B" w:rsidRPr="004645C7">
        <w:rPr>
          <w:sz w:val="23"/>
          <w:szCs w:val="23"/>
        </w:rPr>
        <w:t xml:space="preserve"> </w:t>
      </w:r>
      <w:r w:rsidR="00EE260A">
        <w:rPr>
          <w:sz w:val="23"/>
          <w:szCs w:val="23"/>
        </w:rPr>
        <w:t xml:space="preserve">entail </w:t>
      </w:r>
      <w:r w:rsidR="00942C0B" w:rsidRPr="004645C7">
        <w:rPr>
          <w:sz w:val="23"/>
          <w:szCs w:val="23"/>
        </w:rPr>
        <w:t>multiple surveys,</w:t>
      </w:r>
      <w:r w:rsidR="001F20B1">
        <w:rPr>
          <w:sz w:val="23"/>
          <w:szCs w:val="23"/>
        </w:rPr>
        <w:t xml:space="preserve"> </w:t>
      </w:r>
      <w:r w:rsidR="00942C0B" w:rsidRPr="004645C7">
        <w:rPr>
          <w:sz w:val="23"/>
          <w:szCs w:val="23"/>
        </w:rPr>
        <w:t xml:space="preserve">with the first being part of the </w:t>
      </w:r>
      <w:r w:rsidR="005719D5">
        <w:rPr>
          <w:sz w:val="23"/>
          <w:szCs w:val="23"/>
        </w:rPr>
        <w:t xml:space="preserve">decommissioning </w:t>
      </w:r>
      <w:r w:rsidR="00942C0B" w:rsidRPr="004645C7">
        <w:rPr>
          <w:sz w:val="23"/>
          <w:szCs w:val="23"/>
        </w:rPr>
        <w:t xml:space="preserve">close-out process and </w:t>
      </w:r>
      <w:r w:rsidR="00AC4877" w:rsidRPr="004645C7">
        <w:rPr>
          <w:sz w:val="23"/>
          <w:szCs w:val="23"/>
        </w:rPr>
        <w:t>further survey</w:t>
      </w:r>
      <w:r w:rsidR="00942C0B" w:rsidRPr="004645C7">
        <w:rPr>
          <w:sz w:val="23"/>
          <w:szCs w:val="23"/>
        </w:rPr>
        <w:t>s</w:t>
      </w:r>
      <w:r w:rsidR="00AC4877" w:rsidRPr="004645C7">
        <w:rPr>
          <w:sz w:val="23"/>
          <w:szCs w:val="23"/>
        </w:rPr>
        <w:t xml:space="preserve"> </w:t>
      </w:r>
      <w:r w:rsidR="005D4D58" w:rsidRPr="004645C7">
        <w:rPr>
          <w:sz w:val="23"/>
          <w:szCs w:val="23"/>
        </w:rPr>
        <w:t xml:space="preserve">scheduled for </w:t>
      </w:r>
      <w:r w:rsidR="00385611" w:rsidRPr="004645C7">
        <w:rPr>
          <w:sz w:val="23"/>
          <w:szCs w:val="23"/>
        </w:rPr>
        <w:t xml:space="preserve">some time after the </w:t>
      </w:r>
      <w:r w:rsidR="00942C0B" w:rsidRPr="004645C7">
        <w:rPr>
          <w:sz w:val="23"/>
          <w:szCs w:val="23"/>
        </w:rPr>
        <w:t xml:space="preserve">initial </w:t>
      </w:r>
      <w:r w:rsidR="00FE22B6">
        <w:rPr>
          <w:sz w:val="23"/>
          <w:szCs w:val="23"/>
        </w:rPr>
        <w:t>survey</w:t>
      </w:r>
      <w:r w:rsidR="00385611" w:rsidRPr="004645C7">
        <w:rPr>
          <w:sz w:val="23"/>
          <w:szCs w:val="23"/>
        </w:rPr>
        <w:t xml:space="preserve">. </w:t>
      </w:r>
    </w:p>
    <w:p w14:paraId="1BD1C225" w14:textId="60045B66" w:rsidR="00385611" w:rsidRPr="004645C7" w:rsidRDefault="00EC7ACD" w:rsidP="00225F84">
      <w:pPr>
        <w:tabs>
          <w:tab w:val="left" w:pos="851"/>
        </w:tabs>
        <w:ind w:left="709" w:hanging="709"/>
        <w:rPr>
          <w:sz w:val="23"/>
          <w:szCs w:val="23"/>
        </w:rPr>
      </w:pPr>
      <w:r w:rsidRPr="004645C7">
        <w:rPr>
          <w:sz w:val="23"/>
          <w:szCs w:val="23"/>
        </w:rPr>
        <w:t>12.</w:t>
      </w:r>
      <w:r w:rsidR="00404EFD" w:rsidRPr="004645C7">
        <w:rPr>
          <w:sz w:val="23"/>
          <w:szCs w:val="23"/>
        </w:rPr>
        <w:t>4</w:t>
      </w:r>
      <w:r w:rsidR="00E8045F">
        <w:rPr>
          <w:sz w:val="23"/>
          <w:szCs w:val="23"/>
        </w:rPr>
        <w:t>8</w:t>
      </w:r>
      <w:r w:rsidRPr="004645C7">
        <w:rPr>
          <w:sz w:val="23"/>
          <w:szCs w:val="23"/>
        </w:rPr>
        <w:tab/>
      </w:r>
      <w:r w:rsidR="00A60159" w:rsidRPr="004645C7">
        <w:rPr>
          <w:sz w:val="23"/>
          <w:szCs w:val="23"/>
        </w:rPr>
        <w:t xml:space="preserve">The results of post-decommissioning </w:t>
      </w:r>
      <w:r w:rsidR="00A60159">
        <w:rPr>
          <w:sz w:val="23"/>
          <w:szCs w:val="23"/>
        </w:rPr>
        <w:t xml:space="preserve">monitoring </w:t>
      </w:r>
      <w:r w:rsidR="00A60159" w:rsidRPr="004645C7">
        <w:rPr>
          <w:sz w:val="23"/>
          <w:szCs w:val="23"/>
        </w:rPr>
        <w:t>surveys should be submitted to OPRED</w:t>
      </w:r>
      <w:r w:rsidR="00A60159">
        <w:rPr>
          <w:sz w:val="23"/>
          <w:szCs w:val="23"/>
        </w:rPr>
        <w:t>-ODU</w:t>
      </w:r>
      <w:r w:rsidR="00A401C5">
        <w:rPr>
          <w:sz w:val="23"/>
          <w:szCs w:val="23"/>
        </w:rPr>
        <w:t>,</w:t>
      </w:r>
      <w:r w:rsidR="00A60159" w:rsidRPr="004645C7">
        <w:rPr>
          <w:sz w:val="23"/>
          <w:szCs w:val="23"/>
        </w:rPr>
        <w:t xml:space="preserve"> </w:t>
      </w:r>
      <w:r w:rsidR="00670E82">
        <w:rPr>
          <w:sz w:val="23"/>
          <w:szCs w:val="23"/>
        </w:rPr>
        <w:t xml:space="preserve">and they </w:t>
      </w:r>
      <w:r w:rsidR="00942C0B" w:rsidRPr="004645C7">
        <w:rPr>
          <w:sz w:val="23"/>
          <w:szCs w:val="23"/>
        </w:rPr>
        <w:t>will take a risk</w:t>
      </w:r>
      <w:r w:rsidR="00E70DD3">
        <w:rPr>
          <w:sz w:val="23"/>
          <w:szCs w:val="23"/>
        </w:rPr>
        <w:t>-</w:t>
      </w:r>
      <w:r w:rsidR="00942C0B" w:rsidRPr="004645C7">
        <w:rPr>
          <w:sz w:val="23"/>
          <w:szCs w:val="23"/>
        </w:rPr>
        <w:t xml:space="preserve">based approach </w:t>
      </w:r>
      <w:r w:rsidR="00670E82">
        <w:rPr>
          <w:sz w:val="23"/>
          <w:szCs w:val="23"/>
        </w:rPr>
        <w:t xml:space="preserve">when determining whether </w:t>
      </w:r>
      <w:r w:rsidR="00E55604">
        <w:rPr>
          <w:sz w:val="23"/>
          <w:szCs w:val="23"/>
        </w:rPr>
        <w:t xml:space="preserve">there is </w:t>
      </w:r>
      <w:r w:rsidR="00E32458" w:rsidRPr="004645C7">
        <w:rPr>
          <w:sz w:val="23"/>
          <w:szCs w:val="23"/>
        </w:rPr>
        <w:t xml:space="preserve">a </w:t>
      </w:r>
      <w:r w:rsidR="005D4D58" w:rsidRPr="004645C7">
        <w:rPr>
          <w:sz w:val="23"/>
          <w:szCs w:val="23"/>
        </w:rPr>
        <w:t xml:space="preserve">requirement for </w:t>
      </w:r>
      <w:r w:rsidR="00385611" w:rsidRPr="004645C7">
        <w:rPr>
          <w:sz w:val="23"/>
          <w:szCs w:val="23"/>
        </w:rPr>
        <w:t xml:space="preserve">further surveys </w:t>
      </w:r>
      <w:r w:rsidR="00E55604">
        <w:rPr>
          <w:sz w:val="23"/>
          <w:szCs w:val="23"/>
        </w:rPr>
        <w:t xml:space="preserve">based on the information included in the </w:t>
      </w:r>
      <w:r w:rsidR="00DB6D03">
        <w:rPr>
          <w:sz w:val="23"/>
          <w:szCs w:val="23"/>
        </w:rPr>
        <w:t>submitted report.  Every p</w:t>
      </w:r>
      <w:r w:rsidR="00E32458" w:rsidRPr="004645C7">
        <w:rPr>
          <w:sz w:val="23"/>
          <w:szCs w:val="23"/>
        </w:rPr>
        <w:t xml:space="preserve">roject </w:t>
      </w:r>
      <w:r w:rsidR="00270B6B">
        <w:rPr>
          <w:sz w:val="23"/>
          <w:szCs w:val="23"/>
        </w:rPr>
        <w:t xml:space="preserve">and survey report </w:t>
      </w:r>
      <w:r w:rsidR="00E32458" w:rsidRPr="004645C7">
        <w:rPr>
          <w:sz w:val="23"/>
          <w:szCs w:val="23"/>
        </w:rPr>
        <w:t>will be considered on a case</w:t>
      </w:r>
      <w:r w:rsidR="00E8045F">
        <w:rPr>
          <w:sz w:val="23"/>
          <w:szCs w:val="23"/>
        </w:rPr>
        <w:t>-</w:t>
      </w:r>
      <w:r w:rsidR="00E32458" w:rsidRPr="004645C7">
        <w:rPr>
          <w:sz w:val="23"/>
          <w:szCs w:val="23"/>
        </w:rPr>
        <w:t>by</w:t>
      </w:r>
      <w:r w:rsidR="00E8045F">
        <w:rPr>
          <w:sz w:val="23"/>
          <w:szCs w:val="23"/>
        </w:rPr>
        <w:t>-</w:t>
      </w:r>
      <w:r w:rsidR="00E32458" w:rsidRPr="004645C7">
        <w:rPr>
          <w:sz w:val="23"/>
          <w:szCs w:val="23"/>
        </w:rPr>
        <w:t>case basis.</w:t>
      </w:r>
      <w:r w:rsidR="00385611" w:rsidRPr="004645C7">
        <w:rPr>
          <w:sz w:val="23"/>
          <w:szCs w:val="23"/>
        </w:rPr>
        <w:t xml:space="preserve">   </w:t>
      </w:r>
    </w:p>
    <w:p w14:paraId="187F9A94" w14:textId="444B6024" w:rsidR="007F497B" w:rsidRPr="004645C7" w:rsidRDefault="007F497B" w:rsidP="00151C06">
      <w:pPr>
        <w:tabs>
          <w:tab w:val="left" w:pos="851"/>
        </w:tabs>
        <w:ind w:left="851" w:hanging="851"/>
        <w:rPr>
          <w:sz w:val="23"/>
          <w:szCs w:val="23"/>
        </w:rPr>
      </w:pPr>
    </w:p>
    <w:sectPr w:rsidR="007F497B" w:rsidRPr="004645C7" w:rsidSect="007F4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A336" w14:textId="77777777" w:rsidR="00DD2842" w:rsidRDefault="00DD2842" w:rsidP="009A6AEE">
      <w:pPr>
        <w:spacing w:after="0" w:line="240" w:lineRule="auto"/>
      </w:pPr>
      <w:r>
        <w:separator/>
      </w:r>
    </w:p>
  </w:endnote>
  <w:endnote w:type="continuationSeparator" w:id="0">
    <w:p w14:paraId="1DC10875" w14:textId="77777777" w:rsidR="00DD2842" w:rsidRDefault="00DD2842" w:rsidP="009A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6F81" w14:textId="77777777" w:rsidR="00DD2842" w:rsidRDefault="00DD2842" w:rsidP="009A6AEE">
      <w:pPr>
        <w:spacing w:after="0" w:line="240" w:lineRule="auto"/>
      </w:pPr>
      <w:r>
        <w:separator/>
      </w:r>
    </w:p>
  </w:footnote>
  <w:footnote w:type="continuationSeparator" w:id="0">
    <w:p w14:paraId="2181EC87" w14:textId="77777777" w:rsidR="00DD2842" w:rsidRDefault="00DD2842" w:rsidP="009A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1AA3" w14:textId="77777777" w:rsidR="005A7091" w:rsidRPr="009A6AEE" w:rsidRDefault="005A7091">
    <w:pPr>
      <w:pStyle w:val="Header"/>
      <w:rPr>
        <w:color w:val="1F497D" w:themeColor="text2"/>
        <w:sz w:val="23"/>
        <w:szCs w:val="23"/>
      </w:rPr>
    </w:pPr>
    <w:r w:rsidRPr="009A6AEE">
      <w:rPr>
        <w:color w:val="1F497D" w:themeColor="text2"/>
        <w:sz w:val="23"/>
        <w:szCs w:val="23"/>
      </w:rPr>
      <w:t>12. Environmental Considerations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C87"/>
    <w:multiLevelType w:val="hybridMultilevel"/>
    <w:tmpl w:val="B62674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698F"/>
    <w:multiLevelType w:val="hybridMultilevel"/>
    <w:tmpl w:val="C6A8BC7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843C8"/>
    <w:multiLevelType w:val="hybridMultilevel"/>
    <w:tmpl w:val="38FCA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6154F"/>
    <w:multiLevelType w:val="hybridMultilevel"/>
    <w:tmpl w:val="5A141F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76720"/>
    <w:multiLevelType w:val="hybridMultilevel"/>
    <w:tmpl w:val="E47A982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12264"/>
    <w:multiLevelType w:val="hybridMultilevel"/>
    <w:tmpl w:val="0A0AA2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9D7589"/>
    <w:multiLevelType w:val="hybridMultilevel"/>
    <w:tmpl w:val="8FCCF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82257"/>
    <w:multiLevelType w:val="hybridMultilevel"/>
    <w:tmpl w:val="55EC9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1717C"/>
    <w:multiLevelType w:val="multilevel"/>
    <w:tmpl w:val="9942FAE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B852836"/>
    <w:multiLevelType w:val="hybridMultilevel"/>
    <w:tmpl w:val="CC4039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B6553"/>
    <w:multiLevelType w:val="hybridMultilevel"/>
    <w:tmpl w:val="01546A4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2476BBB"/>
    <w:multiLevelType w:val="multilevel"/>
    <w:tmpl w:val="039AAC8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0947A6"/>
    <w:multiLevelType w:val="hybridMultilevel"/>
    <w:tmpl w:val="C4D80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12502"/>
    <w:multiLevelType w:val="hybridMultilevel"/>
    <w:tmpl w:val="2E747600"/>
    <w:lvl w:ilvl="0" w:tplc="F50C704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C0221"/>
    <w:multiLevelType w:val="hybridMultilevel"/>
    <w:tmpl w:val="ABBCDD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542AB"/>
    <w:multiLevelType w:val="hybridMultilevel"/>
    <w:tmpl w:val="B61A96F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14B3998"/>
    <w:multiLevelType w:val="hybridMultilevel"/>
    <w:tmpl w:val="79180F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14"/>
  </w:num>
  <w:num w:numId="9">
    <w:abstractNumId w:val="7"/>
  </w:num>
  <w:num w:numId="10">
    <w:abstractNumId w:val="3"/>
  </w:num>
  <w:num w:numId="11">
    <w:abstractNumId w:val="16"/>
  </w:num>
  <w:num w:numId="12">
    <w:abstractNumId w:val="9"/>
  </w:num>
  <w:num w:numId="13">
    <w:abstractNumId w:val="10"/>
  </w:num>
  <w:num w:numId="14">
    <w:abstractNumId w:val="6"/>
  </w:num>
  <w:num w:numId="15">
    <w:abstractNumId w:val="4"/>
  </w:num>
  <w:num w:numId="16">
    <w:abstractNumId w:val="5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97"/>
    <w:rsid w:val="000003EC"/>
    <w:rsid w:val="00001167"/>
    <w:rsid w:val="00003AE3"/>
    <w:rsid w:val="00006B3A"/>
    <w:rsid w:val="000154CA"/>
    <w:rsid w:val="00023753"/>
    <w:rsid w:val="00030971"/>
    <w:rsid w:val="0003311A"/>
    <w:rsid w:val="00044469"/>
    <w:rsid w:val="000457CA"/>
    <w:rsid w:val="0005131B"/>
    <w:rsid w:val="00052EBE"/>
    <w:rsid w:val="00054B59"/>
    <w:rsid w:val="000554BC"/>
    <w:rsid w:val="00055662"/>
    <w:rsid w:val="000564B8"/>
    <w:rsid w:val="00056D31"/>
    <w:rsid w:val="0006026C"/>
    <w:rsid w:val="00060F0C"/>
    <w:rsid w:val="000626C9"/>
    <w:rsid w:val="00066E41"/>
    <w:rsid w:val="00067051"/>
    <w:rsid w:val="00067143"/>
    <w:rsid w:val="0007184C"/>
    <w:rsid w:val="00071D72"/>
    <w:rsid w:val="00075DF8"/>
    <w:rsid w:val="0007656C"/>
    <w:rsid w:val="0008629F"/>
    <w:rsid w:val="00090739"/>
    <w:rsid w:val="00092A17"/>
    <w:rsid w:val="000968B7"/>
    <w:rsid w:val="00097681"/>
    <w:rsid w:val="000A45C2"/>
    <w:rsid w:val="000A4D1C"/>
    <w:rsid w:val="000B0762"/>
    <w:rsid w:val="000B0BCA"/>
    <w:rsid w:val="000B211C"/>
    <w:rsid w:val="000B5B4D"/>
    <w:rsid w:val="000B7B9F"/>
    <w:rsid w:val="000C0B2E"/>
    <w:rsid w:val="000C3F8D"/>
    <w:rsid w:val="000E000F"/>
    <w:rsid w:val="000E17DF"/>
    <w:rsid w:val="000E1DBB"/>
    <w:rsid w:val="000E2F9D"/>
    <w:rsid w:val="000E52AE"/>
    <w:rsid w:val="000E7A11"/>
    <w:rsid w:val="000F065F"/>
    <w:rsid w:val="000F7A96"/>
    <w:rsid w:val="001049DA"/>
    <w:rsid w:val="00106B96"/>
    <w:rsid w:val="00111186"/>
    <w:rsid w:val="00127413"/>
    <w:rsid w:val="00130792"/>
    <w:rsid w:val="0013283B"/>
    <w:rsid w:val="00132B0B"/>
    <w:rsid w:val="001332AC"/>
    <w:rsid w:val="001361AC"/>
    <w:rsid w:val="001363AE"/>
    <w:rsid w:val="00143736"/>
    <w:rsid w:val="00145384"/>
    <w:rsid w:val="00147485"/>
    <w:rsid w:val="00151C06"/>
    <w:rsid w:val="00153520"/>
    <w:rsid w:val="00155CFE"/>
    <w:rsid w:val="001633BB"/>
    <w:rsid w:val="00163D6A"/>
    <w:rsid w:val="00166227"/>
    <w:rsid w:val="001732A7"/>
    <w:rsid w:val="001742BF"/>
    <w:rsid w:val="0017452C"/>
    <w:rsid w:val="001803F2"/>
    <w:rsid w:val="001808B3"/>
    <w:rsid w:val="0018097E"/>
    <w:rsid w:val="001840A9"/>
    <w:rsid w:val="00194DA9"/>
    <w:rsid w:val="001A0566"/>
    <w:rsid w:val="001A45DE"/>
    <w:rsid w:val="001B33A9"/>
    <w:rsid w:val="001C5683"/>
    <w:rsid w:val="001F1DB8"/>
    <w:rsid w:val="001F20B1"/>
    <w:rsid w:val="00203656"/>
    <w:rsid w:val="002063C1"/>
    <w:rsid w:val="0022234B"/>
    <w:rsid w:val="00224799"/>
    <w:rsid w:val="00225E9A"/>
    <w:rsid w:val="00225F84"/>
    <w:rsid w:val="0022634B"/>
    <w:rsid w:val="00235F8B"/>
    <w:rsid w:val="00237DAF"/>
    <w:rsid w:val="0024125E"/>
    <w:rsid w:val="0024170A"/>
    <w:rsid w:val="00243E80"/>
    <w:rsid w:val="0024484E"/>
    <w:rsid w:val="00254B19"/>
    <w:rsid w:val="00260463"/>
    <w:rsid w:val="00263645"/>
    <w:rsid w:val="002642AF"/>
    <w:rsid w:val="002652FA"/>
    <w:rsid w:val="00265858"/>
    <w:rsid w:val="00265F7D"/>
    <w:rsid w:val="00270B6B"/>
    <w:rsid w:val="002730EE"/>
    <w:rsid w:val="002774C7"/>
    <w:rsid w:val="00281705"/>
    <w:rsid w:val="002823B7"/>
    <w:rsid w:val="002827F8"/>
    <w:rsid w:val="00286A55"/>
    <w:rsid w:val="0029309B"/>
    <w:rsid w:val="002A3610"/>
    <w:rsid w:val="002B1673"/>
    <w:rsid w:val="002B282F"/>
    <w:rsid w:val="002B3968"/>
    <w:rsid w:val="002B5C67"/>
    <w:rsid w:val="002B60E1"/>
    <w:rsid w:val="002B7410"/>
    <w:rsid w:val="002C0EE6"/>
    <w:rsid w:val="002C1B74"/>
    <w:rsid w:val="002C3A5B"/>
    <w:rsid w:val="002C6DE1"/>
    <w:rsid w:val="002D23B5"/>
    <w:rsid w:val="002D64CE"/>
    <w:rsid w:val="002E4525"/>
    <w:rsid w:val="002E68EA"/>
    <w:rsid w:val="002E70A5"/>
    <w:rsid w:val="002F4B33"/>
    <w:rsid w:val="002F5957"/>
    <w:rsid w:val="002F600F"/>
    <w:rsid w:val="002F71CE"/>
    <w:rsid w:val="003020AD"/>
    <w:rsid w:val="00312E97"/>
    <w:rsid w:val="00316E79"/>
    <w:rsid w:val="003178FC"/>
    <w:rsid w:val="003215AA"/>
    <w:rsid w:val="00335D88"/>
    <w:rsid w:val="0034121A"/>
    <w:rsid w:val="003426C0"/>
    <w:rsid w:val="00343CEC"/>
    <w:rsid w:val="00351F7E"/>
    <w:rsid w:val="0035502C"/>
    <w:rsid w:val="00355BDF"/>
    <w:rsid w:val="0036165A"/>
    <w:rsid w:val="0037049E"/>
    <w:rsid w:val="003707A7"/>
    <w:rsid w:val="00374225"/>
    <w:rsid w:val="0038336E"/>
    <w:rsid w:val="00384CC0"/>
    <w:rsid w:val="00385450"/>
    <w:rsid w:val="00385611"/>
    <w:rsid w:val="00386AA9"/>
    <w:rsid w:val="00391EF5"/>
    <w:rsid w:val="00393086"/>
    <w:rsid w:val="00393611"/>
    <w:rsid w:val="00394CF3"/>
    <w:rsid w:val="003952CB"/>
    <w:rsid w:val="00395C08"/>
    <w:rsid w:val="003A061D"/>
    <w:rsid w:val="003A4B8B"/>
    <w:rsid w:val="003A566B"/>
    <w:rsid w:val="003B1EB3"/>
    <w:rsid w:val="003B46AF"/>
    <w:rsid w:val="003B4AFC"/>
    <w:rsid w:val="003C3C4F"/>
    <w:rsid w:val="003C637E"/>
    <w:rsid w:val="003C6B32"/>
    <w:rsid w:val="003C71C6"/>
    <w:rsid w:val="003D0323"/>
    <w:rsid w:val="003D2858"/>
    <w:rsid w:val="003D2E08"/>
    <w:rsid w:val="003D6BCC"/>
    <w:rsid w:val="003E1BAB"/>
    <w:rsid w:val="003E3548"/>
    <w:rsid w:val="003E40CB"/>
    <w:rsid w:val="003E5496"/>
    <w:rsid w:val="003E5FB4"/>
    <w:rsid w:val="003F2A78"/>
    <w:rsid w:val="003F6564"/>
    <w:rsid w:val="00401BCE"/>
    <w:rsid w:val="0040251D"/>
    <w:rsid w:val="0040321A"/>
    <w:rsid w:val="00404EFD"/>
    <w:rsid w:val="0041124D"/>
    <w:rsid w:val="0041358C"/>
    <w:rsid w:val="00422B9B"/>
    <w:rsid w:val="004274CB"/>
    <w:rsid w:val="00430BE4"/>
    <w:rsid w:val="0043183E"/>
    <w:rsid w:val="004350D3"/>
    <w:rsid w:val="0043645B"/>
    <w:rsid w:val="00446D22"/>
    <w:rsid w:val="00455396"/>
    <w:rsid w:val="004645C7"/>
    <w:rsid w:val="00464AA9"/>
    <w:rsid w:val="004706B0"/>
    <w:rsid w:val="00474FA5"/>
    <w:rsid w:val="00480781"/>
    <w:rsid w:val="004831F6"/>
    <w:rsid w:val="0048332F"/>
    <w:rsid w:val="004855B7"/>
    <w:rsid w:val="00485B7C"/>
    <w:rsid w:val="00486EA0"/>
    <w:rsid w:val="004903FC"/>
    <w:rsid w:val="004935B1"/>
    <w:rsid w:val="004956CC"/>
    <w:rsid w:val="004A0BBD"/>
    <w:rsid w:val="004A1174"/>
    <w:rsid w:val="004A73D9"/>
    <w:rsid w:val="004A74D0"/>
    <w:rsid w:val="004B4317"/>
    <w:rsid w:val="004C3A12"/>
    <w:rsid w:val="004D0709"/>
    <w:rsid w:val="004D25B2"/>
    <w:rsid w:val="004D307D"/>
    <w:rsid w:val="004D5715"/>
    <w:rsid w:val="004D6069"/>
    <w:rsid w:val="004E196E"/>
    <w:rsid w:val="004E7E35"/>
    <w:rsid w:val="004F7225"/>
    <w:rsid w:val="004F7928"/>
    <w:rsid w:val="00501B8D"/>
    <w:rsid w:val="00507EAE"/>
    <w:rsid w:val="00510CC4"/>
    <w:rsid w:val="00512DB8"/>
    <w:rsid w:val="00512E3A"/>
    <w:rsid w:val="00526B3D"/>
    <w:rsid w:val="00531D05"/>
    <w:rsid w:val="00534490"/>
    <w:rsid w:val="00536D29"/>
    <w:rsid w:val="005408A9"/>
    <w:rsid w:val="00541755"/>
    <w:rsid w:val="00550E46"/>
    <w:rsid w:val="00552F1F"/>
    <w:rsid w:val="005538B7"/>
    <w:rsid w:val="005546A1"/>
    <w:rsid w:val="0055594A"/>
    <w:rsid w:val="0056443D"/>
    <w:rsid w:val="0056526F"/>
    <w:rsid w:val="00566158"/>
    <w:rsid w:val="005719D5"/>
    <w:rsid w:val="00572540"/>
    <w:rsid w:val="0057389F"/>
    <w:rsid w:val="00573DAA"/>
    <w:rsid w:val="005758DE"/>
    <w:rsid w:val="00575D74"/>
    <w:rsid w:val="00591C04"/>
    <w:rsid w:val="0059730D"/>
    <w:rsid w:val="005A3EC9"/>
    <w:rsid w:val="005A4C90"/>
    <w:rsid w:val="005A7091"/>
    <w:rsid w:val="005A7695"/>
    <w:rsid w:val="005B0343"/>
    <w:rsid w:val="005B3A9D"/>
    <w:rsid w:val="005C07B8"/>
    <w:rsid w:val="005C1E1B"/>
    <w:rsid w:val="005C4913"/>
    <w:rsid w:val="005C5E8E"/>
    <w:rsid w:val="005D35BF"/>
    <w:rsid w:val="005D4D58"/>
    <w:rsid w:val="005E0DFD"/>
    <w:rsid w:val="005F2C57"/>
    <w:rsid w:val="00600052"/>
    <w:rsid w:val="00604EAA"/>
    <w:rsid w:val="00613EAE"/>
    <w:rsid w:val="00625276"/>
    <w:rsid w:val="00630D04"/>
    <w:rsid w:val="00631131"/>
    <w:rsid w:val="00635E54"/>
    <w:rsid w:val="006410F1"/>
    <w:rsid w:val="00641E28"/>
    <w:rsid w:val="006431CA"/>
    <w:rsid w:val="00645C0B"/>
    <w:rsid w:val="00646665"/>
    <w:rsid w:val="006472A5"/>
    <w:rsid w:val="00650ECB"/>
    <w:rsid w:val="006510D0"/>
    <w:rsid w:val="00652989"/>
    <w:rsid w:val="00662E43"/>
    <w:rsid w:val="0067028E"/>
    <w:rsid w:val="00670E82"/>
    <w:rsid w:val="00675ECE"/>
    <w:rsid w:val="00685BB3"/>
    <w:rsid w:val="006918F4"/>
    <w:rsid w:val="006923E4"/>
    <w:rsid w:val="00692A08"/>
    <w:rsid w:val="006960F1"/>
    <w:rsid w:val="0069739F"/>
    <w:rsid w:val="006A07C7"/>
    <w:rsid w:val="006A3D67"/>
    <w:rsid w:val="006A791B"/>
    <w:rsid w:val="006B0CC7"/>
    <w:rsid w:val="006B21C7"/>
    <w:rsid w:val="006B3002"/>
    <w:rsid w:val="006B3829"/>
    <w:rsid w:val="006B6B28"/>
    <w:rsid w:val="006C2408"/>
    <w:rsid w:val="006C289B"/>
    <w:rsid w:val="006D145A"/>
    <w:rsid w:val="006D48CA"/>
    <w:rsid w:val="006D4B93"/>
    <w:rsid w:val="00702661"/>
    <w:rsid w:val="007035B9"/>
    <w:rsid w:val="00705038"/>
    <w:rsid w:val="00705677"/>
    <w:rsid w:val="00705711"/>
    <w:rsid w:val="0070697D"/>
    <w:rsid w:val="00715F8A"/>
    <w:rsid w:val="0072593B"/>
    <w:rsid w:val="00726E38"/>
    <w:rsid w:val="00734BFE"/>
    <w:rsid w:val="007405C8"/>
    <w:rsid w:val="00742F6B"/>
    <w:rsid w:val="0074605A"/>
    <w:rsid w:val="00752C2A"/>
    <w:rsid w:val="0076286C"/>
    <w:rsid w:val="00762968"/>
    <w:rsid w:val="00765186"/>
    <w:rsid w:val="00774038"/>
    <w:rsid w:val="00776193"/>
    <w:rsid w:val="007852CE"/>
    <w:rsid w:val="00786E3E"/>
    <w:rsid w:val="00793832"/>
    <w:rsid w:val="007B40BF"/>
    <w:rsid w:val="007B47DC"/>
    <w:rsid w:val="007C0F09"/>
    <w:rsid w:val="007C1E6C"/>
    <w:rsid w:val="007C72D8"/>
    <w:rsid w:val="007D3B88"/>
    <w:rsid w:val="007D631E"/>
    <w:rsid w:val="007D6E63"/>
    <w:rsid w:val="007E1CA5"/>
    <w:rsid w:val="007E75B9"/>
    <w:rsid w:val="007F497B"/>
    <w:rsid w:val="00800314"/>
    <w:rsid w:val="00800B5B"/>
    <w:rsid w:val="00804D51"/>
    <w:rsid w:val="0080571F"/>
    <w:rsid w:val="00814B4B"/>
    <w:rsid w:val="008168E9"/>
    <w:rsid w:val="00817076"/>
    <w:rsid w:val="008218B2"/>
    <w:rsid w:val="008266E1"/>
    <w:rsid w:val="00831E7A"/>
    <w:rsid w:val="00842E2A"/>
    <w:rsid w:val="00843302"/>
    <w:rsid w:val="00843B90"/>
    <w:rsid w:val="0084434C"/>
    <w:rsid w:val="00844BF3"/>
    <w:rsid w:val="0085154A"/>
    <w:rsid w:val="00856611"/>
    <w:rsid w:val="008579C8"/>
    <w:rsid w:val="0086286D"/>
    <w:rsid w:val="00863765"/>
    <w:rsid w:val="008668A4"/>
    <w:rsid w:val="00872FBF"/>
    <w:rsid w:val="008737A6"/>
    <w:rsid w:val="008824A8"/>
    <w:rsid w:val="008828CD"/>
    <w:rsid w:val="00886A73"/>
    <w:rsid w:val="00892210"/>
    <w:rsid w:val="00894860"/>
    <w:rsid w:val="00896DB1"/>
    <w:rsid w:val="008A040E"/>
    <w:rsid w:val="008A0B03"/>
    <w:rsid w:val="008A1EAE"/>
    <w:rsid w:val="008A6EA5"/>
    <w:rsid w:val="008B4186"/>
    <w:rsid w:val="008B5C4B"/>
    <w:rsid w:val="008C23AF"/>
    <w:rsid w:val="008D02BB"/>
    <w:rsid w:val="008D3936"/>
    <w:rsid w:val="008D4C8D"/>
    <w:rsid w:val="008E0867"/>
    <w:rsid w:val="008E7508"/>
    <w:rsid w:val="008F3186"/>
    <w:rsid w:val="0090359D"/>
    <w:rsid w:val="00906BD6"/>
    <w:rsid w:val="00907391"/>
    <w:rsid w:val="00916BB7"/>
    <w:rsid w:val="00920AB4"/>
    <w:rsid w:val="009214F8"/>
    <w:rsid w:val="00923CEC"/>
    <w:rsid w:val="009329D4"/>
    <w:rsid w:val="00935C79"/>
    <w:rsid w:val="00942C0B"/>
    <w:rsid w:val="00943974"/>
    <w:rsid w:val="009462AD"/>
    <w:rsid w:val="0095162D"/>
    <w:rsid w:val="009521F2"/>
    <w:rsid w:val="00952AB1"/>
    <w:rsid w:val="00952C39"/>
    <w:rsid w:val="00967F32"/>
    <w:rsid w:val="009701B7"/>
    <w:rsid w:val="00972A4E"/>
    <w:rsid w:val="00977164"/>
    <w:rsid w:val="0098484A"/>
    <w:rsid w:val="00985D4A"/>
    <w:rsid w:val="00987472"/>
    <w:rsid w:val="009973BC"/>
    <w:rsid w:val="009A2C41"/>
    <w:rsid w:val="009A45BA"/>
    <w:rsid w:val="009A5767"/>
    <w:rsid w:val="009A6AEE"/>
    <w:rsid w:val="009B3931"/>
    <w:rsid w:val="009B3F65"/>
    <w:rsid w:val="009C254C"/>
    <w:rsid w:val="009C3817"/>
    <w:rsid w:val="009C5D2A"/>
    <w:rsid w:val="009C7ED9"/>
    <w:rsid w:val="009D4C9E"/>
    <w:rsid w:val="009D592C"/>
    <w:rsid w:val="009D732A"/>
    <w:rsid w:val="009E389A"/>
    <w:rsid w:val="009E4F8E"/>
    <w:rsid w:val="009E615B"/>
    <w:rsid w:val="009E7E41"/>
    <w:rsid w:val="009F022E"/>
    <w:rsid w:val="009F3B0E"/>
    <w:rsid w:val="009F4971"/>
    <w:rsid w:val="00A02816"/>
    <w:rsid w:val="00A0561E"/>
    <w:rsid w:val="00A13D5D"/>
    <w:rsid w:val="00A25087"/>
    <w:rsid w:val="00A26715"/>
    <w:rsid w:val="00A32985"/>
    <w:rsid w:val="00A401C5"/>
    <w:rsid w:val="00A42339"/>
    <w:rsid w:val="00A506F1"/>
    <w:rsid w:val="00A55F9A"/>
    <w:rsid w:val="00A60159"/>
    <w:rsid w:val="00A61A13"/>
    <w:rsid w:val="00A6679A"/>
    <w:rsid w:val="00A67EE9"/>
    <w:rsid w:val="00A704C6"/>
    <w:rsid w:val="00A7351E"/>
    <w:rsid w:val="00A74FF9"/>
    <w:rsid w:val="00A772BF"/>
    <w:rsid w:val="00A93EB3"/>
    <w:rsid w:val="00A96D86"/>
    <w:rsid w:val="00AA04AC"/>
    <w:rsid w:val="00AA2315"/>
    <w:rsid w:val="00AA6567"/>
    <w:rsid w:val="00AB5238"/>
    <w:rsid w:val="00AC475A"/>
    <w:rsid w:val="00AC4877"/>
    <w:rsid w:val="00AC500C"/>
    <w:rsid w:val="00AC549F"/>
    <w:rsid w:val="00AD2CEF"/>
    <w:rsid w:val="00AD546E"/>
    <w:rsid w:val="00AE581D"/>
    <w:rsid w:val="00AF531C"/>
    <w:rsid w:val="00B016D5"/>
    <w:rsid w:val="00B11503"/>
    <w:rsid w:val="00B1255F"/>
    <w:rsid w:val="00B12DB5"/>
    <w:rsid w:val="00B14C59"/>
    <w:rsid w:val="00B20970"/>
    <w:rsid w:val="00B24CEC"/>
    <w:rsid w:val="00B25B1F"/>
    <w:rsid w:val="00B262EA"/>
    <w:rsid w:val="00B26582"/>
    <w:rsid w:val="00B31455"/>
    <w:rsid w:val="00B3440F"/>
    <w:rsid w:val="00B419B1"/>
    <w:rsid w:val="00B43221"/>
    <w:rsid w:val="00B51B5C"/>
    <w:rsid w:val="00B57042"/>
    <w:rsid w:val="00B612BD"/>
    <w:rsid w:val="00B623B1"/>
    <w:rsid w:val="00B65129"/>
    <w:rsid w:val="00B662E3"/>
    <w:rsid w:val="00B74670"/>
    <w:rsid w:val="00B75570"/>
    <w:rsid w:val="00B7640C"/>
    <w:rsid w:val="00B82DD3"/>
    <w:rsid w:val="00B83EE6"/>
    <w:rsid w:val="00B92B1D"/>
    <w:rsid w:val="00B97370"/>
    <w:rsid w:val="00BA0DE6"/>
    <w:rsid w:val="00BA2527"/>
    <w:rsid w:val="00BA4C92"/>
    <w:rsid w:val="00BB0690"/>
    <w:rsid w:val="00BC1319"/>
    <w:rsid w:val="00BC7A4D"/>
    <w:rsid w:val="00BD082F"/>
    <w:rsid w:val="00BD0FDA"/>
    <w:rsid w:val="00BD3A6C"/>
    <w:rsid w:val="00BD6A9D"/>
    <w:rsid w:val="00BD6D24"/>
    <w:rsid w:val="00BD7A4B"/>
    <w:rsid w:val="00BE0E4E"/>
    <w:rsid w:val="00BE6BA7"/>
    <w:rsid w:val="00BF4940"/>
    <w:rsid w:val="00BF6426"/>
    <w:rsid w:val="00C13E54"/>
    <w:rsid w:val="00C15A5C"/>
    <w:rsid w:val="00C178E0"/>
    <w:rsid w:val="00C20B21"/>
    <w:rsid w:val="00C22011"/>
    <w:rsid w:val="00C24F8A"/>
    <w:rsid w:val="00C26081"/>
    <w:rsid w:val="00C260B9"/>
    <w:rsid w:val="00C3137A"/>
    <w:rsid w:val="00C32AF4"/>
    <w:rsid w:val="00C32B55"/>
    <w:rsid w:val="00C33190"/>
    <w:rsid w:val="00C35BD6"/>
    <w:rsid w:val="00C35D8C"/>
    <w:rsid w:val="00C40519"/>
    <w:rsid w:val="00C411DC"/>
    <w:rsid w:val="00C46720"/>
    <w:rsid w:val="00C62F42"/>
    <w:rsid w:val="00C641E8"/>
    <w:rsid w:val="00C647A2"/>
    <w:rsid w:val="00C6591C"/>
    <w:rsid w:val="00C65C3F"/>
    <w:rsid w:val="00C74EF8"/>
    <w:rsid w:val="00C76E52"/>
    <w:rsid w:val="00C81679"/>
    <w:rsid w:val="00C81DB9"/>
    <w:rsid w:val="00C82601"/>
    <w:rsid w:val="00C84FFF"/>
    <w:rsid w:val="00C85EB5"/>
    <w:rsid w:val="00C862AC"/>
    <w:rsid w:val="00C8676E"/>
    <w:rsid w:val="00C8750B"/>
    <w:rsid w:val="00C90C90"/>
    <w:rsid w:val="00C936D3"/>
    <w:rsid w:val="00C93F31"/>
    <w:rsid w:val="00C94A2E"/>
    <w:rsid w:val="00C9645E"/>
    <w:rsid w:val="00C96AC3"/>
    <w:rsid w:val="00CA0FB1"/>
    <w:rsid w:val="00CB736B"/>
    <w:rsid w:val="00CC350F"/>
    <w:rsid w:val="00CC7B1B"/>
    <w:rsid w:val="00CD07A3"/>
    <w:rsid w:val="00CD6F1E"/>
    <w:rsid w:val="00CD7829"/>
    <w:rsid w:val="00CF0DCE"/>
    <w:rsid w:val="00CF2921"/>
    <w:rsid w:val="00CF3E1A"/>
    <w:rsid w:val="00CF5E63"/>
    <w:rsid w:val="00D019ED"/>
    <w:rsid w:val="00D12A67"/>
    <w:rsid w:val="00D20BCC"/>
    <w:rsid w:val="00D228EC"/>
    <w:rsid w:val="00D22950"/>
    <w:rsid w:val="00D2364D"/>
    <w:rsid w:val="00D23CBC"/>
    <w:rsid w:val="00D2584F"/>
    <w:rsid w:val="00D3085D"/>
    <w:rsid w:val="00D33585"/>
    <w:rsid w:val="00D41509"/>
    <w:rsid w:val="00D44A1B"/>
    <w:rsid w:val="00D45DD1"/>
    <w:rsid w:val="00D50E75"/>
    <w:rsid w:val="00D621DF"/>
    <w:rsid w:val="00D8015F"/>
    <w:rsid w:val="00D807DB"/>
    <w:rsid w:val="00D85EC5"/>
    <w:rsid w:val="00D86826"/>
    <w:rsid w:val="00D91B96"/>
    <w:rsid w:val="00D92756"/>
    <w:rsid w:val="00D92951"/>
    <w:rsid w:val="00DA0840"/>
    <w:rsid w:val="00DA4B2D"/>
    <w:rsid w:val="00DB4901"/>
    <w:rsid w:val="00DB4CBE"/>
    <w:rsid w:val="00DB6D03"/>
    <w:rsid w:val="00DC3379"/>
    <w:rsid w:val="00DC7318"/>
    <w:rsid w:val="00DC7D4F"/>
    <w:rsid w:val="00DD01F5"/>
    <w:rsid w:val="00DD2842"/>
    <w:rsid w:val="00DD351B"/>
    <w:rsid w:val="00DD4278"/>
    <w:rsid w:val="00DE0273"/>
    <w:rsid w:val="00DE1038"/>
    <w:rsid w:val="00DE3EE3"/>
    <w:rsid w:val="00DF599F"/>
    <w:rsid w:val="00E011E4"/>
    <w:rsid w:val="00E02AD3"/>
    <w:rsid w:val="00E069D0"/>
    <w:rsid w:val="00E15900"/>
    <w:rsid w:val="00E219D7"/>
    <w:rsid w:val="00E220BF"/>
    <w:rsid w:val="00E2582A"/>
    <w:rsid w:val="00E32458"/>
    <w:rsid w:val="00E345B7"/>
    <w:rsid w:val="00E36209"/>
    <w:rsid w:val="00E3702A"/>
    <w:rsid w:val="00E416FA"/>
    <w:rsid w:val="00E47C5F"/>
    <w:rsid w:val="00E51573"/>
    <w:rsid w:val="00E533AA"/>
    <w:rsid w:val="00E55604"/>
    <w:rsid w:val="00E560DB"/>
    <w:rsid w:val="00E56714"/>
    <w:rsid w:val="00E5695A"/>
    <w:rsid w:val="00E578DB"/>
    <w:rsid w:val="00E70DD3"/>
    <w:rsid w:val="00E8045F"/>
    <w:rsid w:val="00E86135"/>
    <w:rsid w:val="00E86984"/>
    <w:rsid w:val="00E87833"/>
    <w:rsid w:val="00E87A4A"/>
    <w:rsid w:val="00E87B2E"/>
    <w:rsid w:val="00E918F7"/>
    <w:rsid w:val="00EA668F"/>
    <w:rsid w:val="00EB62DA"/>
    <w:rsid w:val="00EB7E89"/>
    <w:rsid w:val="00EC16A2"/>
    <w:rsid w:val="00EC4A7C"/>
    <w:rsid w:val="00EC639B"/>
    <w:rsid w:val="00EC7ACD"/>
    <w:rsid w:val="00ED4A43"/>
    <w:rsid w:val="00ED6BEB"/>
    <w:rsid w:val="00EE260A"/>
    <w:rsid w:val="00EE3BA2"/>
    <w:rsid w:val="00EE4C50"/>
    <w:rsid w:val="00EF0379"/>
    <w:rsid w:val="00EF215A"/>
    <w:rsid w:val="00EF51F4"/>
    <w:rsid w:val="00EF63E4"/>
    <w:rsid w:val="00F00BEB"/>
    <w:rsid w:val="00F01C3C"/>
    <w:rsid w:val="00F0215F"/>
    <w:rsid w:val="00F02597"/>
    <w:rsid w:val="00F03F96"/>
    <w:rsid w:val="00F04049"/>
    <w:rsid w:val="00F10643"/>
    <w:rsid w:val="00F12699"/>
    <w:rsid w:val="00F1394B"/>
    <w:rsid w:val="00F14841"/>
    <w:rsid w:val="00F16127"/>
    <w:rsid w:val="00F17BBD"/>
    <w:rsid w:val="00F2021F"/>
    <w:rsid w:val="00F20822"/>
    <w:rsid w:val="00F219F2"/>
    <w:rsid w:val="00F23681"/>
    <w:rsid w:val="00F24FFE"/>
    <w:rsid w:val="00F260A4"/>
    <w:rsid w:val="00F3093E"/>
    <w:rsid w:val="00F31E33"/>
    <w:rsid w:val="00F32730"/>
    <w:rsid w:val="00F352C4"/>
    <w:rsid w:val="00F424BB"/>
    <w:rsid w:val="00F470AB"/>
    <w:rsid w:val="00F4745C"/>
    <w:rsid w:val="00F53308"/>
    <w:rsid w:val="00F5427C"/>
    <w:rsid w:val="00F54886"/>
    <w:rsid w:val="00F55AEF"/>
    <w:rsid w:val="00F642A6"/>
    <w:rsid w:val="00F64743"/>
    <w:rsid w:val="00F67E59"/>
    <w:rsid w:val="00F71CDE"/>
    <w:rsid w:val="00F81DC0"/>
    <w:rsid w:val="00F83D12"/>
    <w:rsid w:val="00F8530C"/>
    <w:rsid w:val="00F86968"/>
    <w:rsid w:val="00F9273C"/>
    <w:rsid w:val="00F95B41"/>
    <w:rsid w:val="00F95BB2"/>
    <w:rsid w:val="00FA2E64"/>
    <w:rsid w:val="00FB3D8C"/>
    <w:rsid w:val="00FC02FB"/>
    <w:rsid w:val="00FC33C1"/>
    <w:rsid w:val="00FC3BD6"/>
    <w:rsid w:val="00FC58EA"/>
    <w:rsid w:val="00FC5A06"/>
    <w:rsid w:val="00FC7D4E"/>
    <w:rsid w:val="00FD15EA"/>
    <w:rsid w:val="00FD1E4B"/>
    <w:rsid w:val="00FD4C43"/>
    <w:rsid w:val="00FD5D4E"/>
    <w:rsid w:val="00FE0638"/>
    <w:rsid w:val="00FE134C"/>
    <w:rsid w:val="00FE22B6"/>
    <w:rsid w:val="00FE37D3"/>
    <w:rsid w:val="00FE7FE2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2959"/>
  <w15:docId w15:val="{646C8A8C-6D55-4BD8-8910-0D5CDE5E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F02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59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97"/>
    <w:pPr>
      <w:spacing w:after="0" w:line="240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BD"/>
    <w:pPr>
      <w:spacing w:after="200"/>
    </w:pPr>
    <w:rPr>
      <w:rFonts w:ascii="Arial" w:eastAsiaTheme="minorHAnsi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B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1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EE"/>
  </w:style>
  <w:style w:type="paragraph" w:styleId="Footer">
    <w:name w:val="footer"/>
    <w:basedOn w:val="Normal"/>
    <w:link w:val="FooterChar"/>
    <w:uiPriority w:val="99"/>
    <w:unhideWhenUsed/>
    <w:rsid w:val="009A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EE"/>
  </w:style>
  <w:style w:type="paragraph" w:styleId="EndnoteText">
    <w:name w:val="endnote text"/>
    <w:basedOn w:val="Normal"/>
    <w:link w:val="EndnoteTextChar"/>
    <w:uiPriority w:val="99"/>
    <w:semiHidden/>
    <w:unhideWhenUsed/>
    <w:rsid w:val="00526B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B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6B3D"/>
    <w:rPr>
      <w:vertAlign w:val="superscript"/>
    </w:rPr>
  </w:style>
  <w:style w:type="paragraph" w:styleId="Revision">
    <w:name w:val="Revision"/>
    <w:hidden/>
    <w:uiPriority w:val="99"/>
    <w:semiHidden/>
    <w:rsid w:val="00111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E584-9D84-4AC0-A60B-51E86B12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13</Pages>
  <Words>4866</Words>
  <Characters>27740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32541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 Audrey (Energy Development)</dc:creator>
  <cp:lastModifiedBy>Saward, Derek (BEIS)</cp:lastModifiedBy>
  <cp:revision>271</cp:revision>
  <dcterms:created xsi:type="dcterms:W3CDTF">2018-07-19T15:30:00Z</dcterms:created>
  <dcterms:modified xsi:type="dcterms:W3CDTF">2018-11-21T16:33:00Z</dcterms:modified>
</cp:coreProperties>
</file>