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right"/>
        <w:rPr>
          <w:rFonts w:ascii="Arial" w:cs="Arial" w:eastAsia="Arial" w:hAnsi="Arial"/>
          <w:b w:val="1"/>
          <w:sz w:val="24"/>
          <w:szCs w:val="24"/>
        </w:rPr>
      </w:pPr>
      <w:bookmarkStart w:colFirst="0" w:colLast="0" w:name="_cubjovf9c39g" w:id="0"/>
      <w:bookmarkEnd w:id="0"/>
      <w:r w:rsidDel="00000000" w:rsidR="00000000" w:rsidRPr="00000000">
        <w:rPr>
          <w:rFonts w:ascii="Arial" w:cs="Arial" w:eastAsia="Arial" w:hAnsi="Arial"/>
          <w:b w:val="1"/>
          <w:sz w:val="24"/>
          <w:szCs w:val="24"/>
          <w:rtl w:val="0"/>
        </w:rPr>
        <w:t xml:space="preserve">CSPL (17) 41</w:t>
      </w:r>
    </w:p>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bookmarkStart w:colFirst="0" w:colLast="0" w:name="_6xs2qb7y61o0" w:id="1"/>
      <w:bookmarkEnd w:id="1"/>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bookmarkStart w:colFirst="0" w:colLast="0" w:name="_gjdgxs" w:id="2"/>
      <w:bookmarkEnd w:id="2"/>
      <w:r w:rsidDel="00000000" w:rsidR="00000000" w:rsidRPr="00000000">
        <w:rPr>
          <w:rFonts w:ascii="Arial" w:cs="Arial" w:eastAsia="Arial" w:hAnsi="Arial"/>
          <w:b w:val="1"/>
          <w:sz w:val="24"/>
          <w:szCs w:val="24"/>
          <w:rtl w:val="0"/>
        </w:rPr>
        <w:t xml:space="preserve">COMMITTEE ON STANDARDS IN PUBLIC LIFE</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TWO HUNDRED AND FORTY-FOURTH MEETING</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THURSDAY 27 APRIL 2017 AT 10:00</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ROOM G11, 1 HORSE GUARDS ROAD,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sz w:val="24"/>
          <w:szCs w:val="24"/>
          <w:rtl w:val="0"/>
        </w:rPr>
        <w:t xml:space="preserve">LONDON, SW1A 2HQ</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MINUTES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Present:</w:t>
        <w:tab/>
        <w:tab/>
        <w:tab/>
        <w:t xml:space="preserve">Lord Bew, Chair</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Sheila Drew Smith OBE</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Dr Jane Martin CBE</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Jane Ramsey</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Monisha Shah</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Lord Stunell OBE</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Dame Angela Watkinson DBE MP</w:t>
      </w:r>
      <w:r w:rsidDel="00000000" w:rsidR="00000000" w:rsidRPr="00000000">
        <w:rPr>
          <w:rFonts w:ascii="Arial" w:cs="Arial" w:eastAsia="Arial" w:hAnsi="Arial"/>
          <w:i w:val="1"/>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Secretariat: </w:t>
        <w:tab/>
        <w:tab/>
        <w:tab/>
        <w:t xml:space="preserve">Lesley Bainsfair, Secretary</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Dee Goddard, Senior Policy Advisor</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Maggie O’Boyle, Press Officer</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Apologies:</w:t>
        <w:tab/>
        <w:tab/>
        <w:tab/>
        <w:t xml:space="preserve">Dame Margaret Beckett DBE MP</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Richard Thomas CBE</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r>
    </w:p>
    <w:p w:rsidR="00000000" w:rsidDel="00000000" w:rsidP="00000000" w:rsidRDefault="00000000" w:rsidRPr="00000000">
      <w:pPr>
        <w:pBdr/>
        <w:spacing w:after="0"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welcomed Angela Watkinson following her return from leave, but sadly noted this would be her last meeting as she had decided not to stand in the forthcoming general election.  On behalf of the Committee, the Chair expressed his sincere thanks for all that Angela had done for the Committee during her period of appointment.  Her support and always wise words of advice had been much valued and she would be sorely missed.</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1. </w:t>
        <w:tab/>
        <w:t xml:space="preserve">REGISTERS</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pPr>
        <w:pBdr/>
        <w:spacing w:after="0" w:before="0" w:line="240" w:lineRule="auto"/>
        <w:contextualSpacing w:val="0"/>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re</w:t>
      </w:r>
      <w:r w:rsidDel="00000000" w:rsidR="00000000" w:rsidRPr="00000000">
        <w:rPr>
          <w:rFonts w:ascii="Arial" w:cs="Arial" w:eastAsia="Arial" w:hAnsi="Arial"/>
          <w:color w:val="000000"/>
          <w:sz w:val="24"/>
          <w:szCs w:val="24"/>
          <w:rtl w:val="0"/>
        </w:rPr>
        <w:t xml:space="preserve">gister</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of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color w:val="000000"/>
          <w:sz w:val="24"/>
          <w:szCs w:val="24"/>
          <w:rtl w:val="0"/>
        </w:rPr>
        <w:t xml:space="preserve">nterests and members were </w:t>
      </w:r>
      <w:r w:rsidDel="00000000" w:rsidR="00000000" w:rsidRPr="00000000">
        <w:rPr>
          <w:rFonts w:ascii="Arial" w:cs="Arial" w:eastAsia="Arial" w:hAnsi="Arial"/>
          <w:sz w:val="24"/>
          <w:szCs w:val="24"/>
          <w:rtl w:val="0"/>
        </w:rPr>
        <w:t xml:space="preserve">invited to let the Secretariat know of any changes.</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2.</w:t>
        <w:tab/>
        <w:t xml:space="preserve">MINUTES AND MATTERS ARISING </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minutes of the March meeting were agreed.</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w:t>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Dame Louise Casey</w:t>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that Dame Louise Casey had resigned from the Civil Service to return to academia and the voluntary service.  The Secretariat would stay in touch with the DCLG officials on areas of mutual interest. </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Meetings with Electoral Commission to discuss referendums</w:t>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update on next steps with regard to meetings hosted by the Electoral Commission on the conduct of referendums.  </w:t>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Letter from the Chair of the UK Statistics Authority on use of official statistics</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The Committee also noted and welcomed the letter from the Chair of the UK Statistics Authority to the leaders of the main UK political parties emphasising the proper use of statistics both during and after the general election campaign.  It was agreed to welcome and link to the letter on the Committee’s website.</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 with Stephen Kinnock MP on campaign funding</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that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 planned meeting with </w:t>
      </w:r>
      <w:r w:rsidDel="00000000" w:rsidR="00000000" w:rsidRPr="00000000">
        <w:rPr>
          <w:rFonts w:ascii="Arial" w:cs="Arial" w:eastAsia="Arial" w:hAnsi="Arial"/>
          <w:sz w:val="24"/>
          <w:szCs w:val="24"/>
          <w:rtl w:val="0"/>
        </w:rPr>
        <w:t xml:space="preserve">Mr Kinnock MP to discuss his concerns about political parties and expenditure limit rules, had been cancelled due to purdah and would be rearranged for after the general election.</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Secretariat staffing</w:t>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that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pBdr/>
        <w:spacing w:after="0" w:line="240" w:lineRule="auto"/>
        <w:ind w:left="144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temporary member of staff would join the Secretariat in early May for a period of 3 months. </w:t>
      </w:r>
    </w:p>
    <w:p w:rsidR="00000000" w:rsidDel="00000000" w:rsidP="00000000" w:rsidRDefault="00000000" w:rsidRPr="00000000">
      <w:pPr>
        <w:numPr>
          <w:ilvl w:val="0"/>
          <w:numId w:val="1"/>
        </w:numPr>
        <w:pBdr/>
        <w:spacing w:after="0" w:line="240" w:lineRule="auto"/>
        <w:ind w:left="144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Interviews for the senior policy advisor vacancy in the Secretariat would take place week beginning 1 May.</w:t>
      </w:r>
    </w:p>
    <w:p w:rsidR="00000000" w:rsidDel="00000000" w:rsidP="00000000" w:rsidRDefault="00000000" w:rsidRPr="00000000">
      <w:pPr>
        <w:numPr>
          <w:ilvl w:val="0"/>
          <w:numId w:val="1"/>
        </w:numPr>
        <w:pBdr/>
        <w:spacing w:after="0" w:line="240" w:lineRule="auto"/>
        <w:ind w:left="144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office manager post had been advertised with a closing date of 5 May.</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3.</w:t>
        <w:tab/>
        <w:t xml:space="preserve">MPs’ OUTSIDE INTERESTS</w:t>
      </w: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Political members recused themselves from this discussion.  </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Committee agreed the revised timetable for the review of MPs’ outside interests which was required in view of the forthcoming General Election.</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It was agreed that the general election provided an opportunity to repeat the successful induction for MPs following the 2015 general election.  The Secretariat would take this forward and report back.</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Committee’s revised work plan for the rest of the year was agreed.</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b w:val="1"/>
          <w:sz w:val="24"/>
          <w:szCs w:val="24"/>
          <w:rtl w:val="0"/>
        </w:rPr>
        <w:t xml:space="preserve">.</w:t>
        <w:tab/>
        <w:t xml:space="preserve">ETHICAL STANDARDS FOR PUBLIC SERVICE PROVIDERS: FOLLOW UP</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update on the follow up work to ethical standards for public service providers.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A range of meetings had now taken place showing evidence of some improvement but also of contrasting approaches.  It was noted that it had been agreed to include a reference to the Committee’s earlier guidance on this work in the Cabinet Office’s draft Suppliers’ Code of Conduct.  The Secretariat would take this forward.</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b w:val="1"/>
          <w:sz w:val="24"/>
          <w:szCs w:val="24"/>
          <w:rtl w:val="0"/>
        </w:rPr>
        <w:t xml:space="preserve">.</w:t>
        <w:tab/>
        <w:t xml:space="preserve">STRATEGIC PLAN</w:t>
      </w:r>
    </w:p>
    <w:p w:rsidR="00000000" w:rsidDel="00000000" w:rsidP="00000000" w:rsidRDefault="00000000" w:rsidRPr="00000000">
      <w:pPr>
        <w:pBd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suggested amendments to the draft strategic plan.  A revised draft would be circulated for members’ comments. </w:t>
      </w:r>
    </w:p>
    <w:p w:rsidR="00000000" w:rsidDel="00000000" w:rsidP="00000000" w:rsidRDefault="00000000" w:rsidRPr="00000000">
      <w:pPr>
        <w:pBdr/>
        <w:spacing w:after="0" w:before="0" w:line="240" w:lineRule="auto"/>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w:t>
        <w:tab/>
        <w:t xml:space="preserve">STANDARDS CHECK</w:t>
      </w:r>
    </w:p>
    <w:p w:rsidR="00000000" w:rsidDel="00000000" w:rsidP="00000000" w:rsidRDefault="00000000" w:rsidRPr="00000000">
      <w:pPr>
        <w:pBd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Standards Check.   </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pBdr/>
        <w:spacing w:after="0" w:line="240" w:lineRule="auto"/>
        <w:ind w:left="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tab/>
        <w:t xml:space="preserve">FORWARD WORK PROGRAMME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AND FORWARD GRID</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6.141732283464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a correction to the forward agenda and noted the forward look of key events.  </w:t>
      </w:r>
    </w:p>
    <w:p w:rsidR="00000000" w:rsidDel="00000000" w:rsidP="00000000" w:rsidRDefault="00000000" w:rsidRPr="00000000">
      <w:pPr>
        <w:pBdr/>
        <w:spacing w:after="0" w:line="240" w:lineRule="auto"/>
        <w:ind w:left="726.1417322834644"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0" w:firstLine="0"/>
        <w:contextualSpacing w:val="0"/>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8.</w:t>
        <w:tab/>
      </w:r>
      <w:r w:rsidDel="00000000" w:rsidR="00000000" w:rsidRPr="00000000">
        <w:rPr>
          <w:rFonts w:ascii="Arial" w:cs="Arial" w:eastAsia="Arial" w:hAnsi="Arial"/>
          <w:b w:val="1"/>
          <w:color w:val="000000"/>
          <w:sz w:val="24"/>
          <w:szCs w:val="24"/>
          <w:rtl w:val="0"/>
        </w:rPr>
        <w:t xml:space="preserve">AOB </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pPr>
        <w:pBd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Communications Update.  </w:t>
      </w:r>
    </w:p>
    <w:p w:rsidR="00000000" w:rsidDel="00000000" w:rsidP="00000000" w:rsidRDefault="00000000" w:rsidRPr="00000000">
      <w:pPr>
        <w:pBd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 behalf of the Committee, the Chair reiterated his thanks to Angela Watkinson for her invaluable support of the Committee over the past five years.</w:t>
      </w:r>
    </w:p>
    <w:p w:rsidR="00000000" w:rsidDel="00000000" w:rsidP="00000000" w:rsidRDefault="00000000" w:rsidRPr="00000000">
      <w:pPr>
        <w:pBd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NEXT MEETING: Thursday 18 May 2017 </w:t>
      </w:r>
    </w:p>
    <w:p w:rsidR="00000000" w:rsidDel="00000000" w:rsidP="00000000" w:rsidRDefault="00000000" w:rsidRPr="00000000">
      <w:pPr>
        <w:pBd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meeting will take place in room GC05.1, Lord Bew’s office.</w:t>
      </w: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CSPL Secretariat</w:t>
      </w:r>
    </w:p>
    <w:p w:rsidR="00000000" w:rsidDel="00000000" w:rsidP="00000000" w:rsidRDefault="00000000" w:rsidRPr="00000000">
      <w:pPr>
        <w:pBd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April 2017</w:t>
      </w:r>
      <w:r w:rsidDel="00000000" w:rsidR="00000000" w:rsidRPr="00000000">
        <w:rPr>
          <w:rtl w:val="0"/>
        </w:rPr>
      </w:r>
    </w:p>
    <w:sectPr>
      <w:headerReference r:id="rId5" w:type="default"/>
      <w:footerReference r:id="rId6" w:type="default"/>
      <w:footerReference r:id="rId7" w:type="first"/>
      <w:pgSz w:h="16838" w:w="11906"/>
      <w:pgMar w:bottom="850.3937007874016" w:top="850.3937007874016"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