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AB" w:rsidRDefault="006312AB" w:rsidP="00000A1D">
      <w:pPr>
        <w:rPr>
          <w:b/>
          <w:szCs w:val="24"/>
        </w:rPr>
      </w:pPr>
      <w:bookmarkStart w:id="0" w:name="_GoBack"/>
      <w:bookmarkEnd w:id="0"/>
    </w:p>
    <w:p w:rsidR="00000A1D" w:rsidRPr="00E161EA" w:rsidRDefault="0032489D" w:rsidP="00000A1D">
      <w:pPr>
        <w:rPr>
          <w:b/>
          <w:szCs w:val="24"/>
        </w:rPr>
      </w:pPr>
      <w:r w:rsidRPr="00E161EA">
        <w:rPr>
          <w:rFonts w:cs="Arial"/>
          <w:b/>
          <w:noProof/>
          <w:szCs w:val="24"/>
        </w:rPr>
        <mc:AlternateContent>
          <mc:Choice Requires="wps">
            <w:drawing>
              <wp:anchor distT="0" distB="0" distL="114300" distR="114300" simplePos="0" relativeHeight="251660288" behindDoc="0" locked="0" layoutInCell="1" allowOverlap="1" wp14:anchorId="611233D7" wp14:editId="125BB63F">
                <wp:simplePos x="0" y="0"/>
                <wp:positionH relativeFrom="column">
                  <wp:posOffset>6350</wp:posOffset>
                </wp:positionH>
                <wp:positionV relativeFrom="paragraph">
                  <wp:posOffset>242570</wp:posOffset>
                </wp:positionV>
                <wp:extent cx="6248400" cy="1502410"/>
                <wp:effectExtent l="19050" t="19050" r="19050" b="2159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502410"/>
                        </a:xfrm>
                        <a:prstGeom prst="rect">
                          <a:avLst/>
                        </a:prstGeom>
                        <a:solidFill>
                          <a:srgbClr val="FFFFFF"/>
                        </a:solidFill>
                        <a:ln w="38100" cmpd="dbl">
                          <a:solidFill>
                            <a:srgbClr val="000000"/>
                          </a:solidFill>
                          <a:miter lim="800000"/>
                          <a:headEnd/>
                          <a:tailEnd/>
                        </a:ln>
                      </wps:spPr>
                      <wps:txbx>
                        <w:txbxContent>
                          <w:p w:rsidR="00750014" w:rsidRDefault="00750014" w:rsidP="00D36470">
                            <w:pPr>
                              <w:pStyle w:val="Heading2"/>
                              <w:pBdr>
                                <w:top w:val="none" w:sz="0" w:space="0" w:color="auto"/>
                                <w:left w:val="none" w:sz="0" w:space="0" w:color="auto"/>
                                <w:bottom w:val="none" w:sz="0" w:space="0" w:color="auto"/>
                                <w:right w:val="none" w:sz="0" w:space="0" w:color="auto"/>
                              </w:pBdr>
                              <w:spacing w:before="160"/>
                              <w:ind w:rightChars="-2" w:right="-5"/>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w:t>
                            </w:r>
                          </w:p>
                          <w:p w:rsidR="00750014" w:rsidRPr="00C30D80" w:rsidRDefault="00750014" w:rsidP="0032489D">
                            <w:pPr>
                              <w:jc w:val="center"/>
                              <w:rPr>
                                <w:sz w:val="16"/>
                                <w:szCs w:val="16"/>
                              </w:rPr>
                            </w:pPr>
                          </w:p>
                          <w:p w:rsidR="00750014" w:rsidRDefault="00750014" w:rsidP="0032489D">
                            <w:pPr>
                              <w:shd w:val="clear" w:color="auto" w:fill="FFFFFF"/>
                              <w:jc w:val="center"/>
                            </w:pPr>
                            <w:r>
                              <w:t xml:space="preserve">Administration </w:t>
                            </w:r>
                            <w:r w:rsidRPr="002A15A4">
                              <w:t>o</w:t>
                            </w:r>
                            <w:r>
                              <w:t xml:space="preserve">f diphtheria, tetanus, acellular pertussis, inactivated poliomyelitis and </w:t>
                            </w:r>
                            <w:r w:rsidRPr="000B12D3">
                              <w:rPr>
                                <w:i/>
                              </w:rPr>
                              <w:t>Haemophilus influenzae</w:t>
                            </w:r>
                            <w:r w:rsidRPr="000B12D3">
                              <w:t xml:space="preserve"> type b conjugate vaccine</w:t>
                            </w:r>
                            <w:r>
                              <w:t xml:space="preserve"> (DTaP/IPV/Hib)</w:t>
                            </w:r>
                            <w:r>
                              <w:rPr>
                                <w:rFonts w:cs="Arial"/>
                              </w:rPr>
                              <w:t xml:space="preserve"> </w:t>
                            </w:r>
                          </w:p>
                          <w:p w:rsidR="00750014" w:rsidRPr="002A15A4" w:rsidRDefault="00750014" w:rsidP="0032489D">
                            <w:pPr>
                              <w:shd w:val="clear" w:color="auto" w:fill="FFFFFF"/>
                              <w:jc w:val="center"/>
                            </w:pPr>
                          </w:p>
                          <w:p w:rsidR="00750014" w:rsidRPr="002A15A4" w:rsidRDefault="00750014" w:rsidP="0032489D">
                            <w:pPr>
                              <w:jc w:val="center"/>
                            </w:pPr>
                            <w:r>
                              <w:t>Individual</w:t>
                            </w:r>
                            <w:r w:rsidRPr="002A15A4">
                              <w:t>s</w:t>
                            </w:r>
                            <w:r>
                              <w:t xml:space="preserve"> from 8 weeks to under 10 years of age</w:t>
                            </w:r>
                            <w:r w:rsidRPr="002A15A4">
                              <w:t xml:space="preserve"> in accorda</w:t>
                            </w:r>
                            <w:r>
                              <w:t>nce with the n</w:t>
                            </w:r>
                            <w:r w:rsidRPr="002A15A4">
                              <w:t xml:space="preserve">ational </w:t>
                            </w:r>
                            <w:r>
                              <w:t>immunisation p</w:t>
                            </w:r>
                            <w:r w:rsidRPr="002A15A4">
                              <w:t>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pt;margin-top:19.1pt;width:492pt;height:11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" strokeweight="3pt">
                <v:stroke linestyle="thinThin"/>
                <v:textbox>
                  <w:txbxContent>
                    <w:p w:rsidR="00750014" w:rsidRDefault="00750014" w:rsidP="00D36470">
                      <w:pPr>
                        <w:pStyle w:val="Heading2"/>
                        <w:pBdr>
                          <w:top w:val="none" w:sz="0" w:space="0" w:color="auto"/>
                          <w:left w:val="none" w:sz="0" w:space="0" w:color="auto"/>
                          <w:bottom w:val="none" w:sz="0" w:space="0" w:color="auto"/>
                          <w:right w:val="none" w:sz="0" w:space="0" w:color="auto"/>
                        </w:pBdr>
                        <w:spacing w:before="160"/>
                        <w:ind w:rightChars="-2" w:right="-5"/>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w:t>
                      </w:r>
                    </w:p>
                    <w:p w:rsidR="00750014" w:rsidRPr="00C30D80" w:rsidRDefault="00750014" w:rsidP="0032489D">
                      <w:pPr>
                        <w:jc w:val="center"/>
                        <w:rPr>
                          <w:sz w:val="16"/>
                          <w:szCs w:val="16"/>
                        </w:rPr>
                      </w:pPr>
                    </w:p>
                    <w:p w:rsidR="00750014" w:rsidRDefault="00750014" w:rsidP="0032489D">
                      <w:pPr>
                        <w:shd w:val="clear" w:color="auto" w:fill="FFFFFF"/>
                        <w:jc w:val="center"/>
                      </w:pPr>
                      <w:r>
                        <w:t xml:space="preserve">Administration </w:t>
                      </w:r>
                      <w:r w:rsidRPr="002A15A4">
                        <w:t>o</w:t>
                      </w:r>
                      <w:r>
                        <w:t xml:space="preserve">f diphtheria, tetanus, acellular pertussis, inactivated poliomyelitis and </w:t>
                      </w:r>
                      <w:r w:rsidRPr="000B12D3">
                        <w:rPr>
                          <w:i/>
                        </w:rPr>
                        <w:t>Haemophilus influenzae</w:t>
                      </w:r>
                      <w:r w:rsidRPr="000B12D3">
                        <w:t xml:space="preserve"> type b conjugate vaccine</w:t>
                      </w:r>
                      <w:r>
                        <w:t xml:space="preserve"> (DTaP/IPV/Hib)</w:t>
                      </w:r>
                      <w:r>
                        <w:rPr>
                          <w:rFonts w:cs="Arial"/>
                        </w:rPr>
                        <w:t xml:space="preserve"> </w:t>
                      </w:r>
                    </w:p>
                    <w:p w:rsidR="00750014" w:rsidRPr="002A15A4" w:rsidRDefault="00750014" w:rsidP="0032489D">
                      <w:pPr>
                        <w:shd w:val="clear" w:color="auto" w:fill="FFFFFF"/>
                        <w:jc w:val="center"/>
                      </w:pPr>
                    </w:p>
                    <w:p w:rsidR="00750014" w:rsidRPr="002A15A4" w:rsidRDefault="00750014" w:rsidP="0032489D">
                      <w:pPr>
                        <w:jc w:val="center"/>
                      </w:pPr>
                      <w:r>
                        <w:t>Individual</w:t>
                      </w:r>
                      <w:r w:rsidRPr="002A15A4">
                        <w:t>s</w:t>
                      </w:r>
                      <w:r>
                        <w:t xml:space="preserve"> from 8 weeks to under 10 years of age</w:t>
                      </w:r>
                      <w:r w:rsidRPr="002A15A4">
                        <w:t xml:space="preserve"> in accorda</w:t>
                      </w:r>
                      <w:r>
                        <w:t>nce with the n</w:t>
                      </w:r>
                      <w:r w:rsidRPr="002A15A4">
                        <w:t xml:space="preserve">ational </w:t>
                      </w:r>
                      <w:r>
                        <w:t>immunisation p</w:t>
                      </w:r>
                      <w:r w:rsidRPr="002A15A4">
                        <w:t>rogramme</w:t>
                      </w:r>
                    </w:p>
                  </w:txbxContent>
                </v:textbox>
                <w10:wrap type="topAndBottom"/>
              </v:rect>
            </w:pict>
          </mc:Fallback>
        </mc:AlternateContent>
      </w:r>
      <w:r w:rsidR="00000A1D" w:rsidRPr="00E161EA">
        <w:rPr>
          <w:b/>
          <w:szCs w:val="24"/>
        </w:rPr>
        <w:t>P</w:t>
      </w:r>
      <w:r w:rsidR="00E161EA" w:rsidRPr="00E161EA">
        <w:rPr>
          <w:b/>
          <w:szCs w:val="24"/>
        </w:rPr>
        <w:t>HE p</w:t>
      </w:r>
      <w:r w:rsidR="00000A1D" w:rsidRPr="00E161EA">
        <w:rPr>
          <w:b/>
          <w:szCs w:val="24"/>
        </w:rPr>
        <w:t xml:space="preserve">ublications </w:t>
      </w:r>
      <w:r w:rsidR="00E161EA" w:rsidRPr="00E161EA">
        <w:rPr>
          <w:b/>
          <w:szCs w:val="24"/>
        </w:rPr>
        <w:t>g</w:t>
      </w:r>
      <w:r w:rsidR="00000A1D" w:rsidRPr="00E161EA">
        <w:rPr>
          <w:b/>
          <w:szCs w:val="24"/>
        </w:rPr>
        <w:t xml:space="preserve">ateway </w:t>
      </w:r>
      <w:r w:rsidR="00E161EA" w:rsidRPr="00E161EA">
        <w:rPr>
          <w:b/>
          <w:szCs w:val="24"/>
        </w:rPr>
        <w:t>number</w:t>
      </w:r>
      <w:r w:rsidR="00000A1D" w:rsidRPr="00E161EA">
        <w:rPr>
          <w:b/>
          <w:szCs w:val="24"/>
        </w:rPr>
        <w:t xml:space="preserve">: </w:t>
      </w:r>
      <w:r w:rsidR="00463FC2">
        <w:rPr>
          <w:b/>
          <w:szCs w:val="24"/>
        </w:rPr>
        <w:t>2015561</w:t>
      </w:r>
    </w:p>
    <w:p w:rsidR="00C30D80" w:rsidRPr="00E161EA" w:rsidRDefault="00C30D80" w:rsidP="00E161EA">
      <w:pPr>
        <w:pStyle w:val="Heading2"/>
        <w:pBdr>
          <w:top w:val="none" w:sz="0" w:space="0" w:color="auto"/>
          <w:left w:val="none" w:sz="0" w:space="0" w:color="auto"/>
          <w:bottom w:val="none" w:sz="0" w:space="0" w:color="auto"/>
          <w:right w:val="none" w:sz="0" w:space="0" w:color="auto"/>
        </w:pBdr>
        <w:spacing w:before="0"/>
        <w:jc w:val="left"/>
        <w:rPr>
          <w:rFonts w:ascii="Arial" w:hAnsi="Arial" w:cs="Arial"/>
          <w:b w:val="0"/>
          <w:sz w:val="24"/>
          <w:szCs w:val="24"/>
        </w:rPr>
      </w:pPr>
    </w:p>
    <w:p w:rsidR="00A440DE" w:rsidRPr="00E161EA" w:rsidRDefault="002171DC" w:rsidP="00E161EA">
      <w:pPr>
        <w:pStyle w:val="Heading2"/>
        <w:pBdr>
          <w:top w:val="none" w:sz="0" w:space="0" w:color="auto"/>
          <w:left w:val="none" w:sz="0" w:space="0" w:color="auto"/>
          <w:bottom w:val="none" w:sz="0" w:space="0" w:color="auto"/>
          <w:right w:val="none" w:sz="0" w:space="0" w:color="auto"/>
        </w:pBdr>
        <w:spacing w:before="0"/>
        <w:jc w:val="left"/>
        <w:rPr>
          <w:rFonts w:ascii="Arial" w:hAnsi="Arial" w:cs="Arial"/>
          <w:b w:val="0"/>
          <w:color w:val="000000"/>
          <w:sz w:val="24"/>
          <w:szCs w:val="24"/>
        </w:rPr>
      </w:pPr>
      <w:r w:rsidRPr="00E161EA">
        <w:rPr>
          <w:rFonts w:ascii="Arial" w:hAnsi="Arial" w:cs="Arial"/>
          <w:b w:val="0"/>
          <w:sz w:val="24"/>
          <w:szCs w:val="24"/>
        </w:rPr>
        <w:t xml:space="preserve">For the </w:t>
      </w:r>
      <w:r w:rsidR="00D1582D">
        <w:rPr>
          <w:rFonts w:ascii="Arial" w:hAnsi="Arial" w:cs="Arial"/>
          <w:b w:val="0"/>
          <w:sz w:val="24"/>
          <w:szCs w:val="24"/>
        </w:rPr>
        <w:t>administration of</w:t>
      </w:r>
      <w:r w:rsidR="00345EDE" w:rsidRPr="00345EDE">
        <w:rPr>
          <w:rFonts w:ascii="Arial" w:hAnsi="Arial" w:cs="Arial"/>
          <w:b w:val="0"/>
          <w:sz w:val="24"/>
          <w:szCs w:val="24"/>
        </w:rPr>
        <w:t xml:space="preserve"> diphtheria, tetanus</w:t>
      </w:r>
      <w:r w:rsidR="00A956FD">
        <w:rPr>
          <w:rFonts w:ascii="Arial" w:hAnsi="Arial" w:cs="Arial"/>
          <w:b w:val="0"/>
          <w:sz w:val="24"/>
          <w:szCs w:val="24"/>
        </w:rPr>
        <w:t>,</w:t>
      </w:r>
      <w:r w:rsidR="00A956FD" w:rsidRPr="00A956FD">
        <w:rPr>
          <w:rFonts w:ascii="Arial" w:hAnsi="Arial" w:cs="Arial"/>
          <w:b w:val="0"/>
          <w:sz w:val="24"/>
          <w:szCs w:val="24"/>
        </w:rPr>
        <w:t xml:space="preserve"> acellular pertussis</w:t>
      </w:r>
      <w:r w:rsidR="00C93D18">
        <w:rPr>
          <w:rFonts w:ascii="Arial" w:hAnsi="Arial" w:cs="Arial"/>
          <w:b w:val="0"/>
          <w:sz w:val="24"/>
          <w:szCs w:val="24"/>
        </w:rPr>
        <w:t xml:space="preserve">, </w:t>
      </w:r>
      <w:r w:rsidR="00345EDE" w:rsidRPr="00345EDE">
        <w:rPr>
          <w:rFonts w:ascii="Arial" w:hAnsi="Arial" w:cs="Arial"/>
          <w:b w:val="0"/>
          <w:sz w:val="24"/>
          <w:szCs w:val="24"/>
        </w:rPr>
        <w:t>ina</w:t>
      </w:r>
      <w:r w:rsidR="00A956FD">
        <w:rPr>
          <w:rFonts w:ascii="Arial" w:hAnsi="Arial" w:cs="Arial"/>
          <w:b w:val="0"/>
          <w:sz w:val="24"/>
          <w:szCs w:val="24"/>
        </w:rPr>
        <w:t>ctivated poliomyelitis</w:t>
      </w:r>
      <w:r w:rsidR="00C93D18">
        <w:rPr>
          <w:rFonts w:ascii="Arial" w:hAnsi="Arial" w:cs="Arial"/>
          <w:b w:val="0"/>
          <w:sz w:val="24"/>
          <w:szCs w:val="24"/>
        </w:rPr>
        <w:t xml:space="preserve"> </w:t>
      </w:r>
      <w:r w:rsidR="00C93D18" w:rsidRPr="00C93D18">
        <w:rPr>
          <w:rFonts w:ascii="Arial" w:hAnsi="Arial" w:cs="Arial"/>
          <w:b w:val="0"/>
          <w:sz w:val="24"/>
          <w:szCs w:val="24"/>
        </w:rPr>
        <w:t xml:space="preserve">and </w:t>
      </w:r>
      <w:r w:rsidR="00C93D18" w:rsidRPr="00C93D18">
        <w:rPr>
          <w:rFonts w:ascii="Arial" w:hAnsi="Arial" w:cs="Arial"/>
          <w:b w:val="0"/>
          <w:i/>
          <w:sz w:val="24"/>
          <w:szCs w:val="24"/>
        </w:rPr>
        <w:t>Haemophilus influenzae</w:t>
      </w:r>
      <w:r w:rsidR="00C93D18" w:rsidRPr="00C93D18">
        <w:rPr>
          <w:rFonts w:ascii="Arial" w:hAnsi="Arial" w:cs="Arial"/>
          <w:b w:val="0"/>
          <w:sz w:val="24"/>
          <w:szCs w:val="24"/>
        </w:rPr>
        <w:t xml:space="preserve"> type b conjugate</w:t>
      </w:r>
      <w:r w:rsidR="00A956FD">
        <w:rPr>
          <w:rFonts w:ascii="Arial" w:hAnsi="Arial" w:cs="Arial"/>
          <w:b w:val="0"/>
          <w:sz w:val="24"/>
          <w:szCs w:val="24"/>
        </w:rPr>
        <w:t xml:space="preserve"> vaccine </w:t>
      </w:r>
      <w:r w:rsidR="000E78D3">
        <w:rPr>
          <w:rFonts w:ascii="Arial" w:hAnsi="Arial" w:cs="Arial"/>
          <w:b w:val="0"/>
          <w:sz w:val="24"/>
          <w:szCs w:val="24"/>
        </w:rPr>
        <w:t>(</w:t>
      </w:r>
      <w:r w:rsidR="00534AA3" w:rsidRPr="00534AA3">
        <w:rPr>
          <w:rFonts w:ascii="Arial" w:hAnsi="Arial" w:cs="Arial"/>
          <w:b w:val="0"/>
          <w:sz w:val="24"/>
          <w:szCs w:val="24"/>
        </w:rPr>
        <w:t>DTaP/IPV</w:t>
      </w:r>
      <w:r w:rsidR="00C93D18">
        <w:rPr>
          <w:rFonts w:ascii="Arial" w:hAnsi="Arial" w:cs="Arial"/>
          <w:b w:val="0"/>
          <w:sz w:val="24"/>
          <w:szCs w:val="24"/>
        </w:rPr>
        <w:t>/Hib)</w:t>
      </w:r>
      <w:r w:rsidR="00A956FD" w:rsidRPr="00A956FD">
        <w:rPr>
          <w:rFonts w:ascii="Arial" w:hAnsi="Arial" w:cs="Arial"/>
          <w:b w:val="0"/>
          <w:sz w:val="24"/>
          <w:szCs w:val="24"/>
        </w:rPr>
        <w:t xml:space="preserve"> </w:t>
      </w:r>
      <w:r w:rsidR="00CD6CB9" w:rsidRPr="00E161EA">
        <w:rPr>
          <w:rFonts w:ascii="Arial" w:hAnsi="Arial" w:cs="Arial"/>
          <w:b w:val="0"/>
          <w:sz w:val="24"/>
          <w:szCs w:val="24"/>
        </w:rPr>
        <w:t xml:space="preserve">by currently </w:t>
      </w:r>
      <w:r w:rsidR="00CD6CB9" w:rsidRPr="00345EDE">
        <w:rPr>
          <w:rFonts w:ascii="Arial" w:hAnsi="Arial" w:cs="Arial"/>
          <w:b w:val="0"/>
          <w:sz w:val="24"/>
          <w:szCs w:val="24"/>
        </w:rPr>
        <w:t>registered nurses</w:t>
      </w:r>
      <w:r w:rsidR="00534AA3">
        <w:rPr>
          <w:rFonts w:ascii="Arial" w:hAnsi="Arial" w:cs="Arial"/>
          <w:b w:val="0"/>
          <w:sz w:val="24"/>
          <w:szCs w:val="24"/>
        </w:rPr>
        <w:t xml:space="preserve"> </w:t>
      </w:r>
      <w:r w:rsidR="00244D27">
        <w:rPr>
          <w:rFonts w:ascii="Arial" w:hAnsi="Arial" w:cs="Arial"/>
          <w:b w:val="0"/>
          <w:sz w:val="24"/>
          <w:szCs w:val="24"/>
        </w:rPr>
        <w:t>or paramedics</w:t>
      </w:r>
      <w:r w:rsidR="00244D27" w:rsidRPr="00345EDE">
        <w:rPr>
          <w:rFonts w:ascii="Arial" w:hAnsi="Arial" w:cs="Arial"/>
          <w:b w:val="0"/>
          <w:sz w:val="24"/>
          <w:szCs w:val="24"/>
        </w:rPr>
        <w:t xml:space="preserve"> </w:t>
      </w:r>
      <w:r w:rsidR="00CD6CB9" w:rsidRPr="00345EDE">
        <w:rPr>
          <w:rFonts w:ascii="Arial" w:hAnsi="Arial" w:cs="Arial"/>
          <w:b w:val="0"/>
          <w:sz w:val="24"/>
          <w:szCs w:val="24"/>
        </w:rPr>
        <w:t>to</w:t>
      </w:r>
      <w:r w:rsidR="00E25AA9" w:rsidRPr="00345EDE">
        <w:rPr>
          <w:rFonts w:ascii="Arial" w:hAnsi="Arial" w:cs="Arial"/>
          <w:b w:val="0"/>
          <w:sz w:val="24"/>
          <w:szCs w:val="24"/>
        </w:rPr>
        <w:t xml:space="preserve"> </w:t>
      </w:r>
      <w:r w:rsidR="0031600F">
        <w:rPr>
          <w:rFonts w:ascii="Arial" w:hAnsi="Arial" w:cs="Arial"/>
          <w:b w:val="0"/>
          <w:sz w:val="24"/>
          <w:szCs w:val="24"/>
        </w:rPr>
        <w:t xml:space="preserve">individuals </w:t>
      </w:r>
      <w:r w:rsidR="00534AA3">
        <w:rPr>
          <w:rFonts w:ascii="Arial" w:hAnsi="Arial" w:cs="Arial"/>
          <w:b w:val="0"/>
          <w:sz w:val="24"/>
          <w:szCs w:val="24"/>
        </w:rPr>
        <w:t xml:space="preserve">from </w:t>
      </w:r>
      <w:r w:rsidR="00C93D18">
        <w:rPr>
          <w:rFonts w:ascii="Arial" w:hAnsi="Arial" w:cs="Arial"/>
          <w:b w:val="0"/>
          <w:sz w:val="24"/>
          <w:szCs w:val="24"/>
        </w:rPr>
        <w:t>8 weeks</w:t>
      </w:r>
      <w:r w:rsidR="00345EDE" w:rsidRPr="00534AA3">
        <w:rPr>
          <w:rFonts w:ascii="Arial" w:hAnsi="Arial" w:cs="Arial"/>
          <w:b w:val="0"/>
          <w:sz w:val="24"/>
          <w:szCs w:val="24"/>
        </w:rPr>
        <w:t xml:space="preserve"> </w:t>
      </w:r>
      <w:r w:rsidR="00534AA3">
        <w:rPr>
          <w:rFonts w:ascii="Arial" w:hAnsi="Arial" w:cs="Arial"/>
          <w:b w:val="0"/>
          <w:sz w:val="24"/>
          <w:szCs w:val="24"/>
        </w:rPr>
        <w:t xml:space="preserve">to </w:t>
      </w:r>
      <w:r w:rsidR="00437D7D">
        <w:rPr>
          <w:rFonts w:ascii="Arial" w:hAnsi="Arial" w:cs="Arial"/>
          <w:b w:val="0"/>
          <w:sz w:val="24"/>
          <w:szCs w:val="24"/>
        </w:rPr>
        <w:t xml:space="preserve">under </w:t>
      </w:r>
      <w:r w:rsidR="00534AA3">
        <w:rPr>
          <w:rFonts w:ascii="Arial" w:hAnsi="Arial" w:cs="Arial"/>
          <w:b w:val="0"/>
          <w:sz w:val="24"/>
          <w:szCs w:val="24"/>
        </w:rPr>
        <w:t xml:space="preserve">10 years </w:t>
      </w:r>
      <w:r w:rsidR="00345EDE" w:rsidRPr="00345EDE">
        <w:rPr>
          <w:rFonts w:ascii="Arial" w:hAnsi="Arial" w:cs="Arial"/>
          <w:b w:val="0"/>
          <w:sz w:val="24"/>
          <w:szCs w:val="24"/>
        </w:rPr>
        <w:t>of age in accordance with the national immunisation programme</w:t>
      </w:r>
      <w:r w:rsidR="00C1562C" w:rsidRPr="00345EDE" w:rsidDel="00C1562C">
        <w:rPr>
          <w:rFonts w:ascii="Arial" w:hAnsi="Arial" w:cs="Arial"/>
          <w:b w:val="0"/>
          <w:sz w:val="24"/>
          <w:szCs w:val="24"/>
        </w:rPr>
        <w:t xml:space="preserve"> </w:t>
      </w:r>
      <w:r w:rsidR="003B0421">
        <w:rPr>
          <w:rFonts w:ascii="Arial" w:hAnsi="Arial" w:cs="Arial"/>
          <w:b w:val="0"/>
          <w:sz w:val="24"/>
          <w:szCs w:val="24"/>
        </w:rPr>
        <w:t>for active immu</w:t>
      </w:r>
      <w:r w:rsidR="002B41AC" w:rsidRPr="00345EDE">
        <w:rPr>
          <w:rFonts w:ascii="Arial" w:hAnsi="Arial" w:cs="Arial"/>
          <w:b w:val="0"/>
          <w:sz w:val="24"/>
          <w:szCs w:val="24"/>
        </w:rPr>
        <w:t>n</w:t>
      </w:r>
      <w:r w:rsidRPr="00345EDE">
        <w:rPr>
          <w:rFonts w:ascii="Arial" w:hAnsi="Arial" w:cs="Arial"/>
          <w:b w:val="0"/>
          <w:sz w:val="24"/>
          <w:szCs w:val="24"/>
        </w:rPr>
        <w:t xml:space="preserve">isation against </w:t>
      </w:r>
      <w:r w:rsidR="00345EDE" w:rsidRPr="00345EDE">
        <w:rPr>
          <w:rFonts w:ascii="Arial" w:hAnsi="Arial" w:cs="Arial"/>
          <w:b w:val="0"/>
          <w:sz w:val="24"/>
          <w:szCs w:val="24"/>
        </w:rPr>
        <w:t>diphtheria, tetanus</w:t>
      </w:r>
      <w:r w:rsidR="00C93D18">
        <w:rPr>
          <w:rFonts w:ascii="Arial" w:hAnsi="Arial" w:cs="Arial"/>
          <w:b w:val="0"/>
          <w:sz w:val="24"/>
          <w:szCs w:val="24"/>
        </w:rPr>
        <w:t xml:space="preserve">, pertussis, </w:t>
      </w:r>
      <w:r w:rsidR="00345EDE">
        <w:rPr>
          <w:rFonts w:ascii="Arial" w:hAnsi="Arial" w:cs="Arial"/>
          <w:b w:val="0"/>
          <w:sz w:val="24"/>
          <w:szCs w:val="24"/>
        </w:rPr>
        <w:t>poliomyelitis</w:t>
      </w:r>
      <w:r w:rsidR="00C93D18">
        <w:rPr>
          <w:rFonts w:ascii="Arial" w:hAnsi="Arial" w:cs="Arial"/>
          <w:b w:val="0"/>
          <w:sz w:val="24"/>
          <w:szCs w:val="24"/>
        </w:rPr>
        <w:t xml:space="preserve"> and </w:t>
      </w:r>
      <w:r w:rsidR="00C93D18" w:rsidRPr="00C93D18">
        <w:rPr>
          <w:rFonts w:ascii="Arial" w:hAnsi="Arial" w:cs="Arial"/>
          <w:b w:val="0"/>
          <w:i/>
          <w:sz w:val="24"/>
          <w:szCs w:val="24"/>
        </w:rPr>
        <w:t>Haemophilus influenzae</w:t>
      </w:r>
      <w:r w:rsidR="00C93D18" w:rsidRPr="00C93D18">
        <w:rPr>
          <w:rFonts w:ascii="Arial" w:hAnsi="Arial" w:cs="Arial"/>
          <w:b w:val="0"/>
          <w:sz w:val="24"/>
          <w:szCs w:val="24"/>
        </w:rPr>
        <w:t xml:space="preserve"> type b</w:t>
      </w:r>
      <w:r w:rsidR="00C93D18">
        <w:rPr>
          <w:rFonts w:ascii="Arial" w:hAnsi="Arial" w:cs="Arial"/>
          <w:b w:val="0"/>
          <w:sz w:val="24"/>
          <w:szCs w:val="24"/>
        </w:rPr>
        <w:t>.</w:t>
      </w:r>
    </w:p>
    <w:p w:rsidR="00815487" w:rsidRPr="00E161EA" w:rsidRDefault="00815487" w:rsidP="00E161EA">
      <w:pPr>
        <w:ind w:rightChars="-375" w:right="-900"/>
        <w:rPr>
          <w:color w:val="000000"/>
          <w:szCs w:val="24"/>
        </w:rPr>
      </w:pPr>
      <w:r w:rsidRPr="00E161EA">
        <w:rPr>
          <w:color w:val="000000"/>
          <w:szCs w:val="24"/>
        </w:rPr>
        <w:tab/>
      </w:r>
    </w:p>
    <w:p w:rsidR="00815487" w:rsidRPr="00E161EA" w:rsidRDefault="00A440DE" w:rsidP="006312AB">
      <w:pPr>
        <w:spacing w:line="300" w:lineRule="exact"/>
        <w:ind w:rightChars="-375" w:right="-900"/>
        <w:rPr>
          <w:rFonts w:cs="Arial"/>
          <w:i/>
          <w:color w:val="FF0000"/>
          <w:szCs w:val="24"/>
        </w:rPr>
      </w:pPr>
      <w:r w:rsidRPr="00E161EA">
        <w:rPr>
          <w:rFonts w:cs="Arial"/>
          <w:color w:val="000000"/>
          <w:szCs w:val="24"/>
        </w:rPr>
        <w:t>Reference no:</w:t>
      </w:r>
      <w:r w:rsidRPr="00E161EA">
        <w:rPr>
          <w:rFonts w:cs="Arial"/>
          <w:color w:val="000000"/>
          <w:szCs w:val="24"/>
        </w:rPr>
        <w:tab/>
      </w:r>
      <w:r w:rsidR="00D1582D">
        <w:rPr>
          <w:rFonts w:cs="Arial"/>
          <w:i/>
          <w:szCs w:val="24"/>
        </w:rPr>
        <w:t>D</w:t>
      </w:r>
      <w:r w:rsidR="0041133C">
        <w:rPr>
          <w:rFonts w:cs="Arial"/>
          <w:i/>
          <w:szCs w:val="24"/>
        </w:rPr>
        <w:t>TaP/IPV</w:t>
      </w:r>
      <w:r w:rsidR="00C93D18">
        <w:rPr>
          <w:rFonts w:cs="Arial"/>
          <w:i/>
          <w:szCs w:val="24"/>
        </w:rPr>
        <w:t>/Hib</w:t>
      </w:r>
      <w:r w:rsidR="0041133C">
        <w:rPr>
          <w:rFonts w:cs="Arial"/>
          <w:i/>
          <w:szCs w:val="24"/>
        </w:rPr>
        <w:t xml:space="preserve"> </w:t>
      </w:r>
      <w:r w:rsidR="00A956FD" w:rsidRPr="00A956FD">
        <w:rPr>
          <w:rFonts w:cs="Arial"/>
          <w:i/>
          <w:szCs w:val="24"/>
        </w:rPr>
        <w:t>P</w:t>
      </w:r>
      <w:r w:rsidR="007914FD" w:rsidRPr="00A956FD">
        <w:rPr>
          <w:rFonts w:cs="Arial"/>
          <w:i/>
          <w:szCs w:val="24"/>
        </w:rPr>
        <w:t>GD</w:t>
      </w:r>
    </w:p>
    <w:p w:rsidR="00815487" w:rsidRPr="00750014" w:rsidRDefault="00815487" w:rsidP="006312AB">
      <w:pPr>
        <w:spacing w:line="300" w:lineRule="exact"/>
        <w:ind w:rightChars="-375" w:right="-900"/>
        <w:rPr>
          <w:rFonts w:cs="Arial"/>
          <w:color w:val="FF0000"/>
          <w:szCs w:val="24"/>
        </w:rPr>
      </w:pPr>
      <w:r w:rsidRPr="00E161EA">
        <w:rPr>
          <w:color w:val="000000"/>
          <w:szCs w:val="24"/>
        </w:rPr>
        <w:t>Version no:</w:t>
      </w:r>
      <w:r w:rsidRPr="00E161EA">
        <w:rPr>
          <w:rFonts w:cs="Arial"/>
          <w:i/>
          <w:color w:val="FF0000"/>
          <w:szCs w:val="24"/>
        </w:rPr>
        <w:t xml:space="preserve"> </w:t>
      </w:r>
      <w:r w:rsidRPr="00E161EA">
        <w:rPr>
          <w:rFonts w:cs="Arial"/>
          <w:i/>
          <w:color w:val="FF0000"/>
          <w:szCs w:val="24"/>
        </w:rPr>
        <w:tab/>
      </w:r>
      <w:r w:rsidRPr="00E161EA">
        <w:rPr>
          <w:rFonts w:cs="Arial"/>
          <w:i/>
          <w:color w:val="FF0000"/>
          <w:szCs w:val="24"/>
        </w:rPr>
        <w:tab/>
      </w:r>
      <w:r w:rsidR="00641D94">
        <w:rPr>
          <w:rFonts w:cs="Arial"/>
          <w:i/>
          <w:szCs w:val="24"/>
        </w:rPr>
        <w:t>v01.00</w:t>
      </w:r>
    </w:p>
    <w:p w:rsidR="00815487" w:rsidRPr="00D66807" w:rsidRDefault="00815487" w:rsidP="006312AB">
      <w:pPr>
        <w:spacing w:line="300" w:lineRule="exact"/>
        <w:ind w:rightChars="-375" w:right="-900"/>
        <w:rPr>
          <w:rFonts w:cs="Arial"/>
          <w:szCs w:val="24"/>
        </w:rPr>
      </w:pPr>
      <w:r w:rsidRPr="00D66807">
        <w:rPr>
          <w:rFonts w:cs="Arial"/>
          <w:szCs w:val="24"/>
        </w:rPr>
        <w:t>Valid from:</w:t>
      </w:r>
      <w:r w:rsidRPr="00D66807">
        <w:rPr>
          <w:rFonts w:cs="Arial"/>
          <w:szCs w:val="24"/>
        </w:rPr>
        <w:tab/>
      </w:r>
      <w:r w:rsidRPr="00D66807">
        <w:rPr>
          <w:rFonts w:cs="Arial"/>
          <w:szCs w:val="24"/>
        </w:rPr>
        <w:tab/>
      </w:r>
      <w:r w:rsidR="00641D94">
        <w:rPr>
          <w:rFonts w:cs="Arial"/>
          <w:i/>
          <w:szCs w:val="24"/>
        </w:rPr>
        <w:t>15</w:t>
      </w:r>
      <w:r w:rsidR="00D66807" w:rsidRPr="00D66807">
        <w:rPr>
          <w:rFonts w:cs="Arial"/>
          <w:i/>
          <w:szCs w:val="24"/>
        </w:rPr>
        <w:t xml:space="preserve"> December 2015</w:t>
      </w:r>
    </w:p>
    <w:p w:rsidR="00815487" w:rsidRPr="00D66807" w:rsidRDefault="00815487" w:rsidP="006312AB">
      <w:pPr>
        <w:spacing w:line="300" w:lineRule="exact"/>
        <w:ind w:rightChars="-375" w:right="-900"/>
        <w:rPr>
          <w:rFonts w:cs="Arial"/>
          <w:szCs w:val="24"/>
        </w:rPr>
      </w:pPr>
      <w:r w:rsidRPr="00D66807">
        <w:rPr>
          <w:rFonts w:cs="Arial"/>
          <w:szCs w:val="24"/>
        </w:rPr>
        <w:t>Review date:</w:t>
      </w:r>
      <w:r w:rsidRPr="00D66807">
        <w:rPr>
          <w:rFonts w:cs="Arial"/>
          <w:szCs w:val="24"/>
        </w:rPr>
        <w:tab/>
      </w:r>
      <w:r w:rsidRPr="00D66807">
        <w:rPr>
          <w:rFonts w:cs="Arial"/>
          <w:szCs w:val="24"/>
        </w:rPr>
        <w:tab/>
      </w:r>
      <w:r w:rsidR="00D66807" w:rsidRPr="00D66807">
        <w:rPr>
          <w:rFonts w:cs="Arial"/>
          <w:i/>
          <w:szCs w:val="24"/>
        </w:rPr>
        <w:t>1 June 2017</w:t>
      </w:r>
      <w:r w:rsidR="00D66807" w:rsidRPr="00D66807">
        <w:rPr>
          <w:rFonts w:cs="Arial"/>
          <w:i/>
          <w:szCs w:val="24"/>
        </w:rPr>
        <w:tab/>
      </w:r>
      <w:r w:rsidR="0054483C" w:rsidRPr="00D66807">
        <w:rPr>
          <w:rFonts w:cs="Arial"/>
          <w:i/>
          <w:szCs w:val="24"/>
        </w:rPr>
        <w:t xml:space="preserve"> </w:t>
      </w:r>
    </w:p>
    <w:p w:rsidR="00815487" w:rsidRPr="00D66807" w:rsidRDefault="00815487" w:rsidP="006312AB">
      <w:pPr>
        <w:spacing w:line="300" w:lineRule="exact"/>
        <w:ind w:rightChars="-375" w:right="-900"/>
        <w:rPr>
          <w:rFonts w:cs="Arial"/>
          <w:i/>
          <w:szCs w:val="24"/>
        </w:rPr>
      </w:pPr>
      <w:r w:rsidRPr="00D66807">
        <w:rPr>
          <w:rFonts w:cs="Arial"/>
          <w:szCs w:val="24"/>
        </w:rPr>
        <w:t>Expiry date:</w:t>
      </w:r>
      <w:r w:rsidRPr="00D66807">
        <w:rPr>
          <w:rFonts w:cs="Arial"/>
          <w:szCs w:val="24"/>
        </w:rPr>
        <w:tab/>
      </w:r>
      <w:r w:rsidRPr="00D66807">
        <w:rPr>
          <w:rFonts w:cs="Arial"/>
          <w:szCs w:val="24"/>
        </w:rPr>
        <w:tab/>
      </w:r>
      <w:r w:rsidR="00D66807" w:rsidRPr="00D66807">
        <w:rPr>
          <w:rFonts w:cs="Arial"/>
          <w:i/>
          <w:szCs w:val="24"/>
        </w:rPr>
        <w:t>30 November 2017</w:t>
      </w:r>
    </w:p>
    <w:p w:rsidR="005E4B93" w:rsidRPr="00E161EA" w:rsidRDefault="00815487" w:rsidP="00E161EA">
      <w:pPr>
        <w:rPr>
          <w:rFonts w:cs="Arial"/>
          <w:b/>
          <w:szCs w:val="24"/>
        </w:rPr>
      </w:pPr>
      <w:r w:rsidRPr="00E161EA" w:rsidDel="00815487">
        <w:rPr>
          <w:rFonts w:cs="Arial"/>
          <w:b/>
          <w:color w:val="000000"/>
          <w:szCs w:val="24"/>
        </w:rPr>
        <w:t xml:space="preserve"> </w:t>
      </w:r>
    </w:p>
    <w:p w:rsidR="009B6DB4" w:rsidRPr="00E161EA" w:rsidRDefault="009B6DB4" w:rsidP="00E161EA">
      <w:pPr>
        <w:rPr>
          <w:rFonts w:cs="Arial"/>
          <w:b/>
          <w:szCs w:val="24"/>
        </w:rPr>
      </w:pPr>
      <w:r w:rsidRPr="00E161EA">
        <w:rPr>
          <w:rFonts w:cs="Arial"/>
          <w:b/>
          <w:szCs w:val="24"/>
        </w:rPr>
        <w:t xml:space="preserve">Public Health England has developed this PGD for local authorisation by NHS </w:t>
      </w:r>
      <w:r w:rsidR="00FE0BE9" w:rsidRPr="00E161EA">
        <w:rPr>
          <w:rFonts w:cs="Arial"/>
          <w:b/>
          <w:szCs w:val="24"/>
        </w:rPr>
        <w:t>England</w:t>
      </w:r>
      <w:r w:rsidRPr="00E161EA">
        <w:rPr>
          <w:rFonts w:cs="Arial"/>
          <w:b/>
          <w:szCs w:val="24"/>
        </w:rPr>
        <w:t xml:space="preserve"> to facilitate delivery of the</w:t>
      </w:r>
      <w:r w:rsidR="00C87933" w:rsidRPr="00E161EA">
        <w:rPr>
          <w:rFonts w:cs="Arial"/>
          <w:b/>
          <w:szCs w:val="24"/>
        </w:rPr>
        <w:t xml:space="preserve"> </w:t>
      </w:r>
      <w:r w:rsidR="00E161EA" w:rsidRPr="00E161EA">
        <w:rPr>
          <w:rFonts w:cs="Arial"/>
          <w:b/>
          <w:szCs w:val="24"/>
        </w:rPr>
        <w:t>n</w:t>
      </w:r>
      <w:r w:rsidR="00C87933" w:rsidRPr="00E161EA">
        <w:rPr>
          <w:rFonts w:cs="Arial"/>
          <w:b/>
          <w:szCs w:val="24"/>
        </w:rPr>
        <w:t>ational</w:t>
      </w:r>
      <w:r w:rsidRPr="00E161EA">
        <w:rPr>
          <w:rFonts w:cs="Arial"/>
          <w:b/>
          <w:szCs w:val="24"/>
        </w:rPr>
        <w:t xml:space="preserve"> </w:t>
      </w:r>
      <w:r w:rsidR="00E161EA" w:rsidRPr="00E161EA">
        <w:rPr>
          <w:rFonts w:cs="Arial"/>
          <w:b/>
          <w:szCs w:val="24"/>
        </w:rPr>
        <w:t>i</w:t>
      </w:r>
      <w:r w:rsidR="006E2380" w:rsidRPr="00E161EA">
        <w:rPr>
          <w:rFonts w:cs="Arial"/>
          <w:b/>
          <w:szCs w:val="24"/>
        </w:rPr>
        <w:t xml:space="preserve">mmunisation </w:t>
      </w:r>
      <w:r w:rsidR="00E161EA" w:rsidRPr="00E161EA">
        <w:rPr>
          <w:rFonts w:cs="Arial"/>
          <w:b/>
          <w:szCs w:val="24"/>
        </w:rPr>
        <w:t>p</w:t>
      </w:r>
      <w:r w:rsidRPr="00E161EA">
        <w:rPr>
          <w:rFonts w:cs="Arial"/>
          <w:b/>
          <w:szCs w:val="24"/>
        </w:rPr>
        <w:t xml:space="preserve">rogramme. </w:t>
      </w:r>
    </w:p>
    <w:p w:rsidR="009B6DB4" w:rsidRPr="00E161EA" w:rsidRDefault="009B6DB4" w:rsidP="00E161EA">
      <w:pPr>
        <w:rPr>
          <w:rFonts w:cs="Arial"/>
          <w:b/>
          <w:szCs w:val="24"/>
        </w:rPr>
      </w:pPr>
    </w:p>
    <w:p w:rsidR="00615F3E" w:rsidRPr="00E161EA" w:rsidRDefault="00FE0BE9" w:rsidP="00E161EA">
      <w:pPr>
        <w:overflowPunct/>
        <w:textAlignment w:val="auto"/>
        <w:rPr>
          <w:rFonts w:eastAsiaTheme="minorHAnsi" w:cs="Arial"/>
          <w:color w:val="282828"/>
          <w:szCs w:val="24"/>
          <w:lang w:eastAsia="en-US"/>
        </w:rPr>
      </w:pPr>
      <w:r w:rsidRPr="00E161EA">
        <w:rPr>
          <w:rFonts w:cs="Arial"/>
          <w:szCs w:val="24"/>
        </w:rPr>
        <w:t>Those</w:t>
      </w:r>
      <w:r w:rsidR="005E4B93" w:rsidRPr="00E161EA">
        <w:rPr>
          <w:rFonts w:cs="Arial"/>
          <w:szCs w:val="24"/>
        </w:rPr>
        <w:t xml:space="preserve"> using this PGD must ensure that it is formally authorised and signed by a </w:t>
      </w:r>
      <w:r w:rsidR="003E1EBF" w:rsidRPr="00E161EA">
        <w:rPr>
          <w:rFonts w:cs="Arial"/>
          <w:szCs w:val="24"/>
        </w:rPr>
        <w:t xml:space="preserve">clinical </w:t>
      </w:r>
      <w:r w:rsidR="005E4B93" w:rsidRPr="00E161EA">
        <w:rPr>
          <w:rFonts w:cs="Arial"/>
          <w:szCs w:val="24"/>
        </w:rPr>
        <w:t xml:space="preserve">governance </w:t>
      </w:r>
      <w:r w:rsidR="003E1EBF" w:rsidRPr="004C634B">
        <w:rPr>
          <w:rFonts w:cs="Arial"/>
          <w:szCs w:val="24"/>
        </w:rPr>
        <w:t xml:space="preserve">or patient safety lead, who has designated responsibility for signing PGDs on behalf </w:t>
      </w:r>
      <w:r w:rsidR="003225CC" w:rsidRPr="004C634B">
        <w:rPr>
          <w:rFonts w:cs="Arial"/>
          <w:szCs w:val="24"/>
        </w:rPr>
        <w:t xml:space="preserve">of </w:t>
      </w:r>
      <w:r w:rsidR="003225CC" w:rsidRPr="00E161EA">
        <w:rPr>
          <w:rFonts w:cs="Arial"/>
          <w:szCs w:val="24"/>
        </w:rPr>
        <w:t>NHS England for their geographical area, so</w:t>
      </w:r>
      <w:r w:rsidR="005E4B93" w:rsidRPr="00E161EA">
        <w:rPr>
          <w:rFonts w:cs="Arial"/>
          <w:szCs w:val="24"/>
        </w:rPr>
        <w:t xml:space="preserve"> that this document meets legal requirements for a PGD. </w:t>
      </w:r>
      <w:r w:rsidR="00C8597B" w:rsidRPr="00E161EA">
        <w:rPr>
          <w:rFonts w:cs="Arial"/>
          <w:b/>
          <w:szCs w:val="24"/>
        </w:rPr>
        <w:t xml:space="preserve">THE PGD IS NOT LEGAL OR VALID WITHOUT THIS LOCAL, FORMAL AUTHORISATION.  </w:t>
      </w:r>
    </w:p>
    <w:p w:rsidR="00D87FC8" w:rsidRPr="00E161EA" w:rsidRDefault="00D87FC8" w:rsidP="00E161EA">
      <w:pPr>
        <w:rPr>
          <w:rFonts w:cs="Arial"/>
          <w:szCs w:val="24"/>
        </w:rPr>
      </w:pPr>
    </w:p>
    <w:p w:rsidR="008544C1" w:rsidRPr="00E161EA" w:rsidRDefault="008544C1" w:rsidP="00E161EA">
      <w:pPr>
        <w:rPr>
          <w:rFonts w:cs="Arial"/>
          <w:szCs w:val="24"/>
        </w:rPr>
      </w:pPr>
      <w:r w:rsidRPr="00E161EA">
        <w:rPr>
          <w:rFonts w:cs="Arial"/>
          <w:szCs w:val="24"/>
        </w:rPr>
        <w:t xml:space="preserve">Authorising organisations must not alter or amend the body of this </w:t>
      </w:r>
      <w:r w:rsidR="00D87FC8" w:rsidRPr="00E161EA">
        <w:rPr>
          <w:rFonts w:cs="Arial"/>
          <w:szCs w:val="24"/>
        </w:rPr>
        <w:t>document;</w:t>
      </w:r>
      <w:r w:rsidRPr="00E161EA">
        <w:rPr>
          <w:rFonts w:cs="Arial"/>
          <w:szCs w:val="24"/>
        </w:rPr>
        <w:t xml:space="preserve"> such action will </w:t>
      </w:r>
      <w:r w:rsidR="00756264" w:rsidRPr="00E161EA">
        <w:rPr>
          <w:rFonts w:cs="Arial"/>
          <w:szCs w:val="24"/>
        </w:rPr>
        <w:t xml:space="preserve">invalidate the </w:t>
      </w:r>
      <w:r w:rsidRPr="00E161EA">
        <w:rPr>
          <w:rFonts w:cs="Arial"/>
          <w:szCs w:val="24"/>
        </w:rPr>
        <w:t>clinical sign-off with which it is provided</w:t>
      </w:r>
      <w:r w:rsidR="001A545E" w:rsidRPr="00E161EA">
        <w:rPr>
          <w:rFonts w:cs="Arial"/>
          <w:szCs w:val="24"/>
        </w:rPr>
        <w:t>.</w:t>
      </w:r>
    </w:p>
    <w:p w:rsidR="005E4B93" w:rsidRPr="00E161EA" w:rsidRDefault="005E4B93" w:rsidP="00E161EA">
      <w:pPr>
        <w:rPr>
          <w:rFonts w:cs="Arial"/>
          <w:b/>
          <w:szCs w:val="24"/>
        </w:rPr>
      </w:pPr>
    </w:p>
    <w:p w:rsidR="00C87933" w:rsidRPr="00E161EA" w:rsidRDefault="00FE0BE9" w:rsidP="00E161EA">
      <w:pPr>
        <w:rPr>
          <w:rFonts w:cs="Arial"/>
          <w:szCs w:val="24"/>
        </w:rPr>
      </w:pPr>
      <w:r w:rsidRPr="00E161EA">
        <w:rPr>
          <w:rFonts w:cs="Arial"/>
          <w:szCs w:val="24"/>
        </w:rPr>
        <w:t>Operation</w:t>
      </w:r>
      <w:r w:rsidR="00C87933" w:rsidRPr="00E161EA">
        <w:rPr>
          <w:rFonts w:cs="Arial"/>
          <w:szCs w:val="24"/>
        </w:rPr>
        <w:t xml:space="preserve"> of this PGD is the responsibility of commissioners and service providers.</w:t>
      </w:r>
    </w:p>
    <w:p w:rsidR="005E4B93" w:rsidRPr="00E161EA" w:rsidRDefault="005E4B93" w:rsidP="00E161EA">
      <w:pPr>
        <w:rPr>
          <w:rFonts w:cs="Arial"/>
          <w:b/>
          <w:bCs/>
          <w:szCs w:val="24"/>
        </w:rPr>
      </w:pPr>
    </w:p>
    <w:p w:rsidR="005E4B93" w:rsidRPr="00E161EA" w:rsidRDefault="005E4B93" w:rsidP="00E161EA">
      <w:pPr>
        <w:rPr>
          <w:rFonts w:cs="Arial"/>
          <w:b/>
          <w:bCs/>
          <w:szCs w:val="24"/>
        </w:rPr>
      </w:pPr>
      <w:r w:rsidRPr="00E161EA">
        <w:rPr>
          <w:rFonts w:cs="Arial"/>
          <w:b/>
          <w:bCs/>
          <w:szCs w:val="24"/>
        </w:rPr>
        <w:t xml:space="preserve">THE PRACTITIONER MUST BE AUTHORISED BY NAME, UNDER THE CURRENT VERSION OF THIS PGD BEFORE WORKING ACCORDING TO IT. </w:t>
      </w:r>
    </w:p>
    <w:p w:rsidR="005E4B93" w:rsidRPr="00E161EA" w:rsidRDefault="005E4B93" w:rsidP="00E161EA">
      <w:pPr>
        <w:rPr>
          <w:rFonts w:cs="Arial"/>
          <w:b/>
          <w:bCs/>
          <w:szCs w:val="24"/>
        </w:rPr>
      </w:pPr>
    </w:p>
    <w:p w:rsidR="00A13AE5" w:rsidRPr="00E161EA" w:rsidRDefault="008544C1" w:rsidP="00E161EA">
      <w:pPr>
        <w:rPr>
          <w:rFonts w:cs="Arial"/>
          <w:bCs/>
          <w:szCs w:val="24"/>
        </w:rPr>
      </w:pPr>
      <w:r w:rsidRPr="00E161EA">
        <w:rPr>
          <w:rFonts w:cs="Arial"/>
          <w:bCs/>
          <w:szCs w:val="24"/>
        </w:rPr>
        <w:t xml:space="preserve">Practitioners </w:t>
      </w:r>
      <w:r w:rsidR="00C87933" w:rsidRPr="00E161EA">
        <w:rPr>
          <w:rFonts w:cs="Arial"/>
          <w:bCs/>
          <w:szCs w:val="24"/>
        </w:rPr>
        <w:t xml:space="preserve">and organisations must check that they are using the current version of the PGD. Amendments may </w:t>
      </w:r>
      <w:r w:rsidR="006E2380" w:rsidRPr="00E161EA">
        <w:rPr>
          <w:rFonts w:cs="Arial"/>
          <w:bCs/>
          <w:szCs w:val="24"/>
        </w:rPr>
        <w:t xml:space="preserve">become necessary </w:t>
      </w:r>
      <w:r w:rsidR="00C87933" w:rsidRPr="00E161EA">
        <w:rPr>
          <w:rFonts w:cs="Arial"/>
          <w:bCs/>
          <w:szCs w:val="24"/>
        </w:rPr>
        <w:t xml:space="preserve">prior to the published expiry date. Current versions </w:t>
      </w:r>
      <w:r w:rsidRPr="00E161EA">
        <w:rPr>
          <w:rFonts w:cs="Arial"/>
          <w:bCs/>
          <w:szCs w:val="24"/>
        </w:rPr>
        <w:t xml:space="preserve">of </w:t>
      </w:r>
      <w:r w:rsidR="00C87933" w:rsidRPr="00E161EA">
        <w:rPr>
          <w:rFonts w:cs="Arial"/>
          <w:bCs/>
          <w:szCs w:val="24"/>
        </w:rPr>
        <w:t xml:space="preserve">PHE </w:t>
      </w:r>
      <w:r w:rsidRPr="00E161EA">
        <w:rPr>
          <w:rFonts w:cs="Arial"/>
          <w:bCs/>
          <w:szCs w:val="24"/>
        </w:rPr>
        <w:t>PGD</w:t>
      </w:r>
      <w:r w:rsidR="00C87933" w:rsidRPr="00E161EA">
        <w:rPr>
          <w:rFonts w:cs="Arial"/>
          <w:bCs/>
          <w:szCs w:val="24"/>
        </w:rPr>
        <w:t xml:space="preserve"> template</w:t>
      </w:r>
      <w:r w:rsidRPr="00E161EA">
        <w:rPr>
          <w:rFonts w:cs="Arial"/>
          <w:bCs/>
          <w:szCs w:val="24"/>
        </w:rPr>
        <w:t xml:space="preserve">s for local authorisation </w:t>
      </w:r>
      <w:r w:rsidR="00C87933" w:rsidRPr="00E161EA">
        <w:rPr>
          <w:rFonts w:cs="Arial"/>
          <w:bCs/>
          <w:szCs w:val="24"/>
        </w:rPr>
        <w:t xml:space="preserve">can be found </w:t>
      </w:r>
      <w:r w:rsidR="007817A6" w:rsidRPr="00E161EA">
        <w:rPr>
          <w:rFonts w:cs="Arial"/>
          <w:bCs/>
          <w:szCs w:val="24"/>
        </w:rPr>
        <w:t>from</w:t>
      </w:r>
      <w:r w:rsidR="00A13AE5" w:rsidRPr="00E161EA">
        <w:rPr>
          <w:rFonts w:cs="Arial"/>
          <w:bCs/>
          <w:szCs w:val="24"/>
        </w:rPr>
        <w:t>:</w:t>
      </w:r>
    </w:p>
    <w:p w:rsidR="001700C1" w:rsidRPr="00E161EA" w:rsidRDefault="008C0826" w:rsidP="00E161EA">
      <w:pPr>
        <w:rPr>
          <w:rFonts w:cs="Arial"/>
          <w:b/>
          <w:bCs/>
          <w:color w:val="FF0000"/>
          <w:szCs w:val="24"/>
        </w:rPr>
      </w:pPr>
      <w:hyperlink r:id="rId9" w:history="1">
        <w:r w:rsidR="007817A6" w:rsidRPr="00E161EA">
          <w:rPr>
            <w:rStyle w:val="Hyperlink"/>
            <w:rFonts w:cs="Arial"/>
            <w:bCs/>
            <w:szCs w:val="24"/>
          </w:rPr>
          <w:t>https://www.gov.uk/government/collections/immunisation</w:t>
        </w:r>
      </w:hyperlink>
      <w:r w:rsidR="007817A6" w:rsidRPr="00E161EA">
        <w:rPr>
          <w:rFonts w:cs="Arial"/>
          <w:bCs/>
          <w:szCs w:val="24"/>
        </w:rPr>
        <w:t xml:space="preserve"> </w:t>
      </w:r>
    </w:p>
    <w:p w:rsidR="006B166E" w:rsidRDefault="006B166E" w:rsidP="00E161EA">
      <w:pPr>
        <w:rPr>
          <w:rFonts w:cs="Arial"/>
          <w:color w:val="000000"/>
          <w:szCs w:val="24"/>
        </w:rPr>
      </w:pPr>
    </w:p>
    <w:p w:rsidR="00A13AE5" w:rsidRPr="00E161EA" w:rsidRDefault="00C87933" w:rsidP="00E161EA">
      <w:pPr>
        <w:rPr>
          <w:rFonts w:cs="Arial"/>
          <w:color w:val="000000"/>
          <w:szCs w:val="24"/>
        </w:rPr>
      </w:pPr>
      <w:r w:rsidRPr="00E161EA">
        <w:rPr>
          <w:rFonts w:cs="Arial"/>
          <w:color w:val="000000"/>
          <w:szCs w:val="24"/>
        </w:rPr>
        <w:t xml:space="preserve">Any concerns regarding </w:t>
      </w:r>
      <w:r w:rsidR="00A13AE5" w:rsidRPr="00E161EA">
        <w:rPr>
          <w:rFonts w:cs="Arial"/>
          <w:color w:val="000000"/>
          <w:szCs w:val="24"/>
        </w:rPr>
        <w:t>the content of this PGD</w:t>
      </w:r>
      <w:r w:rsidRPr="00E161EA">
        <w:rPr>
          <w:rFonts w:cs="Arial"/>
          <w:color w:val="000000"/>
          <w:szCs w:val="24"/>
        </w:rPr>
        <w:t xml:space="preserve"> should be addressed to</w:t>
      </w:r>
      <w:r w:rsidR="00A13AE5" w:rsidRPr="00E161EA">
        <w:rPr>
          <w:rFonts w:cs="Arial"/>
          <w:color w:val="000000"/>
          <w:szCs w:val="24"/>
        </w:rPr>
        <w:t>:</w:t>
      </w:r>
    </w:p>
    <w:p w:rsidR="006B166E" w:rsidRDefault="008C0826" w:rsidP="00345EDE">
      <w:pPr>
        <w:rPr>
          <w:rFonts w:cs="Arial"/>
          <w:b/>
          <w:sz w:val="28"/>
          <w:lang w:val="en-US" w:eastAsia="en-US"/>
        </w:rPr>
      </w:pPr>
      <w:hyperlink r:id="rId10" w:history="1">
        <w:r w:rsidR="001700C1" w:rsidRPr="00E161EA">
          <w:rPr>
            <w:rStyle w:val="Hyperlink"/>
            <w:rFonts w:cs="Arial"/>
            <w:szCs w:val="24"/>
          </w:rPr>
          <w:t>Immunisation@phe.gov.uk</w:t>
        </w:r>
      </w:hyperlink>
      <w:r w:rsidR="006B166E">
        <w:rPr>
          <w:rFonts w:cs="Arial"/>
          <w:b/>
          <w:lang w:val="en-US" w:eastAsia="en-US"/>
        </w:rPr>
        <w:br w:type="page"/>
      </w:r>
    </w:p>
    <w:p w:rsidR="001C305E" w:rsidRPr="00890A0E" w:rsidRDefault="00900859" w:rsidP="001C305E">
      <w:pPr>
        <w:pStyle w:val="Heading1"/>
        <w:rPr>
          <w:rFonts w:cs="Arial"/>
          <w:b/>
          <w:bCs/>
          <w:color w:val="FF0000"/>
          <w:sz w:val="24"/>
          <w:szCs w:val="24"/>
        </w:rPr>
      </w:pPr>
      <w:r>
        <w:rPr>
          <w:rFonts w:ascii="Arial" w:hAnsi="Arial" w:cs="Arial"/>
          <w:b/>
          <w:lang w:val="en-US" w:eastAsia="en-US"/>
        </w:rPr>
        <w:lastRenderedPageBreak/>
        <w:t xml:space="preserve">Change </w:t>
      </w:r>
      <w:r w:rsidR="00D36470">
        <w:rPr>
          <w:rFonts w:ascii="Arial" w:hAnsi="Arial" w:cs="Arial"/>
          <w:b/>
          <w:lang w:val="en-US" w:eastAsia="en-US"/>
        </w:rPr>
        <w:t>h</w:t>
      </w:r>
      <w:r w:rsidR="001C305E" w:rsidRPr="001C305E">
        <w:rPr>
          <w:rFonts w:ascii="Arial" w:hAnsi="Arial" w:cs="Arial"/>
          <w:b/>
          <w:lang w:val="en-US" w:eastAsia="en-US"/>
        </w:rPr>
        <w:t>istory</w:t>
      </w:r>
    </w:p>
    <w:p w:rsidR="001C305E" w:rsidRPr="001C305E" w:rsidRDefault="001C305E" w:rsidP="001C305E">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6467"/>
        <w:gridCol w:w="1849"/>
      </w:tblGrid>
      <w:tr w:rsidR="001C305E" w:rsidRPr="007A1448" w:rsidTr="006F4906">
        <w:tc>
          <w:tcPr>
            <w:tcW w:w="875" w:type="pct"/>
            <w:tcBorders>
              <w:top w:val="single" w:sz="4" w:space="0" w:color="auto"/>
              <w:left w:val="single" w:sz="4" w:space="0" w:color="auto"/>
              <w:bottom w:val="single" w:sz="4" w:space="0" w:color="auto"/>
              <w:right w:val="single" w:sz="4" w:space="0" w:color="auto"/>
            </w:tcBorders>
            <w:shd w:val="clear" w:color="auto" w:fill="D9D9D9"/>
          </w:tcPr>
          <w:p w:rsidR="001C305E" w:rsidRPr="007A1448" w:rsidRDefault="001C305E" w:rsidP="006F4906">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rsidR="001C305E" w:rsidRPr="007A1448" w:rsidRDefault="001C305E" w:rsidP="006F4906">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rsidR="001C305E" w:rsidRPr="007A1448" w:rsidRDefault="001C305E" w:rsidP="006F4906">
            <w:pPr>
              <w:pStyle w:val="Tabletext"/>
              <w:rPr>
                <w:b/>
                <w:bCs/>
              </w:rPr>
            </w:pPr>
            <w:r w:rsidRPr="007A1448">
              <w:rPr>
                <w:b/>
                <w:bCs/>
              </w:rPr>
              <w:t>Date</w:t>
            </w:r>
          </w:p>
        </w:tc>
      </w:tr>
      <w:tr w:rsidR="001C305E" w:rsidRPr="007A1448"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rsidR="00E775F3" w:rsidRPr="0000799E" w:rsidRDefault="00CF2FC4" w:rsidP="006F4906">
            <w:pPr>
              <w:pStyle w:val="Tabletext"/>
            </w:pPr>
            <w:r>
              <w:t>V01.00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1C305E" w:rsidRPr="0000799E" w:rsidRDefault="00CF2FC4" w:rsidP="0054483C">
            <w:pPr>
              <w:pStyle w:val="Tabletext"/>
            </w:pPr>
            <w:r>
              <w:t xml:space="preserve">New </w:t>
            </w:r>
            <w:r w:rsidR="0054483C">
              <w:t>PHE</w:t>
            </w:r>
            <w:r>
              <w:t xml:space="preserve"> PGD </w:t>
            </w:r>
            <w:r w:rsidR="00D36470">
              <w:t>t</w:t>
            </w:r>
            <w:r>
              <w:t>emplate</w:t>
            </w:r>
          </w:p>
        </w:tc>
        <w:tc>
          <w:tcPr>
            <w:tcW w:w="917" w:type="pct"/>
            <w:tcBorders>
              <w:top w:val="single" w:sz="4" w:space="0" w:color="auto"/>
              <w:left w:val="single" w:sz="4" w:space="0" w:color="auto"/>
              <w:bottom w:val="single" w:sz="4" w:space="0" w:color="auto"/>
              <w:right w:val="single" w:sz="4" w:space="0" w:color="auto"/>
            </w:tcBorders>
          </w:tcPr>
          <w:p w:rsidR="001C305E" w:rsidRPr="007A1448" w:rsidRDefault="00641D94" w:rsidP="006F4906">
            <w:pPr>
              <w:pStyle w:val="Tabletext"/>
            </w:pPr>
            <w:r>
              <w:t>15</w:t>
            </w:r>
            <w:r w:rsidR="00906503">
              <w:t xml:space="preserve"> Dec 2015</w:t>
            </w:r>
          </w:p>
        </w:tc>
      </w:tr>
      <w:tr w:rsidR="001C305E" w:rsidRPr="007A1448"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rsidR="001C305E" w:rsidRPr="0000799E" w:rsidRDefault="001C305E" w:rsidP="00A13AE5">
            <w:pPr>
              <w:pStyle w:val="Tabletext"/>
            </w:pP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00799E" w:rsidRPr="00E47B6D" w:rsidRDefault="0000799E" w:rsidP="00890A0E">
            <w:pPr>
              <w:pStyle w:val="Tabletext"/>
              <w:ind w:left="720"/>
            </w:pPr>
          </w:p>
        </w:tc>
        <w:tc>
          <w:tcPr>
            <w:tcW w:w="917" w:type="pct"/>
            <w:tcBorders>
              <w:top w:val="single" w:sz="4" w:space="0" w:color="auto"/>
              <w:left w:val="single" w:sz="4" w:space="0" w:color="auto"/>
              <w:bottom w:val="single" w:sz="4" w:space="0" w:color="auto"/>
              <w:right w:val="single" w:sz="4" w:space="0" w:color="auto"/>
            </w:tcBorders>
          </w:tcPr>
          <w:p w:rsidR="001C305E" w:rsidRPr="007A1448" w:rsidRDefault="001C305E" w:rsidP="006F4906">
            <w:pPr>
              <w:pStyle w:val="Tabletext"/>
            </w:pPr>
          </w:p>
        </w:tc>
      </w:tr>
      <w:tr w:rsidR="001C305E" w:rsidRPr="007A1448"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rsidR="001C305E" w:rsidRPr="007A1448" w:rsidRDefault="001C305E" w:rsidP="006F4906">
            <w:pPr>
              <w:pStyle w:val="Tabletext"/>
            </w:pP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1C305E" w:rsidRPr="007A1448" w:rsidRDefault="001C305E" w:rsidP="006F4906">
            <w:pPr>
              <w:pStyle w:val="Tabletext"/>
              <w:rPr>
                <w:color w:val="FF0000"/>
              </w:rPr>
            </w:pPr>
          </w:p>
        </w:tc>
        <w:tc>
          <w:tcPr>
            <w:tcW w:w="917" w:type="pct"/>
            <w:tcBorders>
              <w:top w:val="single" w:sz="4" w:space="0" w:color="auto"/>
              <w:left w:val="single" w:sz="4" w:space="0" w:color="auto"/>
              <w:bottom w:val="single" w:sz="4" w:space="0" w:color="auto"/>
              <w:right w:val="single" w:sz="4" w:space="0" w:color="auto"/>
            </w:tcBorders>
          </w:tcPr>
          <w:p w:rsidR="001C305E" w:rsidRPr="007A1448" w:rsidRDefault="001C305E" w:rsidP="006F4906">
            <w:pPr>
              <w:pStyle w:val="Tabletext"/>
            </w:pPr>
          </w:p>
        </w:tc>
      </w:tr>
    </w:tbl>
    <w:p w:rsidR="00BC6F32" w:rsidRDefault="00BC6F32" w:rsidP="00222834">
      <w:pPr>
        <w:pStyle w:val="Header"/>
        <w:tabs>
          <w:tab w:val="left" w:pos="720"/>
        </w:tabs>
        <w:jc w:val="both"/>
        <w:rPr>
          <w:rFonts w:ascii="Arial" w:hAnsi="Arial"/>
          <w:i/>
          <w:sz w:val="20"/>
          <w:vertAlign w:val="superscript"/>
        </w:rPr>
      </w:pPr>
    </w:p>
    <w:p w:rsidR="00BC6F32" w:rsidRDefault="00BC6F32" w:rsidP="00222834">
      <w:pPr>
        <w:pStyle w:val="Header"/>
        <w:tabs>
          <w:tab w:val="left" w:pos="720"/>
        </w:tabs>
        <w:jc w:val="both"/>
        <w:rPr>
          <w:rFonts w:ascii="Arial" w:hAnsi="Arial"/>
          <w:i/>
          <w:sz w:val="20"/>
          <w:vertAlign w:val="superscript"/>
        </w:rPr>
      </w:pPr>
    </w:p>
    <w:p w:rsidR="00222834" w:rsidRDefault="00222834">
      <w:pPr>
        <w:overflowPunct/>
        <w:autoSpaceDE/>
        <w:autoSpaceDN/>
        <w:adjustRightInd/>
        <w:jc w:val="center"/>
        <w:textAlignment w:val="auto"/>
        <w:rPr>
          <w:rFonts w:cs="Arial"/>
          <w:b/>
          <w:szCs w:val="24"/>
        </w:rPr>
      </w:pPr>
      <w:r>
        <w:rPr>
          <w:rFonts w:cs="Arial"/>
          <w:b/>
          <w:szCs w:val="24"/>
        </w:rPr>
        <w:br w:type="page"/>
      </w:r>
    </w:p>
    <w:p w:rsidR="00BC6F32" w:rsidRPr="00E161EA" w:rsidRDefault="00BC6F32" w:rsidP="00E161EA">
      <w:pPr>
        <w:pStyle w:val="Header"/>
        <w:numPr>
          <w:ilvl w:val="0"/>
          <w:numId w:val="5"/>
        </w:numPr>
        <w:tabs>
          <w:tab w:val="left" w:pos="720"/>
        </w:tabs>
        <w:rPr>
          <w:rFonts w:ascii="Arial" w:hAnsi="Arial" w:cs="Arial"/>
          <w:b/>
          <w:szCs w:val="24"/>
        </w:rPr>
      </w:pPr>
      <w:r w:rsidRPr="00E161EA">
        <w:rPr>
          <w:rFonts w:ascii="Arial" w:hAnsi="Arial" w:cs="Arial"/>
          <w:b/>
          <w:szCs w:val="24"/>
        </w:rPr>
        <w:lastRenderedPageBreak/>
        <w:t xml:space="preserve">PGD </w:t>
      </w:r>
      <w:r w:rsidR="00D36470">
        <w:rPr>
          <w:rFonts w:ascii="Arial" w:hAnsi="Arial" w:cs="Arial"/>
          <w:b/>
          <w:szCs w:val="24"/>
        </w:rPr>
        <w:t>t</w:t>
      </w:r>
      <w:r w:rsidRPr="00E161EA">
        <w:rPr>
          <w:rFonts w:ascii="Arial" w:hAnsi="Arial" w:cs="Arial"/>
          <w:b/>
          <w:szCs w:val="24"/>
        </w:rPr>
        <w:t xml:space="preserve">emplate </w:t>
      </w:r>
      <w:r w:rsidR="00D36470">
        <w:rPr>
          <w:rFonts w:ascii="Arial" w:hAnsi="Arial" w:cs="Arial"/>
          <w:b/>
          <w:szCs w:val="24"/>
        </w:rPr>
        <w:t>d</w:t>
      </w:r>
      <w:r w:rsidRPr="00E161EA">
        <w:rPr>
          <w:rFonts w:ascii="Arial" w:hAnsi="Arial" w:cs="Arial"/>
          <w:b/>
          <w:szCs w:val="24"/>
        </w:rPr>
        <w:t>evelopment</w:t>
      </w:r>
    </w:p>
    <w:p w:rsidR="00BC6F32" w:rsidRPr="00E161EA" w:rsidRDefault="00BC6F32" w:rsidP="00E161EA">
      <w:pPr>
        <w:pStyle w:val="Header"/>
        <w:spacing w:line="276" w:lineRule="auto"/>
        <w:rPr>
          <w:rFonts w:ascii="Arial" w:hAnsi="Arial" w:cs="Arial"/>
          <w:szCs w:val="24"/>
        </w:rPr>
      </w:pPr>
    </w:p>
    <w:p w:rsidR="00BC6F32" w:rsidRPr="00E161EA" w:rsidRDefault="00BC6F32" w:rsidP="00E161EA">
      <w:pPr>
        <w:pStyle w:val="Header"/>
        <w:spacing w:line="276" w:lineRule="auto"/>
        <w:rPr>
          <w:rFonts w:ascii="Arial" w:hAnsi="Arial" w:cs="Arial"/>
          <w:szCs w:val="24"/>
        </w:rPr>
      </w:pPr>
      <w:r w:rsidRPr="00E161EA">
        <w:rPr>
          <w:rFonts w:ascii="Arial" w:hAnsi="Arial" w:cs="Arial"/>
          <w:szCs w:val="24"/>
        </w:rPr>
        <w:t>This PGD template has been developed</w:t>
      </w:r>
      <w:r w:rsidR="006F7521" w:rsidRPr="00E161EA">
        <w:rPr>
          <w:rFonts w:ascii="Arial" w:hAnsi="Arial" w:cs="Arial"/>
          <w:szCs w:val="24"/>
        </w:rPr>
        <w:t xml:space="preserve"> </w:t>
      </w:r>
      <w:r w:rsidR="00A75B9F" w:rsidRPr="00E161EA">
        <w:rPr>
          <w:rFonts w:ascii="Arial" w:hAnsi="Arial" w:cs="Arial"/>
          <w:szCs w:val="24"/>
        </w:rPr>
        <w:t xml:space="preserve">by </w:t>
      </w:r>
      <w:r w:rsidRPr="00E161EA">
        <w:rPr>
          <w:rFonts w:ascii="Arial" w:hAnsi="Arial" w:cs="Arial"/>
          <w:szCs w:val="24"/>
        </w:rPr>
        <w:t>the following on behalf of Public Health England:</w:t>
      </w:r>
    </w:p>
    <w:p w:rsidR="00B32ECD" w:rsidRPr="00CB5D91" w:rsidRDefault="00B32ECD" w:rsidP="00B32ECD">
      <w:pPr>
        <w:pStyle w:val="Header"/>
        <w:rPr>
          <w:rFonts w:ascii="Arial" w:hAnsi="Arial" w:cs="Arial"/>
          <w:szCs w:val="24"/>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94"/>
        <w:gridCol w:w="3118"/>
        <w:gridCol w:w="2126"/>
        <w:gridCol w:w="1985"/>
      </w:tblGrid>
      <w:tr w:rsidR="00B32ECD" w:rsidRPr="0036347F" w:rsidTr="006C69EC">
        <w:trPr>
          <w:trHeight w:val="549"/>
        </w:trPr>
        <w:tc>
          <w:tcPr>
            <w:tcW w:w="2694" w:type="dxa"/>
            <w:shd w:val="clear" w:color="auto" w:fill="F2F2F2" w:themeFill="background1" w:themeFillShade="F2"/>
            <w:vAlign w:val="center"/>
          </w:tcPr>
          <w:p w:rsidR="00B32ECD" w:rsidRPr="00E161EA" w:rsidRDefault="00B32ECD" w:rsidP="009D13A5">
            <w:pPr>
              <w:rPr>
                <w:rFonts w:cs="Arial"/>
                <w:color w:val="FF0000"/>
                <w:szCs w:val="24"/>
              </w:rPr>
            </w:pPr>
            <w:r w:rsidRPr="00E161EA">
              <w:rPr>
                <w:rFonts w:cs="Arial"/>
                <w:b/>
                <w:szCs w:val="24"/>
              </w:rPr>
              <w:t>Developed by:</w:t>
            </w:r>
          </w:p>
        </w:tc>
        <w:tc>
          <w:tcPr>
            <w:tcW w:w="3118" w:type="dxa"/>
            <w:shd w:val="clear" w:color="auto" w:fill="F2F2F2" w:themeFill="background1" w:themeFillShade="F2"/>
            <w:vAlign w:val="center"/>
          </w:tcPr>
          <w:p w:rsidR="00B32ECD" w:rsidRPr="00E161EA" w:rsidRDefault="00B32ECD" w:rsidP="009D13A5">
            <w:pPr>
              <w:rPr>
                <w:rFonts w:cs="Arial"/>
                <w:b/>
                <w:szCs w:val="24"/>
              </w:rPr>
            </w:pPr>
            <w:r w:rsidRPr="00E161EA">
              <w:rPr>
                <w:rFonts w:cs="Arial"/>
                <w:b/>
                <w:szCs w:val="24"/>
              </w:rPr>
              <w:t>Name</w:t>
            </w:r>
          </w:p>
        </w:tc>
        <w:tc>
          <w:tcPr>
            <w:tcW w:w="2126" w:type="dxa"/>
            <w:shd w:val="clear" w:color="auto" w:fill="F2F2F2" w:themeFill="background1" w:themeFillShade="F2"/>
            <w:vAlign w:val="center"/>
          </w:tcPr>
          <w:p w:rsidR="00B32ECD" w:rsidRPr="00E161EA" w:rsidRDefault="00B32ECD" w:rsidP="009D13A5">
            <w:pPr>
              <w:rPr>
                <w:rFonts w:cs="Arial"/>
                <w:b/>
                <w:szCs w:val="24"/>
              </w:rPr>
            </w:pPr>
            <w:r w:rsidRPr="00E161EA">
              <w:rPr>
                <w:rFonts w:cs="Arial"/>
                <w:b/>
                <w:szCs w:val="24"/>
              </w:rPr>
              <w:t>Signature</w:t>
            </w:r>
          </w:p>
        </w:tc>
        <w:tc>
          <w:tcPr>
            <w:tcW w:w="1985" w:type="dxa"/>
            <w:shd w:val="clear" w:color="auto" w:fill="F2F2F2" w:themeFill="background1" w:themeFillShade="F2"/>
            <w:vAlign w:val="center"/>
          </w:tcPr>
          <w:p w:rsidR="00B32ECD" w:rsidRPr="00E161EA" w:rsidRDefault="00B32ECD" w:rsidP="009D13A5">
            <w:pPr>
              <w:rPr>
                <w:rFonts w:cs="Arial"/>
                <w:b/>
                <w:szCs w:val="24"/>
              </w:rPr>
            </w:pPr>
            <w:r w:rsidRPr="00E161EA">
              <w:rPr>
                <w:rFonts w:cs="Arial"/>
                <w:b/>
                <w:szCs w:val="24"/>
              </w:rPr>
              <w:t>Date</w:t>
            </w:r>
          </w:p>
        </w:tc>
      </w:tr>
      <w:tr w:rsidR="00B32ECD" w:rsidRPr="0036347F" w:rsidTr="006C69EC">
        <w:trPr>
          <w:trHeight w:val="720"/>
        </w:trPr>
        <w:tc>
          <w:tcPr>
            <w:tcW w:w="2694" w:type="dxa"/>
          </w:tcPr>
          <w:p w:rsidR="00B32ECD" w:rsidRPr="00E161EA" w:rsidRDefault="00B32ECD" w:rsidP="009D13A5">
            <w:pPr>
              <w:pStyle w:val="Heading6"/>
              <w:spacing w:before="0" w:after="0"/>
              <w:jc w:val="left"/>
              <w:rPr>
                <w:rFonts w:ascii="Arial" w:hAnsi="Arial" w:cs="Arial"/>
                <w:i w:val="0"/>
                <w:sz w:val="24"/>
                <w:szCs w:val="24"/>
              </w:rPr>
            </w:pPr>
          </w:p>
          <w:p w:rsidR="00B32ECD" w:rsidRPr="00E161EA" w:rsidRDefault="00B32ECD" w:rsidP="009D13A5">
            <w:pPr>
              <w:pStyle w:val="Heading6"/>
              <w:spacing w:before="0" w:after="0"/>
              <w:jc w:val="left"/>
              <w:rPr>
                <w:rFonts w:ascii="Arial" w:hAnsi="Arial" w:cs="Arial"/>
                <w:i w:val="0"/>
                <w:sz w:val="24"/>
                <w:szCs w:val="24"/>
              </w:rPr>
            </w:pPr>
            <w:r w:rsidRPr="00E161EA">
              <w:rPr>
                <w:rFonts w:ascii="Arial" w:hAnsi="Arial" w:cs="Arial"/>
                <w:i w:val="0"/>
                <w:sz w:val="24"/>
                <w:szCs w:val="24"/>
              </w:rPr>
              <w:t>Pharmacist</w:t>
            </w:r>
          </w:p>
          <w:p w:rsidR="00B32ECD" w:rsidRPr="00E161EA" w:rsidRDefault="00B32ECD" w:rsidP="009D13A5">
            <w:pPr>
              <w:rPr>
                <w:rFonts w:cs="Arial"/>
                <w:szCs w:val="24"/>
              </w:rPr>
            </w:pPr>
            <w:r w:rsidRPr="00E161EA">
              <w:rPr>
                <w:rFonts w:cs="Arial"/>
                <w:szCs w:val="24"/>
              </w:rPr>
              <w:t>(Lead Author)</w:t>
            </w:r>
          </w:p>
        </w:tc>
        <w:tc>
          <w:tcPr>
            <w:tcW w:w="3118" w:type="dxa"/>
            <w:shd w:val="clear" w:color="auto" w:fill="auto"/>
            <w:vAlign w:val="center"/>
          </w:tcPr>
          <w:p w:rsidR="00B32ECD" w:rsidRDefault="00A22165" w:rsidP="009D13A5">
            <w:pPr>
              <w:rPr>
                <w:rFonts w:cs="Arial"/>
              </w:rPr>
            </w:pPr>
            <w:r>
              <w:rPr>
                <w:rFonts w:cs="Arial"/>
              </w:rPr>
              <w:t>Elizabeth Graham</w:t>
            </w:r>
          </w:p>
          <w:p w:rsidR="00A22165" w:rsidRPr="00A22165" w:rsidRDefault="00A22165" w:rsidP="009D13A5">
            <w:pPr>
              <w:rPr>
                <w:rFonts w:cs="Arial"/>
                <w:sz w:val="18"/>
                <w:szCs w:val="18"/>
              </w:rPr>
            </w:pPr>
            <w:r w:rsidRPr="00A22165">
              <w:rPr>
                <w:rFonts w:cs="Arial"/>
                <w:sz w:val="18"/>
                <w:szCs w:val="18"/>
              </w:rPr>
              <w:t>Lead Pharmacist Immunisation Services, PHE</w:t>
            </w:r>
          </w:p>
        </w:tc>
        <w:tc>
          <w:tcPr>
            <w:tcW w:w="2126" w:type="dxa"/>
          </w:tcPr>
          <w:p w:rsidR="00B32ECD" w:rsidRPr="0036347F" w:rsidRDefault="00064F2E" w:rsidP="00064F2E">
            <w:pPr>
              <w:ind w:left="-108"/>
              <w:rPr>
                <w:rFonts w:cs="Arial"/>
                <w:i/>
                <w:color w:val="FF0000"/>
                <w:sz w:val="22"/>
                <w:szCs w:val="22"/>
              </w:rPr>
            </w:pPr>
            <w:r>
              <w:rPr>
                <w:noProof/>
              </w:rPr>
              <w:drawing>
                <wp:anchor distT="0" distB="0" distL="114300" distR="114300" simplePos="0" relativeHeight="251661312" behindDoc="1" locked="0" layoutInCell="1" allowOverlap="1" wp14:anchorId="27CCA169" wp14:editId="1F77560E">
                  <wp:simplePos x="0" y="0"/>
                  <wp:positionH relativeFrom="column">
                    <wp:posOffset>-66123</wp:posOffset>
                  </wp:positionH>
                  <wp:positionV relativeFrom="paragraph">
                    <wp:posOffset>-3147</wp:posOffset>
                  </wp:positionV>
                  <wp:extent cx="1604513" cy="607287"/>
                  <wp:effectExtent l="0" t="0" r="0" b="2540"/>
                  <wp:wrapNone/>
                  <wp:docPr id="8" name="Picture 8" descr="C:\Users\beth.graham\AppData\Local\Microsoft\Windows\Temporary Internet Files\Content.Word\Signatur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h.graham\AppData\Local\Microsoft\Windows\Temporary Internet Files\Content.Word\Signature 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4513" cy="60728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shd w:val="clear" w:color="auto" w:fill="auto"/>
            <w:vAlign w:val="center"/>
          </w:tcPr>
          <w:p w:rsidR="00B32ECD" w:rsidRPr="0036347F" w:rsidRDefault="00064F2E" w:rsidP="009D13A5">
            <w:pPr>
              <w:rPr>
                <w:rFonts w:cs="Arial"/>
              </w:rPr>
            </w:pPr>
            <w:r>
              <w:rPr>
                <w:rFonts w:cs="Arial"/>
              </w:rPr>
              <w:t>15/12/2015</w:t>
            </w:r>
          </w:p>
        </w:tc>
      </w:tr>
      <w:tr w:rsidR="00B32ECD" w:rsidRPr="0036347F" w:rsidTr="006C69EC">
        <w:trPr>
          <w:trHeight w:val="621"/>
        </w:trPr>
        <w:tc>
          <w:tcPr>
            <w:tcW w:w="2694" w:type="dxa"/>
          </w:tcPr>
          <w:p w:rsidR="00B32ECD" w:rsidRPr="00E161EA" w:rsidRDefault="00B32ECD" w:rsidP="009D13A5">
            <w:pPr>
              <w:pStyle w:val="Heading5"/>
              <w:spacing w:before="0" w:after="0"/>
              <w:rPr>
                <w:rFonts w:ascii="Arial" w:hAnsi="Arial" w:cs="Arial"/>
                <w:i w:val="0"/>
                <w:sz w:val="24"/>
                <w:szCs w:val="24"/>
              </w:rPr>
            </w:pPr>
          </w:p>
          <w:p w:rsidR="00B32ECD" w:rsidRPr="00E161EA" w:rsidRDefault="00B32ECD" w:rsidP="009D13A5">
            <w:pPr>
              <w:pStyle w:val="Heading5"/>
              <w:spacing w:before="0" w:after="0"/>
              <w:rPr>
                <w:rFonts w:ascii="Arial" w:hAnsi="Arial" w:cs="Arial"/>
                <w:i w:val="0"/>
                <w:sz w:val="24"/>
                <w:szCs w:val="24"/>
              </w:rPr>
            </w:pPr>
            <w:r w:rsidRPr="00E161EA">
              <w:rPr>
                <w:rFonts w:ascii="Arial" w:hAnsi="Arial" w:cs="Arial"/>
                <w:i w:val="0"/>
                <w:sz w:val="24"/>
                <w:szCs w:val="24"/>
              </w:rPr>
              <w:t>Doctor</w:t>
            </w:r>
          </w:p>
          <w:p w:rsidR="00B32ECD" w:rsidRPr="00E161EA" w:rsidRDefault="00B32ECD" w:rsidP="009D13A5">
            <w:pPr>
              <w:rPr>
                <w:rFonts w:cs="Arial"/>
                <w:szCs w:val="24"/>
              </w:rPr>
            </w:pPr>
          </w:p>
        </w:tc>
        <w:tc>
          <w:tcPr>
            <w:tcW w:w="3118" w:type="dxa"/>
            <w:vAlign w:val="center"/>
          </w:tcPr>
          <w:p w:rsidR="00B32ECD" w:rsidRDefault="00A22165" w:rsidP="009D13A5">
            <w:pPr>
              <w:rPr>
                <w:rFonts w:cs="Arial"/>
              </w:rPr>
            </w:pPr>
            <w:r>
              <w:rPr>
                <w:rFonts w:cs="Arial"/>
              </w:rPr>
              <w:t>Mary Ramsay</w:t>
            </w:r>
          </w:p>
          <w:p w:rsidR="00A22165" w:rsidRPr="00A22165" w:rsidRDefault="00A22165" w:rsidP="000B5974">
            <w:pPr>
              <w:rPr>
                <w:rFonts w:cs="Arial"/>
                <w:color w:val="1F497D"/>
                <w:sz w:val="18"/>
                <w:szCs w:val="18"/>
              </w:rPr>
            </w:pPr>
            <w:r w:rsidRPr="00A22165">
              <w:rPr>
                <w:rFonts w:cs="Arial"/>
                <w:bCs/>
                <w:sz w:val="18"/>
                <w:szCs w:val="18"/>
              </w:rPr>
              <w:t>Consultant Epidemiologist and Head</w:t>
            </w:r>
            <w:r w:rsidR="000B5974">
              <w:rPr>
                <w:rFonts w:cs="Arial"/>
                <w:bCs/>
                <w:sz w:val="18"/>
                <w:szCs w:val="18"/>
              </w:rPr>
              <w:t xml:space="preserve"> of</w:t>
            </w:r>
            <w:r w:rsidR="000B5974">
              <w:rPr>
                <w:rFonts w:cs="Arial"/>
                <w:sz w:val="18"/>
                <w:szCs w:val="18"/>
              </w:rPr>
              <w:t xml:space="preserve"> </w:t>
            </w:r>
            <w:r w:rsidRPr="00A22165">
              <w:rPr>
                <w:rFonts w:cs="Arial"/>
                <w:sz w:val="18"/>
                <w:szCs w:val="18"/>
              </w:rPr>
              <w:t>Immunisation, Hepatitis &amp; Blood Safety Department, PHE</w:t>
            </w:r>
          </w:p>
        </w:tc>
        <w:tc>
          <w:tcPr>
            <w:tcW w:w="2126" w:type="dxa"/>
          </w:tcPr>
          <w:p w:rsidR="00B32ECD" w:rsidRPr="0036347F" w:rsidRDefault="00064F2E" w:rsidP="009D13A5">
            <w:pPr>
              <w:rPr>
                <w:rFonts w:cs="Arial"/>
                <w:i/>
                <w:color w:val="FF0000"/>
                <w:sz w:val="22"/>
                <w:szCs w:val="22"/>
              </w:rPr>
            </w:pPr>
            <w:r>
              <w:rPr>
                <w:rFonts w:ascii="Calibri" w:hAnsi="Calibri"/>
                <w:noProof/>
                <w:color w:val="1F497D"/>
              </w:rPr>
              <w:drawing>
                <wp:anchor distT="0" distB="0" distL="114300" distR="114300" simplePos="0" relativeHeight="251662336" behindDoc="1" locked="0" layoutInCell="1" allowOverlap="1" wp14:anchorId="1F3EEDE1" wp14:editId="2F630196">
                  <wp:simplePos x="0" y="0"/>
                  <wp:positionH relativeFrom="column">
                    <wp:posOffset>-2512</wp:posOffset>
                  </wp:positionH>
                  <wp:positionV relativeFrom="paragraph">
                    <wp:posOffset>-939</wp:posOffset>
                  </wp:positionV>
                  <wp:extent cx="1263926" cy="44527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926" cy="44527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vAlign w:val="center"/>
          </w:tcPr>
          <w:p w:rsidR="00B32ECD" w:rsidRPr="0036347F" w:rsidRDefault="00064F2E" w:rsidP="009D13A5">
            <w:pPr>
              <w:rPr>
                <w:rFonts w:cs="Arial"/>
              </w:rPr>
            </w:pPr>
            <w:r>
              <w:rPr>
                <w:rFonts w:cs="Arial"/>
              </w:rPr>
              <w:t>15/12/2015</w:t>
            </w:r>
          </w:p>
        </w:tc>
      </w:tr>
      <w:tr w:rsidR="00B32ECD" w:rsidRPr="0036347F" w:rsidTr="006C69EC">
        <w:trPr>
          <w:trHeight w:val="621"/>
        </w:trPr>
        <w:tc>
          <w:tcPr>
            <w:tcW w:w="2694" w:type="dxa"/>
          </w:tcPr>
          <w:p w:rsidR="00B32ECD" w:rsidRPr="00E161EA" w:rsidRDefault="00B32ECD" w:rsidP="009D13A5">
            <w:pPr>
              <w:pStyle w:val="Heading5"/>
              <w:spacing w:before="0" w:after="0"/>
              <w:rPr>
                <w:rFonts w:ascii="Arial" w:hAnsi="Arial" w:cs="Arial"/>
                <w:i w:val="0"/>
                <w:color w:val="FF0000"/>
                <w:sz w:val="24"/>
                <w:szCs w:val="24"/>
              </w:rPr>
            </w:pPr>
          </w:p>
          <w:p w:rsidR="00B32ECD" w:rsidRPr="00E161EA" w:rsidRDefault="00B32ECD" w:rsidP="009D13A5">
            <w:pPr>
              <w:pStyle w:val="Heading5"/>
              <w:spacing w:before="0" w:after="0"/>
              <w:rPr>
                <w:rFonts w:ascii="Arial" w:hAnsi="Arial" w:cs="Arial"/>
                <w:i w:val="0"/>
                <w:sz w:val="24"/>
                <w:szCs w:val="24"/>
              </w:rPr>
            </w:pPr>
            <w:r w:rsidRPr="00E161EA">
              <w:rPr>
                <w:rFonts w:ascii="Arial" w:hAnsi="Arial" w:cs="Arial"/>
                <w:i w:val="0"/>
                <w:sz w:val="24"/>
                <w:szCs w:val="24"/>
              </w:rPr>
              <w:t>Registered Nurse</w:t>
            </w:r>
          </w:p>
          <w:p w:rsidR="00B32ECD" w:rsidRPr="00E161EA" w:rsidRDefault="00B32ECD" w:rsidP="009D13A5">
            <w:pPr>
              <w:rPr>
                <w:rFonts w:cs="Arial"/>
                <w:szCs w:val="24"/>
              </w:rPr>
            </w:pPr>
          </w:p>
        </w:tc>
        <w:tc>
          <w:tcPr>
            <w:tcW w:w="3118" w:type="dxa"/>
            <w:vAlign w:val="center"/>
          </w:tcPr>
          <w:p w:rsidR="00A22165" w:rsidRDefault="00A22165" w:rsidP="00A22165">
            <w:pPr>
              <w:rPr>
                <w:rFonts w:cs="Arial"/>
              </w:rPr>
            </w:pPr>
            <w:r>
              <w:rPr>
                <w:rFonts w:cs="Arial"/>
              </w:rPr>
              <w:t>David Green</w:t>
            </w:r>
          </w:p>
          <w:p w:rsidR="00B32ECD" w:rsidRPr="00A22165" w:rsidRDefault="00A22165" w:rsidP="00A22165">
            <w:pPr>
              <w:rPr>
                <w:color w:val="1F497D"/>
                <w:sz w:val="18"/>
                <w:szCs w:val="18"/>
              </w:rPr>
            </w:pPr>
            <w:r w:rsidRPr="00A22165">
              <w:rPr>
                <w:sz w:val="18"/>
                <w:szCs w:val="18"/>
              </w:rPr>
              <w:t>Nurse Consultant – Immunisations</w:t>
            </w:r>
            <w:r w:rsidRPr="00A22165">
              <w:rPr>
                <w:rFonts w:cs="Arial"/>
                <w:sz w:val="18"/>
                <w:szCs w:val="18"/>
              </w:rPr>
              <w:t>, PHE</w:t>
            </w:r>
          </w:p>
        </w:tc>
        <w:tc>
          <w:tcPr>
            <w:tcW w:w="2126" w:type="dxa"/>
          </w:tcPr>
          <w:p w:rsidR="00B32ECD" w:rsidRPr="0036347F" w:rsidRDefault="00064F2E" w:rsidP="009D13A5">
            <w:pPr>
              <w:rPr>
                <w:rFonts w:cs="Arial"/>
                <w:i/>
                <w:color w:val="FF0000"/>
                <w:sz w:val="22"/>
                <w:szCs w:val="22"/>
              </w:rPr>
            </w:pPr>
            <w:r>
              <w:rPr>
                <w:rFonts w:cs="Arial"/>
                <w:noProof/>
                <w:sz w:val="20"/>
              </w:rPr>
              <w:drawing>
                <wp:anchor distT="0" distB="0" distL="114300" distR="114300" simplePos="0" relativeHeight="251663360" behindDoc="1" locked="0" layoutInCell="1" allowOverlap="1" wp14:anchorId="59009CDA" wp14:editId="77CD777A">
                  <wp:simplePos x="0" y="0"/>
                  <wp:positionH relativeFrom="column">
                    <wp:posOffset>-2512</wp:posOffset>
                  </wp:positionH>
                  <wp:positionV relativeFrom="paragraph">
                    <wp:posOffset>-2788</wp:posOffset>
                  </wp:positionV>
                  <wp:extent cx="1327867" cy="478904"/>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7867" cy="478904"/>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vAlign w:val="center"/>
          </w:tcPr>
          <w:p w:rsidR="00B32ECD" w:rsidRPr="0036347F" w:rsidRDefault="00064F2E" w:rsidP="009D13A5">
            <w:pPr>
              <w:rPr>
                <w:rFonts w:cs="Arial"/>
              </w:rPr>
            </w:pPr>
            <w:r>
              <w:rPr>
                <w:rFonts w:cs="Arial"/>
              </w:rPr>
              <w:t>15/12/2015</w:t>
            </w:r>
          </w:p>
        </w:tc>
      </w:tr>
    </w:tbl>
    <w:p w:rsidR="00BC6F32" w:rsidRDefault="00BC6F32" w:rsidP="00BC6F32">
      <w:pPr>
        <w:rPr>
          <w:rFonts w:cs="Arial"/>
          <w:i/>
          <w:sz w:val="16"/>
          <w:szCs w:val="16"/>
        </w:rPr>
      </w:pPr>
    </w:p>
    <w:p w:rsidR="006F7521" w:rsidRPr="00E161EA" w:rsidRDefault="006F7521" w:rsidP="00E161EA">
      <w:pPr>
        <w:rPr>
          <w:rFonts w:cs="Arial"/>
          <w:szCs w:val="24"/>
        </w:rPr>
      </w:pPr>
      <w:r w:rsidRPr="00E161EA">
        <w:rPr>
          <w:rFonts w:cs="Arial"/>
          <w:szCs w:val="24"/>
        </w:rPr>
        <w:t>This PGD template ha</w:t>
      </w:r>
      <w:r w:rsidR="00A75B9F" w:rsidRPr="00E161EA">
        <w:rPr>
          <w:rFonts w:cs="Arial"/>
          <w:szCs w:val="24"/>
        </w:rPr>
        <w:t>s</w:t>
      </w:r>
      <w:r w:rsidRPr="00E161EA">
        <w:rPr>
          <w:rFonts w:cs="Arial"/>
          <w:szCs w:val="24"/>
        </w:rPr>
        <w:t xml:space="preserve"> been peer reviewed by the PHE Immunisations PGD Expert Panel in accordance with PHE Policy for PGD Templates. It has been ratified by PHE Medicines Management Group and PHE Clinical Governance Group.</w:t>
      </w:r>
    </w:p>
    <w:p w:rsidR="006F7521" w:rsidRPr="00E161EA" w:rsidRDefault="006F7521" w:rsidP="00BC6F32">
      <w:pPr>
        <w:rPr>
          <w:rFonts w:cs="Arial"/>
          <w:i/>
          <w:szCs w:val="24"/>
        </w:rPr>
      </w:pPr>
    </w:p>
    <w:p w:rsidR="00BC6F32" w:rsidRPr="00E161EA" w:rsidRDefault="00BC6F32" w:rsidP="00BC6F32">
      <w:pPr>
        <w:rPr>
          <w:szCs w:val="24"/>
        </w:rPr>
      </w:pPr>
    </w:p>
    <w:p w:rsidR="00BC6F32" w:rsidRPr="00E161EA" w:rsidRDefault="00BC6F32" w:rsidP="00BC6F32">
      <w:pPr>
        <w:spacing w:line="276" w:lineRule="auto"/>
        <w:rPr>
          <w:rFonts w:cs="Arial"/>
          <w:b/>
          <w:szCs w:val="24"/>
        </w:rPr>
      </w:pPr>
      <w:r w:rsidRPr="00E161EA">
        <w:rPr>
          <w:rFonts w:cs="Arial"/>
          <w:b/>
          <w:szCs w:val="24"/>
        </w:rPr>
        <w:t>Acknowledgements</w:t>
      </w:r>
    </w:p>
    <w:p w:rsidR="00BC6F32" w:rsidRPr="00E161EA" w:rsidRDefault="00BC6F32" w:rsidP="00BC6F32">
      <w:pPr>
        <w:spacing w:line="276" w:lineRule="auto"/>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BC6F32" w:rsidRPr="00E161EA" w:rsidTr="006C69EC">
        <w:trPr>
          <w:trHeight w:val="254"/>
        </w:trPr>
        <w:tc>
          <w:tcPr>
            <w:tcW w:w="2694" w:type="dxa"/>
            <w:vAlign w:val="center"/>
          </w:tcPr>
          <w:p w:rsidR="00BC6F32" w:rsidRPr="00E161EA" w:rsidRDefault="00BC6F32" w:rsidP="00000A1D">
            <w:pPr>
              <w:spacing w:line="276" w:lineRule="auto"/>
              <w:rPr>
                <w:rFonts w:cs="Arial"/>
                <w:b/>
                <w:szCs w:val="24"/>
              </w:rPr>
            </w:pPr>
            <w:r w:rsidRPr="00E161EA">
              <w:rPr>
                <w:rFonts w:cs="Arial"/>
                <w:b/>
                <w:szCs w:val="24"/>
              </w:rPr>
              <w:t>Name</w:t>
            </w:r>
          </w:p>
        </w:tc>
        <w:tc>
          <w:tcPr>
            <w:tcW w:w="7229" w:type="dxa"/>
            <w:vAlign w:val="center"/>
          </w:tcPr>
          <w:p w:rsidR="00BC6F32" w:rsidRPr="00E161EA" w:rsidRDefault="00BC6F32" w:rsidP="00000A1D">
            <w:pPr>
              <w:spacing w:line="276" w:lineRule="auto"/>
              <w:rPr>
                <w:rFonts w:cs="Arial"/>
                <w:b/>
                <w:szCs w:val="24"/>
              </w:rPr>
            </w:pPr>
            <w:r w:rsidRPr="00E161EA">
              <w:rPr>
                <w:rFonts w:cs="Arial"/>
                <w:b/>
                <w:szCs w:val="24"/>
              </w:rPr>
              <w:t>Designation</w:t>
            </w:r>
          </w:p>
        </w:tc>
      </w:tr>
      <w:tr w:rsidR="00513BBB" w:rsidRPr="00E161EA" w:rsidTr="006C69EC">
        <w:trPr>
          <w:trHeight w:val="254"/>
        </w:trPr>
        <w:tc>
          <w:tcPr>
            <w:tcW w:w="2694" w:type="dxa"/>
            <w:vAlign w:val="center"/>
          </w:tcPr>
          <w:p w:rsidR="00513BBB" w:rsidRPr="006C69EC" w:rsidRDefault="00513BBB" w:rsidP="00080471">
            <w:pPr>
              <w:pStyle w:val="Default"/>
              <w:spacing w:before="60" w:after="60"/>
              <w:rPr>
                <w:color w:val="auto"/>
              </w:rPr>
            </w:pPr>
            <w:r w:rsidRPr="006C69EC">
              <w:t>Gayatri Amirthalingam</w:t>
            </w:r>
          </w:p>
        </w:tc>
        <w:tc>
          <w:tcPr>
            <w:tcW w:w="7229" w:type="dxa"/>
            <w:vAlign w:val="center"/>
          </w:tcPr>
          <w:p w:rsidR="00513BBB" w:rsidRPr="006C69EC" w:rsidRDefault="00513BBB" w:rsidP="00080471">
            <w:pPr>
              <w:spacing w:before="60" w:after="60"/>
              <w:rPr>
                <w:rFonts w:cs="Arial"/>
                <w:bCs/>
                <w:szCs w:val="24"/>
              </w:rPr>
            </w:pPr>
            <w:r w:rsidRPr="006C69EC">
              <w:rPr>
                <w:rStyle w:val="st1"/>
                <w:rFonts w:cs="Arial"/>
                <w:bCs/>
                <w:szCs w:val="24"/>
              </w:rPr>
              <w:t>Consultant</w:t>
            </w:r>
            <w:r w:rsidRPr="006C69EC">
              <w:rPr>
                <w:rStyle w:val="st1"/>
                <w:rFonts w:cs="Arial"/>
                <w:szCs w:val="24"/>
              </w:rPr>
              <w:t xml:space="preserve"> Epidemiologist, </w:t>
            </w:r>
            <w:r w:rsidRPr="006C69EC">
              <w:rPr>
                <w:rStyle w:val="st1"/>
                <w:rFonts w:cs="Arial"/>
                <w:bCs/>
                <w:szCs w:val="24"/>
              </w:rPr>
              <w:t>Public Health England</w:t>
            </w:r>
          </w:p>
        </w:tc>
      </w:tr>
      <w:tr w:rsidR="00CF2FC4" w:rsidRPr="00E161EA" w:rsidTr="006C69EC">
        <w:trPr>
          <w:trHeight w:val="254"/>
        </w:trPr>
        <w:tc>
          <w:tcPr>
            <w:tcW w:w="2694" w:type="dxa"/>
          </w:tcPr>
          <w:p w:rsidR="00CF2FC4" w:rsidRPr="00E161EA" w:rsidRDefault="00CF2FC4" w:rsidP="00080471">
            <w:pPr>
              <w:pStyle w:val="Default"/>
              <w:spacing w:before="60" w:after="60"/>
              <w:rPr>
                <w:color w:val="auto"/>
              </w:rPr>
            </w:pPr>
            <w:r w:rsidRPr="00E161EA">
              <w:rPr>
                <w:color w:val="auto"/>
              </w:rPr>
              <w:t>Jacqueline Lamberty</w:t>
            </w:r>
          </w:p>
        </w:tc>
        <w:tc>
          <w:tcPr>
            <w:tcW w:w="7229" w:type="dxa"/>
          </w:tcPr>
          <w:p w:rsidR="00CF2FC4" w:rsidRPr="00E161EA" w:rsidRDefault="00CF2FC4" w:rsidP="00080471">
            <w:pPr>
              <w:pStyle w:val="Default"/>
              <w:spacing w:before="60" w:after="60"/>
              <w:rPr>
                <w:color w:val="auto"/>
              </w:rPr>
            </w:pPr>
            <w:r w:rsidRPr="00E161EA">
              <w:rPr>
                <w:color w:val="auto"/>
              </w:rPr>
              <w:t xml:space="preserve">Medicines Management Adviser – Public Health England </w:t>
            </w:r>
          </w:p>
        </w:tc>
      </w:tr>
      <w:tr w:rsidR="00CF2FC4" w:rsidRPr="00E161EA" w:rsidTr="006C69EC">
        <w:trPr>
          <w:trHeight w:val="267"/>
        </w:trPr>
        <w:tc>
          <w:tcPr>
            <w:tcW w:w="2694" w:type="dxa"/>
          </w:tcPr>
          <w:p w:rsidR="00CF2FC4" w:rsidRPr="00E161EA" w:rsidRDefault="00CF2FC4" w:rsidP="00080471">
            <w:pPr>
              <w:pStyle w:val="Default"/>
              <w:spacing w:before="60" w:after="60"/>
              <w:rPr>
                <w:color w:val="auto"/>
              </w:rPr>
            </w:pPr>
            <w:r w:rsidRPr="00E161EA">
              <w:rPr>
                <w:color w:val="auto"/>
              </w:rPr>
              <w:t>Gill Marsh</w:t>
            </w:r>
          </w:p>
        </w:tc>
        <w:tc>
          <w:tcPr>
            <w:tcW w:w="7229" w:type="dxa"/>
          </w:tcPr>
          <w:p w:rsidR="00CF2FC4" w:rsidRPr="00E161EA" w:rsidRDefault="00CF2FC4" w:rsidP="00080471">
            <w:pPr>
              <w:spacing w:before="60" w:after="60"/>
              <w:rPr>
                <w:rFonts w:cs="Arial"/>
                <w:bCs/>
                <w:szCs w:val="24"/>
              </w:rPr>
            </w:pPr>
            <w:r w:rsidRPr="00E161EA">
              <w:rPr>
                <w:rFonts w:cs="Arial"/>
                <w:bCs/>
                <w:iCs/>
                <w:szCs w:val="24"/>
              </w:rPr>
              <w:t xml:space="preserve">Senior Health Protection Nurse Practitioner, </w:t>
            </w:r>
            <w:r w:rsidRPr="00E161EA">
              <w:rPr>
                <w:rFonts w:cs="Arial"/>
                <w:bCs/>
                <w:szCs w:val="24"/>
              </w:rPr>
              <w:t>Cheshire &amp; Merseyside Health Protection Team, Public Health England</w:t>
            </w:r>
          </w:p>
        </w:tc>
      </w:tr>
      <w:tr w:rsidR="00CF2FC4" w:rsidRPr="00E161EA" w:rsidTr="006C69EC">
        <w:trPr>
          <w:trHeight w:val="267"/>
        </w:trPr>
        <w:tc>
          <w:tcPr>
            <w:tcW w:w="2694" w:type="dxa"/>
          </w:tcPr>
          <w:p w:rsidR="00CF2FC4" w:rsidRPr="00E161EA" w:rsidRDefault="00CF2FC4" w:rsidP="00080471">
            <w:pPr>
              <w:pStyle w:val="Default"/>
              <w:spacing w:before="60" w:after="60"/>
              <w:rPr>
                <w:color w:val="auto"/>
              </w:rPr>
            </w:pPr>
            <w:r w:rsidRPr="00E161EA">
              <w:rPr>
                <w:color w:val="auto"/>
              </w:rPr>
              <w:t>Lesley McFarlane</w:t>
            </w:r>
          </w:p>
        </w:tc>
        <w:tc>
          <w:tcPr>
            <w:tcW w:w="7229" w:type="dxa"/>
          </w:tcPr>
          <w:p w:rsidR="00CF2FC4" w:rsidRPr="00E161EA" w:rsidRDefault="00CF2FC4" w:rsidP="00080471">
            <w:pPr>
              <w:spacing w:before="60" w:after="60"/>
              <w:rPr>
                <w:rFonts w:cs="Arial"/>
                <w:szCs w:val="24"/>
              </w:rPr>
            </w:pPr>
            <w:r w:rsidRPr="00E161EA">
              <w:rPr>
                <w:rFonts w:cs="Arial"/>
                <w:szCs w:val="24"/>
              </w:rPr>
              <w:t xml:space="preserve">Screening and Immunisation Co-ordinator (SIC) </w:t>
            </w:r>
            <w:r w:rsidRPr="00E161EA">
              <w:rPr>
                <w:color w:val="000000"/>
                <w:szCs w:val="24"/>
              </w:rPr>
              <w:t>NHS England Leicestershire and Lincolnshire</w:t>
            </w:r>
          </w:p>
        </w:tc>
      </w:tr>
      <w:tr w:rsidR="00CF2FC4" w:rsidRPr="00E161EA" w:rsidTr="006C69EC">
        <w:trPr>
          <w:trHeight w:val="267"/>
        </w:trPr>
        <w:tc>
          <w:tcPr>
            <w:tcW w:w="2694" w:type="dxa"/>
          </w:tcPr>
          <w:p w:rsidR="00CF2FC4" w:rsidRPr="00E161EA" w:rsidRDefault="00CF2FC4" w:rsidP="00080471">
            <w:pPr>
              <w:pStyle w:val="Default"/>
              <w:spacing w:before="60" w:after="60"/>
              <w:rPr>
                <w:color w:val="auto"/>
              </w:rPr>
            </w:pPr>
            <w:r w:rsidRPr="00E161EA">
              <w:rPr>
                <w:color w:val="auto"/>
              </w:rPr>
              <w:t>Sue Mulvenna</w:t>
            </w:r>
          </w:p>
        </w:tc>
        <w:tc>
          <w:tcPr>
            <w:tcW w:w="7229" w:type="dxa"/>
          </w:tcPr>
          <w:p w:rsidR="00CF2FC4" w:rsidRPr="00E161EA" w:rsidRDefault="00CF2FC4" w:rsidP="00080471">
            <w:pPr>
              <w:spacing w:before="60" w:after="60"/>
              <w:rPr>
                <w:rFonts w:cs="Arial"/>
                <w:bCs/>
                <w:szCs w:val="24"/>
              </w:rPr>
            </w:pPr>
            <w:r w:rsidRPr="00E161EA">
              <w:rPr>
                <w:rFonts w:cs="Arial"/>
                <w:color w:val="000000"/>
                <w:szCs w:val="24"/>
              </w:rPr>
              <w:t>Pharmacist Lead - NHS England South West</w:t>
            </w:r>
          </w:p>
        </w:tc>
      </w:tr>
      <w:tr w:rsidR="00CF2FC4" w:rsidRPr="00E161EA" w:rsidTr="006C69EC">
        <w:trPr>
          <w:trHeight w:val="267"/>
        </w:trPr>
        <w:tc>
          <w:tcPr>
            <w:tcW w:w="2694" w:type="dxa"/>
          </w:tcPr>
          <w:p w:rsidR="00CF2FC4" w:rsidRPr="00E161EA" w:rsidRDefault="00CF2FC4" w:rsidP="00080471">
            <w:pPr>
              <w:spacing w:before="60" w:after="60" w:line="276" w:lineRule="auto"/>
              <w:rPr>
                <w:rFonts w:cs="Arial"/>
                <w:szCs w:val="24"/>
              </w:rPr>
            </w:pPr>
            <w:r w:rsidRPr="00E161EA">
              <w:rPr>
                <w:szCs w:val="24"/>
              </w:rPr>
              <w:t>Graham Munslow</w:t>
            </w:r>
          </w:p>
        </w:tc>
        <w:tc>
          <w:tcPr>
            <w:tcW w:w="7229" w:type="dxa"/>
          </w:tcPr>
          <w:p w:rsidR="00CF2FC4" w:rsidRPr="00E161EA" w:rsidRDefault="00CF2FC4" w:rsidP="00080471">
            <w:pPr>
              <w:tabs>
                <w:tab w:val="left" w:pos="2320"/>
              </w:tabs>
              <w:spacing w:before="60" w:after="60" w:line="276" w:lineRule="auto"/>
              <w:rPr>
                <w:rFonts w:cs="Arial"/>
                <w:szCs w:val="24"/>
              </w:rPr>
            </w:pPr>
            <w:r w:rsidRPr="00E161EA">
              <w:rPr>
                <w:rFonts w:cs="Arial"/>
                <w:szCs w:val="24"/>
              </w:rPr>
              <w:t>Clinical Screening and Immunisation Manager, NHS England Lancashire &amp; Greater Manchester / Public Health England.</w:t>
            </w:r>
          </w:p>
        </w:tc>
      </w:tr>
    </w:tbl>
    <w:p w:rsidR="00BC6F32" w:rsidRPr="00E161EA" w:rsidRDefault="00BC6F32" w:rsidP="00BC6F32">
      <w:pPr>
        <w:ind w:left="-142" w:right="423"/>
        <w:jc w:val="both"/>
        <w:rPr>
          <w:szCs w:val="24"/>
        </w:rPr>
      </w:pPr>
    </w:p>
    <w:p w:rsidR="00BC6F32" w:rsidRPr="00E161EA" w:rsidRDefault="00BC6F32" w:rsidP="00BC6F32">
      <w:pPr>
        <w:ind w:left="-142" w:right="423"/>
        <w:jc w:val="both"/>
        <w:rPr>
          <w:szCs w:val="24"/>
        </w:rPr>
      </w:pPr>
    </w:p>
    <w:p w:rsidR="00BC6F32" w:rsidRPr="00E161EA" w:rsidRDefault="00BC6F32" w:rsidP="00BC6F32">
      <w:pPr>
        <w:ind w:left="-142" w:right="423"/>
        <w:jc w:val="both"/>
        <w:rPr>
          <w:szCs w:val="24"/>
        </w:rPr>
      </w:pPr>
    </w:p>
    <w:p w:rsidR="00BC6F32" w:rsidRDefault="00BC6F32" w:rsidP="00BC6F32">
      <w:pPr>
        <w:ind w:left="-142" w:right="423"/>
        <w:jc w:val="both"/>
        <w:rPr>
          <w:sz w:val="22"/>
          <w:szCs w:val="22"/>
        </w:rPr>
      </w:pPr>
    </w:p>
    <w:p w:rsidR="00BC6F32" w:rsidRDefault="00BC6F32" w:rsidP="00BC6F32">
      <w:pPr>
        <w:ind w:left="-142" w:right="423"/>
        <w:jc w:val="both"/>
        <w:rPr>
          <w:sz w:val="22"/>
          <w:szCs w:val="22"/>
        </w:rPr>
      </w:pPr>
    </w:p>
    <w:p w:rsidR="00BC6F32" w:rsidRDefault="00BC6F32" w:rsidP="00BC6F32">
      <w:pPr>
        <w:ind w:right="423"/>
        <w:jc w:val="both"/>
        <w:rPr>
          <w:sz w:val="22"/>
          <w:szCs w:val="22"/>
        </w:rPr>
      </w:pPr>
    </w:p>
    <w:p w:rsidR="00BC6F32" w:rsidRDefault="00BC6F32" w:rsidP="00BC6F32">
      <w:pPr>
        <w:ind w:right="423"/>
        <w:jc w:val="both"/>
        <w:rPr>
          <w:sz w:val="22"/>
          <w:szCs w:val="22"/>
        </w:rPr>
      </w:pPr>
    </w:p>
    <w:p w:rsidR="00BC6F32" w:rsidRDefault="00BC6F32" w:rsidP="00BC6F32">
      <w:pPr>
        <w:ind w:left="-142" w:right="423"/>
        <w:jc w:val="both"/>
        <w:rPr>
          <w:sz w:val="22"/>
          <w:szCs w:val="22"/>
        </w:rPr>
      </w:pPr>
    </w:p>
    <w:p w:rsidR="00D642DE" w:rsidRDefault="00D642DE">
      <w:pPr>
        <w:overflowPunct/>
        <w:autoSpaceDE/>
        <w:autoSpaceDN/>
        <w:adjustRightInd/>
        <w:jc w:val="center"/>
        <w:textAlignment w:val="auto"/>
        <w:rPr>
          <w:sz w:val="22"/>
          <w:szCs w:val="22"/>
        </w:rPr>
      </w:pPr>
      <w:r>
        <w:rPr>
          <w:sz w:val="22"/>
          <w:szCs w:val="22"/>
        </w:rPr>
        <w:br w:type="page"/>
      </w:r>
    </w:p>
    <w:p w:rsidR="00BC6F32" w:rsidRPr="00E161EA" w:rsidRDefault="004F0005" w:rsidP="00E161EA">
      <w:pPr>
        <w:pStyle w:val="ListParagraph"/>
        <w:numPr>
          <w:ilvl w:val="0"/>
          <w:numId w:val="5"/>
        </w:numPr>
        <w:overflowPunct/>
        <w:autoSpaceDE/>
        <w:autoSpaceDN/>
        <w:adjustRightInd/>
        <w:textAlignment w:val="auto"/>
        <w:rPr>
          <w:rFonts w:cs="Arial"/>
          <w:b/>
          <w:szCs w:val="24"/>
        </w:rPr>
      </w:pPr>
      <w:r w:rsidRPr="00E161EA">
        <w:rPr>
          <w:rFonts w:cs="Arial"/>
          <w:b/>
          <w:szCs w:val="24"/>
        </w:rPr>
        <w:lastRenderedPageBreak/>
        <w:t xml:space="preserve">Organisational </w:t>
      </w:r>
      <w:r w:rsidR="00D36470">
        <w:rPr>
          <w:rFonts w:cs="Arial"/>
          <w:b/>
          <w:szCs w:val="24"/>
        </w:rPr>
        <w:t>a</w:t>
      </w:r>
      <w:r w:rsidRPr="00E161EA">
        <w:rPr>
          <w:rFonts w:cs="Arial"/>
          <w:b/>
          <w:szCs w:val="24"/>
        </w:rPr>
        <w:t>uthorisations</w:t>
      </w:r>
    </w:p>
    <w:p w:rsidR="00BC6F32" w:rsidRPr="00E161EA" w:rsidRDefault="00BC6F32" w:rsidP="00E161EA">
      <w:pPr>
        <w:rPr>
          <w:rFonts w:cs="Arial"/>
          <w:szCs w:val="24"/>
        </w:rPr>
      </w:pPr>
    </w:p>
    <w:p w:rsidR="00BC6F32" w:rsidRPr="00E161EA" w:rsidRDefault="00BC6F32" w:rsidP="00E161EA">
      <w:pPr>
        <w:rPr>
          <w:rFonts w:cs="Arial"/>
          <w:b/>
          <w:szCs w:val="24"/>
        </w:rPr>
      </w:pPr>
      <w:r w:rsidRPr="00E161EA">
        <w:rPr>
          <w:rFonts w:cs="Arial"/>
          <w:szCs w:val="24"/>
        </w:rPr>
        <w:t xml:space="preserve">The PGD is not legally valid until it has had the relevant organisational authorisation.  </w:t>
      </w:r>
    </w:p>
    <w:p w:rsidR="00BC6F32" w:rsidRPr="00E161EA" w:rsidRDefault="00BC6F32" w:rsidP="00E161EA">
      <w:pPr>
        <w:rPr>
          <w:rFonts w:cs="Arial"/>
          <w:b/>
          <w:szCs w:val="24"/>
        </w:rPr>
      </w:pPr>
    </w:p>
    <w:p w:rsidR="00BC6F32" w:rsidRPr="00E161EA" w:rsidRDefault="00BC6F32" w:rsidP="00E161EA">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r w:rsidR="00A75B9F" w:rsidRPr="00E161EA">
        <w:rPr>
          <w:rStyle w:val="yiv436687422763514114-05042013"/>
          <w:rFonts w:ascii="Arial" w:hAnsi="Arial" w:cs="Arial"/>
          <w:b w:val="0"/>
          <w:szCs w:val="24"/>
        </w:rPr>
        <w:t>.</w:t>
      </w:r>
    </w:p>
    <w:p w:rsidR="00BC6F32" w:rsidRPr="00E161EA" w:rsidRDefault="00BC6F32" w:rsidP="00E161EA">
      <w:pPr>
        <w:pStyle w:val="Title"/>
        <w:jc w:val="left"/>
        <w:rPr>
          <w:rStyle w:val="yiv436687422763514114-05042013"/>
          <w:rFonts w:ascii="Arial" w:hAnsi="Arial" w:cs="Arial"/>
          <w:b w:val="0"/>
          <w:szCs w:val="24"/>
          <w:lang w:eastAsia="en-GB"/>
        </w:rPr>
      </w:pPr>
    </w:p>
    <w:p w:rsidR="00BC6F32" w:rsidRPr="00E161EA" w:rsidRDefault="0067497B" w:rsidP="00E161EA">
      <w:pPr>
        <w:pStyle w:val="Title"/>
        <w:jc w:val="left"/>
        <w:rPr>
          <w:rStyle w:val="yiv436687422763514114-05042013"/>
          <w:rFonts w:ascii="Arial" w:hAnsi="Arial" w:cs="Arial"/>
          <w:b w:val="0"/>
          <w:szCs w:val="24"/>
          <w:lang w:eastAsia="en-GB"/>
        </w:rPr>
      </w:pPr>
      <w:permStart w:id="1346503371" w:edGrp="everyone"/>
      <w:r w:rsidRPr="00E161EA">
        <w:rPr>
          <w:rStyle w:val="yiv436687422763514114-05042013"/>
          <w:rFonts w:ascii="Arial" w:hAnsi="Arial" w:cs="Arial"/>
          <w:szCs w:val="24"/>
        </w:rPr>
        <w:t xml:space="preserve">INSERT AUTHORISING BODY NAME </w:t>
      </w:r>
      <w:r w:rsidR="00BC6F32" w:rsidRPr="00E161EA">
        <w:rPr>
          <w:rStyle w:val="yiv436687422763514114-05042013"/>
          <w:rFonts w:ascii="Arial" w:hAnsi="Arial" w:cs="Arial"/>
          <w:b w:val="0"/>
          <w:szCs w:val="24"/>
        </w:rPr>
        <w:t xml:space="preserve"> </w:t>
      </w:r>
      <w:permEnd w:id="1346503371"/>
      <w:r w:rsidR="00BC6F32" w:rsidRPr="00E161EA">
        <w:rPr>
          <w:rStyle w:val="yiv436687422763514114-05042013"/>
          <w:rFonts w:ascii="Arial" w:hAnsi="Arial" w:cs="Arial"/>
          <w:b w:val="0"/>
          <w:szCs w:val="24"/>
        </w:rPr>
        <w:t>authorise this PGD for use by the services or providers listed below:</w:t>
      </w:r>
    </w:p>
    <w:p w:rsidR="00BC6F32" w:rsidRPr="00BF617E" w:rsidRDefault="00BC6F32" w:rsidP="00BC6F3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923"/>
      </w:tblGrid>
      <w:tr w:rsidR="00BC6F32" w:rsidRPr="00BF617E" w:rsidTr="00B32ECD">
        <w:tc>
          <w:tcPr>
            <w:tcW w:w="9923" w:type="dxa"/>
            <w:shd w:val="clear" w:color="auto" w:fill="F2F2F2" w:themeFill="background1" w:themeFillShade="F2"/>
          </w:tcPr>
          <w:p w:rsidR="00BC6F32" w:rsidRPr="00E161EA" w:rsidRDefault="00BC6F32" w:rsidP="00000A1D">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BC6F32" w:rsidRPr="00BF617E" w:rsidTr="00B32ECD">
        <w:tc>
          <w:tcPr>
            <w:tcW w:w="9923" w:type="dxa"/>
          </w:tcPr>
          <w:p w:rsidR="00BC6F32" w:rsidRPr="00BF617E" w:rsidRDefault="00BC6F32" w:rsidP="00000A1D">
            <w:pPr>
              <w:pStyle w:val="Title"/>
              <w:jc w:val="left"/>
              <w:rPr>
                <w:rFonts w:ascii="Arial" w:hAnsi="Arial" w:cs="Arial"/>
                <w:b w:val="0"/>
                <w:sz w:val="22"/>
                <w:szCs w:val="22"/>
              </w:rPr>
            </w:pPr>
            <w:permStart w:id="1863403627" w:edGrp="everyone" w:colFirst="0" w:colLast="0"/>
            <w:permStart w:id="817507334" w:edGrp="everyone"/>
            <w:r w:rsidRPr="00BF617E">
              <w:rPr>
                <w:rFonts w:ascii="Arial" w:hAnsi="Arial" w:cs="Arial"/>
                <w:b w:val="0"/>
                <w:sz w:val="22"/>
                <w:szCs w:val="22"/>
              </w:rPr>
              <w:t xml:space="preserve">eg </w:t>
            </w:r>
            <w:r w:rsidR="003267A8">
              <w:rPr>
                <w:rFonts w:ascii="Arial" w:hAnsi="Arial" w:cs="Arial"/>
                <w:b w:val="0"/>
                <w:sz w:val="22"/>
                <w:szCs w:val="22"/>
              </w:rPr>
              <w:t xml:space="preserve">All NHS England sub-region commissioned immunisation services </w:t>
            </w:r>
          </w:p>
          <w:p w:rsidR="00BC6F32" w:rsidRDefault="00BC6F32" w:rsidP="00000A1D">
            <w:pPr>
              <w:pStyle w:val="Title"/>
              <w:jc w:val="left"/>
              <w:rPr>
                <w:rFonts w:ascii="Arial" w:hAnsi="Arial" w:cs="Arial"/>
                <w:b w:val="0"/>
                <w:sz w:val="22"/>
                <w:szCs w:val="22"/>
              </w:rPr>
            </w:pPr>
          </w:p>
          <w:p w:rsidR="00120134" w:rsidRDefault="00120134" w:rsidP="00000A1D">
            <w:pPr>
              <w:pStyle w:val="Title"/>
              <w:jc w:val="left"/>
              <w:rPr>
                <w:rFonts w:ascii="Arial" w:hAnsi="Arial" w:cs="Arial"/>
                <w:b w:val="0"/>
                <w:sz w:val="22"/>
                <w:szCs w:val="22"/>
              </w:rPr>
            </w:pPr>
          </w:p>
          <w:p w:rsidR="00120134" w:rsidRPr="00BF617E" w:rsidRDefault="00120134" w:rsidP="00000A1D">
            <w:pPr>
              <w:pStyle w:val="Title"/>
              <w:jc w:val="left"/>
              <w:rPr>
                <w:rFonts w:ascii="Arial" w:hAnsi="Arial" w:cs="Arial"/>
                <w:b w:val="0"/>
                <w:sz w:val="22"/>
                <w:szCs w:val="22"/>
              </w:rPr>
            </w:pPr>
          </w:p>
          <w:p w:rsidR="00BC6F32" w:rsidRPr="00BF617E" w:rsidRDefault="00BC6F32" w:rsidP="00000A1D">
            <w:pPr>
              <w:pStyle w:val="Title"/>
              <w:jc w:val="left"/>
              <w:rPr>
                <w:rFonts w:ascii="Arial" w:hAnsi="Arial" w:cs="Arial"/>
                <w:b w:val="0"/>
                <w:sz w:val="22"/>
                <w:szCs w:val="22"/>
              </w:rPr>
            </w:pPr>
          </w:p>
          <w:p w:rsidR="00BC6F32" w:rsidRPr="00BF617E" w:rsidRDefault="00BC6F32" w:rsidP="00000A1D">
            <w:pPr>
              <w:pStyle w:val="Title"/>
              <w:jc w:val="left"/>
              <w:rPr>
                <w:rFonts w:ascii="Arial" w:hAnsi="Arial" w:cs="Arial"/>
                <w:b w:val="0"/>
                <w:sz w:val="22"/>
                <w:szCs w:val="22"/>
              </w:rPr>
            </w:pPr>
          </w:p>
        </w:tc>
      </w:tr>
      <w:permEnd w:id="1863403627"/>
      <w:permEnd w:id="817507334"/>
      <w:tr w:rsidR="00BC6F32" w:rsidRPr="00BF617E" w:rsidTr="00B32ECD">
        <w:tc>
          <w:tcPr>
            <w:tcW w:w="9923" w:type="dxa"/>
            <w:shd w:val="clear" w:color="auto" w:fill="F2F2F2" w:themeFill="background1" w:themeFillShade="F2"/>
          </w:tcPr>
          <w:p w:rsidR="00BC6F32" w:rsidRPr="00E161EA" w:rsidRDefault="00BC6F32" w:rsidP="003267A8">
            <w:pPr>
              <w:pStyle w:val="Title"/>
              <w:jc w:val="left"/>
              <w:rPr>
                <w:rFonts w:ascii="Arial" w:hAnsi="Arial" w:cs="Arial"/>
                <w:b w:val="0"/>
                <w:szCs w:val="24"/>
              </w:rPr>
            </w:pPr>
            <w:r w:rsidRPr="00E161EA">
              <w:rPr>
                <w:rFonts w:ascii="Arial" w:hAnsi="Arial" w:cs="Arial"/>
                <w:b w:val="0"/>
                <w:szCs w:val="24"/>
              </w:rPr>
              <w:t>Limitations to authorisation</w:t>
            </w:r>
          </w:p>
        </w:tc>
      </w:tr>
      <w:tr w:rsidR="00BC6F32" w:rsidRPr="00BF617E" w:rsidTr="00B32ECD">
        <w:trPr>
          <w:trHeight w:val="1561"/>
        </w:trPr>
        <w:tc>
          <w:tcPr>
            <w:tcW w:w="9923" w:type="dxa"/>
          </w:tcPr>
          <w:p w:rsidR="009C5F32" w:rsidRDefault="00BC6F32" w:rsidP="00D300D1">
            <w:pPr>
              <w:pStyle w:val="Title"/>
              <w:jc w:val="left"/>
              <w:rPr>
                <w:rFonts w:ascii="Arial" w:hAnsi="Arial" w:cs="Arial"/>
                <w:b w:val="0"/>
                <w:sz w:val="22"/>
                <w:szCs w:val="22"/>
              </w:rPr>
            </w:pPr>
            <w:permStart w:id="428803279" w:edGrp="everyone" w:colFirst="0" w:colLast="0"/>
            <w:permStart w:id="121843291" w:edGrp="everyone"/>
            <w:r w:rsidRPr="00BF617E">
              <w:rPr>
                <w:rFonts w:ascii="Arial" w:hAnsi="Arial" w:cs="Arial"/>
                <w:b w:val="0"/>
                <w:sz w:val="22"/>
                <w:szCs w:val="22"/>
              </w:rPr>
              <w:t xml:space="preserve">eg </w:t>
            </w:r>
            <w:r w:rsidR="00D300D1">
              <w:rPr>
                <w:rFonts w:ascii="Arial" w:hAnsi="Arial" w:cs="Arial"/>
                <w:b w:val="0"/>
                <w:sz w:val="22"/>
                <w:szCs w:val="22"/>
              </w:rPr>
              <w:t xml:space="preserve">Any local limitations the authorising organisation feels they need to apply in-line with the way services are commissioned locally. </w:t>
            </w:r>
            <w:r w:rsidRPr="00BF617E">
              <w:rPr>
                <w:rFonts w:ascii="Arial" w:hAnsi="Arial" w:cs="Arial"/>
                <w:b w:val="0"/>
                <w:sz w:val="22"/>
                <w:szCs w:val="22"/>
              </w:rPr>
              <w:t xml:space="preserve">This organisation does not authorise the use of this PGD by </w:t>
            </w:r>
            <w:r w:rsidR="00D300D1">
              <w:rPr>
                <w:rFonts w:ascii="Arial" w:hAnsi="Arial" w:cs="Arial"/>
                <w:b w:val="0"/>
                <w:sz w:val="22"/>
                <w:szCs w:val="22"/>
              </w:rPr>
              <w:t>….</w:t>
            </w:r>
            <w:r w:rsidRPr="00BF617E" w:rsidDel="00C27D2A">
              <w:rPr>
                <w:rFonts w:ascii="Arial" w:hAnsi="Arial" w:cs="Arial"/>
                <w:b w:val="0"/>
                <w:sz w:val="22"/>
                <w:szCs w:val="22"/>
              </w:rPr>
              <w:t xml:space="preserve"> </w:t>
            </w:r>
            <w:r w:rsidR="00120134">
              <w:rPr>
                <w:rFonts w:ascii="Arial" w:hAnsi="Arial" w:cs="Arial"/>
                <w:b w:val="0"/>
                <w:sz w:val="22"/>
                <w:szCs w:val="22"/>
              </w:rPr>
              <w:t xml:space="preserve">                                                                        </w:t>
            </w:r>
            <w:r w:rsidR="009C5F32">
              <w:rPr>
                <w:rFonts w:ascii="Arial" w:hAnsi="Arial" w:cs="Arial"/>
                <w:b w:val="0"/>
                <w:sz w:val="22"/>
                <w:szCs w:val="22"/>
              </w:rPr>
              <w:t xml:space="preserve">                               </w:t>
            </w:r>
          </w:p>
          <w:p w:rsidR="00BC6F32" w:rsidRDefault="00BC6F32" w:rsidP="00D300D1">
            <w:pPr>
              <w:pStyle w:val="Title"/>
              <w:jc w:val="left"/>
              <w:rPr>
                <w:rFonts w:ascii="Arial" w:hAnsi="Arial" w:cs="Arial"/>
                <w:b w:val="0"/>
                <w:sz w:val="22"/>
                <w:szCs w:val="22"/>
              </w:rPr>
            </w:pPr>
          </w:p>
          <w:p w:rsidR="0067497B" w:rsidRDefault="0067497B" w:rsidP="00D300D1">
            <w:pPr>
              <w:pStyle w:val="Title"/>
              <w:jc w:val="left"/>
              <w:rPr>
                <w:rFonts w:ascii="Arial" w:hAnsi="Arial" w:cs="Arial"/>
                <w:b w:val="0"/>
                <w:sz w:val="22"/>
                <w:szCs w:val="22"/>
              </w:rPr>
            </w:pPr>
          </w:p>
          <w:p w:rsidR="0067497B" w:rsidRDefault="0067497B" w:rsidP="00D300D1">
            <w:pPr>
              <w:pStyle w:val="Title"/>
              <w:jc w:val="left"/>
              <w:rPr>
                <w:rFonts w:ascii="Arial" w:hAnsi="Arial" w:cs="Arial"/>
                <w:b w:val="0"/>
                <w:sz w:val="22"/>
                <w:szCs w:val="22"/>
              </w:rPr>
            </w:pPr>
          </w:p>
          <w:p w:rsidR="0067497B" w:rsidRPr="00BF617E" w:rsidRDefault="0067497B" w:rsidP="00D300D1">
            <w:pPr>
              <w:pStyle w:val="Title"/>
              <w:jc w:val="left"/>
              <w:rPr>
                <w:rFonts w:ascii="Arial" w:hAnsi="Arial" w:cs="Arial"/>
                <w:b w:val="0"/>
                <w:sz w:val="22"/>
                <w:szCs w:val="22"/>
              </w:rPr>
            </w:pPr>
          </w:p>
        </w:tc>
      </w:tr>
      <w:permEnd w:id="428803279"/>
      <w:permEnd w:id="121843291"/>
    </w:tbl>
    <w:p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BC6F32" w:rsidRPr="001D1F5D" w:rsidTr="00B32ECD">
        <w:tc>
          <w:tcPr>
            <w:tcW w:w="9923" w:type="dxa"/>
            <w:gridSpan w:val="4"/>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 xml:space="preserve">Organisational </w:t>
            </w:r>
            <w:r w:rsidR="00080471">
              <w:rPr>
                <w:rFonts w:ascii="Arial" w:hAnsi="Arial" w:cs="Arial"/>
                <w:szCs w:val="24"/>
              </w:rPr>
              <w:t>a</w:t>
            </w:r>
            <w:r w:rsidRPr="00080471">
              <w:rPr>
                <w:rFonts w:ascii="Arial" w:hAnsi="Arial" w:cs="Arial"/>
                <w:szCs w:val="24"/>
              </w:rPr>
              <w:t>pproval (legal requirement)</w:t>
            </w:r>
          </w:p>
        </w:tc>
      </w:tr>
      <w:tr w:rsidR="00BC6F32" w:rsidRPr="001D1F5D" w:rsidTr="00B32ECD">
        <w:tc>
          <w:tcPr>
            <w:tcW w:w="3261"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rsidRPr="001D1F5D" w:rsidTr="00B32ECD">
        <w:tc>
          <w:tcPr>
            <w:tcW w:w="3261" w:type="dxa"/>
          </w:tcPr>
          <w:p w:rsidR="00BC6F32" w:rsidRPr="00080471" w:rsidRDefault="00BC6F32" w:rsidP="00000A1D">
            <w:pPr>
              <w:pStyle w:val="Title"/>
              <w:jc w:val="left"/>
              <w:rPr>
                <w:rFonts w:ascii="Arial" w:hAnsi="Arial" w:cs="Arial"/>
                <w:b w:val="0"/>
                <w:color w:val="D9D9D9" w:themeColor="background1" w:themeShade="D9"/>
                <w:sz w:val="22"/>
                <w:szCs w:val="22"/>
              </w:rPr>
            </w:pPr>
            <w:permStart w:id="274616905" w:edGrp="everyone" w:colFirst="0" w:colLast="0"/>
            <w:permStart w:id="837748283" w:edGrp="everyone" w:colFirst="1" w:colLast="1"/>
            <w:permStart w:id="1555915741" w:edGrp="everyone" w:colFirst="2" w:colLast="2"/>
            <w:permStart w:id="840828485" w:edGrp="everyone" w:colFirst="3" w:colLast="3"/>
            <w:permStart w:id="1981641695" w:edGrp="everyone"/>
            <w:r w:rsidRPr="00080471">
              <w:rPr>
                <w:rFonts w:ascii="Arial" w:hAnsi="Arial" w:cs="Arial"/>
                <w:b w:val="0"/>
                <w:color w:val="D9D9D9" w:themeColor="background1" w:themeShade="D9"/>
                <w:sz w:val="22"/>
                <w:szCs w:val="22"/>
              </w:rPr>
              <w:t>Complete eg NHSE Governance Lead, Medical Director</w:t>
            </w:r>
          </w:p>
          <w:p w:rsidR="00BC6F32" w:rsidRPr="001D1F5D" w:rsidRDefault="00BC6F32" w:rsidP="00000A1D">
            <w:pPr>
              <w:pStyle w:val="Title"/>
              <w:jc w:val="left"/>
              <w:rPr>
                <w:rFonts w:ascii="Arial" w:hAnsi="Arial" w:cs="Arial"/>
                <w:b w:val="0"/>
                <w:sz w:val="16"/>
                <w:szCs w:val="16"/>
              </w:rPr>
            </w:pPr>
          </w:p>
        </w:tc>
        <w:tc>
          <w:tcPr>
            <w:tcW w:w="2409" w:type="dxa"/>
          </w:tcPr>
          <w:p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1843" w:type="dxa"/>
          </w:tcPr>
          <w:p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274616905"/>
      <w:permEnd w:id="837748283"/>
      <w:permEnd w:id="1555915741"/>
      <w:permEnd w:id="840828485"/>
      <w:permEnd w:id="1981641695"/>
    </w:tbl>
    <w:p w:rsidR="00BC6F32" w:rsidRPr="001D1F5D"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BC6F32" w:rsidRPr="001D1F5D" w:rsidTr="00B32ECD">
        <w:tc>
          <w:tcPr>
            <w:tcW w:w="9923" w:type="dxa"/>
            <w:gridSpan w:val="4"/>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Additional signatories according to locally agreed policy</w:t>
            </w:r>
          </w:p>
        </w:tc>
      </w:tr>
      <w:tr w:rsidR="00BC6F32" w:rsidRPr="001D1F5D" w:rsidTr="00B32ECD">
        <w:tc>
          <w:tcPr>
            <w:tcW w:w="3261"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rsidTr="00B32ECD">
        <w:tc>
          <w:tcPr>
            <w:tcW w:w="3261" w:type="dxa"/>
          </w:tcPr>
          <w:p w:rsidR="00BC6F32" w:rsidRPr="002B4B88" w:rsidRDefault="00BC6F32" w:rsidP="00000A1D">
            <w:pPr>
              <w:pStyle w:val="Title"/>
              <w:jc w:val="left"/>
              <w:rPr>
                <w:rFonts w:ascii="Arial" w:hAnsi="Arial" w:cs="Arial"/>
                <w:sz w:val="22"/>
                <w:szCs w:val="22"/>
              </w:rPr>
            </w:pPr>
            <w:permStart w:id="242620854" w:edGrp="everyone" w:colFirst="0" w:colLast="0"/>
            <w:permStart w:id="379127294" w:edGrp="everyone" w:colFirst="1" w:colLast="1"/>
            <w:permStart w:id="814226160" w:edGrp="everyone" w:colFirst="2" w:colLast="2"/>
            <w:permStart w:id="1891898274" w:edGrp="everyone" w:colFirst="3" w:colLast="3"/>
            <w:permStart w:id="281111289" w:edGrp="everyone"/>
          </w:p>
          <w:p w:rsidR="00BC6F32" w:rsidRPr="002B4B88" w:rsidRDefault="00BC6F32" w:rsidP="00000A1D">
            <w:pPr>
              <w:pStyle w:val="Title"/>
              <w:jc w:val="left"/>
              <w:rPr>
                <w:rFonts w:ascii="Arial" w:hAnsi="Arial" w:cs="Arial"/>
                <w:sz w:val="22"/>
                <w:szCs w:val="22"/>
              </w:rPr>
            </w:pPr>
          </w:p>
          <w:p w:rsidR="00BC6F32" w:rsidRPr="002B4B88" w:rsidRDefault="00BC6F32" w:rsidP="00000A1D">
            <w:pPr>
              <w:pStyle w:val="Title"/>
              <w:jc w:val="left"/>
              <w:rPr>
                <w:rFonts w:ascii="Arial" w:hAnsi="Arial" w:cs="Arial"/>
                <w:sz w:val="22"/>
                <w:szCs w:val="22"/>
              </w:rPr>
            </w:pPr>
          </w:p>
        </w:tc>
        <w:tc>
          <w:tcPr>
            <w:tcW w:w="2409" w:type="dxa"/>
          </w:tcPr>
          <w:p w:rsidR="009C5F32" w:rsidRPr="002B4B88" w:rsidRDefault="009C5F32" w:rsidP="00000A1D">
            <w:pPr>
              <w:pStyle w:val="Title"/>
              <w:jc w:val="left"/>
              <w:rPr>
                <w:rFonts w:ascii="Arial" w:hAnsi="Arial" w:cs="Arial"/>
                <w:sz w:val="22"/>
                <w:szCs w:val="22"/>
              </w:rPr>
            </w:pPr>
          </w:p>
          <w:p w:rsidR="009C5F32" w:rsidRPr="002B4B88" w:rsidRDefault="009C5F32" w:rsidP="00000A1D">
            <w:pPr>
              <w:pStyle w:val="Title"/>
              <w:jc w:val="left"/>
              <w:rPr>
                <w:rFonts w:ascii="Arial" w:hAnsi="Arial" w:cs="Arial"/>
                <w:sz w:val="22"/>
                <w:szCs w:val="22"/>
              </w:rPr>
            </w:pPr>
          </w:p>
          <w:p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9C5F32" w:rsidRPr="002B4B88" w:rsidRDefault="009C5F32" w:rsidP="00000A1D">
            <w:pPr>
              <w:pStyle w:val="Title"/>
              <w:jc w:val="left"/>
              <w:rPr>
                <w:rFonts w:ascii="Arial" w:hAnsi="Arial" w:cs="Arial"/>
                <w:sz w:val="22"/>
                <w:szCs w:val="22"/>
              </w:rPr>
            </w:pPr>
          </w:p>
          <w:p w:rsidR="009C5F32" w:rsidRPr="002B4B88" w:rsidRDefault="009C5F32" w:rsidP="00000A1D">
            <w:pPr>
              <w:pStyle w:val="Title"/>
              <w:jc w:val="left"/>
              <w:rPr>
                <w:rFonts w:ascii="Arial" w:hAnsi="Arial" w:cs="Arial"/>
                <w:sz w:val="22"/>
                <w:szCs w:val="22"/>
              </w:rPr>
            </w:pPr>
          </w:p>
          <w:p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9C5F32" w:rsidRPr="002B4B88" w:rsidRDefault="009C5F32" w:rsidP="00000A1D">
            <w:pPr>
              <w:pStyle w:val="Title"/>
              <w:jc w:val="left"/>
              <w:rPr>
                <w:rFonts w:ascii="Arial" w:hAnsi="Arial" w:cs="Arial"/>
                <w:sz w:val="22"/>
                <w:szCs w:val="22"/>
              </w:rPr>
            </w:pPr>
          </w:p>
          <w:p w:rsidR="009C5F32" w:rsidRPr="002B4B88" w:rsidRDefault="009C5F32" w:rsidP="00000A1D">
            <w:pPr>
              <w:pStyle w:val="Title"/>
              <w:jc w:val="left"/>
              <w:rPr>
                <w:rFonts w:ascii="Arial" w:hAnsi="Arial" w:cs="Arial"/>
                <w:sz w:val="22"/>
                <w:szCs w:val="22"/>
              </w:rPr>
            </w:pPr>
          </w:p>
          <w:p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rsidTr="00B32ECD">
        <w:tc>
          <w:tcPr>
            <w:tcW w:w="3261" w:type="dxa"/>
          </w:tcPr>
          <w:p w:rsidR="009C5F32" w:rsidRPr="002B4B88" w:rsidRDefault="009C5F32" w:rsidP="00E57E8F">
            <w:pPr>
              <w:pStyle w:val="Title"/>
              <w:jc w:val="left"/>
              <w:rPr>
                <w:rFonts w:ascii="Arial" w:hAnsi="Arial" w:cs="Arial"/>
                <w:sz w:val="22"/>
                <w:szCs w:val="22"/>
              </w:rPr>
            </w:pPr>
            <w:permStart w:id="728524047" w:edGrp="everyone" w:colFirst="0" w:colLast="0"/>
            <w:permStart w:id="419170407" w:edGrp="everyone" w:colFirst="1" w:colLast="1"/>
            <w:permStart w:id="177021970" w:edGrp="everyone" w:colFirst="2" w:colLast="2"/>
            <w:permStart w:id="499149374" w:edGrp="everyone" w:colFirst="3" w:colLast="3"/>
            <w:permStart w:id="1686376250" w:edGrp="everyone"/>
            <w:permEnd w:id="242620854"/>
            <w:permEnd w:id="379127294"/>
            <w:permEnd w:id="814226160"/>
            <w:permEnd w:id="1891898274"/>
            <w:permEnd w:id="281111289"/>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tc>
        <w:tc>
          <w:tcPr>
            <w:tcW w:w="2409"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rsidTr="00B32ECD">
        <w:tc>
          <w:tcPr>
            <w:tcW w:w="3261" w:type="dxa"/>
          </w:tcPr>
          <w:p w:rsidR="009C5F32" w:rsidRPr="002B4B88" w:rsidRDefault="009C5F32" w:rsidP="00E57E8F">
            <w:pPr>
              <w:pStyle w:val="Title"/>
              <w:jc w:val="left"/>
              <w:rPr>
                <w:rFonts w:ascii="Arial" w:hAnsi="Arial" w:cs="Arial"/>
                <w:sz w:val="22"/>
                <w:szCs w:val="22"/>
              </w:rPr>
            </w:pPr>
            <w:permStart w:id="1842832346" w:edGrp="everyone" w:colFirst="0" w:colLast="0"/>
            <w:permStart w:id="933237618" w:edGrp="everyone" w:colFirst="1" w:colLast="1"/>
            <w:permStart w:id="2046044005" w:edGrp="everyone" w:colFirst="2" w:colLast="2"/>
            <w:permStart w:id="585780403" w:edGrp="everyone" w:colFirst="3" w:colLast="3"/>
            <w:permStart w:id="1814439173" w:edGrp="everyone"/>
            <w:permEnd w:id="728524047"/>
            <w:permEnd w:id="419170407"/>
            <w:permEnd w:id="177021970"/>
            <w:permEnd w:id="499149374"/>
            <w:permEnd w:id="1686376250"/>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tc>
        <w:tc>
          <w:tcPr>
            <w:tcW w:w="2409"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rsidTr="00B32ECD">
        <w:tc>
          <w:tcPr>
            <w:tcW w:w="3261" w:type="dxa"/>
          </w:tcPr>
          <w:p w:rsidR="009C5F32" w:rsidRPr="002B4B88" w:rsidRDefault="009C5F32" w:rsidP="00E57E8F">
            <w:pPr>
              <w:pStyle w:val="Title"/>
              <w:jc w:val="left"/>
              <w:rPr>
                <w:rFonts w:ascii="Arial" w:hAnsi="Arial" w:cs="Arial"/>
                <w:sz w:val="22"/>
                <w:szCs w:val="22"/>
              </w:rPr>
            </w:pPr>
            <w:permStart w:id="2023239936" w:edGrp="everyone" w:colFirst="0" w:colLast="0"/>
            <w:permStart w:id="868563732" w:edGrp="everyone" w:colFirst="1" w:colLast="1"/>
            <w:permStart w:id="68311812" w:edGrp="everyone" w:colFirst="2" w:colLast="2"/>
            <w:permStart w:id="2014595262" w:edGrp="everyone" w:colFirst="3" w:colLast="3"/>
            <w:permStart w:id="697133951" w:edGrp="everyone"/>
            <w:permEnd w:id="1842832346"/>
            <w:permEnd w:id="933237618"/>
            <w:permEnd w:id="2046044005"/>
            <w:permEnd w:id="585780403"/>
            <w:permEnd w:id="1814439173"/>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tc>
        <w:tc>
          <w:tcPr>
            <w:tcW w:w="2409"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permEnd w:id="2023239936"/>
      <w:permEnd w:id="868563732"/>
      <w:permEnd w:id="68311812"/>
      <w:permEnd w:id="2014595262"/>
      <w:permEnd w:id="697133951"/>
    </w:tbl>
    <w:p w:rsidR="00BC6F32" w:rsidRDefault="00BC6F32" w:rsidP="00BC6F32">
      <w:pPr>
        <w:jc w:val="both"/>
        <w:rPr>
          <w:rFonts w:cs="Arial"/>
          <w:sz w:val="22"/>
          <w:szCs w:val="22"/>
        </w:rPr>
      </w:pPr>
    </w:p>
    <w:p w:rsidR="0054483C" w:rsidRPr="00080471" w:rsidRDefault="0054483C" w:rsidP="00080471">
      <w:pPr>
        <w:rPr>
          <w:rFonts w:cs="Arial"/>
          <w:szCs w:val="24"/>
        </w:rPr>
      </w:pPr>
      <w:permStart w:id="1040920223" w:edGrp="everyone"/>
      <w:r w:rsidRPr="00080471">
        <w:rPr>
          <w:rFonts w:cs="Arial"/>
          <w:szCs w:val="24"/>
        </w:rPr>
        <w:t>Local enquiries regarding the use of this PGD may be directed to…………….</w:t>
      </w:r>
      <w:permEnd w:id="1040920223"/>
    </w:p>
    <w:p w:rsidR="000A729C" w:rsidRPr="00080471" w:rsidRDefault="00BC6F32" w:rsidP="00080471">
      <w:pPr>
        <w:pStyle w:val="Header"/>
        <w:tabs>
          <w:tab w:val="left" w:pos="720"/>
        </w:tabs>
        <w:spacing w:before="120" w:after="240"/>
        <w:rPr>
          <w:rFonts w:ascii="Arial" w:hAnsi="Arial" w:cs="Arial"/>
          <w:i/>
          <w:szCs w:val="24"/>
          <w:vertAlign w:val="superscript"/>
        </w:rPr>
      </w:pPr>
      <w:r w:rsidRPr="00080471">
        <w:rPr>
          <w:rFonts w:ascii="Arial" w:hAnsi="Arial" w:cs="Arial"/>
          <w:szCs w:val="24"/>
        </w:rPr>
        <w:t xml:space="preserve">Organisations must add an </w:t>
      </w:r>
      <w:r w:rsidR="006B166E">
        <w:rPr>
          <w:rFonts w:ascii="Arial" w:hAnsi="Arial" w:cs="Arial"/>
          <w:szCs w:val="24"/>
        </w:rPr>
        <w:t>i</w:t>
      </w:r>
      <w:r w:rsidRPr="00080471">
        <w:rPr>
          <w:rFonts w:ascii="Arial" w:hAnsi="Arial" w:cs="Arial"/>
          <w:szCs w:val="24"/>
        </w:rPr>
        <w:t xml:space="preserve">ndividual </w:t>
      </w:r>
      <w:r w:rsidR="006B166E">
        <w:rPr>
          <w:rFonts w:ascii="Arial" w:hAnsi="Arial" w:cs="Arial"/>
          <w:szCs w:val="24"/>
        </w:rPr>
        <w:t>p</w:t>
      </w:r>
      <w:r w:rsidRPr="00080471">
        <w:rPr>
          <w:rFonts w:ascii="Arial" w:hAnsi="Arial" w:cs="Arial"/>
          <w:szCs w:val="24"/>
        </w:rPr>
        <w:t xml:space="preserve">ractitioner </w:t>
      </w:r>
      <w:r w:rsidR="006B166E">
        <w:rPr>
          <w:rFonts w:ascii="Arial" w:hAnsi="Arial" w:cs="Arial"/>
          <w:szCs w:val="24"/>
        </w:rPr>
        <w:t>a</w:t>
      </w:r>
      <w:r w:rsidRPr="00080471">
        <w:rPr>
          <w:rFonts w:ascii="Arial" w:hAnsi="Arial" w:cs="Arial"/>
          <w:szCs w:val="24"/>
        </w:rPr>
        <w:t xml:space="preserve">uthorisation sheet or </w:t>
      </w:r>
      <w:r w:rsidR="006B166E">
        <w:rPr>
          <w:rFonts w:ascii="Arial" w:hAnsi="Arial" w:cs="Arial"/>
          <w:szCs w:val="24"/>
        </w:rPr>
        <w:t>l</w:t>
      </w:r>
      <w:r w:rsidRPr="00080471">
        <w:rPr>
          <w:rFonts w:ascii="Arial" w:hAnsi="Arial" w:cs="Arial"/>
          <w:szCs w:val="24"/>
        </w:rPr>
        <w:t xml:space="preserve">ist of </w:t>
      </w:r>
      <w:r w:rsidR="006B166E">
        <w:rPr>
          <w:rFonts w:ascii="Arial" w:hAnsi="Arial" w:cs="Arial"/>
          <w:szCs w:val="24"/>
        </w:rPr>
        <w:t>a</w:t>
      </w:r>
      <w:r w:rsidRPr="00080471">
        <w:rPr>
          <w:rFonts w:ascii="Arial" w:hAnsi="Arial" w:cs="Arial"/>
          <w:szCs w:val="24"/>
        </w:rPr>
        <w:t xml:space="preserve">uthorised </w:t>
      </w:r>
      <w:r w:rsidR="006B166E">
        <w:rPr>
          <w:rFonts w:ascii="Arial" w:hAnsi="Arial" w:cs="Arial"/>
          <w:szCs w:val="24"/>
        </w:rPr>
        <w:t>p</w:t>
      </w:r>
      <w:r w:rsidRPr="00080471">
        <w:rPr>
          <w:rFonts w:ascii="Arial" w:hAnsi="Arial" w:cs="Arial"/>
          <w:szCs w:val="24"/>
        </w:rPr>
        <w:t>ractitioners. This varies according to local policy but this should be a signature list or an individual agreement as included at the end of this PGD.</w:t>
      </w:r>
    </w:p>
    <w:p w:rsidR="004564CA" w:rsidRDefault="004564CA">
      <w:pPr>
        <w:overflowPunct/>
        <w:autoSpaceDE/>
        <w:autoSpaceDN/>
        <w:adjustRightInd/>
        <w:jc w:val="center"/>
        <w:textAlignment w:val="auto"/>
        <w:rPr>
          <w:rFonts w:cs="Arial"/>
          <w:b/>
          <w:szCs w:val="24"/>
        </w:rPr>
      </w:pPr>
      <w:r>
        <w:rPr>
          <w:rFonts w:cs="Arial"/>
          <w:szCs w:val="24"/>
        </w:rPr>
        <w:br w:type="page"/>
      </w:r>
    </w:p>
    <w:p w:rsidR="003225CC" w:rsidRDefault="003225CC" w:rsidP="00962267">
      <w:pPr>
        <w:pStyle w:val="Heading4"/>
        <w:numPr>
          <w:ilvl w:val="0"/>
          <w:numId w:val="5"/>
        </w:numPr>
        <w:ind w:left="714" w:hanging="357"/>
        <w:contextualSpacing/>
        <w:rPr>
          <w:rFonts w:ascii="Arial" w:hAnsi="Arial" w:cs="Arial"/>
          <w:sz w:val="24"/>
          <w:szCs w:val="24"/>
        </w:rPr>
      </w:pPr>
      <w:r w:rsidRPr="00CB5D91">
        <w:rPr>
          <w:rFonts w:ascii="Arial" w:hAnsi="Arial" w:cs="Arial"/>
          <w:sz w:val="24"/>
          <w:szCs w:val="24"/>
        </w:rPr>
        <w:lastRenderedPageBreak/>
        <w:t xml:space="preserve">Characteristics of </w:t>
      </w:r>
      <w:r w:rsidR="00D36470">
        <w:rPr>
          <w:rFonts w:ascii="Arial" w:hAnsi="Arial" w:cs="Arial"/>
          <w:sz w:val="24"/>
          <w:szCs w:val="24"/>
        </w:rPr>
        <w:t>s</w:t>
      </w:r>
      <w:r w:rsidRPr="00CB5D91">
        <w:rPr>
          <w:rFonts w:ascii="Arial" w:hAnsi="Arial" w:cs="Arial"/>
          <w:sz w:val="24"/>
          <w:szCs w:val="24"/>
        </w:rPr>
        <w:t>taff</w:t>
      </w:r>
    </w:p>
    <w:p w:rsidR="003225CC" w:rsidRPr="00FE6654" w:rsidRDefault="003225CC" w:rsidP="003225CC">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3225CC" w:rsidRPr="00CB5D91" w:rsidTr="003225CC">
        <w:tc>
          <w:tcPr>
            <w:tcW w:w="2970" w:type="dxa"/>
          </w:tcPr>
          <w:p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rsidR="00EC3131" w:rsidRDefault="00EC3131" w:rsidP="00EC3131">
            <w:pPr>
              <w:pStyle w:val="Header"/>
              <w:tabs>
                <w:tab w:val="left" w:pos="317"/>
              </w:tabs>
              <w:spacing w:before="120"/>
              <w:rPr>
                <w:rFonts w:ascii="Arial" w:hAnsi="Arial" w:cs="Arial"/>
                <w:sz w:val="22"/>
                <w:szCs w:val="22"/>
              </w:rPr>
            </w:pPr>
            <w:r>
              <w:rPr>
                <w:rFonts w:ascii="Arial" w:hAnsi="Arial" w:cs="Arial"/>
                <w:sz w:val="22"/>
                <w:szCs w:val="22"/>
              </w:rPr>
              <w:t>Registered professional with one of the following bodies:</w:t>
            </w:r>
          </w:p>
          <w:p w:rsidR="0041133C" w:rsidRDefault="004C634B" w:rsidP="00244D27">
            <w:pPr>
              <w:pStyle w:val="Header"/>
              <w:numPr>
                <w:ilvl w:val="0"/>
                <w:numId w:val="27"/>
              </w:numPr>
              <w:tabs>
                <w:tab w:val="left" w:pos="317"/>
              </w:tabs>
              <w:ind w:left="324" w:hanging="284"/>
              <w:rPr>
                <w:rFonts w:ascii="Arial" w:hAnsi="Arial" w:cs="Arial"/>
                <w:sz w:val="22"/>
                <w:szCs w:val="22"/>
              </w:rPr>
            </w:pPr>
            <w:r>
              <w:rPr>
                <w:rFonts w:ascii="Arial" w:hAnsi="Arial" w:cs="Arial"/>
                <w:sz w:val="22"/>
                <w:szCs w:val="22"/>
              </w:rPr>
              <w:t>n</w:t>
            </w:r>
            <w:r w:rsidR="00EC3131" w:rsidRPr="004A5267">
              <w:rPr>
                <w:rFonts w:ascii="Arial" w:hAnsi="Arial" w:cs="Arial"/>
                <w:sz w:val="22"/>
                <w:szCs w:val="22"/>
              </w:rPr>
              <w:t>urses currently registered with the Nursing and Midwifery Council (NMC)</w:t>
            </w:r>
          </w:p>
          <w:p w:rsidR="00244D27" w:rsidRPr="00C93D18" w:rsidRDefault="00244D27" w:rsidP="00C93D18">
            <w:pPr>
              <w:pStyle w:val="Header"/>
              <w:numPr>
                <w:ilvl w:val="0"/>
                <w:numId w:val="27"/>
              </w:numPr>
              <w:tabs>
                <w:tab w:val="left" w:pos="317"/>
              </w:tabs>
              <w:spacing w:after="120"/>
              <w:ind w:left="324" w:hanging="284"/>
              <w:rPr>
                <w:rFonts w:ascii="Arial" w:hAnsi="Arial" w:cs="Arial"/>
                <w:sz w:val="22"/>
                <w:szCs w:val="22"/>
              </w:rPr>
            </w:pPr>
            <w:r>
              <w:rPr>
                <w:rFonts w:ascii="Arial" w:hAnsi="Arial" w:cs="Arial"/>
                <w:sz w:val="22"/>
                <w:szCs w:val="22"/>
              </w:rPr>
              <w:t>paramedics currently registered with the Health and Care Professions Council (HCPC)</w:t>
            </w:r>
          </w:p>
        </w:tc>
      </w:tr>
      <w:tr w:rsidR="003225CC" w:rsidRPr="00CB5D91" w:rsidTr="003225CC">
        <w:tc>
          <w:tcPr>
            <w:tcW w:w="2970" w:type="dxa"/>
          </w:tcPr>
          <w:p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Additional requirements</w:t>
            </w:r>
          </w:p>
        </w:tc>
        <w:tc>
          <w:tcPr>
            <w:tcW w:w="6953" w:type="dxa"/>
          </w:tcPr>
          <w:p w:rsidR="004C634B" w:rsidRPr="004C634B" w:rsidRDefault="004C634B" w:rsidP="004C634B">
            <w:pPr>
              <w:spacing w:before="120"/>
              <w:contextualSpacing/>
              <w:rPr>
                <w:rFonts w:cs="Arial"/>
                <w:sz w:val="22"/>
              </w:rPr>
            </w:pPr>
            <w:r>
              <w:rPr>
                <w:rFonts w:cs="Arial"/>
                <w:sz w:val="22"/>
              </w:rPr>
              <w:t>Additionally practitioners:</w:t>
            </w:r>
          </w:p>
          <w:p w:rsidR="003225CC" w:rsidRPr="00AF5164" w:rsidRDefault="004C634B" w:rsidP="006318C5">
            <w:pPr>
              <w:pStyle w:val="ListParagraph"/>
              <w:numPr>
                <w:ilvl w:val="0"/>
                <w:numId w:val="2"/>
              </w:numPr>
              <w:ind w:left="323" w:hanging="323"/>
              <w:rPr>
                <w:rFonts w:cs="Arial"/>
                <w:sz w:val="22"/>
              </w:rPr>
            </w:pPr>
            <w:r>
              <w:rPr>
                <w:rFonts w:cs="Arial"/>
                <w:sz w:val="22"/>
              </w:rPr>
              <w:t>m</w:t>
            </w:r>
            <w:r w:rsidR="003225CC" w:rsidRPr="00AF5164">
              <w:rPr>
                <w:rFonts w:cs="Arial"/>
                <w:sz w:val="22"/>
              </w:rPr>
              <w:t>ust be authorised by name as an approved practitioner under the current terms of this Patient Group Direction before working to it</w:t>
            </w:r>
          </w:p>
          <w:p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ust have</w:t>
            </w:r>
            <w:r w:rsidR="003225CC" w:rsidRPr="00DF40E8">
              <w:rPr>
                <w:rFonts w:ascii="Arial" w:hAnsi="Arial" w:cs="Arial"/>
                <w:sz w:val="22"/>
                <w:szCs w:val="22"/>
              </w:rPr>
              <w:t xml:space="preserve"> undertaken appropriate training for working under PGD</w:t>
            </w:r>
            <w:r w:rsidR="003225CC">
              <w:rPr>
                <w:rFonts w:ascii="Arial" w:hAnsi="Arial" w:cs="Arial"/>
                <w:sz w:val="22"/>
                <w:szCs w:val="22"/>
              </w:rPr>
              <w:t>s</w:t>
            </w:r>
            <w:r w:rsidR="003225CC" w:rsidRPr="00DF40E8">
              <w:rPr>
                <w:rFonts w:ascii="Arial" w:hAnsi="Arial" w:cs="Arial"/>
                <w:sz w:val="22"/>
                <w:szCs w:val="22"/>
              </w:rPr>
              <w:t xml:space="preserve"> for supp</w:t>
            </w:r>
            <w:r w:rsidR="003225CC">
              <w:rPr>
                <w:rFonts w:ascii="Arial" w:hAnsi="Arial" w:cs="Arial"/>
                <w:sz w:val="22"/>
                <w:szCs w:val="22"/>
              </w:rPr>
              <w:t>ly/administration</w:t>
            </w:r>
            <w:r w:rsidR="003225CC" w:rsidRPr="00DF40E8">
              <w:rPr>
                <w:rFonts w:ascii="Arial" w:hAnsi="Arial" w:cs="Arial"/>
                <w:sz w:val="22"/>
                <w:szCs w:val="22"/>
              </w:rPr>
              <w:t xml:space="preserve"> of medicines</w:t>
            </w:r>
          </w:p>
          <w:p w:rsidR="003225CC" w:rsidRPr="00E54F90"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 xml:space="preserve">ust be competent in the use of </w:t>
            </w:r>
            <w:r w:rsidR="003225CC" w:rsidRPr="00E54F90">
              <w:rPr>
                <w:rFonts w:ascii="Arial" w:hAnsi="Arial" w:cs="Arial"/>
                <w:sz w:val="22"/>
                <w:szCs w:val="22"/>
              </w:rPr>
              <w:t>PGDs (</w:t>
            </w:r>
            <w:r w:rsidR="003225CC" w:rsidRPr="001B1419">
              <w:rPr>
                <w:rFonts w:ascii="Arial" w:hAnsi="Arial" w:cs="Arial"/>
                <w:sz w:val="22"/>
                <w:szCs w:val="22"/>
              </w:rPr>
              <w:t xml:space="preserve">see </w:t>
            </w:r>
            <w:hyperlink r:id="rId14" w:history="1">
              <w:r w:rsidR="003225CC" w:rsidRPr="001B1419">
                <w:rPr>
                  <w:rStyle w:val="Hyperlink"/>
                  <w:rFonts w:ascii="Arial" w:hAnsi="Arial" w:cs="Arial"/>
                  <w:sz w:val="22"/>
                  <w:szCs w:val="22"/>
                </w:rPr>
                <w:t>NICE Competency framework</w:t>
              </w:r>
            </w:hyperlink>
            <w:r w:rsidR="003225CC" w:rsidRPr="001B1419">
              <w:rPr>
                <w:rFonts w:ascii="Arial" w:hAnsi="Arial" w:cs="Arial"/>
                <w:sz w:val="22"/>
                <w:szCs w:val="22"/>
              </w:rPr>
              <w:t xml:space="preserve"> for health professionals us</w:t>
            </w:r>
            <w:r w:rsidR="003225CC" w:rsidRPr="00E47B6D">
              <w:rPr>
                <w:rFonts w:ascii="Arial" w:hAnsi="Arial" w:cs="Arial"/>
                <w:sz w:val="22"/>
                <w:szCs w:val="22"/>
              </w:rPr>
              <w:t>ing patient group directions)</w:t>
            </w:r>
          </w:p>
          <w:p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ust be familiar with the vaccine product</w:t>
            </w:r>
            <w:r w:rsidR="003852BB">
              <w:rPr>
                <w:rFonts w:ascii="Arial" w:hAnsi="Arial" w:cs="Arial"/>
                <w:sz w:val="22"/>
                <w:szCs w:val="22"/>
              </w:rPr>
              <w:t>s</w:t>
            </w:r>
            <w:r w:rsidR="003225CC">
              <w:rPr>
                <w:rFonts w:ascii="Arial" w:hAnsi="Arial" w:cs="Arial"/>
                <w:sz w:val="22"/>
                <w:szCs w:val="22"/>
              </w:rPr>
              <w:t xml:space="preserve"> and alert to changes in </w:t>
            </w:r>
            <w:r w:rsidR="00511519">
              <w:rPr>
                <w:rFonts w:ascii="Arial" w:hAnsi="Arial" w:cs="Arial"/>
                <w:sz w:val="22"/>
                <w:szCs w:val="22"/>
              </w:rPr>
              <w:t>the</w:t>
            </w:r>
            <w:r w:rsidR="003852BB">
              <w:rPr>
                <w:rFonts w:ascii="Arial" w:hAnsi="Arial" w:cs="Arial"/>
                <w:sz w:val="22"/>
                <w:szCs w:val="22"/>
              </w:rPr>
              <w:t>ir</w:t>
            </w:r>
            <w:r w:rsidR="00511519">
              <w:rPr>
                <w:rFonts w:ascii="Arial" w:hAnsi="Arial" w:cs="Arial"/>
                <w:sz w:val="22"/>
                <w:szCs w:val="22"/>
              </w:rPr>
              <w:t xml:space="preserve"> S</w:t>
            </w:r>
            <w:r w:rsidR="003225CC">
              <w:rPr>
                <w:rFonts w:ascii="Arial" w:hAnsi="Arial" w:cs="Arial"/>
                <w:sz w:val="22"/>
                <w:szCs w:val="22"/>
              </w:rPr>
              <w:t xml:space="preserve">ummary </w:t>
            </w:r>
            <w:r w:rsidR="000526FD">
              <w:rPr>
                <w:rFonts w:ascii="Arial" w:hAnsi="Arial" w:cs="Arial"/>
                <w:sz w:val="22"/>
                <w:szCs w:val="22"/>
              </w:rPr>
              <w:t xml:space="preserve">of </w:t>
            </w:r>
            <w:r w:rsidR="003225CC">
              <w:rPr>
                <w:rFonts w:ascii="Arial" w:hAnsi="Arial" w:cs="Arial"/>
                <w:sz w:val="22"/>
                <w:szCs w:val="22"/>
              </w:rPr>
              <w:t xml:space="preserve">Product </w:t>
            </w:r>
            <w:r w:rsidR="003225CC" w:rsidRPr="00394588">
              <w:rPr>
                <w:rFonts w:ascii="Arial" w:hAnsi="Arial" w:cs="Arial"/>
                <w:sz w:val="22"/>
                <w:szCs w:val="22"/>
              </w:rPr>
              <w:t xml:space="preserve">Characteristics, Immunisation Against Infectious Disease </w:t>
            </w:r>
            <w:r w:rsidR="003225CC">
              <w:rPr>
                <w:rFonts w:ascii="Arial" w:hAnsi="Arial" w:cs="Arial"/>
                <w:sz w:val="22"/>
                <w:szCs w:val="22"/>
              </w:rPr>
              <w:t>(“</w:t>
            </w:r>
            <w:hyperlink r:id="rId15" w:history="1">
              <w:r w:rsidR="003225CC" w:rsidRPr="009B50EB">
                <w:rPr>
                  <w:rStyle w:val="Hyperlink"/>
                  <w:rFonts w:ascii="Arial" w:hAnsi="Arial" w:cs="Arial"/>
                  <w:sz w:val="22"/>
                  <w:szCs w:val="22"/>
                </w:rPr>
                <w:t>The Green Book</w:t>
              </w:r>
            </w:hyperlink>
            <w:r w:rsidR="003225CC">
              <w:rPr>
                <w:rFonts w:ascii="Arial" w:hAnsi="Arial" w:cs="Arial"/>
                <w:sz w:val="22"/>
                <w:szCs w:val="22"/>
              </w:rPr>
              <w:t>”), and national and local immunisation programmes</w:t>
            </w:r>
          </w:p>
          <w:p w:rsidR="003225CC" w:rsidRPr="00D04B3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ust have</w:t>
            </w:r>
            <w:r w:rsidR="003225CC" w:rsidRPr="00DF40E8">
              <w:rPr>
                <w:rFonts w:ascii="Arial" w:hAnsi="Arial" w:cs="Arial"/>
                <w:sz w:val="22"/>
                <w:szCs w:val="22"/>
              </w:rPr>
              <w:t xml:space="preserve"> undertaken training appropriate to this PGD</w:t>
            </w:r>
            <w:r w:rsidR="003225CC">
              <w:rPr>
                <w:rFonts w:ascii="Arial" w:hAnsi="Arial" w:cs="Arial"/>
                <w:sz w:val="22"/>
                <w:szCs w:val="22"/>
              </w:rPr>
              <w:t xml:space="preserve"> as required by local policy and in line with the </w:t>
            </w:r>
            <w:hyperlink r:id="rId16" w:history="1">
              <w:r w:rsidR="003225CC" w:rsidRPr="004C5E8A">
                <w:rPr>
                  <w:rStyle w:val="Hyperlink"/>
                  <w:rFonts w:ascii="Arial" w:hAnsi="Arial" w:cs="Arial"/>
                  <w:sz w:val="22"/>
                  <w:szCs w:val="22"/>
                </w:rPr>
                <w:t>National Minimum Standards for Immunisation Training (2005)</w:t>
              </w:r>
            </w:hyperlink>
          </w:p>
          <w:p w:rsidR="006318C5" w:rsidRPr="006318C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w:t>
            </w:r>
            <w:r w:rsidR="003225CC" w:rsidRPr="006318C5">
              <w:rPr>
                <w:rFonts w:ascii="Arial" w:eastAsia="Arial" w:hAnsi="Arial" w:cs="Arial"/>
                <w:sz w:val="22"/>
                <w:szCs w:val="22"/>
              </w:rPr>
              <w:t>ust be competent to</w:t>
            </w:r>
            <w:r w:rsidR="003225CC" w:rsidRPr="006318C5">
              <w:rPr>
                <w:rFonts w:ascii="Arial" w:eastAsia="Arial" w:hAnsi="Arial" w:cs="Arial"/>
                <w:spacing w:val="23"/>
                <w:sz w:val="22"/>
                <w:szCs w:val="22"/>
              </w:rPr>
              <w:t xml:space="preserve"> </w:t>
            </w:r>
            <w:r w:rsidR="003225CC" w:rsidRPr="006318C5">
              <w:rPr>
                <w:rFonts w:ascii="Arial" w:eastAsia="Arial" w:hAnsi="Arial" w:cs="Arial"/>
                <w:sz w:val="22"/>
                <w:szCs w:val="22"/>
              </w:rPr>
              <w:t>undertake</w:t>
            </w:r>
            <w:r w:rsidR="003225CC" w:rsidRPr="006318C5">
              <w:rPr>
                <w:rFonts w:ascii="Arial" w:eastAsia="Arial" w:hAnsi="Arial" w:cs="Arial"/>
                <w:spacing w:val="26"/>
                <w:sz w:val="22"/>
                <w:szCs w:val="22"/>
              </w:rPr>
              <w:t xml:space="preserve"> </w:t>
            </w:r>
            <w:r w:rsidR="003225CC" w:rsidRPr="006318C5">
              <w:rPr>
                <w:rFonts w:ascii="Arial" w:eastAsia="Arial" w:hAnsi="Arial" w:cs="Arial"/>
                <w:sz w:val="22"/>
                <w:szCs w:val="22"/>
              </w:rPr>
              <w:t>immunisat</w:t>
            </w:r>
            <w:r w:rsidR="003225CC" w:rsidRPr="006318C5">
              <w:rPr>
                <w:rFonts w:ascii="Arial" w:eastAsia="Arial" w:hAnsi="Arial" w:cs="Arial"/>
                <w:spacing w:val="-10"/>
                <w:sz w:val="22"/>
                <w:szCs w:val="22"/>
              </w:rPr>
              <w:t>i</w:t>
            </w:r>
            <w:r w:rsidR="003225CC" w:rsidRPr="006318C5">
              <w:rPr>
                <w:rFonts w:ascii="Arial" w:eastAsia="Arial" w:hAnsi="Arial" w:cs="Arial"/>
                <w:sz w:val="22"/>
                <w:szCs w:val="22"/>
              </w:rPr>
              <w:t>on</w:t>
            </w:r>
            <w:r w:rsidR="003225CC" w:rsidRPr="006318C5">
              <w:rPr>
                <w:rFonts w:ascii="Arial" w:eastAsia="Arial" w:hAnsi="Arial" w:cs="Arial"/>
                <w:spacing w:val="16"/>
                <w:sz w:val="22"/>
                <w:szCs w:val="22"/>
              </w:rPr>
              <w:t xml:space="preserve"> </w:t>
            </w:r>
            <w:r w:rsidR="003225CC" w:rsidRPr="006318C5">
              <w:rPr>
                <w:rFonts w:ascii="Arial" w:eastAsia="Arial" w:hAnsi="Arial" w:cs="Arial"/>
                <w:sz w:val="22"/>
                <w:szCs w:val="22"/>
              </w:rPr>
              <w:t>and</w:t>
            </w:r>
            <w:r w:rsidR="003225CC" w:rsidRPr="006318C5">
              <w:rPr>
                <w:rFonts w:ascii="Arial" w:eastAsia="Arial" w:hAnsi="Arial" w:cs="Arial"/>
                <w:spacing w:val="10"/>
                <w:sz w:val="22"/>
                <w:szCs w:val="22"/>
              </w:rPr>
              <w:t xml:space="preserve"> to </w:t>
            </w:r>
            <w:r w:rsidR="003225CC" w:rsidRPr="006318C5">
              <w:rPr>
                <w:rFonts w:ascii="Arial" w:eastAsia="Arial" w:hAnsi="Arial" w:cs="Arial"/>
                <w:sz w:val="22"/>
                <w:szCs w:val="22"/>
              </w:rPr>
              <w:t>discuss</w:t>
            </w:r>
            <w:r w:rsidR="003225CC" w:rsidRPr="006318C5">
              <w:rPr>
                <w:rFonts w:ascii="Arial" w:eastAsia="Arial" w:hAnsi="Arial" w:cs="Arial"/>
                <w:spacing w:val="24"/>
                <w:sz w:val="22"/>
                <w:szCs w:val="22"/>
              </w:rPr>
              <w:t xml:space="preserve"> </w:t>
            </w:r>
            <w:r w:rsidR="003225CC" w:rsidRPr="006318C5">
              <w:rPr>
                <w:rFonts w:ascii="Arial" w:eastAsia="Arial" w:hAnsi="Arial" w:cs="Arial"/>
                <w:sz w:val="22"/>
                <w:szCs w:val="22"/>
              </w:rPr>
              <w:t>issues</w:t>
            </w:r>
            <w:r w:rsidR="003225CC" w:rsidRPr="006318C5">
              <w:rPr>
                <w:rFonts w:ascii="Arial" w:eastAsia="Arial" w:hAnsi="Arial" w:cs="Arial"/>
                <w:spacing w:val="16"/>
                <w:sz w:val="22"/>
                <w:szCs w:val="22"/>
              </w:rPr>
              <w:t xml:space="preserve"> </w:t>
            </w:r>
            <w:r w:rsidR="003225CC" w:rsidRPr="006318C5">
              <w:rPr>
                <w:rFonts w:ascii="Arial" w:eastAsia="Arial" w:hAnsi="Arial" w:cs="Arial"/>
                <w:sz w:val="22"/>
                <w:szCs w:val="22"/>
              </w:rPr>
              <w:t>related</w:t>
            </w:r>
            <w:r w:rsidR="003225CC" w:rsidRPr="006318C5">
              <w:rPr>
                <w:rFonts w:ascii="Arial" w:eastAsia="Arial" w:hAnsi="Arial" w:cs="Arial"/>
                <w:spacing w:val="-2"/>
                <w:sz w:val="22"/>
                <w:szCs w:val="22"/>
              </w:rPr>
              <w:t xml:space="preserve"> </w:t>
            </w:r>
            <w:r w:rsidR="003225CC" w:rsidRPr="006318C5">
              <w:rPr>
                <w:rFonts w:ascii="Arial" w:eastAsia="Arial" w:hAnsi="Arial" w:cs="Arial"/>
                <w:sz w:val="22"/>
                <w:szCs w:val="22"/>
              </w:rPr>
              <w:t>to</w:t>
            </w:r>
            <w:r w:rsidR="003225CC" w:rsidRPr="006318C5">
              <w:rPr>
                <w:rFonts w:ascii="Arial" w:eastAsia="Arial" w:hAnsi="Arial" w:cs="Arial"/>
                <w:w w:val="99"/>
                <w:sz w:val="22"/>
                <w:szCs w:val="22"/>
              </w:rPr>
              <w:t xml:space="preserve"> </w:t>
            </w:r>
            <w:r w:rsidR="003225CC" w:rsidRPr="006318C5">
              <w:rPr>
                <w:rFonts w:ascii="Arial" w:eastAsia="Arial" w:hAnsi="Arial" w:cs="Arial"/>
                <w:sz w:val="22"/>
                <w:szCs w:val="22"/>
              </w:rPr>
              <w:t>immunisation</w:t>
            </w:r>
          </w:p>
          <w:p w:rsidR="003225CC" w:rsidRPr="006318C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w:t>
            </w:r>
            <w:r w:rsidR="003225CC" w:rsidRPr="006318C5">
              <w:rPr>
                <w:rFonts w:ascii="Arial" w:eastAsia="Arial" w:hAnsi="Arial" w:cs="Arial"/>
                <w:sz w:val="22"/>
                <w:szCs w:val="22"/>
              </w:rPr>
              <w:t xml:space="preserve">ust be competent in the handling and storage of vaccines, and </w:t>
            </w:r>
            <w:r w:rsidR="003225CC" w:rsidRPr="006318C5">
              <w:rPr>
                <w:rFonts w:ascii="Arial" w:hAnsi="Arial" w:cs="Arial"/>
                <w:sz w:val="22"/>
                <w:szCs w:val="22"/>
              </w:rPr>
              <w:t>management of the “cold chain”</w:t>
            </w:r>
          </w:p>
          <w:p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m</w:t>
            </w:r>
            <w:r w:rsidR="003225CC" w:rsidRPr="006318C5">
              <w:rPr>
                <w:rFonts w:ascii="Arial" w:hAnsi="Arial" w:cs="Arial"/>
                <w:sz w:val="22"/>
                <w:szCs w:val="22"/>
              </w:rPr>
              <w:t>ust be competent in the recognition and management of anaphylaxis</w:t>
            </w:r>
          </w:p>
          <w:p w:rsidR="003225CC" w:rsidRPr="00B7770B" w:rsidRDefault="006318C5"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4C634B" w:rsidRPr="006318C5">
              <w:rPr>
                <w:rFonts w:ascii="Arial" w:hAnsi="Arial" w:cs="Arial"/>
                <w:sz w:val="22"/>
                <w:szCs w:val="22"/>
              </w:rPr>
              <w:t>ust h</w:t>
            </w:r>
            <w:r w:rsidR="003225CC" w:rsidRPr="006318C5">
              <w:rPr>
                <w:rFonts w:ascii="Arial" w:hAnsi="Arial" w:cs="Arial"/>
                <w:sz w:val="22"/>
                <w:szCs w:val="22"/>
              </w:rPr>
              <w:t>ave access to the Patient Group Direction and associated online resources</w:t>
            </w:r>
          </w:p>
          <w:p w:rsidR="003225CC" w:rsidRPr="002D2A1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s</w:t>
            </w:r>
            <w:r w:rsidR="003225CC" w:rsidRPr="006318C5">
              <w:rPr>
                <w:rFonts w:ascii="Arial" w:hAnsi="Arial" w:cs="Arial"/>
                <w:sz w:val="22"/>
                <w:szCs w:val="22"/>
              </w:rPr>
              <w:t>hould fulfil any additional requirements defined by local policy</w:t>
            </w:r>
          </w:p>
          <w:p w:rsidR="003225CC" w:rsidRPr="007914FD" w:rsidRDefault="003225CC" w:rsidP="006433BC">
            <w:pPr>
              <w:spacing w:after="120"/>
              <w:rPr>
                <w:rFonts w:cs="Arial"/>
                <w:b/>
                <w:bCs/>
                <w:sz w:val="22"/>
                <w:szCs w:val="22"/>
              </w:rPr>
            </w:pPr>
            <w:r w:rsidRPr="00D87FC8">
              <w:rPr>
                <w:rFonts w:cs="Arial"/>
                <w:b/>
                <w:bCs/>
                <w:sz w:val="22"/>
                <w:szCs w:val="22"/>
              </w:rPr>
              <w:t>THE PRACTITIONER MUST BE AUTHORISED BY NAME, UNDER THE CURRENT VERSION OF THIS PGD BEFORE WORKING ACCORDING TO IT.</w:t>
            </w:r>
          </w:p>
        </w:tc>
      </w:tr>
      <w:tr w:rsidR="003225CC" w:rsidRPr="00CB5D91" w:rsidTr="003225CC">
        <w:tc>
          <w:tcPr>
            <w:tcW w:w="2970" w:type="dxa"/>
          </w:tcPr>
          <w:p w:rsidR="003225CC" w:rsidRPr="00DF40E8" w:rsidRDefault="003225CC" w:rsidP="003225CC">
            <w:pPr>
              <w:spacing w:before="120" w:after="120"/>
              <w:rPr>
                <w:rFonts w:cs="Arial"/>
                <w:b/>
                <w:sz w:val="22"/>
                <w:szCs w:val="22"/>
              </w:rPr>
            </w:pPr>
            <w:r w:rsidRPr="00DF40E8">
              <w:rPr>
                <w:rFonts w:cs="Arial"/>
                <w:b/>
                <w:sz w:val="22"/>
                <w:szCs w:val="22"/>
              </w:rPr>
              <w:t>Continued training requirements</w:t>
            </w:r>
          </w:p>
        </w:tc>
        <w:tc>
          <w:tcPr>
            <w:tcW w:w="6953" w:type="dxa"/>
          </w:tcPr>
          <w:p w:rsidR="003225CC" w:rsidRDefault="003225CC" w:rsidP="004C634B">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r w:rsidR="00190006">
              <w:rPr>
                <w:rFonts w:cs="Arial"/>
                <w:color w:val="000000"/>
                <w:sz w:val="22"/>
                <w:szCs w:val="22"/>
              </w:rPr>
              <w:t>.</w:t>
            </w:r>
          </w:p>
          <w:p w:rsidR="003225CC" w:rsidRDefault="003225CC" w:rsidP="004C634B">
            <w:pPr>
              <w:spacing w:before="120" w:after="120"/>
              <w:contextualSpacing/>
              <w:rPr>
                <w:rFonts w:cs="Arial"/>
                <w:sz w:val="22"/>
                <w:szCs w:val="22"/>
              </w:rPr>
            </w:pPr>
            <w:r>
              <w:rPr>
                <w:rFonts w:cs="Arial"/>
                <w:sz w:val="22"/>
              </w:rPr>
              <w:t>Practitioners</w:t>
            </w:r>
            <w:r w:rsidRPr="004E3683">
              <w:rPr>
                <w:rFonts w:cs="Arial"/>
                <w:sz w:val="22"/>
              </w:rPr>
              <w:t xml:space="preserve"> should be constantly alert to any subsequent recommendations from </w:t>
            </w:r>
            <w:r>
              <w:rPr>
                <w:rFonts w:cs="Arial"/>
                <w:sz w:val="22"/>
              </w:rPr>
              <w:t>Public Health England and/or NHS England</w:t>
            </w:r>
            <w:r w:rsidRPr="004E3683">
              <w:rPr>
                <w:rFonts w:cs="Arial"/>
                <w:sz w:val="22"/>
              </w:rPr>
              <w:t xml:space="preserve"> and other sources of medicines information</w:t>
            </w:r>
            <w:r>
              <w:rPr>
                <w:rFonts w:cs="Arial"/>
                <w:sz w:val="22"/>
              </w:rPr>
              <w:t xml:space="preserve">. </w:t>
            </w:r>
          </w:p>
          <w:p w:rsidR="003225CC" w:rsidRPr="002059FF" w:rsidRDefault="003225CC" w:rsidP="004C634B">
            <w:pPr>
              <w:spacing w:before="120" w:after="120"/>
              <w:rPr>
                <w:rFonts w:cs="Arial"/>
                <w:sz w:val="22"/>
                <w:szCs w:val="22"/>
              </w:rPr>
            </w:pPr>
            <w:r w:rsidRPr="002059FF">
              <w:rPr>
                <w:rFonts w:cs="Arial"/>
                <w:sz w:val="22"/>
              </w:rPr>
              <w:t xml:space="preserve">Note: </w:t>
            </w:r>
            <w:r w:rsidRPr="002059FF">
              <w:rPr>
                <w:rFonts w:cs="Arial"/>
                <w:sz w:val="22"/>
                <w:szCs w:val="22"/>
              </w:rPr>
              <w:t>The most current national recommendations should be followed 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rsidR="00493537" w:rsidRDefault="00493537" w:rsidP="004C634B">
      <w:pPr>
        <w:rPr>
          <w:rFonts w:cs="Arial"/>
          <w:b/>
          <w:sz w:val="2"/>
          <w:szCs w:val="2"/>
        </w:rPr>
      </w:pPr>
      <w:r>
        <w:rPr>
          <w:rFonts w:cs="Arial"/>
          <w:b/>
          <w:sz w:val="2"/>
          <w:szCs w:val="2"/>
        </w:rPr>
        <w:t xml:space="preserve"> </w:t>
      </w:r>
    </w:p>
    <w:p w:rsidR="00493537" w:rsidRDefault="00493537">
      <w:pPr>
        <w:overflowPunct/>
        <w:autoSpaceDE/>
        <w:autoSpaceDN/>
        <w:adjustRightInd/>
        <w:jc w:val="center"/>
        <w:textAlignment w:val="auto"/>
        <w:rPr>
          <w:rFonts w:cs="Arial"/>
          <w:b/>
          <w:sz w:val="2"/>
          <w:szCs w:val="2"/>
        </w:rPr>
      </w:pPr>
      <w:r>
        <w:rPr>
          <w:rFonts w:cs="Arial"/>
          <w:b/>
          <w:sz w:val="2"/>
          <w:szCs w:val="2"/>
        </w:rPr>
        <w:br w:type="page"/>
      </w:r>
    </w:p>
    <w:p w:rsidR="00B37C58" w:rsidRPr="000E478E" w:rsidRDefault="00B37C58" w:rsidP="000E478E">
      <w:pPr>
        <w:pStyle w:val="ListParagraph"/>
        <w:numPr>
          <w:ilvl w:val="0"/>
          <w:numId w:val="5"/>
        </w:numPr>
        <w:rPr>
          <w:b/>
          <w:szCs w:val="24"/>
        </w:rPr>
      </w:pPr>
      <w:r w:rsidRPr="000E478E">
        <w:rPr>
          <w:b/>
          <w:szCs w:val="24"/>
        </w:rPr>
        <w:lastRenderedPageBreak/>
        <w:t xml:space="preserve">Clinical condition or </w:t>
      </w:r>
      <w:r w:rsidR="00032A94" w:rsidRPr="000E478E">
        <w:rPr>
          <w:b/>
          <w:szCs w:val="24"/>
        </w:rPr>
        <w:t>situation to which this PGD</w:t>
      </w:r>
      <w:r w:rsidR="00A41CC7" w:rsidRPr="000E478E">
        <w:rPr>
          <w:b/>
          <w:szCs w:val="24"/>
        </w:rPr>
        <w:t xml:space="preserve"> applies</w:t>
      </w:r>
    </w:p>
    <w:p w:rsidR="0008353A" w:rsidRPr="0008353A" w:rsidRDefault="0008353A" w:rsidP="00A41CC7">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A956FD" w:rsidRPr="00A956FD" w:rsidTr="00E47B6D">
        <w:tc>
          <w:tcPr>
            <w:tcW w:w="2977" w:type="dxa"/>
          </w:tcPr>
          <w:p w:rsidR="00B37C58" w:rsidRPr="00A956FD" w:rsidRDefault="00032A94" w:rsidP="003225CC">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PGD applies</w:t>
            </w:r>
          </w:p>
        </w:tc>
        <w:tc>
          <w:tcPr>
            <w:tcW w:w="6946" w:type="dxa"/>
          </w:tcPr>
          <w:p w:rsidR="00B37C58" w:rsidRPr="00D1582D" w:rsidRDefault="00F32600" w:rsidP="0071178B">
            <w:pPr>
              <w:spacing w:before="120" w:after="120"/>
              <w:rPr>
                <w:rFonts w:cs="Arial"/>
                <w:color w:val="FF0000"/>
                <w:sz w:val="22"/>
                <w:szCs w:val="22"/>
              </w:rPr>
            </w:pPr>
            <w:r w:rsidRPr="00F52244">
              <w:rPr>
                <w:rFonts w:cs="Arial"/>
                <w:sz w:val="22"/>
                <w:szCs w:val="22"/>
              </w:rPr>
              <w:t>I</w:t>
            </w:r>
            <w:r w:rsidR="002A15A4" w:rsidRPr="00F52244">
              <w:rPr>
                <w:rFonts w:cs="Arial"/>
                <w:sz w:val="22"/>
                <w:szCs w:val="22"/>
              </w:rPr>
              <w:t xml:space="preserve">ndicated for the active immunisation of </w:t>
            </w:r>
            <w:r w:rsidR="006C69EC" w:rsidRPr="00F52244">
              <w:rPr>
                <w:rFonts w:cs="Arial"/>
                <w:sz w:val="22"/>
                <w:szCs w:val="22"/>
              </w:rPr>
              <w:t>individuals</w:t>
            </w:r>
            <w:r w:rsidR="002A15A4" w:rsidRPr="00F52244">
              <w:rPr>
                <w:rFonts w:cs="Arial"/>
                <w:sz w:val="22"/>
                <w:szCs w:val="22"/>
              </w:rPr>
              <w:t xml:space="preserve"> </w:t>
            </w:r>
            <w:r w:rsidR="00613D62" w:rsidRPr="00F52244">
              <w:rPr>
                <w:rFonts w:cs="Arial"/>
                <w:sz w:val="22"/>
                <w:szCs w:val="22"/>
              </w:rPr>
              <w:t xml:space="preserve">from </w:t>
            </w:r>
            <w:r w:rsidR="00C93D18">
              <w:rPr>
                <w:rFonts w:cs="Arial"/>
                <w:sz w:val="22"/>
                <w:szCs w:val="22"/>
              </w:rPr>
              <w:t>8 weeks</w:t>
            </w:r>
            <w:r w:rsidR="00F52244" w:rsidRPr="00F52244">
              <w:rPr>
                <w:rFonts w:cs="Arial"/>
                <w:sz w:val="22"/>
                <w:szCs w:val="22"/>
              </w:rPr>
              <w:t xml:space="preserve"> to </w:t>
            </w:r>
            <w:r w:rsidR="00437D7D">
              <w:rPr>
                <w:rFonts w:cs="Arial"/>
                <w:sz w:val="22"/>
                <w:szCs w:val="22"/>
              </w:rPr>
              <w:t xml:space="preserve">under </w:t>
            </w:r>
            <w:r w:rsidR="00F52244" w:rsidRPr="00F52244">
              <w:rPr>
                <w:rFonts w:cs="Arial"/>
                <w:sz w:val="22"/>
                <w:szCs w:val="22"/>
              </w:rPr>
              <w:t>10 years</w:t>
            </w:r>
            <w:r w:rsidR="00204910" w:rsidRPr="00F52244">
              <w:rPr>
                <w:rFonts w:cs="Arial"/>
                <w:sz w:val="22"/>
                <w:szCs w:val="22"/>
              </w:rPr>
              <w:t xml:space="preserve"> of age </w:t>
            </w:r>
            <w:r w:rsidR="002A15A4" w:rsidRPr="00F52244">
              <w:rPr>
                <w:rFonts w:cs="Arial"/>
                <w:sz w:val="22"/>
                <w:szCs w:val="22"/>
              </w:rPr>
              <w:t xml:space="preserve">for the prevention of </w:t>
            </w:r>
            <w:r w:rsidRPr="00F52244">
              <w:rPr>
                <w:rFonts w:cs="Arial"/>
                <w:sz w:val="22"/>
                <w:szCs w:val="22"/>
              </w:rPr>
              <w:t>diphtheria, tetanus</w:t>
            </w:r>
            <w:r w:rsidR="0041133C">
              <w:rPr>
                <w:rFonts w:cs="Arial"/>
                <w:sz w:val="22"/>
                <w:szCs w:val="22"/>
              </w:rPr>
              <w:t>, pertussis</w:t>
            </w:r>
            <w:r w:rsidR="00C93D18">
              <w:rPr>
                <w:rFonts w:cs="Arial"/>
                <w:sz w:val="22"/>
                <w:szCs w:val="22"/>
              </w:rPr>
              <w:t>,</w:t>
            </w:r>
            <w:r w:rsidRPr="00F52244">
              <w:rPr>
                <w:rFonts w:cs="Arial"/>
                <w:sz w:val="22"/>
                <w:szCs w:val="22"/>
              </w:rPr>
              <w:t xml:space="preserve"> </w:t>
            </w:r>
            <w:r w:rsidRPr="00C93D18">
              <w:rPr>
                <w:rFonts w:cs="Arial"/>
                <w:sz w:val="22"/>
                <w:szCs w:val="22"/>
              </w:rPr>
              <w:t>poliomyelitis</w:t>
            </w:r>
            <w:r w:rsidR="002A15A4" w:rsidRPr="00C93D18">
              <w:rPr>
                <w:rFonts w:cs="Arial"/>
                <w:sz w:val="22"/>
                <w:szCs w:val="22"/>
              </w:rPr>
              <w:t>,</w:t>
            </w:r>
            <w:r w:rsidR="00C93D18" w:rsidRPr="00C93D18">
              <w:rPr>
                <w:rFonts w:cs="Arial"/>
                <w:sz w:val="22"/>
                <w:szCs w:val="22"/>
              </w:rPr>
              <w:t xml:space="preserve"> and </w:t>
            </w:r>
            <w:r w:rsidR="00C93D18" w:rsidRPr="00C93D18">
              <w:rPr>
                <w:rFonts w:cs="Arial"/>
                <w:i/>
                <w:sz w:val="22"/>
                <w:szCs w:val="22"/>
              </w:rPr>
              <w:t>Haemophilus influenzae</w:t>
            </w:r>
            <w:r w:rsidR="00C93D18" w:rsidRPr="00C93D18">
              <w:rPr>
                <w:rFonts w:cs="Arial"/>
                <w:sz w:val="22"/>
                <w:szCs w:val="22"/>
              </w:rPr>
              <w:t xml:space="preserve"> type b</w:t>
            </w:r>
            <w:r w:rsidR="002A15A4" w:rsidRPr="00C93D18">
              <w:rPr>
                <w:rFonts w:cs="Arial"/>
                <w:sz w:val="22"/>
                <w:szCs w:val="22"/>
              </w:rPr>
              <w:t xml:space="preserve"> </w:t>
            </w:r>
            <w:r w:rsidR="0032489D" w:rsidRPr="00C93D18">
              <w:rPr>
                <w:rFonts w:cs="Arial"/>
                <w:sz w:val="22"/>
                <w:szCs w:val="22"/>
              </w:rPr>
              <w:t>in</w:t>
            </w:r>
            <w:r w:rsidR="0032489D" w:rsidRPr="00F52244">
              <w:rPr>
                <w:rFonts w:cs="Arial"/>
                <w:sz w:val="22"/>
                <w:szCs w:val="22"/>
              </w:rPr>
              <w:t xml:space="preserve"> accordance with the national immunisation programme and </w:t>
            </w:r>
            <w:r w:rsidR="000327CB" w:rsidRPr="00F52244">
              <w:rPr>
                <w:rFonts w:cs="Arial"/>
                <w:sz w:val="22"/>
                <w:szCs w:val="22"/>
              </w:rPr>
              <w:t xml:space="preserve">recommendations given in </w:t>
            </w:r>
            <w:hyperlink r:id="rId17" w:history="1">
              <w:r w:rsidR="009B6F85">
                <w:rPr>
                  <w:rStyle w:val="Hyperlink"/>
                  <w:rFonts w:cs="Arial"/>
                  <w:sz w:val="22"/>
                  <w:szCs w:val="22"/>
                </w:rPr>
                <w:t>C</w:t>
              </w:r>
              <w:r w:rsidR="00D93EF9" w:rsidRPr="009B6F85">
                <w:rPr>
                  <w:rStyle w:val="Hyperlink"/>
                  <w:rFonts w:cs="Arial"/>
                  <w:sz w:val="22"/>
                  <w:szCs w:val="22"/>
                </w:rPr>
                <w:t>hapter 15</w:t>
              </w:r>
            </w:hyperlink>
            <w:r w:rsidR="00D93EF9" w:rsidRPr="00F52244">
              <w:rPr>
                <w:rFonts w:cs="Arial"/>
                <w:sz w:val="22"/>
                <w:szCs w:val="22"/>
              </w:rPr>
              <w:t xml:space="preserve">, </w:t>
            </w:r>
            <w:hyperlink r:id="rId18" w:history="1">
              <w:r w:rsidR="009B6F85">
                <w:rPr>
                  <w:rStyle w:val="Hyperlink"/>
                  <w:rFonts w:cs="Arial"/>
                  <w:sz w:val="22"/>
                  <w:szCs w:val="22"/>
                </w:rPr>
                <w:t>C</w:t>
              </w:r>
              <w:r w:rsidR="0071178B" w:rsidRPr="000B499D">
                <w:rPr>
                  <w:rStyle w:val="Hyperlink"/>
                  <w:rFonts w:cs="Arial"/>
                  <w:sz w:val="22"/>
                  <w:szCs w:val="22"/>
                </w:rPr>
                <w:t>hapter 16</w:t>
              </w:r>
            </w:hyperlink>
            <w:r w:rsidR="0071178B">
              <w:rPr>
                <w:rFonts w:cs="Arial"/>
                <w:sz w:val="22"/>
                <w:szCs w:val="22"/>
              </w:rPr>
              <w:t xml:space="preserve">, </w:t>
            </w:r>
            <w:hyperlink r:id="rId19" w:history="1">
              <w:r w:rsidR="009B6F85">
                <w:rPr>
                  <w:rStyle w:val="Hyperlink"/>
                  <w:rFonts w:cs="Arial"/>
                  <w:sz w:val="22"/>
                  <w:szCs w:val="22"/>
                </w:rPr>
                <w:t>C</w:t>
              </w:r>
              <w:r w:rsidR="00A60816" w:rsidRPr="009B6F85">
                <w:rPr>
                  <w:rStyle w:val="Hyperlink"/>
                  <w:rFonts w:cs="Arial"/>
                  <w:sz w:val="22"/>
                  <w:szCs w:val="22"/>
                </w:rPr>
                <w:t>hapter 24</w:t>
              </w:r>
            </w:hyperlink>
            <w:r w:rsidR="00A60816" w:rsidRPr="00F52244">
              <w:rPr>
                <w:rFonts w:cs="Arial"/>
                <w:sz w:val="22"/>
                <w:szCs w:val="22"/>
              </w:rPr>
              <w:t xml:space="preserve">, </w:t>
            </w:r>
            <w:hyperlink r:id="rId20" w:history="1">
              <w:r w:rsidR="009B6F85">
                <w:rPr>
                  <w:rStyle w:val="Hyperlink"/>
                  <w:rFonts w:cs="Arial"/>
                  <w:sz w:val="22"/>
                  <w:szCs w:val="22"/>
                </w:rPr>
                <w:t>C</w:t>
              </w:r>
              <w:r w:rsidR="00D93EF9" w:rsidRPr="009B6F85">
                <w:rPr>
                  <w:rStyle w:val="Hyperlink"/>
                  <w:rFonts w:cs="Arial"/>
                  <w:sz w:val="22"/>
                  <w:szCs w:val="22"/>
                </w:rPr>
                <w:t>hapter 26</w:t>
              </w:r>
            </w:hyperlink>
            <w:r w:rsidR="0071178B">
              <w:rPr>
                <w:rFonts w:cs="Arial"/>
                <w:sz w:val="22"/>
                <w:szCs w:val="22"/>
              </w:rPr>
              <w:t xml:space="preserve"> and</w:t>
            </w:r>
            <w:r w:rsidR="00D93EF9" w:rsidRPr="00F52244">
              <w:rPr>
                <w:rFonts w:cs="Arial"/>
                <w:sz w:val="22"/>
                <w:szCs w:val="22"/>
              </w:rPr>
              <w:t xml:space="preserve"> </w:t>
            </w:r>
            <w:hyperlink r:id="rId21" w:history="1">
              <w:r w:rsidR="009B6F85">
                <w:rPr>
                  <w:rStyle w:val="Hyperlink"/>
                  <w:rFonts w:cs="Arial"/>
                  <w:sz w:val="22"/>
                  <w:szCs w:val="22"/>
                </w:rPr>
                <w:t>C</w:t>
              </w:r>
              <w:r w:rsidR="00D93EF9" w:rsidRPr="009B6F85">
                <w:rPr>
                  <w:rStyle w:val="Hyperlink"/>
                  <w:rFonts w:cs="Arial"/>
                  <w:sz w:val="22"/>
                  <w:szCs w:val="22"/>
                </w:rPr>
                <w:t>hapter 30</w:t>
              </w:r>
            </w:hyperlink>
            <w:r w:rsidR="00D93EF9" w:rsidRPr="00F52244">
              <w:rPr>
                <w:rFonts w:cs="Arial"/>
                <w:sz w:val="22"/>
                <w:szCs w:val="22"/>
              </w:rPr>
              <w:t xml:space="preserve"> of </w:t>
            </w:r>
            <w:r w:rsidR="002A15A4" w:rsidRPr="00F52244">
              <w:rPr>
                <w:rFonts w:cs="Arial"/>
                <w:sz w:val="22"/>
                <w:szCs w:val="22"/>
              </w:rPr>
              <w:t>Immunisation Against Inf</w:t>
            </w:r>
            <w:r w:rsidR="000327CB" w:rsidRPr="00F52244">
              <w:rPr>
                <w:rFonts w:cs="Arial"/>
                <w:sz w:val="22"/>
                <w:szCs w:val="22"/>
              </w:rPr>
              <w:t>ec</w:t>
            </w:r>
            <w:r w:rsidRPr="00F52244">
              <w:rPr>
                <w:rFonts w:cs="Arial"/>
                <w:sz w:val="22"/>
                <w:szCs w:val="22"/>
              </w:rPr>
              <w:t>tious Disease: “The Green Book”.</w:t>
            </w:r>
            <w:r w:rsidR="002A15A4" w:rsidRPr="00F52244">
              <w:rPr>
                <w:rFonts w:cs="Arial"/>
                <w:sz w:val="22"/>
                <w:szCs w:val="22"/>
              </w:rPr>
              <w:t xml:space="preserve"> </w:t>
            </w:r>
          </w:p>
        </w:tc>
      </w:tr>
      <w:tr w:rsidR="00A956FD" w:rsidRPr="00A956FD" w:rsidTr="00D7770B">
        <w:tc>
          <w:tcPr>
            <w:tcW w:w="2977" w:type="dxa"/>
            <w:tcBorders>
              <w:bottom w:val="single" w:sz="6" w:space="0" w:color="auto"/>
            </w:tcBorders>
          </w:tcPr>
          <w:p w:rsidR="006D2947" w:rsidRPr="0010300D" w:rsidRDefault="006D2947" w:rsidP="00B4381D">
            <w:pPr>
              <w:spacing w:before="120" w:after="120"/>
              <w:rPr>
                <w:rFonts w:cs="Arial"/>
                <w:b/>
                <w:sz w:val="22"/>
                <w:szCs w:val="22"/>
              </w:rPr>
            </w:pPr>
            <w:r w:rsidRPr="0010300D">
              <w:rPr>
                <w:rFonts w:cs="Arial"/>
                <w:b/>
                <w:sz w:val="22"/>
                <w:szCs w:val="22"/>
              </w:rPr>
              <w:t>Criteria for inclusion</w:t>
            </w:r>
          </w:p>
        </w:tc>
        <w:tc>
          <w:tcPr>
            <w:tcW w:w="6946" w:type="dxa"/>
            <w:tcBorders>
              <w:bottom w:val="single" w:sz="6" w:space="0" w:color="auto"/>
            </w:tcBorders>
          </w:tcPr>
          <w:p w:rsidR="005415F0" w:rsidRPr="00465505" w:rsidRDefault="00BE1007" w:rsidP="00666E65">
            <w:pPr>
              <w:overflowPunct/>
              <w:spacing w:before="120"/>
              <w:textAlignment w:val="auto"/>
              <w:rPr>
                <w:rFonts w:cs="Arial"/>
                <w:sz w:val="22"/>
                <w:szCs w:val="22"/>
              </w:rPr>
            </w:pPr>
            <w:r w:rsidRPr="00F52244">
              <w:rPr>
                <w:rFonts w:cs="Arial"/>
                <w:sz w:val="22"/>
                <w:szCs w:val="22"/>
              </w:rPr>
              <w:t xml:space="preserve">Individuals </w:t>
            </w:r>
            <w:r w:rsidR="0041133C">
              <w:rPr>
                <w:rFonts w:cs="Arial"/>
                <w:sz w:val="22"/>
                <w:szCs w:val="22"/>
              </w:rPr>
              <w:t>from</w:t>
            </w:r>
            <w:r w:rsidRPr="00F52244">
              <w:rPr>
                <w:rFonts w:cs="Arial"/>
                <w:sz w:val="22"/>
                <w:szCs w:val="22"/>
              </w:rPr>
              <w:t xml:space="preserve"> </w:t>
            </w:r>
            <w:r w:rsidR="000B499D">
              <w:rPr>
                <w:rFonts w:cs="Arial"/>
                <w:sz w:val="22"/>
                <w:szCs w:val="22"/>
              </w:rPr>
              <w:t>8 weeks</w:t>
            </w:r>
            <w:r w:rsidR="005415F0" w:rsidRPr="00F52244">
              <w:rPr>
                <w:rFonts w:cs="Arial"/>
                <w:sz w:val="22"/>
                <w:szCs w:val="22"/>
              </w:rPr>
              <w:t xml:space="preserve"> </w:t>
            </w:r>
            <w:r w:rsidR="0041133C">
              <w:rPr>
                <w:rFonts w:cs="Arial"/>
                <w:sz w:val="22"/>
                <w:szCs w:val="22"/>
              </w:rPr>
              <w:t>to</w:t>
            </w:r>
            <w:r w:rsidRPr="00F52244">
              <w:rPr>
                <w:rFonts w:cs="Arial"/>
                <w:sz w:val="22"/>
                <w:szCs w:val="22"/>
              </w:rPr>
              <w:t xml:space="preserve"> </w:t>
            </w:r>
            <w:r w:rsidR="00437D7D">
              <w:rPr>
                <w:rFonts w:cs="Arial"/>
                <w:sz w:val="22"/>
                <w:szCs w:val="22"/>
              </w:rPr>
              <w:t xml:space="preserve">under </w:t>
            </w:r>
            <w:r w:rsidRPr="00F52244">
              <w:rPr>
                <w:rFonts w:cs="Arial"/>
                <w:sz w:val="22"/>
                <w:szCs w:val="22"/>
              </w:rPr>
              <w:t xml:space="preserve">10 </w:t>
            </w:r>
            <w:r w:rsidRPr="00465505">
              <w:rPr>
                <w:rFonts w:cs="Arial"/>
                <w:sz w:val="22"/>
                <w:szCs w:val="22"/>
              </w:rPr>
              <w:t>years of age</w:t>
            </w:r>
            <w:r w:rsidR="005415F0" w:rsidRPr="00465505">
              <w:rPr>
                <w:rFonts w:cs="Arial"/>
                <w:sz w:val="22"/>
                <w:szCs w:val="22"/>
              </w:rPr>
              <w:t xml:space="preserve"> who:</w:t>
            </w:r>
          </w:p>
          <w:p w:rsidR="000B499D" w:rsidRPr="004157ED" w:rsidRDefault="005415F0" w:rsidP="000B499D">
            <w:pPr>
              <w:pStyle w:val="ListParagraph"/>
              <w:numPr>
                <w:ilvl w:val="0"/>
                <w:numId w:val="24"/>
              </w:numPr>
              <w:overflowPunct/>
              <w:spacing w:after="64"/>
              <w:ind w:left="317" w:hanging="283"/>
              <w:textAlignment w:val="auto"/>
              <w:rPr>
                <w:rFonts w:eastAsiaTheme="minorHAnsi" w:cs="Arial"/>
                <w:sz w:val="22"/>
                <w:szCs w:val="22"/>
                <w:lang w:eastAsia="en-US"/>
              </w:rPr>
            </w:pPr>
            <w:r w:rsidRPr="00465505">
              <w:rPr>
                <w:rFonts w:eastAsiaTheme="minorHAnsi" w:cs="Arial"/>
                <w:sz w:val="22"/>
                <w:szCs w:val="22"/>
                <w:lang w:eastAsia="en-US"/>
              </w:rPr>
              <w:t>require a primary course of immunisation against diphtheria, tetanus</w:t>
            </w:r>
            <w:r w:rsidR="000B499D" w:rsidRPr="00465505">
              <w:rPr>
                <w:rFonts w:eastAsiaTheme="minorHAnsi" w:cs="Arial"/>
                <w:sz w:val="22"/>
                <w:szCs w:val="22"/>
                <w:lang w:eastAsia="en-US"/>
              </w:rPr>
              <w:t>, pertussis,</w:t>
            </w:r>
            <w:r w:rsidRPr="00465505">
              <w:rPr>
                <w:rFonts w:eastAsiaTheme="minorHAnsi" w:cs="Arial"/>
                <w:sz w:val="22"/>
                <w:szCs w:val="22"/>
                <w:lang w:eastAsia="en-US"/>
              </w:rPr>
              <w:t xml:space="preserve"> poliomyelitis </w:t>
            </w:r>
            <w:r w:rsidR="000B499D" w:rsidRPr="00465505">
              <w:rPr>
                <w:rFonts w:eastAsiaTheme="minorHAnsi" w:cs="Arial"/>
                <w:sz w:val="22"/>
                <w:szCs w:val="22"/>
                <w:lang w:eastAsia="en-US"/>
              </w:rPr>
              <w:t xml:space="preserve">and </w:t>
            </w:r>
            <w:r w:rsidR="000B499D" w:rsidRPr="00465505">
              <w:rPr>
                <w:rFonts w:cs="Arial"/>
                <w:i/>
                <w:sz w:val="22"/>
                <w:szCs w:val="22"/>
              </w:rPr>
              <w:t xml:space="preserve">Haemophilus </w:t>
            </w:r>
            <w:r w:rsidR="000B499D" w:rsidRPr="004157ED">
              <w:rPr>
                <w:rFonts w:cs="Arial"/>
                <w:i/>
                <w:sz w:val="22"/>
                <w:szCs w:val="22"/>
              </w:rPr>
              <w:t>influenzae</w:t>
            </w:r>
            <w:r w:rsidR="000B499D" w:rsidRPr="004157ED">
              <w:rPr>
                <w:rFonts w:cs="Arial"/>
                <w:sz w:val="22"/>
                <w:szCs w:val="22"/>
              </w:rPr>
              <w:t xml:space="preserve"> type b</w:t>
            </w:r>
            <w:r w:rsidR="008A2AE4" w:rsidRPr="004157ED">
              <w:rPr>
                <w:rFonts w:cs="Arial"/>
                <w:sz w:val="22"/>
                <w:szCs w:val="22"/>
              </w:rPr>
              <w:t xml:space="preserve"> (including those who do not have a </w:t>
            </w:r>
            <w:r w:rsidR="004157ED">
              <w:rPr>
                <w:rFonts w:cs="Arial"/>
                <w:sz w:val="22"/>
                <w:szCs w:val="22"/>
              </w:rPr>
              <w:t xml:space="preserve">complete or </w:t>
            </w:r>
            <w:r w:rsidR="008A2AE4" w:rsidRPr="004157ED">
              <w:rPr>
                <w:rFonts w:cs="Arial"/>
                <w:sz w:val="22"/>
                <w:szCs w:val="22"/>
              </w:rPr>
              <w:t xml:space="preserve">reliable vaccination history, see </w:t>
            </w:r>
            <w:r w:rsidR="004157ED" w:rsidRPr="004157ED">
              <w:rPr>
                <w:rFonts w:cs="Arial"/>
                <w:sz w:val="22"/>
                <w:szCs w:val="22"/>
              </w:rPr>
              <w:t>“</w:t>
            </w:r>
            <w:r w:rsidR="008A2AE4" w:rsidRPr="004157ED">
              <w:rPr>
                <w:rFonts w:cs="Arial"/>
                <w:sz w:val="22"/>
                <w:szCs w:val="22"/>
              </w:rPr>
              <w:t>Special considerations / additional information</w:t>
            </w:r>
            <w:r w:rsidR="004157ED" w:rsidRPr="004157ED">
              <w:rPr>
                <w:rFonts w:cs="Arial"/>
                <w:sz w:val="22"/>
                <w:szCs w:val="22"/>
              </w:rPr>
              <w:t>” section</w:t>
            </w:r>
            <w:r w:rsidR="008A2AE4" w:rsidRPr="004157ED">
              <w:rPr>
                <w:rFonts w:cs="Arial"/>
                <w:sz w:val="22"/>
                <w:szCs w:val="22"/>
              </w:rPr>
              <w:t>)</w:t>
            </w:r>
          </w:p>
          <w:p w:rsidR="000B499D" w:rsidRPr="002B172B" w:rsidRDefault="006312AB" w:rsidP="002B172B">
            <w:pPr>
              <w:pStyle w:val="ListParagraph"/>
              <w:numPr>
                <w:ilvl w:val="0"/>
                <w:numId w:val="24"/>
              </w:numPr>
              <w:overflowPunct/>
              <w:spacing w:after="64"/>
              <w:ind w:left="317" w:hanging="283"/>
              <w:textAlignment w:val="auto"/>
              <w:rPr>
                <w:rFonts w:eastAsiaTheme="minorHAnsi" w:cs="Arial"/>
                <w:sz w:val="22"/>
                <w:szCs w:val="22"/>
                <w:lang w:eastAsia="en-US"/>
              </w:rPr>
            </w:pPr>
            <w:r>
              <w:rPr>
                <w:rFonts w:cs="Arial"/>
                <w:sz w:val="22"/>
                <w:szCs w:val="22"/>
              </w:rPr>
              <w:t xml:space="preserve">have a tetanus prone injury and primary immunisation is </w:t>
            </w:r>
            <w:r w:rsidR="006D31E5">
              <w:rPr>
                <w:rFonts w:cs="Arial"/>
                <w:sz w:val="22"/>
                <w:szCs w:val="22"/>
              </w:rPr>
              <w:t xml:space="preserve">considered </w:t>
            </w:r>
            <w:r>
              <w:rPr>
                <w:rFonts w:cs="Arial"/>
                <w:sz w:val="22"/>
                <w:szCs w:val="22"/>
              </w:rPr>
              <w:t>incomplete</w:t>
            </w:r>
            <w:r w:rsidR="002B172B">
              <w:rPr>
                <w:rFonts w:cs="Arial"/>
                <w:sz w:val="22"/>
                <w:szCs w:val="22"/>
              </w:rPr>
              <w:t xml:space="preserve"> or immunisation status is not known or uncertain </w:t>
            </w:r>
            <w:r w:rsidR="002B172B">
              <w:rPr>
                <w:rFonts w:eastAsiaTheme="minorHAnsi" w:cs="Arial"/>
                <w:sz w:val="22"/>
                <w:szCs w:val="22"/>
                <w:lang w:eastAsia="en-US"/>
              </w:rPr>
              <w:t>(s</w:t>
            </w:r>
            <w:r w:rsidR="002B172B" w:rsidRPr="00112A2B">
              <w:rPr>
                <w:rFonts w:eastAsiaTheme="minorHAnsi" w:cs="Arial"/>
                <w:sz w:val="22"/>
                <w:szCs w:val="22"/>
                <w:lang w:eastAsia="en-US"/>
              </w:rPr>
              <w:t xml:space="preserve">ee </w:t>
            </w:r>
            <w:r w:rsidR="005C0178">
              <w:rPr>
                <w:rFonts w:eastAsiaTheme="minorHAnsi" w:cs="Arial"/>
                <w:sz w:val="22"/>
                <w:szCs w:val="22"/>
                <w:lang w:eastAsia="en-US"/>
              </w:rPr>
              <w:t xml:space="preserve">“The </w:t>
            </w:r>
            <w:r w:rsidR="002B172B">
              <w:rPr>
                <w:rFonts w:eastAsiaTheme="minorHAnsi" w:cs="Arial"/>
                <w:sz w:val="22"/>
                <w:szCs w:val="22"/>
                <w:lang w:eastAsia="en-US"/>
              </w:rPr>
              <w:t>Green Boo</w:t>
            </w:r>
            <w:r w:rsidR="002B172B" w:rsidRPr="0003557F">
              <w:rPr>
                <w:rFonts w:eastAsiaTheme="minorHAnsi" w:cs="Arial"/>
                <w:sz w:val="22"/>
                <w:szCs w:val="22"/>
                <w:lang w:eastAsia="en-US"/>
              </w:rPr>
              <w:t>k</w:t>
            </w:r>
            <w:r w:rsidR="005C0178">
              <w:rPr>
                <w:rFonts w:eastAsiaTheme="minorHAnsi" w:cs="Arial"/>
                <w:sz w:val="22"/>
                <w:szCs w:val="22"/>
                <w:lang w:eastAsia="en-US"/>
              </w:rPr>
              <w:t>”</w:t>
            </w:r>
            <w:r w:rsidR="002B172B" w:rsidRPr="0003557F">
              <w:rPr>
                <w:rFonts w:eastAsiaTheme="minorHAnsi" w:cs="Arial"/>
                <w:sz w:val="22"/>
                <w:szCs w:val="22"/>
                <w:lang w:eastAsia="en-US"/>
              </w:rPr>
              <w:t xml:space="preserve"> </w:t>
            </w:r>
            <w:hyperlink r:id="rId22" w:history="1">
              <w:r w:rsidR="009B6F85">
                <w:rPr>
                  <w:rStyle w:val="Hyperlink"/>
                  <w:rFonts w:cs="Arial"/>
                  <w:sz w:val="22"/>
                  <w:szCs w:val="22"/>
                </w:rPr>
                <w:t>C</w:t>
              </w:r>
              <w:r w:rsidR="002B172B" w:rsidRPr="009B6F85">
                <w:rPr>
                  <w:rStyle w:val="Hyperlink"/>
                  <w:rFonts w:cs="Arial"/>
                  <w:sz w:val="22"/>
                  <w:szCs w:val="22"/>
                </w:rPr>
                <w:t>hapter 30</w:t>
              </w:r>
            </w:hyperlink>
            <w:r w:rsidR="002B172B">
              <w:rPr>
                <w:rFonts w:eastAsiaTheme="minorHAnsi" w:cs="Arial"/>
                <w:sz w:val="22"/>
                <w:szCs w:val="22"/>
                <w:lang w:eastAsia="en-US"/>
              </w:rPr>
              <w:t>)</w:t>
            </w:r>
          </w:p>
        </w:tc>
      </w:tr>
      <w:tr w:rsidR="00A956FD" w:rsidRPr="00A956FD" w:rsidTr="00D7770B">
        <w:tc>
          <w:tcPr>
            <w:tcW w:w="2977" w:type="dxa"/>
            <w:tcBorders>
              <w:bottom w:val="single" w:sz="4" w:space="0" w:color="auto"/>
            </w:tcBorders>
          </w:tcPr>
          <w:p w:rsidR="00A41CC7" w:rsidRPr="0010300D" w:rsidRDefault="006D2947" w:rsidP="00B4381D">
            <w:pPr>
              <w:spacing w:before="120" w:after="120"/>
              <w:rPr>
                <w:rFonts w:cs="Arial"/>
                <w:b/>
                <w:sz w:val="22"/>
                <w:szCs w:val="22"/>
              </w:rPr>
            </w:pPr>
            <w:r w:rsidRPr="0010300D">
              <w:rPr>
                <w:rFonts w:cs="Arial"/>
                <w:b/>
                <w:sz w:val="22"/>
                <w:szCs w:val="22"/>
              </w:rPr>
              <w:t>Criteria for exclusion</w:t>
            </w:r>
            <w:r w:rsidRPr="0010300D">
              <w:rPr>
                <w:rStyle w:val="FootnoteReference"/>
                <w:rFonts w:cs="Arial"/>
                <w:b/>
                <w:sz w:val="22"/>
                <w:szCs w:val="22"/>
              </w:rPr>
              <w:footnoteReference w:id="2"/>
            </w:r>
          </w:p>
          <w:p w:rsidR="006D2947" w:rsidRPr="0010300D" w:rsidRDefault="006D2947" w:rsidP="00B4381D">
            <w:pPr>
              <w:rPr>
                <w:rFonts w:cs="Arial"/>
                <w:sz w:val="22"/>
                <w:szCs w:val="22"/>
              </w:rPr>
            </w:pPr>
          </w:p>
          <w:p w:rsidR="00A41CC7" w:rsidRPr="0010300D" w:rsidRDefault="00A41CC7" w:rsidP="00B4381D">
            <w:pPr>
              <w:rPr>
                <w:rFonts w:cs="Arial"/>
                <w:sz w:val="22"/>
                <w:szCs w:val="22"/>
              </w:rPr>
            </w:pPr>
          </w:p>
          <w:p w:rsidR="00A41CC7" w:rsidRPr="0010300D" w:rsidRDefault="00A41CC7" w:rsidP="00B4381D">
            <w:pPr>
              <w:rPr>
                <w:rFonts w:cs="Arial"/>
                <w:sz w:val="22"/>
                <w:szCs w:val="22"/>
              </w:rPr>
            </w:pPr>
          </w:p>
          <w:p w:rsidR="00A41CC7" w:rsidRPr="0010300D" w:rsidRDefault="00A41CC7" w:rsidP="00B4381D">
            <w:pPr>
              <w:rPr>
                <w:rFonts w:cs="Arial"/>
                <w:sz w:val="22"/>
                <w:szCs w:val="22"/>
              </w:rPr>
            </w:pPr>
          </w:p>
          <w:p w:rsidR="00A41CC7" w:rsidRPr="0010300D" w:rsidRDefault="00A41CC7" w:rsidP="00B4381D">
            <w:pPr>
              <w:rPr>
                <w:rFonts w:cs="Arial"/>
                <w:sz w:val="22"/>
                <w:szCs w:val="22"/>
              </w:rPr>
            </w:pPr>
          </w:p>
          <w:p w:rsidR="00A41CC7" w:rsidRPr="0010300D" w:rsidRDefault="00A41CC7" w:rsidP="00B4381D">
            <w:pPr>
              <w:rPr>
                <w:rFonts w:cs="Arial"/>
                <w:sz w:val="22"/>
                <w:szCs w:val="22"/>
              </w:rPr>
            </w:pPr>
          </w:p>
          <w:p w:rsidR="00A41CC7" w:rsidRPr="0010300D" w:rsidRDefault="00A41CC7" w:rsidP="00B4381D">
            <w:pPr>
              <w:rPr>
                <w:rFonts w:cs="Arial"/>
                <w:sz w:val="22"/>
                <w:szCs w:val="22"/>
              </w:rPr>
            </w:pPr>
          </w:p>
          <w:p w:rsidR="00A41CC7" w:rsidRPr="0010300D" w:rsidRDefault="00A41CC7" w:rsidP="00B4381D">
            <w:pPr>
              <w:rPr>
                <w:rFonts w:cs="Arial"/>
                <w:sz w:val="22"/>
                <w:szCs w:val="22"/>
              </w:rPr>
            </w:pPr>
          </w:p>
          <w:p w:rsidR="00A41CC7" w:rsidRPr="0010300D" w:rsidRDefault="00A41CC7" w:rsidP="00B4381D">
            <w:pPr>
              <w:rPr>
                <w:rFonts w:cs="Arial"/>
                <w:sz w:val="22"/>
                <w:szCs w:val="22"/>
              </w:rPr>
            </w:pPr>
          </w:p>
          <w:p w:rsidR="00A41CC7" w:rsidRPr="0010300D" w:rsidRDefault="00A41CC7" w:rsidP="00B4381D">
            <w:pPr>
              <w:rPr>
                <w:rFonts w:cs="Arial"/>
                <w:sz w:val="22"/>
                <w:szCs w:val="22"/>
              </w:rPr>
            </w:pPr>
          </w:p>
          <w:p w:rsidR="00A41CC7" w:rsidRPr="0010300D" w:rsidRDefault="00A41CC7" w:rsidP="00B4381D">
            <w:pPr>
              <w:rPr>
                <w:rFonts w:cs="Arial"/>
                <w:sz w:val="22"/>
                <w:szCs w:val="22"/>
              </w:rPr>
            </w:pPr>
          </w:p>
          <w:p w:rsidR="00A41CC7" w:rsidRPr="0010300D" w:rsidRDefault="00A41CC7" w:rsidP="00B4381D">
            <w:pPr>
              <w:rPr>
                <w:rFonts w:cs="Arial"/>
                <w:sz w:val="22"/>
                <w:szCs w:val="22"/>
              </w:rPr>
            </w:pPr>
          </w:p>
          <w:p w:rsidR="00A41CC7" w:rsidRPr="0010300D" w:rsidRDefault="00A41CC7" w:rsidP="00B4381D">
            <w:pPr>
              <w:rPr>
                <w:rFonts w:cs="Arial"/>
                <w:sz w:val="22"/>
                <w:szCs w:val="22"/>
              </w:rPr>
            </w:pPr>
          </w:p>
          <w:p w:rsidR="00A41CC7" w:rsidRPr="0010300D" w:rsidRDefault="00A41CC7" w:rsidP="00B4381D">
            <w:pPr>
              <w:rPr>
                <w:rFonts w:cs="Arial"/>
                <w:sz w:val="22"/>
                <w:szCs w:val="22"/>
              </w:rPr>
            </w:pPr>
          </w:p>
          <w:p w:rsidR="00A41CC7" w:rsidRPr="0010300D" w:rsidRDefault="00A41CC7" w:rsidP="00B4381D">
            <w:pPr>
              <w:rPr>
                <w:rFonts w:cs="Arial"/>
                <w:sz w:val="22"/>
                <w:szCs w:val="22"/>
              </w:rPr>
            </w:pPr>
          </w:p>
          <w:p w:rsidR="00A41CC7" w:rsidRPr="0010300D" w:rsidRDefault="00A41CC7" w:rsidP="00B4381D">
            <w:pPr>
              <w:rPr>
                <w:rFonts w:cs="Arial"/>
                <w:sz w:val="22"/>
                <w:szCs w:val="22"/>
              </w:rPr>
            </w:pPr>
          </w:p>
          <w:p w:rsidR="00A41CC7" w:rsidRPr="0010300D" w:rsidRDefault="00A41CC7" w:rsidP="00B4381D">
            <w:pPr>
              <w:rPr>
                <w:rFonts w:cs="Arial"/>
                <w:sz w:val="22"/>
                <w:szCs w:val="22"/>
              </w:rPr>
            </w:pPr>
          </w:p>
          <w:p w:rsidR="00A41CC7" w:rsidRPr="0010300D" w:rsidRDefault="00A41CC7" w:rsidP="00B4381D">
            <w:pPr>
              <w:rPr>
                <w:rFonts w:cs="Arial"/>
                <w:sz w:val="22"/>
                <w:szCs w:val="22"/>
              </w:rPr>
            </w:pPr>
          </w:p>
          <w:p w:rsidR="00A41CC7" w:rsidRPr="0010300D" w:rsidRDefault="00A41CC7" w:rsidP="00B4381D">
            <w:pPr>
              <w:rPr>
                <w:rFonts w:cs="Arial"/>
                <w:sz w:val="22"/>
                <w:szCs w:val="22"/>
              </w:rPr>
            </w:pPr>
          </w:p>
        </w:tc>
        <w:tc>
          <w:tcPr>
            <w:tcW w:w="6946" w:type="dxa"/>
            <w:tcBorders>
              <w:bottom w:val="single" w:sz="4" w:space="0" w:color="auto"/>
            </w:tcBorders>
          </w:tcPr>
          <w:p w:rsidR="00864DAD" w:rsidRPr="00F52244" w:rsidRDefault="006C69EC" w:rsidP="005449C6">
            <w:pPr>
              <w:pStyle w:val="Pa4"/>
              <w:spacing w:before="120" w:after="120" w:line="240" w:lineRule="auto"/>
              <w:contextualSpacing/>
              <w:rPr>
                <w:rFonts w:ascii="Arial" w:hAnsi="Arial" w:cs="Arial"/>
                <w:sz w:val="22"/>
                <w:szCs w:val="22"/>
              </w:rPr>
            </w:pPr>
            <w:r w:rsidRPr="00F52244">
              <w:rPr>
                <w:rFonts w:ascii="Arial" w:hAnsi="Arial" w:cs="Arial"/>
                <w:sz w:val="22"/>
                <w:szCs w:val="22"/>
              </w:rPr>
              <w:t xml:space="preserve">Individuals </w:t>
            </w:r>
            <w:r w:rsidR="00864DAD" w:rsidRPr="00F52244">
              <w:rPr>
                <w:rFonts w:ascii="Arial" w:hAnsi="Arial" w:cs="Arial"/>
                <w:sz w:val="22"/>
                <w:szCs w:val="22"/>
              </w:rPr>
              <w:t>for whom no valid consent has been received</w:t>
            </w:r>
            <w:r w:rsidR="005449C6" w:rsidRPr="00F52244">
              <w:rPr>
                <w:rFonts w:ascii="Arial" w:hAnsi="Arial" w:cs="Arial"/>
                <w:sz w:val="22"/>
                <w:szCs w:val="22"/>
              </w:rPr>
              <w:t>.</w:t>
            </w:r>
          </w:p>
          <w:p w:rsidR="00134B80" w:rsidRPr="00F52244" w:rsidRDefault="00D13D9E" w:rsidP="005449C6">
            <w:pPr>
              <w:pStyle w:val="Default"/>
              <w:spacing w:before="120"/>
              <w:contextualSpacing/>
              <w:rPr>
                <w:color w:val="auto"/>
                <w:sz w:val="22"/>
                <w:szCs w:val="22"/>
                <w:lang w:eastAsia="en-US"/>
              </w:rPr>
            </w:pPr>
            <w:r w:rsidRPr="00F52244">
              <w:rPr>
                <w:color w:val="auto"/>
                <w:sz w:val="22"/>
                <w:szCs w:val="22"/>
                <w:lang w:eastAsia="en-US"/>
              </w:rPr>
              <w:t>Individuals</w:t>
            </w:r>
            <w:r w:rsidR="00134B80" w:rsidRPr="00F52244">
              <w:rPr>
                <w:color w:val="auto"/>
                <w:sz w:val="22"/>
                <w:szCs w:val="22"/>
                <w:lang w:eastAsia="en-US"/>
              </w:rPr>
              <w:t xml:space="preserve"> who:</w:t>
            </w:r>
          </w:p>
          <w:p w:rsidR="00BE4877" w:rsidRPr="00F52244" w:rsidRDefault="00704159" w:rsidP="005449C6">
            <w:pPr>
              <w:numPr>
                <w:ilvl w:val="0"/>
                <w:numId w:val="9"/>
              </w:numPr>
              <w:overflowPunct/>
              <w:spacing w:after="120"/>
              <w:ind w:left="318" w:hanging="284"/>
              <w:contextualSpacing/>
              <w:textAlignment w:val="auto"/>
              <w:rPr>
                <w:rFonts w:eastAsiaTheme="minorHAnsi" w:cs="Arial"/>
                <w:sz w:val="22"/>
                <w:szCs w:val="22"/>
                <w:lang w:eastAsia="en-US"/>
              </w:rPr>
            </w:pPr>
            <w:r w:rsidRPr="00F52244">
              <w:rPr>
                <w:rFonts w:eastAsiaTheme="minorHAnsi" w:cs="Arial"/>
                <w:sz w:val="22"/>
                <w:szCs w:val="22"/>
                <w:lang w:eastAsia="en-US"/>
              </w:rPr>
              <w:t>a</w:t>
            </w:r>
            <w:r w:rsidR="00117CD7">
              <w:rPr>
                <w:rFonts w:eastAsiaTheme="minorHAnsi" w:cs="Arial"/>
                <w:sz w:val="22"/>
                <w:szCs w:val="22"/>
                <w:lang w:eastAsia="en-US"/>
              </w:rPr>
              <w:t>re</w:t>
            </w:r>
            <w:r w:rsidR="0010300D" w:rsidRPr="00F52244">
              <w:rPr>
                <w:rFonts w:eastAsiaTheme="minorHAnsi" w:cs="Arial"/>
                <w:sz w:val="22"/>
                <w:szCs w:val="22"/>
                <w:lang w:eastAsia="en-US"/>
              </w:rPr>
              <w:t xml:space="preserve"> less than </w:t>
            </w:r>
            <w:r w:rsidR="00465505">
              <w:rPr>
                <w:rFonts w:eastAsiaTheme="minorHAnsi" w:cs="Arial"/>
                <w:sz w:val="22"/>
                <w:szCs w:val="22"/>
                <w:lang w:eastAsia="en-US"/>
              </w:rPr>
              <w:t>8 weeks</w:t>
            </w:r>
            <w:r w:rsidR="007C4122">
              <w:rPr>
                <w:rFonts w:eastAsiaTheme="minorHAnsi" w:cs="Arial"/>
                <w:sz w:val="22"/>
                <w:szCs w:val="22"/>
                <w:lang w:eastAsia="en-US"/>
              </w:rPr>
              <w:t xml:space="preserve"> of age</w:t>
            </w:r>
          </w:p>
          <w:p w:rsidR="0010300D" w:rsidRPr="00F52244" w:rsidRDefault="007C4122" w:rsidP="005449C6">
            <w:pPr>
              <w:numPr>
                <w:ilvl w:val="0"/>
                <w:numId w:val="9"/>
              </w:numPr>
              <w:overflowPunct/>
              <w:spacing w:after="120"/>
              <w:ind w:left="318" w:hanging="284"/>
              <w:contextualSpacing/>
              <w:textAlignment w:val="auto"/>
              <w:rPr>
                <w:rFonts w:eastAsiaTheme="minorHAnsi" w:cs="Arial"/>
                <w:sz w:val="22"/>
                <w:szCs w:val="22"/>
                <w:lang w:eastAsia="en-US"/>
              </w:rPr>
            </w:pPr>
            <w:r>
              <w:rPr>
                <w:rFonts w:eastAsiaTheme="minorHAnsi" w:cs="Arial"/>
                <w:sz w:val="22"/>
                <w:szCs w:val="22"/>
                <w:lang w:eastAsia="en-US"/>
              </w:rPr>
              <w:t xml:space="preserve">are aged </w:t>
            </w:r>
            <w:r w:rsidR="00117CD7">
              <w:rPr>
                <w:rFonts w:eastAsiaTheme="minorHAnsi" w:cs="Arial"/>
                <w:sz w:val="22"/>
                <w:szCs w:val="22"/>
                <w:lang w:eastAsia="en-US"/>
              </w:rPr>
              <w:t>10</w:t>
            </w:r>
            <w:r w:rsidR="0010300D" w:rsidRPr="00F52244">
              <w:rPr>
                <w:rFonts w:eastAsiaTheme="minorHAnsi" w:cs="Arial"/>
                <w:sz w:val="22"/>
                <w:szCs w:val="22"/>
                <w:lang w:eastAsia="en-US"/>
              </w:rPr>
              <w:t xml:space="preserve"> years</w:t>
            </w:r>
            <w:r>
              <w:rPr>
                <w:rFonts w:eastAsiaTheme="minorHAnsi" w:cs="Arial"/>
                <w:sz w:val="22"/>
                <w:szCs w:val="22"/>
                <w:lang w:eastAsia="en-US"/>
              </w:rPr>
              <w:t xml:space="preserve"> and over</w:t>
            </w:r>
          </w:p>
          <w:p w:rsidR="00112A2B" w:rsidRPr="00F52244" w:rsidRDefault="00704159" w:rsidP="005449C6">
            <w:pPr>
              <w:numPr>
                <w:ilvl w:val="0"/>
                <w:numId w:val="9"/>
              </w:numPr>
              <w:overflowPunct/>
              <w:spacing w:before="120" w:after="120"/>
              <w:ind w:left="318" w:hanging="284"/>
              <w:contextualSpacing/>
              <w:textAlignment w:val="auto"/>
              <w:rPr>
                <w:rFonts w:eastAsiaTheme="minorHAnsi" w:cs="Arial"/>
                <w:sz w:val="22"/>
                <w:szCs w:val="22"/>
                <w:lang w:eastAsia="en-US"/>
              </w:rPr>
            </w:pPr>
            <w:r w:rsidRPr="00F52244">
              <w:rPr>
                <w:rFonts w:eastAsiaTheme="minorHAnsi" w:cs="Arial"/>
                <w:sz w:val="22"/>
                <w:szCs w:val="22"/>
                <w:lang w:eastAsia="en-US"/>
              </w:rPr>
              <w:t>h</w:t>
            </w:r>
            <w:r w:rsidR="00134B80" w:rsidRPr="00F52244">
              <w:rPr>
                <w:rFonts w:eastAsiaTheme="minorHAnsi" w:cs="Arial"/>
                <w:sz w:val="22"/>
                <w:szCs w:val="22"/>
                <w:lang w:eastAsia="en-US"/>
              </w:rPr>
              <w:t xml:space="preserve">ave had </w:t>
            </w:r>
            <w:r w:rsidR="009E1C35" w:rsidRPr="00F52244">
              <w:rPr>
                <w:rFonts w:eastAsiaTheme="minorHAnsi" w:cs="Arial"/>
                <w:sz w:val="22"/>
                <w:szCs w:val="22"/>
                <w:lang w:eastAsia="en-US"/>
              </w:rPr>
              <w:t>a confirmed anaphylactic rea</w:t>
            </w:r>
            <w:r w:rsidR="00112A2B" w:rsidRPr="00F52244">
              <w:rPr>
                <w:rFonts w:eastAsiaTheme="minorHAnsi" w:cs="Arial"/>
                <w:sz w:val="22"/>
                <w:szCs w:val="22"/>
                <w:lang w:eastAsia="en-US"/>
              </w:rPr>
              <w:t>ction to a previous dose of diphtheria, tetanus</w:t>
            </w:r>
            <w:r w:rsidR="0010300D" w:rsidRPr="00F52244">
              <w:rPr>
                <w:rFonts w:eastAsiaTheme="minorHAnsi" w:cs="Arial"/>
                <w:sz w:val="22"/>
                <w:szCs w:val="22"/>
                <w:lang w:eastAsia="en-US"/>
              </w:rPr>
              <w:t>, pertussis</w:t>
            </w:r>
            <w:r w:rsidR="00112A2B" w:rsidRPr="00F52244">
              <w:rPr>
                <w:rFonts w:eastAsiaTheme="minorHAnsi" w:cs="Arial"/>
                <w:sz w:val="22"/>
                <w:szCs w:val="22"/>
                <w:lang w:eastAsia="en-US"/>
              </w:rPr>
              <w:t xml:space="preserve"> or polio</w:t>
            </w:r>
            <w:r w:rsidR="000F7561" w:rsidRPr="00F52244">
              <w:rPr>
                <w:rFonts w:eastAsiaTheme="minorHAnsi" w:cs="Arial"/>
                <w:sz w:val="22"/>
                <w:szCs w:val="22"/>
                <w:lang w:eastAsia="en-US"/>
              </w:rPr>
              <w:t>myelitis</w:t>
            </w:r>
            <w:r w:rsidR="00D13D9E" w:rsidRPr="00F52244">
              <w:rPr>
                <w:rFonts w:eastAsiaTheme="minorHAnsi" w:cs="Arial"/>
                <w:sz w:val="22"/>
                <w:szCs w:val="22"/>
                <w:lang w:eastAsia="en-US"/>
              </w:rPr>
              <w:t xml:space="preserve"> </w:t>
            </w:r>
            <w:r w:rsidR="00112A2B" w:rsidRPr="00F52244">
              <w:rPr>
                <w:rFonts w:eastAsiaTheme="minorHAnsi" w:cs="Arial"/>
                <w:sz w:val="22"/>
                <w:szCs w:val="22"/>
                <w:lang w:eastAsia="en-US"/>
              </w:rPr>
              <w:t xml:space="preserve">containing </w:t>
            </w:r>
            <w:r w:rsidR="009E1C35" w:rsidRPr="00F52244">
              <w:rPr>
                <w:rFonts w:eastAsiaTheme="minorHAnsi" w:cs="Arial"/>
                <w:sz w:val="22"/>
                <w:szCs w:val="22"/>
                <w:lang w:eastAsia="en-US"/>
              </w:rPr>
              <w:t>vaccine</w:t>
            </w:r>
            <w:r w:rsidR="00112A2B" w:rsidRPr="00F52244">
              <w:rPr>
                <w:rFonts w:eastAsiaTheme="minorHAnsi" w:cs="Arial"/>
                <w:sz w:val="22"/>
                <w:szCs w:val="22"/>
                <w:lang w:eastAsia="en-US"/>
              </w:rPr>
              <w:t>, including any conjugate vaccines where diphtheria or tetanus toxoid is used in the conjugate</w:t>
            </w:r>
          </w:p>
          <w:p w:rsidR="00906777" w:rsidRPr="00465505" w:rsidRDefault="00112A2B" w:rsidP="005449C6">
            <w:pPr>
              <w:numPr>
                <w:ilvl w:val="0"/>
                <w:numId w:val="9"/>
              </w:numPr>
              <w:overflowPunct/>
              <w:spacing w:before="120" w:after="120"/>
              <w:ind w:left="318" w:hanging="284"/>
              <w:contextualSpacing/>
              <w:textAlignment w:val="auto"/>
              <w:rPr>
                <w:rFonts w:eastAsiaTheme="minorHAnsi" w:cs="Arial"/>
                <w:sz w:val="22"/>
                <w:szCs w:val="22"/>
                <w:lang w:eastAsia="en-US"/>
              </w:rPr>
            </w:pPr>
            <w:r w:rsidRPr="00F52244">
              <w:rPr>
                <w:rFonts w:eastAsiaTheme="minorHAnsi" w:cs="Arial"/>
                <w:sz w:val="22"/>
                <w:szCs w:val="22"/>
                <w:lang w:eastAsia="en-US"/>
              </w:rPr>
              <w:t xml:space="preserve">have had a confirmed anaphylactic reaction to </w:t>
            </w:r>
            <w:r w:rsidR="000F7561" w:rsidRPr="00F52244">
              <w:rPr>
                <w:rFonts w:eastAsiaTheme="minorHAnsi" w:cs="Arial"/>
                <w:sz w:val="22"/>
                <w:szCs w:val="22"/>
                <w:lang w:eastAsia="en-US"/>
              </w:rPr>
              <w:t>any component of the vaccine</w:t>
            </w:r>
            <w:r w:rsidR="00F9795C" w:rsidRPr="00F9795C">
              <w:rPr>
                <w:rFonts w:eastAsiaTheme="minorHAnsi" w:cs="Arial"/>
                <w:sz w:val="22"/>
                <w:szCs w:val="22"/>
                <w:lang w:eastAsia="en-US"/>
              </w:rPr>
              <w:t xml:space="preserve"> or residual products from manufacture, </w:t>
            </w:r>
            <w:r w:rsidR="00F9795C" w:rsidRPr="00465505">
              <w:rPr>
                <w:rFonts w:eastAsiaTheme="minorHAnsi" w:cs="Arial"/>
                <w:sz w:val="22"/>
                <w:szCs w:val="22"/>
                <w:lang w:eastAsia="en-US"/>
              </w:rPr>
              <w:t>these may include</w:t>
            </w:r>
            <w:r w:rsidR="00CD007D">
              <w:rPr>
                <w:rFonts w:eastAsiaTheme="minorHAnsi" w:cs="Arial"/>
                <w:sz w:val="22"/>
                <w:szCs w:val="22"/>
                <w:lang w:eastAsia="en-US"/>
              </w:rPr>
              <w:t xml:space="preserve"> </w:t>
            </w:r>
            <w:r w:rsidR="00465505">
              <w:rPr>
                <w:rFonts w:eastAsiaTheme="minorHAnsi" w:cs="Arial"/>
                <w:sz w:val="22"/>
                <w:szCs w:val="22"/>
                <w:lang w:eastAsia="en-US"/>
              </w:rPr>
              <w:t>neomycin, polymyxin,</w:t>
            </w:r>
            <w:r w:rsidR="00465505" w:rsidRPr="00465505">
              <w:rPr>
                <w:rFonts w:eastAsiaTheme="minorHAnsi" w:cs="Arial"/>
                <w:sz w:val="22"/>
                <w:szCs w:val="22"/>
                <w:lang w:eastAsia="en-US"/>
              </w:rPr>
              <w:t xml:space="preserve"> polysorbate 80</w:t>
            </w:r>
            <w:r w:rsidR="00465505">
              <w:rPr>
                <w:rFonts w:eastAsiaTheme="minorHAnsi" w:cs="Arial"/>
                <w:sz w:val="22"/>
                <w:szCs w:val="22"/>
                <w:lang w:eastAsia="en-US"/>
              </w:rPr>
              <w:t xml:space="preserve">, </w:t>
            </w:r>
            <w:r w:rsidR="00465505" w:rsidRPr="00465505">
              <w:rPr>
                <w:rFonts w:eastAsiaTheme="minorHAnsi" w:cs="Arial"/>
                <w:sz w:val="22"/>
                <w:szCs w:val="22"/>
                <w:lang w:eastAsia="en-US"/>
              </w:rPr>
              <w:t xml:space="preserve">streptomycin, glutaraldehyde, formaldehyde and bovine serum albumin </w:t>
            </w:r>
            <w:r w:rsidR="009816D2" w:rsidRPr="00465505">
              <w:rPr>
                <w:rFonts w:eastAsiaTheme="minorHAnsi" w:cs="Arial"/>
                <w:sz w:val="22"/>
                <w:szCs w:val="22"/>
                <w:lang w:eastAsia="en-US"/>
              </w:rPr>
              <w:t>(refer to relevant SPC)</w:t>
            </w:r>
          </w:p>
          <w:p w:rsidR="00906777" w:rsidRPr="001E7214" w:rsidRDefault="001E2D2D" w:rsidP="001E7214">
            <w:pPr>
              <w:numPr>
                <w:ilvl w:val="0"/>
                <w:numId w:val="9"/>
              </w:numPr>
              <w:overflowPunct/>
              <w:spacing w:before="120" w:after="120"/>
              <w:ind w:left="318" w:hanging="284"/>
              <w:contextualSpacing/>
              <w:textAlignment w:val="auto"/>
              <w:rPr>
                <w:sz w:val="22"/>
                <w:szCs w:val="22"/>
              </w:rPr>
            </w:pPr>
            <w:r w:rsidRPr="001E7214">
              <w:rPr>
                <w:rFonts w:eastAsiaTheme="minorHAnsi" w:cs="Arial"/>
                <w:sz w:val="22"/>
                <w:szCs w:val="22"/>
                <w:lang w:eastAsia="en-US"/>
              </w:rPr>
              <w:t xml:space="preserve">have received immunisation with </w:t>
            </w:r>
            <w:r w:rsidR="00D157DB" w:rsidRPr="001E7214">
              <w:rPr>
                <w:rFonts w:eastAsiaTheme="minorHAnsi" w:cs="Arial"/>
                <w:sz w:val="22"/>
                <w:szCs w:val="22"/>
                <w:lang w:eastAsia="en-US"/>
              </w:rPr>
              <w:t xml:space="preserve">diphtheria, tetanus, pertussis, polio or Hib antigen in the </w:t>
            </w:r>
            <w:r w:rsidR="001E7214" w:rsidRPr="001E7214">
              <w:rPr>
                <w:rFonts w:eastAsiaTheme="minorHAnsi" w:cs="Arial"/>
                <w:sz w:val="22"/>
                <w:szCs w:val="22"/>
                <w:lang w:eastAsia="en-US"/>
              </w:rPr>
              <w:t>preceding</w:t>
            </w:r>
            <w:r w:rsidR="00D157DB" w:rsidRPr="001E7214">
              <w:rPr>
                <w:rFonts w:eastAsiaTheme="minorHAnsi" w:cs="Arial"/>
                <w:sz w:val="22"/>
                <w:szCs w:val="22"/>
                <w:lang w:eastAsia="en-US"/>
              </w:rPr>
              <w:t xml:space="preserve"> 4 weeks</w:t>
            </w:r>
          </w:p>
          <w:p w:rsidR="001E7214" w:rsidRPr="001E7214" w:rsidRDefault="00112A2B" w:rsidP="001E7214">
            <w:pPr>
              <w:numPr>
                <w:ilvl w:val="0"/>
                <w:numId w:val="9"/>
              </w:numPr>
              <w:overflowPunct/>
              <w:spacing w:before="120" w:after="120"/>
              <w:ind w:left="318" w:hanging="284"/>
              <w:contextualSpacing/>
              <w:textAlignment w:val="auto"/>
              <w:rPr>
                <w:sz w:val="22"/>
                <w:szCs w:val="22"/>
              </w:rPr>
            </w:pPr>
            <w:r w:rsidRPr="00F9795C">
              <w:rPr>
                <w:rFonts w:eastAsiaTheme="minorHAnsi" w:cs="Arial"/>
                <w:sz w:val="22"/>
                <w:szCs w:val="22"/>
                <w:lang w:eastAsia="en-US"/>
              </w:rPr>
              <w:t>have experienced</w:t>
            </w:r>
            <w:r w:rsidR="004231B0" w:rsidRPr="00F9795C">
              <w:rPr>
                <w:rFonts w:eastAsiaTheme="minorHAnsi" w:cs="Arial"/>
                <w:sz w:val="22"/>
                <w:szCs w:val="22"/>
                <w:lang w:eastAsia="en-US"/>
              </w:rPr>
              <w:t xml:space="preserve"> neurological complications, eg</w:t>
            </w:r>
            <w:r w:rsidRPr="00F9795C">
              <w:rPr>
                <w:rFonts w:eastAsiaTheme="minorHAnsi" w:cs="Arial"/>
                <w:sz w:val="22"/>
                <w:szCs w:val="22"/>
                <w:lang w:eastAsia="en-US"/>
              </w:rPr>
              <w:t xml:space="preserve"> encephalopathy or encephalitis</w:t>
            </w:r>
            <w:r w:rsidR="004231B0" w:rsidRPr="00F9795C">
              <w:rPr>
                <w:rFonts w:eastAsiaTheme="minorHAnsi" w:cs="Arial"/>
                <w:sz w:val="22"/>
                <w:szCs w:val="22"/>
                <w:lang w:eastAsia="en-US"/>
              </w:rPr>
              <w:t>,</w:t>
            </w:r>
            <w:r w:rsidRPr="00F9795C">
              <w:rPr>
                <w:rFonts w:eastAsiaTheme="minorHAnsi" w:cs="Arial"/>
                <w:sz w:val="22"/>
                <w:szCs w:val="22"/>
                <w:lang w:eastAsia="en-US"/>
              </w:rPr>
              <w:t xml:space="preserve"> occurring within 7 days following previous </w:t>
            </w:r>
            <w:r w:rsidRPr="004E083A">
              <w:rPr>
                <w:rFonts w:eastAsiaTheme="minorHAnsi" w:cs="Arial"/>
                <w:sz w:val="22"/>
                <w:szCs w:val="22"/>
                <w:lang w:eastAsia="en-US"/>
              </w:rPr>
              <w:t xml:space="preserve">vaccination with </w:t>
            </w:r>
            <w:r w:rsidR="00D13D9E" w:rsidRPr="004E083A">
              <w:rPr>
                <w:rFonts w:eastAsiaTheme="minorHAnsi" w:cs="Arial"/>
                <w:sz w:val="22"/>
                <w:szCs w:val="22"/>
                <w:lang w:eastAsia="en-US"/>
              </w:rPr>
              <w:t>diphtheria</w:t>
            </w:r>
            <w:r w:rsidR="00FE141D" w:rsidRPr="004E083A">
              <w:rPr>
                <w:rFonts w:eastAsiaTheme="minorHAnsi" w:cs="Arial"/>
                <w:sz w:val="22"/>
                <w:szCs w:val="22"/>
                <w:lang w:eastAsia="en-US"/>
              </w:rPr>
              <w:t>,</w:t>
            </w:r>
            <w:r w:rsidR="00D13D9E" w:rsidRPr="004E083A">
              <w:rPr>
                <w:rFonts w:eastAsiaTheme="minorHAnsi" w:cs="Arial"/>
                <w:sz w:val="22"/>
                <w:szCs w:val="22"/>
                <w:lang w:eastAsia="en-US"/>
              </w:rPr>
              <w:t xml:space="preserve"> tetanus</w:t>
            </w:r>
            <w:r w:rsidR="00FE141D" w:rsidRPr="004E083A">
              <w:rPr>
                <w:rFonts w:eastAsiaTheme="minorHAnsi" w:cs="Arial"/>
                <w:sz w:val="22"/>
                <w:szCs w:val="22"/>
                <w:lang w:eastAsia="en-US"/>
              </w:rPr>
              <w:t xml:space="preserve"> or pertussis</w:t>
            </w:r>
            <w:r w:rsidR="001E7214">
              <w:rPr>
                <w:rFonts w:eastAsiaTheme="minorHAnsi" w:cs="Arial"/>
                <w:sz w:val="22"/>
                <w:szCs w:val="22"/>
                <w:lang w:eastAsia="en-US"/>
              </w:rPr>
              <w:t xml:space="preserve"> </w:t>
            </w:r>
            <w:r w:rsidR="001E7214" w:rsidRPr="00EC1BCA">
              <w:rPr>
                <w:rFonts w:cs="Arial"/>
                <w:sz w:val="22"/>
                <w:szCs w:val="22"/>
                <w:lang w:eastAsia="en-US"/>
              </w:rPr>
              <w:t xml:space="preserve">unless they have been </w:t>
            </w:r>
            <w:r w:rsidR="00B54F77">
              <w:rPr>
                <w:rFonts w:cs="Arial"/>
                <w:sz w:val="22"/>
                <w:szCs w:val="22"/>
                <w:lang w:eastAsia="en-US"/>
              </w:rPr>
              <w:t>assessed</w:t>
            </w:r>
            <w:r w:rsidR="00B54F77" w:rsidRPr="00EC1BCA">
              <w:rPr>
                <w:rFonts w:cs="Arial"/>
                <w:sz w:val="22"/>
                <w:szCs w:val="22"/>
                <w:lang w:eastAsia="en-US"/>
              </w:rPr>
              <w:t xml:space="preserve"> </w:t>
            </w:r>
            <w:r w:rsidR="001E7214" w:rsidRPr="00EC1BCA">
              <w:rPr>
                <w:rFonts w:cs="Arial"/>
                <w:sz w:val="22"/>
                <w:szCs w:val="22"/>
                <w:lang w:eastAsia="en-US"/>
              </w:rPr>
              <w:t>by a paediatrician or paediatric neurologist and deemed fit for immunisation (see</w:t>
            </w:r>
            <w:r w:rsidR="001E7214">
              <w:rPr>
                <w:rFonts w:cs="Arial"/>
                <w:sz w:val="22"/>
                <w:szCs w:val="22"/>
                <w:lang w:eastAsia="en-US"/>
              </w:rPr>
              <w:t xml:space="preserve"> </w:t>
            </w:r>
            <w:r w:rsidR="001E7214">
              <w:rPr>
                <w:rFonts w:eastAsiaTheme="minorHAnsi" w:cs="Arial"/>
                <w:sz w:val="22"/>
                <w:szCs w:val="22"/>
                <w:lang w:eastAsia="en-US"/>
              </w:rPr>
              <w:t>“The Green Boo</w:t>
            </w:r>
            <w:r w:rsidR="001E7214" w:rsidRPr="0003557F">
              <w:rPr>
                <w:rFonts w:eastAsiaTheme="minorHAnsi" w:cs="Arial"/>
                <w:sz w:val="22"/>
                <w:szCs w:val="22"/>
                <w:lang w:eastAsia="en-US"/>
              </w:rPr>
              <w:t>k</w:t>
            </w:r>
            <w:r w:rsidR="001E7214">
              <w:rPr>
                <w:rFonts w:eastAsiaTheme="minorHAnsi" w:cs="Arial"/>
                <w:sz w:val="22"/>
                <w:szCs w:val="22"/>
                <w:lang w:eastAsia="en-US"/>
              </w:rPr>
              <w:t>”</w:t>
            </w:r>
            <w:r w:rsidR="001E7214" w:rsidRPr="00EC1BCA">
              <w:rPr>
                <w:rFonts w:cs="Arial"/>
                <w:sz w:val="22"/>
                <w:szCs w:val="22"/>
                <w:lang w:eastAsia="en-US"/>
              </w:rPr>
              <w:t xml:space="preserve"> </w:t>
            </w:r>
            <w:hyperlink r:id="rId23" w:history="1">
              <w:r w:rsidR="006D31E5" w:rsidRPr="009B6F85">
                <w:rPr>
                  <w:rStyle w:val="Hyperlink"/>
                  <w:rFonts w:cs="Arial"/>
                  <w:sz w:val="22"/>
                  <w:szCs w:val="22"/>
                </w:rPr>
                <w:t>Chapter 15</w:t>
              </w:r>
            </w:hyperlink>
            <w:r w:rsidR="006D31E5" w:rsidRPr="004E083A">
              <w:rPr>
                <w:rStyle w:val="Hyperlink"/>
                <w:rFonts w:cs="Arial"/>
                <w:color w:val="auto"/>
                <w:sz w:val="22"/>
                <w:szCs w:val="22"/>
                <w:u w:val="none"/>
              </w:rPr>
              <w:t xml:space="preserve">, </w:t>
            </w:r>
            <w:hyperlink r:id="rId24" w:history="1">
              <w:r w:rsidR="006D31E5" w:rsidRPr="009B6F85">
                <w:rPr>
                  <w:rStyle w:val="Hyperlink"/>
                  <w:rFonts w:cs="Arial"/>
                  <w:sz w:val="22"/>
                  <w:szCs w:val="22"/>
                </w:rPr>
                <w:t>Chapter 24</w:t>
              </w:r>
            </w:hyperlink>
            <w:r w:rsidR="006D31E5" w:rsidRPr="004E083A">
              <w:rPr>
                <w:rStyle w:val="Hyperlink"/>
                <w:rFonts w:cs="Arial"/>
                <w:color w:val="auto"/>
                <w:sz w:val="22"/>
                <w:szCs w:val="22"/>
                <w:u w:val="none"/>
              </w:rPr>
              <w:t xml:space="preserve"> and </w:t>
            </w:r>
            <w:hyperlink r:id="rId25" w:history="1">
              <w:r w:rsidR="006D31E5" w:rsidRPr="009B6F85">
                <w:rPr>
                  <w:rStyle w:val="Hyperlink"/>
                  <w:rFonts w:cs="Arial"/>
                  <w:sz w:val="22"/>
                  <w:szCs w:val="22"/>
                </w:rPr>
                <w:t>Chapter 30</w:t>
              </w:r>
            </w:hyperlink>
            <w:r w:rsidR="001E7214">
              <w:rPr>
                <w:rStyle w:val="Hyperlink"/>
                <w:rFonts w:cs="Arial"/>
                <w:color w:val="auto"/>
                <w:sz w:val="22"/>
                <w:szCs w:val="22"/>
                <w:u w:val="none"/>
              </w:rPr>
              <w:t>)</w:t>
            </w:r>
          </w:p>
          <w:p w:rsidR="009B447C" w:rsidRPr="004E083A" w:rsidRDefault="00AA424D" w:rsidP="005449C6">
            <w:pPr>
              <w:numPr>
                <w:ilvl w:val="0"/>
                <w:numId w:val="9"/>
              </w:numPr>
              <w:overflowPunct/>
              <w:spacing w:before="120" w:after="120"/>
              <w:ind w:left="318" w:hanging="284"/>
              <w:contextualSpacing/>
              <w:textAlignment w:val="auto"/>
              <w:rPr>
                <w:sz w:val="22"/>
                <w:szCs w:val="22"/>
              </w:rPr>
            </w:pPr>
            <w:r>
              <w:rPr>
                <w:rFonts w:eastAsiaTheme="minorHAnsi" w:cs="Arial"/>
                <w:sz w:val="22"/>
                <w:szCs w:val="22"/>
                <w:lang w:eastAsia="en-US"/>
              </w:rPr>
              <w:t>c</w:t>
            </w:r>
            <w:r w:rsidR="009B447C" w:rsidRPr="004E083A">
              <w:rPr>
                <w:rFonts w:eastAsiaTheme="minorHAnsi" w:cs="Arial"/>
                <w:sz w:val="22"/>
                <w:szCs w:val="22"/>
                <w:lang w:eastAsia="en-US"/>
              </w:rPr>
              <w:t>urrent</w:t>
            </w:r>
            <w:r>
              <w:rPr>
                <w:rFonts w:eastAsiaTheme="minorHAnsi" w:cs="Arial"/>
                <w:sz w:val="22"/>
                <w:szCs w:val="22"/>
                <w:lang w:eastAsia="en-US"/>
              </w:rPr>
              <w:t>ly have an</w:t>
            </w:r>
            <w:r w:rsidR="009B447C" w:rsidRPr="004E083A">
              <w:rPr>
                <w:rFonts w:eastAsiaTheme="minorHAnsi" w:cs="Arial"/>
                <w:sz w:val="22"/>
                <w:szCs w:val="22"/>
                <w:lang w:eastAsia="en-US"/>
              </w:rPr>
              <w:t xml:space="preserve"> unstable neurological condition</w:t>
            </w:r>
            <w:r w:rsidR="000E6C2B">
              <w:rPr>
                <w:rFonts w:eastAsiaTheme="minorHAnsi" w:cs="Arial"/>
                <w:sz w:val="22"/>
                <w:szCs w:val="22"/>
                <w:lang w:eastAsia="en-US"/>
              </w:rPr>
              <w:t xml:space="preserve"> of unknown cause</w:t>
            </w:r>
            <w:r w:rsidR="009B447C" w:rsidRPr="004E083A">
              <w:rPr>
                <w:rFonts w:eastAsiaTheme="minorHAnsi" w:cs="Arial"/>
                <w:sz w:val="22"/>
                <w:szCs w:val="22"/>
                <w:lang w:eastAsia="en-US"/>
              </w:rPr>
              <w:t>, including poorly controlled epilepsy</w:t>
            </w:r>
            <w:r w:rsidR="005B035A" w:rsidRPr="004E083A">
              <w:rPr>
                <w:rFonts w:eastAsiaTheme="minorHAnsi" w:cs="Arial"/>
                <w:sz w:val="22"/>
                <w:szCs w:val="22"/>
                <w:lang w:eastAsia="en-US"/>
              </w:rPr>
              <w:t xml:space="preserve"> (see</w:t>
            </w:r>
            <w:r w:rsidR="001E7214">
              <w:rPr>
                <w:rFonts w:eastAsiaTheme="minorHAnsi" w:cs="Arial"/>
                <w:sz w:val="22"/>
                <w:szCs w:val="22"/>
                <w:lang w:eastAsia="en-US"/>
              </w:rPr>
              <w:t xml:space="preserve"> “The Green Boo</w:t>
            </w:r>
            <w:r w:rsidR="001E7214" w:rsidRPr="0003557F">
              <w:rPr>
                <w:rFonts w:eastAsiaTheme="minorHAnsi" w:cs="Arial"/>
                <w:sz w:val="22"/>
                <w:szCs w:val="22"/>
                <w:lang w:eastAsia="en-US"/>
              </w:rPr>
              <w:t>k</w:t>
            </w:r>
            <w:r w:rsidR="001E7214">
              <w:rPr>
                <w:rFonts w:eastAsiaTheme="minorHAnsi" w:cs="Arial"/>
                <w:sz w:val="22"/>
                <w:szCs w:val="22"/>
                <w:lang w:eastAsia="en-US"/>
              </w:rPr>
              <w:t>”</w:t>
            </w:r>
            <w:r w:rsidR="005B035A" w:rsidRPr="004E083A">
              <w:rPr>
                <w:rFonts w:eastAsiaTheme="minorHAnsi" w:cs="Arial"/>
                <w:sz w:val="22"/>
                <w:szCs w:val="22"/>
                <w:lang w:eastAsia="en-US"/>
              </w:rPr>
              <w:t xml:space="preserve"> </w:t>
            </w:r>
            <w:hyperlink r:id="rId26" w:history="1">
              <w:r w:rsidR="005B035A" w:rsidRPr="009B6F85">
                <w:rPr>
                  <w:rStyle w:val="Hyperlink"/>
                  <w:rFonts w:cs="Arial"/>
                  <w:sz w:val="22"/>
                  <w:szCs w:val="22"/>
                </w:rPr>
                <w:t>Chapter 15</w:t>
              </w:r>
            </w:hyperlink>
            <w:r w:rsidR="00A60816" w:rsidRPr="004E083A">
              <w:rPr>
                <w:rStyle w:val="Hyperlink"/>
                <w:rFonts w:cs="Arial"/>
                <w:color w:val="auto"/>
                <w:sz w:val="22"/>
                <w:szCs w:val="22"/>
                <w:u w:val="none"/>
              </w:rPr>
              <w:t xml:space="preserve">, </w:t>
            </w:r>
            <w:hyperlink r:id="rId27" w:history="1">
              <w:r w:rsidR="00A60816" w:rsidRPr="009B6F85">
                <w:rPr>
                  <w:rStyle w:val="Hyperlink"/>
                  <w:rFonts w:cs="Arial"/>
                  <w:sz w:val="22"/>
                  <w:szCs w:val="22"/>
                </w:rPr>
                <w:t>Chapter 24</w:t>
              </w:r>
            </w:hyperlink>
            <w:r w:rsidR="005B035A" w:rsidRPr="004E083A">
              <w:rPr>
                <w:rStyle w:val="Hyperlink"/>
                <w:rFonts w:cs="Arial"/>
                <w:color w:val="auto"/>
                <w:sz w:val="22"/>
                <w:szCs w:val="22"/>
                <w:u w:val="none"/>
              </w:rPr>
              <w:t xml:space="preserve"> and </w:t>
            </w:r>
            <w:hyperlink r:id="rId28" w:history="1">
              <w:r w:rsidR="005B035A" w:rsidRPr="009B6F85">
                <w:rPr>
                  <w:rStyle w:val="Hyperlink"/>
                  <w:rFonts w:cs="Arial"/>
                  <w:sz w:val="22"/>
                  <w:szCs w:val="22"/>
                </w:rPr>
                <w:t>Chapter 30</w:t>
              </w:r>
            </w:hyperlink>
            <w:r w:rsidR="005B035A" w:rsidRPr="004E083A">
              <w:rPr>
                <w:rStyle w:val="Hyperlink"/>
                <w:rFonts w:cs="Arial"/>
                <w:color w:val="auto"/>
                <w:sz w:val="22"/>
                <w:szCs w:val="22"/>
                <w:u w:val="none"/>
              </w:rPr>
              <w:t>)</w:t>
            </w:r>
          </w:p>
          <w:p w:rsidR="00277D21" w:rsidRPr="00D1582D" w:rsidRDefault="005449C6" w:rsidP="005449C6">
            <w:pPr>
              <w:numPr>
                <w:ilvl w:val="0"/>
                <w:numId w:val="9"/>
              </w:numPr>
              <w:overflowPunct/>
              <w:spacing w:before="120" w:after="120"/>
              <w:ind w:left="318" w:hanging="284"/>
              <w:textAlignment w:val="auto"/>
              <w:rPr>
                <w:rFonts w:eastAsiaTheme="minorHAnsi" w:cs="Arial"/>
                <w:color w:val="FF0000"/>
                <w:sz w:val="22"/>
                <w:szCs w:val="22"/>
                <w:lang w:eastAsia="en-US"/>
              </w:rPr>
            </w:pPr>
            <w:r w:rsidRPr="004E083A">
              <w:rPr>
                <w:sz w:val="22"/>
                <w:szCs w:val="22"/>
              </w:rPr>
              <w:t xml:space="preserve">are </w:t>
            </w:r>
            <w:r w:rsidR="008846CE" w:rsidRPr="004E083A">
              <w:rPr>
                <w:rFonts w:cs="Arial"/>
                <w:sz w:val="22"/>
                <w:szCs w:val="22"/>
              </w:rPr>
              <w:t>suffering fr</w:t>
            </w:r>
            <w:r w:rsidRPr="004E083A">
              <w:rPr>
                <w:rFonts w:cs="Arial"/>
                <w:sz w:val="22"/>
                <w:szCs w:val="22"/>
              </w:rPr>
              <w:t>om acute severe febrile illness (t</w:t>
            </w:r>
            <w:r w:rsidR="008846CE" w:rsidRPr="004E083A">
              <w:rPr>
                <w:rFonts w:cs="Arial"/>
                <w:sz w:val="22"/>
                <w:szCs w:val="22"/>
              </w:rPr>
              <w:t>he presence of a minor infection is not a cont</w:t>
            </w:r>
            <w:r w:rsidRPr="004E083A">
              <w:rPr>
                <w:rFonts w:cs="Arial"/>
                <w:sz w:val="22"/>
                <w:szCs w:val="22"/>
              </w:rPr>
              <w:t>raindication for immunisation)</w:t>
            </w:r>
          </w:p>
        </w:tc>
      </w:tr>
    </w:tbl>
    <w:p w:rsidR="00CD007D" w:rsidRDefault="00CD007D">
      <w:r>
        <w:br w:type="page"/>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A956FD" w:rsidRPr="00A956FD" w:rsidTr="00E47B6D">
        <w:tc>
          <w:tcPr>
            <w:tcW w:w="2977" w:type="dxa"/>
          </w:tcPr>
          <w:p w:rsidR="00032A94" w:rsidRDefault="00032A94" w:rsidP="00B4381D">
            <w:pPr>
              <w:spacing w:before="120" w:after="120"/>
              <w:rPr>
                <w:rFonts w:cs="Arial"/>
                <w:b/>
                <w:sz w:val="22"/>
                <w:szCs w:val="22"/>
              </w:rPr>
            </w:pPr>
            <w:r w:rsidRPr="00E34432">
              <w:rPr>
                <w:rFonts w:cs="Arial"/>
                <w:b/>
                <w:sz w:val="22"/>
                <w:szCs w:val="22"/>
              </w:rPr>
              <w:lastRenderedPageBreak/>
              <w:t>Cautions including any relevant action to be taken</w:t>
            </w:r>
          </w:p>
          <w:p w:rsidR="005C0178" w:rsidRDefault="005C0178" w:rsidP="00B4381D">
            <w:pPr>
              <w:spacing w:before="120" w:after="120"/>
              <w:rPr>
                <w:rFonts w:cs="Arial"/>
                <w:b/>
                <w:sz w:val="22"/>
                <w:szCs w:val="22"/>
              </w:rPr>
            </w:pPr>
          </w:p>
          <w:p w:rsidR="005C0178" w:rsidRDefault="005C0178" w:rsidP="00B4381D">
            <w:pPr>
              <w:spacing w:before="120" w:after="120"/>
              <w:rPr>
                <w:rFonts w:cs="Arial"/>
                <w:sz w:val="22"/>
                <w:szCs w:val="22"/>
              </w:rPr>
            </w:pPr>
          </w:p>
          <w:p w:rsidR="00B718D2" w:rsidRPr="005C0178" w:rsidRDefault="00B718D2" w:rsidP="00B4381D">
            <w:pPr>
              <w:spacing w:before="120" w:after="120"/>
              <w:rPr>
                <w:rFonts w:cs="Arial"/>
                <w:sz w:val="22"/>
                <w:szCs w:val="22"/>
              </w:rPr>
            </w:pPr>
          </w:p>
          <w:p w:rsidR="005C0178" w:rsidRPr="005C0178" w:rsidRDefault="005C0178" w:rsidP="00B4381D">
            <w:pPr>
              <w:spacing w:before="120" w:after="120"/>
              <w:rPr>
                <w:rFonts w:cs="Arial"/>
                <w:sz w:val="22"/>
                <w:szCs w:val="22"/>
              </w:rPr>
            </w:pPr>
          </w:p>
        </w:tc>
        <w:tc>
          <w:tcPr>
            <w:tcW w:w="6946" w:type="dxa"/>
          </w:tcPr>
          <w:p w:rsidR="00F54398" w:rsidRPr="00451AAE" w:rsidRDefault="00F54398" w:rsidP="00F54398">
            <w:pPr>
              <w:shd w:val="clear" w:color="auto" w:fill="FFFFFF"/>
              <w:overflowPunct/>
              <w:autoSpaceDE/>
              <w:autoSpaceDN/>
              <w:adjustRightInd/>
              <w:spacing w:before="120" w:after="120"/>
              <w:textAlignment w:val="auto"/>
              <w:rPr>
                <w:rFonts w:cs="Arial"/>
                <w:sz w:val="22"/>
                <w:szCs w:val="22"/>
              </w:rPr>
            </w:pPr>
            <w:r w:rsidRPr="00451AAE">
              <w:rPr>
                <w:rFonts w:cs="Arial"/>
                <w:sz w:val="22"/>
                <w:szCs w:val="22"/>
              </w:rPr>
              <w:t>If a seizure associated with a fever occurred within 72 hours of a previous immunisation wi</w:t>
            </w:r>
            <w:r>
              <w:rPr>
                <w:rFonts w:cs="Arial"/>
                <w:sz w:val="22"/>
                <w:szCs w:val="22"/>
              </w:rPr>
              <w:t>th pertussis containing vaccine</w:t>
            </w:r>
            <w:r w:rsidRPr="00451AAE">
              <w:rPr>
                <w:rFonts w:cs="Arial"/>
                <w:sz w:val="22"/>
                <w:szCs w:val="22"/>
              </w:rPr>
              <w:t xml:space="preserve">, immunisation should continue as recommended if a cause is identified or the child recovers within 24 hours. However, if no underlying cause has been found and the child did not recover completely within 24 hours, further immunisation should be deferred until the condition is stable. </w:t>
            </w:r>
          </w:p>
          <w:p w:rsidR="00B54F77" w:rsidRDefault="00737D64" w:rsidP="001E7214">
            <w:pPr>
              <w:shd w:val="clear" w:color="auto" w:fill="FFFFFF"/>
              <w:overflowPunct/>
              <w:autoSpaceDE/>
              <w:autoSpaceDN/>
              <w:adjustRightInd/>
              <w:spacing w:before="120" w:after="120"/>
              <w:textAlignment w:val="auto"/>
              <w:rPr>
                <w:rFonts w:eastAsiaTheme="minorHAnsi" w:cs="Arial"/>
                <w:sz w:val="22"/>
                <w:szCs w:val="22"/>
                <w:lang w:eastAsia="en-US"/>
              </w:rPr>
            </w:pPr>
            <w:r w:rsidRPr="00DF62BF">
              <w:rPr>
                <w:rFonts w:eastAsiaTheme="minorHAnsi" w:cs="Arial"/>
                <w:sz w:val="22"/>
                <w:szCs w:val="22"/>
                <w:lang w:eastAsia="en-US"/>
              </w:rPr>
              <w:t xml:space="preserve">The immunogenicity of the vaccine could be reduced in immunosuppressed subjects. </w:t>
            </w:r>
            <w:r w:rsidR="00B96534">
              <w:rPr>
                <w:rFonts w:eastAsiaTheme="minorHAnsi" w:cs="Arial"/>
                <w:sz w:val="22"/>
                <w:szCs w:val="22"/>
                <w:lang w:eastAsia="en-US"/>
              </w:rPr>
              <w:t xml:space="preserve">Vaccination should proceed in accordance with the national recommendations. However, re-immunisation may need to be considered. Seek medical advice as appropriate. </w:t>
            </w:r>
          </w:p>
          <w:p w:rsidR="001E7214" w:rsidRPr="00EC4872" w:rsidRDefault="001E7214" w:rsidP="001E7214">
            <w:pPr>
              <w:shd w:val="clear" w:color="auto" w:fill="FFFFFF"/>
              <w:overflowPunct/>
              <w:autoSpaceDE/>
              <w:autoSpaceDN/>
              <w:adjustRightInd/>
              <w:spacing w:before="120" w:after="120"/>
              <w:textAlignment w:val="auto"/>
              <w:rPr>
                <w:rFonts w:eastAsiaTheme="minorHAnsi" w:cs="Arial"/>
                <w:sz w:val="22"/>
                <w:szCs w:val="22"/>
                <w:lang w:eastAsia="en-US"/>
              </w:rPr>
            </w:pPr>
            <w:r w:rsidRPr="00F75F2D">
              <w:rPr>
                <w:rFonts w:eastAsiaTheme="minorHAnsi" w:cs="Arial"/>
                <w:sz w:val="22"/>
                <w:szCs w:val="22"/>
                <w:lang w:eastAsia="en-US"/>
              </w:rPr>
              <w:t xml:space="preserve">Patients who are immunosuppressed may not be adequately protected against tetanus, despite having been fully immunised. If they have a tetanus prone wound they should be managed as if they were incompletely </w:t>
            </w:r>
            <w:r w:rsidRPr="00EC4872">
              <w:rPr>
                <w:rFonts w:eastAsiaTheme="minorHAnsi" w:cs="Arial"/>
                <w:sz w:val="22"/>
                <w:szCs w:val="22"/>
                <w:lang w:eastAsia="en-US"/>
              </w:rPr>
              <w:t>immunised</w:t>
            </w:r>
            <w:r w:rsidR="00B54F77" w:rsidRPr="00EC4872">
              <w:rPr>
                <w:rFonts w:eastAsiaTheme="minorHAnsi" w:cs="Arial"/>
                <w:sz w:val="22"/>
                <w:szCs w:val="22"/>
                <w:lang w:eastAsia="en-US"/>
              </w:rPr>
              <w:t xml:space="preserve"> </w:t>
            </w:r>
            <w:r w:rsidR="00B54F77" w:rsidRPr="00EC4872">
              <w:rPr>
                <w:rFonts w:cs="Arial"/>
                <w:sz w:val="22"/>
                <w:szCs w:val="22"/>
              </w:rPr>
              <w:t>ie provide a reinforcing dose of vaccine</w:t>
            </w:r>
            <w:r w:rsidRPr="00EC4872">
              <w:rPr>
                <w:rFonts w:eastAsiaTheme="minorHAnsi" w:cs="Arial"/>
                <w:sz w:val="22"/>
                <w:szCs w:val="22"/>
                <w:lang w:eastAsia="en-US"/>
              </w:rPr>
              <w:t>.</w:t>
            </w:r>
          </w:p>
          <w:p w:rsidR="0079682B" w:rsidRPr="00435B1F" w:rsidRDefault="00DF4A2F" w:rsidP="001E7214">
            <w:pPr>
              <w:shd w:val="clear" w:color="auto" w:fill="FFFFFF"/>
              <w:overflowPunct/>
              <w:autoSpaceDE/>
              <w:autoSpaceDN/>
              <w:adjustRightInd/>
              <w:spacing w:before="120" w:after="120"/>
              <w:textAlignment w:val="auto"/>
              <w:rPr>
                <w:rFonts w:cs="Arial"/>
                <w:color w:val="000000"/>
                <w:sz w:val="22"/>
                <w:szCs w:val="22"/>
              </w:rPr>
            </w:pPr>
            <w:r>
              <w:rPr>
                <w:rFonts w:eastAsiaTheme="minorHAnsi" w:cs="Arial"/>
                <w:sz w:val="22"/>
                <w:szCs w:val="22"/>
                <w:lang w:eastAsia="en-US"/>
              </w:rPr>
              <w:t>Premature infants should be vaccinated in accordance with the national routine immu</w:t>
            </w:r>
            <w:r w:rsidR="00435B1F">
              <w:rPr>
                <w:rFonts w:eastAsiaTheme="minorHAnsi" w:cs="Arial"/>
                <w:sz w:val="22"/>
                <w:szCs w:val="22"/>
                <w:lang w:eastAsia="en-US"/>
              </w:rPr>
              <w:t>nisation schedule according to</w:t>
            </w:r>
            <w:r>
              <w:rPr>
                <w:rFonts w:eastAsiaTheme="minorHAnsi" w:cs="Arial"/>
                <w:sz w:val="22"/>
                <w:szCs w:val="22"/>
                <w:lang w:eastAsia="en-US"/>
              </w:rPr>
              <w:t xml:space="preserve"> their chronological age. </w:t>
            </w:r>
            <w:r w:rsidR="00435B1F" w:rsidRPr="00435B1F">
              <w:rPr>
                <w:rFonts w:cs="Arial"/>
                <w:color w:val="000000"/>
                <w:sz w:val="22"/>
                <w:szCs w:val="22"/>
              </w:rPr>
              <w:t>Very premature infants (born ≤28 weeks of gestation) who are in hospital should have respiratory monitoring for 48-72 hrs when given their first immunisation, particularly those with a previous history of respiratory immaturity. If the child has apnoea, bradycardia or desaturations after the first immunisation, the second immunisation should also be given in hospital, with respiratory monitoring for 48-72 hrs</w:t>
            </w:r>
            <w:r w:rsidR="00435B1F">
              <w:rPr>
                <w:rFonts w:cs="Arial"/>
                <w:color w:val="000000"/>
                <w:sz w:val="22"/>
                <w:szCs w:val="22"/>
              </w:rPr>
              <w:t>.</w:t>
            </w:r>
          </w:p>
        </w:tc>
      </w:tr>
      <w:tr w:rsidR="00A956FD" w:rsidRPr="00A956FD" w:rsidTr="00E47B6D">
        <w:tc>
          <w:tcPr>
            <w:tcW w:w="2977" w:type="dxa"/>
          </w:tcPr>
          <w:p w:rsidR="008F3F4D" w:rsidRPr="00E34432" w:rsidRDefault="004E122F" w:rsidP="00B4381D">
            <w:pPr>
              <w:pStyle w:val="Header"/>
              <w:tabs>
                <w:tab w:val="clear" w:pos="4153"/>
                <w:tab w:val="clear" w:pos="8306"/>
              </w:tabs>
              <w:spacing w:before="120" w:after="120"/>
              <w:rPr>
                <w:rFonts w:ascii="Arial" w:hAnsi="Arial" w:cs="Arial"/>
                <w:b/>
                <w:sz w:val="22"/>
                <w:szCs w:val="22"/>
              </w:rPr>
            </w:pPr>
            <w:r>
              <w:br w:type="page"/>
            </w:r>
            <w:r w:rsidR="00AD5B95" w:rsidRPr="00E34432">
              <w:rPr>
                <w:rFonts w:ascii="Arial" w:hAnsi="Arial" w:cs="Arial"/>
                <w:b/>
                <w:sz w:val="22"/>
                <w:szCs w:val="22"/>
              </w:rPr>
              <w:t xml:space="preserve">Action to be taken if the patient is </w:t>
            </w:r>
            <w:r w:rsidR="001226E9" w:rsidRPr="00E34432">
              <w:rPr>
                <w:rFonts w:ascii="Arial" w:hAnsi="Arial" w:cs="Arial"/>
                <w:b/>
                <w:sz w:val="22"/>
                <w:szCs w:val="22"/>
              </w:rPr>
              <w:t>excluded</w:t>
            </w:r>
          </w:p>
          <w:p w:rsidR="008F3F4D" w:rsidRPr="00E34432" w:rsidRDefault="008F3F4D" w:rsidP="00B4381D">
            <w:pPr>
              <w:pStyle w:val="Header"/>
              <w:tabs>
                <w:tab w:val="clear" w:pos="4153"/>
                <w:tab w:val="clear" w:pos="8306"/>
              </w:tabs>
              <w:spacing w:before="120" w:after="120"/>
              <w:rPr>
                <w:rFonts w:ascii="Arial" w:hAnsi="Arial" w:cs="Arial"/>
                <w:b/>
                <w:sz w:val="22"/>
                <w:szCs w:val="22"/>
              </w:rPr>
            </w:pPr>
          </w:p>
          <w:p w:rsidR="008F3F4D" w:rsidRDefault="008F3F4D" w:rsidP="00B4381D">
            <w:pPr>
              <w:pStyle w:val="Header"/>
              <w:tabs>
                <w:tab w:val="clear" w:pos="4153"/>
                <w:tab w:val="clear" w:pos="8306"/>
              </w:tabs>
              <w:spacing w:before="120" w:after="120"/>
              <w:rPr>
                <w:rFonts w:ascii="Arial" w:hAnsi="Arial" w:cs="Arial"/>
                <w:sz w:val="22"/>
                <w:szCs w:val="22"/>
              </w:rPr>
            </w:pPr>
          </w:p>
          <w:p w:rsidR="00CD007D" w:rsidRDefault="00CD007D" w:rsidP="00B4381D">
            <w:pPr>
              <w:pStyle w:val="Header"/>
              <w:tabs>
                <w:tab w:val="clear" w:pos="4153"/>
                <w:tab w:val="clear" w:pos="8306"/>
              </w:tabs>
              <w:spacing w:before="120" w:after="120"/>
              <w:rPr>
                <w:rFonts w:ascii="Arial" w:hAnsi="Arial" w:cs="Arial"/>
                <w:sz w:val="22"/>
                <w:szCs w:val="22"/>
              </w:rPr>
            </w:pPr>
          </w:p>
          <w:p w:rsidR="00CD007D" w:rsidRDefault="00CD007D" w:rsidP="00B4381D">
            <w:pPr>
              <w:pStyle w:val="Header"/>
              <w:tabs>
                <w:tab w:val="clear" w:pos="4153"/>
                <w:tab w:val="clear" w:pos="8306"/>
              </w:tabs>
              <w:spacing w:before="120" w:after="120"/>
              <w:rPr>
                <w:rFonts w:ascii="Arial" w:hAnsi="Arial" w:cs="Arial"/>
                <w:sz w:val="22"/>
                <w:szCs w:val="22"/>
              </w:rPr>
            </w:pPr>
          </w:p>
          <w:p w:rsidR="00CD007D" w:rsidRDefault="00CD007D" w:rsidP="00B4381D">
            <w:pPr>
              <w:pStyle w:val="Header"/>
              <w:tabs>
                <w:tab w:val="clear" w:pos="4153"/>
                <w:tab w:val="clear" w:pos="8306"/>
              </w:tabs>
              <w:spacing w:before="120" w:after="120"/>
              <w:rPr>
                <w:rFonts w:ascii="Arial" w:hAnsi="Arial" w:cs="Arial"/>
                <w:sz w:val="22"/>
                <w:szCs w:val="22"/>
              </w:rPr>
            </w:pPr>
          </w:p>
          <w:p w:rsidR="00CD007D" w:rsidRDefault="00CD007D" w:rsidP="00B4381D">
            <w:pPr>
              <w:pStyle w:val="Header"/>
              <w:tabs>
                <w:tab w:val="clear" w:pos="4153"/>
                <w:tab w:val="clear" w:pos="8306"/>
              </w:tabs>
              <w:spacing w:before="120" w:after="120"/>
              <w:rPr>
                <w:rFonts w:ascii="Arial" w:hAnsi="Arial" w:cs="Arial"/>
                <w:sz w:val="22"/>
                <w:szCs w:val="22"/>
              </w:rPr>
            </w:pPr>
          </w:p>
          <w:p w:rsidR="00CD007D" w:rsidRDefault="00CD007D" w:rsidP="00B4381D">
            <w:pPr>
              <w:pStyle w:val="Header"/>
              <w:tabs>
                <w:tab w:val="clear" w:pos="4153"/>
                <w:tab w:val="clear" w:pos="8306"/>
              </w:tabs>
              <w:spacing w:before="120" w:after="120"/>
              <w:rPr>
                <w:rFonts w:ascii="Arial" w:hAnsi="Arial" w:cs="Arial"/>
                <w:sz w:val="22"/>
                <w:szCs w:val="22"/>
              </w:rPr>
            </w:pPr>
          </w:p>
          <w:p w:rsidR="00CD007D" w:rsidRDefault="00CD007D" w:rsidP="00B4381D">
            <w:pPr>
              <w:pStyle w:val="Header"/>
              <w:tabs>
                <w:tab w:val="clear" w:pos="4153"/>
                <w:tab w:val="clear" w:pos="8306"/>
              </w:tabs>
              <w:spacing w:before="120" w:after="120"/>
              <w:rPr>
                <w:rFonts w:ascii="Arial" w:hAnsi="Arial" w:cs="Arial"/>
                <w:sz w:val="22"/>
                <w:szCs w:val="22"/>
              </w:rPr>
            </w:pPr>
          </w:p>
          <w:p w:rsidR="00CD007D" w:rsidRDefault="00CD007D" w:rsidP="00B4381D">
            <w:pPr>
              <w:pStyle w:val="Header"/>
              <w:tabs>
                <w:tab w:val="clear" w:pos="4153"/>
                <w:tab w:val="clear" w:pos="8306"/>
              </w:tabs>
              <w:spacing w:before="120" w:after="120"/>
              <w:rPr>
                <w:rFonts w:ascii="Arial" w:hAnsi="Arial" w:cs="Arial"/>
                <w:sz w:val="22"/>
                <w:szCs w:val="22"/>
              </w:rPr>
            </w:pPr>
          </w:p>
          <w:p w:rsidR="00CD007D" w:rsidRDefault="00CD007D" w:rsidP="00B4381D">
            <w:pPr>
              <w:pStyle w:val="Header"/>
              <w:tabs>
                <w:tab w:val="clear" w:pos="4153"/>
                <w:tab w:val="clear" w:pos="8306"/>
              </w:tabs>
              <w:spacing w:before="120" w:after="120"/>
              <w:rPr>
                <w:rFonts w:ascii="Arial" w:hAnsi="Arial" w:cs="Arial"/>
                <w:sz w:val="22"/>
                <w:szCs w:val="22"/>
              </w:rPr>
            </w:pPr>
          </w:p>
          <w:p w:rsidR="00CD007D" w:rsidRDefault="00CD007D" w:rsidP="00B4381D">
            <w:pPr>
              <w:pStyle w:val="Header"/>
              <w:tabs>
                <w:tab w:val="clear" w:pos="4153"/>
                <w:tab w:val="clear" w:pos="8306"/>
              </w:tabs>
              <w:spacing w:before="120" w:after="120"/>
              <w:rPr>
                <w:rFonts w:ascii="Arial" w:hAnsi="Arial" w:cs="Arial"/>
                <w:sz w:val="22"/>
                <w:szCs w:val="22"/>
              </w:rPr>
            </w:pPr>
          </w:p>
          <w:p w:rsidR="00CD007D" w:rsidRDefault="00CD007D" w:rsidP="00B4381D">
            <w:pPr>
              <w:pStyle w:val="Header"/>
              <w:tabs>
                <w:tab w:val="clear" w:pos="4153"/>
                <w:tab w:val="clear" w:pos="8306"/>
              </w:tabs>
              <w:spacing w:before="120" w:after="120"/>
              <w:rPr>
                <w:rFonts w:ascii="Arial" w:hAnsi="Arial" w:cs="Arial"/>
                <w:sz w:val="22"/>
                <w:szCs w:val="22"/>
              </w:rPr>
            </w:pPr>
          </w:p>
          <w:p w:rsidR="00CD007D" w:rsidRDefault="00CD007D" w:rsidP="00B4381D">
            <w:pPr>
              <w:pStyle w:val="Header"/>
              <w:tabs>
                <w:tab w:val="clear" w:pos="4153"/>
                <w:tab w:val="clear" w:pos="8306"/>
              </w:tabs>
              <w:spacing w:before="120" w:after="120"/>
              <w:rPr>
                <w:rFonts w:ascii="Arial" w:hAnsi="Arial" w:cs="Arial"/>
                <w:sz w:val="22"/>
                <w:szCs w:val="22"/>
              </w:rPr>
            </w:pPr>
          </w:p>
          <w:p w:rsidR="00CD007D" w:rsidRDefault="00CD007D" w:rsidP="00B4381D">
            <w:pPr>
              <w:pStyle w:val="Header"/>
              <w:tabs>
                <w:tab w:val="clear" w:pos="4153"/>
                <w:tab w:val="clear" w:pos="8306"/>
              </w:tabs>
              <w:spacing w:before="120" w:after="120"/>
              <w:rPr>
                <w:rFonts w:ascii="Arial" w:hAnsi="Arial" w:cs="Arial"/>
                <w:sz w:val="22"/>
                <w:szCs w:val="22"/>
              </w:rPr>
            </w:pPr>
          </w:p>
          <w:p w:rsidR="00CD007D" w:rsidRDefault="00CD007D" w:rsidP="00B4381D">
            <w:pPr>
              <w:pStyle w:val="Header"/>
              <w:tabs>
                <w:tab w:val="clear" w:pos="4153"/>
                <w:tab w:val="clear" w:pos="8306"/>
              </w:tabs>
              <w:spacing w:before="120" w:after="120"/>
              <w:rPr>
                <w:rFonts w:ascii="Arial" w:hAnsi="Arial" w:cs="Arial"/>
                <w:sz w:val="22"/>
                <w:szCs w:val="22"/>
              </w:rPr>
            </w:pPr>
          </w:p>
          <w:p w:rsidR="00CD007D" w:rsidRDefault="00CD007D" w:rsidP="00B4381D">
            <w:pPr>
              <w:pStyle w:val="Header"/>
              <w:tabs>
                <w:tab w:val="clear" w:pos="4153"/>
                <w:tab w:val="clear" w:pos="8306"/>
              </w:tabs>
              <w:spacing w:before="120" w:after="120"/>
              <w:rPr>
                <w:rFonts w:ascii="Arial" w:hAnsi="Arial" w:cs="Arial"/>
                <w:sz w:val="22"/>
                <w:szCs w:val="22"/>
              </w:rPr>
            </w:pPr>
          </w:p>
          <w:p w:rsidR="00CD007D" w:rsidRDefault="00CD007D" w:rsidP="00B4381D">
            <w:pPr>
              <w:pStyle w:val="Header"/>
              <w:tabs>
                <w:tab w:val="clear" w:pos="4153"/>
                <w:tab w:val="clear" w:pos="8306"/>
              </w:tabs>
              <w:spacing w:before="120" w:after="120"/>
              <w:rPr>
                <w:rFonts w:ascii="Arial" w:hAnsi="Arial" w:cs="Arial"/>
                <w:sz w:val="22"/>
                <w:szCs w:val="22"/>
              </w:rPr>
            </w:pPr>
          </w:p>
          <w:p w:rsidR="00CD007D" w:rsidRDefault="00CD007D" w:rsidP="00B4381D">
            <w:pPr>
              <w:pStyle w:val="Header"/>
              <w:tabs>
                <w:tab w:val="clear" w:pos="4153"/>
                <w:tab w:val="clear" w:pos="8306"/>
              </w:tabs>
              <w:spacing w:before="120" w:after="120"/>
              <w:rPr>
                <w:rFonts w:ascii="Arial" w:hAnsi="Arial" w:cs="Arial"/>
                <w:sz w:val="22"/>
                <w:szCs w:val="22"/>
              </w:rPr>
            </w:pPr>
            <w:r>
              <w:rPr>
                <w:rFonts w:ascii="Arial" w:hAnsi="Arial" w:cs="Arial"/>
                <w:sz w:val="22"/>
                <w:szCs w:val="22"/>
              </w:rPr>
              <w:t>(continued over page)</w:t>
            </w:r>
          </w:p>
          <w:p w:rsidR="00CD007D" w:rsidRDefault="00CD007D" w:rsidP="00B4381D">
            <w:pPr>
              <w:pStyle w:val="Header"/>
              <w:tabs>
                <w:tab w:val="clear" w:pos="4153"/>
                <w:tab w:val="clear" w:pos="8306"/>
              </w:tabs>
              <w:spacing w:before="120" w:after="120"/>
              <w:contextualSpacing/>
              <w:rPr>
                <w:rFonts w:ascii="Arial" w:hAnsi="Arial" w:cs="Arial"/>
                <w:b/>
                <w:sz w:val="22"/>
                <w:szCs w:val="22"/>
              </w:rPr>
            </w:pPr>
            <w:r w:rsidRPr="00E34432">
              <w:rPr>
                <w:rFonts w:ascii="Arial" w:hAnsi="Arial" w:cs="Arial"/>
                <w:b/>
                <w:sz w:val="22"/>
                <w:szCs w:val="22"/>
              </w:rPr>
              <w:lastRenderedPageBreak/>
              <w:t>Action to be taken if the patient is excluded</w:t>
            </w:r>
          </w:p>
          <w:p w:rsidR="00CD007D" w:rsidRPr="00CD007D" w:rsidRDefault="00CD007D" w:rsidP="00B4381D">
            <w:pPr>
              <w:pStyle w:val="Header"/>
              <w:tabs>
                <w:tab w:val="clear" w:pos="4153"/>
                <w:tab w:val="clear" w:pos="8306"/>
              </w:tabs>
              <w:spacing w:before="120" w:after="120"/>
              <w:contextualSpacing/>
              <w:rPr>
                <w:rFonts w:ascii="Arial" w:hAnsi="Arial" w:cs="Arial"/>
                <w:sz w:val="22"/>
                <w:szCs w:val="22"/>
              </w:rPr>
            </w:pPr>
            <w:r w:rsidRPr="00CD007D">
              <w:rPr>
                <w:rFonts w:ascii="Arial" w:hAnsi="Arial" w:cs="Arial"/>
                <w:sz w:val="22"/>
                <w:szCs w:val="22"/>
              </w:rPr>
              <w:t>(continued)</w:t>
            </w:r>
          </w:p>
        </w:tc>
        <w:tc>
          <w:tcPr>
            <w:tcW w:w="6946" w:type="dxa"/>
          </w:tcPr>
          <w:p w:rsidR="009D4704" w:rsidRDefault="00E34432" w:rsidP="00B4381D">
            <w:pPr>
              <w:pStyle w:val="TableParagraph"/>
              <w:spacing w:before="120" w:after="120"/>
              <w:rPr>
                <w:rFonts w:ascii="Arial" w:eastAsiaTheme="minorHAnsi" w:hAnsi="Arial" w:cs="Arial"/>
                <w:lang w:val="en-GB"/>
              </w:rPr>
            </w:pPr>
            <w:r w:rsidRPr="00F9795C">
              <w:rPr>
                <w:rFonts w:ascii="Arial" w:eastAsiaTheme="minorHAnsi" w:hAnsi="Arial" w:cs="Arial"/>
                <w:lang w:val="en-GB"/>
              </w:rPr>
              <w:lastRenderedPageBreak/>
              <w:t xml:space="preserve">If aged less than </w:t>
            </w:r>
            <w:r w:rsidR="009D4704">
              <w:rPr>
                <w:rFonts w:ascii="Arial" w:eastAsiaTheme="minorHAnsi" w:hAnsi="Arial" w:cs="Arial"/>
                <w:lang w:val="en-GB"/>
              </w:rPr>
              <w:t>8 weeks</w:t>
            </w:r>
            <w:r w:rsidR="00D157DB">
              <w:rPr>
                <w:rFonts w:ascii="Arial" w:eastAsiaTheme="minorHAnsi" w:hAnsi="Arial" w:cs="Arial"/>
                <w:lang w:val="en-GB"/>
              </w:rPr>
              <w:t xml:space="preserve"> </w:t>
            </w:r>
            <w:r w:rsidR="00D157DB" w:rsidRPr="00D157DB">
              <w:rPr>
                <w:rFonts w:ascii="Arial" w:eastAsiaTheme="minorHAnsi" w:hAnsi="Arial" w:cs="Arial"/>
                <w:lang w:val="en-GB"/>
              </w:rPr>
              <w:t xml:space="preserve">advise to return for routine immunisation when </w:t>
            </w:r>
            <w:r w:rsidR="00437D7D">
              <w:rPr>
                <w:rFonts w:ascii="Arial" w:eastAsiaTheme="minorHAnsi" w:hAnsi="Arial" w:cs="Arial"/>
                <w:lang w:val="en-GB"/>
              </w:rPr>
              <w:t xml:space="preserve">the </w:t>
            </w:r>
            <w:r w:rsidR="00D157DB" w:rsidRPr="00D157DB">
              <w:rPr>
                <w:rFonts w:ascii="Arial" w:eastAsiaTheme="minorHAnsi" w:hAnsi="Arial" w:cs="Arial"/>
                <w:lang w:val="en-GB"/>
              </w:rPr>
              <w:t xml:space="preserve">child is 8 weeks of age or over and give an appropriate appointment. </w:t>
            </w:r>
            <w:r w:rsidR="00D157DB">
              <w:rPr>
                <w:rFonts w:ascii="Arial" w:eastAsiaTheme="minorHAnsi" w:hAnsi="Arial" w:cs="Arial"/>
                <w:lang w:val="en-GB"/>
              </w:rPr>
              <w:t>I</w:t>
            </w:r>
            <w:r w:rsidR="00D157DB" w:rsidRPr="00D157DB">
              <w:rPr>
                <w:rFonts w:ascii="Arial" w:eastAsiaTheme="minorHAnsi" w:hAnsi="Arial" w:cs="Arial"/>
                <w:lang w:val="en-GB"/>
              </w:rPr>
              <w:t>mmunisation can be administered</w:t>
            </w:r>
            <w:r w:rsidR="00437D7D">
              <w:rPr>
                <w:rFonts w:ascii="Arial" w:eastAsiaTheme="minorHAnsi" w:hAnsi="Arial" w:cs="Arial"/>
                <w:lang w:val="en-GB"/>
              </w:rPr>
              <w:t xml:space="preserve"> under a PSD</w:t>
            </w:r>
            <w:r w:rsidR="00D157DB" w:rsidRPr="00D157DB">
              <w:rPr>
                <w:rFonts w:ascii="Arial" w:eastAsiaTheme="minorHAnsi" w:hAnsi="Arial" w:cs="Arial"/>
                <w:lang w:val="en-GB"/>
              </w:rPr>
              <w:t xml:space="preserve"> to infants from 6 weeks of age</w:t>
            </w:r>
            <w:r w:rsidR="00437D7D">
              <w:rPr>
                <w:rFonts w:ascii="Arial" w:eastAsiaTheme="minorHAnsi" w:hAnsi="Arial" w:cs="Arial"/>
                <w:lang w:val="en-GB"/>
              </w:rPr>
              <w:t xml:space="preserve"> </w:t>
            </w:r>
            <w:r w:rsidR="00CD007D">
              <w:rPr>
                <w:rFonts w:ascii="Arial" w:eastAsiaTheme="minorHAnsi" w:hAnsi="Arial" w:cs="Arial"/>
                <w:lang w:val="en-GB"/>
              </w:rPr>
              <w:t>if required eg</w:t>
            </w:r>
            <w:r w:rsidR="00D157DB" w:rsidRPr="00D157DB">
              <w:rPr>
                <w:rFonts w:ascii="Arial" w:eastAsiaTheme="minorHAnsi" w:hAnsi="Arial" w:cs="Arial"/>
                <w:lang w:val="en-GB"/>
              </w:rPr>
              <w:t xml:space="preserve"> if travelling abroad</w:t>
            </w:r>
            <w:r w:rsidR="00D157DB">
              <w:rPr>
                <w:rFonts w:ascii="Arial" w:eastAsiaTheme="minorHAnsi" w:hAnsi="Arial" w:cs="Arial"/>
                <w:lang w:val="en-GB"/>
              </w:rPr>
              <w:t xml:space="preserve">. </w:t>
            </w:r>
          </w:p>
          <w:p w:rsidR="00D13D9E" w:rsidRPr="00F9795C" w:rsidRDefault="009D4704" w:rsidP="00B4381D">
            <w:pPr>
              <w:pStyle w:val="TableParagraph"/>
              <w:spacing w:before="120" w:after="120"/>
              <w:rPr>
                <w:rFonts w:ascii="Arial" w:eastAsiaTheme="minorHAnsi" w:hAnsi="Arial" w:cs="Arial"/>
                <w:lang w:val="en-GB"/>
              </w:rPr>
            </w:pPr>
            <w:r>
              <w:rPr>
                <w:rFonts w:ascii="Arial" w:eastAsiaTheme="minorHAnsi" w:hAnsi="Arial" w:cs="Arial"/>
                <w:lang w:val="en-GB"/>
              </w:rPr>
              <w:t>If aged</w:t>
            </w:r>
            <w:r w:rsidR="00E34432" w:rsidRPr="00F9795C">
              <w:rPr>
                <w:rFonts w:ascii="Arial" w:eastAsiaTheme="minorHAnsi" w:hAnsi="Arial" w:cs="Arial"/>
                <w:lang w:val="en-GB"/>
              </w:rPr>
              <w:t xml:space="preserve"> 10 years </w:t>
            </w:r>
            <w:r w:rsidR="00437D7D">
              <w:rPr>
                <w:rFonts w:ascii="Arial" w:eastAsiaTheme="minorHAnsi" w:hAnsi="Arial" w:cs="Arial"/>
                <w:lang w:val="en-GB"/>
              </w:rPr>
              <w:t xml:space="preserve">or over </w:t>
            </w:r>
            <w:r w:rsidR="008846CE" w:rsidRPr="00F9795C">
              <w:rPr>
                <w:rFonts w:ascii="Arial" w:eastAsiaTheme="minorHAnsi" w:hAnsi="Arial" w:cs="Arial"/>
                <w:lang w:val="en-GB"/>
              </w:rPr>
              <w:t>assess for immunisation with</w:t>
            </w:r>
            <w:r w:rsidR="007E7909" w:rsidRPr="00F9795C">
              <w:rPr>
                <w:rFonts w:ascii="Arial" w:eastAsiaTheme="minorHAnsi" w:hAnsi="Arial" w:cs="Arial"/>
                <w:lang w:val="en-GB"/>
              </w:rPr>
              <w:t xml:space="preserve"> </w:t>
            </w:r>
            <w:r w:rsidR="00E34432" w:rsidRPr="00F9795C">
              <w:rPr>
                <w:rFonts w:ascii="Arial" w:eastAsiaTheme="minorHAnsi" w:hAnsi="Arial" w:cs="Arial"/>
                <w:lang w:val="en-GB"/>
              </w:rPr>
              <w:t>Td/IPV</w:t>
            </w:r>
            <w:r w:rsidR="007E7909" w:rsidRPr="00F9795C">
              <w:rPr>
                <w:rFonts w:ascii="Arial" w:eastAsiaTheme="minorHAnsi" w:hAnsi="Arial" w:cs="Arial"/>
                <w:lang w:val="en-GB"/>
              </w:rPr>
              <w:t xml:space="preserve"> as appropriate.</w:t>
            </w:r>
            <w:r w:rsidR="008846CE" w:rsidRPr="00F9795C">
              <w:rPr>
                <w:rFonts w:ascii="Arial" w:eastAsiaTheme="minorHAnsi" w:hAnsi="Arial" w:cs="Arial"/>
                <w:lang w:val="en-GB"/>
              </w:rPr>
              <w:t xml:space="preserve"> </w:t>
            </w:r>
          </w:p>
          <w:p w:rsidR="008846CE" w:rsidRPr="00F9795C" w:rsidRDefault="008846CE" w:rsidP="008846CE">
            <w:pPr>
              <w:overflowPunct/>
              <w:textAlignment w:val="auto"/>
              <w:rPr>
                <w:rFonts w:eastAsiaTheme="minorHAnsi" w:cs="Arial"/>
                <w:sz w:val="22"/>
                <w:szCs w:val="22"/>
                <w:lang w:eastAsia="en-US"/>
              </w:rPr>
            </w:pPr>
            <w:r w:rsidRPr="00F9795C">
              <w:rPr>
                <w:rFonts w:eastAsiaTheme="minorHAnsi" w:cs="Arial"/>
                <w:sz w:val="22"/>
                <w:szCs w:val="22"/>
                <w:lang w:eastAsia="en-US"/>
              </w:rPr>
              <w:t xml:space="preserve">If </w:t>
            </w:r>
            <w:r w:rsidR="009D4704">
              <w:rPr>
                <w:rFonts w:eastAsiaTheme="minorHAnsi" w:cs="Arial"/>
                <w:sz w:val="22"/>
                <w:szCs w:val="22"/>
                <w:lang w:eastAsia="en-US"/>
              </w:rPr>
              <w:t>previous primary dose administered within last 4 weeks</w:t>
            </w:r>
            <w:r w:rsidR="00BB190D" w:rsidRPr="00F9795C">
              <w:rPr>
                <w:rFonts w:eastAsiaTheme="minorHAnsi" w:cs="Arial"/>
                <w:sz w:val="22"/>
                <w:szCs w:val="22"/>
                <w:lang w:eastAsia="en-US"/>
              </w:rPr>
              <w:t xml:space="preserve"> </w:t>
            </w:r>
            <w:r w:rsidR="009D4704">
              <w:rPr>
                <w:rFonts w:eastAsiaTheme="minorHAnsi" w:cs="Arial"/>
                <w:sz w:val="22"/>
                <w:szCs w:val="22"/>
                <w:lang w:eastAsia="en-US"/>
              </w:rPr>
              <w:t>defer immunisation for</w:t>
            </w:r>
            <w:r w:rsidRPr="00F9795C">
              <w:rPr>
                <w:rFonts w:eastAsiaTheme="minorHAnsi" w:cs="Arial"/>
                <w:sz w:val="22"/>
                <w:szCs w:val="22"/>
                <w:lang w:eastAsia="en-US"/>
              </w:rPr>
              <w:t xml:space="preserve"> </w:t>
            </w:r>
            <w:r w:rsidR="00437D7D">
              <w:rPr>
                <w:rFonts w:eastAsiaTheme="minorHAnsi" w:cs="Arial"/>
                <w:sz w:val="22"/>
                <w:szCs w:val="22"/>
                <w:lang w:eastAsia="en-US"/>
              </w:rPr>
              <w:t xml:space="preserve">an </w:t>
            </w:r>
            <w:r w:rsidRPr="00F9795C">
              <w:rPr>
                <w:rFonts w:eastAsiaTheme="minorHAnsi" w:cs="Arial"/>
                <w:sz w:val="22"/>
                <w:szCs w:val="22"/>
                <w:lang w:eastAsia="en-US"/>
              </w:rPr>
              <w:t>appropriate interval.</w:t>
            </w:r>
          </w:p>
          <w:p w:rsidR="009B447C" w:rsidRDefault="006C69EC" w:rsidP="00A92A96">
            <w:pPr>
              <w:overflowPunct/>
              <w:spacing w:before="120" w:after="120"/>
              <w:textAlignment w:val="auto"/>
              <w:rPr>
                <w:rFonts w:cs="TimesNewRomanPS"/>
                <w:sz w:val="22"/>
                <w:szCs w:val="22"/>
              </w:rPr>
            </w:pPr>
            <w:r w:rsidRPr="00696514">
              <w:rPr>
                <w:rFonts w:eastAsiaTheme="minorHAnsi" w:cs="Arial"/>
                <w:sz w:val="22"/>
                <w:szCs w:val="22"/>
                <w:lang w:eastAsia="en-US"/>
              </w:rPr>
              <w:t>Individual</w:t>
            </w:r>
            <w:r w:rsidR="009B447C" w:rsidRPr="00696514">
              <w:rPr>
                <w:rFonts w:eastAsiaTheme="minorHAnsi" w:cs="Arial"/>
                <w:sz w:val="22"/>
                <w:szCs w:val="22"/>
                <w:lang w:eastAsia="en-US"/>
              </w:rPr>
              <w:t xml:space="preserve">s with </w:t>
            </w:r>
            <w:r w:rsidRPr="00696514">
              <w:rPr>
                <w:rFonts w:eastAsiaTheme="minorHAnsi" w:cs="Arial"/>
                <w:sz w:val="22"/>
                <w:szCs w:val="22"/>
                <w:lang w:eastAsia="en-US"/>
              </w:rPr>
              <w:t xml:space="preserve">a </w:t>
            </w:r>
            <w:r w:rsidR="009B447C" w:rsidRPr="00696514">
              <w:rPr>
                <w:rFonts w:eastAsiaTheme="minorHAnsi" w:cs="Arial"/>
                <w:sz w:val="22"/>
                <w:szCs w:val="22"/>
                <w:lang w:eastAsia="en-US"/>
              </w:rPr>
              <w:t>current unstable neurological condition</w:t>
            </w:r>
            <w:r w:rsidR="006D31E5">
              <w:rPr>
                <w:rFonts w:eastAsiaTheme="minorHAnsi" w:cs="Arial"/>
                <w:sz w:val="22"/>
                <w:szCs w:val="22"/>
                <w:lang w:eastAsia="en-US"/>
              </w:rPr>
              <w:t xml:space="preserve"> of unknown cause</w:t>
            </w:r>
            <w:r w:rsidR="009B447C" w:rsidRPr="00696514">
              <w:rPr>
                <w:rFonts w:eastAsiaTheme="minorHAnsi" w:cs="Arial"/>
                <w:sz w:val="22"/>
                <w:szCs w:val="22"/>
                <w:lang w:eastAsia="en-US"/>
              </w:rPr>
              <w:t xml:space="preserve">, including poorly controlled epilepsy, </w:t>
            </w:r>
            <w:r w:rsidR="009B447C" w:rsidRPr="00696514">
              <w:rPr>
                <w:rFonts w:cs="TimesNewRomanPS"/>
                <w:sz w:val="22"/>
                <w:szCs w:val="22"/>
              </w:rPr>
              <w:t xml:space="preserve">should </w:t>
            </w:r>
            <w:r w:rsidRPr="00696514">
              <w:rPr>
                <w:rFonts w:cs="TimesNewRomanPS"/>
                <w:sz w:val="22"/>
                <w:szCs w:val="22"/>
              </w:rPr>
              <w:t>defer immunisation</w:t>
            </w:r>
            <w:r w:rsidR="009B447C" w:rsidRPr="00696514">
              <w:rPr>
                <w:rFonts w:cs="TimesNewRomanPS"/>
                <w:sz w:val="22"/>
                <w:szCs w:val="22"/>
              </w:rPr>
              <w:t xml:space="preserve"> and the </w:t>
            </w:r>
            <w:r w:rsidR="006C1805" w:rsidRPr="00696514">
              <w:rPr>
                <w:rFonts w:cs="TimesNewRomanPS"/>
                <w:sz w:val="22"/>
                <w:szCs w:val="22"/>
              </w:rPr>
              <w:t>individual should be referred to a</w:t>
            </w:r>
            <w:r w:rsidR="009B447C" w:rsidRPr="00696514">
              <w:rPr>
                <w:rFonts w:cs="TimesNewRomanPS"/>
                <w:sz w:val="22"/>
                <w:szCs w:val="22"/>
              </w:rPr>
              <w:t xml:space="preserve"> specialist for investigation to see if an underlying cause can be identified. If a cause is not identified, immunisation should be deferred until the condition has stabilised. If a cause is identified</w:t>
            </w:r>
            <w:r w:rsidR="000E6C2B">
              <w:rPr>
                <w:rFonts w:cs="TimesNewRomanPS"/>
                <w:sz w:val="22"/>
                <w:szCs w:val="22"/>
              </w:rPr>
              <w:t xml:space="preserve"> </w:t>
            </w:r>
            <w:r w:rsidR="000E6C2B" w:rsidRPr="000E6C2B">
              <w:rPr>
                <w:rFonts w:cs="TimesNewRomanPS"/>
                <w:sz w:val="22"/>
                <w:szCs w:val="22"/>
              </w:rPr>
              <w:t>immunisation should proceed as recommended.</w:t>
            </w:r>
            <w:r w:rsidR="009B447C" w:rsidRPr="00696514">
              <w:rPr>
                <w:rFonts w:cs="TimesNewRomanPS"/>
                <w:sz w:val="22"/>
                <w:szCs w:val="22"/>
              </w:rPr>
              <w:t xml:space="preserve"> </w:t>
            </w:r>
          </w:p>
          <w:p w:rsidR="00227974" w:rsidRPr="000E6C2B" w:rsidRDefault="00227974" w:rsidP="00A92A96">
            <w:pPr>
              <w:overflowPunct/>
              <w:spacing w:before="120" w:after="120"/>
              <w:textAlignment w:val="auto"/>
              <w:rPr>
                <w:rFonts w:cs="TimesNewRomanPS"/>
                <w:sz w:val="22"/>
                <w:szCs w:val="22"/>
              </w:rPr>
            </w:pPr>
            <w:r w:rsidRPr="000E6C2B">
              <w:rPr>
                <w:rFonts w:cs="TimesNewRomanPS"/>
                <w:sz w:val="22"/>
                <w:szCs w:val="22"/>
              </w:rPr>
              <w:t xml:space="preserve">If a child experiences encephalopathy or encephalitis within seven days of immunisation, the advice in the flow chart in </w:t>
            </w:r>
            <w:r w:rsidR="00750C59">
              <w:rPr>
                <w:rFonts w:cs="TimesNewRomanPS"/>
                <w:sz w:val="22"/>
                <w:szCs w:val="22"/>
              </w:rPr>
              <w:t xml:space="preserve">“The Green Book” </w:t>
            </w:r>
            <w:hyperlink r:id="rId29" w:history="1">
              <w:r w:rsidR="00750C59">
                <w:rPr>
                  <w:rStyle w:val="Hyperlink"/>
                  <w:rFonts w:cs="Arial"/>
                  <w:sz w:val="22"/>
                  <w:szCs w:val="22"/>
                </w:rPr>
                <w:t>C</w:t>
              </w:r>
              <w:r w:rsidR="00750C59" w:rsidRPr="009B6F85">
                <w:rPr>
                  <w:rStyle w:val="Hyperlink"/>
                  <w:rFonts w:cs="Arial"/>
                  <w:sz w:val="22"/>
                  <w:szCs w:val="22"/>
                </w:rPr>
                <w:t>hapter 24</w:t>
              </w:r>
            </w:hyperlink>
            <w:r w:rsidR="00750C59">
              <w:rPr>
                <w:rFonts w:cs="TimesNewRomanPS"/>
                <w:sz w:val="22"/>
                <w:szCs w:val="22"/>
              </w:rPr>
              <w:t xml:space="preserve"> </w:t>
            </w:r>
            <w:r w:rsidRPr="000E6C2B">
              <w:rPr>
                <w:rFonts w:cs="TimesNewRomanPS"/>
                <w:sz w:val="22"/>
                <w:szCs w:val="22"/>
              </w:rPr>
              <w:t>Figure 24.5 should be followed. It is unlikely that these conditions will have been caused by the vaccine and they should be investigated by a specialist. If a cause is identified or the child recovers within seven days, immunisation should proceed as recommended. In children where no underlying cause was found and the child did not recover completely within seven days, immunisation should be deferred until the condition has stabilised</w:t>
            </w:r>
            <w:r w:rsidR="009B4519" w:rsidRPr="000E6C2B">
              <w:rPr>
                <w:rFonts w:cs="TimesNewRomanPS"/>
                <w:sz w:val="22"/>
                <w:szCs w:val="22"/>
              </w:rPr>
              <w:t>.</w:t>
            </w:r>
          </w:p>
          <w:p w:rsidR="00864DAD" w:rsidRPr="00366548" w:rsidRDefault="00864DAD" w:rsidP="00B4381D">
            <w:pPr>
              <w:pStyle w:val="TableParagraph"/>
              <w:spacing w:before="120" w:after="120"/>
              <w:rPr>
                <w:rFonts w:ascii="Arial" w:eastAsiaTheme="minorHAnsi" w:hAnsi="Arial" w:cs="Arial"/>
                <w:lang w:val="en-GB"/>
              </w:rPr>
            </w:pPr>
            <w:r w:rsidRPr="00366548">
              <w:rPr>
                <w:rFonts w:ascii="Arial" w:eastAsiaTheme="minorHAnsi" w:hAnsi="Arial" w:cs="Arial"/>
                <w:lang w:val="en-GB"/>
              </w:rPr>
              <w:t>Seek appropriate advice from the local Screening and Immunisation Team, a Consultant in Health Protection or the i</w:t>
            </w:r>
            <w:r w:rsidR="00A33792" w:rsidRPr="00366548">
              <w:rPr>
                <w:rFonts w:ascii="Arial" w:eastAsiaTheme="minorHAnsi" w:hAnsi="Arial" w:cs="Arial"/>
                <w:lang w:val="en-GB"/>
              </w:rPr>
              <w:t>ndividual</w:t>
            </w:r>
            <w:r w:rsidRPr="00366548">
              <w:rPr>
                <w:rFonts w:ascii="Arial" w:eastAsiaTheme="minorHAnsi" w:hAnsi="Arial" w:cs="Arial"/>
                <w:lang w:val="en-GB"/>
              </w:rPr>
              <w:t>’s clinician</w:t>
            </w:r>
            <w:r w:rsidR="00CF3B30" w:rsidRPr="00366548">
              <w:rPr>
                <w:rFonts w:ascii="Arial" w:eastAsiaTheme="minorHAnsi" w:hAnsi="Arial" w:cs="Arial"/>
                <w:lang w:val="en-GB"/>
              </w:rPr>
              <w:t xml:space="preserve"> where appropriate</w:t>
            </w:r>
            <w:r w:rsidRPr="00366548">
              <w:rPr>
                <w:rFonts w:ascii="Arial" w:eastAsiaTheme="minorHAnsi" w:hAnsi="Arial" w:cs="Arial"/>
                <w:lang w:val="en-GB"/>
              </w:rPr>
              <w:t xml:space="preserve"> as a PSD may be indicated.</w:t>
            </w:r>
          </w:p>
          <w:p w:rsidR="00D13D9E" w:rsidRPr="00366548" w:rsidRDefault="00864DAD" w:rsidP="00B4381D">
            <w:pPr>
              <w:pStyle w:val="TableParagraph"/>
              <w:spacing w:before="120" w:after="120"/>
              <w:ind w:right="164"/>
              <w:rPr>
                <w:rFonts w:ascii="Arial" w:eastAsiaTheme="minorHAnsi" w:hAnsi="Arial" w:cs="Arial"/>
                <w:lang w:val="en-GB"/>
              </w:rPr>
            </w:pPr>
            <w:r w:rsidRPr="00366548">
              <w:rPr>
                <w:rFonts w:ascii="Arial" w:eastAsiaTheme="minorHAnsi" w:hAnsi="Arial" w:cs="Arial"/>
                <w:lang w:val="en-GB"/>
              </w:rPr>
              <w:lastRenderedPageBreak/>
              <w:t xml:space="preserve">The risk to the </w:t>
            </w:r>
            <w:r w:rsidR="00A33792" w:rsidRPr="00366548">
              <w:rPr>
                <w:rFonts w:ascii="Arial" w:eastAsiaTheme="minorHAnsi" w:hAnsi="Arial" w:cs="Arial"/>
                <w:lang w:val="en-GB"/>
              </w:rPr>
              <w:t>individual</w:t>
            </w:r>
            <w:r w:rsidRPr="00366548">
              <w:rPr>
                <w:rFonts w:ascii="Arial" w:eastAsiaTheme="minorHAnsi" w:hAnsi="Arial" w:cs="Arial"/>
                <w:lang w:val="en-GB"/>
              </w:rPr>
              <w:t xml:space="preserve"> of not being immunised must be taken into account.</w:t>
            </w:r>
          </w:p>
          <w:p w:rsidR="00E275E0" w:rsidRPr="00366548" w:rsidRDefault="00E275E0" w:rsidP="00B4381D">
            <w:pPr>
              <w:pStyle w:val="Header"/>
              <w:spacing w:before="120" w:after="120"/>
              <w:rPr>
                <w:rFonts w:ascii="Arial" w:eastAsia="Calibri" w:hAnsi="Arial" w:cs="Arial"/>
                <w:sz w:val="22"/>
                <w:szCs w:val="22"/>
                <w:lang w:val="en-US" w:eastAsia="en-US"/>
              </w:rPr>
            </w:pPr>
            <w:r w:rsidRPr="00366548">
              <w:rPr>
                <w:rFonts w:ascii="Arial" w:eastAsia="Calibri" w:hAnsi="Arial" w:cs="Arial"/>
                <w:sz w:val="22"/>
                <w:szCs w:val="22"/>
                <w:lang w:val="en-US" w:eastAsia="en-US"/>
              </w:rPr>
              <w:t xml:space="preserve">Document </w:t>
            </w:r>
            <w:r w:rsidR="002E447F" w:rsidRPr="00366548">
              <w:rPr>
                <w:rFonts w:ascii="Arial" w:eastAsia="Calibri" w:hAnsi="Arial" w:cs="Arial"/>
                <w:sz w:val="22"/>
                <w:szCs w:val="22"/>
                <w:lang w:val="en-US" w:eastAsia="en-US"/>
              </w:rPr>
              <w:t xml:space="preserve">the </w:t>
            </w:r>
            <w:r w:rsidRPr="00366548">
              <w:rPr>
                <w:rFonts w:ascii="Arial" w:eastAsia="Calibri" w:hAnsi="Arial" w:cs="Arial"/>
                <w:sz w:val="22"/>
                <w:szCs w:val="22"/>
                <w:lang w:val="en-US" w:eastAsia="en-US"/>
              </w:rPr>
              <w:t xml:space="preserve">reason for exclusion and any action taken in </w:t>
            </w:r>
            <w:r w:rsidR="002E447F" w:rsidRPr="00366548">
              <w:rPr>
                <w:rFonts w:ascii="Arial" w:eastAsia="Calibri" w:hAnsi="Arial" w:cs="Arial"/>
                <w:sz w:val="22"/>
                <w:szCs w:val="22"/>
                <w:lang w:val="en-US" w:eastAsia="en-US"/>
              </w:rPr>
              <w:t>the</w:t>
            </w:r>
            <w:r w:rsidR="00B63A95" w:rsidRPr="00366548">
              <w:rPr>
                <w:rFonts w:ascii="Arial" w:eastAsia="Calibri" w:hAnsi="Arial" w:cs="Arial"/>
                <w:sz w:val="22"/>
                <w:szCs w:val="22"/>
                <w:lang w:val="en-US" w:eastAsia="en-US"/>
              </w:rPr>
              <w:t xml:space="preserve"> </w:t>
            </w:r>
            <w:r w:rsidR="006C69EC" w:rsidRPr="00366548">
              <w:rPr>
                <w:rFonts w:ascii="Arial" w:eastAsia="Calibri" w:hAnsi="Arial" w:cs="Arial"/>
                <w:sz w:val="22"/>
                <w:szCs w:val="22"/>
                <w:lang w:val="en-US" w:eastAsia="en-US"/>
              </w:rPr>
              <w:t xml:space="preserve">individual’s </w:t>
            </w:r>
            <w:r w:rsidRPr="00366548">
              <w:rPr>
                <w:rFonts w:ascii="Arial" w:eastAsia="Calibri" w:hAnsi="Arial" w:cs="Arial"/>
                <w:sz w:val="22"/>
                <w:szCs w:val="22"/>
                <w:lang w:val="en-US" w:eastAsia="en-US"/>
              </w:rPr>
              <w:t>clinical records.</w:t>
            </w:r>
          </w:p>
          <w:p w:rsidR="00E275E0" w:rsidRPr="00366548" w:rsidRDefault="00E275E0" w:rsidP="007C49CA">
            <w:pPr>
              <w:pStyle w:val="Header"/>
              <w:spacing w:before="120" w:after="120"/>
              <w:rPr>
                <w:rFonts w:ascii="Arial" w:eastAsia="Calibri" w:hAnsi="Arial" w:cs="Arial"/>
                <w:sz w:val="22"/>
                <w:szCs w:val="22"/>
                <w:lang w:val="en-US" w:eastAsia="en-US"/>
              </w:rPr>
            </w:pPr>
            <w:r w:rsidRPr="00366548">
              <w:rPr>
                <w:rFonts w:ascii="Arial" w:eastAsia="Calibri" w:hAnsi="Arial" w:cs="Arial"/>
                <w:sz w:val="22"/>
                <w:szCs w:val="22"/>
                <w:lang w:val="en-US" w:eastAsia="en-US"/>
              </w:rPr>
              <w:t xml:space="preserve">In a GP practice setting, inform or </w:t>
            </w:r>
            <w:r w:rsidR="008846CE" w:rsidRPr="00366548">
              <w:rPr>
                <w:rFonts w:ascii="Arial" w:eastAsia="Calibri" w:hAnsi="Arial" w:cs="Arial"/>
                <w:sz w:val="22"/>
                <w:szCs w:val="22"/>
                <w:lang w:val="en-US" w:eastAsia="en-US"/>
              </w:rPr>
              <w:t>refer to the GP or a prescriber as appropriate.</w:t>
            </w:r>
          </w:p>
          <w:p w:rsidR="00864DAD" w:rsidRPr="00366548" w:rsidRDefault="00864DAD" w:rsidP="00B4381D">
            <w:pPr>
              <w:pStyle w:val="TableParagraph"/>
              <w:spacing w:before="120" w:after="120"/>
              <w:contextualSpacing/>
              <w:rPr>
                <w:rFonts w:ascii="Arial" w:eastAsia="Arial" w:hAnsi="Arial" w:cs="Arial"/>
                <w:b/>
              </w:rPr>
            </w:pPr>
            <w:r w:rsidRPr="00366548">
              <w:rPr>
                <w:rFonts w:ascii="Arial" w:eastAsia="Arial" w:hAnsi="Arial" w:cs="Arial"/>
                <w:b/>
              </w:rPr>
              <w:t>Temporary</w:t>
            </w:r>
            <w:r w:rsidRPr="00366548">
              <w:rPr>
                <w:rFonts w:ascii="Arial" w:eastAsia="Arial" w:hAnsi="Arial" w:cs="Arial"/>
                <w:b/>
                <w:spacing w:val="32"/>
              </w:rPr>
              <w:t xml:space="preserve"> </w:t>
            </w:r>
            <w:r w:rsidRPr="00366548">
              <w:rPr>
                <w:rFonts w:ascii="Arial" w:eastAsia="Arial" w:hAnsi="Arial" w:cs="Arial"/>
                <w:b/>
              </w:rPr>
              <w:t>exclusion</w:t>
            </w:r>
          </w:p>
          <w:p w:rsidR="00E275E0" w:rsidRPr="00D1582D" w:rsidRDefault="00864DAD" w:rsidP="008846CE">
            <w:pPr>
              <w:pStyle w:val="TableParagraph"/>
              <w:spacing w:before="120" w:after="120"/>
              <w:rPr>
                <w:rFonts w:ascii="Arial" w:eastAsia="Arial" w:hAnsi="Arial" w:cs="Arial"/>
                <w:color w:val="FF0000"/>
              </w:rPr>
            </w:pPr>
            <w:r w:rsidRPr="00366548">
              <w:rPr>
                <w:rFonts w:ascii="Arial" w:eastAsia="Arial" w:hAnsi="Arial" w:cs="Arial"/>
              </w:rPr>
              <w:t>In</w:t>
            </w:r>
            <w:r w:rsidRPr="00366548">
              <w:rPr>
                <w:rFonts w:ascii="Arial" w:eastAsia="Arial" w:hAnsi="Arial" w:cs="Arial"/>
                <w:spacing w:val="-5"/>
              </w:rPr>
              <w:t xml:space="preserve"> </w:t>
            </w:r>
            <w:r w:rsidRPr="00366548">
              <w:rPr>
                <w:rFonts w:ascii="Arial" w:eastAsia="Arial" w:hAnsi="Arial" w:cs="Arial"/>
              </w:rPr>
              <w:t>case</w:t>
            </w:r>
            <w:r w:rsidRPr="00366548">
              <w:rPr>
                <w:rFonts w:ascii="Arial" w:eastAsia="Arial" w:hAnsi="Arial" w:cs="Arial"/>
                <w:spacing w:val="10"/>
              </w:rPr>
              <w:t xml:space="preserve"> </w:t>
            </w:r>
            <w:r w:rsidRPr="00366548">
              <w:rPr>
                <w:rFonts w:ascii="Arial" w:eastAsia="Arial" w:hAnsi="Arial" w:cs="Arial"/>
              </w:rPr>
              <w:t>of</w:t>
            </w:r>
            <w:r w:rsidRPr="00366548">
              <w:rPr>
                <w:rFonts w:ascii="Arial" w:eastAsia="Arial" w:hAnsi="Arial" w:cs="Arial"/>
                <w:spacing w:val="12"/>
              </w:rPr>
              <w:t xml:space="preserve"> </w:t>
            </w:r>
            <w:r w:rsidRPr="00366548">
              <w:rPr>
                <w:rFonts w:ascii="Arial" w:eastAsia="Arial" w:hAnsi="Arial" w:cs="Arial"/>
              </w:rPr>
              <w:t>postponement due to acute</w:t>
            </w:r>
            <w:r w:rsidR="005449C6" w:rsidRPr="00366548">
              <w:rPr>
                <w:rFonts w:ascii="Arial" w:eastAsia="Arial" w:hAnsi="Arial" w:cs="Arial"/>
              </w:rPr>
              <w:t xml:space="preserve"> severe febrile</w:t>
            </w:r>
            <w:r w:rsidRPr="00366548">
              <w:rPr>
                <w:rFonts w:ascii="Arial" w:eastAsia="Arial" w:hAnsi="Arial" w:cs="Arial"/>
              </w:rPr>
              <w:t xml:space="preserve"> illness, a</w:t>
            </w:r>
            <w:r w:rsidR="00A33792" w:rsidRPr="00366548">
              <w:rPr>
                <w:rFonts w:ascii="Arial" w:eastAsia="Arial" w:hAnsi="Arial" w:cs="Arial"/>
              </w:rPr>
              <w:t>dvise when the</w:t>
            </w:r>
            <w:r w:rsidR="008846CE" w:rsidRPr="00366548">
              <w:rPr>
                <w:rFonts w:ascii="Arial" w:eastAsia="Arial" w:hAnsi="Arial" w:cs="Arial"/>
              </w:rPr>
              <w:t xml:space="preserve"> individual</w:t>
            </w:r>
            <w:r w:rsidR="00A33792" w:rsidRPr="00366548">
              <w:rPr>
                <w:rFonts w:ascii="Arial" w:eastAsia="Arial" w:hAnsi="Arial" w:cs="Arial"/>
              </w:rPr>
              <w:t xml:space="preserve"> can </w:t>
            </w:r>
            <w:r w:rsidRPr="00366548">
              <w:rPr>
                <w:rFonts w:ascii="Arial" w:eastAsia="Arial" w:hAnsi="Arial" w:cs="Arial"/>
              </w:rPr>
              <w:t xml:space="preserve">be vaccinated and ensure another appointment is arranged. </w:t>
            </w:r>
          </w:p>
        </w:tc>
      </w:tr>
      <w:tr w:rsidR="00A956FD" w:rsidRPr="00A956FD" w:rsidTr="00E47B6D">
        <w:tc>
          <w:tcPr>
            <w:tcW w:w="2977" w:type="dxa"/>
          </w:tcPr>
          <w:p w:rsidR="00BA16C1" w:rsidRPr="002E447F" w:rsidRDefault="0018366E" w:rsidP="00B4381D">
            <w:pPr>
              <w:pStyle w:val="Header"/>
              <w:tabs>
                <w:tab w:val="left" w:pos="720"/>
              </w:tabs>
              <w:spacing w:before="120" w:after="120"/>
              <w:rPr>
                <w:rFonts w:ascii="Arial" w:hAnsi="Arial" w:cs="Arial"/>
                <w:b/>
                <w:sz w:val="22"/>
                <w:szCs w:val="22"/>
              </w:rPr>
            </w:pPr>
            <w:r w:rsidRPr="002E447F">
              <w:lastRenderedPageBreak/>
              <w:br w:type="page"/>
            </w:r>
            <w:r w:rsidR="00BA16C1" w:rsidRPr="002E447F">
              <w:rPr>
                <w:rFonts w:ascii="Arial" w:hAnsi="Arial" w:cs="Arial"/>
                <w:b/>
                <w:sz w:val="22"/>
                <w:szCs w:val="22"/>
              </w:rPr>
              <w:t>Action to be taken if the patient or carer declines treatment</w:t>
            </w:r>
          </w:p>
        </w:tc>
        <w:tc>
          <w:tcPr>
            <w:tcW w:w="6946" w:type="dxa"/>
          </w:tcPr>
          <w:p w:rsidR="00BA16C1" w:rsidRPr="002E447F" w:rsidRDefault="007C26CF" w:rsidP="00B4381D">
            <w:pPr>
              <w:spacing w:before="120" w:after="120"/>
              <w:rPr>
                <w:rFonts w:cs="Arial"/>
                <w:sz w:val="22"/>
                <w:szCs w:val="22"/>
                <w:lang w:val="en-US"/>
              </w:rPr>
            </w:pPr>
            <w:r w:rsidRPr="002E447F">
              <w:rPr>
                <w:rFonts w:cs="Arial"/>
                <w:sz w:val="22"/>
                <w:szCs w:val="22"/>
                <w:lang w:val="en-US"/>
              </w:rPr>
              <w:t xml:space="preserve">Informed consent, from the </w:t>
            </w:r>
            <w:r w:rsidR="00896281" w:rsidRPr="002E447F">
              <w:rPr>
                <w:rFonts w:cs="Arial"/>
                <w:sz w:val="22"/>
                <w:szCs w:val="22"/>
                <w:lang w:val="en-US"/>
              </w:rPr>
              <w:t>individual</w:t>
            </w:r>
            <w:r w:rsidRPr="002E447F">
              <w:rPr>
                <w:rFonts w:cs="Arial"/>
                <w:sz w:val="22"/>
                <w:szCs w:val="22"/>
                <w:lang w:val="en-US"/>
              </w:rPr>
              <w:t xml:space="preserve"> or </w:t>
            </w:r>
            <w:r w:rsidR="00BA16C1" w:rsidRPr="002E447F">
              <w:rPr>
                <w:rFonts w:cs="Arial"/>
                <w:sz w:val="22"/>
                <w:szCs w:val="22"/>
                <w:lang w:val="en-US"/>
              </w:rPr>
              <w:t>a pe</w:t>
            </w:r>
            <w:r w:rsidRPr="002E447F">
              <w:rPr>
                <w:rFonts w:cs="Arial"/>
                <w:sz w:val="22"/>
                <w:szCs w:val="22"/>
                <w:lang w:val="en-US"/>
              </w:rPr>
              <w:t xml:space="preserve">rson legally able to act on the </w:t>
            </w:r>
            <w:r w:rsidR="00896281" w:rsidRPr="002E447F">
              <w:rPr>
                <w:rFonts w:cs="Arial"/>
                <w:sz w:val="22"/>
                <w:szCs w:val="22"/>
                <w:lang w:val="en-US"/>
              </w:rPr>
              <w:t xml:space="preserve">person’s </w:t>
            </w:r>
            <w:r w:rsidR="00BA16C1" w:rsidRPr="002E447F">
              <w:rPr>
                <w:rFonts w:cs="Arial"/>
                <w:sz w:val="22"/>
                <w:szCs w:val="22"/>
                <w:lang w:val="en-US"/>
              </w:rPr>
              <w:t>behalf, must be obtained for each administration.</w:t>
            </w:r>
          </w:p>
          <w:p w:rsidR="00BA16C1" w:rsidRPr="002E447F" w:rsidRDefault="00BA16C1" w:rsidP="00B4381D">
            <w:pPr>
              <w:spacing w:after="120"/>
              <w:rPr>
                <w:rFonts w:cs="Arial"/>
                <w:sz w:val="22"/>
                <w:szCs w:val="22"/>
                <w:lang w:val="en-US"/>
              </w:rPr>
            </w:pPr>
            <w:r w:rsidRPr="002E447F">
              <w:rPr>
                <w:rFonts w:cs="Arial"/>
                <w:sz w:val="22"/>
                <w:szCs w:val="22"/>
                <w:lang w:val="en-US"/>
              </w:rPr>
              <w:t>Advise</w:t>
            </w:r>
            <w:r w:rsidR="002E447F" w:rsidRPr="002E447F">
              <w:rPr>
                <w:rFonts w:cs="Arial"/>
                <w:sz w:val="22"/>
                <w:szCs w:val="22"/>
                <w:lang w:val="en-US"/>
              </w:rPr>
              <w:t xml:space="preserve"> the</w:t>
            </w:r>
            <w:r w:rsidRPr="002E447F">
              <w:rPr>
                <w:rFonts w:cs="Arial"/>
                <w:sz w:val="22"/>
                <w:szCs w:val="22"/>
                <w:lang w:val="en-US"/>
              </w:rPr>
              <w:t xml:space="preserve"> </w:t>
            </w:r>
            <w:r w:rsidR="00896281" w:rsidRPr="002E447F">
              <w:rPr>
                <w:rFonts w:cs="Arial"/>
                <w:sz w:val="22"/>
                <w:szCs w:val="22"/>
                <w:lang w:val="en-US"/>
              </w:rPr>
              <w:t>individual</w:t>
            </w:r>
            <w:r w:rsidRPr="002E447F">
              <w:rPr>
                <w:rFonts w:cs="Arial"/>
                <w:sz w:val="22"/>
                <w:szCs w:val="22"/>
                <w:lang w:val="en-US"/>
              </w:rPr>
              <w:t>/</w:t>
            </w:r>
            <w:r w:rsidR="005449C6" w:rsidRPr="002E447F">
              <w:rPr>
                <w:rFonts w:cs="Arial"/>
                <w:sz w:val="22"/>
                <w:szCs w:val="22"/>
                <w:lang w:val="en-US"/>
              </w:rPr>
              <w:t>parent/</w:t>
            </w:r>
            <w:r w:rsidRPr="002E447F">
              <w:rPr>
                <w:rFonts w:cs="Arial"/>
                <w:sz w:val="22"/>
                <w:szCs w:val="22"/>
                <w:lang w:val="en-US"/>
              </w:rPr>
              <w:t>carer about the protective effects of the vaccine, the risks of infection and potential complications.</w:t>
            </w:r>
          </w:p>
          <w:p w:rsidR="00463688" w:rsidRPr="002E447F" w:rsidRDefault="00BA16C1" w:rsidP="00B4381D">
            <w:pPr>
              <w:spacing w:after="120"/>
              <w:rPr>
                <w:rFonts w:cs="Arial"/>
                <w:sz w:val="22"/>
                <w:szCs w:val="22"/>
              </w:rPr>
            </w:pPr>
            <w:r w:rsidRPr="002E447F">
              <w:rPr>
                <w:rFonts w:cs="Arial"/>
                <w:sz w:val="22"/>
                <w:szCs w:val="22"/>
              </w:rPr>
              <w:t xml:space="preserve">Document advice given and </w:t>
            </w:r>
            <w:r w:rsidR="002E447F" w:rsidRPr="002E447F">
              <w:rPr>
                <w:rFonts w:cs="Arial"/>
                <w:sz w:val="22"/>
                <w:szCs w:val="22"/>
              </w:rPr>
              <w:t xml:space="preserve">the </w:t>
            </w:r>
            <w:r w:rsidRPr="002E447F">
              <w:rPr>
                <w:rFonts w:cs="Arial"/>
                <w:sz w:val="22"/>
                <w:szCs w:val="22"/>
              </w:rPr>
              <w:t>decision reached.</w:t>
            </w:r>
            <w:r w:rsidR="00463688" w:rsidRPr="002E447F">
              <w:rPr>
                <w:rFonts w:cs="Arial"/>
                <w:sz w:val="22"/>
                <w:szCs w:val="22"/>
              </w:rPr>
              <w:t xml:space="preserve"> </w:t>
            </w:r>
          </w:p>
          <w:p w:rsidR="00BA16C1" w:rsidRPr="002E447F" w:rsidRDefault="00463688" w:rsidP="00B4381D">
            <w:pPr>
              <w:spacing w:after="120"/>
              <w:rPr>
                <w:rFonts w:cs="Arial"/>
                <w:sz w:val="22"/>
                <w:szCs w:val="22"/>
              </w:rPr>
            </w:pPr>
            <w:r w:rsidRPr="002E447F">
              <w:rPr>
                <w:rFonts w:cs="Arial"/>
                <w:sz w:val="22"/>
                <w:szCs w:val="22"/>
              </w:rPr>
              <w:t>I</w:t>
            </w:r>
            <w:r w:rsidR="00BA16C1" w:rsidRPr="002E447F">
              <w:rPr>
                <w:rFonts w:cs="Arial"/>
                <w:sz w:val="22"/>
                <w:szCs w:val="22"/>
              </w:rPr>
              <w:t>n a GP practice setting, inform or refer to t</w:t>
            </w:r>
            <w:r w:rsidR="00A33792" w:rsidRPr="002E447F">
              <w:rPr>
                <w:rFonts w:cs="Arial"/>
                <w:sz w:val="22"/>
                <w:szCs w:val="22"/>
              </w:rPr>
              <w:t>he GP</w:t>
            </w:r>
            <w:r w:rsidR="005449C6" w:rsidRPr="002E447F">
              <w:rPr>
                <w:rFonts w:cs="Arial"/>
                <w:sz w:val="22"/>
                <w:szCs w:val="22"/>
              </w:rPr>
              <w:t xml:space="preserve"> as appropriate</w:t>
            </w:r>
            <w:r w:rsidR="00A92A96" w:rsidRPr="002E447F">
              <w:rPr>
                <w:rFonts w:cs="Arial"/>
                <w:sz w:val="22"/>
                <w:szCs w:val="22"/>
              </w:rPr>
              <w:t>.</w:t>
            </w:r>
          </w:p>
        </w:tc>
      </w:tr>
      <w:tr w:rsidR="00032A94" w:rsidRPr="00A956FD" w:rsidTr="00E47B6D">
        <w:tc>
          <w:tcPr>
            <w:tcW w:w="2977" w:type="dxa"/>
          </w:tcPr>
          <w:p w:rsidR="00032A94" w:rsidRPr="002E447F" w:rsidRDefault="00032A94" w:rsidP="00B4381D">
            <w:pPr>
              <w:spacing w:before="120" w:after="120"/>
              <w:rPr>
                <w:rFonts w:cs="Arial"/>
                <w:b/>
                <w:sz w:val="22"/>
                <w:szCs w:val="22"/>
              </w:rPr>
            </w:pPr>
            <w:r w:rsidRPr="002E447F">
              <w:rPr>
                <w:rFonts w:cs="Arial"/>
                <w:b/>
                <w:sz w:val="22"/>
                <w:szCs w:val="22"/>
              </w:rPr>
              <w:t>Arrangements for referral for medical advice</w:t>
            </w:r>
          </w:p>
        </w:tc>
        <w:tc>
          <w:tcPr>
            <w:tcW w:w="6946" w:type="dxa"/>
          </w:tcPr>
          <w:p w:rsidR="00032A94" w:rsidRPr="002E447F" w:rsidRDefault="008B32F4" w:rsidP="00B4381D">
            <w:pPr>
              <w:spacing w:before="120" w:after="120"/>
              <w:rPr>
                <w:rFonts w:cs="Arial"/>
                <w:sz w:val="22"/>
                <w:szCs w:val="22"/>
              </w:rPr>
            </w:pPr>
            <w:r w:rsidRPr="002E447F">
              <w:rPr>
                <w:rFonts w:cs="Arial"/>
                <w:sz w:val="22"/>
                <w:szCs w:val="22"/>
              </w:rPr>
              <w:t>As per local policy</w:t>
            </w:r>
          </w:p>
        </w:tc>
      </w:tr>
    </w:tbl>
    <w:p w:rsidR="008F3F4D" w:rsidRPr="00A956FD" w:rsidRDefault="008F3F4D" w:rsidP="005449C6">
      <w:pPr>
        <w:overflowPunct/>
        <w:autoSpaceDE/>
        <w:autoSpaceDN/>
        <w:adjustRightInd/>
        <w:textAlignment w:val="auto"/>
        <w:rPr>
          <w:rFonts w:cs="Arial"/>
          <w:color w:val="FF0000"/>
          <w:szCs w:val="24"/>
        </w:rPr>
      </w:pPr>
    </w:p>
    <w:p w:rsidR="005449C6" w:rsidRPr="00A956FD" w:rsidRDefault="005449C6">
      <w:pPr>
        <w:overflowPunct/>
        <w:autoSpaceDE/>
        <w:autoSpaceDN/>
        <w:adjustRightInd/>
        <w:jc w:val="center"/>
        <w:textAlignment w:val="auto"/>
        <w:rPr>
          <w:rFonts w:cs="Arial"/>
          <w:b/>
          <w:color w:val="FF0000"/>
          <w:szCs w:val="24"/>
        </w:rPr>
      </w:pPr>
      <w:r w:rsidRPr="00A956FD">
        <w:rPr>
          <w:rFonts w:cs="Arial"/>
          <w:b/>
          <w:color w:val="FF0000"/>
          <w:szCs w:val="24"/>
        </w:rPr>
        <w:br w:type="page"/>
      </w:r>
    </w:p>
    <w:p w:rsidR="008431D2" w:rsidRPr="002E447F" w:rsidRDefault="00B37C58" w:rsidP="00962267">
      <w:pPr>
        <w:pStyle w:val="ListParagraph"/>
        <w:numPr>
          <w:ilvl w:val="0"/>
          <w:numId w:val="5"/>
        </w:numPr>
        <w:overflowPunct/>
        <w:autoSpaceDE/>
        <w:autoSpaceDN/>
        <w:adjustRightInd/>
        <w:textAlignment w:val="auto"/>
        <w:rPr>
          <w:rFonts w:cs="Arial"/>
          <w:b/>
          <w:szCs w:val="24"/>
        </w:rPr>
      </w:pPr>
      <w:r w:rsidRPr="002E447F">
        <w:rPr>
          <w:rFonts w:cs="Arial"/>
          <w:b/>
          <w:szCs w:val="24"/>
        </w:rPr>
        <w:lastRenderedPageBreak/>
        <w:t xml:space="preserve">Description of </w:t>
      </w:r>
      <w:r w:rsidR="00D36470" w:rsidRPr="002E447F">
        <w:rPr>
          <w:rFonts w:cs="Arial"/>
          <w:b/>
          <w:szCs w:val="24"/>
        </w:rPr>
        <w:t>t</w:t>
      </w:r>
      <w:r w:rsidRPr="002E447F">
        <w:rPr>
          <w:rFonts w:cs="Arial"/>
          <w:b/>
          <w:szCs w:val="24"/>
        </w:rPr>
        <w:t>reatment</w:t>
      </w:r>
    </w:p>
    <w:p w:rsidR="00A13AE5" w:rsidRPr="00A956FD" w:rsidRDefault="00A13AE5" w:rsidP="00A13AE5">
      <w:pPr>
        <w:pStyle w:val="ListParagraph"/>
        <w:overflowPunct/>
        <w:autoSpaceDE/>
        <w:autoSpaceDN/>
        <w:adjustRightInd/>
        <w:textAlignment w:val="auto"/>
        <w:rPr>
          <w:rFonts w:cs="Arial"/>
          <w:b/>
          <w:color w:val="FF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946"/>
      </w:tblGrid>
      <w:tr w:rsidR="00A956FD" w:rsidRPr="00A956FD" w:rsidTr="0087180E">
        <w:tc>
          <w:tcPr>
            <w:tcW w:w="2977" w:type="dxa"/>
          </w:tcPr>
          <w:p w:rsidR="00B37C58" w:rsidRPr="00A956FD" w:rsidRDefault="00B37C58" w:rsidP="007E045E">
            <w:pPr>
              <w:spacing w:before="120" w:after="120"/>
              <w:rPr>
                <w:rFonts w:cs="Arial"/>
                <w:b/>
                <w:color w:val="FF0000"/>
                <w:sz w:val="22"/>
                <w:szCs w:val="22"/>
              </w:rPr>
            </w:pPr>
            <w:r w:rsidRPr="002E447F">
              <w:rPr>
                <w:rFonts w:cs="Arial"/>
                <w:b/>
                <w:sz w:val="22"/>
                <w:szCs w:val="22"/>
              </w:rPr>
              <w:t>Name, strength &amp; formulation of drug</w:t>
            </w:r>
          </w:p>
        </w:tc>
        <w:tc>
          <w:tcPr>
            <w:tcW w:w="6946" w:type="dxa"/>
          </w:tcPr>
          <w:p w:rsidR="000E78D3" w:rsidRPr="004C6821" w:rsidRDefault="000E78D3" w:rsidP="005C0178">
            <w:pPr>
              <w:shd w:val="clear" w:color="auto" w:fill="FFFFFF"/>
              <w:spacing w:before="120"/>
              <w:rPr>
                <w:sz w:val="22"/>
                <w:szCs w:val="22"/>
              </w:rPr>
            </w:pPr>
            <w:r w:rsidRPr="004C6821">
              <w:rPr>
                <w:rFonts w:cs="Arial"/>
                <w:sz w:val="22"/>
                <w:szCs w:val="22"/>
                <w:lang w:val="en"/>
              </w:rPr>
              <w:t>Diphtheria, tetanus, pert</w:t>
            </w:r>
            <w:r w:rsidR="001620D2" w:rsidRPr="004C6821">
              <w:rPr>
                <w:rFonts w:cs="Arial"/>
                <w:sz w:val="22"/>
                <w:szCs w:val="22"/>
                <w:lang w:val="en"/>
              </w:rPr>
              <w:t>ussis (acellular, component),</w:t>
            </w:r>
            <w:r w:rsidRPr="004C6821">
              <w:rPr>
                <w:rFonts w:cs="Arial"/>
                <w:sz w:val="22"/>
                <w:szCs w:val="22"/>
                <w:lang w:val="en"/>
              </w:rPr>
              <w:t xml:space="preserve"> poliomyelitis (</w:t>
            </w:r>
            <w:r w:rsidR="0087180E" w:rsidRPr="004C6821">
              <w:rPr>
                <w:rFonts w:cs="Arial"/>
                <w:sz w:val="22"/>
                <w:szCs w:val="22"/>
                <w:lang w:val="en"/>
              </w:rPr>
              <w:t xml:space="preserve">inactivated) </w:t>
            </w:r>
            <w:r w:rsidR="001620D2" w:rsidRPr="004C6821">
              <w:rPr>
                <w:sz w:val="22"/>
                <w:szCs w:val="22"/>
              </w:rPr>
              <w:t xml:space="preserve">and </w:t>
            </w:r>
            <w:r w:rsidR="001620D2" w:rsidRPr="004C6821">
              <w:rPr>
                <w:i/>
                <w:sz w:val="22"/>
                <w:szCs w:val="22"/>
              </w:rPr>
              <w:t>Haemophilus influenzae</w:t>
            </w:r>
            <w:r w:rsidR="001620D2" w:rsidRPr="004C6821">
              <w:rPr>
                <w:sz w:val="22"/>
                <w:szCs w:val="22"/>
              </w:rPr>
              <w:t xml:space="preserve"> type b conjugate vaccine (adsorbed), DTaP/IPV/Hib</w:t>
            </w:r>
          </w:p>
          <w:p w:rsidR="0087180E" w:rsidRPr="004C6821" w:rsidRDefault="0087180E" w:rsidP="004C6821">
            <w:pPr>
              <w:shd w:val="clear" w:color="auto" w:fill="FFFFFF"/>
              <w:overflowPunct/>
              <w:autoSpaceDE/>
              <w:autoSpaceDN/>
              <w:adjustRightInd/>
              <w:spacing w:before="120"/>
              <w:textAlignment w:val="auto"/>
              <w:rPr>
                <w:rFonts w:cs="Arial"/>
                <w:sz w:val="22"/>
                <w:szCs w:val="22"/>
                <w:lang w:val="en"/>
              </w:rPr>
            </w:pPr>
            <w:r w:rsidRPr="004C6821">
              <w:rPr>
                <w:rFonts w:cs="Arial"/>
                <w:sz w:val="22"/>
                <w:szCs w:val="22"/>
                <w:lang w:val="en"/>
              </w:rPr>
              <w:t>Eg:</w:t>
            </w:r>
          </w:p>
          <w:p w:rsidR="000E78D3" w:rsidRPr="004C6821" w:rsidRDefault="000E78D3" w:rsidP="004C6821">
            <w:pPr>
              <w:pStyle w:val="ListParagraph"/>
              <w:numPr>
                <w:ilvl w:val="0"/>
                <w:numId w:val="34"/>
              </w:numPr>
              <w:shd w:val="clear" w:color="auto" w:fill="FFFFFF"/>
              <w:overflowPunct/>
              <w:autoSpaceDE/>
              <w:autoSpaceDN/>
              <w:adjustRightInd/>
              <w:spacing w:after="120"/>
              <w:ind w:left="363" w:hanging="363"/>
              <w:textAlignment w:val="auto"/>
              <w:rPr>
                <w:rFonts w:cs="Arial"/>
                <w:sz w:val="22"/>
                <w:szCs w:val="22"/>
                <w:lang w:val="en"/>
              </w:rPr>
            </w:pPr>
            <w:r w:rsidRPr="004C6821">
              <w:rPr>
                <w:rFonts w:cs="Arial"/>
                <w:sz w:val="22"/>
                <w:szCs w:val="22"/>
                <w:lang w:val="en"/>
              </w:rPr>
              <w:t>Infanrix</w:t>
            </w:r>
            <w:r w:rsidRPr="004C6821">
              <w:rPr>
                <w:rFonts w:cs="Arial"/>
                <w:sz w:val="22"/>
                <w:szCs w:val="22"/>
                <w:vertAlign w:val="superscript"/>
                <w:lang w:val="en"/>
              </w:rPr>
              <w:t>®</w:t>
            </w:r>
            <w:r w:rsidRPr="004C6821">
              <w:rPr>
                <w:rFonts w:cs="Arial"/>
                <w:sz w:val="22"/>
                <w:szCs w:val="22"/>
                <w:lang w:val="en"/>
              </w:rPr>
              <w:t>-IPV</w:t>
            </w:r>
            <w:r w:rsidR="001620D2" w:rsidRPr="004C6821">
              <w:rPr>
                <w:rFonts w:cs="Arial"/>
                <w:sz w:val="22"/>
                <w:szCs w:val="22"/>
                <w:lang w:val="en"/>
              </w:rPr>
              <w:t>+Hib</w:t>
            </w:r>
            <w:r w:rsidRPr="004C6821">
              <w:rPr>
                <w:rFonts w:cs="Arial"/>
                <w:sz w:val="22"/>
                <w:szCs w:val="22"/>
                <w:lang w:val="en"/>
              </w:rPr>
              <w:t xml:space="preserve">, </w:t>
            </w:r>
            <w:r w:rsidR="001620D2" w:rsidRPr="004C6821">
              <w:rPr>
                <w:rFonts w:cs="Arial"/>
                <w:sz w:val="22"/>
                <w:szCs w:val="22"/>
                <w:lang w:val="en"/>
              </w:rPr>
              <w:t xml:space="preserve">powder </w:t>
            </w:r>
            <w:r w:rsidR="004C6821" w:rsidRPr="004C6821">
              <w:rPr>
                <w:rFonts w:cs="Arial"/>
                <w:sz w:val="22"/>
                <w:szCs w:val="22"/>
                <w:lang w:val="en"/>
              </w:rPr>
              <w:t xml:space="preserve">(Hib) </w:t>
            </w:r>
            <w:r w:rsidR="001620D2" w:rsidRPr="004C6821">
              <w:rPr>
                <w:rFonts w:cs="Arial"/>
                <w:sz w:val="22"/>
                <w:szCs w:val="22"/>
                <w:lang w:val="en"/>
              </w:rPr>
              <w:t xml:space="preserve">in vial and </w:t>
            </w:r>
            <w:r w:rsidRPr="004C6821">
              <w:rPr>
                <w:rFonts w:cs="Arial"/>
                <w:sz w:val="22"/>
                <w:szCs w:val="22"/>
                <w:lang w:val="en"/>
              </w:rPr>
              <w:t>suspension</w:t>
            </w:r>
            <w:r w:rsidR="004C6821" w:rsidRPr="004C6821">
              <w:rPr>
                <w:rFonts w:cs="Arial"/>
                <w:sz w:val="22"/>
                <w:szCs w:val="22"/>
                <w:lang w:val="en"/>
              </w:rPr>
              <w:t xml:space="preserve"> (DTaP/IPV)</w:t>
            </w:r>
            <w:r w:rsidRPr="004C6821">
              <w:rPr>
                <w:rFonts w:cs="Arial"/>
                <w:sz w:val="22"/>
                <w:szCs w:val="22"/>
                <w:lang w:val="en"/>
              </w:rPr>
              <w:t xml:space="preserve"> for </w:t>
            </w:r>
            <w:r w:rsidR="00537E78">
              <w:rPr>
                <w:rFonts w:cs="Arial"/>
                <w:sz w:val="22"/>
                <w:szCs w:val="22"/>
                <w:lang w:val="en"/>
              </w:rPr>
              <w:t xml:space="preserve">suspension for </w:t>
            </w:r>
            <w:r w:rsidRPr="004C6821">
              <w:rPr>
                <w:rFonts w:cs="Arial"/>
                <w:sz w:val="22"/>
                <w:szCs w:val="22"/>
                <w:lang w:val="en"/>
              </w:rPr>
              <w:t>injection in pre-filled syringe</w:t>
            </w:r>
          </w:p>
          <w:p w:rsidR="0087180E" w:rsidRPr="004C6821" w:rsidRDefault="001620D2" w:rsidP="001620D2">
            <w:pPr>
              <w:pStyle w:val="ListParagraph"/>
              <w:numPr>
                <w:ilvl w:val="0"/>
                <w:numId w:val="34"/>
              </w:numPr>
              <w:shd w:val="clear" w:color="auto" w:fill="FFFFFF"/>
              <w:overflowPunct/>
              <w:autoSpaceDE/>
              <w:autoSpaceDN/>
              <w:adjustRightInd/>
              <w:spacing w:before="120" w:after="120"/>
              <w:ind w:left="363" w:hanging="363"/>
              <w:textAlignment w:val="auto"/>
              <w:rPr>
                <w:rFonts w:cs="Arial"/>
                <w:sz w:val="22"/>
                <w:szCs w:val="22"/>
                <w:lang w:val="en"/>
              </w:rPr>
            </w:pPr>
            <w:r w:rsidRPr="004C6821">
              <w:rPr>
                <w:rFonts w:cs="Arial"/>
                <w:sz w:val="22"/>
                <w:szCs w:val="22"/>
                <w:lang w:val="en"/>
              </w:rPr>
              <w:t>Pediacel</w:t>
            </w:r>
            <w:r w:rsidR="0087180E" w:rsidRPr="004C6821">
              <w:rPr>
                <w:rFonts w:cs="Arial"/>
                <w:sz w:val="22"/>
                <w:szCs w:val="22"/>
                <w:vertAlign w:val="superscript"/>
                <w:lang w:val="en"/>
              </w:rPr>
              <w:t>®</w:t>
            </w:r>
            <w:r w:rsidR="0087180E" w:rsidRPr="004C6821">
              <w:rPr>
                <w:rFonts w:cs="Arial"/>
                <w:sz w:val="22"/>
                <w:szCs w:val="22"/>
                <w:lang w:val="en"/>
              </w:rPr>
              <w:t>,</w:t>
            </w:r>
            <w:r w:rsidR="0087180E" w:rsidRPr="004C6821">
              <w:rPr>
                <w:rFonts w:cs="Arial"/>
                <w:sz w:val="22"/>
                <w:szCs w:val="22"/>
                <w:vertAlign w:val="superscript"/>
                <w:lang w:val="en"/>
              </w:rPr>
              <w:t xml:space="preserve"> </w:t>
            </w:r>
            <w:r w:rsidR="0087180E" w:rsidRPr="004C6821">
              <w:rPr>
                <w:rFonts w:cs="Arial"/>
                <w:sz w:val="22"/>
                <w:szCs w:val="22"/>
                <w:lang w:val="en"/>
              </w:rPr>
              <w:t xml:space="preserve">suspension for injection in pre-filled syringe </w:t>
            </w:r>
          </w:p>
        </w:tc>
      </w:tr>
      <w:tr w:rsidR="00A956FD" w:rsidRPr="00A956FD" w:rsidTr="0087180E">
        <w:tc>
          <w:tcPr>
            <w:tcW w:w="2977" w:type="dxa"/>
          </w:tcPr>
          <w:p w:rsidR="006D2947" w:rsidRPr="00EC1908" w:rsidRDefault="006D2947" w:rsidP="007E045E">
            <w:pPr>
              <w:spacing w:before="120" w:after="120"/>
              <w:rPr>
                <w:rFonts w:cs="Arial"/>
                <w:b/>
                <w:sz w:val="22"/>
                <w:szCs w:val="22"/>
              </w:rPr>
            </w:pPr>
            <w:r w:rsidRPr="00EC1908">
              <w:rPr>
                <w:rFonts w:cs="Arial"/>
                <w:b/>
                <w:sz w:val="22"/>
                <w:szCs w:val="22"/>
              </w:rPr>
              <w:t xml:space="preserve">Legal </w:t>
            </w:r>
            <w:r w:rsidR="00032A94" w:rsidRPr="00EC1908">
              <w:rPr>
                <w:rFonts w:cs="Arial"/>
                <w:b/>
                <w:sz w:val="22"/>
                <w:szCs w:val="22"/>
              </w:rPr>
              <w:t>category</w:t>
            </w:r>
          </w:p>
        </w:tc>
        <w:tc>
          <w:tcPr>
            <w:tcW w:w="6946" w:type="dxa"/>
          </w:tcPr>
          <w:p w:rsidR="006D2947" w:rsidRPr="009D4704" w:rsidRDefault="00F245F7" w:rsidP="00BE1835">
            <w:pPr>
              <w:spacing w:before="120" w:after="120"/>
              <w:rPr>
                <w:color w:val="FF0000"/>
              </w:rPr>
            </w:pPr>
            <w:r w:rsidRPr="004C6821">
              <w:rPr>
                <w:rFonts w:eastAsia="Arial" w:cs="Arial"/>
                <w:w w:val="105"/>
                <w:sz w:val="22"/>
                <w:szCs w:val="22"/>
              </w:rPr>
              <w:t>Prescription</w:t>
            </w:r>
            <w:r w:rsidR="00D1582D" w:rsidRPr="004C6821">
              <w:rPr>
                <w:rFonts w:eastAsia="Arial" w:cs="Arial"/>
                <w:spacing w:val="-3"/>
                <w:w w:val="105"/>
                <w:sz w:val="22"/>
                <w:szCs w:val="22"/>
              </w:rPr>
              <w:t xml:space="preserve"> o</w:t>
            </w:r>
            <w:r w:rsidRPr="004C6821">
              <w:rPr>
                <w:rFonts w:eastAsia="Arial" w:cs="Arial"/>
                <w:w w:val="105"/>
                <w:sz w:val="22"/>
                <w:szCs w:val="22"/>
              </w:rPr>
              <w:t>nly</w:t>
            </w:r>
            <w:r w:rsidR="00D1582D" w:rsidRPr="004C6821">
              <w:rPr>
                <w:rFonts w:eastAsia="Arial" w:cs="Arial"/>
                <w:spacing w:val="-2"/>
                <w:w w:val="105"/>
                <w:sz w:val="22"/>
                <w:szCs w:val="22"/>
              </w:rPr>
              <w:t xml:space="preserve"> m</w:t>
            </w:r>
            <w:r w:rsidR="00304270" w:rsidRPr="004C6821">
              <w:rPr>
                <w:rFonts w:eastAsia="Arial" w:cs="Arial"/>
                <w:w w:val="105"/>
                <w:sz w:val="22"/>
                <w:szCs w:val="22"/>
              </w:rPr>
              <w:t>edicine (POM)</w:t>
            </w:r>
          </w:p>
        </w:tc>
      </w:tr>
      <w:tr w:rsidR="00A956FD" w:rsidRPr="00A956FD" w:rsidTr="0087180E">
        <w:tc>
          <w:tcPr>
            <w:tcW w:w="2977" w:type="dxa"/>
          </w:tcPr>
          <w:p w:rsidR="006D2947" w:rsidRPr="00EC1908" w:rsidRDefault="006D2947" w:rsidP="007E045E">
            <w:pPr>
              <w:spacing w:before="120" w:after="120"/>
              <w:rPr>
                <w:rFonts w:cs="Arial"/>
                <w:b/>
                <w:sz w:val="22"/>
                <w:szCs w:val="22"/>
              </w:rPr>
            </w:pPr>
            <w:r w:rsidRPr="00EC1908">
              <w:rPr>
                <w:rFonts w:cs="Arial"/>
                <w:b/>
                <w:sz w:val="22"/>
                <w:szCs w:val="22"/>
              </w:rPr>
              <w:t xml:space="preserve">Black </w:t>
            </w:r>
            <w:r w:rsidR="00080471" w:rsidRPr="00EC1908">
              <w:rPr>
                <w:rFonts w:cs="Arial"/>
                <w:b/>
                <w:sz w:val="22"/>
                <w:szCs w:val="22"/>
              </w:rPr>
              <w:t>t</w:t>
            </w:r>
            <w:r w:rsidRPr="00EC1908">
              <w:rPr>
                <w:rFonts w:cs="Arial"/>
                <w:b/>
                <w:sz w:val="22"/>
                <w:szCs w:val="22"/>
              </w:rPr>
              <w:t>riangle</w:t>
            </w:r>
            <w:r w:rsidRPr="00EC1908">
              <w:rPr>
                <w:rFonts w:cs="Arial"/>
                <w:b/>
                <w:sz w:val="22"/>
                <w:szCs w:val="22"/>
              </w:rPr>
              <w:sym w:font="Wingdings 3" w:char="F071"/>
            </w:r>
            <w:r w:rsidRPr="00EC1908">
              <w:rPr>
                <w:rFonts w:cs="Arial"/>
                <w:b/>
                <w:sz w:val="22"/>
                <w:szCs w:val="22"/>
              </w:rPr>
              <w:t xml:space="preserve"> </w:t>
            </w:r>
          </w:p>
        </w:tc>
        <w:tc>
          <w:tcPr>
            <w:tcW w:w="6946" w:type="dxa"/>
          </w:tcPr>
          <w:p w:rsidR="006D2947" w:rsidRPr="009D4704" w:rsidRDefault="00BE1F0C" w:rsidP="00BE1835">
            <w:pPr>
              <w:spacing w:before="120" w:after="120"/>
              <w:rPr>
                <w:color w:val="FF0000"/>
              </w:rPr>
            </w:pPr>
            <w:r w:rsidRPr="004C6821">
              <w:rPr>
                <w:sz w:val="22"/>
                <w:szCs w:val="22"/>
              </w:rPr>
              <w:t>No</w:t>
            </w:r>
          </w:p>
        </w:tc>
      </w:tr>
      <w:tr w:rsidR="00A956FD" w:rsidRPr="00A956FD" w:rsidTr="0087180E">
        <w:tc>
          <w:tcPr>
            <w:tcW w:w="2977" w:type="dxa"/>
          </w:tcPr>
          <w:p w:rsidR="006D2947" w:rsidRPr="00090CE1" w:rsidRDefault="00032A94" w:rsidP="007E045E">
            <w:pPr>
              <w:spacing w:before="120" w:after="120"/>
              <w:rPr>
                <w:rFonts w:cs="Arial"/>
                <w:b/>
                <w:sz w:val="22"/>
                <w:szCs w:val="22"/>
              </w:rPr>
            </w:pPr>
            <w:r w:rsidRPr="00090CE1">
              <w:rPr>
                <w:rFonts w:cs="Arial"/>
                <w:b/>
                <w:sz w:val="22"/>
                <w:szCs w:val="22"/>
              </w:rPr>
              <w:t>Off-</w:t>
            </w:r>
            <w:r w:rsidR="006D2947" w:rsidRPr="00090CE1">
              <w:rPr>
                <w:rFonts w:cs="Arial"/>
                <w:b/>
                <w:sz w:val="22"/>
                <w:szCs w:val="22"/>
              </w:rPr>
              <w:t>label use</w:t>
            </w:r>
          </w:p>
        </w:tc>
        <w:tc>
          <w:tcPr>
            <w:tcW w:w="6946" w:type="dxa"/>
          </w:tcPr>
          <w:p w:rsidR="00551749" w:rsidRPr="004C6821" w:rsidRDefault="00551749" w:rsidP="00BE750C">
            <w:pPr>
              <w:spacing w:before="120"/>
              <w:rPr>
                <w:rFonts w:cs="Arial"/>
                <w:sz w:val="22"/>
                <w:szCs w:val="22"/>
                <w:lang w:val="en"/>
              </w:rPr>
            </w:pPr>
            <w:r w:rsidRPr="004C6821">
              <w:rPr>
                <w:rFonts w:cs="Arial"/>
                <w:sz w:val="22"/>
                <w:szCs w:val="22"/>
                <w:lang w:val="en"/>
              </w:rPr>
              <w:t>Administration of Infanrix</w:t>
            </w:r>
            <w:r w:rsidRPr="004C6821">
              <w:rPr>
                <w:rFonts w:cs="Arial"/>
                <w:sz w:val="22"/>
                <w:szCs w:val="22"/>
                <w:vertAlign w:val="superscript"/>
                <w:lang w:val="en"/>
              </w:rPr>
              <w:t>®</w:t>
            </w:r>
            <w:r w:rsidRPr="004C6821">
              <w:rPr>
                <w:rFonts w:cs="Arial"/>
                <w:sz w:val="22"/>
                <w:szCs w:val="22"/>
                <w:lang w:val="en"/>
              </w:rPr>
              <w:t>-IPV+Hib to individuals over 3 years of age and Pediacel</w:t>
            </w:r>
            <w:r w:rsidR="005C0178" w:rsidRPr="005C0178">
              <w:rPr>
                <w:rFonts w:cs="Arial"/>
                <w:sz w:val="22"/>
                <w:szCs w:val="22"/>
                <w:vertAlign w:val="superscript"/>
                <w:lang w:val="en"/>
              </w:rPr>
              <w:t>®</w:t>
            </w:r>
            <w:r w:rsidRPr="004C6821">
              <w:rPr>
                <w:rFonts w:cs="Arial"/>
                <w:sz w:val="22"/>
                <w:szCs w:val="22"/>
                <w:lang w:val="en"/>
              </w:rPr>
              <w:t xml:space="preserve"> to individuals aged 4 years and over is off-label but </w:t>
            </w:r>
            <w:r w:rsidR="001B0A14">
              <w:rPr>
                <w:rFonts w:cs="Arial"/>
                <w:sz w:val="22"/>
                <w:szCs w:val="22"/>
                <w:lang w:val="en"/>
              </w:rPr>
              <w:t>is</w:t>
            </w:r>
            <w:r w:rsidRPr="004C6821">
              <w:rPr>
                <w:rFonts w:cs="Arial"/>
                <w:sz w:val="22"/>
                <w:szCs w:val="22"/>
                <w:lang w:val="en"/>
              </w:rPr>
              <w:t xml:space="preserve"> indicated </w:t>
            </w:r>
            <w:r w:rsidR="00437D7D">
              <w:rPr>
                <w:rFonts w:cs="Arial"/>
                <w:sz w:val="22"/>
                <w:szCs w:val="22"/>
                <w:lang w:val="en"/>
              </w:rPr>
              <w:t>until</w:t>
            </w:r>
            <w:r w:rsidR="0064405E">
              <w:rPr>
                <w:rFonts w:cs="Arial"/>
                <w:sz w:val="22"/>
                <w:szCs w:val="22"/>
                <w:lang w:val="en"/>
              </w:rPr>
              <w:t xml:space="preserve"> 10 years of age </w:t>
            </w:r>
            <w:r w:rsidRPr="004C6821">
              <w:rPr>
                <w:rFonts w:cs="Arial"/>
                <w:sz w:val="22"/>
                <w:szCs w:val="22"/>
                <w:lang w:val="en"/>
              </w:rPr>
              <w:t xml:space="preserve">under this PGD in accordance with PHE recommendations for the </w:t>
            </w:r>
            <w:hyperlink r:id="rId30" w:history="1">
              <w:r w:rsidRPr="00A3218C">
                <w:rPr>
                  <w:rStyle w:val="Hyperlink"/>
                  <w:sz w:val="22"/>
                  <w:szCs w:val="22"/>
                </w:rPr>
                <w:t>vaccination of individuals with uncertain or incomplete immunisation status</w:t>
              </w:r>
            </w:hyperlink>
            <w:r w:rsidR="0064405E">
              <w:rPr>
                <w:rFonts w:cs="Arial"/>
                <w:sz w:val="22"/>
                <w:szCs w:val="22"/>
                <w:lang w:val="en"/>
              </w:rPr>
              <w:t xml:space="preserve"> and the relevant chapters of “The Green Book”.</w:t>
            </w:r>
          </w:p>
          <w:p w:rsidR="0087180E" w:rsidRPr="004C6821" w:rsidRDefault="008B477D" w:rsidP="004C6821">
            <w:pPr>
              <w:spacing w:before="120" w:after="120"/>
              <w:rPr>
                <w:rFonts w:cs="Arial"/>
                <w:sz w:val="22"/>
                <w:szCs w:val="22"/>
                <w:lang w:val="en"/>
              </w:rPr>
            </w:pPr>
            <w:r w:rsidRPr="004C6821">
              <w:rPr>
                <w:rFonts w:cs="Arial"/>
                <w:sz w:val="22"/>
                <w:szCs w:val="22"/>
                <w:lang w:val="en"/>
              </w:rPr>
              <w:t xml:space="preserve">Administration by deep subcutaneous injection to patients with a bleeding disorder is off-label administration in line with advice in </w:t>
            </w:r>
            <w:hyperlink r:id="rId31" w:history="1">
              <w:r w:rsidRPr="00A3218C">
                <w:rPr>
                  <w:rStyle w:val="Hyperlink"/>
                  <w:sz w:val="22"/>
                  <w:szCs w:val="22"/>
                </w:rPr>
                <w:t>Chapter 4</w:t>
              </w:r>
            </w:hyperlink>
            <w:r w:rsidRPr="004C6821">
              <w:rPr>
                <w:rFonts w:cs="Arial"/>
                <w:sz w:val="22"/>
                <w:szCs w:val="22"/>
                <w:lang w:val="en"/>
              </w:rPr>
              <w:t xml:space="preserve"> of “The Green Book”.</w:t>
            </w:r>
            <w:r w:rsidR="00BE750C" w:rsidRPr="004C6821">
              <w:rPr>
                <w:rFonts w:cs="Arial"/>
                <w:sz w:val="22"/>
                <w:szCs w:val="22"/>
                <w:lang w:val="en"/>
              </w:rPr>
              <w:t xml:space="preserve"> </w:t>
            </w:r>
          </w:p>
        </w:tc>
      </w:tr>
      <w:tr w:rsidR="00A956FD" w:rsidRPr="00A956FD" w:rsidTr="0087180E">
        <w:tc>
          <w:tcPr>
            <w:tcW w:w="2977" w:type="dxa"/>
          </w:tcPr>
          <w:p w:rsidR="006D2947" w:rsidRPr="00A956FD" w:rsidRDefault="006D2947" w:rsidP="007E045E">
            <w:pPr>
              <w:spacing w:before="120" w:after="120"/>
              <w:rPr>
                <w:rFonts w:cs="Arial"/>
                <w:b/>
                <w:color w:val="FF0000"/>
                <w:sz w:val="22"/>
                <w:szCs w:val="22"/>
              </w:rPr>
            </w:pPr>
            <w:r w:rsidRPr="00090CE1">
              <w:rPr>
                <w:rFonts w:cs="Arial"/>
                <w:b/>
                <w:sz w:val="22"/>
                <w:szCs w:val="22"/>
              </w:rPr>
              <w:t>Route / method</w:t>
            </w:r>
            <w:r w:rsidR="00032A94" w:rsidRPr="00090CE1">
              <w:rPr>
                <w:rFonts w:cs="Arial"/>
                <w:b/>
                <w:sz w:val="22"/>
                <w:szCs w:val="22"/>
              </w:rPr>
              <w:t xml:space="preserve"> of administration</w:t>
            </w:r>
          </w:p>
        </w:tc>
        <w:tc>
          <w:tcPr>
            <w:tcW w:w="6946" w:type="dxa"/>
          </w:tcPr>
          <w:p w:rsidR="003057F9" w:rsidRDefault="003057F9" w:rsidP="000452D9">
            <w:pPr>
              <w:shd w:val="clear" w:color="auto" w:fill="FFFFFF"/>
              <w:overflowPunct/>
              <w:autoSpaceDE/>
              <w:autoSpaceDN/>
              <w:adjustRightInd/>
              <w:spacing w:before="120" w:after="120"/>
              <w:textAlignment w:val="auto"/>
              <w:rPr>
                <w:rFonts w:cs="Arial"/>
                <w:sz w:val="22"/>
                <w:szCs w:val="22"/>
              </w:rPr>
            </w:pPr>
            <w:r>
              <w:rPr>
                <w:rFonts w:cs="Arial"/>
                <w:sz w:val="22"/>
                <w:szCs w:val="22"/>
              </w:rPr>
              <w:t xml:space="preserve">Some vaccine products (eg </w:t>
            </w:r>
            <w:r w:rsidRPr="004C6821">
              <w:rPr>
                <w:rFonts w:cs="Arial"/>
                <w:sz w:val="22"/>
                <w:szCs w:val="22"/>
                <w:lang w:val="en"/>
              </w:rPr>
              <w:t>Infanrix</w:t>
            </w:r>
            <w:r w:rsidRPr="004C6821">
              <w:rPr>
                <w:rFonts w:cs="Arial"/>
                <w:sz w:val="22"/>
                <w:szCs w:val="22"/>
                <w:vertAlign w:val="superscript"/>
                <w:lang w:val="en"/>
              </w:rPr>
              <w:t>®</w:t>
            </w:r>
            <w:r w:rsidRPr="004C6821">
              <w:rPr>
                <w:rFonts w:cs="Arial"/>
                <w:sz w:val="22"/>
                <w:szCs w:val="22"/>
                <w:lang w:val="en"/>
              </w:rPr>
              <w:t>-IPV+Hib</w:t>
            </w:r>
            <w:r>
              <w:rPr>
                <w:rFonts w:cs="Arial"/>
                <w:sz w:val="22"/>
                <w:szCs w:val="22"/>
                <w:lang w:val="en"/>
              </w:rPr>
              <w:t>)</w:t>
            </w:r>
            <w:r w:rsidRPr="00D54D16">
              <w:rPr>
                <w:rFonts w:cs="Arial"/>
                <w:sz w:val="22"/>
                <w:szCs w:val="22"/>
              </w:rPr>
              <w:t xml:space="preserve"> </w:t>
            </w:r>
            <w:r w:rsidRPr="00D54D16">
              <w:rPr>
                <w:rFonts w:cs="Arial"/>
                <w:b/>
                <w:sz w:val="22"/>
                <w:szCs w:val="22"/>
              </w:rPr>
              <w:t>must be reconstituted</w:t>
            </w:r>
            <w:r w:rsidRPr="00D54D16">
              <w:rPr>
                <w:rFonts w:cs="Arial"/>
                <w:sz w:val="22"/>
                <w:szCs w:val="22"/>
              </w:rPr>
              <w:t xml:space="preserve"> in accordance with the manufacturers’ instructions prior to administration</w:t>
            </w:r>
            <w:r>
              <w:rPr>
                <w:rFonts w:cs="Arial"/>
                <w:sz w:val="22"/>
                <w:szCs w:val="22"/>
              </w:rPr>
              <w:t>.</w:t>
            </w:r>
          </w:p>
          <w:p w:rsidR="008147B1" w:rsidRPr="003057F9" w:rsidRDefault="001226E9" w:rsidP="000452D9">
            <w:pPr>
              <w:shd w:val="clear" w:color="auto" w:fill="FFFFFF"/>
              <w:overflowPunct/>
              <w:autoSpaceDE/>
              <w:autoSpaceDN/>
              <w:adjustRightInd/>
              <w:spacing w:before="120" w:after="120"/>
              <w:textAlignment w:val="auto"/>
              <w:rPr>
                <w:rFonts w:cs="Arial"/>
                <w:sz w:val="22"/>
                <w:szCs w:val="22"/>
              </w:rPr>
            </w:pPr>
            <w:r w:rsidRPr="003057F9">
              <w:rPr>
                <w:rFonts w:cs="Arial"/>
                <w:sz w:val="22"/>
                <w:szCs w:val="22"/>
              </w:rPr>
              <w:t>Administer</w:t>
            </w:r>
            <w:r w:rsidR="00354C77" w:rsidRPr="003057F9">
              <w:rPr>
                <w:rFonts w:cs="Arial"/>
                <w:sz w:val="22"/>
                <w:szCs w:val="22"/>
              </w:rPr>
              <w:t xml:space="preserve"> by </w:t>
            </w:r>
            <w:r w:rsidR="004B3517" w:rsidRPr="003057F9">
              <w:rPr>
                <w:rFonts w:cs="Arial"/>
                <w:b/>
                <w:sz w:val="22"/>
                <w:szCs w:val="22"/>
              </w:rPr>
              <w:t>intra</w:t>
            </w:r>
            <w:r w:rsidR="004231B0" w:rsidRPr="003057F9">
              <w:rPr>
                <w:rFonts w:cs="Arial"/>
                <w:b/>
                <w:sz w:val="22"/>
                <w:szCs w:val="22"/>
              </w:rPr>
              <w:t>muscular</w:t>
            </w:r>
            <w:r w:rsidR="004B3517" w:rsidRPr="003057F9">
              <w:rPr>
                <w:rFonts w:cs="Arial"/>
                <w:b/>
                <w:sz w:val="22"/>
                <w:szCs w:val="22"/>
              </w:rPr>
              <w:t xml:space="preserve"> </w:t>
            </w:r>
            <w:r w:rsidR="00354C77" w:rsidRPr="003057F9">
              <w:rPr>
                <w:rFonts w:cs="Arial"/>
                <w:b/>
                <w:sz w:val="22"/>
                <w:szCs w:val="22"/>
              </w:rPr>
              <w:t>injection</w:t>
            </w:r>
            <w:r w:rsidRPr="003057F9">
              <w:rPr>
                <w:rFonts w:cs="Arial"/>
                <w:sz w:val="22"/>
                <w:szCs w:val="22"/>
              </w:rPr>
              <w:t>,</w:t>
            </w:r>
            <w:r w:rsidR="009065EB" w:rsidRPr="003057F9">
              <w:rPr>
                <w:rFonts w:cs="Arial"/>
                <w:sz w:val="22"/>
                <w:szCs w:val="22"/>
              </w:rPr>
              <w:t xml:space="preserve"> </w:t>
            </w:r>
            <w:r w:rsidR="00354C77" w:rsidRPr="003057F9">
              <w:rPr>
                <w:rFonts w:cs="Arial"/>
                <w:sz w:val="22"/>
                <w:szCs w:val="22"/>
              </w:rPr>
              <w:t xml:space="preserve">preferably into </w:t>
            </w:r>
            <w:r w:rsidR="009065EB" w:rsidRPr="003057F9">
              <w:rPr>
                <w:rFonts w:cs="Arial"/>
                <w:sz w:val="22"/>
                <w:szCs w:val="22"/>
              </w:rPr>
              <w:t xml:space="preserve">the </w:t>
            </w:r>
            <w:r w:rsidR="0081114E" w:rsidRPr="003057F9">
              <w:rPr>
                <w:rFonts w:cs="Arial"/>
                <w:sz w:val="22"/>
                <w:szCs w:val="22"/>
              </w:rPr>
              <w:t>anterolateral aspect</w:t>
            </w:r>
            <w:r w:rsidR="009065EB" w:rsidRPr="003057F9">
              <w:rPr>
                <w:rFonts w:cs="Arial"/>
                <w:sz w:val="22"/>
                <w:szCs w:val="22"/>
              </w:rPr>
              <w:t xml:space="preserve"> of the thigh in infants under one</w:t>
            </w:r>
            <w:r w:rsidR="0081114E" w:rsidRPr="003057F9">
              <w:rPr>
                <w:rFonts w:cs="Arial"/>
                <w:sz w:val="22"/>
                <w:szCs w:val="22"/>
              </w:rPr>
              <w:t xml:space="preserve"> year of age</w:t>
            </w:r>
            <w:r w:rsidR="00F377D8" w:rsidRPr="003057F9">
              <w:rPr>
                <w:rFonts w:cs="Arial"/>
                <w:sz w:val="22"/>
                <w:szCs w:val="22"/>
              </w:rPr>
              <w:t>. The</w:t>
            </w:r>
            <w:r w:rsidR="009065EB" w:rsidRPr="003057F9">
              <w:rPr>
                <w:rFonts w:cs="Arial"/>
                <w:sz w:val="22"/>
                <w:szCs w:val="22"/>
              </w:rPr>
              <w:t xml:space="preserve"> deltoid region of the upper arm </w:t>
            </w:r>
            <w:r w:rsidR="00F377D8" w:rsidRPr="003057F9">
              <w:rPr>
                <w:rFonts w:cs="Arial"/>
                <w:sz w:val="22"/>
                <w:szCs w:val="22"/>
              </w:rPr>
              <w:t>may be used in individuals over one</w:t>
            </w:r>
            <w:r w:rsidR="009065EB" w:rsidRPr="003057F9">
              <w:rPr>
                <w:rFonts w:cs="Arial"/>
                <w:sz w:val="22"/>
                <w:szCs w:val="22"/>
              </w:rPr>
              <w:t xml:space="preserve"> year of age</w:t>
            </w:r>
            <w:r w:rsidRPr="003057F9">
              <w:rPr>
                <w:rFonts w:cs="Arial"/>
                <w:sz w:val="22"/>
                <w:szCs w:val="22"/>
              </w:rPr>
              <w:t xml:space="preserve"> </w:t>
            </w:r>
          </w:p>
          <w:p w:rsidR="00190006" w:rsidRPr="0081114E" w:rsidRDefault="00190006" w:rsidP="00190006">
            <w:pPr>
              <w:spacing w:before="120" w:after="120"/>
              <w:rPr>
                <w:rFonts w:cs="Arial"/>
                <w:sz w:val="22"/>
                <w:szCs w:val="22"/>
              </w:rPr>
            </w:pPr>
            <w:r w:rsidRPr="0081114E">
              <w:rPr>
                <w:rFonts w:cs="Arial"/>
                <w:sz w:val="22"/>
                <w:szCs w:val="22"/>
              </w:rPr>
              <w:t>When administering at the same time as other vaccines care should be taken to ensure that the appropriate route of injection is used for all the vaccinations.</w:t>
            </w:r>
            <w:r w:rsidR="008F5E52" w:rsidRPr="0081114E">
              <w:rPr>
                <w:rFonts w:cs="Arial"/>
                <w:sz w:val="22"/>
                <w:szCs w:val="22"/>
              </w:rPr>
              <w:t xml:space="preserve"> </w:t>
            </w:r>
            <w:r w:rsidRPr="0081114E">
              <w:rPr>
                <w:rFonts w:cs="Arial"/>
                <w:sz w:val="22"/>
                <w:szCs w:val="22"/>
              </w:rPr>
              <w:t>The vaccines should be given at separate sites, preferably in different limbs. If given in the same limb, they should be given at least 2.5cm apart. The site at which each vaccine was given should be noted in the individual’s records.</w:t>
            </w:r>
          </w:p>
          <w:p w:rsidR="004231B0" w:rsidRPr="0081114E" w:rsidRDefault="004231B0" w:rsidP="00190006">
            <w:pPr>
              <w:spacing w:before="120" w:after="120"/>
              <w:rPr>
                <w:rFonts w:cs="Arial"/>
                <w:sz w:val="22"/>
                <w:szCs w:val="22"/>
              </w:rPr>
            </w:pPr>
            <w:r w:rsidRPr="0081114E">
              <w:rPr>
                <w:rFonts w:cs="Arial"/>
                <w:sz w:val="22"/>
                <w:szCs w:val="22"/>
              </w:rPr>
              <w:t xml:space="preserve">For individuals with a bleeding disorder, vaccines normally given by an intramuscular route should be given by deep subcutaneous injection to reduce the risk of bleeding (see </w:t>
            </w:r>
            <w:r w:rsidR="005C0178">
              <w:rPr>
                <w:rFonts w:cs="Arial"/>
                <w:sz w:val="22"/>
                <w:szCs w:val="22"/>
              </w:rPr>
              <w:t xml:space="preserve">“The </w:t>
            </w:r>
            <w:r w:rsidRPr="0081114E">
              <w:rPr>
                <w:rFonts w:cs="Arial"/>
                <w:sz w:val="22"/>
                <w:szCs w:val="22"/>
              </w:rPr>
              <w:t>Green Book</w:t>
            </w:r>
            <w:r w:rsidR="005C0178">
              <w:rPr>
                <w:rFonts w:cs="Arial"/>
                <w:sz w:val="22"/>
                <w:szCs w:val="22"/>
              </w:rPr>
              <w:t>”</w:t>
            </w:r>
            <w:r w:rsidRPr="0081114E">
              <w:rPr>
                <w:rFonts w:cs="Arial"/>
                <w:sz w:val="22"/>
                <w:szCs w:val="22"/>
              </w:rPr>
              <w:t xml:space="preserve"> </w:t>
            </w:r>
            <w:hyperlink r:id="rId32" w:history="1">
              <w:r w:rsidRPr="009B6F85">
                <w:rPr>
                  <w:rStyle w:val="Hyperlink"/>
                  <w:sz w:val="22"/>
                  <w:szCs w:val="22"/>
                </w:rPr>
                <w:t>Chapter 4</w:t>
              </w:r>
            </w:hyperlink>
            <w:r w:rsidRPr="0081114E">
              <w:rPr>
                <w:rFonts w:cs="Arial"/>
                <w:sz w:val="22"/>
                <w:szCs w:val="22"/>
              </w:rPr>
              <w:t>).</w:t>
            </w:r>
          </w:p>
          <w:p w:rsidR="00090CE1" w:rsidRPr="003057F9" w:rsidRDefault="009F1AF8" w:rsidP="000452D9">
            <w:pPr>
              <w:shd w:val="clear" w:color="auto" w:fill="FFFFFF"/>
              <w:overflowPunct/>
              <w:autoSpaceDE/>
              <w:autoSpaceDN/>
              <w:adjustRightInd/>
              <w:spacing w:before="120" w:after="120"/>
              <w:textAlignment w:val="auto"/>
              <w:rPr>
                <w:rFonts w:cs="Arial"/>
                <w:sz w:val="22"/>
                <w:szCs w:val="22"/>
              </w:rPr>
            </w:pPr>
            <w:r w:rsidRPr="003057F9">
              <w:rPr>
                <w:rFonts w:cs="Arial"/>
                <w:sz w:val="22"/>
                <w:szCs w:val="22"/>
              </w:rPr>
              <w:t xml:space="preserve">The vaccine's normal appearance is a </w:t>
            </w:r>
            <w:r w:rsidR="00090CE1" w:rsidRPr="003057F9">
              <w:rPr>
                <w:rFonts w:cs="Arial"/>
                <w:sz w:val="22"/>
                <w:szCs w:val="22"/>
              </w:rPr>
              <w:t>uniform cloudy, white suspension which may sediment during storage. Shake the prefilled syringe well to uniformly distribute the suspension</w:t>
            </w:r>
            <w:r w:rsidR="00FF4734">
              <w:rPr>
                <w:rFonts w:cs="Arial"/>
                <w:sz w:val="22"/>
                <w:szCs w:val="22"/>
              </w:rPr>
              <w:t xml:space="preserve"> prior to reconstitution (if applicable) and</w:t>
            </w:r>
            <w:r w:rsidR="00090CE1" w:rsidRPr="003057F9">
              <w:rPr>
                <w:rFonts w:cs="Arial"/>
                <w:sz w:val="22"/>
                <w:szCs w:val="22"/>
              </w:rPr>
              <w:t xml:space="preserve"> before administering the vaccine.</w:t>
            </w:r>
          </w:p>
          <w:p w:rsidR="009F1AF8" w:rsidRPr="003057F9" w:rsidRDefault="000452D9" w:rsidP="009F1AF8">
            <w:pPr>
              <w:shd w:val="clear" w:color="auto" w:fill="FFFFFF"/>
              <w:overflowPunct/>
              <w:autoSpaceDE/>
              <w:autoSpaceDN/>
              <w:adjustRightInd/>
              <w:spacing w:before="120" w:after="120"/>
              <w:textAlignment w:val="auto"/>
              <w:rPr>
                <w:rFonts w:cs="Arial"/>
                <w:sz w:val="22"/>
                <w:szCs w:val="22"/>
              </w:rPr>
            </w:pPr>
            <w:r w:rsidRPr="003057F9">
              <w:rPr>
                <w:rFonts w:cs="Arial"/>
                <w:sz w:val="22"/>
                <w:szCs w:val="22"/>
              </w:rPr>
              <w:t xml:space="preserve">The vaccine should </w:t>
            </w:r>
            <w:r w:rsidR="003057F9" w:rsidRPr="003057F9">
              <w:rPr>
                <w:rFonts w:cs="Arial"/>
                <w:sz w:val="22"/>
                <w:szCs w:val="22"/>
              </w:rPr>
              <w:t xml:space="preserve">be inspected prior to and after any required reconstitution and should </w:t>
            </w:r>
            <w:r w:rsidRPr="003057F9">
              <w:rPr>
                <w:rFonts w:cs="Arial"/>
                <w:sz w:val="22"/>
                <w:szCs w:val="22"/>
              </w:rPr>
              <w:t>not be used if</w:t>
            </w:r>
            <w:r w:rsidR="00090CE1" w:rsidRPr="003057F9">
              <w:rPr>
                <w:rFonts w:cs="Arial"/>
                <w:sz w:val="22"/>
                <w:szCs w:val="22"/>
              </w:rPr>
              <w:t xml:space="preserve"> discoloured or</w:t>
            </w:r>
            <w:r w:rsidRPr="003057F9">
              <w:rPr>
                <w:rFonts w:cs="Arial"/>
                <w:sz w:val="22"/>
                <w:szCs w:val="22"/>
              </w:rPr>
              <w:t xml:space="preserve"> foreign particles</w:t>
            </w:r>
            <w:r w:rsidR="009F1AF8" w:rsidRPr="003057F9">
              <w:rPr>
                <w:rFonts w:cs="Arial"/>
                <w:sz w:val="22"/>
                <w:szCs w:val="22"/>
              </w:rPr>
              <w:t xml:space="preserve"> are present.</w:t>
            </w:r>
          </w:p>
          <w:p w:rsidR="002D7DF5" w:rsidRPr="0081114E" w:rsidRDefault="002D7DF5" w:rsidP="00BE1835">
            <w:pPr>
              <w:shd w:val="clear" w:color="auto" w:fill="FFFFFF"/>
              <w:overflowPunct/>
              <w:autoSpaceDE/>
              <w:autoSpaceDN/>
              <w:adjustRightInd/>
              <w:textAlignment w:val="auto"/>
              <w:rPr>
                <w:rFonts w:cs="Arial"/>
                <w:sz w:val="22"/>
                <w:szCs w:val="22"/>
              </w:rPr>
            </w:pPr>
            <w:r w:rsidRPr="0081114E">
              <w:rPr>
                <w:rFonts w:cs="Arial"/>
                <w:sz w:val="22"/>
                <w:szCs w:val="22"/>
              </w:rPr>
              <w:t>The</w:t>
            </w:r>
            <w:r w:rsidR="00B96534">
              <w:rPr>
                <w:rFonts w:cs="Arial"/>
                <w:sz w:val="22"/>
                <w:szCs w:val="22"/>
              </w:rPr>
              <w:t xml:space="preserve"> vaccine’s</w:t>
            </w:r>
            <w:r w:rsidRPr="0081114E">
              <w:rPr>
                <w:rFonts w:cs="Arial"/>
                <w:sz w:val="22"/>
                <w:szCs w:val="22"/>
              </w:rPr>
              <w:t xml:space="preserve"> Summary of Product Characteristics </w:t>
            </w:r>
            <w:r w:rsidR="00C952E0" w:rsidRPr="0081114E">
              <w:rPr>
                <w:rFonts w:cs="Arial"/>
                <w:sz w:val="22"/>
                <w:szCs w:val="22"/>
              </w:rPr>
              <w:t xml:space="preserve">(SPC) </w:t>
            </w:r>
            <w:r w:rsidR="002F66B0" w:rsidRPr="0081114E">
              <w:rPr>
                <w:rFonts w:cs="Arial"/>
                <w:sz w:val="22"/>
                <w:szCs w:val="22"/>
              </w:rPr>
              <w:t>provide</w:t>
            </w:r>
            <w:r w:rsidR="0038388A" w:rsidRPr="0081114E">
              <w:rPr>
                <w:rFonts w:cs="Arial"/>
                <w:sz w:val="22"/>
                <w:szCs w:val="22"/>
              </w:rPr>
              <w:t>s</w:t>
            </w:r>
            <w:r w:rsidRPr="0081114E">
              <w:rPr>
                <w:rFonts w:cs="Arial"/>
                <w:sz w:val="22"/>
                <w:szCs w:val="22"/>
              </w:rPr>
              <w:t xml:space="preserve"> further guidance on administration and is available from the electronic Medicines Compendium website: </w:t>
            </w:r>
          </w:p>
          <w:p w:rsidR="002F66B0" w:rsidRPr="009D4704" w:rsidRDefault="008C0826" w:rsidP="00BE1835">
            <w:pPr>
              <w:spacing w:after="120"/>
              <w:rPr>
                <w:rFonts w:cs="Arial"/>
                <w:b/>
                <w:color w:val="FF0000"/>
                <w:spacing w:val="-2"/>
                <w:sz w:val="22"/>
                <w:szCs w:val="22"/>
              </w:rPr>
            </w:pPr>
            <w:hyperlink r:id="rId33" w:history="1">
              <w:r w:rsidR="0081114E" w:rsidRPr="009B750F">
                <w:rPr>
                  <w:rStyle w:val="Hyperlink"/>
                  <w:sz w:val="22"/>
                  <w:szCs w:val="22"/>
                </w:rPr>
                <w:t>www.medicines.org.uk</w:t>
              </w:r>
            </w:hyperlink>
            <w:r w:rsidR="0081114E">
              <w:rPr>
                <w:sz w:val="22"/>
                <w:szCs w:val="22"/>
              </w:rPr>
              <w:t xml:space="preserve"> </w:t>
            </w:r>
            <w:r w:rsidR="0038388A" w:rsidRPr="0081114E">
              <w:rPr>
                <w:sz w:val="22"/>
                <w:szCs w:val="22"/>
              </w:rPr>
              <w:t xml:space="preserve"> </w:t>
            </w:r>
            <w:r w:rsidR="00A972A6" w:rsidRPr="0081114E">
              <w:rPr>
                <w:sz w:val="22"/>
                <w:szCs w:val="22"/>
              </w:rPr>
              <w:t xml:space="preserve"> </w:t>
            </w:r>
            <w:r w:rsidR="00EC56F9" w:rsidRPr="0081114E">
              <w:rPr>
                <w:rFonts w:cs="Arial"/>
                <w:spacing w:val="-2"/>
                <w:sz w:val="22"/>
                <w:szCs w:val="22"/>
              </w:rPr>
              <w:t xml:space="preserve"> </w:t>
            </w:r>
          </w:p>
        </w:tc>
      </w:tr>
      <w:tr w:rsidR="00A956FD" w:rsidRPr="00A956FD" w:rsidTr="0087180E">
        <w:tc>
          <w:tcPr>
            <w:tcW w:w="2977" w:type="dxa"/>
          </w:tcPr>
          <w:p w:rsidR="00D7770B" w:rsidRPr="004E122F" w:rsidRDefault="006D2947" w:rsidP="007E045E">
            <w:pPr>
              <w:pStyle w:val="Header"/>
              <w:tabs>
                <w:tab w:val="clear" w:pos="4153"/>
                <w:tab w:val="clear" w:pos="8306"/>
              </w:tabs>
              <w:spacing w:before="120" w:after="120"/>
              <w:rPr>
                <w:rFonts w:ascii="Arial" w:hAnsi="Arial" w:cs="Arial"/>
                <w:b/>
                <w:sz w:val="22"/>
                <w:szCs w:val="22"/>
              </w:rPr>
            </w:pPr>
            <w:r w:rsidRPr="00A202D7">
              <w:rPr>
                <w:rFonts w:ascii="Arial" w:hAnsi="Arial" w:cs="Arial"/>
                <w:b/>
                <w:sz w:val="22"/>
                <w:szCs w:val="22"/>
              </w:rPr>
              <w:lastRenderedPageBreak/>
              <w:t xml:space="preserve">Dose </w:t>
            </w:r>
            <w:r w:rsidR="00EB4085" w:rsidRPr="00A202D7">
              <w:rPr>
                <w:rFonts w:ascii="Arial" w:hAnsi="Arial" w:cs="Arial"/>
                <w:b/>
                <w:sz w:val="22"/>
                <w:szCs w:val="22"/>
              </w:rPr>
              <w:t>and frequency of administration</w:t>
            </w:r>
          </w:p>
          <w:p w:rsidR="00D7770B" w:rsidRPr="00A956FD" w:rsidRDefault="00D7770B" w:rsidP="007E045E">
            <w:pPr>
              <w:pStyle w:val="Header"/>
              <w:tabs>
                <w:tab w:val="clear" w:pos="4153"/>
                <w:tab w:val="clear" w:pos="8306"/>
              </w:tabs>
              <w:spacing w:before="120" w:after="120"/>
              <w:rPr>
                <w:rFonts w:ascii="Arial" w:hAnsi="Arial" w:cs="Arial"/>
                <w:b/>
                <w:color w:val="FF0000"/>
                <w:sz w:val="22"/>
                <w:szCs w:val="22"/>
              </w:rPr>
            </w:pPr>
          </w:p>
          <w:p w:rsidR="00D7770B" w:rsidRPr="00A956FD" w:rsidRDefault="00D7770B" w:rsidP="007E045E">
            <w:pPr>
              <w:pStyle w:val="Header"/>
              <w:tabs>
                <w:tab w:val="clear" w:pos="4153"/>
                <w:tab w:val="clear" w:pos="8306"/>
              </w:tabs>
              <w:spacing w:before="120" w:after="120"/>
              <w:rPr>
                <w:rFonts w:ascii="Arial" w:hAnsi="Arial" w:cs="Arial"/>
                <w:color w:val="FF0000"/>
                <w:sz w:val="22"/>
                <w:szCs w:val="22"/>
              </w:rPr>
            </w:pPr>
          </w:p>
        </w:tc>
        <w:tc>
          <w:tcPr>
            <w:tcW w:w="6946" w:type="dxa"/>
          </w:tcPr>
          <w:p w:rsidR="00D7770B" w:rsidRPr="009D4704" w:rsidRDefault="00EC30A2" w:rsidP="00D7770B">
            <w:pPr>
              <w:spacing w:before="120" w:after="120"/>
              <w:rPr>
                <w:rFonts w:cs="Arial"/>
                <w:color w:val="FF0000"/>
                <w:sz w:val="22"/>
                <w:szCs w:val="22"/>
              </w:rPr>
            </w:pPr>
            <w:r w:rsidRPr="001E4090">
              <w:rPr>
                <w:rFonts w:cs="Arial"/>
                <w:sz w:val="22"/>
                <w:szCs w:val="22"/>
              </w:rPr>
              <w:t>Single 0.5</w:t>
            </w:r>
            <w:r w:rsidR="00181E5D" w:rsidRPr="001E4090">
              <w:rPr>
                <w:rFonts w:cs="Arial"/>
                <w:sz w:val="22"/>
                <w:szCs w:val="22"/>
              </w:rPr>
              <w:t xml:space="preserve">ml dose </w:t>
            </w:r>
            <w:r w:rsidR="00737D64" w:rsidRPr="001E4090">
              <w:rPr>
                <w:rFonts w:cs="Arial"/>
                <w:sz w:val="22"/>
                <w:szCs w:val="22"/>
              </w:rPr>
              <w:t>per administration</w:t>
            </w:r>
          </w:p>
          <w:p w:rsidR="00D7770B" w:rsidRPr="00734AD5" w:rsidRDefault="00E94836" w:rsidP="00D7770B">
            <w:pPr>
              <w:spacing w:before="120" w:after="120"/>
              <w:rPr>
                <w:rFonts w:cs="Arial"/>
                <w:b/>
                <w:sz w:val="22"/>
                <w:szCs w:val="22"/>
              </w:rPr>
            </w:pPr>
            <w:r w:rsidRPr="00734AD5">
              <w:rPr>
                <w:rFonts w:cs="Arial"/>
                <w:b/>
                <w:sz w:val="22"/>
                <w:szCs w:val="22"/>
              </w:rPr>
              <w:t>Routine</w:t>
            </w:r>
            <w:r w:rsidR="002A21ED" w:rsidRPr="00734AD5">
              <w:rPr>
                <w:rFonts w:cs="Arial"/>
                <w:b/>
                <w:sz w:val="22"/>
                <w:szCs w:val="22"/>
              </w:rPr>
              <w:t xml:space="preserve"> Childhood</w:t>
            </w:r>
            <w:r w:rsidR="00D7770B" w:rsidRPr="00734AD5">
              <w:rPr>
                <w:rFonts w:cs="Arial"/>
                <w:b/>
                <w:sz w:val="22"/>
                <w:szCs w:val="22"/>
              </w:rPr>
              <w:t xml:space="preserve"> Immunisation Schedule</w:t>
            </w:r>
          </w:p>
          <w:p w:rsidR="00734AD5" w:rsidRDefault="00DF5B51" w:rsidP="00737D64">
            <w:pPr>
              <w:spacing w:after="120"/>
              <w:rPr>
                <w:rFonts w:eastAsiaTheme="minorHAnsi" w:cs="Arial"/>
                <w:sz w:val="22"/>
                <w:szCs w:val="22"/>
                <w:lang w:eastAsia="en-US"/>
              </w:rPr>
            </w:pPr>
            <w:r w:rsidRPr="00734AD5">
              <w:rPr>
                <w:rFonts w:eastAsiaTheme="minorHAnsi" w:cs="Arial"/>
                <w:sz w:val="22"/>
                <w:szCs w:val="22"/>
                <w:lang w:eastAsia="en-US"/>
              </w:rPr>
              <w:t>DTaP/IPV</w:t>
            </w:r>
            <w:r w:rsidR="00734AD5" w:rsidRPr="00734AD5">
              <w:rPr>
                <w:rFonts w:eastAsiaTheme="minorHAnsi" w:cs="Arial"/>
                <w:sz w:val="22"/>
                <w:szCs w:val="22"/>
                <w:lang w:eastAsia="en-US"/>
              </w:rPr>
              <w:t xml:space="preserve">+Hib </w:t>
            </w:r>
            <w:r w:rsidR="00244D27">
              <w:rPr>
                <w:rFonts w:eastAsiaTheme="minorHAnsi" w:cs="Arial"/>
                <w:sz w:val="22"/>
                <w:szCs w:val="22"/>
                <w:lang w:eastAsia="en-US"/>
              </w:rPr>
              <w:t xml:space="preserve">0.5ml </w:t>
            </w:r>
            <w:r w:rsidR="00734AD5" w:rsidRPr="00734AD5">
              <w:rPr>
                <w:rFonts w:eastAsiaTheme="minorHAnsi" w:cs="Arial"/>
                <w:sz w:val="22"/>
                <w:szCs w:val="22"/>
                <w:lang w:eastAsia="en-US"/>
              </w:rPr>
              <w:t>s</w:t>
            </w:r>
            <w:r w:rsidR="00A202D7" w:rsidRPr="00734AD5">
              <w:rPr>
                <w:rFonts w:eastAsiaTheme="minorHAnsi" w:cs="Arial"/>
                <w:sz w:val="22"/>
                <w:szCs w:val="22"/>
                <w:lang w:eastAsia="en-US"/>
              </w:rPr>
              <w:t xml:space="preserve">hould ideally be given </w:t>
            </w:r>
            <w:r w:rsidR="00734AD5" w:rsidRPr="00734AD5">
              <w:rPr>
                <w:rFonts w:eastAsiaTheme="minorHAnsi" w:cs="Arial"/>
                <w:sz w:val="22"/>
                <w:szCs w:val="22"/>
                <w:lang w:eastAsia="en-US"/>
              </w:rPr>
              <w:t>as follows:</w:t>
            </w:r>
          </w:p>
          <w:p w:rsidR="00244D27" w:rsidRDefault="00244D27" w:rsidP="00062C7F">
            <w:pPr>
              <w:pStyle w:val="ListParagraph"/>
              <w:numPr>
                <w:ilvl w:val="0"/>
                <w:numId w:val="11"/>
              </w:numPr>
              <w:spacing w:before="120" w:after="120"/>
              <w:ind w:left="317" w:hanging="317"/>
              <w:rPr>
                <w:sz w:val="22"/>
                <w:szCs w:val="22"/>
              </w:rPr>
            </w:pPr>
            <w:r>
              <w:rPr>
                <w:sz w:val="22"/>
                <w:szCs w:val="22"/>
              </w:rPr>
              <w:t>first</w:t>
            </w:r>
            <w:r w:rsidRPr="007F2323">
              <w:rPr>
                <w:sz w:val="22"/>
                <w:szCs w:val="22"/>
              </w:rPr>
              <w:t xml:space="preserve"> primary immunisation visit (usually at age 2 months) </w:t>
            </w:r>
          </w:p>
          <w:p w:rsidR="00244D27" w:rsidRPr="007F2323" w:rsidRDefault="00244D27" w:rsidP="00062C7F">
            <w:pPr>
              <w:pStyle w:val="ListParagraph"/>
              <w:numPr>
                <w:ilvl w:val="0"/>
                <w:numId w:val="11"/>
              </w:numPr>
              <w:spacing w:before="120" w:after="120"/>
              <w:ind w:left="317" w:hanging="317"/>
              <w:rPr>
                <w:sz w:val="22"/>
                <w:szCs w:val="22"/>
              </w:rPr>
            </w:pPr>
            <w:r>
              <w:rPr>
                <w:sz w:val="22"/>
                <w:szCs w:val="22"/>
              </w:rPr>
              <w:t>second primary immunisation visit (usually at age 3 months)</w:t>
            </w:r>
          </w:p>
          <w:p w:rsidR="00244D27" w:rsidRPr="007F2323" w:rsidRDefault="00244D27" w:rsidP="00062C7F">
            <w:pPr>
              <w:pStyle w:val="ListParagraph"/>
              <w:numPr>
                <w:ilvl w:val="0"/>
                <w:numId w:val="11"/>
              </w:numPr>
              <w:spacing w:before="120" w:after="120"/>
              <w:ind w:left="317" w:hanging="317"/>
              <w:rPr>
                <w:sz w:val="22"/>
                <w:szCs w:val="22"/>
              </w:rPr>
            </w:pPr>
            <w:r>
              <w:rPr>
                <w:sz w:val="22"/>
                <w:szCs w:val="22"/>
              </w:rPr>
              <w:t>third</w:t>
            </w:r>
            <w:r w:rsidRPr="007F2323">
              <w:rPr>
                <w:sz w:val="22"/>
                <w:szCs w:val="22"/>
              </w:rPr>
              <w:t xml:space="preserve"> primary immunisation visit (usually at age 4 months)</w:t>
            </w:r>
          </w:p>
          <w:p w:rsidR="00734AD5" w:rsidRDefault="00EF31ED" w:rsidP="00734AD5">
            <w:pPr>
              <w:spacing w:after="120"/>
              <w:rPr>
                <w:rFonts w:eastAsiaTheme="minorHAnsi" w:cs="Arial"/>
                <w:sz w:val="22"/>
                <w:szCs w:val="22"/>
                <w:lang w:eastAsia="en-US"/>
              </w:rPr>
            </w:pPr>
            <w:r w:rsidRPr="00734AD5">
              <w:rPr>
                <w:rFonts w:eastAsiaTheme="minorHAnsi" w:cs="Arial"/>
                <w:sz w:val="22"/>
                <w:szCs w:val="22"/>
                <w:lang w:eastAsia="en-US"/>
              </w:rPr>
              <w:t>When prima</w:t>
            </w:r>
            <w:r w:rsidR="00734AD5" w:rsidRPr="00734AD5">
              <w:rPr>
                <w:rFonts w:eastAsiaTheme="minorHAnsi" w:cs="Arial"/>
                <w:sz w:val="22"/>
                <w:szCs w:val="22"/>
                <w:lang w:eastAsia="en-US"/>
              </w:rPr>
              <w:t>ry vaccination has been delayed the individual should be immunised at the earliest opportunity with an interval of one month between each dose.</w:t>
            </w:r>
          </w:p>
          <w:p w:rsidR="00FF4734" w:rsidRPr="00CD007D" w:rsidRDefault="00FF4734" w:rsidP="00062C7F">
            <w:pPr>
              <w:pStyle w:val="CommentText"/>
              <w:numPr>
                <w:ilvl w:val="1"/>
                <w:numId w:val="35"/>
              </w:numPr>
              <w:ind w:left="317" w:hanging="317"/>
              <w:rPr>
                <w:rFonts w:eastAsiaTheme="minorHAnsi" w:cs="Arial"/>
                <w:sz w:val="22"/>
                <w:szCs w:val="22"/>
                <w:lang w:eastAsia="en-US"/>
              </w:rPr>
            </w:pPr>
            <w:r w:rsidRPr="00CD007D">
              <w:rPr>
                <w:rFonts w:eastAsiaTheme="minorHAnsi" w:cs="Arial"/>
                <w:sz w:val="22"/>
                <w:szCs w:val="22"/>
                <w:lang w:eastAsia="en-US"/>
              </w:rPr>
              <w:t xml:space="preserve">3 doses </w:t>
            </w:r>
            <w:r w:rsidR="00062C7F" w:rsidRPr="00CD007D">
              <w:rPr>
                <w:rFonts w:eastAsiaTheme="minorHAnsi" w:cs="Arial"/>
                <w:sz w:val="22"/>
                <w:szCs w:val="22"/>
                <w:lang w:eastAsia="en-US"/>
              </w:rPr>
              <w:t xml:space="preserve">to be administered at one month intervals </w:t>
            </w:r>
            <w:r w:rsidRPr="00CD007D">
              <w:rPr>
                <w:rFonts w:eastAsiaTheme="minorHAnsi" w:cs="Arial"/>
                <w:sz w:val="22"/>
                <w:szCs w:val="22"/>
                <w:lang w:eastAsia="en-US"/>
              </w:rPr>
              <w:t>usua</w:t>
            </w:r>
            <w:r w:rsidR="00062C7F" w:rsidRPr="00CD007D">
              <w:rPr>
                <w:rFonts w:eastAsiaTheme="minorHAnsi" w:cs="Arial"/>
                <w:sz w:val="22"/>
                <w:szCs w:val="22"/>
                <w:lang w:eastAsia="en-US"/>
              </w:rPr>
              <w:t>lly starting at 2 months of age, although c</w:t>
            </w:r>
            <w:r w:rsidRPr="00CD007D">
              <w:rPr>
                <w:rFonts w:eastAsiaTheme="minorHAnsi" w:cs="Arial"/>
                <w:sz w:val="22"/>
                <w:szCs w:val="22"/>
                <w:lang w:eastAsia="en-US"/>
              </w:rPr>
              <w:t xml:space="preserve">an be given </w:t>
            </w:r>
            <w:r w:rsidR="00A64FBA" w:rsidRPr="00CD007D">
              <w:rPr>
                <w:rFonts w:eastAsiaTheme="minorHAnsi" w:cs="Arial"/>
                <w:sz w:val="22"/>
                <w:szCs w:val="22"/>
                <w:lang w:eastAsia="en-US"/>
              </w:rPr>
              <w:t>until</w:t>
            </w:r>
            <w:r w:rsidRPr="00CD007D">
              <w:rPr>
                <w:rFonts w:eastAsiaTheme="minorHAnsi" w:cs="Arial"/>
                <w:sz w:val="22"/>
                <w:szCs w:val="22"/>
                <w:lang w:eastAsia="en-US"/>
              </w:rPr>
              <w:t xml:space="preserve"> 10 years of age</w:t>
            </w:r>
          </w:p>
          <w:p w:rsidR="00062C7F" w:rsidRPr="00062C7F" w:rsidRDefault="00062C7F" w:rsidP="00062C7F">
            <w:pPr>
              <w:pStyle w:val="CommentText"/>
              <w:ind w:left="317"/>
            </w:pPr>
          </w:p>
          <w:p w:rsidR="00F81EF1" w:rsidRDefault="00734AD5" w:rsidP="00734AD5">
            <w:pPr>
              <w:spacing w:after="120"/>
              <w:rPr>
                <w:rFonts w:eastAsiaTheme="minorHAnsi" w:cs="Arial"/>
                <w:sz w:val="22"/>
                <w:szCs w:val="22"/>
                <w:lang w:eastAsia="en-US"/>
              </w:rPr>
            </w:pPr>
            <w:r w:rsidRPr="00734AD5">
              <w:rPr>
                <w:rFonts w:eastAsiaTheme="minorHAnsi" w:cs="Arial"/>
                <w:sz w:val="22"/>
                <w:szCs w:val="22"/>
                <w:lang w:eastAsia="en-US"/>
              </w:rPr>
              <w:t>If the primary course is interrupted it should be resumed but not repeated, allowing an interval of one month between the remaining doses.</w:t>
            </w:r>
          </w:p>
          <w:p w:rsidR="009065EB" w:rsidRPr="000E78D3" w:rsidRDefault="009065EB" w:rsidP="009065EB">
            <w:pPr>
              <w:spacing w:before="120" w:after="120"/>
              <w:rPr>
                <w:rFonts w:eastAsiaTheme="minorHAnsi" w:cs="Arial"/>
                <w:b/>
                <w:sz w:val="22"/>
                <w:szCs w:val="22"/>
                <w:lang w:eastAsia="en-US"/>
              </w:rPr>
            </w:pPr>
            <w:r w:rsidRPr="000E78D3">
              <w:rPr>
                <w:rFonts w:eastAsiaTheme="minorHAnsi" w:cs="Arial"/>
                <w:b/>
                <w:sz w:val="22"/>
                <w:szCs w:val="22"/>
                <w:lang w:eastAsia="en-US"/>
              </w:rPr>
              <w:t>Management of tetanus prone wound</w:t>
            </w:r>
          </w:p>
          <w:p w:rsidR="009065EB" w:rsidRPr="000E78D3" w:rsidRDefault="009065EB" w:rsidP="009065EB">
            <w:pPr>
              <w:spacing w:before="120" w:after="120"/>
              <w:rPr>
                <w:rFonts w:eastAsiaTheme="minorHAnsi" w:cs="Arial"/>
                <w:sz w:val="22"/>
                <w:szCs w:val="22"/>
                <w:lang w:eastAsia="en-US"/>
              </w:rPr>
            </w:pPr>
            <w:r w:rsidRPr="000E78D3">
              <w:rPr>
                <w:rFonts w:eastAsiaTheme="minorHAnsi" w:cs="Arial"/>
                <w:sz w:val="22"/>
                <w:szCs w:val="22"/>
                <w:lang w:eastAsia="en-US"/>
              </w:rPr>
              <w:t>Individuals with incomplete or uncertain history of tetanus immunisation should be vaccinated in accordance with the recommendations in the “</w:t>
            </w:r>
            <w:r w:rsidR="005C0178">
              <w:rPr>
                <w:rFonts w:eastAsiaTheme="minorHAnsi" w:cs="Arial"/>
                <w:sz w:val="22"/>
                <w:szCs w:val="22"/>
                <w:lang w:eastAsia="en-US"/>
              </w:rPr>
              <w:t xml:space="preserve">The </w:t>
            </w:r>
            <w:r w:rsidRPr="000E78D3">
              <w:rPr>
                <w:rFonts w:eastAsiaTheme="minorHAnsi" w:cs="Arial"/>
                <w:sz w:val="22"/>
                <w:szCs w:val="22"/>
                <w:lang w:eastAsia="en-US"/>
              </w:rPr>
              <w:t xml:space="preserve">Green Book” </w:t>
            </w:r>
            <w:hyperlink r:id="rId34" w:history="1">
              <w:r w:rsidRPr="009B6F85">
                <w:rPr>
                  <w:rStyle w:val="Hyperlink"/>
                  <w:sz w:val="22"/>
                  <w:szCs w:val="22"/>
                </w:rPr>
                <w:t>Chapter 30</w:t>
              </w:r>
            </w:hyperlink>
            <w:r w:rsidRPr="009B6F85">
              <w:rPr>
                <w:rStyle w:val="Hyperlink"/>
                <w:rFonts w:cs="Arial"/>
                <w:color w:val="auto"/>
                <w:sz w:val="22"/>
                <w:szCs w:val="22"/>
                <w:u w:val="none"/>
              </w:rPr>
              <w:t xml:space="preserve"> </w:t>
            </w:r>
            <w:r w:rsidRPr="000E78D3">
              <w:rPr>
                <w:rFonts w:eastAsiaTheme="minorHAnsi" w:cs="Arial"/>
                <w:sz w:val="22"/>
                <w:szCs w:val="22"/>
                <w:lang w:eastAsia="en-US"/>
              </w:rPr>
              <w:t>Table 30.1.</w:t>
            </w:r>
          </w:p>
          <w:p w:rsidR="009065EB" w:rsidRPr="009D4704" w:rsidRDefault="009065EB" w:rsidP="009065EB">
            <w:pPr>
              <w:spacing w:after="120"/>
              <w:rPr>
                <w:rFonts w:eastAsiaTheme="minorHAnsi" w:cs="Arial"/>
                <w:color w:val="FF0000"/>
                <w:sz w:val="22"/>
                <w:szCs w:val="22"/>
                <w:lang w:eastAsia="en-US"/>
              </w:rPr>
            </w:pPr>
            <w:r w:rsidRPr="000E78D3">
              <w:rPr>
                <w:rFonts w:eastAsiaTheme="minorHAnsi" w:cs="Arial"/>
                <w:sz w:val="22"/>
                <w:szCs w:val="22"/>
                <w:lang w:eastAsia="en-US"/>
              </w:rPr>
              <w:t>Individuals may also require human tetanus immunoglobulin (see “</w:t>
            </w:r>
            <w:r w:rsidR="005C0178">
              <w:rPr>
                <w:rFonts w:eastAsiaTheme="minorHAnsi" w:cs="Arial"/>
                <w:sz w:val="22"/>
                <w:szCs w:val="22"/>
                <w:lang w:eastAsia="en-US"/>
              </w:rPr>
              <w:t xml:space="preserve">The </w:t>
            </w:r>
            <w:r w:rsidRPr="000E78D3">
              <w:rPr>
                <w:rFonts w:eastAsiaTheme="minorHAnsi" w:cs="Arial"/>
                <w:sz w:val="22"/>
                <w:szCs w:val="22"/>
                <w:lang w:eastAsia="en-US"/>
              </w:rPr>
              <w:t xml:space="preserve">Green Book” </w:t>
            </w:r>
            <w:hyperlink r:id="rId35" w:history="1">
              <w:r w:rsidRPr="009B6F85">
                <w:rPr>
                  <w:rStyle w:val="Hyperlink"/>
                  <w:sz w:val="22"/>
                  <w:szCs w:val="22"/>
                </w:rPr>
                <w:t>Chapter 30</w:t>
              </w:r>
            </w:hyperlink>
            <w:r w:rsidRPr="009B6F85">
              <w:rPr>
                <w:rStyle w:val="Hyperlink"/>
                <w:rFonts w:cs="Arial"/>
                <w:color w:val="auto"/>
                <w:sz w:val="22"/>
                <w:szCs w:val="22"/>
                <w:u w:val="none"/>
              </w:rPr>
              <w:t>).</w:t>
            </w:r>
          </w:p>
        </w:tc>
      </w:tr>
      <w:tr w:rsidR="00A956FD" w:rsidRPr="00A956FD" w:rsidTr="0087180E">
        <w:tc>
          <w:tcPr>
            <w:tcW w:w="2977" w:type="dxa"/>
            <w:tcBorders>
              <w:bottom w:val="single" w:sz="4" w:space="0" w:color="auto"/>
            </w:tcBorders>
          </w:tcPr>
          <w:p w:rsidR="006D2947" w:rsidRPr="0000216F" w:rsidRDefault="006D2947" w:rsidP="007E045E">
            <w:pPr>
              <w:spacing w:before="120" w:after="120"/>
              <w:rPr>
                <w:rFonts w:cs="Arial"/>
                <w:b/>
                <w:sz w:val="22"/>
                <w:szCs w:val="22"/>
              </w:rPr>
            </w:pPr>
            <w:r w:rsidRPr="0000216F">
              <w:rPr>
                <w:rFonts w:cs="Arial"/>
                <w:b/>
                <w:sz w:val="22"/>
                <w:szCs w:val="22"/>
              </w:rPr>
              <w:t>Duration of treatment</w:t>
            </w:r>
          </w:p>
        </w:tc>
        <w:tc>
          <w:tcPr>
            <w:tcW w:w="6946" w:type="dxa"/>
            <w:tcBorders>
              <w:bottom w:val="single" w:sz="4" w:space="0" w:color="auto"/>
            </w:tcBorders>
          </w:tcPr>
          <w:p w:rsidR="00AB0EB2" w:rsidRPr="001E4090" w:rsidRDefault="001E4090" w:rsidP="00BE1835">
            <w:pPr>
              <w:spacing w:before="120" w:after="120"/>
              <w:rPr>
                <w:sz w:val="22"/>
                <w:szCs w:val="22"/>
              </w:rPr>
            </w:pPr>
            <w:r w:rsidRPr="001E4090">
              <w:rPr>
                <w:sz w:val="22"/>
                <w:szCs w:val="22"/>
              </w:rPr>
              <w:t xml:space="preserve">The primary course </w:t>
            </w:r>
            <w:r w:rsidR="00DC2AEC">
              <w:rPr>
                <w:sz w:val="22"/>
                <w:szCs w:val="22"/>
              </w:rPr>
              <w:t xml:space="preserve">usually </w:t>
            </w:r>
            <w:r w:rsidRPr="001E4090">
              <w:rPr>
                <w:sz w:val="22"/>
                <w:szCs w:val="22"/>
              </w:rPr>
              <w:t xml:space="preserve">consists of three doses with an interval of one month between each dose. </w:t>
            </w:r>
          </w:p>
          <w:p w:rsidR="00DC2AEC" w:rsidRPr="009D4704" w:rsidRDefault="00AB0EB2" w:rsidP="0087463A">
            <w:pPr>
              <w:spacing w:before="120" w:after="120"/>
              <w:rPr>
                <w:color w:val="FF0000"/>
                <w:sz w:val="22"/>
                <w:szCs w:val="22"/>
              </w:rPr>
            </w:pPr>
            <w:r w:rsidRPr="001E4090">
              <w:rPr>
                <w:sz w:val="22"/>
                <w:szCs w:val="22"/>
              </w:rPr>
              <w:t xml:space="preserve">Other diphtheria, tetanus, pertussis and polio vaccines </w:t>
            </w:r>
            <w:r w:rsidR="00DC2AEC">
              <w:rPr>
                <w:sz w:val="22"/>
                <w:szCs w:val="22"/>
              </w:rPr>
              <w:t xml:space="preserve">(DTaP/IPV or dTaP/IPV) </w:t>
            </w:r>
            <w:r w:rsidR="0000216F" w:rsidRPr="001E4090">
              <w:rPr>
                <w:sz w:val="22"/>
                <w:szCs w:val="22"/>
              </w:rPr>
              <w:t xml:space="preserve">are </w:t>
            </w:r>
            <w:r w:rsidR="00DC2AEC">
              <w:rPr>
                <w:sz w:val="22"/>
                <w:szCs w:val="22"/>
              </w:rPr>
              <w:t xml:space="preserve">routinely </w:t>
            </w:r>
            <w:r w:rsidR="0000216F" w:rsidRPr="001E4090">
              <w:rPr>
                <w:sz w:val="22"/>
                <w:szCs w:val="22"/>
              </w:rPr>
              <w:t xml:space="preserve">recommended </w:t>
            </w:r>
            <w:r w:rsidR="001E4090" w:rsidRPr="001E4090">
              <w:rPr>
                <w:sz w:val="22"/>
                <w:szCs w:val="22"/>
              </w:rPr>
              <w:t xml:space="preserve">for </w:t>
            </w:r>
            <w:r w:rsidR="0000216F" w:rsidRPr="001E4090">
              <w:rPr>
                <w:sz w:val="22"/>
                <w:szCs w:val="22"/>
              </w:rPr>
              <w:t xml:space="preserve">subsequent boosters to </w:t>
            </w:r>
            <w:r w:rsidRPr="001E4090">
              <w:rPr>
                <w:sz w:val="22"/>
                <w:szCs w:val="22"/>
              </w:rPr>
              <w:t>complete</w:t>
            </w:r>
            <w:r w:rsidR="0000216F" w:rsidRPr="001E4090">
              <w:rPr>
                <w:sz w:val="22"/>
                <w:szCs w:val="22"/>
              </w:rPr>
              <w:t xml:space="preserve"> immunisation in accordance with national recommendations.</w:t>
            </w:r>
          </w:p>
        </w:tc>
      </w:tr>
      <w:tr w:rsidR="00A956FD" w:rsidRPr="00A956FD" w:rsidTr="0087180E">
        <w:tc>
          <w:tcPr>
            <w:tcW w:w="2977" w:type="dxa"/>
            <w:tcBorders>
              <w:bottom w:val="single" w:sz="4" w:space="0" w:color="auto"/>
            </w:tcBorders>
          </w:tcPr>
          <w:p w:rsidR="006D2947" w:rsidRPr="0000216F" w:rsidRDefault="00EB4085" w:rsidP="0087463A">
            <w:pPr>
              <w:spacing w:before="120" w:after="60"/>
              <w:rPr>
                <w:rFonts w:cs="Arial"/>
                <w:b/>
                <w:sz w:val="22"/>
                <w:szCs w:val="22"/>
              </w:rPr>
            </w:pPr>
            <w:r w:rsidRPr="0000216F">
              <w:rPr>
                <w:rFonts w:cs="Arial"/>
                <w:b/>
                <w:sz w:val="22"/>
                <w:szCs w:val="22"/>
              </w:rPr>
              <w:t>Quantity to be supplied / administered</w:t>
            </w:r>
          </w:p>
        </w:tc>
        <w:tc>
          <w:tcPr>
            <w:tcW w:w="6946" w:type="dxa"/>
            <w:tcBorders>
              <w:bottom w:val="single" w:sz="4" w:space="0" w:color="auto"/>
            </w:tcBorders>
          </w:tcPr>
          <w:p w:rsidR="006D2947" w:rsidRPr="001E4090" w:rsidRDefault="002D7DF5" w:rsidP="009F1AF8">
            <w:pPr>
              <w:spacing w:before="120" w:after="120"/>
              <w:rPr>
                <w:sz w:val="22"/>
                <w:szCs w:val="22"/>
              </w:rPr>
            </w:pPr>
            <w:r w:rsidRPr="001E4090">
              <w:rPr>
                <w:sz w:val="22"/>
                <w:szCs w:val="22"/>
              </w:rPr>
              <w:t>Single 0.</w:t>
            </w:r>
            <w:r w:rsidR="009F1AF8" w:rsidRPr="001E4090">
              <w:rPr>
                <w:sz w:val="22"/>
                <w:szCs w:val="22"/>
              </w:rPr>
              <w:t>5</w:t>
            </w:r>
            <w:r w:rsidRPr="001E4090">
              <w:rPr>
                <w:sz w:val="22"/>
                <w:szCs w:val="22"/>
              </w:rPr>
              <w:t>m</w:t>
            </w:r>
            <w:r w:rsidR="00360EE2" w:rsidRPr="001E4090">
              <w:rPr>
                <w:sz w:val="22"/>
                <w:szCs w:val="22"/>
              </w:rPr>
              <w:t>l dose</w:t>
            </w:r>
            <w:r w:rsidR="00A41CC7" w:rsidRPr="001E4090">
              <w:rPr>
                <w:sz w:val="22"/>
                <w:szCs w:val="22"/>
              </w:rPr>
              <w:t xml:space="preserve"> per administration</w:t>
            </w:r>
            <w:r w:rsidR="00896281" w:rsidRPr="001E4090">
              <w:rPr>
                <w:sz w:val="22"/>
                <w:szCs w:val="22"/>
              </w:rPr>
              <w:t>.</w:t>
            </w:r>
          </w:p>
        </w:tc>
      </w:tr>
      <w:tr w:rsidR="00A956FD" w:rsidRPr="00A956FD" w:rsidTr="0087180E">
        <w:tc>
          <w:tcPr>
            <w:tcW w:w="2977" w:type="dxa"/>
            <w:tcBorders>
              <w:bottom w:val="single" w:sz="4" w:space="0" w:color="auto"/>
            </w:tcBorders>
          </w:tcPr>
          <w:p w:rsidR="009F1AF8" w:rsidRPr="0000216F" w:rsidRDefault="008D7620" w:rsidP="009F1AF8">
            <w:pPr>
              <w:spacing w:before="120" w:after="120"/>
              <w:rPr>
                <w:rFonts w:cs="Arial"/>
                <w:sz w:val="22"/>
                <w:szCs w:val="22"/>
              </w:rPr>
            </w:pPr>
            <w:r w:rsidRPr="0000216F">
              <w:br w:type="page"/>
            </w:r>
            <w:r w:rsidR="00B76A14" w:rsidRPr="0000216F">
              <w:rPr>
                <w:rFonts w:cs="Arial"/>
                <w:b/>
                <w:sz w:val="22"/>
                <w:szCs w:val="22"/>
              </w:rPr>
              <w:t>Supplies</w:t>
            </w:r>
          </w:p>
          <w:p w:rsidR="002436D7" w:rsidRPr="0000216F" w:rsidRDefault="002436D7" w:rsidP="002436D7">
            <w:pPr>
              <w:spacing w:before="120" w:after="120"/>
              <w:rPr>
                <w:rFonts w:cs="Arial"/>
                <w:sz w:val="22"/>
                <w:szCs w:val="22"/>
              </w:rPr>
            </w:pPr>
          </w:p>
        </w:tc>
        <w:tc>
          <w:tcPr>
            <w:tcW w:w="6946" w:type="dxa"/>
            <w:tcBorders>
              <w:bottom w:val="single" w:sz="4" w:space="0" w:color="auto"/>
            </w:tcBorders>
          </w:tcPr>
          <w:p w:rsidR="00B76A14" w:rsidRPr="0000216F" w:rsidRDefault="007D6314" w:rsidP="00BE1835">
            <w:pPr>
              <w:spacing w:before="120" w:after="120"/>
              <w:rPr>
                <w:rFonts w:cs="TimesNewRomanPS"/>
                <w:sz w:val="22"/>
                <w:szCs w:val="22"/>
              </w:rPr>
            </w:pPr>
            <w:r w:rsidRPr="0000216F">
              <w:rPr>
                <w:rFonts w:cs="Arial"/>
                <w:sz w:val="22"/>
                <w:szCs w:val="22"/>
              </w:rPr>
              <w:t>Centrally purchased vaccines for the national immunisation programme for the NHS can only be ordered via ImmForm. Vaccines for use for the national immunisation programme are provided free of charge.</w:t>
            </w:r>
          </w:p>
        </w:tc>
      </w:tr>
      <w:tr w:rsidR="00A956FD" w:rsidRPr="00A956FD" w:rsidTr="0087180E">
        <w:tc>
          <w:tcPr>
            <w:tcW w:w="2977" w:type="dxa"/>
            <w:tcBorders>
              <w:bottom w:val="single" w:sz="4" w:space="0" w:color="auto"/>
            </w:tcBorders>
          </w:tcPr>
          <w:p w:rsidR="00EB4085" w:rsidRPr="0000216F" w:rsidRDefault="00EB4085" w:rsidP="006F4906">
            <w:pPr>
              <w:spacing w:before="120" w:after="120"/>
              <w:rPr>
                <w:rFonts w:cs="Arial"/>
                <w:b/>
                <w:sz w:val="22"/>
                <w:szCs w:val="22"/>
              </w:rPr>
            </w:pPr>
            <w:r w:rsidRPr="0000216F">
              <w:rPr>
                <w:rFonts w:cs="Arial"/>
                <w:b/>
                <w:sz w:val="22"/>
                <w:szCs w:val="22"/>
              </w:rPr>
              <w:t>Storage</w:t>
            </w:r>
          </w:p>
        </w:tc>
        <w:tc>
          <w:tcPr>
            <w:tcW w:w="6946" w:type="dxa"/>
            <w:tcBorders>
              <w:bottom w:val="single" w:sz="4" w:space="0" w:color="auto"/>
            </w:tcBorders>
          </w:tcPr>
          <w:p w:rsidR="0026603E" w:rsidRPr="007C4122" w:rsidRDefault="0026603E" w:rsidP="00BE1835">
            <w:pPr>
              <w:pStyle w:val="Header"/>
              <w:tabs>
                <w:tab w:val="clear" w:pos="4153"/>
                <w:tab w:val="clear" w:pos="8306"/>
              </w:tabs>
              <w:spacing w:before="120"/>
              <w:rPr>
                <w:rFonts w:ascii="Arial" w:hAnsi="Arial" w:cs="Arial"/>
                <w:sz w:val="22"/>
                <w:szCs w:val="22"/>
              </w:rPr>
            </w:pPr>
            <w:r w:rsidRPr="007C4122">
              <w:rPr>
                <w:rFonts w:ascii="Arial" w:hAnsi="Arial" w:cs="Arial"/>
                <w:sz w:val="22"/>
                <w:szCs w:val="22"/>
              </w:rPr>
              <w:t xml:space="preserve">Store in a refrigerator at </w:t>
            </w:r>
            <w:r w:rsidRPr="007C4122">
              <w:rPr>
                <w:rFonts w:ascii="Arial" w:hAnsi="Arial" w:cs="Arial"/>
                <w:spacing w:val="-2"/>
                <w:sz w:val="22"/>
                <w:szCs w:val="22"/>
              </w:rPr>
              <w:t>+2°</w:t>
            </w:r>
            <w:r w:rsidRPr="007C4122">
              <w:rPr>
                <w:rFonts w:ascii="Arial" w:hAnsi="Arial" w:cs="Arial"/>
                <w:sz w:val="22"/>
                <w:szCs w:val="22"/>
              </w:rPr>
              <w:t xml:space="preserve">C </w:t>
            </w:r>
            <w:r w:rsidRPr="007C4122">
              <w:rPr>
                <w:rFonts w:ascii="Arial" w:hAnsi="Arial" w:cs="Arial"/>
                <w:spacing w:val="-2"/>
                <w:sz w:val="22"/>
                <w:szCs w:val="22"/>
              </w:rPr>
              <w:t>t</w:t>
            </w:r>
            <w:r w:rsidRPr="007C4122">
              <w:rPr>
                <w:rFonts w:ascii="Arial" w:hAnsi="Arial" w:cs="Arial"/>
                <w:sz w:val="22"/>
                <w:szCs w:val="22"/>
              </w:rPr>
              <w:t xml:space="preserve">o </w:t>
            </w:r>
            <w:r w:rsidRPr="007C4122">
              <w:rPr>
                <w:rFonts w:ascii="Arial" w:hAnsi="Arial" w:cs="Arial"/>
                <w:spacing w:val="-2"/>
                <w:sz w:val="22"/>
                <w:szCs w:val="22"/>
              </w:rPr>
              <w:t>+8°</w:t>
            </w:r>
            <w:r w:rsidRPr="007C4122">
              <w:rPr>
                <w:rFonts w:ascii="Arial" w:hAnsi="Arial" w:cs="Arial"/>
                <w:sz w:val="22"/>
                <w:szCs w:val="22"/>
              </w:rPr>
              <w:t xml:space="preserve">C. </w:t>
            </w:r>
          </w:p>
          <w:p w:rsidR="0026603E" w:rsidRPr="007C4122" w:rsidRDefault="0026603E" w:rsidP="00BE1835">
            <w:pPr>
              <w:pStyle w:val="Header"/>
              <w:tabs>
                <w:tab w:val="clear" w:pos="4153"/>
                <w:tab w:val="clear" w:pos="8306"/>
              </w:tabs>
              <w:rPr>
                <w:rFonts w:ascii="Arial" w:hAnsi="Arial" w:cs="Arial"/>
                <w:sz w:val="22"/>
                <w:szCs w:val="22"/>
              </w:rPr>
            </w:pPr>
            <w:r w:rsidRPr="007C4122">
              <w:rPr>
                <w:rFonts w:ascii="Arial" w:hAnsi="Arial" w:cs="Arial"/>
                <w:sz w:val="22"/>
                <w:szCs w:val="22"/>
              </w:rPr>
              <w:t xml:space="preserve">Store in original packaging in order to protect from light. </w:t>
            </w:r>
          </w:p>
          <w:p w:rsidR="004D3470" w:rsidRPr="00457E58" w:rsidRDefault="0026603E" w:rsidP="00BE1835">
            <w:pPr>
              <w:pStyle w:val="Header"/>
              <w:tabs>
                <w:tab w:val="clear" w:pos="4153"/>
                <w:tab w:val="clear" w:pos="8306"/>
              </w:tabs>
              <w:spacing w:after="120"/>
              <w:rPr>
                <w:rFonts w:ascii="Arial" w:hAnsi="Arial" w:cs="Arial"/>
                <w:color w:val="FF0000"/>
                <w:sz w:val="22"/>
                <w:szCs w:val="22"/>
              </w:rPr>
            </w:pPr>
            <w:r w:rsidRPr="007C4122">
              <w:rPr>
                <w:rFonts w:ascii="Arial" w:hAnsi="Arial" w:cs="Arial"/>
                <w:sz w:val="22"/>
                <w:szCs w:val="22"/>
              </w:rPr>
              <w:t xml:space="preserve">Do not </w:t>
            </w:r>
            <w:r w:rsidR="00053C0A" w:rsidRPr="007C4122">
              <w:rPr>
                <w:rFonts w:ascii="Arial" w:hAnsi="Arial" w:cs="Arial"/>
                <w:sz w:val="22"/>
                <w:szCs w:val="22"/>
              </w:rPr>
              <w:t>freeze.</w:t>
            </w:r>
          </w:p>
        </w:tc>
      </w:tr>
      <w:tr w:rsidR="00A956FD" w:rsidRPr="00A956FD" w:rsidTr="0087180E">
        <w:tc>
          <w:tcPr>
            <w:tcW w:w="2977" w:type="dxa"/>
            <w:tcBorders>
              <w:bottom w:val="single" w:sz="4" w:space="0" w:color="auto"/>
            </w:tcBorders>
          </w:tcPr>
          <w:p w:rsidR="00EB4085" w:rsidRPr="0000216F" w:rsidRDefault="00D7770B" w:rsidP="007E045E">
            <w:pPr>
              <w:spacing w:before="120" w:after="120"/>
              <w:rPr>
                <w:rFonts w:cs="Arial"/>
                <w:b/>
                <w:sz w:val="22"/>
                <w:szCs w:val="22"/>
              </w:rPr>
            </w:pPr>
            <w:r w:rsidRPr="0000216F">
              <w:br w:type="page"/>
            </w:r>
            <w:r w:rsidR="00EB4085" w:rsidRPr="0000216F">
              <w:rPr>
                <w:rFonts w:cs="Arial"/>
                <w:b/>
                <w:sz w:val="22"/>
                <w:szCs w:val="22"/>
              </w:rPr>
              <w:t>Disposal</w:t>
            </w:r>
          </w:p>
        </w:tc>
        <w:tc>
          <w:tcPr>
            <w:tcW w:w="6946" w:type="dxa"/>
            <w:tcBorders>
              <w:bottom w:val="single" w:sz="4" w:space="0" w:color="auto"/>
            </w:tcBorders>
          </w:tcPr>
          <w:p w:rsidR="00EB4085" w:rsidRPr="0000216F" w:rsidRDefault="001265A6" w:rsidP="00C852C7">
            <w:pPr>
              <w:spacing w:before="120" w:after="120"/>
              <w:rPr>
                <w:rFonts w:cs="Arial"/>
                <w:sz w:val="22"/>
                <w:szCs w:val="22"/>
              </w:rPr>
            </w:pPr>
            <w:r w:rsidRPr="0000216F">
              <w:rPr>
                <w:rFonts w:cs="Arial"/>
                <w:sz w:val="22"/>
                <w:szCs w:val="22"/>
              </w:rPr>
              <w:t>Equipment used for immunisation, including us</w:t>
            </w:r>
            <w:r w:rsidR="00C852C7" w:rsidRPr="0000216F">
              <w:rPr>
                <w:rFonts w:cs="Arial"/>
                <w:sz w:val="22"/>
                <w:szCs w:val="22"/>
              </w:rPr>
              <w:t xml:space="preserve">ed vials, ampoules, or </w:t>
            </w:r>
            <w:r w:rsidRPr="0000216F">
              <w:rPr>
                <w:rFonts w:cs="Arial"/>
                <w:sz w:val="22"/>
                <w:szCs w:val="22"/>
              </w:rPr>
              <w:t xml:space="preserve"> discharged vaccines in </w:t>
            </w:r>
            <w:r w:rsidR="00C852C7" w:rsidRPr="0000216F">
              <w:rPr>
                <w:rFonts w:cs="Arial"/>
                <w:sz w:val="22"/>
                <w:szCs w:val="22"/>
              </w:rPr>
              <w:t>a syringe or</w:t>
            </w:r>
            <w:r w:rsidRPr="0000216F">
              <w:rPr>
                <w:rFonts w:cs="Arial"/>
                <w:sz w:val="22"/>
                <w:szCs w:val="22"/>
              </w:rPr>
              <w:t xml:space="preserve"> applicator, should be disposed of at the end of a session by sealing in a proper, puncture-resistant ‘sharps’ box, according to local authority regulations and guidance in the </w:t>
            </w:r>
            <w:hyperlink r:id="rId36" w:history="1">
              <w:r w:rsidRPr="009B6F85">
                <w:rPr>
                  <w:rStyle w:val="Hyperlink"/>
                  <w:sz w:val="22"/>
                  <w:szCs w:val="22"/>
                </w:rPr>
                <w:t>technical memorandum 07-01</w:t>
              </w:r>
            </w:hyperlink>
            <w:r w:rsidR="00A50EAE" w:rsidRPr="0000216F">
              <w:rPr>
                <w:rFonts w:cs="Arial"/>
                <w:sz w:val="22"/>
                <w:szCs w:val="22"/>
              </w:rPr>
              <w:t>: Safe management of healthcare waste (Department of Health, 2013</w:t>
            </w:r>
            <w:r w:rsidR="000B2F98" w:rsidRPr="0000216F">
              <w:rPr>
                <w:rFonts w:cs="Arial"/>
                <w:sz w:val="22"/>
                <w:szCs w:val="22"/>
              </w:rPr>
              <w:t>).</w:t>
            </w:r>
          </w:p>
        </w:tc>
      </w:tr>
      <w:tr w:rsidR="00A956FD" w:rsidRPr="00A956FD" w:rsidTr="00D555BB">
        <w:trPr>
          <w:trHeight w:val="971"/>
        </w:trPr>
        <w:tc>
          <w:tcPr>
            <w:tcW w:w="2977" w:type="dxa"/>
            <w:tcBorders>
              <w:bottom w:val="single" w:sz="4" w:space="0" w:color="auto"/>
            </w:tcBorders>
          </w:tcPr>
          <w:p w:rsidR="00EB4085" w:rsidRDefault="00EB4085" w:rsidP="007E045E">
            <w:pPr>
              <w:spacing w:before="120" w:after="120"/>
              <w:rPr>
                <w:rFonts w:cs="Arial"/>
                <w:b/>
                <w:sz w:val="22"/>
                <w:szCs w:val="22"/>
              </w:rPr>
            </w:pPr>
            <w:r w:rsidRPr="007E324D">
              <w:rPr>
                <w:rFonts w:cs="Arial"/>
                <w:b/>
                <w:sz w:val="22"/>
                <w:szCs w:val="22"/>
              </w:rPr>
              <w:lastRenderedPageBreak/>
              <w:t xml:space="preserve">Drug </w:t>
            </w:r>
            <w:r w:rsidR="00080471" w:rsidRPr="007E324D">
              <w:rPr>
                <w:rFonts w:cs="Arial"/>
                <w:b/>
                <w:sz w:val="22"/>
                <w:szCs w:val="22"/>
              </w:rPr>
              <w:t>i</w:t>
            </w:r>
            <w:r w:rsidRPr="007E324D">
              <w:rPr>
                <w:rFonts w:cs="Arial"/>
                <w:b/>
                <w:sz w:val="22"/>
                <w:szCs w:val="22"/>
              </w:rPr>
              <w:t>nteractions</w:t>
            </w:r>
            <w:r w:rsidR="00850AFC">
              <w:rPr>
                <w:rStyle w:val="FootnoteReference"/>
                <w:rFonts w:cs="Arial"/>
                <w:b/>
                <w:sz w:val="22"/>
                <w:szCs w:val="22"/>
              </w:rPr>
              <w:footnoteReference w:id="3"/>
            </w:r>
          </w:p>
          <w:p w:rsidR="00D555BB" w:rsidRPr="007E324D" w:rsidRDefault="00D555BB" w:rsidP="007E045E">
            <w:pPr>
              <w:spacing w:before="120" w:after="120"/>
              <w:rPr>
                <w:rFonts w:ascii="Times New Roman" w:hAnsi="Times New Roman" w:cs="Arial"/>
                <w:b/>
                <w:sz w:val="22"/>
                <w:szCs w:val="22"/>
                <w:vertAlign w:val="superscript"/>
              </w:rPr>
            </w:pPr>
          </w:p>
        </w:tc>
        <w:tc>
          <w:tcPr>
            <w:tcW w:w="6946" w:type="dxa"/>
            <w:tcBorders>
              <w:bottom w:val="single" w:sz="4" w:space="0" w:color="auto"/>
            </w:tcBorders>
          </w:tcPr>
          <w:p w:rsidR="00D555BB" w:rsidRDefault="00477FFD" w:rsidP="00D555BB">
            <w:pPr>
              <w:shd w:val="clear" w:color="auto" w:fill="FFFFFF"/>
              <w:overflowPunct/>
              <w:autoSpaceDE/>
              <w:autoSpaceDN/>
              <w:adjustRightInd/>
              <w:spacing w:before="120"/>
              <w:ind w:right="-108"/>
              <w:textAlignment w:val="auto"/>
              <w:rPr>
                <w:rFonts w:cs="Arial"/>
                <w:sz w:val="22"/>
                <w:szCs w:val="22"/>
                <w:lang w:val="en"/>
              </w:rPr>
            </w:pPr>
            <w:r w:rsidRPr="001E4090">
              <w:rPr>
                <w:rFonts w:cs="Arial"/>
                <w:sz w:val="22"/>
                <w:szCs w:val="22"/>
                <w:lang w:val="en"/>
              </w:rPr>
              <w:t>Immunological resp</w:t>
            </w:r>
            <w:r w:rsidR="00C852C7" w:rsidRPr="001E4090">
              <w:rPr>
                <w:rFonts w:cs="Arial"/>
                <w:sz w:val="22"/>
                <w:szCs w:val="22"/>
                <w:lang w:val="en"/>
              </w:rPr>
              <w:t xml:space="preserve">onse may be diminished in those </w:t>
            </w:r>
            <w:r w:rsidR="005B79BC" w:rsidRPr="001E4090">
              <w:rPr>
                <w:rFonts w:cs="Arial"/>
                <w:sz w:val="22"/>
                <w:szCs w:val="22"/>
                <w:lang w:val="en"/>
              </w:rPr>
              <w:t>receiving</w:t>
            </w:r>
            <w:r w:rsidRPr="001E4090">
              <w:rPr>
                <w:rFonts w:cs="Arial"/>
                <w:sz w:val="22"/>
                <w:szCs w:val="22"/>
                <w:lang w:val="en"/>
              </w:rPr>
              <w:t xml:space="preserve"> immunosuppress</w:t>
            </w:r>
            <w:r w:rsidR="008F1C68" w:rsidRPr="001E4090">
              <w:rPr>
                <w:rFonts w:cs="Arial"/>
                <w:sz w:val="22"/>
                <w:szCs w:val="22"/>
                <w:lang w:val="en"/>
              </w:rPr>
              <w:t>ive</w:t>
            </w:r>
            <w:r w:rsidRPr="001E4090">
              <w:rPr>
                <w:rFonts w:cs="Arial"/>
                <w:sz w:val="22"/>
                <w:szCs w:val="22"/>
                <w:lang w:val="en"/>
              </w:rPr>
              <w:t xml:space="preserve"> treatment</w:t>
            </w:r>
            <w:r w:rsidR="006C7DC1" w:rsidRPr="001E4090">
              <w:rPr>
                <w:rFonts w:cs="Arial"/>
                <w:sz w:val="22"/>
                <w:szCs w:val="22"/>
                <w:lang w:val="en"/>
              </w:rPr>
              <w:t>.</w:t>
            </w:r>
          </w:p>
          <w:p w:rsidR="000B2FF8" w:rsidRPr="001E4090" w:rsidRDefault="00C852C7" w:rsidP="00D555BB">
            <w:pPr>
              <w:shd w:val="clear" w:color="auto" w:fill="FFFFFF"/>
              <w:overflowPunct/>
              <w:autoSpaceDE/>
              <w:autoSpaceDN/>
              <w:adjustRightInd/>
              <w:spacing w:before="120" w:after="120"/>
              <w:ind w:right="-108"/>
              <w:textAlignment w:val="auto"/>
              <w:rPr>
                <w:rFonts w:cs="Arial"/>
                <w:sz w:val="22"/>
                <w:szCs w:val="22"/>
                <w:lang w:val="en"/>
              </w:rPr>
            </w:pPr>
            <w:r w:rsidRPr="001E4090">
              <w:rPr>
                <w:sz w:val="22"/>
                <w:szCs w:val="22"/>
              </w:rPr>
              <w:t>May be given at the same time as other vaccines</w:t>
            </w:r>
            <w:r w:rsidR="00C4034B" w:rsidRPr="001E4090">
              <w:rPr>
                <w:sz w:val="22"/>
                <w:szCs w:val="22"/>
              </w:rPr>
              <w:t>.</w:t>
            </w:r>
          </w:p>
        </w:tc>
      </w:tr>
      <w:tr w:rsidR="00A956FD" w:rsidRPr="00A956FD" w:rsidTr="0087180E">
        <w:tc>
          <w:tcPr>
            <w:tcW w:w="2977" w:type="dxa"/>
            <w:tcBorders>
              <w:bottom w:val="single" w:sz="4" w:space="0" w:color="auto"/>
            </w:tcBorders>
          </w:tcPr>
          <w:p w:rsidR="00EB4085" w:rsidRPr="00A956FD" w:rsidRDefault="00EB4085" w:rsidP="00FD42CB">
            <w:pPr>
              <w:spacing w:before="120" w:after="120"/>
              <w:rPr>
                <w:rFonts w:cs="Arial"/>
                <w:b/>
                <w:color w:val="FF0000"/>
                <w:sz w:val="22"/>
                <w:szCs w:val="22"/>
              </w:rPr>
            </w:pPr>
            <w:r w:rsidRPr="00160228">
              <w:rPr>
                <w:rFonts w:cs="Arial"/>
                <w:b/>
                <w:sz w:val="22"/>
                <w:szCs w:val="22"/>
              </w:rPr>
              <w:t xml:space="preserve">Identification &amp; </w:t>
            </w:r>
            <w:r w:rsidR="00080471" w:rsidRPr="00160228">
              <w:rPr>
                <w:rFonts w:cs="Arial"/>
                <w:b/>
                <w:sz w:val="22"/>
                <w:szCs w:val="22"/>
              </w:rPr>
              <w:t>m</w:t>
            </w:r>
            <w:r w:rsidRPr="00160228">
              <w:rPr>
                <w:rFonts w:cs="Arial"/>
                <w:b/>
                <w:sz w:val="22"/>
                <w:szCs w:val="22"/>
              </w:rPr>
              <w:t xml:space="preserve">anagement of </w:t>
            </w:r>
            <w:r w:rsidR="00080471" w:rsidRPr="00160228">
              <w:rPr>
                <w:rFonts w:cs="Arial"/>
                <w:b/>
                <w:sz w:val="22"/>
                <w:szCs w:val="22"/>
              </w:rPr>
              <w:t>a</w:t>
            </w:r>
            <w:r w:rsidRPr="00160228">
              <w:rPr>
                <w:rFonts w:cs="Arial"/>
                <w:b/>
                <w:sz w:val="22"/>
                <w:szCs w:val="22"/>
              </w:rPr>
              <w:t xml:space="preserve">dverse </w:t>
            </w:r>
            <w:r w:rsidR="00080471" w:rsidRPr="00160228">
              <w:rPr>
                <w:rFonts w:cs="Arial"/>
                <w:b/>
                <w:sz w:val="22"/>
                <w:szCs w:val="22"/>
              </w:rPr>
              <w:t>r</w:t>
            </w:r>
            <w:r w:rsidRPr="00160228">
              <w:rPr>
                <w:rFonts w:cs="Arial"/>
                <w:b/>
                <w:sz w:val="22"/>
                <w:szCs w:val="22"/>
              </w:rPr>
              <w:t>eactions</w:t>
            </w:r>
            <w:r w:rsidR="00FD42CB">
              <w:rPr>
                <w:rFonts w:cs="Arial"/>
                <w:b/>
                <w:sz w:val="22"/>
                <w:szCs w:val="22"/>
                <w:vertAlign w:val="superscript"/>
              </w:rPr>
              <w:t>2</w:t>
            </w:r>
          </w:p>
        </w:tc>
        <w:tc>
          <w:tcPr>
            <w:tcW w:w="6946" w:type="dxa"/>
            <w:tcBorders>
              <w:bottom w:val="single" w:sz="4" w:space="0" w:color="auto"/>
            </w:tcBorders>
          </w:tcPr>
          <w:p w:rsidR="00C520B5" w:rsidRPr="00DF62BF" w:rsidRDefault="00F01FA3" w:rsidP="005268F4">
            <w:pPr>
              <w:spacing w:before="120" w:after="120"/>
              <w:ind w:right="-108"/>
              <w:rPr>
                <w:rFonts w:cs="Arial"/>
                <w:sz w:val="22"/>
                <w:szCs w:val="22"/>
              </w:rPr>
            </w:pPr>
            <w:r w:rsidRPr="00DF62BF">
              <w:rPr>
                <w:rFonts w:cs="Arial"/>
                <w:sz w:val="22"/>
                <w:szCs w:val="22"/>
              </w:rPr>
              <w:t>Local reactions following vaccination are very common ie p</w:t>
            </w:r>
            <w:r w:rsidR="0070098A" w:rsidRPr="00DF62BF">
              <w:rPr>
                <w:rFonts w:cs="Arial"/>
                <w:sz w:val="22"/>
                <w:szCs w:val="22"/>
              </w:rPr>
              <w:t>ain, swelling o</w:t>
            </w:r>
            <w:r w:rsidR="00C520B5" w:rsidRPr="00DF62BF">
              <w:rPr>
                <w:rFonts w:cs="Arial"/>
                <w:sz w:val="22"/>
                <w:szCs w:val="22"/>
              </w:rPr>
              <w:t>r redness at the injection site. A small painless nodule may form at the injection site.</w:t>
            </w:r>
          </w:p>
          <w:p w:rsidR="002436D7" w:rsidRPr="00DF62BF" w:rsidRDefault="00F01FA3" w:rsidP="005268F4">
            <w:pPr>
              <w:spacing w:before="120" w:after="120"/>
              <w:ind w:right="-108"/>
              <w:rPr>
                <w:rFonts w:cs="Arial"/>
                <w:sz w:val="22"/>
                <w:szCs w:val="22"/>
              </w:rPr>
            </w:pPr>
            <w:r w:rsidRPr="00DF62BF">
              <w:rPr>
                <w:rFonts w:cs="Arial"/>
                <w:sz w:val="22"/>
                <w:szCs w:val="22"/>
              </w:rPr>
              <w:t xml:space="preserve">Common adverse reactions include </w:t>
            </w:r>
            <w:r w:rsidR="000B2084" w:rsidRPr="00DF62BF">
              <w:rPr>
                <w:rFonts w:cs="Arial"/>
                <w:sz w:val="22"/>
                <w:szCs w:val="22"/>
              </w:rPr>
              <w:t>fever</w:t>
            </w:r>
            <w:r w:rsidRPr="00DF62BF">
              <w:rPr>
                <w:rFonts w:cs="Arial"/>
                <w:sz w:val="22"/>
                <w:szCs w:val="22"/>
              </w:rPr>
              <w:t xml:space="preserve">, </w:t>
            </w:r>
            <w:r w:rsidR="000F4D57" w:rsidRPr="00DF62BF">
              <w:rPr>
                <w:rFonts w:cs="Arial"/>
                <w:sz w:val="22"/>
                <w:szCs w:val="22"/>
              </w:rPr>
              <w:t xml:space="preserve">abnormal crying, </w:t>
            </w:r>
            <w:r w:rsidR="00E47491" w:rsidRPr="00DF62BF">
              <w:rPr>
                <w:rFonts w:cs="Arial"/>
                <w:sz w:val="22"/>
                <w:szCs w:val="22"/>
              </w:rPr>
              <w:t xml:space="preserve">irritability, </w:t>
            </w:r>
            <w:r w:rsidR="000F4D57" w:rsidRPr="00DF62BF">
              <w:rPr>
                <w:rFonts w:cs="Arial"/>
                <w:sz w:val="22"/>
                <w:szCs w:val="22"/>
              </w:rPr>
              <w:t xml:space="preserve">restlessness, </w:t>
            </w:r>
            <w:r w:rsidR="00E47491" w:rsidRPr="00DF62BF">
              <w:rPr>
                <w:rFonts w:cs="Arial"/>
                <w:sz w:val="22"/>
                <w:szCs w:val="22"/>
              </w:rPr>
              <w:t xml:space="preserve">diarrhoea, vomiting, </w:t>
            </w:r>
            <w:r w:rsidR="00D66645" w:rsidRPr="00DF62BF">
              <w:rPr>
                <w:rFonts w:cs="Arial"/>
                <w:sz w:val="22"/>
                <w:szCs w:val="22"/>
              </w:rPr>
              <w:t xml:space="preserve">appetite loss, </w:t>
            </w:r>
            <w:r w:rsidR="000F4D57" w:rsidRPr="00DF62BF">
              <w:rPr>
                <w:rFonts w:cs="Arial"/>
                <w:sz w:val="22"/>
                <w:szCs w:val="22"/>
              </w:rPr>
              <w:t>somnolence, decreased activity</w:t>
            </w:r>
            <w:r w:rsidR="00DF62BF" w:rsidRPr="00DF62BF">
              <w:rPr>
                <w:rFonts w:cs="Arial"/>
                <w:sz w:val="22"/>
                <w:szCs w:val="22"/>
              </w:rPr>
              <w:t xml:space="preserve"> and</w:t>
            </w:r>
            <w:r w:rsidR="00E47491" w:rsidRPr="00DF62BF">
              <w:rPr>
                <w:rFonts w:cs="Arial"/>
                <w:sz w:val="22"/>
                <w:szCs w:val="22"/>
              </w:rPr>
              <w:t xml:space="preserve"> </w:t>
            </w:r>
            <w:r w:rsidR="00DF62BF" w:rsidRPr="00DF62BF">
              <w:rPr>
                <w:rFonts w:cs="Arial"/>
                <w:sz w:val="22"/>
                <w:szCs w:val="22"/>
              </w:rPr>
              <w:t xml:space="preserve">injection site </w:t>
            </w:r>
            <w:r w:rsidR="00E47491" w:rsidRPr="00DF62BF">
              <w:rPr>
                <w:rFonts w:cs="Arial"/>
                <w:sz w:val="22"/>
                <w:szCs w:val="22"/>
              </w:rPr>
              <w:t xml:space="preserve">bruising. </w:t>
            </w:r>
          </w:p>
          <w:p w:rsidR="0070098A" w:rsidRPr="00DF62BF" w:rsidRDefault="00160228" w:rsidP="005268F4">
            <w:pPr>
              <w:shd w:val="clear" w:color="auto" w:fill="FFFFFF"/>
              <w:spacing w:after="120"/>
              <w:ind w:right="-108"/>
              <w:rPr>
                <w:rFonts w:cs="Arial"/>
                <w:sz w:val="22"/>
                <w:szCs w:val="22"/>
              </w:rPr>
            </w:pPr>
            <w:r w:rsidRPr="00DF62BF">
              <w:rPr>
                <w:rFonts w:cs="Arial"/>
                <w:sz w:val="22"/>
                <w:szCs w:val="22"/>
              </w:rPr>
              <w:t>Hypersensitivity reactions, such as bronchospasm, angioedema, urticaria, and anaphylaxis can occur but are very rare.</w:t>
            </w:r>
          </w:p>
          <w:p w:rsidR="001968CC" w:rsidRPr="00DF62BF" w:rsidRDefault="001968CC" w:rsidP="005268F4">
            <w:pPr>
              <w:ind w:right="-108"/>
              <w:rPr>
                <w:rFonts w:cs="Arial"/>
                <w:sz w:val="22"/>
                <w:szCs w:val="22"/>
              </w:rPr>
            </w:pPr>
            <w:r w:rsidRPr="00DF62BF">
              <w:rPr>
                <w:rFonts w:cs="Arial"/>
                <w:sz w:val="22"/>
                <w:szCs w:val="22"/>
              </w:rPr>
              <w:t xml:space="preserve">A detailed list of adverse reactions is available in the </w:t>
            </w:r>
            <w:r w:rsidR="00E7248E">
              <w:rPr>
                <w:rFonts w:cs="Arial"/>
                <w:sz w:val="22"/>
                <w:szCs w:val="22"/>
              </w:rPr>
              <w:t xml:space="preserve">vaccine’s </w:t>
            </w:r>
            <w:r w:rsidRPr="00DF62BF">
              <w:rPr>
                <w:rFonts w:cs="Arial"/>
                <w:sz w:val="22"/>
                <w:szCs w:val="22"/>
              </w:rPr>
              <w:t xml:space="preserve">Summary of Product Characteristics, which is available from the </w:t>
            </w:r>
            <w:r w:rsidR="002B1970" w:rsidRPr="00DF62BF">
              <w:rPr>
                <w:rFonts w:cs="Arial"/>
                <w:sz w:val="22"/>
                <w:szCs w:val="22"/>
              </w:rPr>
              <w:t xml:space="preserve">electronic Medicines Compendium </w:t>
            </w:r>
            <w:r w:rsidRPr="00DF62BF">
              <w:rPr>
                <w:rFonts w:cs="Arial"/>
                <w:sz w:val="22"/>
                <w:szCs w:val="22"/>
              </w:rPr>
              <w:t>website:</w:t>
            </w:r>
          </w:p>
          <w:p w:rsidR="00EB4085" w:rsidRPr="009D4704" w:rsidRDefault="008C0826" w:rsidP="005268F4">
            <w:pPr>
              <w:spacing w:before="10" w:after="120"/>
              <w:ind w:right="-108"/>
              <w:rPr>
                <w:rFonts w:cs="Arial"/>
                <w:color w:val="FF0000"/>
                <w:sz w:val="22"/>
                <w:szCs w:val="22"/>
              </w:rPr>
            </w:pPr>
            <w:hyperlink r:id="rId37" w:history="1">
              <w:r w:rsidR="00DF62BF" w:rsidRPr="004C3877">
                <w:rPr>
                  <w:rStyle w:val="Hyperlink"/>
                  <w:rFonts w:cs="Arial"/>
                  <w:sz w:val="22"/>
                  <w:szCs w:val="22"/>
                </w:rPr>
                <w:t>www.medicines.org.uk</w:t>
              </w:r>
            </w:hyperlink>
            <w:r w:rsidR="00DF62BF">
              <w:rPr>
                <w:rFonts w:cs="Arial"/>
                <w:sz w:val="22"/>
                <w:szCs w:val="22"/>
              </w:rPr>
              <w:t xml:space="preserve"> </w:t>
            </w:r>
          </w:p>
        </w:tc>
      </w:tr>
      <w:tr w:rsidR="00A956FD" w:rsidRPr="00A956FD" w:rsidTr="0087180E">
        <w:tc>
          <w:tcPr>
            <w:tcW w:w="2977" w:type="dxa"/>
            <w:tcBorders>
              <w:bottom w:val="single" w:sz="4" w:space="0" w:color="auto"/>
            </w:tcBorders>
          </w:tcPr>
          <w:p w:rsidR="00EB4085" w:rsidRPr="00A956FD" w:rsidRDefault="00EB4085" w:rsidP="006F4906">
            <w:pPr>
              <w:spacing w:before="120" w:after="120"/>
              <w:rPr>
                <w:rFonts w:cs="Arial"/>
                <w:b/>
                <w:color w:val="FF0000"/>
                <w:sz w:val="22"/>
                <w:szCs w:val="22"/>
              </w:rPr>
            </w:pPr>
            <w:r w:rsidRPr="007E324D">
              <w:rPr>
                <w:rFonts w:cs="Arial"/>
                <w:b/>
                <w:sz w:val="22"/>
                <w:szCs w:val="22"/>
              </w:rPr>
              <w:t xml:space="preserve">Reporting procedure of </w:t>
            </w:r>
            <w:r w:rsidR="00080471" w:rsidRPr="007E324D">
              <w:rPr>
                <w:rFonts w:cs="Arial"/>
                <w:b/>
                <w:sz w:val="22"/>
                <w:szCs w:val="22"/>
              </w:rPr>
              <w:t>a</w:t>
            </w:r>
            <w:r w:rsidRPr="007E324D">
              <w:rPr>
                <w:rFonts w:cs="Arial"/>
                <w:b/>
                <w:sz w:val="22"/>
                <w:szCs w:val="22"/>
              </w:rPr>
              <w:t xml:space="preserve">dverse </w:t>
            </w:r>
            <w:r w:rsidR="00080471" w:rsidRPr="007E324D">
              <w:rPr>
                <w:rFonts w:cs="Arial"/>
                <w:b/>
                <w:sz w:val="22"/>
                <w:szCs w:val="22"/>
              </w:rPr>
              <w:t>r</w:t>
            </w:r>
            <w:r w:rsidRPr="007E324D">
              <w:rPr>
                <w:rFonts w:cs="Arial"/>
                <w:b/>
                <w:sz w:val="22"/>
                <w:szCs w:val="22"/>
              </w:rPr>
              <w:t>eactions</w:t>
            </w:r>
          </w:p>
        </w:tc>
        <w:tc>
          <w:tcPr>
            <w:tcW w:w="6946" w:type="dxa"/>
            <w:tcBorders>
              <w:bottom w:val="single" w:sz="4" w:space="0" w:color="auto"/>
            </w:tcBorders>
          </w:tcPr>
          <w:p w:rsidR="001968CC" w:rsidRPr="001E4090" w:rsidRDefault="00E17B7A" w:rsidP="00BE1835">
            <w:pPr>
              <w:pStyle w:val="TableParagraph"/>
              <w:spacing w:before="120" w:after="120"/>
              <w:rPr>
                <w:rFonts w:ascii="Arial" w:hAnsi="Arial" w:cs="Arial"/>
              </w:rPr>
            </w:pPr>
            <w:r w:rsidRPr="001E4090">
              <w:rPr>
                <w:rFonts w:ascii="Arial" w:eastAsia="Arial" w:hAnsi="Arial" w:cs="Arial"/>
              </w:rPr>
              <w:t>H</w:t>
            </w:r>
            <w:r w:rsidR="001968CC" w:rsidRPr="001E4090">
              <w:rPr>
                <w:rFonts w:ascii="Arial" w:eastAsia="Arial" w:hAnsi="Arial" w:cs="Arial"/>
              </w:rPr>
              <w:t>ealthcare</w:t>
            </w:r>
            <w:r w:rsidR="001968CC" w:rsidRPr="001E4090">
              <w:rPr>
                <w:rFonts w:ascii="Arial" w:eastAsia="Arial" w:hAnsi="Arial" w:cs="Arial"/>
                <w:spacing w:val="26"/>
              </w:rPr>
              <w:t xml:space="preserve"> </w:t>
            </w:r>
            <w:r w:rsidR="001968CC" w:rsidRPr="001E4090">
              <w:rPr>
                <w:rFonts w:ascii="Arial" w:eastAsia="Arial" w:hAnsi="Arial" w:cs="Arial"/>
              </w:rPr>
              <w:t>professionals</w:t>
            </w:r>
            <w:r w:rsidR="001968CC" w:rsidRPr="001E4090">
              <w:rPr>
                <w:rFonts w:ascii="Arial" w:eastAsia="Arial" w:hAnsi="Arial" w:cs="Arial"/>
                <w:spacing w:val="24"/>
              </w:rPr>
              <w:t xml:space="preserve"> </w:t>
            </w:r>
            <w:r w:rsidR="001968CC" w:rsidRPr="001E4090">
              <w:rPr>
                <w:rFonts w:ascii="Arial" w:eastAsia="Arial" w:hAnsi="Arial" w:cs="Arial"/>
              </w:rPr>
              <w:t>and</w:t>
            </w:r>
            <w:r w:rsidR="001968CC" w:rsidRPr="001E4090">
              <w:rPr>
                <w:rFonts w:ascii="Arial" w:eastAsia="Arial" w:hAnsi="Arial" w:cs="Arial"/>
                <w:spacing w:val="14"/>
              </w:rPr>
              <w:t xml:space="preserve"> </w:t>
            </w:r>
            <w:r w:rsidR="001968CC" w:rsidRPr="001E4090">
              <w:rPr>
                <w:rFonts w:ascii="Arial" w:eastAsia="Arial" w:hAnsi="Arial" w:cs="Arial"/>
              </w:rPr>
              <w:t>p</w:t>
            </w:r>
            <w:r w:rsidR="0069541C" w:rsidRPr="001E4090">
              <w:rPr>
                <w:rFonts w:ascii="Arial" w:eastAsia="Arial" w:hAnsi="Arial" w:cs="Arial"/>
              </w:rPr>
              <w:t>atien</w:t>
            </w:r>
            <w:r w:rsidR="001968CC" w:rsidRPr="001E4090">
              <w:rPr>
                <w:rFonts w:ascii="Arial" w:eastAsia="Arial" w:hAnsi="Arial" w:cs="Arial"/>
              </w:rPr>
              <w:t>ts</w:t>
            </w:r>
            <w:r w:rsidR="001E01B9" w:rsidRPr="001E4090">
              <w:rPr>
                <w:rFonts w:ascii="Arial" w:eastAsia="Arial" w:hAnsi="Arial" w:cs="Arial"/>
              </w:rPr>
              <w:t>/</w:t>
            </w:r>
            <w:r w:rsidR="001968CC" w:rsidRPr="001E4090">
              <w:rPr>
                <w:rFonts w:ascii="Arial" w:eastAsia="Arial" w:hAnsi="Arial" w:cs="Arial"/>
              </w:rPr>
              <w:t>carers are</w:t>
            </w:r>
            <w:r w:rsidR="001968CC" w:rsidRPr="001E4090">
              <w:rPr>
                <w:rFonts w:ascii="Arial" w:eastAsia="Arial" w:hAnsi="Arial" w:cs="Arial"/>
                <w:spacing w:val="10"/>
              </w:rPr>
              <w:t xml:space="preserve"> </w:t>
            </w:r>
            <w:r w:rsidR="001968CC" w:rsidRPr="001E4090">
              <w:rPr>
                <w:rFonts w:ascii="Arial" w:eastAsia="Arial" w:hAnsi="Arial" w:cs="Arial"/>
              </w:rPr>
              <w:t>encouraged</w:t>
            </w:r>
            <w:r w:rsidR="001968CC" w:rsidRPr="001E4090">
              <w:rPr>
                <w:rFonts w:ascii="Arial" w:eastAsia="Arial" w:hAnsi="Arial" w:cs="Arial"/>
                <w:spacing w:val="25"/>
              </w:rPr>
              <w:t xml:space="preserve"> </w:t>
            </w:r>
            <w:r w:rsidR="001968CC" w:rsidRPr="001E4090">
              <w:rPr>
                <w:rFonts w:ascii="Arial" w:eastAsia="Arial" w:hAnsi="Arial" w:cs="Arial"/>
              </w:rPr>
              <w:t>to</w:t>
            </w:r>
            <w:r w:rsidR="001968CC" w:rsidRPr="001E4090">
              <w:rPr>
                <w:rFonts w:ascii="Arial" w:eastAsia="Arial" w:hAnsi="Arial" w:cs="Arial"/>
                <w:spacing w:val="21"/>
              </w:rPr>
              <w:t xml:space="preserve"> </w:t>
            </w:r>
            <w:r w:rsidR="001968CC" w:rsidRPr="001E4090">
              <w:rPr>
                <w:rFonts w:ascii="Arial" w:eastAsia="Arial" w:hAnsi="Arial" w:cs="Arial"/>
              </w:rPr>
              <w:t>report</w:t>
            </w:r>
            <w:r w:rsidR="001968CC" w:rsidRPr="001E4090">
              <w:rPr>
                <w:rFonts w:ascii="Arial" w:eastAsia="Arial" w:hAnsi="Arial" w:cs="Arial"/>
                <w:spacing w:val="13"/>
              </w:rPr>
              <w:t xml:space="preserve"> </w:t>
            </w:r>
            <w:r w:rsidR="001968CC" w:rsidRPr="001E4090">
              <w:rPr>
                <w:rFonts w:ascii="Arial" w:eastAsia="Arial" w:hAnsi="Arial" w:cs="Arial"/>
              </w:rPr>
              <w:t>suspected</w:t>
            </w:r>
            <w:r w:rsidR="001968CC" w:rsidRPr="001E4090">
              <w:rPr>
                <w:rFonts w:ascii="Arial" w:eastAsia="Arial" w:hAnsi="Arial" w:cs="Arial"/>
                <w:spacing w:val="18"/>
              </w:rPr>
              <w:t xml:space="preserve"> </w:t>
            </w:r>
            <w:r w:rsidR="001968CC" w:rsidRPr="001E4090">
              <w:rPr>
                <w:rFonts w:ascii="Arial" w:eastAsia="Arial" w:hAnsi="Arial" w:cs="Arial"/>
              </w:rPr>
              <w:t>adverse</w:t>
            </w:r>
            <w:r w:rsidR="001968CC" w:rsidRPr="001E4090">
              <w:rPr>
                <w:rFonts w:ascii="Arial" w:eastAsia="Arial" w:hAnsi="Arial" w:cs="Arial"/>
                <w:spacing w:val="29"/>
              </w:rPr>
              <w:t xml:space="preserve"> </w:t>
            </w:r>
            <w:r w:rsidR="001968CC" w:rsidRPr="001E4090">
              <w:rPr>
                <w:rFonts w:ascii="Arial" w:eastAsia="Arial" w:hAnsi="Arial" w:cs="Arial"/>
              </w:rPr>
              <w:t>reactions</w:t>
            </w:r>
            <w:r w:rsidR="001968CC" w:rsidRPr="001E4090">
              <w:rPr>
                <w:rFonts w:ascii="Arial" w:eastAsia="Arial" w:hAnsi="Arial" w:cs="Arial"/>
                <w:spacing w:val="10"/>
              </w:rPr>
              <w:t xml:space="preserve"> </w:t>
            </w:r>
            <w:r w:rsidR="001968CC" w:rsidRPr="001E4090">
              <w:rPr>
                <w:rFonts w:ascii="Arial" w:eastAsia="Arial" w:hAnsi="Arial" w:cs="Arial"/>
              </w:rPr>
              <w:t>to</w:t>
            </w:r>
            <w:r w:rsidR="001968CC" w:rsidRPr="001E4090">
              <w:rPr>
                <w:rFonts w:ascii="Arial" w:eastAsia="Arial" w:hAnsi="Arial" w:cs="Arial"/>
                <w:spacing w:val="14"/>
              </w:rPr>
              <w:t xml:space="preserve"> </w:t>
            </w:r>
            <w:r w:rsidR="001968CC" w:rsidRPr="001E4090">
              <w:rPr>
                <w:rFonts w:ascii="Arial" w:eastAsia="Arial" w:hAnsi="Arial" w:cs="Arial"/>
              </w:rPr>
              <w:t>the</w:t>
            </w:r>
            <w:r w:rsidR="001968CC" w:rsidRPr="001E4090">
              <w:rPr>
                <w:rFonts w:ascii="Arial" w:eastAsia="Arial" w:hAnsi="Arial" w:cs="Arial"/>
                <w:w w:val="98"/>
              </w:rPr>
              <w:t xml:space="preserve"> </w:t>
            </w:r>
            <w:r w:rsidR="001968CC" w:rsidRPr="001E4090">
              <w:rPr>
                <w:rFonts w:ascii="Arial" w:eastAsia="Arial" w:hAnsi="Arial" w:cs="Arial"/>
              </w:rPr>
              <w:t>Medicines</w:t>
            </w:r>
            <w:r w:rsidR="001968CC" w:rsidRPr="001E4090">
              <w:rPr>
                <w:rFonts w:ascii="Arial" w:eastAsia="Arial" w:hAnsi="Arial" w:cs="Arial"/>
                <w:spacing w:val="22"/>
              </w:rPr>
              <w:t xml:space="preserve"> </w:t>
            </w:r>
            <w:r w:rsidR="001968CC" w:rsidRPr="001E4090">
              <w:rPr>
                <w:rFonts w:ascii="Arial" w:eastAsia="Arial" w:hAnsi="Arial" w:cs="Arial"/>
              </w:rPr>
              <w:t>and</w:t>
            </w:r>
            <w:r w:rsidR="001968CC" w:rsidRPr="001E4090">
              <w:rPr>
                <w:rFonts w:ascii="Arial" w:eastAsia="Arial" w:hAnsi="Arial" w:cs="Arial"/>
                <w:spacing w:val="19"/>
              </w:rPr>
              <w:t xml:space="preserve"> </w:t>
            </w:r>
            <w:r w:rsidR="001968CC" w:rsidRPr="001E4090">
              <w:rPr>
                <w:rFonts w:ascii="Arial" w:eastAsia="Arial" w:hAnsi="Arial" w:cs="Arial"/>
              </w:rPr>
              <w:t>Healthcare</w:t>
            </w:r>
            <w:r w:rsidR="001968CC" w:rsidRPr="001E4090">
              <w:rPr>
                <w:rFonts w:ascii="Arial" w:eastAsia="Arial" w:hAnsi="Arial" w:cs="Arial"/>
                <w:spacing w:val="18"/>
              </w:rPr>
              <w:t xml:space="preserve"> </w:t>
            </w:r>
            <w:r w:rsidR="001968CC" w:rsidRPr="001E4090">
              <w:rPr>
                <w:rFonts w:ascii="Arial" w:eastAsia="Arial" w:hAnsi="Arial" w:cs="Arial"/>
              </w:rPr>
              <w:t>products</w:t>
            </w:r>
            <w:r w:rsidR="001968CC" w:rsidRPr="001E4090">
              <w:rPr>
                <w:rFonts w:ascii="Arial" w:eastAsia="Arial" w:hAnsi="Arial" w:cs="Arial"/>
                <w:spacing w:val="23"/>
              </w:rPr>
              <w:t xml:space="preserve"> </w:t>
            </w:r>
            <w:r w:rsidR="001968CC" w:rsidRPr="001E4090">
              <w:rPr>
                <w:rFonts w:ascii="Arial" w:eastAsia="Arial" w:hAnsi="Arial" w:cs="Arial"/>
              </w:rPr>
              <w:t>Regulatory</w:t>
            </w:r>
            <w:r w:rsidR="001968CC" w:rsidRPr="001E4090">
              <w:rPr>
                <w:rFonts w:ascii="Arial" w:eastAsia="Arial" w:hAnsi="Arial" w:cs="Arial"/>
                <w:spacing w:val="7"/>
              </w:rPr>
              <w:t xml:space="preserve"> </w:t>
            </w:r>
            <w:r w:rsidR="001968CC" w:rsidRPr="001E4090">
              <w:rPr>
                <w:rFonts w:ascii="Arial" w:eastAsia="Arial" w:hAnsi="Arial" w:cs="Arial"/>
              </w:rPr>
              <w:t>Agency</w:t>
            </w:r>
            <w:r w:rsidR="001968CC" w:rsidRPr="001E4090">
              <w:rPr>
                <w:rFonts w:ascii="Arial" w:eastAsia="Arial" w:hAnsi="Arial" w:cs="Arial"/>
                <w:spacing w:val="38"/>
              </w:rPr>
              <w:t xml:space="preserve"> </w:t>
            </w:r>
            <w:r w:rsidR="001968CC" w:rsidRPr="001E4090">
              <w:rPr>
                <w:rFonts w:ascii="Arial" w:eastAsia="Arial" w:hAnsi="Arial" w:cs="Arial"/>
              </w:rPr>
              <w:t>(MHRA)</w:t>
            </w:r>
            <w:r w:rsidR="001968CC" w:rsidRPr="001E4090">
              <w:rPr>
                <w:rFonts w:ascii="Arial" w:eastAsia="Arial" w:hAnsi="Arial" w:cs="Arial"/>
                <w:w w:val="101"/>
              </w:rPr>
              <w:t xml:space="preserve"> </w:t>
            </w:r>
            <w:r w:rsidR="001968CC" w:rsidRPr="001E4090">
              <w:rPr>
                <w:rFonts w:ascii="Arial" w:eastAsia="Arial" w:hAnsi="Arial" w:cs="Arial"/>
              </w:rPr>
              <w:t>using</w:t>
            </w:r>
            <w:r w:rsidR="001968CC" w:rsidRPr="001E4090">
              <w:rPr>
                <w:rFonts w:ascii="Arial" w:eastAsia="Arial" w:hAnsi="Arial" w:cs="Arial"/>
                <w:spacing w:val="9"/>
              </w:rPr>
              <w:t xml:space="preserve"> </w:t>
            </w:r>
            <w:r w:rsidR="001968CC" w:rsidRPr="001E4090">
              <w:rPr>
                <w:rFonts w:ascii="Arial" w:eastAsia="Arial" w:hAnsi="Arial" w:cs="Arial"/>
              </w:rPr>
              <w:t>the</w:t>
            </w:r>
            <w:r w:rsidR="001968CC" w:rsidRPr="001E4090">
              <w:rPr>
                <w:rFonts w:ascii="Arial" w:eastAsia="Arial" w:hAnsi="Arial" w:cs="Arial"/>
                <w:spacing w:val="11"/>
              </w:rPr>
              <w:t xml:space="preserve"> </w:t>
            </w:r>
            <w:r w:rsidR="001968CC" w:rsidRPr="001E4090">
              <w:rPr>
                <w:rFonts w:ascii="Arial" w:eastAsia="Arial" w:hAnsi="Arial" w:cs="Arial"/>
              </w:rPr>
              <w:t>Yellow</w:t>
            </w:r>
            <w:r w:rsidR="001968CC" w:rsidRPr="001E4090">
              <w:rPr>
                <w:rFonts w:ascii="Arial" w:eastAsia="Arial" w:hAnsi="Arial" w:cs="Arial"/>
                <w:spacing w:val="28"/>
              </w:rPr>
              <w:t xml:space="preserve"> </w:t>
            </w:r>
            <w:r w:rsidR="001968CC" w:rsidRPr="001E4090">
              <w:rPr>
                <w:rFonts w:ascii="Arial" w:eastAsia="Arial" w:hAnsi="Arial" w:cs="Arial"/>
              </w:rPr>
              <w:t>Card</w:t>
            </w:r>
            <w:r w:rsidR="001968CC" w:rsidRPr="001E4090">
              <w:rPr>
                <w:rFonts w:ascii="Arial" w:eastAsia="Arial" w:hAnsi="Arial" w:cs="Arial"/>
                <w:spacing w:val="16"/>
              </w:rPr>
              <w:t xml:space="preserve"> </w:t>
            </w:r>
            <w:r w:rsidR="001968CC" w:rsidRPr="001E4090">
              <w:rPr>
                <w:rFonts w:ascii="Arial" w:eastAsia="Arial" w:hAnsi="Arial" w:cs="Arial"/>
              </w:rPr>
              <w:t>reporting</w:t>
            </w:r>
            <w:r w:rsidR="001968CC" w:rsidRPr="001E4090">
              <w:rPr>
                <w:rFonts w:ascii="Arial" w:eastAsia="Arial" w:hAnsi="Arial" w:cs="Arial"/>
                <w:spacing w:val="12"/>
              </w:rPr>
              <w:t xml:space="preserve"> </w:t>
            </w:r>
            <w:r w:rsidR="001968CC" w:rsidRPr="001E4090">
              <w:rPr>
                <w:rFonts w:ascii="Arial" w:eastAsia="Arial" w:hAnsi="Arial" w:cs="Arial"/>
              </w:rPr>
              <w:t>scheme</w:t>
            </w:r>
            <w:r w:rsidR="001968CC" w:rsidRPr="001E4090">
              <w:rPr>
                <w:rFonts w:ascii="Arial" w:eastAsia="Arial" w:hAnsi="Arial" w:cs="Arial"/>
                <w:spacing w:val="16"/>
              </w:rPr>
              <w:t xml:space="preserve"> </w:t>
            </w:r>
            <w:r w:rsidR="001968CC" w:rsidRPr="001E4090">
              <w:rPr>
                <w:rFonts w:ascii="Arial" w:eastAsia="Arial" w:hAnsi="Arial" w:cs="Arial"/>
              </w:rPr>
              <w:t xml:space="preserve">on: </w:t>
            </w:r>
            <w:hyperlink r:id="rId38" w:history="1">
              <w:r w:rsidR="00DF62BF" w:rsidRPr="004C3877">
                <w:rPr>
                  <w:rStyle w:val="Hyperlink"/>
                  <w:rFonts w:ascii="Arial" w:eastAsia="Arial" w:hAnsi="Arial" w:cs="Arial"/>
                </w:rPr>
                <w:t>http://yellowcard.mhra.gov.uk</w:t>
              </w:r>
            </w:hyperlink>
            <w:r w:rsidR="00DF62BF">
              <w:rPr>
                <w:rFonts w:ascii="Arial" w:eastAsia="Arial" w:hAnsi="Arial" w:cs="Arial"/>
              </w:rPr>
              <w:t xml:space="preserve"> </w:t>
            </w:r>
          </w:p>
          <w:p w:rsidR="00EB4085" w:rsidRPr="001E4090" w:rsidRDefault="00E17B7A" w:rsidP="00E17B7A">
            <w:pPr>
              <w:pStyle w:val="TableParagraph"/>
              <w:spacing w:before="120" w:after="120"/>
              <w:rPr>
                <w:rFonts w:ascii="Arial" w:hAnsi="Arial" w:cs="Arial"/>
                <w:b/>
              </w:rPr>
            </w:pPr>
            <w:r w:rsidRPr="001E4090">
              <w:rPr>
                <w:rFonts w:ascii="Arial" w:hAnsi="Arial" w:cs="Arial"/>
              </w:rPr>
              <w:t xml:space="preserve">Any adverse reaction to a vaccine should be </w:t>
            </w:r>
            <w:r w:rsidR="001968CC" w:rsidRPr="001E4090">
              <w:rPr>
                <w:rFonts w:ascii="Arial" w:eastAsia="Arial" w:hAnsi="Arial" w:cs="Arial"/>
              </w:rPr>
              <w:t xml:space="preserve">documented in </w:t>
            </w:r>
            <w:r w:rsidR="00577582" w:rsidRPr="001E4090">
              <w:rPr>
                <w:rFonts w:ascii="Arial" w:eastAsia="Arial" w:hAnsi="Arial" w:cs="Arial"/>
              </w:rPr>
              <w:t xml:space="preserve">the </w:t>
            </w:r>
            <w:r w:rsidRPr="001E4090">
              <w:rPr>
                <w:rFonts w:ascii="Arial" w:eastAsia="Arial" w:hAnsi="Arial" w:cs="Arial"/>
              </w:rPr>
              <w:t>individual</w:t>
            </w:r>
            <w:r w:rsidR="001968CC" w:rsidRPr="001E4090">
              <w:rPr>
                <w:rFonts w:ascii="Arial" w:eastAsia="Arial" w:hAnsi="Arial" w:cs="Arial"/>
              </w:rPr>
              <w:t>’s record</w:t>
            </w:r>
            <w:r w:rsidR="00B805D0" w:rsidRPr="001E4090">
              <w:rPr>
                <w:rFonts w:ascii="Arial" w:eastAsia="Arial" w:hAnsi="Arial" w:cs="Arial"/>
              </w:rPr>
              <w:t xml:space="preserve"> and t</w:t>
            </w:r>
            <w:r w:rsidR="00577582" w:rsidRPr="001E4090">
              <w:rPr>
                <w:rFonts w:ascii="Arial" w:eastAsia="Arial" w:hAnsi="Arial" w:cs="Arial"/>
              </w:rPr>
              <w:t xml:space="preserve">he </w:t>
            </w:r>
            <w:r w:rsidRPr="001E4090">
              <w:rPr>
                <w:rFonts w:ascii="Arial" w:eastAsia="Arial" w:hAnsi="Arial" w:cs="Arial"/>
              </w:rPr>
              <w:t>individual</w:t>
            </w:r>
            <w:r w:rsidR="001968CC" w:rsidRPr="001E4090">
              <w:rPr>
                <w:rFonts w:ascii="Arial" w:eastAsia="Arial" w:hAnsi="Arial" w:cs="Arial"/>
              </w:rPr>
              <w:t>’s GP should be informed.</w:t>
            </w:r>
          </w:p>
        </w:tc>
      </w:tr>
      <w:tr w:rsidR="00A956FD" w:rsidRPr="00A956FD" w:rsidTr="0087180E">
        <w:tc>
          <w:tcPr>
            <w:tcW w:w="2977" w:type="dxa"/>
            <w:tcBorders>
              <w:bottom w:val="single" w:sz="4" w:space="0" w:color="auto"/>
            </w:tcBorders>
          </w:tcPr>
          <w:p w:rsidR="00EB4085" w:rsidRPr="007E324D" w:rsidRDefault="006847A3" w:rsidP="007E045E">
            <w:pPr>
              <w:pStyle w:val="Header"/>
              <w:tabs>
                <w:tab w:val="clear" w:pos="4153"/>
                <w:tab w:val="clear" w:pos="8306"/>
              </w:tabs>
              <w:spacing w:before="120" w:after="120"/>
              <w:rPr>
                <w:rFonts w:ascii="Arial" w:hAnsi="Arial" w:cs="Arial"/>
                <w:b/>
                <w:sz w:val="22"/>
                <w:szCs w:val="22"/>
              </w:rPr>
            </w:pPr>
            <w:r w:rsidRPr="007E324D">
              <w:br w:type="page"/>
            </w:r>
            <w:r w:rsidR="00480AF8" w:rsidRPr="007E324D">
              <w:br w:type="page"/>
            </w:r>
            <w:r w:rsidR="002545E8" w:rsidRPr="007E324D">
              <w:rPr>
                <w:rFonts w:ascii="Arial" w:hAnsi="Arial" w:cs="Arial"/>
                <w:b/>
                <w:sz w:val="22"/>
                <w:szCs w:val="22"/>
              </w:rPr>
              <w:t>Written information to be given to patient or carer</w:t>
            </w:r>
          </w:p>
        </w:tc>
        <w:tc>
          <w:tcPr>
            <w:tcW w:w="6946" w:type="dxa"/>
            <w:tcBorders>
              <w:bottom w:val="single" w:sz="4" w:space="0" w:color="auto"/>
            </w:tcBorders>
          </w:tcPr>
          <w:p w:rsidR="00EC348D" w:rsidRDefault="00902D27" w:rsidP="00A53F48">
            <w:pPr>
              <w:pStyle w:val="TableParagraph"/>
              <w:spacing w:before="120" w:after="120"/>
              <w:ind w:right="-108"/>
              <w:rPr>
                <w:rFonts w:ascii="Arial" w:eastAsia="Arial" w:hAnsi="Arial" w:cs="Arial"/>
              </w:rPr>
            </w:pPr>
            <w:r w:rsidRPr="001E4090">
              <w:rPr>
                <w:rFonts w:ascii="Arial" w:eastAsia="Arial" w:hAnsi="Arial" w:cs="Arial"/>
              </w:rPr>
              <w:t>Offer</w:t>
            </w:r>
            <w:r w:rsidR="00157FB4" w:rsidRPr="001E4090">
              <w:rPr>
                <w:rFonts w:ascii="Arial" w:eastAsia="Arial" w:hAnsi="Arial" w:cs="Arial"/>
              </w:rPr>
              <w:t xml:space="preserve"> marketing authorisation holder's patient information leaflet (PIL) provided with the vaccine</w:t>
            </w:r>
            <w:r w:rsidRPr="001E4090">
              <w:rPr>
                <w:rFonts w:ascii="Arial" w:eastAsia="Arial" w:hAnsi="Arial" w:cs="Arial"/>
              </w:rPr>
              <w:t>.</w:t>
            </w:r>
            <w:r w:rsidR="00E17B7A" w:rsidRPr="001E4090">
              <w:rPr>
                <w:rFonts w:ascii="Arial" w:eastAsia="Arial" w:hAnsi="Arial" w:cs="Arial"/>
              </w:rPr>
              <w:t xml:space="preserve">  </w:t>
            </w:r>
          </w:p>
          <w:p w:rsidR="00A53F48" w:rsidRPr="00C817E1" w:rsidRDefault="00A53F48" w:rsidP="00A53F48">
            <w:pPr>
              <w:pStyle w:val="TableParagraph"/>
              <w:spacing w:before="120" w:after="120"/>
              <w:ind w:right="-108"/>
              <w:contextualSpacing/>
              <w:rPr>
                <w:rFonts w:ascii="Arial" w:eastAsia="Arial" w:hAnsi="Arial" w:cs="Arial"/>
              </w:rPr>
            </w:pPr>
            <w:r w:rsidRPr="0028740C">
              <w:rPr>
                <w:rFonts w:ascii="Arial" w:eastAsia="Arial" w:hAnsi="Arial" w:cs="Arial"/>
              </w:rPr>
              <w:t>Im</w:t>
            </w:r>
            <w:r w:rsidRPr="00C817E1">
              <w:rPr>
                <w:rFonts w:ascii="Arial" w:eastAsia="Arial" w:hAnsi="Arial" w:cs="Arial"/>
              </w:rPr>
              <w:t xml:space="preserve">munisation promotional material may be provided as appropriate: </w:t>
            </w:r>
          </w:p>
          <w:p w:rsidR="00A53F48" w:rsidRPr="00E47B6D" w:rsidRDefault="008C0826" w:rsidP="00A53F48">
            <w:pPr>
              <w:pStyle w:val="TableParagraph"/>
              <w:numPr>
                <w:ilvl w:val="0"/>
                <w:numId w:val="7"/>
              </w:numPr>
              <w:spacing w:before="120" w:after="120"/>
              <w:ind w:right="-108"/>
              <w:contextualSpacing/>
              <w:rPr>
                <w:rFonts w:ascii="Arial" w:eastAsia="Arial" w:hAnsi="Arial" w:cs="Arial"/>
              </w:rPr>
            </w:pPr>
            <w:hyperlink r:id="rId39" w:history="1">
              <w:r w:rsidR="00A53F48" w:rsidRPr="00E47B6D">
                <w:rPr>
                  <w:rStyle w:val="Hyperlink"/>
                  <w:rFonts w:ascii="Arial" w:hAnsi="Arial" w:cs="Arial"/>
                </w:rPr>
                <w:t>A guide to immunisations for babies up to 13 months of age</w:t>
              </w:r>
            </w:hyperlink>
          </w:p>
          <w:p w:rsidR="00A53F48" w:rsidRPr="0022479F" w:rsidRDefault="008C0826" w:rsidP="00A53F48">
            <w:pPr>
              <w:pStyle w:val="TableParagraph"/>
              <w:numPr>
                <w:ilvl w:val="0"/>
                <w:numId w:val="7"/>
              </w:numPr>
              <w:spacing w:before="120" w:after="120"/>
              <w:ind w:right="-108"/>
              <w:contextualSpacing/>
              <w:rPr>
                <w:rStyle w:val="Hyperlink"/>
                <w:rFonts w:ascii="Arial" w:eastAsia="Arial" w:hAnsi="Arial" w:cs="Arial"/>
                <w:color w:val="auto"/>
                <w:u w:val="none"/>
              </w:rPr>
            </w:pPr>
            <w:hyperlink r:id="rId40" w:history="1">
              <w:r w:rsidR="00A53F48" w:rsidRPr="00E47B6D">
                <w:rPr>
                  <w:rStyle w:val="Hyperlink"/>
                  <w:rFonts w:ascii="Arial" w:hAnsi="Arial" w:cs="Arial"/>
                </w:rPr>
                <w:t>A quick guide to childhood immunisation for the parents of premature babies</w:t>
              </w:r>
            </w:hyperlink>
          </w:p>
          <w:p w:rsidR="00A53F48" w:rsidRPr="001E4090" w:rsidRDefault="00A53F48" w:rsidP="00A53F48">
            <w:pPr>
              <w:pStyle w:val="TableParagraph"/>
              <w:spacing w:before="120" w:after="120"/>
              <w:ind w:right="-108"/>
              <w:rPr>
                <w:rFonts w:ascii="Arial" w:eastAsia="Arial" w:hAnsi="Arial" w:cs="Arial"/>
              </w:rPr>
            </w:pPr>
            <w:r w:rsidRPr="00EC348D">
              <w:rPr>
                <w:rStyle w:val="Hyperlink"/>
                <w:rFonts w:ascii="Arial" w:hAnsi="Arial" w:cs="Arial"/>
                <w:color w:val="auto"/>
                <w:u w:val="none"/>
              </w:rPr>
              <w:t>Available from:</w:t>
            </w:r>
            <w:r w:rsidRPr="00E47B6D">
              <w:rPr>
                <w:rFonts w:ascii="Arial" w:eastAsia="Arial" w:hAnsi="Arial" w:cs="Arial"/>
              </w:rPr>
              <w:t xml:space="preserve"> </w:t>
            </w:r>
            <w:hyperlink r:id="rId41" w:history="1">
              <w:r w:rsidRPr="00E47B6D">
                <w:rPr>
                  <w:rStyle w:val="Hyperlink"/>
                  <w:rFonts w:ascii="Arial" w:eastAsia="Arial" w:hAnsi="Arial" w:cs="Arial"/>
                </w:rPr>
                <w:t>www.gov.uk/government/collections/immunisation</w:t>
              </w:r>
            </w:hyperlink>
          </w:p>
        </w:tc>
      </w:tr>
      <w:tr w:rsidR="00A956FD" w:rsidRPr="00A956FD"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Borders>
              <w:top w:val="single" w:sz="4" w:space="0" w:color="auto"/>
            </w:tcBorders>
          </w:tcPr>
          <w:p w:rsidR="002545E8" w:rsidRPr="007E324D" w:rsidRDefault="002545E8" w:rsidP="00080471">
            <w:pPr>
              <w:pStyle w:val="Header"/>
              <w:tabs>
                <w:tab w:val="clear" w:pos="4153"/>
                <w:tab w:val="clear" w:pos="8306"/>
              </w:tabs>
              <w:spacing w:before="120" w:after="120"/>
              <w:rPr>
                <w:rFonts w:ascii="Arial" w:hAnsi="Arial" w:cs="Arial"/>
                <w:b/>
                <w:sz w:val="22"/>
                <w:szCs w:val="22"/>
              </w:rPr>
            </w:pPr>
            <w:r w:rsidRPr="007E324D">
              <w:rPr>
                <w:rFonts w:ascii="Arial" w:hAnsi="Arial" w:cs="Arial"/>
                <w:b/>
                <w:sz w:val="22"/>
                <w:szCs w:val="22"/>
              </w:rPr>
              <w:t>Patient advice /</w:t>
            </w:r>
            <w:r w:rsidR="00080471" w:rsidRPr="007E324D">
              <w:rPr>
                <w:rFonts w:ascii="Arial" w:hAnsi="Arial" w:cs="Arial"/>
                <w:b/>
                <w:sz w:val="22"/>
                <w:szCs w:val="22"/>
              </w:rPr>
              <w:t xml:space="preserve"> f</w:t>
            </w:r>
            <w:r w:rsidRPr="007E324D">
              <w:rPr>
                <w:rFonts w:ascii="Arial" w:hAnsi="Arial" w:cs="Arial"/>
                <w:b/>
                <w:sz w:val="22"/>
                <w:szCs w:val="22"/>
              </w:rPr>
              <w:t>ollow up treatment</w:t>
            </w:r>
          </w:p>
          <w:p w:rsidR="000E478E" w:rsidRPr="007E324D" w:rsidRDefault="000E478E" w:rsidP="00080471">
            <w:pPr>
              <w:pStyle w:val="Header"/>
              <w:tabs>
                <w:tab w:val="clear" w:pos="4153"/>
                <w:tab w:val="clear" w:pos="8306"/>
              </w:tabs>
              <w:spacing w:before="120" w:after="120"/>
              <w:rPr>
                <w:rFonts w:ascii="Arial" w:hAnsi="Arial" w:cs="Arial"/>
                <w:sz w:val="22"/>
                <w:szCs w:val="22"/>
              </w:rPr>
            </w:pPr>
          </w:p>
        </w:tc>
        <w:tc>
          <w:tcPr>
            <w:tcW w:w="6946" w:type="dxa"/>
            <w:tcBorders>
              <w:top w:val="single" w:sz="4" w:space="0" w:color="auto"/>
            </w:tcBorders>
          </w:tcPr>
          <w:p w:rsidR="00C43C9D" w:rsidRPr="001E4090" w:rsidRDefault="00C43C9D" w:rsidP="00080471">
            <w:pPr>
              <w:pStyle w:val="TableParagraph"/>
              <w:spacing w:before="120" w:after="120"/>
              <w:rPr>
                <w:rFonts w:ascii="Arial" w:eastAsia="Arial" w:hAnsi="Arial" w:cs="Arial"/>
              </w:rPr>
            </w:pPr>
            <w:r w:rsidRPr="001E4090">
              <w:rPr>
                <w:rFonts w:ascii="Arial" w:eastAsia="Arial" w:hAnsi="Arial" w:cs="Arial"/>
              </w:rPr>
              <w:t>Inform</w:t>
            </w:r>
            <w:r w:rsidR="007E324D" w:rsidRPr="001E4090">
              <w:rPr>
                <w:rFonts w:ascii="Arial" w:eastAsia="Arial" w:hAnsi="Arial" w:cs="Arial"/>
              </w:rPr>
              <w:t xml:space="preserve"> the</w:t>
            </w:r>
            <w:r w:rsidRPr="001E4090">
              <w:rPr>
                <w:rFonts w:ascii="Arial" w:eastAsia="Arial" w:hAnsi="Arial" w:cs="Arial"/>
              </w:rPr>
              <w:t xml:space="preserve"> </w:t>
            </w:r>
            <w:r w:rsidR="00896281" w:rsidRPr="001E4090">
              <w:rPr>
                <w:rFonts w:ascii="Arial" w:eastAsia="Arial" w:hAnsi="Arial" w:cs="Arial"/>
              </w:rPr>
              <w:t>individual</w:t>
            </w:r>
            <w:r w:rsidR="0025304B" w:rsidRPr="001E4090">
              <w:rPr>
                <w:rFonts w:ascii="Arial" w:eastAsia="Arial" w:hAnsi="Arial" w:cs="Arial"/>
              </w:rPr>
              <w:t>/carer</w:t>
            </w:r>
            <w:r w:rsidR="0025304B" w:rsidRPr="001E4090">
              <w:rPr>
                <w:rFonts w:ascii="Arial" w:eastAsia="Arial" w:hAnsi="Arial" w:cs="Arial"/>
                <w:spacing w:val="12"/>
              </w:rPr>
              <w:t xml:space="preserve"> </w:t>
            </w:r>
            <w:r w:rsidRPr="001E4090">
              <w:rPr>
                <w:rFonts w:ascii="Arial" w:eastAsia="Arial" w:hAnsi="Arial" w:cs="Arial"/>
              </w:rPr>
              <w:t>of possible side effects and their management.</w:t>
            </w:r>
            <w:r w:rsidR="00680485" w:rsidRPr="001E4090">
              <w:rPr>
                <w:rFonts w:ascii="Arial" w:eastAsia="Arial" w:hAnsi="Arial" w:cs="Arial"/>
              </w:rPr>
              <w:t xml:space="preserve"> </w:t>
            </w:r>
          </w:p>
          <w:p w:rsidR="00C43C9D" w:rsidRPr="001E4090" w:rsidRDefault="00C43C9D" w:rsidP="00080471">
            <w:pPr>
              <w:pStyle w:val="TableParagraph"/>
              <w:spacing w:before="120" w:after="120"/>
              <w:rPr>
                <w:rFonts w:ascii="Arial" w:eastAsia="Arial" w:hAnsi="Arial" w:cs="Arial"/>
              </w:rPr>
            </w:pPr>
            <w:r w:rsidRPr="001E4090">
              <w:rPr>
                <w:rFonts w:ascii="Arial" w:eastAsia="Arial" w:hAnsi="Arial" w:cs="Arial"/>
              </w:rPr>
              <w:t>The</w:t>
            </w:r>
            <w:r w:rsidRPr="001E4090">
              <w:rPr>
                <w:rFonts w:ascii="Arial" w:eastAsia="Arial" w:hAnsi="Arial" w:cs="Arial"/>
                <w:spacing w:val="23"/>
              </w:rPr>
              <w:t xml:space="preserve"> </w:t>
            </w:r>
            <w:r w:rsidR="00896281" w:rsidRPr="001E4090">
              <w:rPr>
                <w:rFonts w:ascii="Arial" w:eastAsia="Arial" w:hAnsi="Arial" w:cs="Arial"/>
              </w:rPr>
              <w:t>individual</w:t>
            </w:r>
            <w:r w:rsidR="0025304B" w:rsidRPr="001E4090">
              <w:rPr>
                <w:rFonts w:ascii="Arial" w:eastAsia="Arial" w:hAnsi="Arial" w:cs="Arial"/>
              </w:rPr>
              <w:t>/</w:t>
            </w:r>
            <w:r w:rsidRPr="001E4090">
              <w:rPr>
                <w:rFonts w:ascii="Arial" w:eastAsia="Arial" w:hAnsi="Arial" w:cs="Arial"/>
              </w:rPr>
              <w:t>carer</w:t>
            </w:r>
            <w:r w:rsidRPr="001E4090">
              <w:rPr>
                <w:rFonts w:ascii="Arial" w:eastAsia="Arial" w:hAnsi="Arial" w:cs="Arial"/>
                <w:spacing w:val="12"/>
              </w:rPr>
              <w:t xml:space="preserve"> </w:t>
            </w:r>
            <w:r w:rsidRPr="001E4090">
              <w:rPr>
                <w:rFonts w:ascii="Arial" w:eastAsia="Arial" w:hAnsi="Arial" w:cs="Arial"/>
              </w:rPr>
              <w:t>should</w:t>
            </w:r>
            <w:r w:rsidRPr="001E4090">
              <w:rPr>
                <w:rFonts w:ascii="Arial" w:eastAsia="Arial" w:hAnsi="Arial" w:cs="Arial"/>
                <w:spacing w:val="27"/>
              </w:rPr>
              <w:t xml:space="preserve"> </w:t>
            </w:r>
            <w:r w:rsidRPr="001E4090">
              <w:rPr>
                <w:rFonts w:ascii="Arial" w:eastAsia="Arial" w:hAnsi="Arial" w:cs="Arial"/>
              </w:rPr>
              <w:t>be</w:t>
            </w:r>
            <w:r w:rsidRPr="001E4090">
              <w:rPr>
                <w:rFonts w:ascii="Arial" w:eastAsia="Arial" w:hAnsi="Arial" w:cs="Arial"/>
                <w:spacing w:val="10"/>
              </w:rPr>
              <w:t xml:space="preserve"> </w:t>
            </w:r>
            <w:r w:rsidRPr="001E4090">
              <w:rPr>
                <w:rFonts w:ascii="Arial" w:eastAsia="Arial" w:hAnsi="Arial" w:cs="Arial"/>
              </w:rPr>
              <w:t>advised</w:t>
            </w:r>
            <w:r w:rsidRPr="001E4090">
              <w:rPr>
                <w:rFonts w:ascii="Arial" w:eastAsia="Arial" w:hAnsi="Arial" w:cs="Arial"/>
                <w:w w:val="99"/>
              </w:rPr>
              <w:t xml:space="preserve"> </w:t>
            </w:r>
            <w:r w:rsidRPr="001E4090">
              <w:rPr>
                <w:rFonts w:ascii="Arial" w:eastAsia="Arial" w:hAnsi="Arial" w:cs="Arial"/>
              </w:rPr>
              <w:t>to</w:t>
            </w:r>
            <w:r w:rsidRPr="001E4090">
              <w:rPr>
                <w:rFonts w:ascii="Arial" w:eastAsia="Arial" w:hAnsi="Arial" w:cs="Arial"/>
                <w:spacing w:val="14"/>
              </w:rPr>
              <w:t xml:space="preserve"> </w:t>
            </w:r>
            <w:r w:rsidRPr="001E4090">
              <w:rPr>
                <w:rFonts w:ascii="Arial" w:eastAsia="Arial" w:hAnsi="Arial" w:cs="Arial"/>
              </w:rPr>
              <w:t>seek</w:t>
            </w:r>
            <w:r w:rsidRPr="001E4090">
              <w:rPr>
                <w:rFonts w:ascii="Arial" w:eastAsia="Arial" w:hAnsi="Arial" w:cs="Arial"/>
                <w:spacing w:val="22"/>
              </w:rPr>
              <w:t xml:space="preserve"> </w:t>
            </w:r>
            <w:r w:rsidRPr="001E4090">
              <w:rPr>
                <w:rFonts w:ascii="Arial" w:eastAsia="Arial" w:hAnsi="Arial" w:cs="Arial"/>
              </w:rPr>
              <w:t>medical</w:t>
            </w:r>
            <w:r w:rsidRPr="001E4090">
              <w:rPr>
                <w:rFonts w:ascii="Arial" w:eastAsia="Arial" w:hAnsi="Arial" w:cs="Arial"/>
                <w:spacing w:val="12"/>
              </w:rPr>
              <w:t xml:space="preserve"> </w:t>
            </w:r>
            <w:r w:rsidRPr="001E4090">
              <w:rPr>
                <w:rFonts w:ascii="Arial" w:eastAsia="Arial" w:hAnsi="Arial" w:cs="Arial"/>
              </w:rPr>
              <w:t>advice</w:t>
            </w:r>
            <w:r w:rsidRPr="001E4090">
              <w:rPr>
                <w:rFonts w:ascii="Arial" w:hAnsi="Arial" w:cs="Arial"/>
              </w:rPr>
              <w:t xml:space="preserve"> i</w:t>
            </w:r>
            <w:r w:rsidR="0025304B" w:rsidRPr="001E4090">
              <w:rPr>
                <w:rFonts w:ascii="Arial" w:eastAsia="Arial" w:hAnsi="Arial" w:cs="Arial"/>
              </w:rPr>
              <w:t xml:space="preserve">n the event of an </w:t>
            </w:r>
            <w:r w:rsidRPr="001E4090">
              <w:rPr>
                <w:rFonts w:ascii="Arial" w:eastAsia="Arial" w:hAnsi="Arial" w:cs="Arial"/>
              </w:rPr>
              <w:t>adverse reaction</w:t>
            </w:r>
            <w:r w:rsidR="00EB5536" w:rsidRPr="001E4090">
              <w:rPr>
                <w:rFonts w:ascii="Arial" w:eastAsia="Arial" w:hAnsi="Arial" w:cs="Arial"/>
              </w:rPr>
              <w:t>.</w:t>
            </w:r>
          </w:p>
          <w:p w:rsidR="00C43C9D" w:rsidRPr="001E4090" w:rsidRDefault="00D60408" w:rsidP="00080471">
            <w:pPr>
              <w:spacing w:before="120" w:after="120"/>
              <w:rPr>
                <w:rFonts w:cs="Arial"/>
                <w:sz w:val="22"/>
                <w:szCs w:val="22"/>
              </w:rPr>
            </w:pPr>
            <w:r w:rsidRPr="001E4090">
              <w:rPr>
                <w:rFonts w:cs="Arial"/>
                <w:sz w:val="22"/>
                <w:szCs w:val="22"/>
              </w:rPr>
              <w:t xml:space="preserve">When administration is postponed advise the </w:t>
            </w:r>
            <w:r w:rsidR="00896281" w:rsidRPr="001E4090">
              <w:rPr>
                <w:rFonts w:eastAsia="Arial" w:cs="Arial"/>
                <w:sz w:val="22"/>
                <w:szCs w:val="22"/>
              </w:rPr>
              <w:t>individual</w:t>
            </w:r>
            <w:r w:rsidR="0025304B" w:rsidRPr="001E4090">
              <w:rPr>
                <w:rFonts w:eastAsia="Arial" w:cs="Arial"/>
                <w:sz w:val="22"/>
                <w:szCs w:val="22"/>
              </w:rPr>
              <w:t>/carer</w:t>
            </w:r>
            <w:r w:rsidR="0069541C" w:rsidRPr="001E4090">
              <w:rPr>
                <w:rFonts w:cs="Arial"/>
                <w:sz w:val="22"/>
                <w:szCs w:val="22"/>
              </w:rPr>
              <w:t xml:space="preserve"> when to return for vaccination.</w:t>
            </w:r>
          </w:p>
        </w:tc>
      </w:tr>
      <w:tr w:rsidR="00A956FD" w:rsidRPr="00A956FD"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rsidR="002545E8" w:rsidRDefault="00D7770B" w:rsidP="007E045E">
            <w:pPr>
              <w:spacing w:before="120" w:after="120"/>
              <w:rPr>
                <w:rFonts w:cs="Arial"/>
                <w:b/>
                <w:sz w:val="22"/>
                <w:szCs w:val="22"/>
              </w:rPr>
            </w:pPr>
            <w:r w:rsidRPr="007E324D">
              <w:br w:type="page"/>
            </w:r>
            <w:r w:rsidR="002545E8" w:rsidRPr="007E324D">
              <w:rPr>
                <w:rFonts w:cs="Arial"/>
                <w:b/>
                <w:sz w:val="22"/>
                <w:szCs w:val="22"/>
              </w:rPr>
              <w:t xml:space="preserve">Special </w:t>
            </w:r>
            <w:r w:rsidR="00080471" w:rsidRPr="007E324D">
              <w:rPr>
                <w:rFonts w:cs="Arial"/>
                <w:b/>
                <w:sz w:val="22"/>
                <w:szCs w:val="22"/>
              </w:rPr>
              <w:t>c</w:t>
            </w:r>
            <w:r w:rsidR="002545E8" w:rsidRPr="007E324D">
              <w:rPr>
                <w:rFonts w:cs="Arial"/>
                <w:b/>
                <w:sz w:val="22"/>
                <w:szCs w:val="22"/>
              </w:rPr>
              <w:t xml:space="preserve">onsiderations / </w:t>
            </w:r>
            <w:r w:rsidR="00080471" w:rsidRPr="007E324D">
              <w:rPr>
                <w:rFonts w:cs="Arial"/>
                <w:b/>
                <w:sz w:val="22"/>
                <w:szCs w:val="22"/>
              </w:rPr>
              <w:t>a</w:t>
            </w:r>
            <w:r w:rsidR="002545E8" w:rsidRPr="007E324D">
              <w:rPr>
                <w:rFonts w:cs="Arial"/>
                <w:b/>
                <w:sz w:val="22"/>
                <w:szCs w:val="22"/>
              </w:rPr>
              <w:t xml:space="preserve">dditional </w:t>
            </w:r>
            <w:r w:rsidR="00080471" w:rsidRPr="007E324D">
              <w:rPr>
                <w:rFonts w:cs="Arial"/>
                <w:b/>
                <w:sz w:val="22"/>
                <w:szCs w:val="22"/>
              </w:rPr>
              <w:t>i</w:t>
            </w:r>
            <w:r w:rsidR="002545E8" w:rsidRPr="007E324D">
              <w:rPr>
                <w:rFonts w:cs="Arial"/>
                <w:b/>
                <w:sz w:val="22"/>
                <w:szCs w:val="22"/>
              </w:rPr>
              <w:t>nformation</w:t>
            </w:r>
          </w:p>
          <w:p w:rsidR="005268F4" w:rsidRDefault="005268F4" w:rsidP="007E045E">
            <w:pPr>
              <w:spacing w:before="120" w:after="120"/>
              <w:rPr>
                <w:rFonts w:cs="Arial"/>
                <w:b/>
                <w:sz w:val="22"/>
                <w:szCs w:val="22"/>
              </w:rPr>
            </w:pPr>
          </w:p>
          <w:p w:rsidR="005268F4" w:rsidRDefault="005268F4" w:rsidP="007E045E">
            <w:pPr>
              <w:spacing w:before="120" w:after="120"/>
              <w:rPr>
                <w:rFonts w:cs="Arial"/>
                <w:b/>
                <w:sz w:val="22"/>
                <w:szCs w:val="22"/>
              </w:rPr>
            </w:pPr>
          </w:p>
          <w:p w:rsidR="005268F4" w:rsidRDefault="005268F4" w:rsidP="007E045E">
            <w:pPr>
              <w:spacing w:before="120" w:after="120"/>
              <w:rPr>
                <w:rFonts w:cs="Arial"/>
                <w:b/>
                <w:sz w:val="22"/>
                <w:szCs w:val="22"/>
              </w:rPr>
            </w:pPr>
          </w:p>
          <w:p w:rsidR="005268F4" w:rsidRDefault="005268F4" w:rsidP="007E045E">
            <w:pPr>
              <w:spacing w:before="120" w:after="120"/>
              <w:rPr>
                <w:rFonts w:cs="Arial"/>
                <w:b/>
                <w:sz w:val="22"/>
                <w:szCs w:val="22"/>
              </w:rPr>
            </w:pPr>
          </w:p>
          <w:p w:rsidR="005268F4" w:rsidRDefault="005268F4" w:rsidP="007E045E">
            <w:pPr>
              <w:spacing w:before="120" w:after="120"/>
              <w:contextualSpacing/>
              <w:rPr>
                <w:rFonts w:cs="Arial"/>
                <w:sz w:val="22"/>
                <w:szCs w:val="22"/>
              </w:rPr>
            </w:pPr>
          </w:p>
          <w:p w:rsidR="005268F4" w:rsidRDefault="005268F4" w:rsidP="007E045E">
            <w:pPr>
              <w:spacing w:before="120" w:after="120"/>
              <w:contextualSpacing/>
              <w:rPr>
                <w:rFonts w:cs="Arial"/>
                <w:sz w:val="22"/>
                <w:szCs w:val="22"/>
              </w:rPr>
            </w:pPr>
          </w:p>
          <w:p w:rsidR="005268F4" w:rsidRDefault="005268F4" w:rsidP="007E045E">
            <w:pPr>
              <w:spacing w:before="120" w:after="120"/>
              <w:contextualSpacing/>
              <w:rPr>
                <w:rFonts w:cs="Arial"/>
                <w:sz w:val="22"/>
                <w:szCs w:val="22"/>
              </w:rPr>
            </w:pPr>
            <w:r>
              <w:rPr>
                <w:rFonts w:cs="Arial"/>
                <w:sz w:val="22"/>
                <w:szCs w:val="22"/>
              </w:rPr>
              <w:t>Continued over page</w:t>
            </w:r>
          </w:p>
          <w:p w:rsidR="005268F4" w:rsidRPr="005268F4" w:rsidRDefault="005268F4" w:rsidP="007E045E">
            <w:pPr>
              <w:spacing w:before="120" w:after="120"/>
              <w:contextualSpacing/>
              <w:rPr>
                <w:rFonts w:cs="Arial"/>
                <w:sz w:val="22"/>
                <w:szCs w:val="22"/>
              </w:rPr>
            </w:pPr>
          </w:p>
          <w:p w:rsidR="005268F4" w:rsidRDefault="005268F4" w:rsidP="007E045E">
            <w:pPr>
              <w:spacing w:before="120" w:after="120"/>
              <w:contextualSpacing/>
              <w:rPr>
                <w:rFonts w:cs="Arial"/>
                <w:b/>
                <w:sz w:val="22"/>
                <w:szCs w:val="22"/>
              </w:rPr>
            </w:pPr>
            <w:r w:rsidRPr="007E324D">
              <w:rPr>
                <w:rFonts w:cs="Arial"/>
                <w:b/>
                <w:sz w:val="22"/>
                <w:szCs w:val="22"/>
              </w:rPr>
              <w:lastRenderedPageBreak/>
              <w:t>Special considerations / additional information</w:t>
            </w:r>
          </w:p>
          <w:p w:rsidR="005268F4" w:rsidRPr="005268F4" w:rsidRDefault="005268F4" w:rsidP="007E045E">
            <w:pPr>
              <w:spacing w:before="120" w:after="120"/>
              <w:contextualSpacing/>
              <w:rPr>
                <w:rFonts w:cs="Arial"/>
                <w:sz w:val="22"/>
                <w:szCs w:val="22"/>
              </w:rPr>
            </w:pPr>
            <w:r>
              <w:rPr>
                <w:rFonts w:cs="Arial"/>
                <w:sz w:val="22"/>
                <w:szCs w:val="22"/>
              </w:rPr>
              <w:t>(continued)</w:t>
            </w:r>
          </w:p>
        </w:tc>
        <w:tc>
          <w:tcPr>
            <w:tcW w:w="6946" w:type="dxa"/>
          </w:tcPr>
          <w:p w:rsidR="004415DC" w:rsidRPr="005268F4" w:rsidRDefault="00163D03" w:rsidP="005268F4">
            <w:pPr>
              <w:pStyle w:val="Header"/>
              <w:tabs>
                <w:tab w:val="left" w:pos="720"/>
              </w:tabs>
              <w:spacing w:before="120" w:after="120"/>
              <w:rPr>
                <w:rFonts w:ascii="Arial" w:eastAsiaTheme="minorHAnsi" w:hAnsi="Arial" w:cs="Arial"/>
                <w:sz w:val="22"/>
                <w:szCs w:val="22"/>
                <w:lang w:eastAsia="en-US"/>
              </w:rPr>
            </w:pPr>
            <w:r w:rsidRPr="005268F4">
              <w:rPr>
                <w:rFonts w:ascii="Arial" w:eastAsia="Arial" w:hAnsi="Arial" w:cs="Arial"/>
                <w:sz w:val="22"/>
                <w:szCs w:val="22"/>
              </w:rPr>
              <w:lastRenderedPageBreak/>
              <w:t>Ensure there is i</w:t>
            </w:r>
            <w:r w:rsidR="0025304B" w:rsidRPr="005268F4">
              <w:rPr>
                <w:rFonts w:ascii="Arial" w:eastAsia="Arial" w:hAnsi="Arial" w:cs="Arial"/>
                <w:sz w:val="22"/>
                <w:szCs w:val="22"/>
              </w:rPr>
              <w:t>mmediate</w:t>
            </w:r>
            <w:r w:rsidR="0025304B" w:rsidRPr="005268F4">
              <w:rPr>
                <w:rFonts w:ascii="Arial" w:eastAsia="Arial" w:hAnsi="Arial" w:cs="Arial"/>
                <w:spacing w:val="17"/>
                <w:sz w:val="22"/>
                <w:szCs w:val="22"/>
              </w:rPr>
              <w:t xml:space="preserve"> </w:t>
            </w:r>
            <w:r w:rsidR="0025304B" w:rsidRPr="005268F4">
              <w:rPr>
                <w:rFonts w:ascii="Arial" w:eastAsia="Arial" w:hAnsi="Arial" w:cs="Arial"/>
                <w:sz w:val="22"/>
                <w:szCs w:val="22"/>
              </w:rPr>
              <w:t>access</w:t>
            </w:r>
            <w:r w:rsidR="0025304B" w:rsidRPr="005268F4">
              <w:rPr>
                <w:rFonts w:ascii="Arial" w:eastAsia="Arial" w:hAnsi="Arial" w:cs="Arial"/>
                <w:spacing w:val="14"/>
                <w:sz w:val="22"/>
                <w:szCs w:val="22"/>
              </w:rPr>
              <w:t xml:space="preserve"> </w:t>
            </w:r>
            <w:r w:rsidR="0025304B" w:rsidRPr="005268F4">
              <w:rPr>
                <w:rFonts w:ascii="Arial" w:eastAsia="Arial" w:hAnsi="Arial" w:cs="Arial"/>
                <w:sz w:val="22"/>
                <w:szCs w:val="22"/>
              </w:rPr>
              <w:t>to</w:t>
            </w:r>
            <w:r w:rsidR="0025304B" w:rsidRPr="005268F4">
              <w:rPr>
                <w:rFonts w:ascii="Arial" w:eastAsia="Arial" w:hAnsi="Arial" w:cs="Arial"/>
                <w:spacing w:val="21"/>
                <w:sz w:val="22"/>
                <w:szCs w:val="22"/>
              </w:rPr>
              <w:t xml:space="preserve"> </w:t>
            </w:r>
            <w:r w:rsidR="0025304B" w:rsidRPr="005268F4">
              <w:rPr>
                <w:rFonts w:ascii="Arial" w:eastAsia="Arial" w:hAnsi="Arial" w:cs="Arial"/>
                <w:sz w:val="22"/>
                <w:szCs w:val="22"/>
              </w:rPr>
              <w:t>adrenaline (epinephrine)</w:t>
            </w:r>
            <w:r w:rsidR="0025304B" w:rsidRPr="005268F4">
              <w:rPr>
                <w:rFonts w:ascii="Arial" w:eastAsia="Arial" w:hAnsi="Arial" w:cs="Arial"/>
                <w:spacing w:val="21"/>
                <w:sz w:val="22"/>
                <w:szCs w:val="22"/>
              </w:rPr>
              <w:t xml:space="preserve"> </w:t>
            </w:r>
            <w:r w:rsidR="0025304B" w:rsidRPr="005268F4">
              <w:rPr>
                <w:rFonts w:ascii="Arial" w:eastAsia="Arial" w:hAnsi="Arial" w:cs="Arial"/>
                <w:sz w:val="22"/>
                <w:szCs w:val="22"/>
              </w:rPr>
              <w:t>1</w:t>
            </w:r>
            <w:r w:rsidR="0025304B" w:rsidRPr="005268F4">
              <w:rPr>
                <w:rFonts w:ascii="Arial" w:eastAsia="Arial" w:hAnsi="Arial" w:cs="Arial"/>
                <w:spacing w:val="-10"/>
                <w:sz w:val="22"/>
                <w:szCs w:val="22"/>
              </w:rPr>
              <w:t xml:space="preserve"> </w:t>
            </w:r>
            <w:r w:rsidR="0025304B" w:rsidRPr="005268F4">
              <w:rPr>
                <w:rFonts w:ascii="Arial" w:eastAsia="Arial" w:hAnsi="Arial" w:cs="Arial"/>
                <w:sz w:val="22"/>
                <w:szCs w:val="22"/>
              </w:rPr>
              <w:t>in</w:t>
            </w:r>
            <w:r w:rsidR="0025304B" w:rsidRPr="005268F4">
              <w:rPr>
                <w:rFonts w:ascii="Arial" w:eastAsia="Arial" w:hAnsi="Arial" w:cs="Arial"/>
                <w:spacing w:val="17"/>
                <w:sz w:val="22"/>
                <w:szCs w:val="22"/>
              </w:rPr>
              <w:t xml:space="preserve"> </w:t>
            </w:r>
            <w:r w:rsidR="0025304B" w:rsidRPr="005268F4">
              <w:rPr>
                <w:rFonts w:ascii="Arial" w:eastAsia="Arial" w:hAnsi="Arial" w:cs="Arial"/>
                <w:sz w:val="22"/>
                <w:szCs w:val="22"/>
              </w:rPr>
              <w:t>1000</w:t>
            </w:r>
            <w:r w:rsidR="0025304B" w:rsidRPr="005268F4">
              <w:rPr>
                <w:rFonts w:ascii="Arial" w:eastAsia="Arial" w:hAnsi="Arial" w:cs="Arial"/>
                <w:spacing w:val="11"/>
                <w:sz w:val="22"/>
                <w:szCs w:val="22"/>
              </w:rPr>
              <w:t xml:space="preserve"> </w:t>
            </w:r>
            <w:r w:rsidR="0025304B" w:rsidRPr="005268F4">
              <w:rPr>
                <w:rFonts w:ascii="Arial" w:eastAsia="Arial" w:hAnsi="Arial" w:cs="Arial"/>
                <w:sz w:val="22"/>
                <w:szCs w:val="22"/>
              </w:rPr>
              <w:t>injection and access</w:t>
            </w:r>
            <w:r w:rsidR="0025304B" w:rsidRPr="005268F4">
              <w:rPr>
                <w:rFonts w:ascii="Arial" w:eastAsia="Arial" w:hAnsi="Arial" w:cs="Arial"/>
                <w:spacing w:val="19"/>
                <w:sz w:val="22"/>
                <w:szCs w:val="22"/>
              </w:rPr>
              <w:t xml:space="preserve"> </w:t>
            </w:r>
            <w:r w:rsidR="0025304B" w:rsidRPr="005268F4">
              <w:rPr>
                <w:rFonts w:ascii="Arial" w:eastAsia="Arial" w:hAnsi="Arial" w:cs="Arial"/>
                <w:sz w:val="22"/>
                <w:szCs w:val="22"/>
              </w:rPr>
              <w:t>to</w:t>
            </w:r>
            <w:r w:rsidR="0025304B" w:rsidRPr="005268F4">
              <w:rPr>
                <w:rFonts w:ascii="Arial" w:eastAsia="Arial" w:hAnsi="Arial" w:cs="Arial"/>
                <w:spacing w:val="10"/>
                <w:sz w:val="22"/>
                <w:szCs w:val="22"/>
              </w:rPr>
              <w:t xml:space="preserve"> a </w:t>
            </w:r>
            <w:r w:rsidR="0025304B" w:rsidRPr="005268F4">
              <w:rPr>
                <w:rFonts w:ascii="Arial" w:eastAsia="Arial" w:hAnsi="Arial" w:cs="Arial"/>
                <w:sz w:val="22"/>
                <w:szCs w:val="22"/>
              </w:rPr>
              <w:t>telephone</w:t>
            </w:r>
            <w:r w:rsidRPr="005268F4">
              <w:rPr>
                <w:rFonts w:ascii="Arial" w:eastAsia="Arial" w:hAnsi="Arial" w:cs="Arial"/>
                <w:sz w:val="22"/>
                <w:szCs w:val="22"/>
              </w:rPr>
              <w:t xml:space="preserve"> </w:t>
            </w:r>
            <w:r w:rsidRPr="005268F4">
              <w:rPr>
                <w:rFonts w:ascii="Arial" w:eastAsiaTheme="minorHAnsi" w:hAnsi="Arial" w:cs="Arial"/>
                <w:sz w:val="22"/>
                <w:szCs w:val="22"/>
                <w:lang w:eastAsia="en-US"/>
              </w:rPr>
              <w:t xml:space="preserve">at </w:t>
            </w:r>
            <w:r w:rsidR="00C4034B" w:rsidRPr="005268F4">
              <w:rPr>
                <w:rFonts w:ascii="Arial" w:eastAsiaTheme="minorHAnsi" w:hAnsi="Arial" w:cs="Arial"/>
                <w:sz w:val="22"/>
                <w:szCs w:val="22"/>
                <w:lang w:eastAsia="en-US"/>
              </w:rPr>
              <w:t xml:space="preserve">the </w:t>
            </w:r>
            <w:r w:rsidRPr="005268F4">
              <w:rPr>
                <w:rFonts w:ascii="Arial" w:eastAsiaTheme="minorHAnsi" w:hAnsi="Arial" w:cs="Arial"/>
                <w:sz w:val="22"/>
                <w:szCs w:val="22"/>
                <w:lang w:eastAsia="en-US"/>
              </w:rPr>
              <w:t>time of vaccination.</w:t>
            </w:r>
          </w:p>
          <w:p w:rsidR="00366548" w:rsidRPr="005268F4" w:rsidRDefault="00B04A2D" w:rsidP="005268F4">
            <w:pPr>
              <w:pStyle w:val="Header"/>
              <w:tabs>
                <w:tab w:val="left" w:pos="720"/>
              </w:tabs>
              <w:spacing w:before="120" w:after="120"/>
              <w:rPr>
                <w:rFonts w:ascii="Arial" w:eastAsiaTheme="minorHAnsi" w:hAnsi="Arial" w:cs="Arial"/>
                <w:sz w:val="22"/>
                <w:szCs w:val="22"/>
                <w:lang w:eastAsia="en-US"/>
              </w:rPr>
            </w:pPr>
            <w:r w:rsidRPr="005268F4">
              <w:rPr>
                <w:rFonts w:ascii="Arial" w:eastAsiaTheme="minorHAnsi" w:hAnsi="Arial" w:cs="Arial"/>
                <w:sz w:val="22"/>
                <w:szCs w:val="22"/>
                <w:lang w:eastAsia="en-US"/>
              </w:rPr>
              <w:t>Minor illnesses without fever or systemic upset are not valid reasons to postpone immunisation. If an individual is acutely unwell, immunisation may be postponed un</w:t>
            </w:r>
            <w:r w:rsidR="00870761" w:rsidRPr="005268F4">
              <w:rPr>
                <w:rFonts w:ascii="Arial" w:eastAsiaTheme="minorHAnsi" w:hAnsi="Arial" w:cs="Arial"/>
                <w:sz w:val="22"/>
                <w:szCs w:val="22"/>
                <w:lang w:eastAsia="en-US"/>
              </w:rPr>
              <w:t xml:space="preserve">til they have fully recovered. </w:t>
            </w:r>
          </w:p>
          <w:p w:rsidR="005232B8" w:rsidRPr="005268F4" w:rsidRDefault="005232B8" w:rsidP="005268F4">
            <w:pPr>
              <w:pStyle w:val="Header"/>
              <w:tabs>
                <w:tab w:val="left" w:pos="720"/>
              </w:tabs>
              <w:spacing w:before="120"/>
              <w:rPr>
                <w:rFonts w:ascii="Arial" w:eastAsiaTheme="minorHAnsi" w:hAnsi="Arial" w:cs="Arial"/>
                <w:sz w:val="22"/>
                <w:szCs w:val="22"/>
                <w:lang w:eastAsia="en-US"/>
              </w:rPr>
            </w:pPr>
            <w:r w:rsidRPr="005268F4">
              <w:rPr>
                <w:rFonts w:ascii="Arial" w:eastAsiaTheme="minorHAnsi" w:hAnsi="Arial" w:cs="Arial"/>
                <w:sz w:val="22"/>
                <w:szCs w:val="22"/>
                <w:lang w:eastAsia="en-US"/>
              </w:rPr>
              <w:t>Wherever possible, the same DTaP-containing vaccine product should be used for all three doses of the primary vaccine course. If this is not possible, whichever primary vaccine is available (Pediacel</w:t>
            </w:r>
            <w:r w:rsidRPr="005268F4">
              <w:rPr>
                <w:rFonts w:ascii="Arial" w:eastAsiaTheme="minorHAnsi" w:hAnsi="Arial" w:cs="Arial"/>
                <w:sz w:val="22"/>
                <w:szCs w:val="22"/>
                <w:vertAlign w:val="superscript"/>
                <w:lang w:eastAsia="en-US"/>
              </w:rPr>
              <w:t>®</w:t>
            </w:r>
            <w:r w:rsidRPr="005268F4">
              <w:rPr>
                <w:rFonts w:ascii="Arial" w:eastAsiaTheme="minorHAnsi" w:hAnsi="Arial" w:cs="Arial"/>
                <w:sz w:val="22"/>
                <w:szCs w:val="22"/>
                <w:lang w:eastAsia="en-US"/>
              </w:rPr>
              <w:t xml:space="preserve"> or Infanrix</w:t>
            </w:r>
            <w:r w:rsidRPr="005268F4">
              <w:rPr>
                <w:rFonts w:ascii="Arial" w:eastAsiaTheme="minorHAnsi" w:hAnsi="Arial" w:cs="Arial"/>
                <w:sz w:val="22"/>
                <w:szCs w:val="22"/>
                <w:vertAlign w:val="superscript"/>
                <w:lang w:eastAsia="en-US"/>
              </w:rPr>
              <w:t>®</w:t>
            </w:r>
            <w:r w:rsidRPr="005268F4">
              <w:rPr>
                <w:rFonts w:ascii="Arial" w:eastAsiaTheme="minorHAnsi" w:hAnsi="Arial" w:cs="Arial"/>
                <w:sz w:val="22"/>
                <w:szCs w:val="22"/>
                <w:lang w:eastAsia="en-US"/>
              </w:rPr>
              <w:t>-IPV+Hib) should be used. Vaccination should not be delayed because the vaccine used for previous doses is unavailable or not known.</w:t>
            </w:r>
          </w:p>
          <w:p w:rsidR="0007046F" w:rsidRPr="005268F4" w:rsidRDefault="0007046F" w:rsidP="00641D94">
            <w:pPr>
              <w:pStyle w:val="CommentText"/>
              <w:ind w:right="-108"/>
              <w:rPr>
                <w:rFonts w:eastAsiaTheme="minorHAnsi" w:cs="Arial"/>
                <w:sz w:val="22"/>
                <w:szCs w:val="22"/>
                <w:lang w:eastAsia="en-US"/>
              </w:rPr>
            </w:pPr>
            <w:r w:rsidRPr="005268F4">
              <w:rPr>
                <w:rFonts w:eastAsiaTheme="minorHAnsi" w:cs="Arial"/>
                <w:sz w:val="22"/>
                <w:szCs w:val="22"/>
                <w:lang w:eastAsia="en-US"/>
              </w:rPr>
              <w:lastRenderedPageBreak/>
              <w:t>Children coming to the UK who have a history of completing immunisation in their country of origin may not have been offered protection against all the antigens currently used in the UK. They may not have received Hib-containing vacci</w:t>
            </w:r>
            <w:r w:rsidR="00746465" w:rsidRPr="005268F4">
              <w:rPr>
                <w:rFonts w:eastAsiaTheme="minorHAnsi" w:cs="Arial"/>
                <w:sz w:val="22"/>
                <w:szCs w:val="22"/>
                <w:lang w:eastAsia="en-US"/>
              </w:rPr>
              <w:t>nes in their country of origin</w:t>
            </w:r>
            <w:r w:rsidR="00641D94">
              <w:rPr>
                <w:rFonts w:eastAsiaTheme="minorHAnsi" w:cs="Arial"/>
                <w:sz w:val="22"/>
                <w:szCs w:val="22"/>
                <w:lang w:eastAsia="en-US"/>
              </w:rPr>
              <w:t>,</w:t>
            </w:r>
            <w:r w:rsidR="008F0751" w:rsidRPr="005268F4">
              <w:rPr>
                <w:rFonts w:eastAsiaTheme="minorHAnsi" w:cs="Arial"/>
                <w:sz w:val="22"/>
                <w:szCs w:val="22"/>
                <w:lang w:eastAsia="en-US"/>
              </w:rPr>
              <w:t xml:space="preserve"> see:</w:t>
            </w:r>
            <w:r w:rsidR="00641D94">
              <w:rPr>
                <w:rFonts w:eastAsiaTheme="minorHAnsi" w:cs="Arial"/>
                <w:sz w:val="22"/>
                <w:szCs w:val="22"/>
                <w:lang w:eastAsia="en-US"/>
              </w:rPr>
              <w:t xml:space="preserve"> </w:t>
            </w:r>
            <w:hyperlink r:id="rId42" w:history="1">
              <w:r w:rsidR="00E7248E" w:rsidRPr="005268F4">
                <w:rPr>
                  <w:rStyle w:val="Hyperlink"/>
                  <w:rFonts w:eastAsiaTheme="minorHAnsi" w:cs="Arial"/>
                  <w:sz w:val="22"/>
                  <w:szCs w:val="22"/>
                  <w:lang w:eastAsia="en-US"/>
                </w:rPr>
                <w:t>http://apps.who.int/immunization_monitoring/globalsummary/</w:t>
              </w:r>
            </w:hyperlink>
            <w:r w:rsidR="00E7248E" w:rsidRPr="005268F4">
              <w:rPr>
                <w:rFonts w:eastAsiaTheme="minorHAnsi" w:cs="Arial"/>
                <w:sz w:val="22"/>
                <w:szCs w:val="22"/>
                <w:lang w:eastAsia="en-US"/>
              </w:rPr>
              <w:t xml:space="preserve"> </w:t>
            </w:r>
          </w:p>
          <w:p w:rsidR="001E7144" w:rsidRPr="005268F4" w:rsidRDefault="0007046F" w:rsidP="005268F4">
            <w:pPr>
              <w:spacing w:after="120"/>
              <w:rPr>
                <w:rFonts w:eastAsiaTheme="minorHAnsi" w:cs="Arial"/>
                <w:sz w:val="22"/>
                <w:szCs w:val="22"/>
                <w:lang w:eastAsia="en-US"/>
              </w:rPr>
            </w:pPr>
            <w:r w:rsidRPr="005268F4">
              <w:rPr>
                <w:rFonts w:eastAsiaTheme="minorHAnsi" w:cs="Arial"/>
                <w:sz w:val="22"/>
                <w:szCs w:val="22"/>
                <w:lang w:eastAsia="en-US"/>
              </w:rPr>
              <w:t xml:space="preserve">Children coming from developing countries, from areas of conflict, or from hard-to-reach population groups may not have been fully immunised. </w:t>
            </w:r>
          </w:p>
          <w:p w:rsidR="0007046F" w:rsidRPr="005268F4" w:rsidRDefault="0007046F" w:rsidP="005268F4">
            <w:pPr>
              <w:spacing w:after="120"/>
              <w:rPr>
                <w:rFonts w:eastAsiaTheme="minorHAnsi" w:cs="Arial"/>
                <w:sz w:val="22"/>
                <w:szCs w:val="22"/>
                <w:lang w:eastAsia="en-US"/>
              </w:rPr>
            </w:pPr>
            <w:r w:rsidRPr="005268F4">
              <w:rPr>
                <w:rFonts w:eastAsiaTheme="minorHAnsi" w:cs="Arial"/>
                <w:sz w:val="22"/>
                <w:szCs w:val="22"/>
                <w:lang w:eastAsia="en-US"/>
              </w:rPr>
              <w:t xml:space="preserve">Where there is no reliable history of previous immunisation, it should be assumed that </w:t>
            </w:r>
            <w:r w:rsidR="001E7144" w:rsidRPr="005268F4">
              <w:rPr>
                <w:rFonts w:eastAsiaTheme="minorHAnsi" w:cs="Arial"/>
                <w:sz w:val="22"/>
                <w:szCs w:val="22"/>
                <w:lang w:eastAsia="en-US"/>
              </w:rPr>
              <w:t xml:space="preserve">individuals </w:t>
            </w:r>
            <w:r w:rsidRPr="005268F4">
              <w:rPr>
                <w:rFonts w:eastAsiaTheme="minorHAnsi" w:cs="Arial"/>
                <w:sz w:val="22"/>
                <w:szCs w:val="22"/>
                <w:lang w:eastAsia="en-US"/>
              </w:rPr>
              <w:t>are unimmunised and the full UK recommendations should be followed</w:t>
            </w:r>
          </w:p>
          <w:p w:rsidR="00746465" w:rsidRPr="005268F4" w:rsidRDefault="00746465" w:rsidP="005268F4">
            <w:pPr>
              <w:spacing w:after="120"/>
              <w:rPr>
                <w:rFonts w:eastAsiaTheme="minorHAnsi" w:cs="Arial"/>
                <w:sz w:val="22"/>
                <w:szCs w:val="22"/>
                <w:lang w:eastAsia="en-US"/>
              </w:rPr>
            </w:pPr>
            <w:r w:rsidRPr="005268F4">
              <w:rPr>
                <w:rFonts w:eastAsiaTheme="minorHAnsi" w:cs="Arial"/>
                <w:sz w:val="22"/>
                <w:szCs w:val="22"/>
                <w:lang w:eastAsia="en-US"/>
              </w:rPr>
              <w:t>Un- or incompletely immunised children require one dose of Hib over the age of one year. It does not matter if the child receives additional Hib at subsequent appointments if th</w:t>
            </w:r>
            <w:r w:rsidR="005268F4" w:rsidRPr="005268F4">
              <w:rPr>
                <w:rFonts w:eastAsiaTheme="minorHAnsi" w:cs="Arial"/>
                <w:sz w:val="22"/>
                <w:szCs w:val="22"/>
                <w:lang w:eastAsia="en-US"/>
              </w:rPr>
              <w:t>e DTaP/IPV/Hib vaccine is given</w:t>
            </w:r>
            <w:r w:rsidRPr="005268F4">
              <w:rPr>
                <w:rFonts w:eastAsiaTheme="minorHAnsi" w:cs="Arial"/>
                <w:sz w:val="22"/>
                <w:szCs w:val="22"/>
                <w:lang w:eastAsia="en-US"/>
              </w:rPr>
              <w:t>.</w:t>
            </w:r>
          </w:p>
          <w:p w:rsidR="009065EB" w:rsidRPr="005268F4" w:rsidRDefault="009065EB" w:rsidP="005268F4">
            <w:pPr>
              <w:pStyle w:val="Header"/>
              <w:tabs>
                <w:tab w:val="left" w:pos="720"/>
              </w:tabs>
              <w:spacing w:before="120" w:after="120"/>
              <w:rPr>
                <w:rStyle w:val="Hyperlink"/>
                <w:rFonts w:ascii="Arial" w:hAnsi="Arial" w:cs="Arial"/>
                <w:color w:val="auto"/>
                <w:sz w:val="22"/>
                <w:szCs w:val="22"/>
                <w:u w:val="none"/>
              </w:rPr>
            </w:pPr>
            <w:r w:rsidRPr="005268F4">
              <w:rPr>
                <w:rFonts w:ascii="Arial" w:eastAsiaTheme="minorHAnsi" w:hAnsi="Arial" w:cs="Arial"/>
                <w:sz w:val="22"/>
                <w:szCs w:val="22"/>
                <w:lang w:eastAsia="en-US"/>
              </w:rPr>
              <w:t xml:space="preserve">If a person has received vaccination for a tetanus-prone wound with the same vaccine as due for routine immunisation and </w:t>
            </w:r>
            <w:r w:rsidR="005A0AB2" w:rsidRPr="005268F4">
              <w:rPr>
                <w:rFonts w:ascii="Arial" w:eastAsiaTheme="minorHAnsi" w:hAnsi="Arial" w:cs="Arial"/>
                <w:sz w:val="22"/>
                <w:szCs w:val="22"/>
                <w:lang w:eastAsia="en-US"/>
              </w:rPr>
              <w:t xml:space="preserve">it </w:t>
            </w:r>
            <w:r w:rsidRPr="005268F4">
              <w:rPr>
                <w:rFonts w:ascii="Arial" w:eastAsiaTheme="minorHAnsi" w:hAnsi="Arial" w:cs="Arial"/>
                <w:sz w:val="22"/>
                <w:szCs w:val="22"/>
                <w:lang w:eastAsia="en-US"/>
              </w:rPr>
              <w:t xml:space="preserve">was administered at an appropriate interval then the routine </w:t>
            </w:r>
            <w:r w:rsidR="005A0AB2" w:rsidRPr="005268F4">
              <w:rPr>
                <w:rFonts w:ascii="Arial" w:eastAsiaTheme="minorHAnsi" w:hAnsi="Arial" w:cs="Arial"/>
                <w:sz w:val="22"/>
                <w:szCs w:val="22"/>
                <w:lang w:eastAsia="en-US"/>
              </w:rPr>
              <w:t>immunisation is</w:t>
            </w:r>
            <w:r w:rsidRPr="005268F4">
              <w:rPr>
                <w:rFonts w:ascii="Arial" w:eastAsiaTheme="minorHAnsi" w:hAnsi="Arial" w:cs="Arial"/>
                <w:sz w:val="22"/>
                <w:szCs w:val="22"/>
                <w:lang w:eastAsia="en-US"/>
              </w:rPr>
              <w:t xml:space="preserve"> not required, refer to advice in </w:t>
            </w:r>
            <w:r w:rsidR="005C0178" w:rsidRPr="005268F4">
              <w:rPr>
                <w:rFonts w:ascii="Arial" w:eastAsiaTheme="minorHAnsi" w:hAnsi="Arial" w:cs="Arial"/>
                <w:sz w:val="22"/>
                <w:szCs w:val="22"/>
                <w:lang w:eastAsia="en-US"/>
              </w:rPr>
              <w:t xml:space="preserve">“The </w:t>
            </w:r>
            <w:r w:rsidRPr="005268F4">
              <w:rPr>
                <w:rFonts w:ascii="Arial" w:eastAsiaTheme="minorHAnsi" w:hAnsi="Arial" w:cs="Arial"/>
                <w:sz w:val="22"/>
                <w:szCs w:val="22"/>
                <w:lang w:eastAsia="en-US"/>
              </w:rPr>
              <w:t>Green Book</w:t>
            </w:r>
            <w:r w:rsidR="005C0178" w:rsidRPr="005268F4">
              <w:rPr>
                <w:rFonts w:ascii="Arial" w:eastAsiaTheme="minorHAnsi" w:hAnsi="Arial" w:cs="Arial"/>
                <w:sz w:val="22"/>
                <w:szCs w:val="22"/>
                <w:lang w:eastAsia="en-US"/>
              </w:rPr>
              <w:t>”</w:t>
            </w:r>
            <w:r w:rsidRPr="005268F4">
              <w:rPr>
                <w:rFonts w:ascii="Arial" w:eastAsiaTheme="minorHAnsi" w:hAnsi="Arial" w:cs="Arial"/>
                <w:sz w:val="22"/>
                <w:szCs w:val="22"/>
                <w:lang w:eastAsia="en-US"/>
              </w:rPr>
              <w:t xml:space="preserve"> </w:t>
            </w:r>
            <w:hyperlink r:id="rId43" w:history="1">
              <w:r w:rsidRPr="005268F4">
                <w:rPr>
                  <w:rStyle w:val="Hyperlink"/>
                  <w:rFonts w:ascii="Arial" w:eastAsiaTheme="minorHAnsi" w:hAnsi="Arial" w:cs="Arial"/>
                  <w:sz w:val="22"/>
                  <w:szCs w:val="22"/>
                  <w:lang w:eastAsia="en-US"/>
                </w:rPr>
                <w:t>Chapter 30</w:t>
              </w:r>
            </w:hyperlink>
            <w:r w:rsidRPr="005268F4">
              <w:rPr>
                <w:rStyle w:val="Hyperlink"/>
                <w:rFonts w:ascii="Arial" w:hAnsi="Arial" w:cs="Arial"/>
                <w:color w:val="auto"/>
                <w:sz w:val="22"/>
                <w:szCs w:val="22"/>
                <w:u w:val="none"/>
              </w:rPr>
              <w:t>.</w:t>
            </w:r>
          </w:p>
          <w:p w:rsidR="009E2235" w:rsidRPr="005268F4" w:rsidRDefault="009E2235" w:rsidP="005268F4">
            <w:pPr>
              <w:spacing w:before="120" w:after="120"/>
              <w:rPr>
                <w:rFonts w:eastAsiaTheme="minorHAnsi" w:cs="Arial"/>
                <w:sz w:val="22"/>
                <w:szCs w:val="22"/>
                <w:lang w:eastAsia="en-US"/>
              </w:rPr>
            </w:pPr>
            <w:r w:rsidRPr="005268F4">
              <w:rPr>
                <w:rFonts w:eastAsiaTheme="minorHAnsi" w:cs="Arial"/>
                <w:sz w:val="22"/>
                <w:szCs w:val="22"/>
                <w:lang w:eastAsia="en-US"/>
              </w:rPr>
              <w:t xml:space="preserve">Tetanus vaccine given at the time of a tetanus-prone injury may not boost immunity early enough to give additional protection within the incubation period of tetanus. Therefore, tetanus vaccine is not considered adequate for treating a tetanus-prone wound. However, this provides an opportunity to ensure that the individual is protected against future exposure. Individuals may also require human tetanus immunoglobulin (see “The Green Book” </w:t>
            </w:r>
            <w:hyperlink r:id="rId44" w:history="1">
              <w:r w:rsidR="00D555BB" w:rsidRPr="005268F4">
                <w:rPr>
                  <w:rStyle w:val="Hyperlink"/>
                  <w:rFonts w:eastAsiaTheme="minorHAnsi" w:cs="Arial"/>
                  <w:sz w:val="22"/>
                  <w:szCs w:val="22"/>
                  <w:lang w:eastAsia="en-US"/>
                </w:rPr>
                <w:t>Chapter 30</w:t>
              </w:r>
            </w:hyperlink>
            <w:r w:rsidRPr="005268F4">
              <w:rPr>
                <w:rFonts w:eastAsiaTheme="minorHAnsi" w:cs="Arial"/>
                <w:sz w:val="22"/>
                <w:szCs w:val="22"/>
                <w:lang w:eastAsia="en-US"/>
              </w:rPr>
              <w:t>).</w:t>
            </w:r>
          </w:p>
        </w:tc>
      </w:tr>
      <w:tr w:rsidR="00A956FD" w:rsidRPr="00A956FD"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rsidR="002545E8" w:rsidRDefault="002545E8" w:rsidP="007E045E">
            <w:pPr>
              <w:spacing w:before="120" w:after="120"/>
              <w:rPr>
                <w:rFonts w:cs="Arial"/>
                <w:b/>
                <w:sz w:val="22"/>
                <w:szCs w:val="22"/>
              </w:rPr>
            </w:pPr>
            <w:r w:rsidRPr="00A60816">
              <w:rPr>
                <w:rFonts w:cs="Arial"/>
                <w:b/>
                <w:sz w:val="22"/>
                <w:szCs w:val="22"/>
              </w:rPr>
              <w:lastRenderedPageBreak/>
              <w:t>Records</w:t>
            </w:r>
          </w:p>
          <w:p w:rsidR="008F0751" w:rsidRDefault="008F0751" w:rsidP="007E045E">
            <w:pPr>
              <w:spacing w:before="120" w:after="120"/>
              <w:rPr>
                <w:rFonts w:cs="Arial"/>
                <w:b/>
                <w:sz w:val="22"/>
                <w:szCs w:val="22"/>
              </w:rPr>
            </w:pPr>
          </w:p>
          <w:p w:rsidR="008F0751" w:rsidRPr="008F0751" w:rsidRDefault="008F0751" w:rsidP="007E045E">
            <w:pPr>
              <w:spacing w:before="120" w:after="120"/>
              <w:contextualSpacing/>
              <w:rPr>
                <w:rFonts w:cs="Arial"/>
                <w:sz w:val="22"/>
                <w:szCs w:val="22"/>
              </w:rPr>
            </w:pPr>
          </w:p>
        </w:tc>
        <w:tc>
          <w:tcPr>
            <w:tcW w:w="6946" w:type="dxa"/>
          </w:tcPr>
          <w:p w:rsidR="00094CC5" w:rsidRPr="002A0E51" w:rsidRDefault="00094CC5" w:rsidP="000E478E">
            <w:pPr>
              <w:overflowPunct/>
              <w:autoSpaceDE/>
              <w:autoSpaceDN/>
              <w:adjustRightInd/>
              <w:spacing w:before="120"/>
              <w:ind w:left="34"/>
              <w:textAlignment w:val="auto"/>
              <w:rPr>
                <w:rFonts w:cs="Arial"/>
                <w:sz w:val="22"/>
                <w:szCs w:val="22"/>
              </w:rPr>
            </w:pPr>
            <w:r w:rsidRPr="002A0E51">
              <w:rPr>
                <w:rFonts w:cs="Arial"/>
                <w:sz w:val="22"/>
                <w:szCs w:val="22"/>
              </w:rPr>
              <w:t xml:space="preserve">Record: </w:t>
            </w:r>
          </w:p>
          <w:p w:rsidR="001968CC" w:rsidRPr="002A0E51" w:rsidRDefault="00C4034B" w:rsidP="00080471">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2A0E51">
              <w:rPr>
                <w:rFonts w:cs="Arial"/>
                <w:sz w:val="22"/>
                <w:szCs w:val="22"/>
              </w:rPr>
              <w:t>t</w:t>
            </w:r>
            <w:r w:rsidR="001968CC" w:rsidRPr="002A0E51">
              <w:rPr>
                <w:rFonts w:cs="Arial"/>
                <w:sz w:val="22"/>
                <w:szCs w:val="22"/>
              </w:rPr>
              <w:t>hat va</w:t>
            </w:r>
            <w:r w:rsidR="00EB5536" w:rsidRPr="002A0E51">
              <w:rPr>
                <w:rFonts w:cs="Arial"/>
                <w:sz w:val="22"/>
                <w:szCs w:val="22"/>
              </w:rPr>
              <w:t>lid informed consent was given;</w:t>
            </w:r>
          </w:p>
          <w:p w:rsidR="001968CC" w:rsidRPr="002A0E51" w:rsidRDefault="00C4034B" w:rsidP="00080471">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2A0E51">
              <w:rPr>
                <w:rFonts w:cs="Arial"/>
                <w:sz w:val="22"/>
                <w:szCs w:val="22"/>
              </w:rPr>
              <w:t>n</w:t>
            </w:r>
            <w:r w:rsidR="001968CC" w:rsidRPr="002A0E51">
              <w:rPr>
                <w:rFonts w:cs="Arial"/>
                <w:sz w:val="22"/>
                <w:szCs w:val="22"/>
              </w:rPr>
              <w:t xml:space="preserve">ame of </w:t>
            </w:r>
            <w:r w:rsidR="00896281" w:rsidRPr="002A0E51">
              <w:rPr>
                <w:rFonts w:cs="Arial"/>
                <w:sz w:val="22"/>
                <w:szCs w:val="22"/>
              </w:rPr>
              <w:t>individual</w:t>
            </w:r>
            <w:r w:rsidR="001968CC" w:rsidRPr="002A0E51">
              <w:rPr>
                <w:rFonts w:cs="Arial"/>
                <w:sz w:val="22"/>
                <w:szCs w:val="22"/>
              </w:rPr>
              <w:t xml:space="preserve">, address, date of birth and GP with whom the </w:t>
            </w:r>
            <w:r w:rsidR="00896281" w:rsidRPr="002A0E51">
              <w:rPr>
                <w:rFonts w:cs="Arial"/>
                <w:sz w:val="22"/>
                <w:szCs w:val="22"/>
              </w:rPr>
              <w:t>individual</w:t>
            </w:r>
            <w:r w:rsidR="00EB5536" w:rsidRPr="002A0E51">
              <w:rPr>
                <w:rFonts w:cs="Arial"/>
                <w:sz w:val="22"/>
                <w:szCs w:val="22"/>
              </w:rPr>
              <w:t xml:space="preserve"> is registered</w:t>
            </w:r>
          </w:p>
          <w:p w:rsidR="001968CC" w:rsidRPr="002A0E51" w:rsidRDefault="00C4034B" w:rsidP="00080471">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2A0E51">
              <w:rPr>
                <w:rFonts w:cs="Arial"/>
                <w:sz w:val="22"/>
                <w:szCs w:val="22"/>
              </w:rPr>
              <w:t>n</w:t>
            </w:r>
            <w:r w:rsidR="001968CC" w:rsidRPr="002A0E51">
              <w:rPr>
                <w:rFonts w:cs="Arial"/>
                <w:sz w:val="22"/>
                <w:szCs w:val="22"/>
              </w:rPr>
              <w:t xml:space="preserve">ame of </w:t>
            </w:r>
            <w:r w:rsidR="00EB5536" w:rsidRPr="002A0E51">
              <w:rPr>
                <w:rFonts w:cs="Arial"/>
                <w:sz w:val="22"/>
                <w:szCs w:val="22"/>
              </w:rPr>
              <w:t>immuniser</w:t>
            </w:r>
          </w:p>
          <w:p w:rsidR="0025304B" w:rsidRPr="002A0E51" w:rsidRDefault="00C4034B" w:rsidP="00080471">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2A0E51">
              <w:rPr>
                <w:rFonts w:cs="Arial"/>
                <w:sz w:val="22"/>
                <w:szCs w:val="22"/>
              </w:rPr>
              <w:t>n</w:t>
            </w:r>
            <w:r w:rsidR="0025304B" w:rsidRPr="002A0E51">
              <w:rPr>
                <w:rFonts w:cs="Arial"/>
                <w:sz w:val="22"/>
                <w:szCs w:val="22"/>
              </w:rPr>
              <w:t>ame and brand of vaccine</w:t>
            </w:r>
          </w:p>
          <w:p w:rsidR="001968CC" w:rsidRPr="002A0E51" w:rsidRDefault="00C4034B" w:rsidP="00080471">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2A0E51">
              <w:rPr>
                <w:rFonts w:cs="Arial"/>
                <w:sz w:val="22"/>
                <w:szCs w:val="22"/>
              </w:rPr>
              <w:t>d</w:t>
            </w:r>
            <w:r w:rsidR="001968CC" w:rsidRPr="002A0E51">
              <w:rPr>
                <w:rFonts w:cs="Arial"/>
                <w:sz w:val="22"/>
                <w:szCs w:val="22"/>
              </w:rPr>
              <w:t xml:space="preserve">ate of </w:t>
            </w:r>
            <w:r w:rsidR="00CA02B5" w:rsidRPr="002A0E51">
              <w:rPr>
                <w:rFonts w:cs="Arial"/>
                <w:sz w:val="22"/>
                <w:szCs w:val="22"/>
              </w:rPr>
              <w:t>administration</w:t>
            </w:r>
          </w:p>
          <w:p w:rsidR="0025304B" w:rsidRPr="002A0E51" w:rsidRDefault="00C4034B" w:rsidP="00080471">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2A0E51">
              <w:rPr>
                <w:rFonts w:cs="Arial"/>
                <w:sz w:val="22"/>
                <w:szCs w:val="22"/>
              </w:rPr>
              <w:t>d</w:t>
            </w:r>
            <w:r w:rsidR="0025304B" w:rsidRPr="002A0E51">
              <w:rPr>
                <w:rFonts w:cs="Arial"/>
                <w:sz w:val="22"/>
                <w:szCs w:val="22"/>
              </w:rPr>
              <w:t>ose, form and rout</w:t>
            </w:r>
            <w:r w:rsidR="00EB5536" w:rsidRPr="002A0E51">
              <w:rPr>
                <w:rFonts w:cs="Arial"/>
                <w:sz w:val="22"/>
                <w:szCs w:val="22"/>
              </w:rPr>
              <w:t>e of administration of vaccine</w:t>
            </w:r>
          </w:p>
          <w:p w:rsidR="001968CC" w:rsidRPr="002A0E51" w:rsidRDefault="00C4034B" w:rsidP="00080471">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2A0E51">
              <w:rPr>
                <w:rFonts w:cs="Arial"/>
                <w:sz w:val="22"/>
                <w:szCs w:val="22"/>
              </w:rPr>
              <w:t>q</w:t>
            </w:r>
            <w:r w:rsidR="001968CC" w:rsidRPr="002A0E51">
              <w:rPr>
                <w:rFonts w:cs="Arial"/>
                <w:sz w:val="22"/>
                <w:szCs w:val="22"/>
              </w:rPr>
              <w:t xml:space="preserve">uantity </w:t>
            </w:r>
            <w:r w:rsidR="00CA02B5" w:rsidRPr="002A0E51">
              <w:rPr>
                <w:rFonts w:cs="Arial"/>
                <w:sz w:val="22"/>
                <w:szCs w:val="22"/>
              </w:rPr>
              <w:t>administered</w:t>
            </w:r>
          </w:p>
          <w:p w:rsidR="001968CC" w:rsidRPr="002A0E51" w:rsidRDefault="00C4034B" w:rsidP="00080471">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2A0E51">
              <w:rPr>
                <w:rFonts w:cs="Arial"/>
                <w:sz w:val="22"/>
                <w:szCs w:val="22"/>
              </w:rPr>
              <w:t>b</w:t>
            </w:r>
            <w:r w:rsidR="00EB5536" w:rsidRPr="002A0E51">
              <w:rPr>
                <w:rFonts w:cs="Arial"/>
                <w:sz w:val="22"/>
                <w:szCs w:val="22"/>
              </w:rPr>
              <w:t>atch number and expiry date</w:t>
            </w:r>
          </w:p>
          <w:p w:rsidR="00CA26D2" w:rsidRPr="002A0E51" w:rsidRDefault="00C4034B" w:rsidP="00080471">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2A0E51">
              <w:rPr>
                <w:rFonts w:cs="Arial"/>
                <w:sz w:val="22"/>
                <w:szCs w:val="22"/>
              </w:rPr>
              <w:t>a</w:t>
            </w:r>
            <w:r w:rsidR="00EB5536" w:rsidRPr="002A0E51">
              <w:rPr>
                <w:rFonts w:cs="Arial"/>
                <w:sz w:val="22"/>
                <w:szCs w:val="22"/>
              </w:rPr>
              <w:t>natomical site of vaccination</w:t>
            </w:r>
          </w:p>
          <w:p w:rsidR="001968CC" w:rsidRPr="002A0E51" w:rsidRDefault="00C4034B" w:rsidP="00080471">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2A0E51">
              <w:rPr>
                <w:rFonts w:cs="Arial"/>
                <w:sz w:val="22"/>
                <w:szCs w:val="22"/>
              </w:rPr>
              <w:t>a</w:t>
            </w:r>
            <w:r w:rsidR="00EB5536" w:rsidRPr="002A0E51">
              <w:rPr>
                <w:rFonts w:cs="Arial"/>
                <w:sz w:val="22"/>
                <w:szCs w:val="22"/>
              </w:rPr>
              <w:t>dvice given,</w:t>
            </w:r>
            <w:r w:rsidR="00CA02B5" w:rsidRPr="002A0E51">
              <w:rPr>
                <w:rFonts w:cs="Arial"/>
                <w:sz w:val="22"/>
                <w:szCs w:val="22"/>
              </w:rPr>
              <w:t xml:space="preserve"> including a</w:t>
            </w:r>
            <w:r w:rsidR="001968CC" w:rsidRPr="002A0E51">
              <w:rPr>
                <w:rFonts w:cs="Arial"/>
                <w:sz w:val="22"/>
                <w:szCs w:val="22"/>
              </w:rPr>
              <w:t>dvic</w:t>
            </w:r>
            <w:r w:rsidR="00EC56F9" w:rsidRPr="002A0E51">
              <w:rPr>
                <w:rFonts w:cs="Arial"/>
                <w:sz w:val="22"/>
                <w:szCs w:val="22"/>
              </w:rPr>
              <w:t xml:space="preserve">e given if excluded or declines </w:t>
            </w:r>
            <w:r w:rsidR="00EB5536" w:rsidRPr="002A0E51">
              <w:rPr>
                <w:rFonts w:cs="Arial"/>
                <w:sz w:val="22"/>
                <w:szCs w:val="22"/>
              </w:rPr>
              <w:t>immunisation</w:t>
            </w:r>
          </w:p>
          <w:p w:rsidR="001968CC" w:rsidRPr="002A0E51" w:rsidRDefault="00C4034B" w:rsidP="00080471">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2A0E51">
              <w:rPr>
                <w:rFonts w:cs="Arial"/>
                <w:sz w:val="22"/>
                <w:szCs w:val="22"/>
              </w:rPr>
              <w:t>d</w:t>
            </w:r>
            <w:r w:rsidR="001968CC" w:rsidRPr="002A0E51">
              <w:rPr>
                <w:rFonts w:cs="Arial"/>
                <w:sz w:val="22"/>
                <w:szCs w:val="22"/>
              </w:rPr>
              <w:t xml:space="preserve">etails of any </w:t>
            </w:r>
            <w:r w:rsidR="00CA02B5" w:rsidRPr="002A0E51">
              <w:rPr>
                <w:rFonts w:cs="Arial"/>
                <w:sz w:val="22"/>
                <w:szCs w:val="22"/>
              </w:rPr>
              <w:t>a</w:t>
            </w:r>
            <w:r w:rsidR="001968CC" w:rsidRPr="002A0E51">
              <w:rPr>
                <w:rFonts w:cs="Arial"/>
                <w:sz w:val="22"/>
                <w:szCs w:val="22"/>
              </w:rPr>
              <w:t xml:space="preserve">dverse </w:t>
            </w:r>
            <w:r w:rsidR="00CA02B5" w:rsidRPr="002A0E51">
              <w:rPr>
                <w:rFonts w:cs="Arial"/>
                <w:sz w:val="22"/>
                <w:szCs w:val="22"/>
              </w:rPr>
              <w:t>d</w:t>
            </w:r>
            <w:r w:rsidR="001968CC" w:rsidRPr="002A0E51">
              <w:rPr>
                <w:rFonts w:cs="Arial"/>
                <w:sz w:val="22"/>
                <w:szCs w:val="22"/>
              </w:rPr>
              <w:t xml:space="preserve">rug </w:t>
            </w:r>
            <w:r w:rsidR="00CA02B5" w:rsidRPr="002A0E51">
              <w:rPr>
                <w:rFonts w:cs="Arial"/>
                <w:sz w:val="22"/>
                <w:szCs w:val="22"/>
              </w:rPr>
              <w:t>r</w:t>
            </w:r>
            <w:r w:rsidR="001968CC" w:rsidRPr="002A0E51">
              <w:rPr>
                <w:rFonts w:cs="Arial"/>
                <w:sz w:val="22"/>
                <w:szCs w:val="22"/>
              </w:rPr>
              <w:t>eactions an</w:t>
            </w:r>
            <w:r w:rsidR="00EB5536" w:rsidRPr="002A0E51">
              <w:rPr>
                <w:rFonts w:cs="Arial"/>
                <w:sz w:val="22"/>
                <w:szCs w:val="22"/>
              </w:rPr>
              <w:t>d actions taken</w:t>
            </w:r>
          </w:p>
          <w:p w:rsidR="0025304B" w:rsidRPr="002A0E51" w:rsidRDefault="00C4034B" w:rsidP="00080471">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2A0E51">
              <w:rPr>
                <w:rFonts w:cs="Arial"/>
                <w:sz w:val="22"/>
                <w:szCs w:val="22"/>
              </w:rPr>
              <w:t xml:space="preserve">record </w:t>
            </w:r>
            <w:r w:rsidR="001968CC" w:rsidRPr="002A0E51">
              <w:rPr>
                <w:rFonts w:cs="Arial"/>
                <w:sz w:val="22"/>
                <w:szCs w:val="22"/>
              </w:rPr>
              <w:t>supplied vi</w:t>
            </w:r>
            <w:r w:rsidR="00EB5536" w:rsidRPr="002A0E51">
              <w:rPr>
                <w:rFonts w:cs="Arial"/>
                <w:sz w:val="22"/>
                <w:szCs w:val="22"/>
              </w:rPr>
              <w:t>a Patient Group Direction (PGD)</w:t>
            </w:r>
          </w:p>
          <w:p w:rsidR="0085554B" w:rsidRPr="002A0E51" w:rsidRDefault="00C4034B" w:rsidP="00080471">
            <w:pPr>
              <w:numPr>
                <w:ilvl w:val="0"/>
                <w:numId w:val="3"/>
              </w:numPr>
              <w:tabs>
                <w:tab w:val="clear" w:pos="720"/>
                <w:tab w:val="num" w:pos="504"/>
              </w:tabs>
              <w:overflowPunct/>
              <w:autoSpaceDE/>
              <w:autoSpaceDN/>
              <w:adjustRightInd/>
              <w:spacing w:before="120" w:after="120"/>
              <w:ind w:left="505" w:hanging="471"/>
              <w:textAlignment w:val="auto"/>
              <w:rPr>
                <w:rFonts w:cs="Arial"/>
                <w:sz w:val="22"/>
                <w:szCs w:val="22"/>
              </w:rPr>
            </w:pPr>
            <w:r w:rsidRPr="002A0E51">
              <w:rPr>
                <w:rFonts w:cs="Arial"/>
                <w:sz w:val="22"/>
                <w:szCs w:val="22"/>
              </w:rPr>
              <w:t>r</w:t>
            </w:r>
            <w:r w:rsidR="0025304B" w:rsidRPr="002A0E51">
              <w:rPr>
                <w:rFonts w:cs="Arial"/>
                <w:sz w:val="22"/>
                <w:szCs w:val="22"/>
              </w:rPr>
              <w:t>ecords should be signed and dated (or password controlled immunisers recor</w:t>
            </w:r>
            <w:r w:rsidR="00EB5536" w:rsidRPr="002A0E51">
              <w:rPr>
                <w:rFonts w:cs="Arial"/>
                <w:sz w:val="22"/>
                <w:szCs w:val="22"/>
              </w:rPr>
              <w:t>d on e-records)</w:t>
            </w:r>
            <w:r w:rsidR="0025304B" w:rsidRPr="002A0E51">
              <w:rPr>
                <w:rFonts w:cs="Arial"/>
                <w:sz w:val="22"/>
                <w:szCs w:val="22"/>
              </w:rPr>
              <w:t xml:space="preserve"> </w:t>
            </w:r>
          </w:p>
          <w:p w:rsidR="00132994" w:rsidRPr="002A0E51" w:rsidRDefault="0025304B" w:rsidP="006847A3">
            <w:pPr>
              <w:spacing w:before="120" w:after="120"/>
              <w:rPr>
                <w:rFonts w:cs="Arial"/>
                <w:sz w:val="22"/>
                <w:szCs w:val="22"/>
              </w:rPr>
            </w:pPr>
            <w:r w:rsidRPr="002A0E51">
              <w:rPr>
                <w:rFonts w:cs="Arial"/>
                <w:sz w:val="22"/>
                <w:szCs w:val="22"/>
              </w:rPr>
              <w:t>All records should be clear, legible and contemporaneous.</w:t>
            </w:r>
          </w:p>
          <w:p w:rsidR="000F629F" w:rsidRPr="002A0E51" w:rsidRDefault="000C248E" w:rsidP="006847A3">
            <w:pPr>
              <w:spacing w:before="120" w:after="120"/>
              <w:rPr>
                <w:rFonts w:cs="Arial"/>
                <w:sz w:val="22"/>
                <w:szCs w:val="22"/>
              </w:rPr>
            </w:pPr>
            <w:r w:rsidRPr="002A0E51">
              <w:rPr>
                <w:rFonts w:cs="Arial"/>
                <w:sz w:val="22"/>
                <w:szCs w:val="22"/>
              </w:rPr>
              <w:t xml:space="preserve">This information should be recorded in the </w:t>
            </w:r>
            <w:r w:rsidR="00896281" w:rsidRPr="002A0E51">
              <w:rPr>
                <w:rFonts w:cs="Arial"/>
                <w:sz w:val="22"/>
                <w:szCs w:val="22"/>
              </w:rPr>
              <w:t xml:space="preserve">individual’s </w:t>
            </w:r>
            <w:r w:rsidRPr="002A0E51">
              <w:rPr>
                <w:rFonts w:cs="Arial"/>
                <w:sz w:val="22"/>
                <w:szCs w:val="22"/>
              </w:rPr>
              <w:t>GP record. Where vaccine is administered outside the GP setting appropriate health records should be kept and the</w:t>
            </w:r>
            <w:r w:rsidR="00896281" w:rsidRPr="002A0E51">
              <w:rPr>
                <w:rFonts w:cs="Arial"/>
                <w:sz w:val="22"/>
                <w:szCs w:val="22"/>
              </w:rPr>
              <w:t xml:space="preserve"> individual’</w:t>
            </w:r>
            <w:r w:rsidRPr="002A0E51">
              <w:rPr>
                <w:rFonts w:cs="Arial"/>
                <w:sz w:val="22"/>
                <w:szCs w:val="22"/>
              </w:rPr>
              <w:t>s GP informed.</w:t>
            </w:r>
          </w:p>
          <w:p w:rsidR="00D57C82" w:rsidRPr="002A0E51" w:rsidRDefault="00D57C82" w:rsidP="000E478E">
            <w:pPr>
              <w:spacing w:before="120" w:after="120"/>
              <w:rPr>
                <w:rFonts w:cs="Arial"/>
                <w:sz w:val="22"/>
                <w:szCs w:val="22"/>
              </w:rPr>
            </w:pPr>
            <w:r w:rsidRPr="002A0E51">
              <w:rPr>
                <w:rFonts w:cs="Arial"/>
                <w:sz w:val="22"/>
                <w:szCs w:val="22"/>
              </w:rPr>
              <w:t>The local Child Health Information Systems team (Child Health Records Department) must be notified using the appropriate documentation/pathway when vaccine is administered to individuals under 19 years of age.</w:t>
            </w:r>
          </w:p>
          <w:p w:rsidR="002545E8" w:rsidRPr="002A0E51" w:rsidRDefault="0025304B" w:rsidP="005268F4">
            <w:pPr>
              <w:spacing w:before="120"/>
              <w:rPr>
                <w:rFonts w:cs="Arial"/>
                <w:sz w:val="22"/>
                <w:szCs w:val="22"/>
              </w:rPr>
            </w:pPr>
            <w:r w:rsidRPr="002A0E51">
              <w:rPr>
                <w:rFonts w:cs="Arial"/>
                <w:sz w:val="22"/>
                <w:szCs w:val="22"/>
              </w:rPr>
              <w:t>A record of all individuals receiving treatment under this P</w:t>
            </w:r>
            <w:r w:rsidR="000E478E" w:rsidRPr="002A0E51">
              <w:rPr>
                <w:rFonts w:cs="Arial"/>
                <w:sz w:val="22"/>
                <w:szCs w:val="22"/>
              </w:rPr>
              <w:t>GD</w:t>
            </w:r>
            <w:r w:rsidRPr="002A0E51">
              <w:rPr>
                <w:rFonts w:cs="Arial"/>
                <w:sz w:val="22"/>
                <w:szCs w:val="22"/>
              </w:rPr>
              <w:t xml:space="preserve"> should also be kept for audit purposes in</w:t>
            </w:r>
            <w:r w:rsidR="000E478E" w:rsidRPr="002A0E51">
              <w:rPr>
                <w:rFonts w:cs="Arial"/>
                <w:sz w:val="22"/>
                <w:szCs w:val="22"/>
              </w:rPr>
              <w:t xml:space="preserve"> accordance with local policy. </w:t>
            </w:r>
          </w:p>
        </w:tc>
      </w:tr>
    </w:tbl>
    <w:p w:rsidR="00B26D99" w:rsidRPr="00A60816" w:rsidRDefault="00B26D99" w:rsidP="000E478E">
      <w:pPr>
        <w:pStyle w:val="ListParagraph"/>
        <w:numPr>
          <w:ilvl w:val="0"/>
          <w:numId w:val="5"/>
        </w:numPr>
        <w:rPr>
          <w:b/>
          <w:szCs w:val="24"/>
        </w:rPr>
      </w:pPr>
      <w:r w:rsidRPr="00A60816">
        <w:rPr>
          <w:b/>
          <w:szCs w:val="24"/>
        </w:rPr>
        <w:lastRenderedPageBreak/>
        <w:t xml:space="preserve">Key </w:t>
      </w:r>
      <w:r w:rsidR="00D36470" w:rsidRPr="00A60816">
        <w:rPr>
          <w:b/>
          <w:szCs w:val="24"/>
        </w:rPr>
        <w:t>r</w:t>
      </w:r>
      <w:r w:rsidRPr="00A60816">
        <w:rPr>
          <w:b/>
          <w:szCs w:val="24"/>
        </w:rPr>
        <w:t>eferences</w:t>
      </w:r>
    </w:p>
    <w:p w:rsidR="000E478E" w:rsidRPr="00A956FD" w:rsidRDefault="000E478E" w:rsidP="000E478E">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A956FD" w:rsidRPr="00A956FD" w:rsidTr="003B0B4F">
        <w:tc>
          <w:tcPr>
            <w:tcW w:w="2835" w:type="dxa"/>
          </w:tcPr>
          <w:p w:rsidR="00B26D99" w:rsidRPr="00A956FD" w:rsidRDefault="00B26D99" w:rsidP="00000A1D">
            <w:pPr>
              <w:spacing w:before="120" w:after="120"/>
              <w:rPr>
                <w:rFonts w:cs="Arial"/>
                <w:b/>
                <w:color w:val="FF0000"/>
                <w:sz w:val="22"/>
                <w:szCs w:val="22"/>
              </w:rPr>
            </w:pPr>
            <w:r w:rsidRPr="00A60816">
              <w:rPr>
                <w:rFonts w:cs="Arial"/>
                <w:b/>
                <w:sz w:val="22"/>
                <w:szCs w:val="22"/>
              </w:rPr>
              <w:t xml:space="preserve">Key references </w:t>
            </w:r>
          </w:p>
        </w:tc>
        <w:tc>
          <w:tcPr>
            <w:tcW w:w="7088" w:type="dxa"/>
          </w:tcPr>
          <w:p w:rsidR="00456F52" w:rsidRPr="009B6F85" w:rsidRDefault="0073387A" w:rsidP="0073387A">
            <w:pPr>
              <w:spacing w:before="120" w:after="120"/>
              <w:rPr>
                <w:rFonts w:cs="Arial"/>
                <w:b/>
                <w:sz w:val="22"/>
                <w:szCs w:val="22"/>
              </w:rPr>
            </w:pPr>
            <w:r w:rsidRPr="009B6F85">
              <w:rPr>
                <w:rFonts w:cs="Arial"/>
                <w:b/>
                <w:sz w:val="22"/>
                <w:szCs w:val="22"/>
              </w:rPr>
              <w:t>D</w:t>
            </w:r>
            <w:r w:rsidR="001E1A23" w:rsidRPr="009B6F85">
              <w:rPr>
                <w:rFonts w:cs="Arial"/>
                <w:b/>
                <w:sz w:val="22"/>
                <w:szCs w:val="22"/>
              </w:rPr>
              <w:t>T</w:t>
            </w:r>
            <w:r w:rsidR="00A60816" w:rsidRPr="009B6F85">
              <w:rPr>
                <w:rFonts w:cs="Arial"/>
                <w:b/>
                <w:sz w:val="22"/>
                <w:szCs w:val="22"/>
              </w:rPr>
              <w:t>aP/IPV</w:t>
            </w:r>
            <w:r w:rsidR="00A53F48" w:rsidRPr="009B6F85">
              <w:rPr>
                <w:rFonts w:cs="Arial"/>
                <w:b/>
                <w:sz w:val="22"/>
                <w:szCs w:val="22"/>
              </w:rPr>
              <w:t>/Hib</w:t>
            </w:r>
            <w:r w:rsidR="00A60816" w:rsidRPr="009B6F85">
              <w:rPr>
                <w:rFonts w:cs="Arial"/>
                <w:b/>
                <w:sz w:val="22"/>
                <w:szCs w:val="22"/>
              </w:rPr>
              <w:t xml:space="preserve"> vaccine </w:t>
            </w:r>
          </w:p>
          <w:p w:rsidR="00A60816" w:rsidRPr="009B6F85" w:rsidRDefault="00456F52" w:rsidP="00A60816">
            <w:pPr>
              <w:pStyle w:val="ListParagraph"/>
              <w:numPr>
                <w:ilvl w:val="0"/>
                <w:numId w:val="30"/>
              </w:numPr>
              <w:ind w:left="318" w:hanging="284"/>
              <w:contextualSpacing w:val="0"/>
              <w:rPr>
                <w:color w:val="FF0000"/>
                <w:sz w:val="22"/>
                <w:szCs w:val="22"/>
              </w:rPr>
            </w:pPr>
            <w:r w:rsidRPr="009B6F85">
              <w:rPr>
                <w:sz w:val="22"/>
                <w:szCs w:val="22"/>
              </w:rPr>
              <w:t>Immunisation Against Infe</w:t>
            </w:r>
            <w:r w:rsidR="001E1A23" w:rsidRPr="009B6F85">
              <w:rPr>
                <w:sz w:val="22"/>
                <w:szCs w:val="22"/>
              </w:rPr>
              <w:t xml:space="preserve">ctious Disease: The Green Book </w:t>
            </w:r>
            <w:hyperlink r:id="rId45" w:history="1">
              <w:r w:rsidR="009B6F85" w:rsidRPr="009B6F85">
                <w:rPr>
                  <w:rStyle w:val="Hyperlink"/>
                  <w:rFonts w:cs="Arial"/>
                  <w:sz w:val="22"/>
                  <w:szCs w:val="22"/>
                </w:rPr>
                <w:t>C</w:t>
              </w:r>
              <w:r w:rsidR="00EA1DE7" w:rsidRPr="009B6F85">
                <w:rPr>
                  <w:rStyle w:val="Hyperlink"/>
                  <w:rFonts w:cs="Arial"/>
                  <w:sz w:val="22"/>
                  <w:szCs w:val="22"/>
                </w:rPr>
                <w:t>hapter 15</w:t>
              </w:r>
            </w:hyperlink>
            <w:r w:rsidR="00A60816" w:rsidRPr="009B6F85">
              <w:rPr>
                <w:rFonts w:cs="Arial"/>
                <w:sz w:val="22"/>
                <w:szCs w:val="22"/>
              </w:rPr>
              <w:t xml:space="preserve">, </w:t>
            </w:r>
            <w:hyperlink r:id="rId46" w:history="1">
              <w:r w:rsidR="009B6F85" w:rsidRPr="009B6F85">
                <w:rPr>
                  <w:rStyle w:val="Hyperlink"/>
                  <w:rFonts w:cs="Arial"/>
                  <w:sz w:val="22"/>
                  <w:szCs w:val="22"/>
                </w:rPr>
                <w:t>C</w:t>
              </w:r>
              <w:r w:rsidR="0071178B" w:rsidRPr="009B6F85">
                <w:rPr>
                  <w:rStyle w:val="Hyperlink"/>
                  <w:rFonts w:cs="Arial"/>
                  <w:sz w:val="22"/>
                  <w:szCs w:val="22"/>
                </w:rPr>
                <w:t>hapter 16</w:t>
              </w:r>
            </w:hyperlink>
            <w:r w:rsidR="0071178B" w:rsidRPr="009B6F85">
              <w:rPr>
                <w:rStyle w:val="Hyperlink"/>
                <w:rFonts w:cs="Arial"/>
                <w:color w:val="auto"/>
                <w:sz w:val="22"/>
                <w:szCs w:val="22"/>
                <w:u w:val="none"/>
              </w:rPr>
              <w:t xml:space="preserve">, </w:t>
            </w:r>
            <w:hyperlink r:id="rId47" w:history="1">
              <w:r w:rsidR="009B6F85" w:rsidRPr="009B6F85">
                <w:rPr>
                  <w:rStyle w:val="Hyperlink"/>
                  <w:rFonts w:cs="Arial"/>
                  <w:sz w:val="22"/>
                  <w:szCs w:val="22"/>
                </w:rPr>
                <w:t>C</w:t>
              </w:r>
              <w:r w:rsidR="00EA1DE7" w:rsidRPr="009B6F85">
                <w:rPr>
                  <w:rStyle w:val="Hyperlink"/>
                  <w:rFonts w:cs="Arial"/>
                  <w:sz w:val="22"/>
                  <w:szCs w:val="22"/>
                </w:rPr>
                <w:t>hapter 26</w:t>
              </w:r>
            </w:hyperlink>
            <w:r w:rsidR="00EA1DE7" w:rsidRPr="009B6F85">
              <w:rPr>
                <w:rFonts w:cs="Arial"/>
                <w:sz w:val="22"/>
                <w:szCs w:val="22"/>
              </w:rPr>
              <w:t xml:space="preserve"> and </w:t>
            </w:r>
            <w:hyperlink r:id="rId48" w:history="1">
              <w:r w:rsidR="009B6F85" w:rsidRPr="009B6F85">
                <w:rPr>
                  <w:rStyle w:val="Hyperlink"/>
                  <w:rFonts w:cs="Arial"/>
                  <w:sz w:val="22"/>
                  <w:szCs w:val="22"/>
                </w:rPr>
                <w:t>C</w:t>
              </w:r>
              <w:r w:rsidR="00EA1DE7" w:rsidRPr="009B6F85">
                <w:rPr>
                  <w:rStyle w:val="Hyperlink"/>
                  <w:rFonts w:cs="Arial"/>
                  <w:sz w:val="22"/>
                  <w:szCs w:val="22"/>
                </w:rPr>
                <w:t>hapter 30</w:t>
              </w:r>
            </w:hyperlink>
            <w:r w:rsidR="001E1A23" w:rsidRPr="009B6F85">
              <w:rPr>
                <w:sz w:val="22"/>
                <w:szCs w:val="22"/>
              </w:rPr>
              <w:t xml:space="preserve">. Last updated 19 April 2013. </w:t>
            </w:r>
            <w:hyperlink r:id="rId49" w:history="1">
              <w:r w:rsidR="0071398F" w:rsidRPr="009B6F85">
                <w:rPr>
                  <w:rStyle w:val="Hyperlink"/>
                  <w:rFonts w:cs="Arial"/>
                  <w:sz w:val="22"/>
                  <w:szCs w:val="22"/>
                </w:rPr>
                <w:t>Chapter 24</w:t>
              </w:r>
            </w:hyperlink>
            <w:r w:rsidR="0071398F" w:rsidRPr="009B6F85">
              <w:rPr>
                <w:sz w:val="22"/>
                <w:szCs w:val="22"/>
              </w:rPr>
              <w:t>. Last updated 28 April 2015</w:t>
            </w:r>
          </w:p>
          <w:p w:rsidR="001E1A23" w:rsidRPr="009B6F85" w:rsidRDefault="008C0826" w:rsidP="00A53F48">
            <w:pPr>
              <w:pStyle w:val="ListParagraph"/>
              <w:spacing w:after="60"/>
              <w:ind w:left="318"/>
              <w:contextualSpacing w:val="0"/>
              <w:rPr>
                <w:color w:val="FF0000"/>
                <w:sz w:val="22"/>
                <w:szCs w:val="22"/>
              </w:rPr>
            </w:pPr>
            <w:hyperlink r:id="rId50" w:history="1">
              <w:r w:rsidR="00BD417D" w:rsidRPr="009B6F85">
                <w:rPr>
                  <w:rStyle w:val="Hyperlink"/>
                  <w:sz w:val="22"/>
                  <w:szCs w:val="22"/>
                </w:rPr>
                <w:t>https://www.gov.uk/government/collections/immunisation-against-infectious-disease-the-green-book</w:t>
              </w:r>
            </w:hyperlink>
            <w:r w:rsidR="00BD417D" w:rsidRPr="009B6F85">
              <w:rPr>
                <w:color w:val="FF0000"/>
                <w:sz w:val="22"/>
                <w:szCs w:val="22"/>
              </w:rPr>
              <w:t xml:space="preserve"> </w:t>
            </w:r>
          </w:p>
          <w:p w:rsidR="00A53F48" w:rsidRPr="009B6F85" w:rsidRDefault="00456F52" w:rsidP="00A53F48">
            <w:pPr>
              <w:pStyle w:val="ListParagraph"/>
              <w:numPr>
                <w:ilvl w:val="0"/>
                <w:numId w:val="21"/>
              </w:numPr>
              <w:spacing w:after="60"/>
              <w:ind w:left="317" w:hanging="357"/>
              <w:contextualSpacing w:val="0"/>
              <w:rPr>
                <w:rFonts w:cs="Arial"/>
                <w:color w:val="FF0000"/>
                <w:sz w:val="22"/>
                <w:szCs w:val="22"/>
                <w:u w:val="single"/>
              </w:rPr>
            </w:pPr>
            <w:r w:rsidRPr="009B6F85">
              <w:rPr>
                <w:rFonts w:cs="Arial"/>
                <w:sz w:val="22"/>
                <w:szCs w:val="22"/>
              </w:rPr>
              <w:t>Summ</w:t>
            </w:r>
            <w:r w:rsidR="001A4FF7" w:rsidRPr="009B6F85">
              <w:rPr>
                <w:rFonts w:cs="Arial"/>
                <w:sz w:val="22"/>
                <w:szCs w:val="22"/>
              </w:rPr>
              <w:t>ary of Product Characteristic</w:t>
            </w:r>
            <w:r w:rsidR="00925FA0" w:rsidRPr="009B6F85">
              <w:rPr>
                <w:rFonts w:cs="Arial"/>
                <w:sz w:val="22"/>
                <w:szCs w:val="22"/>
              </w:rPr>
              <w:t xml:space="preserve"> for </w:t>
            </w:r>
            <w:r w:rsidR="00457E58" w:rsidRPr="009B6F85">
              <w:rPr>
                <w:rFonts w:cs="Arial"/>
                <w:sz w:val="22"/>
                <w:szCs w:val="22"/>
              </w:rPr>
              <w:t>Infanrix</w:t>
            </w:r>
            <w:r w:rsidR="001E1A23" w:rsidRPr="009B6F85">
              <w:rPr>
                <w:rFonts w:cs="Arial"/>
                <w:sz w:val="22"/>
                <w:szCs w:val="22"/>
                <w:vertAlign w:val="superscript"/>
              </w:rPr>
              <w:t>®</w:t>
            </w:r>
            <w:r w:rsidR="00457E58" w:rsidRPr="009B6F85">
              <w:rPr>
                <w:rFonts w:cs="Arial"/>
                <w:sz w:val="22"/>
                <w:szCs w:val="22"/>
              </w:rPr>
              <w:t>-IPV</w:t>
            </w:r>
            <w:r w:rsidR="0071178B" w:rsidRPr="009B6F85">
              <w:rPr>
                <w:rFonts w:cs="Arial"/>
                <w:sz w:val="22"/>
                <w:szCs w:val="22"/>
              </w:rPr>
              <w:t>+Hib</w:t>
            </w:r>
            <w:r w:rsidR="00457E58" w:rsidRPr="009B6F85">
              <w:rPr>
                <w:rFonts w:cs="Arial"/>
                <w:sz w:val="22"/>
                <w:szCs w:val="22"/>
              </w:rPr>
              <w:t>,</w:t>
            </w:r>
            <w:r w:rsidR="001E1A23" w:rsidRPr="009B6F85">
              <w:rPr>
                <w:rFonts w:cs="Arial"/>
                <w:sz w:val="22"/>
                <w:szCs w:val="22"/>
              </w:rPr>
              <w:t xml:space="preserve"> </w:t>
            </w:r>
            <w:r w:rsidR="00457E58" w:rsidRPr="009B6F85">
              <w:rPr>
                <w:rFonts w:cs="Arial"/>
                <w:sz w:val="22"/>
                <w:szCs w:val="22"/>
                <w:lang w:val="en"/>
              </w:rPr>
              <w:t>GlaxoSmithKline</w:t>
            </w:r>
            <w:r w:rsidR="001E1A23" w:rsidRPr="009B6F85">
              <w:rPr>
                <w:rFonts w:cs="Arial"/>
                <w:sz w:val="22"/>
                <w:szCs w:val="22"/>
                <w:lang w:val="en"/>
              </w:rPr>
              <w:t xml:space="preserve">. </w:t>
            </w:r>
            <w:r w:rsidR="0071178B" w:rsidRPr="009B6F85">
              <w:rPr>
                <w:rFonts w:cs="Arial"/>
                <w:sz w:val="22"/>
                <w:szCs w:val="22"/>
                <w:lang w:val="en"/>
              </w:rPr>
              <w:t>12 March 2015</w:t>
            </w:r>
            <w:r w:rsidR="001E1A23" w:rsidRPr="009B6F85">
              <w:rPr>
                <w:rFonts w:cs="Arial"/>
                <w:sz w:val="22"/>
                <w:szCs w:val="22"/>
                <w:lang w:val="en"/>
              </w:rPr>
              <w:t xml:space="preserve">. </w:t>
            </w:r>
            <w:hyperlink r:id="rId51" w:history="1">
              <w:r w:rsidR="0071178B" w:rsidRPr="009B6F85">
                <w:rPr>
                  <w:rStyle w:val="Hyperlink"/>
                  <w:sz w:val="22"/>
                  <w:szCs w:val="22"/>
                </w:rPr>
                <w:t>http://www.medicines.org.uk/emc/medicine/28678</w:t>
              </w:r>
            </w:hyperlink>
            <w:r w:rsidR="0071178B" w:rsidRPr="009B6F85">
              <w:rPr>
                <w:sz w:val="22"/>
                <w:szCs w:val="22"/>
              </w:rPr>
              <w:t xml:space="preserve"> </w:t>
            </w:r>
            <w:r w:rsidR="00457E58" w:rsidRPr="009B6F85">
              <w:rPr>
                <w:sz w:val="22"/>
                <w:szCs w:val="22"/>
              </w:rPr>
              <w:t xml:space="preserve"> </w:t>
            </w:r>
          </w:p>
          <w:p w:rsidR="0071178B" w:rsidRPr="009B6F85" w:rsidRDefault="0071398F" w:rsidP="00A53F48">
            <w:pPr>
              <w:pStyle w:val="ListParagraph"/>
              <w:numPr>
                <w:ilvl w:val="0"/>
                <w:numId w:val="21"/>
              </w:numPr>
              <w:ind w:left="317" w:hanging="357"/>
              <w:contextualSpacing w:val="0"/>
              <w:rPr>
                <w:rFonts w:cs="Arial"/>
                <w:color w:val="FF0000"/>
                <w:sz w:val="22"/>
                <w:szCs w:val="22"/>
                <w:u w:val="single"/>
              </w:rPr>
            </w:pPr>
            <w:r w:rsidRPr="009B6F85">
              <w:rPr>
                <w:rFonts w:cs="Arial"/>
                <w:sz w:val="22"/>
                <w:szCs w:val="22"/>
              </w:rPr>
              <w:t xml:space="preserve">Summary of Product Characteristic for </w:t>
            </w:r>
            <w:r w:rsidR="0071178B" w:rsidRPr="009B6F85">
              <w:rPr>
                <w:rFonts w:cs="Arial"/>
                <w:sz w:val="22"/>
                <w:szCs w:val="22"/>
              </w:rPr>
              <w:t>Pediacel</w:t>
            </w:r>
            <w:r w:rsidRPr="009B6F85">
              <w:rPr>
                <w:rFonts w:cs="Arial"/>
                <w:sz w:val="22"/>
                <w:szCs w:val="22"/>
                <w:vertAlign w:val="superscript"/>
              </w:rPr>
              <w:t>®</w:t>
            </w:r>
            <w:r w:rsidRPr="009B6F85">
              <w:rPr>
                <w:rFonts w:cs="Arial"/>
                <w:sz w:val="22"/>
                <w:szCs w:val="22"/>
              </w:rPr>
              <w:t xml:space="preserve">, </w:t>
            </w:r>
            <w:r w:rsidR="00CC5732" w:rsidRPr="009B6F85">
              <w:rPr>
                <w:rFonts w:cs="Arial"/>
                <w:sz w:val="22"/>
                <w:szCs w:val="22"/>
                <w:lang w:val="en"/>
              </w:rPr>
              <w:t>Sanofi Pasteur MSD Ltd</w:t>
            </w:r>
            <w:r w:rsidRPr="009B6F85">
              <w:rPr>
                <w:rFonts w:cs="Arial"/>
                <w:sz w:val="22"/>
                <w:szCs w:val="22"/>
                <w:lang w:val="en"/>
              </w:rPr>
              <w:t xml:space="preserve">. </w:t>
            </w:r>
            <w:r w:rsidR="0071178B" w:rsidRPr="009B6F85">
              <w:rPr>
                <w:rFonts w:cs="Arial"/>
                <w:sz w:val="22"/>
                <w:szCs w:val="22"/>
                <w:lang w:val="en"/>
              </w:rPr>
              <w:t>6 March 2014</w:t>
            </w:r>
            <w:r w:rsidRPr="009B6F85">
              <w:rPr>
                <w:rFonts w:cs="Arial"/>
                <w:sz w:val="22"/>
                <w:szCs w:val="22"/>
                <w:lang w:val="en"/>
              </w:rPr>
              <w:t xml:space="preserve">. </w:t>
            </w:r>
            <w:hyperlink r:id="rId52" w:history="1">
              <w:r w:rsidR="0071178B" w:rsidRPr="009B6F85">
                <w:rPr>
                  <w:rStyle w:val="Hyperlink"/>
                  <w:sz w:val="22"/>
                  <w:szCs w:val="22"/>
                </w:rPr>
                <w:t>http://www.medicines.org.uk/emc/medicine/26217</w:t>
              </w:r>
            </w:hyperlink>
            <w:r w:rsidR="0071178B" w:rsidRPr="009B6F85">
              <w:rPr>
                <w:sz w:val="22"/>
                <w:szCs w:val="22"/>
              </w:rPr>
              <w:t xml:space="preserve"> </w:t>
            </w:r>
          </w:p>
          <w:p w:rsidR="0071178B" w:rsidRPr="009B6F85" w:rsidRDefault="0071178B" w:rsidP="00A53F48">
            <w:pPr>
              <w:pStyle w:val="ListParagraph"/>
              <w:numPr>
                <w:ilvl w:val="0"/>
                <w:numId w:val="21"/>
              </w:numPr>
              <w:spacing w:before="60"/>
              <w:ind w:left="317" w:hanging="357"/>
              <w:contextualSpacing w:val="0"/>
              <w:rPr>
                <w:rFonts w:cs="Arial"/>
                <w:color w:val="FF0000"/>
                <w:sz w:val="22"/>
                <w:szCs w:val="22"/>
                <w:u w:val="single"/>
              </w:rPr>
            </w:pPr>
            <w:r w:rsidRPr="009B6F85">
              <w:rPr>
                <w:rFonts w:eastAsiaTheme="minorHAnsi" w:cs="Arial"/>
                <w:sz w:val="22"/>
                <w:szCs w:val="22"/>
                <w:lang w:eastAsia="en-US"/>
              </w:rPr>
              <w:t xml:space="preserve">NHS public health functions agreement 2015-16. Service specification No.4. </w:t>
            </w:r>
            <w:r w:rsidRPr="009B6F85">
              <w:rPr>
                <w:rFonts w:eastAsiaTheme="minorHAnsi"/>
                <w:sz w:val="22"/>
                <w:szCs w:val="22"/>
                <w:lang w:eastAsia="en-US"/>
              </w:rPr>
              <w:t xml:space="preserve">Immunisation against diphtheria, tetanus, poliomyelitis, pertussis and Hib programme. </w:t>
            </w:r>
            <w:r w:rsidR="00CC5732" w:rsidRPr="009B6F85">
              <w:rPr>
                <w:rFonts w:eastAsiaTheme="minorHAnsi"/>
                <w:sz w:val="22"/>
                <w:szCs w:val="22"/>
                <w:lang w:eastAsia="en-US"/>
              </w:rPr>
              <w:t xml:space="preserve">December 2014. </w:t>
            </w:r>
            <w:hyperlink r:id="rId53" w:history="1">
              <w:r w:rsidRPr="009B6F85">
                <w:rPr>
                  <w:rStyle w:val="Hyperlink"/>
                  <w:sz w:val="22"/>
                  <w:szCs w:val="22"/>
                </w:rPr>
                <w:t>https://www.gov.uk/government/uploads/system/uploads/attachment_data/file/386234/No04_DtapIPVHib_Immunisation.pdf</w:t>
              </w:r>
            </w:hyperlink>
          </w:p>
          <w:p w:rsidR="008621D9" w:rsidRDefault="008621D9" w:rsidP="008621D9">
            <w:pPr>
              <w:pStyle w:val="ListParagraph"/>
              <w:numPr>
                <w:ilvl w:val="0"/>
                <w:numId w:val="21"/>
              </w:numPr>
              <w:spacing w:before="60"/>
              <w:ind w:left="318" w:hanging="284"/>
              <w:contextualSpacing w:val="0"/>
              <w:rPr>
                <w:rFonts w:cs="Arial"/>
                <w:sz w:val="22"/>
                <w:szCs w:val="22"/>
              </w:rPr>
            </w:pPr>
            <w:r w:rsidRPr="008621D9">
              <w:rPr>
                <w:rFonts w:cs="Arial"/>
                <w:sz w:val="22"/>
                <w:szCs w:val="22"/>
              </w:rPr>
              <w:t>Use of Infanrix-IPV+Hib in the infant schedule: information for healthcare professionals</w:t>
            </w:r>
            <w:r>
              <w:rPr>
                <w:rFonts w:cs="Arial"/>
                <w:sz w:val="22"/>
                <w:szCs w:val="22"/>
              </w:rPr>
              <w:t>. 25 March 2015.</w:t>
            </w:r>
          </w:p>
          <w:p w:rsidR="008621D9" w:rsidRPr="008621D9" w:rsidRDefault="008C0826" w:rsidP="008621D9">
            <w:pPr>
              <w:pStyle w:val="ListParagraph"/>
              <w:ind w:left="318"/>
              <w:contextualSpacing w:val="0"/>
              <w:rPr>
                <w:rFonts w:cs="Arial"/>
                <w:sz w:val="22"/>
                <w:szCs w:val="22"/>
              </w:rPr>
            </w:pPr>
            <w:hyperlink r:id="rId54" w:history="1">
              <w:r w:rsidR="008621D9" w:rsidRPr="00B363BF">
                <w:rPr>
                  <w:rStyle w:val="Hyperlink"/>
                  <w:rFonts w:cs="Arial"/>
                  <w:sz w:val="22"/>
                  <w:szCs w:val="22"/>
                </w:rPr>
                <w:t>https://www.gov.uk/government/publications/use-of-infanrix-ipvhib-in-the-infant-immunisation-schedule</w:t>
              </w:r>
            </w:hyperlink>
            <w:r w:rsidR="008621D9">
              <w:rPr>
                <w:rFonts w:cs="Arial"/>
                <w:sz w:val="22"/>
                <w:szCs w:val="22"/>
              </w:rPr>
              <w:t xml:space="preserve"> </w:t>
            </w:r>
          </w:p>
          <w:p w:rsidR="00551749" w:rsidRPr="009B6F85" w:rsidRDefault="00B0437A" w:rsidP="00A53F48">
            <w:pPr>
              <w:pStyle w:val="ListParagraph"/>
              <w:numPr>
                <w:ilvl w:val="0"/>
                <w:numId w:val="21"/>
              </w:numPr>
              <w:spacing w:before="60"/>
              <w:ind w:left="318" w:hanging="284"/>
              <w:contextualSpacing w:val="0"/>
              <w:rPr>
                <w:rFonts w:cs="Arial"/>
                <w:sz w:val="22"/>
                <w:szCs w:val="22"/>
                <w:u w:val="single"/>
              </w:rPr>
            </w:pPr>
            <w:r w:rsidRPr="009B6F85">
              <w:rPr>
                <w:rFonts w:eastAsiaTheme="minorHAnsi" w:cs="Arial"/>
                <w:sz w:val="22"/>
                <w:szCs w:val="22"/>
                <w:lang w:eastAsia="en-US"/>
              </w:rPr>
              <w:t>Vaccination of individuals with uncertain or incomplete immunisation status. P</w:t>
            </w:r>
            <w:r w:rsidR="00551749" w:rsidRPr="009B6F85">
              <w:rPr>
                <w:rFonts w:eastAsiaTheme="minorHAnsi" w:cs="Arial"/>
                <w:sz w:val="22"/>
                <w:szCs w:val="22"/>
                <w:lang w:eastAsia="en-US"/>
              </w:rPr>
              <w:t>ublic Health England. Updated 22</w:t>
            </w:r>
            <w:r w:rsidRPr="009B6F85">
              <w:rPr>
                <w:rFonts w:eastAsiaTheme="minorHAnsi" w:cs="Arial"/>
                <w:sz w:val="22"/>
                <w:szCs w:val="22"/>
                <w:lang w:eastAsia="en-US"/>
              </w:rPr>
              <w:t xml:space="preserve"> </w:t>
            </w:r>
            <w:r w:rsidR="00551749" w:rsidRPr="009B6F85">
              <w:rPr>
                <w:rFonts w:eastAsiaTheme="minorHAnsi" w:cs="Arial"/>
                <w:sz w:val="22"/>
                <w:szCs w:val="22"/>
                <w:lang w:eastAsia="en-US"/>
              </w:rPr>
              <w:t>September</w:t>
            </w:r>
            <w:r w:rsidRPr="009B6F85">
              <w:rPr>
                <w:rFonts w:eastAsiaTheme="minorHAnsi" w:cs="Arial"/>
                <w:sz w:val="22"/>
                <w:szCs w:val="22"/>
                <w:lang w:eastAsia="en-US"/>
              </w:rPr>
              <w:t xml:space="preserve"> 201</w:t>
            </w:r>
            <w:r w:rsidR="00551749" w:rsidRPr="009B6F85">
              <w:rPr>
                <w:rFonts w:eastAsiaTheme="minorHAnsi" w:cs="Arial"/>
                <w:sz w:val="22"/>
                <w:szCs w:val="22"/>
                <w:lang w:eastAsia="en-US"/>
              </w:rPr>
              <w:t>5</w:t>
            </w:r>
            <w:r w:rsidRPr="009B6F85">
              <w:rPr>
                <w:rFonts w:eastAsiaTheme="minorHAnsi" w:cs="Arial"/>
                <w:sz w:val="22"/>
                <w:szCs w:val="22"/>
                <w:lang w:eastAsia="en-US"/>
              </w:rPr>
              <w:t xml:space="preserve">. </w:t>
            </w:r>
          </w:p>
          <w:p w:rsidR="00551749" w:rsidRPr="009B6F85" w:rsidRDefault="008C0826" w:rsidP="00551749">
            <w:pPr>
              <w:pStyle w:val="ListParagraph"/>
              <w:ind w:left="318"/>
              <w:contextualSpacing w:val="0"/>
              <w:rPr>
                <w:rFonts w:cs="Arial"/>
                <w:sz w:val="22"/>
                <w:szCs w:val="22"/>
                <w:u w:val="single"/>
              </w:rPr>
            </w:pPr>
            <w:hyperlink r:id="rId55" w:history="1">
              <w:r w:rsidR="00551749" w:rsidRPr="009B6F85">
                <w:rPr>
                  <w:rStyle w:val="Hyperlink"/>
                  <w:sz w:val="22"/>
                  <w:szCs w:val="22"/>
                </w:rPr>
                <w:t>https://www.gov.uk/government/publications/vaccination-of-individuals-with-uncertain-or-incomplete-immunisation-status</w:t>
              </w:r>
            </w:hyperlink>
            <w:r w:rsidR="00551749" w:rsidRPr="009B6F85">
              <w:rPr>
                <w:sz w:val="22"/>
                <w:szCs w:val="22"/>
              </w:rPr>
              <w:t xml:space="preserve"> </w:t>
            </w:r>
          </w:p>
          <w:p w:rsidR="0025304B" w:rsidRPr="009B6F85" w:rsidRDefault="0025304B" w:rsidP="00551749">
            <w:pPr>
              <w:spacing w:before="120" w:after="120"/>
              <w:rPr>
                <w:rFonts w:cs="Arial"/>
                <w:b/>
                <w:sz w:val="22"/>
                <w:szCs w:val="22"/>
              </w:rPr>
            </w:pPr>
            <w:r w:rsidRPr="009B6F85">
              <w:rPr>
                <w:rFonts w:cs="Arial"/>
                <w:b/>
                <w:sz w:val="22"/>
                <w:szCs w:val="22"/>
              </w:rPr>
              <w:t>General</w:t>
            </w:r>
          </w:p>
          <w:p w:rsidR="0025304B" w:rsidRPr="009B6F85" w:rsidRDefault="0025304B" w:rsidP="00A53F48">
            <w:pPr>
              <w:pStyle w:val="ListParagraph"/>
              <w:numPr>
                <w:ilvl w:val="0"/>
                <w:numId w:val="13"/>
              </w:numPr>
              <w:spacing w:after="60"/>
              <w:ind w:left="318" w:hanging="284"/>
              <w:contextualSpacing w:val="0"/>
              <w:rPr>
                <w:rStyle w:val="Hyperlink"/>
                <w:rFonts w:cs="Arial"/>
                <w:color w:val="auto"/>
                <w:sz w:val="22"/>
                <w:szCs w:val="22"/>
                <w:u w:val="none"/>
              </w:rPr>
            </w:pPr>
            <w:r w:rsidRPr="009B6F85">
              <w:rPr>
                <w:rFonts w:cs="Arial"/>
                <w:sz w:val="22"/>
                <w:szCs w:val="22"/>
              </w:rPr>
              <w:t xml:space="preserve">PHE Immunisation Collection </w:t>
            </w:r>
            <w:hyperlink r:id="rId56" w:history="1">
              <w:r w:rsidR="00BD417D" w:rsidRPr="009B6F85">
                <w:rPr>
                  <w:rStyle w:val="Hyperlink"/>
                  <w:sz w:val="22"/>
                  <w:szCs w:val="22"/>
                </w:rPr>
                <w:t>https://www.gov.uk/government/collections/immunisation</w:t>
              </w:r>
            </w:hyperlink>
            <w:r w:rsidR="00BD417D" w:rsidRPr="009B6F85">
              <w:rPr>
                <w:sz w:val="22"/>
                <w:szCs w:val="22"/>
              </w:rPr>
              <w:t xml:space="preserve"> </w:t>
            </w:r>
          </w:p>
          <w:p w:rsidR="00CC5732" w:rsidRPr="009B6F85" w:rsidRDefault="0025304B" w:rsidP="00A53F48">
            <w:pPr>
              <w:pStyle w:val="ListParagraph"/>
              <w:numPr>
                <w:ilvl w:val="0"/>
                <w:numId w:val="13"/>
              </w:numPr>
              <w:spacing w:before="60"/>
              <w:ind w:left="318" w:hanging="284"/>
              <w:contextualSpacing w:val="0"/>
              <w:rPr>
                <w:rStyle w:val="Hyperlink"/>
                <w:rFonts w:cs="Arial"/>
                <w:color w:val="auto"/>
                <w:sz w:val="22"/>
                <w:szCs w:val="22"/>
                <w:u w:val="none"/>
              </w:rPr>
            </w:pPr>
            <w:r w:rsidRPr="009B6F85">
              <w:rPr>
                <w:rFonts w:cs="Arial"/>
                <w:sz w:val="22"/>
                <w:szCs w:val="22"/>
              </w:rPr>
              <w:t>British National Formulary (BNF) and British National Formulary for Children (BNF-C)</w:t>
            </w:r>
            <w:r w:rsidR="006C067E" w:rsidRPr="009B6F85">
              <w:rPr>
                <w:rFonts w:cs="Arial"/>
                <w:sz w:val="22"/>
                <w:szCs w:val="22"/>
              </w:rPr>
              <w:t>. October 2015.</w:t>
            </w:r>
            <w:r w:rsidRPr="009B6F85">
              <w:rPr>
                <w:rFonts w:cs="Arial"/>
                <w:sz w:val="22"/>
                <w:szCs w:val="22"/>
              </w:rPr>
              <w:t xml:space="preserve"> </w:t>
            </w:r>
            <w:hyperlink r:id="rId57" w:history="1">
              <w:r w:rsidR="00BD417D" w:rsidRPr="009B6F85">
                <w:rPr>
                  <w:rStyle w:val="Hyperlink"/>
                  <w:rFonts w:cs="Arial"/>
                  <w:sz w:val="22"/>
                  <w:szCs w:val="22"/>
                </w:rPr>
                <w:t>www.BNF.org</w:t>
              </w:r>
            </w:hyperlink>
            <w:r w:rsidR="00BD417D" w:rsidRPr="009B6F85">
              <w:rPr>
                <w:rStyle w:val="Hyperlink"/>
                <w:sz w:val="22"/>
                <w:szCs w:val="22"/>
              </w:rPr>
              <w:t xml:space="preserve"> </w:t>
            </w:r>
            <w:hyperlink r:id="rId58" w:history="1">
              <w:r w:rsidR="006C067E" w:rsidRPr="009B6F85">
                <w:rPr>
                  <w:rStyle w:val="Hyperlink"/>
                  <w:sz w:val="22"/>
                  <w:szCs w:val="22"/>
                </w:rPr>
                <w:t>http://www.evidence.nhs.uk/formulary/bnf/current</w:t>
              </w:r>
            </w:hyperlink>
            <w:r w:rsidR="006C067E" w:rsidRPr="009B6F85">
              <w:rPr>
                <w:rStyle w:val="Hyperlink"/>
                <w:rFonts w:cs="Arial"/>
                <w:sz w:val="22"/>
                <w:szCs w:val="22"/>
              </w:rPr>
              <w:t xml:space="preserve"> </w:t>
            </w:r>
          </w:p>
          <w:p w:rsidR="0025304B" w:rsidRPr="009B6F85" w:rsidRDefault="0025304B" w:rsidP="00A53F48">
            <w:pPr>
              <w:pStyle w:val="ListParagraph"/>
              <w:numPr>
                <w:ilvl w:val="0"/>
                <w:numId w:val="13"/>
              </w:numPr>
              <w:spacing w:before="60"/>
              <w:ind w:left="318" w:hanging="284"/>
              <w:contextualSpacing w:val="0"/>
              <w:rPr>
                <w:rStyle w:val="Hyperlink"/>
                <w:rFonts w:cs="Arial"/>
                <w:color w:val="auto"/>
                <w:sz w:val="22"/>
                <w:szCs w:val="22"/>
                <w:u w:val="none"/>
              </w:rPr>
            </w:pPr>
            <w:r w:rsidRPr="009B6F85">
              <w:rPr>
                <w:sz w:val="22"/>
                <w:szCs w:val="22"/>
              </w:rPr>
              <w:t xml:space="preserve">National Minimum Standards for Immunisation Training (2005) </w:t>
            </w:r>
            <w:hyperlink r:id="rId59" w:history="1">
              <w:r w:rsidR="00BD417D" w:rsidRPr="009B6F85">
                <w:rPr>
                  <w:rStyle w:val="Hyperlink"/>
                  <w:sz w:val="22"/>
                  <w:szCs w:val="22"/>
                </w:rPr>
                <w:t>https://www.gov.uk/government/publications/immunisation-training-national-minimum-standards</w:t>
              </w:r>
            </w:hyperlink>
            <w:r w:rsidR="00BD417D" w:rsidRPr="009B6F85">
              <w:rPr>
                <w:rStyle w:val="Hyperlink"/>
                <w:rFonts w:cs="Arial"/>
                <w:sz w:val="22"/>
                <w:szCs w:val="22"/>
              </w:rPr>
              <w:t xml:space="preserve"> </w:t>
            </w:r>
            <w:r w:rsidR="001E1A23" w:rsidRPr="009B6F85">
              <w:rPr>
                <w:rStyle w:val="Hyperlink"/>
                <w:rFonts w:cs="Arial"/>
                <w:color w:val="auto"/>
                <w:sz w:val="22"/>
                <w:szCs w:val="22"/>
                <w:u w:val="none"/>
              </w:rPr>
              <w:t xml:space="preserve"> </w:t>
            </w:r>
          </w:p>
          <w:p w:rsidR="0025304B" w:rsidRPr="009B6F85" w:rsidRDefault="0025304B" w:rsidP="00A53F48">
            <w:pPr>
              <w:pStyle w:val="ListParagraph"/>
              <w:numPr>
                <w:ilvl w:val="0"/>
                <w:numId w:val="13"/>
              </w:numPr>
              <w:spacing w:before="60"/>
              <w:ind w:left="318" w:hanging="284"/>
              <w:contextualSpacing w:val="0"/>
              <w:rPr>
                <w:rFonts w:cs="Arial"/>
                <w:sz w:val="22"/>
                <w:szCs w:val="22"/>
              </w:rPr>
            </w:pPr>
            <w:r w:rsidRPr="009B6F85">
              <w:rPr>
                <w:sz w:val="22"/>
                <w:szCs w:val="22"/>
              </w:rPr>
              <w:t>NICE Medicines Practice Guideline 2 (MPG2): Patient Group Directions</w:t>
            </w:r>
            <w:r w:rsidR="0073387A" w:rsidRPr="009B6F85">
              <w:rPr>
                <w:sz w:val="22"/>
                <w:szCs w:val="22"/>
              </w:rPr>
              <w:t>. Published August 2013.</w:t>
            </w:r>
            <w:r w:rsidRPr="009B6F85">
              <w:rPr>
                <w:sz w:val="22"/>
                <w:szCs w:val="22"/>
              </w:rPr>
              <w:t xml:space="preserve"> </w:t>
            </w:r>
            <w:hyperlink r:id="rId60" w:history="1">
              <w:r w:rsidR="00BD417D" w:rsidRPr="009B6F85">
                <w:rPr>
                  <w:rStyle w:val="Hyperlink"/>
                  <w:sz w:val="22"/>
                  <w:szCs w:val="22"/>
                </w:rPr>
                <w:t>https://www.nice.org.uk/guidance/mpg2</w:t>
              </w:r>
            </w:hyperlink>
            <w:r w:rsidR="00BD417D" w:rsidRPr="009B6F85">
              <w:rPr>
                <w:rFonts w:cs="Arial"/>
                <w:sz w:val="22"/>
                <w:szCs w:val="22"/>
              </w:rPr>
              <w:t xml:space="preserve"> </w:t>
            </w:r>
          </w:p>
          <w:p w:rsidR="0025304B" w:rsidRPr="009B6F85" w:rsidRDefault="0025304B" w:rsidP="003852BB">
            <w:pPr>
              <w:pStyle w:val="ListParagraph"/>
              <w:numPr>
                <w:ilvl w:val="0"/>
                <w:numId w:val="13"/>
              </w:numPr>
              <w:spacing w:before="60"/>
              <w:ind w:left="318" w:hanging="284"/>
              <w:contextualSpacing w:val="0"/>
              <w:rPr>
                <w:rFonts w:cs="Arial"/>
                <w:sz w:val="22"/>
                <w:szCs w:val="22"/>
              </w:rPr>
            </w:pPr>
            <w:r w:rsidRPr="009B6F85">
              <w:rPr>
                <w:sz w:val="22"/>
                <w:szCs w:val="22"/>
              </w:rPr>
              <w:t>NICE MPG2 Patient group directions: competency framework for health professionals</w:t>
            </w:r>
            <w:r w:rsidR="0073387A" w:rsidRPr="009B6F85">
              <w:rPr>
                <w:sz w:val="22"/>
                <w:szCs w:val="22"/>
              </w:rPr>
              <w:t xml:space="preserve"> using patient group directions. January 2014.         </w:t>
            </w:r>
            <w:hyperlink r:id="rId61" w:history="1">
              <w:r w:rsidR="0087463A" w:rsidRPr="00692DD3">
                <w:rPr>
                  <w:rStyle w:val="Hyperlink"/>
                  <w:sz w:val="22"/>
                  <w:szCs w:val="22"/>
                </w:rPr>
                <w:t>https://www.nice.org.uk/guidance/mpg2/resources</w:t>
              </w:r>
            </w:hyperlink>
            <w:r w:rsidR="0087463A">
              <w:rPr>
                <w:sz w:val="22"/>
                <w:szCs w:val="22"/>
              </w:rPr>
              <w:t xml:space="preserve"> </w:t>
            </w:r>
          </w:p>
          <w:p w:rsidR="00BD417D" w:rsidRPr="009B6F85" w:rsidRDefault="00BD417D" w:rsidP="006C067E">
            <w:pPr>
              <w:pStyle w:val="ListParagraph"/>
              <w:numPr>
                <w:ilvl w:val="0"/>
                <w:numId w:val="13"/>
              </w:numPr>
              <w:spacing w:before="60"/>
              <w:ind w:left="318" w:hanging="284"/>
              <w:contextualSpacing w:val="0"/>
              <w:rPr>
                <w:rFonts w:cs="Arial"/>
                <w:sz w:val="22"/>
                <w:szCs w:val="22"/>
              </w:rPr>
            </w:pPr>
            <w:r w:rsidRPr="009B6F85">
              <w:rPr>
                <w:rFonts w:eastAsiaTheme="minorHAnsi" w:cs="Arial"/>
                <w:sz w:val="22"/>
                <w:szCs w:val="22"/>
                <w:lang w:eastAsia="en-US"/>
              </w:rPr>
              <w:t xml:space="preserve">Immunisation knowledge and skills competence assessment tool. </w:t>
            </w:r>
            <w:r w:rsidRPr="009B6F85">
              <w:rPr>
                <w:rFonts w:eastAsiaTheme="minorHAnsi" w:cs="Arial"/>
                <w:bCs/>
                <w:sz w:val="22"/>
                <w:szCs w:val="22"/>
                <w:lang w:eastAsia="en-US"/>
              </w:rPr>
              <w:t xml:space="preserve">Royal College of Nursing (RCN) 2015. </w:t>
            </w:r>
            <w:hyperlink r:id="rId62" w:history="1">
              <w:r w:rsidRPr="009B6F85">
                <w:rPr>
                  <w:rStyle w:val="Hyperlink"/>
                  <w:sz w:val="22"/>
                  <w:szCs w:val="22"/>
                </w:rPr>
                <w:t>http://www.rcn.org.uk/__data/assets/pdf_file/0011/641918/RCN_PHE_immunisation_TOOL_2015_WEB.pdf</w:t>
              </w:r>
            </w:hyperlink>
          </w:p>
          <w:p w:rsidR="00A50EAE" w:rsidRPr="009B6F85" w:rsidRDefault="0025304B" w:rsidP="00B44BBE">
            <w:pPr>
              <w:pStyle w:val="ListParagraph"/>
              <w:numPr>
                <w:ilvl w:val="0"/>
                <w:numId w:val="13"/>
              </w:numPr>
              <w:spacing w:before="60" w:after="60"/>
              <w:ind w:left="318" w:hanging="284"/>
              <w:contextualSpacing w:val="0"/>
              <w:rPr>
                <w:color w:val="FF0000"/>
                <w:sz w:val="22"/>
                <w:szCs w:val="22"/>
              </w:rPr>
            </w:pPr>
            <w:r w:rsidRPr="009B6F85">
              <w:rPr>
                <w:sz w:val="22"/>
                <w:szCs w:val="22"/>
              </w:rPr>
              <w:t>Health Technical Memorandum 07-01: Safe Management of Healthcare Waste. Department of Health 20 March 2013</w:t>
            </w:r>
            <w:r w:rsidR="001E1A23" w:rsidRPr="009B6F85">
              <w:rPr>
                <w:sz w:val="22"/>
                <w:szCs w:val="22"/>
              </w:rPr>
              <w:t xml:space="preserve"> </w:t>
            </w:r>
            <w:hyperlink r:id="rId63" w:history="1">
              <w:r w:rsidR="000B2084" w:rsidRPr="009B6F85">
                <w:rPr>
                  <w:rStyle w:val="Hyperlink"/>
                  <w:sz w:val="22"/>
                  <w:szCs w:val="22"/>
                </w:rPr>
                <w:t>https://www.gov.uk/government/publications/guidance-on-the-safe-management-of-healthcare-waste</w:t>
              </w:r>
            </w:hyperlink>
            <w:r w:rsidR="000B2084" w:rsidRPr="009B6F85">
              <w:rPr>
                <w:color w:val="FF0000"/>
                <w:sz w:val="22"/>
                <w:szCs w:val="22"/>
              </w:rPr>
              <w:t xml:space="preserve"> </w:t>
            </w:r>
          </w:p>
        </w:tc>
      </w:tr>
    </w:tbl>
    <w:p w:rsidR="00EA5E6F" w:rsidRDefault="00EA5E6F" w:rsidP="00EA5E6F">
      <w:pPr>
        <w:overflowPunct/>
        <w:autoSpaceDE/>
        <w:autoSpaceDN/>
        <w:adjustRightInd/>
        <w:textAlignment w:val="auto"/>
        <w:rPr>
          <w:b/>
        </w:rPr>
      </w:pPr>
      <w:r>
        <w:rPr>
          <w:b/>
        </w:rPr>
        <w:br w:type="page"/>
      </w:r>
    </w:p>
    <w:p w:rsidR="00FD1AC6" w:rsidRPr="00D57C82" w:rsidRDefault="00FD1AC6" w:rsidP="00D57C82">
      <w:pPr>
        <w:pStyle w:val="ListParagraph"/>
        <w:numPr>
          <w:ilvl w:val="0"/>
          <w:numId w:val="5"/>
        </w:numPr>
        <w:rPr>
          <w:b/>
        </w:rPr>
      </w:pPr>
      <w:r w:rsidRPr="00D57C82">
        <w:rPr>
          <w:b/>
        </w:rPr>
        <w:lastRenderedPageBreak/>
        <w:t xml:space="preserve">Individual </w:t>
      </w:r>
      <w:r w:rsidR="00D36470" w:rsidRPr="00D57C82">
        <w:rPr>
          <w:b/>
        </w:rPr>
        <w:t>p</w:t>
      </w:r>
      <w:r w:rsidRPr="00D57C82">
        <w:rPr>
          <w:b/>
        </w:rPr>
        <w:t xml:space="preserve">ractitioner </w:t>
      </w:r>
      <w:r w:rsidR="00D36470" w:rsidRPr="00D57C82">
        <w:rPr>
          <w:b/>
        </w:rPr>
        <w:t>a</w:t>
      </w:r>
      <w:r w:rsidRPr="00D57C82">
        <w:rPr>
          <w:b/>
        </w:rPr>
        <w:t xml:space="preserve">uthorisation </w:t>
      </w:r>
      <w:r w:rsidR="00D36470" w:rsidRPr="00D57C82">
        <w:rPr>
          <w:b/>
        </w:rPr>
        <w:t>s</w:t>
      </w:r>
      <w:r w:rsidRPr="00D57C82">
        <w:rPr>
          <w:b/>
        </w:rPr>
        <w:t>heet</w:t>
      </w:r>
    </w:p>
    <w:p w:rsidR="00FD1AC6" w:rsidRPr="008D7620" w:rsidRDefault="00FD1AC6" w:rsidP="008D7620">
      <w:pPr>
        <w:overflowPunct/>
        <w:autoSpaceDE/>
        <w:autoSpaceDN/>
        <w:adjustRightInd/>
        <w:textAlignment w:val="auto"/>
        <w:rPr>
          <w:b/>
          <w:szCs w:val="24"/>
        </w:rPr>
      </w:pPr>
    </w:p>
    <w:p w:rsidR="0068443A" w:rsidRPr="008D7620" w:rsidRDefault="00C4034B" w:rsidP="004D2F0A">
      <w:pPr>
        <w:overflowPunct/>
        <w:autoSpaceDE/>
        <w:autoSpaceDN/>
        <w:adjustRightInd/>
        <w:textAlignment w:val="auto"/>
        <w:rPr>
          <w:szCs w:val="24"/>
        </w:rPr>
      </w:pPr>
      <w:r w:rsidRPr="008D7620">
        <w:rPr>
          <w:szCs w:val="24"/>
        </w:rPr>
        <w:t>By signing this patient group direction you are indicating that you agree to its contents and that you will work within it</w:t>
      </w:r>
      <w:r w:rsidR="00011983">
        <w:rPr>
          <w:szCs w:val="24"/>
        </w:rPr>
        <w:t>.</w:t>
      </w:r>
    </w:p>
    <w:p w:rsidR="0068443A" w:rsidRPr="008D7620" w:rsidRDefault="0068443A" w:rsidP="004D2F0A">
      <w:pPr>
        <w:rPr>
          <w:szCs w:val="24"/>
        </w:rPr>
      </w:pPr>
    </w:p>
    <w:p w:rsidR="0068443A" w:rsidRPr="008D7620" w:rsidRDefault="00C4034B" w:rsidP="004D2F0A">
      <w:pPr>
        <w:rPr>
          <w:rFonts w:cs="Arial"/>
          <w:szCs w:val="24"/>
        </w:rPr>
      </w:pPr>
      <w:r w:rsidRPr="008D7620">
        <w:rPr>
          <w:rFonts w:cs="Arial"/>
          <w:szCs w:val="24"/>
        </w:rPr>
        <w:t>Patient group directions do not remove inherent professional obligations or accountability</w:t>
      </w:r>
      <w:r w:rsidR="00011983">
        <w:rPr>
          <w:rFonts w:cs="Arial"/>
          <w:szCs w:val="24"/>
        </w:rPr>
        <w:t>.</w:t>
      </w:r>
    </w:p>
    <w:p w:rsidR="0068443A" w:rsidRPr="008D7620" w:rsidRDefault="0068443A" w:rsidP="004D2F0A">
      <w:pPr>
        <w:rPr>
          <w:rFonts w:cs="Arial"/>
          <w:szCs w:val="24"/>
        </w:rPr>
      </w:pPr>
    </w:p>
    <w:p w:rsidR="0068443A" w:rsidRPr="008D7620" w:rsidRDefault="00C4034B" w:rsidP="004D2F0A">
      <w:pPr>
        <w:rPr>
          <w:rFonts w:cs="Arial"/>
          <w:szCs w:val="24"/>
        </w:rPr>
      </w:pPr>
      <w:r w:rsidRPr="008D7620">
        <w:rPr>
          <w:rFonts w:cs="Arial"/>
          <w:szCs w:val="24"/>
        </w:rPr>
        <w:t>It is the responsibility of each professional to practise only within the bounds of their own competence</w:t>
      </w:r>
      <w:r w:rsidR="00011983">
        <w:rPr>
          <w:rFonts w:cs="Arial"/>
          <w:szCs w:val="24"/>
        </w:rPr>
        <w:t>.</w:t>
      </w:r>
    </w:p>
    <w:p w:rsidR="0068443A" w:rsidRPr="008D7620" w:rsidRDefault="0068443A" w:rsidP="004D2F0A">
      <w:pPr>
        <w:rPr>
          <w:b/>
          <w:szCs w:val="24"/>
        </w:rPr>
      </w:pPr>
    </w:p>
    <w:p w:rsidR="0068443A" w:rsidRPr="008D7620" w:rsidRDefault="0068443A" w:rsidP="004D2F0A">
      <w:pPr>
        <w:rPr>
          <w:b/>
          <w:szCs w:val="24"/>
        </w:rPr>
      </w:pPr>
      <w:r w:rsidRPr="008D7620">
        <w:rPr>
          <w:b/>
          <w:szCs w:val="24"/>
        </w:rPr>
        <w:t>Practitioner</w:t>
      </w:r>
    </w:p>
    <w:p w:rsidR="0068443A" w:rsidRPr="008D7620" w:rsidRDefault="0068443A" w:rsidP="004D2F0A">
      <w:pPr>
        <w:pStyle w:val="BodyText2"/>
        <w:rPr>
          <w:rFonts w:cs="Arial"/>
          <w:b/>
          <w:sz w:val="24"/>
          <w:szCs w:val="24"/>
        </w:rPr>
      </w:pPr>
      <w:r w:rsidRPr="008D7620">
        <w:rPr>
          <w:rFonts w:cs="Arial"/>
          <w:b/>
          <w:sz w:val="24"/>
          <w:szCs w:val="24"/>
        </w:rPr>
        <w:t>I confirm that I have read and understood the content of this Patient Group Direction and that I am willing and competent to work to it within my professional code of conduct</w:t>
      </w:r>
      <w:r w:rsidR="00011983">
        <w:rPr>
          <w:rFonts w:cs="Arial"/>
          <w:b/>
          <w:sz w:val="24"/>
          <w:szCs w:val="24"/>
        </w:rPr>
        <w:t>.</w:t>
      </w:r>
    </w:p>
    <w:p w:rsidR="0068443A" w:rsidRPr="008D7620" w:rsidRDefault="0068443A" w:rsidP="008D7620">
      <w:pPr>
        <w:rPr>
          <w:szCs w:val="24"/>
        </w:rPr>
      </w:pPr>
    </w:p>
    <w:p w:rsidR="0068443A" w:rsidRPr="008D7620" w:rsidRDefault="0068443A" w:rsidP="008D7620">
      <w:pPr>
        <w:rPr>
          <w:szCs w:val="24"/>
        </w:rPr>
      </w:pPr>
    </w:p>
    <w:p w:rsidR="0068443A" w:rsidRPr="008D7620" w:rsidRDefault="0068443A" w:rsidP="008D7620">
      <w:pPr>
        <w:tabs>
          <w:tab w:val="left" w:pos="5812"/>
        </w:tabs>
        <w:rPr>
          <w:szCs w:val="24"/>
        </w:rPr>
      </w:pPr>
      <w:permStart w:id="1712153568" w:edGrp="everyone"/>
      <w:r w:rsidRPr="008D7620">
        <w:rPr>
          <w:szCs w:val="24"/>
        </w:rPr>
        <w:t>Signed……………………………….………………………….…..Date……….….…………</w:t>
      </w:r>
      <w:r w:rsidR="006172B8" w:rsidRPr="008D7620">
        <w:rPr>
          <w:szCs w:val="24"/>
        </w:rPr>
        <w:t>.....</w:t>
      </w:r>
    </w:p>
    <w:p w:rsidR="0068443A" w:rsidRPr="008D7620" w:rsidRDefault="0068443A" w:rsidP="008D7620">
      <w:pPr>
        <w:tabs>
          <w:tab w:val="left" w:pos="8364"/>
        </w:tabs>
        <w:rPr>
          <w:szCs w:val="24"/>
        </w:rPr>
      </w:pPr>
    </w:p>
    <w:p w:rsidR="0068443A" w:rsidRPr="008D7620" w:rsidRDefault="0068443A" w:rsidP="008D7620">
      <w:pPr>
        <w:pStyle w:val="BodyText"/>
        <w:rPr>
          <w:szCs w:val="24"/>
        </w:rPr>
      </w:pPr>
      <w:r w:rsidRPr="008D7620">
        <w:rPr>
          <w:szCs w:val="24"/>
        </w:rPr>
        <w:t>Name (Print)…………….…………..………….………………………………………….……</w:t>
      </w:r>
      <w:r w:rsidR="006172B8" w:rsidRPr="008D7620">
        <w:rPr>
          <w:szCs w:val="24"/>
        </w:rPr>
        <w:t>.............</w:t>
      </w:r>
    </w:p>
    <w:p w:rsidR="0068443A" w:rsidRPr="008D7620" w:rsidRDefault="0068443A" w:rsidP="008D7620">
      <w:pPr>
        <w:pStyle w:val="BodyText"/>
        <w:rPr>
          <w:szCs w:val="24"/>
        </w:rPr>
      </w:pPr>
    </w:p>
    <w:p w:rsidR="0068443A" w:rsidRPr="008D7620" w:rsidRDefault="0068443A" w:rsidP="008D7620">
      <w:pPr>
        <w:tabs>
          <w:tab w:val="left" w:pos="8789"/>
        </w:tabs>
        <w:rPr>
          <w:szCs w:val="24"/>
        </w:rPr>
      </w:pPr>
      <w:r w:rsidRPr="008D7620">
        <w:rPr>
          <w:szCs w:val="24"/>
        </w:rPr>
        <w:t>Designation……………………………………………………………….…..………………</w:t>
      </w:r>
      <w:r w:rsidR="006172B8" w:rsidRPr="008D7620">
        <w:rPr>
          <w:szCs w:val="24"/>
        </w:rPr>
        <w:t>.......</w:t>
      </w:r>
    </w:p>
    <w:p w:rsidR="0068443A" w:rsidRPr="008D7620" w:rsidRDefault="0068443A" w:rsidP="008D7620">
      <w:pPr>
        <w:tabs>
          <w:tab w:val="left" w:pos="8789"/>
        </w:tabs>
        <w:rPr>
          <w:szCs w:val="24"/>
        </w:rPr>
      </w:pPr>
    </w:p>
    <w:p w:rsidR="0068443A" w:rsidRPr="008D7620" w:rsidRDefault="0068443A" w:rsidP="008D7620">
      <w:pPr>
        <w:rPr>
          <w:szCs w:val="24"/>
        </w:rPr>
      </w:pPr>
    </w:p>
    <w:permEnd w:id="1712153568"/>
    <w:p w:rsidR="0068443A" w:rsidRPr="008D7620" w:rsidRDefault="0068443A" w:rsidP="008D7620">
      <w:pPr>
        <w:rPr>
          <w:b/>
          <w:szCs w:val="24"/>
        </w:rPr>
      </w:pPr>
      <w:r w:rsidRPr="008D7620">
        <w:rPr>
          <w:b/>
          <w:szCs w:val="24"/>
        </w:rPr>
        <w:t xml:space="preserve">Authorising </w:t>
      </w:r>
      <w:r w:rsidR="00D36470">
        <w:rPr>
          <w:b/>
          <w:szCs w:val="24"/>
        </w:rPr>
        <w:t>m</w:t>
      </w:r>
      <w:r w:rsidRPr="008D7620">
        <w:rPr>
          <w:b/>
          <w:szCs w:val="24"/>
        </w:rPr>
        <w:t xml:space="preserve">anager </w:t>
      </w:r>
    </w:p>
    <w:p w:rsidR="00330CA5" w:rsidRPr="008D7620" w:rsidRDefault="00330CA5" w:rsidP="008D7620">
      <w:pPr>
        <w:rPr>
          <w:b/>
          <w:szCs w:val="24"/>
        </w:rPr>
      </w:pPr>
    </w:p>
    <w:p w:rsidR="0068443A" w:rsidRPr="008D7620" w:rsidRDefault="0068443A" w:rsidP="008D7620">
      <w:pPr>
        <w:pStyle w:val="BodyText"/>
        <w:ind w:right="423"/>
        <w:rPr>
          <w:szCs w:val="24"/>
        </w:rPr>
      </w:pPr>
      <w:r w:rsidRPr="008D7620">
        <w:rPr>
          <w:szCs w:val="24"/>
        </w:rPr>
        <w:t xml:space="preserve">Manager to give authorisation on behalf of </w:t>
      </w:r>
      <w:permStart w:id="702109202" w:edGrp="everyone"/>
      <w:r w:rsidR="0067497B" w:rsidRPr="008D7620">
        <w:rPr>
          <w:b/>
          <w:color w:val="808080" w:themeColor="background1" w:themeShade="80"/>
          <w:szCs w:val="24"/>
        </w:rPr>
        <w:t>INSERT NAME OF ORGANISATION</w:t>
      </w:r>
      <w:r w:rsidR="00330CA5" w:rsidRPr="008D7620">
        <w:rPr>
          <w:color w:val="808080" w:themeColor="background1" w:themeShade="80"/>
          <w:szCs w:val="24"/>
        </w:rPr>
        <w:t xml:space="preserve"> </w:t>
      </w:r>
      <w:permEnd w:id="702109202"/>
      <w:r w:rsidR="005D6050">
        <w:rPr>
          <w:szCs w:val="24"/>
        </w:rPr>
        <w:t>for the named health care p</w:t>
      </w:r>
      <w:r w:rsidRPr="008D7620">
        <w:rPr>
          <w:szCs w:val="24"/>
        </w:rPr>
        <w:t>rofessional who has signed the PGD</w:t>
      </w:r>
      <w:r w:rsidR="00011983">
        <w:rPr>
          <w:szCs w:val="24"/>
        </w:rPr>
        <w:t>.</w:t>
      </w:r>
    </w:p>
    <w:p w:rsidR="0068443A" w:rsidRPr="008D7620" w:rsidRDefault="0068443A" w:rsidP="008D7620">
      <w:pPr>
        <w:pStyle w:val="BodyText"/>
        <w:rPr>
          <w:szCs w:val="24"/>
        </w:rPr>
      </w:pPr>
    </w:p>
    <w:p w:rsidR="0068443A" w:rsidRPr="008D7620" w:rsidRDefault="0068443A" w:rsidP="008D7620">
      <w:pPr>
        <w:pStyle w:val="BodyText"/>
        <w:rPr>
          <w:szCs w:val="24"/>
        </w:rPr>
      </w:pPr>
      <w:permStart w:id="816261924" w:edGrp="everyone"/>
    </w:p>
    <w:p w:rsidR="0068443A" w:rsidRPr="008D7620" w:rsidRDefault="0068443A" w:rsidP="008D7620">
      <w:pPr>
        <w:pStyle w:val="BodyText"/>
        <w:rPr>
          <w:szCs w:val="24"/>
        </w:rPr>
      </w:pPr>
      <w:r w:rsidRPr="008D7620">
        <w:rPr>
          <w:szCs w:val="24"/>
        </w:rPr>
        <w:t>Signed…………………………………….………………………. Date………………………</w:t>
      </w:r>
      <w:r w:rsidR="006172B8" w:rsidRPr="008D7620">
        <w:rPr>
          <w:szCs w:val="24"/>
        </w:rPr>
        <w:t>..........</w:t>
      </w:r>
    </w:p>
    <w:p w:rsidR="0068443A" w:rsidRPr="008D7620" w:rsidRDefault="0068443A" w:rsidP="008D7620">
      <w:pPr>
        <w:pStyle w:val="BodyText"/>
        <w:rPr>
          <w:szCs w:val="24"/>
        </w:rPr>
      </w:pPr>
    </w:p>
    <w:p w:rsidR="0068443A" w:rsidRPr="008D7620" w:rsidRDefault="0068443A" w:rsidP="008D7620">
      <w:pPr>
        <w:pStyle w:val="BodyText"/>
        <w:rPr>
          <w:szCs w:val="24"/>
        </w:rPr>
      </w:pPr>
      <w:r w:rsidRPr="008D7620">
        <w:rPr>
          <w:szCs w:val="24"/>
        </w:rPr>
        <w:t>Name (Print)………………………..…………………………………….……………..………</w:t>
      </w:r>
      <w:r w:rsidR="006172B8" w:rsidRPr="008D7620">
        <w:rPr>
          <w:szCs w:val="24"/>
        </w:rPr>
        <w:t>..........</w:t>
      </w:r>
    </w:p>
    <w:p w:rsidR="0068443A" w:rsidRPr="008D7620" w:rsidRDefault="0068443A" w:rsidP="008D7620">
      <w:pPr>
        <w:pStyle w:val="BodyText"/>
        <w:rPr>
          <w:szCs w:val="24"/>
        </w:rPr>
      </w:pPr>
    </w:p>
    <w:p w:rsidR="0068443A" w:rsidRPr="008D7620" w:rsidRDefault="0068443A" w:rsidP="008D7620">
      <w:pPr>
        <w:tabs>
          <w:tab w:val="left" w:pos="8789"/>
        </w:tabs>
        <w:rPr>
          <w:szCs w:val="24"/>
        </w:rPr>
      </w:pPr>
      <w:r w:rsidRPr="008D7620">
        <w:rPr>
          <w:szCs w:val="24"/>
        </w:rPr>
        <w:t>Designation………………………………………………………………..…………….……</w:t>
      </w:r>
      <w:r w:rsidR="006172B8" w:rsidRPr="008D7620">
        <w:rPr>
          <w:szCs w:val="24"/>
        </w:rPr>
        <w:t>.............</w:t>
      </w:r>
    </w:p>
    <w:permEnd w:id="816261924"/>
    <w:p w:rsidR="0068443A" w:rsidRPr="008D7620" w:rsidRDefault="0068443A" w:rsidP="008D7620">
      <w:pPr>
        <w:pStyle w:val="BodyText"/>
        <w:rPr>
          <w:szCs w:val="24"/>
        </w:rPr>
      </w:pPr>
    </w:p>
    <w:p w:rsidR="0068443A" w:rsidRPr="008D7620" w:rsidRDefault="0068443A" w:rsidP="008D7620">
      <w:pPr>
        <w:pStyle w:val="BodyText"/>
        <w:rPr>
          <w:b/>
          <w:szCs w:val="24"/>
        </w:rPr>
      </w:pPr>
      <w:r w:rsidRPr="008D7620">
        <w:rPr>
          <w:b/>
          <w:szCs w:val="24"/>
        </w:rPr>
        <w:t xml:space="preserve">Note to </w:t>
      </w:r>
      <w:r w:rsidR="00D36470">
        <w:rPr>
          <w:b/>
          <w:szCs w:val="24"/>
        </w:rPr>
        <w:t>a</w:t>
      </w:r>
      <w:r w:rsidRPr="008D7620">
        <w:rPr>
          <w:b/>
          <w:szCs w:val="24"/>
        </w:rPr>
        <w:t xml:space="preserve">uthorising </w:t>
      </w:r>
      <w:r w:rsidR="00D36470">
        <w:rPr>
          <w:b/>
          <w:szCs w:val="24"/>
        </w:rPr>
        <w:t>m</w:t>
      </w:r>
      <w:r w:rsidRPr="008D7620">
        <w:rPr>
          <w:b/>
          <w:szCs w:val="24"/>
        </w:rPr>
        <w:t>anager</w:t>
      </w:r>
    </w:p>
    <w:p w:rsidR="0068443A" w:rsidRPr="008D7620" w:rsidRDefault="0068443A" w:rsidP="00C4034B">
      <w:pPr>
        <w:pStyle w:val="BodyText"/>
        <w:ind w:right="83"/>
        <w:rPr>
          <w:szCs w:val="24"/>
        </w:rPr>
      </w:pPr>
      <w:r w:rsidRPr="008D7620">
        <w:rPr>
          <w:szCs w:val="24"/>
        </w:rPr>
        <w:t>By signing above you are confirming that you have assessed the staff member as competent to work under this PGD and that they have the organisational approval to do so</w:t>
      </w:r>
      <w:r w:rsidR="00C4034B">
        <w:rPr>
          <w:szCs w:val="24"/>
        </w:rPr>
        <w:t>.</w:t>
      </w:r>
    </w:p>
    <w:p w:rsidR="005D6050" w:rsidRDefault="0068443A" w:rsidP="005D6050">
      <w:pPr>
        <w:pStyle w:val="BodyText"/>
        <w:ind w:right="83"/>
        <w:rPr>
          <w:szCs w:val="24"/>
        </w:rPr>
      </w:pPr>
      <w:r w:rsidRPr="008D7620">
        <w:rPr>
          <w:szCs w:val="24"/>
        </w:rPr>
        <w:t>You mus</w:t>
      </w:r>
      <w:r w:rsidR="005D6050">
        <w:rPr>
          <w:szCs w:val="24"/>
        </w:rPr>
        <w:t>t give this signed PGD to each authorised p</w:t>
      </w:r>
      <w:r w:rsidRPr="008D7620">
        <w:rPr>
          <w:szCs w:val="24"/>
        </w:rPr>
        <w:t>ractitioner as it shows their authorisation to use the PGD</w:t>
      </w:r>
      <w:r w:rsidR="00C4034B">
        <w:rPr>
          <w:szCs w:val="24"/>
        </w:rPr>
        <w:t>.</w:t>
      </w:r>
    </w:p>
    <w:p w:rsidR="00856272" w:rsidRPr="00D36470" w:rsidRDefault="00856272" w:rsidP="00D36470">
      <w:pPr>
        <w:overflowPunct/>
        <w:autoSpaceDE/>
        <w:autoSpaceDN/>
        <w:adjustRightInd/>
        <w:textAlignment w:val="auto"/>
      </w:pPr>
    </w:p>
    <w:sectPr w:rsidR="00856272" w:rsidRPr="00D36470" w:rsidSect="00850AFC">
      <w:headerReference w:type="even" r:id="rId64"/>
      <w:headerReference w:type="default" r:id="rId65"/>
      <w:footerReference w:type="even" r:id="rId66"/>
      <w:footerReference w:type="default" r:id="rId67"/>
      <w:headerReference w:type="first" r:id="rId68"/>
      <w:footerReference w:type="first" r:id="rId69"/>
      <w:pgSz w:w="11906" w:h="16838" w:code="9"/>
      <w:pgMar w:top="1134" w:right="1021" w:bottom="0" w:left="1021" w:header="720"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826" w:rsidRDefault="008C0826" w:rsidP="00B37C58">
      <w:r>
        <w:separator/>
      </w:r>
    </w:p>
  </w:endnote>
  <w:endnote w:type="continuationSeparator" w:id="0">
    <w:p w:rsidR="008C0826" w:rsidRDefault="008C0826" w:rsidP="00B37C58">
      <w:r>
        <w:continuationSeparator/>
      </w:r>
    </w:p>
  </w:endnote>
  <w:endnote w:type="continuationNotice" w:id="1">
    <w:p w:rsidR="008C0826" w:rsidRDefault="008C0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
    <w:altName w:val="TimesNewRomanPS"/>
    <w:charset w:val="00"/>
    <w:family w:val="roman"/>
    <w:pitch w:val="variable"/>
    <w:sig w:usb0="00000003" w:usb1="00000000" w:usb2="00000000" w:usb3="00000000" w:csb0="00000001" w:csb1="00000000"/>
  </w:font>
  <w:font w:name="ZapfDingbats">
    <w:altName w:val="MS Mincho"/>
    <w:panose1 w:val="00000000000000000000"/>
    <w:charset w:val="80"/>
    <w:family w:val="auto"/>
    <w:notTrueType/>
    <w:pitch w:val="default"/>
    <w:sig w:usb0="00000000" w:usb1="08070000" w:usb2="00000010" w:usb3="00000000" w:csb0="0002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D3" w:rsidRDefault="00D821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14" w:rsidRPr="0004464D" w:rsidRDefault="00750014" w:rsidP="0087463A">
    <w:pPr>
      <w:pStyle w:val="Footer"/>
      <w:tabs>
        <w:tab w:val="clear" w:pos="8306"/>
        <w:tab w:val="right" w:pos="9781"/>
      </w:tabs>
      <w:rPr>
        <w:rStyle w:val="PageNumber"/>
        <w:rFonts w:ascii="Arial" w:hAnsi="Arial"/>
        <w:sz w:val="20"/>
      </w:rPr>
    </w:pPr>
    <w:r>
      <w:rPr>
        <w:rFonts w:ascii="Arial" w:hAnsi="Arial"/>
        <w:i/>
        <w:sz w:val="20"/>
      </w:rPr>
      <w:t xml:space="preserve">DTaP/IPV/Hib </w:t>
    </w:r>
    <w:r w:rsidRPr="00E47B6D">
      <w:rPr>
        <w:rFonts w:ascii="Arial" w:hAnsi="Arial"/>
        <w:i/>
        <w:sz w:val="20"/>
      </w:rPr>
      <w:t>PGD v</w:t>
    </w:r>
    <w:r w:rsidR="00641D94">
      <w:rPr>
        <w:rFonts w:ascii="Arial" w:hAnsi="Arial"/>
        <w:i/>
        <w:sz w:val="20"/>
      </w:rPr>
      <w:t>01.00</w:t>
    </w:r>
    <w:r>
      <w:rPr>
        <w:rFonts w:ascii="Arial" w:hAnsi="Arial"/>
        <w:i/>
        <w:sz w:val="20"/>
      </w:rPr>
      <w:t xml:space="preserve"> </w:t>
    </w:r>
    <w:r w:rsidRPr="00E47B6D">
      <w:rPr>
        <w:rFonts w:ascii="Arial" w:hAnsi="Arial"/>
        <w:i/>
        <w:sz w:val="20"/>
      </w:rPr>
      <w:t xml:space="preserve">Valid from: </w:t>
    </w:r>
    <w:r w:rsidR="00641D94">
      <w:rPr>
        <w:rFonts w:ascii="Arial" w:hAnsi="Arial"/>
        <w:i/>
        <w:sz w:val="20"/>
      </w:rPr>
      <w:t>15</w:t>
    </w:r>
    <w:r>
      <w:rPr>
        <w:rFonts w:ascii="Arial" w:hAnsi="Arial"/>
        <w:i/>
        <w:sz w:val="20"/>
      </w:rPr>
      <w:t>/12/2015 Expiry: 30/11/2017</w:t>
    </w:r>
    <w:r>
      <w:rPr>
        <w:rFonts w:ascii="Arial" w:hAnsi="Arial"/>
        <w:sz w:val="20"/>
      </w:rPr>
      <w:tab/>
      <w:t xml:space="preserve">          </w:t>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sidR="000F6F4A">
      <w:rPr>
        <w:rStyle w:val="PageNumber"/>
        <w:rFonts w:ascii="Arial" w:hAnsi="Arial"/>
        <w:noProof/>
        <w:sz w:val="20"/>
      </w:rPr>
      <w:t>14</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sidR="000F6F4A">
      <w:rPr>
        <w:rStyle w:val="PageNumber"/>
        <w:rFonts w:ascii="Arial" w:hAnsi="Arial"/>
        <w:noProof/>
        <w:sz w:val="20"/>
      </w:rPr>
      <w:t>14</w:t>
    </w:r>
    <w:r w:rsidRPr="0004464D">
      <w:rPr>
        <w:rStyle w:val="PageNumber"/>
        <w:rFonts w:ascii="Arial" w:hAnsi="Arial"/>
        <w:sz w:val="20"/>
      </w:rPr>
      <w:fldChar w:fldCharType="end"/>
    </w:r>
  </w:p>
  <w:p w:rsidR="00750014" w:rsidRDefault="007500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14" w:rsidRPr="0004464D" w:rsidRDefault="00750014" w:rsidP="00D57C82">
    <w:pPr>
      <w:pStyle w:val="Footer"/>
      <w:rPr>
        <w:rStyle w:val="PageNumber"/>
        <w:rFonts w:ascii="Arial" w:hAnsi="Arial"/>
        <w:sz w:val="20"/>
      </w:rPr>
    </w:pPr>
    <w:r>
      <w:rPr>
        <w:rFonts w:ascii="Arial" w:hAnsi="Arial"/>
        <w:i/>
        <w:sz w:val="20"/>
      </w:rPr>
      <w:t xml:space="preserve">DTaP/IPV/Hib </w:t>
    </w:r>
    <w:r w:rsidRPr="00E47B6D">
      <w:rPr>
        <w:rFonts w:ascii="Arial" w:hAnsi="Arial"/>
        <w:i/>
        <w:sz w:val="20"/>
      </w:rPr>
      <w:t>PGD v</w:t>
    </w:r>
    <w:r>
      <w:rPr>
        <w:rFonts w:ascii="Arial" w:hAnsi="Arial"/>
        <w:i/>
        <w:sz w:val="20"/>
      </w:rPr>
      <w:t>0</w:t>
    </w:r>
    <w:r w:rsidR="00641D94">
      <w:rPr>
        <w:rFonts w:ascii="Arial" w:hAnsi="Arial"/>
        <w:i/>
        <w:sz w:val="20"/>
      </w:rPr>
      <w:t>1</w:t>
    </w:r>
    <w:r>
      <w:rPr>
        <w:rFonts w:ascii="Arial" w:hAnsi="Arial"/>
        <w:i/>
        <w:sz w:val="20"/>
      </w:rPr>
      <w:t>.0</w:t>
    </w:r>
    <w:r w:rsidR="00641D94">
      <w:rPr>
        <w:rFonts w:ascii="Arial" w:hAnsi="Arial"/>
        <w:i/>
        <w:sz w:val="20"/>
      </w:rPr>
      <w:t>0</w:t>
    </w:r>
    <w:r>
      <w:rPr>
        <w:rFonts w:ascii="Arial" w:hAnsi="Arial"/>
        <w:i/>
        <w:sz w:val="20"/>
      </w:rPr>
      <w:t xml:space="preserve"> </w:t>
    </w:r>
    <w:r w:rsidRPr="00E47B6D">
      <w:rPr>
        <w:rFonts w:ascii="Arial" w:hAnsi="Arial"/>
        <w:i/>
        <w:sz w:val="20"/>
      </w:rPr>
      <w:t xml:space="preserve">Valid from: </w:t>
    </w:r>
    <w:r w:rsidR="00641D94">
      <w:rPr>
        <w:rFonts w:ascii="Arial" w:hAnsi="Arial"/>
        <w:i/>
        <w:sz w:val="20"/>
      </w:rPr>
      <w:t>15</w:t>
    </w:r>
    <w:r>
      <w:rPr>
        <w:rFonts w:ascii="Arial" w:hAnsi="Arial"/>
        <w:i/>
        <w:sz w:val="20"/>
      </w:rPr>
      <w:t>/12/2015 Expiry: 30/11/2017</w:t>
    </w:r>
    <w:r w:rsidRPr="0004464D">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sidR="000F6F4A">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sidR="000F6F4A">
      <w:rPr>
        <w:rStyle w:val="PageNumber"/>
        <w:rFonts w:ascii="Arial" w:hAnsi="Arial"/>
        <w:noProof/>
        <w:sz w:val="20"/>
      </w:rPr>
      <w:t>14</w:t>
    </w:r>
    <w:r w:rsidRPr="0004464D">
      <w:rPr>
        <w:rStyle w:val="PageNumber"/>
        <w:rFonts w:ascii="Arial" w:hAnsi="Arial"/>
        <w:sz w:val="20"/>
      </w:rPr>
      <w:fldChar w:fldCharType="end"/>
    </w:r>
  </w:p>
  <w:p w:rsidR="00750014" w:rsidRDefault="00750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826" w:rsidRDefault="008C0826" w:rsidP="00B37C58">
      <w:r>
        <w:separator/>
      </w:r>
    </w:p>
  </w:footnote>
  <w:footnote w:type="continuationSeparator" w:id="0">
    <w:p w:rsidR="008C0826" w:rsidRDefault="008C0826" w:rsidP="00B37C58">
      <w:r>
        <w:continuationSeparator/>
      </w:r>
    </w:p>
  </w:footnote>
  <w:footnote w:type="continuationNotice" w:id="1">
    <w:p w:rsidR="008C0826" w:rsidRDefault="008C0826"/>
  </w:footnote>
  <w:footnote w:id="2">
    <w:p w:rsidR="00750014" w:rsidRPr="000E478E" w:rsidRDefault="00750014" w:rsidP="000E478E">
      <w:pPr>
        <w:rPr>
          <w:rFonts w:cs="Arial"/>
          <w:sz w:val="20"/>
        </w:rPr>
      </w:pPr>
      <w:r w:rsidRPr="004E3683">
        <w:rPr>
          <w:rStyle w:val="FootnoteReference"/>
          <w:sz w:val="20"/>
        </w:rPr>
        <w:footnoteRef/>
      </w:r>
      <w:r w:rsidRPr="004E3683">
        <w:rPr>
          <w:sz w:val="20"/>
        </w:rPr>
        <w:t xml:space="preserve"> </w:t>
      </w:r>
      <w:r w:rsidRPr="004E3683">
        <w:rPr>
          <w:rFonts w:cs="Arial"/>
          <w:sz w:val="20"/>
        </w:rPr>
        <w:t>Exclusion under this Patient Group Direction does not necessarily mean the medication is contraindicated, but it would be outside its remit and another form of</w:t>
      </w:r>
      <w:r>
        <w:rPr>
          <w:rFonts w:cs="Arial"/>
          <w:sz w:val="20"/>
        </w:rPr>
        <w:t xml:space="preserve"> authorisation will be required</w:t>
      </w:r>
    </w:p>
  </w:footnote>
  <w:footnote w:id="3">
    <w:p w:rsidR="00750014" w:rsidRDefault="00750014">
      <w:pPr>
        <w:pStyle w:val="FootnoteText"/>
      </w:pPr>
      <w:r>
        <w:rPr>
          <w:rStyle w:val="FootnoteReference"/>
        </w:rPr>
        <w:footnoteRef/>
      </w:r>
      <w:r w:rsidRPr="0034683E">
        <w:t xml:space="preserve"> </w:t>
      </w:r>
      <w:r w:rsidRPr="0034683E">
        <w:rPr>
          <w:rFonts w:cs="Arial"/>
        </w:rPr>
        <w:t>Refer to British National Formulary (BNF) and Summary of Product Characte</w:t>
      </w:r>
      <w:r>
        <w:rPr>
          <w:rFonts w:cs="Arial"/>
        </w:rPr>
        <w:t>ristics (SPC) for complete list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D3" w:rsidRDefault="008C0826">
    <w:pPr>
      <w:pStyle w:val="Header"/>
    </w:pPr>
    <w:r>
      <w:rPr>
        <w:noProof/>
      </w:rPr>
      <w:pict w14:anchorId="2E2E94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1341" o:spid="_x0000_s2050" type="#_x0000_t136" style="position:absolute;margin-left:0;margin-top:0;width:637.35pt;height:57.9pt;rotation:315;z-index:-251655168;mso-position-horizontal:center;mso-position-horizontal-relative:margin;mso-position-vertical:center;mso-position-vertical-relative:margin" o:allowincell="f" fillcolor="#7f7f7f [1612]" stroked="f">
          <v:textpath style="font-family:&quot;Arial&quot;;font-size:1pt" string="Withdrawn January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14" w:rsidRDefault="008C0826">
    <w:pPr>
      <w:pStyle w:val="Header"/>
    </w:pPr>
    <w:r>
      <w:rPr>
        <w:noProof/>
      </w:rPr>
      <w:pict w14:anchorId="02C5C1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1342" o:spid="_x0000_s2051" type="#_x0000_t136" style="position:absolute;margin-left:0;margin-top:0;width:637.35pt;height:57.9pt;rotation:315;z-index:-251653120;mso-position-horizontal:center;mso-position-horizontal-relative:margin;mso-position-vertical:center;mso-position-vertical-relative:margin" o:allowincell="f" fillcolor="#7f7f7f [1612]" stroked="f">
          <v:textpath style="font-family:&quot;Arial&quot;;font-size:1pt" string="Withdrawn January 201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14" w:rsidRDefault="008C0826" w:rsidP="00E161EA">
    <w:pPr>
      <w:pStyle w:val="Header"/>
      <w:ind w:left="-284"/>
    </w:pPr>
    <w:r>
      <w:rPr>
        <w:noProof/>
      </w:rPr>
      <w:pict w14:anchorId="333FA1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1340" o:spid="_x0000_s2049" type="#_x0000_t136" style="position:absolute;left:0;text-align:left;margin-left:0;margin-top:0;width:637.35pt;height:57.9pt;rotation:315;z-index:-251657216;mso-position-horizontal:center;mso-position-horizontal-relative:margin;mso-position-vertical:center;mso-position-vertical-relative:margin" o:allowincell="f" fillcolor="#7f7f7f [1612]" stroked="f">
          <v:textpath style="font-family:&quot;Arial&quot;;font-size:1pt" string="Withdrawn January 2018"/>
          <w10:wrap anchorx="margin" anchory="margin"/>
        </v:shape>
      </w:pict>
    </w:r>
    <w:r w:rsidR="00750014">
      <w:rPr>
        <w:rFonts w:ascii="Arial" w:hAnsi="Arial" w:cs="Arial"/>
        <w:b/>
        <w:bCs/>
        <w:noProof/>
        <w:color w:val="0000FF"/>
        <w:sz w:val="22"/>
        <w:szCs w:val="22"/>
      </w:rPr>
      <w:drawing>
        <wp:anchor distT="0" distB="0" distL="114300" distR="114300" simplePos="0" relativeHeight="251657216" behindDoc="1" locked="0" layoutInCell="1" allowOverlap="1" wp14:anchorId="6AB37CB5" wp14:editId="02C40F30">
          <wp:simplePos x="0" y="0"/>
          <wp:positionH relativeFrom="column">
            <wp:posOffset>5123180</wp:posOffset>
          </wp:positionH>
          <wp:positionV relativeFrom="paragraph">
            <wp:posOffset>47625</wp:posOffset>
          </wp:positionV>
          <wp:extent cx="1132840" cy="685800"/>
          <wp:effectExtent l="0" t="0" r="0" b="0"/>
          <wp:wrapTight wrapText="bothSides">
            <wp:wrapPolygon edited="0">
              <wp:start x="0" y="0"/>
              <wp:lineTo x="0" y="21000"/>
              <wp:lineTo x="21067" y="21000"/>
              <wp:lineTo x="210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685800"/>
                  </a:xfrm>
                  <a:prstGeom prst="rect">
                    <a:avLst/>
                  </a:prstGeom>
                  <a:noFill/>
                </pic:spPr>
              </pic:pic>
            </a:graphicData>
          </a:graphic>
          <wp14:sizeRelH relativeFrom="page">
            <wp14:pctWidth>0</wp14:pctWidth>
          </wp14:sizeRelH>
          <wp14:sizeRelV relativeFrom="page">
            <wp14:pctHeight>0</wp14:pctHeight>
          </wp14:sizeRelV>
        </wp:anchor>
      </w:drawing>
    </w:r>
    <w:r w:rsidR="00750014">
      <w:rPr>
        <w:rFonts w:ascii="Arial" w:hAnsi="Arial" w:cs="Arial"/>
        <w:b/>
        <w:bCs/>
        <w:noProof/>
        <w:color w:val="0000FF"/>
        <w:sz w:val="22"/>
        <w:szCs w:val="22"/>
      </w:rPr>
      <w:drawing>
        <wp:inline distT="0" distB="0" distL="0" distR="0" wp14:anchorId="36875956" wp14:editId="017B1B3B">
          <wp:extent cx="1558290" cy="1009650"/>
          <wp:effectExtent l="0" t="0" r="3810" b="0"/>
          <wp:docPr id="5" name="Picture 5"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829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37DE19"/>
    <w:multiLevelType w:val="hybridMultilevel"/>
    <w:tmpl w:val="E38C4F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EF36E3"/>
    <w:multiLevelType w:val="multilevel"/>
    <w:tmpl w:val="DE26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23A66"/>
    <w:multiLevelType w:val="hybridMultilevel"/>
    <w:tmpl w:val="7BA279E8"/>
    <w:lvl w:ilvl="0" w:tplc="38043A8E">
      <w:start w:val="1"/>
      <w:numFmt w:val="bullet"/>
      <w:lvlText w:val=""/>
      <w:lvlJc w:val="left"/>
      <w:pPr>
        <w:ind w:left="958" w:hanging="360"/>
      </w:pPr>
      <w:rPr>
        <w:rFonts w:ascii="Symbol" w:hAnsi="Symbol" w:hint="default"/>
        <w:color w:val="auto"/>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4">
    <w:nsid w:val="0C7B6AC9"/>
    <w:multiLevelType w:val="hybridMultilevel"/>
    <w:tmpl w:val="06A06CD4"/>
    <w:lvl w:ilvl="0" w:tplc="85128D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B9779A"/>
    <w:multiLevelType w:val="hybridMultilevel"/>
    <w:tmpl w:val="3664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E5442E"/>
    <w:multiLevelType w:val="hybridMultilevel"/>
    <w:tmpl w:val="C7E66D82"/>
    <w:lvl w:ilvl="0" w:tplc="92F415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DA2265"/>
    <w:multiLevelType w:val="hybridMultilevel"/>
    <w:tmpl w:val="7018DBA4"/>
    <w:lvl w:ilvl="0" w:tplc="A950D49C">
      <w:start w:val="1"/>
      <w:numFmt w:val="bullet"/>
      <w:lvlText w:val=""/>
      <w:lvlJc w:val="left"/>
      <w:pPr>
        <w:ind w:left="720" w:hanging="360"/>
      </w:pPr>
      <w:rPr>
        <w:rFonts w:ascii="Symbol" w:hAnsi="Symbol" w:hint="default"/>
        <w:color w:val="auto"/>
      </w:rPr>
    </w:lvl>
    <w:lvl w:ilvl="1" w:tplc="0166EED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051365"/>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62778E"/>
    <w:multiLevelType w:val="hybridMultilevel"/>
    <w:tmpl w:val="91EA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8B2A81"/>
    <w:multiLevelType w:val="hybridMultilevel"/>
    <w:tmpl w:val="B44A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376A1F"/>
    <w:multiLevelType w:val="hybridMultilevel"/>
    <w:tmpl w:val="A74EE9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FA5BAB"/>
    <w:multiLevelType w:val="hybridMultilevel"/>
    <w:tmpl w:val="3E5C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E0402B"/>
    <w:multiLevelType w:val="hybridMultilevel"/>
    <w:tmpl w:val="090E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293260"/>
    <w:multiLevelType w:val="hybridMultilevel"/>
    <w:tmpl w:val="7A36CB4A"/>
    <w:lvl w:ilvl="0" w:tplc="08090001">
      <w:start w:val="1"/>
      <w:numFmt w:val="bullet"/>
      <w:lvlText w:val=""/>
      <w:lvlJc w:val="left"/>
      <w:pPr>
        <w:ind w:left="969" w:hanging="360"/>
      </w:pPr>
      <w:rPr>
        <w:rFonts w:ascii="Symbol" w:hAnsi="Symbol" w:hint="default"/>
      </w:rPr>
    </w:lvl>
    <w:lvl w:ilvl="1" w:tplc="08090003" w:tentative="1">
      <w:start w:val="1"/>
      <w:numFmt w:val="bullet"/>
      <w:lvlText w:val="o"/>
      <w:lvlJc w:val="left"/>
      <w:pPr>
        <w:ind w:left="1689" w:hanging="360"/>
      </w:pPr>
      <w:rPr>
        <w:rFonts w:ascii="Courier New" w:hAnsi="Courier New" w:cs="Courier New" w:hint="default"/>
      </w:rPr>
    </w:lvl>
    <w:lvl w:ilvl="2" w:tplc="08090005" w:tentative="1">
      <w:start w:val="1"/>
      <w:numFmt w:val="bullet"/>
      <w:lvlText w:val=""/>
      <w:lvlJc w:val="left"/>
      <w:pPr>
        <w:ind w:left="2409" w:hanging="360"/>
      </w:pPr>
      <w:rPr>
        <w:rFonts w:ascii="Wingdings" w:hAnsi="Wingdings" w:hint="default"/>
      </w:rPr>
    </w:lvl>
    <w:lvl w:ilvl="3" w:tplc="08090001" w:tentative="1">
      <w:start w:val="1"/>
      <w:numFmt w:val="bullet"/>
      <w:lvlText w:val=""/>
      <w:lvlJc w:val="left"/>
      <w:pPr>
        <w:ind w:left="3129" w:hanging="360"/>
      </w:pPr>
      <w:rPr>
        <w:rFonts w:ascii="Symbol" w:hAnsi="Symbol" w:hint="default"/>
      </w:rPr>
    </w:lvl>
    <w:lvl w:ilvl="4" w:tplc="08090003" w:tentative="1">
      <w:start w:val="1"/>
      <w:numFmt w:val="bullet"/>
      <w:lvlText w:val="o"/>
      <w:lvlJc w:val="left"/>
      <w:pPr>
        <w:ind w:left="3849" w:hanging="360"/>
      </w:pPr>
      <w:rPr>
        <w:rFonts w:ascii="Courier New" w:hAnsi="Courier New" w:cs="Courier New" w:hint="default"/>
      </w:rPr>
    </w:lvl>
    <w:lvl w:ilvl="5" w:tplc="08090005" w:tentative="1">
      <w:start w:val="1"/>
      <w:numFmt w:val="bullet"/>
      <w:lvlText w:val=""/>
      <w:lvlJc w:val="left"/>
      <w:pPr>
        <w:ind w:left="4569" w:hanging="360"/>
      </w:pPr>
      <w:rPr>
        <w:rFonts w:ascii="Wingdings" w:hAnsi="Wingdings" w:hint="default"/>
      </w:rPr>
    </w:lvl>
    <w:lvl w:ilvl="6" w:tplc="08090001" w:tentative="1">
      <w:start w:val="1"/>
      <w:numFmt w:val="bullet"/>
      <w:lvlText w:val=""/>
      <w:lvlJc w:val="left"/>
      <w:pPr>
        <w:ind w:left="5289" w:hanging="360"/>
      </w:pPr>
      <w:rPr>
        <w:rFonts w:ascii="Symbol" w:hAnsi="Symbol" w:hint="default"/>
      </w:rPr>
    </w:lvl>
    <w:lvl w:ilvl="7" w:tplc="08090003" w:tentative="1">
      <w:start w:val="1"/>
      <w:numFmt w:val="bullet"/>
      <w:lvlText w:val="o"/>
      <w:lvlJc w:val="left"/>
      <w:pPr>
        <w:ind w:left="6009" w:hanging="360"/>
      </w:pPr>
      <w:rPr>
        <w:rFonts w:ascii="Courier New" w:hAnsi="Courier New" w:cs="Courier New" w:hint="default"/>
      </w:rPr>
    </w:lvl>
    <w:lvl w:ilvl="8" w:tplc="08090005" w:tentative="1">
      <w:start w:val="1"/>
      <w:numFmt w:val="bullet"/>
      <w:lvlText w:val=""/>
      <w:lvlJc w:val="left"/>
      <w:pPr>
        <w:ind w:left="6729" w:hanging="360"/>
      </w:pPr>
      <w:rPr>
        <w:rFonts w:ascii="Wingdings" w:hAnsi="Wingdings" w:hint="default"/>
      </w:rPr>
    </w:lvl>
  </w:abstractNum>
  <w:abstractNum w:abstractNumId="16">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D01937"/>
    <w:multiLevelType w:val="multilevel"/>
    <w:tmpl w:val="F53224A8"/>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5BC7D30"/>
    <w:multiLevelType w:val="hybridMultilevel"/>
    <w:tmpl w:val="D59C5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5EF2359"/>
    <w:multiLevelType w:val="hybridMultilevel"/>
    <w:tmpl w:val="80CA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34B1DBA"/>
    <w:multiLevelType w:val="hybridMultilevel"/>
    <w:tmpl w:val="C414A42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2">
    <w:nsid w:val="53F22B48"/>
    <w:multiLevelType w:val="hybridMultilevel"/>
    <w:tmpl w:val="87928FD4"/>
    <w:lvl w:ilvl="0" w:tplc="4A74C79E">
      <w:start w:val="1"/>
      <w:numFmt w:val="bullet"/>
      <w:lvlText w:val=""/>
      <w:lvlJc w:val="left"/>
      <w:pPr>
        <w:tabs>
          <w:tab w:val="num" w:pos="357"/>
        </w:tabs>
        <w:ind w:left="357" w:hanging="357"/>
      </w:pPr>
      <w:rPr>
        <w:rFonts w:ascii="Symbol" w:hAnsi="Symbol" w:hint="default"/>
      </w:rPr>
    </w:lvl>
    <w:lvl w:ilvl="1" w:tplc="AE84795C">
      <w:start w:val="1"/>
      <w:numFmt w:val="bullet"/>
      <w:lvlText w:val=""/>
      <w:lvlJc w:val="left"/>
      <w:pPr>
        <w:tabs>
          <w:tab w:val="num" w:pos="1437"/>
        </w:tabs>
        <w:ind w:left="1437" w:hanging="357"/>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5D8E4867"/>
    <w:multiLevelType w:val="hybridMultilevel"/>
    <w:tmpl w:val="A35A481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0E33E39"/>
    <w:multiLevelType w:val="hybridMultilevel"/>
    <w:tmpl w:val="9DAC3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A951B7"/>
    <w:multiLevelType w:val="hybridMultilevel"/>
    <w:tmpl w:val="26528A02"/>
    <w:lvl w:ilvl="0" w:tplc="A950D4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B12BB3"/>
    <w:multiLevelType w:val="hybridMultilevel"/>
    <w:tmpl w:val="5938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9569EF"/>
    <w:multiLevelType w:val="hybridMultilevel"/>
    <w:tmpl w:val="3224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B11D93"/>
    <w:multiLevelType w:val="hybridMultilevel"/>
    <w:tmpl w:val="0A5EF6C2"/>
    <w:lvl w:ilvl="0" w:tplc="08090001">
      <w:start w:val="1"/>
      <w:numFmt w:val="bullet"/>
      <w:lvlText w:val=""/>
      <w:lvlJc w:val="left"/>
      <w:pPr>
        <w:ind w:left="720" w:hanging="360"/>
      </w:pPr>
      <w:rPr>
        <w:rFonts w:ascii="Symbol" w:hAnsi="Symbol" w:hint="default"/>
      </w:rPr>
    </w:lvl>
    <w:lvl w:ilvl="1" w:tplc="096249D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311290"/>
    <w:multiLevelType w:val="hybridMultilevel"/>
    <w:tmpl w:val="B4FE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834B92"/>
    <w:multiLevelType w:val="hybridMultilevel"/>
    <w:tmpl w:val="2AB00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6C4ADF"/>
    <w:multiLevelType w:val="hybridMultilevel"/>
    <w:tmpl w:val="80A478C4"/>
    <w:lvl w:ilvl="0" w:tplc="92F2D0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AD6245"/>
    <w:multiLevelType w:val="hybridMultilevel"/>
    <w:tmpl w:val="6684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312A8F"/>
    <w:multiLevelType w:val="multilevel"/>
    <w:tmpl w:val="A8D6CEE6"/>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bullet"/>
      <w:lvlText w:val=""/>
      <w:lvlJc w:val="left"/>
      <w:pPr>
        <w:ind w:left="1260" w:hanging="360"/>
      </w:pPr>
      <w:rPr>
        <w:rFonts w:ascii="Symbol" w:hAnsi="Symbol" w:hint="default"/>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nsid w:val="7CD4132E"/>
    <w:multiLevelType w:val="hybridMultilevel"/>
    <w:tmpl w:val="E852267E"/>
    <w:lvl w:ilvl="0" w:tplc="21D4499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0"/>
  </w:num>
  <w:num w:numId="4">
    <w:abstractNumId w:val="26"/>
  </w:num>
  <w:num w:numId="5">
    <w:abstractNumId w:val="8"/>
  </w:num>
  <w:num w:numId="6">
    <w:abstractNumId w:val="1"/>
  </w:num>
  <w:num w:numId="7">
    <w:abstractNumId w:val="11"/>
  </w:num>
  <w:num w:numId="8">
    <w:abstractNumId w:val="21"/>
  </w:num>
  <w:num w:numId="9">
    <w:abstractNumId w:val="4"/>
  </w:num>
  <w:num w:numId="10">
    <w:abstractNumId w:val="9"/>
  </w:num>
  <w:num w:numId="11">
    <w:abstractNumId w:val="31"/>
  </w:num>
  <w:num w:numId="12">
    <w:abstractNumId w:val="28"/>
  </w:num>
  <w:num w:numId="13">
    <w:abstractNumId w:val="34"/>
  </w:num>
  <w:num w:numId="14">
    <w:abstractNumId w:val="14"/>
  </w:num>
  <w:num w:numId="15">
    <w:abstractNumId w:val="29"/>
  </w:num>
  <w:num w:numId="16">
    <w:abstractNumId w:val="30"/>
  </w:num>
  <w:num w:numId="17">
    <w:abstractNumId w:val="12"/>
  </w:num>
  <w:num w:numId="18">
    <w:abstractNumId w:val="5"/>
  </w:num>
  <w:num w:numId="19">
    <w:abstractNumId w:val="0"/>
  </w:num>
  <w:num w:numId="20">
    <w:abstractNumId w:val="23"/>
  </w:num>
  <w:num w:numId="21">
    <w:abstractNumId w:val="6"/>
  </w:num>
  <w:num w:numId="22">
    <w:abstractNumId w:val="19"/>
  </w:num>
  <w:num w:numId="23">
    <w:abstractNumId w:val="33"/>
  </w:num>
  <w:num w:numId="24">
    <w:abstractNumId w:val="7"/>
  </w:num>
  <w:num w:numId="25">
    <w:abstractNumId w:val="15"/>
  </w:num>
  <w:num w:numId="26">
    <w:abstractNumId w:val="27"/>
  </w:num>
  <w:num w:numId="27">
    <w:abstractNumId w:val="16"/>
  </w:num>
  <w:num w:numId="28">
    <w:abstractNumId w:val="13"/>
  </w:num>
  <w:num w:numId="29">
    <w:abstractNumId w:val="2"/>
  </w:num>
  <w:num w:numId="30">
    <w:abstractNumId w:val="3"/>
  </w:num>
  <w:num w:numId="31">
    <w:abstractNumId w:val="18"/>
  </w:num>
  <w:num w:numId="32">
    <w:abstractNumId w:val="32"/>
  </w:num>
  <w:num w:numId="33">
    <w:abstractNumId w:val="25"/>
  </w:num>
  <w:num w:numId="34">
    <w:abstractNumId w:val="24"/>
  </w:num>
  <w:num w:numId="35">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Formatting/>
  <w:documentProtection w:edit="comments" w:enforcement="1" w:cryptProviderType="rsaFull" w:cryptAlgorithmClass="hash" w:cryptAlgorithmType="typeAny" w:cryptAlgorithmSid="4" w:cryptSpinCount="100000" w:hash="RLPN44kzDW9qF3ko0qeFKOsHm80=" w:salt="QI9JKllFMBEsmcwHINcJbA=="/>
  <w:defaultTabStop w:val="720"/>
  <w:drawingGridHorizontalSpacing w:val="10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58"/>
    <w:rsid w:val="00000A1D"/>
    <w:rsid w:val="0000216F"/>
    <w:rsid w:val="00002B99"/>
    <w:rsid w:val="00005A40"/>
    <w:rsid w:val="0000799E"/>
    <w:rsid w:val="00007B0A"/>
    <w:rsid w:val="00011983"/>
    <w:rsid w:val="00011CD7"/>
    <w:rsid w:val="000141CA"/>
    <w:rsid w:val="00015FD7"/>
    <w:rsid w:val="000163C2"/>
    <w:rsid w:val="00016678"/>
    <w:rsid w:val="00022CF4"/>
    <w:rsid w:val="000327CB"/>
    <w:rsid w:val="00032A94"/>
    <w:rsid w:val="00033B08"/>
    <w:rsid w:val="00034D78"/>
    <w:rsid w:val="0003557F"/>
    <w:rsid w:val="000369EE"/>
    <w:rsid w:val="00041342"/>
    <w:rsid w:val="000422B0"/>
    <w:rsid w:val="00044B12"/>
    <w:rsid w:val="000452D9"/>
    <w:rsid w:val="00045EC4"/>
    <w:rsid w:val="0005160B"/>
    <w:rsid w:val="000526FD"/>
    <w:rsid w:val="00052D39"/>
    <w:rsid w:val="00053AE7"/>
    <w:rsid w:val="00053C0A"/>
    <w:rsid w:val="000558BD"/>
    <w:rsid w:val="00057CCD"/>
    <w:rsid w:val="00060E3A"/>
    <w:rsid w:val="00062844"/>
    <w:rsid w:val="00062C7F"/>
    <w:rsid w:val="00064F2E"/>
    <w:rsid w:val="0007046F"/>
    <w:rsid w:val="00073AFC"/>
    <w:rsid w:val="000753FC"/>
    <w:rsid w:val="00076359"/>
    <w:rsid w:val="00076F06"/>
    <w:rsid w:val="00080471"/>
    <w:rsid w:val="000810A7"/>
    <w:rsid w:val="0008353A"/>
    <w:rsid w:val="00090CE1"/>
    <w:rsid w:val="00091EE6"/>
    <w:rsid w:val="00094CC5"/>
    <w:rsid w:val="000A729C"/>
    <w:rsid w:val="000B12D3"/>
    <w:rsid w:val="000B2084"/>
    <w:rsid w:val="000B2506"/>
    <w:rsid w:val="000B2F98"/>
    <w:rsid w:val="000B2FF8"/>
    <w:rsid w:val="000B499D"/>
    <w:rsid w:val="000B5974"/>
    <w:rsid w:val="000C0FE6"/>
    <w:rsid w:val="000C248E"/>
    <w:rsid w:val="000C2E80"/>
    <w:rsid w:val="000C30CB"/>
    <w:rsid w:val="000C4F02"/>
    <w:rsid w:val="000C6CFA"/>
    <w:rsid w:val="000D1378"/>
    <w:rsid w:val="000D2680"/>
    <w:rsid w:val="000D2A84"/>
    <w:rsid w:val="000D2C82"/>
    <w:rsid w:val="000E1613"/>
    <w:rsid w:val="000E16AF"/>
    <w:rsid w:val="000E478E"/>
    <w:rsid w:val="000E6C2B"/>
    <w:rsid w:val="000E78D3"/>
    <w:rsid w:val="000F3444"/>
    <w:rsid w:val="000F4D57"/>
    <w:rsid w:val="000F629F"/>
    <w:rsid w:val="000F6F4A"/>
    <w:rsid w:val="000F7418"/>
    <w:rsid w:val="000F7561"/>
    <w:rsid w:val="00101DEF"/>
    <w:rsid w:val="001027CC"/>
    <w:rsid w:val="0010300D"/>
    <w:rsid w:val="00107891"/>
    <w:rsid w:val="00107895"/>
    <w:rsid w:val="001110A6"/>
    <w:rsid w:val="00112A2B"/>
    <w:rsid w:val="00113E2C"/>
    <w:rsid w:val="00116A7B"/>
    <w:rsid w:val="00117CD7"/>
    <w:rsid w:val="001200B7"/>
    <w:rsid w:val="00120134"/>
    <w:rsid w:val="00120885"/>
    <w:rsid w:val="001226E9"/>
    <w:rsid w:val="0012350B"/>
    <w:rsid w:val="00124FFD"/>
    <w:rsid w:val="001265A6"/>
    <w:rsid w:val="00130F3D"/>
    <w:rsid w:val="00132994"/>
    <w:rsid w:val="00133435"/>
    <w:rsid w:val="00134B80"/>
    <w:rsid w:val="001356BD"/>
    <w:rsid w:val="00135E42"/>
    <w:rsid w:val="00137AE2"/>
    <w:rsid w:val="00137B63"/>
    <w:rsid w:val="00151778"/>
    <w:rsid w:val="00155D9C"/>
    <w:rsid w:val="00157FB4"/>
    <w:rsid w:val="00160228"/>
    <w:rsid w:val="001620D2"/>
    <w:rsid w:val="00162B1B"/>
    <w:rsid w:val="00163D03"/>
    <w:rsid w:val="001700C1"/>
    <w:rsid w:val="00171903"/>
    <w:rsid w:val="0017234F"/>
    <w:rsid w:val="0017246D"/>
    <w:rsid w:val="00176E60"/>
    <w:rsid w:val="00181E5D"/>
    <w:rsid w:val="00182701"/>
    <w:rsid w:val="0018366E"/>
    <w:rsid w:val="00185081"/>
    <w:rsid w:val="00187116"/>
    <w:rsid w:val="00190006"/>
    <w:rsid w:val="001933F7"/>
    <w:rsid w:val="001968CC"/>
    <w:rsid w:val="001A0034"/>
    <w:rsid w:val="001A254A"/>
    <w:rsid w:val="001A2B32"/>
    <w:rsid w:val="001A4FF7"/>
    <w:rsid w:val="001A545E"/>
    <w:rsid w:val="001B0A14"/>
    <w:rsid w:val="001B1419"/>
    <w:rsid w:val="001B2016"/>
    <w:rsid w:val="001B2D74"/>
    <w:rsid w:val="001B69BE"/>
    <w:rsid w:val="001B7073"/>
    <w:rsid w:val="001C305E"/>
    <w:rsid w:val="001C40E2"/>
    <w:rsid w:val="001D1F5D"/>
    <w:rsid w:val="001D678E"/>
    <w:rsid w:val="001D73CE"/>
    <w:rsid w:val="001E01B9"/>
    <w:rsid w:val="001E0371"/>
    <w:rsid w:val="001E12D9"/>
    <w:rsid w:val="001E19BC"/>
    <w:rsid w:val="001E1A23"/>
    <w:rsid w:val="001E2D2D"/>
    <w:rsid w:val="001E4090"/>
    <w:rsid w:val="001E625C"/>
    <w:rsid w:val="001E6FD0"/>
    <w:rsid w:val="001E7144"/>
    <w:rsid w:val="001E7214"/>
    <w:rsid w:val="001F3AF6"/>
    <w:rsid w:val="001F4200"/>
    <w:rsid w:val="001F6E45"/>
    <w:rsid w:val="00204910"/>
    <w:rsid w:val="00214D37"/>
    <w:rsid w:val="0021586D"/>
    <w:rsid w:val="002171DC"/>
    <w:rsid w:val="002215A5"/>
    <w:rsid w:val="00222834"/>
    <w:rsid w:val="002232AB"/>
    <w:rsid w:val="0022479F"/>
    <w:rsid w:val="0022659E"/>
    <w:rsid w:val="00227575"/>
    <w:rsid w:val="002275C2"/>
    <w:rsid w:val="00227974"/>
    <w:rsid w:val="0023176E"/>
    <w:rsid w:val="00232D5A"/>
    <w:rsid w:val="00234A88"/>
    <w:rsid w:val="00236CDB"/>
    <w:rsid w:val="002406A3"/>
    <w:rsid w:val="002436D7"/>
    <w:rsid w:val="0024464C"/>
    <w:rsid w:val="00244D27"/>
    <w:rsid w:val="00245734"/>
    <w:rsid w:val="0024619A"/>
    <w:rsid w:val="00252A1C"/>
    <w:rsid w:val="0025304B"/>
    <w:rsid w:val="002545E8"/>
    <w:rsid w:val="00254AD4"/>
    <w:rsid w:val="002557BC"/>
    <w:rsid w:val="0026533C"/>
    <w:rsid w:val="0026603E"/>
    <w:rsid w:val="00266D06"/>
    <w:rsid w:val="0026770B"/>
    <w:rsid w:val="00272071"/>
    <w:rsid w:val="0027292C"/>
    <w:rsid w:val="002762EC"/>
    <w:rsid w:val="00277D21"/>
    <w:rsid w:val="00283D3A"/>
    <w:rsid w:val="00285CD3"/>
    <w:rsid w:val="00286B44"/>
    <w:rsid w:val="0028740C"/>
    <w:rsid w:val="0029274E"/>
    <w:rsid w:val="00294FD3"/>
    <w:rsid w:val="002955AE"/>
    <w:rsid w:val="00296842"/>
    <w:rsid w:val="002A0E51"/>
    <w:rsid w:val="002A15A4"/>
    <w:rsid w:val="002A21ED"/>
    <w:rsid w:val="002A72B1"/>
    <w:rsid w:val="002B014E"/>
    <w:rsid w:val="002B172B"/>
    <w:rsid w:val="002B1970"/>
    <w:rsid w:val="002B2DD8"/>
    <w:rsid w:val="002B3C9A"/>
    <w:rsid w:val="002B41AC"/>
    <w:rsid w:val="002B4B88"/>
    <w:rsid w:val="002C27BB"/>
    <w:rsid w:val="002C3EBB"/>
    <w:rsid w:val="002C7938"/>
    <w:rsid w:val="002D2A15"/>
    <w:rsid w:val="002D3E92"/>
    <w:rsid w:val="002D49A8"/>
    <w:rsid w:val="002D7622"/>
    <w:rsid w:val="002D7DF5"/>
    <w:rsid w:val="002E1F81"/>
    <w:rsid w:val="002E3F95"/>
    <w:rsid w:val="002E447F"/>
    <w:rsid w:val="002E7BAA"/>
    <w:rsid w:val="002F66B0"/>
    <w:rsid w:val="003011F0"/>
    <w:rsid w:val="00303E82"/>
    <w:rsid w:val="00304270"/>
    <w:rsid w:val="003057F9"/>
    <w:rsid w:val="00305C80"/>
    <w:rsid w:val="003114FA"/>
    <w:rsid w:val="003126AB"/>
    <w:rsid w:val="00312AA0"/>
    <w:rsid w:val="0031600F"/>
    <w:rsid w:val="00316B1E"/>
    <w:rsid w:val="003225CC"/>
    <w:rsid w:val="00323DE8"/>
    <w:rsid w:val="0032489D"/>
    <w:rsid w:val="00324DC2"/>
    <w:rsid w:val="0032676B"/>
    <w:rsid w:val="003267A8"/>
    <w:rsid w:val="00330CA5"/>
    <w:rsid w:val="00334D47"/>
    <w:rsid w:val="00335035"/>
    <w:rsid w:val="003353BE"/>
    <w:rsid w:val="00336F3C"/>
    <w:rsid w:val="0034293F"/>
    <w:rsid w:val="00344157"/>
    <w:rsid w:val="00345EDE"/>
    <w:rsid w:val="003461E2"/>
    <w:rsid w:val="0034683E"/>
    <w:rsid w:val="003532CF"/>
    <w:rsid w:val="00354C77"/>
    <w:rsid w:val="00357BE5"/>
    <w:rsid w:val="00360EE2"/>
    <w:rsid w:val="00361EBF"/>
    <w:rsid w:val="00364047"/>
    <w:rsid w:val="00364D5C"/>
    <w:rsid w:val="00366548"/>
    <w:rsid w:val="00366AE7"/>
    <w:rsid w:val="0037020F"/>
    <w:rsid w:val="00372699"/>
    <w:rsid w:val="00373C17"/>
    <w:rsid w:val="0038388A"/>
    <w:rsid w:val="003852BB"/>
    <w:rsid w:val="00385EB8"/>
    <w:rsid w:val="0039094E"/>
    <w:rsid w:val="00390A03"/>
    <w:rsid w:val="00390C8F"/>
    <w:rsid w:val="00395C13"/>
    <w:rsid w:val="0039630E"/>
    <w:rsid w:val="00396D4D"/>
    <w:rsid w:val="003976B8"/>
    <w:rsid w:val="003A0532"/>
    <w:rsid w:val="003A5966"/>
    <w:rsid w:val="003B0421"/>
    <w:rsid w:val="003B0B4F"/>
    <w:rsid w:val="003B76AD"/>
    <w:rsid w:val="003C0481"/>
    <w:rsid w:val="003C208A"/>
    <w:rsid w:val="003D387D"/>
    <w:rsid w:val="003D3E67"/>
    <w:rsid w:val="003D6386"/>
    <w:rsid w:val="003D6C44"/>
    <w:rsid w:val="003D7913"/>
    <w:rsid w:val="003E1EBF"/>
    <w:rsid w:val="003E4E4A"/>
    <w:rsid w:val="003E74EE"/>
    <w:rsid w:val="003F2920"/>
    <w:rsid w:val="00402CA6"/>
    <w:rsid w:val="0041133C"/>
    <w:rsid w:val="00413075"/>
    <w:rsid w:val="0041331C"/>
    <w:rsid w:val="004142CF"/>
    <w:rsid w:val="004157ED"/>
    <w:rsid w:val="00417D65"/>
    <w:rsid w:val="00420095"/>
    <w:rsid w:val="004231B0"/>
    <w:rsid w:val="00425344"/>
    <w:rsid w:val="00432789"/>
    <w:rsid w:val="00434B89"/>
    <w:rsid w:val="00435861"/>
    <w:rsid w:val="00435B1F"/>
    <w:rsid w:val="00436FF8"/>
    <w:rsid w:val="00437D7D"/>
    <w:rsid w:val="00437EB9"/>
    <w:rsid w:val="004415DC"/>
    <w:rsid w:val="004450DE"/>
    <w:rsid w:val="00446FEB"/>
    <w:rsid w:val="00453B0F"/>
    <w:rsid w:val="00454DD2"/>
    <w:rsid w:val="004564CA"/>
    <w:rsid w:val="00456F52"/>
    <w:rsid w:val="00457E58"/>
    <w:rsid w:val="00461FEE"/>
    <w:rsid w:val="00463688"/>
    <w:rsid w:val="00463FC2"/>
    <w:rsid w:val="00465505"/>
    <w:rsid w:val="00472167"/>
    <w:rsid w:val="00473442"/>
    <w:rsid w:val="004735B4"/>
    <w:rsid w:val="004774E5"/>
    <w:rsid w:val="00477FFD"/>
    <w:rsid w:val="00480AF8"/>
    <w:rsid w:val="00486545"/>
    <w:rsid w:val="00487360"/>
    <w:rsid w:val="00493537"/>
    <w:rsid w:val="004936F2"/>
    <w:rsid w:val="00494F73"/>
    <w:rsid w:val="004A056C"/>
    <w:rsid w:val="004A0839"/>
    <w:rsid w:val="004A1813"/>
    <w:rsid w:val="004A58EA"/>
    <w:rsid w:val="004A74CD"/>
    <w:rsid w:val="004A7AF6"/>
    <w:rsid w:val="004A7D01"/>
    <w:rsid w:val="004B090F"/>
    <w:rsid w:val="004B3517"/>
    <w:rsid w:val="004B3525"/>
    <w:rsid w:val="004B3D9C"/>
    <w:rsid w:val="004B4EA0"/>
    <w:rsid w:val="004B759B"/>
    <w:rsid w:val="004C061F"/>
    <w:rsid w:val="004C452E"/>
    <w:rsid w:val="004C5DCB"/>
    <w:rsid w:val="004C5E8A"/>
    <w:rsid w:val="004C634B"/>
    <w:rsid w:val="004C6821"/>
    <w:rsid w:val="004D0493"/>
    <w:rsid w:val="004D2F0A"/>
    <w:rsid w:val="004D3470"/>
    <w:rsid w:val="004D63B1"/>
    <w:rsid w:val="004D64D6"/>
    <w:rsid w:val="004D7BF2"/>
    <w:rsid w:val="004E083A"/>
    <w:rsid w:val="004E122F"/>
    <w:rsid w:val="004E3683"/>
    <w:rsid w:val="004F0005"/>
    <w:rsid w:val="0050309A"/>
    <w:rsid w:val="00503B75"/>
    <w:rsid w:val="00505E28"/>
    <w:rsid w:val="00510388"/>
    <w:rsid w:val="00511519"/>
    <w:rsid w:val="00512AB3"/>
    <w:rsid w:val="00513BBB"/>
    <w:rsid w:val="00513D8D"/>
    <w:rsid w:val="0051657C"/>
    <w:rsid w:val="00520E3D"/>
    <w:rsid w:val="005230D9"/>
    <w:rsid w:val="005232B8"/>
    <w:rsid w:val="005268F4"/>
    <w:rsid w:val="00531683"/>
    <w:rsid w:val="00534AA3"/>
    <w:rsid w:val="00537E78"/>
    <w:rsid w:val="005415F0"/>
    <w:rsid w:val="005425FE"/>
    <w:rsid w:val="0054483C"/>
    <w:rsid w:val="005449C6"/>
    <w:rsid w:val="00544D30"/>
    <w:rsid w:val="00551749"/>
    <w:rsid w:val="005523C0"/>
    <w:rsid w:val="005532CA"/>
    <w:rsid w:val="00554D2C"/>
    <w:rsid w:val="005564BA"/>
    <w:rsid w:val="005615D5"/>
    <w:rsid w:val="005618A8"/>
    <w:rsid w:val="005667E5"/>
    <w:rsid w:val="00567CA2"/>
    <w:rsid w:val="00571525"/>
    <w:rsid w:val="00573025"/>
    <w:rsid w:val="00574B90"/>
    <w:rsid w:val="00575617"/>
    <w:rsid w:val="00577582"/>
    <w:rsid w:val="00583BA4"/>
    <w:rsid w:val="0059178C"/>
    <w:rsid w:val="005931A8"/>
    <w:rsid w:val="0059783E"/>
    <w:rsid w:val="005A0AB2"/>
    <w:rsid w:val="005A3B00"/>
    <w:rsid w:val="005B035A"/>
    <w:rsid w:val="005B451E"/>
    <w:rsid w:val="005B53E0"/>
    <w:rsid w:val="005B79BC"/>
    <w:rsid w:val="005C0178"/>
    <w:rsid w:val="005C29B6"/>
    <w:rsid w:val="005C2C6A"/>
    <w:rsid w:val="005C6156"/>
    <w:rsid w:val="005C7E34"/>
    <w:rsid w:val="005D0DA7"/>
    <w:rsid w:val="005D6050"/>
    <w:rsid w:val="005D661B"/>
    <w:rsid w:val="005E0382"/>
    <w:rsid w:val="005E4B93"/>
    <w:rsid w:val="005E669C"/>
    <w:rsid w:val="005F3EF0"/>
    <w:rsid w:val="005F4F39"/>
    <w:rsid w:val="00602098"/>
    <w:rsid w:val="00610705"/>
    <w:rsid w:val="00611445"/>
    <w:rsid w:val="00613D62"/>
    <w:rsid w:val="00614820"/>
    <w:rsid w:val="00615F3E"/>
    <w:rsid w:val="006172B8"/>
    <w:rsid w:val="00622DBF"/>
    <w:rsid w:val="006308DA"/>
    <w:rsid w:val="00630E26"/>
    <w:rsid w:val="006312AB"/>
    <w:rsid w:val="006318C5"/>
    <w:rsid w:val="00631EE1"/>
    <w:rsid w:val="00633B57"/>
    <w:rsid w:val="00634ADF"/>
    <w:rsid w:val="00637028"/>
    <w:rsid w:val="00637AF3"/>
    <w:rsid w:val="00641D94"/>
    <w:rsid w:val="006433BC"/>
    <w:rsid w:val="0064405E"/>
    <w:rsid w:val="00645014"/>
    <w:rsid w:val="00652237"/>
    <w:rsid w:val="00653D19"/>
    <w:rsid w:val="006644BE"/>
    <w:rsid w:val="00666E65"/>
    <w:rsid w:val="006670FC"/>
    <w:rsid w:val="006679A2"/>
    <w:rsid w:val="0067497B"/>
    <w:rsid w:val="0067534F"/>
    <w:rsid w:val="00680485"/>
    <w:rsid w:val="006813FB"/>
    <w:rsid w:val="00681999"/>
    <w:rsid w:val="00683C7F"/>
    <w:rsid w:val="0068443A"/>
    <w:rsid w:val="006847A3"/>
    <w:rsid w:val="00686B13"/>
    <w:rsid w:val="00687D91"/>
    <w:rsid w:val="00690694"/>
    <w:rsid w:val="00691A11"/>
    <w:rsid w:val="0069353A"/>
    <w:rsid w:val="00694F99"/>
    <w:rsid w:val="0069541C"/>
    <w:rsid w:val="00696514"/>
    <w:rsid w:val="006A003E"/>
    <w:rsid w:val="006A2BBE"/>
    <w:rsid w:val="006B166E"/>
    <w:rsid w:val="006B2BBF"/>
    <w:rsid w:val="006B4A57"/>
    <w:rsid w:val="006B7F11"/>
    <w:rsid w:val="006C067E"/>
    <w:rsid w:val="006C1522"/>
    <w:rsid w:val="006C1805"/>
    <w:rsid w:val="006C69EC"/>
    <w:rsid w:val="006C6DD2"/>
    <w:rsid w:val="006C6E06"/>
    <w:rsid w:val="006C7DC1"/>
    <w:rsid w:val="006D2947"/>
    <w:rsid w:val="006D31E5"/>
    <w:rsid w:val="006E0273"/>
    <w:rsid w:val="006E2380"/>
    <w:rsid w:val="006E3026"/>
    <w:rsid w:val="006E3703"/>
    <w:rsid w:val="006E5580"/>
    <w:rsid w:val="006E6FCB"/>
    <w:rsid w:val="006F3707"/>
    <w:rsid w:val="006F4906"/>
    <w:rsid w:val="006F7521"/>
    <w:rsid w:val="0070098A"/>
    <w:rsid w:val="00700F43"/>
    <w:rsid w:val="00704159"/>
    <w:rsid w:val="00704725"/>
    <w:rsid w:val="00704F61"/>
    <w:rsid w:val="0071178B"/>
    <w:rsid w:val="0071398F"/>
    <w:rsid w:val="007200D3"/>
    <w:rsid w:val="00721DC1"/>
    <w:rsid w:val="00722C42"/>
    <w:rsid w:val="00731C04"/>
    <w:rsid w:val="00732014"/>
    <w:rsid w:val="007334ED"/>
    <w:rsid w:val="0073387A"/>
    <w:rsid w:val="00734AD5"/>
    <w:rsid w:val="007354B9"/>
    <w:rsid w:val="00737D64"/>
    <w:rsid w:val="00743C5C"/>
    <w:rsid w:val="00746465"/>
    <w:rsid w:val="00746B45"/>
    <w:rsid w:val="00750014"/>
    <w:rsid w:val="00750C59"/>
    <w:rsid w:val="00751A74"/>
    <w:rsid w:val="0075287D"/>
    <w:rsid w:val="0075491B"/>
    <w:rsid w:val="007557B8"/>
    <w:rsid w:val="00756264"/>
    <w:rsid w:val="0076532D"/>
    <w:rsid w:val="00770345"/>
    <w:rsid w:val="007734AE"/>
    <w:rsid w:val="007736EB"/>
    <w:rsid w:val="0077464D"/>
    <w:rsid w:val="00775AF9"/>
    <w:rsid w:val="007817A6"/>
    <w:rsid w:val="007829FD"/>
    <w:rsid w:val="0078783A"/>
    <w:rsid w:val="007914FD"/>
    <w:rsid w:val="00794D8D"/>
    <w:rsid w:val="00795ECF"/>
    <w:rsid w:val="00796051"/>
    <w:rsid w:val="0079682B"/>
    <w:rsid w:val="007A205C"/>
    <w:rsid w:val="007A7F8A"/>
    <w:rsid w:val="007B0924"/>
    <w:rsid w:val="007B2494"/>
    <w:rsid w:val="007B51C2"/>
    <w:rsid w:val="007B56AB"/>
    <w:rsid w:val="007B6CA5"/>
    <w:rsid w:val="007B76EF"/>
    <w:rsid w:val="007B7EC8"/>
    <w:rsid w:val="007C26CF"/>
    <w:rsid w:val="007C2B1B"/>
    <w:rsid w:val="007C4122"/>
    <w:rsid w:val="007C49CA"/>
    <w:rsid w:val="007C7C9E"/>
    <w:rsid w:val="007D4A20"/>
    <w:rsid w:val="007D5839"/>
    <w:rsid w:val="007D6314"/>
    <w:rsid w:val="007D6B29"/>
    <w:rsid w:val="007D7DA8"/>
    <w:rsid w:val="007E045E"/>
    <w:rsid w:val="007E0F51"/>
    <w:rsid w:val="007E324D"/>
    <w:rsid w:val="007E487A"/>
    <w:rsid w:val="007E6D72"/>
    <w:rsid w:val="007E7909"/>
    <w:rsid w:val="007F0740"/>
    <w:rsid w:val="00804268"/>
    <w:rsid w:val="00804724"/>
    <w:rsid w:val="008059C3"/>
    <w:rsid w:val="0080689E"/>
    <w:rsid w:val="00806DBB"/>
    <w:rsid w:val="0081114E"/>
    <w:rsid w:val="00811532"/>
    <w:rsid w:val="008147B1"/>
    <w:rsid w:val="00815275"/>
    <w:rsid w:val="00815487"/>
    <w:rsid w:val="00815ED7"/>
    <w:rsid w:val="00830B5B"/>
    <w:rsid w:val="0083123D"/>
    <w:rsid w:val="00831E40"/>
    <w:rsid w:val="00833AF0"/>
    <w:rsid w:val="00841B5E"/>
    <w:rsid w:val="008422D8"/>
    <w:rsid w:val="008429B1"/>
    <w:rsid w:val="008431D2"/>
    <w:rsid w:val="00843D6D"/>
    <w:rsid w:val="00847124"/>
    <w:rsid w:val="0085001C"/>
    <w:rsid w:val="00850733"/>
    <w:rsid w:val="00850AFC"/>
    <w:rsid w:val="008544C1"/>
    <w:rsid w:val="0085554B"/>
    <w:rsid w:val="00856272"/>
    <w:rsid w:val="00860ACA"/>
    <w:rsid w:val="008612C9"/>
    <w:rsid w:val="008621D9"/>
    <w:rsid w:val="00863A7E"/>
    <w:rsid w:val="00864DAD"/>
    <w:rsid w:val="00866B54"/>
    <w:rsid w:val="00870761"/>
    <w:rsid w:val="00870DBC"/>
    <w:rsid w:val="0087180E"/>
    <w:rsid w:val="00871CD5"/>
    <w:rsid w:val="00872D0E"/>
    <w:rsid w:val="0087463A"/>
    <w:rsid w:val="00882374"/>
    <w:rsid w:val="008844FF"/>
    <w:rsid w:val="008846CE"/>
    <w:rsid w:val="00886C0D"/>
    <w:rsid w:val="00890A0E"/>
    <w:rsid w:val="008910A6"/>
    <w:rsid w:val="0089178F"/>
    <w:rsid w:val="00893A89"/>
    <w:rsid w:val="00896281"/>
    <w:rsid w:val="008A132D"/>
    <w:rsid w:val="008A2AE4"/>
    <w:rsid w:val="008A3834"/>
    <w:rsid w:val="008A43F8"/>
    <w:rsid w:val="008A52A6"/>
    <w:rsid w:val="008A5670"/>
    <w:rsid w:val="008A7B12"/>
    <w:rsid w:val="008B32F4"/>
    <w:rsid w:val="008B477D"/>
    <w:rsid w:val="008B544E"/>
    <w:rsid w:val="008B5C71"/>
    <w:rsid w:val="008B7FF3"/>
    <w:rsid w:val="008C0826"/>
    <w:rsid w:val="008C3630"/>
    <w:rsid w:val="008D0C53"/>
    <w:rsid w:val="008D0F26"/>
    <w:rsid w:val="008D23B8"/>
    <w:rsid w:val="008D27AF"/>
    <w:rsid w:val="008D3FAF"/>
    <w:rsid w:val="008D7620"/>
    <w:rsid w:val="008D7BE8"/>
    <w:rsid w:val="008F0751"/>
    <w:rsid w:val="008F1C68"/>
    <w:rsid w:val="008F2050"/>
    <w:rsid w:val="008F248D"/>
    <w:rsid w:val="008F3F4D"/>
    <w:rsid w:val="008F5684"/>
    <w:rsid w:val="008F5E52"/>
    <w:rsid w:val="008F7ABF"/>
    <w:rsid w:val="00900859"/>
    <w:rsid w:val="00902D27"/>
    <w:rsid w:val="00903D47"/>
    <w:rsid w:val="00905BF9"/>
    <w:rsid w:val="00905D17"/>
    <w:rsid w:val="00906503"/>
    <w:rsid w:val="009065EB"/>
    <w:rsid w:val="00906777"/>
    <w:rsid w:val="00910BF2"/>
    <w:rsid w:val="009165C1"/>
    <w:rsid w:val="009178ED"/>
    <w:rsid w:val="00920E0D"/>
    <w:rsid w:val="0092137D"/>
    <w:rsid w:val="00925FA0"/>
    <w:rsid w:val="00926FB3"/>
    <w:rsid w:val="00927FA5"/>
    <w:rsid w:val="00930810"/>
    <w:rsid w:val="00932347"/>
    <w:rsid w:val="00932697"/>
    <w:rsid w:val="009345F1"/>
    <w:rsid w:val="00936D92"/>
    <w:rsid w:val="00943325"/>
    <w:rsid w:val="0094409A"/>
    <w:rsid w:val="009506CE"/>
    <w:rsid w:val="00950951"/>
    <w:rsid w:val="009522EA"/>
    <w:rsid w:val="009576CC"/>
    <w:rsid w:val="00962267"/>
    <w:rsid w:val="00963693"/>
    <w:rsid w:val="00963F34"/>
    <w:rsid w:val="00963FAC"/>
    <w:rsid w:val="0096604D"/>
    <w:rsid w:val="00966E78"/>
    <w:rsid w:val="0096759D"/>
    <w:rsid w:val="00970B61"/>
    <w:rsid w:val="00971B41"/>
    <w:rsid w:val="00973AF7"/>
    <w:rsid w:val="0097616A"/>
    <w:rsid w:val="00980E67"/>
    <w:rsid w:val="009812E0"/>
    <w:rsid w:val="009816D2"/>
    <w:rsid w:val="00983DB5"/>
    <w:rsid w:val="009852E8"/>
    <w:rsid w:val="00985862"/>
    <w:rsid w:val="00987EF8"/>
    <w:rsid w:val="0099220B"/>
    <w:rsid w:val="00994216"/>
    <w:rsid w:val="00996E09"/>
    <w:rsid w:val="009B1550"/>
    <w:rsid w:val="009B22A2"/>
    <w:rsid w:val="009B447C"/>
    <w:rsid w:val="009B4519"/>
    <w:rsid w:val="009B6DB4"/>
    <w:rsid w:val="009B6F85"/>
    <w:rsid w:val="009B712A"/>
    <w:rsid w:val="009C4452"/>
    <w:rsid w:val="009C4CF4"/>
    <w:rsid w:val="009C5F32"/>
    <w:rsid w:val="009D13A5"/>
    <w:rsid w:val="009D4704"/>
    <w:rsid w:val="009D6983"/>
    <w:rsid w:val="009D7A7F"/>
    <w:rsid w:val="009E0D5B"/>
    <w:rsid w:val="009E106B"/>
    <w:rsid w:val="009E1318"/>
    <w:rsid w:val="009E1C35"/>
    <w:rsid w:val="009E2235"/>
    <w:rsid w:val="009E3F10"/>
    <w:rsid w:val="009E53E6"/>
    <w:rsid w:val="009F18ED"/>
    <w:rsid w:val="009F1AF8"/>
    <w:rsid w:val="009F245C"/>
    <w:rsid w:val="009F3458"/>
    <w:rsid w:val="009F6FDE"/>
    <w:rsid w:val="00A03E1D"/>
    <w:rsid w:val="00A050AF"/>
    <w:rsid w:val="00A06655"/>
    <w:rsid w:val="00A06A96"/>
    <w:rsid w:val="00A07C8C"/>
    <w:rsid w:val="00A13AE5"/>
    <w:rsid w:val="00A14C73"/>
    <w:rsid w:val="00A202D7"/>
    <w:rsid w:val="00A22165"/>
    <w:rsid w:val="00A25F69"/>
    <w:rsid w:val="00A32020"/>
    <w:rsid w:val="00A3218C"/>
    <w:rsid w:val="00A33792"/>
    <w:rsid w:val="00A33CE6"/>
    <w:rsid w:val="00A33FBA"/>
    <w:rsid w:val="00A37F3C"/>
    <w:rsid w:val="00A41CC7"/>
    <w:rsid w:val="00A429A4"/>
    <w:rsid w:val="00A43169"/>
    <w:rsid w:val="00A440DE"/>
    <w:rsid w:val="00A44B42"/>
    <w:rsid w:val="00A45556"/>
    <w:rsid w:val="00A50EAE"/>
    <w:rsid w:val="00A53F48"/>
    <w:rsid w:val="00A56339"/>
    <w:rsid w:val="00A60816"/>
    <w:rsid w:val="00A64F4E"/>
    <w:rsid w:val="00A64FBA"/>
    <w:rsid w:val="00A66B78"/>
    <w:rsid w:val="00A73358"/>
    <w:rsid w:val="00A75B9F"/>
    <w:rsid w:val="00A75D4C"/>
    <w:rsid w:val="00A7638E"/>
    <w:rsid w:val="00A76B50"/>
    <w:rsid w:val="00A8125D"/>
    <w:rsid w:val="00A8191D"/>
    <w:rsid w:val="00A82829"/>
    <w:rsid w:val="00A87BB1"/>
    <w:rsid w:val="00A92A96"/>
    <w:rsid w:val="00A956FD"/>
    <w:rsid w:val="00A972A6"/>
    <w:rsid w:val="00AA036F"/>
    <w:rsid w:val="00AA1020"/>
    <w:rsid w:val="00AA424D"/>
    <w:rsid w:val="00AA644C"/>
    <w:rsid w:val="00AB0EB2"/>
    <w:rsid w:val="00AB1EF2"/>
    <w:rsid w:val="00AB2C22"/>
    <w:rsid w:val="00AB5236"/>
    <w:rsid w:val="00AB612D"/>
    <w:rsid w:val="00AB6275"/>
    <w:rsid w:val="00AB7C22"/>
    <w:rsid w:val="00AC0606"/>
    <w:rsid w:val="00AC0A55"/>
    <w:rsid w:val="00AC20AC"/>
    <w:rsid w:val="00AC58E0"/>
    <w:rsid w:val="00AD34D1"/>
    <w:rsid w:val="00AD5B95"/>
    <w:rsid w:val="00AD716A"/>
    <w:rsid w:val="00AE6F78"/>
    <w:rsid w:val="00AF5164"/>
    <w:rsid w:val="00B025D3"/>
    <w:rsid w:val="00B0437A"/>
    <w:rsid w:val="00B04A2D"/>
    <w:rsid w:val="00B068B2"/>
    <w:rsid w:val="00B070F1"/>
    <w:rsid w:val="00B26D99"/>
    <w:rsid w:val="00B32ECD"/>
    <w:rsid w:val="00B36518"/>
    <w:rsid w:val="00B37C58"/>
    <w:rsid w:val="00B4381D"/>
    <w:rsid w:val="00B44BBE"/>
    <w:rsid w:val="00B46152"/>
    <w:rsid w:val="00B54F77"/>
    <w:rsid w:val="00B57D45"/>
    <w:rsid w:val="00B63697"/>
    <w:rsid w:val="00B63A95"/>
    <w:rsid w:val="00B63DD4"/>
    <w:rsid w:val="00B65AFC"/>
    <w:rsid w:val="00B7163D"/>
    <w:rsid w:val="00B718D2"/>
    <w:rsid w:val="00B72CB2"/>
    <w:rsid w:val="00B76A14"/>
    <w:rsid w:val="00B77B45"/>
    <w:rsid w:val="00B801FC"/>
    <w:rsid w:val="00B805D0"/>
    <w:rsid w:val="00B83122"/>
    <w:rsid w:val="00B96534"/>
    <w:rsid w:val="00BA16C1"/>
    <w:rsid w:val="00BA565E"/>
    <w:rsid w:val="00BA7E90"/>
    <w:rsid w:val="00BB0DB0"/>
    <w:rsid w:val="00BB11DC"/>
    <w:rsid w:val="00BB190D"/>
    <w:rsid w:val="00BB2438"/>
    <w:rsid w:val="00BB3AE5"/>
    <w:rsid w:val="00BB5009"/>
    <w:rsid w:val="00BB51A3"/>
    <w:rsid w:val="00BB5879"/>
    <w:rsid w:val="00BB5FE0"/>
    <w:rsid w:val="00BC014A"/>
    <w:rsid w:val="00BC6F32"/>
    <w:rsid w:val="00BC727B"/>
    <w:rsid w:val="00BD223F"/>
    <w:rsid w:val="00BD3A78"/>
    <w:rsid w:val="00BD417D"/>
    <w:rsid w:val="00BD5A59"/>
    <w:rsid w:val="00BD6FC1"/>
    <w:rsid w:val="00BE1007"/>
    <w:rsid w:val="00BE1835"/>
    <w:rsid w:val="00BE1F0C"/>
    <w:rsid w:val="00BE4877"/>
    <w:rsid w:val="00BE750C"/>
    <w:rsid w:val="00BE7C9C"/>
    <w:rsid w:val="00BF4121"/>
    <w:rsid w:val="00BF617E"/>
    <w:rsid w:val="00BF634B"/>
    <w:rsid w:val="00C0081D"/>
    <w:rsid w:val="00C0218E"/>
    <w:rsid w:val="00C05C89"/>
    <w:rsid w:val="00C068A8"/>
    <w:rsid w:val="00C0718D"/>
    <w:rsid w:val="00C12180"/>
    <w:rsid w:val="00C14DAF"/>
    <w:rsid w:val="00C1562C"/>
    <w:rsid w:val="00C21004"/>
    <w:rsid w:val="00C21758"/>
    <w:rsid w:val="00C22F62"/>
    <w:rsid w:val="00C23642"/>
    <w:rsid w:val="00C27D2A"/>
    <w:rsid w:val="00C30D80"/>
    <w:rsid w:val="00C4034B"/>
    <w:rsid w:val="00C43C9D"/>
    <w:rsid w:val="00C45C3A"/>
    <w:rsid w:val="00C5189D"/>
    <w:rsid w:val="00C520B5"/>
    <w:rsid w:val="00C5581D"/>
    <w:rsid w:val="00C57650"/>
    <w:rsid w:val="00C576D3"/>
    <w:rsid w:val="00C6039B"/>
    <w:rsid w:val="00C66B7A"/>
    <w:rsid w:val="00C700D6"/>
    <w:rsid w:val="00C746F7"/>
    <w:rsid w:val="00C76AEF"/>
    <w:rsid w:val="00C76E5E"/>
    <w:rsid w:val="00C852C7"/>
    <w:rsid w:val="00C8597B"/>
    <w:rsid w:val="00C869D1"/>
    <w:rsid w:val="00C87933"/>
    <w:rsid w:val="00C91546"/>
    <w:rsid w:val="00C93C3F"/>
    <w:rsid w:val="00C93D18"/>
    <w:rsid w:val="00C94130"/>
    <w:rsid w:val="00C952E0"/>
    <w:rsid w:val="00C960D0"/>
    <w:rsid w:val="00CA02B5"/>
    <w:rsid w:val="00CA02E4"/>
    <w:rsid w:val="00CA159F"/>
    <w:rsid w:val="00CA219F"/>
    <w:rsid w:val="00CA26D2"/>
    <w:rsid w:val="00CA5204"/>
    <w:rsid w:val="00CB5F89"/>
    <w:rsid w:val="00CB7CCF"/>
    <w:rsid w:val="00CC3BE3"/>
    <w:rsid w:val="00CC5732"/>
    <w:rsid w:val="00CC625D"/>
    <w:rsid w:val="00CD007D"/>
    <w:rsid w:val="00CD32D2"/>
    <w:rsid w:val="00CD6A25"/>
    <w:rsid w:val="00CD6CB9"/>
    <w:rsid w:val="00CE312A"/>
    <w:rsid w:val="00CE5941"/>
    <w:rsid w:val="00CF03D1"/>
    <w:rsid w:val="00CF1BC7"/>
    <w:rsid w:val="00CF2543"/>
    <w:rsid w:val="00CF2FC4"/>
    <w:rsid w:val="00CF3347"/>
    <w:rsid w:val="00CF3B30"/>
    <w:rsid w:val="00D02787"/>
    <w:rsid w:val="00D04574"/>
    <w:rsid w:val="00D0499A"/>
    <w:rsid w:val="00D057C3"/>
    <w:rsid w:val="00D10DE3"/>
    <w:rsid w:val="00D11225"/>
    <w:rsid w:val="00D12A27"/>
    <w:rsid w:val="00D13D9E"/>
    <w:rsid w:val="00D157DB"/>
    <w:rsid w:val="00D1582D"/>
    <w:rsid w:val="00D16B31"/>
    <w:rsid w:val="00D17A58"/>
    <w:rsid w:val="00D2365E"/>
    <w:rsid w:val="00D27A40"/>
    <w:rsid w:val="00D300D1"/>
    <w:rsid w:val="00D36470"/>
    <w:rsid w:val="00D43904"/>
    <w:rsid w:val="00D43F9B"/>
    <w:rsid w:val="00D5151F"/>
    <w:rsid w:val="00D52143"/>
    <w:rsid w:val="00D555BB"/>
    <w:rsid w:val="00D56EE5"/>
    <w:rsid w:val="00D57C82"/>
    <w:rsid w:val="00D57C97"/>
    <w:rsid w:val="00D60374"/>
    <w:rsid w:val="00D60408"/>
    <w:rsid w:val="00D612D7"/>
    <w:rsid w:val="00D63298"/>
    <w:rsid w:val="00D642DE"/>
    <w:rsid w:val="00D659F9"/>
    <w:rsid w:val="00D66645"/>
    <w:rsid w:val="00D66807"/>
    <w:rsid w:val="00D7770B"/>
    <w:rsid w:val="00D80071"/>
    <w:rsid w:val="00D801B3"/>
    <w:rsid w:val="00D821D3"/>
    <w:rsid w:val="00D82587"/>
    <w:rsid w:val="00D87FC8"/>
    <w:rsid w:val="00D9122D"/>
    <w:rsid w:val="00D938D6"/>
    <w:rsid w:val="00D93EF9"/>
    <w:rsid w:val="00DA60C0"/>
    <w:rsid w:val="00DB2F3D"/>
    <w:rsid w:val="00DB5944"/>
    <w:rsid w:val="00DB7BC3"/>
    <w:rsid w:val="00DC06DE"/>
    <w:rsid w:val="00DC2AEC"/>
    <w:rsid w:val="00DC4283"/>
    <w:rsid w:val="00DD284E"/>
    <w:rsid w:val="00DE5BCA"/>
    <w:rsid w:val="00DF28A8"/>
    <w:rsid w:val="00DF4A2F"/>
    <w:rsid w:val="00DF5B51"/>
    <w:rsid w:val="00DF62BF"/>
    <w:rsid w:val="00DF74F6"/>
    <w:rsid w:val="00E01D44"/>
    <w:rsid w:val="00E05B87"/>
    <w:rsid w:val="00E06E0A"/>
    <w:rsid w:val="00E127BC"/>
    <w:rsid w:val="00E14201"/>
    <w:rsid w:val="00E147BD"/>
    <w:rsid w:val="00E15835"/>
    <w:rsid w:val="00E161EA"/>
    <w:rsid w:val="00E1626C"/>
    <w:rsid w:val="00E17B7A"/>
    <w:rsid w:val="00E2164B"/>
    <w:rsid w:val="00E25AA9"/>
    <w:rsid w:val="00E275E0"/>
    <w:rsid w:val="00E31024"/>
    <w:rsid w:val="00E34432"/>
    <w:rsid w:val="00E347E4"/>
    <w:rsid w:val="00E34CEF"/>
    <w:rsid w:val="00E36679"/>
    <w:rsid w:val="00E37009"/>
    <w:rsid w:val="00E441F3"/>
    <w:rsid w:val="00E444F7"/>
    <w:rsid w:val="00E47491"/>
    <w:rsid w:val="00E47B6D"/>
    <w:rsid w:val="00E54F90"/>
    <w:rsid w:val="00E55ECA"/>
    <w:rsid w:val="00E57E8F"/>
    <w:rsid w:val="00E610B7"/>
    <w:rsid w:val="00E616FE"/>
    <w:rsid w:val="00E61E09"/>
    <w:rsid w:val="00E719CB"/>
    <w:rsid w:val="00E7248E"/>
    <w:rsid w:val="00E73256"/>
    <w:rsid w:val="00E7508F"/>
    <w:rsid w:val="00E775F3"/>
    <w:rsid w:val="00E77E7B"/>
    <w:rsid w:val="00E8010F"/>
    <w:rsid w:val="00E86879"/>
    <w:rsid w:val="00E90B02"/>
    <w:rsid w:val="00E92067"/>
    <w:rsid w:val="00E94836"/>
    <w:rsid w:val="00EA1A88"/>
    <w:rsid w:val="00EA1DE7"/>
    <w:rsid w:val="00EA5A52"/>
    <w:rsid w:val="00EA5E6F"/>
    <w:rsid w:val="00EB4085"/>
    <w:rsid w:val="00EB4944"/>
    <w:rsid w:val="00EB5536"/>
    <w:rsid w:val="00EB6AFA"/>
    <w:rsid w:val="00EB6D5F"/>
    <w:rsid w:val="00EC1101"/>
    <w:rsid w:val="00EC1908"/>
    <w:rsid w:val="00EC30A2"/>
    <w:rsid w:val="00EC3131"/>
    <w:rsid w:val="00EC348D"/>
    <w:rsid w:val="00EC4872"/>
    <w:rsid w:val="00EC56F9"/>
    <w:rsid w:val="00ED1BE6"/>
    <w:rsid w:val="00ED3C86"/>
    <w:rsid w:val="00ED7BBC"/>
    <w:rsid w:val="00EF1D20"/>
    <w:rsid w:val="00EF2CED"/>
    <w:rsid w:val="00EF31ED"/>
    <w:rsid w:val="00EF7F39"/>
    <w:rsid w:val="00F01990"/>
    <w:rsid w:val="00F01FA3"/>
    <w:rsid w:val="00F16D70"/>
    <w:rsid w:val="00F245F7"/>
    <w:rsid w:val="00F248FD"/>
    <w:rsid w:val="00F25CCF"/>
    <w:rsid w:val="00F262CC"/>
    <w:rsid w:val="00F32600"/>
    <w:rsid w:val="00F32F21"/>
    <w:rsid w:val="00F377D8"/>
    <w:rsid w:val="00F379F6"/>
    <w:rsid w:val="00F42845"/>
    <w:rsid w:val="00F46A44"/>
    <w:rsid w:val="00F47E07"/>
    <w:rsid w:val="00F52244"/>
    <w:rsid w:val="00F5399B"/>
    <w:rsid w:val="00F54398"/>
    <w:rsid w:val="00F570A6"/>
    <w:rsid w:val="00F63380"/>
    <w:rsid w:val="00F64009"/>
    <w:rsid w:val="00F647D0"/>
    <w:rsid w:val="00F65F8D"/>
    <w:rsid w:val="00F7333A"/>
    <w:rsid w:val="00F73796"/>
    <w:rsid w:val="00F7673F"/>
    <w:rsid w:val="00F7752F"/>
    <w:rsid w:val="00F81EF1"/>
    <w:rsid w:val="00F8644C"/>
    <w:rsid w:val="00F87AC8"/>
    <w:rsid w:val="00F9795C"/>
    <w:rsid w:val="00FA20C5"/>
    <w:rsid w:val="00FA3E9E"/>
    <w:rsid w:val="00FA55F6"/>
    <w:rsid w:val="00FA723D"/>
    <w:rsid w:val="00FA7BE6"/>
    <w:rsid w:val="00FB06E4"/>
    <w:rsid w:val="00FC29B2"/>
    <w:rsid w:val="00FC3DB4"/>
    <w:rsid w:val="00FC6ADB"/>
    <w:rsid w:val="00FD1AC6"/>
    <w:rsid w:val="00FD1C4B"/>
    <w:rsid w:val="00FD2E83"/>
    <w:rsid w:val="00FD2F04"/>
    <w:rsid w:val="00FD42CB"/>
    <w:rsid w:val="00FD4ACE"/>
    <w:rsid w:val="00FD675E"/>
    <w:rsid w:val="00FE0BE9"/>
    <w:rsid w:val="00FE141D"/>
    <w:rsid w:val="00FE33D3"/>
    <w:rsid w:val="00FE5708"/>
    <w:rsid w:val="00FF405F"/>
    <w:rsid w:val="00FF4734"/>
    <w:rsid w:val="00FF7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1"/>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513BBB"/>
  </w:style>
  <w:style w:type="paragraph" w:customStyle="1" w:styleId="CM13">
    <w:name w:val="CM13"/>
    <w:basedOn w:val="Default"/>
    <w:next w:val="Default"/>
    <w:uiPriority w:val="99"/>
    <w:rsid w:val="00AA036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3707"/>
    <w:pPr>
      <w:spacing w:line="1321" w:lineRule="atLeast"/>
    </w:pPr>
    <w:rPr>
      <w:rFonts w:ascii="Times New Roman" w:eastAsiaTheme="minorHAnsi" w:hAnsi="Times New Roman" w:cs="Times New Roman"/>
      <w:color w:val="auto"/>
      <w:lang w:eastAsia="en-US"/>
    </w:rPr>
  </w:style>
  <w:style w:type="character" w:customStyle="1" w:styleId="A10">
    <w:name w:val="A10"/>
    <w:uiPriority w:val="99"/>
    <w:rsid w:val="005232B8"/>
    <w:rPr>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1"/>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513BBB"/>
  </w:style>
  <w:style w:type="paragraph" w:customStyle="1" w:styleId="CM13">
    <w:name w:val="CM13"/>
    <w:basedOn w:val="Default"/>
    <w:next w:val="Default"/>
    <w:uiPriority w:val="99"/>
    <w:rsid w:val="00AA036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3707"/>
    <w:pPr>
      <w:spacing w:line="1321" w:lineRule="atLeast"/>
    </w:pPr>
    <w:rPr>
      <w:rFonts w:ascii="Times New Roman" w:eastAsiaTheme="minorHAnsi" w:hAnsi="Times New Roman" w:cs="Times New Roman"/>
      <w:color w:val="auto"/>
      <w:lang w:eastAsia="en-US"/>
    </w:rPr>
  </w:style>
  <w:style w:type="character" w:customStyle="1" w:styleId="A10">
    <w:name w:val="A10"/>
    <w:uiPriority w:val="99"/>
    <w:rsid w:val="005232B8"/>
    <w:rPr>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4029">
      <w:bodyDiv w:val="1"/>
      <w:marLeft w:val="0"/>
      <w:marRight w:val="0"/>
      <w:marTop w:val="0"/>
      <w:marBottom w:val="0"/>
      <w:divBdr>
        <w:top w:val="none" w:sz="0" w:space="0" w:color="auto"/>
        <w:left w:val="none" w:sz="0" w:space="0" w:color="auto"/>
        <w:bottom w:val="none" w:sz="0" w:space="0" w:color="auto"/>
        <w:right w:val="none" w:sz="0" w:space="0" w:color="auto"/>
      </w:divBdr>
      <w:divsChild>
        <w:div w:id="2081248058">
          <w:marLeft w:val="0"/>
          <w:marRight w:val="0"/>
          <w:marTop w:val="0"/>
          <w:marBottom w:val="0"/>
          <w:divBdr>
            <w:top w:val="none" w:sz="0" w:space="0" w:color="auto"/>
            <w:left w:val="none" w:sz="0" w:space="0" w:color="auto"/>
            <w:bottom w:val="none" w:sz="0" w:space="0" w:color="auto"/>
            <w:right w:val="none" w:sz="0" w:space="0" w:color="auto"/>
          </w:divBdr>
          <w:divsChild>
            <w:div w:id="282613149">
              <w:marLeft w:val="0"/>
              <w:marRight w:val="0"/>
              <w:marTop w:val="0"/>
              <w:marBottom w:val="0"/>
              <w:divBdr>
                <w:top w:val="none" w:sz="0" w:space="0" w:color="auto"/>
                <w:left w:val="none" w:sz="0" w:space="0" w:color="auto"/>
                <w:bottom w:val="none" w:sz="0" w:space="0" w:color="auto"/>
                <w:right w:val="none" w:sz="0" w:space="0" w:color="auto"/>
              </w:divBdr>
              <w:divsChild>
                <w:div w:id="1124154312">
                  <w:marLeft w:val="0"/>
                  <w:marRight w:val="0"/>
                  <w:marTop w:val="0"/>
                  <w:marBottom w:val="0"/>
                  <w:divBdr>
                    <w:top w:val="none" w:sz="0" w:space="0" w:color="auto"/>
                    <w:left w:val="none" w:sz="0" w:space="0" w:color="auto"/>
                    <w:bottom w:val="none" w:sz="0" w:space="0" w:color="auto"/>
                    <w:right w:val="none" w:sz="0" w:space="0" w:color="auto"/>
                  </w:divBdr>
                  <w:divsChild>
                    <w:div w:id="743185031">
                      <w:marLeft w:val="0"/>
                      <w:marRight w:val="0"/>
                      <w:marTop w:val="0"/>
                      <w:marBottom w:val="0"/>
                      <w:divBdr>
                        <w:top w:val="none" w:sz="0" w:space="0" w:color="auto"/>
                        <w:left w:val="none" w:sz="0" w:space="0" w:color="auto"/>
                        <w:bottom w:val="none" w:sz="0" w:space="0" w:color="auto"/>
                        <w:right w:val="none" w:sz="0" w:space="0" w:color="auto"/>
                      </w:divBdr>
                      <w:divsChild>
                        <w:div w:id="1326401365">
                          <w:marLeft w:val="0"/>
                          <w:marRight w:val="0"/>
                          <w:marTop w:val="0"/>
                          <w:marBottom w:val="0"/>
                          <w:divBdr>
                            <w:top w:val="none" w:sz="0" w:space="0" w:color="auto"/>
                            <w:left w:val="none" w:sz="0" w:space="0" w:color="auto"/>
                            <w:bottom w:val="none" w:sz="0" w:space="0" w:color="auto"/>
                            <w:right w:val="none" w:sz="0" w:space="0" w:color="auto"/>
                          </w:divBdr>
                          <w:divsChild>
                            <w:div w:id="1753308585">
                              <w:marLeft w:val="0"/>
                              <w:marRight w:val="0"/>
                              <w:marTop w:val="0"/>
                              <w:marBottom w:val="0"/>
                              <w:divBdr>
                                <w:top w:val="none" w:sz="0" w:space="0" w:color="auto"/>
                                <w:left w:val="none" w:sz="0" w:space="0" w:color="auto"/>
                                <w:bottom w:val="none" w:sz="0" w:space="0" w:color="auto"/>
                                <w:right w:val="none" w:sz="0" w:space="0" w:color="auto"/>
                              </w:divBdr>
                              <w:divsChild>
                                <w:div w:id="316610161">
                                  <w:marLeft w:val="0"/>
                                  <w:marRight w:val="0"/>
                                  <w:marTop w:val="0"/>
                                  <w:marBottom w:val="0"/>
                                  <w:divBdr>
                                    <w:top w:val="none" w:sz="0" w:space="0" w:color="auto"/>
                                    <w:left w:val="none" w:sz="0" w:space="0" w:color="auto"/>
                                    <w:bottom w:val="none" w:sz="0" w:space="0" w:color="auto"/>
                                    <w:right w:val="none" w:sz="0" w:space="0" w:color="auto"/>
                                  </w:divBdr>
                                  <w:divsChild>
                                    <w:div w:id="868681739">
                                      <w:marLeft w:val="0"/>
                                      <w:marRight w:val="0"/>
                                      <w:marTop w:val="0"/>
                                      <w:marBottom w:val="0"/>
                                      <w:divBdr>
                                        <w:top w:val="none" w:sz="0" w:space="0" w:color="auto"/>
                                        <w:left w:val="none" w:sz="0" w:space="0" w:color="auto"/>
                                        <w:bottom w:val="none" w:sz="0" w:space="0" w:color="auto"/>
                                        <w:right w:val="none" w:sz="0" w:space="0" w:color="auto"/>
                                      </w:divBdr>
                                      <w:divsChild>
                                        <w:div w:id="1478690511">
                                          <w:marLeft w:val="0"/>
                                          <w:marRight w:val="0"/>
                                          <w:marTop w:val="0"/>
                                          <w:marBottom w:val="0"/>
                                          <w:divBdr>
                                            <w:top w:val="none" w:sz="0" w:space="0" w:color="auto"/>
                                            <w:left w:val="single" w:sz="6" w:space="0" w:color="999999"/>
                                            <w:bottom w:val="none" w:sz="0" w:space="0" w:color="auto"/>
                                            <w:right w:val="none" w:sz="0" w:space="0" w:color="auto"/>
                                          </w:divBdr>
                                          <w:divsChild>
                                            <w:div w:id="1784642144">
                                              <w:marLeft w:val="0"/>
                                              <w:marRight w:val="0"/>
                                              <w:marTop w:val="150"/>
                                              <w:marBottom w:val="150"/>
                                              <w:divBdr>
                                                <w:top w:val="none" w:sz="0" w:space="0" w:color="auto"/>
                                                <w:left w:val="none" w:sz="0" w:space="0" w:color="auto"/>
                                                <w:bottom w:val="none" w:sz="0" w:space="0" w:color="auto"/>
                                                <w:right w:val="none" w:sz="0" w:space="0" w:color="auto"/>
                                              </w:divBdr>
                                              <w:divsChild>
                                                <w:div w:id="557277757">
                                                  <w:marLeft w:val="0"/>
                                                  <w:marRight w:val="0"/>
                                                  <w:marTop w:val="0"/>
                                                  <w:marBottom w:val="0"/>
                                                  <w:divBdr>
                                                    <w:top w:val="none" w:sz="0" w:space="0" w:color="auto"/>
                                                    <w:left w:val="none" w:sz="0" w:space="0" w:color="auto"/>
                                                    <w:bottom w:val="none" w:sz="0" w:space="0" w:color="auto"/>
                                                    <w:right w:val="none" w:sz="0" w:space="0" w:color="auto"/>
                                                  </w:divBdr>
                                                  <w:divsChild>
                                                    <w:div w:id="10114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16724">
      <w:bodyDiv w:val="1"/>
      <w:marLeft w:val="0"/>
      <w:marRight w:val="0"/>
      <w:marTop w:val="0"/>
      <w:marBottom w:val="0"/>
      <w:divBdr>
        <w:top w:val="none" w:sz="0" w:space="0" w:color="auto"/>
        <w:left w:val="none" w:sz="0" w:space="0" w:color="auto"/>
        <w:bottom w:val="none" w:sz="0" w:space="0" w:color="auto"/>
        <w:right w:val="none" w:sz="0" w:space="0" w:color="auto"/>
      </w:divBdr>
      <w:divsChild>
        <w:div w:id="78721194">
          <w:marLeft w:val="0"/>
          <w:marRight w:val="0"/>
          <w:marTop w:val="0"/>
          <w:marBottom w:val="0"/>
          <w:divBdr>
            <w:top w:val="none" w:sz="0" w:space="0" w:color="auto"/>
            <w:left w:val="none" w:sz="0" w:space="0" w:color="auto"/>
            <w:bottom w:val="none" w:sz="0" w:space="0" w:color="auto"/>
            <w:right w:val="none" w:sz="0" w:space="0" w:color="auto"/>
          </w:divBdr>
          <w:divsChild>
            <w:div w:id="1189492460">
              <w:marLeft w:val="0"/>
              <w:marRight w:val="0"/>
              <w:marTop w:val="0"/>
              <w:marBottom w:val="0"/>
              <w:divBdr>
                <w:top w:val="none" w:sz="0" w:space="0" w:color="auto"/>
                <w:left w:val="none" w:sz="0" w:space="0" w:color="auto"/>
                <w:bottom w:val="none" w:sz="0" w:space="0" w:color="auto"/>
                <w:right w:val="none" w:sz="0" w:space="0" w:color="auto"/>
              </w:divBdr>
              <w:divsChild>
                <w:div w:id="463231811">
                  <w:marLeft w:val="0"/>
                  <w:marRight w:val="0"/>
                  <w:marTop w:val="0"/>
                  <w:marBottom w:val="0"/>
                  <w:divBdr>
                    <w:top w:val="none" w:sz="0" w:space="0" w:color="auto"/>
                    <w:left w:val="none" w:sz="0" w:space="0" w:color="auto"/>
                    <w:bottom w:val="none" w:sz="0" w:space="0" w:color="auto"/>
                    <w:right w:val="none" w:sz="0" w:space="0" w:color="auto"/>
                  </w:divBdr>
                  <w:divsChild>
                    <w:div w:id="77557798">
                      <w:marLeft w:val="0"/>
                      <w:marRight w:val="0"/>
                      <w:marTop w:val="0"/>
                      <w:marBottom w:val="0"/>
                      <w:divBdr>
                        <w:top w:val="none" w:sz="0" w:space="0" w:color="auto"/>
                        <w:left w:val="none" w:sz="0" w:space="0" w:color="auto"/>
                        <w:bottom w:val="none" w:sz="0" w:space="0" w:color="auto"/>
                        <w:right w:val="none" w:sz="0" w:space="0" w:color="auto"/>
                      </w:divBdr>
                      <w:divsChild>
                        <w:div w:id="1470392374">
                          <w:marLeft w:val="0"/>
                          <w:marRight w:val="0"/>
                          <w:marTop w:val="0"/>
                          <w:marBottom w:val="0"/>
                          <w:divBdr>
                            <w:top w:val="none" w:sz="0" w:space="0" w:color="auto"/>
                            <w:left w:val="none" w:sz="0" w:space="0" w:color="auto"/>
                            <w:bottom w:val="none" w:sz="0" w:space="0" w:color="auto"/>
                            <w:right w:val="none" w:sz="0" w:space="0" w:color="auto"/>
                          </w:divBdr>
                          <w:divsChild>
                            <w:div w:id="1116869142">
                              <w:marLeft w:val="0"/>
                              <w:marRight w:val="0"/>
                              <w:marTop w:val="0"/>
                              <w:marBottom w:val="0"/>
                              <w:divBdr>
                                <w:top w:val="none" w:sz="0" w:space="0" w:color="auto"/>
                                <w:left w:val="none" w:sz="0" w:space="0" w:color="auto"/>
                                <w:bottom w:val="none" w:sz="0" w:space="0" w:color="auto"/>
                                <w:right w:val="none" w:sz="0" w:space="0" w:color="auto"/>
                              </w:divBdr>
                              <w:divsChild>
                                <w:div w:id="907960619">
                                  <w:marLeft w:val="0"/>
                                  <w:marRight w:val="0"/>
                                  <w:marTop w:val="0"/>
                                  <w:marBottom w:val="0"/>
                                  <w:divBdr>
                                    <w:top w:val="none" w:sz="0" w:space="0" w:color="auto"/>
                                    <w:left w:val="none" w:sz="0" w:space="0" w:color="auto"/>
                                    <w:bottom w:val="none" w:sz="0" w:space="0" w:color="auto"/>
                                    <w:right w:val="none" w:sz="0" w:space="0" w:color="auto"/>
                                  </w:divBdr>
                                  <w:divsChild>
                                    <w:div w:id="228930231">
                                      <w:marLeft w:val="0"/>
                                      <w:marRight w:val="0"/>
                                      <w:marTop w:val="0"/>
                                      <w:marBottom w:val="0"/>
                                      <w:divBdr>
                                        <w:top w:val="none" w:sz="0" w:space="0" w:color="auto"/>
                                        <w:left w:val="none" w:sz="0" w:space="0" w:color="auto"/>
                                        <w:bottom w:val="none" w:sz="0" w:space="0" w:color="auto"/>
                                        <w:right w:val="none" w:sz="0" w:space="0" w:color="auto"/>
                                      </w:divBdr>
                                      <w:divsChild>
                                        <w:div w:id="1453284762">
                                          <w:marLeft w:val="0"/>
                                          <w:marRight w:val="0"/>
                                          <w:marTop w:val="0"/>
                                          <w:marBottom w:val="0"/>
                                          <w:divBdr>
                                            <w:top w:val="none" w:sz="0" w:space="0" w:color="auto"/>
                                            <w:left w:val="single" w:sz="6" w:space="0" w:color="999999"/>
                                            <w:bottom w:val="none" w:sz="0" w:space="0" w:color="auto"/>
                                            <w:right w:val="none" w:sz="0" w:space="0" w:color="auto"/>
                                          </w:divBdr>
                                          <w:divsChild>
                                            <w:div w:id="257064754">
                                              <w:marLeft w:val="0"/>
                                              <w:marRight w:val="0"/>
                                              <w:marTop w:val="150"/>
                                              <w:marBottom w:val="150"/>
                                              <w:divBdr>
                                                <w:top w:val="none" w:sz="0" w:space="0" w:color="auto"/>
                                                <w:left w:val="none" w:sz="0" w:space="0" w:color="auto"/>
                                                <w:bottom w:val="none" w:sz="0" w:space="0" w:color="auto"/>
                                                <w:right w:val="none" w:sz="0" w:space="0" w:color="auto"/>
                                              </w:divBdr>
                                              <w:divsChild>
                                                <w:div w:id="1062361962">
                                                  <w:marLeft w:val="0"/>
                                                  <w:marRight w:val="0"/>
                                                  <w:marTop w:val="0"/>
                                                  <w:marBottom w:val="0"/>
                                                  <w:divBdr>
                                                    <w:top w:val="none" w:sz="0" w:space="0" w:color="auto"/>
                                                    <w:left w:val="none" w:sz="0" w:space="0" w:color="auto"/>
                                                    <w:bottom w:val="none" w:sz="0" w:space="0" w:color="auto"/>
                                                    <w:right w:val="none" w:sz="0" w:space="0" w:color="auto"/>
                                                  </w:divBdr>
                                                  <w:divsChild>
                                                    <w:div w:id="18897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188222116">
      <w:bodyDiv w:val="1"/>
      <w:marLeft w:val="0"/>
      <w:marRight w:val="0"/>
      <w:marTop w:val="0"/>
      <w:marBottom w:val="0"/>
      <w:divBdr>
        <w:top w:val="none" w:sz="0" w:space="0" w:color="auto"/>
        <w:left w:val="none" w:sz="0" w:space="0" w:color="auto"/>
        <w:bottom w:val="none" w:sz="0" w:space="0" w:color="auto"/>
        <w:right w:val="none" w:sz="0" w:space="0" w:color="auto"/>
      </w:divBdr>
      <w:divsChild>
        <w:div w:id="758720391">
          <w:marLeft w:val="0"/>
          <w:marRight w:val="0"/>
          <w:marTop w:val="0"/>
          <w:marBottom w:val="0"/>
          <w:divBdr>
            <w:top w:val="none" w:sz="0" w:space="0" w:color="auto"/>
            <w:left w:val="none" w:sz="0" w:space="0" w:color="auto"/>
            <w:bottom w:val="none" w:sz="0" w:space="0" w:color="auto"/>
            <w:right w:val="none" w:sz="0" w:space="0" w:color="auto"/>
          </w:divBdr>
          <w:divsChild>
            <w:div w:id="625162642">
              <w:marLeft w:val="0"/>
              <w:marRight w:val="0"/>
              <w:marTop w:val="0"/>
              <w:marBottom w:val="0"/>
              <w:divBdr>
                <w:top w:val="none" w:sz="0" w:space="0" w:color="auto"/>
                <w:left w:val="none" w:sz="0" w:space="0" w:color="auto"/>
                <w:bottom w:val="none" w:sz="0" w:space="0" w:color="auto"/>
                <w:right w:val="none" w:sz="0" w:space="0" w:color="auto"/>
              </w:divBdr>
              <w:divsChild>
                <w:div w:id="1734935299">
                  <w:marLeft w:val="0"/>
                  <w:marRight w:val="0"/>
                  <w:marTop w:val="0"/>
                  <w:marBottom w:val="0"/>
                  <w:divBdr>
                    <w:top w:val="none" w:sz="0" w:space="0" w:color="auto"/>
                    <w:left w:val="none" w:sz="0" w:space="0" w:color="auto"/>
                    <w:bottom w:val="none" w:sz="0" w:space="0" w:color="auto"/>
                    <w:right w:val="none" w:sz="0" w:space="0" w:color="auto"/>
                  </w:divBdr>
                  <w:divsChild>
                    <w:div w:id="1209099991">
                      <w:marLeft w:val="0"/>
                      <w:marRight w:val="0"/>
                      <w:marTop w:val="0"/>
                      <w:marBottom w:val="0"/>
                      <w:divBdr>
                        <w:top w:val="none" w:sz="0" w:space="0" w:color="auto"/>
                        <w:left w:val="none" w:sz="0" w:space="0" w:color="auto"/>
                        <w:bottom w:val="none" w:sz="0" w:space="0" w:color="auto"/>
                        <w:right w:val="none" w:sz="0" w:space="0" w:color="auto"/>
                      </w:divBdr>
                      <w:divsChild>
                        <w:div w:id="387415908">
                          <w:marLeft w:val="0"/>
                          <w:marRight w:val="0"/>
                          <w:marTop w:val="0"/>
                          <w:marBottom w:val="0"/>
                          <w:divBdr>
                            <w:top w:val="none" w:sz="0" w:space="0" w:color="auto"/>
                            <w:left w:val="none" w:sz="0" w:space="0" w:color="auto"/>
                            <w:bottom w:val="none" w:sz="0" w:space="0" w:color="auto"/>
                            <w:right w:val="none" w:sz="0" w:space="0" w:color="auto"/>
                          </w:divBdr>
                          <w:divsChild>
                            <w:div w:id="869993693">
                              <w:marLeft w:val="0"/>
                              <w:marRight w:val="0"/>
                              <w:marTop w:val="0"/>
                              <w:marBottom w:val="0"/>
                              <w:divBdr>
                                <w:top w:val="none" w:sz="0" w:space="0" w:color="auto"/>
                                <w:left w:val="none" w:sz="0" w:space="0" w:color="auto"/>
                                <w:bottom w:val="none" w:sz="0" w:space="0" w:color="auto"/>
                                <w:right w:val="none" w:sz="0" w:space="0" w:color="auto"/>
                              </w:divBdr>
                              <w:divsChild>
                                <w:div w:id="18600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02508">
      <w:bodyDiv w:val="1"/>
      <w:marLeft w:val="0"/>
      <w:marRight w:val="0"/>
      <w:marTop w:val="0"/>
      <w:marBottom w:val="0"/>
      <w:divBdr>
        <w:top w:val="none" w:sz="0" w:space="0" w:color="auto"/>
        <w:left w:val="none" w:sz="0" w:space="0" w:color="auto"/>
        <w:bottom w:val="none" w:sz="0" w:space="0" w:color="auto"/>
        <w:right w:val="none" w:sz="0" w:space="0" w:color="auto"/>
      </w:divBdr>
      <w:divsChild>
        <w:div w:id="789588214">
          <w:marLeft w:val="0"/>
          <w:marRight w:val="0"/>
          <w:marTop w:val="0"/>
          <w:marBottom w:val="0"/>
          <w:divBdr>
            <w:top w:val="none" w:sz="0" w:space="0" w:color="auto"/>
            <w:left w:val="none" w:sz="0" w:space="0" w:color="auto"/>
            <w:bottom w:val="none" w:sz="0" w:space="0" w:color="auto"/>
            <w:right w:val="none" w:sz="0" w:space="0" w:color="auto"/>
          </w:divBdr>
          <w:divsChild>
            <w:div w:id="158932438">
              <w:marLeft w:val="0"/>
              <w:marRight w:val="0"/>
              <w:marTop w:val="0"/>
              <w:marBottom w:val="0"/>
              <w:divBdr>
                <w:top w:val="none" w:sz="0" w:space="0" w:color="auto"/>
                <w:left w:val="none" w:sz="0" w:space="0" w:color="auto"/>
                <w:bottom w:val="none" w:sz="0" w:space="0" w:color="auto"/>
                <w:right w:val="none" w:sz="0" w:space="0" w:color="auto"/>
              </w:divBdr>
              <w:divsChild>
                <w:div w:id="1081878885">
                  <w:marLeft w:val="0"/>
                  <w:marRight w:val="0"/>
                  <w:marTop w:val="0"/>
                  <w:marBottom w:val="0"/>
                  <w:divBdr>
                    <w:top w:val="none" w:sz="0" w:space="0" w:color="auto"/>
                    <w:left w:val="none" w:sz="0" w:space="0" w:color="auto"/>
                    <w:bottom w:val="none" w:sz="0" w:space="0" w:color="auto"/>
                    <w:right w:val="none" w:sz="0" w:space="0" w:color="auto"/>
                  </w:divBdr>
                  <w:divsChild>
                    <w:div w:id="2127771590">
                      <w:marLeft w:val="0"/>
                      <w:marRight w:val="0"/>
                      <w:marTop w:val="0"/>
                      <w:marBottom w:val="0"/>
                      <w:divBdr>
                        <w:top w:val="none" w:sz="0" w:space="0" w:color="auto"/>
                        <w:left w:val="none" w:sz="0" w:space="0" w:color="auto"/>
                        <w:bottom w:val="none" w:sz="0" w:space="0" w:color="auto"/>
                        <w:right w:val="none" w:sz="0" w:space="0" w:color="auto"/>
                      </w:divBdr>
                      <w:divsChild>
                        <w:div w:id="874852425">
                          <w:marLeft w:val="0"/>
                          <w:marRight w:val="0"/>
                          <w:marTop w:val="0"/>
                          <w:marBottom w:val="0"/>
                          <w:divBdr>
                            <w:top w:val="none" w:sz="0" w:space="0" w:color="auto"/>
                            <w:left w:val="none" w:sz="0" w:space="0" w:color="auto"/>
                            <w:bottom w:val="none" w:sz="0" w:space="0" w:color="auto"/>
                            <w:right w:val="none" w:sz="0" w:space="0" w:color="auto"/>
                          </w:divBdr>
                          <w:divsChild>
                            <w:div w:id="562722092">
                              <w:marLeft w:val="0"/>
                              <w:marRight w:val="0"/>
                              <w:marTop w:val="0"/>
                              <w:marBottom w:val="0"/>
                              <w:divBdr>
                                <w:top w:val="none" w:sz="0" w:space="0" w:color="auto"/>
                                <w:left w:val="none" w:sz="0" w:space="0" w:color="auto"/>
                                <w:bottom w:val="none" w:sz="0" w:space="0" w:color="auto"/>
                                <w:right w:val="none" w:sz="0" w:space="0" w:color="auto"/>
                              </w:divBdr>
                              <w:divsChild>
                                <w:div w:id="1896306902">
                                  <w:marLeft w:val="0"/>
                                  <w:marRight w:val="0"/>
                                  <w:marTop w:val="0"/>
                                  <w:marBottom w:val="0"/>
                                  <w:divBdr>
                                    <w:top w:val="none" w:sz="0" w:space="0" w:color="auto"/>
                                    <w:left w:val="none" w:sz="0" w:space="0" w:color="auto"/>
                                    <w:bottom w:val="none" w:sz="0" w:space="0" w:color="auto"/>
                                    <w:right w:val="none" w:sz="0" w:space="0" w:color="auto"/>
                                  </w:divBdr>
                                  <w:divsChild>
                                    <w:div w:id="435178674">
                                      <w:marLeft w:val="0"/>
                                      <w:marRight w:val="0"/>
                                      <w:marTop w:val="0"/>
                                      <w:marBottom w:val="0"/>
                                      <w:divBdr>
                                        <w:top w:val="none" w:sz="0" w:space="0" w:color="auto"/>
                                        <w:left w:val="none" w:sz="0" w:space="0" w:color="auto"/>
                                        <w:bottom w:val="none" w:sz="0" w:space="0" w:color="auto"/>
                                        <w:right w:val="none" w:sz="0" w:space="0" w:color="auto"/>
                                      </w:divBdr>
                                      <w:divsChild>
                                        <w:div w:id="541556429">
                                          <w:marLeft w:val="0"/>
                                          <w:marRight w:val="0"/>
                                          <w:marTop w:val="0"/>
                                          <w:marBottom w:val="0"/>
                                          <w:divBdr>
                                            <w:top w:val="none" w:sz="0" w:space="0" w:color="auto"/>
                                            <w:left w:val="single" w:sz="6" w:space="0" w:color="999999"/>
                                            <w:bottom w:val="none" w:sz="0" w:space="0" w:color="auto"/>
                                            <w:right w:val="none" w:sz="0" w:space="0" w:color="auto"/>
                                          </w:divBdr>
                                          <w:divsChild>
                                            <w:div w:id="570503199">
                                              <w:marLeft w:val="0"/>
                                              <w:marRight w:val="0"/>
                                              <w:marTop w:val="150"/>
                                              <w:marBottom w:val="150"/>
                                              <w:divBdr>
                                                <w:top w:val="none" w:sz="0" w:space="0" w:color="auto"/>
                                                <w:left w:val="none" w:sz="0" w:space="0" w:color="auto"/>
                                                <w:bottom w:val="none" w:sz="0" w:space="0" w:color="auto"/>
                                                <w:right w:val="none" w:sz="0" w:space="0" w:color="auto"/>
                                              </w:divBdr>
                                              <w:divsChild>
                                                <w:div w:id="2056812139">
                                                  <w:marLeft w:val="0"/>
                                                  <w:marRight w:val="0"/>
                                                  <w:marTop w:val="0"/>
                                                  <w:marBottom w:val="0"/>
                                                  <w:divBdr>
                                                    <w:top w:val="none" w:sz="0" w:space="0" w:color="auto"/>
                                                    <w:left w:val="none" w:sz="0" w:space="0" w:color="auto"/>
                                                    <w:bottom w:val="none" w:sz="0" w:space="0" w:color="auto"/>
                                                    <w:right w:val="none" w:sz="0" w:space="0" w:color="auto"/>
                                                  </w:divBdr>
                                                  <w:divsChild>
                                                    <w:div w:id="298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90911">
      <w:bodyDiv w:val="1"/>
      <w:marLeft w:val="0"/>
      <w:marRight w:val="0"/>
      <w:marTop w:val="0"/>
      <w:marBottom w:val="0"/>
      <w:divBdr>
        <w:top w:val="none" w:sz="0" w:space="0" w:color="auto"/>
        <w:left w:val="none" w:sz="0" w:space="0" w:color="auto"/>
        <w:bottom w:val="none" w:sz="0" w:space="0" w:color="auto"/>
        <w:right w:val="none" w:sz="0" w:space="0" w:color="auto"/>
      </w:divBdr>
      <w:divsChild>
        <w:div w:id="802700756">
          <w:marLeft w:val="0"/>
          <w:marRight w:val="0"/>
          <w:marTop w:val="0"/>
          <w:marBottom w:val="0"/>
          <w:divBdr>
            <w:top w:val="none" w:sz="0" w:space="0" w:color="auto"/>
            <w:left w:val="none" w:sz="0" w:space="0" w:color="auto"/>
            <w:bottom w:val="none" w:sz="0" w:space="0" w:color="auto"/>
            <w:right w:val="none" w:sz="0" w:space="0" w:color="auto"/>
          </w:divBdr>
          <w:divsChild>
            <w:div w:id="408314424">
              <w:marLeft w:val="0"/>
              <w:marRight w:val="0"/>
              <w:marTop w:val="0"/>
              <w:marBottom w:val="0"/>
              <w:divBdr>
                <w:top w:val="none" w:sz="0" w:space="0" w:color="auto"/>
                <w:left w:val="none" w:sz="0" w:space="0" w:color="auto"/>
                <w:bottom w:val="none" w:sz="0" w:space="0" w:color="auto"/>
                <w:right w:val="none" w:sz="0" w:space="0" w:color="auto"/>
              </w:divBdr>
              <w:divsChild>
                <w:div w:id="1139956896">
                  <w:marLeft w:val="0"/>
                  <w:marRight w:val="0"/>
                  <w:marTop w:val="0"/>
                  <w:marBottom w:val="0"/>
                  <w:divBdr>
                    <w:top w:val="none" w:sz="0" w:space="0" w:color="auto"/>
                    <w:left w:val="none" w:sz="0" w:space="0" w:color="auto"/>
                    <w:bottom w:val="none" w:sz="0" w:space="0" w:color="auto"/>
                    <w:right w:val="none" w:sz="0" w:space="0" w:color="auto"/>
                  </w:divBdr>
                  <w:divsChild>
                    <w:div w:id="1021591955">
                      <w:marLeft w:val="0"/>
                      <w:marRight w:val="0"/>
                      <w:marTop w:val="0"/>
                      <w:marBottom w:val="0"/>
                      <w:divBdr>
                        <w:top w:val="none" w:sz="0" w:space="0" w:color="auto"/>
                        <w:left w:val="none" w:sz="0" w:space="0" w:color="auto"/>
                        <w:bottom w:val="none" w:sz="0" w:space="0" w:color="auto"/>
                        <w:right w:val="none" w:sz="0" w:space="0" w:color="auto"/>
                      </w:divBdr>
                      <w:divsChild>
                        <w:div w:id="1688828057">
                          <w:marLeft w:val="0"/>
                          <w:marRight w:val="0"/>
                          <w:marTop w:val="0"/>
                          <w:marBottom w:val="0"/>
                          <w:divBdr>
                            <w:top w:val="none" w:sz="0" w:space="0" w:color="auto"/>
                            <w:left w:val="none" w:sz="0" w:space="0" w:color="auto"/>
                            <w:bottom w:val="none" w:sz="0" w:space="0" w:color="auto"/>
                            <w:right w:val="none" w:sz="0" w:space="0" w:color="auto"/>
                          </w:divBdr>
                          <w:divsChild>
                            <w:div w:id="1666589107">
                              <w:marLeft w:val="0"/>
                              <w:marRight w:val="0"/>
                              <w:marTop w:val="0"/>
                              <w:marBottom w:val="0"/>
                              <w:divBdr>
                                <w:top w:val="none" w:sz="0" w:space="0" w:color="auto"/>
                                <w:left w:val="none" w:sz="0" w:space="0" w:color="auto"/>
                                <w:bottom w:val="none" w:sz="0" w:space="0" w:color="auto"/>
                                <w:right w:val="none" w:sz="0" w:space="0" w:color="auto"/>
                              </w:divBdr>
                              <w:divsChild>
                                <w:div w:id="1438016705">
                                  <w:marLeft w:val="0"/>
                                  <w:marRight w:val="0"/>
                                  <w:marTop w:val="0"/>
                                  <w:marBottom w:val="0"/>
                                  <w:divBdr>
                                    <w:top w:val="none" w:sz="0" w:space="0" w:color="auto"/>
                                    <w:left w:val="none" w:sz="0" w:space="0" w:color="auto"/>
                                    <w:bottom w:val="none" w:sz="0" w:space="0" w:color="auto"/>
                                    <w:right w:val="none" w:sz="0" w:space="0" w:color="auto"/>
                                  </w:divBdr>
                                  <w:divsChild>
                                    <w:div w:id="163208361">
                                      <w:marLeft w:val="0"/>
                                      <w:marRight w:val="0"/>
                                      <w:marTop w:val="0"/>
                                      <w:marBottom w:val="0"/>
                                      <w:divBdr>
                                        <w:top w:val="none" w:sz="0" w:space="0" w:color="auto"/>
                                        <w:left w:val="none" w:sz="0" w:space="0" w:color="auto"/>
                                        <w:bottom w:val="none" w:sz="0" w:space="0" w:color="auto"/>
                                        <w:right w:val="none" w:sz="0" w:space="0" w:color="auto"/>
                                      </w:divBdr>
                                      <w:divsChild>
                                        <w:div w:id="1930848360">
                                          <w:marLeft w:val="0"/>
                                          <w:marRight w:val="0"/>
                                          <w:marTop w:val="0"/>
                                          <w:marBottom w:val="0"/>
                                          <w:divBdr>
                                            <w:top w:val="none" w:sz="0" w:space="0" w:color="auto"/>
                                            <w:left w:val="single" w:sz="6" w:space="0" w:color="999999"/>
                                            <w:bottom w:val="none" w:sz="0" w:space="0" w:color="auto"/>
                                            <w:right w:val="none" w:sz="0" w:space="0" w:color="auto"/>
                                          </w:divBdr>
                                          <w:divsChild>
                                            <w:div w:id="243759342">
                                              <w:marLeft w:val="0"/>
                                              <w:marRight w:val="0"/>
                                              <w:marTop w:val="150"/>
                                              <w:marBottom w:val="150"/>
                                              <w:divBdr>
                                                <w:top w:val="none" w:sz="0" w:space="0" w:color="auto"/>
                                                <w:left w:val="none" w:sz="0" w:space="0" w:color="auto"/>
                                                <w:bottom w:val="none" w:sz="0" w:space="0" w:color="auto"/>
                                                <w:right w:val="none" w:sz="0" w:space="0" w:color="auto"/>
                                              </w:divBdr>
                                              <w:divsChild>
                                                <w:div w:id="114494285">
                                                  <w:marLeft w:val="0"/>
                                                  <w:marRight w:val="0"/>
                                                  <w:marTop w:val="0"/>
                                                  <w:marBottom w:val="0"/>
                                                  <w:divBdr>
                                                    <w:top w:val="none" w:sz="0" w:space="0" w:color="auto"/>
                                                    <w:left w:val="none" w:sz="0" w:space="0" w:color="auto"/>
                                                    <w:bottom w:val="none" w:sz="0" w:space="0" w:color="auto"/>
                                                    <w:right w:val="none" w:sz="0" w:space="0" w:color="auto"/>
                                                  </w:divBdr>
                                                  <w:divsChild>
                                                    <w:div w:id="1176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424805715">
      <w:bodyDiv w:val="1"/>
      <w:marLeft w:val="0"/>
      <w:marRight w:val="0"/>
      <w:marTop w:val="0"/>
      <w:marBottom w:val="0"/>
      <w:divBdr>
        <w:top w:val="none" w:sz="0" w:space="0" w:color="auto"/>
        <w:left w:val="none" w:sz="0" w:space="0" w:color="auto"/>
        <w:bottom w:val="none" w:sz="0" w:space="0" w:color="auto"/>
        <w:right w:val="none" w:sz="0" w:space="0" w:color="auto"/>
      </w:divBdr>
      <w:divsChild>
        <w:div w:id="674234852">
          <w:marLeft w:val="0"/>
          <w:marRight w:val="0"/>
          <w:marTop w:val="0"/>
          <w:marBottom w:val="0"/>
          <w:divBdr>
            <w:top w:val="none" w:sz="0" w:space="0" w:color="auto"/>
            <w:left w:val="none" w:sz="0" w:space="0" w:color="auto"/>
            <w:bottom w:val="none" w:sz="0" w:space="0" w:color="auto"/>
            <w:right w:val="none" w:sz="0" w:space="0" w:color="auto"/>
          </w:divBdr>
          <w:divsChild>
            <w:div w:id="915896546">
              <w:marLeft w:val="0"/>
              <w:marRight w:val="0"/>
              <w:marTop w:val="0"/>
              <w:marBottom w:val="0"/>
              <w:divBdr>
                <w:top w:val="none" w:sz="0" w:space="0" w:color="auto"/>
                <w:left w:val="none" w:sz="0" w:space="0" w:color="auto"/>
                <w:bottom w:val="none" w:sz="0" w:space="0" w:color="auto"/>
                <w:right w:val="none" w:sz="0" w:space="0" w:color="auto"/>
              </w:divBdr>
              <w:divsChild>
                <w:div w:id="883978292">
                  <w:marLeft w:val="0"/>
                  <w:marRight w:val="0"/>
                  <w:marTop w:val="0"/>
                  <w:marBottom w:val="0"/>
                  <w:divBdr>
                    <w:top w:val="none" w:sz="0" w:space="0" w:color="auto"/>
                    <w:left w:val="none" w:sz="0" w:space="0" w:color="auto"/>
                    <w:bottom w:val="none" w:sz="0" w:space="0" w:color="auto"/>
                    <w:right w:val="none" w:sz="0" w:space="0" w:color="auto"/>
                  </w:divBdr>
                  <w:divsChild>
                    <w:div w:id="2079983724">
                      <w:marLeft w:val="0"/>
                      <w:marRight w:val="0"/>
                      <w:marTop w:val="0"/>
                      <w:marBottom w:val="0"/>
                      <w:divBdr>
                        <w:top w:val="none" w:sz="0" w:space="0" w:color="auto"/>
                        <w:left w:val="none" w:sz="0" w:space="0" w:color="auto"/>
                        <w:bottom w:val="none" w:sz="0" w:space="0" w:color="auto"/>
                        <w:right w:val="none" w:sz="0" w:space="0" w:color="auto"/>
                      </w:divBdr>
                      <w:divsChild>
                        <w:div w:id="2139714718">
                          <w:marLeft w:val="0"/>
                          <w:marRight w:val="0"/>
                          <w:marTop w:val="0"/>
                          <w:marBottom w:val="0"/>
                          <w:divBdr>
                            <w:top w:val="none" w:sz="0" w:space="0" w:color="auto"/>
                            <w:left w:val="none" w:sz="0" w:space="0" w:color="auto"/>
                            <w:bottom w:val="none" w:sz="0" w:space="0" w:color="auto"/>
                            <w:right w:val="none" w:sz="0" w:space="0" w:color="auto"/>
                          </w:divBdr>
                          <w:divsChild>
                            <w:div w:id="478766621">
                              <w:marLeft w:val="0"/>
                              <w:marRight w:val="0"/>
                              <w:marTop w:val="0"/>
                              <w:marBottom w:val="0"/>
                              <w:divBdr>
                                <w:top w:val="none" w:sz="0" w:space="0" w:color="auto"/>
                                <w:left w:val="none" w:sz="0" w:space="0" w:color="auto"/>
                                <w:bottom w:val="none" w:sz="0" w:space="0" w:color="auto"/>
                                <w:right w:val="none" w:sz="0" w:space="0" w:color="auto"/>
                              </w:divBdr>
                              <w:divsChild>
                                <w:div w:id="1828937128">
                                  <w:marLeft w:val="0"/>
                                  <w:marRight w:val="0"/>
                                  <w:marTop w:val="0"/>
                                  <w:marBottom w:val="0"/>
                                  <w:divBdr>
                                    <w:top w:val="none" w:sz="0" w:space="0" w:color="auto"/>
                                    <w:left w:val="none" w:sz="0" w:space="0" w:color="auto"/>
                                    <w:bottom w:val="none" w:sz="0" w:space="0" w:color="auto"/>
                                    <w:right w:val="none" w:sz="0" w:space="0" w:color="auto"/>
                                  </w:divBdr>
                                  <w:divsChild>
                                    <w:div w:id="1529223783">
                                      <w:marLeft w:val="0"/>
                                      <w:marRight w:val="0"/>
                                      <w:marTop w:val="0"/>
                                      <w:marBottom w:val="0"/>
                                      <w:divBdr>
                                        <w:top w:val="none" w:sz="0" w:space="0" w:color="auto"/>
                                        <w:left w:val="none" w:sz="0" w:space="0" w:color="auto"/>
                                        <w:bottom w:val="none" w:sz="0" w:space="0" w:color="auto"/>
                                        <w:right w:val="none" w:sz="0" w:space="0" w:color="auto"/>
                                      </w:divBdr>
                                      <w:divsChild>
                                        <w:div w:id="974917989">
                                          <w:marLeft w:val="0"/>
                                          <w:marRight w:val="0"/>
                                          <w:marTop w:val="0"/>
                                          <w:marBottom w:val="0"/>
                                          <w:divBdr>
                                            <w:top w:val="none" w:sz="0" w:space="0" w:color="auto"/>
                                            <w:left w:val="single" w:sz="6" w:space="0" w:color="999999"/>
                                            <w:bottom w:val="none" w:sz="0" w:space="0" w:color="auto"/>
                                            <w:right w:val="none" w:sz="0" w:space="0" w:color="auto"/>
                                          </w:divBdr>
                                          <w:divsChild>
                                            <w:div w:id="1490710741">
                                              <w:marLeft w:val="0"/>
                                              <w:marRight w:val="0"/>
                                              <w:marTop w:val="150"/>
                                              <w:marBottom w:val="150"/>
                                              <w:divBdr>
                                                <w:top w:val="none" w:sz="0" w:space="0" w:color="auto"/>
                                                <w:left w:val="none" w:sz="0" w:space="0" w:color="auto"/>
                                                <w:bottom w:val="none" w:sz="0" w:space="0" w:color="auto"/>
                                                <w:right w:val="none" w:sz="0" w:space="0" w:color="auto"/>
                                              </w:divBdr>
                                              <w:divsChild>
                                                <w:div w:id="1485583296">
                                                  <w:marLeft w:val="0"/>
                                                  <w:marRight w:val="0"/>
                                                  <w:marTop w:val="0"/>
                                                  <w:marBottom w:val="0"/>
                                                  <w:divBdr>
                                                    <w:top w:val="none" w:sz="0" w:space="0" w:color="auto"/>
                                                    <w:left w:val="none" w:sz="0" w:space="0" w:color="auto"/>
                                                    <w:bottom w:val="none" w:sz="0" w:space="0" w:color="auto"/>
                                                    <w:right w:val="none" w:sz="0" w:space="0" w:color="auto"/>
                                                  </w:divBdr>
                                                  <w:divsChild>
                                                    <w:div w:id="1674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07838577">
      <w:bodyDiv w:val="1"/>
      <w:marLeft w:val="0"/>
      <w:marRight w:val="0"/>
      <w:marTop w:val="0"/>
      <w:marBottom w:val="0"/>
      <w:divBdr>
        <w:top w:val="none" w:sz="0" w:space="0" w:color="auto"/>
        <w:left w:val="none" w:sz="0" w:space="0" w:color="auto"/>
        <w:bottom w:val="none" w:sz="0" w:space="0" w:color="auto"/>
        <w:right w:val="none" w:sz="0" w:space="0" w:color="auto"/>
      </w:divBdr>
      <w:divsChild>
        <w:div w:id="507601087">
          <w:marLeft w:val="0"/>
          <w:marRight w:val="0"/>
          <w:marTop w:val="0"/>
          <w:marBottom w:val="0"/>
          <w:divBdr>
            <w:top w:val="none" w:sz="0" w:space="0" w:color="auto"/>
            <w:left w:val="none" w:sz="0" w:space="0" w:color="auto"/>
            <w:bottom w:val="none" w:sz="0" w:space="0" w:color="auto"/>
            <w:right w:val="none" w:sz="0" w:space="0" w:color="auto"/>
          </w:divBdr>
          <w:divsChild>
            <w:div w:id="516161930">
              <w:marLeft w:val="0"/>
              <w:marRight w:val="0"/>
              <w:marTop w:val="0"/>
              <w:marBottom w:val="0"/>
              <w:divBdr>
                <w:top w:val="none" w:sz="0" w:space="0" w:color="auto"/>
                <w:left w:val="none" w:sz="0" w:space="0" w:color="auto"/>
                <w:bottom w:val="none" w:sz="0" w:space="0" w:color="auto"/>
                <w:right w:val="none" w:sz="0" w:space="0" w:color="auto"/>
              </w:divBdr>
              <w:divsChild>
                <w:div w:id="1945306927">
                  <w:marLeft w:val="0"/>
                  <w:marRight w:val="0"/>
                  <w:marTop w:val="0"/>
                  <w:marBottom w:val="0"/>
                  <w:divBdr>
                    <w:top w:val="none" w:sz="0" w:space="0" w:color="auto"/>
                    <w:left w:val="none" w:sz="0" w:space="0" w:color="auto"/>
                    <w:bottom w:val="none" w:sz="0" w:space="0" w:color="auto"/>
                    <w:right w:val="none" w:sz="0" w:space="0" w:color="auto"/>
                  </w:divBdr>
                  <w:divsChild>
                    <w:div w:id="1329553908">
                      <w:marLeft w:val="0"/>
                      <w:marRight w:val="0"/>
                      <w:marTop w:val="0"/>
                      <w:marBottom w:val="0"/>
                      <w:divBdr>
                        <w:top w:val="none" w:sz="0" w:space="0" w:color="auto"/>
                        <w:left w:val="none" w:sz="0" w:space="0" w:color="auto"/>
                        <w:bottom w:val="none" w:sz="0" w:space="0" w:color="auto"/>
                        <w:right w:val="none" w:sz="0" w:space="0" w:color="auto"/>
                      </w:divBdr>
                      <w:divsChild>
                        <w:div w:id="278803041">
                          <w:marLeft w:val="0"/>
                          <w:marRight w:val="0"/>
                          <w:marTop w:val="0"/>
                          <w:marBottom w:val="0"/>
                          <w:divBdr>
                            <w:top w:val="none" w:sz="0" w:space="0" w:color="auto"/>
                            <w:left w:val="none" w:sz="0" w:space="0" w:color="auto"/>
                            <w:bottom w:val="none" w:sz="0" w:space="0" w:color="auto"/>
                            <w:right w:val="none" w:sz="0" w:space="0" w:color="auto"/>
                          </w:divBdr>
                          <w:divsChild>
                            <w:div w:id="407535335">
                              <w:marLeft w:val="0"/>
                              <w:marRight w:val="0"/>
                              <w:marTop w:val="0"/>
                              <w:marBottom w:val="0"/>
                              <w:divBdr>
                                <w:top w:val="none" w:sz="0" w:space="0" w:color="auto"/>
                                <w:left w:val="none" w:sz="0" w:space="0" w:color="auto"/>
                                <w:bottom w:val="none" w:sz="0" w:space="0" w:color="auto"/>
                                <w:right w:val="none" w:sz="0" w:space="0" w:color="auto"/>
                              </w:divBdr>
                              <w:divsChild>
                                <w:div w:id="1355576626">
                                  <w:marLeft w:val="0"/>
                                  <w:marRight w:val="0"/>
                                  <w:marTop w:val="0"/>
                                  <w:marBottom w:val="0"/>
                                  <w:divBdr>
                                    <w:top w:val="none" w:sz="0" w:space="0" w:color="auto"/>
                                    <w:left w:val="none" w:sz="0" w:space="0" w:color="auto"/>
                                    <w:bottom w:val="none" w:sz="0" w:space="0" w:color="auto"/>
                                    <w:right w:val="none" w:sz="0" w:space="0" w:color="auto"/>
                                  </w:divBdr>
                                  <w:divsChild>
                                    <w:div w:id="1102148952">
                                      <w:marLeft w:val="0"/>
                                      <w:marRight w:val="0"/>
                                      <w:marTop w:val="0"/>
                                      <w:marBottom w:val="0"/>
                                      <w:divBdr>
                                        <w:top w:val="none" w:sz="0" w:space="0" w:color="auto"/>
                                        <w:left w:val="none" w:sz="0" w:space="0" w:color="auto"/>
                                        <w:bottom w:val="none" w:sz="0" w:space="0" w:color="auto"/>
                                        <w:right w:val="none" w:sz="0" w:space="0" w:color="auto"/>
                                      </w:divBdr>
                                      <w:divsChild>
                                        <w:div w:id="1910067234">
                                          <w:marLeft w:val="0"/>
                                          <w:marRight w:val="0"/>
                                          <w:marTop w:val="0"/>
                                          <w:marBottom w:val="0"/>
                                          <w:divBdr>
                                            <w:top w:val="none" w:sz="0" w:space="0" w:color="auto"/>
                                            <w:left w:val="single" w:sz="6" w:space="0" w:color="999999"/>
                                            <w:bottom w:val="none" w:sz="0" w:space="0" w:color="auto"/>
                                            <w:right w:val="none" w:sz="0" w:space="0" w:color="auto"/>
                                          </w:divBdr>
                                          <w:divsChild>
                                            <w:div w:id="545921169">
                                              <w:marLeft w:val="0"/>
                                              <w:marRight w:val="0"/>
                                              <w:marTop w:val="150"/>
                                              <w:marBottom w:val="150"/>
                                              <w:divBdr>
                                                <w:top w:val="none" w:sz="0" w:space="0" w:color="auto"/>
                                                <w:left w:val="none" w:sz="0" w:space="0" w:color="auto"/>
                                                <w:bottom w:val="none" w:sz="0" w:space="0" w:color="auto"/>
                                                <w:right w:val="none" w:sz="0" w:space="0" w:color="auto"/>
                                              </w:divBdr>
                                              <w:divsChild>
                                                <w:div w:id="49422072">
                                                  <w:marLeft w:val="0"/>
                                                  <w:marRight w:val="0"/>
                                                  <w:marTop w:val="0"/>
                                                  <w:marBottom w:val="0"/>
                                                  <w:divBdr>
                                                    <w:top w:val="none" w:sz="0" w:space="0" w:color="auto"/>
                                                    <w:left w:val="none" w:sz="0" w:space="0" w:color="auto"/>
                                                    <w:bottom w:val="none" w:sz="0" w:space="0" w:color="auto"/>
                                                    <w:right w:val="none" w:sz="0" w:space="0" w:color="auto"/>
                                                  </w:divBdr>
                                                  <w:divsChild>
                                                    <w:div w:id="7137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545781">
      <w:bodyDiv w:val="1"/>
      <w:marLeft w:val="0"/>
      <w:marRight w:val="0"/>
      <w:marTop w:val="0"/>
      <w:marBottom w:val="0"/>
      <w:divBdr>
        <w:top w:val="none" w:sz="0" w:space="0" w:color="auto"/>
        <w:left w:val="none" w:sz="0" w:space="0" w:color="auto"/>
        <w:bottom w:val="none" w:sz="0" w:space="0" w:color="auto"/>
        <w:right w:val="none" w:sz="0" w:space="0" w:color="auto"/>
      </w:divBdr>
    </w:div>
    <w:div w:id="589508268">
      <w:bodyDiv w:val="1"/>
      <w:marLeft w:val="0"/>
      <w:marRight w:val="0"/>
      <w:marTop w:val="0"/>
      <w:marBottom w:val="0"/>
      <w:divBdr>
        <w:top w:val="none" w:sz="0" w:space="0" w:color="auto"/>
        <w:left w:val="none" w:sz="0" w:space="0" w:color="auto"/>
        <w:bottom w:val="none" w:sz="0" w:space="0" w:color="auto"/>
        <w:right w:val="none" w:sz="0" w:space="0" w:color="auto"/>
      </w:divBdr>
      <w:divsChild>
        <w:div w:id="158128393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0"/>
              <w:marBottom w:val="0"/>
              <w:divBdr>
                <w:top w:val="none" w:sz="0" w:space="0" w:color="auto"/>
                <w:left w:val="none" w:sz="0" w:space="0" w:color="auto"/>
                <w:bottom w:val="none" w:sz="0" w:space="0" w:color="auto"/>
                <w:right w:val="none" w:sz="0" w:space="0" w:color="auto"/>
              </w:divBdr>
              <w:divsChild>
                <w:div w:id="63532933">
                  <w:marLeft w:val="0"/>
                  <w:marRight w:val="0"/>
                  <w:marTop w:val="0"/>
                  <w:marBottom w:val="0"/>
                  <w:divBdr>
                    <w:top w:val="none" w:sz="0" w:space="0" w:color="auto"/>
                    <w:left w:val="none" w:sz="0" w:space="0" w:color="auto"/>
                    <w:bottom w:val="none" w:sz="0" w:space="0" w:color="auto"/>
                    <w:right w:val="none" w:sz="0" w:space="0" w:color="auto"/>
                  </w:divBdr>
                  <w:divsChild>
                    <w:div w:id="670523379">
                      <w:marLeft w:val="0"/>
                      <w:marRight w:val="0"/>
                      <w:marTop w:val="0"/>
                      <w:marBottom w:val="0"/>
                      <w:divBdr>
                        <w:top w:val="none" w:sz="0" w:space="0" w:color="auto"/>
                        <w:left w:val="none" w:sz="0" w:space="0" w:color="auto"/>
                        <w:bottom w:val="none" w:sz="0" w:space="0" w:color="auto"/>
                        <w:right w:val="none" w:sz="0" w:space="0" w:color="auto"/>
                      </w:divBdr>
                      <w:divsChild>
                        <w:div w:id="1224369764">
                          <w:marLeft w:val="0"/>
                          <w:marRight w:val="0"/>
                          <w:marTop w:val="0"/>
                          <w:marBottom w:val="0"/>
                          <w:divBdr>
                            <w:top w:val="none" w:sz="0" w:space="0" w:color="auto"/>
                            <w:left w:val="none" w:sz="0" w:space="0" w:color="auto"/>
                            <w:bottom w:val="none" w:sz="0" w:space="0" w:color="auto"/>
                            <w:right w:val="none" w:sz="0" w:space="0" w:color="auto"/>
                          </w:divBdr>
                          <w:divsChild>
                            <w:div w:id="1383402445">
                              <w:marLeft w:val="0"/>
                              <w:marRight w:val="0"/>
                              <w:marTop w:val="0"/>
                              <w:marBottom w:val="0"/>
                              <w:divBdr>
                                <w:top w:val="none" w:sz="0" w:space="0" w:color="auto"/>
                                <w:left w:val="none" w:sz="0" w:space="0" w:color="auto"/>
                                <w:bottom w:val="none" w:sz="0" w:space="0" w:color="auto"/>
                                <w:right w:val="none" w:sz="0" w:space="0" w:color="auto"/>
                              </w:divBdr>
                              <w:divsChild>
                                <w:div w:id="812873665">
                                  <w:marLeft w:val="0"/>
                                  <w:marRight w:val="0"/>
                                  <w:marTop w:val="0"/>
                                  <w:marBottom w:val="0"/>
                                  <w:divBdr>
                                    <w:top w:val="none" w:sz="0" w:space="0" w:color="auto"/>
                                    <w:left w:val="none" w:sz="0" w:space="0" w:color="auto"/>
                                    <w:bottom w:val="none" w:sz="0" w:space="0" w:color="auto"/>
                                    <w:right w:val="none" w:sz="0" w:space="0" w:color="auto"/>
                                  </w:divBdr>
                                  <w:divsChild>
                                    <w:div w:id="1633514549">
                                      <w:marLeft w:val="0"/>
                                      <w:marRight w:val="0"/>
                                      <w:marTop w:val="0"/>
                                      <w:marBottom w:val="0"/>
                                      <w:divBdr>
                                        <w:top w:val="none" w:sz="0" w:space="0" w:color="auto"/>
                                        <w:left w:val="none" w:sz="0" w:space="0" w:color="auto"/>
                                        <w:bottom w:val="none" w:sz="0" w:space="0" w:color="auto"/>
                                        <w:right w:val="none" w:sz="0" w:space="0" w:color="auto"/>
                                      </w:divBdr>
                                      <w:divsChild>
                                        <w:div w:id="277487474">
                                          <w:marLeft w:val="0"/>
                                          <w:marRight w:val="0"/>
                                          <w:marTop w:val="0"/>
                                          <w:marBottom w:val="0"/>
                                          <w:divBdr>
                                            <w:top w:val="none" w:sz="0" w:space="0" w:color="auto"/>
                                            <w:left w:val="single" w:sz="6" w:space="0" w:color="999999"/>
                                            <w:bottom w:val="none" w:sz="0" w:space="0" w:color="auto"/>
                                            <w:right w:val="none" w:sz="0" w:space="0" w:color="auto"/>
                                          </w:divBdr>
                                          <w:divsChild>
                                            <w:div w:id="1575159835">
                                              <w:marLeft w:val="0"/>
                                              <w:marRight w:val="0"/>
                                              <w:marTop w:val="150"/>
                                              <w:marBottom w:val="150"/>
                                              <w:divBdr>
                                                <w:top w:val="none" w:sz="0" w:space="0" w:color="auto"/>
                                                <w:left w:val="none" w:sz="0" w:space="0" w:color="auto"/>
                                                <w:bottom w:val="none" w:sz="0" w:space="0" w:color="auto"/>
                                                <w:right w:val="none" w:sz="0" w:space="0" w:color="auto"/>
                                              </w:divBdr>
                                              <w:divsChild>
                                                <w:div w:id="544609354">
                                                  <w:marLeft w:val="0"/>
                                                  <w:marRight w:val="0"/>
                                                  <w:marTop w:val="0"/>
                                                  <w:marBottom w:val="0"/>
                                                  <w:divBdr>
                                                    <w:top w:val="none" w:sz="0" w:space="0" w:color="auto"/>
                                                    <w:left w:val="none" w:sz="0" w:space="0" w:color="auto"/>
                                                    <w:bottom w:val="none" w:sz="0" w:space="0" w:color="auto"/>
                                                    <w:right w:val="none" w:sz="0" w:space="0" w:color="auto"/>
                                                  </w:divBdr>
                                                  <w:divsChild>
                                                    <w:div w:id="3133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951208">
      <w:bodyDiv w:val="1"/>
      <w:marLeft w:val="0"/>
      <w:marRight w:val="0"/>
      <w:marTop w:val="0"/>
      <w:marBottom w:val="0"/>
      <w:divBdr>
        <w:top w:val="none" w:sz="0" w:space="0" w:color="auto"/>
        <w:left w:val="none" w:sz="0" w:space="0" w:color="auto"/>
        <w:bottom w:val="none" w:sz="0" w:space="0" w:color="auto"/>
        <w:right w:val="none" w:sz="0" w:space="0" w:color="auto"/>
      </w:divBdr>
      <w:divsChild>
        <w:div w:id="388964689">
          <w:marLeft w:val="0"/>
          <w:marRight w:val="0"/>
          <w:marTop w:val="0"/>
          <w:marBottom w:val="0"/>
          <w:divBdr>
            <w:top w:val="none" w:sz="0" w:space="0" w:color="auto"/>
            <w:left w:val="none" w:sz="0" w:space="0" w:color="auto"/>
            <w:bottom w:val="none" w:sz="0" w:space="0" w:color="auto"/>
            <w:right w:val="none" w:sz="0" w:space="0" w:color="auto"/>
          </w:divBdr>
          <w:divsChild>
            <w:div w:id="1037776797">
              <w:marLeft w:val="0"/>
              <w:marRight w:val="0"/>
              <w:marTop w:val="0"/>
              <w:marBottom w:val="0"/>
              <w:divBdr>
                <w:top w:val="none" w:sz="0" w:space="0" w:color="auto"/>
                <w:left w:val="none" w:sz="0" w:space="0" w:color="auto"/>
                <w:bottom w:val="none" w:sz="0" w:space="0" w:color="auto"/>
                <w:right w:val="none" w:sz="0" w:space="0" w:color="auto"/>
              </w:divBdr>
              <w:divsChild>
                <w:div w:id="1748990132">
                  <w:marLeft w:val="0"/>
                  <w:marRight w:val="0"/>
                  <w:marTop w:val="0"/>
                  <w:marBottom w:val="0"/>
                  <w:divBdr>
                    <w:top w:val="none" w:sz="0" w:space="0" w:color="auto"/>
                    <w:left w:val="none" w:sz="0" w:space="0" w:color="auto"/>
                    <w:bottom w:val="none" w:sz="0" w:space="0" w:color="auto"/>
                    <w:right w:val="none" w:sz="0" w:space="0" w:color="auto"/>
                  </w:divBdr>
                  <w:divsChild>
                    <w:div w:id="1823423591">
                      <w:marLeft w:val="0"/>
                      <w:marRight w:val="0"/>
                      <w:marTop w:val="0"/>
                      <w:marBottom w:val="0"/>
                      <w:divBdr>
                        <w:top w:val="none" w:sz="0" w:space="0" w:color="auto"/>
                        <w:left w:val="none" w:sz="0" w:space="0" w:color="auto"/>
                        <w:bottom w:val="none" w:sz="0" w:space="0" w:color="auto"/>
                        <w:right w:val="none" w:sz="0" w:space="0" w:color="auto"/>
                      </w:divBdr>
                      <w:divsChild>
                        <w:div w:id="736779033">
                          <w:marLeft w:val="0"/>
                          <w:marRight w:val="0"/>
                          <w:marTop w:val="0"/>
                          <w:marBottom w:val="0"/>
                          <w:divBdr>
                            <w:top w:val="none" w:sz="0" w:space="0" w:color="auto"/>
                            <w:left w:val="none" w:sz="0" w:space="0" w:color="auto"/>
                            <w:bottom w:val="none" w:sz="0" w:space="0" w:color="auto"/>
                            <w:right w:val="none" w:sz="0" w:space="0" w:color="auto"/>
                          </w:divBdr>
                          <w:divsChild>
                            <w:div w:id="834536316">
                              <w:marLeft w:val="0"/>
                              <w:marRight w:val="0"/>
                              <w:marTop w:val="0"/>
                              <w:marBottom w:val="0"/>
                              <w:divBdr>
                                <w:top w:val="none" w:sz="0" w:space="0" w:color="auto"/>
                                <w:left w:val="none" w:sz="0" w:space="0" w:color="auto"/>
                                <w:bottom w:val="none" w:sz="0" w:space="0" w:color="auto"/>
                                <w:right w:val="none" w:sz="0" w:space="0" w:color="auto"/>
                              </w:divBdr>
                              <w:divsChild>
                                <w:div w:id="1896697763">
                                  <w:marLeft w:val="0"/>
                                  <w:marRight w:val="0"/>
                                  <w:marTop w:val="0"/>
                                  <w:marBottom w:val="0"/>
                                  <w:divBdr>
                                    <w:top w:val="none" w:sz="0" w:space="0" w:color="auto"/>
                                    <w:left w:val="none" w:sz="0" w:space="0" w:color="auto"/>
                                    <w:bottom w:val="none" w:sz="0" w:space="0" w:color="auto"/>
                                    <w:right w:val="none" w:sz="0" w:space="0" w:color="auto"/>
                                  </w:divBdr>
                                  <w:divsChild>
                                    <w:div w:id="393358195">
                                      <w:marLeft w:val="0"/>
                                      <w:marRight w:val="0"/>
                                      <w:marTop w:val="0"/>
                                      <w:marBottom w:val="0"/>
                                      <w:divBdr>
                                        <w:top w:val="none" w:sz="0" w:space="0" w:color="auto"/>
                                        <w:left w:val="none" w:sz="0" w:space="0" w:color="auto"/>
                                        <w:bottom w:val="none" w:sz="0" w:space="0" w:color="auto"/>
                                        <w:right w:val="none" w:sz="0" w:space="0" w:color="auto"/>
                                      </w:divBdr>
                                      <w:divsChild>
                                        <w:div w:id="168720333">
                                          <w:marLeft w:val="0"/>
                                          <w:marRight w:val="0"/>
                                          <w:marTop w:val="0"/>
                                          <w:marBottom w:val="0"/>
                                          <w:divBdr>
                                            <w:top w:val="none" w:sz="0" w:space="0" w:color="auto"/>
                                            <w:left w:val="single" w:sz="6" w:space="0" w:color="999999"/>
                                            <w:bottom w:val="none" w:sz="0" w:space="0" w:color="auto"/>
                                            <w:right w:val="none" w:sz="0" w:space="0" w:color="auto"/>
                                          </w:divBdr>
                                          <w:divsChild>
                                            <w:div w:id="580800941">
                                              <w:marLeft w:val="0"/>
                                              <w:marRight w:val="0"/>
                                              <w:marTop w:val="150"/>
                                              <w:marBottom w:val="150"/>
                                              <w:divBdr>
                                                <w:top w:val="none" w:sz="0" w:space="0" w:color="auto"/>
                                                <w:left w:val="none" w:sz="0" w:space="0" w:color="auto"/>
                                                <w:bottom w:val="none" w:sz="0" w:space="0" w:color="auto"/>
                                                <w:right w:val="none" w:sz="0" w:space="0" w:color="auto"/>
                                              </w:divBdr>
                                              <w:divsChild>
                                                <w:div w:id="1585145303">
                                                  <w:marLeft w:val="0"/>
                                                  <w:marRight w:val="0"/>
                                                  <w:marTop w:val="0"/>
                                                  <w:marBottom w:val="0"/>
                                                  <w:divBdr>
                                                    <w:top w:val="none" w:sz="0" w:space="0" w:color="auto"/>
                                                    <w:left w:val="none" w:sz="0" w:space="0" w:color="auto"/>
                                                    <w:bottom w:val="none" w:sz="0" w:space="0" w:color="auto"/>
                                                    <w:right w:val="none" w:sz="0" w:space="0" w:color="auto"/>
                                                  </w:divBdr>
                                                  <w:divsChild>
                                                    <w:div w:id="1279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918081">
      <w:bodyDiv w:val="1"/>
      <w:marLeft w:val="0"/>
      <w:marRight w:val="0"/>
      <w:marTop w:val="0"/>
      <w:marBottom w:val="0"/>
      <w:divBdr>
        <w:top w:val="none" w:sz="0" w:space="0" w:color="auto"/>
        <w:left w:val="none" w:sz="0" w:space="0" w:color="auto"/>
        <w:bottom w:val="none" w:sz="0" w:space="0" w:color="auto"/>
        <w:right w:val="none" w:sz="0" w:space="0" w:color="auto"/>
      </w:divBdr>
    </w:div>
    <w:div w:id="915549755">
      <w:bodyDiv w:val="1"/>
      <w:marLeft w:val="0"/>
      <w:marRight w:val="0"/>
      <w:marTop w:val="0"/>
      <w:marBottom w:val="0"/>
      <w:divBdr>
        <w:top w:val="none" w:sz="0" w:space="0" w:color="auto"/>
        <w:left w:val="none" w:sz="0" w:space="0" w:color="auto"/>
        <w:bottom w:val="none" w:sz="0" w:space="0" w:color="auto"/>
        <w:right w:val="none" w:sz="0" w:space="0" w:color="auto"/>
      </w:divBdr>
      <w:divsChild>
        <w:div w:id="2025785553">
          <w:marLeft w:val="0"/>
          <w:marRight w:val="0"/>
          <w:marTop w:val="0"/>
          <w:marBottom w:val="0"/>
          <w:divBdr>
            <w:top w:val="none" w:sz="0" w:space="0" w:color="auto"/>
            <w:left w:val="none" w:sz="0" w:space="0" w:color="auto"/>
            <w:bottom w:val="none" w:sz="0" w:space="0" w:color="auto"/>
            <w:right w:val="none" w:sz="0" w:space="0" w:color="auto"/>
          </w:divBdr>
          <w:divsChild>
            <w:div w:id="787550282">
              <w:marLeft w:val="0"/>
              <w:marRight w:val="0"/>
              <w:marTop w:val="0"/>
              <w:marBottom w:val="0"/>
              <w:divBdr>
                <w:top w:val="none" w:sz="0" w:space="0" w:color="auto"/>
                <w:left w:val="none" w:sz="0" w:space="0" w:color="auto"/>
                <w:bottom w:val="none" w:sz="0" w:space="0" w:color="auto"/>
                <w:right w:val="none" w:sz="0" w:space="0" w:color="auto"/>
              </w:divBdr>
              <w:divsChild>
                <w:div w:id="782459195">
                  <w:marLeft w:val="0"/>
                  <w:marRight w:val="0"/>
                  <w:marTop w:val="0"/>
                  <w:marBottom w:val="0"/>
                  <w:divBdr>
                    <w:top w:val="none" w:sz="0" w:space="0" w:color="auto"/>
                    <w:left w:val="none" w:sz="0" w:space="0" w:color="auto"/>
                    <w:bottom w:val="none" w:sz="0" w:space="0" w:color="auto"/>
                    <w:right w:val="none" w:sz="0" w:space="0" w:color="auto"/>
                  </w:divBdr>
                  <w:divsChild>
                    <w:div w:id="1036781339">
                      <w:marLeft w:val="0"/>
                      <w:marRight w:val="0"/>
                      <w:marTop w:val="0"/>
                      <w:marBottom w:val="0"/>
                      <w:divBdr>
                        <w:top w:val="none" w:sz="0" w:space="0" w:color="auto"/>
                        <w:left w:val="none" w:sz="0" w:space="0" w:color="auto"/>
                        <w:bottom w:val="none" w:sz="0" w:space="0" w:color="auto"/>
                        <w:right w:val="none" w:sz="0" w:space="0" w:color="auto"/>
                      </w:divBdr>
                      <w:divsChild>
                        <w:div w:id="599872613">
                          <w:marLeft w:val="0"/>
                          <w:marRight w:val="0"/>
                          <w:marTop w:val="0"/>
                          <w:marBottom w:val="0"/>
                          <w:divBdr>
                            <w:top w:val="none" w:sz="0" w:space="0" w:color="auto"/>
                            <w:left w:val="none" w:sz="0" w:space="0" w:color="auto"/>
                            <w:bottom w:val="none" w:sz="0" w:space="0" w:color="auto"/>
                            <w:right w:val="none" w:sz="0" w:space="0" w:color="auto"/>
                          </w:divBdr>
                          <w:divsChild>
                            <w:div w:id="175006327">
                              <w:marLeft w:val="0"/>
                              <w:marRight w:val="0"/>
                              <w:marTop w:val="0"/>
                              <w:marBottom w:val="0"/>
                              <w:divBdr>
                                <w:top w:val="none" w:sz="0" w:space="0" w:color="auto"/>
                                <w:left w:val="none" w:sz="0" w:space="0" w:color="auto"/>
                                <w:bottom w:val="none" w:sz="0" w:space="0" w:color="auto"/>
                                <w:right w:val="none" w:sz="0" w:space="0" w:color="auto"/>
                              </w:divBdr>
                              <w:divsChild>
                                <w:div w:id="13066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06052206">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2209">
      <w:bodyDiv w:val="1"/>
      <w:marLeft w:val="0"/>
      <w:marRight w:val="0"/>
      <w:marTop w:val="0"/>
      <w:marBottom w:val="0"/>
      <w:divBdr>
        <w:top w:val="none" w:sz="0" w:space="0" w:color="auto"/>
        <w:left w:val="none" w:sz="0" w:space="0" w:color="auto"/>
        <w:bottom w:val="none" w:sz="0" w:space="0" w:color="auto"/>
        <w:right w:val="none" w:sz="0" w:space="0" w:color="auto"/>
      </w:divBdr>
      <w:divsChild>
        <w:div w:id="818427249">
          <w:marLeft w:val="0"/>
          <w:marRight w:val="0"/>
          <w:marTop w:val="0"/>
          <w:marBottom w:val="0"/>
          <w:divBdr>
            <w:top w:val="none" w:sz="0" w:space="0" w:color="auto"/>
            <w:left w:val="none" w:sz="0" w:space="0" w:color="auto"/>
            <w:bottom w:val="none" w:sz="0" w:space="0" w:color="auto"/>
            <w:right w:val="none" w:sz="0" w:space="0" w:color="auto"/>
          </w:divBdr>
          <w:divsChild>
            <w:div w:id="862475828">
              <w:marLeft w:val="0"/>
              <w:marRight w:val="0"/>
              <w:marTop w:val="0"/>
              <w:marBottom w:val="0"/>
              <w:divBdr>
                <w:top w:val="none" w:sz="0" w:space="0" w:color="auto"/>
                <w:left w:val="none" w:sz="0" w:space="0" w:color="auto"/>
                <w:bottom w:val="none" w:sz="0" w:space="0" w:color="auto"/>
                <w:right w:val="none" w:sz="0" w:space="0" w:color="auto"/>
              </w:divBdr>
              <w:divsChild>
                <w:div w:id="198787918">
                  <w:marLeft w:val="0"/>
                  <w:marRight w:val="0"/>
                  <w:marTop w:val="0"/>
                  <w:marBottom w:val="0"/>
                  <w:divBdr>
                    <w:top w:val="none" w:sz="0" w:space="0" w:color="auto"/>
                    <w:left w:val="none" w:sz="0" w:space="0" w:color="auto"/>
                    <w:bottom w:val="none" w:sz="0" w:space="0" w:color="auto"/>
                    <w:right w:val="none" w:sz="0" w:space="0" w:color="auto"/>
                  </w:divBdr>
                  <w:divsChild>
                    <w:div w:id="1816987899">
                      <w:marLeft w:val="0"/>
                      <w:marRight w:val="0"/>
                      <w:marTop w:val="0"/>
                      <w:marBottom w:val="0"/>
                      <w:divBdr>
                        <w:top w:val="none" w:sz="0" w:space="0" w:color="auto"/>
                        <w:left w:val="none" w:sz="0" w:space="0" w:color="auto"/>
                        <w:bottom w:val="none" w:sz="0" w:space="0" w:color="auto"/>
                        <w:right w:val="none" w:sz="0" w:space="0" w:color="auto"/>
                      </w:divBdr>
                      <w:divsChild>
                        <w:div w:id="2074035314">
                          <w:marLeft w:val="0"/>
                          <w:marRight w:val="0"/>
                          <w:marTop w:val="0"/>
                          <w:marBottom w:val="0"/>
                          <w:divBdr>
                            <w:top w:val="none" w:sz="0" w:space="0" w:color="auto"/>
                            <w:left w:val="none" w:sz="0" w:space="0" w:color="auto"/>
                            <w:bottom w:val="none" w:sz="0" w:space="0" w:color="auto"/>
                            <w:right w:val="none" w:sz="0" w:space="0" w:color="auto"/>
                          </w:divBdr>
                          <w:divsChild>
                            <w:div w:id="175460938">
                              <w:marLeft w:val="0"/>
                              <w:marRight w:val="0"/>
                              <w:marTop w:val="0"/>
                              <w:marBottom w:val="0"/>
                              <w:divBdr>
                                <w:top w:val="none" w:sz="0" w:space="0" w:color="auto"/>
                                <w:left w:val="none" w:sz="0" w:space="0" w:color="auto"/>
                                <w:bottom w:val="none" w:sz="0" w:space="0" w:color="auto"/>
                                <w:right w:val="none" w:sz="0" w:space="0" w:color="auto"/>
                              </w:divBdr>
                              <w:divsChild>
                                <w:div w:id="1671760944">
                                  <w:marLeft w:val="0"/>
                                  <w:marRight w:val="0"/>
                                  <w:marTop w:val="0"/>
                                  <w:marBottom w:val="0"/>
                                  <w:divBdr>
                                    <w:top w:val="none" w:sz="0" w:space="0" w:color="auto"/>
                                    <w:left w:val="none" w:sz="0" w:space="0" w:color="auto"/>
                                    <w:bottom w:val="none" w:sz="0" w:space="0" w:color="auto"/>
                                    <w:right w:val="none" w:sz="0" w:space="0" w:color="auto"/>
                                  </w:divBdr>
                                  <w:divsChild>
                                    <w:div w:id="1802307827">
                                      <w:marLeft w:val="0"/>
                                      <w:marRight w:val="0"/>
                                      <w:marTop w:val="0"/>
                                      <w:marBottom w:val="0"/>
                                      <w:divBdr>
                                        <w:top w:val="none" w:sz="0" w:space="0" w:color="auto"/>
                                        <w:left w:val="none" w:sz="0" w:space="0" w:color="auto"/>
                                        <w:bottom w:val="none" w:sz="0" w:space="0" w:color="auto"/>
                                        <w:right w:val="none" w:sz="0" w:space="0" w:color="auto"/>
                                      </w:divBdr>
                                      <w:divsChild>
                                        <w:div w:id="1584684962">
                                          <w:marLeft w:val="0"/>
                                          <w:marRight w:val="0"/>
                                          <w:marTop w:val="0"/>
                                          <w:marBottom w:val="0"/>
                                          <w:divBdr>
                                            <w:top w:val="none" w:sz="0" w:space="0" w:color="auto"/>
                                            <w:left w:val="single" w:sz="6" w:space="0" w:color="999999"/>
                                            <w:bottom w:val="none" w:sz="0" w:space="0" w:color="auto"/>
                                            <w:right w:val="none" w:sz="0" w:space="0" w:color="auto"/>
                                          </w:divBdr>
                                          <w:divsChild>
                                            <w:div w:id="859199033">
                                              <w:marLeft w:val="0"/>
                                              <w:marRight w:val="0"/>
                                              <w:marTop w:val="150"/>
                                              <w:marBottom w:val="150"/>
                                              <w:divBdr>
                                                <w:top w:val="none" w:sz="0" w:space="0" w:color="auto"/>
                                                <w:left w:val="none" w:sz="0" w:space="0" w:color="auto"/>
                                                <w:bottom w:val="none" w:sz="0" w:space="0" w:color="auto"/>
                                                <w:right w:val="none" w:sz="0" w:space="0" w:color="auto"/>
                                              </w:divBdr>
                                              <w:divsChild>
                                                <w:div w:id="655230908">
                                                  <w:marLeft w:val="0"/>
                                                  <w:marRight w:val="0"/>
                                                  <w:marTop w:val="0"/>
                                                  <w:marBottom w:val="0"/>
                                                  <w:divBdr>
                                                    <w:top w:val="none" w:sz="0" w:space="0" w:color="auto"/>
                                                    <w:left w:val="none" w:sz="0" w:space="0" w:color="auto"/>
                                                    <w:bottom w:val="none" w:sz="0" w:space="0" w:color="auto"/>
                                                    <w:right w:val="none" w:sz="0" w:space="0" w:color="auto"/>
                                                  </w:divBdr>
                                                  <w:divsChild>
                                                    <w:div w:id="1496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560626469">
      <w:bodyDiv w:val="1"/>
      <w:marLeft w:val="0"/>
      <w:marRight w:val="0"/>
      <w:marTop w:val="0"/>
      <w:marBottom w:val="0"/>
      <w:divBdr>
        <w:top w:val="none" w:sz="0" w:space="0" w:color="auto"/>
        <w:left w:val="none" w:sz="0" w:space="0" w:color="auto"/>
        <w:bottom w:val="none" w:sz="0" w:space="0" w:color="auto"/>
        <w:right w:val="none" w:sz="0" w:space="0" w:color="auto"/>
      </w:divBdr>
    </w:div>
    <w:div w:id="1599021486">
      <w:bodyDiv w:val="1"/>
      <w:marLeft w:val="0"/>
      <w:marRight w:val="0"/>
      <w:marTop w:val="0"/>
      <w:marBottom w:val="0"/>
      <w:divBdr>
        <w:top w:val="none" w:sz="0" w:space="0" w:color="auto"/>
        <w:left w:val="none" w:sz="0" w:space="0" w:color="auto"/>
        <w:bottom w:val="none" w:sz="0" w:space="0" w:color="auto"/>
        <w:right w:val="none" w:sz="0" w:space="0" w:color="auto"/>
      </w:divBdr>
      <w:divsChild>
        <w:div w:id="751855279">
          <w:marLeft w:val="0"/>
          <w:marRight w:val="0"/>
          <w:marTop w:val="0"/>
          <w:marBottom w:val="0"/>
          <w:divBdr>
            <w:top w:val="none" w:sz="0" w:space="0" w:color="auto"/>
            <w:left w:val="none" w:sz="0" w:space="0" w:color="auto"/>
            <w:bottom w:val="none" w:sz="0" w:space="0" w:color="auto"/>
            <w:right w:val="none" w:sz="0" w:space="0" w:color="auto"/>
          </w:divBdr>
          <w:divsChild>
            <w:div w:id="827092981">
              <w:marLeft w:val="0"/>
              <w:marRight w:val="0"/>
              <w:marTop w:val="0"/>
              <w:marBottom w:val="0"/>
              <w:divBdr>
                <w:top w:val="none" w:sz="0" w:space="0" w:color="auto"/>
                <w:left w:val="none" w:sz="0" w:space="0" w:color="auto"/>
                <w:bottom w:val="none" w:sz="0" w:space="0" w:color="auto"/>
                <w:right w:val="none" w:sz="0" w:space="0" w:color="auto"/>
              </w:divBdr>
              <w:divsChild>
                <w:div w:id="1959871461">
                  <w:marLeft w:val="0"/>
                  <w:marRight w:val="0"/>
                  <w:marTop w:val="0"/>
                  <w:marBottom w:val="0"/>
                  <w:divBdr>
                    <w:top w:val="none" w:sz="0" w:space="0" w:color="auto"/>
                    <w:left w:val="none" w:sz="0" w:space="0" w:color="auto"/>
                    <w:bottom w:val="none" w:sz="0" w:space="0" w:color="auto"/>
                    <w:right w:val="none" w:sz="0" w:space="0" w:color="auto"/>
                  </w:divBdr>
                  <w:divsChild>
                    <w:div w:id="2140414051">
                      <w:marLeft w:val="0"/>
                      <w:marRight w:val="0"/>
                      <w:marTop w:val="0"/>
                      <w:marBottom w:val="0"/>
                      <w:divBdr>
                        <w:top w:val="none" w:sz="0" w:space="0" w:color="auto"/>
                        <w:left w:val="none" w:sz="0" w:space="0" w:color="auto"/>
                        <w:bottom w:val="none" w:sz="0" w:space="0" w:color="auto"/>
                        <w:right w:val="none" w:sz="0" w:space="0" w:color="auto"/>
                      </w:divBdr>
                      <w:divsChild>
                        <w:div w:id="55445661">
                          <w:marLeft w:val="0"/>
                          <w:marRight w:val="0"/>
                          <w:marTop w:val="0"/>
                          <w:marBottom w:val="0"/>
                          <w:divBdr>
                            <w:top w:val="none" w:sz="0" w:space="0" w:color="auto"/>
                            <w:left w:val="none" w:sz="0" w:space="0" w:color="auto"/>
                            <w:bottom w:val="none" w:sz="0" w:space="0" w:color="auto"/>
                            <w:right w:val="none" w:sz="0" w:space="0" w:color="auto"/>
                          </w:divBdr>
                          <w:divsChild>
                            <w:div w:id="1116220949">
                              <w:marLeft w:val="0"/>
                              <w:marRight w:val="0"/>
                              <w:marTop w:val="0"/>
                              <w:marBottom w:val="0"/>
                              <w:divBdr>
                                <w:top w:val="none" w:sz="0" w:space="0" w:color="auto"/>
                                <w:left w:val="none" w:sz="0" w:space="0" w:color="auto"/>
                                <w:bottom w:val="none" w:sz="0" w:space="0" w:color="auto"/>
                                <w:right w:val="none" w:sz="0" w:space="0" w:color="auto"/>
                              </w:divBdr>
                              <w:divsChild>
                                <w:div w:id="1223444213">
                                  <w:marLeft w:val="0"/>
                                  <w:marRight w:val="0"/>
                                  <w:marTop w:val="0"/>
                                  <w:marBottom w:val="0"/>
                                  <w:divBdr>
                                    <w:top w:val="none" w:sz="0" w:space="0" w:color="auto"/>
                                    <w:left w:val="none" w:sz="0" w:space="0" w:color="auto"/>
                                    <w:bottom w:val="none" w:sz="0" w:space="0" w:color="auto"/>
                                    <w:right w:val="none" w:sz="0" w:space="0" w:color="auto"/>
                                  </w:divBdr>
                                  <w:divsChild>
                                    <w:div w:id="184179006">
                                      <w:marLeft w:val="0"/>
                                      <w:marRight w:val="0"/>
                                      <w:marTop w:val="0"/>
                                      <w:marBottom w:val="0"/>
                                      <w:divBdr>
                                        <w:top w:val="none" w:sz="0" w:space="0" w:color="auto"/>
                                        <w:left w:val="none" w:sz="0" w:space="0" w:color="auto"/>
                                        <w:bottom w:val="none" w:sz="0" w:space="0" w:color="auto"/>
                                        <w:right w:val="none" w:sz="0" w:space="0" w:color="auto"/>
                                      </w:divBdr>
                                      <w:divsChild>
                                        <w:div w:id="600989943">
                                          <w:marLeft w:val="0"/>
                                          <w:marRight w:val="0"/>
                                          <w:marTop w:val="0"/>
                                          <w:marBottom w:val="0"/>
                                          <w:divBdr>
                                            <w:top w:val="none" w:sz="0" w:space="0" w:color="auto"/>
                                            <w:left w:val="single" w:sz="6" w:space="0" w:color="999999"/>
                                            <w:bottom w:val="none" w:sz="0" w:space="0" w:color="auto"/>
                                            <w:right w:val="none" w:sz="0" w:space="0" w:color="auto"/>
                                          </w:divBdr>
                                          <w:divsChild>
                                            <w:div w:id="1306810375">
                                              <w:marLeft w:val="0"/>
                                              <w:marRight w:val="0"/>
                                              <w:marTop w:val="150"/>
                                              <w:marBottom w:val="150"/>
                                              <w:divBdr>
                                                <w:top w:val="none" w:sz="0" w:space="0" w:color="auto"/>
                                                <w:left w:val="none" w:sz="0" w:space="0" w:color="auto"/>
                                                <w:bottom w:val="none" w:sz="0" w:space="0" w:color="auto"/>
                                                <w:right w:val="none" w:sz="0" w:space="0" w:color="auto"/>
                                              </w:divBdr>
                                              <w:divsChild>
                                                <w:div w:id="2052807118">
                                                  <w:marLeft w:val="0"/>
                                                  <w:marRight w:val="0"/>
                                                  <w:marTop w:val="0"/>
                                                  <w:marBottom w:val="0"/>
                                                  <w:divBdr>
                                                    <w:top w:val="none" w:sz="0" w:space="0" w:color="auto"/>
                                                    <w:left w:val="none" w:sz="0" w:space="0" w:color="auto"/>
                                                    <w:bottom w:val="none" w:sz="0" w:space="0" w:color="auto"/>
                                                    <w:right w:val="none" w:sz="0" w:space="0" w:color="auto"/>
                                                  </w:divBdr>
                                                  <w:divsChild>
                                                    <w:div w:id="16192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988577">
      <w:bodyDiv w:val="1"/>
      <w:marLeft w:val="0"/>
      <w:marRight w:val="0"/>
      <w:marTop w:val="0"/>
      <w:marBottom w:val="0"/>
      <w:divBdr>
        <w:top w:val="none" w:sz="0" w:space="0" w:color="auto"/>
        <w:left w:val="none" w:sz="0" w:space="0" w:color="auto"/>
        <w:bottom w:val="none" w:sz="0" w:space="0" w:color="auto"/>
        <w:right w:val="none" w:sz="0" w:space="0" w:color="auto"/>
      </w:divBdr>
      <w:divsChild>
        <w:div w:id="1726025067">
          <w:marLeft w:val="0"/>
          <w:marRight w:val="0"/>
          <w:marTop w:val="0"/>
          <w:marBottom w:val="0"/>
          <w:divBdr>
            <w:top w:val="none" w:sz="0" w:space="0" w:color="auto"/>
            <w:left w:val="none" w:sz="0" w:space="0" w:color="auto"/>
            <w:bottom w:val="none" w:sz="0" w:space="0" w:color="auto"/>
            <w:right w:val="none" w:sz="0" w:space="0" w:color="auto"/>
          </w:divBdr>
          <w:divsChild>
            <w:div w:id="567229080">
              <w:marLeft w:val="0"/>
              <w:marRight w:val="0"/>
              <w:marTop w:val="0"/>
              <w:marBottom w:val="0"/>
              <w:divBdr>
                <w:top w:val="none" w:sz="0" w:space="0" w:color="auto"/>
                <w:left w:val="none" w:sz="0" w:space="0" w:color="auto"/>
                <w:bottom w:val="none" w:sz="0" w:space="0" w:color="auto"/>
                <w:right w:val="none" w:sz="0" w:space="0" w:color="auto"/>
              </w:divBdr>
              <w:divsChild>
                <w:div w:id="439687107">
                  <w:marLeft w:val="0"/>
                  <w:marRight w:val="0"/>
                  <w:marTop w:val="0"/>
                  <w:marBottom w:val="0"/>
                  <w:divBdr>
                    <w:top w:val="none" w:sz="0" w:space="0" w:color="auto"/>
                    <w:left w:val="none" w:sz="0" w:space="0" w:color="auto"/>
                    <w:bottom w:val="none" w:sz="0" w:space="0" w:color="auto"/>
                    <w:right w:val="none" w:sz="0" w:space="0" w:color="auto"/>
                  </w:divBdr>
                  <w:divsChild>
                    <w:div w:id="1509443092">
                      <w:marLeft w:val="0"/>
                      <w:marRight w:val="0"/>
                      <w:marTop w:val="0"/>
                      <w:marBottom w:val="0"/>
                      <w:divBdr>
                        <w:top w:val="none" w:sz="0" w:space="0" w:color="auto"/>
                        <w:left w:val="none" w:sz="0" w:space="0" w:color="auto"/>
                        <w:bottom w:val="none" w:sz="0" w:space="0" w:color="auto"/>
                        <w:right w:val="none" w:sz="0" w:space="0" w:color="auto"/>
                      </w:divBdr>
                      <w:divsChild>
                        <w:div w:id="1825854622">
                          <w:marLeft w:val="0"/>
                          <w:marRight w:val="0"/>
                          <w:marTop w:val="0"/>
                          <w:marBottom w:val="0"/>
                          <w:divBdr>
                            <w:top w:val="none" w:sz="0" w:space="0" w:color="auto"/>
                            <w:left w:val="none" w:sz="0" w:space="0" w:color="auto"/>
                            <w:bottom w:val="none" w:sz="0" w:space="0" w:color="auto"/>
                            <w:right w:val="none" w:sz="0" w:space="0" w:color="auto"/>
                          </w:divBdr>
                          <w:divsChild>
                            <w:div w:id="220094880">
                              <w:marLeft w:val="0"/>
                              <w:marRight w:val="0"/>
                              <w:marTop w:val="0"/>
                              <w:marBottom w:val="0"/>
                              <w:divBdr>
                                <w:top w:val="none" w:sz="0" w:space="0" w:color="auto"/>
                                <w:left w:val="none" w:sz="0" w:space="0" w:color="auto"/>
                                <w:bottom w:val="none" w:sz="0" w:space="0" w:color="auto"/>
                                <w:right w:val="none" w:sz="0" w:space="0" w:color="auto"/>
                              </w:divBdr>
                              <w:divsChild>
                                <w:div w:id="1689216614">
                                  <w:marLeft w:val="0"/>
                                  <w:marRight w:val="0"/>
                                  <w:marTop w:val="0"/>
                                  <w:marBottom w:val="0"/>
                                  <w:divBdr>
                                    <w:top w:val="none" w:sz="0" w:space="0" w:color="auto"/>
                                    <w:left w:val="none" w:sz="0" w:space="0" w:color="auto"/>
                                    <w:bottom w:val="none" w:sz="0" w:space="0" w:color="auto"/>
                                    <w:right w:val="none" w:sz="0" w:space="0" w:color="auto"/>
                                  </w:divBdr>
                                  <w:divsChild>
                                    <w:div w:id="1828786303">
                                      <w:marLeft w:val="0"/>
                                      <w:marRight w:val="0"/>
                                      <w:marTop w:val="0"/>
                                      <w:marBottom w:val="0"/>
                                      <w:divBdr>
                                        <w:top w:val="none" w:sz="0" w:space="0" w:color="auto"/>
                                        <w:left w:val="none" w:sz="0" w:space="0" w:color="auto"/>
                                        <w:bottom w:val="none" w:sz="0" w:space="0" w:color="auto"/>
                                        <w:right w:val="none" w:sz="0" w:space="0" w:color="auto"/>
                                      </w:divBdr>
                                      <w:divsChild>
                                        <w:div w:id="2096592470">
                                          <w:marLeft w:val="0"/>
                                          <w:marRight w:val="0"/>
                                          <w:marTop w:val="0"/>
                                          <w:marBottom w:val="0"/>
                                          <w:divBdr>
                                            <w:top w:val="none" w:sz="0" w:space="0" w:color="auto"/>
                                            <w:left w:val="single" w:sz="6" w:space="0" w:color="999999"/>
                                            <w:bottom w:val="none" w:sz="0" w:space="0" w:color="auto"/>
                                            <w:right w:val="none" w:sz="0" w:space="0" w:color="auto"/>
                                          </w:divBdr>
                                          <w:divsChild>
                                            <w:div w:id="1768579592">
                                              <w:marLeft w:val="0"/>
                                              <w:marRight w:val="0"/>
                                              <w:marTop w:val="150"/>
                                              <w:marBottom w:val="150"/>
                                              <w:divBdr>
                                                <w:top w:val="none" w:sz="0" w:space="0" w:color="auto"/>
                                                <w:left w:val="none" w:sz="0" w:space="0" w:color="auto"/>
                                                <w:bottom w:val="none" w:sz="0" w:space="0" w:color="auto"/>
                                                <w:right w:val="none" w:sz="0" w:space="0" w:color="auto"/>
                                              </w:divBdr>
                                              <w:divsChild>
                                                <w:div w:id="370766915">
                                                  <w:marLeft w:val="0"/>
                                                  <w:marRight w:val="0"/>
                                                  <w:marTop w:val="0"/>
                                                  <w:marBottom w:val="0"/>
                                                  <w:divBdr>
                                                    <w:top w:val="none" w:sz="0" w:space="0" w:color="auto"/>
                                                    <w:left w:val="none" w:sz="0" w:space="0" w:color="auto"/>
                                                    <w:bottom w:val="none" w:sz="0" w:space="0" w:color="auto"/>
                                                    <w:right w:val="none" w:sz="0" w:space="0" w:color="auto"/>
                                                  </w:divBdr>
                                                  <w:divsChild>
                                                    <w:div w:id="1200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102442">
      <w:bodyDiv w:val="1"/>
      <w:marLeft w:val="0"/>
      <w:marRight w:val="0"/>
      <w:marTop w:val="0"/>
      <w:marBottom w:val="0"/>
      <w:divBdr>
        <w:top w:val="none" w:sz="0" w:space="0" w:color="auto"/>
        <w:left w:val="none" w:sz="0" w:space="0" w:color="auto"/>
        <w:bottom w:val="none" w:sz="0" w:space="0" w:color="auto"/>
        <w:right w:val="none" w:sz="0" w:space="0" w:color="auto"/>
      </w:divBdr>
      <w:divsChild>
        <w:div w:id="1008405847">
          <w:marLeft w:val="0"/>
          <w:marRight w:val="0"/>
          <w:marTop w:val="0"/>
          <w:marBottom w:val="0"/>
          <w:divBdr>
            <w:top w:val="none" w:sz="0" w:space="0" w:color="auto"/>
            <w:left w:val="none" w:sz="0" w:space="0" w:color="auto"/>
            <w:bottom w:val="none" w:sz="0" w:space="0" w:color="auto"/>
            <w:right w:val="none" w:sz="0" w:space="0" w:color="auto"/>
          </w:divBdr>
          <w:divsChild>
            <w:div w:id="480969843">
              <w:marLeft w:val="0"/>
              <w:marRight w:val="0"/>
              <w:marTop w:val="0"/>
              <w:marBottom w:val="0"/>
              <w:divBdr>
                <w:top w:val="none" w:sz="0" w:space="0" w:color="auto"/>
                <w:left w:val="none" w:sz="0" w:space="0" w:color="auto"/>
                <w:bottom w:val="none" w:sz="0" w:space="0" w:color="auto"/>
                <w:right w:val="none" w:sz="0" w:space="0" w:color="auto"/>
              </w:divBdr>
              <w:divsChild>
                <w:div w:id="992292374">
                  <w:marLeft w:val="0"/>
                  <w:marRight w:val="0"/>
                  <w:marTop w:val="0"/>
                  <w:marBottom w:val="0"/>
                  <w:divBdr>
                    <w:top w:val="none" w:sz="0" w:space="0" w:color="auto"/>
                    <w:left w:val="none" w:sz="0" w:space="0" w:color="auto"/>
                    <w:bottom w:val="none" w:sz="0" w:space="0" w:color="auto"/>
                    <w:right w:val="none" w:sz="0" w:space="0" w:color="auto"/>
                  </w:divBdr>
                  <w:divsChild>
                    <w:div w:id="1315842382">
                      <w:marLeft w:val="0"/>
                      <w:marRight w:val="0"/>
                      <w:marTop w:val="0"/>
                      <w:marBottom w:val="0"/>
                      <w:divBdr>
                        <w:top w:val="none" w:sz="0" w:space="0" w:color="auto"/>
                        <w:left w:val="none" w:sz="0" w:space="0" w:color="auto"/>
                        <w:bottom w:val="none" w:sz="0" w:space="0" w:color="auto"/>
                        <w:right w:val="none" w:sz="0" w:space="0" w:color="auto"/>
                      </w:divBdr>
                      <w:divsChild>
                        <w:div w:id="581447602">
                          <w:marLeft w:val="0"/>
                          <w:marRight w:val="0"/>
                          <w:marTop w:val="0"/>
                          <w:marBottom w:val="0"/>
                          <w:divBdr>
                            <w:top w:val="none" w:sz="0" w:space="0" w:color="auto"/>
                            <w:left w:val="none" w:sz="0" w:space="0" w:color="auto"/>
                            <w:bottom w:val="none" w:sz="0" w:space="0" w:color="auto"/>
                            <w:right w:val="none" w:sz="0" w:space="0" w:color="auto"/>
                          </w:divBdr>
                          <w:divsChild>
                            <w:div w:id="1073970656">
                              <w:marLeft w:val="0"/>
                              <w:marRight w:val="0"/>
                              <w:marTop w:val="0"/>
                              <w:marBottom w:val="0"/>
                              <w:divBdr>
                                <w:top w:val="none" w:sz="0" w:space="0" w:color="auto"/>
                                <w:left w:val="none" w:sz="0" w:space="0" w:color="auto"/>
                                <w:bottom w:val="none" w:sz="0" w:space="0" w:color="auto"/>
                                <w:right w:val="none" w:sz="0" w:space="0" w:color="auto"/>
                              </w:divBdr>
                              <w:divsChild>
                                <w:div w:id="530724966">
                                  <w:marLeft w:val="0"/>
                                  <w:marRight w:val="0"/>
                                  <w:marTop w:val="0"/>
                                  <w:marBottom w:val="0"/>
                                  <w:divBdr>
                                    <w:top w:val="none" w:sz="0" w:space="0" w:color="auto"/>
                                    <w:left w:val="none" w:sz="0" w:space="0" w:color="auto"/>
                                    <w:bottom w:val="none" w:sz="0" w:space="0" w:color="auto"/>
                                    <w:right w:val="none" w:sz="0" w:space="0" w:color="auto"/>
                                  </w:divBdr>
                                  <w:divsChild>
                                    <w:div w:id="1021858813">
                                      <w:marLeft w:val="0"/>
                                      <w:marRight w:val="0"/>
                                      <w:marTop w:val="0"/>
                                      <w:marBottom w:val="0"/>
                                      <w:divBdr>
                                        <w:top w:val="none" w:sz="0" w:space="0" w:color="auto"/>
                                        <w:left w:val="none" w:sz="0" w:space="0" w:color="auto"/>
                                        <w:bottom w:val="none" w:sz="0" w:space="0" w:color="auto"/>
                                        <w:right w:val="none" w:sz="0" w:space="0" w:color="auto"/>
                                      </w:divBdr>
                                      <w:divsChild>
                                        <w:div w:id="707490735">
                                          <w:marLeft w:val="0"/>
                                          <w:marRight w:val="0"/>
                                          <w:marTop w:val="0"/>
                                          <w:marBottom w:val="0"/>
                                          <w:divBdr>
                                            <w:top w:val="none" w:sz="0" w:space="0" w:color="auto"/>
                                            <w:left w:val="single" w:sz="6" w:space="0" w:color="999999"/>
                                            <w:bottom w:val="none" w:sz="0" w:space="0" w:color="auto"/>
                                            <w:right w:val="none" w:sz="0" w:space="0" w:color="auto"/>
                                          </w:divBdr>
                                          <w:divsChild>
                                            <w:div w:id="184487955">
                                              <w:marLeft w:val="0"/>
                                              <w:marRight w:val="0"/>
                                              <w:marTop w:val="150"/>
                                              <w:marBottom w:val="150"/>
                                              <w:divBdr>
                                                <w:top w:val="none" w:sz="0" w:space="0" w:color="auto"/>
                                                <w:left w:val="none" w:sz="0" w:space="0" w:color="auto"/>
                                                <w:bottom w:val="none" w:sz="0" w:space="0" w:color="auto"/>
                                                <w:right w:val="none" w:sz="0" w:space="0" w:color="auto"/>
                                              </w:divBdr>
                                              <w:divsChild>
                                                <w:div w:id="1904441036">
                                                  <w:marLeft w:val="0"/>
                                                  <w:marRight w:val="0"/>
                                                  <w:marTop w:val="0"/>
                                                  <w:marBottom w:val="0"/>
                                                  <w:divBdr>
                                                    <w:top w:val="none" w:sz="0" w:space="0" w:color="auto"/>
                                                    <w:left w:val="none" w:sz="0" w:space="0" w:color="auto"/>
                                                    <w:bottom w:val="none" w:sz="0" w:space="0" w:color="auto"/>
                                                    <w:right w:val="none" w:sz="0" w:space="0" w:color="auto"/>
                                                  </w:divBdr>
                                                  <w:divsChild>
                                                    <w:div w:id="14768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323441">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781949536">
      <w:bodyDiv w:val="1"/>
      <w:marLeft w:val="0"/>
      <w:marRight w:val="0"/>
      <w:marTop w:val="0"/>
      <w:marBottom w:val="0"/>
      <w:divBdr>
        <w:top w:val="none" w:sz="0" w:space="0" w:color="auto"/>
        <w:left w:val="none" w:sz="0" w:space="0" w:color="auto"/>
        <w:bottom w:val="none" w:sz="0" w:space="0" w:color="auto"/>
        <w:right w:val="none" w:sz="0" w:space="0" w:color="auto"/>
      </w:divBdr>
      <w:divsChild>
        <w:div w:id="1269582062">
          <w:marLeft w:val="0"/>
          <w:marRight w:val="0"/>
          <w:marTop w:val="0"/>
          <w:marBottom w:val="0"/>
          <w:divBdr>
            <w:top w:val="none" w:sz="0" w:space="0" w:color="auto"/>
            <w:left w:val="none" w:sz="0" w:space="0" w:color="auto"/>
            <w:bottom w:val="none" w:sz="0" w:space="0" w:color="auto"/>
            <w:right w:val="none" w:sz="0" w:space="0" w:color="auto"/>
          </w:divBdr>
          <w:divsChild>
            <w:div w:id="852109757">
              <w:marLeft w:val="0"/>
              <w:marRight w:val="0"/>
              <w:marTop w:val="0"/>
              <w:marBottom w:val="0"/>
              <w:divBdr>
                <w:top w:val="none" w:sz="0" w:space="0" w:color="auto"/>
                <w:left w:val="none" w:sz="0" w:space="0" w:color="auto"/>
                <w:bottom w:val="none" w:sz="0" w:space="0" w:color="auto"/>
                <w:right w:val="none" w:sz="0" w:space="0" w:color="auto"/>
              </w:divBdr>
              <w:divsChild>
                <w:div w:id="154615657">
                  <w:marLeft w:val="0"/>
                  <w:marRight w:val="0"/>
                  <w:marTop w:val="0"/>
                  <w:marBottom w:val="0"/>
                  <w:divBdr>
                    <w:top w:val="none" w:sz="0" w:space="0" w:color="auto"/>
                    <w:left w:val="none" w:sz="0" w:space="0" w:color="auto"/>
                    <w:bottom w:val="none" w:sz="0" w:space="0" w:color="auto"/>
                    <w:right w:val="none" w:sz="0" w:space="0" w:color="auto"/>
                  </w:divBdr>
                  <w:divsChild>
                    <w:div w:id="10648702">
                      <w:marLeft w:val="0"/>
                      <w:marRight w:val="0"/>
                      <w:marTop w:val="0"/>
                      <w:marBottom w:val="0"/>
                      <w:divBdr>
                        <w:top w:val="none" w:sz="0" w:space="0" w:color="auto"/>
                        <w:left w:val="none" w:sz="0" w:space="0" w:color="auto"/>
                        <w:bottom w:val="none" w:sz="0" w:space="0" w:color="auto"/>
                        <w:right w:val="none" w:sz="0" w:space="0" w:color="auto"/>
                      </w:divBdr>
                      <w:divsChild>
                        <w:div w:id="2066951074">
                          <w:marLeft w:val="0"/>
                          <w:marRight w:val="0"/>
                          <w:marTop w:val="0"/>
                          <w:marBottom w:val="0"/>
                          <w:divBdr>
                            <w:top w:val="none" w:sz="0" w:space="0" w:color="auto"/>
                            <w:left w:val="none" w:sz="0" w:space="0" w:color="auto"/>
                            <w:bottom w:val="none" w:sz="0" w:space="0" w:color="auto"/>
                            <w:right w:val="none" w:sz="0" w:space="0" w:color="auto"/>
                          </w:divBdr>
                          <w:divsChild>
                            <w:div w:id="508832944">
                              <w:marLeft w:val="0"/>
                              <w:marRight w:val="0"/>
                              <w:marTop w:val="0"/>
                              <w:marBottom w:val="0"/>
                              <w:divBdr>
                                <w:top w:val="none" w:sz="0" w:space="0" w:color="auto"/>
                                <w:left w:val="none" w:sz="0" w:space="0" w:color="auto"/>
                                <w:bottom w:val="none" w:sz="0" w:space="0" w:color="auto"/>
                                <w:right w:val="none" w:sz="0" w:space="0" w:color="auto"/>
                              </w:divBdr>
                              <w:divsChild>
                                <w:div w:id="2094348806">
                                  <w:marLeft w:val="0"/>
                                  <w:marRight w:val="0"/>
                                  <w:marTop w:val="0"/>
                                  <w:marBottom w:val="0"/>
                                  <w:divBdr>
                                    <w:top w:val="none" w:sz="0" w:space="0" w:color="auto"/>
                                    <w:left w:val="none" w:sz="0" w:space="0" w:color="auto"/>
                                    <w:bottom w:val="none" w:sz="0" w:space="0" w:color="auto"/>
                                    <w:right w:val="none" w:sz="0" w:space="0" w:color="auto"/>
                                  </w:divBdr>
                                  <w:divsChild>
                                    <w:div w:id="585383210">
                                      <w:marLeft w:val="0"/>
                                      <w:marRight w:val="0"/>
                                      <w:marTop w:val="0"/>
                                      <w:marBottom w:val="0"/>
                                      <w:divBdr>
                                        <w:top w:val="none" w:sz="0" w:space="0" w:color="auto"/>
                                        <w:left w:val="none" w:sz="0" w:space="0" w:color="auto"/>
                                        <w:bottom w:val="none" w:sz="0" w:space="0" w:color="auto"/>
                                        <w:right w:val="none" w:sz="0" w:space="0" w:color="auto"/>
                                      </w:divBdr>
                                      <w:divsChild>
                                        <w:div w:id="1600522595">
                                          <w:marLeft w:val="0"/>
                                          <w:marRight w:val="0"/>
                                          <w:marTop w:val="0"/>
                                          <w:marBottom w:val="0"/>
                                          <w:divBdr>
                                            <w:top w:val="none" w:sz="0" w:space="0" w:color="auto"/>
                                            <w:left w:val="single" w:sz="6" w:space="0" w:color="999999"/>
                                            <w:bottom w:val="none" w:sz="0" w:space="0" w:color="auto"/>
                                            <w:right w:val="none" w:sz="0" w:space="0" w:color="auto"/>
                                          </w:divBdr>
                                          <w:divsChild>
                                            <w:div w:id="179584320">
                                              <w:marLeft w:val="0"/>
                                              <w:marRight w:val="0"/>
                                              <w:marTop w:val="150"/>
                                              <w:marBottom w:val="150"/>
                                              <w:divBdr>
                                                <w:top w:val="none" w:sz="0" w:space="0" w:color="auto"/>
                                                <w:left w:val="none" w:sz="0" w:space="0" w:color="auto"/>
                                                <w:bottom w:val="none" w:sz="0" w:space="0" w:color="auto"/>
                                                <w:right w:val="none" w:sz="0" w:space="0" w:color="auto"/>
                                              </w:divBdr>
                                              <w:divsChild>
                                                <w:div w:id="635649092">
                                                  <w:marLeft w:val="0"/>
                                                  <w:marRight w:val="0"/>
                                                  <w:marTop w:val="0"/>
                                                  <w:marBottom w:val="0"/>
                                                  <w:divBdr>
                                                    <w:top w:val="none" w:sz="0" w:space="0" w:color="auto"/>
                                                    <w:left w:val="none" w:sz="0" w:space="0" w:color="auto"/>
                                                    <w:bottom w:val="none" w:sz="0" w:space="0" w:color="auto"/>
                                                    <w:right w:val="none" w:sz="0" w:space="0" w:color="auto"/>
                                                  </w:divBdr>
                                                  <w:divsChild>
                                                    <w:div w:id="19139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050697">
      <w:bodyDiv w:val="1"/>
      <w:marLeft w:val="0"/>
      <w:marRight w:val="0"/>
      <w:marTop w:val="0"/>
      <w:marBottom w:val="0"/>
      <w:divBdr>
        <w:top w:val="none" w:sz="0" w:space="0" w:color="auto"/>
        <w:left w:val="none" w:sz="0" w:space="0" w:color="auto"/>
        <w:bottom w:val="none" w:sz="0" w:space="0" w:color="auto"/>
        <w:right w:val="none" w:sz="0" w:space="0" w:color="auto"/>
      </w:divBdr>
      <w:divsChild>
        <w:div w:id="1262760993">
          <w:marLeft w:val="0"/>
          <w:marRight w:val="0"/>
          <w:marTop w:val="0"/>
          <w:marBottom w:val="0"/>
          <w:divBdr>
            <w:top w:val="none" w:sz="0" w:space="0" w:color="auto"/>
            <w:left w:val="none" w:sz="0" w:space="0" w:color="auto"/>
            <w:bottom w:val="none" w:sz="0" w:space="0" w:color="auto"/>
            <w:right w:val="none" w:sz="0" w:space="0" w:color="auto"/>
          </w:divBdr>
          <w:divsChild>
            <w:div w:id="1652900624">
              <w:marLeft w:val="0"/>
              <w:marRight w:val="0"/>
              <w:marTop w:val="0"/>
              <w:marBottom w:val="0"/>
              <w:divBdr>
                <w:top w:val="none" w:sz="0" w:space="0" w:color="auto"/>
                <w:left w:val="none" w:sz="0" w:space="0" w:color="auto"/>
                <w:bottom w:val="none" w:sz="0" w:space="0" w:color="auto"/>
                <w:right w:val="none" w:sz="0" w:space="0" w:color="auto"/>
              </w:divBdr>
              <w:divsChild>
                <w:div w:id="1944803667">
                  <w:marLeft w:val="0"/>
                  <w:marRight w:val="0"/>
                  <w:marTop w:val="0"/>
                  <w:marBottom w:val="0"/>
                  <w:divBdr>
                    <w:top w:val="none" w:sz="0" w:space="0" w:color="auto"/>
                    <w:left w:val="none" w:sz="0" w:space="0" w:color="auto"/>
                    <w:bottom w:val="none" w:sz="0" w:space="0" w:color="auto"/>
                    <w:right w:val="none" w:sz="0" w:space="0" w:color="auto"/>
                  </w:divBdr>
                  <w:divsChild>
                    <w:div w:id="137185448">
                      <w:marLeft w:val="0"/>
                      <w:marRight w:val="0"/>
                      <w:marTop w:val="0"/>
                      <w:marBottom w:val="0"/>
                      <w:divBdr>
                        <w:top w:val="none" w:sz="0" w:space="0" w:color="auto"/>
                        <w:left w:val="none" w:sz="0" w:space="0" w:color="auto"/>
                        <w:bottom w:val="none" w:sz="0" w:space="0" w:color="auto"/>
                        <w:right w:val="none" w:sz="0" w:space="0" w:color="auto"/>
                      </w:divBdr>
                      <w:divsChild>
                        <w:div w:id="1619335066">
                          <w:marLeft w:val="0"/>
                          <w:marRight w:val="0"/>
                          <w:marTop w:val="0"/>
                          <w:marBottom w:val="0"/>
                          <w:divBdr>
                            <w:top w:val="none" w:sz="0" w:space="0" w:color="auto"/>
                            <w:left w:val="none" w:sz="0" w:space="0" w:color="auto"/>
                            <w:bottom w:val="none" w:sz="0" w:space="0" w:color="auto"/>
                            <w:right w:val="none" w:sz="0" w:space="0" w:color="auto"/>
                          </w:divBdr>
                          <w:divsChild>
                            <w:div w:id="246696447">
                              <w:marLeft w:val="0"/>
                              <w:marRight w:val="0"/>
                              <w:marTop w:val="0"/>
                              <w:marBottom w:val="0"/>
                              <w:divBdr>
                                <w:top w:val="none" w:sz="0" w:space="0" w:color="auto"/>
                                <w:left w:val="none" w:sz="0" w:space="0" w:color="auto"/>
                                <w:bottom w:val="none" w:sz="0" w:space="0" w:color="auto"/>
                                <w:right w:val="none" w:sz="0" w:space="0" w:color="auto"/>
                              </w:divBdr>
                              <w:divsChild>
                                <w:div w:id="2026982799">
                                  <w:marLeft w:val="0"/>
                                  <w:marRight w:val="0"/>
                                  <w:marTop w:val="0"/>
                                  <w:marBottom w:val="0"/>
                                  <w:divBdr>
                                    <w:top w:val="none" w:sz="0" w:space="0" w:color="auto"/>
                                    <w:left w:val="none" w:sz="0" w:space="0" w:color="auto"/>
                                    <w:bottom w:val="none" w:sz="0" w:space="0" w:color="auto"/>
                                    <w:right w:val="none" w:sz="0" w:space="0" w:color="auto"/>
                                  </w:divBdr>
                                  <w:divsChild>
                                    <w:div w:id="987323648">
                                      <w:marLeft w:val="0"/>
                                      <w:marRight w:val="0"/>
                                      <w:marTop w:val="0"/>
                                      <w:marBottom w:val="0"/>
                                      <w:divBdr>
                                        <w:top w:val="none" w:sz="0" w:space="0" w:color="auto"/>
                                        <w:left w:val="none" w:sz="0" w:space="0" w:color="auto"/>
                                        <w:bottom w:val="none" w:sz="0" w:space="0" w:color="auto"/>
                                        <w:right w:val="none" w:sz="0" w:space="0" w:color="auto"/>
                                      </w:divBdr>
                                      <w:divsChild>
                                        <w:div w:id="1501845532">
                                          <w:marLeft w:val="0"/>
                                          <w:marRight w:val="0"/>
                                          <w:marTop w:val="0"/>
                                          <w:marBottom w:val="0"/>
                                          <w:divBdr>
                                            <w:top w:val="none" w:sz="0" w:space="0" w:color="auto"/>
                                            <w:left w:val="single" w:sz="6" w:space="0" w:color="999999"/>
                                            <w:bottom w:val="none" w:sz="0" w:space="0" w:color="auto"/>
                                            <w:right w:val="none" w:sz="0" w:space="0" w:color="auto"/>
                                          </w:divBdr>
                                          <w:divsChild>
                                            <w:div w:id="1047727004">
                                              <w:marLeft w:val="0"/>
                                              <w:marRight w:val="0"/>
                                              <w:marTop w:val="150"/>
                                              <w:marBottom w:val="150"/>
                                              <w:divBdr>
                                                <w:top w:val="none" w:sz="0" w:space="0" w:color="auto"/>
                                                <w:left w:val="none" w:sz="0" w:space="0" w:color="auto"/>
                                                <w:bottom w:val="none" w:sz="0" w:space="0" w:color="auto"/>
                                                <w:right w:val="none" w:sz="0" w:space="0" w:color="auto"/>
                                              </w:divBdr>
                                              <w:divsChild>
                                                <w:div w:id="245379821">
                                                  <w:marLeft w:val="0"/>
                                                  <w:marRight w:val="0"/>
                                                  <w:marTop w:val="0"/>
                                                  <w:marBottom w:val="0"/>
                                                  <w:divBdr>
                                                    <w:top w:val="none" w:sz="0" w:space="0" w:color="auto"/>
                                                    <w:left w:val="none" w:sz="0" w:space="0" w:color="auto"/>
                                                    <w:bottom w:val="none" w:sz="0" w:space="0" w:color="auto"/>
                                                    <w:right w:val="none" w:sz="0" w:space="0" w:color="auto"/>
                                                  </w:divBdr>
                                                  <w:divsChild>
                                                    <w:div w:id="567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221887">
      <w:bodyDiv w:val="1"/>
      <w:marLeft w:val="0"/>
      <w:marRight w:val="0"/>
      <w:marTop w:val="0"/>
      <w:marBottom w:val="0"/>
      <w:divBdr>
        <w:top w:val="none" w:sz="0" w:space="0" w:color="auto"/>
        <w:left w:val="none" w:sz="0" w:space="0" w:color="auto"/>
        <w:bottom w:val="none" w:sz="0" w:space="0" w:color="auto"/>
        <w:right w:val="none" w:sz="0" w:space="0" w:color="auto"/>
      </w:divBdr>
      <w:divsChild>
        <w:div w:id="1184052440">
          <w:marLeft w:val="0"/>
          <w:marRight w:val="0"/>
          <w:marTop w:val="0"/>
          <w:marBottom w:val="0"/>
          <w:divBdr>
            <w:top w:val="none" w:sz="0" w:space="0" w:color="auto"/>
            <w:left w:val="none" w:sz="0" w:space="0" w:color="auto"/>
            <w:bottom w:val="none" w:sz="0" w:space="0" w:color="auto"/>
            <w:right w:val="none" w:sz="0" w:space="0" w:color="auto"/>
          </w:divBdr>
          <w:divsChild>
            <w:div w:id="412508706">
              <w:marLeft w:val="0"/>
              <w:marRight w:val="0"/>
              <w:marTop w:val="0"/>
              <w:marBottom w:val="0"/>
              <w:divBdr>
                <w:top w:val="none" w:sz="0" w:space="0" w:color="auto"/>
                <w:left w:val="none" w:sz="0" w:space="0" w:color="auto"/>
                <w:bottom w:val="none" w:sz="0" w:space="0" w:color="auto"/>
                <w:right w:val="none" w:sz="0" w:space="0" w:color="auto"/>
              </w:divBdr>
              <w:divsChild>
                <w:div w:id="925260547">
                  <w:marLeft w:val="0"/>
                  <w:marRight w:val="0"/>
                  <w:marTop w:val="0"/>
                  <w:marBottom w:val="0"/>
                  <w:divBdr>
                    <w:top w:val="none" w:sz="0" w:space="0" w:color="auto"/>
                    <w:left w:val="none" w:sz="0" w:space="0" w:color="auto"/>
                    <w:bottom w:val="none" w:sz="0" w:space="0" w:color="auto"/>
                    <w:right w:val="none" w:sz="0" w:space="0" w:color="auto"/>
                  </w:divBdr>
                  <w:divsChild>
                    <w:div w:id="228927879">
                      <w:marLeft w:val="0"/>
                      <w:marRight w:val="0"/>
                      <w:marTop w:val="0"/>
                      <w:marBottom w:val="0"/>
                      <w:divBdr>
                        <w:top w:val="none" w:sz="0" w:space="0" w:color="auto"/>
                        <w:left w:val="none" w:sz="0" w:space="0" w:color="auto"/>
                        <w:bottom w:val="none" w:sz="0" w:space="0" w:color="auto"/>
                        <w:right w:val="none" w:sz="0" w:space="0" w:color="auto"/>
                      </w:divBdr>
                      <w:divsChild>
                        <w:div w:id="836581337">
                          <w:marLeft w:val="0"/>
                          <w:marRight w:val="0"/>
                          <w:marTop w:val="0"/>
                          <w:marBottom w:val="0"/>
                          <w:divBdr>
                            <w:top w:val="none" w:sz="0" w:space="0" w:color="auto"/>
                            <w:left w:val="none" w:sz="0" w:space="0" w:color="auto"/>
                            <w:bottom w:val="none" w:sz="0" w:space="0" w:color="auto"/>
                            <w:right w:val="none" w:sz="0" w:space="0" w:color="auto"/>
                          </w:divBdr>
                          <w:divsChild>
                            <w:div w:id="628164696">
                              <w:marLeft w:val="0"/>
                              <w:marRight w:val="0"/>
                              <w:marTop w:val="0"/>
                              <w:marBottom w:val="0"/>
                              <w:divBdr>
                                <w:top w:val="none" w:sz="0" w:space="0" w:color="auto"/>
                                <w:left w:val="none" w:sz="0" w:space="0" w:color="auto"/>
                                <w:bottom w:val="none" w:sz="0" w:space="0" w:color="auto"/>
                                <w:right w:val="none" w:sz="0" w:space="0" w:color="auto"/>
                              </w:divBdr>
                              <w:divsChild>
                                <w:div w:id="1384912802">
                                  <w:marLeft w:val="0"/>
                                  <w:marRight w:val="0"/>
                                  <w:marTop w:val="0"/>
                                  <w:marBottom w:val="0"/>
                                  <w:divBdr>
                                    <w:top w:val="none" w:sz="0" w:space="0" w:color="auto"/>
                                    <w:left w:val="none" w:sz="0" w:space="0" w:color="auto"/>
                                    <w:bottom w:val="none" w:sz="0" w:space="0" w:color="auto"/>
                                    <w:right w:val="none" w:sz="0" w:space="0" w:color="auto"/>
                                  </w:divBdr>
                                  <w:divsChild>
                                    <w:div w:id="679965139">
                                      <w:marLeft w:val="0"/>
                                      <w:marRight w:val="0"/>
                                      <w:marTop w:val="0"/>
                                      <w:marBottom w:val="0"/>
                                      <w:divBdr>
                                        <w:top w:val="none" w:sz="0" w:space="0" w:color="auto"/>
                                        <w:left w:val="none" w:sz="0" w:space="0" w:color="auto"/>
                                        <w:bottom w:val="none" w:sz="0" w:space="0" w:color="auto"/>
                                        <w:right w:val="none" w:sz="0" w:space="0" w:color="auto"/>
                                      </w:divBdr>
                                      <w:divsChild>
                                        <w:div w:id="777986562">
                                          <w:marLeft w:val="0"/>
                                          <w:marRight w:val="0"/>
                                          <w:marTop w:val="0"/>
                                          <w:marBottom w:val="0"/>
                                          <w:divBdr>
                                            <w:top w:val="none" w:sz="0" w:space="0" w:color="auto"/>
                                            <w:left w:val="single" w:sz="6" w:space="0" w:color="999999"/>
                                            <w:bottom w:val="none" w:sz="0" w:space="0" w:color="auto"/>
                                            <w:right w:val="none" w:sz="0" w:space="0" w:color="auto"/>
                                          </w:divBdr>
                                          <w:divsChild>
                                            <w:div w:id="2119057610">
                                              <w:marLeft w:val="0"/>
                                              <w:marRight w:val="0"/>
                                              <w:marTop w:val="150"/>
                                              <w:marBottom w:val="150"/>
                                              <w:divBdr>
                                                <w:top w:val="none" w:sz="0" w:space="0" w:color="auto"/>
                                                <w:left w:val="none" w:sz="0" w:space="0" w:color="auto"/>
                                                <w:bottom w:val="none" w:sz="0" w:space="0" w:color="auto"/>
                                                <w:right w:val="none" w:sz="0" w:space="0" w:color="auto"/>
                                              </w:divBdr>
                                              <w:divsChild>
                                                <w:div w:id="1452243553">
                                                  <w:marLeft w:val="0"/>
                                                  <w:marRight w:val="0"/>
                                                  <w:marTop w:val="0"/>
                                                  <w:marBottom w:val="0"/>
                                                  <w:divBdr>
                                                    <w:top w:val="none" w:sz="0" w:space="0" w:color="auto"/>
                                                    <w:left w:val="none" w:sz="0" w:space="0" w:color="auto"/>
                                                    <w:bottom w:val="none" w:sz="0" w:space="0" w:color="auto"/>
                                                    <w:right w:val="none" w:sz="0" w:space="0" w:color="auto"/>
                                                  </w:divBdr>
                                                  <w:divsChild>
                                                    <w:div w:id="6513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28227651">
      <w:bodyDiv w:val="1"/>
      <w:marLeft w:val="0"/>
      <w:marRight w:val="0"/>
      <w:marTop w:val="0"/>
      <w:marBottom w:val="0"/>
      <w:divBdr>
        <w:top w:val="none" w:sz="0" w:space="0" w:color="auto"/>
        <w:left w:val="none" w:sz="0" w:space="0" w:color="auto"/>
        <w:bottom w:val="none" w:sz="0" w:space="0" w:color="auto"/>
        <w:right w:val="none" w:sz="0" w:space="0" w:color="auto"/>
      </w:divBdr>
    </w:div>
    <w:div w:id="20913869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659">
          <w:marLeft w:val="0"/>
          <w:marRight w:val="0"/>
          <w:marTop w:val="0"/>
          <w:marBottom w:val="0"/>
          <w:divBdr>
            <w:top w:val="none" w:sz="0" w:space="0" w:color="auto"/>
            <w:left w:val="none" w:sz="0" w:space="0" w:color="auto"/>
            <w:bottom w:val="none" w:sz="0" w:space="0" w:color="auto"/>
            <w:right w:val="none" w:sz="0" w:space="0" w:color="auto"/>
          </w:divBdr>
          <w:divsChild>
            <w:div w:id="860244353">
              <w:marLeft w:val="0"/>
              <w:marRight w:val="0"/>
              <w:marTop w:val="0"/>
              <w:marBottom w:val="0"/>
              <w:divBdr>
                <w:top w:val="none" w:sz="0" w:space="0" w:color="auto"/>
                <w:left w:val="none" w:sz="0" w:space="0" w:color="auto"/>
                <w:bottom w:val="none" w:sz="0" w:space="0" w:color="auto"/>
                <w:right w:val="none" w:sz="0" w:space="0" w:color="auto"/>
              </w:divBdr>
              <w:divsChild>
                <w:div w:id="1714116492">
                  <w:marLeft w:val="0"/>
                  <w:marRight w:val="0"/>
                  <w:marTop w:val="0"/>
                  <w:marBottom w:val="0"/>
                  <w:divBdr>
                    <w:top w:val="none" w:sz="0" w:space="0" w:color="auto"/>
                    <w:left w:val="none" w:sz="0" w:space="0" w:color="auto"/>
                    <w:bottom w:val="none" w:sz="0" w:space="0" w:color="auto"/>
                    <w:right w:val="none" w:sz="0" w:space="0" w:color="auto"/>
                  </w:divBdr>
                  <w:divsChild>
                    <w:div w:id="1957982152">
                      <w:marLeft w:val="0"/>
                      <w:marRight w:val="0"/>
                      <w:marTop w:val="0"/>
                      <w:marBottom w:val="0"/>
                      <w:divBdr>
                        <w:top w:val="none" w:sz="0" w:space="0" w:color="auto"/>
                        <w:left w:val="none" w:sz="0" w:space="0" w:color="auto"/>
                        <w:bottom w:val="none" w:sz="0" w:space="0" w:color="auto"/>
                        <w:right w:val="none" w:sz="0" w:space="0" w:color="auto"/>
                      </w:divBdr>
                      <w:divsChild>
                        <w:div w:id="692805949">
                          <w:marLeft w:val="0"/>
                          <w:marRight w:val="0"/>
                          <w:marTop w:val="0"/>
                          <w:marBottom w:val="0"/>
                          <w:divBdr>
                            <w:top w:val="none" w:sz="0" w:space="0" w:color="auto"/>
                            <w:left w:val="none" w:sz="0" w:space="0" w:color="auto"/>
                            <w:bottom w:val="none" w:sz="0" w:space="0" w:color="auto"/>
                            <w:right w:val="none" w:sz="0" w:space="0" w:color="auto"/>
                          </w:divBdr>
                          <w:divsChild>
                            <w:div w:id="1920482286">
                              <w:marLeft w:val="0"/>
                              <w:marRight w:val="0"/>
                              <w:marTop w:val="0"/>
                              <w:marBottom w:val="0"/>
                              <w:divBdr>
                                <w:top w:val="none" w:sz="0" w:space="0" w:color="auto"/>
                                <w:left w:val="none" w:sz="0" w:space="0" w:color="auto"/>
                                <w:bottom w:val="none" w:sz="0" w:space="0" w:color="auto"/>
                                <w:right w:val="none" w:sz="0" w:space="0" w:color="auto"/>
                              </w:divBdr>
                              <w:divsChild>
                                <w:div w:id="1295940563">
                                  <w:marLeft w:val="0"/>
                                  <w:marRight w:val="0"/>
                                  <w:marTop w:val="0"/>
                                  <w:marBottom w:val="0"/>
                                  <w:divBdr>
                                    <w:top w:val="none" w:sz="0" w:space="0" w:color="auto"/>
                                    <w:left w:val="none" w:sz="0" w:space="0" w:color="auto"/>
                                    <w:bottom w:val="none" w:sz="0" w:space="0" w:color="auto"/>
                                    <w:right w:val="none" w:sz="0" w:space="0" w:color="auto"/>
                                  </w:divBdr>
                                  <w:divsChild>
                                    <w:div w:id="140579807">
                                      <w:marLeft w:val="0"/>
                                      <w:marRight w:val="0"/>
                                      <w:marTop w:val="0"/>
                                      <w:marBottom w:val="0"/>
                                      <w:divBdr>
                                        <w:top w:val="none" w:sz="0" w:space="0" w:color="auto"/>
                                        <w:left w:val="none" w:sz="0" w:space="0" w:color="auto"/>
                                        <w:bottom w:val="none" w:sz="0" w:space="0" w:color="auto"/>
                                        <w:right w:val="none" w:sz="0" w:space="0" w:color="auto"/>
                                      </w:divBdr>
                                      <w:divsChild>
                                        <w:div w:id="185751131">
                                          <w:marLeft w:val="0"/>
                                          <w:marRight w:val="0"/>
                                          <w:marTop w:val="0"/>
                                          <w:marBottom w:val="0"/>
                                          <w:divBdr>
                                            <w:top w:val="none" w:sz="0" w:space="0" w:color="auto"/>
                                            <w:left w:val="single" w:sz="6" w:space="0" w:color="999999"/>
                                            <w:bottom w:val="none" w:sz="0" w:space="0" w:color="auto"/>
                                            <w:right w:val="none" w:sz="0" w:space="0" w:color="auto"/>
                                          </w:divBdr>
                                          <w:divsChild>
                                            <w:div w:id="2020157586">
                                              <w:marLeft w:val="0"/>
                                              <w:marRight w:val="0"/>
                                              <w:marTop w:val="150"/>
                                              <w:marBottom w:val="150"/>
                                              <w:divBdr>
                                                <w:top w:val="none" w:sz="0" w:space="0" w:color="auto"/>
                                                <w:left w:val="none" w:sz="0" w:space="0" w:color="auto"/>
                                                <w:bottom w:val="none" w:sz="0" w:space="0" w:color="auto"/>
                                                <w:right w:val="none" w:sz="0" w:space="0" w:color="auto"/>
                                              </w:divBdr>
                                              <w:divsChild>
                                                <w:div w:id="1937134624">
                                                  <w:marLeft w:val="0"/>
                                                  <w:marRight w:val="0"/>
                                                  <w:marTop w:val="0"/>
                                                  <w:marBottom w:val="0"/>
                                                  <w:divBdr>
                                                    <w:top w:val="none" w:sz="0" w:space="0" w:color="auto"/>
                                                    <w:left w:val="none" w:sz="0" w:space="0" w:color="auto"/>
                                                    <w:bottom w:val="none" w:sz="0" w:space="0" w:color="auto"/>
                                                    <w:right w:val="none" w:sz="0" w:space="0" w:color="auto"/>
                                                  </w:divBdr>
                                                  <w:divsChild>
                                                    <w:div w:id="878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gov.uk/government/publications/haemophilus-influenzae-type-hib-the-green-book-chapter-16" TargetMode="External"/><Relationship Id="rId26" Type="http://schemas.openxmlformats.org/officeDocument/2006/relationships/hyperlink" Target="https://www.gov.uk/government/publications/diphtheria-the-green-book-chapter-15" TargetMode="External"/><Relationship Id="rId39" Type="http://schemas.openxmlformats.org/officeDocument/2006/relationships/hyperlink" Target="https://www.gov.uk/government/publications/a-guide-to-immunisations-for-babies-up-to-13-months-of-age" TargetMode="External"/><Relationship Id="rId21" Type="http://schemas.openxmlformats.org/officeDocument/2006/relationships/hyperlink" Target="https://www.gov.uk/government/publications/tetanus-the-green-book-chapter-30" TargetMode="External"/><Relationship Id="rId34" Type="http://schemas.openxmlformats.org/officeDocument/2006/relationships/hyperlink" Target="https://www.gov.uk/government/publications/tetanus-the-green-book-chapter-30" TargetMode="External"/><Relationship Id="rId42" Type="http://schemas.openxmlformats.org/officeDocument/2006/relationships/hyperlink" Target="http://apps.who.int/immunization_monitoring/globalsummary/" TargetMode="External"/><Relationship Id="rId47" Type="http://schemas.openxmlformats.org/officeDocument/2006/relationships/hyperlink" Target="https://www.gov.uk/government/publications/polio-the-green-book-chapter-26" TargetMode="External"/><Relationship Id="rId50" Type="http://schemas.openxmlformats.org/officeDocument/2006/relationships/hyperlink" Target="https://www.gov.uk/government/collections/immunisation-against-infectious-disease-the-green-book" TargetMode="External"/><Relationship Id="rId55" Type="http://schemas.openxmlformats.org/officeDocument/2006/relationships/hyperlink" Target="https://www.gov.uk/government/publications/vaccination-of-individuals-with-uncertain-or-incomplete-immunisation-status" TargetMode="External"/><Relationship Id="rId63" Type="http://schemas.openxmlformats.org/officeDocument/2006/relationships/hyperlink" Target="https://www.gov.uk/government/publications/guidance-on-the-safe-management-of-healthcare-waste" TargetMode="External"/><Relationship Id="rId68"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uploads/system/uploads/attachment_data/file/362171/National_Immun_Train_Stand1.pdf" TargetMode="External"/><Relationship Id="rId29" Type="http://schemas.openxmlformats.org/officeDocument/2006/relationships/hyperlink" Target="https://www.gov.uk/government/publications/pertussis-the-green-book-chapter-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s://www.gov.uk/government/publications/pertussis-the-green-book-chapter-24" TargetMode="External"/><Relationship Id="rId32" Type="http://schemas.openxmlformats.org/officeDocument/2006/relationships/hyperlink" Target="https://www.gov.uk/government/publications/immunisation-procedures-the-green-book-chapter-4" TargetMode="External"/><Relationship Id="rId37" Type="http://schemas.openxmlformats.org/officeDocument/2006/relationships/hyperlink" Target="http://www.medicines.org.uk" TargetMode="External"/><Relationship Id="rId40" Type="http://schemas.openxmlformats.org/officeDocument/2006/relationships/hyperlink" Target="https://www.gov.uk/government/publications/a-quick-guide-to-childhood-immunisation-for-the-parents-of-premature-babies" TargetMode="External"/><Relationship Id="rId45" Type="http://schemas.openxmlformats.org/officeDocument/2006/relationships/hyperlink" Target="https://www.gov.uk/government/publications/diphtheria-the-green-book-chapter-15" TargetMode="External"/><Relationship Id="rId53" Type="http://schemas.openxmlformats.org/officeDocument/2006/relationships/hyperlink" Target="https://www.gov.uk/government/uploads/system/uploads/attachment_data/file/386234/No04_DtapIPVHib_Immunisation.pdf" TargetMode="External"/><Relationship Id="rId58" Type="http://schemas.openxmlformats.org/officeDocument/2006/relationships/hyperlink" Target="http://www.evidence.nhs.uk/formulary/bnf/current/14-immunological-products-and-vaccines/144-vaccines-and-antisera/diphtheria-vaccines/diphtheria-containing-vaccines/diphtheria-containing-vaccines-for-children-under-10-years"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v.uk/government/collections/immunisation-against-infectious-disease-the-green-book" TargetMode="External"/><Relationship Id="rId23" Type="http://schemas.openxmlformats.org/officeDocument/2006/relationships/hyperlink" Target="https://www.gov.uk/government/publications/diphtheria-the-green-book-chapter-15" TargetMode="External"/><Relationship Id="rId28" Type="http://schemas.openxmlformats.org/officeDocument/2006/relationships/hyperlink" Target="https://www.gov.uk/government/publications/tetanus-the-green-book-chapter-30" TargetMode="External"/><Relationship Id="rId36" Type="http://schemas.openxmlformats.org/officeDocument/2006/relationships/hyperlink" Target="https://www.gov.uk/government/publications/guidance-on-the-safe-management-of-healthcare-waste" TargetMode="External"/><Relationship Id="rId49" Type="http://schemas.openxmlformats.org/officeDocument/2006/relationships/hyperlink" Target="https://www.gov.uk/government/publications/pertussis-the-green-book-chapter-24" TargetMode="External"/><Relationship Id="rId57" Type="http://schemas.openxmlformats.org/officeDocument/2006/relationships/hyperlink" Target="http://www.BNF.org" TargetMode="External"/><Relationship Id="rId61" Type="http://schemas.openxmlformats.org/officeDocument/2006/relationships/hyperlink" Target="https://www.nice.org.uk/guidance/mpg2/resources" TargetMode="External"/><Relationship Id="rId10" Type="http://schemas.openxmlformats.org/officeDocument/2006/relationships/hyperlink" Target="mailto:Immunisation@phe.gov.uk" TargetMode="External"/><Relationship Id="rId19" Type="http://schemas.openxmlformats.org/officeDocument/2006/relationships/hyperlink" Target="https://www.gov.uk/government/publications/pertussis-the-green-book-chapter-24" TargetMode="External"/><Relationship Id="rId31" Type="http://schemas.openxmlformats.org/officeDocument/2006/relationships/hyperlink" Target="https://www.gov.uk/government/publications/immunisation-procedures-the-green-book-chapter-4" TargetMode="External"/><Relationship Id="rId44" Type="http://schemas.openxmlformats.org/officeDocument/2006/relationships/hyperlink" Target="https://www.gov.uk/government/publications/tetanus-the-green-book-chapter-30" TargetMode="External"/><Relationship Id="rId52" Type="http://schemas.openxmlformats.org/officeDocument/2006/relationships/hyperlink" Target="http://www.medicines.org.uk/emc/medicine/26217" TargetMode="External"/><Relationship Id="rId60" Type="http://schemas.openxmlformats.org/officeDocument/2006/relationships/hyperlink" Target="https://www.nice.org.uk/guidance/mpg2" TargetMode="External"/><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gov.uk/government/collections/immunisation" TargetMode="External"/><Relationship Id="rId14" Type="http://schemas.openxmlformats.org/officeDocument/2006/relationships/hyperlink" Target="https://www.nice.org.uk/guidance/mpg2/resources" TargetMode="External"/><Relationship Id="rId22" Type="http://schemas.openxmlformats.org/officeDocument/2006/relationships/hyperlink" Target="https://www.gov.uk/government/publications/tetanus-the-green-book-chapter-30" TargetMode="External"/><Relationship Id="rId27" Type="http://schemas.openxmlformats.org/officeDocument/2006/relationships/hyperlink" Target="https://www.gov.uk/government/publications/pertussis-the-green-book-chapter-24" TargetMode="External"/><Relationship Id="rId30" Type="http://schemas.openxmlformats.org/officeDocument/2006/relationships/hyperlink" Target="https://www.gov.uk/government/publications/vaccination-of-individuals-with-uncertain-or-incomplete-immunisation-status" TargetMode="External"/><Relationship Id="rId35" Type="http://schemas.openxmlformats.org/officeDocument/2006/relationships/hyperlink" Target="https://www.gov.uk/government/publications/tetanus-the-green-book-chapter-30" TargetMode="External"/><Relationship Id="rId43" Type="http://schemas.openxmlformats.org/officeDocument/2006/relationships/hyperlink" Target="https://www.gov.uk/government/publications/tetanus-the-green-book-chapter-30" TargetMode="External"/><Relationship Id="rId48" Type="http://schemas.openxmlformats.org/officeDocument/2006/relationships/hyperlink" Target="https://www.gov.uk/government/publications/tetanus-the-green-book-chapter-30" TargetMode="External"/><Relationship Id="rId56" Type="http://schemas.openxmlformats.org/officeDocument/2006/relationships/hyperlink" Target="https://www.gov.uk/government/collections/immunisation"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www.medicines.org.uk/emc/medicine/28678"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gov.uk/government/publications/diphtheria-the-green-book-chapter-15" TargetMode="External"/><Relationship Id="rId25" Type="http://schemas.openxmlformats.org/officeDocument/2006/relationships/hyperlink" Target="https://www.gov.uk/government/publications/tetanus-the-green-book-chapter-30" TargetMode="External"/><Relationship Id="rId33" Type="http://schemas.openxmlformats.org/officeDocument/2006/relationships/hyperlink" Target="http://www.medicines.org.uk" TargetMode="External"/><Relationship Id="rId38" Type="http://schemas.openxmlformats.org/officeDocument/2006/relationships/hyperlink" Target="http://yellowcard.mhra.gov.uk" TargetMode="External"/><Relationship Id="rId46" Type="http://schemas.openxmlformats.org/officeDocument/2006/relationships/hyperlink" Target="https://www.gov.uk/government/publications/haemophilus-influenzae-type-hib-the-green-book-chapter-16" TargetMode="External"/><Relationship Id="rId59" Type="http://schemas.openxmlformats.org/officeDocument/2006/relationships/hyperlink" Target="https://www.gov.uk/government/publications/immunisation-training-national-minimum-standards" TargetMode="External"/><Relationship Id="rId67" Type="http://schemas.openxmlformats.org/officeDocument/2006/relationships/footer" Target="footer2.xml"/><Relationship Id="rId20" Type="http://schemas.openxmlformats.org/officeDocument/2006/relationships/hyperlink" Target="https://www.gov.uk/government/publications/polio-the-green-book-chapter-26" TargetMode="External"/><Relationship Id="rId41" Type="http://schemas.openxmlformats.org/officeDocument/2006/relationships/hyperlink" Target="http://www.gov.uk/government/collections/immunisation" TargetMode="External"/><Relationship Id="rId54" Type="http://schemas.openxmlformats.org/officeDocument/2006/relationships/hyperlink" Target="https://www.gov.uk/government/publications/use-of-infanrix-ipvhib-in-the-infant-immunisation-schedule" TargetMode="External"/><Relationship Id="rId62" Type="http://schemas.openxmlformats.org/officeDocument/2006/relationships/hyperlink" Target="http://www.rcn.org.uk/__data/assets/pdf_file/0011/641918/RCN_PHE_immunisation_TOOL_2015_WEB.pdf" TargetMode="External"/><Relationship Id="rId7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F88D7-0864-4C12-A80D-EA5184A8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4930</Words>
  <Characters>28106</Characters>
  <Application>Microsoft Office Word</Application>
  <DocSecurity>8</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Lamberty</dc:creator>
  <cp:lastModifiedBy>Sonia Ribeiro</cp:lastModifiedBy>
  <cp:revision>2</cp:revision>
  <cp:lastPrinted>2015-12-10T10:52:00Z</cp:lastPrinted>
  <dcterms:created xsi:type="dcterms:W3CDTF">2018-01-12T14:11:00Z</dcterms:created>
  <dcterms:modified xsi:type="dcterms:W3CDTF">2018-01-12T14:11:00Z</dcterms:modified>
</cp:coreProperties>
</file>