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EC0BAF" w14:textId="77777777" w:rsidR="00C365C7" w:rsidRDefault="00C365C7">
      <w:pPr>
        <w:pStyle w:val="Normal1"/>
        <w:spacing w:after="0"/>
      </w:pPr>
    </w:p>
    <w:tbl>
      <w:tblPr>
        <w:tblStyle w:val="a"/>
        <w:tblW w:w="9809" w:type="dxa"/>
        <w:tblInd w:w="-199" w:type="dxa"/>
        <w:tblLayout w:type="fixed"/>
        <w:tblLook w:val="0000" w:firstRow="0" w:lastRow="0" w:firstColumn="0" w:lastColumn="0" w:noHBand="0" w:noVBand="0"/>
      </w:tblPr>
      <w:tblGrid>
        <w:gridCol w:w="173"/>
        <w:gridCol w:w="9636"/>
      </w:tblGrid>
      <w:tr w:rsidR="00C365C7" w14:paraId="6C3B7935" w14:textId="77777777">
        <w:trPr>
          <w:trHeight w:val="3960"/>
        </w:trPr>
        <w:tc>
          <w:tcPr>
            <w:tcW w:w="9809" w:type="dxa"/>
            <w:gridSpan w:val="2"/>
            <w:shd w:val="clear" w:color="auto" w:fill="FFFFFF"/>
          </w:tcPr>
          <w:p w14:paraId="5D8902C0" w14:textId="77777777" w:rsidR="00C365C7" w:rsidRDefault="00DD1CBD">
            <w:pPr>
              <w:pStyle w:val="Normal1"/>
            </w:pPr>
            <w:r>
              <w:rPr>
                <w:noProof/>
                <w:lang w:val="en-US"/>
              </w:rPr>
              <w:drawing>
                <wp:inline distT="0" distB="0" distL="0" distR="0" wp14:anchorId="0CB8D894" wp14:editId="2A5954E6">
                  <wp:extent cx="1624330" cy="624840"/>
                  <wp:effectExtent l="0" t="0" r="0" b="0"/>
                  <wp:docPr id="2" name="image05.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05.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p>
        </w:tc>
      </w:tr>
      <w:tr w:rsidR="00C365C7" w14:paraId="715739B0" w14:textId="77777777">
        <w:trPr>
          <w:trHeight w:val="4520"/>
        </w:trPr>
        <w:tc>
          <w:tcPr>
            <w:tcW w:w="173" w:type="dxa"/>
            <w:shd w:val="clear" w:color="auto" w:fill="FFFFFF"/>
          </w:tcPr>
          <w:p w14:paraId="40A5D0F4" w14:textId="77777777" w:rsidR="00C365C7" w:rsidRDefault="00C365C7">
            <w:pPr>
              <w:pStyle w:val="Normal1"/>
            </w:pPr>
          </w:p>
        </w:tc>
        <w:tc>
          <w:tcPr>
            <w:tcW w:w="9636" w:type="dxa"/>
            <w:shd w:val="clear" w:color="auto" w:fill="FFFFFF"/>
          </w:tcPr>
          <w:p w14:paraId="344DED4B" w14:textId="77777777" w:rsidR="00C365C7" w:rsidRDefault="00DD1CBD">
            <w:pPr>
              <w:pStyle w:val="Title"/>
            </w:pPr>
            <w:r>
              <w:t>Government Review</w:t>
            </w:r>
          </w:p>
          <w:p w14:paraId="2C95291E" w14:textId="77777777" w:rsidR="00C365C7" w:rsidRDefault="00DD1CBD">
            <w:pPr>
              <w:pStyle w:val="Title"/>
            </w:pPr>
            <w:r>
              <w:t>Making Commercial Terms of Government Land Disposals More Transparent</w:t>
            </w:r>
          </w:p>
        </w:tc>
      </w:tr>
      <w:tr w:rsidR="00C365C7" w14:paraId="41CB2D58" w14:textId="77777777">
        <w:trPr>
          <w:trHeight w:val="2820"/>
        </w:trPr>
        <w:tc>
          <w:tcPr>
            <w:tcW w:w="173" w:type="dxa"/>
            <w:shd w:val="clear" w:color="auto" w:fill="FFFFFF"/>
          </w:tcPr>
          <w:p w14:paraId="3A4D1451" w14:textId="77777777" w:rsidR="00C365C7" w:rsidRDefault="00C365C7">
            <w:pPr>
              <w:pStyle w:val="Normal1"/>
            </w:pPr>
          </w:p>
        </w:tc>
        <w:tc>
          <w:tcPr>
            <w:tcW w:w="9636" w:type="dxa"/>
            <w:shd w:val="clear" w:color="auto" w:fill="FFFFFF"/>
          </w:tcPr>
          <w:p w14:paraId="3A11392C" w14:textId="28B2B5FF" w:rsidR="00C365C7" w:rsidRDefault="004E0BD1">
            <w:pPr>
              <w:pStyle w:val="Normal1"/>
            </w:pPr>
            <w:r>
              <w:t>March</w:t>
            </w:r>
            <w:r w:rsidR="00DD1CBD">
              <w:t xml:space="preserve"> 201</w:t>
            </w:r>
            <w:r w:rsidR="00F5791D">
              <w:t>7</w:t>
            </w:r>
          </w:p>
        </w:tc>
      </w:tr>
      <w:tr w:rsidR="00C365C7" w14:paraId="5852175C" w14:textId="77777777">
        <w:trPr>
          <w:trHeight w:val="1120"/>
        </w:trPr>
        <w:tc>
          <w:tcPr>
            <w:tcW w:w="173" w:type="dxa"/>
            <w:shd w:val="clear" w:color="auto" w:fill="FFFFFF"/>
          </w:tcPr>
          <w:p w14:paraId="2A975313" w14:textId="77777777" w:rsidR="00C365C7" w:rsidRDefault="00C365C7">
            <w:pPr>
              <w:pStyle w:val="Normal1"/>
            </w:pPr>
          </w:p>
        </w:tc>
        <w:tc>
          <w:tcPr>
            <w:tcW w:w="9636" w:type="dxa"/>
            <w:shd w:val="clear" w:color="auto" w:fill="FFFFFF"/>
          </w:tcPr>
          <w:p w14:paraId="0A5ACC08" w14:textId="0D50598B" w:rsidR="00C365C7" w:rsidRDefault="00C365C7">
            <w:pPr>
              <w:pStyle w:val="Normal1"/>
            </w:pPr>
          </w:p>
        </w:tc>
      </w:tr>
    </w:tbl>
    <w:p w14:paraId="6057170F" w14:textId="77777777" w:rsidR="00C365C7" w:rsidRDefault="00C365C7">
      <w:pPr>
        <w:pStyle w:val="Normal1"/>
        <w:spacing w:after="0"/>
      </w:pPr>
    </w:p>
    <w:p w14:paraId="081C9735" w14:textId="77777777" w:rsidR="00C365C7" w:rsidRDefault="00DD1CBD">
      <w:pPr>
        <w:pStyle w:val="Normal1"/>
      </w:pPr>
      <w:r>
        <w:br w:type="page"/>
      </w:r>
    </w:p>
    <w:p w14:paraId="4BE1904A" w14:textId="77777777" w:rsidR="00C365C7" w:rsidRDefault="00C365C7">
      <w:pPr>
        <w:pStyle w:val="Normal1"/>
        <w:spacing w:after="0"/>
      </w:pPr>
    </w:p>
    <w:p w14:paraId="27693E07" w14:textId="77777777" w:rsidR="00C365C7" w:rsidRDefault="00C365C7">
      <w:pPr>
        <w:pStyle w:val="Normal1"/>
        <w:spacing w:after="0"/>
      </w:pPr>
    </w:p>
    <w:p w14:paraId="0B7D4F8A" w14:textId="77777777" w:rsidR="00C365C7" w:rsidRDefault="00C365C7">
      <w:pPr>
        <w:pStyle w:val="Normal1"/>
        <w:spacing w:after="0"/>
      </w:pPr>
    </w:p>
    <w:p w14:paraId="61610F10" w14:textId="77777777" w:rsidR="00C365C7" w:rsidRDefault="00C365C7">
      <w:pPr>
        <w:pStyle w:val="Normal1"/>
        <w:spacing w:after="0"/>
      </w:pPr>
    </w:p>
    <w:p w14:paraId="638BBFE9" w14:textId="77777777" w:rsidR="00C365C7" w:rsidRDefault="00C365C7">
      <w:pPr>
        <w:pStyle w:val="Normal1"/>
        <w:spacing w:after="0"/>
      </w:pPr>
    </w:p>
    <w:p w14:paraId="034E4B74" w14:textId="77777777" w:rsidR="00C365C7" w:rsidRDefault="00C365C7">
      <w:pPr>
        <w:pStyle w:val="Normal1"/>
        <w:spacing w:after="0"/>
      </w:pPr>
    </w:p>
    <w:p w14:paraId="6DB153A4" w14:textId="77777777" w:rsidR="00C365C7" w:rsidRDefault="00C365C7">
      <w:pPr>
        <w:pStyle w:val="Normal1"/>
        <w:spacing w:after="0"/>
      </w:pPr>
    </w:p>
    <w:p w14:paraId="46E2A4C1" w14:textId="77777777" w:rsidR="00C365C7" w:rsidRDefault="00C365C7">
      <w:pPr>
        <w:pStyle w:val="Normal1"/>
        <w:spacing w:after="0"/>
      </w:pPr>
    </w:p>
    <w:p w14:paraId="7FD75959" w14:textId="77777777" w:rsidR="00C365C7" w:rsidRDefault="00C365C7">
      <w:pPr>
        <w:pStyle w:val="Normal1"/>
        <w:spacing w:after="0"/>
      </w:pPr>
    </w:p>
    <w:p w14:paraId="038BB85A" w14:textId="77777777" w:rsidR="00C365C7" w:rsidRDefault="00C365C7">
      <w:pPr>
        <w:pStyle w:val="Normal1"/>
        <w:spacing w:after="0"/>
      </w:pPr>
    </w:p>
    <w:p w14:paraId="222C027B" w14:textId="77777777" w:rsidR="00C365C7" w:rsidRDefault="00C365C7">
      <w:pPr>
        <w:pStyle w:val="Normal1"/>
        <w:spacing w:after="0"/>
      </w:pPr>
    </w:p>
    <w:p w14:paraId="0D67DB7D" w14:textId="77777777" w:rsidR="00C365C7" w:rsidRDefault="00C365C7">
      <w:pPr>
        <w:pStyle w:val="Normal1"/>
        <w:spacing w:after="0"/>
      </w:pPr>
    </w:p>
    <w:p w14:paraId="645C03BA" w14:textId="77777777" w:rsidR="00C365C7" w:rsidRDefault="00C365C7">
      <w:pPr>
        <w:pStyle w:val="Normal1"/>
        <w:spacing w:after="0"/>
      </w:pPr>
    </w:p>
    <w:p w14:paraId="3907F50D" w14:textId="77777777" w:rsidR="00C365C7" w:rsidRDefault="00C365C7">
      <w:pPr>
        <w:pStyle w:val="Normal1"/>
        <w:spacing w:after="0"/>
      </w:pPr>
    </w:p>
    <w:p w14:paraId="0150BE95" w14:textId="77777777" w:rsidR="00C365C7" w:rsidRDefault="00C365C7">
      <w:pPr>
        <w:pStyle w:val="Normal1"/>
        <w:spacing w:after="0"/>
      </w:pPr>
    </w:p>
    <w:p w14:paraId="11ABF8DA" w14:textId="77777777" w:rsidR="00C365C7" w:rsidRDefault="00C365C7">
      <w:pPr>
        <w:pStyle w:val="Normal1"/>
        <w:spacing w:after="0"/>
      </w:pPr>
    </w:p>
    <w:p w14:paraId="0D7688CF" w14:textId="77777777" w:rsidR="00C365C7" w:rsidRDefault="00C365C7">
      <w:pPr>
        <w:pStyle w:val="Normal1"/>
        <w:spacing w:after="0"/>
      </w:pPr>
    </w:p>
    <w:p w14:paraId="176B225D" w14:textId="77777777" w:rsidR="00C365C7" w:rsidRDefault="00C365C7">
      <w:pPr>
        <w:pStyle w:val="Normal1"/>
        <w:spacing w:after="0"/>
      </w:pPr>
    </w:p>
    <w:p w14:paraId="04120B9D" w14:textId="77777777" w:rsidR="00C365C7" w:rsidRDefault="00C365C7">
      <w:pPr>
        <w:pStyle w:val="Normal1"/>
        <w:spacing w:after="0"/>
      </w:pPr>
    </w:p>
    <w:p w14:paraId="43543C3F" w14:textId="77777777" w:rsidR="00C365C7" w:rsidRDefault="00C365C7">
      <w:pPr>
        <w:pStyle w:val="Normal1"/>
        <w:spacing w:after="0"/>
      </w:pPr>
    </w:p>
    <w:p w14:paraId="1198138B" w14:textId="77777777" w:rsidR="00C365C7" w:rsidRDefault="00C365C7">
      <w:pPr>
        <w:pStyle w:val="Normal1"/>
        <w:spacing w:after="0"/>
      </w:pPr>
    </w:p>
    <w:p w14:paraId="123284C7" w14:textId="77777777" w:rsidR="00C365C7" w:rsidRDefault="00C365C7">
      <w:pPr>
        <w:pStyle w:val="Normal1"/>
        <w:spacing w:after="0"/>
      </w:pPr>
    </w:p>
    <w:p w14:paraId="371C927F" w14:textId="77777777" w:rsidR="00C365C7" w:rsidRDefault="00C365C7">
      <w:pPr>
        <w:pStyle w:val="Normal1"/>
        <w:spacing w:after="0"/>
      </w:pPr>
    </w:p>
    <w:p w14:paraId="5E2CE18F" w14:textId="77777777" w:rsidR="00C365C7" w:rsidRDefault="00C365C7">
      <w:pPr>
        <w:pStyle w:val="Normal1"/>
        <w:spacing w:after="0"/>
      </w:pPr>
    </w:p>
    <w:p w14:paraId="7AD61977" w14:textId="77777777" w:rsidR="00C365C7" w:rsidRDefault="00C365C7">
      <w:pPr>
        <w:pStyle w:val="Normal1"/>
        <w:spacing w:after="0"/>
      </w:pPr>
    </w:p>
    <w:p w14:paraId="029BE75D" w14:textId="77777777" w:rsidR="00C365C7" w:rsidRDefault="00C365C7">
      <w:pPr>
        <w:pStyle w:val="Normal1"/>
        <w:spacing w:after="0"/>
      </w:pPr>
    </w:p>
    <w:p w14:paraId="32079B73" w14:textId="77777777" w:rsidR="00C365C7" w:rsidRDefault="00C365C7">
      <w:pPr>
        <w:pStyle w:val="Normal1"/>
        <w:spacing w:after="0"/>
      </w:pPr>
    </w:p>
    <w:p w14:paraId="68E35B40" w14:textId="77777777" w:rsidR="00C365C7" w:rsidRDefault="00C365C7">
      <w:pPr>
        <w:pStyle w:val="Normal1"/>
        <w:spacing w:after="0"/>
      </w:pPr>
    </w:p>
    <w:p w14:paraId="75309A3C" w14:textId="77777777" w:rsidR="00C365C7" w:rsidRDefault="00DD1CBD">
      <w:pPr>
        <w:pStyle w:val="Normal1"/>
        <w:spacing w:after="0"/>
      </w:pPr>
      <w:r>
        <w:t>© Crown copyright 2013</w:t>
      </w:r>
      <w:r>
        <w:br/>
        <w:t>Produced by Cabinet Office</w:t>
      </w:r>
    </w:p>
    <w:p w14:paraId="6499F6E4" w14:textId="77777777" w:rsidR="00C365C7" w:rsidRDefault="00C365C7">
      <w:pPr>
        <w:pStyle w:val="Normal1"/>
        <w:spacing w:after="0"/>
      </w:pPr>
    </w:p>
    <w:p w14:paraId="01A175DA" w14:textId="77777777" w:rsidR="00C365C7" w:rsidRDefault="00DD1CBD">
      <w:pPr>
        <w:pStyle w:val="Normal1"/>
        <w:spacing w:after="0"/>
      </w:pPr>
      <w:r>
        <w:t>You may re-use this information (excluding logos) free of charge in any format or medium, under the terms of the Open Government Licence. To view this licence, visit </w:t>
      </w:r>
      <w:hyperlink r:id="rId9">
        <w:r>
          <w:t>http://www.nationalarchives.gov.uk/doc/open-government-licence/</w:t>
        </w:r>
      </w:hyperlink>
      <w:r>
        <w:t xml:space="preserve"> or email: </w:t>
      </w:r>
      <w:hyperlink r:id="rId10">
        <w:r>
          <w:t>psi@nationalarchives.gsi.gov.uk</w:t>
        </w:r>
      </w:hyperlink>
      <w:hyperlink r:id="rId11"/>
    </w:p>
    <w:p w14:paraId="2A32EAB0" w14:textId="77777777" w:rsidR="00C365C7" w:rsidRDefault="000668FB">
      <w:pPr>
        <w:pStyle w:val="Normal1"/>
        <w:spacing w:after="0"/>
      </w:pPr>
      <w:hyperlink r:id="rId12"/>
    </w:p>
    <w:p w14:paraId="7E622825" w14:textId="77777777" w:rsidR="00C365C7" w:rsidRDefault="00DD1CBD">
      <w:pPr>
        <w:pStyle w:val="Normal1"/>
        <w:spacing w:after="0"/>
      </w:pPr>
      <w:r>
        <w:t>Where we have identified any third party copyright material you will need to obtain permission from the copyright holders concerned.</w:t>
      </w:r>
    </w:p>
    <w:p w14:paraId="16AB005A" w14:textId="77777777" w:rsidR="00C365C7" w:rsidRDefault="00C365C7">
      <w:pPr>
        <w:pStyle w:val="Normal1"/>
        <w:spacing w:after="0"/>
      </w:pPr>
    </w:p>
    <w:p w14:paraId="1DDE5C41" w14:textId="77777777" w:rsidR="00502D99" w:rsidRDefault="00DD1CBD" w:rsidP="000668FB">
      <w:r>
        <w:t>Alternative format versions of this repor</w:t>
      </w:r>
      <w:bookmarkStart w:id="0" w:name="_GoBack"/>
      <w:bookmarkEnd w:id="0"/>
      <w:r>
        <w:t xml:space="preserve">t are available on request from </w:t>
      </w:r>
    </w:p>
    <w:p w14:paraId="64718974" w14:textId="2996590A" w:rsidR="000668FB" w:rsidRDefault="00502D99" w:rsidP="00502D99">
      <w:pPr>
        <w:spacing w:after="0" w:line="276" w:lineRule="auto"/>
        <w:rPr>
          <w:rFonts w:eastAsia="Times New Roman"/>
          <w:color w:val="auto"/>
          <w:shd w:val="clear" w:color="auto" w:fill="FFFFFF"/>
        </w:rPr>
      </w:pPr>
      <w:r>
        <w:t xml:space="preserve">Government Property Unit </w:t>
      </w:r>
    </w:p>
    <w:p w14:paraId="72B3192E" w14:textId="77777777" w:rsidR="000668FB" w:rsidRDefault="000668FB" w:rsidP="00502D99">
      <w:pPr>
        <w:spacing w:after="0" w:line="276" w:lineRule="auto"/>
        <w:rPr>
          <w:rFonts w:eastAsia="Times New Roman"/>
          <w:color w:val="auto"/>
          <w:shd w:val="clear" w:color="auto" w:fill="FFFFFF"/>
        </w:rPr>
      </w:pPr>
      <w:r>
        <w:rPr>
          <w:rFonts w:eastAsia="Times New Roman"/>
          <w:color w:val="auto"/>
          <w:shd w:val="clear" w:color="auto" w:fill="FFFFFF"/>
        </w:rPr>
        <w:t>4</w:t>
      </w:r>
      <w:r w:rsidRPr="00A45C27">
        <w:rPr>
          <w:rFonts w:eastAsia="Times New Roman"/>
          <w:color w:val="auto"/>
          <w:shd w:val="clear" w:color="auto" w:fill="FFFFFF"/>
          <w:vertAlign w:val="superscript"/>
        </w:rPr>
        <w:t>th</w:t>
      </w:r>
      <w:r>
        <w:rPr>
          <w:rFonts w:eastAsia="Times New Roman"/>
          <w:color w:val="auto"/>
          <w:shd w:val="clear" w:color="auto" w:fill="FFFFFF"/>
        </w:rPr>
        <w:t xml:space="preserve"> Floor, Red Zone </w:t>
      </w:r>
    </w:p>
    <w:p w14:paraId="5BD9E515" w14:textId="77777777" w:rsidR="000668FB" w:rsidRDefault="000668FB" w:rsidP="00502D99">
      <w:pPr>
        <w:spacing w:after="0" w:line="276" w:lineRule="auto"/>
        <w:rPr>
          <w:rFonts w:eastAsia="Times New Roman"/>
          <w:color w:val="auto"/>
          <w:shd w:val="clear" w:color="auto" w:fill="FFFFFF"/>
        </w:rPr>
      </w:pPr>
      <w:r>
        <w:rPr>
          <w:rFonts w:eastAsia="Times New Roman"/>
          <w:color w:val="auto"/>
          <w:shd w:val="clear" w:color="auto" w:fill="FFFFFF"/>
        </w:rPr>
        <w:t>1 Horse Guards Road</w:t>
      </w:r>
    </w:p>
    <w:p w14:paraId="51363BB5" w14:textId="77777777" w:rsidR="000668FB" w:rsidRDefault="000668FB" w:rsidP="00502D99">
      <w:pPr>
        <w:spacing w:after="0" w:line="276" w:lineRule="auto"/>
        <w:rPr>
          <w:rFonts w:eastAsia="Times New Roman"/>
          <w:color w:val="auto"/>
          <w:shd w:val="clear" w:color="auto" w:fill="FFFFFF"/>
        </w:rPr>
      </w:pPr>
      <w:r>
        <w:rPr>
          <w:rFonts w:eastAsia="Times New Roman"/>
          <w:color w:val="auto"/>
          <w:shd w:val="clear" w:color="auto" w:fill="FFFFFF"/>
        </w:rPr>
        <w:t>London</w:t>
      </w:r>
    </w:p>
    <w:p w14:paraId="07E2A3E9" w14:textId="1CB6DBDE" w:rsidR="00502D99" w:rsidRDefault="00502D99" w:rsidP="00502D99">
      <w:pPr>
        <w:spacing w:after="0" w:line="276" w:lineRule="auto"/>
        <w:rPr>
          <w:rFonts w:eastAsia="Times New Roman" w:cs="Times New Roman"/>
        </w:rPr>
      </w:pPr>
      <w:hyperlink r:id="rId13" w:history="1">
        <w:r w:rsidRPr="00E64F95">
          <w:rPr>
            <w:rStyle w:val="Hyperlink"/>
            <w:rFonts w:eastAsia="Times New Roman"/>
            <w:shd w:val="clear" w:color="auto" w:fill="FFFFFF"/>
          </w:rPr>
          <w:t>gpusecretariat@cabinetoffice.gov.uk</w:t>
        </w:r>
      </w:hyperlink>
      <w:r>
        <w:rPr>
          <w:rFonts w:eastAsia="Times New Roman"/>
          <w:color w:val="auto"/>
          <w:shd w:val="clear" w:color="auto" w:fill="FFFFFF"/>
        </w:rPr>
        <w:t>.</w:t>
      </w:r>
    </w:p>
    <w:p w14:paraId="393943F4" w14:textId="3FBA2D88" w:rsidR="00C365C7" w:rsidRDefault="00C365C7">
      <w:pPr>
        <w:pStyle w:val="Normal1"/>
        <w:spacing w:after="0"/>
      </w:pPr>
    </w:p>
    <w:p w14:paraId="64F0B783" w14:textId="77777777" w:rsidR="00C365C7" w:rsidRDefault="00C365C7">
      <w:pPr>
        <w:pStyle w:val="Normal1"/>
        <w:spacing w:after="0"/>
      </w:pPr>
    </w:p>
    <w:p w14:paraId="01BD0E8F" w14:textId="77777777" w:rsidR="00C365C7" w:rsidRDefault="00C365C7">
      <w:pPr>
        <w:pStyle w:val="Normal1"/>
        <w:spacing w:after="0"/>
      </w:pPr>
    </w:p>
    <w:p w14:paraId="4CE441FD" w14:textId="77777777" w:rsidR="00C365C7" w:rsidRDefault="00C365C7">
      <w:pPr>
        <w:pStyle w:val="Normal1"/>
        <w:spacing w:after="0"/>
      </w:pPr>
    </w:p>
    <w:p w14:paraId="6BC47009" w14:textId="77777777" w:rsidR="00C365C7" w:rsidRDefault="00C365C7">
      <w:pPr>
        <w:pStyle w:val="Normal1"/>
        <w:spacing w:after="0"/>
      </w:pPr>
    </w:p>
    <w:p w14:paraId="6A0AF40A" w14:textId="77777777" w:rsidR="00C365C7" w:rsidRDefault="00C365C7">
      <w:pPr>
        <w:pStyle w:val="Normal1"/>
        <w:spacing w:after="0"/>
      </w:pPr>
    </w:p>
    <w:p w14:paraId="41411DB1" w14:textId="77777777" w:rsidR="00C365C7" w:rsidRDefault="00C365C7">
      <w:pPr>
        <w:pStyle w:val="Normal1"/>
        <w:spacing w:after="0"/>
      </w:pPr>
    </w:p>
    <w:p w14:paraId="7A1CE504" w14:textId="77777777" w:rsidR="00C365C7" w:rsidRDefault="00DD1CBD">
      <w:pPr>
        <w:pStyle w:val="Normal1"/>
      </w:pPr>
      <w:r>
        <w:lastRenderedPageBreak/>
        <w:br w:type="page"/>
      </w:r>
    </w:p>
    <w:p w14:paraId="418AC2DD" w14:textId="77777777" w:rsidR="00C365C7" w:rsidRDefault="00C365C7">
      <w:pPr>
        <w:pStyle w:val="Normal1"/>
        <w:widowControl w:val="0"/>
        <w:spacing w:after="0" w:line="276" w:lineRule="auto"/>
        <w:sectPr w:rsidR="00C365C7">
          <w:headerReference w:type="default" r:id="rId14"/>
          <w:footerReference w:type="default" r:id="rId15"/>
          <w:pgSz w:w="11906" w:h="16838"/>
          <w:pgMar w:top="1701" w:right="1134" w:bottom="1134" w:left="1134" w:header="720" w:footer="720" w:gutter="0"/>
          <w:pgNumType w:start="1"/>
          <w:cols w:space="720"/>
        </w:sectPr>
      </w:pPr>
    </w:p>
    <w:p w14:paraId="03626E3B" w14:textId="77777777" w:rsidR="00C365C7" w:rsidRDefault="00DD1CBD" w:rsidP="00DD1CBD">
      <w:pPr>
        <w:pStyle w:val="Normal1"/>
      </w:pPr>
      <w:r>
        <w:rPr>
          <w:b/>
          <w:color w:val="005ABB"/>
          <w:sz w:val="36"/>
          <w:szCs w:val="36"/>
        </w:rPr>
        <w:lastRenderedPageBreak/>
        <w:t>Contents</w:t>
      </w:r>
    </w:p>
    <w:p w14:paraId="722B8E05" w14:textId="77777777" w:rsidR="00C365C7" w:rsidRDefault="00DD1CBD">
      <w:pPr>
        <w:pStyle w:val="Normal1"/>
        <w:tabs>
          <w:tab w:val="right" w:pos="9639"/>
        </w:tabs>
        <w:spacing w:before="120" w:after="120"/>
      </w:pPr>
      <w:r>
        <w:rPr>
          <w:b/>
        </w:rPr>
        <w:t>1. Introduction</w:t>
      </w:r>
      <w:r>
        <w:rPr>
          <w:b/>
        </w:rPr>
        <w:tab/>
      </w:r>
    </w:p>
    <w:p w14:paraId="0BF445B0" w14:textId="77777777" w:rsidR="00C365C7" w:rsidRDefault="00C365C7">
      <w:pPr>
        <w:pStyle w:val="Normal1"/>
        <w:tabs>
          <w:tab w:val="right" w:pos="9639"/>
        </w:tabs>
        <w:spacing w:before="120" w:after="120"/>
      </w:pPr>
    </w:p>
    <w:p w14:paraId="35222BC2" w14:textId="77777777" w:rsidR="00C365C7" w:rsidRDefault="00DD1CBD">
      <w:pPr>
        <w:pStyle w:val="Normal1"/>
        <w:tabs>
          <w:tab w:val="right" w:pos="9639"/>
        </w:tabs>
        <w:spacing w:before="120" w:after="120"/>
      </w:pPr>
      <w:r>
        <w:rPr>
          <w:b/>
        </w:rPr>
        <w:t>2. Summary of Findings</w:t>
      </w:r>
      <w:r>
        <w:rPr>
          <w:b/>
        </w:rPr>
        <w:tab/>
      </w:r>
    </w:p>
    <w:p w14:paraId="7AF57B81" w14:textId="77777777" w:rsidR="00C365C7" w:rsidRDefault="00C365C7">
      <w:pPr>
        <w:pStyle w:val="Normal1"/>
        <w:tabs>
          <w:tab w:val="right" w:pos="9639"/>
        </w:tabs>
        <w:spacing w:before="120" w:after="120"/>
      </w:pPr>
    </w:p>
    <w:p w14:paraId="368FEF63" w14:textId="77777777" w:rsidR="00C365C7" w:rsidRDefault="00DD1CBD">
      <w:pPr>
        <w:pStyle w:val="Normal1"/>
        <w:tabs>
          <w:tab w:val="right" w:pos="9639"/>
        </w:tabs>
        <w:spacing w:before="120" w:after="120"/>
      </w:pPr>
      <w:r>
        <w:rPr>
          <w:b/>
        </w:rPr>
        <w:t>3. Methodology</w:t>
      </w:r>
      <w:r>
        <w:rPr>
          <w:b/>
        </w:rPr>
        <w:tab/>
      </w:r>
    </w:p>
    <w:p w14:paraId="4ADF759E" w14:textId="77777777" w:rsidR="00C365C7" w:rsidRDefault="00C365C7">
      <w:pPr>
        <w:pStyle w:val="Normal1"/>
        <w:tabs>
          <w:tab w:val="right" w:pos="9639"/>
        </w:tabs>
        <w:spacing w:before="120" w:after="120"/>
      </w:pPr>
      <w:bookmarkStart w:id="1" w:name="_gjdgxs" w:colFirst="0" w:colLast="0"/>
      <w:bookmarkEnd w:id="1"/>
    </w:p>
    <w:p w14:paraId="79B00144" w14:textId="77777777" w:rsidR="00C365C7" w:rsidRDefault="00DD1CBD">
      <w:pPr>
        <w:pStyle w:val="Normal1"/>
        <w:tabs>
          <w:tab w:val="right" w:pos="9639"/>
        </w:tabs>
        <w:spacing w:before="120" w:after="120"/>
      </w:pPr>
      <w:r>
        <w:rPr>
          <w:b/>
        </w:rPr>
        <w:t>4. Stakeholder Engagement</w:t>
      </w:r>
      <w:r>
        <w:rPr>
          <w:b/>
        </w:rPr>
        <w:tab/>
      </w:r>
    </w:p>
    <w:p w14:paraId="702D89DB" w14:textId="77777777" w:rsidR="00C365C7" w:rsidRDefault="00C365C7">
      <w:pPr>
        <w:pStyle w:val="Normal1"/>
        <w:tabs>
          <w:tab w:val="right" w:pos="9639"/>
        </w:tabs>
        <w:spacing w:before="120" w:after="120"/>
      </w:pPr>
    </w:p>
    <w:p w14:paraId="1E0E9604" w14:textId="77777777" w:rsidR="00C365C7" w:rsidRDefault="00DD1CBD">
      <w:pPr>
        <w:pStyle w:val="Normal1"/>
        <w:tabs>
          <w:tab w:val="right" w:pos="9639"/>
        </w:tabs>
        <w:spacing w:before="120" w:after="120"/>
      </w:pPr>
      <w:r>
        <w:rPr>
          <w:b/>
        </w:rPr>
        <w:t>Appendix A - Case Studies</w:t>
      </w:r>
      <w:r>
        <w:rPr>
          <w:b/>
        </w:rPr>
        <w:tab/>
      </w:r>
    </w:p>
    <w:p w14:paraId="309DC9E2" w14:textId="289D69DE" w:rsidR="00C365C7" w:rsidRDefault="00DD1CBD">
      <w:pPr>
        <w:pStyle w:val="Normal1"/>
        <w:tabs>
          <w:tab w:val="right" w:pos="9639"/>
        </w:tabs>
        <w:spacing w:before="120" w:after="120"/>
      </w:pPr>
      <w:r>
        <w:rPr>
          <w:b/>
        </w:rPr>
        <w:t xml:space="preserve">Appendix B </w:t>
      </w:r>
      <w:r w:rsidR="000668FB">
        <w:rPr>
          <w:b/>
        </w:rPr>
        <w:t xml:space="preserve">- </w:t>
      </w:r>
      <w:r>
        <w:rPr>
          <w:b/>
        </w:rPr>
        <w:t>List of Stakeholders</w:t>
      </w:r>
      <w:r>
        <w:rPr>
          <w:b/>
        </w:rPr>
        <w:tab/>
      </w:r>
    </w:p>
    <w:p w14:paraId="30569FF2" w14:textId="77777777" w:rsidR="00C365C7" w:rsidRDefault="00C365C7">
      <w:pPr>
        <w:pStyle w:val="Normal1"/>
        <w:tabs>
          <w:tab w:val="right" w:pos="9639"/>
        </w:tabs>
        <w:spacing w:before="120" w:after="120"/>
      </w:pPr>
    </w:p>
    <w:p w14:paraId="0642CD47" w14:textId="77777777" w:rsidR="00C365C7" w:rsidRDefault="00C365C7">
      <w:pPr>
        <w:pStyle w:val="Normal1"/>
      </w:pPr>
    </w:p>
    <w:p w14:paraId="4BC9BF69" w14:textId="77777777" w:rsidR="00C365C7" w:rsidRDefault="00DD1CBD">
      <w:pPr>
        <w:pStyle w:val="Normal1"/>
      </w:pPr>
      <w:r>
        <w:br w:type="page"/>
      </w:r>
    </w:p>
    <w:p w14:paraId="15C0F5D7" w14:textId="77777777" w:rsidR="00C365C7" w:rsidRDefault="00C365C7">
      <w:pPr>
        <w:pStyle w:val="Normal1"/>
        <w:spacing w:after="0"/>
      </w:pPr>
    </w:p>
    <w:p w14:paraId="7AA0B752" w14:textId="77777777" w:rsidR="00C365C7" w:rsidRDefault="00C365C7">
      <w:pPr>
        <w:pStyle w:val="Normal1"/>
        <w:spacing w:after="0"/>
      </w:pPr>
    </w:p>
    <w:p w14:paraId="02A5D003" w14:textId="77777777" w:rsidR="00C365C7" w:rsidRDefault="00C365C7">
      <w:pPr>
        <w:pStyle w:val="Normal1"/>
        <w:spacing w:after="0"/>
      </w:pPr>
    </w:p>
    <w:p w14:paraId="2E29A316" w14:textId="77777777" w:rsidR="00C365C7" w:rsidRDefault="00C365C7">
      <w:pPr>
        <w:pStyle w:val="Normal1"/>
        <w:spacing w:after="0"/>
      </w:pPr>
    </w:p>
    <w:p w14:paraId="0E624BFA" w14:textId="77777777" w:rsidR="00C365C7" w:rsidRDefault="00DD1CBD">
      <w:pPr>
        <w:pStyle w:val="Normal1"/>
      </w:pPr>
      <w:r>
        <w:br w:type="page"/>
      </w:r>
    </w:p>
    <w:p w14:paraId="6C097D26" w14:textId="77777777" w:rsidR="00C365C7" w:rsidRDefault="00C365C7">
      <w:pPr>
        <w:pStyle w:val="Normal1"/>
        <w:widowControl w:val="0"/>
        <w:spacing w:after="0" w:line="276" w:lineRule="auto"/>
        <w:sectPr w:rsidR="00C365C7">
          <w:type w:val="continuous"/>
          <w:pgSz w:w="11906" w:h="16838"/>
          <w:pgMar w:top="1701" w:right="1134" w:bottom="1134" w:left="1134" w:header="720" w:footer="720" w:gutter="0"/>
          <w:cols w:space="720"/>
        </w:sectPr>
      </w:pPr>
    </w:p>
    <w:p w14:paraId="43131803" w14:textId="77777777" w:rsidR="00C365C7" w:rsidRDefault="00DD1CBD">
      <w:pPr>
        <w:pStyle w:val="Heading1"/>
      </w:pPr>
      <w:bookmarkStart w:id="2" w:name="_30j0zll" w:colFirst="0" w:colLast="0"/>
      <w:bookmarkEnd w:id="2"/>
      <w:r>
        <w:lastRenderedPageBreak/>
        <w:t>1. Introduction</w:t>
      </w:r>
    </w:p>
    <w:p w14:paraId="4E8CF2A5" w14:textId="77777777" w:rsidR="00C365C7" w:rsidRDefault="00DD1CBD">
      <w:pPr>
        <w:pStyle w:val="Normal1"/>
        <w:spacing w:after="0"/>
      </w:pPr>
      <w:r>
        <w:rPr>
          <w:sz w:val="24"/>
          <w:szCs w:val="24"/>
        </w:rPr>
        <w:t>Transparency of data is important. Tools such as the Government Property Finder website</w:t>
      </w:r>
      <w:r>
        <w:rPr>
          <w:sz w:val="24"/>
          <w:szCs w:val="24"/>
          <w:vertAlign w:val="superscript"/>
        </w:rPr>
        <w:footnoteReference w:id="1"/>
      </w:r>
      <w:r>
        <w:rPr>
          <w:sz w:val="24"/>
          <w:szCs w:val="24"/>
        </w:rPr>
        <w:t xml:space="preserve"> make it easier for anyone to search and map the Government estate, including land and property for sale and to let. </w:t>
      </w:r>
    </w:p>
    <w:p w14:paraId="10458FB1" w14:textId="77777777" w:rsidR="00C365C7" w:rsidRDefault="00C365C7">
      <w:pPr>
        <w:pStyle w:val="Normal1"/>
        <w:spacing w:after="0"/>
      </w:pPr>
    </w:p>
    <w:p w14:paraId="57A6346B" w14:textId="77777777" w:rsidR="00C365C7" w:rsidRDefault="00DD1CBD">
      <w:pPr>
        <w:pStyle w:val="Normal1"/>
        <w:spacing w:after="0"/>
      </w:pPr>
      <w:r>
        <w:rPr>
          <w:sz w:val="24"/>
          <w:szCs w:val="24"/>
        </w:rPr>
        <w:t xml:space="preserve">Whilst some information on the commercial terms of Government land and property disposals can usually be found in the public domain, this is not comprehensive or in one place. </w:t>
      </w:r>
    </w:p>
    <w:p w14:paraId="1E35D2C7" w14:textId="77777777" w:rsidR="00C365C7" w:rsidRDefault="00C365C7">
      <w:pPr>
        <w:pStyle w:val="Normal1"/>
        <w:spacing w:after="0"/>
      </w:pPr>
    </w:p>
    <w:p w14:paraId="11E3D0F8" w14:textId="77777777" w:rsidR="00C365C7" w:rsidRDefault="00DD1CBD">
      <w:pPr>
        <w:pStyle w:val="Normal1"/>
        <w:spacing w:after="0"/>
      </w:pPr>
      <w:r>
        <w:rPr>
          <w:sz w:val="24"/>
          <w:szCs w:val="24"/>
        </w:rPr>
        <w:t xml:space="preserve">In this context, Government has reviewed how it can make the commercial terms of all </w:t>
      </w:r>
      <w:r>
        <w:rPr>
          <w:color w:val="222222"/>
          <w:sz w:val="24"/>
          <w:szCs w:val="24"/>
        </w:rPr>
        <w:t xml:space="preserve">Government land and property sales more transparent. This is intended to give greater assurance to the taxpayer that Government is delivering value for money for the public purse in its land disposals, and to make information on all disposals more accessible. </w:t>
      </w:r>
    </w:p>
    <w:p w14:paraId="6BD4882B" w14:textId="77777777" w:rsidR="00C365C7" w:rsidRDefault="00C365C7">
      <w:pPr>
        <w:pStyle w:val="Normal1"/>
        <w:spacing w:after="0"/>
      </w:pPr>
    </w:p>
    <w:p w14:paraId="5378BDCD" w14:textId="77777777" w:rsidR="00C365C7" w:rsidRDefault="00DD1CBD">
      <w:pPr>
        <w:pStyle w:val="Normal1"/>
        <w:spacing w:after="0"/>
      </w:pPr>
      <w:r>
        <w:rPr>
          <w:color w:val="222222"/>
          <w:sz w:val="24"/>
          <w:szCs w:val="24"/>
          <w:highlight w:val="white"/>
        </w:rPr>
        <w:t>This review follows the publication of the National Audit Office (NAO) report, “The Disposal of Public Land for New Homes” (June 2015) and the 2015 Public Accounts Committee report on the same subject.  Both reports highlighted concerns about the transparency of commercial sales data in relation to government land and property sales. The NAO report included a number of case studies of recent Government land disposals and the information they had been able to collect. Both reports recommended that Government undertake a review into how such information could be made more transparent.</w:t>
      </w:r>
    </w:p>
    <w:p w14:paraId="5A1635C4" w14:textId="77777777" w:rsidR="00C365C7" w:rsidRDefault="00C365C7">
      <w:pPr>
        <w:pStyle w:val="Normal1"/>
        <w:spacing w:after="0"/>
      </w:pPr>
    </w:p>
    <w:p w14:paraId="2119874F" w14:textId="77777777" w:rsidR="00DD1CBD" w:rsidRDefault="00DD1CBD">
      <w:pPr>
        <w:pStyle w:val="Normal1"/>
        <w:spacing w:after="0"/>
      </w:pPr>
      <w:r>
        <w:rPr>
          <w:noProof/>
          <w:lang w:val="en-US"/>
        </w:rPr>
        <mc:AlternateContent>
          <mc:Choice Requires="wps">
            <w:drawing>
              <wp:anchor distT="45720" distB="45720" distL="114300" distR="114300" simplePos="0" relativeHeight="251659264" behindDoc="1" locked="0" layoutInCell="0" hidden="0" allowOverlap="1" wp14:anchorId="401AB8B2" wp14:editId="5C2C66E5">
                <wp:simplePos x="0" y="0"/>
                <wp:positionH relativeFrom="margin">
                  <wp:posOffset>0</wp:posOffset>
                </wp:positionH>
                <wp:positionV relativeFrom="paragraph">
                  <wp:posOffset>69850</wp:posOffset>
                </wp:positionV>
                <wp:extent cx="6101715" cy="1600200"/>
                <wp:effectExtent l="0" t="0" r="19685" b="2540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6101715" cy="1600200"/>
                        </a:xfrm>
                        <a:prstGeom prst="rect">
                          <a:avLst/>
                        </a:prstGeom>
                        <a:solidFill>
                          <a:srgbClr val="D8D8D8"/>
                        </a:solidFill>
                        <a:ln w="9525" cap="flat" cmpd="sng">
                          <a:solidFill>
                            <a:srgbClr val="000000"/>
                          </a:solidFill>
                          <a:prstDash val="solid"/>
                          <a:miter/>
                          <a:headEnd type="none" w="med" len="med"/>
                          <a:tailEnd type="none" w="med" len="med"/>
                        </a:ln>
                      </wps:spPr>
                      <wps:txbx>
                        <w:txbxContent>
                          <w:p w14:paraId="25562678" w14:textId="77777777" w:rsidR="000668FB" w:rsidRDefault="000668FB" w:rsidP="00DD1CBD">
                            <w:pPr>
                              <w:spacing w:line="275" w:lineRule="auto"/>
                              <w:ind w:right="-280"/>
                              <w:textDirection w:val="btLr"/>
                            </w:pPr>
                          </w:p>
                          <w:p w14:paraId="750E8635" w14:textId="77777777" w:rsidR="000668FB" w:rsidRDefault="000668FB" w:rsidP="00DD1CBD">
                            <w:pPr>
                              <w:spacing w:after="0"/>
                              <w:ind w:left="142" w:right="100"/>
                              <w:textDirection w:val="btLr"/>
                            </w:pPr>
                            <w:r>
                              <w:rPr>
                                <w:i/>
                              </w:rPr>
                              <w:t>“The Department should also review how it can increase transparency of agreed commercial terms for land disposals to provide greater assurance to the taxpayer that value for money has been achieved”</w:t>
                            </w:r>
                          </w:p>
                          <w:p w14:paraId="493F9D6F" w14:textId="77777777" w:rsidR="000668FB" w:rsidRDefault="000668FB" w:rsidP="00DD1CBD">
                            <w:pPr>
                              <w:spacing w:line="275" w:lineRule="auto"/>
                              <w:ind w:right="-280"/>
                              <w:textDirection w:val="btLr"/>
                            </w:pPr>
                          </w:p>
                          <w:p w14:paraId="288780AB" w14:textId="77777777" w:rsidR="000668FB" w:rsidRDefault="000668FB" w:rsidP="00DD1CBD">
                            <w:pPr>
                              <w:spacing w:line="275" w:lineRule="auto"/>
                              <w:ind w:right="525"/>
                              <w:jc w:val="right"/>
                              <w:textDirection w:val="btLr"/>
                            </w:pPr>
                            <w:r>
                              <w:rPr>
                                <w:b/>
                                <w:sz w:val="18"/>
                              </w:rPr>
                              <w:t>Public Accounts Committee 2015</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5.5pt;width:480.45pt;height:12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" o:allowincell="f" fillcolor="#d8d8d8">
                <v:textbox inset="91425emu,45700emu,91425emu,45700emu">
                  <w:txbxContent>
                    <w:p w14:paraId="25562678" w14:textId="77777777" w:rsidR="007A4EC7" w:rsidRDefault="007A4EC7" w:rsidP="00DD1CBD">
                      <w:pPr>
                        <w:spacing w:line="275" w:lineRule="auto"/>
                        <w:ind w:right="-280"/>
                        <w:textDirection w:val="btLr"/>
                      </w:pPr>
                    </w:p>
                    <w:p w14:paraId="750E8635" w14:textId="77777777" w:rsidR="007A4EC7" w:rsidRDefault="007A4EC7" w:rsidP="00DD1CBD">
                      <w:pPr>
                        <w:spacing w:after="0"/>
                        <w:ind w:left="142" w:right="100"/>
                        <w:textDirection w:val="btLr"/>
                      </w:pPr>
                      <w:r>
                        <w:rPr>
                          <w:i/>
                        </w:rPr>
                        <w:t>“The Department should also review how it can increase transparency of agreed commercial terms for land disposals to provide greater assurance to the taxpayer that value for money has been achieved”</w:t>
                      </w:r>
                    </w:p>
                    <w:p w14:paraId="493F9D6F" w14:textId="77777777" w:rsidR="007A4EC7" w:rsidRDefault="007A4EC7" w:rsidP="00DD1CBD">
                      <w:pPr>
                        <w:spacing w:line="275" w:lineRule="auto"/>
                        <w:ind w:right="-280"/>
                        <w:textDirection w:val="btLr"/>
                      </w:pPr>
                    </w:p>
                    <w:p w14:paraId="288780AB" w14:textId="77777777" w:rsidR="007A4EC7" w:rsidRDefault="007A4EC7" w:rsidP="00DD1CBD">
                      <w:pPr>
                        <w:spacing w:line="275" w:lineRule="auto"/>
                        <w:ind w:right="525"/>
                        <w:jc w:val="right"/>
                        <w:textDirection w:val="btLr"/>
                      </w:pPr>
                      <w:r>
                        <w:rPr>
                          <w:b/>
                          <w:sz w:val="18"/>
                        </w:rPr>
                        <w:t>Public Accounts Committee 2015</w:t>
                      </w:r>
                    </w:p>
                  </w:txbxContent>
                </v:textbox>
                <w10:wrap type="square" anchorx="margin"/>
              </v:rect>
            </w:pict>
          </mc:Fallback>
        </mc:AlternateContent>
      </w:r>
    </w:p>
    <w:p w14:paraId="6B6892C6" w14:textId="77777777" w:rsidR="00DD1CBD" w:rsidRDefault="00DD1CBD">
      <w:pPr>
        <w:pStyle w:val="Normal1"/>
        <w:spacing w:after="0"/>
      </w:pPr>
    </w:p>
    <w:p w14:paraId="25D3B529" w14:textId="77777777" w:rsidR="00C365C7" w:rsidRDefault="00DD1CBD">
      <w:pPr>
        <w:pStyle w:val="Normal1"/>
        <w:spacing w:after="0"/>
      </w:pPr>
      <w:r>
        <w:rPr>
          <w:color w:val="222222"/>
          <w:sz w:val="24"/>
          <w:szCs w:val="24"/>
          <w:highlight w:val="white"/>
        </w:rPr>
        <w:t xml:space="preserve">Cabinet Office (Government Property Unit) has led a cross-Government review. The approach has assumed a default position of full disclosure, with exceptions only where there is a strong justification.  </w:t>
      </w:r>
    </w:p>
    <w:p w14:paraId="45D9A9DB" w14:textId="77777777" w:rsidR="00C365C7" w:rsidRDefault="00C365C7">
      <w:pPr>
        <w:pStyle w:val="Normal1"/>
        <w:spacing w:after="0"/>
      </w:pPr>
    </w:p>
    <w:p w14:paraId="66215F10" w14:textId="19F5DB92" w:rsidR="00DD1CBD" w:rsidRPr="00CB65B5" w:rsidRDefault="00DD1CBD" w:rsidP="00CB65B5">
      <w:pPr>
        <w:pStyle w:val="Normal1"/>
        <w:spacing w:after="0"/>
      </w:pPr>
      <w:r>
        <w:rPr>
          <w:sz w:val="24"/>
          <w:szCs w:val="24"/>
          <w:highlight w:val="white"/>
        </w:rPr>
        <w:t>This Transparency Review defines Government land and property disposals as either a sale of a freehold or leasehold</w:t>
      </w:r>
      <w:r w:rsidR="00CB65B5">
        <w:rPr>
          <w:sz w:val="24"/>
          <w:szCs w:val="24"/>
          <w:highlight w:val="white"/>
        </w:rPr>
        <w:t xml:space="preserve"> </w:t>
      </w:r>
      <w:proofErr w:type="gramStart"/>
      <w:r>
        <w:rPr>
          <w:sz w:val="24"/>
          <w:szCs w:val="24"/>
          <w:highlight w:val="white"/>
        </w:rPr>
        <w:t>interest</w:t>
      </w:r>
      <w:r w:rsidR="00CB65B5">
        <w:rPr>
          <w:sz w:val="24"/>
          <w:szCs w:val="24"/>
          <w:highlight w:val="white"/>
        </w:rPr>
        <w:t xml:space="preserve"> </w:t>
      </w:r>
      <w:r w:rsidR="002E309A">
        <w:rPr>
          <w:sz w:val="24"/>
          <w:szCs w:val="24"/>
          <w:highlight w:val="white"/>
        </w:rPr>
        <w:t>which</w:t>
      </w:r>
      <w:proofErr w:type="gramEnd"/>
      <w:r w:rsidR="002E309A">
        <w:rPr>
          <w:sz w:val="24"/>
          <w:szCs w:val="24"/>
          <w:highlight w:val="white"/>
        </w:rPr>
        <w:t xml:space="preserve"> possesses capital value </w:t>
      </w:r>
      <w:r w:rsidR="00CB65B5">
        <w:rPr>
          <w:sz w:val="24"/>
          <w:szCs w:val="24"/>
          <w:highlight w:val="white"/>
        </w:rPr>
        <w:t xml:space="preserve">(i.e. where the leasehold is being sold as if it were a freehold interest) </w:t>
      </w:r>
      <w:r>
        <w:rPr>
          <w:sz w:val="24"/>
          <w:szCs w:val="24"/>
          <w:highlight w:val="white"/>
        </w:rPr>
        <w:t>on the open market for a monetary consideration.</w:t>
      </w:r>
      <w:bookmarkStart w:id="3" w:name="_hghr9qwwam30" w:colFirst="0" w:colLast="0"/>
      <w:bookmarkStart w:id="4" w:name="_ollvnjum8o8o" w:colFirst="0" w:colLast="0"/>
      <w:bookmarkStart w:id="5" w:name="_1fob9te" w:colFirst="0" w:colLast="0"/>
      <w:bookmarkEnd w:id="3"/>
      <w:bookmarkEnd w:id="4"/>
      <w:bookmarkEnd w:id="5"/>
      <w:r>
        <w:br w:type="page"/>
      </w:r>
    </w:p>
    <w:p w14:paraId="2948D370" w14:textId="77777777" w:rsidR="00C365C7" w:rsidRDefault="00DD1CBD">
      <w:pPr>
        <w:pStyle w:val="Heading1"/>
        <w:spacing w:after="0"/>
      </w:pPr>
      <w:r>
        <w:lastRenderedPageBreak/>
        <w:t>2. Summary of Findings</w:t>
      </w:r>
    </w:p>
    <w:p w14:paraId="69E4355E" w14:textId="77777777" w:rsidR="00C365C7" w:rsidRDefault="00C365C7">
      <w:pPr>
        <w:pStyle w:val="Normal1"/>
        <w:spacing w:after="0"/>
      </w:pPr>
    </w:p>
    <w:p w14:paraId="72E05480" w14:textId="77777777" w:rsidR="00C365C7" w:rsidRDefault="00DD1CBD">
      <w:pPr>
        <w:pStyle w:val="Normal1"/>
        <w:spacing w:after="0"/>
      </w:pPr>
      <w:r>
        <w:rPr>
          <w:sz w:val="24"/>
          <w:szCs w:val="24"/>
        </w:rPr>
        <w:t>This Review has reached the following conclusions:</w:t>
      </w:r>
    </w:p>
    <w:p w14:paraId="2316AE49" w14:textId="77777777" w:rsidR="00C365C7" w:rsidRDefault="00C365C7">
      <w:pPr>
        <w:pStyle w:val="Normal1"/>
        <w:spacing w:after="0"/>
      </w:pPr>
    </w:p>
    <w:p w14:paraId="3828DCB2" w14:textId="765356CD" w:rsidR="00C365C7" w:rsidRDefault="00DD1CBD" w:rsidP="00276E02">
      <w:pPr>
        <w:pStyle w:val="Normal1"/>
        <w:spacing w:after="0"/>
      </w:pPr>
      <w:r>
        <w:rPr>
          <w:sz w:val="24"/>
          <w:szCs w:val="24"/>
        </w:rPr>
        <w:t>1. The following information was considered in r</w:t>
      </w:r>
      <w:r w:rsidR="007A4EC7">
        <w:rPr>
          <w:sz w:val="24"/>
          <w:szCs w:val="24"/>
        </w:rPr>
        <w:t xml:space="preserve">espect of commercial terms for </w:t>
      </w:r>
      <w:r w:rsidR="00F5791D">
        <w:rPr>
          <w:sz w:val="24"/>
          <w:szCs w:val="24"/>
        </w:rPr>
        <w:t>Government</w:t>
      </w:r>
      <w:r>
        <w:rPr>
          <w:sz w:val="24"/>
          <w:szCs w:val="24"/>
        </w:rPr>
        <w:t xml:space="preserve"> land and property disposals:</w:t>
      </w:r>
    </w:p>
    <w:p w14:paraId="12A758A8" w14:textId="77777777" w:rsidR="00C365C7" w:rsidRDefault="00C365C7">
      <w:pPr>
        <w:pStyle w:val="Normal1"/>
        <w:spacing w:after="0"/>
      </w:pPr>
    </w:p>
    <w:p w14:paraId="3900DD27" w14:textId="77777777" w:rsidR="00C365C7" w:rsidRDefault="00DD1CBD">
      <w:pPr>
        <w:pStyle w:val="Normal1"/>
        <w:spacing w:after="0"/>
        <w:ind w:left="567" w:right="-280" w:hanging="567"/>
      </w:pPr>
      <w:r>
        <w:rPr>
          <w:sz w:val="24"/>
          <w:szCs w:val="24"/>
        </w:rPr>
        <w:t xml:space="preserve">a) </w:t>
      </w:r>
      <w:r>
        <w:rPr>
          <w:sz w:val="24"/>
          <w:szCs w:val="24"/>
        </w:rPr>
        <w:tab/>
        <w:t>Location of land or property.</w:t>
      </w:r>
    </w:p>
    <w:p w14:paraId="7130FCE1" w14:textId="77777777" w:rsidR="00C365C7" w:rsidRDefault="00DD1CBD">
      <w:pPr>
        <w:pStyle w:val="Normal1"/>
        <w:spacing w:after="0"/>
        <w:ind w:left="567" w:right="-280" w:hanging="567"/>
      </w:pPr>
      <w:r>
        <w:rPr>
          <w:sz w:val="24"/>
          <w:szCs w:val="24"/>
        </w:rPr>
        <w:t xml:space="preserve">b) </w:t>
      </w:r>
      <w:r>
        <w:rPr>
          <w:sz w:val="24"/>
          <w:szCs w:val="24"/>
        </w:rPr>
        <w:tab/>
        <w:t>Size of land area.</w:t>
      </w:r>
    </w:p>
    <w:p w14:paraId="7F622A29" w14:textId="77777777" w:rsidR="00C365C7" w:rsidRDefault="00DD1CBD">
      <w:pPr>
        <w:pStyle w:val="Normal1"/>
        <w:spacing w:after="0"/>
        <w:ind w:left="567" w:right="-280" w:hanging="567"/>
      </w:pPr>
      <w:r>
        <w:rPr>
          <w:sz w:val="24"/>
          <w:szCs w:val="24"/>
        </w:rPr>
        <w:t xml:space="preserve">c) </w:t>
      </w:r>
      <w:r>
        <w:rPr>
          <w:sz w:val="24"/>
          <w:szCs w:val="24"/>
        </w:rPr>
        <w:tab/>
        <w:t>Type of asset being disposed of (freehold and leasehold).</w:t>
      </w:r>
    </w:p>
    <w:p w14:paraId="73F872C8" w14:textId="77777777" w:rsidR="00C365C7" w:rsidRDefault="00DD1CBD">
      <w:pPr>
        <w:pStyle w:val="Normal1"/>
        <w:spacing w:after="0"/>
        <w:ind w:left="567" w:right="-280" w:hanging="567"/>
      </w:pPr>
      <w:r>
        <w:rPr>
          <w:sz w:val="24"/>
          <w:szCs w:val="24"/>
        </w:rPr>
        <w:t>d)</w:t>
      </w:r>
      <w:r>
        <w:rPr>
          <w:sz w:val="24"/>
          <w:szCs w:val="24"/>
        </w:rPr>
        <w:tab/>
        <w:t xml:space="preserve">Whether the sale has been completed on the basis of a conditional or unconditional </w:t>
      </w:r>
      <w:r>
        <w:rPr>
          <w:sz w:val="24"/>
          <w:szCs w:val="24"/>
        </w:rPr>
        <w:br/>
        <w:t>contract.</w:t>
      </w:r>
    </w:p>
    <w:p w14:paraId="1D5867A8" w14:textId="77777777" w:rsidR="00C365C7" w:rsidRDefault="00DD1CBD">
      <w:pPr>
        <w:pStyle w:val="Normal1"/>
        <w:spacing w:after="0"/>
        <w:ind w:left="567" w:right="-280" w:hanging="567"/>
      </w:pPr>
      <w:r>
        <w:rPr>
          <w:sz w:val="24"/>
          <w:szCs w:val="24"/>
        </w:rPr>
        <w:t xml:space="preserve">e) </w:t>
      </w:r>
      <w:r>
        <w:rPr>
          <w:sz w:val="24"/>
          <w:szCs w:val="24"/>
        </w:rPr>
        <w:tab/>
        <w:t>Date of disposal.</w:t>
      </w:r>
    </w:p>
    <w:p w14:paraId="638D5B64" w14:textId="77777777" w:rsidR="00C365C7" w:rsidRDefault="00DD1CBD">
      <w:pPr>
        <w:pStyle w:val="Normal1"/>
        <w:spacing w:after="0"/>
        <w:ind w:left="567" w:right="-280" w:hanging="567"/>
      </w:pPr>
      <w:r>
        <w:rPr>
          <w:sz w:val="24"/>
          <w:szCs w:val="24"/>
        </w:rPr>
        <w:t xml:space="preserve">f) </w:t>
      </w:r>
      <w:r>
        <w:rPr>
          <w:sz w:val="24"/>
          <w:szCs w:val="24"/>
        </w:rPr>
        <w:tab/>
        <w:t>Method of disposal.</w:t>
      </w:r>
    </w:p>
    <w:p w14:paraId="40F7F07B" w14:textId="77777777" w:rsidR="00C365C7" w:rsidRDefault="00DD1CBD">
      <w:pPr>
        <w:pStyle w:val="Normal1"/>
        <w:spacing w:after="0"/>
        <w:ind w:left="567" w:right="-280" w:hanging="567"/>
      </w:pPr>
      <w:r>
        <w:rPr>
          <w:sz w:val="24"/>
          <w:szCs w:val="24"/>
        </w:rPr>
        <w:t xml:space="preserve">g) </w:t>
      </w:r>
      <w:r>
        <w:rPr>
          <w:sz w:val="24"/>
          <w:szCs w:val="24"/>
        </w:rPr>
        <w:tab/>
        <w:t>Capital receipt proceeds from the disposal.</w:t>
      </w:r>
    </w:p>
    <w:p w14:paraId="02D180C5" w14:textId="77777777" w:rsidR="00C365C7" w:rsidRDefault="00DD1CBD">
      <w:pPr>
        <w:pStyle w:val="Normal1"/>
        <w:spacing w:after="0"/>
        <w:ind w:left="567" w:right="-280" w:hanging="567"/>
      </w:pPr>
      <w:r>
        <w:rPr>
          <w:sz w:val="24"/>
          <w:szCs w:val="24"/>
        </w:rPr>
        <w:t xml:space="preserve">h) </w:t>
      </w:r>
      <w:r>
        <w:rPr>
          <w:sz w:val="24"/>
          <w:szCs w:val="24"/>
        </w:rPr>
        <w:tab/>
        <w:t xml:space="preserve">Whether the sales contract makes provision for overage and / or </w:t>
      </w:r>
      <w:proofErr w:type="spellStart"/>
      <w:r>
        <w:rPr>
          <w:sz w:val="24"/>
          <w:szCs w:val="24"/>
        </w:rPr>
        <w:t>clawback</w:t>
      </w:r>
      <w:proofErr w:type="spellEnd"/>
      <w:r>
        <w:rPr>
          <w:sz w:val="24"/>
          <w:szCs w:val="24"/>
        </w:rPr>
        <w:t>.</w:t>
      </w:r>
    </w:p>
    <w:p w14:paraId="3A45B020" w14:textId="77777777" w:rsidR="00C365C7" w:rsidRDefault="00DD1CBD">
      <w:pPr>
        <w:pStyle w:val="Normal1"/>
        <w:spacing w:after="0"/>
        <w:ind w:left="567" w:right="-280" w:hanging="567"/>
      </w:pPr>
      <w:proofErr w:type="spellStart"/>
      <w:r>
        <w:rPr>
          <w:sz w:val="24"/>
          <w:szCs w:val="24"/>
        </w:rPr>
        <w:t>i</w:t>
      </w:r>
      <w:proofErr w:type="spellEnd"/>
      <w:r>
        <w:rPr>
          <w:sz w:val="24"/>
          <w:szCs w:val="24"/>
        </w:rPr>
        <w:t xml:space="preserve">)  </w:t>
      </w:r>
      <w:r>
        <w:rPr>
          <w:sz w:val="24"/>
          <w:szCs w:val="24"/>
        </w:rPr>
        <w:tab/>
        <w:t>Full copy of the sales contract.</w:t>
      </w:r>
    </w:p>
    <w:p w14:paraId="1E829C10" w14:textId="77777777" w:rsidR="00C365C7" w:rsidRDefault="00C365C7">
      <w:pPr>
        <w:pStyle w:val="Normal1"/>
        <w:spacing w:after="0"/>
      </w:pPr>
    </w:p>
    <w:p w14:paraId="4336A293" w14:textId="77777777" w:rsidR="00866329" w:rsidRDefault="00866329" w:rsidP="00866329">
      <w:pPr>
        <w:pStyle w:val="Normal1"/>
        <w:spacing w:after="0"/>
      </w:pPr>
      <w:r>
        <w:rPr>
          <w:sz w:val="24"/>
          <w:szCs w:val="24"/>
        </w:rPr>
        <w:t>2. The following information will be fully or partially exempted from publication:</w:t>
      </w:r>
    </w:p>
    <w:p w14:paraId="2207BBB1" w14:textId="77777777" w:rsidR="00866329" w:rsidRDefault="00866329" w:rsidP="00866329">
      <w:pPr>
        <w:pStyle w:val="Normal1"/>
        <w:spacing w:after="0"/>
      </w:pPr>
    </w:p>
    <w:p w14:paraId="1DB84A6C" w14:textId="77777777" w:rsidR="00866329" w:rsidRDefault="00866329" w:rsidP="00866329">
      <w:pPr>
        <w:pStyle w:val="Normal1"/>
        <w:spacing w:after="0"/>
        <w:ind w:left="567" w:right="-280" w:hanging="567"/>
      </w:pPr>
      <w:r>
        <w:rPr>
          <w:sz w:val="24"/>
          <w:szCs w:val="24"/>
        </w:rPr>
        <w:t>a)</w:t>
      </w:r>
      <w:r>
        <w:rPr>
          <w:sz w:val="24"/>
          <w:szCs w:val="24"/>
        </w:rPr>
        <w:tab/>
        <w:t xml:space="preserve">Full copies of sales contracts would not be published due to the risk of compromising commercial information, data protection and intellectual property. </w:t>
      </w:r>
    </w:p>
    <w:p w14:paraId="420BD1E6" w14:textId="77777777" w:rsidR="00866329" w:rsidRDefault="00866329" w:rsidP="00866329">
      <w:pPr>
        <w:pStyle w:val="Normal1"/>
        <w:spacing w:after="0"/>
        <w:ind w:left="567" w:right="-280" w:hanging="567"/>
      </w:pPr>
    </w:p>
    <w:p w14:paraId="5A803507" w14:textId="77777777" w:rsidR="00866329" w:rsidRDefault="00866329" w:rsidP="00866329">
      <w:pPr>
        <w:pStyle w:val="Normal1"/>
        <w:spacing w:after="0"/>
        <w:ind w:left="567" w:right="-280" w:hanging="567"/>
        <w:rPr>
          <w:sz w:val="24"/>
          <w:szCs w:val="24"/>
        </w:rPr>
      </w:pPr>
      <w:r>
        <w:rPr>
          <w:sz w:val="24"/>
          <w:szCs w:val="24"/>
        </w:rPr>
        <w:t>b)</w:t>
      </w:r>
      <w:r>
        <w:rPr>
          <w:sz w:val="24"/>
          <w:szCs w:val="24"/>
        </w:rPr>
        <w:tab/>
        <w:t xml:space="preserve">Information will be published confirming whether or not each sales contract makes provision for overage and / or </w:t>
      </w:r>
      <w:proofErr w:type="spellStart"/>
      <w:r>
        <w:rPr>
          <w:sz w:val="24"/>
          <w:szCs w:val="24"/>
        </w:rPr>
        <w:t>clawback</w:t>
      </w:r>
      <w:proofErr w:type="spellEnd"/>
      <w:r>
        <w:rPr>
          <w:sz w:val="24"/>
          <w:szCs w:val="24"/>
        </w:rPr>
        <w:t xml:space="preserve">.  Details of the provisions will not be published due to the concerns of 2 a) above. </w:t>
      </w:r>
    </w:p>
    <w:p w14:paraId="037F2A88" w14:textId="77777777" w:rsidR="00866329" w:rsidRDefault="00866329" w:rsidP="00866329">
      <w:pPr>
        <w:pStyle w:val="NormalWeb"/>
        <w:spacing w:before="0" w:beforeAutospacing="0" w:after="0" w:afterAutospacing="0"/>
        <w:rPr>
          <w:sz w:val="24"/>
          <w:szCs w:val="24"/>
        </w:rPr>
      </w:pPr>
    </w:p>
    <w:p w14:paraId="408F66D8" w14:textId="77777777" w:rsidR="00866329" w:rsidRPr="00F444AB" w:rsidRDefault="00866329" w:rsidP="00866329">
      <w:pPr>
        <w:pStyle w:val="NormalWeb"/>
        <w:spacing w:before="0" w:beforeAutospacing="0" w:after="0" w:afterAutospacing="0"/>
        <w:ind w:left="567" w:hanging="567"/>
        <w:rPr>
          <w:rFonts w:ascii="Arial" w:hAnsi="Arial" w:cs="Arial"/>
          <w:color w:val="000000"/>
          <w:sz w:val="24"/>
          <w:szCs w:val="24"/>
          <w:shd w:val="clear" w:color="auto" w:fill="FFFFFF"/>
        </w:rPr>
      </w:pPr>
      <w:r>
        <w:rPr>
          <w:rFonts w:ascii="Arial" w:hAnsi="Arial" w:cs="Arial"/>
          <w:sz w:val="24"/>
          <w:szCs w:val="24"/>
        </w:rPr>
        <w:t>c)</w:t>
      </w:r>
      <w:r>
        <w:rPr>
          <w:sz w:val="24"/>
          <w:szCs w:val="24"/>
        </w:rPr>
        <w:t xml:space="preserve"> </w:t>
      </w:r>
      <w:r>
        <w:rPr>
          <w:sz w:val="24"/>
          <w:szCs w:val="24"/>
        </w:rPr>
        <w:tab/>
      </w:r>
      <w:r>
        <w:rPr>
          <w:rFonts w:ascii="Arial" w:hAnsi="Arial" w:cs="Arial"/>
          <w:color w:val="000000"/>
          <w:sz w:val="24"/>
          <w:szCs w:val="24"/>
          <w:shd w:val="clear" w:color="auto" w:fill="FFFFFF"/>
        </w:rPr>
        <w:t>All</w:t>
      </w:r>
      <w:r w:rsidRPr="00753E94">
        <w:rPr>
          <w:rFonts w:ascii="Arial" w:hAnsi="Arial" w:cs="Arial"/>
          <w:color w:val="000000"/>
          <w:sz w:val="24"/>
          <w:szCs w:val="24"/>
          <w:shd w:val="clear" w:color="auto" w:fill="FFFFFF"/>
        </w:rPr>
        <w:t xml:space="preserve"> HS2 land bought by the Secretary of State for Transport </w:t>
      </w:r>
      <w:r>
        <w:rPr>
          <w:rFonts w:ascii="Arial" w:hAnsi="Arial" w:cs="Arial"/>
          <w:color w:val="000000"/>
          <w:sz w:val="24"/>
          <w:szCs w:val="24"/>
          <w:shd w:val="clear" w:color="auto" w:fill="FFFFFF"/>
        </w:rPr>
        <w:t xml:space="preserve">and subsequently sold will be excluded from publication </w:t>
      </w:r>
      <w:r w:rsidRPr="00753E94">
        <w:rPr>
          <w:rFonts w:ascii="Arial" w:hAnsi="Arial" w:cs="Arial"/>
          <w:color w:val="000000"/>
          <w:sz w:val="24"/>
          <w:szCs w:val="24"/>
          <w:shd w:val="clear" w:color="auto" w:fill="FFFFFF"/>
        </w:rPr>
        <w:t>including</w:t>
      </w:r>
      <w:r>
        <w:rPr>
          <w:rFonts w:ascii="Arial" w:hAnsi="Arial" w:cs="Arial"/>
          <w:color w:val="000000"/>
          <w:sz w:val="24"/>
          <w:szCs w:val="24"/>
          <w:shd w:val="clear" w:color="auto" w:fill="FFFFFF"/>
        </w:rPr>
        <w:t xml:space="preserve"> land acquired</w:t>
      </w:r>
      <w:r w:rsidRPr="00753E94">
        <w:rPr>
          <w:rFonts w:ascii="Arial" w:hAnsi="Arial" w:cs="Arial"/>
          <w:color w:val="000000"/>
          <w:sz w:val="24"/>
          <w:szCs w:val="24"/>
          <w:shd w:val="clear" w:color="auto" w:fill="FFFFFF"/>
        </w:rPr>
        <w:t>:</w:t>
      </w:r>
    </w:p>
    <w:p w14:paraId="5869323A" w14:textId="77777777" w:rsidR="00866329" w:rsidRDefault="00866329" w:rsidP="00866329"/>
    <w:p w14:paraId="56B8B908" w14:textId="77777777" w:rsidR="00866329" w:rsidRPr="00AD4A6A" w:rsidRDefault="00866329" w:rsidP="00866329">
      <w:pPr>
        <w:pStyle w:val="ListParagraph"/>
        <w:numPr>
          <w:ilvl w:val="0"/>
          <w:numId w:val="4"/>
        </w:numPr>
        <w:rPr>
          <w:sz w:val="24"/>
          <w:szCs w:val="24"/>
        </w:rPr>
      </w:pPr>
      <w:r w:rsidRPr="00AD4A6A">
        <w:rPr>
          <w:sz w:val="24"/>
          <w:szCs w:val="24"/>
        </w:rPr>
        <w:t>Within the Line of Deviation of HS2;</w:t>
      </w:r>
    </w:p>
    <w:p w14:paraId="079F3935" w14:textId="77777777" w:rsidR="00866329" w:rsidRPr="00AD4A6A" w:rsidRDefault="00866329" w:rsidP="00866329">
      <w:pPr>
        <w:pStyle w:val="ListParagraph"/>
        <w:numPr>
          <w:ilvl w:val="0"/>
          <w:numId w:val="4"/>
        </w:numPr>
        <w:rPr>
          <w:sz w:val="24"/>
          <w:szCs w:val="24"/>
        </w:rPr>
      </w:pPr>
      <w:r w:rsidRPr="00AD4A6A">
        <w:rPr>
          <w:sz w:val="24"/>
          <w:szCs w:val="24"/>
        </w:rPr>
        <w:t>Under Blight Notices;</w:t>
      </w:r>
    </w:p>
    <w:p w14:paraId="02625CCE" w14:textId="77777777" w:rsidR="00866329" w:rsidRPr="00AD4A6A" w:rsidRDefault="00866329" w:rsidP="00866329">
      <w:pPr>
        <w:pStyle w:val="ListParagraph"/>
        <w:numPr>
          <w:ilvl w:val="0"/>
          <w:numId w:val="4"/>
        </w:numPr>
        <w:rPr>
          <w:sz w:val="24"/>
          <w:szCs w:val="24"/>
        </w:rPr>
      </w:pPr>
      <w:r w:rsidRPr="00AD4A6A">
        <w:rPr>
          <w:sz w:val="24"/>
          <w:szCs w:val="24"/>
        </w:rPr>
        <w:t>By Compulsory Purchase</w:t>
      </w:r>
    </w:p>
    <w:p w14:paraId="128F074E" w14:textId="77777777" w:rsidR="00866329" w:rsidRPr="00AD4A6A" w:rsidRDefault="00866329" w:rsidP="00866329">
      <w:pPr>
        <w:pStyle w:val="ListParagraph"/>
        <w:numPr>
          <w:ilvl w:val="0"/>
          <w:numId w:val="4"/>
        </w:numPr>
        <w:rPr>
          <w:sz w:val="24"/>
          <w:szCs w:val="24"/>
        </w:rPr>
      </w:pPr>
      <w:r w:rsidRPr="00AD4A6A">
        <w:rPr>
          <w:sz w:val="24"/>
          <w:szCs w:val="24"/>
        </w:rPr>
        <w:t>By agreement but under threat of compulsory purchase</w:t>
      </w:r>
    </w:p>
    <w:p w14:paraId="14180538" w14:textId="77777777" w:rsidR="00866329" w:rsidRPr="00AD4A6A" w:rsidRDefault="00866329" w:rsidP="00866329">
      <w:pPr>
        <w:pStyle w:val="ListParagraph"/>
        <w:numPr>
          <w:ilvl w:val="0"/>
          <w:numId w:val="4"/>
        </w:numPr>
        <w:rPr>
          <w:sz w:val="24"/>
          <w:szCs w:val="24"/>
        </w:rPr>
      </w:pPr>
      <w:r w:rsidRPr="00AD4A6A">
        <w:rPr>
          <w:sz w:val="24"/>
          <w:szCs w:val="24"/>
        </w:rPr>
        <w:t>Under schemes of compensation relating to HS2 including in the Voluntary Purchase Zone or by way of Exceptional Hardship Schemes (or similar schemes)</w:t>
      </w:r>
    </w:p>
    <w:p w14:paraId="788D0391" w14:textId="77777777" w:rsidR="00866329" w:rsidRPr="00AD4A6A" w:rsidRDefault="00866329" w:rsidP="00866329">
      <w:pPr>
        <w:pStyle w:val="ListParagraph"/>
        <w:numPr>
          <w:ilvl w:val="0"/>
          <w:numId w:val="4"/>
        </w:numPr>
        <w:rPr>
          <w:sz w:val="24"/>
          <w:szCs w:val="24"/>
        </w:rPr>
      </w:pPr>
      <w:r w:rsidRPr="00AD4A6A">
        <w:rPr>
          <w:sz w:val="24"/>
          <w:szCs w:val="24"/>
        </w:rPr>
        <w:t>Under Safeguarding Areas</w:t>
      </w:r>
    </w:p>
    <w:p w14:paraId="54CEC3CA" w14:textId="77777777" w:rsidR="00866329" w:rsidRPr="000D06BA" w:rsidRDefault="00866329" w:rsidP="00866329">
      <w:pPr>
        <w:ind w:left="567" w:hanging="567"/>
        <w:rPr>
          <w:rFonts w:ascii="Times" w:eastAsia="Times New Roman" w:hAnsi="Times" w:cs="Times New Roman"/>
          <w:color w:val="auto"/>
          <w:sz w:val="20"/>
          <w:szCs w:val="20"/>
        </w:rPr>
      </w:pPr>
      <w:r>
        <w:rPr>
          <w:sz w:val="24"/>
          <w:szCs w:val="24"/>
        </w:rPr>
        <w:t>d)</w:t>
      </w:r>
      <w:r>
        <w:rPr>
          <w:sz w:val="24"/>
          <w:szCs w:val="24"/>
        </w:rPr>
        <w:tab/>
        <w:t>A</w:t>
      </w:r>
      <w:r w:rsidRPr="000D06BA">
        <w:rPr>
          <w:rFonts w:eastAsia="Times New Roman"/>
          <w:sz w:val="24"/>
          <w:szCs w:val="24"/>
          <w:shd w:val="clear" w:color="auto" w:fill="FFFFFF"/>
        </w:rPr>
        <w:t>ll past and future projects involving schemes for which compulsory powers for any sales within five years of operational use</w:t>
      </w:r>
      <w:r>
        <w:rPr>
          <w:rFonts w:eastAsia="Times New Roman"/>
          <w:sz w:val="24"/>
          <w:szCs w:val="24"/>
          <w:shd w:val="clear" w:color="auto" w:fill="FFFFFF"/>
        </w:rPr>
        <w:t xml:space="preserve"> will be fully exempted</w:t>
      </w:r>
      <w:r w:rsidRPr="000D06BA">
        <w:rPr>
          <w:rFonts w:eastAsia="Times New Roman"/>
          <w:sz w:val="24"/>
          <w:szCs w:val="24"/>
          <w:shd w:val="clear" w:color="auto" w:fill="FFFFFF"/>
        </w:rPr>
        <w:t xml:space="preserve">. This would include HS3, </w:t>
      </w:r>
      <w:proofErr w:type="spellStart"/>
      <w:r w:rsidRPr="000D06BA">
        <w:rPr>
          <w:rFonts w:eastAsia="Times New Roman"/>
          <w:sz w:val="24"/>
          <w:szCs w:val="24"/>
          <w:shd w:val="clear" w:color="auto" w:fill="FFFFFF"/>
        </w:rPr>
        <w:t>Crossrail</w:t>
      </w:r>
      <w:proofErr w:type="spellEnd"/>
      <w:r w:rsidRPr="000D06BA">
        <w:rPr>
          <w:rFonts w:eastAsia="Times New Roman"/>
          <w:sz w:val="24"/>
          <w:szCs w:val="24"/>
          <w:shd w:val="clear" w:color="auto" w:fill="FFFFFF"/>
        </w:rPr>
        <w:t xml:space="preserve"> One, </w:t>
      </w:r>
      <w:proofErr w:type="spellStart"/>
      <w:r w:rsidRPr="000D06BA">
        <w:rPr>
          <w:rFonts w:eastAsia="Times New Roman"/>
          <w:sz w:val="24"/>
          <w:szCs w:val="24"/>
          <w:shd w:val="clear" w:color="auto" w:fill="FFFFFF"/>
        </w:rPr>
        <w:t>Crossrail</w:t>
      </w:r>
      <w:proofErr w:type="spellEnd"/>
      <w:r w:rsidRPr="000D06BA">
        <w:rPr>
          <w:rFonts w:eastAsia="Times New Roman"/>
          <w:sz w:val="24"/>
          <w:szCs w:val="24"/>
          <w:shd w:val="clear" w:color="auto" w:fill="FFFFFF"/>
        </w:rPr>
        <w:t xml:space="preserve"> Two and Road Schemes</w:t>
      </w:r>
    </w:p>
    <w:p w14:paraId="1B3A0ECD" w14:textId="77777777" w:rsidR="00866329" w:rsidRPr="000D06BA" w:rsidRDefault="00866329" w:rsidP="00866329">
      <w:pPr>
        <w:ind w:left="567" w:hanging="567"/>
        <w:rPr>
          <w:rFonts w:eastAsia="Times New Roman"/>
          <w:color w:val="auto"/>
          <w:sz w:val="24"/>
          <w:szCs w:val="24"/>
        </w:rPr>
      </w:pPr>
      <w:r>
        <w:rPr>
          <w:sz w:val="24"/>
          <w:szCs w:val="24"/>
        </w:rPr>
        <w:t>e)</w:t>
      </w:r>
      <w:r>
        <w:rPr>
          <w:sz w:val="24"/>
          <w:szCs w:val="24"/>
        </w:rPr>
        <w:tab/>
        <w:t>A</w:t>
      </w:r>
      <w:r w:rsidRPr="000D06BA">
        <w:rPr>
          <w:rFonts w:eastAsia="Times New Roman"/>
          <w:sz w:val="24"/>
          <w:szCs w:val="24"/>
          <w:shd w:val="clear" w:color="auto" w:fill="FFFFFF"/>
        </w:rPr>
        <w:t xml:space="preserve">ll sales </w:t>
      </w:r>
      <w:r>
        <w:rPr>
          <w:rFonts w:eastAsia="Times New Roman"/>
          <w:sz w:val="24"/>
          <w:szCs w:val="24"/>
          <w:shd w:val="clear" w:color="auto" w:fill="FFFFFF"/>
        </w:rPr>
        <w:t xml:space="preserve">of land acquired under </w:t>
      </w:r>
      <w:proofErr w:type="spellStart"/>
      <w:r>
        <w:rPr>
          <w:rFonts w:eastAsia="Times New Roman"/>
          <w:sz w:val="24"/>
          <w:szCs w:val="24"/>
          <w:shd w:val="clear" w:color="auto" w:fill="FFFFFF"/>
        </w:rPr>
        <w:t>Critchel</w:t>
      </w:r>
      <w:proofErr w:type="spellEnd"/>
      <w:r>
        <w:rPr>
          <w:rFonts w:eastAsia="Times New Roman"/>
          <w:sz w:val="24"/>
          <w:szCs w:val="24"/>
          <w:shd w:val="clear" w:color="auto" w:fill="FFFFFF"/>
        </w:rPr>
        <w:t xml:space="preserve"> Down rules will be exempted.</w:t>
      </w:r>
    </w:p>
    <w:p w14:paraId="1D568FF6" w14:textId="77777777" w:rsidR="00866329" w:rsidRDefault="00866329" w:rsidP="00866329">
      <w:pPr>
        <w:pStyle w:val="Normal1"/>
        <w:spacing w:after="0"/>
        <w:ind w:left="567" w:hanging="567"/>
        <w:rPr>
          <w:sz w:val="24"/>
          <w:szCs w:val="24"/>
        </w:rPr>
      </w:pPr>
      <w:r>
        <w:rPr>
          <w:sz w:val="24"/>
          <w:szCs w:val="24"/>
        </w:rPr>
        <w:t>f)</w:t>
      </w:r>
      <w:r>
        <w:rPr>
          <w:sz w:val="24"/>
          <w:szCs w:val="24"/>
        </w:rPr>
        <w:tab/>
        <w:t xml:space="preserve">Any land, including the </w:t>
      </w:r>
      <w:r w:rsidRPr="00F444AB">
        <w:rPr>
          <w:sz w:val="24"/>
          <w:szCs w:val="24"/>
        </w:rPr>
        <w:t>Department for Transport Heritage Estate</w:t>
      </w:r>
      <w:r>
        <w:rPr>
          <w:sz w:val="24"/>
          <w:szCs w:val="24"/>
        </w:rPr>
        <w:t>, which is sold for a negative or nil value.</w:t>
      </w:r>
    </w:p>
    <w:p w14:paraId="78966A8F" w14:textId="77777777" w:rsidR="00C20A5D" w:rsidRDefault="00C20A5D">
      <w:pPr>
        <w:pStyle w:val="Normal1"/>
        <w:spacing w:after="0"/>
        <w:rPr>
          <w:sz w:val="24"/>
          <w:szCs w:val="24"/>
        </w:rPr>
      </w:pPr>
    </w:p>
    <w:p w14:paraId="144409C4" w14:textId="77777777" w:rsidR="00866329" w:rsidRDefault="00866329">
      <w:pPr>
        <w:pStyle w:val="Normal1"/>
        <w:spacing w:after="0"/>
        <w:rPr>
          <w:sz w:val="24"/>
          <w:szCs w:val="24"/>
        </w:rPr>
      </w:pPr>
    </w:p>
    <w:p w14:paraId="11374F5E" w14:textId="77777777" w:rsidR="00866329" w:rsidRDefault="00866329">
      <w:pPr>
        <w:pStyle w:val="Normal1"/>
        <w:spacing w:after="0"/>
        <w:rPr>
          <w:sz w:val="24"/>
          <w:szCs w:val="24"/>
        </w:rPr>
      </w:pPr>
    </w:p>
    <w:p w14:paraId="11EC853E" w14:textId="77777777" w:rsidR="00866329" w:rsidRDefault="00866329">
      <w:pPr>
        <w:pStyle w:val="Normal1"/>
        <w:spacing w:after="0"/>
        <w:rPr>
          <w:sz w:val="24"/>
          <w:szCs w:val="24"/>
        </w:rPr>
      </w:pPr>
    </w:p>
    <w:p w14:paraId="5BD85A05" w14:textId="2A8639DD" w:rsidR="00C365C7" w:rsidRDefault="00F444AB">
      <w:pPr>
        <w:pStyle w:val="Normal1"/>
        <w:spacing w:after="0"/>
      </w:pPr>
      <w:r>
        <w:rPr>
          <w:sz w:val="24"/>
          <w:szCs w:val="24"/>
        </w:rPr>
        <w:t xml:space="preserve">3. </w:t>
      </w:r>
      <w:r w:rsidR="00DD1CBD">
        <w:rPr>
          <w:sz w:val="24"/>
          <w:szCs w:val="24"/>
        </w:rPr>
        <w:t>Departmental reporting to Cabinet Office and the Department for Communities and Local Government on land and property disposals will be amended to capture the full range of information to be published.</w:t>
      </w:r>
    </w:p>
    <w:p w14:paraId="1602613D" w14:textId="77777777" w:rsidR="00C365C7" w:rsidRDefault="00C365C7">
      <w:pPr>
        <w:pStyle w:val="Normal1"/>
        <w:spacing w:after="0"/>
        <w:ind w:left="285" w:hanging="285"/>
      </w:pPr>
    </w:p>
    <w:p w14:paraId="74591874" w14:textId="7A6690A6" w:rsidR="00C365C7" w:rsidRDefault="00DD1CBD">
      <w:pPr>
        <w:pStyle w:val="Normal1"/>
        <w:spacing w:after="0"/>
      </w:pPr>
      <w:r>
        <w:rPr>
          <w:sz w:val="24"/>
          <w:szCs w:val="24"/>
        </w:rPr>
        <w:t>In order to improve the transparency of all Government land and property disposals in the UK, Cabinet Office will publish details of the commercial terms listed in a) - h) of paragraph 1</w:t>
      </w:r>
      <w:r w:rsidR="00F444AB">
        <w:rPr>
          <w:sz w:val="24"/>
          <w:szCs w:val="24"/>
        </w:rPr>
        <w:t>, subject to the provisions within paragraph 2</w:t>
      </w:r>
      <w:r>
        <w:rPr>
          <w:sz w:val="24"/>
          <w:szCs w:val="24"/>
        </w:rPr>
        <w:t xml:space="preserve"> for disposals that have taken place over the previous year.  The first report will be published on </w:t>
      </w:r>
      <w:hyperlink r:id="rId16">
        <w:r>
          <w:rPr>
            <w:color w:val="1155CC"/>
            <w:sz w:val="24"/>
            <w:szCs w:val="24"/>
            <w:u w:val="single"/>
          </w:rPr>
          <w:t>www.gov.uk</w:t>
        </w:r>
      </w:hyperlink>
      <w:r>
        <w:rPr>
          <w:sz w:val="24"/>
          <w:szCs w:val="24"/>
        </w:rPr>
        <w:t xml:space="preserve"> from summer 2017. Full sales contracts will not be published. </w:t>
      </w:r>
    </w:p>
    <w:p w14:paraId="190C1C4B" w14:textId="77777777" w:rsidR="00C365C7" w:rsidRDefault="00DD1CBD">
      <w:pPr>
        <w:pStyle w:val="Normal1"/>
      </w:pPr>
      <w:r>
        <w:br w:type="page"/>
      </w:r>
    </w:p>
    <w:p w14:paraId="00A6305B" w14:textId="77777777" w:rsidR="00C365C7" w:rsidRDefault="00DD1CBD">
      <w:pPr>
        <w:pStyle w:val="Heading1"/>
      </w:pPr>
      <w:bookmarkStart w:id="6" w:name="_3znysh7" w:colFirst="0" w:colLast="0"/>
      <w:bookmarkEnd w:id="6"/>
      <w:r>
        <w:lastRenderedPageBreak/>
        <w:t xml:space="preserve">3. Methodology </w:t>
      </w:r>
    </w:p>
    <w:p w14:paraId="0299D500" w14:textId="77777777" w:rsidR="00C365C7" w:rsidRPr="00F5791D" w:rsidRDefault="00DD1CBD">
      <w:pPr>
        <w:pStyle w:val="Normal1"/>
        <w:spacing w:after="0"/>
        <w:rPr>
          <w:sz w:val="24"/>
          <w:szCs w:val="24"/>
        </w:rPr>
      </w:pPr>
      <w:r w:rsidRPr="00F5791D">
        <w:rPr>
          <w:sz w:val="24"/>
          <w:szCs w:val="24"/>
        </w:rPr>
        <w:t>The list of commercial terms contained in case studies in the NAO report was used as a starting point for defining commercial terms for the purpose of this review.  NAO were consulted in finalising the definition of commercial terms to be reviewed.  For each land or property asset, these are:</w:t>
      </w:r>
    </w:p>
    <w:p w14:paraId="628D0E7B" w14:textId="77777777" w:rsidR="00C365C7" w:rsidRPr="00F5791D" w:rsidRDefault="00C365C7">
      <w:pPr>
        <w:pStyle w:val="Normal1"/>
        <w:spacing w:after="0"/>
        <w:rPr>
          <w:sz w:val="24"/>
          <w:szCs w:val="24"/>
        </w:rPr>
      </w:pPr>
    </w:p>
    <w:p w14:paraId="587173D6"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 xml:space="preserve">Location of land or property. </w:t>
      </w:r>
    </w:p>
    <w:p w14:paraId="1375C099"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Size of land area.</w:t>
      </w:r>
    </w:p>
    <w:p w14:paraId="276A579E"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Type of asset being disposed of (freehold, leasehold or licence).</w:t>
      </w:r>
    </w:p>
    <w:p w14:paraId="35B01E6B"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Whether the sale has been completed on the basis of a conditional or unconditional contract.</w:t>
      </w:r>
    </w:p>
    <w:p w14:paraId="408BB66E"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Date of disposal.</w:t>
      </w:r>
    </w:p>
    <w:p w14:paraId="4AE25F58"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Method of disposal.</w:t>
      </w:r>
    </w:p>
    <w:p w14:paraId="69709473"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Capital receipt proceeds from the disposal.</w:t>
      </w:r>
    </w:p>
    <w:p w14:paraId="1EFBE5AF"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 xml:space="preserve">Whether the sales contract makes provision for overage and / or </w:t>
      </w:r>
      <w:proofErr w:type="spellStart"/>
      <w:r w:rsidRPr="00F5791D">
        <w:rPr>
          <w:sz w:val="24"/>
          <w:szCs w:val="24"/>
        </w:rPr>
        <w:t>clawback</w:t>
      </w:r>
      <w:proofErr w:type="spellEnd"/>
      <w:r w:rsidRPr="00F5791D">
        <w:rPr>
          <w:sz w:val="24"/>
          <w:szCs w:val="24"/>
        </w:rPr>
        <w:t xml:space="preserve">. </w:t>
      </w:r>
    </w:p>
    <w:p w14:paraId="40A71F40" w14:textId="77777777" w:rsidR="00C365C7" w:rsidRPr="00F5791D" w:rsidRDefault="00DD1CBD">
      <w:pPr>
        <w:pStyle w:val="Normal1"/>
        <w:numPr>
          <w:ilvl w:val="0"/>
          <w:numId w:val="2"/>
        </w:numPr>
        <w:spacing w:after="0"/>
        <w:ind w:left="426" w:right="-280" w:hanging="426"/>
        <w:contextualSpacing/>
        <w:rPr>
          <w:sz w:val="24"/>
          <w:szCs w:val="24"/>
        </w:rPr>
      </w:pPr>
      <w:r w:rsidRPr="00F5791D">
        <w:rPr>
          <w:sz w:val="24"/>
          <w:szCs w:val="24"/>
        </w:rPr>
        <w:t>Full copy of the sales contract.</w:t>
      </w:r>
    </w:p>
    <w:p w14:paraId="6666A853" w14:textId="77777777" w:rsidR="00C365C7" w:rsidRPr="00F5791D" w:rsidRDefault="00C365C7">
      <w:pPr>
        <w:pStyle w:val="Normal1"/>
        <w:spacing w:after="0"/>
        <w:rPr>
          <w:sz w:val="24"/>
          <w:szCs w:val="24"/>
        </w:rPr>
      </w:pPr>
    </w:p>
    <w:p w14:paraId="0B545C56" w14:textId="77777777" w:rsidR="00C365C7" w:rsidRPr="00F5791D" w:rsidRDefault="00DD1CBD">
      <w:pPr>
        <w:pStyle w:val="Normal1"/>
        <w:spacing w:after="0"/>
        <w:ind w:right="-280"/>
        <w:rPr>
          <w:sz w:val="24"/>
          <w:szCs w:val="24"/>
        </w:rPr>
      </w:pPr>
      <w:r w:rsidRPr="00F5791D">
        <w:rPr>
          <w:sz w:val="24"/>
          <w:szCs w:val="24"/>
        </w:rPr>
        <w:t xml:space="preserve">A desktop study was undertaken using a sample of 14 recent freehold land and property disposals by a range of Government Departments.  The study looked at what commercial terms information was publically available.  Where information was available at cost from Land Registry, this is also listed in each case study.  The results are at Appendix A.  Research based on these case studies support the NAO conclusion that limited information on commercial terms is currently publically available. </w:t>
      </w:r>
    </w:p>
    <w:p w14:paraId="3E66FD19" w14:textId="77777777" w:rsidR="00C365C7" w:rsidRDefault="00C365C7">
      <w:pPr>
        <w:pStyle w:val="Normal1"/>
        <w:spacing w:after="0"/>
        <w:ind w:right="-280"/>
      </w:pPr>
    </w:p>
    <w:p w14:paraId="10088838" w14:textId="77777777" w:rsidR="00C365C7" w:rsidRDefault="00DD1CBD">
      <w:pPr>
        <w:pStyle w:val="Normal1"/>
      </w:pPr>
      <w:r>
        <w:br w:type="page"/>
      </w:r>
    </w:p>
    <w:p w14:paraId="325E818B" w14:textId="77777777" w:rsidR="00C365C7" w:rsidRDefault="00DD1CBD">
      <w:pPr>
        <w:pStyle w:val="Heading1"/>
      </w:pPr>
      <w:bookmarkStart w:id="7" w:name="_2et92p0" w:colFirst="0" w:colLast="0"/>
      <w:bookmarkEnd w:id="7"/>
      <w:r>
        <w:lastRenderedPageBreak/>
        <w:t>4. Stakeholder Engagement</w:t>
      </w:r>
    </w:p>
    <w:p w14:paraId="6E9C89FC" w14:textId="77777777" w:rsidR="00C365C7" w:rsidRPr="00F5791D" w:rsidRDefault="00DD1CBD">
      <w:pPr>
        <w:pStyle w:val="Normal1"/>
        <w:spacing w:after="0"/>
        <w:ind w:right="-280"/>
        <w:rPr>
          <w:sz w:val="24"/>
          <w:szCs w:val="24"/>
        </w:rPr>
      </w:pPr>
      <w:r w:rsidRPr="00F5791D">
        <w:rPr>
          <w:sz w:val="24"/>
          <w:szCs w:val="24"/>
        </w:rPr>
        <w:t>Cabinet Office and the Department for Communities and Local Government established a working group with membership from Government Departments and the Local Government Association (see Appendix B).  Departments were invited to engage and nominate members to provide their input into the Housing and Planning Act 2016, as well as considering ways in which the Government can increase transparency of commercial terms in relation to surplus land and building disposals.</w:t>
      </w:r>
    </w:p>
    <w:p w14:paraId="0666763F" w14:textId="77777777" w:rsidR="00C365C7" w:rsidRPr="00F5791D" w:rsidRDefault="00C365C7">
      <w:pPr>
        <w:pStyle w:val="Normal1"/>
        <w:spacing w:after="0"/>
        <w:ind w:right="-280"/>
        <w:rPr>
          <w:sz w:val="24"/>
          <w:szCs w:val="24"/>
        </w:rPr>
      </w:pPr>
    </w:p>
    <w:p w14:paraId="23D2FF5E" w14:textId="77777777" w:rsidR="00C365C7" w:rsidRPr="00F5791D" w:rsidRDefault="00DD1CBD">
      <w:pPr>
        <w:pStyle w:val="Normal1"/>
        <w:spacing w:after="0"/>
        <w:ind w:right="-280"/>
        <w:rPr>
          <w:sz w:val="24"/>
          <w:szCs w:val="24"/>
        </w:rPr>
      </w:pPr>
      <w:r w:rsidRPr="00F5791D">
        <w:rPr>
          <w:sz w:val="24"/>
          <w:szCs w:val="24"/>
        </w:rPr>
        <w:t>The working group met a number of times to discuss the ways in which the Government can increase the transparency of commercial terms of land and property disposals.  In particular, it considered:</w:t>
      </w:r>
    </w:p>
    <w:p w14:paraId="709B80A1" w14:textId="77777777" w:rsidR="00C365C7" w:rsidRPr="00F5791D" w:rsidRDefault="00C365C7">
      <w:pPr>
        <w:pStyle w:val="Normal1"/>
        <w:spacing w:after="0"/>
        <w:ind w:right="-280"/>
        <w:rPr>
          <w:sz w:val="24"/>
          <w:szCs w:val="24"/>
        </w:rPr>
      </w:pPr>
    </w:p>
    <w:p w14:paraId="18A28545" w14:textId="77777777" w:rsidR="00C365C7" w:rsidRPr="00F5791D" w:rsidRDefault="00DD1CBD">
      <w:pPr>
        <w:pStyle w:val="Normal1"/>
        <w:numPr>
          <w:ilvl w:val="0"/>
          <w:numId w:val="3"/>
        </w:numPr>
        <w:spacing w:after="0"/>
        <w:ind w:right="-560" w:hanging="360"/>
        <w:contextualSpacing/>
        <w:rPr>
          <w:sz w:val="24"/>
          <w:szCs w:val="24"/>
        </w:rPr>
      </w:pPr>
      <w:r w:rsidRPr="00F5791D">
        <w:rPr>
          <w:sz w:val="24"/>
          <w:szCs w:val="24"/>
        </w:rPr>
        <w:t>How information relating to land and property disposals is collected and reported internally by Departments.</w:t>
      </w:r>
    </w:p>
    <w:p w14:paraId="2DDF6762" w14:textId="77777777" w:rsidR="00C365C7" w:rsidRPr="00F5791D" w:rsidRDefault="00DD1CBD">
      <w:pPr>
        <w:pStyle w:val="Normal1"/>
        <w:numPr>
          <w:ilvl w:val="0"/>
          <w:numId w:val="3"/>
        </w:numPr>
        <w:spacing w:after="0"/>
        <w:ind w:right="-560" w:hanging="360"/>
        <w:contextualSpacing/>
        <w:rPr>
          <w:sz w:val="24"/>
          <w:szCs w:val="24"/>
        </w:rPr>
      </w:pPr>
      <w:r w:rsidRPr="00F5791D">
        <w:rPr>
          <w:sz w:val="24"/>
          <w:szCs w:val="24"/>
        </w:rPr>
        <w:t>What information is published, and publically available regarding these sales.</w:t>
      </w:r>
    </w:p>
    <w:p w14:paraId="6E8DE0BB" w14:textId="77777777" w:rsidR="00C365C7" w:rsidRPr="00F5791D" w:rsidRDefault="00DD1CBD">
      <w:pPr>
        <w:pStyle w:val="Normal1"/>
        <w:numPr>
          <w:ilvl w:val="0"/>
          <w:numId w:val="3"/>
        </w:numPr>
        <w:spacing w:after="0"/>
        <w:ind w:right="-560" w:hanging="360"/>
        <w:contextualSpacing/>
        <w:rPr>
          <w:sz w:val="24"/>
          <w:szCs w:val="24"/>
        </w:rPr>
      </w:pPr>
      <w:r w:rsidRPr="00F5791D">
        <w:rPr>
          <w:sz w:val="24"/>
          <w:szCs w:val="24"/>
        </w:rPr>
        <w:t>What information could be made publically available and should be exempted.</w:t>
      </w:r>
    </w:p>
    <w:p w14:paraId="53F366BC" w14:textId="77777777" w:rsidR="00C365C7" w:rsidRPr="00F5791D" w:rsidRDefault="00DD1CBD">
      <w:pPr>
        <w:pStyle w:val="Normal1"/>
        <w:numPr>
          <w:ilvl w:val="0"/>
          <w:numId w:val="3"/>
        </w:numPr>
        <w:spacing w:after="0"/>
        <w:ind w:right="-560" w:hanging="360"/>
        <w:contextualSpacing/>
        <w:rPr>
          <w:sz w:val="24"/>
          <w:szCs w:val="24"/>
        </w:rPr>
      </w:pPr>
      <w:r w:rsidRPr="00F5791D">
        <w:rPr>
          <w:sz w:val="24"/>
          <w:szCs w:val="24"/>
        </w:rPr>
        <w:t>The most appropriate mechanism and frequency for publication.</w:t>
      </w:r>
    </w:p>
    <w:p w14:paraId="3BB91D6D" w14:textId="77777777" w:rsidR="00C365C7" w:rsidRPr="00F5791D" w:rsidRDefault="00C365C7">
      <w:pPr>
        <w:pStyle w:val="Normal1"/>
        <w:spacing w:after="0"/>
        <w:rPr>
          <w:sz w:val="24"/>
          <w:szCs w:val="24"/>
        </w:rPr>
      </w:pPr>
    </w:p>
    <w:p w14:paraId="47AAC45A" w14:textId="77777777" w:rsidR="00C365C7" w:rsidRPr="00F5791D" w:rsidRDefault="00DD1CBD">
      <w:pPr>
        <w:pStyle w:val="Normal1"/>
        <w:spacing w:after="0"/>
        <w:ind w:right="-280"/>
        <w:rPr>
          <w:sz w:val="24"/>
          <w:szCs w:val="24"/>
        </w:rPr>
      </w:pPr>
      <w:r w:rsidRPr="00F5791D">
        <w:rPr>
          <w:sz w:val="24"/>
          <w:szCs w:val="24"/>
        </w:rPr>
        <w:t xml:space="preserve">Whilst commercial terms of disposals were generally not made public, most were already reported internally to Cabinet Office and the Department for Communities and Local Government on a quarterly basis.  Departments agreed that most types of commercial terms data under review could be published to improve transparency.  </w:t>
      </w:r>
    </w:p>
    <w:p w14:paraId="7D3B7DCB" w14:textId="77777777" w:rsidR="00C365C7" w:rsidRPr="00F5791D" w:rsidRDefault="00C365C7">
      <w:pPr>
        <w:pStyle w:val="Normal1"/>
        <w:spacing w:after="0"/>
        <w:ind w:right="-280"/>
        <w:rPr>
          <w:sz w:val="24"/>
          <w:szCs w:val="24"/>
        </w:rPr>
      </w:pPr>
    </w:p>
    <w:p w14:paraId="6E55D16D" w14:textId="77AABB0A" w:rsidR="00C365C7" w:rsidRPr="00F5791D" w:rsidRDefault="00DD1CBD">
      <w:pPr>
        <w:pStyle w:val="Normal1"/>
        <w:spacing w:after="0"/>
        <w:ind w:right="-280"/>
        <w:rPr>
          <w:sz w:val="24"/>
          <w:szCs w:val="24"/>
        </w:rPr>
      </w:pPr>
      <w:r w:rsidRPr="00F5791D">
        <w:rPr>
          <w:sz w:val="24"/>
          <w:szCs w:val="24"/>
        </w:rPr>
        <w:t xml:space="preserve">They agreed </w:t>
      </w:r>
      <w:r w:rsidR="00C30304">
        <w:rPr>
          <w:sz w:val="24"/>
          <w:szCs w:val="24"/>
        </w:rPr>
        <w:t xml:space="preserve">to the </w:t>
      </w:r>
      <w:r w:rsidR="00405AB8">
        <w:rPr>
          <w:sz w:val="24"/>
          <w:szCs w:val="24"/>
        </w:rPr>
        <w:t>full or par</w:t>
      </w:r>
      <w:r w:rsidRPr="00F5791D">
        <w:rPr>
          <w:sz w:val="24"/>
          <w:szCs w:val="24"/>
        </w:rPr>
        <w:t>tial exemption</w:t>
      </w:r>
      <w:r w:rsidR="00405AB8">
        <w:rPr>
          <w:sz w:val="24"/>
          <w:szCs w:val="24"/>
        </w:rPr>
        <w:t>s</w:t>
      </w:r>
      <w:r w:rsidR="00C30304">
        <w:rPr>
          <w:sz w:val="24"/>
          <w:szCs w:val="24"/>
        </w:rPr>
        <w:t xml:space="preserve"> set out in section 2.2 a-d above.</w:t>
      </w:r>
    </w:p>
    <w:p w14:paraId="4D9A628C" w14:textId="77777777" w:rsidR="00405AB8" w:rsidRDefault="00405AB8" w:rsidP="00405AB8">
      <w:pPr>
        <w:pStyle w:val="Normal1"/>
        <w:spacing w:after="0"/>
        <w:rPr>
          <w:sz w:val="24"/>
          <w:szCs w:val="24"/>
        </w:rPr>
      </w:pPr>
    </w:p>
    <w:p w14:paraId="222AFF76" w14:textId="77777777" w:rsidR="00C365C7" w:rsidRDefault="00DD1CBD">
      <w:pPr>
        <w:pStyle w:val="Normal1"/>
      </w:pPr>
      <w:r>
        <w:br w:type="page"/>
      </w:r>
    </w:p>
    <w:p w14:paraId="66972449" w14:textId="77777777" w:rsidR="00C365C7" w:rsidRDefault="00DD1CBD">
      <w:pPr>
        <w:pStyle w:val="Heading1"/>
      </w:pPr>
      <w:bookmarkStart w:id="8" w:name="_tyjcwt" w:colFirst="0" w:colLast="0"/>
      <w:bookmarkEnd w:id="8"/>
      <w:r>
        <w:lastRenderedPageBreak/>
        <w:t>Appendix A - Case Studies</w:t>
      </w:r>
    </w:p>
    <w:p w14:paraId="4F57FD3A" w14:textId="77777777" w:rsidR="00C365C7" w:rsidRDefault="00DD1CBD">
      <w:pPr>
        <w:pStyle w:val="Normal1"/>
        <w:spacing w:after="0"/>
      </w:pPr>
      <w:r>
        <w:rPr>
          <w:b/>
          <w:sz w:val="24"/>
          <w:szCs w:val="24"/>
        </w:rPr>
        <w:t>Case Study 1</w:t>
      </w:r>
      <w:r>
        <w:rPr>
          <w:sz w:val="24"/>
          <w:szCs w:val="24"/>
        </w:rPr>
        <w:t xml:space="preserve"> - Lewes Magistrates Court, East Sussex BN7 2PG</w:t>
      </w:r>
    </w:p>
    <w:p w14:paraId="7D9A8BCF" w14:textId="77777777" w:rsidR="00C365C7" w:rsidRDefault="00DD1CBD">
      <w:pPr>
        <w:pStyle w:val="Normal1"/>
        <w:spacing w:after="0"/>
      </w:pPr>
      <w:r>
        <w:rPr>
          <w:sz w:val="24"/>
          <w:szCs w:val="24"/>
        </w:rPr>
        <w:t xml:space="preserve"> </w:t>
      </w:r>
    </w:p>
    <w:tbl>
      <w:tblPr>
        <w:tblStyle w:val="a0"/>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05E557B5" w14:textId="77777777">
        <w:trPr>
          <w:trHeight w:val="640"/>
        </w:trPr>
        <w:tc>
          <w:tcPr>
            <w:tcW w:w="5325" w:type="dxa"/>
          </w:tcPr>
          <w:p w14:paraId="2CF27A10" w14:textId="77777777" w:rsidR="00C365C7" w:rsidRDefault="00DD1CBD">
            <w:pPr>
              <w:pStyle w:val="Normal1"/>
              <w:widowControl w:val="0"/>
              <w:spacing w:after="0"/>
            </w:pPr>
            <w:r>
              <w:rPr>
                <w:sz w:val="24"/>
                <w:szCs w:val="24"/>
              </w:rPr>
              <w:t>Government Department</w:t>
            </w:r>
          </w:p>
        </w:tc>
        <w:tc>
          <w:tcPr>
            <w:tcW w:w="3255" w:type="dxa"/>
          </w:tcPr>
          <w:p w14:paraId="6D418702" w14:textId="77777777" w:rsidR="00C365C7" w:rsidRDefault="00DD1CBD">
            <w:pPr>
              <w:pStyle w:val="Normal1"/>
              <w:widowControl w:val="0"/>
              <w:spacing w:after="0"/>
            </w:pPr>
            <w:r>
              <w:rPr>
                <w:sz w:val="24"/>
                <w:szCs w:val="24"/>
              </w:rPr>
              <w:t>HM  Courts and Tribunals Service</w:t>
            </w:r>
          </w:p>
        </w:tc>
      </w:tr>
      <w:tr w:rsidR="00C365C7" w14:paraId="379EF2A4" w14:textId="77777777">
        <w:tc>
          <w:tcPr>
            <w:tcW w:w="5325" w:type="dxa"/>
          </w:tcPr>
          <w:p w14:paraId="4A627785" w14:textId="77777777" w:rsidR="00C365C7" w:rsidRDefault="00DD1CBD">
            <w:pPr>
              <w:pStyle w:val="Normal1"/>
              <w:spacing w:after="0"/>
              <w:ind w:right="-280"/>
            </w:pPr>
            <w:r>
              <w:rPr>
                <w:sz w:val="24"/>
                <w:szCs w:val="24"/>
              </w:rPr>
              <w:t>Location of land or property</w:t>
            </w:r>
          </w:p>
        </w:tc>
        <w:tc>
          <w:tcPr>
            <w:tcW w:w="3255" w:type="dxa"/>
          </w:tcPr>
          <w:p w14:paraId="3E900F12" w14:textId="77777777" w:rsidR="00C365C7" w:rsidRDefault="00DD1CBD">
            <w:pPr>
              <w:pStyle w:val="Normal1"/>
              <w:widowControl w:val="0"/>
              <w:spacing w:after="0"/>
            </w:pPr>
            <w:r>
              <w:rPr>
                <w:sz w:val="24"/>
                <w:szCs w:val="24"/>
              </w:rPr>
              <w:t>Lewes Magistrates Court, East Sussex</w:t>
            </w:r>
          </w:p>
        </w:tc>
      </w:tr>
      <w:tr w:rsidR="00C365C7" w14:paraId="7C11BE05" w14:textId="77777777">
        <w:tc>
          <w:tcPr>
            <w:tcW w:w="5325" w:type="dxa"/>
          </w:tcPr>
          <w:p w14:paraId="67CF53E5" w14:textId="77777777" w:rsidR="00C365C7" w:rsidRDefault="00DD1CBD">
            <w:pPr>
              <w:pStyle w:val="Normal1"/>
              <w:spacing w:after="0"/>
              <w:ind w:right="-280"/>
            </w:pPr>
            <w:r>
              <w:rPr>
                <w:sz w:val="24"/>
                <w:szCs w:val="24"/>
              </w:rPr>
              <w:t>Size of land area</w:t>
            </w:r>
          </w:p>
        </w:tc>
        <w:tc>
          <w:tcPr>
            <w:tcW w:w="3255" w:type="dxa"/>
          </w:tcPr>
          <w:p w14:paraId="17D25BA0" w14:textId="77777777" w:rsidR="00C365C7" w:rsidRDefault="00DD1CBD">
            <w:pPr>
              <w:pStyle w:val="Normal1"/>
              <w:widowControl w:val="0"/>
              <w:spacing w:after="0"/>
            </w:pPr>
            <w:r>
              <w:rPr>
                <w:sz w:val="24"/>
                <w:szCs w:val="24"/>
              </w:rPr>
              <w:t>0.14 hectares</w:t>
            </w:r>
          </w:p>
        </w:tc>
      </w:tr>
      <w:tr w:rsidR="00C365C7" w14:paraId="07790E56" w14:textId="77777777">
        <w:tc>
          <w:tcPr>
            <w:tcW w:w="5325" w:type="dxa"/>
          </w:tcPr>
          <w:p w14:paraId="4FB3CF29" w14:textId="6A769454" w:rsidR="00C365C7" w:rsidRDefault="00DD1CBD" w:rsidP="002E309A">
            <w:pPr>
              <w:pStyle w:val="Normal1"/>
              <w:spacing w:after="0"/>
              <w:ind w:right="-280"/>
            </w:pPr>
            <w:r>
              <w:rPr>
                <w:sz w:val="24"/>
                <w:szCs w:val="24"/>
              </w:rPr>
              <w:t>Type of asset being disposed of (freehold</w:t>
            </w:r>
            <w:r w:rsidR="002E309A">
              <w:rPr>
                <w:sz w:val="24"/>
                <w:szCs w:val="24"/>
              </w:rPr>
              <w:t xml:space="preserve"> or</w:t>
            </w:r>
            <w:r>
              <w:rPr>
                <w:sz w:val="24"/>
                <w:szCs w:val="24"/>
              </w:rPr>
              <w:t xml:space="preserve"> leasehold)</w:t>
            </w:r>
          </w:p>
        </w:tc>
        <w:tc>
          <w:tcPr>
            <w:tcW w:w="3255" w:type="dxa"/>
          </w:tcPr>
          <w:p w14:paraId="401F2FC9" w14:textId="77777777" w:rsidR="00C365C7" w:rsidRDefault="00DD1CBD">
            <w:pPr>
              <w:pStyle w:val="Normal1"/>
              <w:widowControl w:val="0"/>
              <w:spacing w:after="0"/>
            </w:pPr>
            <w:r>
              <w:rPr>
                <w:sz w:val="24"/>
                <w:szCs w:val="24"/>
              </w:rPr>
              <w:t>Freehold</w:t>
            </w:r>
          </w:p>
        </w:tc>
      </w:tr>
      <w:tr w:rsidR="00C365C7" w14:paraId="0FF8AD97" w14:textId="77777777">
        <w:tc>
          <w:tcPr>
            <w:tcW w:w="5325" w:type="dxa"/>
          </w:tcPr>
          <w:p w14:paraId="4A27A453" w14:textId="77777777" w:rsidR="00C365C7" w:rsidRDefault="00DD1CBD">
            <w:pPr>
              <w:pStyle w:val="Normal1"/>
              <w:spacing w:after="0"/>
              <w:ind w:right="-280"/>
            </w:pPr>
            <w:r>
              <w:rPr>
                <w:sz w:val="24"/>
                <w:szCs w:val="24"/>
              </w:rPr>
              <w:t>Conditional or unconditional contract</w:t>
            </w:r>
          </w:p>
        </w:tc>
        <w:tc>
          <w:tcPr>
            <w:tcW w:w="3255" w:type="dxa"/>
          </w:tcPr>
          <w:p w14:paraId="6DD7EEFF" w14:textId="77777777" w:rsidR="00C365C7" w:rsidRDefault="00DD1CBD">
            <w:pPr>
              <w:pStyle w:val="Normal1"/>
              <w:widowControl w:val="0"/>
              <w:spacing w:after="0"/>
            </w:pPr>
            <w:r>
              <w:rPr>
                <w:sz w:val="24"/>
                <w:szCs w:val="24"/>
              </w:rPr>
              <w:t xml:space="preserve">No details available </w:t>
            </w:r>
          </w:p>
        </w:tc>
      </w:tr>
      <w:tr w:rsidR="00C365C7" w14:paraId="05871FB9" w14:textId="77777777">
        <w:tc>
          <w:tcPr>
            <w:tcW w:w="5325" w:type="dxa"/>
          </w:tcPr>
          <w:p w14:paraId="5228448F" w14:textId="77777777" w:rsidR="00C365C7" w:rsidRDefault="00DD1CBD">
            <w:pPr>
              <w:pStyle w:val="Normal1"/>
              <w:widowControl w:val="0"/>
              <w:spacing w:after="0"/>
            </w:pPr>
            <w:r>
              <w:rPr>
                <w:sz w:val="24"/>
                <w:szCs w:val="24"/>
              </w:rPr>
              <w:t>Date of Sale</w:t>
            </w:r>
          </w:p>
        </w:tc>
        <w:tc>
          <w:tcPr>
            <w:tcW w:w="3255" w:type="dxa"/>
          </w:tcPr>
          <w:p w14:paraId="6DDAFF75" w14:textId="77777777" w:rsidR="00C365C7" w:rsidRDefault="00DD1CBD">
            <w:pPr>
              <w:pStyle w:val="Normal1"/>
              <w:widowControl w:val="0"/>
              <w:spacing w:after="0"/>
            </w:pPr>
            <w:r>
              <w:rPr>
                <w:sz w:val="24"/>
                <w:szCs w:val="24"/>
              </w:rPr>
              <w:t>08/09/2015</w:t>
            </w:r>
          </w:p>
        </w:tc>
      </w:tr>
      <w:tr w:rsidR="00C365C7" w14:paraId="6CB9C795" w14:textId="77777777">
        <w:tc>
          <w:tcPr>
            <w:tcW w:w="5325" w:type="dxa"/>
          </w:tcPr>
          <w:p w14:paraId="2BD8A532"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3146305A" w14:textId="77777777" w:rsidR="00C365C7" w:rsidRDefault="00DD1CBD">
            <w:pPr>
              <w:pStyle w:val="Normal1"/>
              <w:widowControl w:val="0"/>
              <w:spacing w:after="0"/>
            </w:pPr>
            <w:r>
              <w:rPr>
                <w:sz w:val="24"/>
                <w:szCs w:val="24"/>
              </w:rPr>
              <w:t>No details available</w:t>
            </w:r>
          </w:p>
        </w:tc>
      </w:tr>
      <w:tr w:rsidR="00C365C7" w14:paraId="5600871D" w14:textId="77777777">
        <w:tc>
          <w:tcPr>
            <w:tcW w:w="5325" w:type="dxa"/>
          </w:tcPr>
          <w:p w14:paraId="2E2A85A2" w14:textId="77777777" w:rsidR="00C365C7" w:rsidRDefault="00DD1CBD">
            <w:pPr>
              <w:pStyle w:val="Normal1"/>
              <w:spacing w:after="0"/>
              <w:ind w:right="-280"/>
            </w:pPr>
            <w:r>
              <w:rPr>
                <w:sz w:val="24"/>
                <w:szCs w:val="24"/>
              </w:rPr>
              <w:t>Capital receipt proceeds from the disposal</w:t>
            </w:r>
          </w:p>
        </w:tc>
        <w:tc>
          <w:tcPr>
            <w:tcW w:w="3255" w:type="dxa"/>
          </w:tcPr>
          <w:p w14:paraId="30555DE9" w14:textId="77777777" w:rsidR="00C365C7" w:rsidRDefault="00DD1CBD">
            <w:pPr>
              <w:pStyle w:val="Normal1"/>
              <w:widowControl w:val="0"/>
              <w:spacing w:after="0"/>
            </w:pPr>
            <w:r>
              <w:rPr>
                <w:sz w:val="24"/>
                <w:szCs w:val="24"/>
              </w:rPr>
              <w:t xml:space="preserve"> £1,500,000</w:t>
            </w:r>
          </w:p>
        </w:tc>
      </w:tr>
      <w:tr w:rsidR="00C365C7" w14:paraId="47963DC9" w14:textId="77777777">
        <w:tc>
          <w:tcPr>
            <w:tcW w:w="5325" w:type="dxa"/>
          </w:tcPr>
          <w:p w14:paraId="6D4C4AB5"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22DB0687" w14:textId="77777777" w:rsidR="00C365C7" w:rsidRDefault="00DD1CBD">
            <w:pPr>
              <w:pStyle w:val="Normal1"/>
              <w:widowControl w:val="0"/>
              <w:spacing w:after="0"/>
            </w:pPr>
            <w:r>
              <w:rPr>
                <w:sz w:val="24"/>
                <w:szCs w:val="24"/>
              </w:rPr>
              <w:t>No details available</w:t>
            </w:r>
          </w:p>
        </w:tc>
      </w:tr>
    </w:tbl>
    <w:p w14:paraId="69CD3291" w14:textId="77777777" w:rsidR="00C365C7" w:rsidRDefault="00C365C7">
      <w:pPr>
        <w:pStyle w:val="Normal1"/>
        <w:spacing w:after="0"/>
      </w:pPr>
    </w:p>
    <w:p w14:paraId="0019C9C2" w14:textId="77777777" w:rsidR="00C365C7" w:rsidRDefault="00C365C7">
      <w:pPr>
        <w:pStyle w:val="Normal1"/>
        <w:spacing w:after="0"/>
      </w:pPr>
    </w:p>
    <w:p w14:paraId="785DCC39" w14:textId="77777777" w:rsidR="00C365C7" w:rsidRDefault="00C365C7">
      <w:pPr>
        <w:pStyle w:val="Normal1"/>
        <w:spacing w:after="0"/>
      </w:pPr>
    </w:p>
    <w:p w14:paraId="4170A21E" w14:textId="77777777" w:rsidR="00C365C7" w:rsidRDefault="00C365C7">
      <w:pPr>
        <w:pStyle w:val="Normal1"/>
        <w:spacing w:after="0"/>
      </w:pPr>
    </w:p>
    <w:p w14:paraId="1908204F" w14:textId="77777777" w:rsidR="00C365C7" w:rsidRDefault="00DD1CBD">
      <w:pPr>
        <w:pStyle w:val="Normal1"/>
        <w:spacing w:after="0"/>
      </w:pPr>
      <w:r>
        <w:rPr>
          <w:b/>
          <w:sz w:val="24"/>
          <w:szCs w:val="24"/>
        </w:rPr>
        <w:t xml:space="preserve">Case Study 2 </w:t>
      </w:r>
      <w:r>
        <w:rPr>
          <w:sz w:val="24"/>
          <w:szCs w:val="24"/>
        </w:rPr>
        <w:t>- Stoke-on-Trent Magistrates Court, Fenton, Stoke-on-Trent</w:t>
      </w:r>
    </w:p>
    <w:p w14:paraId="67CC2E25" w14:textId="77777777" w:rsidR="00C365C7" w:rsidRDefault="00DD1CBD">
      <w:pPr>
        <w:pStyle w:val="Normal1"/>
        <w:spacing w:after="0"/>
      </w:pPr>
      <w:r>
        <w:rPr>
          <w:sz w:val="24"/>
          <w:szCs w:val="24"/>
        </w:rPr>
        <w:t xml:space="preserve"> </w:t>
      </w:r>
    </w:p>
    <w:tbl>
      <w:tblPr>
        <w:tblStyle w:val="a1"/>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6C00D139" w14:textId="77777777">
        <w:tc>
          <w:tcPr>
            <w:tcW w:w="5325" w:type="dxa"/>
          </w:tcPr>
          <w:p w14:paraId="1F132B2B" w14:textId="77777777" w:rsidR="00C365C7" w:rsidRDefault="00DD1CBD">
            <w:pPr>
              <w:pStyle w:val="Normal1"/>
              <w:widowControl w:val="0"/>
              <w:spacing w:after="0"/>
            </w:pPr>
            <w:r>
              <w:rPr>
                <w:sz w:val="24"/>
                <w:szCs w:val="24"/>
              </w:rPr>
              <w:t>Government Department</w:t>
            </w:r>
          </w:p>
        </w:tc>
        <w:tc>
          <w:tcPr>
            <w:tcW w:w="3255" w:type="dxa"/>
          </w:tcPr>
          <w:p w14:paraId="3D6BCF69" w14:textId="77777777" w:rsidR="00C365C7" w:rsidRDefault="00DD1CBD">
            <w:pPr>
              <w:pStyle w:val="Normal1"/>
              <w:widowControl w:val="0"/>
              <w:spacing w:after="0"/>
            </w:pPr>
            <w:r>
              <w:rPr>
                <w:sz w:val="24"/>
                <w:szCs w:val="24"/>
              </w:rPr>
              <w:t>HM  Courts &amp; Tribunals Service</w:t>
            </w:r>
          </w:p>
        </w:tc>
      </w:tr>
      <w:tr w:rsidR="00C365C7" w14:paraId="71B47EE6" w14:textId="77777777">
        <w:tc>
          <w:tcPr>
            <w:tcW w:w="5325" w:type="dxa"/>
          </w:tcPr>
          <w:p w14:paraId="76676EFD" w14:textId="77777777" w:rsidR="00C365C7" w:rsidRDefault="00DD1CBD">
            <w:pPr>
              <w:pStyle w:val="Normal1"/>
              <w:spacing w:after="0"/>
              <w:ind w:right="-280"/>
            </w:pPr>
            <w:r>
              <w:rPr>
                <w:sz w:val="24"/>
                <w:szCs w:val="24"/>
              </w:rPr>
              <w:t>Location of land or property</w:t>
            </w:r>
          </w:p>
        </w:tc>
        <w:tc>
          <w:tcPr>
            <w:tcW w:w="3255" w:type="dxa"/>
          </w:tcPr>
          <w:p w14:paraId="7919E6B4" w14:textId="77777777" w:rsidR="00C365C7" w:rsidRDefault="00DD1CBD">
            <w:pPr>
              <w:pStyle w:val="Normal1"/>
              <w:widowControl w:val="0"/>
              <w:spacing w:after="0"/>
            </w:pPr>
            <w:r>
              <w:rPr>
                <w:sz w:val="24"/>
                <w:szCs w:val="24"/>
              </w:rPr>
              <w:t>Stoke-on-Trent Magistrates Court, Fenton, Stoke-on-Trent</w:t>
            </w:r>
          </w:p>
        </w:tc>
      </w:tr>
      <w:tr w:rsidR="00C365C7" w14:paraId="6A9F93CF" w14:textId="77777777">
        <w:tc>
          <w:tcPr>
            <w:tcW w:w="5325" w:type="dxa"/>
          </w:tcPr>
          <w:p w14:paraId="347532F8" w14:textId="77777777" w:rsidR="00C365C7" w:rsidRDefault="00DD1CBD">
            <w:pPr>
              <w:pStyle w:val="Normal1"/>
              <w:spacing w:after="0"/>
              <w:ind w:right="-280"/>
            </w:pPr>
            <w:r>
              <w:rPr>
                <w:sz w:val="24"/>
                <w:szCs w:val="24"/>
              </w:rPr>
              <w:t>Size of land area</w:t>
            </w:r>
          </w:p>
        </w:tc>
        <w:tc>
          <w:tcPr>
            <w:tcW w:w="3255" w:type="dxa"/>
          </w:tcPr>
          <w:p w14:paraId="0F311FD9" w14:textId="77777777" w:rsidR="00C365C7" w:rsidRDefault="00DD1CBD">
            <w:pPr>
              <w:pStyle w:val="Normal1"/>
              <w:widowControl w:val="0"/>
              <w:spacing w:after="0"/>
            </w:pPr>
            <w:r>
              <w:rPr>
                <w:sz w:val="24"/>
                <w:szCs w:val="24"/>
              </w:rPr>
              <w:t>0.27 hectares</w:t>
            </w:r>
          </w:p>
        </w:tc>
      </w:tr>
      <w:tr w:rsidR="00C365C7" w14:paraId="1037CE73" w14:textId="77777777">
        <w:tc>
          <w:tcPr>
            <w:tcW w:w="5325" w:type="dxa"/>
          </w:tcPr>
          <w:p w14:paraId="06F64D16" w14:textId="49141032" w:rsidR="00C365C7" w:rsidRDefault="00DD1CBD" w:rsidP="002E309A">
            <w:pPr>
              <w:pStyle w:val="Normal1"/>
              <w:spacing w:after="0"/>
              <w:ind w:right="-280"/>
            </w:pPr>
            <w:r>
              <w:rPr>
                <w:sz w:val="24"/>
                <w:szCs w:val="24"/>
              </w:rPr>
              <w:t>Type of asset being disposed of (freehold</w:t>
            </w:r>
            <w:r w:rsidR="002E309A">
              <w:rPr>
                <w:sz w:val="24"/>
                <w:szCs w:val="24"/>
              </w:rPr>
              <w:t xml:space="preserve"> or</w:t>
            </w:r>
            <w:r>
              <w:rPr>
                <w:sz w:val="24"/>
                <w:szCs w:val="24"/>
              </w:rPr>
              <w:t xml:space="preserve"> leasehold)</w:t>
            </w:r>
          </w:p>
        </w:tc>
        <w:tc>
          <w:tcPr>
            <w:tcW w:w="3255" w:type="dxa"/>
          </w:tcPr>
          <w:p w14:paraId="31F7F326" w14:textId="77777777" w:rsidR="00C365C7" w:rsidRDefault="00DD1CBD">
            <w:pPr>
              <w:pStyle w:val="Normal1"/>
              <w:widowControl w:val="0"/>
              <w:spacing w:after="0"/>
            </w:pPr>
            <w:r>
              <w:rPr>
                <w:sz w:val="24"/>
                <w:szCs w:val="24"/>
              </w:rPr>
              <w:t>Freehold</w:t>
            </w:r>
          </w:p>
        </w:tc>
      </w:tr>
      <w:tr w:rsidR="00C365C7" w14:paraId="6522B577" w14:textId="77777777">
        <w:tc>
          <w:tcPr>
            <w:tcW w:w="5325" w:type="dxa"/>
          </w:tcPr>
          <w:p w14:paraId="47F7DCDB" w14:textId="77777777" w:rsidR="00C365C7" w:rsidRDefault="00DD1CBD">
            <w:pPr>
              <w:pStyle w:val="Normal1"/>
              <w:spacing w:after="0"/>
              <w:ind w:right="-280"/>
            </w:pPr>
            <w:r>
              <w:rPr>
                <w:sz w:val="24"/>
                <w:szCs w:val="24"/>
              </w:rPr>
              <w:t>Conditional or unconditional contract</w:t>
            </w:r>
          </w:p>
        </w:tc>
        <w:tc>
          <w:tcPr>
            <w:tcW w:w="3255" w:type="dxa"/>
          </w:tcPr>
          <w:p w14:paraId="0AE0978D" w14:textId="77777777" w:rsidR="00C365C7" w:rsidRDefault="00DD1CBD">
            <w:pPr>
              <w:pStyle w:val="Normal1"/>
              <w:widowControl w:val="0"/>
              <w:spacing w:after="0"/>
            </w:pPr>
            <w:r>
              <w:rPr>
                <w:sz w:val="24"/>
                <w:szCs w:val="24"/>
              </w:rPr>
              <w:t>No details available</w:t>
            </w:r>
          </w:p>
        </w:tc>
      </w:tr>
      <w:tr w:rsidR="00C365C7" w14:paraId="1B9BA1DD" w14:textId="77777777">
        <w:tc>
          <w:tcPr>
            <w:tcW w:w="5325" w:type="dxa"/>
          </w:tcPr>
          <w:p w14:paraId="7F988DBD" w14:textId="77777777" w:rsidR="00C365C7" w:rsidRDefault="00DD1CBD">
            <w:pPr>
              <w:pStyle w:val="Normal1"/>
              <w:widowControl w:val="0"/>
              <w:spacing w:after="0"/>
            </w:pPr>
            <w:r>
              <w:rPr>
                <w:sz w:val="24"/>
                <w:szCs w:val="24"/>
              </w:rPr>
              <w:t>Date of Sale</w:t>
            </w:r>
          </w:p>
        </w:tc>
        <w:tc>
          <w:tcPr>
            <w:tcW w:w="3255" w:type="dxa"/>
          </w:tcPr>
          <w:p w14:paraId="1A828100" w14:textId="77777777" w:rsidR="00C365C7" w:rsidRDefault="00DD1CBD">
            <w:pPr>
              <w:pStyle w:val="Normal1"/>
              <w:widowControl w:val="0"/>
              <w:spacing w:after="0"/>
            </w:pPr>
            <w:r>
              <w:rPr>
                <w:sz w:val="24"/>
                <w:szCs w:val="24"/>
              </w:rPr>
              <w:t>27/04/2015</w:t>
            </w:r>
          </w:p>
        </w:tc>
      </w:tr>
      <w:tr w:rsidR="00C365C7" w14:paraId="32CD0D07" w14:textId="77777777">
        <w:tc>
          <w:tcPr>
            <w:tcW w:w="5325" w:type="dxa"/>
          </w:tcPr>
          <w:p w14:paraId="3C9D4BFD"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7979054B" w14:textId="77777777" w:rsidR="00C365C7" w:rsidRDefault="00DD1CBD">
            <w:pPr>
              <w:pStyle w:val="Normal1"/>
              <w:widowControl w:val="0"/>
              <w:spacing w:after="0"/>
            </w:pPr>
            <w:r>
              <w:rPr>
                <w:sz w:val="24"/>
                <w:szCs w:val="24"/>
              </w:rPr>
              <w:t>No details available</w:t>
            </w:r>
          </w:p>
        </w:tc>
      </w:tr>
      <w:tr w:rsidR="00C365C7" w14:paraId="15976825" w14:textId="77777777">
        <w:tc>
          <w:tcPr>
            <w:tcW w:w="5325" w:type="dxa"/>
          </w:tcPr>
          <w:p w14:paraId="7F7985E7" w14:textId="77777777" w:rsidR="00C365C7" w:rsidRDefault="00DD1CBD">
            <w:pPr>
              <w:pStyle w:val="Normal1"/>
              <w:spacing w:after="0"/>
              <w:ind w:right="-280"/>
            </w:pPr>
            <w:r>
              <w:rPr>
                <w:sz w:val="24"/>
                <w:szCs w:val="24"/>
              </w:rPr>
              <w:t>Capital receipt proceeds from the disposal</w:t>
            </w:r>
          </w:p>
        </w:tc>
        <w:tc>
          <w:tcPr>
            <w:tcW w:w="3255" w:type="dxa"/>
          </w:tcPr>
          <w:p w14:paraId="7412F03E" w14:textId="77777777" w:rsidR="00C365C7" w:rsidRDefault="00DD1CBD">
            <w:pPr>
              <w:pStyle w:val="Normal1"/>
              <w:widowControl w:val="0"/>
              <w:spacing w:after="0"/>
            </w:pPr>
            <w:r>
              <w:rPr>
                <w:sz w:val="24"/>
                <w:szCs w:val="24"/>
              </w:rPr>
              <w:t>£200,000</w:t>
            </w:r>
          </w:p>
        </w:tc>
      </w:tr>
      <w:tr w:rsidR="00C365C7" w14:paraId="35AAA8FD" w14:textId="77777777">
        <w:tc>
          <w:tcPr>
            <w:tcW w:w="5325" w:type="dxa"/>
          </w:tcPr>
          <w:p w14:paraId="6C832363"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7DF185E5" w14:textId="77777777" w:rsidR="00C365C7" w:rsidRDefault="00DD1CBD">
            <w:pPr>
              <w:pStyle w:val="Normal1"/>
              <w:widowControl w:val="0"/>
              <w:spacing w:after="0"/>
            </w:pPr>
            <w:r>
              <w:rPr>
                <w:sz w:val="24"/>
                <w:szCs w:val="24"/>
              </w:rPr>
              <w:t xml:space="preserve">No details available </w:t>
            </w:r>
          </w:p>
        </w:tc>
      </w:tr>
    </w:tbl>
    <w:p w14:paraId="6F21C30E" w14:textId="77777777" w:rsidR="00C365C7" w:rsidRDefault="00DD1CBD">
      <w:pPr>
        <w:pStyle w:val="Normal1"/>
        <w:spacing w:after="0"/>
      </w:pPr>
      <w:r>
        <w:rPr>
          <w:sz w:val="24"/>
          <w:szCs w:val="24"/>
        </w:rPr>
        <w:t xml:space="preserve"> </w:t>
      </w:r>
    </w:p>
    <w:p w14:paraId="7D44E56C" w14:textId="77777777" w:rsidR="00C365C7" w:rsidRDefault="00C365C7">
      <w:pPr>
        <w:pStyle w:val="Normal1"/>
        <w:spacing w:after="0"/>
      </w:pPr>
    </w:p>
    <w:p w14:paraId="57224B75" w14:textId="77777777" w:rsidR="00C365C7" w:rsidRDefault="00C365C7">
      <w:pPr>
        <w:pStyle w:val="Normal1"/>
        <w:spacing w:after="0"/>
      </w:pPr>
    </w:p>
    <w:p w14:paraId="59B59EA5" w14:textId="77777777" w:rsidR="00C365C7" w:rsidRDefault="00C365C7">
      <w:pPr>
        <w:pStyle w:val="Normal1"/>
        <w:spacing w:after="0"/>
      </w:pPr>
    </w:p>
    <w:p w14:paraId="2794034C" w14:textId="77777777" w:rsidR="00C365C7" w:rsidRDefault="00DD1CBD">
      <w:pPr>
        <w:pStyle w:val="Normal1"/>
      </w:pPr>
      <w:r>
        <w:br w:type="page"/>
      </w:r>
    </w:p>
    <w:p w14:paraId="744F4EE7" w14:textId="77777777" w:rsidR="00C365C7" w:rsidRDefault="00C365C7">
      <w:pPr>
        <w:pStyle w:val="Normal1"/>
        <w:spacing w:after="0"/>
      </w:pPr>
    </w:p>
    <w:p w14:paraId="2192DB05" w14:textId="77777777" w:rsidR="00C365C7" w:rsidRDefault="00DD1CBD">
      <w:pPr>
        <w:pStyle w:val="Normal1"/>
        <w:spacing w:after="0"/>
      </w:pPr>
      <w:r>
        <w:rPr>
          <w:b/>
          <w:sz w:val="24"/>
          <w:szCs w:val="24"/>
        </w:rPr>
        <w:t>Case Study 3</w:t>
      </w:r>
      <w:r>
        <w:rPr>
          <w:sz w:val="24"/>
          <w:szCs w:val="24"/>
        </w:rPr>
        <w:t xml:space="preserve"> - Land at </w:t>
      </w:r>
      <w:proofErr w:type="spellStart"/>
      <w:r>
        <w:rPr>
          <w:sz w:val="24"/>
          <w:szCs w:val="24"/>
        </w:rPr>
        <w:t>Deerbolt</w:t>
      </w:r>
      <w:proofErr w:type="spellEnd"/>
      <w:r>
        <w:rPr>
          <w:sz w:val="24"/>
          <w:szCs w:val="24"/>
        </w:rPr>
        <w:t>, Barnard Castle, County Durham</w:t>
      </w:r>
    </w:p>
    <w:p w14:paraId="19E92643" w14:textId="77777777" w:rsidR="00C365C7" w:rsidRDefault="00DD1CBD">
      <w:pPr>
        <w:pStyle w:val="Normal1"/>
        <w:spacing w:after="0"/>
      </w:pPr>
      <w:r>
        <w:rPr>
          <w:sz w:val="24"/>
          <w:szCs w:val="24"/>
        </w:rPr>
        <w:t xml:space="preserve"> </w:t>
      </w:r>
    </w:p>
    <w:tbl>
      <w:tblPr>
        <w:tblStyle w:val="a2"/>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786C4064" w14:textId="77777777">
        <w:tc>
          <w:tcPr>
            <w:tcW w:w="5325" w:type="dxa"/>
          </w:tcPr>
          <w:p w14:paraId="206D8AD8" w14:textId="77777777" w:rsidR="00C365C7" w:rsidRDefault="00DD1CBD">
            <w:pPr>
              <w:pStyle w:val="Normal1"/>
              <w:widowControl w:val="0"/>
              <w:spacing w:after="0"/>
            </w:pPr>
            <w:r>
              <w:rPr>
                <w:sz w:val="24"/>
                <w:szCs w:val="24"/>
              </w:rPr>
              <w:t>Government Department</w:t>
            </w:r>
          </w:p>
        </w:tc>
        <w:tc>
          <w:tcPr>
            <w:tcW w:w="3255" w:type="dxa"/>
          </w:tcPr>
          <w:p w14:paraId="25744448" w14:textId="77777777" w:rsidR="00C365C7" w:rsidRDefault="00DD1CBD">
            <w:pPr>
              <w:pStyle w:val="Normal1"/>
              <w:widowControl w:val="0"/>
              <w:spacing w:after="0"/>
            </w:pPr>
            <w:r>
              <w:rPr>
                <w:sz w:val="24"/>
                <w:szCs w:val="24"/>
              </w:rPr>
              <w:t>National Offenders Management Service</w:t>
            </w:r>
          </w:p>
        </w:tc>
      </w:tr>
      <w:tr w:rsidR="00C365C7" w14:paraId="41535BA8" w14:textId="77777777">
        <w:tc>
          <w:tcPr>
            <w:tcW w:w="5325" w:type="dxa"/>
          </w:tcPr>
          <w:p w14:paraId="6BEF2C0B" w14:textId="77777777" w:rsidR="00C365C7" w:rsidRDefault="00DD1CBD">
            <w:pPr>
              <w:pStyle w:val="Normal1"/>
              <w:spacing w:after="0"/>
              <w:ind w:right="-280"/>
            </w:pPr>
            <w:r>
              <w:rPr>
                <w:sz w:val="24"/>
                <w:szCs w:val="24"/>
              </w:rPr>
              <w:t>Location of land or property</w:t>
            </w:r>
          </w:p>
        </w:tc>
        <w:tc>
          <w:tcPr>
            <w:tcW w:w="3255" w:type="dxa"/>
          </w:tcPr>
          <w:p w14:paraId="51799B9B" w14:textId="77777777" w:rsidR="00C365C7" w:rsidRDefault="00DD1CBD">
            <w:pPr>
              <w:pStyle w:val="Normal1"/>
              <w:widowControl w:val="0"/>
              <w:spacing w:after="0"/>
            </w:pPr>
            <w:r>
              <w:rPr>
                <w:sz w:val="24"/>
                <w:szCs w:val="24"/>
              </w:rPr>
              <w:t xml:space="preserve">Land at </w:t>
            </w:r>
            <w:proofErr w:type="spellStart"/>
            <w:r>
              <w:rPr>
                <w:sz w:val="24"/>
                <w:szCs w:val="24"/>
              </w:rPr>
              <w:t>Deerbolt</w:t>
            </w:r>
            <w:proofErr w:type="spellEnd"/>
            <w:r>
              <w:rPr>
                <w:sz w:val="24"/>
                <w:szCs w:val="24"/>
              </w:rPr>
              <w:t>, Barnard Castle, County Durham</w:t>
            </w:r>
          </w:p>
        </w:tc>
      </w:tr>
      <w:tr w:rsidR="00C365C7" w14:paraId="78C68710" w14:textId="77777777">
        <w:tc>
          <w:tcPr>
            <w:tcW w:w="5325" w:type="dxa"/>
          </w:tcPr>
          <w:p w14:paraId="35F00769" w14:textId="77777777" w:rsidR="00C365C7" w:rsidRDefault="00DD1CBD">
            <w:pPr>
              <w:pStyle w:val="Normal1"/>
              <w:spacing w:after="0"/>
              <w:ind w:right="-280"/>
            </w:pPr>
            <w:r>
              <w:rPr>
                <w:sz w:val="24"/>
                <w:szCs w:val="24"/>
              </w:rPr>
              <w:t>Size of land area</w:t>
            </w:r>
          </w:p>
        </w:tc>
        <w:tc>
          <w:tcPr>
            <w:tcW w:w="3255" w:type="dxa"/>
          </w:tcPr>
          <w:p w14:paraId="545916A4" w14:textId="77777777" w:rsidR="00C365C7" w:rsidRDefault="00DD1CBD">
            <w:pPr>
              <w:pStyle w:val="Normal1"/>
              <w:widowControl w:val="0"/>
              <w:spacing w:after="0"/>
            </w:pPr>
            <w:r>
              <w:rPr>
                <w:sz w:val="24"/>
                <w:szCs w:val="24"/>
              </w:rPr>
              <w:t>28.76 hectares</w:t>
            </w:r>
          </w:p>
        </w:tc>
      </w:tr>
      <w:tr w:rsidR="00C365C7" w14:paraId="042C6776" w14:textId="77777777">
        <w:tc>
          <w:tcPr>
            <w:tcW w:w="5325" w:type="dxa"/>
          </w:tcPr>
          <w:p w14:paraId="733869D2" w14:textId="167C06C3" w:rsidR="00C365C7" w:rsidRDefault="00DD1CBD" w:rsidP="002E309A">
            <w:pPr>
              <w:pStyle w:val="Normal1"/>
              <w:spacing w:after="0"/>
              <w:ind w:right="-280"/>
            </w:pPr>
            <w:r>
              <w:rPr>
                <w:sz w:val="24"/>
                <w:szCs w:val="24"/>
              </w:rPr>
              <w:t>Type of asset being disposed of (freehold</w:t>
            </w:r>
            <w:r w:rsidR="002E309A">
              <w:rPr>
                <w:sz w:val="24"/>
                <w:szCs w:val="24"/>
              </w:rPr>
              <w:t xml:space="preserve"> or</w:t>
            </w:r>
            <w:r>
              <w:rPr>
                <w:sz w:val="24"/>
                <w:szCs w:val="24"/>
              </w:rPr>
              <w:t xml:space="preserve"> leasehold)</w:t>
            </w:r>
          </w:p>
        </w:tc>
        <w:tc>
          <w:tcPr>
            <w:tcW w:w="3255" w:type="dxa"/>
          </w:tcPr>
          <w:p w14:paraId="5640849D" w14:textId="77777777" w:rsidR="00C365C7" w:rsidRDefault="00DD1CBD">
            <w:pPr>
              <w:pStyle w:val="Normal1"/>
              <w:widowControl w:val="0"/>
              <w:spacing w:after="0"/>
            </w:pPr>
            <w:r>
              <w:rPr>
                <w:sz w:val="24"/>
                <w:szCs w:val="24"/>
              </w:rPr>
              <w:t>No details available</w:t>
            </w:r>
          </w:p>
        </w:tc>
      </w:tr>
      <w:tr w:rsidR="00C365C7" w14:paraId="33E79643" w14:textId="77777777">
        <w:tc>
          <w:tcPr>
            <w:tcW w:w="5325" w:type="dxa"/>
          </w:tcPr>
          <w:p w14:paraId="3689C6FA" w14:textId="77777777" w:rsidR="00C365C7" w:rsidRDefault="00DD1CBD">
            <w:pPr>
              <w:pStyle w:val="Normal1"/>
              <w:spacing w:after="0"/>
              <w:ind w:right="-280"/>
            </w:pPr>
            <w:r>
              <w:rPr>
                <w:sz w:val="24"/>
                <w:szCs w:val="24"/>
              </w:rPr>
              <w:t>Conditional or unconditional contract</w:t>
            </w:r>
          </w:p>
        </w:tc>
        <w:tc>
          <w:tcPr>
            <w:tcW w:w="3255" w:type="dxa"/>
          </w:tcPr>
          <w:p w14:paraId="5EA325A2" w14:textId="77777777" w:rsidR="00C365C7" w:rsidRDefault="00DD1CBD">
            <w:pPr>
              <w:pStyle w:val="Normal1"/>
              <w:widowControl w:val="0"/>
              <w:spacing w:after="0"/>
            </w:pPr>
            <w:r>
              <w:rPr>
                <w:sz w:val="24"/>
                <w:szCs w:val="24"/>
              </w:rPr>
              <w:t>No details available</w:t>
            </w:r>
          </w:p>
        </w:tc>
      </w:tr>
      <w:tr w:rsidR="00C365C7" w14:paraId="6D97786C" w14:textId="77777777">
        <w:tc>
          <w:tcPr>
            <w:tcW w:w="5325" w:type="dxa"/>
          </w:tcPr>
          <w:p w14:paraId="567C5D15" w14:textId="77777777" w:rsidR="00C365C7" w:rsidRDefault="00DD1CBD">
            <w:pPr>
              <w:pStyle w:val="Normal1"/>
              <w:widowControl w:val="0"/>
              <w:spacing w:after="0"/>
            </w:pPr>
            <w:r>
              <w:rPr>
                <w:sz w:val="24"/>
                <w:szCs w:val="24"/>
              </w:rPr>
              <w:t>Date of Sale</w:t>
            </w:r>
          </w:p>
        </w:tc>
        <w:tc>
          <w:tcPr>
            <w:tcW w:w="3255" w:type="dxa"/>
          </w:tcPr>
          <w:p w14:paraId="7C0BD92C" w14:textId="77777777" w:rsidR="00C365C7" w:rsidRDefault="00DD1CBD">
            <w:pPr>
              <w:pStyle w:val="Normal1"/>
              <w:widowControl w:val="0"/>
              <w:spacing w:after="0"/>
            </w:pPr>
            <w:r>
              <w:rPr>
                <w:sz w:val="24"/>
                <w:szCs w:val="24"/>
              </w:rPr>
              <w:t>19/12/2014</w:t>
            </w:r>
          </w:p>
        </w:tc>
      </w:tr>
      <w:tr w:rsidR="00C365C7" w14:paraId="630025B6" w14:textId="77777777">
        <w:tc>
          <w:tcPr>
            <w:tcW w:w="5325" w:type="dxa"/>
          </w:tcPr>
          <w:p w14:paraId="66F3C8C9"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316AA31C" w14:textId="77777777" w:rsidR="00C365C7" w:rsidRDefault="00DD1CBD">
            <w:pPr>
              <w:pStyle w:val="Normal1"/>
              <w:widowControl w:val="0"/>
              <w:spacing w:after="0"/>
            </w:pPr>
            <w:r>
              <w:rPr>
                <w:sz w:val="24"/>
                <w:szCs w:val="24"/>
              </w:rPr>
              <w:t>No details available</w:t>
            </w:r>
          </w:p>
        </w:tc>
      </w:tr>
      <w:tr w:rsidR="00C365C7" w14:paraId="4F736360" w14:textId="77777777">
        <w:tc>
          <w:tcPr>
            <w:tcW w:w="5325" w:type="dxa"/>
          </w:tcPr>
          <w:p w14:paraId="17B3AE55" w14:textId="77777777" w:rsidR="00C365C7" w:rsidRDefault="00DD1CBD">
            <w:pPr>
              <w:pStyle w:val="Normal1"/>
              <w:spacing w:after="0"/>
              <w:ind w:right="-280"/>
            </w:pPr>
            <w:r>
              <w:rPr>
                <w:sz w:val="24"/>
                <w:szCs w:val="24"/>
              </w:rPr>
              <w:t>Capital receipt proceeds from the disposal</w:t>
            </w:r>
          </w:p>
        </w:tc>
        <w:tc>
          <w:tcPr>
            <w:tcW w:w="3255" w:type="dxa"/>
          </w:tcPr>
          <w:p w14:paraId="6333A5FA" w14:textId="77777777" w:rsidR="00C365C7" w:rsidRDefault="00DD1CBD">
            <w:pPr>
              <w:pStyle w:val="Normal1"/>
              <w:widowControl w:val="0"/>
              <w:spacing w:after="0"/>
            </w:pPr>
            <w:r>
              <w:rPr>
                <w:sz w:val="24"/>
                <w:szCs w:val="24"/>
              </w:rPr>
              <w:t>No details available</w:t>
            </w:r>
          </w:p>
        </w:tc>
      </w:tr>
      <w:tr w:rsidR="00C365C7" w14:paraId="45298725" w14:textId="77777777">
        <w:tc>
          <w:tcPr>
            <w:tcW w:w="5325" w:type="dxa"/>
          </w:tcPr>
          <w:p w14:paraId="18B847DF"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70AA025C" w14:textId="77777777" w:rsidR="00C365C7" w:rsidRDefault="00DD1CBD">
            <w:pPr>
              <w:pStyle w:val="Normal1"/>
              <w:widowControl w:val="0"/>
              <w:spacing w:after="0"/>
            </w:pPr>
            <w:r>
              <w:rPr>
                <w:sz w:val="24"/>
                <w:szCs w:val="24"/>
              </w:rPr>
              <w:t>No details available</w:t>
            </w:r>
          </w:p>
        </w:tc>
      </w:tr>
    </w:tbl>
    <w:p w14:paraId="65327CDE" w14:textId="77777777" w:rsidR="00C365C7" w:rsidRDefault="00C365C7">
      <w:pPr>
        <w:pStyle w:val="Normal1"/>
        <w:spacing w:after="0"/>
      </w:pPr>
    </w:p>
    <w:p w14:paraId="5CED361A" w14:textId="77777777" w:rsidR="00C365C7" w:rsidRDefault="00C365C7">
      <w:pPr>
        <w:pStyle w:val="Normal1"/>
        <w:spacing w:after="0"/>
      </w:pPr>
    </w:p>
    <w:p w14:paraId="13415B0A" w14:textId="77777777" w:rsidR="00C365C7" w:rsidRDefault="00C365C7">
      <w:pPr>
        <w:pStyle w:val="Normal1"/>
        <w:spacing w:after="0"/>
      </w:pPr>
    </w:p>
    <w:p w14:paraId="4D4E4F12" w14:textId="77777777" w:rsidR="00C365C7" w:rsidRDefault="00C365C7">
      <w:pPr>
        <w:pStyle w:val="Normal1"/>
        <w:spacing w:after="0"/>
      </w:pPr>
    </w:p>
    <w:p w14:paraId="503C4778" w14:textId="77777777" w:rsidR="00C365C7" w:rsidRDefault="00DD1CBD">
      <w:pPr>
        <w:pStyle w:val="Normal1"/>
        <w:spacing w:after="0"/>
      </w:pPr>
      <w:r>
        <w:rPr>
          <w:b/>
          <w:sz w:val="24"/>
          <w:szCs w:val="24"/>
        </w:rPr>
        <w:t>Case Study 4</w:t>
      </w:r>
      <w:r>
        <w:rPr>
          <w:sz w:val="24"/>
          <w:szCs w:val="24"/>
        </w:rPr>
        <w:t xml:space="preserve"> - Land at Ford Prison, West Sussex</w:t>
      </w:r>
    </w:p>
    <w:p w14:paraId="338EAFF2" w14:textId="77777777" w:rsidR="00C365C7" w:rsidRDefault="00DD1CBD">
      <w:pPr>
        <w:pStyle w:val="Normal1"/>
        <w:spacing w:after="0"/>
      </w:pPr>
      <w:r>
        <w:rPr>
          <w:sz w:val="24"/>
          <w:szCs w:val="24"/>
        </w:rPr>
        <w:t xml:space="preserve"> </w:t>
      </w:r>
    </w:p>
    <w:tbl>
      <w:tblPr>
        <w:tblStyle w:val="a3"/>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5F7EEFBD" w14:textId="77777777">
        <w:tc>
          <w:tcPr>
            <w:tcW w:w="5325" w:type="dxa"/>
          </w:tcPr>
          <w:p w14:paraId="0400993B" w14:textId="77777777" w:rsidR="00C365C7" w:rsidRDefault="00DD1CBD">
            <w:pPr>
              <w:pStyle w:val="Normal1"/>
              <w:widowControl w:val="0"/>
              <w:spacing w:after="0"/>
            </w:pPr>
            <w:r>
              <w:rPr>
                <w:sz w:val="24"/>
                <w:szCs w:val="24"/>
              </w:rPr>
              <w:t>Government Department</w:t>
            </w:r>
          </w:p>
        </w:tc>
        <w:tc>
          <w:tcPr>
            <w:tcW w:w="3255" w:type="dxa"/>
          </w:tcPr>
          <w:p w14:paraId="26031665" w14:textId="77777777" w:rsidR="00C365C7" w:rsidRDefault="00DD1CBD">
            <w:pPr>
              <w:pStyle w:val="Normal1"/>
              <w:widowControl w:val="0"/>
              <w:spacing w:after="0"/>
            </w:pPr>
            <w:r>
              <w:rPr>
                <w:sz w:val="24"/>
                <w:szCs w:val="24"/>
              </w:rPr>
              <w:t>National Offenders Management Service</w:t>
            </w:r>
          </w:p>
        </w:tc>
      </w:tr>
      <w:tr w:rsidR="00C365C7" w14:paraId="6A8D430E" w14:textId="77777777">
        <w:tc>
          <w:tcPr>
            <w:tcW w:w="5325" w:type="dxa"/>
          </w:tcPr>
          <w:p w14:paraId="23C017B4" w14:textId="77777777" w:rsidR="00C365C7" w:rsidRDefault="00DD1CBD">
            <w:pPr>
              <w:pStyle w:val="Normal1"/>
              <w:spacing w:after="0"/>
              <w:ind w:right="-280"/>
            </w:pPr>
            <w:r>
              <w:rPr>
                <w:sz w:val="24"/>
                <w:szCs w:val="24"/>
              </w:rPr>
              <w:t>Location of land or property</w:t>
            </w:r>
          </w:p>
        </w:tc>
        <w:tc>
          <w:tcPr>
            <w:tcW w:w="3255" w:type="dxa"/>
          </w:tcPr>
          <w:p w14:paraId="1B5A1967" w14:textId="77777777" w:rsidR="00C365C7" w:rsidRDefault="00DD1CBD">
            <w:pPr>
              <w:pStyle w:val="Normal1"/>
              <w:widowControl w:val="0"/>
              <w:spacing w:after="0"/>
            </w:pPr>
            <w:r>
              <w:rPr>
                <w:sz w:val="24"/>
                <w:szCs w:val="24"/>
              </w:rPr>
              <w:t>Land at Ford Prison, West Sussex</w:t>
            </w:r>
          </w:p>
        </w:tc>
      </w:tr>
      <w:tr w:rsidR="00C365C7" w14:paraId="77C3E948" w14:textId="77777777">
        <w:tc>
          <w:tcPr>
            <w:tcW w:w="5325" w:type="dxa"/>
          </w:tcPr>
          <w:p w14:paraId="48526A98" w14:textId="77777777" w:rsidR="00C365C7" w:rsidRDefault="00DD1CBD">
            <w:pPr>
              <w:pStyle w:val="Normal1"/>
              <w:spacing w:after="0"/>
              <w:ind w:right="-280"/>
            </w:pPr>
            <w:r>
              <w:rPr>
                <w:sz w:val="24"/>
                <w:szCs w:val="24"/>
              </w:rPr>
              <w:t>Size of land area</w:t>
            </w:r>
          </w:p>
        </w:tc>
        <w:tc>
          <w:tcPr>
            <w:tcW w:w="3255" w:type="dxa"/>
          </w:tcPr>
          <w:p w14:paraId="1CD02263" w14:textId="77777777" w:rsidR="00C365C7" w:rsidRDefault="00DD1CBD">
            <w:pPr>
              <w:pStyle w:val="Normal1"/>
              <w:widowControl w:val="0"/>
              <w:spacing w:after="0"/>
            </w:pPr>
            <w:r>
              <w:rPr>
                <w:sz w:val="24"/>
                <w:szCs w:val="24"/>
              </w:rPr>
              <w:t>34.94 hectares</w:t>
            </w:r>
          </w:p>
        </w:tc>
      </w:tr>
      <w:tr w:rsidR="00C365C7" w14:paraId="7A14649F" w14:textId="77777777">
        <w:tc>
          <w:tcPr>
            <w:tcW w:w="5325" w:type="dxa"/>
          </w:tcPr>
          <w:p w14:paraId="31D96DA3" w14:textId="67778113" w:rsidR="00C365C7" w:rsidRDefault="00DD1CBD" w:rsidP="002E309A">
            <w:pPr>
              <w:pStyle w:val="Normal1"/>
              <w:spacing w:after="0"/>
              <w:ind w:right="-280"/>
            </w:pPr>
            <w:r>
              <w:rPr>
                <w:sz w:val="24"/>
                <w:szCs w:val="24"/>
              </w:rPr>
              <w:t>Type of asset being disposed of (freehold</w:t>
            </w:r>
            <w:r w:rsidR="002E309A">
              <w:rPr>
                <w:sz w:val="24"/>
                <w:szCs w:val="24"/>
              </w:rPr>
              <w:t xml:space="preserve"> or</w:t>
            </w:r>
            <w:r>
              <w:rPr>
                <w:sz w:val="24"/>
                <w:szCs w:val="24"/>
              </w:rPr>
              <w:t xml:space="preserve"> leasehold)</w:t>
            </w:r>
          </w:p>
        </w:tc>
        <w:tc>
          <w:tcPr>
            <w:tcW w:w="3255" w:type="dxa"/>
          </w:tcPr>
          <w:p w14:paraId="7D4FD111" w14:textId="77777777" w:rsidR="00C365C7" w:rsidRDefault="00DD1CBD">
            <w:pPr>
              <w:pStyle w:val="Normal1"/>
              <w:widowControl w:val="0"/>
              <w:spacing w:after="0"/>
            </w:pPr>
            <w:r>
              <w:rPr>
                <w:sz w:val="24"/>
                <w:szCs w:val="24"/>
              </w:rPr>
              <w:t>Freehold</w:t>
            </w:r>
          </w:p>
        </w:tc>
      </w:tr>
      <w:tr w:rsidR="00C365C7" w14:paraId="19574E0F" w14:textId="77777777">
        <w:tc>
          <w:tcPr>
            <w:tcW w:w="5325" w:type="dxa"/>
          </w:tcPr>
          <w:p w14:paraId="7B6513E1" w14:textId="77777777" w:rsidR="00C365C7" w:rsidRDefault="00DD1CBD">
            <w:pPr>
              <w:pStyle w:val="Normal1"/>
              <w:spacing w:after="0"/>
              <w:ind w:right="-280"/>
            </w:pPr>
            <w:r>
              <w:rPr>
                <w:sz w:val="24"/>
                <w:szCs w:val="24"/>
              </w:rPr>
              <w:t>Conditional or unconditional contract</w:t>
            </w:r>
          </w:p>
        </w:tc>
        <w:tc>
          <w:tcPr>
            <w:tcW w:w="3255" w:type="dxa"/>
          </w:tcPr>
          <w:p w14:paraId="6FB8A322" w14:textId="77777777" w:rsidR="00C365C7" w:rsidRDefault="00DD1CBD">
            <w:pPr>
              <w:pStyle w:val="Normal1"/>
              <w:widowControl w:val="0"/>
              <w:spacing w:after="0"/>
            </w:pPr>
            <w:r>
              <w:rPr>
                <w:sz w:val="24"/>
                <w:szCs w:val="24"/>
              </w:rPr>
              <w:t>No details available</w:t>
            </w:r>
          </w:p>
        </w:tc>
      </w:tr>
      <w:tr w:rsidR="00C365C7" w14:paraId="7162DF35" w14:textId="77777777">
        <w:tc>
          <w:tcPr>
            <w:tcW w:w="5325" w:type="dxa"/>
          </w:tcPr>
          <w:p w14:paraId="455A4EEB" w14:textId="77777777" w:rsidR="00C365C7" w:rsidRDefault="00DD1CBD">
            <w:pPr>
              <w:pStyle w:val="Normal1"/>
              <w:widowControl w:val="0"/>
              <w:spacing w:after="0"/>
            </w:pPr>
            <w:r>
              <w:rPr>
                <w:sz w:val="24"/>
                <w:szCs w:val="24"/>
              </w:rPr>
              <w:t>Date of Sale</w:t>
            </w:r>
          </w:p>
        </w:tc>
        <w:tc>
          <w:tcPr>
            <w:tcW w:w="3255" w:type="dxa"/>
          </w:tcPr>
          <w:p w14:paraId="3492736D" w14:textId="77777777" w:rsidR="00C365C7" w:rsidRDefault="00DD1CBD">
            <w:pPr>
              <w:pStyle w:val="Normal1"/>
              <w:widowControl w:val="0"/>
              <w:spacing w:after="0"/>
            </w:pPr>
            <w:r>
              <w:rPr>
                <w:sz w:val="24"/>
                <w:szCs w:val="24"/>
              </w:rPr>
              <w:t>21/08/2014</w:t>
            </w:r>
          </w:p>
        </w:tc>
      </w:tr>
      <w:tr w:rsidR="00C365C7" w14:paraId="3D8A6D01" w14:textId="77777777">
        <w:tc>
          <w:tcPr>
            <w:tcW w:w="5325" w:type="dxa"/>
          </w:tcPr>
          <w:p w14:paraId="7919E072"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70C480B4" w14:textId="77777777" w:rsidR="00C365C7" w:rsidRDefault="00DD1CBD">
            <w:pPr>
              <w:pStyle w:val="Normal1"/>
              <w:widowControl w:val="0"/>
              <w:spacing w:after="0"/>
            </w:pPr>
            <w:r>
              <w:rPr>
                <w:sz w:val="24"/>
                <w:szCs w:val="24"/>
              </w:rPr>
              <w:t xml:space="preserve">No details available </w:t>
            </w:r>
          </w:p>
        </w:tc>
      </w:tr>
      <w:tr w:rsidR="00C365C7" w14:paraId="555A2365" w14:textId="77777777">
        <w:tc>
          <w:tcPr>
            <w:tcW w:w="5325" w:type="dxa"/>
          </w:tcPr>
          <w:p w14:paraId="0284A3B2" w14:textId="77777777" w:rsidR="00C365C7" w:rsidRDefault="00DD1CBD">
            <w:pPr>
              <w:pStyle w:val="Normal1"/>
              <w:spacing w:after="0"/>
              <w:ind w:right="-280"/>
            </w:pPr>
            <w:r>
              <w:rPr>
                <w:sz w:val="24"/>
                <w:szCs w:val="24"/>
              </w:rPr>
              <w:t>Capital receipt proceeds from the disposal</w:t>
            </w:r>
          </w:p>
        </w:tc>
        <w:tc>
          <w:tcPr>
            <w:tcW w:w="3255" w:type="dxa"/>
          </w:tcPr>
          <w:p w14:paraId="35889F75" w14:textId="77777777" w:rsidR="00C365C7" w:rsidRDefault="00DD1CBD">
            <w:pPr>
              <w:pStyle w:val="Normal1"/>
              <w:widowControl w:val="0"/>
              <w:spacing w:after="0"/>
            </w:pPr>
            <w:r>
              <w:rPr>
                <w:sz w:val="24"/>
                <w:szCs w:val="24"/>
              </w:rPr>
              <w:t>No details available</w:t>
            </w:r>
          </w:p>
        </w:tc>
      </w:tr>
      <w:tr w:rsidR="00C365C7" w14:paraId="3E558DA1" w14:textId="77777777">
        <w:tc>
          <w:tcPr>
            <w:tcW w:w="5325" w:type="dxa"/>
          </w:tcPr>
          <w:p w14:paraId="7E0CCD01"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4C218E1B" w14:textId="77777777" w:rsidR="00C365C7" w:rsidRDefault="00DD1CBD">
            <w:pPr>
              <w:pStyle w:val="Normal1"/>
              <w:widowControl w:val="0"/>
              <w:spacing w:after="0"/>
            </w:pPr>
            <w:r>
              <w:rPr>
                <w:sz w:val="24"/>
                <w:szCs w:val="24"/>
              </w:rPr>
              <w:t>No details available</w:t>
            </w:r>
          </w:p>
        </w:tc>
      </w:tr>
    </w:tbl>
    <w:p w14:paraId="732741EF" w14:textId="77777777" w:rsidR="00C365C7" w:rsidRDefault="00DD1CBD">
      <w:pPr>
        <w:pStyle w:val="Normal1"/>
        <w:spacing w:after="0"/>
      </w:pPr>
      <w:r>
        <w:rPr>
          <w:sz w:val="24"/>
          <w:szCs w:val="24"/>
        </w:rPr>
        <w:t xml:space="preserve"> </w:t>
      </w:r>
    </w:p>
    <w:p w14:paraId="441975F8" w14:textId="77777777" w:rsidR="00C365C7" w:rsidRDefault="00DD1CBD">
      <w:pPr>
        <w:pStyle w:val="Normal1"/>
      </w:pPr>
      <w:r>
        <w:br w:type="page"/>
      </w:r>
    </w:p>
    <w:p w14:paraId="1FCF8695" w14:textId="77777777" w:rsidR="00C365C7" w:rsidRDefault="00C365C7">
      <w:pPr>
        <w:pStyle w:val="Normal1"/>
        <w:spacing w:after="0"/>
      </w:pPr>
    </w:p>
    <w:p w14:paraId="776AD3A6" w14:textId="77777777" w:rsidR="00C365C7" w:rsidRDefault="00DD1CBD">
      <w:pPr>
        <w:pStyle w:val="Normal1"/>
        <w:spacing w:after="0"/>
      </w:pPr>
      <w:r>
        <w:rPr>
          <w:b/>
          <w:sz w:val="24"/>
          <w:szCs w:val="24"/>
        </w:rPr>
        <w:t>Case Study 5</w:t>
      </w:r>
      <w:r>
        <w:rPr>
          <w:sz w:val="24"/>
          <w:szCs w:val="24"/>
        </w:rPr>
        <w:t xml:space="preserve"> - Quantock House, Paul Street, Taunton TA1 3PF</w:t>
      </w:r>
    </w:p>
    <w:p w14:paraId="5846791F" w14:textId="77777777" w:rsidR="00C365C7" w:rsidRDefault="00DD1CBD">
      <w:pPr>
        <w:pStyle w:val="Normal1"/>
        <w:spacing w:after="0"/>
      </w:pPr>
      <w:r>
        <w:rPr>
          <w:sz w:val="24"/>
          <w:szCs w:val="24"/>
        </w:rPr>
        <w:t xml:space="preserve"> </w:t>
      </w:r>
    </w:p>
    <w:tbl>
      <w:tblPr>
        <w:tblStyle w:val="a4"/>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669BB419" w14:textId="77777777">
        <w:tc>
          <w:tcPr>
            <w:tcW w:w="5325" w:type="dxa"/>
          </w:tcPr>
          <w:p w14:paraId="22A170CE" w14:textId="77777777" w:rsidR="00C365C7" w:rsidRDefault="00DD1CBD">
            <w:pPr>
              <w:pStyle w:val="Normal1"/>
              <w:widowControl w:val="0"/>
              <w:spacing w:after="0"/>
            </w:pPr>
            <w:r>
              <w:rPr>
                <w:sz w:val="24"/>
                <w:szCs w:val="24"/>
              </w:rPr>
              <w:t>Government Department</w:t>
            </w:r>
          </w:p>
        </w:tc>
        <w:tc>
          <w:tcPr>
            <w:tcW w:w="3255" w:type="dxa"/>
          </w:tcPr>
          <w:p w14:paraId="267160CF" w14:textId="77777777" w:rsidR="00C365C7" w:rsidRDefault="00DD1CBD">
            <w:pPr>
              <w:pStyle w:val="Normal1"/>
              <w:widowControl w:val="0"/>
              <w:spacing w:after="0"/>
            </w:pPr>
            <w:r>
              <w:rPr>
                <w:sz w:val="24"/>
                <w:szCs w:val="24"/>
              </w:rPr>
              <w:t>Department for Environment Food &amp; Rural Affairs</w:t>
            </w:r>
          </w:p>
        </w:tc>
      </w:tr>
      <w:tr w:rsidR="00C365C7" w14:paraId="10300945" w14:textId="77777777">
        <w:tc>
          <w:tcPr>
            <w:tcW w:w="5325" w:type="dxa"/>
          </w:tcPr>
          <w:p w14:paraId="7E59072F" w14:textId="77777777" w:rsidR="00C365C7" w:rsidRDefault="00DD1CBD">
            <w:pPr>
              <w:pStyle w:val="Normal1"/>
              <w:spacing w:after="0"/>
              <w:ind w:right="-280"/>
            </w:pPr>
            <w:r>
              <w:rPr>
                <w:sz w:val="24"/>
                <w:szCs w:val="24"/>
              </w:rPr>
              <w:t>Location of land or property</w:t>
            </w:r>
          </w:p>
        </w:tc>
        <w:tc>
          <w:tcPr>
            <w:tcW w:w="3255" w:type="dxa"/>
          </w:tcPr>
          <w:p w14:paraId="387589B0" w14:textId="77777777" w:rsidR="00C365C7" w:rsidRDefault="00DD1CBD">
            <w:pPr>
              <w:pStyle w:val="Normal1"/>
              <w:widowControl w:val="0"/>
              <w:spacing w:after="0"/>
            </w:pPr>
            <w:r>
              <w:rPr>
                <w:sz w:val="24"/>
                <w:szCs w:val="24"/>
              </w:rPr>
              <w:t>Quantock House, Paul Street, Taunton</w:t>
            </w:r>
          </w:p>
        </w:tc>
      </w:tr>
      <w:tr w:rsidR="00C365C7" w14:paraId="45E989E0" w14:textId="77777777">
        <w:tc>
          <w:tcPr>
            <w:tcW w:w="5325" w:type="dxa"/>
          </w:tcPr>
          <w:p w14:paraId="1DE057DD" w14:textId="77777777" w:rsidR="00C365C7" w:rsidRDefault="00DD1CBD">
            <w:pPr>
              <w:pStyle w:val="Normal1"/>
              <w:spacing w:after="0"/>
              <w:ind w:right="-280"/>
            </w:pPr>
            <w:r>
              <w:rPr>
                <w:sz w:val="24"/>
                <w:szCs w:val="24"/>
              </w:rPr>
              <w:t>Size of land area</w:t>
            </w:r>
          </w:p>
        </w:tc>
        <w:tc>
          <w:tcPr>
            <w:tcW w:w="3255" w:type="dxa"/>
          </w:tcPr>
          <w:p w14:paraId="42976AD0" w14:textId="77777777" w:rsidR="00C365C7" w:rsidRDefault="00DD1CBD">
            <w:pPr>
              <w:pStyle w:val="Normal1"/>
              <w:widowControl w:val="0"/>
              <w:spacing w:after="0"/>
            </w:pPr>
            <w:r>
              <w:rPr>
                <w:sz w:val="24"/>
                <w:szCs w:val="24"/>
              </w:rPr>
              <w:t>0.39 hectares</w:t>
            </w:r>
          </w:p>
        </w:tc>
      </w:tr>
      <w:tr w:rsidR="00C365C7" w14:paraId="4C920DF7" w14:textId="77777777">
        <w:tc>
          <w:tcPr>
            <w:tcW w:w="5325" w:type="dxa"/>
          </w:tcPr>
          <w:p w14:paraId="2B5B27D3" w14:textId="77777777" w:rsidR="00C365C7" w:rsidRDefault="00DD1CBD">
            <w:pPr>
              <w:pStyle w:val="Normal1"/>
              <w:spacing w:after="0"/>
              <w:ind w:right="-280"/>
            </w:pPr>
            <w:r>
              <w:rPr>
                <w:sz w:val="24"/>
                <w:szCs w:val="24"/>
              </w:rPr>
              <w:t xml:space="preserve">Type of asset being disposed of </w:t>
            </w:r>
          </w:p>
          <w:p w14:paraId="63138E23" w14:textId="7CB022CB" w:rsidR="00C365C7" w:rsidRDefault="00DD1CBD" w:rsidP="002E309A">
            <w:pPr>
              <w:pStyle w:val="Normal1"/>
              <w:spacing w:after="0"/>
              <w:ind w:right="-280"/>
            </w:pPr>
            <w:r>
              <w:rPr>
                <w:sz w:val="24"/>
                <w:szCs w:val="24"/>
              </w:rPr>
              <w:t>(</w:t>
            </w:r>
            <w:proofErr w:type="gramStart"/>
            <w:r>
              <w:rPr>
                <w:sz w:val="24"/>
                <w:szCs w:val="24"/>
              </w:rPr>
              <w:t>freehold</w:t>
            </w:r>
            <w:proofErr w:type="gramEnd"/>
            <w:r w:rsidR="002E309A">
              <w:rPr>
                <w:sz w:val="24"/>
                <w:szCs w:val="24"/>
              </w:rPr>
              <w:t xml:space="preserve"> or</w:t>
            </w:r>
            <w:r>
              <w:rPr>
                <w:sz w:val="24"/>
                <w:szCs w:val="24"/>
              </w:rPr>
              <w:t xml:space="preserve"> leasehold)</w:t>
            </w:r>
          </w:p>
        </w:tc>
        <w:tc>
          <w:tcPr>
            <w:tcW w:w="3255" w:type="dxa"/>
          </w:tcPr>
          <w:p w14:paraId="0040AF4F" w14:textId="77777777" w:rsidR="00C365C7" w:rsidRDefault="00DD1CBD">
            <w:pPr>
              <w:pStyle w:val="Normal1"/>
              <w:widowControl w:val="0"/>
              <w:spacing w:after="0"/>
            </w:pPr>
            <w:r>
              <w:rPr>
                <w:sz w:val="24"/>
                <w:szCs w:val="24"/>
              </w:rPr>
              <w:t>Freehold</w:t>
            </w:r>
          </w:p>
        </w:tc>
      </w:tr>
      <w:tr w:rsidR="00C365C7" w14:paraId="088E437E" w14:textId="77777777">
        <w:tc>
          <w:tcPr>
            <w:tcW w:w="5325" w:type="dxa"/>
          </w:tcPr>
          <w:p w14:paraId="1A2E9347" w14:textId="77777777" w:rsidR="00C365C7" w:rsidRDefault="00DD1CBD">
            <w:pPr>
              <w:pStyle w:val="Normal1"/>
              <w:spacing w:after="0"/>
              <w:ind w:right="-280"/>
            </w:pPr>
            <w:r>
              <w:rPr>
                <w:sz w:val="24"/>
                <w:szCs w:val="24"/>
              </w:rPr>
              <w:t>Conditional or unconditional contract</w:t>
            </w:r>
          </w:p>
        </w:tc>
        <w:tc>
          <w:tcPr>
            <w:tcW w:w="3255" w:type="dxa"/>
          </w:tcPr>
          <w:p w14:paraId="07D4C4CB" w14:textId="77777777" w:rsidR="00C365C7" w:rsidRDefault="00DD1CBD">
            <w:pPr>
              <w:pStyle w:val="Normal1"/>
              <w:widowControl w:val="0"/>
              <w:spacing w:after="0"/>
            </w:pPr>
            <w:r>
              <w:rPr>
                <w:sz w:val="24"/>
                <w:szCs w:val="24"/>
              </w:rPr>
              <w:t>No details available</w:t>
            </w:r>
          </w:p>
        </w:tc>
      </w:tr>
      <w:tr w:rsidR="00C365C7" w14:paraId="415A9922" w14:textId="77777777">
        <w:tc>
          <w:tcPr>
            <w:tcW w:w="5325" w:type="dxa"/>
          </w:tcPr>
          <w:p w14:paraId="54BFDE89" w14:textId="77777777" w:rsidR="00C365C7" w:rsidRDefault="00DD1CBD">
            <w:pPr>
              <w:pStyle w:val="Normal1"/>
              <w:widowControl w:val="0"/>
              <w:spacing w:after="0"/>
            </w:pPr>
            <w:r>
              <w:rPr>
                <w:sz w:val="24"/>
                <w:szCs w:val="24"/>
              </w:rPr>
              <w:t>Date of Sale</w:t>
            </w:r>
          </w:p>
        </w:tc>
        <w:tc>
          <w:tcPr>
            <w:tcW w:w="3255" w:type="dxa"/>
          </w:tcPr>
          <w:p w14:paraId="5FC91C96" w14:textId="77777777" w:rsidR="00C365C7" w:rsidRDefault="00DD1CBD">
            <w:pPr>
              <w:pStyle w:val="Normal1"/>
              <w:widowControl w:val="0"/>
              <w:spacing w:after="0"/>
            </w:pPr>
            <w:r>
              <w:rPr>
                <w:sz w:val="24"/>
                <w:szCs w:val="24"/>
              </w:rPr>
              <w:t>24/07/2015</w:t>
            </w:r>
          </w:p>
        </w:tc>
      </w:tr>
      <w:tr w:rsidR="00C365C7" w14:paraId="56EED860" w14:textId="77777777">
        <w:tc>
          <w:tcPr>
            <w:tcW w:w="5325" w:type="dxa"/>
          </w:tcPr>
          <w:p w14:paraId="4BB183BE"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7417FA6B" w14:textId="77777777" w:rsidR="00C365C7" w:rsidRDefault="00DD1CBD">
            <w:pPr>
              <w:pStyle w:val="Normal1"/>
              <w:widowControl w:val="0"/>
              <w:spacing w:after="0"/>
            </w:pPr>
            <w:r>
              <w:rPr>
                <w:sz w:val="24"/>
                <w:szCs w:val="24"/>
              </w:rPr>
              <w:t xml:space="preserve">No details available </w:t>
            </w:r>
          </w:p>
        </w:tc>
      </w:tr>
      <w:tr w:rsidR="00C365C7" w14:paraId="10327D91" w14:textId="77777777">
        <w:tc>
          <w:tcPr>
            <w:tcW w:w="5325" w:type="dxa"/>
          </w:tcPr>
          <w:p w14:paraId="23EFBE4F" w14:textId="77777777" w:rsidR="00C365C7" w:rsidRDefault="00DD1CBD">
            <w:pPr>
              <w:pStyle w:val="Normal1"/>
              <w:spacing w:after="0"/>
              <w:ind w:right="-280"/>
            </w:pPr>
            <w:r>
              <w:rPr>
                <w:sz w:val="24"/>
                <w:szCs w:val="24"/>
              </w:rPr>
              <w:t>Capital receipt proceeds from the disposal</w:t>
            </w:r>
          </w:p>
        </w:tc>
        <w:tc>
          <w:tcPr>
            <w:tcW w:w="3255" w:type="dxa"/>
          </w:tcPr>
          <w:p w14:paraId="3F649199" w14:textId="77777777" w:rsidR="00C365C7" w:rsidRDefault="00DD1CBD">
            <w:pPr>
              <w:pStyle w:val="Normal1"/>
              <w:widowControl w:val="0"/>
              <w:spacing w:after="0"/>
            </w:pPr>
            <w:r>
              <w:rPr>
                <w:sz w:val="24"/>
                <w:szCs w:val="24"/>
              </w:rPr>
              <w:t>£997,000</w:t>
            </w:r>
          </w:p>
        </w:tc>
      </w:tr>
      <w:tr w:rsidR="00C365C7" w14:paraId="29801A86" w14:textId="77777777">
        <w:tc>
          <w:tcPr>
            <w:tcW w:w="5325" w:type="dxa"/>
          </w:tcPr>
          <w:p w14:paraId="7C07D520"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53882855" w14:textId="77777777" w:rsidR="00C365C7" w:rsidRDefault="00DD1CBD">
            <w:pPr>
              <w:pStyle w:val="Normal1"/>
              <w:widowControl w:val="0"/>
              <w:spacing w:after="0"/>
            </w:pPr>
            <w:r>
              <w:rPr>
                <w:sz w:val="24"/>
                <w:szCs w:val="24"/>
              </w:rPr>
              <w:t xml:space="preserve">No details available </w:t>
            </w:r>
          </w:p>
        </w:tc>
      </w:tr>
    </w:tbl>
    <w:p w14:paraId="328651C2" w14:textId="77777777" w:rsidR="00C365C7" w:rsidRDefault="00C365C7">
      <w:pPr>
        <w:pStyle w:val="Normal1"/>
        <w:spacing w:after="0"/>
      </w:pPr>
    </w:p>
    <w:p w14:paraId="65FB5977" w14:textId="77777777" w:rsidR="00C365C7" w:rsidRDefault="00C365C7">
      <w:pPr>
        <w:pStyle w:val="Normal1"/>
        <w:spacing w:after="0"/>
      </w:pPr>
    </w:p>
    <w:p w14:paraId="76A409D6" w14:textId="77777777" w:rsidR="00C365C7" w:rsidRDefault="00C365C7">
      <w:pPr>
        <w:pStyle w:val="Normal1"/>
        <w:spacing w:after="0"/>
      </w:pPr>
    </w:p>
    <w:p w14:paraId="0E1A4E42" w14:textId="77777777" w:rsidR="00C365C7" w:rsidRDefault="00C365C7">
      <w:pPr>
        <w:pStyle w:val="Normal1"/>
        <w:spacing w:after="0"/>
      </w:pPr>
    </w:p>
    <w:p w14:paraId="2238E2AA" w14:textId="77777777" w:rsidR="00C365C7" w:rsidRDefault="00DD1CBD">
      <w:pPr>
        <w:pStyle w:val="Normal1"/>
        <w:spacing w:after="0"/>
      </w:pPr>
      <w:r>
        <w:rPr>
          <w:b/>
          <w:sz w:val="24"/>
          <w:szCs w:val="24"/>
        </w:rPr>
        <w:t>Case Study 6</w:t>
      </w:r>
      <w:r>
        <w:rPr>
          <w:sz w:val="24"/>
          <w:szCs w:val="24"/>
        </w:rPr>
        <w:t xml:space="preserve"> - Government Buildings, Whittington Road, Worcester WR5 2LQ</w:t>
      </w:r>
    </w:p>
    <w:p w14:paraId="7B5C5F6F" w14:textId="77777777" w:rsidR="00C365C7" w:rsidRDefault="00C365C7">
      <w:pPr>
        <w:pStyle w:val="Normal1"/>
        <w:spacing w:after="0"/>
      </w:pPr>
    </w:p>
    <w:tbl>
      <w:tblPr>
        <w:tblStyle w:val="a5"/>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06619124" w14:textId="77777777">
        <w:tc>
          <w:tcPr>
            <w:tcW w:w="5325" w:type="dxa"/>
          </w:tcPr>
          <w:p w14:paraId="21C610B3" w14:textId="77777777" w:rsidR="00C365C7" w:rsidRDefault="00DD1CBD">
            <w:pPr>
              <w:pStyle w:val="Normal1"/>
              <w:widowControl w:val="0"/>
              <w:spacing w:after="0"/>
            </w:pPr>
            <w:r>
              <w:rPr>
                <w:sz w:val="24"/>
                <w:szCs w:val="24"/>
              </w:rPr>
              <w:t>Government Department</w:t>
            </w:r>
          </w:p>
        </w:tc>
        <w:tc>
          <w:tcPr>
            <w:tcW w:w="3255" w:type="dxa"/>
          </w:tcPr>
          <w:p w14:paraId="467B61BE" w14:textId="77777777" w:rsidR="00C365C7" w:rsidRDefault="00DD1CBD">
            <w:pPr>
              <w:pStyle w:val="Normal1"/>
              <w:widowControl w:val="0"/>
              <w:spacing w:after="0"/>
            </w:pPr>
            <w:r>
              <w:rPr>
                <w:sz w:val="24"/>
                <w:szCs w:val="24"/>
              </w:rPr>
              <w:t>Department for Environment Food &amp; Rural Affairs</w:t>
            </w:r>
          </w:p>
        </w:tc>
      </w:tr>
      <w:tr w:rsidR="00C365C7" w14:paraId="55B2065D" w14:textId="77777777">
        <w:tc>
          <w:tcPr>
            <w:tcW w:w="5325" w:type="dxa"/>
          </w:tcPr>
          <w:p w14:paraId="6809C0C2" w14:textId="77777777" w:rsidR="00C365C7" w:rsidRDefault="00DD1CBD">
            <w:pPr>
              <w:pStyle w:val="Normal1"/>
              <w:spacing w:after="0"/>
              <w:ind w:right="-280"/>
            </w:pPr>
            <w:r>
              <w:rPr>
                <w:sz w:val="24"/>
                <w:szCs w:val="24"/>
              </w:rPr>
              <w:t>Location of land or property</w:t>
            </w:r>
          </w:p>
        </w:tc>
        <w:tc>
          <w:tcPr>
            <w:tcW w:w="3255" w:type="dxa"/>
          </w:tcPr>
          <w:p w14:paraId="5934B289" w14:textId="77777777" w:rsidR="00C365C7" w:rsidRDefault="00DD1CBD">
            <w:pPr>
              <w:pStyle w:val="Normal1"/>
              <w:widowControl w:val="0"/>
              <w:spacing w:after="0"/>
            </w:pPr>
            <w:r>
              <w:rPr>
                <w:sz w:val="24"/>
                <w:szCs w:val="24"/>
              </w:rPr>
              <w:t>Government Buildings, Whittington Road, Worcester</w:t>
            </w:r>
          </w:p>
        </w:tc>
      </w:tr>
      <w:tr w:rsidR="00C365C7" w14:paraId="166F6775" w14:textId="77777777">
        <w:tc>
          <w:tcPr>
            <w:tcW w:w="5325" w:type="dxa"/>
          </w:tcPr>
          <w:p w14:paraId="29AAFA66" w14:textId="77777777" w:rsidR="00C365C7" w:rsidRDefault="00DD1CBD">
            <w:pPr>
              <w:pStyle w:val="Normal1"/>
              <w:spacing w:after="0"/>
              <w:ind w:right="-280"/>
            </w:pPr>
            <w:r>
              <w:rPr>
                <w:sz w:val="24"/>
                <w:szCs w:val="24"/>
              </w:rPr>
              <w:t>Size of land area</w:t>
            </w:r>
          </w:p>
        </w:tc>
        <w:tc>
          <w:tcPr>
            <w:tcW w:w="3255" w:type="dxa"/>
          </w:tcPr>
          <w:p w14:paraId="1F54E204" w14:textId="77777777" w:rsidR="00C365C7" w:rsidRDefault="00DD1CBD">
            <w:pPr>
              <w:pStyle w:val="Normal1"/>
              <w:widowControl w:val="0"/>
              <w:spacing w:after="0"/>
            </w:pPr>
            <w:r>
              <w:rPr>
                <w:sz w:val="24"/>
                <w:szCs w:val="24"/>
              </w:rPr>
              <w:t>7.54 hectares</w:t>
            </w:r>
          </w:p>
        </w:tc>
      </w:tr>
      <w:tr w:rsidR="00C365C7" w14:paraId="16D6FC97" w14:textId="77777777">
        <w:tc>
          <w:tcPr>
            <w:tcW w:w="5325" w:type="dxa"/>
          </w:tcPr>
          <w:p w14:paraId="4AE0A93A" w14:textId="3738644E" w:rsidR="00C365C7" w:rsidRDefault="00DD1CBD" w:rsidP="00344B69">
            <w:pPr>
              <w:pStyle w:val="Normal1"/>
              <w:spacing w:after="0"/>
              <w:ind w:right="-280"/>
            </w:pPr>
            <w:r>
              <w:rPr>
                <w:sz w:val="24"/>
                <w:szCs w:val="24"/>
              </w:rPr>
              <w:t>Type of asset being disposed of (freehold</w:t>
            </w:r>
            <w:r w:rsidR="002E309A">
              <w:rPr>
                <w:sz w:val="24"/>
                <w:szCs w:val="24"/>
              </w:rPr>
              <w:t xml:space="preserve"> or</w:t>
            </w:r>
            <w:r>
              <w:rPr>
                <w:sz w:val="24"/>
                <w:szCs w:val="24"/>
              </w:rPr>
              <w:t xml:space="preserve"> leasehold)</w:t>
            </w:r>
          </w:p>
        </w:tc>
        <w:tc>
          <w:tcPr>
            <w:tcW w:w="3255" w:type="dxa"/>
          </w:tcPr>
          <w:p w14:paraId="27C8F8FA" w14:textId="77777777" w:rsidR="00C365C7" w:rsidRDefault="00DD1CBD">
            <w:pPr>
              <w:pStyle w:val="Normal1"/>
              <w:widowControl w:val="0"/>
              <w:spacing w:after="0"/>
            </w:pPr>
            <w:r>
              <w:rPr>
                <w:sz w:val="24"/>
                <w:szCs w:val="24"/>
              </w:rPr>
              <w:t>Freehold</w:t>
            </w:r>
          </w:p>
          <w:p w14:paraId="64045FAB" w14:textId="77777777" w:rsidR="00C365C7" w:rsidRDefault="00C365C7">
            <w:pPr>
              <w:pStyle w:val="Normal1"/>
              <w:widowControl w:val="0"/>
              <w:spacing w:after="0"/>
            </w:pPr>
          </w:p>
        </w:tc>
      </w:tr>
      <w:tr w:rsidR="00C365C7" w14:paraId="3444CB64" w14:textId="77777777">
        <w:tc>
          <w:tcPr>
            <w:tcW w:w="5325" w:type="dxa"/>
          </w:tcPr>
          <w:p w14:paraId="50A4DBAF" w14:textId="77777777" w:rsidR="00C365C7" w:rsidRDefault="00DD1CBD">
            <w:pPr>
              <w:pStyle w:val="Normal1"/>
              <w:spacing w:after="0"/>
              <w:ind w:right="-280"/>
            </w:pPr>
            <w:r>
              <w:rPr>
                <w:sz w:val="24"/>
                <w:szCs w:val="24"/>
              </w:rPr>
              <w:t>Conditional or unconditional contract</w:t>
            </w:r>
          </w:p>
        </w:tc>
        <w:tc>
          <w:tcPr>
            <w:tcW w:w="3255" w:type="dxa"/>
          </w:tcPr>
          <w:p w14:paraId="5F8CB691" w14:textId="77777777" w:rsidR="00C365C7" w:rsidRDefault="00DD1CBD">
            <w:pPr>
              <w:pStyle w:val="Normal1"/>
              <w:widowControl w:val="0"/>
              <w:spacing w:after="0"/>
            </w:pPr>
            <w:r>
              <w:rPr>
                <w:sz w:val="24"/>
                <w:szCs w:val="24"/>
              </w:rPr>
              <w:t>No details available</w:t>
            </w:r>
          </w:p>
        </w:tc>
      </w:tr>
      <w:tr w:rsidR="00C365C7" w14:paraId="20BFDB80" w14:textId="77777777">
        <w:tc>
          <w:tcPr>
            <w:tcW w:w="5325" w:type="dxa"/>
          </w:tcPr>
          <w:p w14:paraId="4E3B98B0" w14:textId="77777777" w:rsidR="00C365C7" w:rsidRDefault="00DD1CBD">
            <w:pPr>
              <w:pStyle w:val="Normal1"/>
              <w:widowControl w:val="0"/>
              <w:spacing w:after="0"/>
            </w:pPr>
            <w:r>
              <w:rPr>
                <w:sz w:val="24"/>
                <w:szCs w:val="24"/>
              </w:rPr>
              <w:t>Date of Sale</w:t>
            </w:r>
          </w:p>
        </w:tc>
        <w:tc>
          <w:tcPr>
            <w:tcW w:w="3255" w:type="dxa"/>
          </w:tcPr>
          <w:p w14:paraId="5F5D7E37" w14:textId="77777777" w:rsidR="00C365C7" w:rsidRDefault="00DD1CBD">
            <w:pPr>
              <w:pStyle w:val="Normal1"/>
              <w:widowControl w:val="0"/>
              <w:spacing w:after="0"/>
            </w:pPr>
            <w:r>
              <w:rPr>
                <w:sz w:val="24"/>
                <w:szCs w:val="24"/>
              </w:rPr>
              <w:t>22/03/2016</w:t>
            </w:r>
          </w:p>
        </w:tc>
      </w:tr>
      <w:tr w:rsidR="00C365C7" w14:paraId="2510EA91" w14:textId="77777777">
        <w:tc>
          <w:tcPr>
            <w:tcW w:w="5325" w:type="dxa"/>
          </w:tcPr>
          <w:p w14:paraId="7B5476F7"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7264EE25" w14:textId="77777777" w:rsidR="00C365C7" w:rsidRDefault="00DD1CBD">
            <w:pPr>
              <w:pStyle w:val="Normal1"/>
              <w:widowControl w:val="0"/>
              <w:spacing w:after="0"/>
            </w:pPr>
            <w:r>
              <w:rPr>
                <w:sz w:val="24"/>
                <w:szCs w:val="24"/>
              </w:rPr>
              <w:t xml:space="preserve">No details available </w:t>
            </w:r>
          </w:p>
        </w:tc>
      </w:tr>
      <w:tr w:rsidR="00C365C7" w14:paraId="66401742" w14:textId="77777777">
        <w:tc>
          <w:tcPr>
            <w:tcW w:w="5325" w:type="dxa"/>
          </w:tcPr>
          <w:p w14:paraId="15039086" w14:textId="77777777" w:rsidR="00C365C7" w:rsidRDefault="00DD1CBD">
            <w:pPr>
              <w:pStyle w:val="Normal1"/>
              <w:spacing w:after="0"/>
              <w:ind w:right="-280"/>
            </w:pPr>
            <w:r>
              <w:rPr>
                <w:sz w:val="24"/>
                <w:szCs w:val="24"/>
              </w:rPr>
              <w:t>Capital receipt proceeds from the disposal</w:t>
            </w:r>
          </w:p>
        </w:tc>
        <w:tc>
          <w:tcPr>
            <w:tcW w:w="3255" w:type="dxa"/>
          </w:tcPr>
          <w:p w14:paraId="44CC21F9" w14:textId="77777777" w:rsidR="00C365C7" w:rsidRDefault="00DD1CBD">
            <w:pPr>
              <w:pStyle w:val="Normal1"/>
              <w:widowControl w:val="0"/>
              <w:spacing w:after="0"/>
            </w:pPr>
            <w:r>
              <w:rPr>
                <w:sz w:val="24"/>
                <w:szCs w:val="24"/>
              </w:rPr>
              <w:t>£8,525,000</w:t>
            </w:r>
          </w:p>
        </w:tc>
      </w:tr>
      <w:tr w:rsidR="00C365C7" w14:paraId="25FA54B2" w14:textId="77777777">
        <w:tc>
          <w:tcPr>
            <w:tcW w:w="5325" w:type="dxa"/>
          </w:tcPr>
          <w:p w14:paraId="43C93BF5"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1A0DFEF2" w14:textId="77777777" w:rsidR="00C365C7" w:rsidRDefault="00DD1CBD">
            <w:pPr>
              <w:pStyle w:val="Normal1"/>
              <w:widowControl w:val="0"/>
              <w:spacing w:after="0"/>
            </w:pPr>
            <w:r>
              <w:rPr>
                <w:sz w:val="24"/>
                <w:szCs w:val="24"/>
              </w:rPr>
              <w:t>No details available</w:t>
            </w:r>
          </w:p>
        </w:tc>
      </w:tr>
    </w:tbl>
    <w:p w14:paraId="0F8FEEC8" w14:textId="77777777" w:rsidR="00C365C7" w:rsidRDefault="00DD1CBD">
      <w:pPr>
        <w:pStyle w:val="Normal1"/>
        <w:spacing w:after="0"/>
      </w:pPr>
      <w:r>
        <w:rPr>
          <w:b/>
          <w:sz w:val="24"/>
          <w:szCs w:val="24"/>
        </w:rPr>
        <w:t xml:space="preserve"> </w:t>
      </w:r>
    </w:p>
    <w:p w14:paraId="1FC83863" w14:textId="77777777" w:rsidR="00C365C7" w:rsidRDefault="00C365C7">
      <w:pPr>
        <w:pStyle w:val="Normal1"/>
        <w:spacing w:after="0"/>
      </w:pPr>
    </w:p>
    <w:p w14:paraId="5F27FD9D" w14:textId="77777777" w:rsidR="00C365C7" w:rsidRDefault="00C365C7">
      <w:pPr>
        <w:pStyle w:val="Normal1"/>
        <w:spacing w:after="0"/>
      </w:pPr>
    </w:p>
    <w:p w14:paraId="1C394D19" w14:textId="77777777" w:rsidR="00C365C7" w:rsidRDefault="00C365C7">
      <w:pPr>
        <w:pStyle w:val="Normal1"/>
        <w:spacing w:after="0"/>
      </w:pPr>
    </w:p>
    <w:p w14:paraId="5D4F827C" w14:textId="77777777" w:rsidR="00C365C7" w:rsidRDefault="00DD1CBD">
      <w:pPr>
        <w:pStyle w:val="Normal1"/>
      </w:pPr>
      <w:r>
        <w:br w:type="page"/>
      </w:r>
    </w:p>
    <w:p w14:paraId="4E4DB70C" w14:textId="77777777" w:rsidR="00C365C7" w:rsidRDefault="00C365C7">
      <w:pPr>
        <w:pStyle w:val="Normal1"/>
        <w:spacing w:after="0"/>
      </w:pPr>
    </w:p>
    <w:p w14:paraId="167425B2" w14:textId="77777777" w:rsidR="00C365C7" w:rsidRDefault="00DD1CBD">
      <w:pPr>
        <w:pStyle w:val="Normal1"/>
        <w:spacing w:after="0"/>
        <w:ind w:left="1701" w:hanging="1701"/>
      </w:pPr>
      <w:r>
        <w:rPr>
          <w:b/>
          <w:sz w:val="24"/>
          <w:szCs w:val="24"/>
        </w:rPr>
        <w:t>Case Study 7</w:t>
      </w:r>
      <w:r>
        <w:rPr>
          <w:sz w:val="24"/>
          <w:szCs w:val="24"/>
        </w:rPr>
        <w:t xml:space="preserve"> - 1 Drayton Manor Drive, and land at Alcester Road, Stratford </w:t>
      </w:r>
      <w:proofErr w:type="gramStart"/>
      <w:r>
        <w:rPr>
          <w:sz w:val="24"/>
          <w:szCs w:val="24"/>
        </w:rPr>
        <w:t>CV37  9RQ</w:t>
      </w:r>
      <w:proofErr w:type="gramEnd"/>
    </w:p>
    <w:p w14:paraId="00D6EB72" w14:textId="77777777" w:rsidR="00C365C7" w:rsidRDefault="00DD1CBD">
      <w:pPr>
        <w:pStyle w:val="Normal1"/>
        <w:spacing w:after="0"/>
      </w:pPr>
      <w:r>
        <w:rPr>
          <w:sz w:val="24"/>
          <w:szCs w:val="24"/>
        </w:rPr>
        <w:t xml:space="preserve"> </w:t>
      </w:r>
    </w:p>
    <w:tbl>
      <w:tblPr>
        <w:tblStyle w:val="a6"/>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441173F0" w14:textId="77777777">
        <w:tc>
          <w:tcPr>
            <w:tcW w:w="5325" w:type="dxa"/>
          </w:tcPr>
          <w:p w14:paraId="5013165B" w14:textId="77777777" w:rsidR="00C365C7" w:rsidRDefault="00DD1CBD">
            <w:pPr>
              <w:pStyle w:val="Normal1"/>
              <w:widowControl w:val="0"/>
              <w:spacing w:after="0"/>
            </w:pPr>
            <w:r>
              <w:rPr>
                <w:sz w:val="24"/>
                <w:szCs w:val="24"/>
              </w:rPr>
              <w:t>Government Department</w:t>
            </w:r>
          </w:p>
        </w:tc>
        <w:tc>
          <w:tcPr>
            <w:tcW w:w="3255" w:type="dxa"/>
          </w:tcPr>
          <w:p w14:paraId="074D85C4" w14:textId="77777777" w:rsidR="00C365C7" w:rsidRDefault="00DD1CBD">
            <w:pPr>
              <w:pStyle w:val="Normal1"/>
              <w:widowControl w:val="0"/>
              <w:spacing w:after="0"/>
            </w:pPr>
            <w:r>
              <w:rPr>
                <w:sz w:val="24"/>
                <w:szCs w:val="24"/>
              </w:rPr>
              <w:t>Department for Environment Food and Rural Affairs</w:t>
            </w:r>
          </w:p>
        </w:tc>
      </w:tr>
      <w:tr w:rsidR="00C365C7" w14:paraId="5C7E1A26" w14:textId="77777777">
        <w:tc>
          <w:tcPr>
            <w:tcW w:w="5325" w:type="dxa"/>
          </w:tcPr>
          <w:p w14:paraId="6C999FD1" w14:textId="77777777" w:rsidR="00C365C7" w:rsidRDefault="00DD1CBD">
            <w:pPr>
              <w:pStyle w:val="Normal1"/>
              <w:spacing w:after="0"/>
              <w:ind w:right="-280"/>
            </w:pPr>
            <w:r>
              <w:rPr>
                <w:sz w:val="24"/>
                <w:szCs w:val="24"/>
              </w:rPr>
              <w:t>Location of land or property</w:t>
            </w:r>
          </w:p>
        </w:tc>
        <w:tc>
          <w:tcPr>
            <w:tcW w:w="3255" w:type="dxa"/>
          </w:tcPr>
          <w:p w14:paraId="5C9508C3" w14:textId="77777777" w:rsidR="00C365C7" w:rsidRDefault="00DD1CBD">
            <w:pPr>
              <w:pStyle w:val="Normal1"/>
              <w:widowControl w:val="0"/>
              <w:spacing w:after="0"/>
            </w:pPr>
            <w:r>
              <w:rPr>
                <w:sz w:val="24"/>
                <w:szCs w:val="24"/>
              </w:rPr>
              <w:t>1 Drayton Manor Drive, Alcester Road, Stratford</w:t>
            </w:r>
          </w:p>
        </w:tc>
      </w:tr>
      <w:tr w:rsidR="00C365C7" w14:paraId="3F18A63C" w14:textId="77777777">
        <w:tc>
          <w:tcPr>
            <w:tcW w:w="5325" w:type="dxa"/>
          </w:tcPr>
          <w:p w14:paraId="6CBE0090" w14:textId="77777777" w:rsidR="00C365C7" w:rsidRDefault="00DD1CBD">
            <w:pPr>
              <w:pStyle w:val="Normal1"/>
              <w:spacing w:after="0"/>
              <w:ind w:right="-280"/>
            </w:pPr>
            <w:r>
              <w:rPr>
                <w:sz w:val="24"/>
                <w:szCs w:val="24"/>
              </w:rPr>
              <w:t>Size of land area</w:t>
            </w:r>
          </w:p>
        </w:tc>
        <w:tc>
          <w:tcPr>
            <w:tcW w:w="3255" w:type="dxa"/>
          </w:tcPr>
          <w:p w14:paraId="50288F92" w14:textId="77777777" w:rsidR="00C365C7" w:rsidRDefault="00DD1CBD">
            <w:pPr>
              <w:pStyle w:val="Normal1"/>
              <w:widowControl w:val="0"/>
              <w:spacing w:after="0"/>
            </w:pPr>
            <w:r>
              <w:rPr>
                <w:sz w:val="24"/>
                <w:szCs w:val="24"/>
              </w:rPr>
              <w:t>0.07 hectares</w:t>
            </w:r>
          </w:p>
        </w:tc>
      </w:tr>
      <w:tr w:rsidR="00C365C7" w14:paraId="658B744F" w14:textId="77777777">
        <w:tc>
          <w:tcPr>
            <w:tcW w:w="5325" w:type="dxa"/>
          </w:tcPr>
          <w:p w14:paraId="2FAE2F9A" w14:textId="2DBCF6BE"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255" w:type="dxa"/>
          </w:tcPr>
          <w:p w14:paraId="4864FEB0" w14:textId="77777777" w:rsidR="00C365C7" w:rsidRDefault="00DD1CBD">
            <w:pPr>
              <w:pStyle w:val="Normal1"/>
              <w:widowControl w:val="0"/>
              <w:spacing w:after="0"/>
            </w:pPr>
            <w:r>
              <w:rPr>
                <w:sz w:val="24"/>
                <w:szCs w:val="24"/>
              </w:rPr>
              <w:t>Freehold</w:t>
            </w:r>
          </w:p>
        </w:tc>
      </w:tr>
      <w:tr w:rsidR="00C365C7" w14:paraId="7A234376" w14:textId="77777777">
        <w:tc>
          <w:tcPr>
            <w:tcW w:w="5325" w:type="dxa"/>
          </w:tcPr>
          <w:p w14:paraId="31F9FAC1" w14:textId="77777777" w:rsidR="00C365C7" w:rsidRDefault="00DD1CBD">
            <w:pPr>
              <w:pStyle w:val="Normal1"/>
              <w:spacing w:after="0"/>
              <w:ind w:right="-280"/>
            </w:pPr>
            <w:r>
              <w:rPr>
                <w:sz w:val="24"/>
                <w:szCs w:val="24"/>
              </w:rPr>
              <w:t>Conditional or unconditional contract</w:t>
            </w:r>
          </w:p>
        </w:tc>
        <w:tc>
          <w:tcPr>
            <w:tcW w:w="3255" w:type="dxa"/>
          </w:tcPr>
          <w:p w14:paraId="5E1581D9" w14:textId="77777777" w:rsidR="00C365C7" w:rsidRDefault="00DD1CBD">
            <w:pPr>
              <w:pStyle w:val="Normal1"/>
              <w:widowControl w:val="0"/>
              <w:spacing w:after="0"/>
            </w:pPr>
            <w:r>
              <w:rPr>
                <w:sz w:val="24"/>
                <w:szCs w:val="24"/>
              </w:rPr>
              <w:t>No details available</w:t>
            </w:r>
          </w:p>
        </w:tc>
      </w:tr>
      <w:tr w:rsidR="00C365C7" w14:paraId="55461ACA" w14:textId="77777777">
        <w:tc>
          <w:tcPr>
            <w:tcW w:w="5325" w:type="dxa"/>
          </w:tcPr>
          <w:p w14:paraId="35DFF9B5" w14:textId="77777777" w:rsidR="00C365C7" w:rsidRDefault="00DD1CBD">
            <w:pPr>
              <w:pStyle w:val="Normal1"/>
              <w:widowControl w:val="0"/>
              <w:spacing w:after="0"/>
            </w:pPr>
            <w:r>
              <w:rPr>
                <w:sz w:val="24"/>
                <w:szCs w:val="24"/>
              </w:rPr>
              <w:t>Date of Sale</w:t>
            </w:r>
          </w:p>
        </w:tc>
        <w:tc>
          <w:tcPr>
            <w:tcW w:w="3255" w:type="dxa"/>
          </w:tcPr>
          <w:p w14:paraId="6C7B67B2" w14:textId="77777777" w:rsidR="00C365C7" w:rsidRDefault="00DD1CBD">
            <w:pPr>
              <w:pStyle w:val="Normal1"/>
              <w:widowControl w:val="0"/>
              <w:spacing w:after="0"/>
            </w:pPr>
            <w:r>
              <w:rPr>
                <w:sz w:val="24"/>
                <w:szCs w:val="24"/>
              </w:rPr>
              <w:t>25/07/2016</w:t>
            </w:r>
          </w:p>
        </w:tc>
      </w:tr>
      <w:tr w:rsidR="00C365C7" w14:paraId="34582EC7" w14:textId="77777777">
        <w:tc>
          <w:tcPr>
            <w:tcW w:w="5325" w:type="dxa"/>
          </w:tcPr>
          <w:p w14:paraId="7D7E8C6C"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7ADE11A7" w14:textId="77777777" w:rsidR="00C365C7" w:rsidRDefault="00DD1CBD">
            <w:pPr>
              <w:pStyle w:val="Normal1"/>
              <w:widowControl w:val="0"/>
              <w:spacing w:after="0"/>
            </w:pPr>
            <w:r>
              <w:rPr>
                <w:sz w:val="24"/>
                <w:szCs w:val="24"/>
              </w:rPr>
              <w:t>No details available</w:t>
            </w:r>
          </w:p>
        </w:tc>
      </w:tr>
      <w:tr w:rsidR="00C365C7" w14:paraId="073A9310" w14:textId="77777777">
        <w:tc>
          <w:tcPr>
            <w:tcW w:w="5325" w:type="dxa"/>
          </w:tcPr>
          <w:p w14:paraId="36074C8E" w14:textId="77777777" w:rsidR="00C365C7" w:rsidRDefault="00DD1CBD">
            <w:pPr>
              <w:pStyle w:val="Normal1"/>
              <w:spacing w:after="0"/>
              <w:ind w:right="-280"/>
            </w:pPr>
            <w:r>
              <w:rPr>
                <w:sz w:val="24"/>
                <w:szCs w:val="24"/>
              </w:rPr>
              <w:t>Capital receipt proceeds from the disposal</w:t>
            </w:r>
          </w:p>
        </w:tc>
        <w:tc>
          <w:tcPr>
            <w:tcW w:w="3255" w:type="dxa"/>
          </w:tcPr>
          <w:p w14:paraId="5110A945" w14:textId="77777777" w:rsidR="00C365C7" w:rsidRDefault="00DD1CBD">
            <w:pPr>
              <w:pStyle w:val="Normal1"/>
              <w:widowControl w:val="0"/>
              <w:spacing w:after="0"/>
            </w:pPr>
            <w:r>
              <w:rPr>
                <w:sz w:val="24"/>
                <w:szCs w:val="24"/>
              </w:rPr>
              <w:t>No details available</w:t>
            </w:r>
          </w:p>
        </w:tc>
      </w:tr>
      <w:tr w:rsidR="00C365C7" w14:paraId="30538181" w14:textId="77777777">
        <w:tc>
          <w:tcPr>
            <w:tcW w:w="5325" w:type="dxa"/>
          </w:tcPr>
          <w:p w14:paraId="6D287BDD"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4524D02F" w14:textId="77777777" w:rsidR="00C365C7" w:rsidRDefault="00DD1CBD">
            <w:pPr>
              <w:pStyle w:val="Normal1"/>
              <w:widowControl w:val="0"/>
              <w:spacing w:after="0"/>
            </w:pPr>
            <w:r>
              <w:rPr>
                <w:sz w:val="24"/>
                <w:szCs w:val="24"/>
              </w:rPr>
              <w:t>No details available</w:t>
            </w:r>
          </w:p>
        </w:tc>
      </w:tr>
    </w:tbl>
    <w:p w14:paraId="0E9BF0F5" w14:textId="77777777" w:rsidR="00C365C7" w:rsidRDefault="00C365C7">
      <w:pPr>
        <w:pStyle w:val="Normal1"/>
        <w:spacing w:after="0"/>
      </w:pPr>
    </w:p>
    <w:p w14:paraId="0F77983C" w14:textId="77777777" w:rsidR="00C365C7" w:rsidRDefault="00C365C7">
      <w:pPr>
        <w:pStyle w:val="Normal1"/>
        <w:spacing w:after="0"/>
      </w:pPr>
    </w:p>
    <w:p w14:paraId="7A17F63B" w14:textId="77777777" w:rsidR="00C365C7" w:rsidRDefault="00C365C7">
      <w:pPr>
        <w:pStyle w:val="Normal1"/>
        <w:spacing w:after="0"/>
      </w:pPr>
    </w:p>
    <w:p w14:paraId="044E3DBB" w14:textId="77777777" w:rsidR="00C365C7" w:rsidRDefault="00C365C7">
      <w:pPr>
        <w:pStyle w:val="Normal1"/>
        <w:spacing w:after="0"/>
      </w:pPr>
    </w:p>
    <w:p w14:paraId="48A2F1FF" w14:textId="77777777" w:rsidR="00C365C7" w:rsidRDefault="00DD1CBD">
      <w:pPr>
        <w:pStyle w:val="Normal1"/>
        <w:spacing w:after="0"/>
      </w:pPr>
      <w:r>
        <w:rPr>
          <w:b/>
          <w:sz w:val="24"/>
          <w:szCs w:val="24"/>
        </w:rPr>
        <w:t>Case Study 8</w:t>
      </w:r>
      <w:r>
        <w:rPr>
          <w:sz w:val="24"/>
          <w:szCs w:val="24"/>
        </w:rPr>
        <w:t xml:space="preserve"> -</w:t>
      </w:r>
      <w:r>
        <w:rPr>
          <w:b/>
          <w:sz w:val="24"/>
          <w:szCs w:val="24"/>
        </w:rPr>
        <w:t xml:space="preserve"> </w:t>
      </w:r>
      <w:r>
        <w:rPr>
          <w:sz w:val="24"/>
          <w:szCs w:val="24"/>
        </w:rPr>
        <w:t>Land at Bob Dunn Way, Dartford, Kent</w:t>
      </w:r>
    </w:p>
    <w:p w14:paraId="2E2A8CEB" w14:textId="77777777" w:rsidR="00C365C7" w:rsidRDefault="00DD1CBD">
      <w:pPr>
        <w:pStyle w:val="Normal1"/>
        <w:spacing w:after="0"/>
      </w:pPr>
      <w:r>
        <w:rPr>
          <w:sz w:val="24"/>
          <w:szCs w:val="24"/>
        </w:rPr>
        <w:t xml:space="preserve"> </w:t>
      </w:r>
    </w:p>
    <w:tbl>
      <w:tblPr>
        <w:tblStyle w:val="a7"/>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32B6622C" w14:textId="77777777">
        <w:tc>
          <w:tcPr>
            <w:tcW w:w="5325" w:type="dxa"/>
          </w:tcPr>
          <w:p w14:paraId="316CDF93" w14:textId="77777777" w:rsidR="00C365C7" w:rsidRDefault="00DD1CBD">
            <w:pPr>
              <w:pStyle w:val="Normal1"/>
              <w:widowControl w:val="0"/>
              <w:spacing w:after="0"/>
            </w:pPr>
            <w:r>
              <w:rPr>
                <w:sz w:val="24"/>
                <w:szCs w:val="24"/>
              </w:rPr>
              <w:t>Government Department</w:t>
            </w:r>
          </w:p>
        </w:tc>
        <w:tc>
          <w:tcPr>
            <w:tcW w:w="3255" w:type="dxa"/>
          </w:tcPr>
          <w:p w14:paraId="38C9D9D4" w14:textId="77777777" w:rsidR="00C365C7" w:rsidRDefault="00DD1CBD">
            <w:pPr>
              <w:pStyle w:val="Normal1"/>
              <w:widowControl w:val="0"/>
              <w:spacing w:after="0"/>
            </w:pPr>
            <w:r>
              <w:rPr>
                <w:sz w:val="24"/>
                <w:szCs w:val="24"/>
              </w:rPr>
              <w:t>Department of Health</w:t>
            </w:r>
          </w:p>
        </w:tc>
      </w:tr>
      <w:tr w:rsidR="00C365C7" w14:paraId="1567A707" w14:textId="77777777">
        <w:tc>
          <w:tcPr>
            <w:tcW w:w="5325" w:type="dxa"/>
          </w:tcPr>
          <w:p w14:paraId="19E108C1" w14:textId="77777777" w:rsidR="00C365C7" w:rsidRDefault="00DD1CBD">
            <w:pPr>
              <w:pStyle w:val="Normal1"/>
              <w:spacing w:after="0"/>
              <w:ind w:right="-280"/>
            </w:pPr>
            <w:r>
              <w:rPr>
                <w:sz w:val="24"/>
                <w:szCs w:val="24"/>
              </w:rPr>
              <w:t>Location of land or property</w:t>
            </w:r>
          </w:p>
        </w:tc>
        <w:tc>
          <w:tcPr>
            <w:tcW w:w="3255" w:type="dxa"/>
          </w:tcPr>
          <w:p w14:paraId="691994A0" w14:textId="77777777" w:rsidR="00C365C7" w:rsidRDefault="00DD1CBD">
            <w:pPr>
              <w:pStyle w:val="Normal1"/>
              <w:widowControl w:val="0"/>
              <w:spacing w:after="0"/>
            </w:pPr>
            <w:r>
              <w:rPr>
                <w:sz w:val="24"/>
                <w:szCs w:val="24"/>
              </w:rPr>
              <w:t>Land at Bob Dunn Way, Dartford, Kent</w:t>
            </w:r>
          </w:p>
        </w:tc>
      </w:tr>
      <w:tr w:rsidR="00C365C7" w14:paraId="1B6C242F" w14:textId="77777777">
        <w:tc>
          <w:tcPr>
            <w:tcW w:w="5325" w:type="dxa"/>
          </w:tcPr>
          <w:p w14:paraId="447F7668" w14:textId="77777777" w:rsidR="00C365C7" w:rsidRDefault="00DD1CBD">
            <w:pPr>
              <w:pStyle w:val="Normal1"/>
              <w:spacing w:after="0"/>
              <w:ind w:right="-280"/>
            </w:pPr>
            <w:r>
              <w:rPr>
                <w:sz w:val="24"/>
                <w:szCs w:val="24"/>
              </w:rPr>
              <w:t>Size of land area</w:t>
            </w:r>
          </w:p>
        </w:tc>
        <w:tc>
          <w:tcPr>
            <w:tcW w:w="3255" w:type="dxa"/>
          </w:tcPr>
          <w:p w14:paraId="68EE5CD4" w14:textId="77777777" w:rsidR="00C365C7" w:rsidRDefault="00DD1CBD">
            <w:pPr>
              <w:pStyle w:val="Normal1"/>
              <w:widowControl w:val="0"/>
              <w:spacing w:after="0"/>
            </w:pPr>
            <w:r>
              <w:rPr>
                <w:sz w:val="24"/>
                <w:szCs w:val="24"/>
              </w:rPr>
              <w:t>0.37 hectares</w:t>
            </w:r>
          </w:p>
        </w:tc>
      </w:tr>
      <w:tr w:rsidR="00C365C7" w14:paraId="59076E69" w14:textId="77777777">
        <w:tc>
          <w:tcPr>
            <w:tcW w:w="5325" w:type="dxa"/>
          </w:tcPr>
          <w:p w14:paraId="1EB4D985" w14:textId="0B8C772F"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255" w:type="dxa"/>
          </w:tcPr>
          <w:p w14:paraId="1B0990DF" w14:textId="77777777" w:rsidR="00C365C7" w:rsidRDefault="00DD1CBD">
            <w:pPr>
              <w:pStyle w:val="Normal1"/>
              <w:widowControl w:val="0"/>
              <w:spacing w:after="0"/>
            </w:pPr>
            <w:r>
              <w:rPr>
                <w:sz w:val="24"/>
                <w:szCs w:val="24"/>
              </w:rPr>
              <w:t>No details available</w:t>
            </w:r>
          </w:p>
        </w:tc>
      </w:tr>
      <w:tr w:rsidR="00C365C7" w14:paraId="4B5EBBD7" w14:textId="77777777">
        <w:tc>
          <w:tcPr>
            <w:tcW w:w="5325" w:type="dxa"/>
          </w:tcPr>
          <w:p w14:paraId="0D23A337" w14:textId="77777777" w:rsidR="00C365C7" w:rsidRDefault="00DD1CBD">
            <w:pPr>
              <w:pStyle w:val="Normal1"/>
              <w:spacing w:after="0"/>
              <w:ind w:right="-280"/>
            </w:pPr>
            <w:r>
              <w:rPr>
                <w:sz w:val="24"/>
                <w:szCs w:val="24"/>
              </w:rPr>
              <w:t>Conditional or unconditional contract</w:t>
            </w:r>
          </w:p>
        </w:tc>
        <w:tc>
          <w:tcPr>
            <w:tcW w:w="3255" w:type="dxa"/>
          </w:tcPr>
          <w:p w14:paraId="2B392C21" w14:textId="77777777" w:rsidR="00C365C7" w:rsidRDefault="00DD1CBD">
            <w:pPr>
              <w:pStyle w:val="Normal1"/>
              <w:widowControl w:val="0"/>
              <w:spacing w:after="0"/>
            </w:pPr>
            <w:r>
              <w:rPr>
                <w:sz w:val="24"/>
                <w:szCs w:val="24"/>
              </w:rPr>
              <w:t>No details available</w:t>
            </w:r>
          </w:p>
        </w:tc>
      </w:tr>
      <w:tr w:rsidR="00C365C7" w14:paraId="6F2EA24C" w14:textId="77777777">
        <w:tc>
          <w:tcPr>
            <w:tcW w:w="5325" w:type="dxa"/>
          </w:tcPr>
          <w:p w14:paraId="0C58F662" w14:textId="77777777" w:rsidR="00C365C7" w:rsidRDefault="00DD1CBD">
            <w:pPr>
              <w:pStyle w:val="Normal1"/>
              <w:widowControl w:val="0"/>
              <w:spacing w:after="0"/>
            </w:pPr>
            <w:r>
              <w:rPr>
                <w:sz w:val="24"/>
                <w:szCs w:val="24"/>
              </w:rPr>
              <w:t>Date of Sale</w:t>
            </w:r>
          </w:p>
        </w:tc>
        <w:tc>
          <w:tcPr>
            <w:tcW w:w="3255" w:type="dxa"/>
          </w:tcPr>
          <w:p w14:paraId="4BF0C7D2" w14:textId="77777777" w:rsidR="00C365C7" w:rsidRDefault="00DD1CBD">
            <w:pPr>
              <w:pStyle w:val="Normal1"/>
              <w:widowControl w:val="0"/>
              <w:spacing w:after="0"/>
            </w:pPr>
            <w:r>
              <w:rPr>
                <w:sz w:val="24"/>
                <w:szCs w:val="24"/>
              </w:rPr>
              <w:t>11/11/2015</w:t>
            </w:r>
          </w:p>
        </w:tc>
      </w:tr>
      <w:tr w:rsidR="00C365C7" w14:paraId="5E9F932E" w14:textId="77777777">
        <w:tc>
          <w:tcPr>
            <w:tcW w:w="5325" w:type="dxa"/>
          </w:tcPr>
          <w:p w14:paraId="6B1523BC"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2508D351" w14:textId="77777777" w:rsidR="00C365C7" w:rsidRDefault="00DD1CBD">
            <w:pPr>
              <w:pStyle w:val="Normal1"/>
              <w:widowControl w:val="0"/>
              <w:spacing w:after="0"/>
            </w:pPr>
            <w:r>
              <w:rPr>
                <w:sz w:val="24"/>
                <w:szCs w:val="24"/>
              </w:rPr>
              <w:t>No details available</w:t>
            </w:r>
          </w:p>
        </w:tc>
      </w:tr>
      <w:tr w:rsidR="00C365C7" w14:paraId="0BB522B3" w14:textId="77777777">
        <w:tc>
          <w:tcPr>
            <w:tcW w:w="5325" w:type="dxa"/>
          </w:tcPr>
          <w:p w14:paraId="2ADE33DD" w14:textId="77777777" w:rsidR="00C365C7" w:rsidRDefault="00DD1CBD">
            <w:pPr>
              <w:pStyle w:val="Normal1"/>
              <w:spacing w:after="0"/>
              <w:ind w:right="-280"/>
            </w:pPr>
            <w:r>
              <w:rPr>
                <w:sz w:val="24"/>
                <w:szCs w:val="24"/>
              </w:rPr>
              <w:t>Capital receipt proceeds from the disposal</w:t>
            </w:r>
          </w:p>
        </w:tc>
        <w:tc>
          <w:tcPr>
            <w:tcW w:w="3255" w:type="dxa"/>
          </w:tcPr>
          <w:p w14:paraId="29786B32" w14:textId="77777777" w:rsidR="00C365C7" w:rsidRDefault="00DD1CBD">
            <w:pPr>
              <w:pStyle w:val="Normal1"/>
              <w:widowControl w:val="0"/>
              <w:spacing w:after="0"/>
            </w:pPr>
            <w:r>
              <w:rPr>
                <w:sz w:val="24"/>
                <w:szCs w:val="24"/>
              </w:rPr>
              <w:t>No details available</w:t>
            </w:r>
          </w:p>
        </w:tc>
      </w:tr>
      <w:tr w:rsidR="00C365C7" w14:paraId="07BA2FAC" w14:textId="77777777">
        <w:tc>
          <w:tcPr>
            <w:tcW w:w="5325" w:type="dxa"/>
          </w:tcPr>
          <w:p w14:paraId="3F00F615"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22ED614B" w14:textId="77777777" w:rsidR="00C365C7" w:rsidRDefault="00DD1CBD">
            <w:pPr>
              <w:pStyle w:val="Normal1"/>
              <w:widowControl w:val="0"/>
              <w:spacing w:after="0"/>
            </w:pPr>
            <w:r>
              <w:rPr>
                <w:sz w:val="24"/>
                <w:szCs w:val="24"/>
              </w:rPr>
              <w:t>No details available</w:t>
            </w:r>
          </w:p>
        </w:tc>
      </w:tr>
    </w:tbl>
    <w:p w14:paraId="0CC3A085" w14:textId="77777777" w:rsidR="00C365C7" w:rsidRDefault="00DD1CBD">
      <w:pPr>
        <w:pStyle w:val="Normal1"/>
        <w:spacing w:after="0"/>
      </w:pPr>
      <w:r>
        <w:rPr>
          <w:sz w:val="24"/>
          <w:szCs w:val="24"/>
        </w:rPr>
        <w:t xml:space="preserve"> </w:t>
      </w:r>
    </w:p>
    <w:p w14:paraId="47F1C949" w14:textId="77777777" w:rsidR="00C365C7" w:rsidRDefault="00C365C7">
      <w:pPr>
        <w:pStyle w:val="Normal1"/>
        <w:spacing w:after="0"/>
      </w:pPr>
    </w:p>
    <w:p w14:paraId="21C3CD7D" w14:textId="77777777" w:rsidR="00C365C7" w:rsidRDefault="00C365C7">
      <w:pPr>
        <w:pStyle w:val="Normal1"/>
        <w:spacing w:after="0"/>
      </w:pPr>
    </w:p>
    <w:p w14:paraId="6FAEF153" w14:textId="77777777" w:rsidR="00C365C7" w:rsidRDefault="00C365C7">
      <w:pPr>
        <w:pStyle w:val="Normal1"/>
        <w:spacing w:after="0"/>
      </w:pPr>
    </w:p>
    <w:p w14:paraId="256CF0D8" w14:textId="77777777" w:rsidR="00C365C7" w:rsidRDefault="00C365C7">
      <w:pPr>
        <w:pStyle w:val="Normal1"/>
        <w:spacing w:after="0"/>
      </w:pPr>
    </w:p>
    <w:p w14:paraId="5F605354" w14:textId="77777777" w:rsidR="00C365C7" w:rsidRDefault="00C365C7">
      <w:pPr>
        <w:pStyle w:val="Normal1"/>
        <w:spacing w:after="0"/>
      </w:pPr>
    </w:p>
    <w:p w14:paraId="0D699496" w14:textId="77777777" w:rsidR="00C365C7" w:rsidRDefault="00DD1CBD">
      <w:pPr>
        <w:pStyle w:val="Normal1"/>
      </w:pPr>
      <w:r>
        <w:br w:type="page"/>
      </w:r>
    </w:p>
    <w:p w14:paraId="2675F484" w14:textId="77777777" w:rsidR="00C365C7" w:rsidRDefault="00C365C7">
      <w:pPr>
        <w:pStyle w:val="Normal1"/>
        <w:spacing w:after="0"/>
      </w:pPr>
    </w:p>
    <w:p w14:paraId="1632445F" w14:textId="77777777" w:rsidR="00C365C7" w:rsidRDefault="00DD1CBD">
      <w:pPr>
        <w:pStyle w:val="Normal1"/>
        <w:spacing w:after="0"/>
      </w:pPr>
      <w:r>
        <w:rPr>
          <w:b/>
          <w:sz w:val="24"/>
          <w:szCs w:val="24"/>
        </w:rPr>
        <w:t>Case Study 9</w:t>
      </w:r>
      <w:r>
        <w:rPr>
          <w:sz w:val="24"/>
          <w:szCs w:val="24"/>
        </w:rPr>
        <w:t xml:space="preserve"> - Land at Salisbury Plain Training Area (</w:t>
      </w:r>
      <w:proofErr w:type="spellStart"/>
      <w:r>
        <w:rPr>
          <w:sz w:val="24"/>
          <w:szCs w:val="24"/>
        </w:rPr>
        <w:t>Ablington</w:t>
      </w:r>
      <w:proofErr w:type="spellEnd"/>
      <w:r>
        <w:rPr>
          <w:sz w:val="24"/>
          <w:szCs w:val="24"/>
        </w:rPr>
        <w:t xml:space="preserve"> Farm) SP3 8JK</w:t>
      </w:r>
    </w:p>
    <w:p w14:paraId="2175B0E1" w14:textId="77777777" w:rsidR="00C365C7" w:rsidRDefault="00DD1CBD">
      <w:pPr>
        <w:pStyle w:val="Normal1"/>
        <w:spacing w:after="0"/>
      </w:pPr>
      <w:r>
        <w:rPr>
          <w:sz w:val="24"/>
          <w:szCs w:val="24"/>
        </w:rPr>
        <w:t xml:space="preserve"> </w:t>
      </w:r>
    </w:p>
    <w:tbl>
      <w:tblPr>
        <w:tblStyle w:val="a8"/>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2263FA6B" w14:textId="77777777">
        <w:tc>
          <w:tcPr>
            <w:tcW w:w="5325" w:type="dxa"/>
          </w:tcPr>
          <w:p w14:paraId="3B0F5C57" w14:textId="77777777" w:rsidR="00C365C7" w:rsidRDefault="00DD1CBD">
            <w:pPr>
              <w:pStyle w:val="Normal1"/>
              <w:widowControl w:val="0"/>
              <w:spacing w:after="0"/>
            </w:pPr>
            <w:r>
              <w:rPr>
                <w:sz w:val="24"/>
                <w:szCs w:val="24"/>
              </w:rPr>
              <w:t>Government Department</w:t>
            </w:r>
          </w:p>
        </w:tc>
        <w:tc>
          <w:tcPr>
            <w:tcW w:w="3255" w:type="dxa"/>
          </w:tcPr>
          <w:p w14:paraId="57563CB6" w14:textId="77777777" w:rsidR="00C365C7" w:rsidRDefault="00DD1CBD">
            <w:pPr>
              <w:pStyle w:val="Normal1"/>
              <w:widowControl w:val="0"/>
              <w:spacing w:after="0"/>
            </w:pPr>
            <w:r>
              <w:rPr>
                <w:sz w:val="24"/>
                <w:szCs w:val="24"/>
              </w:rPr>
              <w:t>Ministry of Defence</w:t>
            </w:r>
          </w:p>
        </w:tc>
      </w:tr>
      <w:tr w:rsidR="00C365C7" w14:paraId="05EFB6AC" w14:textId="77777777">
        <w:tc>
          <w:tcPr>
            <w:tcW w:w="5325" w:type="dxa"/>
          </w:tcPr>
          <w:p w14:paraId="708AAEB7" w14:textId="77777777" w:rsidR="00C365C7" w:rsidRDefault="00DD1CBD">
            <w:pPr>
              <w:pStyle w:val="Normal1"/>
              <w:spacing w:after="0"/>
              <w:ind w:right="-280"/>
            </w:pPr>
            <w:r>
              <w:rPr>
                <w:sz w:val="24"/>
                <w:szCs w:val="24"/>
              </w:rPr>
              <w:t>Location of land or property</w:t>
            </w:r>
          </w:p>
        </w:tc>
        <w:tc>
          <w:tcPr>
            <w:tcW w:w="3255" w:type="dxa"/>
          </w:tcPr>
          <w:p w14:paraId="135D8623" w14:textId="77777777" w:rsidR="00C365C7" w:rsidRDefault="00DD1CBD">
            <w:pPr>
              <w:pStyle w:val="Normal1"/>
              <w:widowControl w:val="0"/>
              <w:spacing w:after="0"/>
            </w:pPr>
            <w:r>
              <w:rPr>
                <w:sz w:val="24"/>
                <w:szCs w:val="24"/>
              </w:rPr>
              <w:t>Land at Salisbury Plain Training Area</w:t>
            </w:r>
          </w:p>
        </w:tc>
      </w:tr>
      <w:tr w:rsidR="00C365C7" w14:paraId="5AD2A163" w14:textId="77777777">
        <w:tc>
          <w:tcPr>
            <w:tcW w:w="5325" w:type="dxa"/>
          </w:tcPr>
          <w:p w14:paraId="583FA2AC" w14:textId="77777777" w:rsidR="00C365C7" w:rsidRDefault="00DD1CBD">
            <w:pPr>
              <w:pStyle w:val="Normal1"/>
              <w:spacing w:after="0"/>
              <w:ind w:right="-280"/>
            </w:pPr>
            <w:r>
              <w:rPr>
                <w:sz w:val="24"/>
                <w:szCs w:val="24"/>
              </w:rPr>
              <w:t>Size of land area</w:t>
            </w:r>
          </w:p>
        </w:tc>
        <w:tc>
          <w:tcPr>
            <w:tcW w:w="3255" w:type="dxa"/>
          </w:tcPr>
          <w:p w14:paraId="1C50978C" w14:textId="77777777" w:rsidR="00C365C7" w:rsidRDefault="00DD1CBD">
            <w:pPr>
              <w:pStyle w:val="Normal1"/>
              <w:widowControl w:val="0"/>
              <w:spacing w:after="0"/>
            </w:pPr>
            <w:r>
              <w:rPr>
                <w:sz w:val="24"/>
                <w:szCs w:val="24"/>
              </w:rPr>
              <w:t>5.67 hectares</w:t>
            </w:r>
          </w:p>
        </w:tc>
      </w:tr>
      <w:tr w:rsidR="00C365C7" w14:paraId="7427AB5D" w14:textId="77777777">
        <w:tc>
          <w:tcPr>
            <w:tcW w:w="5325" w:type="dxa"/>
          </w:tcPr>
          <w:p w14:paraId="5D863066" w14:textId="6CD49155"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255" w:type="dxa"/>
          </w:tcPr>
          <w:p w14:paraId="7FFBA64C" w14:textId="77777777" w:rsidR="00C365C7" w:rsidRDefault="00DD1CBD">
            <w:pPr>
              <w:pStyle w:val="Normal1"/>
              <w:widowControl w:val="0"/>
              <w:spacing w:after="0"/>
            </w:pPr>
            <w:r>
              <w:rPr>
                <w:sz w:val="24"/>
                <w:szCs w:val="24"/>
              </w:rPr>
              <w:t>No details available</w:t>
            </w:r>
          </w:p>
        </w:tc>
      </w:tr>
      <w:tr w:rsidR="00C365C7" w14:paraId="3EF48CFD" w14:textId="77777777">
        <w:tc>
          <w:tcPr>
            <w:tcW w:w="5325" w:type="dxa"/>
          </w:tcPr>
          <w:p w14:paraId="30E6156F" w14:textId="77777777" w:rsidR="00C365C7" w:rsidRDefault="00DD1CBD">
            <w:pPr>
              <w:pStyle w:val="Normal1"/>
              <w:spacing w:after="0"/>
              <w:ind w:right="-280"/>
            </w:pPr>
            <w:r>
              <w:rPr>
                <w:sz w:val="24"/>
                <w:szCs w:val="24"/>
              </w:rPr>
              <w:t>Conditional or unconditional contract</w:t>
            </w:r>
          </w:p>
        </w:tc>
        <w:tc>
          <w:tcPr>
            <w:tcW w:w="3255" w:type="dxa"/>
          </w:tcPr>
          <w:p w14:paraId="05D1068A" w14:textId="77777777" w:rsidR="00C365C7" w:rsidRDefault="00DD1CBD">
            <w:pPr>
              <w:pStyle w:val="Normal1"/>
              <w:widowControl w:val="0"/>
              <w:spacing w:after="0"/>
            </w:pPr>
            <w:r>
              <w:rPr>
                <w:sz w:val="24"/>
                <w:szCs w:val="24"/>
              </w:rPr>
              <w:t>No details available</w:t>
            </w:r>
          </w:p>
        </w:tc>
      </w:tr>
      <w:tr w:rsidR="00C365C7" w14:paraId="5B4AF28D" w14:textId="77777777">
        <w:tc>
          <w:tcPr>
            <w:tcW w:w="5325" w:type="dxa"/>
          </w:tcPr>
          <w:p w14:paraId="46D189DF" w14:textId="77777777" w:rsidR="00C365C7" w:rsidRDefault="00DD1CBD">
            <w:pPr>
              <w:pStyle w:val="Normal1"/>
              <w:widowControl w:val="0"/>
              <w:spacing w:after="0"/>
            </w:pPr>
            <w:r>
              <w:rPr>
                <w:sz w:val="24"/>
                <w:szCs w:val="24"/>
              </w:rPr>
              <w:t>Date of Sale</w:t>
            </w:r>
          </w:p>
        </w:tc>
        <w:tc>
          <w:tcPr>
            <w:tcW w:w="3255" w:type="dxa"/>
          </w:tcPr>
          <w:p w14:paraId="6FA3002F" w14:textId="77777777" w:rsidR="00C365C7" w:rsidRDefault="00DD1CBD">
            <w:pPr>
              <w:pStyle w:val="Normal1"/>
              <w:widowControl w:val="0"/>
              <w:spacing w:after="0"/>
            </w:pPr>
            <w:r>
              <w:rPr>
                <w:sz w:val="24"/>
                <w:szCs w:val="24"/>
              </w:rPr>
              <w:t>05/06/2015</w:t>
            </w:r>
          </w:p>
        </w:tc>
      </w:tr>
      <w:tr w:rsidR="00C365C7" w14:paraId="0CDFF2F8" w14:textId="77777777">
        <w:tc>
          <w:tcPr>
            <w:tcW w:w="5325" w:type="dxa"/>
          </w:tcPr>
          <w:p w14:paraId="6547DF37"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114B3293" w14:textId="77777777" w:rsidR="00C365C7" w:rsidRDefault="00DD1CBD">
            <w:pPr>
              <w:pStyle w:val="Normal1"/>
              <w:widowControl w:val="0"/>
              <w:spacing w:after="0"/>
            </w:pPr>
            <w:r>
              <w:rPr>
                <w:sz w:val="24"/>
                <w:szCs w:val="24"/>
              </w:rPr>
              <w:t>No details available</w:t>
            </w:r>
          </w:p>
        </w:tc>
      </w:tr>
      <w:tr w:rsidR="00C365C7" w14:paraId="1EDA621E" w14:textId="77777777">
        <w:tc>
          <w:tcPr>
            <w:tcW w:w="5325" w:type="dxa"/>
          </w:tcPr>
          <w:p w14:paraId="0678C51A" w14:textId="77777777" w:rsidR="00C365C7" w:rsidRDefault="00DD1CBD">
            <w:pPr>
              <w:pStyle w:val="Normal1"/>
              <w:spacing w:after="0"/>
              <w:ind w:right="-280"/>
            </w:pPr>
            <w:r>
              <w:rPr>
                <w:sz w:val="24"/>
                <w:szCs w:val="24"/>
              </w:rPr>
              <w:t>Capital receipt proceeds from the disposal</w:t>
            </w:r>
          </w:p>
        </w:tc>
        <w:tc>
          <w:tcPr>
            <w:tcW w:w="3255" w:type="dxa"/>
          </w:tcPr>
          <w:p w14:paraId="622E21FA" w14:textId="77777777" w:rsidR="00C365C7" w:rsidRDefault="00DD1CBD">
            <w:pPr>
              <w:pStyle w:val="Normal1"/>
              <w:widowControl w:val="0"/>
              <w:spacing w:after="0"/>
            </w:pPr>
            <w:r>
              <w:rPr>
                <w:sz w:val="24"/>
                <w:szCs w:val="24"/>
              </w:rPr>
              <w:t>No details available</w:t>
            </w:r>
          </w:p>
        </w:tc>
      </w:tr>
      <w:tr w:rsidR="00C365C7" w14:paraId="6FC94F41" w14:textId="77777777">
        <w:tc>
          <w:tcPr>
            <w:tcW w:w="5325" w:type="dxa"/>
          </w:tcPr>
          <w:p w14:paraId="3AF2DAC3"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11BF37B8" w14:textId="77777777" w:rsidR="00C365C7" w:rsidRDefault="00DD1CBD">
            <w:pPr>
              <w:pStyle w:val="Normal1"/>
              <w:widowControl w:val="0"/>
              <w:spacing w:after="0"/>
            </w:pPr>
            <w:r>
              <w:rPr>
                <w:sz w:val="24"/>
                <w:szCs w:val="24"/>
              </w:rPr>
              <w:t>No details available</w:t>
            </w:r>
          </w:p>
        </w:tc>
      </w:tr>
    </w:tbl>
    <w:p w14:paraId="18F26069" w14:textId="77777777" w:rsidR="00C365C7" w:rsidRDefault="00C365C7">
      <w:pPr>
        <w:pStyle w:val="Normal1"/>
        <w:spacing w:after="0"/>
      </w:pPr>
    </w:p>
    <w:p w14:paraId="25694FEC" w14:textId="77777777" w:rsidR="00C365C7" w:rsidRDefault="00C365C7">
      <w:pPr>
        <w:pStyle w:val="Normal1"/>
        <w:spacing w:after="0"/>
      </w:pPr>
    </w:p>
    <w:p w14:paraId="542BD7EA" w14:textId="77777777" w:rsidR="00C365C7" w:rsidRDefault="00C365C7">
      <w:pPr>
        <w:pStyle w:val="Normal1"/>
        <w:spacing w:after="0"/>
      </w:pPr>
    </w:p>
    <w:p w14:paraId="31071B47" w14:textId="77777777" w:rsidR="00C365C7" w:rsidRDefault="00C365C7">
      <w:pPr>
        <w:pStyle w:val="Normal1"/>
        <w:spacing w:after="0"/>
      </w:pPr>
    </w:p>
    <w:p w14:paraId="78AE4283" w14:textId="77777777" w:rsidR="00C365C7" w:rsidRDefault="00DD1CBD">
      <w:pPr>
        <w:pStyle w:val="Normal1"/>
        <w:spacing w:after="0"/>
      </w:pPr>
      <w:r>
        <w:rPr>
          <w:b/>
          <w:sz w:val="24"/>
          <w:szCs w:val="24"/>
        </w:rPr>
        <w:t>Case Study 10</w:t>
      </w:r>
      <w:r>
        <w:rPr>
          <w:sz w:val="24"/>
          <w:szCs w:val="24"/>
        </w:rPr>
        <w:t xml:space="preserve"> - Storage Depot, Land at RAF Mildenhall, West Sussex</w:t>
      </w:r>
    </w:p>
    <w:p w14:paraId="503AA5FB" w14:textId="77777777" w:rsidR="00C365C7" w:rsidRDefault="00DD1CBD">
      <w:pPr>
        <w:pStyle w:val="Normal1"/>
        <w:spacing w:after="0"/>
      </w:pPr>
      <w:r>
        <w:rPr>
          <w:sz w:val="24"/>
          <w:szCs w:val="24"/>
        </w:rPr>
        <w:t xml:space="preserve"> </w:t>
      </w:r>
    </w:p>
    <w:tbl>
      <w:tblPr>
        <w:tblStyle w:val="a9"/>
        <w:tblW w:w="870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375"/>
      </w:tblGrid>
      <w:tr w:rsidR="00C365C7" w14:paraId="4C2AE42E" w14:textId="77777777">
        <w:tc>
          <w:tcPr>
            <w:tcW w:w="5325" w:type="dxa"/>
          </w:tcPr>
          <w:p w14:paraId="74FE7AE7" w14:textId="77777777" w:rsidR="00C365C7" w:rsidRDefault="00DD1CBD">
            <w:pPr>
              <w:pStyle w:val="Normal1"/>
              <w:widowControl w:val="0"/>
              <w:spacing w:after="0"/>
            </w:pPr>
            <w:r>
              <w:rPr>
                <w:sz w:val="24"/>
                <w:szCs w:val="24"/>
              </w:rPr>
              <w:t>Government Department</w:t>
            </w:r>
          </w:p>
        </w:tc>
        <w:tc>
          <w:tcPr>
            <w:tcW w:w="3375" w:type="dxa"/>
          </w:tcPr>
          <w:p w14:paraId="61BDDF42" w14:textId="77777777" w:rsidR="00C365C7" w:rsidRDefault="00DD1CBD">
            <w:pPr>
              <w:pStyle w:val="Normal1"/>
              <w:widowControl w:val="0"/>
              <w:spacing w:after="0"/>
            </w:pPr>
            <w:r>
              <w:rPr>
                <w:sz w:val="24"/>
                <w:szCs w:val="24"/>
              </w:rPr>
              <w:t>Ministry of Defence</w:t>
            </w:r>
          </w:p>
        </w:tc>
      </w:tr>
      <w:tr w:rsidR="00C365C7" w14:paraId="069D2764" w14:textId="77777777">
        <w:tc>
          <w:tcPr>
            <w:tcW w:w="5325" w:type="dxa"/>
          </w:tcPr>
          <w:p w14:paraId="2480A68F" w14:textId="77777777" w:rsidR="00C365C7" w:rsidRDefault="00DD1CBD">
            <w:pPr>
              <w:pStyle w:val="Normal1"/>
              <w:spacing w:after="0"/>
              <w:ind w:right="-280"/>
            </w:pPr>
            <w:r>
              <w:rPr>
                <w:sz w:val="24"/>
                <w:szCs w:val="24"/>
              </w:rPr>
              <w:t>Location of land or property</w:t>
            </w:r>
          </w:p>
        </w:tc>
        <w:tc>
          <w:tcPr>
            <w:tcW w:w="3375" w:type="dxa"/>
          </w:tcPr>
          <w:p w14:paraId="76827A5D" w14:textId="77777777" w:rsidR="00C365C7" w:rsidRDefault="00DD1CBD">
            <w:pPr>
              <w:pStyle w:val="Normal1"/>
              <w:widowControl w:val="0"/>
              <w:spacing w:after="0"/>
            </w:pPr>
            <w:r>
              <w:rPr>
                <w:sz w:val="24"/>
                <w:szCs w:val="24"/>
              </w:rPr>
              <w:t>Storage Depot, Land at RAF Mildenhall, West Sussex</w:t>
            </w:r>
          </w:p>
        </w:tc>
      </w:tr>
      <w:tr w:rsidR="00C365C7" w14:paraId="7F80F58E" w14:textId="77777777">
        <w:tc>
          <w:tcPr>
            <w:tcW w:w="5325" w:type="dxa"/>
          </w:tcPr>
          <w:p w14:paraId="55FCE67E" w14:textId="77777777" w:rsidR="00C365C7" w:rsidRDefault="00DD1CBD">
            <w:pPr>
              <w:pStyle w:val="Normal1"/>
              <w:spacing w:after="0"/>
              <w:ind w:right="-280"/>
            </w:pPr>
            <w:r>
              <w:rPr>
                <w:sz w:val="24"/>
                <w:szCs w:val="24"/>
              </w:rPr>
              <w:t>Size of land area</w:t>
            </w:r>
          </w:p>
        </w:tc>
        <w:tc>
          <w:tcPr>
            <w:tcW w:w="3375" w:type="dxa"/>
          </w:tcPr>
          <w:p w14:paraId="62234E55" w14:textId="77777777" w:rsidR="00C365C7" w:rsidRDefault="00DD1CBD">
            <w:pPr>
              <w:pStyle w:val="Normal1"/>
              <w:widowControl w:val="0"/>
              <w:spacing w:after="0"/>
            </w:pPr>
            <w:r>
              <w:rPr>
                <w:sz w:val="24"/>
                <w:szCs w:val="24"/>
              </w:rPr>
              <w:t>17.35 hectares</w:t>
            </w:r>
          </w:p>
        </w:tc>
      </w:tr>
      <w:tr w:rsidR="00C365C7" w14:paraId="4D76931F" w14:textId="77777777">
        <w:tc>
          <w:tcPr>
            <w:tcW w:w="5325" w:type="dxa"/>
          </w:tcPr>
          <w:p w14:paraId="11595142" w14:textId="5570648D"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375" w:type="dxa"/>
          </w:tcPr>
          <w:p w14:paraId="2A8F1071" w14:textId="77777777" w:rsidR="00C365C7" w:rsidRDefault="00DD1CBD">
            <w:pPr>
              <w:pStyle w:val="Normal1"/>
              <w:widowControl w:val="0"/>
              <w:spacing w:after="0"/>
            </w:pPr>
            <w:r>
              <w:rPr>
                <w:sz w:val="24"/>
                <w:szCs w:val="24"/>
              </w:rPr>
              <w:t>No details available</w:t>
            </w:r>
          </w:p>
        </w:tc>
      </w:tr>
      <w:tr w:rsidR="00C365C7" w14:paraId="36E83871" w14:textId="77777777">
        <w:tc>
          <w:tcPr>
            <w:tcW w:w="5325" w:type="dxa"/>
          </w:tcPr>
          <w:p w14:paraId="58F6DE75" w14:textId="77777777" w:rsidR="00C365C7" w:rsidRDefault="00DD1CBD">
            <w:pPr>
              <w:pStyle w:val="Normal1"/>
              <w:spacing w:after="0"/>
              <w:ind w:right="-280"/>
            </w:pPr>
            <w:r>
              <w:rPr>
                <w:sz w:val="24"/>
                <w:szCs w:val="24"/>
              </w:rPr>
              <w:t>Conditional or unconditional contract</w:t>
            </w:r>
          </w:p>
        </w:tc>
        <w:tc>
          <w:tcPr>
            <w:tcW w:w="3375" w:type="dxa"/>
          </w:tcPr>
          <w:p w14:paraId="11C11250" w14:textId="77777777" w:rsidR="00C365C7" w:rsidRDefault="00DD1CBD">
            <w:pPr>
              <w:pStyle w:val="Normal1"/>
              <w:widowControl w:val="0"/>
              <w:spacing w:after="0"/>
            </w:pPr>
            <w:r>
              <w:rPr>
                <w:sz w:val="24"/>
                <w:szCs w:val="24"/>
              </w:rPr>
              <w:t>No details available</w:t>
            </w:r>
          </w:p>
        </w:tc>
      </w:tr>
      <w:tr w:rsidR="00C365C7" w14:paraId="31D76A9F" w14:textId="77777777">
        <w:tc>
          <w:tcPr>
            <w:tcW w:w="5325" w:type="dxa"/>
          </w:tcPr>
          <w:p w14:paraId="05CA156E" w14:textId="77777777" w:rsidR="00C365C7" w:rsidRDefault="00DD1CBD">
            <w:pPr>
              <w:pStyle w:val="Normal1"/>
              <w:widowControl w:val="0"/>
              <w:spacing w:after="0"/>
            </w:pPr>
            <w:r>
              <w:rPr>
                <w:sz w:val="24"/>
                <w:szCs w:val="24"/>
              </w:rPr>
              <w:t>Date of Sale</w:t>
            </w:r>
          </w:p>
        </w:tc>
        <w:tc>
          <w:tcPr>
            <w:tcW w:w="3375" w:type="dxa"/>
          </w:tcPr>
          <w:p w14:paraId="34A4D04A" w14:textId="77777777" w:rsidR="00C365C7" w:rsidRDefault="00DD1CBD">
            <w:pPr>
              <w:pStyle w:val="Normal1"/>
              <w:widowControl w:val="0"/>
              <w:spacing w:after="0"/>
            </w:pPr>
            <w:r>
              <w:rPr>
                <w:sz w:val="24"/>
                <w:szCs w:val="24"/>
              </w:rPr>
              <w:t>10/06/2015</w:t>
            </w:r>
          </w:p>
        </w:tc>
      </w:tr>
      <w:tr w:rsidR="00C365C7" w14:paraId="237DDB66" w14:textId="77777777">
        <w:tc>
          <w:tcPr>
            <w:tcW w:w="5325" w:type="dxa"/>
          </w:tcPr>
          <w:p w14:paraId="30221108"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375" w:type="dxa"/>
          </w:tcPr>
          <w:p w14:paraId="25F42D62" w14:textId="77777777" w:rsidR="00C365C7" w:rsidRDefault="00DD1CBD">
            <w:pPr>
              <w:pStyle w:val="Normal1"/>
              <w:widowControl w:val="0"/>
              <w:spacing w:after="0"/>
            </w:pPr>
            <w:r>
              <w:rPr>
                <w:sz w:val="24"/>
                <w:szCs w:val="24"/>
              </w:rPr>
              <w:t>Informal Tender</w:t>
            </w:r>
          </w:p>
        </w:tc>
      </w:tr>
      <w:tr w:rsidR="00C365C7" w14:paraId="19A87CC0" w14:textId="77777777">
        <w:tc>
          <w:tcPr>
            <w:tcW w:w="5325" w:type="dxa"/>
          </w:tcPr>
          <w:p w14:paraId="2E56A6E1" w14:textId="77777777" w:rsidR="00C365C7" w:rsidRDefault="00DD1CBD">
            <w:pPr>
              <w:pStyle w:val="Normal1"/>
              <w:spacing w:after="0"/>
              <w:ind w:right="-280"/>
            </w:pPr>
            <w:r>
              <w:rPr>
                <w:sz w:val="24"/>
                <w:szCs w:val="24"/>
              </w:rPr>
              <w:t>Capital receipt proceeds from the disposal</w:t>
            </w:r>
          </w:p>
        </w:tc>
        <w:tc>
          <w:tcPr>
            <w:tcW w:w="3375" w:type="dxa"/>
          </w:tcPr>
          <w:p w14:paraId="4D4CE2E0" w14:textId="77777777" w:rsidR="00C365C7" w:rsidRDefault="00DD1CBD">
            <w:pPr>
              <w:pStyle w:val="Normal1"/>
              <w:widowControl w:val="0"/>
              <w:spacing w:after="0"/>
            </w:pPr>
            <w:r>
              <w:rPr>
                <w:sz w:val="24"/>
                <w:szCs w:val="24"/>
              </w:rPr>
              <w:t>No details available</w:t>
            </w:r>
          </w:p>
        </w:tc>
      </w:tr>
      <w:tr w:rsidR="00C365C7" w14:paraId="6A3066C2" w14:textId="77777777">
        <w:trPr>
          <w:trHeight w:val="340"/>
        </w:trPr>
        <w:tc>
          <w:tcPr>
            <w:tcW w:w="5325" w:type="dxa"/>
          </w:tcPr>
          <w:p w14:paraId="6FC68F43" w14:textId="77777777" w:rsidR="00C365C7" w:rsidRDefault="00DD1CBD">
            <w:pPr>
              <w:pStyle w:val="Normal1"/>
              <w:widowControl w:val="0"/>
              <w:spacing w:after="0"/>
            </w:pPr>
            <w:r>
              <w:rPr>
                <w:sz w:val="24"/>
                <w:szCs w:val="24"/>
              </w:rPr>
              <w:t>If Overage / Clawback Provisions included as part of the sale</w:t>
            </w:r>
          </w:p>
        </w:tc>
        <w:tc>
          <w:tcPr>
            <w:tcW w:w="3375" w:type="dxa"/>
          </w:tcPr>
          <w:p w14:paraId="2F73026A" w14:textId="77777777" w:rsidR="00C365C7" w:rsidRDefault="00DD1CBD">
            <w:pPr>
              <w:pStyle w:val="Normal1"/>
              <w:widowControl w:val="0"/>
              <w:spacing w:after="0"/>
            </w:pPr>
            <w:r>
              <w:rPr>
                <w:sz w:val="24"/>
                <w:szCs w:val="24"/>
              </w:rPr>
              <w:t>No details available</w:t>
            </w:r>
          </w:p>
        </w:tc>
      </w:tr>
    </w:tbl>
    <w:p w14:paraId="5DE320E7" w14:textId="77777777" w:rsidR="00C365C7" w:rsidRDefault="00C365C7">
      <w:pPr>
        <w:pStyle w:val="Normal1"/>
        <w:spacing w:after="0"/>
      </w:pPr>
    </w:p>
    <w:p w14:paraId="6D72247E" w14:textId="77777777" w:rsidR="00C365C7" w:rsidRDefault="00C365C7">
      <w:pPr>
        <w:pStyle w:val="Normal1"/>
        <w:spacing w:after="0"/>
      </w:pPr>
    </w:p>
    <w:p w14:paraId="4EEEE92A" w14:textId="77777777" w:rsidR="00C365C7" w:rsidRDefault="00C365C7">
      <w:pPr>
        <w:pStyle w:val="Normal1"/>
        <w:spacing w:after="0"/>
      </w:pPr>
    </w:p>
    <w:p w14:paraId="3E73BF9B" w14:textId="77777777" w:rsidR="00C365C7" w:rsidRDefault="00C365C7">
      <w:pPr>
        <w:pStyle w:val="Normal1"/>
        <w:spacing w:after="0"/>
      </w:pPr>
    </w:p>
    <w:p w14:paraId="798A84DB" w14:textId="77777777" w:rsidR="00C365C7" w:rsidRDefault="00C365C7">
      <w:pPr>
        <w:pStyle w:val="Normal1"/>
        <w:spacing w:after="0"/>
      </w:pPr>
    </w:p>
    <w:p w14:paraId="5217C6CF" w14:textId="77777777" w:rsidR="00C365C7" w:rsidRDefault="00C365C7">
      <w:pPr>
        <w:pStyle w:val="Normal1"/>
        <w:spacing w:after="0"/>
      </w:pPr>
    </w:p>
    <w:p w14:paraId="7532D9C6" w14:textId="77777777" w:rsidR="00C365C7" w:rsidRDefault="00C365C7">
      <w:pPr>
        <w:pStyle w:val="Normal1"/>
        <w:spacing w:after="0"/>
      </w:pPr>
    </w:p>
    <w:p w14:paraId="3AD97452" w14:textId="77777777" w:rsidR="00C365C7" w:rsidRDefault="00C365C7">
      <w:pPr>
        <w:pStyle w:val="Normal1"/>
        <w:spacing w:after="0"/>
      </w:pPr>
    </w:p>
    <w:p w14:paraId="43503D23" w14:textId="77777777" w:rsidR="00C365C7" w:rsidRDefault="00C365C7">
      <w:pPr>
        <w:pStyle w:val="Normal1"/>
        <w:spacing w:after="0"/>
      </w:pPr>
    </w:p>
    <w:p w14:paraId="78464F43" w14:textId="77777777" w:rsidR="00C365C7" w:rsidRDefault="00DD1CBD">
      <w:pPr>
        <w:pStyle w:val="Normal1"/>
      </w:pPr>
      <w:r>
        <w:br w:type="page"/>
      </w:r>
    </w:p>
    <w:p w14:paraId="3C5BBE97" w14:textId="77777777" w:rsidR="00C365C7" w:rsidRDefault="00C365C7">
      <w:pPr>
        <w:pStyle w:val="Normal1"/>
        <w:spacing w:after="0"/>
      </w:pPr>
    </w:p>
    <w:p w14:paraId="26AB8D6F" w14:textId="77777777" w:rsidR="00C365C7" w:rsidRDefault="00DD1CBD">
      <w:pPr>
        <w:pStyle w:val="Normal1"/>
        <w:spacing w:after="0"/>
      </w:pPr>
      <w:r>
        <w:rPr>
          <w:b/>
          <w:sz w:val="24"/>
          <w:szCs w:val="24"/>
        </w:rPr>
        <w:t>Case Study 11</w:t>
      </w:r>
      <w:r>
        <w:rPr>
          <w:sz w:val="24"/>
          <w:szCs w:val="24"/>
        </w:rPr>
        <w:t xml:space="preserve"> – 21 - 23 Bond Street, Dewsbury, Leeds WF13 1AX</w:t>
      </w:r>
    </w:p>
    <w:p w14:paraId="1E5DA85A" w14:textId="77777777" w:rsidR="00C365C7" w:rsidRDefault="00DD1CBD">
      <w:pPr>
        <w:pStyle w:val="Normal1"/>
        <w:spacing w:after="0"/>
      </w:pPr>
      <w:r>
        <w:rPr>
          <w:sz w:val="24"/>
          <w:szCs w:val="24"/>
        </w:rPr>
        <w:t xml:space="preserve"> </w:t>
      </w:r>
    </w:p>
    <w:tbl>
      <w:tblPr>
        <w:tblStyle w:val="aa"/>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392F02C0" w14:textId="77777777">
        <w:tc>
          <w:tcPr>
            <w:tcW w:w="5325" w:type="dxa"/>
          </w:tcPr>
          <w:p w14:paraId="0A10540C" w14:textId="77777777" w:rsidR="00C365C7" w:rsidRDefault="00DD1CBD">
            <w:pPr>
              <w:pStyle w:val="Normal1"/>
              <w:widowControl w:val="0"/>
              <w:spacing w:after="0"/>
            </w:pPr>
            <w:r>
              <w:rPr>
                <w:sz w:val="24"/>
                <w:szCs w:val="24"/>
              </w:rPr>
              <w:t>Government Department</w:t>
            </w:r>
          </w:p>
        </w:tc>
        <w:tc>
          <w:tcPr>
            <w:tcW w:w="3255" w:type="dxa"/>
          </w:tcPr>
          <w:p w14:paraId="2F75118C" w14:textId="77777777" w:rsidR="00C365C7" w:rsidRDefault="00DD1CBD">
            <w:pPr>
              <w:pStyle w:val="Normal1"/>
              <w:widowControl w:val="0"/>
              <w:spacing w:after="0"/>
            </w:pPr>
            <w:r>
              <w:rPr>
                <w:sz w:val="24"/>
                <w:szCs w:val="24"/>
              </w:rPr>
              <w:t>Arts Council England</w:t>
            </w:r>
          </w:p>
        </w:tc>
      </w:tr>
      <w:tr w:rsidR="00C365C7" w14:paraId="26217EF0" w14:textId="77777777">
        <w:tc>
          <w:tcPr>
            <w:tcW w:w="5325" w:type="dxa"/>
          </w:tcPr>
          <w:p w14:paraId="5B893FE3" w14:textId="77777777" w:rsidR="00C365C7" w:rsidRDefault="00DD1CBD">
            <w:pPr>
              <w:pStyle w:val="Normal1"/>
              <w:spacing w:after="0"/>
              <w:ind w:right="-280"/>
            </w:pPr>
            <w:r>
              <w:rPr>
                <w:sz w:val="24"/>
                <w:szCs w:val="24"/>
              </w:rPr>
              <w:t>Location of land or property</w:t>
            </w:r>
          </w:p>
        </w:tc>
        <w:tc>
          <w:tcPr>
            <w:tcW w:w="3255" w:type="dxa"/>
          </w:tcPr>
          <w:p w14:paraId="3B64D3E3" w14:textId="77777777" w:rsidR="00C365C7" w:rsidRDefault="00DD1CBD">
            <w:pPr>
              <w:pStyle w:val="Normal1"/>
              <w:widowControl w:val="0"/>
              <w:spacing w:after="0"/>
            </w:pPr>
            <w:r>
              <w:rPr>
                <w:sz w:val="24"/>
                <w:szCs w:val="24"/>
              </w:rPr>
              <w:t>21-23 Bond Street, Dewsbury, Leeds</w:t>
            </w:r>
          </w:p>
        </w:tc>
      </w:tr>
      <w:tr w:rsidR="00C365C7" w14:paraId="33ED24E4" w14:textId="77777777">
        <w:tc>
          <w:tcPr>
            <w:tcW w:w="5325" w:type="dxa"/>
          </w:tcPr>
          <w:p w14:paraId="6E0F7DFF" w14:textId="77777777" w:rsidR="00C365C7" w:rsidRDefault="00DD1CBD">
            <w:pPr>
              <w:pStyle w:val="Normal1"/>
              <w:spacing w:after="0"/>
              <w:ind w:right="-280"/>
            </w:pPr>
            <w:r>
              <w:rPr>
                <w:sz w:val="24"/>
                <w:szCs w:val="24"/>
              </w:rPr>
              <w:t>Size of land area</w:t>
            </w:r>
          </w:p>
        </w:tc>
        <w:tc>
          <w:tcPr>
            <w:tcW w:w="3255" w:type="dxa"/>
          </w:tcPr>
          <w:p w14:paraId="6361A468" w14:textId="77777777" w:rsidR="00C365C7" w:rsidRDefault="00DD1CBD">
            <w:pPr>
              <w:pStyle w:val="Normal1"/>
              <w:widowControl w:val="0"/>
              <w:spacing w:after="0"/>
            </w:pPr>
            <w:r>
              <w:rPr>
                <w:sz w:val="24"/>
                <w:szCs w:val="24"/>
              </w:rPr>
              <w:t>No details available</w:t>
            </w:r>
          </w:p>
        </w:tc>
      </w:tr>
      <w:tr w:rsidR="00C365C7" w14:paraId="2D0A9FBC" w14:textId="77777777">
        <w:tc>
          <w:tcPr>
            <w:tcW w:w="5325" w:type="dxa"/>
          </w:tcPr>
          <w:p w14:paraId="2BAD0304" w14:textId="2EA7745F"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255" w:type="dxa"/>
          </w:tcPr>
          <w:p w14:paraId="27596F2C" w14:textId="77777777" w:rsidR="00C365C7" w:rsidRDefault="00DD1CBD">
            <w:pPr>
              <w:pStyle w:val="Normal1"/>
              <w:widowControl w:val="0"/>
              <w:spacing w:after="0"/>
            </w:pPr>
            <w:r>
              <w:rPr>
                <w:sz w:val="24"/>
                <w:szCs w:val="24"/>
              </w:rPr>
              <w:t>Freehold</w:t>
            </w:r>
          </w:p>
        </w:tc>
      </w:tr>
      <w:tr w:rsidR="00C365C7" w14:paraId="5E81D75A" w14:textId="77777777">
        <w:tc>
          <w:tcPr>
            <w:tcW w:w="5325" w:type="dxa"/>
          </w:tcPr>
          <w:p w14:paraId="0B9EC458" w14:textId="77777777" w:rsidR="00C365C7" w:rsidRDefault="00DD1CBD">
            <w:pPr>
              <w:pStyle w:val="Normal1"/>
              <w:spacing w:after="0"/>
              <w:ind w:right="-280"/>
            </w:pPr>
            <w:r>
              <w:rPr>
                <w:sz w:val="24"/>
                <w:szCs w:val="24"/>
              </w:rPr>
              <w:t>Conditional or unconditional contract</w:t>
            </w:r>
          </w:p>
        </w:tc>
        <w:tc>
          <w:tcPr>
            <w:tcW w:w="3255" w:type="dxa"/>
          </w:tcPr>
          <w:p w14:paraId="64DF1DA9" w14:textId="77777777" w:rsidR="00C365C7" w:rsidRDefault="00DD1CBD">
            <w:pPr>
              <w:pStyle w:val="Normal1"/>
              <w:widowControl w:val="0"/>
              <w:spacing w:after="0"/>
            </w:pPr>
            <w:r>
              <w:rPr>
                <w:sz w:val="24"/>
                <w:szCs w:val="24"/>
              </w:rPr>
              <w:t>No details available</w:t>
            </w:r>
          </w:p>
        </w:tc>
      </w:tr>
      <w:tr w:rsidR="00C365C7" w14:paraId="3A4B2465" w14:textId="77777777">
        <w:tc>
          <w:tcPr>
            <w:tcW w:w="5325" w:type="dxa"/>
          </w:tcPr>
          <w:p w14:paraId="362F744F" w14:textId="77777777" w:rsidR="00C365C7" w:rsidRDefault="00DD1CBD">
            <w:pPr>
              <w:pStyle w:val="Normal1"/>
              <w:widowControl w:val="0"/>
              <w:spacing w:after="0"/>
            </w:pPr>
            <w:r>
              <w:rPr>
                <w:sz w:val="24"/>
                <w:szCs w:val="24"/>
              </w:rPr>
              <w:t>Date of Sale</w:t>
            </w:r>
          </w:p>
        </w:tc>
        <w:tc>
          <w:tcPr>
            <w:tcW w:w="3255" w:type="dxa"/>
          </w:tcPr>
          <w:p w14:paraId="558DC1A8" w14:textId="77777777" w:rsidR="00C365C7" w:rsidRDefault="00DD1CBD">
            <w:pPr>
              <w:pStyle w:val="Normal1"/>
              <w:widowControl w:val="0"/>
              <w:spacing w:after="0"/>
            </w:pPr>
            <w:r>
              <w:rPr>
                <w:sz w:val="24"/>
                <w:szCs w:val="24"/>
              </w:rPr>
              <w:t>30/04/2015</w:t>
            </w:r>
          </w:p>
        </w:tc>
      </w:tr>
      <w:tr w:rsidR="00C365C7" w14:paraId="498E5860" w14:textId="77777777">
        <w:tc>
          <w:tcPr>
            <w:tcW w:w="5325" w:type="dxa"/>
          </w:tcPr>
          <w:p w14:paraId="6FC012C7"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369D3F33" w14:textId="77777777" w:rsidR="00C365C7" w:rsidRDefault="00DD1CBD">
            <w:pPr>
              <w:pStyle w:val="Normal1"/>
              <w:widowControl w:val="0"/>
              <w:spacing w:after="0"/>
            </w:pPr>
            <w:r>
              <w:rPr>
                <w:sz w:val="24"/>
                <w:szCs w:val="24"/>
              </w:rPr>
              <w:t>No details available</w:t>
            </w:r>
          </w:p>
        </w:tc>
      </w:tr>
      <w:tr w:rsidR="00C365C7" w14:paraId="1EBAFA2E" w14:textId="77777777">
        <w:tc>
          <w:tcPr>
            <w:tcW w:w="5325" w:type="dxa"/>
          </w:tcPr>
          <w:p w14:paraId="74E13456" w14:textId="77777777" w:rsidR="00C365C7" w:rsidRDefault="00DD1CBD">
            <w:pPr>
              <w:pStyle w:val="Normal1"/>
              <w:spacing w:after="0"/>
              <w:ind w:right="-280"/>
            </w:pPr>
            <w:r>
              <w:rPr>
                <w:sz w:val="24"/>
                <w:szCs w:val="24"/>
              </w:rPr>
              <w:t>Capital receipt proceeds from the disposal</w:t>
            </w:r>
          </w:p>
        </w:tc>
        <w:tc>
          <w:tcPr>
            <w:tcW w:w="3255" w:type="dxa"/>
          </w:tcPr>
          <w:p w14:paraId="7EA1C2CC" w14:textId="77777777" w:rsidR="00C365C7" w:rsidRDefault="00DD1CBD">
            <w:pPr>
              <w:pStyle w:val="Normal1"/>
              <w:widowControl w:val="0"/>
              <w:spacing w:after="0"/>
            </w:pPr>
            <w:r>
              <w:rPr>
                <w:sz w:val="24"/>
                <w:szCs w:val="24"/>
              </w:rPr>
              <w:t>£500,000 (No 21), and £495,000 (No 23)</w:t>
            </w:r>
          </w:p>
        </w:tc>
      </w:tr>
      <w:tr w:rsidR="00C365C7" w14:paraId="478591FC" w14:textId="77777777">
        <w:tc>
          <w:tcPr>
            <w:tcW w:w="5325" w:type="dxa"/>
          </w:tcPr>
          <w:p w14:paraId="061C8A1C"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0FEB0E05" w14:textId="77777777" w:rsidR="00C365C7" w:rsidRDefault="00DD1CBD">
            <w:pPr>
              <w:pStyle w:val="Normal1"/>
              <w:widowControl w:val="0"/>
              <w:spacing w:after="0"/>
            </w:pPr>
            <w:r>
              <w:rPr>
                <w:sz w:val="24"/>
                <w:szCs w:val="24"/>
              </w:rPr>
              <w:t>No details available</w:t>
            </w:r>
          </w:p>
        </w:tc>
      </w:tr>
    </w:tbl>
    <w:p w14:paraId="6A3E44EA" w14:textId="77777777" w:rsidR="00C365C7" w:rsidRDefault="00DD1CBD">
      <w:pPr>
        <w:pStyle w:val="Normal1"/>
        <w:spacing w:after="0"/>
      </w:pPr>
      <w:r>
        <w:rPr>
          <w:sz w:val="24"/>
          <w:szCs w:val="24"/>
        </w:rPr>
        <w:t xml:space="preserve"> </w:t>
      </w:r>
    </w:p>
    <w:p w14:paraId="71E6B313" w14:textId="77777777" w:rsidR="00C365C7" w:rsidRDefault="00C365C7">
      <w:pPr>
        <w:pStyle w:val="Normal1"/>
        <w:spacing w:after="0"/>
      </w:pPr>
    </w:p>
    <w:p w14:paraId="3A70D996" w14:textId="77777777" w:rsidR="00C365C7" w:rsidRDefault="00C365C7">
      <w:pPr>
        <w:pStyle w:val="Normal1"/>
        <w:spacing w:after="0"/>
      </w:pPr>
    </w:p>
    <w:p w14:paraId="165828BC" w14:textId="77777777" w:rsidR="00C365C7" w:rsidRDefault="00C365C7">
      <w:pPr>
        <w:pStyle w:val="Normal1"/>
        <w:spacing w:after="0"/>
      </w:pPr>
    </w:p>
    <w:p w14:paraId="4F1F7496" w14:textId="77777777" w:rsidR="00C365C7" w:rsidRDefault="00DD1CBD">
      <w:pPr>
        <w:pStyle w:val="Normal1"/>
        <w:spacing w:after="0"/>
      </w:pPr>
      <w:r>
        <w:rPr>
          <w:b/>
          <w:sz w:val="24"/>
          <w:szCs w:val="24"/>
        </w:rPr>
        <w:t xml:space="preserve">Case Study 12 </w:t>
      </w:r>
      <w:r>
        <w:rPr>
          <w:sz w:val="24"/>
          <w:szCs w:val="24"/>
        </w:rPr>
        <w:t>- Old Post Office, No.25 Exhibition Road, London SW7 2DA</w:t>
      </w:r>
    </w:p>
    <w:p w14:paraId="04C8727E" w14:textId="77777777" w:rsidR="00C365C7" w:rsidRDefault="00DD1CBD">
      <w:pPr>
        <w:pStyle w:val="Normal1"/>
        <w:spacing w:after="0"/>
      </w:pPr>
      <w:r>
        <w:rPr>
          <w:sz w:val="24"/>
          <w:szCs w:val="24"/>
        </w:rPr>
        <w:t xml:space="preserve"> </w:t>
      </w:r>
    </w:p>
    <w:tbl>
      <w:tblPr>
        <w:tblStyle w:val="ab"/>
        <w:tblW w:w="858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255"/>
      </w:tblGrid>
      <w:tr w:rsidR="00C365C7" w14:paraId="34E88D72" w14:textId="77777777">
        <w:tc>
          <w:tcPr>
            <w:tcW w:w="5325" w:type="dxa"/>
          </w:tcPr>
          <w:p w14:paraId="18DCF0A4" w14:textId="77777777" w:rsidR="00C365C7" w:rsidRDefault="00DD1CBD">
            <w:pPr>
              <w:pStyle w:val="Normal1"/>
              <w:widowControl w:val="0"/>
              <w:spacing w:after="0"/>
            </w:pPr>
            <w:r>
              <w:rPr>
                <w:sz w:val="24"/>
                <w:szCs w:val="24"/>
              </w:rPr>
              <w:t>Government Department</w:t>
            </w:r>
          </w:p>
        </w:tc>
        <w:tc>
          <w:tcPr>
            <w:tcW w:w="3255" w:type="dxa"/>
          </w:tcPr>
          <w:p w14:paraId="6F088523" w14:textId="77777777" w:rsidR="00C365C7" w:rsidRDefault="00DD1CBD">
            <w:pPr>
              <w:pStyle w:val="Normal1"/>
              <w:widowControl w:val="0"/>
              <w:spacing w:after="0"/>
            </w:pPr>
            <w:r>
              <w:rPr>
                <w:sz w:val="24"/>
                <w:szCs w:val="24"/>
              </w:rPr>
              <w:t>National Museum of Science and Industry</w:t>
            </w:r>
          </w:p>
        </w:tc>
      </w:tr>
      <w:tr w:rsidR="00C365C7" w14:paraId="218F2048" w14:textId="77777777">
        <w:tc>
          <w:tcPr>
            <w:tcW w:w="5325" w:type="dxa"/>
          </w:tcPr>
          <w:p w14:paraId="58872076" w14:textId="77777777" w:rsidR="00C365C7" w:rsidRDefault="00DD1CBD">
            <w:pPr>
              <w:pStyle w:val="Normal1"/>
              <w:widowControl w:val="0"/>
              <w:spacing w:after="0"/>
            </w:pPr>
            <w:r>
              <w:rPr>
                <w:sz w:val="24"/>
                <w:szCs w:val="24"/>
              </w:rPr>
              <w:t>Location</w:t>
            </w:r>
          </w:p>
        </w:tc>
        <w:tc>
          <w:tcPr>
            <w:tcW w:w="3255" w:type="dxa"/>
          </w:tcPr>
          <w:p w14:paraId="52F524BC" w14:textId="77777777" w:rsidR="00C365C7" w:rsidRDefault="00DD1CBD">
            <w:pPr>
              <w:pStyle w:val="Normal1"/>
              <w:widowControl w:val="0"/>
              <w:spacing w:after="0"/>
            </w:pPr>
            <w:r>
              <w:rPr>
                <w:sz w:val="24"/>
                <w:szCs w:val="24"/>
              </w:rPr>
              <w:t>Old Post Office, No.25 Exhibition Road, London</w:t>
            </w:r>
          </w:p>
        </w:tc>
      </w:tr>
      <w:tr w:rsidR="00C365C7" w14:paraId="07AEC6EA" w14:textId="77777777">
        <w:tc>
          <w:tcPr>
            <w:tcW w:w="5325" w:type="dxa"/>
          </w:tcPr>
          <w:p w14:paraId="0AD637C9" w14:textId="77777777" w:rsidR="00C365C7" w:rsidRDefault="00DD1CBD">
            <w:pPr>
              <w:pStyle w:val="Normal1"/>
              <w:spacing w:after="0"/>
              <w:ind w:right="-280"/>
            </w:pPr>
            <w:r>
              <w:rPr>
                <w:sz w:val="24"/>
                <w:szCs w:val="24"/>
              </w:rPr>
              <w:t>Size of land area</w:t>
            </w:r>
          </w:p>
        </w:tc>
        <w:tc>
          <w:tcPr>
            <w:tcW w:w="3255" w:type="dxa"/>
          </w:tcPr>
          <w:p w14:paraId="5726D463" w14:textId="77777777" w:rsidR="00C365C7" w:rsidRDefault="00DD1CBD">
            <w:pPr>
              <w:pStyle w:val="Normal1"/>
              <w:widowControl w:val="0"/>
              <w:spacing w:after="0"/>
            </w:pPr>
            <w:r>
              <w:rPr>
                <w:sz w:val="24"/>
                <w:szCs w:val="24"/>
              </w:rPr>
              <w:t>No details available</w:t>
            </w:r>
          </w:p>
        </w:tc>
      </w:tr>
      <w:tr w:rsidR="00C365C7" w14:paraId="1CDD9255" w14:textId="77777777">
        <w:tc>
          <w:tcPr>
            <w:tcW w:w="5325" w:type="dxa"/>
          </w:tcPr>
          <w:p w14:paraId="5711B687" w14:textId="4522D996"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255" w:type="dxa"/>
          </w:tcPr>
          <w:p w14:paraId="5D9449BC" w14:textId="77777777" w:rsidR="00C365C7" w:rsidRDefault="00DD1CBD">
            <w:pPr>
              <w:pStyle w:val="Normal1"/>
              <w:widowControl w:val="0"/>
              <w:spacing w:after="0"/>
            </w:pPr>
            <w:r>
              <w:rPr>
                <w:sz w:val="24"/>
                <w:szCs w:val="24"/>
              </w:rPr>
              <w:t xml:space="preserve">Freehold, although part subject to long leasehold </w:t>
            </w:r>
          </w:p>
        </w:tc>
      </w:tr>
      <w:tr w:rsidR="00C365C7" w14:paraId="09AB5ED4" w14:textId="77777777">
        <w:tc>
          <w:tcPr>
            <w:tcW w:w="5325" w:type="dxa"/>
          </w:tcPr>
          <w:p w14:paraId="7B4382F8" w14:textId="77777777" w:rsidR="00C365C7" w:rsidRDefault="00DD1CBD">
            <w:pPr>
              <w:pStyle w:val="Normal1"/>
              <w:spacing w:after="0"/>
              <w:ind w:right="-280"/>
            </w:pPr>
            <w:r>
              <w:rPr>
                <w:sz w:val="24"/>
                <w:szCs w:val="24"/>
              </w:rPr>
              <w:t>Conditional or unconditional contract</w:t>
            </w:r>
          </w:p>
        </w:tc>
        <w:tc>
          <w:tcPr>
            <w:tcW w:w="3255" w:type="dxa"/>
          </w:tcPr>
          <w:p w14:paraId="680457DB" w14:textId="77777777" w:rsidR="00C365C7" w:rsidRDefault="00DD1CBD">
            <w:pPr>
              <w:pStyle w:val="Normal1"/>
              <w:widowControl w:val="0"/>
              <w:spacing w:after="0"/>
            </w:pPr>
            <w:r>
              <w:rPr>
                <w:sz w:val="24"/>
                <w:szCs w:val="24"/>
              </w:rPr>
              <w:t>No details available</w:t>
            </w:r>
          </w:p>
        </w:tc>
      </w:tr>
      <w:tr w:rsidR="00C365C7" w14:paraId="56C56DB1" w14:textId="77777777">
        <w:tc>
          <w:tcPr>
            <w:tcW w:w="5325" w:type="dxa"/>
          </w:tcPr>
          <w:p w14:paraId="0E619E92" w14:textId="77777777" w:rsidR="00C365C7" w:rsidRDefault="00DD1CBD">
            <w:pPr>
              <w:pStyle w:val="Normal1"/>
              <w:widowControl w:val="0"/>
              <w:spacing w:after="0"/>
            </w:pPr>
            <w:r>
              <w:rPr>
                <w:sz w:val="24"/>
                <w:szCs w:val="24"/>
              </w:rPr>
              <w:t>Date of Sale</w:t>
            </w:r>
          </w:p>
        </w:tc>
        <w:tc>
          <w:tcPr>
            <w:tcW w:w="3255" w:type="dxa"/>
          </w:tcPr>
          <w:p w14:paraId="520CF951" w14:textId="77777777" w:rsidR="00C365C7" w:rsidRDefault="00DD1CBD">
            <w:pPr>
              <w:pStyle w:val="Normal1"/>
              <w:widowControl w:val="0"/>
              <w:spacing w:after="0"/>
            </w:pPr>
            <w:r>
              <w:rPr>
                <w:sz w:val="24"/>
                <w:szCs w:val="24"/>
              </w:rPr>
              <w:t>24/04/2015</w:t>
            </w:r>
          </w:p>
        </w:tc>
      </w:tr>
      <w:tr w:rsidR="00C365C7" w14:paraId="5E2A7A8F" w14:textId="77777777">
        <w:tc>
          <w:tcPr>
            <w:tcW w:w="5325" w:type="dxa"/>
          </w:tcPr>
          <w:p w14:paraId="6F0E1443"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255" w:type="dxa"/>
          </w:tcPr>
          <w:p w14:paraId="0A2C3CF0" w14:textId="77777777" w:rsidR="00C365C7" w:rsidRDefault="00DD1CBD">
            <w:pPr>
              <w:pStyle w:val="Normal1"/>
              <w:widowControl w:val="0"/>
              <w:spacing w:after="0"/>
            </w:pPr>
            <w:r>
              <w:rPr>
                <w:sz w:val="24"/>
                <w:szCs w:val="24"/>
              </w:rPr>
              <w:t>No details available</w:t>
            </w:r>
          </w:p>
        </w:tc>
      </w:tr>
      <w:tr w:rsidR="00C365C7" w14:paraId="4B54A777" w14:textId="77777777">
        <w:tc>
          <w:tcPr>
            <w:tcW w:w="5325" w:type="dxa"/>
          </w:tcPr>
          <w:p w14:paraId="1EACA2B5" w14:textId="77777777" w:rsidR="00C365C7" w:rsidRDefault="00DD1CBD">
            <w:pPr>
              <w:pStyle w:val="Normal1"/>
              <w:spacing w:after="0"/>
              <w:ind w:right="-280"/>
            </w:pPr>
            <w:r>
              <w:rPr>
                <w:sz w:val="24"/>
                <w:szCs w:val="24"/>
              </w:rPr>
              <w:t>Capital receipt proceeds from the disposal</w:t>
            </w:r>
          </w:p>
        </w:tc>
        <w:tc>
          <w:tcPr>
            <w:tcW w:w="3255" w:type="dxa"/>
          </w:tcPr>
          <w:p w14:paraId="5FEABCAA" w14:textId="77777777" w:rsidR="00C365C7" w:rsidRDefault="00DD1CBD">
            <w:pPr>
              <w:pStyle w:val="Normal1"/>
              <w:widowControl w:val="0"/>
              <w:spacing w:after="0"/>
            </w:pPr>
            <w:r>
              <w:rPr>
                <w:sz w:val="24"/>
                <w:szCs w:val="24"/>
              </w:rPr>
              <w:t>£27,545,998</w:t>
            </w:r>
          </w:p>
        </w:tc>
      </w:tr>
      <w:tr w:rsidR="00C365C7" w14:paraId="7CEBC6E0" w14:textId="77777777">
        <w:tc>
          <w:tcPr>
            <w:tcW w:w="5325" w:type="dxa"/>
          </w:tcPr>
          <w:p w14:paraId="09A954AE" w14:textId="77777777" w:rsidR="00C365C7" w:rsidRDefault="00DD1CBD">
            <w:pPr>
              <w:pStyle w:val="Normal1"/>
              <w:widowControl w:val="0"/>
              <w:spacing w:after="0"/>
            </w:pPr>
            <w:r>
              <w:rPr>
                <w:sz w:val="24"/>
                <w:szCs w:val="24"/>
              </w:rPr>
              <w:t>If Overage / Clawback Provisions included as part of the sale</w:t>
            </w:r>
          </w:p>
        </w:tc>
        <w:tc>
          <w:tcPr>
            <w:tcW w:w="3255" w:type="dxa"/>
          </w:tcPr>
          <w:p w14:paraId="40223F86" w14:textId="77777777" w:rsidR="00C365C7" w:rsidRDefault="00DD1CBD">
            <w:pPr>
              <w:pStyle w:val="Normal1"/>
              <w:widowControl w:val="0"/>
              <w:spacing w:after="0"/>
            </w:pPr>
            <w:r>
              <w:rPr>
                <w:sz w:val="24"/>
                <w:szCs w:val="24"/>
              </w:rPr>
              <w:t>No details available</w:t>
            </w:r>
          </w:p>
        </w:tc>
      </w:tr>
    </w:tbl>
    <w:p w14:paraId="7C397F59" w14:textId="77777777" w:rsidR="00C365C7" w:rsidRDefault="00DD1CBD">
      <w:pPr>
        <w:pStyle w:val="Normal1"/>
        <w:spacing w:after="0"/>
      </w:pPr>
      <w:r>
        <w:rPr>
          <w:sz w:val="24"/>
          <w:szCs w:val="24"/>
        </w:rPr>
        <w:t xml:space="preserve"> </w:t>
      </w:r>
    </w:p>
    <w:p w14:paraId="44D782D3" w14:textId="77777777" w:rsidR="00C365C7" w:rsidRDefault="00C365C7">
      <w:pPr>
        <w:pStyle w:val="Normal1"/>
        <w:spacing w:after="0"/>
      </w:pPr>
    </w:p>
    <w:p w14:paraId="1AC2BE7C" w14:textId="77777777" w:rsidR="00C365C7" w:rsidRDefault="00C365C7">
      <w:pPr>
        <w:pStyle w:val="Normal1"/>
        <w:spacing w:after="0"/>
      </w:pPr>
    </w:p>
    <w:p w14:paraId="3C1248C1" w14:textId="77777777" w:rsidR="00C365C7" w:rsidRDefault="00C365C7">
      <w:pPr>
        <w:pStyle w:val="Normal1"/>
        <w:spacing w:after="0"/>
      </w:pPr>
    </w:p>
    <w:p w14:paraId="247DE650" w14:textId="77777777" w:rsidR="00C365C7" w:rsidRDefault="00C365C7">
      <w:pPr>
        <w:pStyle w:val="Normal1"/>
        <w:spacing w:after="0"/>
      </w:pPr>
    </w:p>
    <w:p w14:paraId="0CF94882" w14:textId="77777777" w:rsidR="00C365C7" w:rsidRDefault="00C365C7">
      <w:pPr>
        <w:pStyle w:val="Normal1"/>
        <w:spacing w:after="0"/>
      </w:pPr>
    </w:p>
    <w:p w14:paraId="525F549B" w14:textId="77777777" w:rsidR="00C365C7" w:rsidRDefault="00DD1CBD">
      <w:pPr>
        <w:pStyle w:val="Normal1"/>
      </w:pPr>
      <w:r>
        <w:br w:type="page"/>
      </w:r>
    </w:p>
    <w:p w14:paraId="2E3D8CAF" w14:textId="77777777" w:rsidR="00C365C7" w:rsidRDefault="00C365C7">
      <w:pPr>
        <w:pStyle w:val="Normal1"/>
        <w:spacing w:after="0"/>
      </w:pPr>
    </w:p>
    <w:p w14:paraId="0A4AEF44" w14:textId="77777777" w:rsidR="00C365C7" w:rsidRDefault="00DD1CBD">
      <w:pPr>
        <w:pStyle w:val="Normal1"/>
        <w:spacing w:after="0"/>
      </w:pPr>
      <w:r>
        <w:rPr>
          <w:b/>
          <w:sz w:val="24"/>
          <w:szCs w:val="24"/>
        </w:rPr>
        <w:t>Case Study 13</w:t>
      </w:r>
      <w:r>
        <w:rPr>
          <w:sz w:val="24"/>
          <w:szCs w:val="24"/>
        </w:rPr>
        <w:t xml:space="preserve"> - Berkeley Centre, Berkeley, Gloucester</w:t>
      </w:r>
    </w:p>
    <w:p w14:paraId="77C9C76F" w14:textId="77777777" w:rsidR="00C365C7" w:rsidRDefault="00DD1CBD">
      <w:pPr>
        <w:pStyle w:val="Normal1"/>
        <w:spacing w:after="0"/>
      </w:pPr>
      <w:r>
        <w:rPr>
          <w:sz w:val="24"/>
          <w:szCs w:val="24"/>
        </w:rPr>
        <w:t xml:space="preserve"> </w:t>
      </w:r>
    </w:p>
    <w:tbl>
      <w:tblPr>
        <w:tblStyle w:val="ac"/>
        <w:tblW w:w="867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345"/>
      </w:tblGrid>
      <w:tr w:rsidR="00C365C7" w14:paraId="32D69B5F" w14:textId="77777777">
        <w:tc>
          <w:tcPr>
            <w:tcW w:w="5325" w:type="dxa"/>
          </w:tcPr>
          <w:p w14:paraId="12F4F552" w14:textId="77777777" w:rsidR="00C365C7" w:rsidRDefault="00DD1CBD">
            <w:pPr>
              <w:pStyle w:val="Normal1"/>
              <w:widowControl w:val="0"/>
              <w:spacing w:after="0"/>
            </w:pPr>
            <w:r>
              <w:rPr>
                <w:sz w:val="24"/>
                <w:szCs w:val="24"/>
              </w:rPr>
              <w:t>Government Department</w:t>
            </w:r>
          </w:p>
        </w:tc>
        <w:tc>
          <w:tcPr>
            <w:tcW w:w="3345" w:type="dxa"/>
          </w:tcPr>
          <w:p w14:paraId="5A741857" w14:textId="77777777" w:rsidR="00C365C7" w:rsidRDefault="00DD1CBD">
            <w:pPr>
              <w:pStyle w:val="Normal1"/>
              <w:widowControl w:val="0"/>
              <w:spacing w:after="0"/>
            </w:pPr>
            <w:r>
              <w:rPr>
                <w:sz w:val="24"/>
                <w:szCs w:val="24"/>
              </w:rPr>
              <w:t>Nuclear De-commissioning Authority</w:t>
            </w:r>
          </w:p>
        </w:tc>
      </w:tr>
      <w:tr w:rsidR="00C365C7" w14:paraId="7179049F" w14:textId="77777777">
        <w:tc>
          <w:tcPr>
            <w:tcW w:w="5325" w:type="dxa"/>
          </w:tcPr>
          <w:p w14:paraId="6E135636" w14:textId="77777777" w:rsidR="00C365C7" w:rsidRDefault="00DD1CBD">
            <w:pPr>
              <w:pStyle w:val="Normal1"/>
              <w:spacing w:after="0"/>
              <w:ind w:right="-280"/>
            </w:pPr>
            <w:r>
              <w:rPr>
                <w:sz w:val="24"/>
                <w:szCs w:val="24"/>
              </w:rPr>
              <w:t>Location of land or property</w:t>
            </w:r>
          </w:p>
        </w:tc>
        <w:tc>
          <w:tcPr>
            <w:tcW w:w="3345" w:type="dxa"/>
          </w:tcPr>
          <w:p w14:paraId="76DF597D" w14:textId="77777777" w:rsidR="00C365C7" w:rsidRDefault="00DD1CBD">
            <w:pPr>
              <w:pStyle w:val="Normal1"/>
              <w:widowControl w:val="0"/>
              <w:spacing w:after="0"/>
            </w:pPr>
            <w:r>
              <w:rPr>
                <w:sz w:val="24"/>
                <w:szCs w:val="24"/>
              </w:rPr>
              <w:t>Berkeley Centre, Berkeley, Gloucester</w:t>
            </w:r>
          </w:p>
        </w:tc>
      </w:tr>
      <w:tr w:rsidR="00C365C7" w14:paraId="0E835FFD" w14:textId="77777777">
        <w:tc>
          <w:tcPr>
            <w:tcW w:w="5325" w:type="dxa"/>
          </w:tcPr>
          <w:p w14:paraId="4AB33D79" w14:textId="77777777" w:rsidR="00C365C7" w:rsidRDefault="00DD1CBD">
            <w:pPr>
              <w:pStyle w:val="Normal1"/>
              <w:spacing w:after="0"/>
              <w:ind w:right="-280"/>
            </w:pPr>
            <w:r>
              <w:rPr>
                <w:sz w:val="24"/>
                <w:szCs w:val="24"/>
              </w:rPr>
              <w:t>Size of land area</w:t>
            </w:r>
          </w:p>
        </w:tc>
        <w:tc>
          <w:tcPr>
            <w:tcW w:w="3345" w:type="dxa"/>
          </w:tcPr>
          <w:p w14:paraId="594A3295" w14:textId="77777777" w:rsidR="00C365C7" w:rsidRDefault="00DD1CBD">
            <w:pPr>
              <w:pStyle w:val="Normal1"/>
              <w:widowControl w:val="0"/>
              <w:spacing w:after="0"/>
            </w:pPr>
            <w:r>
              <w:rPr>
                <w:sz w:val="24"/>
                <w:szCs w:val="24"/>
              </w:rPr>
              <w:t>14.24 hectares</w:t>
            </w:r>
          </w:p>
        </w:tc>
      </w:tr>
      <w:tr w:rsidR="00C365C7" w14:paraId="3DC53924" w14:textId="77777777">
        <w:tc>
          <w:tcPr>
            <w:tcW w:w="5325" w:type="dxa"/>
          </w:tcPr>
          <w:p w14:paraId="610628ED" w14:textId="1E9997D2"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345" w:type="dxa"/>
          </w:tcPr>
          <w:p w14:paraId="445CF8E5" w14:textId="77777777" w:rsidR="00C365C7" w:rsidRDefault="00DD1CBD">
            <w:pPr>
              <w:pStyle w:val="Normal1"/>
              <w:widowControl w:val="0"/>
              <w:spacing w:after="0"/>
            </w:pPr>
            <w:r>
              <w:rPr>
                <w:sz w:val="24"/>
                <w:szCs w:val="24"/>
              </w:rPr>
              <w:t>No details available</w:t>
            </w:r>
          </w:p>
        </w:tc>
      </w:tr>
      <w:tr w:rsidR="00C365C7" w14:paraId="13A46FFF" w14:textId="77777777">
        <w:tc>
          <w:tcPr>
            <w:tcW w:w="5325" w:type="dxa"/>
          </w:tcPr>
          <w:p w14:paraId="522DECA6" w14:textId="77777777" w:rsidR="00C365C7" w:rsidRDefault="00DD1CBD">
            <w:pPr>
              <w:pStyle w:val="Normal1"/>
              <w:spacing w:after="0"/>
              <w:ind w:right="-280"/>
            </w:pPr>
            <w:r>
              <w:rPr>
                <w:sz w:val="24"/>
                <w:szCs w:val="24"/>
              </w:rPr>
              <w:t>Conditional or unconditional contract</w:t>
            </w:r>
          </w:p>
        </w:tc>
        <w:tc>
          <w:tcPr>
            <w:tcW w:w="3345" w:type="dxa"/>
          </w:tcPr>
          <w:p w14:paraId="46DC7C96" w14:textId="77777777" w:rsidR="00C365C7" w:rsidRDefault="00DD1CBD">
            <w:pPr>
              <w:pStyle w:val="Normal1"/>
              <w:widowControl w:val="0"/>
              <w:spacing w:after="0"/>
            </w:pPr>
            <w:r>
              <w:rPr>
                <w:sz w:val="24"/>
                <w:szCs w:val="24"/>
              </w:rPr>
              <w:t>No details available</w:t>
            </w:r>
          </w:p>
        </w:tc>
      </w:tr>
      <w:tr w:rsidR="00C365C7" w14:paraId="3701FFA4" w14:textId="77777777">
        <w:tc>
          <w:tcPr>
            <w:tcW w:w="5325" w:type="dxa"/>
          </w:tcPr>
          <w:p w14:paraId="26693386" w14:textId="77777777" w:rsidR="00C365C7" w:rsidRDefault="00DD1CBD">
            <w:pPr>
              <w:pStyle w:val="Normal1"/>
              <w:widowControl w:val="0"/>
              <w:spacing w:after="0"/>
            </w:pPr>
            <w:r>
              <w:rPr>
                <w:sz w:val="24"/>
                <w:szCs w:val="24"/>
              </w:rPr>
              <w:t>Date of Sale</w:t>
            </w:r>
          </w:p>
        </w:tc>
        <w:tc>
          <w:tcPr>
            <w:tcW w:w="3345" w:type="dxa"/>
          </w:tcPr>
          <w:p w14:paraId="2CEA63C3" w14:textId="77777777" w:rsidR="00C365C7" w:rsidRDefault="00DD1CBD">
            <w:pPr>
              <w:pStyle w:val="Normal1"/>
              <w:widowControl w:val="0"/>
              <w:spacing w:after="0"/>
            </w:pPr>
            <w:r>
              <w:rPr>
                <w:sz w:val="24"/>
                <w:szCs w:val="24"/>
              </w:rPr>
              <w:t>14/08/2015</w:t>
            </w:r>
          </w:p>
        </w:tc>
      </w:tr>
      <w:tr w:rsidR="00C365C7" w14:paraId="693F60D3" w14:textId="77777777">
        <w:tc>
          <w:tcPr>
            <w:tcW w:w="5325" w:type="dxa"/>
          </w:tcPr>
          <w:p w14:paraId="62B8FB36"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345" w:type="dxa"/>
          </w:tcPr>
          <w:p w14:paraId="6D8A2F24" w14:textId="77777777" w:rsidR="00C365C7" w:rsidRDefault="00DD1CBD">
            <w:pPr>
              <w:pStyle w:val="Normal1"/>
              <w:widowControl w:val="0"/>
              <w:spacing w:after="0"/>
            </w:pPr>
            <w:r>
              <w:rPr>
                <w:sz w:val="24"/>
                <w:szCs w:val="24"/>
              </w:rPr>
              <w:t>No details available</w:t>
            </w:r>
          </w:p>
        </w:tc>
      </w:tr>
      <w:tr w:rsidR="00C365C7" w14:paraId="51F99952" w14:textId="77777777">
        <w:tc>
          <w:tcPr>
            <w:tcW w:w="5325" w:type="dxa"/>
          </w:tcPr>
          <w:p w14:paraId="3F727C75" w14:textId="77777777" w:rsidR="00C365C7" w:rsidRDefault="00DD1CBD">
            <w:pPr>
              <w:pStyle w:val="Normal1"/>
              <w:spacing w:after="0"/>
              <w:ind w:right="-280"/>
            </w:pPr>
            <w:r>
              <w:rPr>
                <w:sz w:val="24"/>
                <w:szCs w:val="24"/>
              </w:rPr>
              <w:t>Capital receipt proceeds from the disposal</w:t>
            </w:r>
          </w:p>
        </w:tc>
        <w:tc>
          <w:tcPr>
            <w:tcW w:w="3345" w:type="dxa"/>
          </w:tcPr>
          <w:p w14:paraId="261D6D5F" w14:textId="77777777" w:rsidR="00C365C7" w:rsidRDefault="00DD1CBD">
            <w:pPr>
              <w:pStyle w:val="Normal1"/>
              <w:widowControl w:val="0"/>
              <w:spacing w:after="0"/>
            </w:pPr>
            <w:r>
              <w:rPr>
                <w:sz w:val="24"/>
                <w:szCs w:val="24"/>
              </w:rPr>
              <w:t>No details available</w:t>
            </w:r>
          </w:p>
        </w:tc>
      </w:tr>
      <w:tr w:rsidR="00C365C7" w14:paraId="7695DCD1" w14:textId="77777777">
        <w:tc>
          <w:tcPr>
            <w:tcW w:w="5325" w:type="dxa"/>
          </w:tcPr>
          <w:p w14:paraId="6F7BC763" w14:textId="77777777" w:rsidR="00C365C7" w:rsidRDefault="00DD1CBD">
            <w:pPr>
              <w:pStyle w:val="Normal1"/>
              <w:widowControl w:val="0"/>
              <w:spacing w:after="0"/>
            </w:pPr>
            <w:r>
              <w:rPr>
                <w:sz w:val="24"/>
                <w:szCs w:val="24"/>
              </w:rPr>
              <w:t>If Overage / Clawback Provisions included as part of the sale</w:t>
            </w:r>
          </w:p>
        </w:tc>
        <w:tc>
          <w:tcPr>
            <w:tcW w:w="3345" w:type="dxa"/>
          </w:tcPr>
          <w:p w14:paraId="7A9D10AE" w14:textId="77777777" w:rsidR="00C365C7" w:rsidRDefault="00DD1CBD">
            <w:pPr>
              <w:pStyle w:val="Normal1"/>
              <w:widowControl w:val="0"/>
              <w:spacing w:after="0"/>
            </w:pPr>
            <w:r>
              <w:rPr>
                <w:sz w:val="24"/>
                <w:szCs w:val="24"/>
              </w:rPr>
              <w:t>No details available</w:t>
            </w:r>
          </w:p>
        </w:tc>
      </w:tr>
    </w:tbl>
    <w:p w14:paraId="6E4536A2" w14:textId="77777777" w:rsidR="00C365C7" w:rsidRDefault="00DD1CBD">
      <w:pPr>
        <w:pStyle w:val="Normal1"/>
        <w:spacing w:after="0"/>
      </w:pPr>
      <w:r>
        <w:rPr>
          <w:sz w:val="24"/>
          <w:szCs w:val="24"/>
        </w:rPr>
        <w:t xml:space="preserve"> </w:t>
      </w:r>
    </w:p>
    <w:p w14:paraId="704DD6AA" w14:textId="77777777" w:rsidR="00C365C7" w:rsidRDefault="00C365C7">
      <w:pPr>
        <w:pStyle w:val="Normal1"/>
        <w:spacing w:after="0"/>
      </w:pPr>
    </w:p>
    <w:p w14:paraId="753134A9" w14:textId="77777777" w:rsidR="00C365C7" w:rsidRDefault="00C365C7">
      <w:pPr>
        <w:pStyle w:val="Normal1"/>
        <w:spacing w:after="0"/>
      </w:pPr>
    </w:p>
    <w:p w14:paraId="7BBE2FCD" w14:textId="77777777" w:rsidR="00C365C7" w:rsidRDefault="00C365C7">
      <w:pPr>
        <w:pStyle w:val="Normal1"/>
        <w:spacing w:after="0"/>
      </w:pPr>
    </w:p>
    <w:p w14:paraId="4A3CC7C7" w14:textId="77777777" w:rsidR="00C365C7" w:rsidRDefault="00DD1CBD">
      <w:pPr>
        <w:pStyle w:val="Normal1"/>
        <w:spacing w:after="0"/>
      </w:pPr>
      <w:r>
        <w:rPr>
          <w:b/>
          <w:sz w:val="24"/>
          <w:szCs w:val="24"/>
        </w:rPr>
        <w:t>Case Study 14</w:t>
      </w:r>
      <w:r>
        <w:rPr>
          <w:sz w:val="24"/>
          <w:szCs w:val="24"/>
        </w:rPr>
        <w:t xml:space="preserve"> - Laurel Cottage, </w:t>
      </w:r>
      <w:proofErr w:type="spellStart"/>
      <w:r>
        <w:rPr>
          <w:sz w:val="24"/>
          <w:szCs w:val="24"/>
        </w:rPr>
        <w:t>Dovenby</w:t>
      </w:r>
      <w:proofErr w:type="spellEnd"/>
      <w:r>
        <w:rPr>
          <w:sz w:val="24"/>
          <w:szCs w:val="24"/>
        </w:rPr>
        <w:t xml:space="preserve">, </w:t>
      </w:r>
      <w:proofErr w:type="spellStart"/>
      <w:r>
        <w:rPr>
          <w:sz w:val="24"/>
          <w:szCs w:val="24"/>
        </w:rPr>
        <w:t>Cockermouth</w:t>
      </w:r>
      <w:proofErr w:type="spellEnd"/>
      <w:r>
        <w:rPr>
          <w:sz w:val="24"/>
          <w:szCs w:val="24"/>
        </w:rPr>
        <w:t>, Cumbria</w:t>
      </w:r>
    </w:p>
    <w:p w14:paraId="18C90452" w14:textId="77777777" w:rsidR="00C365C7" w:rsidRDefault="00DD1CBD">
      <w:pPr>
        <w:pStyle w:val="Normal1"/>
        <w:spacing w:after="0"/>
      </w:pPr>
      <w:r>
        <w:rPr>
          <w:sz w:val="24"/>
          <w:szCs w:val="24"/>
        </w:rPr>
        <w:t xml:space="preserve"> </w:t>
      </w:r>
    </w:p>
    <w:tbl>
      <w:tblPr>
        <w:tblStyle w:val="ad"/>
        <w:tblW w:w="867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3345"/>
      </w:tblGrid>
      <w:tr w:rsidR="00C365C7" w14:paraId="60A9C306" w14:textId="77777777">
        <w:tc>
          <w:tcPr>
            <w:tcW w:w="5325" w:type="dxa"/>
          </w:tcPr>
          <w:p w14:paraId="72B78E42" w14:textId="77777777" w:rsidR="00C365C7" w:rsidRDefault="00DD1CBD">
            <w:pPr>
              <w:pStyle w:val="Normal1"/>
              <w:widowControl w:val="0"/>
              <w:spacing w:after="0"/>
            </w:pPr>
            <w:r>
              <w:rPr>
                <w:sz w:val="24"/>
                <w:szCs w:val="24"/>
              </w:rPr>
              <w:t>Government Department</w:t>
            </w:r>
          </w:p>
        </w:tc>
        <w:tc>
          <w:tcPr>
            <w:tcW w:w="3345" w:type="dxa"/>
          </w:tcPr>
          <w:p w14:paraId="06D97D54" w14:textId="77777777" w:rsidR="00C365C7" w:rsidRDefault="00DD1CBD">
            <w:pPr>
              <w:pStyle w:val="Normal1"/>
              <w:widowControl w:val="0"/>
              <w:spacing w:after="0"/>
            </w:pPr>
            <w:r>
              <w:rPr>
                <w:sz w:val="24"/>
                <w:szCs w:val="24"/>
              </w:rPr>
              <w:t>Nuclear Decommissioning Authority</w:t>
            </w:r>
          </w:p>
        </w:tc>
      </w:tr>
      <w:tr w:rsidR="00C365C7" w14:paraId="7E793606" w14:textId="77777777">
        <w:tc>
          <w:tcPr>
            <w:tcW w:w="5325" w:type="dxa"/>
          </w:tcPr>
          <w:p w14:paraId="6BABB044" w14:textId="77777777" w:rsidR="00C365C7" w:rsidRDefault="00DD1CBD">
            <w:pPr>
              <w:pStyle w:val="Normal1"/>
              <w:spacing w:after="0"/>
              <w:ind w:right="-280"/>
            </w:pPr>
            <w:r>
              <w:rPr>
                <w:sz w:val="24"/>
                <w:szCs w:val="24"/>
              </w:rPr>
              <w:t>Location of land or property</w:t>
            </w:r>
          </w:p>
        </w:tc>
        <w:tc>
          <w:tcPr>
            <w:tcW w:w="3345" w:type="dxa"/>
          </w:tcPr>
          <w:p w14:paraId="349620E8" w14:textId="77777777" w:rsidR="00C365C7" w:rsidRDefault="00DD1CBD">
            <w:pPr>
              <w:pStyle w:val="Normal1"/>
              <w:widowControl w:val="0"/>
              <w:spacing w:after="0"/>
            </w:pPr>
            <w:r>
              <w:rPr>
                <w:sz w:val="24"/>
                <w:szCs w:val="24"/>
              </w:rPr>
              <w:t xml:space="preserve">Laurel Cottage, </w:t>
            </w:r>
            <w:proofErr w:type="spellStart"/>
            <w:r>
              <w:rPr>
                <w:sz w:val="24"/>
                <w:szCs w:val="24"/>
              </w:rPr>
              <w:t>Dovenby</w:t>
            </w:r>
            <w:proofErr w:type="spellEnd"/>
            <w:r>
              <w:rPr>
                <w:sz w:val="24"/>
                <w:szCs w:val="24"/>
              </w:rPr>
              <w:t xml:space="preserve">, </w:t>
            </w:r>
            <w:proofErr w:type="spellStart"/>
            <w:r>
              <w:rPr>
                <w:sz w:val="24"/>
                <w:szCs w:val="24"/>
              </w:rPr>
              <w:t>Cockermouth</w:t>
            </w:r>
            <w:proofErr w:type="spellEnd"/>
            <w:r>
              <w:rPr>
                <w:sz w:val="24"/>
                <w:szCs w:val="24"/>
              </w:rPr>
              <w:t>, Cumbria</w:t>
            </w:r>
          </w:p>
        </w:tc>
      </w:tr>
      <w:tr w:rsidR="00C365C7" w14:paraId="4A74940C" w14:textId="77777777">
        <w:tc>
          <w:tcPr>
            <w:tcW w:w="5325" w:type="dxa"/>
          </w:tcPr>
          <w:p w14:paraId="0B1A8AE8" w14:textId="77777777" w:rsidR="00C365C7" w:rsidRDefault="00DD1CBD">
            <w:pPr>
              <w:pStyle w:val="Normal1"/>
              <w:spacing w:after="0"/>
              <w:ind w:right="-280"/>
            </w:pPr>
            <w:r>
              <w:rPr>
                <w:sz w:val="24"/>
                <w:szCs w:val="24"/>
              </w:rPr>
              <w:t>Size of land area</w:t>
            </w:r>
          </w:p>
        </w:tc>
        <w:tc>
          <w:tcPr>
            <w:tcW w:w="3345" w:type="dxa"/>
          </w:tcPr>
          <w:p w14:paraId="144F8A2D" w14:textId="77777777" w:rsidR="00C365C7" w:rsidRDefault="00DD1CBD">
            <w:pPr>
              <w:pStyle w:val="Normal1"/>
              <w:widowControl w:val="0"/>
              <w:spacing w:after="0"/>
            </w:pPr>
            <w:r>
              <w:rPr>
                <w:sz w:val="24"/>
                <w:szCs w:val="24"/>
              </w:rPr>
              <w:t>No details available</w:t>
            </w:r>
          </w:p>
        </w:tc>
      </w:tr>
      <w:tr w:rsidR="00C365C7" w14:paraId="22BEE755" w14:textId="77777777">
        <w:tc>
          <w:tcPr>
            <w:tcW w:w="5325" w:type="dxa"/>
          </w:tcPr>
          <w:p w14:paraId="756076EF" w14:textId="1FBB1B92" w:rsidR="00C365C7" w:rsidRDefault="00DD1CBD" w:rsidP="00344B69">
            <w:pPr>
              <w:pStyle w:val="Normal1"/>
              <w:spacing w:after="0"/>
              <w:ind w:right="-280"/>
            </w:pPr>
            <w:r>
              <w:rPr>
                <w:sz w:val="24"/>
                <w:szCs w:val="24"/>
              </w:rPr>
              <w:t>Type of asset being disposed of (freehold</w:t>
            </w:r>
            <w:r w:rsidR="00344B69">
              <w:rPr>
                <w:sz w:val="24"/>
                <w:szCs w:val="24"/>
              </w:rPr>
              <w:t xml:space="preserve"> or</w:t>
            </w:r>
            <w:r>
              <w:rPr>
                <w:sz w:val="24"/>
                <w:szCs w:val="24"/>
              </w:rPr>
              <w:t xml:space="preserve"> leasehold)</w:t>
            </w:r>
          </w:p>
        </w:tc>
        <w:tc>
          <w:tcPr>
            <w:tcW w:w="3345" w:type="dxa"/>
          </w:tcPr>
          <w:p w14:paraId="10BFA238" w14:textId="77777777" w:rsidR="00C365C7" w:rsidRDefault="00DD1CBD">
            <w:pPr>
              <w:pStyle w:val="Normal1"/>
              <w:widowControl w:val="0"/>
              <w:spacing w:after="0"/>
            </w:pPr>
            <w:r>
              <w:rPr>
                <w:sz w:val="24"/>
                <w:szCs w:val="24"/>
              </w:rPr>
              <w:t xml:space="preserve"> Freehold</w:t>
            </w:r>
          </w:p>
        </w:tc>
      </w:tr>
      <w:tr w:rsidR="00C365C7" w14:paraId="0B2E2851" w14:textId="77777777">
        <w:tc>
          <w:tcPr>
            <w:tcW w:w="5325" w:type="dxa"/>
          </w:tcPr>
          <w:p w14:paraId="10BD6912" w14:textId="77777777" w:rsidR="00C365C7" w:rsidRDefault="00DD1CBD">
            <w:pPr>
              <w:pStyle w:val="Normal1"/>
              <w:spacing w:after="0"/>
              <w:ind w:right="-280"/>
            </w:pPr>
            <w:r>
              <w:rPr>
                <w:sz w:val="24"/>
                <w:szCs w:val="24"/>
              </w:rPr>
              <w:t>Conditional or unconditional contract</w:t>
            </w:r>
          </w:p>
        </w:tc>
        <w:tc>
          <w:tcPr>
            <w:tcW w:w="3345" w:type="dxa"/>
          </w:tcPr>
          <w:p w14:paraId="4D748C10" w14:textId="77777777" w:rsidR="00C365C7" w:rsidRDefault="00DD1CBD">
            <w:pPr>
              <w:pStyle w:val="Normal1"/>
              <w:widowControl w:val="0"/>
              <w:spacing w:after="0"/>
            </w:pPr>
            <w:r>
              <w:rPr>
                <w:sz w:val="24"/>
                <w:szCs w:val="24"/>
              </w:rPr>
              <w:t>No details available</w:t>
            </w:r>
          </w:p>
        </w:tc>
      </w:tr>
      <w:tr w:rsidR="00C365C7" w14:paraId="5FB43021" w14:textId="77777777">
        <w:tc>
          <w:tcPr>
            <w:tcW w:w="5325" w:type="dxa"/>
          </w:tcPr>
          <w:p w14:paraId="04CD717D" w14:textId="77777777" w:rsidR="00C365C7" w:rsidRDefault="00DD1CBD">
            <w:pPr>
              <w:pStyle w:val="Normal1"/>
              <w:widowControl w:val="0"/>
              <w:spacing w:after="0"/>
            </w:pPr>
            <w:r>
              <w:rPr>
                <w:sz w:val="24"/>
                <w:szCs w:val="24"/>
              </w:rPr>
              <w:t>Date of Sale</w:t>
            </w:r>
          </w:p>
        </w:tc>
        <w:tc>
          <w:tcPr>
            <w:tcW w:w="3345" w:type="dxa"/>
          </w:tcPr>
          <w:p w14:paraId="58877584" w14:textId="77777777" w:rsidR="00C365C7" w:rsidRDefault="00DD1CBD">
            <w:pPr>
              <w:pStyle w:val="Normal1"/>
              <w:widowControl w:val="0"/>
              <w:spacing w:after="0"/>
            </w:pPr>
            <w:r>
              <w:rPr>
                <w:sz w:val="24"/>
                <w:szCs w:val="24"/>
              </w:rPr>
              <w:t>29/07/2015</w:t>
            </w:r>
          </w:p>
        </w:tc>
      </w:tr>
      <w:tr w:rsidR="00C365C7" w14:paraId="6C4145A8" w14:textId="77777777">
        <w:tc>
          <w:tcPr>
            <w:tcW w:w="5325" w:type="dxa"/>
          </w:tcPr>
          <w:p w14:paraId="1EA74066" w14:textId="77777777" w:rsidR="00C365C7" w:rsidRDefault="00DD1CBD">
            <w:pPr>
              <w:pStyle w:val="Normal1"/>
              <w:widowControl w:val="0"/>
              <w:spacing w:after="0"/>
            </w:pPr>
            <w:r>
              <w:rPr>
                <w:sz w:val="24"/>
                <w:szCs w:val="24"/>
              </w:rPr>
              <w:t xml:space="preserve">Method of Disposal (i.e. private treaty, informal/formal tender, </w:t>
            </w:r>
            <w:proofErr w:type="spellStart"/>
            <w:r>
              <w:rPr>
                <w:sz w:val="24"/>
                <w:szCs w:val="24"/>
              </w:rPr>
              <w:t>etc</w:t>
            </w:r>
            <w:proofErr w:type="spellEnd"/>
            <w:r>
              <w:rPr>
                <w:sz w:val="24"/>
                <w:szCs w:val="24"/>
              </w:rPr>
              <w:t>)</w:t>
            </w:r>
          </w:p>
        </w:tc>
        <w:tc>
          <w:tcPr>
            <w:tcW w:w="3345" w:type="dxa"/>
          </w:tcPr>
          <w:p w14:paraId="115E5DCD" w14:textId="77777777" w:rsidR="00C365C7" w:rsidRDefault="00DD1CBD">
            <w:pPr>
              <w:pStyle w:val="Normal1"/>
              <w:widowControl w:val="0"/>
              <w:spacing w:after="0"/>
            </w:pPr>
            <w:r>
              <w:rPr>
                <w:sz w:val="24"/>
                <w:szCs w:val="24"/>
              </w:rPr>
              <w:t>No details available</w:t>
            </w:r>
          </w:p>
        </w:tc>
      </w:tr>
      <w:tr w:rsidR="00C365C7" w14:paraId="4C96D96F" w14:textId="77777777">
        <w:tc>
          <w:tcPr>
            <w:tcW w:w="5325" w:type="dxa"/>
          </w:tcPr>
          <w:p w14:paraId="1F1A231D" w14:textId="77777777" w:rsidR="00C365C7" w:rsidRDefault="00DD1CBD">
            <w:pPr>
              <w:pStyle w:val="Normal1"/>
              <w:spacing w:after="0"/>
              <w:ind w:right="-280"/>
            </w:pPr>
            <w:r>
              <w:rPr>
                <w:sz w:val="24"/>
                <w:szCs w:val="24"/>
              </w:rPr>
              <w:t>Capital receipt proceeds from the disposal</w:t>
            </w:r>
          </w:p>
        </w:tc>
        <w:tc>
          <w:tcPr>
            <w:tcW w:w="3345" w:type="dxa"/>
          </w:tcPr>
          <w:p w14:paraId="48C1C45C" w14:textId="77777777" w:rsidR="00C365C7" w:rsidRDefault="00DD1CBD">
            <w:pPr>
              <w:pStyle w:val="Normal1"/>
              <w:widowControl w:val="0"/>
              <w:spacing w:after="0"/>
            </w:pPr>
            <w:r>
              <w:rPr>
                <w:sz w:val="24"/>
                <w:szCs w:val="24"/>
              </w:rPr>
              <w:t>£330,000</w:t>
            </w:r>
          </w:p>
        </w:tc>
      </w:tr>
      <w:tr w:rsidR="00C365C7" w14:paraId="1D29DDCB" w14:textId="77777777">
        <w:tc>
          <w:tcPr>
            <w:tcW w:w="5325" w:type="dxa"/>
          </w:tcPr>
          <w:p w14:paraId="52205343" w14:textId="77777777" w:rsidR="00C365C7" w:rsidRDefault="00DD1CBD">
            <w:pPr>
              <w:pStyle w:val="Normal1"/>
              <w:widowControl w:val="0"/>
              <w:spacing w:after="0"/>
            </w:pPr>
            <w:r>
              <w:rPr>
                <w:sz w:val="24"/>
                <w:szCs w:val="24"/>
              </w:rPr>
              <w:t>If Overage / Clawback Provisions included as part of the sale</w:t>
            </w:r>
          </w:p>
        </w:tc>
        <w:tc>
          <w:tcPr>
            <w:tcW w:w="3345" w:type="dxa"/>
          </w:tcPr>
          <w:p w14:paraId="3D27064F" w14:textId="77777777" w:rsidR="00C365C7" w:rsidRDefault="00DD1CBD">
            <w:pPr>
              <w:pStyle w:val="Normal1"/>
              <w:widowControl w:val="0"/>
              <w:spacing w:after="0"/>
            </w:pPr>
            <w:r>
              <w:rPr>
                <w:sz w:val="24"/>
                <w:szCs w:val="24"/>
              </w:rPr>
              <w:t>No details available</w:t>
            </w:r>
          </w:p>
        </w:tc>
      </w:tr>
    </w:tbl>
    <w:p w14:paraId="6A2E6718" w14:textId="77777777" w:rsidR="00C365C7" w:rsidRDefault="00DD1CBD">
      <w:pPr>
        <w:pStyle w:val="Normal1"/>
        <w:spacing w:after="0"/>
      </w:pPr>
      <w:r>
        <w:rPr>
          <w:sz w:val="24"/>
          <w:szCs w:val="24"/>
        </w:rPr>
        <w:t xml:space="preserve"> </w:t>
      </w:r>
    </w:p>
    <w:p w14:paraId="11360652" w14:textId="77777777" w:rsidR="00C365C7" w:rsidRDefault="00DD1CBD">
      <w:pPr>
        <w:pStyle w:val="Normal1"/>
      </w:pPr>
      <w:r>
        <w:br w:type="page"/>
      </w:r>
    </w:p>
    <w:p w14:paraId="609D4244" w14:textId="77777777" w:rsidR="00C365C7" w:rsidRDefault="00C365C7">
      <w:pPr>
        <w:pStyle w:val="Normal1"/>
        <w:spacing w:after="0"/>
      </w:pPr>
    </w:p>
    <w:p w14:paraId="0C0419AD" w14:textId="681D7CEA" w:rsidR="00C365C7" w:rsidRDefault="00C365C7">
      <w:pPr>
        <w:pStyle w:val="Normal1"/>
      </w:pPr>
    </w:p>
    <w:p w14:paraId="1459B5B3" w14:textId="77777777" w:rsidR="00C365C7" w:rsidRDefault="00DD1CBD">
      <w:pPr>
        <w:pStyle w:val="Heading1"/>
      </w:pPr>
      <w:bookmarkStart w:id="9" w:name="_3dy6vkm" w:colFirst="0" w:colLast="0"/>
      <w:bookmarkEnd w:id="9"/>
      <w:r>
        <w:t>Appendix B List of Stakeholders</w:t>
      </w:r>
    </w:p>
    <w:p w14:paraId="509C622D" w14:textId="77777777" w:rsidR="00C365C7" w:rsidRDefault="00DD1CBD">
      <w:pPr>
        <w:pStyle w:val="Normal1"/>
        <w:spacing w:after="0"/>
        <w:ind w:right="-280"/>
      </w:pPr>
      <w:r>
        <w:rPr>
          <w:sz w:val="24"/>
          <w:szCs w:val="24"/>
        </w:rPr>
        <w:t>The following stakeholders were consulted:</w:t>
      </w:r>
    </w:p>
    <w:p w14:paraId="1A6F437F" w14:textId="77777777" w:rsidR="00C365C7" w:rsidRDefault="00C365C7">
      <w:pPr>
        <w:pStyle w:val="Normal1"/>
        <w:spacing w:after="0"/>
        <w:ind w:right="-280"/>
      </w:pPr>
    </w:p>
    <w:p w14:paraId="397D2F3C" w14:textId="77777777" w:rsidR="00C365C7" w:rsidRDefault="00DD1CBD">
      <w:pPr>
        <w:pStyle w:val="Normal1"/>
        <w:spacing w:after="0"/>
        <w:ind w:right="-280"/>
      </w:pPr>
      <w:r>
        <w:rPr>
          <w:sz w:val="24"/>
          <w:szCs w:val="24"/>
        </w:rPr>
        <w:t>Cabinet Office</w:t>
      </w:r>
    </w:p>
    <w:p w14:paraId="1289F14F" w14:textId="77777777" w:rsidR="00C365C7" w:rsidRDefault="00DD1CBD">
      <w:pPr>
        <w:pStyle w:val="Normal1"/>
        <w:spacing w:after="0"/>
        <w:ind w:right="-280"/>
      </w:pPr>
      <w:r>
        <w:rPr>
          <w:sz w:val="24"/>
          <w:szCs w:val="24"/>
        </w:rPr>
        <w:t>Crown Prosecution Service</w:t>
      </w:r>
    </w:p>
    <w:p w14:paraId="50FB1560" w14:textId="77777777" w:rsidR="00C365C7" w:rsidRDefault="00DD1CBD">
      <w:pPr>
        <w:pStyle w:val="Normal1"/>
        <w:spacing w:after="0"/>
        <w:ind w:right="-280"/>
      </w:pPr>
      <w:r>
        <w:rPr>
          <w:sz w:val="24"/>
          <w:szCs w:val="24"/>
        </w:rPr>
        <w:t>Department for Communities and Local Government</w:t>
      </w:r>
    </w:p>
    <w:p w14:paraId="4B6FEE1F" w14:textId="77777777" w:rsidR="00C365C7" w:rsidRDefault="00DD1CBD">
      <w:pPr>
        <w:pStyle w:val="Normal1"/>
        <w:spacing w:after="0"/>
        <w:ind w:right="-280"/>
      </w:pPr>
      <w:r>
        <w:rPr>
          <w:sz w:val="24"/>
          <w:szCs w:val="24"/>
        </w:rPr>
        <w:t>Department for Transport</w:t>
      </w:r>
    </w:p>
    <w:p w14:paraId="200F0AD5" w14:textId="77777777" w:rsidR="00C365C7" w:rsidRDefault="00DD1CBD">
      <w:pPr>
        <w:pStyle w:val="Normal1"/>
        <w:spacing w:after="0"/>
        <w:ind w:right="-280"/>
      </w:pPr>
      <w:r>
        <w:rPr>
          <w:sz w:val="24"/>
          <w:szCs w:val="24"/>
        </w:rPr>
        <w:t>Department of Health</w:t>
      </w:r>
    </w:p>
    <w:p w14:paraId="7C1F529C" w14:textId="77777777" w:rsidR="00C365C7" w:rsidRDefault="00DD1CBD">
      <w:pPr>
        <w:pStyle w:val="Normal1"/>
        <w:spacing w:after="0"/>
        <w:ind w:right="-280"/>
      </w:pPr>
      <w:r>
        <w:rPr>
          <w:sz w:val="24"/>
          <w:szCs w:val="24"/>
        </w:rPr>
        <w:t>Department of Work and Pensions</w:t>
      </w:r>
    </w:p>
    <w:p w14:paraId="58B12494" w14:textId="77777777" w:rsidR="00C365C7" w:rsidRDefault="00DD1CBD">
      <w:pPr>
        <w:pStyle w:val="Normal1"/>
        <w:spacing w:after="0"/>
        <w:ind w:right="-280"/>
      </w:pPr>
      <w:r>
        <w:rPr>
          <w:sz w:val="24"/>
          <w:szCs w:val="24"/>
        </w:rPr>
        <w:t>Home Office</w:t>
      </w:r>
    </w:p>
    <w:p w14:paraId="1ED52FFD" w14:textId="77777777" w:rsidR="00C365C7" w:rsidRDefault="00DD1CBD">
      <w:pPr>
        <w:pStyle w:val="Normal1"/>
        <w:spacing w:after="0"/>
        <w:ind w:right="-280"/>
      </w:pPr>
      <w:r>
        <w:rPr>
          <w:sz w:val="24"/>
          <w:szCs w:val="24"/>
        </w:rPr>
        <w:t>Land Registry</w:t>
      </w:r>
    </w:p>
    <w:p w14:paraId="739EB7CD" w14:textId="77777777" w:rsidR="00C365C7" w:rsidRDefault="00DD1CBD">
      <w:pPr>
        <w:pStyle w:val="Normal1"/>
        <w:spacing w:after="0"/>
        <w:ind w:right="-280"/>
      </w:pPr>
      <w:r>
        <w:rPr>
          <w:sz w:val="24"/>
          <w:szCs w:val="24"/>
        </w:rPr>
        <w:t>Local Government Association</w:t>
      </w:r>
    </w:p>
    <w:p w14:paraId="2AFE2AD6" w14:textId="77777777" w:rsidR="00C365C7" w:rsidRDefault="00DD1CBD">
      <w:pPr>
        <w:pStyle w:val="Normal1"/>
        <w:spacing w:after="0"/>
        <w:ind w:right="-280"/>
      </w:pPr>
      <w:r>
        <w:rPr>
          <w:sz w:val="24"/>
          <w:szCs w:val="24"/>
        </w:rPr>
        <w:t>Ministry of Defence</w:t>
      </w:r>
    </w:p>
    <w:p w14:paraId="73BE14DA" w14:textId="77777777" w:rsidR="00C365C7" w:rsidRDefault="00DD1CBD">
      <w:pPr>
        <w:pStyle w:val="Normal1"/>
        <w:spacing w:after="0"/>
        <w:ind w:right="-280"/>
      </w:pPr>
      <w:r>
        <w:rPr>
          <w:sz w:val="24"/>
          <w:szCs w:val="24"/>
        </w:rPr>
        <w:t>Ministry of Justice</w:t>
      </w:r>
    </w:p>
    <w:p w14:paraId="5E32E97A" w14:textId="77777777" w:rsidR="00C365C7" w:rsidRDefault="00DD1CBD">
      <w:pPr>
        <w:pStyle w:val="Normal1"/>
        <w:spacing w:after="0"/>
        <w:ind w:right="-280"/>
      </w:pPr>
      <w:r>
        <w:rPr>
          <w:sz w:val="24"/>
          <w:szCs w:val="24"/>
        </w:rPr>
        <w:t>National Audit Office</w:t>
      </w:r>
    </w:p>
    <w:p w14:paraId="6233D7F1" w14:textId="77777777" w:rsidR="00C365C7" w:rsidRDefault="00DD1CBD">
      <w:pPr>
        <w:pStyle w:val="Normal1"/>
        <w:spacing w:after="0"/>
        <w:ind w:right="-280"/>
      </w:pPr>
      <w:r>
        <w:rPr>
          <w:sz w:val="24"/>
          <w:szCs w:val="24"/>
        </w:rPr>
        <w:t>Valuation Office Agency</w:t>
      </w:r>
    </w:p>
    <w:p w14:paraId="79F02498" w14:textId="77777777" w:rsidR="00C365C7" w:rsidRDefault="00C365C7">
      <w:pPr>
        <w:pStyle w:val="Normal1"/>
        <w:spacing w:after="0"/>
        <w:ind w:right="-280"/>
      </w:pPr>
    </w:p>
    <w:sectPr w:rsidR="00C365C7" w:rsidSect="004E0BD1">
      <w:type w:val="continuous"/>
      <w:pgSz w:w="11906" w:h="16838"/>
      <w:pgMar w:top="1701"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9CE82" w14:textId="77777777" w:rsidR="000668FB" w:rsidRDefault="000668FB">
      <w:pPr>
        <w:spacing w:after="0"/>
      </w:pPr>
      <w:r>
        <w:separator/>
      </w:r>
    </w:p>
  </w:endnote>
  <w:endnote w:type="continuationSeparator" w:id="0">
    <w:p w14:paraId="48EAF280" w14:textId="77777777" w:rsidR="000668FB" w:rsidRDefault="00066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BA1A" w14:textId="77777777" w:rsidR="000668FB" w:rsidRDefault="000668FB">
    <w:pPr>
      <w:pStyle w:val="Normal1"/>
      <w:spacing w:after="567"/>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32DB9" w14:textId="77777777" w:rsidR="000668FB" w:rsidRDefault="000668FB">
      <w:pPr>
        <w:spacing w:after="0"/>
      </w:pPr>
      <w:r>
        <w:separator/>
      </w:r>
    </w:p>
  </w:footnote>
  <w:footnote w:type="continuationSeparator" w:id="0">
    <w:p w14:paraId="01711FFC" w14:textId="77777777" w:rsidR="000668FB" w:rsidRDefault="000668FB">
      <w:pPr>
        <w:spacing w:after="0"/>
      </w:pPr>
      <w:r>
        <w:continuationSeparator/>
      </w:r>
    </w:p>
  </w:footnote>
  <w:footnote w:id="1">
    <w:p w14:paraId="53834FD8" w14:textId="77777777" w:rsidR="000668FB" w:rsidRDefault="000668FB">
      <w:pPr>
        <w:pStyle w:val="Normal1"/>
        <w:spacing w:after="0"/>
      </w:pPr>
      <w:r>
        <w:rPr>
          <w:vertAlign w:val="superscript"/>
        </w:rPr>
        <w:footnoteRef/>
      </w:r>
      <w:r>
        <w:rPr>
          <w:sz w:val="20"/>
          <w:szCs w:val="20"/>
        </w:rPr>
        <w:t xml:space="preserve"> Government Property Finder: </w:t>
      </w:r>
      <w:hyperlink r:id="rId1">
        <w:r>
          <w:rPr>
            <w:color w:val="1155CC"/>
            <w:sz w:val="20"/>
            <w:szCs w:val="20"/>
            <w:u w:val="single"/>
          </w:rPr>
          <w:t>https://www.gov.uk/find-government-property</w:t>
        </w:r>
      </w:hyperlink>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D0AC" w14:textId="77777777" w:rsidR="000668FB" w:rsidRDefault="000668FB">
    <w:pPr>
      <w:pStyle w:val="Normal1"/>
      <w:spacing w:before="567"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9A0"/>
    <w:multiLevelType w:val="multilevel"/>
    <w:tmpl w:val="176260A0"/>
    <w:lvl w:ilvl="0">
      <w:start w:val="1"/>
      <w:numFmt w:val="decimal"/>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1">
    <w:nsid w:val="214E5460"/>
    <w:multiLevelType w:val="multilevel"/>
    <w:tmpl w:val="50ECE12A"/>
    <w:lvl w:ilvl="0">
      <w:start w:val="1"/>
      <w:numFmt w:val="bullet"/>
      <w:lvlText w:val="●"/>
      <w:lvlJc w:val="left"/>
      <w:pPr>
        <w:ind w:left="720" w:firstLine="1080"/>
      </w:pPr>
      <w:rPr>
        <w:rFonts w:ascii="Arial" w:eastAsia="Arial" w:hAnsi="Arial" w:cs="Arial"/>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
    <w:nsid w:val="230529A2"/>
    <w:multiLevelType w:val="hybridMultilevel"/>
    <w:tmpl w:val="E7B82F9A"/>
    <w:lvl w:ilvl="0" w:tplc="2DE05C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2416E57"/>
    <w:multiLevelType w:val="multilevel"/>
    <w:tmpl w:val="84620C20"/>
    <w:lvl w:ilvl="0">
      <w:start w:val="1"/>
      <w:numFmt w:val="upperLetter"/>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arrowing">
    <w15:presenceInfo w15:providerId="AD" w15:userId="S-1-5-21-1141400437-1419162236-2865881067-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65C7"/>
    <w:rsid w:val="000668FB"/>
    <w:rsid w:val="000D06BA"/>
    <w:rsid w:val="0010744C"/>
    <w:rsid w:val="00276E02"/>
    <w:rsid w:val="002E309A"/>
    <w:rsid w:val="00344B69"/>
    <w:rsid w:val="00385EDC"/>
    <w:rsid w:val="00405AB8"/>
    <w:rsid w:val="004E0BD1"/>
    <w:rsid w:val="00502D99"/>
    <w:rsid w:val="005F3E3C"/>
    <w:rsid w:val="00644BA3"/>
    <w:rsid w:val="006B5245"/>
    <w:rsid w:val="00753E94"/>
    <w:rsid w:val="007A4EC7"/>
    <w:rsid w:val="007B4479"/>
    <w:rsid w:val="007F1AE0"/>
    <w:rsid w:val="00826012"/>
    <w:rsid w:val="00866329"/>
    <w:rsid w:val="009C1F33"/>
    <w:rsid w:val="00BC7F5B"/>
    <w:rsid w:val="00C20A5D"/>
    <w:rsid w:val="00C30304"/>
    <w:rsid w:val="00C365C7"/>
    <w:rsid w:val="00C5479F"/>
    <w:rsid w:val="00CB65B5"/>
    <w:rsid w:val="00DD1CBD"/>
    <w:rsid w:val="00F25884"/>
    <w:rsid w:val="00F444AB"/>
    <w:rsid w:val="00F579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C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after="720"/>
      <w:outlineLvl w:val="0"/>
    </w:pPr>
    <w:rPr>
      <w:b/>
      <w:color w:val="005ABB"/>
      <w:sz w:val="36"/>
      <w:szCs w:val="36"/>
    </w:rPr>
  </w:style>
  <w:style w:type="paragraph" w:styleId="Heading2">
    <w:name w:val="heading 2"/>
    <w:basedOn w:val="Normal1"/>
    <w:next w:val="Normal1"/>
    <w:pPr>
      <w:keepNext/>
      <w:keepLines/>
      <w:spacing w:before="240"/>
      <w:outlineLvl w:val="1"/>
    </w:pPr>
    <w:rPr>
      <w:b/>
      <w:color w:val="005ABB"/>
      <w:sz w:val="28"/>
      <w:szCs w:val="28"/>
    </w:rPr>
  </w:style>
  <w:style w:type="paragraph" w:styleId="Heading3">
    <w:name w:val="heading 3"/>
    <w:basedOn w:val="Normal1"/>
    <w:next w:val="Normal1"/>
    <w:pPr>
      <w:keepNext/>
      <w:keepLines/>
      <w:spacing w:before="120" w:after="120"/>
      <w:outlineLvl w:val="2"/>
    </w:pPr>
    <w:rPr>
      <w:b/>
    </w:rPr>
  </w:style>
  <w:style w:type="paragraph" w:styleId="Heading4">
    <w:name w:val="heading 4"/>
    <w:basedOn w:val="Normal1"/>
    <w:next w:val="Normal1"/>
    <w:pPr>
      <w:keepNext/>
      <w:keepLines/>
      <w:spacing w:after="0"/>
      <w:outlineLvl w:val="3"/>
    </w:pPr>
    <w:rPr>
      <w:b/>
      <w:sz w:val="24"/>
      <w:szCs w:val="24"/>
    </w:rPr>
  </w:style>
  <w:style w:type="paragraph" w:styleId="Heading5">
    <w:name w:val="heading 5"/>
    <w:basedOn w:val="Normal1"/>
    <w:next w:val="Normal1"/>
    <w:pPr>
      <w:keepNext/>
      <w:keepLines/>
      <w:spacing w:after="0"/>
      <w:outlineLvl w:val="4"/>
    </w:pPr>
    <w:rPr>
      <w:b/>
      <w:sz w:val="24"/>
      <w:szCs w:val="24"/>
    </w:rPr>
  </w:style>
  <w:style w:type="paragraph" w:styleId="Heading6">
    <w:name w:val="heading 6"/>
    <w:basedOn w:val="Normal1"/>
    <w:next w:val="Normal1"/>
    <w:pPr>
      <w:keepNext/>
      <w:keepLines/>
      <w:spacing w:after="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120"/>
    </w:pPr>
    <w:rPr>
      <w:b/>
      <w:sz w:val="36"/>
      <w:szCs w:val="36"/>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57" w:type="dxa"/>
        <w:bottom w:w="0" w:type="dxa"/>
        <w:right w:w="57"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C7F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F5B"/>
    <w:rPr>
      <w:rFonts w:ascii="Lucida Grande" w:hAnsi="Lucida Grande" w:cs="Lucida Grande"/>
      <w:sz w:val="18"/>
      <w:szCs w:val="18"/>
    </w:rPr>
  </w:style>
  <w:style w:type="paragraph" w:styleId="NormalWeb">
    <w:name w:val="Normal (Web)"/>
    <w:basedOn w:val="Normal"/>
    <w:uiPriority w:val="99"/>
    <w:unhideWhenUsed/>
    <w:rsid w:val="00753E9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753E94"/>
    <w:pPr>
      <w:ind w:left="720"/>
      <w:contextualSpacing/>
    </w:pPr>
  </w:style>
  <w:style w:type="character" w:styleId="Hyperlink">
    <w:name w:val="Hyperlink"/>
    <w:basedOn w:val="DefaultParagraphFont"/>
    <w:uiPriority w:val="99"/>
    <w:unhideWhenUsed/>
    <w:rsid w:val="000668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after="720"/>
      <w:outlineLvl w:val="0"/>
    </w:pPr>
    <w:rPr>
      <w:b/>
      <w:color w:val="005ABB"/>
      <w:sz w:val="36"/>
      <w:szCs w:val="36"/>
    </w:rPr>
  </w:style>
  <w:style w:type="paragraph" w:styleId="Heading2">
    <w:name w:val="heading 2"/>
    <w:basedOn w:val="Normal1"/>
    <w:next w:val="Normal1"/>
    <w:pPr>
      <w:keepNext/>
      <w:keepLines/>
      <w:spacing w:before="240"/>
      <w:outlineLvl w:val="1"/>
    </w:pPr>
    <w:rPr>
      <w:b/>
      <w:color w:val="005ABB"/>
      <w:sz w:val="28"/>
      <w:szCs w:val="28"/>
    </w:rPr>
  </w:style>
  <w:style w:type="paragraph" w:styleId="Heading3">
    <w:name w:val="heading 3"/>
    <w:basedOn w:val="Normal1"/>
    <w:next w:val="Normal1"/>
    <w:pPr>
      <w:keepNext/>
      <w:keepLines/>
      <w:spacing w:before="120" w:after="120"/>
      <w:outlineLvl w:val="2"/>
    </w:pPr>
    <w:rPr>
      <w:b/>
    </w:rPr>
  </w:style>
  <w:style w:type="paragraph" w:styleId="Heading4">
    <w:name w:val="heading 4"/>
    <w:basedOn w:val="Normal1"/>
    <w:next w:val="Normal1"/>
    <w:pPr>
      <w:keepNext/>
      <w:keepLines/>
      <w:spacing w:after="0"/>
      <w:outlineLvl w:val="3"/>
    </w:pPr>
    <w:rPr>
      <w:b/>
      <w:sz w:val="24"/>
      <w:szCs w:val="24"/>
    </w:rPr>
  </w:style>
  <w:style w:type="paragraph" w:styleId="Heading5">
    <w:name w:val="heading 5"/>
    <w:basedOn w:val="Normal1"/>
    <w:next w:val="Normal1"/>
    <w:pPr>
      <w:keepNext/>
      <w:keepLines/>
      <w:spacing w:after="0"/>
      <w:outlineLvl w:val="4"/>
    </w:pPr>
    <w:rPr>
      <w:b/>
      <w:sz w:val="24"/>
      <w:szCs w:val="24"/>
    </w:rPr>
  </w:style>
  <w:style w:type="paragraph" w:styleId="Heading6">
    <w:name w:val="heading 6"/>
    <w:basedOn w:val="Normal1"/>
    <w:next w:val="Normal1"/>
    <w:pPr>
      <w:keepNext/>
      <w:keepLines/>
      <w:spacing w:after="0"/>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120"/>
    </w:pPr>
    <w:rPr>
      <w:b/>
      <w:sz w:val="36"/>
      <w:szCs w:val="36"/>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57" w:type="dxa"/>
        <w:bottom w:w="0" w:type="dxa"/>
        <w:right w:w="57"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C7F5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7F5B"/>
    <w:rPr>
      <w:rFonts w:ascii="Lucida Grande" w:hAnsi="Lucida Grande" w:cs="Lucida Grande"/>
      <w:sz w:val="18"/>
      <w:szCs w:val="18"/>
    </w:rPr>
  </w:style>
  <w:style w:type="paragraph" w:styleId="NormalWeb">
    <w:name w:val="Normal (Web)"/>
    <w:basedOn w:val="Normal"/>
    <w:uiPriority w:val="99"/>
    <w:unhideWhenUsed/>
    <w:rsid w:val="00753E94"/>
    <w:pPr>
      <w:spacing w:before="100" w:beforeAutospacing="1" w:after="100" w:afterAutospacing="1"/>
    </w:pPr>
    <w:rPr>
      <w:rFonts w:ascii="Times" w:hAnsi="Times" w:cs="Times New Roman"/>
      <w:color w:val="auto"/>
      <w:sz w:val="20"/>
      <w:szCs w:val="20"/>
    </w:rPr>
  </w:style>
  <w:style w:type="paragraph" w:styleId="ListParagraph">
    <w:name w:val="List Paragraph"/>
    <w:basedOn w:val="Normal"/>
    <w:uiPriority w:val="34"/>
    <w:qFormat/>
    <w:rsid w:val="00753E94"/>
    <w:pPr>
      <w:ind w:left="720"/>
      <w:contextualSpacing/>
    </w:pPr>
  </w:style>
  <w:style w:type="character" w:styleId="Hyperlink">
    <w:name w:val="Hyperlink"/>
    <w:basedOn w:val="DefaultParagraphFont"/>
    <w:uiPriority w:val="99"/>
    <w:unhideWhenUsed/>
    <w:rsid w:val="000668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718">
      <w:bodyDiv w:val="1"/>
      <w:marLeft w:val="0"/>
      <w:marRight w:val="0"/>
      <w:marTop w:val="0"/>
      <w:marBottom w:val="0"/>
      <w:divBdr>
        <w:top w:val="none" w:sz="0" w:space="0" w:color="auto"/>
        <w:left w:val="none" w:sz="0" w:space="0" w:color="auto"/>
        <w:bottom w:val="none" w:sz="0" w:space="0" w:color="auto"/>
        <w:right w:val="none" w:sz="0" w:space="0" w:color="auto"/>
      </w:divBdr>
    </w:div>
    <w:div w:id="75325914">
      <w:bodyDiv w:val="1"/>
      <w:marLeft w:val="0"/>
      <w:marRight w:val="0"/>
      <w:marTop w:val="0"/>
      <w:marBottom w:val="0"/>
      <w:divBdr>
        <w:top w:val="none" w:sz="0" w:space="0" w:color="auto"/>
        <w:left w:val="none" w:sz="0" w:space="0" w:color="auto"/>
        <w:bottom w:val="none" w:sz="0" w:space="0" w:color="auto"/>
        <w:right w:val="none" w:sz="0" w:space="0" w:color="auto"/>
      </w:divBdr>
    </w:div>
    <w:div w:id="470437656">
      <w:bodyDiv w:val="1"/>
      <w:marLeft w:val="0"/>
      <w:marRight w:val="0"/>
      <w:marTop w:val="0"/>
      <w:marBottom w:val="0"/>
      <w:divBdr>
        <w:top w:val="none" w:sz="0" w:space="0" w:color="auto"/>
        <w:left w:val="none" w:sz="0" w:space="0" w:color="auto"/>
        <w:bottom w:val="none" w:sz="0" w:space="0" w:color="auto"/>
        <w:right w:val="none" w:sz="0" w:space="0" w:color="auto"/>
      </w:divBdr>
    </w:div>
    <w:div w:id="782386912">
      <w:bodyDiv w:val="1"/>
      <w:marLeft w:val="0"/>
      <w:marRight w:val="0"/>
      <w:marTop w:val="0"/>
      <w:marBottom w:val="0"/>
      <w:divBdr>
        <w:top w:val="none" w:sz="0" w:space="0" w:color="auto"/>
        <w:left w:val="none" w:sz="0" w:space="0" w:color="auto"/>
        <w:bottom w:val="none" w:sz="0" w:space="0" w:color="auto"/>
        <w:right w:val="none" w:sz="0" w:space="0" w:color="auto"/>
      </w:divBdr>
    </w:div>
    <w:div w:id="945425012">
      <w:bodyDiv w:val="1"/>
      <w:marLeft w:val="0"/>
      <w:marRight w:val="0"/>
      <w:marTop w:val="0"/>
      <w:marBottom w:val="0"/>
      <w:divBdr>
        <w:top w:val="none" w:sz="0" w:space="0" w:color="auto"/>
        <w:left w:val="none" w:sz="0" w:space="0" w:color="auto"/>
        <w:bottom w:val="none" w:sz="0" w:space="0" w:color="auto"/>
        <w:right w:val="none" w:sz="0" w:space="0" w:color="auto"/>
      </w:divBdr>
    </w:div>
    <w:div w:id="1138111139">
      <w:bodyDiv w:val="1"/>
      <w:marLeft w:val="0"/>
      <w:marRight w:val="0"/>
      <w:marTop w:val="0"/>
      <w:marBottom w:val="0"/>
      <w:divBdr>
        <w:top w:val="none" w:sz="0" w:space="0" w:color="auto"/>
        <w:left w:val="none" w:sz="0" w:space="0" w:color="auto"/>
        <w:bottom w:val="none" w:sz="0" w:space="0" w:color="auto"/>
        <w:right w:val="none" w:sz="0" w:space="0" w:color="auto"/>
      </w:divBdr>
    </w:div>
    <w:div w:id="1151992181">
      <w:bodyDiv w:val="1"/>
      <w:marLeft w:val="0"/>
      <w:marRight w:val="0"/>
      <w:marTop w:val="0"/>
      <w:marBottom w:val="0"/>
      <w:divBdr>
        <w:top w:val="none" w:sz="0" w:space="0" w:color="auto"/>
        <w:left w:val="none" w:sz="0" w:space="0" w:color="auto"/>
        <w:bottom w:val="none" w:sz="0" w:space="0" w:color="auto"/>
        <w:right w:val="none" w:sz="0" w:space="0" w:color="auto"/>
      </w:divBdr>
    </w:div>
    <w:div w:id="19960600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si@nationalarchives.gsi.gov.uk" TargetMode="External"/><Relationship Id="rId12" Type="http://schemas.openxmlformats.org/officeDocument/2006/relationships/hyperlink" Target="mailto:psi@nationalarchives.gsi.gov.uk" TargetMode="External"/><Relationship Id="rId13" Type="http://schemas.openxmlformats.org/officeDocument/2006/relationships/hyperlink" Target="mailto:gpusecretariat@cabinetoffice.gov.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www.gov.uk"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nationalarchives.gov.uk/doc/open-government-licence/" TargetMode="External"/><Relationship Id="rId10" Type="http://schemas.openxmlformats.org/officeDocument/2006/relationships/hyperlink" Target="mailto:psi@nationalarchives.gs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find-government-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2628</Words>
  <Characters>14981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Harrowing</dc:creator>
  <cp:lastModifiedBy>temp</cp:lastModifiedBy>
  <cp:revision>8</cp:revision>
  <cp:lastPrinted>2017-03-03T13:45:00Z</cp:lastPrinted>
  <dcterms:created xsi:type="dcterms:W3CDTF">2017-02-17T12:06:00Z</dcterms:created>
  <dcterms:modified xsi:type="dcterms:W3CDTF">2017-03-06T11:08:00Z</dcterms:modified>
</cp:coreProperties>
</file>