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17" w:rsidRDefault="00005117"/>
    <w:sdt>
      <w:sdtPr>
        <w:id w:val="1000387336"/>
        <w:docPartObj>
          <w:docPartGallery w:val="Custom Cover Pages"/>
          <w:docPartUnique/>
        </w:docPartObj>
      </w:sdtPr>
      <w:sdtEndPr/>
      <w:sdtContent>
        <w:tbl>
          <w:tblPr>
            <w:tblStyle w:val="TableGrid"/>
            <w:tblW w:w="1185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9846"/>
            <w:gridCol w:w="1009"/>
          </w:tblGrid>
          <w:tr w:rsidR="005E06CC" w:rsidRPr="008B191E" w:rsidTr="00197A3E">
            <w:trPr>
              <w:gridBefore w:val="1"/>
              <w:gridAfter w:val="1"/>
              <w:wBefore w:w="1022" w:type="dxa"/>
              <w:wAfter w:w="1030" w:type="dxa"/>
              <w:trHeight w:hRule="exact" w:val="3269"/>
            </w:trPr>
            <w:tc>
              <w:tcPr>
                <w:tcW w:w="9805" w:type="dxa"/>
                <w:shd w:val="clear" w:color="auto" w:fill="auto"/>
              </w:tcPr>
              <w:p w:rsidR="005E06CC" w:rsidRPr="008B191E" w:rsidRDefault="005E06CC" w:rsidP="00243D10">
                <w:r>
                  <w:rPr>
                    <w:noProof/>
                    <w:lang w:eastAsia="en-GB"/>
                  </w:rPr>
                  <w:drawing>
                    <wp:inline distT="0" distB="0" distL="0" distR="0" wp14:anchorId="78DBC836" wp14:editId="229CC18C">
                      <wp:extent cx="1828800" cy="9684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CLogo.png"/>
                              <pic:cNvPicPr/>
                            </pic:nvPicPr>
                            <pic:blipFill>
                              <a:blip r:embed="rId14">
                                <a:extLst>
                                  <a:ext uri="{28A0092B-C50C-407E-A947-70E740481C1C}">
                                    <a14:useLocalDpi xmlns:a14="http://schemas.microsoft.com/office/drawing/2010/main" val="0"/>
                                  </a:ext>
                                </a:extLst>
                              </a:blip>
                              <a:stretch>
                                <a:fillRect/>
                              </a:stretch>
                            </pic:blipFill>
                            <pic:spPr>
                              <a:xfrm>
                                <a:off x="0" y="0"/>
                                <a:ext cx="1828800" cy="968400"/>
                              </a:xfrm>
                              <a:prstGeom prst="rect">
                                <a:avLst/>
                              </a:prstGeom>
                            </pic:spPr>
                          </pic:pic>
                        </a:graphicData>
                      </a:graphic>
                    </wp:inline>
                  </w:drawing>
                </w:r>
              </w:p>
            </w:tc>
          </w:tr>
          <w:tr w:rsidR="005E06CC" w:rsidRPr="00B73348" w:rsidTr="00197A3E">
            <w:trPr>
              <w:gridBefore w:val="1"/>
              <w:gridAfter w:val="1"/>
              <w:wBefore w:w="1022" w:type="dxa"/>
              <w:wAfter w:w="1030" w:type="dxa"/>
              <w:cantSplit/>
              <w:trHeight w:hRule="exact" w:val="2813"/>
            </w:trPr>
            <w:tc>
              <w:tcPr>
                <w:tcW w:w="9805" w:type="dxa"/>
                <w:shd w:val="clear" w:color="auto" w:fill="auto"/>
              </w:tcPr>
              <w:p w:rsidR="005E06CC" w:rsidRPr="00B73348" w:rsidRDefault="00077A68" w:rsidP="005E06CC">
                <w:pPr>
                  <w:pStyle w:val="CoverTitle"/>
                </w:pPr>
                <w:r>
                  <w:t>Smart Metering Implementation Programme</w:t>
                </w:r>
              </w:p>
            </w:tc>
          </w:tr>
          <w:tr w:rsidR="005E06CC" w:rsidRPr="008B191E" w:rsidTr="00FE3B3C">
            <w:trPr>
              <w:gridBefore w:val="1"/>
              <w:gridAfter w:val="1"/>
              <w:wBefore w:w="1022" w:type="dxa"/>
              <w:wAfter w:w="1030" w:type="dxa"/>
              <w:trHeight w:hRule="exact" w:val="4537"/>
            </w:trPr>
            <w:tc>
              <w:tcPr>
                <w:tcW w:w="9805" w:type="dxa"/>
                <w:shd w:val="clear" w:color="auto" w:fill="auto"/>
              </w:tcPr>
              <w:p w:rsidR="00BB36C2" w:rsidRDefault="00A93175" w:rsidP="0082767E">
                <w:pPr>
                  <w:pStyle w:val="Header"/>
                  <w:rPr>
                    <w:sz w:val="44"/>
                    <w:szCs w:val="44"/>
                  </w:rPr>
                </w:pPr>
                <w:bookmarkStart w:id="0" w:name="_Toc461618770"/>
                <w:bookmarkStart w:id="1" w:name="_Toc461620539"/>
                <w:r w:rsidRPr="00197A3E">
                  <w:rPr>
                    <w:sz w:val="44"/>
                    <w:szCs w:val="44"/>
                  </w:rPr>
                  <w:softHyphen/>
                </w:r>
                <w:r w:rsidRPr="00197A3E">
                  <w:rPr>
                    <w:sz w:val="44"/>
                    <w:szCs w:val="44"/>
                  </w:rPr>
                  <w:softHyphen/>
                </w:r>
              </w:p>
              <w:p w:rsidR="00B51D40" w:rsidRDefault="008E5F8F" w:rsidP="0082767E">
                <w:pPr>
                  <w:pStyle w:val="Header"/>
                  <w:rPr>
                    <w:sz w:val="44"/>
                    <w:szCs w:val="44"/>
                  </w:rPr>
                </w:pPr>
                <w:r>
                  <w:rPr>
                    <w:sz w:val="44"/>
                    <w:szCs w:val="44"/>
                  </w:rPr>
                  <w:t>O</w:t>
                </w:r>
                <w:r w:rsidR="001A5BA6">
                  <w:rPr>
                    <w:sz w:val="44"/>
                    <w:szCs w:val="44"/>
                  </w:rPr>
                  <w:t>perational transition of smart meters</w:t>
                </w:r>
                <w:r>
                  <w:rPr>
                    <w:sz w:val="44"/>
                    <w:szCs w:val="44"/>
                  </w:rPr>
                  <w:t>:</w:t>
                </w:r>
                <w:r w:rsidR="0082767E">
                  <w:rPr>
                    <w:sz w:val="44"/>
                    <w:szCs w:val="44"/>
                  </w:rPr>
                  <w:t xml:space="preserve"> </w:t>
                </w:r>
                <w:bookmarkEnd w:id="0"/>
                <w:bookmarkEnd w:id="1"/>
                <w:r w:rsidR="00146076">
                  <w:rPr>
                    <w:sz w:val="44"/>
                    <w:szCs w:val="44"/>
                  </w:rPr>
                  <w:t xml:space="preserve">Statement of Requirements including </w:t>
                </w:r>
                <w:r>
                  <w:rPr>
                    <w:sz w:val="44"/>
                    <w:szCs w:val="44"/>
                  </w:rPr>
                  <w:t>guidance, criteria and application forms</w:t>
                </w:r>
                <w:r w:rsidR="00B51D40">
                  <w:rPr>
                    <w:sz w:val="44"/>
                    <w:szCs w:val="44"/>
                  </w:rPr>
                  <w:t xml:space="preserve"> </w:t>
                </w:r>
                <w:r w:rsidR="00146076">
                  <w:rPr>
                    <w:sz w:val="44"/>
                    <w:szCs w:val="44"/>
                  </w:rPr>
                  <w:t>for a derogation from the SMETS1 end date</w:t>
                </w:r>
              </w:p>
              <w:p w:rsidR="00BB36C2" w:rsidRPr="00197A3E" w:rsidRDefault="008E5F8F" w:rsidP="0082767E">
                <w:pPr>
                  <w:pStyle w:val="Header"/>
                  <w:rPr>
                    <w:sz w:val="44"/>
                    <w:szCs w:val="44"/>
                  </w:rPr>
                </w:pPr>
                <w:r>
                  <w:rPr>
                    <w:sz w:val="44"/>
                    <w:szCs w:val="44"/>
                  </w:rPr>
                  <w:t>4 December</w:t>
                </w:r>
                <w:r w:rsidR="00BB36C2">
                  <w:rPr>
                    <w:sz w:val="44"/>
                    <w:szCs w:val="44"/>
                  </w:rPr>
                  <w:t xml:space="preserve"> 2017</w:t>
                </w:r>
              </w:p>
              <w:p w:rsidR="005E06CC" w:rsidRPr="008B191E" w:rsidRDefault="00622071" w:rsidP="00243D10">
                <w:pPr>
                  <w:pStyle w:val="CoverSubtitle"/>
                </w:pPr>
                <w:sdt>
                  <w:sdtPr>
                    <w:id w:val="-2024000579"/>
                    <w:docPartList>
                      <w:docPartGallery w:val="Custom 2"/>
                      <w:docPartCategory w:val="Cover Page Images"/>
                    </w:docPartList>
                  </w:sdtPr>
                  <w:sdtEndPr/>
                  <w:sdtContent>
                    <w:r w:rsidR="00243D10">
                      <w:rPr>
                        <w:noProof/>
                        <w:lang w:eastAsia="en-GB"/>
                      </w:rPr>
                      <w:drawing>
                        <wp:inline distT="0" distB="0" distL="0" distR="0" wp14:anchorId="72B9CA22" wp14:editId="5C8C75FB">
                          <wp:extent cx="6115050" cy="1733550"/>
                          <wp:effectExtent l="0" t="0" r="0" b="0"/>
                          <wp:docPr id="3" name="Picture 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5050" cy="1733550"/>
                                  </a:xfrm>
                                  <a:prstGeom prst="rect">
                                    <a:avLst/>
                                  </a:prstGeom>
                                  <a:noFill/>
                                  <a:ln>
                                    <a:noFill/>
                                  </a:ln>
                                </pic:spPr>
                              </pic:pic>
                            </a:graphicData>
                          </a:graphic>
                        </wp:inline>
                      </w:drawing>
                    </w:r>
                  </w:sdtContent>
                </w:sdt>
              </w:p>
            </w:tc>
          </w:tr>
          <w:tr w:rsidR="005E06CC" w:rsidRPr="008B191E" w:rsidTr="00197A3E">
            <w:trPr>
              <w:cantSplit/>
              <w:trHeight w:hRule="exact" w:val="3215"/>
            </w:trPr>
            <w:tc>
              <w:tcPr>
                <w:tcW w:w="11857" w:type="dxa"/>
                <w:gridSpan w:val="3"/>
                <w:shd w:val="clear" w:color="auto" w:fill="auto"/>
              </w:tcPr>
              <w:p w:rsidR="005E06CC" w:rsidRPr="008B191E" w:rsidRDefault="005E06CC" w:rsidP="00C95DD0"/>
            </w:tc>
          </w:tr>
        </w:tbl>
        <w:p w:rsidR="005E06CC" w:rsidRDefault="00622071">
          <w:pPr>
            <w:sectPr w:rsidR="005E06CC" w:rsidSect="00BB36C2">
              <w:headerReference w:type="default" r:id="rId16"/>
              <w:footerReference w:type="default" r:id="rId17"/>
              <w:headerReference w:type="first" r:id="rId18"/>
              <w:footerReference w:type="first" r:id="rId19"/>
              <w:pgSz w:w="11906" w:h="16838" w:code="9"/>
              <w:pgMar w:top="851" w:right="1134" w:bottom="1134" w:left="1134" w:header="680" w:footer="567" w:gutter="0"/>
              <w:pgNumType w:start="0"/>
              <w:cols w:space="708"/>
              <w:docGrid w:linePitch="360"/>
            </w:sect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5E06CC" w:rsidRPr="008B191E" w:rsidTr="008F68AF">
        <w:trPr>
          <w:trHeight w:hRule="exact" w:val="2033"/>
        </w:trPr>
        <w:tc>
          <w:tcPr>
            <w:tcW w:w="9628" w:type="dxa"/>
            <w:shd w:val="clear" w:color="auto" w:fill="auto"/>
          </w:tcPr>
          <w:p w:rsidR="00BB36C2" w:rsidRDefault="008E5F8F" w:rsidP="00BB36C2">
            <w:pPr>
              <w:pStyle w:val="Header"/>
              <w:rPr>
                <w:sz w:val="44"/>
                <w:szCs w:val="44"/>
              </w:rPr>
            </w:pPr>
            <w:r>
              <w:rPr>
                <w:sz w:val="44"/>
                <w:szCs w:val="44"/>
              </w:rPr>
              <w:t>O</w:t>
            </w:r>
            <w:r w:rsidR="001A5BA6">
              <w:rPr>
                <w:sz w:val="44"/>
                <w:szCs w:val="44"/>
              </w:rPr>
              <w:t>perational transition of smart meters</w:t>
            </w:r>
            <w:r>
              <w:rPr>
                <w:sz w:val="44"/>
                <w:szCs w:val="44"/>
              </w:rPr>
              <w:t>:</w:t>
            </w:r>
            <w:r w:rsidR="00BB36C2" w:rsidRPr="00BB36C2">
              <w:rPr>
                <w:sz w:val="44"/>
                <w:szCs w:val="44"/>
              </w:rPr>
              <w:t xml:space="preserve"> </w:t>
            </w:r>
            <w:r w:rsidR="00146076">
              <w:rPr>
                <w:sz w:val="44"/>
                <w:szCs w:val="44"/>
              </w:rPr>
              <w:t xml:space="preserve">Statement of Requirements including </w:t>
            </w:r>
            <w:r>
              <w:rPr>
                <w:sz w:val="44"/>
                <w:szCs w:val="44"/>
              </w:rPr>
              <w:t>guidance, criteria and application forms</w:t>
            </w:r>
            <w:r w:rsidR="00146076">
              <w:rPr>
                <w:sz w:val="44"/>
                <w:szCs w:val="44"/>
              </w:rPr>
              <w:t xml:space="preserve"> for a derogation from the SMETS1 end date</w:t>
            </w:r>
          </w:p>
          <w:p w:rsidR="00146076" w:rsidRDefault="00146076" w:rsidP="00BB36C2">
            <w:pPr>
              <w:pStyle w:val="Header"/>
              <w:rPr>
                <w:sz w:val="44"/>
                <w:szCs w:val="44"/>
              </w:rPr>
            </w:pPr>
          </w:p>
          <w:p w:rsidR="00146076" w:rsidRPr="00BB36C2" w:rsidRDefault="00146076" w:rsidP="00BB36C2">
            <w:pPr>
              <w:pStyle w:val="Header"/>
              <w:rPr>
                <w:sz w:val="44"/>
                <w:szCs w:val="44"/>
              </w:rPr>
            </w:pPr>
          </w:p>
          <w:p w:rsidR="00F340AF" w:rsidRDefault="00F340AF" w:rsidP="00166CCC">
            <w:pPr>
              <w:pStyle w:val="Subtitle"/>
              <w:rPr>
                <w:color w:val="002C77" w:themeColor="text1"/>
              </w:rPr>
            </w:pPr>
          </w:p>
          <w:p w:rsidR="00F340AF" w:rsidRPr="00166CCC" w:rsidRDefault="00F340AF" w:rsidP="00166CCC">
            <w:pPr>
              <w:pStyle w:val="Subtitle"/>
              <w:rPr>
                <w:color w:val="002C77" w:themeColor="text1"/>
              </w:rPr>
            </w:pPr>
          </w:p>
          <w:p w:rsidR="006E2C13" w:rsidRDefault="006E2C13" w:rsidP="006E2C13">
            <w:pPr>
              <w:pStyle w:val="InnerCoverSubtitle"/>
              <w:rPr>
                <w:noProof/>
              </w:rPr>
            </w:pPr>
          </w:p>
          <w:p w:rsidR="00166CCC" w:rsidRDefault="00166CCC" w:rsidP="006E2C13">
            <w:pPr>
              <w:pStyle w:val="InnerCoverSubtitle"/>
              <w:rPr>
                <w:noProof/>
              </w:rPr>
            </w:pPr>
          </w:p>
          <w:p w:rsidR="00166CCC" w:rsidRDefault="00166CCC" w:rsidP="006E2C13">
            <w:pPr>
              <w:pStyle w:val="InnerCoverSubtitle"/>
              <w:rPr>
                <w:noProof/>
              </w:rPr>
            </w:pPr>
          </w:p>
          <w:p w:rsidR="006E2C13" w:rsidRPr="00AE7404" w:rsidRDefault="006E2C13" w:rsidP="006E2C13">
            <w:r>
              <w:br/>
              <w:t>T</w:t>
            </w:r>
            <w:r w:rsidRPr="00AE7404">
              <w:t xml:space="preserve">he consultation can be found on </w:t>
            </w:r>
            <w:r w:rsidR="00407BCF">
              <w:t>the BEIS</w:t>
            </w:r>
            <w:r w:rsidRPr="00AE7404">
              <w:t xml:space="preserve"> </w:t>
            </w:r>
            <w:r w:rsidR="00407BCF">
              <w:t>section of GOV.UK</w:t>
            </w:r>
            <w:r w:rsidRPr="00AE7404">
              <w:t>:</w:t>
            </w:r>
            <w:r>
              <w:t xml:space="preserve"> </w:t>
            </w:r>
            <w:r>
              <w:br/>
            </w:r>
            <w:hyperlink r:id="rId20" w:history="1">
              <w:r w:rsidR="00407BCF" w:rsidRPr="00077A68">
                <w:rPr>
                  <w:rStyle w:val="Hyperlink"/>
                  <w:highlight w:val="yellow"/>
                </w:rPr>
                <w:t>https://www.gov.uk/beis</w:t>
              </w:r>
            </w:hyperlink>
            <w:r w:rsidRPr="00077A68">
              <w:rPr>
                <w:highlight w:val="yellow"/>
              </w:rPr>
              <w:t xml:space="preserve">  [link]</w:t>
            </w:r>
            <w:r>
              <w:br/>
            </w:r>
          </w:p>
          <w:p w:rsidR="006E2C13" w:rsidRPr="008B191E" w:rsidRDefault="006E2C13" w:rsidP="00824E8F">
            <w:pPr>
              <w:pStyle w:val="InnerCoverSubtitle"/>
            </w:pPr>
          </w:p>
        </w:tc>
      </w:tr>
      <w:tr w:rsidR="005E06CC" w:rsidRPr="008B191E" w:rsidTr="00243D10">
        <w:tc>
          <w:tcPr>
            <w:tcW w:w="9628" w:type="dxa"/>
            <w:shd w:val="clear" w:color="auto" w:fill="auto"/>
          </w:tcPr>
          <w:p w:rsidR="00146076" w:rsidRDefault="00146076" w:rsidP="00843B31">
            <w:pPr>
              <w:rPr>
                <w:rFonts w:cs="Arial"/>
              </w:rPr>
            </w:pPr>
          </w:p>
          <w:p w:rsidR="00166CCC" w:rsidRDefault="005677F9" w:rsidP="00843B31">
            <w:pPr>
              <w:rPr>
                <w:rFonts w:cs="Arial"/>
                <w:szCs w:val="24"/>
              </w:rPr>
            </w:pPr>
            <w:r w:rsidRPr="005677F9">
              <w:rPr>
                <w:rFonts w:cs="Arial"/>
              </w:rPr>
              <w:t>Th</w:t>
            </w:r>
            <w:r w:rsidR="008E5F8F">
              <w:rPr>
                <w:rFonts w:cs="Arial"/>
              </w:rPr>
              <w:t>is document c</w:t>
            </w:r>
            <w:r w:rsidRPr="005677F9">
              <w:rPr>
                <w:rFonts w:cs="Arial"/>
              </w:rPr>
              <w:t xml:space="preserve">an be found on GOV.UK: </w:t>
            </w:r>
            <w:hyperlink r:id="rId21" w:history="1">
              <w:r w:rsidR="006E2254" w:rsidRPr="001655E6">
                <w:rPr>
                  <w:rStyle w:val="Hyperlink"/>
                  <w:rFonts w:ascii="Arial" w:hAnsi="Arial"/>
                </w:rPr>
                <w:t>https://www.gov.uk/government/consultations/the-operational-transition-of-smart-meters-including-draft-legal-text</w:t>
              </w:r>
            </w:hyperlink>
            <w:r w:rsidR="006E2254">
              <w:t xml:space="preserve"> </w:t>
            </w:r>
          </w:p>
          <w:p w:rsidR="00B67165" w:rsidRPr="00B67165" w:rsidRDefault="00B67165" w:rsidP="00B67165">
            <w:pPr>
              <w:spacing w:after="0" w:line="240" w:lineRule="auto"/>
              <w:rPr>
                <w:rFonts w:cs="Arial"/>
                <w:szCs w:val="24"/>
              </w:rPr>
            </w:pPr>
          </w:p>
          <w:p w:rsidR="005E06CC" w:rsidRPr="007A0325" w:rsidRDefault="005E06CC" w:rsidP="00843B31">
            <w:r w:rsidRPr="00927623">
              <w:t xml:space="preserve">© Crown copyright </w:t>
            </w:r>
            <w:r w:rsidR="0087552F">
              <w:t>2017</w:t>
            </w:r>
          </w:p>
          <w:p w:rsidR="005E06CC" w:rsidRPr="00DE7008" w:rsidRDefault="005E06CC" w:rsidP="00843B31">
            <w:pPr>
              <w:rPr>
                <w:rFonts w:cs="Arial"/>
              </w:rPr>
            </w:pPr>
            <w:r w:rsidRPr="00DE7008">
              <w:rPr>
                <w:rFonts w:cs="Arial"/>
              </w:rPr>
              <w:t xml:space="preserve">You may re-use this information (not including logos) free of charge in any format or medium, under the terms of the Open Government Licence. </w:t>
            </w:r>
          </w:p>
          <w:p w:rsidR="005E06CC" w:rsidRPr="00F3583D" w:rsidRDefault="005E06CC" w:rsidP="00843B31">
            <w:pPr>
              <w:rPr>
                <w:rFonts w:cs="Arial"/>
              </w:rPr>
            </w:pPr>
            <w:r w:rsidRPr="00DE7008">
              <w:rPr>
                <w:rFonts w:cs="Arial"/>
              </w:rPr>
              <w:t xml:space="preserve">To view this licence, visit </w:t>
            </w:r>
            <w:hyperlink r:id="rId22" w:history="1">
              <w:r w:rsidRPr="00DE7008">
                <w:rPr>
                  <w:rStyle w:val="Hyperlink"/>
                  <w:rFonts w:ascii="Arial" w:hAnsi="Arial" w:cs="Arial"/>
                </w:rPr>
                <w:t>www.nationalarchives.gov.uk/doc/open-government-licence/</w:t>
              </w:r>
            </w:hyperlink>
            <w:r w:rsidRPr="00DE7008">
              <w:rPr>
                <w:rFonts w:cs="Arial"/>
              </w:rPr>
              <w:t xml:space="preserve"> or write to the Information Policy Team, The National Archives, Kew, London TW9 4DU, or email: </w:t>
            </w:r>
            <w:hyperlink r:id="rId23" w:history="1">
              <w:r w:rsidRPr="00DE7008">
                <w:rPr>
                  <w:rStyle w:val="Hyperlink"/>
                  <w:rFonts w:ascii="Arial" w:hAnsi="Arial" w:cs="Arial"/>
                </w:rPr>
                <w:t>psi@nationalarchives.gsi.gov.uk</w:t>
              </w:r>
            </w:hyperlink>
            <w:r w:rsidRPr="00DE7008">
              <w:rPr>
                <w:rFonts w:cs="Arial"/>
              </w:rPr>
              <w:t xml:space="preserve">. </w:t>
            </w:r>
          </w:p>
        </w:tc>
      </w:tr>
    </w:tbl>
    <w:p w:rsidR="001F32A6" w:rsidRPr="00F3583D" w:rsidRDefault="00F3583D" w:rsidP="00F3583D">
      <w:pPr>
        <w:pStyle w:val="TOC1"/>
      </w:pPr>
      <w:r w:rsidRPr="00F3583D">
        <w:t xml:space="preserve">Any enquiries regarding this publication should be sent to us at </w:t>
      </w:r>
      <w:hyperlink r:id="rId24" w:history="1">
        <w:r w:rsidRPr="0077207D">
          <w:rPr>
            <w:rStyle w:val="Hyperlink"/>
            <w:rFonts w:ascii="Arial" w:hAnsi="Arial" w:cs="Arial"/>
          </w:rPr>
          <w:t>smartmetering@beis.gov.uk</w:t>
        </w:r>
      </w:hyperlink>
      <w:r w:rsidRPr="00F3583D">
        <w:t>.</w:t>
      </w:r>
    </w:p>
    <w:sdt>
      <w:sdtPr>
        <w:rPr>
          <w:rFonts w:asciiTheme="minorHAnsi" w:eastAsiaTheme="minorEastAsia" w:hAnsiTheme="minorHAnsi"/>
          <w:color w:val="auto"/>
          <w:sz w:val="22"/>
          <w:lang w:val="en-GB" w:eastAsia="en-GB"/>
        </w:rPr>
        <w:id w:val="1797104625"/>
        <w:docPartObj>
          <w:docPartGallery w:val="Custom Table of Contents"/>
          <w:docPartUnique/>
        </w:docPartObj>
      </w:sdtPr>
      <w:sdtEndPr>
        <w:rPr>
          <w:rFonts w:ascii="Arial" w:eastAsiaTheme="minorHAnsi" w:hAnsi="Arial"/>
          <w:noProof/>
          <w:sz w:val="24"/>
          <w:lang w:eastAsia="en-US"/>
        </w:rPr>
      </w:sdtEndPr>
      <w:sdtContent>
        <w:p w:rsidR="00230CF2" w:rsidRDefault="00230CF2" w:rsidP="005D0FA3">
          <w:pPr>
            <w:pStyle w:val="TOCHeading"/>
            <w:rPr>
              <w:rFonts w:asciiTheme="minorHAnsi" w:eastAsiaTheme="minorEastAsia" w:hAnsiTheme="minorHAnsi"/>
              <w:color w:val="auto"/>
              <w:sz w:val="22"/>
              <w:lang w:val="en-GB" w:eastAsia="en-GB"/>
            </w:rPr>
          </w:pPr>
        </w:p>
        <w:p w:rsidR="00230CF2" w:rsidRDefault="00230CF2">
          <w:pPr>
            <w:spacing w:after="160" w:line="259" w:lineRule="auto"/>
            <w:rPr>
              <w:rFonts w:asciiTheme="minorHAnsi" w:eastAsiaTheme="minorEastAsia" w:hAnsiTheme="minorHAnsi"/>
              <w:sz w:val="22"/>
              <w:lang w:eastAsia="en-GB"/>
            </w:rPr>
          </w:pPr>
          <w:r>
            <w:rPr>
              <w:rFonts w:asciiTheme="minorHAnsi" w:eastAsiaTheme="minorEastAsia" w:hAnsiTheme="minorHAnsi"/>
              <w:sz w:val="22"/>
              <w:lang w:eastAsia="en-GB"/>
            </w:rPr>
            <w:br w:type="page"/>
          </w:r>
        </w:p>
        <w:p w:rsidR="00166CCC" w:rsidRDefault="00166CCC" w:rsidP="005D0FA3">
          <w:pPr>
            <w:pStyle w:val="TOCHeading"/>
            <w:rPr>
              <w:rFonts w:asciiTheme="minorHAnsi" w:eastAsiaTheme="minorEastAsia" w:hAnsiTheme="minorHAnsi"/>
              <w:color w:val="auto"/>
              <w:sz w:val="22"/>
              <w:lang w:val="en-GB" w:eastAsia="en-GB"/>
            </w:rPr>
          </w:pPr>
        </w:p>
        <w:p w:rsidR="003F4D9F" w:rsidRPr="00B879B9" w:rsidRDefault="00CD6EC5" w:rsidP="00085253">
          <w:pPr>
            <w:pStyle w:val="TOCHeading"/>
          </w:pPr>
          <w:r w:rsidRPr="00B879B9">
            <w:t>Content</w:t>
          </w:r>
          <w:r w:rsidR="00B3136D" w:rsidRPr="00B879B9">
            <w:t>s</w:t>
          </w:r>
          <w:r w:rsidR="00197A9F">
            <w:t xml:space="preserve"> </w:t>
          </w:r>
        </w:p>
        <w:p w:rsidR="00B34DF1" w:rsidRPr="000F6B49" w:rsidRDefault="00CD6EC5">
          <w:pPr>
            <w:pStyle w:val="TOC1"/>
            <w:rPr>
              <w:rFonts w:eastAsiaTheme="minorEastAsia" w:cs="Arial"/>
              <w:sz w:val="22"/>
              <w:lang w:eastAsia="en-GB"/>
            </w:rPr>
          </w:pPr>
          <w:r w:rsidRPr="000F6B49">
            <w:rPr>
              <w:rFonts w:cs="Arial"/>
              <w:noProof w:val="0"/>
              <w:color w:val="002060"/>
              <w:szCs w:val="24"/>
              <w:lang w:val="en-US"/>
            </w:rPr>
            <w:fldChar w:fldCharType="begin"/>
          </w:r>
          <w:r w:rsidRPr="000F6B49">
            <w:rPr>
              <w:rFonts w:cs="Arial"/>
              <w:color w:val="002060"/>
              <w:szCs w:val="24"/>
            </w:rPr>
            <w:instrText xml:space="preserve"> TOC \o "1-2" \h \z \u </w:instrText>
          </w:r>
          <w:r w:rsidRPr="000F6B49">
            <w:rPr>
              <w:rFonts w:cs="Arial"/>
              <w:noProof w:val="0"/>
              <w:color w:val="002060"/>
              <w:szCs w:val="24"/>
              <w:lang w:val="en-US"/>
            </w:rPr>
            <w:fldChar w:fldCharType="separate"/>
          </w:r>
          <w:hyperlink w:anchor="_Toc499760736" w:history="1">
            <w:r w:rsidR="00B34DF1" w:rsidRPr="000F6B49">
              <w:rPr>
                <w:rStyle w:val="Hyperlink"/>
                <w:rFonts w:ascii="Arial" w:hAnsi="Arial" w:cs="Arial"/>
              </w:rPr>
              <w:t>General information</w:t>
            </w:r>
            <w:r w:rsidR="00B34DF1" w:rsidRPr="000F6B49">
              <w:rPr>
                <w:rFonts w:cs="Arial"/>
                <w:webHidden/>
              </w:rPr>
              <w:tab/>
            </w:r>
            <w:r w:rsidR="00B34DF1" w:rsidRPr="000F6B49">
              <w:rPr>
                <w:rFonts w:cs="Arial"/>
                <w:webHidden/>
              </w:rPr>
              <w:fldChar w:fldCharType="begin"/>
            </w:r>
            <w:r w:rsidR="00B34DF1" w:rsidRPr="000F6B49">
              <w:rPr>
                <w:rFonts w:cs="Arial"/>
                <w:webHidden/>
              </w:rPr>
              <w:instrText xml:space="preserve"> PAGEREF _Toc499760736 \h </w:instrText>
            </w:r>
            <w:r w:rsidR="00B34DF1" w:rsidRPr="000F6B49">
              <w:rPr>
                <w:rFonts w:cs="Arial"/>
                <w:webHidden/>
              </w:rPr>
            </w:r>
            <w:r w:rsidR="00B34DF1" w:rsidRPr="000F6B49">
              <w:rPr>
                <w:rFonts w:cs="Arial"/>
                <w:webHidden/>
              </w:rPr>
              <w:fldChar w:fldCharType="separate"/>
            </w:r>
            <w:r w:rsidR="00B34DF1" w:rsidRPr="000F6B49">
              <w:rPr>
                <w:rFonts w:cs="Arial"/>
                <w:webHidden/>
              </w:rPr>
              <w:t>3</w:t>
            </w:r>
            <w:r w:rsidR="00B34DF1" w:rsidRPr="000F6B49">
              <w:rPr>
                <w:rFonts w:cs="Arial"/>
                <w:webHidden/>
              </w:rPr>
              <w:fldChar w:fldCharType="end"/>
            </w:r>
          </w:hyperlink>
        </w:p>
        <w:p w:rsidR="00B34DF1" w:rsidRPr="000F6B49" w:rsidRDefault="00622071">
          <w:pPr>
            <w:pStyle w:val="TOC1"/>
            <w:tabs>
              <w:tab w:val="left" w:pos="480"/>
            </w:tabs>
            <w:rPr>
              <w:rFonts w:eastAsiaTheme="minorEastAsia" w:cs="Arial"/>
              <w:sz w:val="22"/>
              <w:lang w:eastAsia="en-GB"/>
            </w:rPr>
          </w:pPr>
          <w:hyperlink w:anchor="_Toc499760740" w:history="1">
            <w:r w:rsidR="00B34DF1" w:rsidRPr="000F6B49">
              <w:rPr>
                <w:rStyle w:val="Hyperlink"/>
                <w:rFonts w:ascii="Arial" w:hAnsi="Arial" w:cs="Arial"/>
              </w:rPr>
              <w:t>1.</w:t>
            </w:r>
            <w:r w:rsidR="00B34DF1" w:rsidRPr="000F6B49">
              <w:rPr>
                <w:rFonts w:eastAsiaTheme="minorEastAsia" w:cs="Arial"/>
                <w:sz w:val="22"/>
                <w:lang w:eastAsia="en-GB"/>
              </w:rPr>
              <w:tab/>
            </w:r>
            <w:r w:rsidR="00B34DF1" w:rsidRPr="000F6B49">
              <w:rPr>
                <w:rStyle w:val="Hyperlink"/>
                <w:rFonts w:ascii="Arial" w:hAnsi="Arial" w:cs="Arial"/>
              </w:rPr>
              <w:t>Introduction</w:t>
            </w:r>
            <w:r w:rsidR="00B34DF1" w:rsidRPr="000F6B49">
              <w:rPr>
                <w:rFonts w:cs="Arial"/>
                <w:webHidden/>
              </w:rPr>
              <w:tab/>
            </w:r>
            <w:r w:rsidR="00B34DF1" w:rsidRPr="000F6B49">
              <w:rPr>
                <w:rFonts w:cs="Arial"/>
                <w:webHidden/>
              </w:rPr>
              <w:fldChar w:fldCharType="begin"/>
            </w:r>
            <w:r w:rsidR="00B34DF1" w:rsidRPr="000F6B49">
              <w:rPr>
                <w:rFonts w:cs="Arial"/>
                <w:webHidden/>
              </w:rPr>
              <w:instrText xml:space="preserve"> PAGEREF _Toc499760740 \h </w:instrText>
            </w:r>
            <w:r w:rsidR="00B34DF1" w:rsidRPr="000F6B49">
              <w:rPr>
                <w:rFonts w:cs="Arial"/>
                <w:webHidden/>
              </w:rPr>
            </w:r>
            <w:r w:rsidR="00B34DF1" w:rsidRPr="000F6B49">
              <w:rPr>
                <w:rFonts w:cs="Arial"/>
                <w:webHidden/>
              </w:rPr>
              <w:fldChar w:fldCharType="separate"/>
            </w:r>
            <w:r w:rsidR="00B34DF1" w:rsidRPr="000F6B49">
              <w:rPr>
                <w:rFonts w:cs="Arial"/>
                <w:webHidden/>
              </w:rPr>
              <w:t>5</w:t>
            </w:r>
            <w:r w:rsidR="00B34DF1" w:rsidRPr="000F6B49">
              <w:rPr>
                <w:rFonts w:cs="Arial"/>
                <w:webHidden/>
              </w:rPr>
              <w:fldChar w:fldCharType="end"/>
            </w:r>
          </w:hyperlink>
        </w:p>
        <w:p w:rsidR="00B34DF1" w:rsidRPr="000F6B49" w:rsidRDefault="00622071">
          <w:pPr>
            <w:pStyle w:val="TOC1"/>
            <w:tabs>
              <w:tab w:val="left" w:pos="480"/>
            </w:tabs>
            <w:rPr>
              <w:rFonts w:eastAsiaTheme="minorEastAsia" w:cs="Arial"/>
              <w:sz w:val="22"/>
              <w:lang w:eastAsia="en-GB"/>
            </w:rPr>
          </w:pPr>
          <w:hyperlink w:anchor="_Toc499760741" w:history="1">
            <w:r w:rsidR="00B34DF1" w:rsidRPr="000F6B49">
              <w:rPr>
                <w:rStyle w:val="Hyperlink"/>
                <w:rFonts w:ascii="Arial" w:hAnsi="Arial" w:cs="Arial"/>
              </w:rPr>
              <w:t>2.</w:t>
            </w:r>
            <w:r w:rsidR="00B34DF1" w:rsidRPr="000F6B49">
              <w:rPr>
                <w:rFonts w:eastAsiaTheme="minorEastAsia" w:cs="Arial"/>
                <w:sz w:val="22"/>
                <w:lang w:eastAsia="en-GB"/>
              </w:rPr>
              <w:tab/>
            </w:r>
            <w:r w:rsidR="00B34DF1" w:rsidRPr="000F6B49">
              <w:rPr>
                <w:rStyle w:val="Hyperlink"/>
                <w:rFonts w:ascii="Arial" w:hAnsi="Arial" w:cs="Arial"/>
              </w:rPr>
              <w:t>Practical Information</w:t>
            </w:r>
            <w:r w:rsidR="00B34DF1" w:rsidRPr="000F6B49">
              <w:rPr>
                <w:rFonts w:cs="Arial"/>
                <w:webHidden/>
              </w:rPr>
              <w:tab/>
            </w:r>
            <w:r w:rsidR="00B34DF1" w:rsidRPr="000F6B49">
              <w:rPr>
                <w:rFonts w:cs="Arial"/>
                <w:webHidden/>
              </w:rPr>
              <w:fldChar w:fldCharType="begin"/>
            </w:r>
            <w:r w:rsidR="00B34DF1" w:rsidRPr="000F6B49">
              <w:rPr>
                <w:rFonts w:cs="Arial"/>
                <w:webHidden/>
              </w:rPr>
              <w:instrText xml:space="preserve"> PAGEREF _Toc499760741 \h </w:instrText>
            </w:r>
            <w:r w:rsidR="00B34DF1" w:rsidRPr="000F6B49">
              <w:rPr>
                <w:rFonts w:cs="Arial"/>
                <w:webHidden/>
              </w:rPr>
            </w:r>
            <w:r w:rsidR="00B34DF1" w:rsidRPr="000F6B49">
              <w:rPr>
                <w:rFonts w:cs="Arial"/>
                <w:webHidden/>
              </w:rPr>
              <w:fldChar w:fldCharType="separate"/>
            </w:r>
            <w:r w:rsidR="00B34DF1" w:rsidRPr="000F6B49">
              <w:rPr>
                <w:rFonts w:cs="Arial"/>
                <w:webHidden/>
              </w:rPr>
              <w:t>6</w:t>
            </w:r>
            <w:r w:rsidR="00B34DF1" w:rsidRPr="000F6B49">
              <w:rPr>
                <w:rFonts w:cs="Arial"/>
                <w:webHidden/>
              </w:rPr>
              <w:fldChar w:fldCharType="end"/>
            </w:r>
          </w:hyperlink>
        </w:p>
        <w:p w:rsidR="00B34DF1" w:rsidRPr="000F6B49" w:rsidRDefault="00622071">
          <w:pPr>
            <w:pStyle w:val="TOC1"/>
            <w:tabs>
              <w:tab w:val="left" w:pos="480"/>
            </w:tabs>
            <w:rPr>
              <w:rFonts w:eastAsiaTheme="minorEastAsia" w:cs="Arial"/>
              <w:sz w:val="22"/>
              <w:lang w:eastAsia="en-GB"/>
            </w:rPr>
          </w:pPr>
          <w:hyperlink w:anchor="_Toc499760742" w:history="1">
            <w:r w:rsidR="00B34DF1" w:rsidRPr="000F6B49">
              <w:rPr>
                <w:rStyle w:val="Hyperlink"/>
                <w:rFonts w:ascii="Arial" w:hAnsi="Arial" w:cs="Arial"/>
              </w:rPr>
              <w:t>3.</w:t>
            </w:r>
            <w:r w:rsidR="00B34DF1" w:rsidRPr="000F6B49">
              <w:rPr>
                <w:rFonts w:eastAsiaTheme="minorEastAsia" w:cs="Arial"/>
                <w:sz w:val="22"/>
                <w:lang w:eastAsia="en-GB"/>
              </w:rPr>
              <w:tab/>
            </w:r>
            <w:r w:rsidR="00B34DF1" w:rsidRPr="000F6B49">
              <w:rPr>
                <w:rStyle w:val="Hyperlink"/>
                <w:rFonts w:ascii="Arial" w:hAnsi="Arial" w:cs="Arial"/>
              </w:rPr>
              <w:t>Derogation Criteria</w:t>
            </w:r>
            <w:r w:rsidR="00B34DF1" w:rsidRPr="000F6B49">
              <w:rPr>
                <w:rFonts w:cs="Arial"/>
                <w:webHidden/>
              </w:rPr>
              <w:tab/>
            </w:r>
            <w:r w:rsidR="00B34DF1" w:rsidRPr="000F6B49">
              <w:rPr>
                <w:rFonts w:cs="Arial"/>
                <w:webHidden/>
              </w:rPr>
              <w:fldChar w:fldCharType="begin"/>
            </w:r>
            <w:r w:rsidR="00B34DF1" w:rsidRPr="000F6B49">
              <w:rPr>
                <w:rFonts w:cs="Arial"/>
                <w:webHidden/>
              </w:rPr>
              <w:instrText xml:space="preserve"> PAGEREF _Toc499760742 \h </w:instrText>
            </w:r>
            <w:r w:rsidR="00B34DF1" w:rsidRPr="000F6B49">
              <w:rPr>
                <w:rFonts w:cs="Arial"/>
                <w:webHidden/>
              </w:rPr>
            </w:r>
            <w:r w:rsidR="00B34DF1" w:rsidRPr="000F6B49">
              <w:rPr>
                <w:rFonts w:cs="Arial"/>
                <w:webHidden/>
              </w:rPr>
              <w:fldChar w:fldCharType="separate"/>
            </w:r>
            <w:r w:rsidR="00B34DF1" w:rsidRPr="000F6B49">
              <w:rPr>
                <w:rFonts w:cs="Arial"/>
                <w:webHidden/>
              </w:rPr>
              <w:t>10</w:t>
            </w:r>
            <w:r w:rsidR="00B34DF1" w:rsidRPr="000F6B49">
              <w:rPr>
                <w:rFonts w:cs="Arial"/>
                <w:webHidden/>
              </w:rPr>
              <w:fldChar w:fldCharType="end"/>
            </w:r>
          </w:hyperlink>
        </w:p>
        <w:p w:rsidR="00B34DF1" w:rsidRPr="000F6B49" w:rsidRDefault="00622071">
          <w:pPr>
            <w:pStyle w:val="TOC1"/>
            <w:tabs>
              <w:tab w:val="left" w:pos="480"/>
            </w:tabs>
            <w:rPr>
              <w:rFonts w:eastAsiaTheme="minorEastAsia" w:cs="Arial"/>
              <w:sz w:val="22"/>
              <w:lang w:eastAsia="en-GB"/>
            </w:rPr>
          </w:pPr>
          <w:hyperlink w:anchor="_Toc499760743" w:history="1">
            <w:r w:rsidR="00B34DF1" w:rsidRPr="000F6B49">
              <w:rPr>
                <w:rStyle w:val="Hyperlink"/>
                <w:rFonts w:ascii="Arial" w:hAnsi="Arial" w:cs="Arial"/>
              </w:rPr>
              <w:t>4.</w:t>
            </w:r>
            <w:r w:rsidR="00B34DF1" w:rsidRPr="000F6B49">
              <w:rPr>
                <w:rFonts w:eastAsiaTheme="minorEastAsia" w:cs="Arial"/>
                <w:sz w:val="22"/>
                <w:lang w:eastAsia="en-GB"/>
              </w:rPr>
              <w:tab/>
            </w:r>
            <w:r w:rsidR="00B34DF1" w:rsidRPr="000F6B49">
              <w:rPr>
                <w:rStyle w:val="Hyperlink"/>
                <w:rFonts w:ascii="Arial" w:hAnsi="Arial" w:cs="Arial"/>
                <w:caps/>
              </w:rPr>
              <w:t>A</w:t>
            </w:r>
            <w:r w:rsidR="00B34DF1" w:rsidRPr="000F6B49">
              <w:rPr>
                <w:rStyle w:val="Hyperlink"/>
                <w:rFonts w:ascii="Arial" w:hAnsi="Arial" w:cs="Arial"/>
              </w:rPr>
              <w:t>pplication forms</w:t>
            </w:r>
            <w:r w:rsidR="00B34DF1" w:rsidRPr="000F6B49">
              <w:rPr>
                <w:rFonts w:cs="Arial"/>
                <w:webHidden/>
              </w:rPr>
              <w:tab/>
            </w:r>
            <w:r w:rsidR="00B34DF1" w:rsidRPr="000F6B49">
              <w:rPr>
                <w:rFonts w:cs="Arial"/>
                <w:webHidden/>
              </w:rPr>
              <w:fldChar w:fldCharType="begin"/>
            </w:r>
            <w:r w:rsidR="00B34DF1" w:rsidRPr="000F6B49">
              <w:rPr>
                <w:rFonts w:cs="Arial"/>
                <w:webHidden/>
              </w:rPr>
              <w:instrText xml:space="preserve"> PAGEREF _Toc499760743 \h </w:instrText>
            </w:r>
            <w:r w:rsidR="00B34DF1" w:rsidRPr="000F6B49">
              <w:rPr>
                <w:rFonts w:cs="Arial"/>
                <w:webHidden/>
              </w:rPr>
            </w:r>
            <w:r w:rsidR="00B34DF1" w:rsidRPr="000F6B49">
              <w:rPr>
                <w:rFonts w:cs="Arial"/>
                <w:webHidden/>
              </w:rPr>
              <w:fldChar w:fldCharType="separate"/>
            </w:r>
            <w:r w:rsidR="00B34DF1" w:rsidRPr="000F6B49">
              <w:rPr>
                <w:rFonts w:cs="Arial"/>
                <w:webHidden/>
              </w:rPr>
              <w:t>16</w:t>
            </w:r>
            <w:r w:rsidR="00B34DF1" w:rsidRPr="000F6B49">
              <w:rPr>
                <w:rFonts w:cs="Arial"/>
                <w:webHidden/>
              </w:rPr>
              <w:fldChar w:fldCharType="end"/>
            </w:r>
          </w:hyperlink>
        </w:p>
        <w:p w:rsidR="00CD6EC5" w:rsidRDefault="00CD6EC5" w:rsidP="00AA6A17">
          <w:r w:rsidRPr="000F6B49">
            <w:rPr>
              <w:rFonts w:cs="Arial"/>
              <w:noProof/>
              <w:color w:val="002060"/>
              <w:szCs w:val="24"/>
            </w:rPr>
            <w:fldChar w:fldCharType="end"/>
          </w:r>
        </w:p>
      </w:sdtContent>
    </w:sdt>
    <w:p w:rsidR="00CD6EC5" w:rsidRPr="00CD6EC5" w:rsidRDefault="00CD6EC5" w:rsidP="00CD6EC5"/>
    <w:p w:rsidR="001F32A6" w:rsidRDefault="001F32A6" w:rsidP="001F32A6"/>
    <w:p w:rsidR="001F32A6" w:rsidRPr="000322BE" w:rsidRDefault="001F32A6" w:rsidP="001F32A6">
      <w:pPr>
        <w:sectPr w:rsidR="001F32A6" w:rsidRPr="000322BE" w:rsidSect="00700D4A">
          <w:headerReference w:type="even" r:id="rId25"/>
          <w:footerReference w:type="even" r:id="rId26"/>
          <w:headerReference w:type="first" r:id="rId27"/>
          <w:pgSz w:w="11906" w:h="16838" w:code="9"/>
          <w:pgMar w:top="1701" w:right="907" w:bottom="907" w:left="907" w:header="680" w:footer="680" w:gutter="0"/>
          <w:pgNumType w:start="1"/>
          <w:cols w:space="720"/>
          <w:docGrid w:linePitch="326"/>
        </w:sectPr>
      </w:pPr>
    </w:p>
    <w:p w:rsidR="001F32A6" w:rsidRPr="00064196" w:rsidRDefault="001F32A6" w:rsidP="001F32A6">
      <w:pPr>
        <w:pStyle w:val="Heading1"/>
      </w:pPr>
      <w:bookmarkStart w:id="2" w:name="_Toc255108163"/>
      <w:bookmarkStart w:id="3" w:name="_Toc499760736"/>
      <w:r w:rsidRPr="00064196">
        <w:t>General information</w:t>
      </w:r>
      <w:bookmarkEnd w:id="2"/>
      <w:bookmarkEnd w:id="3"/>
    </w:p>
    <w:p w:rsidR="001F32A6" w:rsidRPr="00D236C3" w:rsidRDefault="001F32A6" w:rsidP="001F32A6">
      <w:pPr>
        <w:pStyle w:val="Heading2"/>
      </w:pPr>
      <w:bookmarkStart w:id="4" w:name="_Toc485727569"/>
      <w:bookmarkStart w:id="5" w:name="_Toc499760737"/>
      <w:r w:rsidRPr="00D236C3">
        <w:t xml:space="preserve">Purpose of this </w:t>
      </w:r>
      <w:bookmarkEnd w:id="4"/>
      <w:r w:rsidR="008E5F8F">
        <w:t>document</w:t>
      </w:r>
      <w:bookmarkEnd w:id="5"/>
    </w:p>
    <w:p w:rsidR="00780B9A" w:rsidRPr="00ED3062" w:rsidRDefault="00780B9A" w:rsidP="00780B9A">
      <w:r w:rsidRPr="00ED3062">
        <w:t xml:space="preserve">This </w:t>
      </w:r>
      <w:r w:rsidR="008E5F8F">
        <w:t xml:space="preserve">document </w:t>
      </w:r>
      <w:r w:rsidR="009444FC">
        <w:t>is intended for use by ener</w:t>
      </w:r>
      <w:r w:rsidR="00C613F9">
        <w:t>gy suppliers considering applying for</w:t>
      </w:r>
      <w:r w:rsidR="009444FC">
        <w:t xml:space="preserve"> a derogation from the SMETS1 end date</w:t>
      </w:r>
      <w:r w:rsidR="003E10EF">
        <w:t>.</w:t>
      </w:r>
      <w:r w:rsidR="009444FC">
        <w:t xml:space="preserve">  It should be read alongside the Government Response to the consultation on the Operational Transition of Smart Meters.</w:t>
      </w:r>
      <w:r w:rsidR="003E10EF">
        <w:t xml:space="preserve">  </w:t>
      </w:r>
    </w:p>
    <w:p w:rsidR="001F32A6" w:rsidRPr="00D236C3" w:rsidRDefault="001F32A6" w:rsidP="001F32A6">
      <w:r w:rsidRPr="00D236C3">
        <w:rPr>
          <w:b/>
        </w:rPr>
        <w:t>Issued</w:t>
      </w:r>
      <w:r w:rsidRPr="00D236C3">
        <w:t xml:space="preserve">: </w:t>
      </w:r>
      <w:r w:rsidR="009444FC" w:rsidRPr="000F6B49">
        <w:t>4 December</w:t>
      </w:r>
      <w:r w:rsidR="00077A68" w:rsidRPr="00D64D8D">
        <w:rPr>
          <w:color w:val="000000" w:themeColor="text2"/>
        </w:rPr>
        <w:t xml:space="preserve"> 201</w:t>
      </w:r>
      <w:r w:rsidR="0087552F" w:rsidRPr="00D64D8D">
        <w:rPr>
          <w:color w:val="000000" w:themeColor="text2"/>
        </w:rPr>
        <w:t>7</w:t>
      </w:r>
    </w:p>
    <w:p w:rsidR="0040711B" w:rsidRDefault="009444FC" w:rsidP="004F7DA5">
      <w:pPr>
        <w:spacing w:after="0" w:line="240" w:lineRule="auto"/>
        <w:rPr>
          <w:b/>
        </w:rPr>
      </w:pPr>
      <w:r>
        <w:rPr>
          <w:b/>
        </w:rPr>
        <w:t xml:space="preserve">Applications should be submitted </w:t>
      </w:r>
      <w:r w:rsidR="001F32A6" w:rsidRPr="00D236C3">
        <w:rPr>
          <w:b/>
        </w:rPr>
        <w:t>by</w:t>
      </w:r>
      <w:r w:rsidR="001F32A6" w:rsidRPr="00D236C3">
        <w:t>:</w:t>
      </w:r>
      <w:r w:rsidR="00077A68">
        <w:t xml:space="preserve"> </w:t>
      </w:r>
      <w:r w:rsidR="00386A08">
        <w:t xml:space="preserve">5pm on </w:t>
      </w:r>
      <w:r w:rsidR="00265711" w:rsidRPr="00177C8B">
        <w:rPr>
          <w:color w:val="000000" w:themeColor="text2"/>
        </w:rPr>
        <w:t xml:space="preserve">5 January </w:t>
      </w:r>
      <w:r w:rsidR="009125C2" w:rsidRPr="00177C8B">
        <w:rPr>
          <w:color w:val="000000" w:themeColor="text2"/>
        </w:rPr>
        <w:t>201</w:t>
      </w:r>
      <w:r w:rsidR="009125C2">
        <w:rPr>
          <w:color w:val="000000" w:themeColor="text2"/>
        </w:rPr>
        <w:t>8</w:t>
      </w:r>
    </w:p>
    <w:p w:rsidR="0040711B" w:rsidRDefault="0040711B" w:rsidP="004F7DA5">
      <w:pPr>
        <w:spacing w:after="0" w:line="240" w:lineRule="auto"/>
        <w:rPr>
          <w:b/>
        </w:rPr>
      </w:pPr>
    </w:p>
    <w:p w:rsidR="0040711B" w:rsidRDefault="0040711B" w:rsidP="004F7DA5">
      <w:pPr>
        <w:spacing w:after="0" w:line="240" w:lineRule="auto"/>
        <w:rPr>
          <w:rStyle w:val="Hyperlink"/>
          <w:rFonts w:ascii="Arial" w:hAnsi="Arial" w:cs="Arial"/>
        </w:rPr>
      </w:pPr>
      <w:r>
        <w:rPr>
          <w:b/>
        </w:rPr>
        <w:t>E</w:t>
      </w:r>
      <w:r w:rsidR="001F32A6" w:rsidRPr="00D236C3">
        <w:rPr>
          <w:b/>
        </w:rPr>
        <w:t>nquiries to:</w:t>
      </w:r>
      <w:r w:rsidR="00FE61BF" w:rsidRPr="00D236C3">
        <w:t xml:space="preserve"> </w:t>
      </w:r>
      <w:hyperlink r:id="rId28" w:history="1">
        <w:r w:rsidR="00FE61BF" w:rsidRPr="0077207D">
          <w:rPr>
            <w:rStyle w:val="Hyperlink"/>
            <w:rFonts w:ascii="Arial" w:hAnsi="Arial" w:cs="Arial"/>
          </w:rPr>
          <w:t>smartmetering@beis.gov.uk</w:t>
        </w:r>
      </w:hyperlink>
    </w:p>
    <w:p w:rsidR="00FE61BF" w:rsidRDefault="000F6B49" w:rsidP="004F7DA5">
      <w:pPr>
        <w:spacing w:after="0" w:line="240" w:lineRule="auto"/>
      </w:pPr>
      <w:r>
        <w:t>Nicola Barber</w:t>
      </w:r>
    </w:p>
    <w:p w:rsidR="0077207D" w:rsidRPr="000075D9" w:rsidRDefault="00F05371" w:rsidP="004F7DA5">
      <w:pPr>
        <w:spacing w:after="0" w:line="240" w:lineRule="auto"/>
        <w:rPr>
          <w:b/>
        </w:rPr>
      </w:pPr>
      <w:r w:rsidRPr="003702BE">
        <w:t>Smart Metering Implementation Programme</w:t>
      </w:r>
      <w:r>
        <w:t xml:space="preserve"> - Policy and Consumers Team</w:t>
      </w:r>
      <w:r w:rsidR="001F32A6">
        <w:br/>
      </w:r>
      <w:r w:rsidR="001F32A6" w:rsidRPr="00D236C3">
        <w:t xml:space="preserve">Department </w:t>
      </w:r>
      <w:r w:rsidR="00407BCF">
        <w:t>for Business,</w:t>
      </w:r>
      <w:r w:rsidR="001F32A6" w:rsidRPr="00D236C3">
        <w:t xml:space="preserve"> Energy &amp; </w:t>
      </w:r>
      <w:r w:rsidR="00407BCF">
        <w:t>Industrial Strategy</w:t>
      </w:r>
      <w:r w:rsidR="001F32A6" w:rsidRPr="00D236C3">
        <w:t>,</w:t>
      </w:r>
      <w:r w:rsidR="001F32A6">
        <w:br/>
      </w:r>
      <w:r w:rsidR="00855D60" w:rsidRPr="0040711B">
        <w:t>5</w:t>
      </w:r>
      <w:r w:rsidR="00855D60" w:rsidRPr="0040711B">
        <w:rPr>
          <w:vertAlign w:val="superscript"/>
        </w:rPr>
        <w:t>th</w:t>
      </w:r>
      <w:r w:rsidR="00855D60" w:rsidRPr="0040711B">
        <w:t xml:space="preserve"> </w:t>
      </w:r>
      <w:r w:rsidR="0077207D" w:rsidRPr="0040711B">
        <w:t xml:space="preserve">Floor </w:t>
      </w:r>
      <w:r w:rsidR="00855D60" w:rsidRPr="0040711B">
        <w:t>Victoria 3</w:t>
      </w:r>
      <w:r w:rsidR="001F32A6" w:rsidRPr="0040711B">
        <w:t>,</w:t>
      </w:r>
      <w:r w:rsidR="001F32A6" w:rsidRPr="0040711B">
        <w:br/>
      </w:r>
      <w:r w:rsidR="00855D60" w:rsidRPr="0040711B">
        <w:t>1 Victoria Street</w:t>
      </w:r>
      <w:r w:rsidR="001F32A6" w:rsidRPr="0040711B">
        <w:t>,</w:t>
      </w:r>
      <w:r w:rsidR="001F32A6" w:rsidRPr="0040711B">
        <w:br/>
        <w:t xml:space="preserve">London, </w:t>
      </w:r>
      <w:r w:rsidR="00855D60" w:rsidRPr="0040711B">
        <w:rPr>
          <w:rFonts w:cs="Arial"/>
          <w:lang w:val="en"/>
        </w:rPr>
        <w:t>SW1H 0ET</w:t>
      </w:r>
    </w:p>
    <w:p w:rsidR="00604474" w:rsidRDefault="00604474" w:rsidP="00604474">
      <w:pPr>
        <w:pStyle w:val="Heading3"/>
        <w:spacing w:before="0" w:line="240" w:lineRule="auto"/>
      </w:pPr>
    </w:p>
    <w:p w:rsidR="004F7DA5" w:rsidRDefault="004F7DA5" w:rsidP="00604474">
      <w:pPr>
        <w:pStyle w:val="Heading3"/>
        <w:spacing w:before="0" w:line="240" w:lineRule="auto"/>
      </w:pPr>
    </w:p>
    <w:p w:rsidR="001F32A6" w:rsidRPr="00604474" w:rsidRDefault="001F32A6" w:rsidP="00604474">
      <w:pPr>
        <w:pStyle w:val="Heading2"/>
        <w:spacing w:before="0" w:after="0" w:line="240" w:lineRule="auto"/>
        <w:rPr>
          <w:b/>
          <w:sz w:val="24"/>
          <w:szCs w:val="24"/>
        </w:rPr>
      </w:pPr>
      <w:bookmarkStart w:id="6" w:name="_Toc485727570"/>
      <w:bookmarkStart w:id="7" w:name="_Toc499760738"/>
      <w:r w:rsidRPr="00604474">
        <w:rPr>
          <w:b/>
          <w:sz w:val="24"/>
          <w:szCs w:val="24"/>
        </w:rPr>
        <w:t xml:space="preserve">How to </w:t>
      </w:r>
      <w:bookmarkEnd w:id="6"/>
      <w:r w:rsidR="009444FC">
        <w:rPr>
          <w:b/>
          <w:sz w:val="24"/>
          <w:szCs w:val="24"/>
        </w:rPr>
        <w:t>submit an application</w:t>
      </w:r>
      <w:bookmarkEnd w:id="7"/>
    </w:p>
    <w:p w:rsidR="00E64F18" w:rsidRDefault="00E64F18" w:rsidP="00E64F18">
      <w:pPr>
        <w:pStyle w:val="Default"/>
      </w:pPr>
    </w:p>
    <w:p w:rsidR="001B3BCD" w:rsidRDefault="009444FC" w:rsidP="00E64F18">
      <w:pPr>
        <w:spacing w:after="0" w:line="240" w:lineRule="auto"/>
        <w:rPr>
          <w:rFonts w:cs="Arial"/>
          <w:szCs w:val="24"/>
        </w:rPr>
      </w:pPr>
      <w:r>
        <w:t>Applications</w:t>
      </w:r>
      <w:r w:rsidR="00E64F18">
        <w:t xml:space="preserve"> should be submitted </w:t>
      </w:r>
      <w:r w:rsidR="001B3BCD">
        <w:t>by email</w:t>
      </w:r>
      <w:r w:rsidR="001B3BCD" w:rsidRPr="00E64F18">
        <w:rPr>
          <w:rFonts w:cs="Arial"/>
          <w:szCs w:val="24"/>
        </w:rPr>
        <w:t xml:space="preserve"> to </w:t>
      </w:r>
      <w:hyperlink r:id="rId29" w:history="1">
        <w:r w:rsidR="001B3BCD" w:rsidRPr="0077207D">
          <w:rPr>
            <w:rStyle w:val="Hyperlink"/>
            <w:rFonts w:ascii="Arial" w:hAnsi="Arial" w:cs="Arial"/>
          </w:rPr>
          <w:t>smartmetering@beis.gov.uk</w:t>
        </w:r>
      </w:hyperlink>
      <w:r w:rsidR="001B3BCD">
        <w:rPr>
          <w:rStyle w:val="Hyperlink"/>
          <w:rFonts w:ascii="Arial" w:hAnsi="Arial" w:cs="Arial"/>
        </w:rPr>
        <w:t xml:space="preserve"> </w:t>
      </w:r>
      <w:r w:rsidR="001B3BCD" w:rsidRPr="00E64F18">
        <w:rPr>
          <w:rFonts w:cs="Arial"/>
          <w:szCs w:val="24"/>
        </w:rPr>
        <w:t>and hardcopy responses sent to the BEIS postal address above will also be accepted.</w:t>
      </w:r>
      <w:r w:rsidR="006D61C0">
        <w:rPr>
          <w:rFonts w:cs="Arial"/>
          <w:szCs w:val="24"/>
        </w:rPr>
        <w:t xml:space="preserve">  An acknowledgement of receipt will be sent from BEIS to the applicant. Applicants should contact BEIS if they have not received an acknowledgement within 2 days of submitting their application.</w:t>
      </w:r>
    </w:p>
    <w:p w:rsidR="001B3BCD" w:rsidRDefault="001B3BCD" w:rsidP="00E64F18">
      <w:pPr>
        <w:spacing w:after="0" w:line="240" w:lineRule="auto"/>
        <w:rPr>
          <w:rFonts w:cs="Arial"/>
          <w:szCs w:val="24"/>
        </w:rPr>
      </w:pPr>
    </w:p>
    <w:p w:rsidR="001F32A6" w:rsidRPr="00D236C3" w:rsidRDefault="001F32A6" w:rsidP="00604474">
      <w:pPr>
        <w:spacing w:after="0" w:line="240" w:lineRule="auto"/>
      </w:pPr>
    </w:p>
    <w:p w:rsidR="001F32A6" w:rsidRDefault="001F32A6" w:rsidP="00604474">
      <w:pPr>
        <w:pStyle w:val="Heading3"/>
        <w:spacing w:before="0" w:line="240" w:lineRule="auto"/>
      </w:pPr>
      <w:r w:rsidRPr="00D729EF">
        <w:t>Additional copies:</w:t>
      </w:r>
    </w:p>
    <w:p w:rsidR="001F32A6" w:rsidRPr="00D236C3" w:rsidRDefault="001F32A6" w:rsidP="00604474">
      <w:pPr>
        <w:spacing w:after="0" w:line="240" w:lineRule="auto"/>
      </w:pPr>
      <w:r w:rsidRPr="00D236C3">
        <w:t xml:space="preserve">You may make copies of this document without seeking permission. An electronic version can be found at </w:t>
      </w:r>
      <w:r w:rsidR="0040711B">
        <w:t xml:space="preserve">GOV.UK:  </w:t>
      </w:r>
      <w:hyperlink r:id="rId30" w:history="1">
        <w:r w:rsidR="00EB65F2" w:rsidRPr="001655E6">
          <w:rPr>
            <w:rStyle w:val="Hyperlink"/>
            <w:rFonts w:ascii="Arial" w:hAnsi="Arial"/>
          </w:rPr>
          <w:t>https://www.gov.uk/government/consultations/the-operational-transition-of-smart-meters-including-draft-legal-text</w:t>
        </w:r>
      </w:hyperlink>
      <w:r w:rsidR="00EB65F2">
        <w:t xml:space="preserve"> </w:t>
      </w:r>
    </w:p>
    <w:p w:rsidR="001F32A6" w:rsidRPr="00D236C3" w:rsidRDefault="001F32A6" w:rsidP="001F32A6">
      <w:r w:rsidRPr="00D236C3">
        <w:t xml:space="preserve">Other versions of the document in Braille, </w:t>
      </w:r>
      <w:r>
        <w:t>large print</w:t>
      </w:r>
      <w:r w:rsidRPr="00D236C3">
        <w:t xml:space="preserve"> or audio-cassette are available on request. This includes a Welsh version.</w:t>
      </w:r>
      <w:r>
        <w:t xml:space="preserve"> Please contact us under the above details to request alternative versions.</w:t>
      </w:r>
    </w:p>
    <w:p w:rsidR="001F32A6" w:rsidRDefault="001F32A6" w:rsidP="001F32A6">
      <w:pPr>
        <w:pStyle w:val="Heading2"/>
      </w:pPr>
      <w:bookmarkStart w:id="8" w:name="_Toc485727571"/>
      <w:bookmarkStart w:id="9" w:name="_Toc499760739"/>
      <w:r w:rsidRPr="00D236C3">
        <w:t>Confidentiality and data protection</w:t>
      </w:r>
      <w:bookmarkEnd w:id="8"/>
      <w:bookmarkEnd w:id="9"/>
    </w:p>
    <w:p w:rsidR="004272AC" w:rsidRDefault="00F14071" w:rsidP="004272AC">
      <w:pPr>
        <w:spacing w:after="0" w:line="240" w:lineRule="auto"/>
        <w:jc w:val="both"/>
      </w:pPr>
      <w:r>
        <w:t xml:space="preserve">Information regarding </w:t>
      </w:r>
      <w:r w:rsidR="0068312B">
        <w:t xml:space="preserve">derogations granted </w:t>
      </w:r>
      <w:r w:rsidR="00487CCE">
        <w:t xml:space="preserve"> </w:t>
      </w:r>
      <w:r w:rsidR="0068312B">
        <w:t xml:space="preserve">will be published on the SECAS website (subject to any redactions needed to address commercial sensitivities). </w:t>
      </w:r>
      <w:r w:rsidR="004272AC">
        <w:t xml:space="preserve">Section 105 of the Utilities Act 2000 prevents BEIS from disclosing information obtained </w:t>
      </w:r>
      <w:r w:rsidR="008208E7" w:rsidRPr="008208E7">
        <w:t>as part of the supplier’s application for a derogation</w:t>
      </w:r>
      <w:r w:rsidR="008208E7">
        <w:t xml:space="preserve"> </w:t>
      </w:r>
      <w:r w:rsidR="004272AC">
        <w:t xml:space="preserve">where it relates to an individual </w:t>
      </w:r>
      <w:r w:rsidR="0068312B">
        <w:t xml:space="preserve">energy </w:t>
      </w:r>
      <w:r w:rsidR="004272AC">
        <w:t xml:space="preserve">supplier’s business and the </w:t>
      </w:r>
      <w:r w:rsidR="0068312B">
        <w:t xml:space="preserve">energy </w:t>
      </w:r>
      <w:r w:rsidR="004272AC">
        <w:t>supplier has not given consent for disclosure</w:t>
      </w:r>
      <w:r w:rsidR="008208E7" w:rsidRPr="008208E7">
        <w:t>, subject to the exceptions to the prohibition in section 105</w:t>
      </w:r>
      <w:r w:rsidR="004272AC">
        <w:t xml:space="preserve">. This restriction extends to Freedom of Information Requests. Requests for environmental information are dealt with under the Environmental Information Regulations 2004. Under this legislation, there is an exception from the duty to disclose information where the information is confidential or commercially sensitive, although this is considered on a case by case basis in accordance with the public interest. </w:t>
      </w:r>
    </w:p>
    <w:p w:rsidR="004272AC" w:rsidRDefault="004272AC" w:rsidP="004272AC">
      <w:pPr>
        <w:spacing w:after="0" w:line="240" w:lineRule="auto"/>
        <w:ind w:left="426"/>
        <w:jc w:val="both"/>
      </w:pPr>
    </w:p>
    <w:p w:rsidR="004272AC" w:rsidRPr="000F6B49" w:rsidRDefault="004272AC" w:rsidP="004272AC">
      <w:pPr>
        <w:spacing w:after="0" w:line="240" w:lineRule="auto"/>
        <w:jc w:val="both"/>
      </w:pPr>
      <w:r>
        <w:t>BEIS will not disclose to other parties</w:t>
      </w:r>
      <w:r w:rsidR="001403F3">
        <w:t>, except Ofgem,</w:t>
      </w:r>
      <w:r>
        <w:t xml:space="preserve"> </w:t>
      </w:r>
      <w:r w:rsidR="0068312B">
        <w:t xml:space="preserve">any redacted </w:t>
      </w:r>
      <w:r>
        <w:t xml:space="preserve">commercially sensitive information submitted by an individual </w:t>
      </w:r>
      <w:r w:rsidR="0068312B">
        <w:t xml:space="preserve">energy </w:t>
      </w:r>
      <w:r>
        <w:t>supplier</w:t>
      </w:r>
      <w:r w:rsidR="00825798">
        <w:t xml:space="preserve"> </w:t>
      </w:r>
      <w:r w:rsidR="00825798" w:rsidRPr="008208E7">
        <w:t xml:space="preserve">as part of </w:t>
      </w:r>
      <w:r w:rsidR="00825798">
        <w:t xml:space="preserve">its </w:t>
      </w:r>
      <w:r w:rsidR="00825798" w:rsidRPr="008208E7">
        <w:t>application for a derogation</w:t>
      </w:r>
      <w:r>
        <w:t xml:space="preserve">, in a manner in which the particular </w:t>
      </w:r>
      <w:r w:rsidR="0068312B">
        <w:t xml:space="preserve">energy </w:t>
      </w:r>
      <w:r>
        <w:t>supplier is identified</w:t>
      </w:r>
      <w:r w:rsidR="008B01FE">
        <w:t>, unless</w:t>
      </w:r>
      <w:r w:rsidR="00825798">
        <w:t xml:space="preserve"> [required to be disclosed by law or by any competent authority and ]</w:t>
      </w:r>
      <w:r w:rsidR="00D20120">
        <w:t>an exception to the prohibition in section 105 applies</w:t>
      </w:r>
      <w:r>
        <w:t xml:space="preserve">. BEIS may use the information from </w:t>
      </w:r>
      <w:r w:rsidR="0068312B">
        <w:t xml:space="preserve">energy </w:t>
      </w:r>
      <w:r>
        <w:t xml:space="preserve">suppliers to inform policy development and aggregated information may be disclosed or published by BEIS at its discretion, including (for example) where this is required by law, where BEIS needs to inform Parliament of progress, or where the information supports a particular policy proposal on which BEIS needs to consult. </w:t>
      </w:r>
      <w:r w:rsidR="00801765" w:rsidRPr="000F6B49">
        <w:t>BEIS intends to report summary</w:t>
      </w:r>
      <w:r w:rsidR="006D371A">
        <w:t xml:space="preserve"> </w:t>
      </w:r>
      <w:r w:rsidR="00801765" w:rsidRPr="000F6B49">
        <w:t xml:space="preserve">information in </w:t>
      </w:r>
      <w:r w:rsidR="006D371A">
        <w:t>its</w:t>
      </w:r>
      <w:r w:rsidR="00801765" w:rsidRPr="000F6B49">
        <w:t xml:space="preserve"> smart metering annual report. </w:t>
      </w:r>
      <w:r w:rsidR="006D371A">
        <w:t>I</w:t>
      </w:r>
      <w:r w:rsidR="00801765" w:rsidRPr="000F6B49">
        <w:t>nformation which is released</w:t>
      </w:r>
      <w:r w:rsidR="006D371A">
        <w:t xml:space="preserve"> as part of this report</w:t>
      </w:r>
      <w:r w:rsidR="00801765" w:rsidRPr="000F6B49">
        <w:t xml:space="preserve"> will be anonymised and aggregated as necessary to ensure that it remains appropriately protected.</w:t>
      </w:r>
    </w:p>
    <w:p w:rsidR="004272AC" w:rsidRDefault="004272AC" w:rsidP="004272AC">
      <w:pPr>
        <w:spacing w:after="0" w:line="240" w:lineRule="auto"/>
        <w:jc w:val="both"/>
        <w:rPr>
          <w:b/>
        </w:rPr>
      </w:pPr>
    </w:p>
    <w:p w:rsidR="004272AC" w:rsidRDefault="004272AC" w:rsidP="004272AC">
      <w:pPr>
        <w:spacing w:after="0" w:line="240" w:lineRule="auto"/>
        <w:jc w:val="both"/>
      </w:pPr>
      <w:r>
        <w:t xml:space="preserve">Information provided on a voluntary basis and outside the scope of the information required as part of the derogation process, including personal information, may be subject to publication or disclosure in accordance with the access to information legislation (primarily the Freedom of Information Act 2000, the Data Protection Act 1998 and the Environmental Information Regulations 2004). If you want information that you provide to be treated as confidential please say so clearly in writing when you send us your evidence. It would be helpful if you could explain to us why you regard the information you have provided as confidential. If we receive a request for disclosure of the information we will take full account of your explanation and may consult you further at the time of the request, but we cannot give an assurance that confidentiality can be maintained in all circumstances. An automatic confidentiality disclaimer generated by your IT system will not, of itself, be regarded by us as a confidentiality request. </w:t>
      </w:r>
    </w:p>
    <w:p w:rsidR="004272AC" w:rsidRDefault="004272AC" w:rsidP="001F32A6">
      <w:pPr>
        <w:rPr>
          <w:rFonts w:cs="Arial"/>
        </w:rPr>
      </w:pPr>
    </w:p>
    <w:p w:rsidR="004272AC" w:rsidRDefault="004272AC" w:rsidP="004272AC">
      <w:pPr>
        <w:spacing w:after="160" w:line="259" w:lineRule="auto"/>
        <w:rPr>
          <w:rFonts w:cs="Arial"/>
        </w:rPr>
      </w:pPr>
      <w:r>
        <w:rPr>
          <w:rFonts w:cs="Arial"/>
        </w:rPr>
        <w:br w:type="page"/>
      </w:r>
    </w:p>
    <w:p w:rsidR="00CE7DA3" w:rsidRDefault="002864C9" w:rsidP="00230D87">
      <w:pPr>
        <w:pStyle w:val="ChptHead"/>
        <w:numPr>
          <w:ilvl w:val="0"/>
          <w:numId w:val="13"/>
        </w:numPr>
        <w:spacing w:before="500" w:after="500" w:line="240" w:lineRule="auto"/>
        <w:ind w:left="709" w:hanging="709"/>
        <w:rPr>
          <w:color w:val="002060"/>
        </w:rPr>
      </w:pPr>
      <w:bookmarkStart w:id="10" w:name="_Toc499760740"/>
      <w:r>
        <w:rPr>
          <w:color w:val="002060"/>
        </w:rPr>
        <w:t>Introduction</w:t>
      </w:r>
      <w:bookmarkEnd w:id="10"/>
    </w:p>
    <w:p w:rsidR="007A4A5D" w:rsidRPr="00793930" w:rsidRDefault="007A4A5D" w:rsidP="00057090">
      <w:pPr>
        <w:spacing w:after="0" w:line="240" w:lineRule="auto"/>
      </w:pPr>
      <w:bookmarkStart w:id="11" w:name="_Toc436210958"/>
      <w:bookmarkStart w:id="12" w:name="_Toc436744863"/>
      <w:bookmarkStart w:id="13" w:name="_Toc437617689"/>
    </w:p>
    <w:p w:rsidR="00BB3B7C" w:rsidRDefault="001C3573" w:rsidP="00011D40">
      <w:pPr>
        <w:numPr>
          <w:ilvl w:val="0"/>
          <w:numId w:val="14"/>
        </w:numPr>
        <w:spacing w:after="0" w:line="240" w:lineRule="auto"/>
        <w:ind w:left="426" w:hanging="426"/>
        <w:jc w:val="both"/>
      </w:pPr>
      <w:bookmarkStart w:id="14" w:name="_Toc436210959"/>
      <w:bookmarkStart w:id="15" w:name="_Toc436744864"/>
      <w:bookmarkEnd w:id="11"/>
      <w:bookmarkEnd w:id="12"/>
      <w:bookmarkEnd w:id="13"/>
      <w:r>
        <w:t xml:space="preserve">The SMETS1 end date is one of a number of milestones intended to drive the deployment of devices that meet the requirements of the second </w:t>
      </w:r>
      <w:r w:rsidR="004D1851">
        <w:t xml:space="preserve">principal </w:t>
      </w:r>
      <w:r w:rsidR="007155BC">
        <w:t xml:space="preserve">version </w:t>
      </w:r>
      <w:r>
        <w:t>of the Smart Metering Equipment Technical Specifiation (SMETS2).  The Government has consulted and concluded on proposals</w:t>
      </w:r>
      <w:r w:rsidR="00010B2C">
        <w:t xml:space="preserve"> to provide suppliers who meet a set of eligibility and evidence criteria with a 6 month derogation from the SMETS1 end date.  This document accompanies the Government Response to the consultation on Operational Transition of Smart Meters and is intended for energy suppliers who are considering applying for a derogation from the SMETS1 end date.</w:t>
      </w:r>
    </w:p>
    <w:p w:rsidR="00010B2C" w:rsidRDefault="00010B2C" w:rsidP="00010B2C">
      <w:pPr>
        <w:spacing w:after="0" w:line="240" w:lineRule="auto"/>
        <w:ind w:left="426"/>
        <w:jc w:val="both"/>
      </w:pPr>
    </w:p>
    <w:p w:rsidR="00437003" w:rsidRDefault="00010B2C" w:rsidP="00874115">
      <w:pPr>
        <w:numPr>
          <w:ilvl w:val="0"/>
          <w:numId w:val="14"/>
        </w:numPr>
        <w:spacing w:after="0" w:line="240" w:lineRule="auto"/>
        <w:ind w:left="426" w:hanging="426"/>
        <w:jc w:val="both"/>
      </w:pPr>
      <w:r>
        <w:t>This document is split into three sections:</w:t>
      </w:r>
    </w:p>
    <w:p w:rsidR="00874115" w:rsidRDefault="00874115" w:rsidP="00874115">
      <w:pPr>
        <w:spacing w:after="0" w:line="240" w:lineRule="auto"/>
        <w:ind w:left="426"/>
        <w:jc w:val="both"/>
      </w:pPr>
    </w:p>
    <w:p w:rsidR="00437003" w:rsidRDefault="00437003" w:rsidP="00874115">
      <w:pPr>
        <w:numPr>
          <w:ilvl w:val="1"/>
          <w:numId w:val="14"/>
        </w:numPr>
        <w:spacing w:after="0" w:line="240" w:lineRule="auto"/>
        <w:ind w:left="1080"/>
        <w:jc w:val="both"/>
      </w:pPr>
      <w:r>
        <w:t>Practical Information - including information on how to apply for a derogation and next steps once an application has been submitted.</w:t>
      </w:r>
    </w:p>
    <w:p w:rsidR="00437003" w:rsidRDefault="00437003" w:rsidP="00874115">
      <w:pPr>
        <w:spacing w:after="0" w:line="240" w:lineRule="auto"/>
        <w:ind w:left="1080"/>
        <w:jc w:val="both"/>
      </w:pPr>
    </w:p>
    <w:p w:rsidR="00437003" w:rsidRDefault="00437003" w:rsidP="00874115">
      <w:pPr>
        <w:numPr>
          <w:ilvl w:val="1"/>
          <w:numId w:val="14"/>
        </w:numPr>
        <w:spacing w:after="0" w:line="240" w:lineRule="auto"/>
        <w:ind w:left="1080"/>
        <w:jc w:val="both"/>
      </w:pPr>
      <w:r>
        <w:t>Derogation Criteria – this is split into two parts: Part A, Eligibilty Criteria and Part B, Approval Criteria.</w:t>
      </w:r>
    </w:p>
    <w:p w:rsidR="00437003" w:rsidRDefault="00437003" w:rsidP="00874115">
      <w:pPr>
        <w:spacing w:after="0" w:line="240" w:lineRule="auto"/>
        <w:jc w:val="both"/>
      </w:pPr>
    </w:p>
    <w:p w:rsidR="00437003" w:rsidRDefault="00437003" w:rsidP="00874115">
      <w:pPr>
        <w:numPr>
          <w:ilvl w:val="1"/>
          <w:numId w:val="14"/>
        </w:numPr>
        <w:spacing w:after="0" w:line="240" w:lineRule="auto"/>
        <w:ind w:left="1080"/>
        <w:jc w:val="both"/>
      </w:pPr>
      <w:r>
        <w:t>Application forms – there are three application forms:  Part A, Part B and Annex to Part B</w:t>
      </w:r>
    </w:p>
    <w:p w:rsidR="00437003" w:rsidRDefault="00437003" w:rsidP="00437003">
      <w:pPr>
        <w:pStyle w:val="ListParagraph"/>
      </w:pPr>
    </w:p>
    <w:p w:rsidR="00437003" w:rsidRDefault="00437003" w:rsidP="00011D40">
      <w:pPr>
        <w:numPr>
          <w:ilvl w:val="0"/>
          <w:numId w:val="14"/>
        </w:numPr>
        <w:spacing w:after="0" w:line="240" w:lineRule="auto"/>
        <w:ind w:left="426" w:hanging="426"/>
        <w:jc w:val="both"/>
      </w:pPr>
      <w:r>
        <w:t xml:space="preserve">The derogation </w:t>
      </w:r>
      <w:r w:rsidR="004D1851">
        <w:t xml:space="preserve">arrangements </w:t>
      </w:r>
      <w:r>
        <w:t xml:space="preserve">will be implemented </w:t>
      </w:r>
      <w:r w:rsidR="00380B09">
        <w:t xml:space="preserve">through </w:t>
      </w:r>
      <w:r w:rsidR="003B3DC2">
        <w:t xml:space="preserve">modifications </w:t>
      </w:r>
      <w:r w:rsidR="00380B09">
        <w:t>to the Smart Energy Code</w:t>
      </w:r>
      <w:r w:rsidR="003B3DC2">
        <w:t>, drafts of</w:t>
      </w:r>
      <w:r w:rsidR="00380B09">
        <w:t xml:space="preserve"> which will be laid before Parliament on </w:t>
      </w:r>
      <w:r w:rsidR="00380B09" w:rsidRPr="008F3D0B">
        <w:t>4 December 2017</w:t>
      </w:r>
      <w:r w:rsidR="00380B09">
        <w:t xml:space="preserve"> and </w:t>
      </w:r>
      <w:r w:rsidR="003B3DC2">
        <w:t xml:space="preserve">which </w:t>
      </w:r>
      <w:r w:rsidR="00874115">
        <w:t xml:space="preserve">are </w:t>
      </w:r>
      <w:r w:rsidR="00380B09">
        <w:t xml:space="preserve">expected to </w:t>
      </w:r>
      <w:r w:rsidR="003B3DC2">
        <w:t xml:space="preserve">come into effect, subject to no objections raised in Parliament, </w:t>
      </w:r>
      <w:r w:rsidR="00380B09">
        <w:t>in early February 2018.</w:t>
      </w:r>
    </w:p>
    <w:p w:rsidR="00D10987" w:rsidRDefault="00D10987" w:rsidP="00D10987">
      <w:pPr>
        <w:spacing w:after="0" w:line="240" w:lineRule="auto"/>
        <w:ind w:left="426"/>
        <w:jc w:val="both"/>
      </w:pPr>
    </w:p>
    <w:p w:rsidR="004D1851" w:rsidRDefault="004D1851" w:rsidP="00011D40">
      <w:pPr>
        <w:numPr>
          <w:ilvl w:val="0"/>
          <w:numId w:val="14"/>
        </w:numPr>
        <w:spacing w:after="0" w:line="240" w:lineRule="auto"/>
        <w:ind w:left="426" w:hanging="426"/>
        <w:jc w:val="both"/>
      </w:pPr>
      <w:r>
        <w:t>The derogation arrangements allow for actions taken before they come into legal effect to be treated as actions taken and having effect under the arrangements from the date that they do come into effect.  In light of this the Secretary of State intends to initiate the der</w:t>
      </w:r>
      <w:r w:rsidR="007155BC">
        <w:t>o</w:t>
      </w:r>
      <w:r>
        <w:t xml:space="preserve">gations process now in order to allow energy suppliers to understand whether or not they are granted a derogation as early as is practicable.  It should be recognised that implementing the changes </w:t>
      </w:r>
      <w:r w:rsidR="00304CD8">
        <w:t xml:space="preserve">in the SEC </w:t>
      </w:r>
      <w:r>
        <w:t>to allow for the derogation arrangements is subject to the Parliamentary process referred to above and consequently any ability for the Secretary of State to grant a derogation is dependent upon the outcome of this process.</w:t>
      </w:r>
    </w:p>
    <w:p w:rsidR="00010B2C" w:rsidRDefault="00010B2C" w:rsidP="00010B2C">
      <w:pPr>
        <w:pStyle w:val="ListParagraph"/>
      </w:pPr>
    </w:p>
    <w:p w:rsidR="00437003" w:rsidRDefault="00437003" w:rsidP="00437003">
      <w:pPr>
        <w:pStyle w:val="ListParagraph"/>
      </w:pPr>
    </w:p>
    <w:p w:rsidR="00437003" w:rsidRPr="00854259" w:rsidRDefault="00437003" w:rsidP="00437003">
      <w:pPr>
        <w:spacing w:after="0" w:line="240" w:lineRule="auto"/>
        <w:ind w:left="1778"/>
      </w:pPr>
    </w:p>
    <w:p w:rsidR="00961B0E" w:rsidRDefault="00961B0E">
      <w:pPr>
        <w:spacing w:after="160" w:line="259" w:lineRule="auto"/>
        <w:rPr>
          <w:rFonts w:eastAsia="Times New Roman" w:cs="Times New Roman"/>
          <w:color w:val="002060"/>
          <w:sz w:val="50"/>
          <w:szCs w:val="20"/>
        </w:rPr>
      </w:pPr>
      <w:r>
        <w:rPr>
          <w:color w:val="002060"/>
        </w:rPr>
        <w:br w:type="page"/>
      </w:r>
    </w:p>
    <w:p w:rsidR="00156099" w:rsidRPr="00A27F55" w:rsidRDefault="00CC07B7" w:rsidP="00A27F55">
      <w:pPr>
        <w:pStyle w:val="ChptHead"/>
        <w:numPr>
          <w:ilvl w:val="0"/>
          <w:numId w:val="13"/>
        </w:numPr>
        <w:spacing w:before="500" w:after="500" w:line="240" w:lineRule="auto"/>
        <w:ind w:left="709" w:hanging="709"/>
        <w:rPr>
          <w:color w:val="002060"/>
        </w:rPr>
      </w:pPr>
      <w:bookmarkStart w:id="16" w:name="_Toc499760741"/>
      <w:r>
        <w:rPr>
          <w:color w:val="002060"/>
        </w:rPr>
        <w:t>Practical Information</w:t>
      </w:r>
      <w:bookmarkEnd w:id="16"/>
    </w:p>
    <w:p w:rsidR="005056FA" w:rsidRDefault="00D95B89" w:rsidP="00011D40">
      <w:pPr>
        <w:numPr>
          <w:ilvl w:val="0"/>
          <w:numId w:val="14"/>
        </w:numPr>
        <w:spacing w:after="0" w:line="240" w:lineRule="auto"/>
        <w:ind w:left="426" w:hanging="426"/>
        <w:jc w:val="both"/>
      </w:pPr>
      <w:r>
        <w:t xml:space="preserve">This section provides practical information on the application and </w:t>
      </w:r>
      <w:r w:rsidR="00471DA4">
        <w:t>decision making process</w:t>
      </w:r>
      <w:r w:rsidR="00A27F55">
        <w:t xml:space="preserve"> for a derogation from the SMETS1 end date</w:t>
      </w:r>
      <w:r w:rsidR="00874115">
        <w:t>.</w:t>
      </w:r>
    </w:p>
    <w:p w:rsidR="00471DA4" w:rsidRDefault="00471DA4" w:rsidP="00471DA4">
      <w:pPr>
        <w:spacing w:after="0" w:line="240" w:lineRule="auto"/>
        <w:ind w:left="426"/>
        <w:jc w:val="both"/>
      </w:pPr>
    </w:p>
    <w:p w:rsidR="00471DA4" w:rsidRPr="00471DA4" w:rsidRDefault="00471DA4" w:rsidP="00471DA4">
      <w:pPr>
        <w:spacing w:after="0" w:line="240" w:lineRule="auto"/>
        <w:ind w:left="426"/>
        <w:jc w:val="both"/>
        <w:rPr>
          <w:b/>
        </w:rPr>
      </w:pPr>
      <w:r>
        <w:rPr>
          <w:b/>
        </w:rPr>
        <w:t>What is a derogation?</w:t>
      </w:r>
    </w:p>
    <w:p w:rsidR="00164810" w:rsidRDefault="00471DA4" w:rsidP="00487CCE">
      <w:pPr>
        <w:numPr>
          <w:ilvl w:val="0"/>
          <w:numId w:val="14"/>
        </w:numPr>
        <w:spacing w:after="0" w:line="240" w:lineRule="auto"/>
        <w:ind w:left="426" w:hanging="426"/>
        <w:jc w:val="both"/>
      </w:pPr>
      <w:r>
        <w:t xml:space="preserve">A derogation </w:t>
      </w:r>
      <w:r w:rsidR="00164810">
        <w:t>means a direction issued by the Secretary of State:</w:t>
      </w:r>
    </w:p>
    <w:p w:rsidR="00164810" w:rsidRDefault="00164810" w:rsidP="00487CCE">
      <w:pPr>
        <w:spacing w:after="0" w:line="240" w:lineRule="auto"/>
        <w:ind w:firstLine="720"/>
        <w:jc w:val="both"/>
      </w:pPr>
      <w:r>
        <w:t>(a)</w:t>
      </w:r>
      <w:r>
        <w:tab/>
        <w:t>to the Supplier Party which applied for it;</w:t>
      </w:r>
    </w:p>
    <w:p w:rsidR="00164810" w:rsidRDefault="00164810" w:rsidP="00487CCE">
      <w:pPr>
        <w:spacing w:after="0" w:line="240" w:lineRule="auto"/>
        <w:ind w:firstLine="720"/>
        <w:jc w:val="both"/>
      </w:pPr>
      <w:r>
        <w:t>(b)</w:t>
      </w:r>
      <w:r>
        <w:tab/>
        <w:t>in respect of a Version of the SMETS with a Principal Version number of 1;</w:t>
      </w:r>
    </w:p>
    <w:p w:rsidR="00164810" w:rsidRDefault="00164810" w:rsidP="00487CCE">
      <w:pPr>
        <w:spacing w:after="0" w:line="240" w:lineRule="auto"/>
        <w:ind w:left="1440" w:hanging="720"/>
        <w:jc w:val="both"/>
      </w:pPr>
      <w:r>
        <w:t>(c)</w:t>
      </w:r>
      <w:r>
        <w:tab/>
        <w:t>specifying a date subsequent to the General Installation End Date in respect of that Version of the SMETS (the “Alternative Installation End Date”), which will, for the purposes of the installation or provision of Devices or apparatus by or on behalf of the Supplier Party in accordance with any conditions of the Derogation, constitute the Installation End Date;</w:t>
      </w:r>
    </w:p>
    <w:p w:rsidR="005056FA" w:rsidRDefault="00164810" w:rsidP="00487CCE">
      <w:pPr>
        <w:spacing w:after="0" w:line="240" w:lineRule="auto"/>
        <w:ind w:firstLine="720"/>
        <w:jc w:val="both"/>
      </w:pPr>
      <w:r>
        <w:t>(d)</w:t>
      </w:r>
      <w:r>
        <w:tab/>
        <w:t>specifying any such conditions to which the Derogation is subject.</w:t>
      </w:r>
    </w:p>
    <w:p w:rsidR="005508B2" w:rsidRDefault="005508B2" w:rsidP="005508B2">
      <w:pPr>
        <w:spacing w:after="0" w:line="240" w:lineRule="auto"/>
        <w:ind w:left="426"/>
        <w:jc w:val="both"/>
      </w:pPr>
    </w:p>
    <w:p w:rsidR="005508B2" w:rsidRPr="005508B2" w:rsidRDefault="005508B2" w:rsidP="005508B2">
      <w:pPr>
        <w:spacing w:after="0" w:line="240" w:lineRule="auto"/>
        <w:ind w:left="426"/>
        <w:jc w:val="both"/>
        <w:rPr>
          <w:b/>
        </w:rPr>
      </w:pPr>
      <w:r>
        <w:rPr>
          <w:b/>
        </w:rPr>
        <w:t>Who can apply for a derogation?</w:t>
      </w:r>
    </w:p>
    <w:p w:rsidR="005508B2" w:rsidRDefault="005508B2" w:rsidP="00011D40">
      <w:pPr>
        <w:numPr>
          <w:ilvl w:val="0"/>
          <w:numId w:val="14"/>
        </w:numPr>
        <w:spacing w:after="0" w:line="240" w:lineRule="auto"/>
        <w:ind w:left="426" w:hanging="426"/>
        <w:jc w:val="both"/>
      </w:pPr>
      <w:r>
        <w:t xml:space="preserve">Only licenced energy suppliers can seek a derogation.  </w:t>
      </w:r>
      <w:r w:rsidRPr="00177C8B">
        <w:t>Section 3</w:t>
      </w:r>
      <w:r>
        <w:t xml:space="preserve"> of this document sets out the eligibility criteria and approval criteria which energy suppliers must meet.</w:t>
      </w:r>
    </w:p>
    <w:p w:rsidR="00245EB3" w:rsidRDefault="00245EB3" w:rsidP="00245EB3">
      <w:pPr>
        <w:spacing w:after="0" w:line="240" w:lineRule="auto"/>
        <w:ind w:left="426"/>
        <w:jc w:val="both"/>
      </w:pPr>
    </w:p>
    <w:p w:rsidR="00245EB3" w:rsidRPr="00245EB3" w:rsidRDefault="00245EB3" w:rsidP="00245EB3">
      <w:pPr>
        <w:spacing w:after="0" w:line="240" w:lineRule="auto"/>
        <w:ind w:left="426"/>
        <w:jc w:val="both"/>
        <w:rPr>
          <w:b/>
        </w:rPr>
      </w:pPr>
      <w:r>
        <w:rPr>
          <w:b/>
        </w:rPr>
        <w:t>How can I apply?</w:t>
      </w:r>
    </w:p>
    <w:p w:rsidR="00304CD8" w:rsidRDefault="00245EB3" w:rsidP="008F3D0B">
      <w:pPr>
        <w:numPr>
          <w:ilvl w:val="0"/>
          <w:numId w:val="14"/>
        </w:numPr>
        <w:spacing w:after="0" w:line="240" w:lineRule="auto"/>
        <w:ind w:left="426" w:hanging="426"/>
        <w:jc w:val="both"/>
      </w:pPr>
      <w:r>
        <w:t xml:space="preserve">All derogation applications should be submitted on the </w:t>
      </w:r>
      <w:r w:rsidR="00874115">
        <w:t xml:space="preserve">three </w:t>
      </w:r>
      <w:r>
        <w:t>application template</w:t>
      </w:r>
      <w:r w:rsidR="00A27F55">
        <w:t>s for Part A, Part B and Annex to Part B</w:t>
      </w:r>
      <w:r>
        <w:t xml:space="preserve"> (</w:t>
      </w:r>
      <w:r w:rsidRPr="00177C8B">
        <w:t>see Section 4</w:t>
      </w:r>
      <w:r>
        <w:t>) and e-mailed to</w:t>
      </w:r>
      <w:r w:rsidR="00230FA4">
        <w:t xml:space="preserve"> </w:t>
      </w:r>
      <w:hyperlink r:id="rId31" w:history="1">
        <w:r w:rsidR="00230FA4" w:rsidRPr="006D61C0">
          <w:rPr>
            <w:rStyle w:val="Hyperlink"/>
            <w:rFonts w:ascii="Arial" w:hAnsi="Arial" w:cs="Arial"/>
          </w:rPr>
          <w:t>smartmetering@beis.gov.uk</w:t>
        </w:r>
      </w:hyperlink>
      <w:r w:rsidR="00304CD8">
        <w:t xml:space="preserve"> or by hard copy to: </w:t>
      </w:r>
    </w:p>
    <w:p w:rsidR="007155BC" w:rsidRDefault="007155BC" w:rsidP="008F3D0B">
      <w:pPr>
        <w:spacing w:after="0" w:line="240" w:lineRule="auto"/>
        <w:ind w:left="720"/>
      </w:pPr>
      <w:r>
        <w:t>Nicola Barber</w:t>
      </w:r>
    </w:p>
    <w:p w:rsidR="00304CD8" w:rsidRDefault="00304CD8" w:rsidP="008F3D0B">
      <w:pPr>
        <w:spacing w:after="0" w:line="240" w:lineRule="auto"/>
        <w:ind w:left="720"/>
        <w:rPr>
          <w:rFonts w:cs="Arial"/>
          <w:lang w:val="en"/>
        </w:rPr>
      </w:pPr>
      <w:r w:rsidRPr="003702BE">
        <w:t>Smart Metering Implementation Programme</w:t>
      </w:r>
      <w:r>
        <w:t xml:space="preserve"> - Policy and Consumers Team</w:t>
      </w:r>
      <w:r>
        <w:br/>
      </w:r>
      <w:r w:rsidRPr="00D236C3">
        <w:t xml:space="preserve">Department </w:t>
      </w:r>
      <w:r>
        <w:t>for Business,</w:t>
      </w:r>
      <w:r w:rsidRPr="00D236C3">
        <w:t xml:space="preserve"> Energy &amp; </w:t>
      </w:r>
      <w:r>
        <w:t>Industrial Strategy</w:t>
      </w:r>
      <w:r w:rsidRPr="00D236C3">
        <w:t>,</w:t>
      </w:r>
      <w:r>
        <w:br/>
      </w:r>
      <w:r w:rsidRPr="0040711B">
        <w:t>5</w:t>
      </w:r>
      <w:r w:rsidRPr="0040711B">
        <w:rPr>
          <w:vertAlign w:val="superscript"/>
        </w:rPr>
        <w:t>th</w:t>
      </w:r>
      <w:r w:rsidRPr="0040711B">
        <w:t xml:space="preserve"> Floor Victoria 3,</w:t>
      </w:r>
      <w:r w:rsidRPr="0040711B">
        <w:br/>
        <w:t>1 Victoria Street,</w:t>
      </w:r>
      <w:r w:rsidRPr="0040711B">
        <w:br/>
        <w:t xml:space="preserve">London, </w:t>
      </w:r>
      <w:r w:rsidRPr="0040711B">
        <w:rPr>
          <w:rFonts w:cs="Arial"/>
          <w:lang w:val="en"/>
        </w:rPr>
        <w:t>SW1H 0ET</w:t>
      </w:r>
    </w:p>
    <w:p w:rsidR="00304CD8" w:rsidRPr="000075D9" w:rsidRDefault="00304CD8" w:rsidP="008F3D0B">
      <w:pPr>
        <w:spacing w:after="0" w:line="240" w:lineRule="auto"/>
        <w:ind w:left="720"/>
        <w:rPr>
          <w:b/>
        </w:rPr>
      </w:pPr>
    </w:p>
    <w:p w:rsidR="00230FA4" w:rsidRDefault="00304CD8" w:rsidP="00D10987">
      <w:pPr>
        <w:numPr>
          <w:ilvl w:val="0"/>
          <w:numId w:val="14"/>
        </w:numPr>
        <w:spacing w:after="0" w:line="240" w:lineRule="auto"/>
        <w:ind w:left="426" w:hanging="426"/>
        <w:jc w:val="both"/>
      </w:pPr>
      <w:r>
        <w:t xml:space="preserve"> </w:t>
      </w:r>
      <w:r w:rsidR="00230FA4">
        <w:t>All applications should have a named point of contact who can respond to BEIS queries.</w:t>
      </w:r>
      <w:r w:rsidR="00245EB3">
        <w:t xml:space="preserve"> </w:t>
      </w:r>
    </w:p>
    <w:p w:rsidR="00487CCE" w:rsidRDefault="00487CCE" w:rsidP="00230FA4">
      <w:pPr>
        <w:spacing w:after="0" w:line="240" w:lineRule="auto"/>
        <w:ind w:left="426"/>
        <w:jc w:val="both"/>
        <w:rPr>
          <w:b/>
        </w:rPr>
      </w:pPr>
    </w:p>
    <w:p w:rsidR="00230FA4" w:rsidRPr="00230FA4" w:rsidRDefault="00230FA4" w:rsidP="00230FA4">
      <w:pPr>
        <w:spacing w:after="0" w:line="240" w:lineRule="auto"/>
        <w:ind w:left="426"/>
        <w:jc w:val="both"/>
        <w:rPr>
          <w:b/>
        </w:rPr>
      </w:pPr>
      <w:r>
        <w:rPr>
          <w:b/>
        </w:rPr>
        <w:t>Can I re-submit an application?</w:t>
      </w:r>
    </w:p>
    <w:p w:rsidR="00230FA4" w:rsidRDefault="00230FA4" w:rsidP="00011D40">
      <w:pPr>
        <w:numPr>
          <w:ilvl w:val="0"/>
          <w:numId w:val="14"/>
        </w:numPr>
        <w:spacing w:after="0" w:line="240" w:lineRule="auto"/>
        <w:ind w:left="426" w:hanging="426"/>
        <w:jc w:val="both"/>
      </w:pPr>
      <w:r>
        <w:t>Applicants must submit a single application.  BEIS may contact an applicant to clarify information in an application but there will be no opportunity to re-submit applications after the closing date.</w:t>
      </w:r>
    </w:p>
    <w:p w:rsidR="008502F3" w:rsidRDefault="008502F3" w:rsidP="008502F3">
      <w:pPr>
        <w:spacing w:after="0" w:line="240" w:lineRule="auto"/>
        <w:ind w:left="426"/>
        <w:jc w:val="both"/>
      </w:pPr>
    </w:p>
    <w:p w:rsidR="008502F3" w:rsidRPr="008502F3" w:rsidRDefault="008502F3" w:rsidP="008502F3">
      <w:pPr>
        <w:spacing w:after="0" w:line="240" w:lineRule="auto"/>
        <w:ind w:left="426"/>
        <w:jc w:val="both"/>
        <w:rPr>
          <w:b/>
        </w:rPr>
      </w:pPr>
      <w:r>
        <w:rPr>
          <w:b/>
        </w:rPr>
        <w:t>What information will BEIS require to issue a derogation?</w:t>
      </w:r>
    </w:p>
    <w:p w:rsidR="008502F3" w:rsidRDefault="008502F3" w:rsidP="00011D40">
      <w:pPr>
        <w:numPr>
          <w:ilvl w:val="0"/>
          <w:numId w:val="14"/>
        </w:numPr>
        <w:spacing w:after="0" w:line="240" w:lineRule="auto"/>
        <w:ind w:left="426" w:hanging="426"/>
        <w:jc w:val="both"/>
      </w:pPr>
      <w:r>
        <w:t xml:space="preserve">The information we require in order to assess your application is outlined in the derogation criteria in </w:t>
      </w:r>
      <w:r w:rsidRPr="00177C8B">
        <w:t>Section 3</w:t>
      </w:r>
      <w:r>
        <w:t>.</w:t>
      </w:r>
    </w:p>
    <w:p w:rsidR="00C11FFA" w:rsidRDefault="00C11FFA" w:rsidP="00C11FFA">
      <w:pPr>
        <w:spacing w:after="0" w:line="240" w:lineRule="auto"/>
        <w:ind w:left="426"/>
        <w:jc w:val="both"/>
      </w:pPr>
    </w:p>
    <w:p w:rsidR="00C11FFA" w:rsidRPr="00C11FFA" w:rsidRDefault="00C11FFA" w:rsidP="00C11FFA">
      <w:pPr>
        <w:spacing w:after="0" w:line="240" w:lineRule="auto"/>
        <w:ind w:left="426"/>
        <w:jc w:val="both"/>
        <w:rPr>
          <w:b/>
        </w:rPr>
      </w:pPr>
      <w:r>
        <w:rPr>
          <w:b/>
        </w:rPr>
        <w:t xml:space="preserve">Can an energy supplier apply for a derogation in conjuction with </w:t>
      </w:r>
      <w:r w:rsidR="004D1851">
        <w:rPr>
          <w:b/>
        </w:rPr>
        <w:t>another supplier (for example an affiliate)</w:t>
      </w:r>
      <w:r>
        <w:rPr>
          <w:b/>
        </w:rPr>
        <w:t>?</w:t>
      </w:r>
    </w:p>
    <w:p w:rsidR="00C11FFA" w:rsidRDefault="00C11FFA" w:rsidP="00011D40">
      <w:pPr>
        <w:numPr>
          <w:ilvl w:val="0"/>
          <w:numId w:val="14"/>
        </w:numPr>
        <w:spacing w:after="0" w:line="240" w:lineRule="auto"/>
        <w:ind w:left="426" w:hanging="426"/>
        <w:jc w:val="both"/>
      </w:pPr>
      <w:r>
        <w:t xml:space="preserve">Yes an energy supplier can apply for a derogation in </w:t>
      </w:r>
      <w:r w:rsidR="004D1851">
        <w:t>conjunction</w:t>
      </w:r>
      <w:r w:rsidR="0068312B">
        <w:t xml:space="preserve"> </w:t>
      </w:r>
      <w:r>
        <w:t xml:space="preserve"> with </w:t>
      </w:r>
      <w:r w:rsidR="004D1851">
        <w:t xml:space="preserve">one </w:t>
      </w:r>
      <w:r w:rsidR="00CF4AF2">
        <w:t xml:space="preserve">or </w:t>
      </w:r>
      <w:r w:rsidR="004D1851">
        <w:t xml:space="preserve">more other suppliers (for example </w:t>
      </w:r>
      <w:r>
        <w:t>affiliates</w:t>
      </w:r>
      <w:r w:rsidR="004D1851">
        <w:t>)</w:t>
      </w:r>
      <w:r>
        <w:t xml:space="preserve">.  </w:t>
      </w:r>
      <w:r w:rsidR="00D80616">
        <w:t>Where an energy supplier is seeking a derogation to be issued in conjuction with one or more other suppliers, this should be made clear in the application.  Derogations may be issued on a group basis, for example such that any limit on the quantity of additional SMETS1 Smart Metering Systems that may be installed will be applied across the group as a whole.</w:t>
      </w:r>
    </w:p>
    <w:p w:rsidR="008502F3" w:rsidRDefault="008502F3" w:rsidP="008502F3">
      <w:pPr>
        <w:spacing w:after="0" w:line="240" w:lineRule="auto"/>
        <w:ind w:left="426"/>
        <w:jc w:val="both"/>
      </w:pPr>
    </w:p>
    <w:p w:rsidR="008502F3" w:rsidRPr="008502F3" w:rsidRDefault="008502F3" w:rsidP="008502F3">
      <w:pPr>
        <w:spacing w:after="0" w:line="240" w:lineRule="auto"/>
        <w:ind w:left="426"/>
        <w:jc w:val="both"/>
        <w:rPr>
          <w:b/>
        </w:rPr>
      </w:pPr>
      <w:r>
        <w:rPr>
          <w:b/>
        </w:rPr>
        <w:t>When should I apply?</w:t>
      </w:r>
    </w:p>
    <w:p w:rsidR="008502F3" w:rsidRDefault="00A27F55" w:rsidP="00011D40">
      <w:pPr>
        <w:numPr>
          <w:ilvl w:val="0"/>
          <w:numId w:val="14"/>
        </w:numPr>
        <w:spacing w:after="0" w:line="240" w:lineRule="auto"/>
        <w:ind w:left="426" w:hanging="426"/>
        <w:jc w:val="both"/>
      </w:pPr>
      <w:r>
        <w:t xml:space="preserve">The application process will open on </w:t>
      </w:r>
      <w:r w:rsidRPr="000F6B49">
        <w:t>4 December 2017</w:t>
      </w:r>
      <w:r>
        <w:t xml:space="preserve">.  </w:t>
      </w:r>
      <w:r w:rsidR="008502F3">
        <w:t xml:space="preserve">Applications must be received by BEIS no later than </w:t>
      </w:r>
      <w:r w:rsidR="008502F3" w:rsidRPr="00177C8B">
        <w:t xml:space="preserve">5pm on </w:t>
      </w:r>
      <w:r w:rsidR="0068312B">
        <w:t>Friday 5 January 2018</w:t>
      </w:r>
      <w:r w:rsidR="008502F3">
        <w:t>.</w:t>
      </w:r>
      <w:r w:rsidR="00874115">
        <w:t xml:space="preserve"> BEIS reserves the right not to consider applications received after this time and will acknowledge receipt of applications received. Applicants should contact BEIS if they have not received an acknowledgement within 2 working days of submitting an application.</w:t>
      </w:r>
    </w:p>
    <w:p w:rsidR="008502F3" w:rsidRDefault="008502F3" w:rsidP="008502F3">
      <w:pPr>
        <w:spacing w:after="0" w:line="240" w:lineRule="auto"/>
        <w:ind w:left="426"/>
        <w:jc w:val="both"/>
      </w:pPr>
    </w:p>
    <w:p w:rsidR="008502F3" w:rsidRPr="008502F3" w:rsidRDefault="008502F3" w:rsidP="008502F3">
      <w:pPr>
        <w:spacing w:after="0" w:line="240" w:lineRule="auto"/>
        <w:ind w:left="426"/>
        <w:jc w:val="both"/>
        <w:rPr>
          <w:b/>
        </w:rPr>
      </w:pPr>
      <w:r>
        <w:rPr>
          <w:b/>
        </w:rPr>
        <w:t>How quickly will BEIS grant derogations?</w:t>
      </w:r>
    </w:p>
    <w:p w:rsidR="008502F3" w:rsidRDefault="008502F3" w:rsidP="00011D40">
      <w:pPr>
        <w:numPr>
          <w:ilvl w:val="0"/>
          <w:numId w:val="14"/>
        </w:numPr>
        <w:spacing w:after="0" w:line="240" w:lineRule="auto"/>
        <w:ind w:left="426" w:hanging="426"/>
        <w:jc w:val="both"/>
      </w:pPr>
      <w:r>
        <w:t xml:space="preserve">We recognise the need to make decisions quickly to provide </w:t>
      </w:r>
      <w:r w:rsidR="00265711">
        <w:t xml:space="preserve">energy </w:t>
      </w:r>
      <w:r>
        <w:t xml:space="preserve">suppliers with certainty and expect to make informal outcomes available to applicants by the end of </w:t>
      </w:r>
      <w:r w:rsidRPr="00177C8B">
        <w:t>January 2018</w:t>
      </w:r>
      <w:r>
        <w:t xml:space="preserve">.  Formal outcomes will be subject to the Parliamentary Process completing which is expected to be in </w:t>
      </w:r>
      <w:r w:rsidRPr="00177C8B">
        <w:t>early February 2018</w:t>
      </w:r>
      <w:r>
        <w:t xml:space="preserve">. </w:t>
      </w:r>
      <w:r w:rsidR="007C1915">
        <w:t>We will seek any clarifications on information submitted as early as possible.</w:t>
      </w:r>
    </w:p>
    <w:p w:rsidR="007C1915" w:rsidRDefault="007C1915" w:rsidP="007C1915">
      <w:pPr>
        <w:spacing w:after="0" w:line="240" w:lineRule="auto"/>
        <w:ind w:left="426"/>
        <w:jc w:val="both"/>
      </w:pPr>
    </w:p>
    <w:p w:rsidR="007C1915" w:rsidRPr="007C1915" w:rsidRDefault="007C1915" w:rsidP="007C1915">
      <w:pPr>
        <w:spacing w:after="0" w:line="240" w:lineRule="auto"/>
        <w:ind w:left="426"/>
        <w:jc w:val="both"/>
        <w:rPr>
          <w:b/>
        </w:rPr>
      </w:pPr>
      <w:r>
        <w:rPr>
          <w:b/>
        </w:rPr>
        <w:t>Who will decide applications?</w:t>
      </w:r>
    </w:p>
    <w:p w:rsidR="007C1915" w:rsidRDefault="007C1915" w:rsidP="00011D40">
      <w:pPr>
        <w:numPr>
          <w:ilvl w:val="0"/>
          <w:numId w:val="14"/>
        </w:numPr>
        <w:spacing w:after="0" w:line="240" w:lineRule="auto"/>
        <w:ind w:left="426" w:hanging="426"/>
        <w:jc w:val="both"/>
      </w:pPr>
      <w:r>
        <w:t>Assessment of applications will be completed by BEIS.  The Secretary of State will decide whether to approve or reject an application.  In practice the approvals will be administered on behalf of the Secretary of State by authorised officials in BEIS.</w:t>
      </w:r>
    </w:p>
    <w:p w:rsidR="007C1915" w:rsidRDefault="007C1915" w:rsidP="007C1915">
      <w:pPr>
        <w:spacing w:after="0" w:line="240" w:lineRule="auto"/>
        <w:ind w:left="426"/>
        <w:jc w:val="both"/>
      </w:pPr>
    </w:p>
    <w:p w:rsidR="007C1915" w:rsidRPr="007C1915" w:rsidRDefault="007C1915" w:rsidP="007C1915">
      <w:pPr>
        <w:spacing w:after="0" w:line="240" w:lineRule="auto"/>
        <w:ind w:left="426"/>
        <w:jc w:val="both"/>
        <w:rPr>
          <w:b/>
        </w:rPr>
      </w:pPr>
      <w:r>
        <w:rPr>
          <w:b/>
        </w:rPr>
        <w:t>How will I know if I have been successful?</w:t>
      </w:r>
    </w:p>
    <w:p w:rsidR="007C1915" w:rsidRPr="00265711" w:rsidRDefault="007C1915" w:rsidP="00011D40">
      <w:pPr>
        <w:numPr>
          <w:ilvl w:val="0"/>
          <w:numId w:val="14"/>
        </w:numPr>
        <w:spacing w:after="0" w:line="240" w:lineRule="auto"/>
        <w:ind w:left="426" w:hanging="426"/>
        <w:jc w:val="both"/>
      </w:pPr>
      <w:r>
        <w:t>Where an application is approved, a direction will be issued by the Secretary of State to that effect.</w:t>
      </w:r>
      <w:r w:rsidR="00C54CE6">
        <w:t xml:space="preserve"> This will set out conditions of the derogation.  In advance of the direction being issued applicants will be informally notified of the outcome of their application </w:t>
      </w:r>
      <w:r w:rsidR="00C54CE6" w:rsidRPr="00177C8B">
        <w:t>by e-mail</w:t>
      </w:r>
      <w:r w:rsidR="00EC0447" w:rsidRPr="00177C8B">
        <w:t xml:space="preserve"> to the named contact</w:t>
      </w:r>
      <w:r w:rsidR="00C54CE6" w:rsidRPr="00177C8B">
        <w:t>.</w:t>
      </w:r>
    </w:p>
    <w:p w:rsidR="00A27F55" w:rsidRDefault="00A27F55" w:rsidP="00C54CE6">
      <w:pPr>
        <w:spacing w:after="0" w:line="240" w:lineRule="auto"/>
        <w:ind w:left="426"/>
        <w:jc w:val="both"/>
        <w:rPr>
          <w:b/>
        </w:rPr>
      </w:pPr>
    </w:p>
    <w:p w:rsidR="00C54CE6" w:rsidRPr="00C54CE6" w:rsidRDefault="00C54CE6" w:rsidP="00C54CE6">
      <w:pPr>
        <w:spacing w:after="0" w:line="240" w:lineRule="auto"/>
        <w:ind w:left="426"/>
        <w:jc w:val="both"/>
        <w:rPr>
          <w:b/>
        </w:rPr>
      </w:pPr>
      <w:r>
        <w:rPr>
          <w:b/>
        </w:rPr>
        <w:t>How will I know if I have been unsuccessful?</w:t>
      </w:r>
    </w:p>
    <w:p w:rsidR="00146076" w:rsidRDefault="00C54CE6" w:rsidP="00487CCE">
      <w:pPr>
        <w:numPr>
          <w:ilvl w:val="0"/>
          <w:numId w:val="14"/>
        </w:numPr>
        <w:spacing w:after="0" w:line="240" w:lineRule="auto"/>
        <w:ind w:left="426" w:hanging="426"/>
        <w:jc w:val="both"/>
      </w:pPr>
      <w:r>
        <w:t>If an application is unsuccessful, BEIS will write to the applicant informing them that their application has not been successful and outlining the reasons for rejection.</w:t>
      </w:r>
      <w:r w:rsidR="00C809A5">
        <w:t xml:space="preserve">  </w:t>
      </w:r>
    </w:p>
    <w:p w:rsidR="00487CCE" w:rsidRDefault="00487CCE" w:rsidP="00487CCE">
      <w:pPr>
        <w:spacing w:after="0" w:line="240" w:lineRule="auto"/>
        <w:ind w:left="426"/>
        <w:jc w:val="both"/>
      </w:pPr>
    </w:p>
    <w:p w:rsidR="00C809A5" w:rsidRPr="00C809A5" w:rsidRDefault="00C809A5" w:rsidP="00C809A5">
      <w:pPr>
        <w:spacing w:after="0" w:line="240" w:lineRule="auto"/>
        <w:ind w:left="426"/>
        <w:jc w:val="both"/>
        <w:rPr>
          <w:b/>
        </w:rPr>
      </w:pPr>
      <w:r>
        <w:rPr>
          <w:b/>
        </w:rPr>
        <w:t>Can a derogation be revoked?</w:t>
      </w:r>
    </w:p>
    <w:p w:rsidR="00C809A5" w:rsidRDefault="00C809A5" w:rsidP="00011D40">
      <w:pPr>
        <w:numPr>
          <w:ilvl w:val="0"/>
          <w:numId w:val="14"/>
        </w:numPr>
        <w:spacing w:after="0" w:line="240" w:lineRule="auto"/>
        <w:ind w:left="426" w:hanging="426"/>
        <w:jc w:val="both"/>
      </w:pPr>
      <w:r>
        <w:t>Yes, for example if there was a significant change to the SMETS1 end date it may be appropriate for BEIS to revoke a derogation and re-run the process.</w:t>
      </w:r>
    </w:p>
    <w:p w:rsidR="00C809A5" w:rsidRDefault="00C809A5" w:rsidP="00C809A5">
      <w:pPr>
        <w:spacing w:after="0" w:line="240" w:lineRule="auto"/>
        <w:ind w:left="426"/>
        <w:jc w:val="both"/>
      </w:pPr>
    </w:p>
    <w:p w:rsidR="00C809A5" w:rsidRPr="00C809A5" w:rsidRDefault="00C809A5" w:rsidP="00C809A5">
      <w:pPr>
        <w:spacing w:after="0" w:line="240" w:lineRule="auto"/>
        <w:ind w:left="426"/>
        <w:jc w:val="both"/>
        <w:rPr>
          <w:b/>
        </w:rPr>
      </w:pPr>
      <w:r>
        <w:rPr>
          <w:b/>
        </w:rPr>
        <w:t>Can a derogation be amended?</w:t>
      </w:r>
    </w:p>
    <w:p w:rsidR="00C809A5" w:rsidRDefault="00C809A5" w:rsidP="00011D40">
      <w:pPr>
        <w:numPr>
          <w:ilvl w:val="0"/>
          <w:numId w:val="14"/>
        </w:numPr>
        <w:spacing w:after="0" w:line="240" w:lineRule="auto"/>
        <w:ind w:left="426" w:hanging="426"/>
        <w:jc w:val="both"/>
      </w:pPr>
      <w:r>
        <w:t>Yes, for example if there was a change to the SMETS1 end date it may be appropriate for BEIS to amend a derogation to reflect a shift to the end date.</w:t>
      </w:r>
    </w:p>
    <w:p w:rsidR="00C809A5" w:rsidRDefault="00C809A5" w:rsidP="00C809A5">
      <w:pPr>
        <w:spacing w:after="0" w:line="240" w:lineRule="auto"/>
        <w:ind w:left="426"/>
        <w:jc w:val="both"/>
      </w:pPr>
    </w:p>
    <w:p w:rsidR="00C809A5" w:rsidRPr="00C809A5" w:rsidRDefault="00C809A5" w:rsidP="00C809A5">
      <w:pPr>
        <w:spacing w:after="0" w:line="240" w:lineRule="auto"/>
        <w:ind w:left="426"/>
        <w:jc w:val="both"/>
        <w:rPr>
          <w:b/>
        </w:rPr>
      </w:pPr>
      <w:r>
        <w:rPr>
          <w:b/>
        </w:rPr>
        <w:t>Can a supplier seek to amend a derogation?</w:t>
      </w:r>
    </w:p>
    <w:p w:rsidR="00C809A5" w:rsidRDefault="00803307" w:rsidP="00011D40">
      <w:pPr>
        <w:numPr>
          <w:ilvl w:val="0"/>
          <w:numId w:val="14"/>
        </w:numPr>
        <w:spacing w:after="0" w:line="240" w:lineRule="auto"/>
        <w:ind w:left="426" w:hanging="426"/>
        <w:jc w:val="both"/>
      </w:pPr>
      <w:r>
        <w:t>Derogations will always need to be amended by the Secretary of State but a supplier could approach BEIS to ask for an amendment to</w:t>
      </w:r>
      <w:r w:rsidR="001B1FB4">
        <w:t xml:space="preserve"> be considered.  We would expect</w:t>
      </w:r>
      <w:r>
        <w:t xml:space="preserve"> an amendment only </w:t>
      </w:r>
      <w:r w:rsidR="00EC0447">
        <w:t xml:space="preserve">to </w:t>
      </w:r>
      <w:r>
        <w:t>be made in exceptional circumstances.</w:t>
      </w:r>
    </w:p>
    <w:p w:rsidR="00803307" w:rsidRDefault="00803307" w:rsidP="00803307">
      <w:pPr>
        <w:spacing w:after="0" w:line="240" w:lineRule="auto"/>
        <w:ind w:left="426"/>
        <w:jc w:val="both"/>
      </w:pPr>
    </w:p>
    <w:p w:rsidR="00803307" w:rsidRPr="00803307" w:rsidRDefault="00803307" w:rsidP="00803307">
      <w:pPr>
        <w:spacing w:after="0" w:line="240" w:lineRule="auto"/>
        <w:ind w:left="426"/>
        <w:jc w:val="both"/>
        <w:rPr>
          <w:b/>
        </w:rPr>
      </w:pPr>
      <w:r>
        <w:rPr>
          <w:b/>
        </w:rPr>
        <w:t>How long wi</w:t>
      </w:r>
      <w:r w:rsidR="00EC0447">
        <w:rPr>
          <w:b/>
        </w:rPr>
        <w:t>ll</w:t>
      </w:r>
      <w:r>
        <w:rPr>
          <w:b/>
        </w:rPr>
        <w:t xml:space="preserve"> a derogation last?</w:t>
      </w:r>
    </w:p>
    <w:p w:rsidR="00803307" w:rsidRDefault="00803307" w:rsidP="00011D40">
      <w:pPr>
        <w:numPr>
          <w:ilvl w:val="0"/>
          <w:numId w:val="14"/>
        </w:numPr>
        <w:spacing w:after="0" w:line="240" w:lineRule="auto"/>
        <w:ind w:left="426" w:hanging="426"/>
        <w:jc w:val="both"/>
      </w:pPr>
      <w:r>
        <w:t>Derogation</w:t>
      </w:r>
      <w:r w:rsidR="00D80616">
        <w:t>s</w:t>
      </w:r>
      <w:r>
        <w:t xml:space="preserve"> </w:t>
      </w:r>
      <w:r w:rsidR="00D80616">
        <w:t>are expect</w:t>
      </w:r>
      <w:r w:rsidR="002D136F">
        <w:t>ed</w:t>
      </w:r>
      <w:r w:rsidR="00D80616">
        <w:t xml:space="preserve"> to </w:t>
      </w:r>
      <w:r>
        <w:t xml:space="preserve">be for a 6 month period from the SMETS1 end date </w:t>
      </w:r>
      <w:r w:rsidR="002D136F">
        <w:t>(</w:t>
      </w:r>
      <w:r>
        <w:t>currently expected to be 13 July 2018</w:t>
      </w:r>
      <w:r w:rsidR="002D136F">
        <w:t>)</w:t>
      </w:r>
      <w:r>
        <w:t>.</w:t>
      </w:r>
      <w:r w:rsidR="00B41647">
        <w:t xml:space="preserve">  The SMETS1 end date will be confirmed in January 2018 and is not expected to change after that.</w:t>
      </w:r>
    </w:p>
    <w:p w:rsidR="00B41647" w:rsidRDefault="00B41647" w:rsidP="00B41647">
      <w:pPr>
        <w:spacing w:after="0" w:line="240" w:lineRule="auto"/>
        <w:ind w:left="426"/>
        <w:jc w:val="both"/>
      </w:pPr>
    </w:p>
    <w:p w:rsidR="00B41647" w:rsidRPr="00B41647" w:rsidRDefault="00B41647" w:rsidP="00B41647">
      <w:pPr>
        <w:spacing w:after="0" w:line="240" w:lineRule="auto"/>
        <w:ind w:left="426"/>
        <w:jc w:val="both"/>
        <w:rPr>
          <w:b/>
        </w:rPr>
      </w:pPr>
      <w:r>
        <w:rPr>
          <w:b/>
        </w:rPr>
        <w:t>Will there be a limit on the number of SMETS1 meters that can be installed after the SMETS1 end date?</w:t>
      </w:r>
    </w:p>
    <w:p w:rsidR="00B41647" w:rsidRDefault="00E17034" w:rsidP="00011D40">
      <w:pPr>
        <w:numPr>
          <w:ilvl w:val="0"/>
          <w:numId w:val="14"/>
        </w:numPr>
        <w:spacing w:after="0" w:line="240" w:lineRule="auto"/>
        <w:ind w:left="426" w:hanging="426"/>
        <w:jc w:val="both"/>
      </w:pPr>
      <w:r>
        <w:t xml:space="preserve">Yes.  </w:t>
      </w:r>
      <w:r w:rsidR="000C4022" w:rsidRPr="000F6B49">
        <w:t>The cap will be set at 80% of an energy supplier’s Q3 2017 smart meter installations or 40% of an energy supplier’s Q2 2018 forecast smart meter installations.  Energy suppliers will have the option to chose which cap they want to include in their derogation application.</w:t>
      </w:r>
      <w:r w:rsidR="008A0ADC">
        <w:t xml:space="preserve">.  The amount each </w:t>
      </w:r>
      <w:r w:rsidR="00265711">
        <w:t xml:space="preserve">energy </w:t>
      </w:r>
      <w:r w:rsidR="008A0ADC">
        <w:t xml:space="preserve">supplier can install will be set out in their derogation conditions when the derogation is granted.  </w:t>
      </w:r>
      <w:r w:rsidR="00265711">
        <w:t>Energy s</w:t>
      </w:r>
      <w:r w:rsidR="008A0ADC">
        <w:t>uppliers will not necessarily be granted a derogation which allows them to install to the maximum possible cap.</w:t>
      </w:r>
      <w:r w:rsidR="00D80616">
        <w:t xml:space="preserve">  Where a group derogation is sought, all suppliers in the group should choose the same cap.</w:t>
      </w:r>
    </w:p>
    <w:p w:rsidR="00E17034" w:rsidRDefault="00E17034" w:rsidP="00E17034">
      <w:pPr>
        <w:spacing w:after="0" w:line="240" w:lineRule="auto"/>
        <w:ind w:left="426"/>
        <w:jc w:val="both"/>
      </w:pPr>
    </w:p>
    <w:p w:rsidR="00E17034" w:rsidRPr="00E17034" w:rsidRDefault="00E17034" w:rsidP="00E17034">
      <w:pPr>
        <w:spacing w:after="0" w:line="240" w:lineRule="auto"/>
        <w:ind w:left="426"/>
        <w:jc w:val="both"/>
        <w:rPr>
          <w:b/>
        </w:rPr>
      </w:pPr>
      <w:r>
        <w:rPr>
          <w:b/>
        </w:rPr>
        <w:t>Can I install SMETS1 capable meters during the derogation period</w:t>
      </w:r>
      <w:r w:rsidR="00F14071">
        <w:rPr>
          <w:b/>
        </w:rPr>
        <w:t xml:space="preserve"> and subsequently upgrade them to be SMETS1 compliant</w:t>
      </w:r>
      <w:r>
        <w:rPr>
          <w:b/>
        </w:rPr>
        <w:t>?</w:t>
      </w:r>
    </w:p>
    <w:p w:rsidR="00E17034" w:rsidRDefault="00E17034" w:rsidP="00011D40">
      <w:pPr>
        <w:numPr>
          <w:ilvl w:val="0"/>
          <w:numId w:val="14"/>
        </w:numPr>
        <w:spacing w:after="0" w:line="240" w:lineRule="auto"/>
        <w:ind w:left="426" w:hanging="426"/>
        <w:jc w:val="both"/>
      </w:pPr>
      <w:r>
        <w:t xml:space="preserve">No.  Only SMETS1 compliant meters can be installed </w:t>
      </w:r>
      <w:r w:rsidR="00F14071">
        <w:t>under</w:t>
      </w:r>
      <w:r>
        <w:t xml:space="preserve"> the derogation.</w:t>
      </w:r>
    </w:p>
    <w:p w:rsidR="00F14071" w:rsidRDefault="00F14071" w:rsidP="00177C8B">
      <w:pPr>
        <w:spacing w:after="0" w:line="240" w:lineRule="auto"/>
        <w:ind w:left="426"/>
        <w:jc w:val="both"/>
      </w:pPr>
    </w:p>
    <w:p w:rsidR="00F14071" w:rsidRPr="00487CCE" w:rsidRDefault="00F14071" w:rsidP="00177C8B">
      <w:pPr>
        <w:spacing w:after="0" w:line="240" w:lineRule="auto"/>
        <w:ind w:left="426"/>
        <w:jc w:val="both"/>
      </w:pPr>
      <w:r w:rsidRPr="00487CCE">
        <w:rPr>
          <w:b/>
        </w:rPr>
        <w:t>Will the derogation be subject to any other conditions?</w:t>
      </w:r>
    </w:p>
    <w:p w:rsidR="00F14071" w:rsidRDefault="00F14071" w:rsidP="00011D40">
      <w:pPr>
        <w:numPr>
          <w:ilvl w:val="0"/>
          <w:numId w:val="14"/>
        </w:numPr>
        <w:spacing w:after="0" w:line="240" w:lineRule="auto"/>
        <w:ind w:left="426" w:hanging="426"/>
        <w:jc w:val="both"/>
      </w:pPr>
      <w:r>
        <w:t>It is possible that derogations will be subject to certain conditions.  These will be considered on a case by case basis.</w:t>
      </w:r>
    </w:p>
    <w:p w:rsidR="00F14071" w:rsidRDefault="00F14071" w:rsidP="00177C8B">
      <w:pPr>
        <w:spacing w:after="0" w:line="240" w:lineRule="auto"/>
        <w:ind w:left="426"/>
        <w:jc w:val="both"/>
      </w:pPr>
    </w:p>
    <w:p w:rsidR="00F14071" w:rsidRPr="000F6B49" w:rsidRDefault="00F14071" w:rsidP="00177C8B">
      <w:pPr>
        <w:spacing w:after="0" w:line="240" w:lineRule="auto"/>
        <w:ind w:left="426"/>
        <w:jc w:val="both"/>
        <w:rPr>
          <w:b/>
        </w:rPr>
      </w:pPr>
      <w:r w:rsidRPr="000F6B49">
        <w:rPr>
          <w:b/>
        </w:rPr>
        <w:t>Will the derogation be published?</w:t>
      </w:r>
    </w:p>
    <w:p w:rsidR="00F14071" w:rsidRPr="000F6B49" w:rsidRDefault="00F14071" w:rsidP="000F6B49">
      <w:pPr>
        <w:numPr>
          <w:ilvl w:val="0"/>
          <w:numId w:val="14"/>
        </w:numPr>
        <w:spacing w:after="0" w:line="240" w:lineRule="auto"/>
        <w:ind w:left="426"/>
        <w:jc w:val="both"/>
      </w:pPr>
      <w:r w:rsidRPr="000F6B49">
        <w:t xml:space="preserve">Yes, </w:t>
      </w:r>
      <w:r w:rsidR="00CB081C" w:rsidRPr="000F6B49">
        <w:t xml:space="preserve">information </w:t>
      </w:r>
      <w:r w:rsidR="006D41AC" w:rsidRPr="000F6B49">
        <w:t xml:space="preserve">regarding </w:t>
      </w:r>
      <w:r w:rsidRPr="000F6B49">
        <w:t>derogations granted will be published</w:t>
      </w:r>
      <w:r w:rsidR="006D41AC" w:rsidRPr="000F6B49">
        <w:t xml:space="preserve"> </w:t>
      </w:r>
      <w:r w:rsidR="00CB081C" w:rsidRPr="000F6B49">
        <w:t>(subject to any redactions needed to address commercial sensitivities)</w:t>
      </w:r>
      <w:r w:rsidRPr="000F6B49">
        <w:t>.</w:t>
      </w:r>
    </w:p>
    <w:p w:rsidR="001B1FB4" w:rsidRPr="000F6B49" w:rsidRDefault="001B1FB4" w:rsidP="001B1FB4">
      <w:pPr>
        <w:spacing w:after="0" w:line="240" w:lineRule="auto"/>
        <w:ind w:left="426"/>
        <w:jc w:val="both"/>
      </w:pPr>
    </w:p>
    <w:p w:rsidR="001B1FB4" w:rsidRPr="000F6B49" w:rsidRDefault="001B1FB4" w:rsidP="001B1FB4">
      <w:pPr>
        <w:spacing w:after="0" w:line="240" w:lineRule="auto"/>
        <w:ind w:left="426"/>
        <w:jc w:val="both"/>
        <w:rPr>
          <w:b/>
        </w:rPr>
      </w:pPr>
      <w:r w:rsidRPr="000F6B49">
        <w:rPr>
          <w:b/>
        </w:rPr>
        <w:t>How will compliance with the derogation be enforced?</w:t>
      </w:r>
    </w:p>
    <w:p w:rsidR="001B1FB4" w:rsidRPr="000F6B49" w:rsidRDefault="001B1FB4" w:rsidP="00011D40">
      <w:pPr>
        <w:numPr>
          <w:ilvl w:val="0"/>
          <w:numId w:val="14"/>
        </w:numPr>
        <w:spacing w:after="0" w:line="240" w:lineRule="auto"/>
        <w:ind w:left="426" w:hanging="426"/>
        <w:jc w:val="both"/>
      </w:pPr>
      <w:r w:rsidRPr="000F6B49">
        <w:t>Ofgem will be responsible for monitoring compliance and enforcement, in line with their enforcement guidelines.  BEIS will share relevant information with Ofgem to support these activities.</w:t>
      </w:r>
    </w:p>
    <w:p w:rsidR="00E17034" w:rsidRPr="000F6B49" w:rsidRDefault="00E17034" w:rsidP="00E17034">
      <w:pPr>
        <w:spacing w:after="0" w:line="240" w:lineRule="auto"/>
        <w:ind w:left="426"/>
        <w:jc w:val="both"/>
      </w:pPr>
    </w:p>
    <w:p w:rsidR="00E17034" w:rsidRPr="000F6B49" w:rsidRDefault="00E17034" w:rsidP="00E17034">
      <w:pPr>
        <w:spacing w:after="0" w:line="240" w:lineRule="auto"/>
        <w:ind w:left="426"/>
        <w:jc w:val="both"/>
        <w:rPr>
          <w:b/>
        </w:rPr>
      </w:pPr>
      <w:r w:rsidRPr="000F6B49">
        <w:rPr>
          <w:b/>
        </w:rPr>
        <w:t xml:space="preserve">How will BEIS treat information provided </w:t>
      </w:r>
      <w:r w:rsidR="00F9424F" w:rsidRPr="000F6B49">
        <w:rPr>
          <w:b/>
        </w:rPr>
        <w:t xml:space="preserve">on a mandatory basis </w:t>
      </w:r>
      <w:r w:rsidRPr="000F6B49">
        <w:rPr>
          <w:b/>
        </w:rPr>
        <w:t>as part of the derogation process?</w:t>
      </w:r>
      <w:r w:rsidR="00487CCE" w:rsidRPr="000F6B49">
        <w:rPr>
          <w:b/>
        </w:rPr>
        <w:t xml:space="preserve"> </w:t>
      </w:r>
    </w:p>
    <w:p w:rsidR="00F9424F" w:rsidRPr="000F6B49" w:rsidRDefault="006D41AC" w:rsidP="00F9424F">
      <w:pPr>
        <w:numPr>
          <w:ilvl w:val="0"/>
          <w:numId w:val="14"/>
        </w:numPr>
        <w:spacing w:after="0" w:line="240" w:lineRule="auto"/>
        <w:ind w:left="426" w:hanging="426"/>
        <w:jc w:val="both"/>
      </w:pPr>
      <w:r w:rsidRPr="000F6B49">
        <w:t xml:space="preserve">Information regarding derogations granted will be published on the SECAS website (subject to any redactions needed to address commercial sensitivities). </w:t>
      </w:r>
      <w:r w:rsidR="00D95B89" w:rsidRPr="000F6B49">
        <w:t xml:space="preserve">Section 105 of the Utilities Act 2000 prevents </w:t>
      </w:r>
      <w:r w:rsidR="00F9424F" w:rsidRPr="000F6B49">
        <w:t>BEIS</w:t>
      </w:r>
      <w:r w:rsidR="00D95B89" w:rsidRPr="000F6B49">
        <w:t xml:space="preserve"> from disclosing information obtained </w:t>
      </w:r>
      <w:r w:rsidR="004A63E0" w:rsidRPr="000F6B49">
        <w:t>as part of the supplier’s application for a derogation</w:t>
      </w:r>
      <w:r w:rsidR="004A63E0" w:rsidRPr="000F6B49" w:rsidDel="004A63E0">
        <w:t xml:space="preserve"> </w:t>
      </w:r>
      <w:r w:rsidR="00D95B89" w:rsidRPr="000F6B49">
        <w:t xml:space="preserve">where it relates to an individual </w:t>
      </w:r>
      <w:r w:rsidR="00265711" w:rsidRPr="000F6B49">
        <w:t xml:space="preserve">energy </w:t>
      </w:r>
      <w:r w:rsidR="00D95B89" w:rsidRPr="000F6B49">
        <w:t>supplier’s business and the supplier has not given consent for disclosure</w:t>
      </w:r>
      <w:r w:rsidR="004A63E0" w:rsidRPr="000F6B49">
        <w:t>, subject to the exceptions to the prohibition in section 105</w:t>
      </w:r>
      <w:r w:rsidR="00D95B89" w:rsidRPr="000F6B49">
        <w:t xml:space="preserve">. This restriction extends to Freedom of Information Requests. Requests for environmental information are dealt with under the Environmental Information Regulations 2004. Under this legislation, there is an exception from the duty to disclose information where the information is confidential or commercially sensitive, although this is considered on a case by case basis in accordance with the public interest. </w:t>
      </w:r>
    </w:p>
    <w:p w:rsidR="00F9424F" w:rsidRPr="000F6B49" w:rsidRDefault="00F9424F" w:rsidP="00F9424F">
      <w:pPr>
        <w:spacing w:after="0" w:line="240" w:lineRule="auto"/>
        <w:ind w:left="426"/>
        <w:jc w:val="both"/>
      </w:pPr>
    </w:p>
    <w:p w:rsidR="00B67E21" w:rsidRPr="000F6B49" w:rsidRDefault="00F9424F" w:rsidP="00487CCE">
      <w:pPr>
        <w:numPr>
          <w:ilvl w:val="0"/>
          <w:numId w:val="14"/>
        </w:numPr>
        <w:spacing w:after="0" w:line="240" w:lineRule="auto"/>
        <w:ind w:left="426" w:hanging="426"/>
        <w:jc w:val="both"/>
      </w:pPr>
      <w:r w:rsidRPr="000F6B49">
        <w:t>BEIS</w:t>
      </w:r>
      <w:r w:rsidR="00D95B89" w:rsidRPr="000F6B49">
        <w:t xml:space="preserve"> will not disclose to other parties</w:t>
      </w:r>
      <w:r w:rsidR="001403F3">
        <w:t>, except Ofgem,</w:t>
      </w:r>
      <w:r w:rsidR="001967DA" w:rsidRPr="000F6B49">
        <w:t xml:space="preserve"> any redacted</w:t>
      </w:r>
      <w:r w:rsidR="00D95B89" w:rsidRPr="000F6B49">
        <w:t xml:space="preserve"> commercially sensitive information submitted by an individual </w:t>
      </w:r>
      <w:r w:rsidR="00265711" w:rsidRPr="000F6B49">
        <w:t xml:space="preserve">energy </w:t>
      </w:r>
      <w:r w:rsidR="00D95B89" w:rsidRPr="000F6B49">
        <w:t>supplier</w:t>
      </w:r>
      <w:r w:rsidR="004A63E0" w:rsidRPr="000F6B49">
        <w:t xml:space="preserve"> as part of its application for a derogation</w:t>
      </w:r>
      <w:r w:rsidR="00D95B89" w:rsidRPr="000F6B49">
        <w:t>, in a manner in which the particular supplier is identified</w:t>
      </w:r>
      <w:r w:rsidR="004A63E0" w:rsidRPr="000F6B49">
        <w:t>, unless [required to be disclosed by law or by any competent authority and ]an exception to the prohibition in section 105 applies</w:t>
      </w:r>
      <w:r w:rsidR="00D95B89" w:rsidRPr="000F6B49">
        <w:t xml:space="preserve">. </w:t>
      </w:r>
      <w:r w:rsidRPr="000F6B49">
        <w:t>BEIS</w:t>
      </w:r>
      <w:r w:rsidR="00D95B89" w:rsidRPr="000F6B49">
        <w:t xml:space="preserve"> may use the information from </w:t>
      </w:r>
      <w:r w:rsidR="00265711" w:rsidRPr="000F6B49">
        <w:t xml:space="preserve">energy </w:t>
      </w:r>
      <w:r w:rsidR="00D95B89" w:rsidRPr="000F6B49">
        <w:t xml:space="preserve">suppliers to inform policy development and aggregated information may be disclosed or published by </w:t>
      </w:r>
      <w:r w:rsidRPr="000F6B49">
        <w:t>BEIS</w:t>
      </w:r>
      <w:r w:rsidR="00D95B89" w:rsidRPr="000F6B49">
        <w:t xml:space="preserve"> at its discretion, including (for example) where this is required by law, where </w:t>
      </w:r>
      <w:r w:rsidRPr="000F6B49">
        <w:t>BEIS</w:t>
      </w:r>
      <w:r w:rsidR="00D95B89" w:rsidRPr="000F6B49">
        <w:t xml:space="preserve"> needs to inform Parliament of progress, or where the information supports a particular policy proposal on which </w:t>
      </w:r>
      <w:r w:rsidRPr="000F6B49">
        <w:t>BEIS</w:t>
      </w:r>
      <w:r w:rsidR="00D95B89" w:rsidRPr="000F6B49">
        <w:t xml:space="preserve"> needs to consult. </w:t>
      </w:r>
      <w:r w:rsidRPr="000F6B49">
        <w:t>BEIS</w:t>
      </w:r>
      <w:r w:rsidR="00D95B89" w:rsidRPr="000F6B49">
        <w:t xml:space="preserve"> </w:t>
      </w:r>
      <w:r w:rsidR="00EC0447" w:rsidRPr="000F6B49">
        <w:t>intends</w:t>
      </w:r>
      <w:r w:rsidR="00D95B89" w:rsidRPr="000F6B49">
        <w:t xml:space="preserve"> to report summary information in </w:t>
      </w:r>
      <w:r w:rsidR="005F38E7" w:rsidRPr="000F6B49">
        <w:t xml:space="preserve">its </w:t>
      </w:r>
      <w:r w:rsidR="00D95B89" w:rsidRPr="000F6B49">
        <w:t xml:space="preserve">smart metering annual report. </w:t>
      </w:r>
      <w:r w:rsidR="005F38E7" w:rsidRPr="000F6B49">
        <w:t>I</w:t>
      </w:r>
      <w:r w:rsidR="00D95B89" w:rsidRPr="000F6B49">
        <w:t>nformation which is released</w:t>
      </w:r>
      <w:r w:rsidR="005F38E7" w:rsidRPr="000F6B49">
        <w:t xml:space="preserve"> as part of this report</w:t>
      </w:r>
      <w:r w:rsidR="00D95B89" w:rsidRPr="000F6B49">
        <w:t xml:space="preserve"> will be anonymised and aggregated as necessary to ensure that it remains appropriately protected.</w:t>
      </w:r>
      <w:r w:rsidRPr="000F6B49">
        <w:t xml:space="preserve"> </w:t>
      </w:r>
    </w:p>
    <w:p w:rsidR="00487CCE" w:rsidRPr="000F6B49" w:rsidRDefault="00487CCE" w:rsidP="00487CCE">
      <w:pPr>
        <w:spacing w:after="0" w:line="240" w:lineRule="auto"/>
        <w:ind w:left="426"/>
        <w:jc w:val="both"/>
        <w:rPr>
          <w:b/>
        </w:rPr>
      </w:pPr>
    </w:p>
    <w:p w:rsidR="00B67E21" w:rsidRPr="000F6B49" w:rsidRDefault="00B67E21" w:rsidP="00487CCE">
      <w:pPr>
        <w:spacing w:after="0" w:line="240" w:lineRule="auto"/>
        <w:ind w:left="426"/>
        <w:jc w:val="both"/>
        <w:rPr>
          <w:b/>
        </w:rPr>
      </w:pPr>
      <w:r w:rsidRPr="000F6B49">
        <w:rPr>
          <w:b/>
        </w:rPr>
        <w:t>How will BEIS treat information provided on a voluntary basis?</w:t>
      </w:r>
      <w:r w:rsidR="00487CCE" w:rsidRPr="000F6B49">
        <w:rPr>
          <w:b/>
        </w:rPr>
        <w:t xml:space="preserve"> </w:t>
      </w:r>
    </w:p>
    <w:p w:rsidR="00B67E21" w:rsidRPr="000F6B49" w:rsidRDefault="00D95B89" w:rsidP="00487CCE">
      <w:pPr>
        <w:numPr>
          <w:ilvl w:val="0"/>
          <w:numId w:val="14"/>
        </w:numPr>
        <w:spacing w:after="0" w:line="240" w:lineRule="auto"/>
        <w:ind w:left="426" w:hanging="426"/>
        <w:jc w:val="both"/>
      </w:pPr>
      <w:r w:rsidRPr="000F6B49">
        <w:t>Information provided on a voluntary basis and outside the scope of the information required as part of the derogation process, including personal information, may be subject to publication or disclosure in accordance with the access to information legislation (primarily the Freedom of Information Act 2000, the Data Protection Act 1998 and the Environmental Information Regulations 2004). If you want information that you provide to be treated as confidential please say so clearly in writing when you send us your evidence. It would be helpful if you could explain to us why you regard the information you have provided as confidential. If we receive a request for disclosure of the information we will take full account of your explanation and may consult you further at the time of the request, but we cannot give an assurance that confidentiality can be maintained in all circumstances. An automatic confidentiality disclaimer generated by your IT system will not, of itself, be regarded by us as a confidentiality request.</w:t>
      </w:r>
      <w:r w:rsidR="00B67E21" w:rsidRPr="000F6B49">
        <w:t xml:space="preserve"> </w:t>
      </w:r>
    </w:p>
    <w:p w:rsidR="00487CCE" w:rsidRDefault="00487CCE" w:rsidP="00487CCE">
      <w:pPr>
        <w:spacing w:after="0" w:line="240" w:lineRule="auto"/>
        <w:ind w:left="426"/>
        <w:jc w:val="both"/>
      </w:pPr>
    </w:p>
    <w:p w:rsidR="00B67E21" w:rsidRPr="00B67E21" w:rsidRDefault="00B67E21" w:rsidP="00B67E21">
      <w:pPr>
        <w:spacing w:after="0" w:line="240" w:lineRule="auto"/>
        <w:ind w:left="426"/>
        <w:jc w:val="both"/>
        <w:rPr>
          <w:b/>
        </w:rPr>
      </w:pPr>
      <w:r>
        <w:rPr>
          <w:b/>
        </w:rPr>
        <w:t>How will BEIS store data?</w:t>
      </w:r>
    </w:p>
    <w:p w:rsidR="00D95B89" w:rsidRPr="00B67E21" w:rsidRDefault="00D95B89" w:rsidP="00B67E21">
      <w:pPr>
        <w:numPr>
          <w:ilvl w:val="0"/>
          <w:numId w:val="14"/>
        </w:numPr>
        <w:spacing w:after="0" w:line="240" w:lineRule="auto"/>
        <w:ind w:left="426" w:hanging="426"/>
        <w:jc w:val="both"/>
      </w:pPr>
      <w:r>
        <w:t xml:space="preserve">The Programme is committed to the safe storage of information and will provide extra protection for data or information that is deemed personal or commercially sensitive, operating in accordance with best practice as set out in the Data Handling Procedures in Government: Report 2008, the Data Protection Act 1998, and the restrictions on disclosure set out in section 105 of the Utilities Act 2000. </w:t>
      </w:r>
    </w:p>
    <w:p w:rsidR="00D95B89" w:rsidRDefault="00D95B89" w:rsidP="00B67E21">
      <w:pPr>
        <w:spacing w:after="0" w:line="240" w:lineRule="auto"/>
        <w:ind w:left="426"/>
        <w:jc w:val="both"/>
      </w:pPr>
    </w:p>
    <w:p w:rsidR="00863384" w:rsidRPr="00957698" w:rsidRDefault="00863384" w:rsidP="00985897">
      <w:pPr>
        <w:spacing w:after="0" w:line="240" w:lineRule="auto"/>
        <w:ind w:left="284"/>
        <w:jc w:val="both"/>
      </w:pPr>
    </w:p>
    <w:p w:rsidR="00315AD4" w:rsidRDefault="00315AD4" w:rsidP="0026769B">
      <w:pPr>
        <w:pStyle w:val="BodyText"/>
        <w:spacing w:before="0" w:after="0" w:line="240" w:lineRule="auto"/>
        <w:ind w:left="720"/>
        <w:rPr>
          <w:rFonts w:eastAsiaTheme="minorHAnsi" w:cstheme="minorBidi"/>
          <w:color w:val="auto"/>
          <w:szCs w:val="22"/>
          <w:lang w:eastAsia="en-US"/>
        </w:rPr>
      </w:pPr>
    </w:p>
    <w:p w:rsidR="00DB5E04" w:rsidRDefault="00DB5E04" w:rsidP="00C52DFC">
      <w:pPr>
        <w:pStyle w:val="BodyText"/>
        <w:spacing w:before="0" w:after="0" w:line="240" w:lineRule="auto"/>
        <w:rPr>
          <w:color w:val="002060"/>
          <w:sz w:val="32"/>
          <w:szCs w:val="32"/>
        </w:rPr>
      </w:pPr>
    </w:p>
    <w:p w:rsidR="00DB5E04" w:rsidRDefault="00DB5E04" w:rsidP="00C52DFC">
      <w:pPr>
        <w:pStyle w:val="BodyText"/>
        <w:spacing w:before="0" w:after="0" w:line="240" w:lineRule="auto"/>
        <w:rPr>
          <w:color w:val="002060"/>
          <w:sz w:val="32"/>
          <w:szCs w:val="32"/>
        </w:rPr>
      </w:pPr>
    </w:p>
    <w:p w:rsidR="00DB5E04" w:rsidRDefault="00DB5E04" w:rsidP="00C52DFC">
      <w:pPr>
        <w:pStyle w:val="BodyText"/>
        <w:spacing w:before="0" w:after="0" w:line="240" w:lineRule="auto"/>
        <w:rPr>
          <w:color w:val="002060"/>
          <w:sz w:val="32"/>
          <w:szCs w:val="32"/>
        </w:rPr>
      </w:pPr>
    </w:p>
    <w:p w:rsidR="00DB5E04" w:rsidRDefault="00DB5E04" w:rsidP="00C52DFC">
      <w:pPr>
        <w:pStyle w:val="BodyText"/>
        <w:spacing w:before="0" w:after="0" w:line="240" w:lineRule="auto"/>
        <w:rPr>
          <w:color w:val="002060"/>
          <w:sz w:val="32"/>
          <w:szCs w:val="32"/>
        </w:rPr>
      </w:pPr>
    </w:p>
    <w:p w:rsidR="00DB5E04" w:rsidRPr="00DB5E04" w:rsidRDefault="00DB5E04" w:rsidP="00DB5E04">
      <w:pPr>
        <w:spacing w:after="160" w:line="259" w:lineRule="auto"/>
        <w:rPr>
          <w:rFonts w:eastAsia="Times New Roman" w:cs="Arial"/>
          <w:color w:val="002060"/>
          <w:sz w:val="32"/>
          <w:szCs w:val="32"/>
          <w:lang w:eastAsia="en-GB"/>
        </w:rPr>
      </w:pPr>
    </w:p>
    <w:p w:rsidR="00B67E21" w:rsidRDefault="00B67E21" w:rsidP="00230D87">
      <w:pPr>
        <w:pStyle w:val="ChptHead"/>
        <w:numPr>
          <w:ilvl w:val="0"/>
          <w:numId w:val="13"/>
        </w:numPr>
        <w:spacing w:before="500" w:after="500" w:line="240" w:lineRule="auto"/>
        <w:ind w:left="567" w:hanging="567"/>
        <w:rPr>
          <w:color w:val="002060"/>
        </w:rPr>
        <w:sectPr w:rsidR="00B67E21" w:rsidSect="00243D10">
          <w:headerReference w:type="first" r:id="rId32"/>
          <w:pgSz w:w="11906" w:h="16838" w:code="9"/>
          <w:pgMar w:top="1134" w:right="851" w:bottom="851" w:left="851" w:header="567" w:footer="567" w:gutter="0"/>
          <w:cols w:space="720"/>
          <w:formProt w:val="0"/>
        </w:sectPr>
      </w:pPr>
      <w:bookmarkStart w:id="17" w:name="_Toc455039111"/>
      <w:bookmarkStart w:id="18" w:name="_Toc222299828"/>
      <w:bookmarkStart w:id="19" w:name="_Toc222534406"/>
      <w:bookmarkStart w:id="20" w:name="_Toc399934577"/>
      <w:bookmarkStart w:id="21" w:name="_Toc404681178"/>
      <w:bookmarkEnd w:id="14"/>
      <w:bookmarkEnd w:id="15"/>
    </w:p>
    <w:p w:rsidR="00B20C8E" w:rsidRPr="00A0419C" w:rsidRDefault="00B67E21" w:rsidP="00A0419C">
      <w:pPr>
        <w:pStyle w:val="ChptHead"/>
        <w:numPr>
          <w:ilvl w:val="0"/>
          <w:numId w:val="13"/>
        </w:numPr>
        <w:spacing w:before="500" w:after="500" w:line="240" w:lineRule="auto"/>
        <w:ind w:left="567" w:hanging="567"/>
        <w:rPr>
          <w:color w:val="002060"/>
        </w:rPr>
      </w:pPr>
      <w:bookmarkStart w:id="22" w:name="_Toc499760742"/>
      <w:r>
        <w:rPr>
          <w:color w:val="002060"/>
        </w:rPr>
        <w:t>Derogation Criteria</w:t>
      </w:r>
      <w:bookmarkEnd w:id="22"/>
      <w:r w:rsidR="00513893">
        <w:rPr>
          <w:color w:val="002060"/>
        </w:rPr>
        <w:t xml:space="preserve"> </w:t>
      </w:r>
    </w:p>
    <w:p w:rsidR="00D51D36" w:rsidRDefault="00D51D36" w:rsidP="00EB65F2">
      <w:pPr>
        <w:numPr>
          <w:ilvl w:val="0"/>
          <w:numId w:val="14"/>
        </w:numPr>
        <w:spacing w:after="0" w:line="240" w:lineRule="auto"/>
        <w:ind w:left="426" w:hanging="426"/>
        <w:jc w:val="both"/>
      </w:pPr>
      <w:r w:rsidRPr="00B20C8E">
        <w:t>Th</w:t>
      </w:r>
      <w:r w:rsidR="00A0419C">
        <w:t xml:space="preserve">is </w:t>
      </w:r>
      <w:r w:rsidRPr="00B20C8E">
        <w:t>section sets out the derogation criteria.</w:t>
      </w:r>
      <w:r w:rsidR="00B20C8E" w:rsidRPr="00B20C8E">
        <w:t xml:space="preserve">  The criteria </w:t>
      </w:r>
      <w:r w:rsidR="00670D1D">
        <w:t>are</w:t>
      </w:r>
      <w:r w:rsidR="00B20C8E" w:rsidRPr="00B20C8E">
        <w:t xml:space="preserve"> separated into two parts.  The first part</w:t>
      </w:r>
      <w:r w:rsidR="00ED4CE7">
        <w:t xml:space="preserve">, Part A, </w:t>
      </w:r>
      <w:r w:rsidR="00B20C8E" w:rsidRPr="00B20C8E">
        <w:t xml:space="preserve">looks at whether an applicant is eligible in principle for consideration.  Applicants who demonstrate eligibility in </w:t>
      </w:r>
      <w:r w:rsidR="00ED4CE7">
        <w:t>Part A</w:t>
      </w:r>
      <w:r w:rsidR="00B20C8E" w:rsidRPr="00B20C8E">
        <w:t xml:space="preserve"> can proceed to the second part</w:t>
      </w:r>
      <w:r w:rsidR="00670D1D">
        <w:t>,</w:t>
      </w:r>
      <w:r w:rsidR="00ED4CE7">
        <w:t xml:space="preserve"> Part B,</w:t>
      </w:r>
      <w:r w:rsidR="00B20C8E" w:rsidRPr="00B20C8E">
        <w:t xml:space="preserve"> which </w:t>
      </w:r>
      <w:r w:rsidR="00670D1D">
        <w:t>sets out</w:t>
      </w:r>
      <w:r w:rsidR="00B20C8E" w:rsidRPr="00B20C8E">
        <w:t xml:space="preserve"> the approval criteria.  Applicants for a derogation should be mindful of the following when applying:</w:t>
      </w:r>
    </w:p>
    <w:p w:rsidR="00954820" w:rsidRPr="00B20C8E" w:rsidRDefault="00954820" w:rsidP="00EB65F2">
      <w:pPr>
        <w:spacing w:after="0" w:line="240" w:lineRule="auto"/>
        <w:ind w:left="284"/>
        <w:jc w:val="both"/>
      </w:pPr>
    </w:p>
    <w:p w:rsidR="00FA26E0" w:rsidRPr="0007339F" w:rsidRDefault="00FA26E0" w:rsidP="00EB65F2">
      <w:pPr>
        <w:pStyle w:val="NormalWeb"/>
        <w:numPr>
          <w:ilvl w:val="0"/>
          <w:numId w:val="29"/>
        </w:numPr>
        <w:spacing w:after="0" w:line="240" w:lineRule="auto"/>
        <w:jc w:val="both"/>
        <w:rPr>
          <w:rFonts w:ascii="Arial" w:hAnsi="Arial" w:cstheme="minorBidi"/>
          <w:szCs w:val="22"/>
        </w:rPr>
      </w:pPr>
      <w:r w:rsidRPr="0007339F">
        <w:rPr>
          <w:rFonts w:ascii="Arial" w:hAnsi="Arial" w:cstheme="minorBidi"/>
          <w:szCs w:val="22"/>
        </w:rPr>
        <w:t xml:space="preserve">If all the criteria are met, the Secretary of State will determine the quantity of any derogation, also taking into account the desire to limit the number of SMETS1 </w:t>
      </w:r>
      <w:r w:rsidR="00670D1D">
        <w:rPr>
          <w:rFonts w:ascii="Arial" w:hAnsi="Arial" w:cstheme="minorBidi"/>
          <w:szCs w:val="22"/>
        </w:rPr>
        <w:t>d</w:t>
      </w:r>
      <w:r w:rsidRPr="0007339F">
        <w:rPr>
          <w:rFonts w:ascii="Arial" w:hAnsi="Arial" w:cstheme="minorBidi"/>
          <w:szCs w:val="22"/>
        </w:rPr>
        <w:t xml:space="preserve">evices </w:t>
      </w:r>
      <w:r w:rsidR="00670D1D">
        <w:rPr>
          <w:rFonts w:ascii="Arial" w:hAnsi="Arial" w:cstheme="minorBidi"/>
          <w:szCs w:val="22"/>
        </w:rPr>
        <w:t xml:space="preserve">installed </w:t>
      </w:r>
      <w:r w:rsidRPr="0007339F">
        <w:rPr>
          <w:rFonts w:ascii="Arial" w:hAnsi="Arial" w:cstheme="minorBidi"/>
          <w:szCs w:val="22"/>
        </w:rPr>
        <w:t xml:space="preserve">after the SMETS1 </w:t>
      </w:r>
      <w:r w:rsidR="00670D1D">
        <w:rPr>
          <w:rFonts w:ascii="Arial" w:hAnsi="Arial" w:cstheme="minorBidi"/>
          <w:szCs w:val="22"/>
        </w:rPr>
        <w:t>e</w:t>
      </w:r>
      <w:r w:rsidRPr="0007339F">
        <w:rPr>
          <w:rFonts w:ascii="Arial" w:hAnsi="Arial" w:cstheme="minorBidi"/>
          <w:szCs w:val="22"/>
        </w:rPr>
        <w:t xml:space="preserve">nd </w:t>
      </w:r>
      <w:r w:rsidR="00670D1D">
        <w:rPr>
          <w:rFonts w:ascii="Arial" w:hAnsi="Arial" w:cstheme="minorBidi"/>
          <w:szCs w:val="22"/>
        </w:rPr>
        <w:t>d</w:t>
      </w:r>
      <w:r w:rsidRPr="0007339F">
        <w:rPr>
          <w:rFonts w:ascii="Arial" w:hAnsi="Arial" w:cstheme="minorBidi"/>
          <w:szCs w:val="22"/>
        </w:rPr>
        <w:t xml:space="preserve">ate. </w:t>
      </w:r>
    </w:p>
    <w:p w:rsidR="00FA26E0" w:rsidRPr="0007339F" w:rsidRDefault="00FA26E0" w:rsidP="00EB65F2">
      <w:pPr>
        <w:pStyle w:val="NormalWeb"/>
        <w:numPr>
          <w:ilvl w:val="0"/>
          <w:numId w:val="29"/>
        </w:numPr>
        <w:spacing w:after="0" w:line="240" w:lineRule="auto"/>
        <w:jc w:val="both"/>
        <w:rPr>
          <w:rFonts w:ascii="Arial" w:hAnsi="Arial" w:cstheme="minorBidi"/>
          <w:szCs w:val="22"/>
        </w:rPr>
      </w:pPr>
      <w:r w:rsidRPr="0007339F">
        <w:rPr>
          <w:rFonts w:ascii="Arial" w:hAnsi="Arial" w:cstheme="minorBidi"/>
          <w:szCs w:val="22"/>
        </w:rPr>
        <w:t xml:space="preserve">The Secretary of State will retain the right to </w:t>
      </w:r>
      <w:r w:rsidR="00CB6EEE">
        <w:rPr>
          <w:rFonts w:ascii="Arial" w:hAnsi="Arial" w:cstheme="minorBidi"/>
          <w:szCs w:val="22"/>
        </w:rPr>
        <w:t>attach</w:t>
      </w:r>
      <w:r w:rsidRPr="0007339F">
        <w:rPr>
          <w:rFonts w:ascii="Arial" w:hAnsi="Arial" w:cstheme="minorBidi"/>
          <w:szCs w:val="22"/>
        </w:rPr>
        <w:t xml:space="preserve"> conditions </w:t>
      </w:r>
      <w:r w:rsidR="00CB6EEE">
        <w:rPr>
          <w:rFonts w:ascii="Arial" w:hAnsi="Arial" w:cstheme="minorBidi"/>
          <w:szCs w:val="22"/>
        </w:rPr>
        <w:t>to</w:t>
      </w:r>
      <w:r w:rsidRPr="0007339F">
        <w:rPr>
          <w:rFonts w:ascii="Arial" w:hAnsi="Arial" w:cstheme="minorBidi"/>
          <w:szCs w:val="22"/>
        </w:rPr>
        <w:t xml:space="preserve"> the derogations, for example a requirement for a statement from a suitably competent independent organisation that any SMETS1 </w:t>
      </w:r>
      <w:r w:rsidR="00CB6EEE">
        <w:rPr>
          <w:rFonts w:ascii="Arial" w:hAnsi="Arial" w:cstheme="minorBidi"/>
          <w:szCs w:val="22"/>
        </w:rPr>
        <w:t>d</w:t>
      </w:r>
      <w:r w:rsidRPr="0007339F">
        <w:rPr>
          <w:rFonts w:ascii="Arial" w:hAnsi="Arial" w:cstheme="minorBidi"/>
          <w:szCs w:val="22"/>
        </w:rPr>
        <w:t xml:space="preserve">evices installed after the end date have been installed in a manner consistent with the terms of the derogation. </w:t>
      </w:r>
    </w:p>
    <w:p w:rsidR="00FA26E0" w:rsidRPr="0007339F" w:rsidRDefault="00FA26E0" w:rsidP="00EB65F2">
      <w:pPr>
        <w:pStyle w:val="NormalWeb"/>
        <w:numPr>
          <w:ilvl w:val="0"/>
          <w:numId w:val="29"/>
        </w:numPr>
        <w:spacing w:after="0" w:line="240" w:lineRule="auto"/>
        <w:jc w:val="both"/>
        <w:rPr>
          <w:rFonts w:ascii="Arial" w:hAnsi="Arial" w:cstheme="minorBidi"/>
          <w:szCs w:val="22"/>
        </w:rPr>
      </w:pPr>
      <w:r w:rsidRPr="0007339F">
        <w:rPr>
          <w:rFonts w:ascii="Arial" w:hAnsi="Arial" w:cstheme="minorBidi"/>
          <w:szCs w:val="22"/>
        </w:rPr>
        <w:t xml:space="preserve">BEIS is not underwriting that a derogation will fully mitigate transition risks; use of additional flexibility lies with the applicant. </w:t>
      </w:r>
    </w:p>
    <w:p w:rsidR="00FA26E0" w:rsidRPr="0007339F" w:rsidRDefault="00FA26E0" w:rsidP="00EB65F2">
      <w:pPr>
        <w:pStyle w:val="NormalWeb"/>
        <w:numPr>
          <w:ilvl w:val="0"/>
          <w:numId w:val="29"/>
        </w:numPr>
        <w:spacing w:after="0" w:line="240" w:lineRule="auto"/>
        <w:jc w:val="both"/>
        <w:rPr>
          <w:rFonts w:ascii="Arial" w:hAnsi="Arial" w:cstheme="minorBidi"/>
          <w:szCs w:val="22"/>
        </w:rPr>
      </w:pPr>
      <w:r w:rsidRPr="0007339F">
        <w:rPr>
          <w:rFonts w:ascii="Arial" w:hAnsi="Arial" w:cstheme="minorBidi"/>
          <w:szCs w:val="22"/>
        </w:rPr>
        <w:t>If the SMETS1 end date were to change, depending on the length of the change, BEIS would consider whether the existing derogations granted should be amended or the process re-run</w:t>
      </w:r>
      <w:r w:rsidR="00643D58">
        <w:rPr>
          <w:rFonts w:ascii="Arial" w:hAnsi="Arial" w:cstheme="minorBidi"/>
          <w:szCs w:val="22"/>
        </w:rPr>
        <w:t xml:space="preserve"> (and in which case derogations that had been granted may be revoked)</w:t>
      </w:r>
      <w:r w:rsidRPr="0007339F">
        <w:rPr>
          <w:rFonts w:ascii="Arial" w:hAnsi="Arial" w:cstheme="minorBidi"/>
          <w:szCs w:val="22"/>
        </w:rPr>
        <w:t>.</w:t>
      </w:r>
    </w:p>
    <w:p w:rsidR="00FA26E0" w:rsidRPr="0007339F" w:rsidRDefault="00FA26E0" w:rsidP="00EB65F2">
      <w:pPr>
        <w:pStyle w:val="ListParagraph"/>
        <w:numPr>
          <w:ilvl w:val="0"/>
          <w:numId w:val="29"/>
        </w:numPr>
        <w:spacing w:after="0" w:line="240" w:lineRule="auto"/>
        <w:jc w:val="both"/>
      </w:pPr>
      <w:r w:rsidRPr="0007339F">
        <w:t>Derogations are only applicable for installations of SMETS1 compliant meters.</w:t>
      </w:r>
    </w:p>
    <w:p w:rsidR="00FA26E0" w:rsidRDefault="0051587C" w:rsidP="00EB65F2">
      <w:pPr>
        <w:pStyle w:val="NormalWeb"/>
        <w:numPr>
          <w:ilvl w:val="0"/>
          <w:numId w:val="29"/>
        </w:numPr>
        <w:spacing w:after="0" w:line="240" w:lineRule="auto"/>
        <w:jc w:val="both"/>
        <w:rPr>
          <w:rFonts w:ascii="Arial" w:hAnsi="Arial" w:cstheme="minorBidi"/>
          <w:szCs w:val="22"/>
        </w:rPr>
      </w:pPr>
      <w:r>
        <w:rPr>
          <w:rFonts w:ascii="Arial" w:hAnsi="Arial" w:cstheme="minorBidi"/>
          <w:szCs w:val="22"/>
        </w:rPr>
        <w:t xml:space="preserve">Ofgem will be responsible for monitoring compliance and enforcement, in line with </w:t>
      </w:r>
      <w:r w:rsidR="00CB6EEE">
        <w:rPr>
          <w:rFonts w:ascii="Arial" w:hAnsi="Arial" w:cstheme="minorBidi"/>
          <w:szCs w:val="22"/>
        </w:rPr>
        <w:t>their</w:t>
      </w:r>
      <w:r>
        <w:rPr>
          <w:rFonts w:ascii="Arial" w:hAnsi="Arial" w:cstheme="minorBidi"/>
          <w:szCs w:val="22"/>
        </w:rPr>
        <w:t xml:space="preserve"> enforcement guidelines.  BEIS will share relevant information with Ofgem to support </w:t>
      </w:r>
      <w:r w:rsidR="00CB6EEE">
        <w:rPr>
          <w:rFonts w:ascii="Arial" w:hAnsi="Arial" w:cstheme="minorBidi"/>
          <w:szCs w:val="22"/>
        </w:rPr>
        <w:t>these activities</w:t>
      </w:r>
      <w:r w:rsidR="00FA26E0" w:rsidRPr="0007339F">
        <w:rPr>
          <w:rFonts w:ascii="Arial" w:hAnsi="Arial" w:cstheme="minorBidi"/>
          <w:szCs w:val="22"/>
        </w:rPr>
        <w:t>.</w:t>
      </w:r>
    </w:p>
    <w:p w:rsidR="00643D58" w:rsidRPr="0007339F" w:rsidRDefault="00643D58" w:rsidP="00EB65F2">
      <w:pPr>
        <w:pStyle w:val="NormalWeb"/>
        <w:numPr>
          <w:ilvl w:val="0"/>
          <w:numId w:val="29"/>
        </w:numPr>
        <w:spacing w:after="0" w:line="240" w:lineRule="auto"/>
        <w:jc w:val="both"/>
        <w:rPr>
          <w:rFonts w:ascii="Arial" w:hAnsi="Arial" w:cstheme="minorBidi"/>
          <w:szCs w:val="22"/>
        </w:rPr>
      </w:pPr>
      <w:r>
        <w:rPr>
          <w:rFonts w:ascii="Arial" w:hAnsi="Arial" w:cstheme="minorBidi"/>
          <w:szCs w:val="22"/>
        </w:rPr>
        <w:t>Where two or more suppliers apply on a group basis for a derogation, they will be assessed on a group basis (for example the rate of rollout will be assessed in aggregate across the group of applicants).</w:t>
      </w:r>
    </w:p>
    <w:p w:rsidR="00FA26E0" w:rsidRPr="0007339F" w:rsidRDefault="00FA26E0" w:rsidP="00FA26E0">
      <w:pPr>
        <w:pStyle w:val="NormalWeb"/>
        <w:spacing w:after="0"/>
        <w:rPr>
          <w:rFonts w:ascii="Arial" w:hAnsi="Arial" w:cstheme="minorBidi"/>
          <w:szCs w:val="22"/>
        </w:rPr>
      </w:pPr>
    </w:p>
    <w:p w:rsidR="00FA26E0" w:rsidRPr="00BB0684" w:rsidRDefault="00FA26E0" w:rsidP="00F4796E">
      <w:pPr>
        <w:spacing w:after="0" w:line="240" w:lineRule="auto"/>
        <w:ind w:left="360"/>
        <w:jc w:val="both"/>
        <w:rPr>
          <w:b/>
          <w:u w:val="single"/>
        </w:rPr>
      </w:pPr>
      <w:r w:rsidRPr="00BB0684">
        <w:rPr>
          <w:b/>
          <w:u w:val="single"/>
        </w:rPr>
        <w:t>Part A: Eligibility criteria - is the applicant eligible in principle for consideration?</w:t>
      </w:r>
    </w:p>
    <w:p w:rsidR="00FA26E0" w:rsidRPr="00F4796E" w:rsidRDefault="00F4796E" w:rsidP="00011D40">
      <w:pPr>
        <w:numPr>
          <w:ilvl w:val="0"/>
          <w:numId w:val="14"/>
        </w:numPr>
        <w:spacing w:after="0" w:line="240" w:lineRule="auto"/>
        <w:ind w:left="426" w:hanging="426"/>
        <w:jc w:val="both"/>
      </w:pPr>
      <w:r w:rsidRPr="00F4796E">
        <w:t xml:space="preserve">The table below sets out the first part of the derogation application process.  </w:t>
      </w:r>
      <w:r w:rsidR="00A0419C">
        <w:t>A</w:t>
      </w:r>
      <w:r w:rsidRPr="00F4796E">
        <w:t xml:space="preserve"> pro forma response template </w:t>
      </w:r>
      <w:r w:rsidR="00A42C60">
        <w:t xml:space="preserve">with </w:t>
      </w:r>
      <w:r w:rsidRPr="00F4796E">
        <w:t>response sections</w:t>
      </w:r>
      <w:r w:rsidR="00A0419C">
        <w:t xml:space="preserve"> is provided in </w:t>
      </w:r>
      <w:r w:rsidR="00A0419C" w:rsidRPr="00487CCE">
        <w:t>Section 4</w:t>
      </w:r>
      <w:r w:rsidR="00A0419C">
        <w:t xml:space="preserve"> of this document</w:t>
      </w:r>
      <w:r w:rsidRPr="00F4796E">
        <w:t xml:space="preserve">.  </w:t>
      </w:r>
    </w:p>
    <w:p w:rsidR="00FA26E0" w:rsidRPr="0007339F" w:rsidRDefault="00FA26E0" w:rsidP="00FA26E0">
      <w:pPr>
        <w:pStyle w:val="NormalWeb"/>
        <w:spacing w:after="0"/>
        <w:rPr>
          <w:rFonts w:ascii="Arial" w:hAnsi="Arial" w:cstheme="minorBidi"/>
          <w:szCs w:val="22"/>
        </w:rPr>
      </w:pPr>
      <w:r w:rsidRPr="0007339F">
        <w:rPr>
          <w:rFonts w:ascii="Arial" w:hAnsi="Arial" w:cstheme="minorBidi"/>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22"/>
        <w:gridCol w:w="3918"/>
        <w:gridCol w:w="2893"/>
        <w:gridCol w:w="4376"/>
        <w:gridCol w:w="2209"/>
      </w:tblGrid>
      <w:tr w:rsidR="00FA26E0" w:rsidRPr="008B5DC8" w:rsidTr="0007339F">
        <w:tc>
          <w:tcPr>
            <w:tcW w:w="722"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rsidR="00FA26E0" w:rsidRPr="0007339F" w:rsidRDefault="00FA26E0" w:rsidP="0007339F">
            <w:pPr>
              <w:pStyle w:val="TableHeader"/>
              <w:framePr w:hSpace="0" w:wrap="auto" w:vAnchor="margin" w:hAnchor="text" w:yAlign="inline"/>
            </w:pPr>
            <w:r w:rsidRPr="0007339F">
              <w:t>#</w:t>
            </w:r>
          </w:p>
        </w:tc>
        <w:tc>
          <w:tcPr>
            <w:tcW w:w="3918"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rsidR="00FA26E0" w:rsidRPr="0007339F" w:rsidRDefault="00FA26E0" w:rsidP="0007339F">
            <w:pPr>
              <w:pStyle w:val="TableHeader"/>
              <w:framePr w:hSpace="0" w:wrap="auto" w:vAnchor="margin" w:hAnchor="text" w:yAlign="inline"/>
            </w:pPr>
            <w:r w:rsidRPr="0007339F">
              <w:t>Criterion</w:t>
            </w:r>
          </w:p>
        </w:tc>
        <w:tc>
          <w:tcPr>
            <w:tcW w:w="2893"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rsidR="00FA26E0" w:rsidRPr="0007339F" w:rsidRDefault="00FA26E0" w:rsidP="0007339F">
            <w:pPr>
              <w:pStyle w:val="TableHeader"/>
              <w:framePr w:hSpace="0" w:wrap="auto" w:vAnchor="margin" w:hAnchor="text" w:yAlign="inline"/>
            </w:pPr>
            <w:r w:rsidRPr="0007339F">
              <w:t>Rationale</w:t>
            </w:r>
          </w:p>
        </w:tc>
        <w:tc>
          <w:tcPr>
            <w:tcW w:w="4376"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rsidR="00FA26E0" w:rsidRPr="0007339F" w:rsidRDefault="00FA26E0" w:rsidP="0007339F">
            <w:pPr>
              <w:pStyle w:val="TableHeader"/>
              <w:framePr w:hSpace="0" w:wrap="auto" w:vAnchor="margin" w:hAnchor="text" w:yAlign="inline"/>
            </w:pPr>
            <w:r w:rsidRPr="0007339F">
              <w:t>Evidence required (in Nov/Dec application)</w:t>
            </w:r>
          </w:p>
        </w:tc>
        <w:tc>
          <w:tcPr>
            <w:tcW w:w="2209"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rsidR="00FA26E0" w:rsidRPr="0007339F" w:rsidRDefault="00FA26E0" w:rsidP="0007339F">
            <w:pPr>
              <w:pStyle w:val="TableHeader"/>
              <w:framePr w:hSpace="0" w:wrap="auto" w:vAnchor="margin" w:hAnchor="text" w:yAlign="inline"/>
            </w:pPr>
            <w:r w:rsidRPr="0007339F">
              <w:t>Scoring</w:t>
            </w:r>
          </w:p>
        </w:tc>
      </w:tr>
      <w:tr w:rsidR="00FA26E0" w:rsidRPr="008B5DC8" w:rsidTr="00CD2AC0">
        <w:tc>
          <w:tcPr>
            <w:tcW w:w="7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A26E0" w:rsidRPr="0007339F" w:rsidRDefault="00FA26E0" w:rsidP="00CD2AC0">
            <w:pPr>
              <w:pStyle w:val="NormalWeb"/>
              <w:spacing w:after="0"/>
              <w:rPr>
                <w:rFonts w:ascii="Arial" w:hAnsi="Arial" w:cstheme="minorBidi"/>
                <w:szCs w:val="22"/>
              </w:rPr>
            </w:pPr>
            <w:r w:rsidRPr="0007339F">
              <w:rPr>
                <w:rFonts w:ascii="Arial" w:hAnsi="Arial" w:cstheme="minorBidi"/>
                <w:szCs w:val="22"/>
              </w:rPr>
              <w:t>1</w:t>
            </w:r>
          </w:p>
        </w:tc>
        <w:tc>
          <w:tcPr>
            <w:tcW w:w="39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A26E0" w:rsidRPr="0007339F" w:rsidRDefault="00FA26E0" w:rsidP="00CD2AC0">
            <w:pPr>
              <w:pStyle w:val="NormalWeb"/>
              <w:spacing w:after="0"/>
              <w:rPr>
                <w:rFonts w:ascii="Arial" w:hAnsi="Arial" w:cstheme="minorBidi"/>
                <w:szCs w:val="22"/>
              </w:rPr>
            </w:pPr>
            <w:r w:rsidRPr="0007339F">
              <w:rPr>
                <w:rFonts w:ascii="Arial" w:hAnsi="Arial" w:cstheme="minorBidi"/>
                <w:szCs w:val="22"/>
              </w:rPr>
              <w:t>Applicant is a licensed domestic or non-domestic energy supplier in Great Britain, serving premises within the scope of the Smart Metering Implementation Programme.</w:t>
            </w:r>
          </w:p>
        </w:tc>
        <w:tc>
          <w:tcPr>
            <w:tcW w:w="28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A26E0" w:rsidRPr="0007339F" w:rsidRDefault="00FA26E0" w:rsidP="00CD2AC0">
            <w:pPr>
              <w:pStyle w:val="NormalWeb"/>
              <w:spacing w:after="0"/>
              <w:rPr>
                <w:rFonts w:ascii="Arial" w:hAnsi="Arial" w:cstheme="minorBidi"/>
                <w:szCs w:val="22"/>
              </w:rPr>
            </w:pPr>
            <w:r w:rsidRPr="0007339F">
              <w:rPr>
                <w:rFonts w:ascii="Arial" w:hAnsi="Arial" w:cstheme="minorBidi"/>
                <w:szCs w:val="22"/>
              </w:rPr>
              <w:t>Provisions apply to GB energy suppliers only</w:t>
            </w:r>
          </w:p>
        </w:tc>
        <w:tc>
          <w:tcPr>
            <w:tcW w:w="4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A26E0" w:rsidRPr="0007339F" w:rsidRDefault="00643D58" w:rsidP="00643D58">
            <w:pPr>
              <w:pStyle w:val="NormalWeb"/>
              <w:spacing w:after="0"/>
              <w:rPr>
                <w:rFonts w:ascii="Arial" w:hAnsi="Arial" w:cstheme="minorBidi"/>
                <w:szCs w:val="22"/>
              </w:rPr>
            </w:pPr>
            <w:r>
              <w:rPr>
                <w:rFonts w:ascii="Arial" w:hAnsi="Arial" w:cstheme="minorBidi"/>
                <w:szCs w:val="22"/>
              </w:rPr>
              <w:t>E</w:t>
            </w:r>
            <w:r w:rsidR="00265711">
              <w:rPr>
                <w:rFonts w:ascii="Arial" w:hAnsi="Arial" w:cstheme="minorBidi"/>
                <w:szCs w:val="22"/>
              </w:rPr>
              <w:t>nergy s</w:t>
            </w:r>
            <w:r w:rsidR="00A27660">
              <w:rPr>
                <w:rFonts w:ascii="Arial" w:hAnsi="Arial" w:cstheme="minorBidi"/>
                <w:szCs w:val="22"/>
              </w:rPr>
              <w:t xml:space="preserve">uppliers </w:t>
            </w:r>
            <w:r w:rsidR="00E027A3">
              <w:rPr>
                <w:rFonts w:ascii="Arial" w:hAnsi="Arial" w:cstheme="minorBidi"/>
                <w:szCs w:val="22"/>
              </w:rPr>
              <w:t>may</w:t>
            </w:r>
            <w:r w:rsidR="00A27660">
              <w:rPr>
                <w:rFonts w:ascii="Arial" w:hAnsi="Arial" w:cstheme="minorBidi"/>
                <w:szCs w:val="22"/>
              </w:rPr>
              <w:t xml:space="preserve"> self-certify that they </w:t>
            </w:r>
            <w:r w:rsidR="00E027A3">
              <w:rPr>
                <w:rFonts w:ascii="Arial" w:hAnsi="Arial" w:cstheme="minorBidi"/>
                <w:szCs w:val="22"/>
              </w:rPr>
              <w:t>meet this criterion.</w:t>
            </w:r>
          </w:p>
        </w:tc>
        <w:tc>
          <w:tcPr>
            <w:tcW w:w="22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A26E0" w:rsidRPr="0007339F" w:rsidRDefault="00FA26E0" w:rsidP="00CD2AC0">
            <w:pPr>
              <w:pStyle w:val="NormalWeb"/>
              <w:spacing w:after="0"/>
              <w:rPr>
                <w:rFonts w:ascii="Arial" w:hAnsi="Arial" w:cstheme="minorBidi"/>
                <w:szCs w:val="22"/>
              </w:rPr>
            </w:pPr>
            <w:r w:rsidRPr="00EF6B0D">
              <w:rPr>
                <w:rFonts w:ascii="Arial" w:hAnsi="Arial" w:cstheme="minorBidi"/>
                <w:b/>
                <w:szCs w:val="22"/>
              </w:rPr>
              <w:t>Yes</w:t>
            </w:r>
            <w:r w:rsidRPr="0007339F">
              <w:rPr>
                <w:rFonts w:ascii="Arial" w:hAnsi="Arial" w:cstheme="minorBidi"/>
                <w:szCs w:val="22"/>
              </w:rPr>
              <w:t xml:space="preserve"> - continue</w:t>
            </w:r>
          </w:p>
          <w:p w:rsidR="00FA26E0" w:rsidRPr="0007339F" w:rsidRDefault="00FA26E0" w:rsidP="00CD2AC0">
            <w:pPr>
              <w:pStyle w:val="NormalWeb"/>
              <w:spacing w:after="0"/>
              <w:rPr>
                <w:rFonts w:ascii="Arial" w:hAnsi="Arial" w:cstheme="minorBidi"/>
                <w:szCs w:val="22"/>
              </w:rPr>
            </w:pPr>
            <w:r w:rsidRPr="00EF6B0D">
              <w:rPr>
                <w:rFonts w:ascii="Arial" w:hAnsi="Arial" w:cstheme="minorBidi"/>
                <w:b/>
                <w:szCs w:val="22"/>
              </w:rPr>
              <w:t>No</w:t>
            </w:r>
            <w:r w:rsidRPr="0007339F">
              <w:rPr>
                <w:rFonts w:ascii="Arial" w:hAnsi="Arial" w:cstheme="minorBidi"/>
                <w:szCs w:val="22"/>
              </w:rPr>
              <w:t xml:space="preserve"> - reject</w:t>
            </w:r>
          </w:p>
        </w:tc>
      </w:tr>
      <w:tr w:rsidR="00FA26E0" w:rsidTr="00CD2AC0">
        <w:tc>
          <w:tcPr>
            <w:tcW w:w="7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A26E0" w:rsidRPr="0007339F" w:rsidRDefault="00FA26E0" w:rsidP="00CD2AC0">
            <w:pPr>
              <w:pStyle w:val="NormalWeb"/>
              <w:spacing w:after="0"/>
              <w:rPr>
                <w:rFonts w:ascii="Arial" w:hAnsi="Arial" w:cstheme="minorBidi"/>
                <w:szCs w:val="22"/>
              </w:rPr>
            </w:pPr>
            <w:r w:rsidRPr="0007339F">
              <w:rPr>
                <w:rFonts w:ascii="Arial" w:hAnsi="Arial" w:cstheme="minorBidi"/>
                <w:szCs w:val="22"/>
              </w:rPr>
              <w:t>2</w:t>
            </w:r>
          </w:p>
        </w:tc>
        <w:tc>
          <w:tcPr>
            <w:tcW w:w="39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A26E0" w:rsidRPr="0007339F" w:rsidRDefault="00FA26E0" w:rsidP="00A42C60">
            <w:pPr>
              <w:pStyle w:val="NormalWeb"/>
              <w:spacing w:after="0"/>
              <w:rPr>
                <w:rFonts w:ascii="Arial" w:hAnsi="Arial" w:cstheme="minorBidi"/>
                <w:szCs w:val="22"/>
              </w:rPr>
            </w:pPr>
            <w:r w:rsidRPr="0007339F">
              <w:rPr>
                <w:rFonts w:ascii="Arial" w:hAnsi="Arial" w:cstheme="minorBidi"/>
                <w:szCs w:val="22"/>
              </w:rPr>
              <w:t xml:space="preserve">Applicant is currently deploying </w:t>
            </w:r>
            <w:r w:rsidR="00297C12">
              <w:rPr>
                <w:rFonts w:ascii="Arial" w:hAnsi="Arial" w:cstheme="minorBidi"/>
                <w:szCs w:val="22"/>
              </w:rPr>
              <w:t xml:space="preserve">or </w:t>
            </w:r>
            <w:r w:rsidR="006F3C38">
              <w:rPr>
                <w:rFonts w:ascii="Arial" w:hAnsi="Arial" w:cstheme="minorBidi"/>
                <w:szCs w:val="22"/>
              </w:rPr>
              <w:t>planning</w:t>
            </w:r>
            <w:r w:rsidR="00297C12">
              <w:rPr>
                <w:rFonts w:ascii="Arial" w:hAnsi="Arial" w:cstheme="minorBidi"/>
                <w:szCs w:val="22"/>
              </w:rPr>
              <w:t xml:space="preserve"> to deploy </w:t>
            </w:r>
            <w:r w:rsidR="00F85F77">
              <w:rPr>
                <w:rFonts w:ascii="Arial" w:hAnsi="Arial" w:cstheme="minorBidi"/>
                <w:szCs w:val="22"/>
              </w:rPr>
              <w:t xml:space="preserve">before the SMETS1 end date </w:t>
            </w:r>
            <w:r w:rsidRPr="0007339F">
              <w:rPr>
                <w:rFonts w:ascii="Arial" w:hAnsi="Arial" w:cstheme="minorBidi"/>
                <w:szCs w:val="22"/>
              </w:rPr>
              <w:t>a significant quantity of SMETS1 compliant electricity and</w:t>
            </w:r>
            <w:r w:rsidR="006D41AC">
              <w:rPr>
                <w:rFonts w:ascii="Arial" w:hAnsi="Arial" w:cstheme="minorBidi"/>
                <w:szCs w:val="22"/>
              </w:rPr>
              <w:t>/or</w:t>
            </w:r>
            <w:r w:rsidRPr="0007339F">
              <w:rPr>
                <w:rFonts w:ascii="Arial" w:hAnsi="Arial" w:cstheme="minorBidi"/>
                <w:szCs w:val="22"/>
              </w:rPr>
              <w:t xml:space="preserve"> gas meters (in proportion to the number of customers it supplies) </w:t>
            </w:r>
          </w:p>
        </w:tc>
        <w:tc>
          <w:tcPr>
            <w:tcW w:w="28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A26E0" w:rsidRPr="0007339F" w:rsidRDefault="00FA26E0" w:rsidP="00365213">
            <w:pPr>
              <w:pStyle w:val="NormalWeb"/>
              <w:spacing w:after="0"/>
              <w:rPr>
                <w:rFonts w:ascii="Arial" w:hAnsi="Arial" w:cstheme="minorBidi"/>
                <w:szCs w:val="22"/>
              </w:rPr>
            </w:pPr>
            <w:r w:rsidRPr="0007339F">
              <w:rPr>
                <w:rFonts w:ascii="Arial" w:hAnsi="Arial" w:cstheme="minorBidi"/>
                <w:szCs w:val="22"/>
              </w:rPr>
              <w:t>Energy supplier must have a material operational and commercial</w:t>
            </w:r>
            <w:r w:rsidR="001D4CDF" w:rsidRPr="00F90912">
              <w:rPr>
                <w:rFonts w:ascii="Arial" w:hAnsi="Arial" w:cstheme="minorBidi"/>
                <w:vertAlign w:val="superscript"/>
              </w:rPr>
              <w:footnoteReference w:id="2"/>
            </w:r>
            <w:r w:rsidRPr="0007339F">
              <w:rPr>
                <w:rFonts w:ascii="Arial" w:hAnsi="Arial" w:cstheme="minorBidi"/>
                <w:szCs w:val="22"/>
              </w:rPr>
              <w:t xml:space="preserve"> challenge in conducting a transition at scale</w:t>
            </w:r>
            <w:r w:rsidR="00EC29CF" w:rsidRPr="0007339F">
              <w:rPr>
                <w:rFonts w:ascii="Arial" w:hAnsi="Arial" w:cstheme="minorBidi"/>
                <w:szCs w:val="22"/>
              </w:rPr>
              <w:t xml:space="preserve"> </w:t>
            </w:r>
          </w:p>
        </w:tc>
        <w:tc>
          <w:tcPr>
            <w:tcW w:w="4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C29CF" w:rsidRPr="0007339F" w:rsidRDefault="00A962BB" w:rsidP="00365213">
            <w:pPr>
              <w:pStyle w:val="NormalWeb"/>
              <w:spacing w:after="0"/>
              <w:rPr>
                <w:rFonts w:ascii="Arial" w:hAnsi="Arial" w:cstheme="minorBidi"/>
                <w:szCs w:val="22"/>
              </w:rPr>
            </w:pPr>
            <w:r>
              <w:rPr>
                <w:rFonts w:ascii="Arial" w:hAnsi="Arial" w:cstheme="minorBidi"/>
                <w:szCs w:val="22"/>
              </w:rPr>
              <w:t>If currently deploying</w:t>
            </w:r>
            <w:r w:rsidR="00A42C60">
              <w:rPr>
                <w:rFonts w:ascii="Arial" w:hAnsi="Arial" w:cstheme="minorBidi"/>
                <w:szCs w:val="22"/>
              </w:rPr>
              <w:t xml:space="preserve"> </w:t>
            </w:r>
            <w:r w:rsidR="00A42C60" w:rsidRPr="00A962BB">
              <w:rPr>
                <w:rFonts w:ascii="Arial" w:hAnsi="Arial" w:cstheme="minorBidi"/>
                <w:szCs w:val="22"/>
              </w:rPr>
              <w:t>–</w:t>
            </w:r>
            <w:r>
              <w:rPr>
                <w:rFonts w:ascii="Arial" w:hAnsi="Arial" w:cstheme="minorBidi"/>
                <w:szCs w:val="22"/>
              </w:rPr>
              <w:t xml:space="preserve"> t</w:t>
            </w:r>
            <w:r w:rsidR="00FA26E0" w:rsidRPr="0007339F">
              <w:rPr>
                <w:rFonts w:ascii="Arial" w:hAnsi="Arial" w:cstheme="minorBidi"/>
                <w:szCs w:val="22"/>
              </w:rPr>
              <w:t xml:space="preserve">he rate of electricity and gas smart meter deployment per month averaged across July, August, </w:t>
            </w:r>
            <w:r w:rsidR="002B1091">
              <w:rPr>
                <w:rFonts w:ascii="Arial" w:hAnsi="Arial" w:cstheme="minorBidi"/>
                <w:szCs w:val="22"/>
              </w:rPr>
              <w:t xml:space="preserve">and </w:t>
            </w:r>
            <w:r w:rsidR="00FA26E0" w:rsidRPr="0007339F">
              <w:rPr>
                <w:rFonts w:ascii="Arial" w:hAnsi="Arial" w:cstheme="minorBidi"/>
                <w:szCs w:val="22"/>
              </w:rPr>
              <w:t>September 2017</w:t>
            </w:r>
            <w:r w:rsidR="006F3C38">
              <w:rPr>
                <w:rFonts w:ascii="Arial" w:hAnsi="Arial" w:cstheme="minorBidi"/>
                <w:szCs w:val="22"/>
              </w:rPr>
              <w:t xml:space="preserve"> or forecast across April, May and June 2018</w:t>
            </w:r>
            <w:r w:rsidR="00FA26E0" w:rsidRPr="0007339F">
              <w:rPr>
                <w:rFonts w:ascii="Arial" w:hAnsi="Arial" w:cstheme="minorBidi"/>
                <w:szCs w:val="22"/>
              </w:rPr>
              <w:t xml:space="preserve"> exceeds a de minimis threshold of &gt;0.25% of energy supplier’s total mandated meter portfolio as </w:t>
            </w:r>
            <w:r w:rsidR="002B1091">
              <w:rPr>
                <w:rFonts w:ascii="Arial" w:hAnsi="Arial" w:cstheme="minorBidi"/>
                <w:szCs w:val="22"/>
              </w:rPr>
              <w:t>at</w:t>
            </w:r>
            <w:r w:rsidR="00FA26E0" w:rsidRPr="0007339F">
              <w:rPr>
                <w:rFonts w:ascii="Arial" w:hAnsi="Arial" w:cstheme="minorBidi"/>
                <w:szCs w:val="22"/>
              </w:rPr>
              <w:t xml:space="preserve"> the end of September 2017. </w:t>
            </w:r>
            <w:r w:rsidR="00CD3C71" w:rsidRPr="00F90912">
              <w:rPr>
                <w:rFonts w:ascii="Arial" w:hAnsi="Arial" w:cstheme="minorBidi"/>
                <w:vertAlign w:val="superscript"/>
              </w:rPr>
              <w:footnoteReference w:id="3"/>
            </w:r>
            <w:r w:rsidR="00FA26E0" w:rsidRPr="0007339F">
              <w:rPr>
                <w:rFonts w:ascii="Arial" w:hAnsi="Arial" w:cstheme="minorBidi"/>
                <w:szCs w:val="22"/>
              </w:rPr>
              <w:t xml:space="preserve"> </w:t>
            </w:r>
            <w:r w:rsidRPr="00A962BB">
              <w:rPr>
                <w:rFonts w:ascii="Arial" w:hAnsi="Arial" w:cstheme="minorBidi"/>
                <w:szCs w:val="22"/>
              </w:rPr>
              <w:t>If planning to deploy – the rate of electricity and gas smart meter deployment planned per month (to be credibly supported by the plan submitted for Part B Criterion 1) averaged across April, May and June 2018 exceeds a de minimis threshold of &gt;0.25% of energy supplier’s total mandated meter portfolio as at the end of September 2017</w:t>
            </w:r>
            <w:r w:rsidR="00A42C60">
              <w:rPr>
                <w:rFonts w:ascii="Arial" w:hAnsi="Arial" w:cstheme="minorBidi"/>
                <w:szCs w:val="22"/>
              </w:rPr>
              <w:t>.</w:t>
            </w:r>
            <w:r w:rsidRPr="00A962BB" w:rsidDel="006F3C38">
              <w:rPr>
                <w:rFonts w:ascii="Arial" w:hAnsi="Arial" w:cstheme="minorBidi"/>
                <w:szCs w:val="22"/>
                <w:highlight w:val="yellow"/>
              </w:rPr>
              <w:t xml:space="preserve"> </w:t>
            </w:r>
          </w:p>
        </w:tc>
        <w:tc>
          <w:tcPr>
            <w:tcW w:w="22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A26E0" w:rsidRPr="0007339F" w:rsidRDefault="00FA26E0" w:rsidP="00CD2AC0">
            <w:pPr>
              <w:pStyle w:val="NormalWeb"/>
              <w:spacing w:after="0"/>
              <w:rPr>
                <w:rFonts w:ascii="Arial" w:hAnsi="Arial" w:cstheme="minorBidi"/>
                <w:szCs w:val="22"/>
              </w:rPr>
            </w:pPr>
            <w:r w:rsidRPr="00854259">
              <w:rPr>
                <w:rFonts w:ascii="Arial" w:hAnsi="Arial" w:cstheme="minorBidi"/>
                <w:b/>
                <w:szCs w:val="22"/>
              </w:rPr>
              <w:t>Yes</w:t>
            </w:r>
            <w:r w:rsidRPr="0007339F">
              <w:rPr>
                <w:rFonts w:ascii="Arial" w:hAnsi="Arial" w:cstheme="minorBidi"/>
                <w:szCs w:val="22"/>
              </w:rPr>
              <w:t xml:space="preserve"> - continue</w:t>
            </w:r>
          </w:p>
          <w:p w:rsidR="00FA26E0" w:rsidRPr="0007339F" w:rsidRDefault="00FA26E0" w:rsidP="00CD2AC0">
            <w:pPr>
              <w:pStyle w:val="NormalWeb"/>
              <w:spacing w:after="0"/>
              <w:rPr>
                <w:rFonts w:ascii="Arial" w:hAnsi="Arial" w:cstheme="minorBidi"/>
                <w:szCs w:val="22"/>
              </w:rPr>
            </w:pPr>
            <w:r w:rsidRPr="00854259">
              <w:rPr>
                <w:rFonts w:ascii="Arial" w:hAnsi="Arial" w:cstheme="minorBidi"/>
                <w:b/>
                <w:szCs w:val="22"/>
              </w:rPr>
              <w:t>No</w:t>
            </w:r>
            <w:r w:rsidRPr="0007339F">
              <w:rPr>
                <w:rFonts w:ascii="Arial" w:hAnsi="Arial" w:cstheme="minorBidi"/>
                <w:szCs w:val="22"/>
              </w:rPr>
              <w:t xml:space="preserve"> - reject</w:t>
            </w:r>
            <w:r w:rsidRPr="0007339F">
              <w:rPr>
                <w:rFonts w:ascii="Arial" w:hAnsi="Arial" w:cstheme="minorBidi"/>
                <w:szCs w:val="22"/>
              </w:rPr>
              <w:br/>
            </w:r>
          </w:p>
        </w:tc>
      </w:tr>
      <w:tr w:rsidR="00FA26E0" w:rsidTr="00CD2AC0">
        <w:tc>
          <w:tcPr>
            <w:tcW w:w="7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A26E0" w:rsidRPr="0007339F" w:rsidRDefault="00FA26E0" w:rsidP="00CD2AC0">
            <w:pPr>
              <w:pStyle w:val="NormalWeb"/>
              <w:spacing w:after="0"/>
              <w:rPr>
                <w:rFonts w:ascii="Arial" w:hAnsi="Arial" w:cstheme="minorBidi"/>
                <w:szCs w:val="22"/>
              </w:rPr>
            </w:pPr>
            <w:r w:rsidRPr="0007339F">
              <w:rPr>
                <w:rFonts w:ascii="Arial" w:hAnsi="Arial" w:cstheme="minorBidi"/>
                <w:szCs w:val="22"/>
              </w:rPr>
              <w:t>3</w:t>
            </w:r>
          </w:p>
        </w:tc>
        <w:tc>
          <w:tcPr>
            <w:tcW w:w="39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A26E0" w:rsidRPr="0007339F" w:rsidRDefault="00FA26E0" w:rsidP="00CD2AC0">
            <w:pPr>
              <w:pStyle w:val="NormalWeb"/>
              <w:spacing w:after="0"/>
              <w:rPr>
                <w:rFonts w:ascii="Arial" w:hAnsi="Arial" w:cstheme="minorBidi"/>
                <w:szCs w:val="22"/>
              </w:rPr>
            </w:pPr>
            <w:r w:rsidRPr="0007339F">
              <w:rPr>
                <w:rFonts w:ascii="Arial" w:hAnsi="Arial" w:cstheme="minorBidi"/>
                <w:szCs w:val="22"/>
              </w:rPr>
              <w:t>Applicant is in a position to operate SMETS2 meters</w:t>
            </w:r>
          </w:p>
        </w:tc>
        <w:tc>
          <w:tcPr>
            <w:tcW w:w="28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A26E0" w:rsidRPr="0007339F" w:rsidRDefault="00FA26E0" w:rsidP="00CD2AC0">
            <w:pPr>
              <w:pStyle w:val="NormalWeb"/>
              <w:spacing w:after="0"/>
              <w:rPr>
                <w:rFonts w:ascii="Arial" w:hAnsi="Arial" w:cstheme="minorBidi"/>
                <w:szCs w:val="22"/>
              </w:rPr>
            </w:pPr>
            <w:r w:rsidRPr="0007339F">
              <w:rPr>
                <w:rFonts w:ascii="Arial" w:hAnsi="Arial" w:cstheme="minorBidi"/>
                <w:szCs w:val="22"/>
              </w:rPr>
              <w:t>Energy supplier has demonstrated the capab</w:t>
            </w:r>
            <w:r w:rsidR="00800550">
              <w:rPr>
                <w:rFonts w:ascii="Arial" w:hAnsi="Arial" w:cstheme="minorBidi"/>
                <w:szCs w:val="22"/>
              </w:rPr>
              <w:t>ilities needed to operate SMETS</w:t>
            </w:r>
            <w:r w:rsidRPr="0007339F">
              <w:rPr>
                <w:rFonts w:ascii="Arial" w:hAnsi="Arial" w:cstheme="minorBidi"/>
                <w:szCs w:val="22"/>
              </w:rPr>
              <w:t>2 meters enrolled in DCC</w:t>
            </w:r>
            <w:r w:rsidR="002B1091">
              <w:rPr>
                <w:rFonts w:ascii="Arial" w:hAnsi="Arial" w:cstheme="minorBidi"/>
                <w:szCs w:val="22"/>
              </w:rPr>
              <w:t>’s systems</w:t>
            </w:r>
          </w:p>
        </w:tc>
        <w:tc>
          <w:tcPr>
            <w:tcW w:w="4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A26E0" w:rsidRPr="0007339F" w:rsidRDefault="00FA26E0" w:rsidP="006F3C38">
            <w:pPr>
              <w:pStyle w:val="NormalWeb"/>
              <w:spacing w:after="0"/>
              <w:rPr>
                <w:rFonts w:ascii="Arial" w:hAnsi="Arial" w:cstheme="minorBidi"/>
                <w:szCs w:val="22"/>
              </w:rPr>
            </w:pPr>
            <w:r w:rsidRPr="0007339F">
              <w:rPr>
                <w:rFonts w:ascii="Arial" w:hAnsi="Arial" w:cstheme="minorBidi"/>
                <w:szCs w:val="22"/>
              </w:rPr>
              <w:t>At the point of application, applicant has confirmation from DCC/SECAS that the applicant is a DCC User in the User Role of Gas Supplier and/or Import Supplier (as relevant)</w:t>
            </w:r>
            <w:r w:rsidR="00995D16">
              <w:rPr>
                <w:rFonts w:ascii="Arial" w:hAnsi="Arial" w:cstheme="minorBidi"/>
                <w:szCs w:val="22"/>
              </w:rPr>
              <w:t>.</w:t>
            </w:r>
            <w:r w:rsidRPr="0007339F">
              <w:rPr>
                <w:rFonts w:ascii="Arial" w:hAnsi="Arial" w:cstheme="minorBidi"/>
                <w:szCs w:val="22"/>
              </w:rPr>
              <w:t xml:space="preserve"> </w:t>
            </w:r>
          </w:p>
        </w:tc>
        <w:tc>
          <w:tcPr>
            <w:tcW w:w="22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A26E0" w:rsidRPr="0007339F" w:rsidRDefault="00FA26E0" w:rsidP="00CD2AC0">
            <w:pPr>
              <w:pStyle w:val="NormalWeb"/>
              <w:spacing w:after="0"/>
              <w:rPr>
                <w:rFonts w:ascii="Arial" w:hAnsi="Arial" w:cstheme="minorBidi"/>
                <w:szCs w:val="22"/>
              </w:rPr>
            </w:pPr>
            <w:r w:rsidRPr="00854259">
              <w:rPr>
                <w:rFonts w:ascii="Arial" w:hAnsi="Arial" w:cstheme="minorBidi"/>
                <w:b/>
                <w:szCs w:val="22"/>
              </w:rPr>
              <w:t>Yes</w:t>
            </w:r>
            <w:r w:rsidRPr="0007339F">
              <w:rPr>
                <w:rFonts w:ascii="Arial" w:hAnsi="Arial" w:cstheme="minorBidi"/>
                <w:szCs w:val="22"/>
              </w:rPr>
              <w:t xml:space="preserve"> - continue</w:t>
            </w:r>
          </w:p>
          <w:p w:rsidR="00FA26E0" w:rsidRPr="0007339F" w:rsidRDefault="00FA26E0" w:rsidP="00CD2AC0">
            <w:pPr>
              <w:pStyle w:val="NormalWeb"/>
              <w:spacing w:after="0"/>
              <w:rPr>
                <w:rFonts w:ascii="Arial" w:hAnsi="Arial" w:cstheme="minorBidi"/>
                <w:szCs w:val="22"/>
              </w:rPr>
            </w:pPr>
            <w:r w:rsidRPr="00854259">
              <w:rPr>
                <w:rFonts w:ascii="Arial" w:hAnsi="Arial" w:cstheme="minorBidi"/>
                <w:b/>
                <w:szCs w:val="22"/>
              </w:rPr>
              <w:t>No</w:t>
            </w:r>
            <w:r w:rsidRPr="0007339F">
              <w:rPr>
                <w:rFonts w:ascii="Arial" w:hAnsi="Arial" w:cstheme="minorBidi"/>
                <w:szCs w:val="22"/>
              </w:rPr>
              <w:t xml:space="preserve"> - reject</w:t>
            </w:r>
          </w:p>
        </w:tc>
      </w:tr>
    </w:tbl>
    <w:p w:rsidR="00F52CAD" w:rsidRPr="0007339F" w:rsidRDefault="00FA26E0" w:rsidP="00FA26E0">
      <w:pPr>
        <w:pStyle w:val="NormalWeb"/>
        <w:spacing w:after="0"/>
        <w:rPr>
          <w:rFonts w:ascii="Arial" w:hAnsi="Arial" w:cstheme="minorBidi"/>
          <w:szCs w:val="22"/>
        </w:rPr>
      </w:pPr>
      <w:r w:rsidRPr="0007339F">
        <w:rPr>
          <w:rFonts w:ascii="Arial" w:hAnsi="Arial" w:cstheme="minorBidi"/>
          <w:szCs w:val="22"/>
        </w:rPr>
        <w:t> </w:t>
      </w:r>
    </w:p>
    <w:p w:rsidR="00FA26E0" w:rsidRPr="0007339F" w:rsidRDefault="00F4796E" w:rsidP="00011D40">
      <w:pPr>
        <w:numPr>
          <w:ilvl w:val="0"/>
          <w:numId w:val="14"/>
        </w:numPr>
        <w:spacing w:after="0" w:line="240" w:lineRule="auto"/>
        <w:ind w:left="426" w:hanging="426"/>
        <w:jc w:val="both"/>
      </w:pPr>
      <w:r>
        <w:t>If an applicant scores “yes” to all sections of Part A then they are eligible and can proceed to the approval criteria.  If they answer “no” to any section in Part A then their application is ineligible</w:t>
      </w:r>
      <w:r w:rsidR="002B1091">
        <w:t xml:space="preserve"> and will be rejected</w:t>
      </w:r>
      <w:r>
        <w:t xml:space="preserve">.  </w:t>
      </w:r>
    </w:p>
    <w:p w:rsidR="00F52CAD" w:rsidRPr="0007339F" w:rsidRDefault="00F52CAD" w:rsidP="00FA26E0">
      <w:pPr>
        <w:pStyle w:val="NormalWeb"/>
        <w:spacing w:after="0"/>
        <w:rPr>
          <w:rFonts w:ascii="Arial" w:hAnsi="Arial" w:cstheme="minorBidi"/>
          <w:szCs w:val="22"/>
        </w:rPr>
      </w:pPr>
    </w:p>
    <w:p w:rsidR="00FA26E0" w:rsidRPr="00487CCE" w:rsidRDefault="00FA26E0" w:rsidP="00F25E20">
      <w:pPr>
        <w:spacing w:after="0" w:line="240" w:lineRule="auto"/>
        <w:ind w:left="360"/>
        <w:jc w:val="both"/>
        <w:rPr>
          <w:b/>
          <w:u w:val="single"/>
        </w:rPr>
      </w:pPr>
      <w:r w:rsidRPr="00487CCE">
        <w:rPr>
          <w:b/>
          <w:u w:val="single"/>
        </w:rPr>
        <w:t>Part B: Approval criteria - should the eligible applicant be granted a derogation?</w:t>
      </w:r>
    </w:p>
    <w:p w:rsidR="00F25E20" w:rsidRPr="00F4796E" w:rsidRDefault="00F25E20" w:rsidP="00011D40">
      <w:pPr>
        <w:numPr>
          <w:ilvl w:val="0"/>
          <w:numId w:val="14"/>
        </w:numPr>
        <w:spacing w:after="0" w:line="240" w:lineRule="auto"/>
        <w:ind w:left="426" w:hanging="426"/>
        <w:jc w:val="both"/>
      </w:pPr>
      <w:r w:rsidRPr="00F4796E">
        <w:t xml:space="preserve">The table below sets out the </w:t>
      </w:r>
      <w:r>
        <w:t>second</w:t>
      </w:r>
      <w:r w:rsidRPr="00F4796E">
        <w:t xml:space="preserve"> part of the derogation application process.  </w:t>
      </w:r>
      <w:r w:rsidR="00A0419C">
        <w:t>A</w:t>
      </w:r>
      <w:r w:rsidRPr="00F4796E">
        <w:t xml:space="preserve"> pro forma response template with </w:t>
      </w:r>
      <w:r>
        <w:t>word limits for each</w:t>
      </w:r>
      <w:r w:rsidRPr="00F4796E">
        <w:t xml:space="preserve"> section</w:t>
      </w:r>
      <w:r w:rsidR="00A0419C">
        <w:t xml:space="preserve"> is provided in </w:t>
      </w:r>
      <w:r w:rsidR="00A0419C" w:rsidRPr="00487CCE">
        <w:t>Section 4</w:t>
      </w:r>
      <w:r w:rsidR="00A0419C">
        <w:t xml:space="preserve"> of this document</w:t>
      </w:r>
      <w:r w:rsidRPr="00F4796E">
        <w:t xml:space="preserve">.  </w:t>
      </w:r>
    </w:p>
    <w:p w:rsidR="00F52CAD" w:rsidRPr="0007339F" w:rsidRDefault="00FA26E0" w:rsidP="00FA26E0">
      <w:pPr>
        <w:pStyle w:val="NormalWeb"/>
        <w:spacing w:after="0"/>
        <w:rPr>
          <w:rFonts w:ascii="Arial" w:hAnsi="Arial" w:cstheme="minorBidi"/>
          <w:szCs w:val="22"/>
        </w:rPr>
      </w:pPr>
      <w:r w:rsidRPr="0007339F">
        <w:rPr>
          <w:rFonts w:ascii="Arial" w:hAnsi="Arial" w:cstheme="minorBidi"/>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04"/>
        <w:gridCol w:w="3899"/>
        <w:gridCol w:w="3132"/>
        <w:gridCol w:w="4149"/>
        <w:gridCol w:w="3080"/>
      </w:tblGrid>
      <w:tr w:rsidR="00FA26E0" w:rsidTr="00E711D7">
        <w:trPr>
          <w:tblHeader/>
        </w:trPr>
        <w:tc>
          <w:tcPr>
            <w:tcW w:w="704"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rsidR="00FA26E0" w:rsidRPr="00F25E20" w:rsidRDefault="00FA26E0" w:rsidP="00F25E20">
            <w:pPr>
              <w:pStyle w:val="TableHeader"/>
              <w:framePr w:hSpace="0" w:wrap="auto" w:vAnchor="margin" w:hAnchor="text" w:yAlign="inline"/>
            </w:pPr>
            <w:r w:rsidRPr="00F25E20">
              <w:t>#</w:t>
            </w:r>
          </w:p>
        </w:tc>
        <w:tc>
          <w:tcPr>
            <w:tcW w:w="3899"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rsidR="00FA26E0" w:rsidRPr="00F25E20" w:rsidRDefault="00FA26E0" w:rsidP="00F25E20">
            <w:pPr>
              <w:pStyle w:val="TableHeader"/>
              <w:framePr w:hSpace="0" w:wrap="auto" w:vAnchor="margin" w:hAnchor="text" w:yAlign="inline"/>
            </w:pPr>
            <w:r w:rsidRPr="00F25E20">
              <w:t>Criterion</w:t>
            </w:r>
          </w:p>
        </w:tc>
        <w:tc>
          <w:tcPr>
            <w:tcW w:w="3132"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rsidR="00FA26E0" w:rsidRPr="00F25E20" w:rsidRDefault="00FA26E0" w:rsidP="00F25E20">
            <w:pPr>
              <w:pStyle w:val="TableHeader"/>
              <w:framePr w:hSpace="0" w:wrap="auto" w:vAnchor="margin" w:hAnchor="text" w:yAlign="inline"/>
            </w:pPr>
            <w:r w:rsidRPr="00F25E20">
              <w:t>Rationale</w:t>
            </w:r>
          </w:p>
        </w:tc>
        <w:tc>
          <w:tcPr>
            <w:tcW w:w="4149"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rsidR="00FA26E0" w:rsidRPr="00F25E20" w:rsidRDefault="00FA26E0" w:rsidP="00F25E20">
            <w:pPr>
              <w:pStyle w:val="TableHeader"/>
              <w:framePr w:hSpace="0" w:wrap="auto" w:vAnchor="margin" w:hAnchor="text" w:yAlign="inline"/>
            </w:pPr>
            <w:r w:rsidRPr="00F25E20">
              <w:t>Evidence required (in Nov/Dec application)</w:t>
            </w:r>
          </w:p>
        </w:tc>
        <w:tc>
          <w:tcPr>
            <w:tcW w:w="3080" w:type="dxa"/>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rsidR="00FA26E0" w:rsidRPr="00F25E20" w:rsidRDefault="00FA26E0" w:rsidP="00F25E20">
            <w:pPr>
              <w:pStyle w:val="TableHeader"/>
              <w:framePr w:hSpace="0" w:wrap="auto" w:vAnchor="margin" w:hAnchor="text" w:yAlign="inline"/>
            </w:pPr>
            <w:r w:rsidRPr="00F25E20">
              <w:t>Scoring</w:t>
            </w:r>
          </w:p>
        </w:tc>
      </w:tr>
      <w:tr w:rsidR="00FA26E0" w:rsidTr="00E711D7">
        <w:tc>
          <w:tcPr>
            <w:tcW w:w="7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A26E0" w:rsidRPr="0007339F" w:rsidRDefault="00FA26E0" w:rsidP="00CD2AC0">
            <w:pPr>
              <w:pStyle w:val="NormalWeb"/>
              <w:spacing w:after="0"/>
              <w:rPr>
                <w:rFonts w:ascii="Arial" w:hAnsi="Arial" w:cstheme="minorBidi"/>
                <w:szCs w:val="22"/>
              </w:rPr>
            </w:pPr>
            <w:r w:rsidRPr="0007339F">
              <w:rPr>
                <w:rFonts w:ascii="Arial" w:hAnsi="Arial" w:cstheme="minorBidi"/>
                <w:szCs w:val="22"/>
              </w:rPr>
              <w:t>1</w:t>
            </w:r>
          </w:p>
        </w:tc>
        <w:tc>
          <w:tcPr>
            <w:tcW w:w="38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A26E0" w:rsidRPr="0007339F" w:rsidRDefault="00FA26E0" w:rsidP="00CD2AC0">
            <w:pPr>
              <w:pStyle w:val="NormalWeb"/>
              <w:spacing w:after="0"/>
              <w:rPr>
                <w:rFonts w:ascii="Arial" w:hAnsi="Arial" w:cstheme="minorBidi"/>
                <w:szCs w:val="22"/>
              </w:rPr>
            </w:pPr>
            <w:r w:rsidRPr="0007339F">
              <w:rPr>
                <w:rFonts w:ascii="Arial" w:hAnsi="Arial" w:cstheme="minorBidi"/>
                <w:szCs w:val="22"/>
              </w:rPr>
              <w:t>The eligible applicant has demonstrated a clear plan to complete an effective transition from SMETS1 to SMETS2 by 13 July 2018</w:t>
            </w:r>
          </w:p>
        </w:tc>
        <w:tc>
          <w:tcPr>
            <w:tcW w:w="31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A26E0" w:rsidRPr="0007339F" w:rsidRDefault="00FA26E0" w:rsidP="00CD2AC0">
            <w:pPr>
              <w:pStyle w:val="NormalWeb"/>
              <w:spacing w:after="0"/>
              <w:rPr>
                <w:rFonts w:ascii="Arial" w:hAnsi="Arial" w:cstheme="minorBidi"/>
                <w:szCs w:val="22"/>
              </w:rPr>
            </w:pPr>
            <w:r w:rsidRPr="0007339F">
              <w:rPr>
                <w:rFonts w:ascii="Arial" w:hAnsi="Arial" w:cstheme="minorBidi"/>
                <w:szCs w:val="22"/>
              </w:rPr>
              <w:t>Derogation is designed to mitigate (either wholly or partially) the residual risk of a well-planned transition; rather than to make a transition feasible where it was not previously possible</w:t>
            </w:r>
          </w:p>
        </w:tc>
        <w:tc>
          <w:tcPr>
            <w:tcW w:w="41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A26E0" w:rsidRPr="0007339F" w:rsidRDefault="00FA26E0" w:rsidP="00CD2AC0">
            <w:pPr>
              <w:pStyle w:val="NormalWeb"/>
              <w:spacing w:after="0"/>
              <w:rPr>
                <w:rFonts w:ascii="Arial" w:hAnsi="Arial" w:cstheme="minorBidi"/>
                <w:szCs w:val="22"/>
              </w:rPr>
            </w:pPr>
            <w:r w:rsidRPr="0007339F">
              <w:rPr>
                <w:rFonts w:ascii="Arial" w:hAnsi="Arial" w:cstheme="minorBidi"/>
                <w:szCs w:val="22"/>
              </w:rPr>
              <w:t>The applicant to provide evidence of a well-planned and resourced transition which will complete the cutover from SMETS1 to SMETS2 by 13 July 2018, via completion of Annex B pro forma [2500 words maximum]</w:t>
            </w:r>
          </w:p>
        </w:tc>
        <w:tc>
          <w:tcPr>
            <w:tcW w:w="30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A26E0" w:rsidRPr="0007339F" w:rsidRDefault="00FA26E0" w:rsidP="00CD2AC0">
            <w:pPr>
              <w:pStyle w:val="NormalWeb"/>
              <w:spacing w:after="0"/>
              <w:rPr>
                <w:rFonts w:ascii="Arial" w:hAnsi="Arial" w:cstheme="minorBidi"/>
                <w:szCs w:val="22"/>
              </w:rPr>
            </w:pPr>
            <w:r w:rsidRPr="00854259">
              <w:rPr>
                <w:rFonts w:ascii="Arial" w:hAnsi="Arial" w:cstheme="minorBidi"/>
                <w:b/>
                <w:szCs w:val="22"/>
              </w:rPr>
              <w:t>Pass</w:t>
            </w:r>
            <w:r w:rsidR="00F25E20">
              <w:rPr>
                <w:rFonts w:ascii="Arial" w:hAnsi="Arial" w:cstheme="minorBidi"/>
                <w:szCs w:val="22"/>
              </w:rPr>
              <w:t xml:space="preserve">, </w:t>
            </w:r>
            <w:r w:rsidRPr="0007339F">
              <w:rPr>
                <w:rFonts w:ascii="Arial" w:hAnsi="Arial" w:cstheme="minorBidi"/>
                <w:szCs w:val="22"/>
              </w:rPr>
              <w:t>if evidence of a clear plan to achieve a successful transition</w:t>
            </w:r>
          </w:p>
          <w:p w:rsidR="00FA26E0" w:rsidRPr="0007339F" w:rsidRDefault="00FA26E0" w:rsidP="00F25E20">
            <w:pPr>
              <w:pStyle w:val="NormalWeb"/>
              <w:spacing w:after="0"/>
              <w:rPr>
                <w:rFonts w:ascii="Arial" w:hAnsi="Arial" w:cstheme="minorBidi"/>
                <w:szCs w:val="22"/>
              </w:rPr>
            </w:pPr>
            <w:r w:rsidRPr="0007339F">
              <w:rPr>
                <w:rFonts w:ascii="Arial" w:hAnsi="Arial" w:cstheme="minorBidi"/>
                <w:szCs w:val="22"/>
              </w:rPr>
              <w:br/>
              <w:t xml:space="preserve">Or </w:t>
            </w:r>
            <w:r w:rsidR="00F25E20" w:rsidRPr="00854259">
              <w:rPr>
                <w:rFonts w:ascii="Arial" w:hAnsi="Arial" w:cstheme="minorBidi"/>
                <w:b/>
                <w:szCs w:val="22"/>
              </w:rPr>
              <w:t>f</w:t>
            </w:r>
            <w:r w:rsidRPr="00854259">
              <w:rPr>
                <w:rFonts w:ascii="Arial" w:hAnsi="Arial" w:cstheme="minorBidi"/>
                <w:b/>
                <w:szCs w:val="22"/>
              </w:rPr>
              <w:t>ail</w:t>
            </w:r>
            <w:r w:rsidRPr="0007339F">
              <w:rPr>
                <w:rFonts w:ascii="Arial" w:hAnsi="Arial" w:cstheme="minorBidi"/>
                <w:szCs w:val="22"/>
              </w:rPr>
              <w:t xml:space="preserve"> otherwise</w:t>
            </w:r>
          </w:p>
        </w:tc>
      </w:tr>
      <w:tr w:rsidR="00FA26E0" w:rsidTr="00E711D7">
        <w:tc>
          <w:tcPr>
            <w:tcW w:w="7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A26E0" w:rsidRPr="0007339F" w:rsidRDefault="00FA26E0" w:rsidP="00CD2AC0">
            <w:pPr>
              <w:pStyle w:val="NormalWeb"/>
              <w:spacing w:after="0"/>
              <w:rPr>
                <w:rFonts w:ascii="Arial" w:hAnsi="Arial" w:cstheme="minorBidi"/>
                <w:szCs w:val="22"/>
              </w:rPr>
            </w:pPr>
            <w:r w:rsidRPr="0007339F">
              <w:rPr>
                <w:rFonts w:ascii="Arial" w:hAnsi="Arial" w:cstheme="minorBidi"/>
                <w:szCs w:val="22"/>
              </w:rPr>
              <w:t>2</w:t>
            </w:r>
          </w:p>
        </w:tc>
        <w:tc>
          <w:tcPr>
            <w:tcW w:w="38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A26E0" w:rsidRPr="0007339F" w:rsidRDefault="00FA26E0" w:rsidP="00FB1A98">
            <w:pPr>
              <w:pStyle w:val="NormalWeb"/>
              <w:spacing w:after="0"/>
              <w:rPr>
                <w:rFonts w:ascii="Arial" w:hAnsi="Arial" w:cstheme="minorBidi"/>
                <w:szCs w:val="22"/>
              </w:rPr>
            </w:pPr>
            <w:r w:rsidRPr="0007339F">
              <w:rPr>
                <w:rFonts w:ascii="Arial" w:hAnsi="Arial" w:cstheme="minorBidi"/>
                <w:szCs w:val="22"/>
              </w:rPr>
              <w:t>Eligible applicant has taken reasonable steps to mitigate the operational and commercial impacts of transitioning from SMETS1 to SMETS2 electricity and gas meters</w:t>
            </w:r>
          </w:p>
        </w:tc>
        <w:tc>
          <w:tcPr>
            <w:tcW w:w="31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A26E0" w:rsidRPr="0007339F" w:rsidRDefault="00FA26E0" w:rsidP="00FB1A98">
            <w:pPr>
              <w:pStyle w:val="NormalWeb"/>
              <w:spacing w:after="0"/>
              <w:rPr>
                <w:rFonts w:ascii="Arial" w:hAnsi="Arial" w:cstheme="minorBidi"/>
                <w:szCs w:val="22"/>
              </w:rPr>
            </w:pPr>
            <w:r w:rsidRPr="0007339F">
              <w:rPr>
                <w:rFonts w:ascii="Arial" w:hAnsi="Arial" w:cstheme="minorBidi"/>
                <w:szCs w:val="22"/>
              </w:rPr>
              <w:t xml:space="preserve">The derogation is designed to assist with the residual risks that remain despite the reasonable efforts of the applicant to mitigate </w:t>
            </w:r>
            <w:r w:rsidR="00FB1A98">
              <w:rPr>
                <w:rFonts w:ascii="Arial" w:hAnsi="Arial" w:cstheme="minorBidi"/>
                <w:szCs w:val="22"/>
              </w:rPr>
              <w:t>as much risk as possible</w:t>
            </w:r>
            <w:r w:rsidR="00D2107F">
              <w:rPr>
                <w:rFonts w:ascii="Arial" w:hAnsi="Arial" w:cstheme="minorBidi"/>
                <w:szCs w:val="22"/>
              </w:rPr>
              <w:t>.</w:t>
            </w:r>
          </w:p>
        </w:tc>
        <w:tc>
          <w:tcPr>
            <w:tcW w:w="41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A26E0" w:rsidRPr="0007339F" w:rsidRDefault="00FA26E0" w:rsidP="00D2107F">
            <w:pPr>
              <w:pStyle w:val="NormalWeb"/>
              <w:spacing w:after="0"/>
              <w:rPr>
                <w:rFonts w:ascii="Arial" w:hAnsi="Arial" w:cstheme="minorBidi"/>
                <w:szCs w:val="22"/>
              </w:rPr>
            </w:pPr>
            <w:r w:rsidRPr="0007339F">
              <w:rPr>
                <w:rFonts w:ascii="Arial" w:hAnsi="Arial" w:cstheme="minorBidi"/>
                <w:szCs w:val="22"/>
              </w:rPr>
              <w:t>Explanation of steps taken to mitigate the operational risks of transition</w:t>
            </w:r>
            <w:r w:rsidR="00E711D7">
              <w:rPr>
                <w:rFonts w:ascii="Arial" w:hAnsi="Arial" w:cstheme="minorBidi"/>
                <w:szCs w:val="22"/>
              </w:rPr>
              <w:t xml:space="preserve"> </w:t>
            </w:r>
            <w:r w:rsidRPr="0007339F">
              <w:rPr>
                <w:rFonts w:ascii="Arial" w:hAnsi="Arial" w:cstheme="minorBidi"/>
                <w:szCs w:val="22"/>
              </w:rPr>
              <w:t>[500 words]</w:t>
            </w:r>
            <w:r w:rsidRPr="0007339F">
              <w:rPr>
                <w:rFonts w:ascii="Arial" w:hAnsi="Arial" w:cstheme="minorBidi"/>
                <w:szCs w:val="22"/>
              </w:rPr>
              <w:br/>
            </w:r>
            <w:r w:rsidRPr="0007339F">
              <w:rPr>
                <w:rFonts w:ascii="Arial" w:hAnsi="Arial" w:cstheme="minorBidi"/>
                <w:szCs w:val="22"/>
              </w:rPr>
              <w:br/>
              <w:t>Explanation of steps taken to mitigate the commercial risks of transition</w:t>
            </w:r>
            <w:r w:rsidR="00E711D7">
              <w:rPr>
                <w:rFonts w:ascii="Arial" w:hAnsi="Arial" w:cstheme="minorBidi"/>
                <w:szCs w:val="22"/>
              </w:rPr>
              <w:t xml:space="preserve"> </w:t>
            </w:r>
            <w:r w:rsidRPr="0007339F">
              <w:rPr>
                <w:rFonts w:ascii="Arial" w:hAnsi="Arial" w:cstheme="minorBidi"/>
                <w:szCs w:val="22"/>
              </w:rPr>
              <w:t>[500 words]</w:t>
            </w:r>
          </w:p>
        </w:tc>
        <w:tc>
          <w:tcPr>
            <w:tcW w:w="30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A26E0" w:rsidRPr="0007339F" w:rsidRDefault="00FA26E0" w:rsidP="00CD2AC0">
            <w:pPr>
              <w:pStyle w:val="NormalWeb"/>
              <w:spacing w:after="0"/>
              <w:rPr>
                <w:rFonts w:ascii="Arial" w:hAnsi="Arial" w:cstheme="minorBidi"/>
                <w:szCs w:val="22"/>
              </w:rPr>
            </w:pPr>
            <w:r w:rsidRPr="00854259">
              <w:rPr>
                <w:rFonts w:ascii="Arial" w:hAnsi="Arial" w:cstheme="minorBidi"/>
                <w:b/>
                <w:szCs w:val="22"/>
              </w:rPr>
              <w:t>Pass</w:t>
            </w:r>
            <w:r w:rsidR="00F25E20">
              <w:rPr>
                <w:rFonts w:ascii="Arial" w:hAnsi="Arial" w:cstheme="minorBidi"/>
                <w:szCs w:val="22"/>
              </w:rPr>
              <w:t xml:space="preserve">, </w:t>
            </w:r>
            <w:r w:rsidRPr="0007339F">
              <w:rPr>
                <w:rFonts w:ascii="Arial" w:hAnsi="Arial" w:cstheme="minorBidi"/>
                <w:szCs w:val="22"/>
              </w:rPr>
              <w:t>if evidence shows appropriate actions to mitigate operational and/or commercial impact of transition</w:t>
            </w:r>
          </w:p>
          <w:p w:rsidR="00FA26E0" w:rsidRPr="0007339F" w:rsidRDefault="00FA26E0" w:rsidP="00CD2AC0">
            <w:pPr>
              <w:pStyle w:val="NormalWeb"/>
              <w:spacing w:after="0"/>
              <w:rPr>
                <w:rFonts w:ascii="Arial" w:hAnsi="Arial" w:cstheme="minorBidi"/>
                <w:szCs w:val="22"/>
              </w:rPr>
            </w:pPr>
            <w:r w:rsidRPr="0007339F">
              <w:rPr>
                <w:rFonts w:ascii="Arial" w:hAnsi="Arial" w:cstheme="minorBidi"/>
                <w:szCs w:val="22"/>
              </w:rPr>
              <w:t> </w:t>
            </w:r>
          </w:p>
          <w:p w:rsidR="00FA26E0" w:rsidRPr="0007339F" w:rsidRDefault="00FA26E0" w:rsidP="00F25E20">
            <w:pPr>
              <w:pStyle w:val="NormalWeb"/>
              <w:spacing w:after="0"/>
              <w:rPr>
                <w:rFonts w:ascii="Arial" w:hAnsi="Arial" w:cstheme="minorBidi"/>
                <w:szCs w:val="22"/>
              </w:rPr>
            </w:pPr>
            <w:r w:rsidRPr="0007339F">
              <w:rPr>
                <w:rFonts w:ascii="Arial" w:hAnsi="Arial" w:cstheme="minorBidi"/>
                <w:szCs w:val="22"/>
              </w:rPr>
              <w:t xml:space="preserve">Or </w:t>
            </w:r>
            <w:r w:rsidR="00F25E20" w:rsidRPr="00854259">
              <w:rPr>
                <w:rFonts w:ascii="Arial" w:hAnsi="Arial" w:cstheme="minorBidi"/>
                <w:b/>
                <w:szCs w:val="22"/>
              </w:rPr>
              <w:t>f</w:t>
            </w:r>
            <w:r w:rsidRPr="00854259">
              <w:rPr>
                <w:rFonts w:ascii="Arial" w:hAnsi="Arial" w:cstheme="minorBidi"/>
                <w:b/>
                <w:szCs w:val="22"/>
              </w:rPr>
              <w:t xml:space="preserve">ail </w:t>
            </w:r>
            <w:r w:rsidRPr="0007339F">
              <w:rPr>
                <w:rFonts w:ascii="Arial" w:hAnsi="Arial" w:cstheme="minorBidi"/>
                <w:szCs w:val="22"/>
              </w:rPr>
              <w:t>otherwise</w:t>
            </w:r>
          </w:p>
        </w:tc>
      </w:tr>
      <w:tr w:rsidR="00FA26E0" w:rsidTr="00E711D7">
        <w:tc>
          <w:tcPr>
            <w:tcW w:w="7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A26E0" w:rsidRPr="0007339F" w:rsidRDefault="00FA26E0" w:rsidP="00CD2AC0">
            <w:pPr>
              <w:pStyle w:val="NormalWeb"/>
              <w:spacing w:after="0"/>
              <w:rPr>
                <w:rFonts w:ascii="Arial" w:hAnsi="Arial" w:cstheme="minorBidi"/>
                <w:szCs w:val="22"/>
              </w:rPr>
            </w:pPr>
            <w:r w:rsidRPr="0007339F">
              <w:rPr>
                <w:rFonts w:ascii="Arial" w:hAnsi="Arial" w:cstheme="minorBidi"/>
                <w:szCs w:val="22"/>
              </w:rPr>
              <w:t>3</w:t>
            </w:r>
          </w:p>
        </w:tc>
        <w:tc>
          <w:tcPr>
            <w:tcW w:w="38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A26E0" w:rsidRPr="0007339F" w:rsidRDefault="00FA26E0" w:rsidP="0018701B">
            <w:pPr>
              <w:pStyle w:val="NormalWeb"/>
              <w:spacing w:after="0"/>
              <w:rPr>
                <w:rFonts w:ascii="Arial" w:hAnsi="Arial" w:cstheme="minorBidi"/>
                <w:szCs w:val="22"/>
              </w:rPr>
            </w:pPr>
            <w:r w:rsidRPr="0007339F">
              <w:rPr>
                <w:rFonts w:ascii="Arial" w:hAnsi="Arial" w:cstheme="minorBidi"/>
                <w:szCs w:val="22"/>
              </w:rPr>
              <w:t>Material residual risks remain despite reasonable efforts by the applicant to mitigate them that could be relieved in whole or part through a derogation</w:t>
            </w:r>
            <w:r w:rsidR="0018701B">
              <w:rPr>
                <w:rFonts w:ascii="Arial" w:hAnsi="Arial" w:cstheme="minorBidi"/>
                <w:szCs w:val="22"/>
              </w:rPr>
              <w:t>.</w:t>
            </w:r>
            <w:r w:rsidRPr="0007339F">
              <w:rPr>
                <w:rFonts w:ascii="Arial" w:hAnsi="Arial" w:cstheme="minorBidi"/>
                <w:szCs w:val="22"/>
              </w:rPr>
              <w:t xml:space="preserve"> </w:t>
            </w:r>
            <w:r w:rsidR="00AD071F">
              <w:rPr>
                <w:rFonts w:ascii="Arial" w:hAnsi="Arial" w:cstheme="minorBidi"/>
                <w:szCs w:val="22"/>
              </w:rPr>
              <w:t xml:space="preserve"> </w:t>
            </w:r>
          </w:p>
        </w:tc>
        <w:tc>
          <w:tcPr>
            <w:tcW w:w="31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A26E0" w:rsidRPr="0007339F" w:rsidRDefault="00FA26E0" w:rsidP="00CD2AC0">
            <w:pPr>
              <w:pStyle w:val="NormalWeb"/>
              <w:spacing w:after="0"/>
              <w:rPr>
                <w:rFonts w:ascii="Arial" w:hAnsi="Arial" w:cstheme="minorBidi"/>
                <w:szCs w:val="22"/>
              </w:rPr>
            </w:pPr>
            <w:r w:rsidRPr="0007339F">
              <w:rPr>
                <w:rFonts w:ascii="Arial" w:hAnsi="Arial" w:cstheme="minorBidi"/>
                <w:szCs w:val="22"/>
              </w:rPr>
              <w:t>Derogation will not be granted if the operational and commercial risks of transition can be reasonably mitigated otherwise.</w:t>
            </w:r>
          </w:p>
        </w:tc>
        <w:tc>
          <w:tcPr>
            <w:tcW w:w="41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A26E0" w:rsidRPr="0007339F" w:rsidRDefault="00FA26E0" w:rsidP="00CD2AC0">
            <w:pPr>
              <w:pStyle w:val="NormalWeb"/>
              <w:spacing w:after="0"/>
              <w:rPr>
                <w:rFonts w:ascii="Arial" w:hAnsi="Arial" w:cstheme="minorBidi"/>
                <w:szCs w:val="22"/>
              </w:rPr>
            </w:pPr>
            <w:r w:rsidRPr="0007339F">
              <w:rPr>
                <w:rFonts w:ascii="Arial" w:hAnsi="Arial" w:cstheme="minorBidi"/>
                <w:szCs w:val="22"/>
              </w:rPr>
              <w:t xml:space="preserve">Statement of the principal operational and commercial risks that remain despite mitigating actions and explanation of impact </w:t>
            </w:r>
            <w:r w:rsidR="00E711D7">
              <w:rPr>
                <w:rFonts w:ascii="Arial" w:hAnsi="Arial" w:cstheme="minorBidi"/>
                <w:szCs w:val="22"/>
              </w:rPr>
              <w:t xml:space="preserve"> </w:t>
            </w:r>
            <w:r w:rsidRPr="0007339F">
              <w:rPr>
                <w:rFonts w:ascii="Arial" w:hAnsi="Arial" w:cstheme="minorBidi"/>
                <w:szCs w:val="22"/>
              </w:rPr>
              <w:t>[500 words]</w:t>
            </w:r>
          </w:p>
          <w:p w:rsidR="00FA26E0" w:rsidRPr="0007339F" w:rsidRDefault="00FA26E0" w:rsidP="00CD2AC0">
            <w:pPr>
              <w:pStyle w:val="NormalWeb"/>
              <w:spacing w:after="0"/>
              <w:rPr>
                <w:rFonts w:ascii="Arial" w:hAnsi="Arial" w:cstheme="minorBidi"/>
                <w:szCs w:val="22"/>
              </w:rPr>
            </w:pPr>
            <w:r w:rsidRPr="0007339F">
              <w:rPr>
                <w:rFonts w:ascii="Arial" w:hAnsi="Arial" w:cstheme="minorBidi"/>
                <w:szCs w:val="22"/>
              </w:rPr>
              <w:t> </w:t>
            </w:r>
          </w:p>
          <w:p w:rsidR="00FA26E0" w:rsidRPr="0007339F" w:rsidRDefault="00FA26E0" w:rsidP="00CD2AC0">
            <w:pPr>
              <w:pStyle w:val="NormalWeb"/>
              <w:spacing w:after="0"/>
              <w:rPr>
                <w:rFonts w:ascii="Arial" w:hAnsi="Arial" w:cstheme="minorBidi"/>
                <w:szCs w:val="22"/>
              </w:rPr>
            </w:pPr>
            <w:r w:rsidRPr="0007339F">
              <w:rPr>
                <w:rFonts w:ascii="Arial" w:hAnsi="Arial" w:cstheme="minorBidi"/>
                <w:szCs w:val="22"/>
              </w:rPr>
              <w:t>Cause and quantum of the likely financial impact of the residual risks</w:t>
            </w:r>
          </w:p>
          <w:p w:rsidR="00FA26E0" w:rsidRPr="0007339F" w:rsidRDefault="00FA26E0" w:rsidP="00CD2AC0">
            <w:pPr>
              <w:pStyle w:val="NormalWeb"/>
              <w:spacing w:after="0"/>
              <w:rPr>
                <w:rFonts w:ascii="Arial" w:hAnsi="Arial" w:cstheme="minorBidi"/>
                <w:szCs w:val="22"/>
              </w:rPr>
            </w:pPr>
            <w:r w:rsidRPr="0007339F">
              <w:rPr>
                <w:rFonts w:ascii="Arial" w:hAnsi="Arial" w:cstheme="minorBidi"/>
                <w:szCs w:val="22"/>
              </w:rPr>
              <w:t>[250 words]</w:t>
            </w:r>
          </w:p>
          <w:p w:rsidR="00FA26E0" w:rsidRPr="0007339F" w:rsidRDefault="00FA26E0" w:rsidP="00CD2AC0">
            <w:pPr>
              <w:pStyle w:val="NormalWeb"/>
              <w:spacing w:after="0"/>
              <w:rPr>
                <w:rFonts w:ascii="Arial" w:hAnsi="Arial" w:cstheme="minorBidi"/>
                <w:szCs w:val="22"/>
              </w:rPr>
            </w:pPr>
            <w:r w:rsidRPr="0007339F">
              <w:rPr>
                <w:rFonts w:ascii="Arial" w:hAnsi="Arial" w:cstheme="minorBidi"/>
                <w:szCs w:val="22"/>
              </w:rPr>
              <w:t> </w:t>
            </w:r>
          </w:p>
          <w:p w:rsidR="00FA26E0" w:rsidRPr="0007339F" w:rsidRDefault="00FA26E0" w:rsidP="00E711D7">
            <w:pPr>
              <w:pStyle w:val="NormalWeb"/>
              <w:spacing w:after="0"/>
              <w:rPr>
                <w:rFonts w:ascii="Arial" w:hAnsi="Arial" w:cstheme="minorBidi"/>
                <w:szCs w:val="22"/>
              </w:rPr>
            </w:pPr>
            <w:r w:rsidRPr="0007339F">
              <w:rPr>
                <w:rFonts w:ascii="Arial" w:hAnsi="Arial" w:cstheme="minorBidi"/>
                <w:szCs w:val="22"/>
              </w:rPr>
              <w:t>Explanation of how the applicant would use the additional flexibility to reduce these residual risks</w:t>
            </w:r>
            <w:r w:rsidR="00E711D7">
              <w:rPr>
                <w:rFonts w:ascii="Arial" w:hAnsi="Arial" w:cstheme="minorBidi"/>
                <w:szCs w:val="22"/>
              </w:rPr>
              <w:t xml:space="preserve"> </w:t>
            </w:r>
            <w:r w:rsidRPr="0007339F">
              <w:rPr>
                <w:rFonts w:ascii="Arial" w:hAnsi="Arial" w:cstheme="minorBidi"/>
                <w:szCs w:val="22"/>
              </w:rPr>
              <w:t>[500 words]</w:t>
            </w:r>
          </w:p>
        </w:tc>
        <w:tc>
          <w:tcPr>
            <w:tcW w:w="30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A26E0" w:rsidRPr="0007339F" w:rsidRDefault="00FA26E0" w:rsidP="00EF6B0D">
            <w:pPr>
              <w:pStyle w:val="NormalWeb"/>
              <w:spacing w:after="0"/>
              <w:rPr>
                <w:rFonts w:ascii="Arial" w:hAnsi="Arial" w:cstheme="minorBidi"/>
                <w:szCs w:val="22"/>
              </w:rPr>
            </w:pPr>
            <w:r w:rsidRPr="00854259">
              <w:rPr>
                <w:rFonts w:ascii="Arial" w:hAnsi="Arial" w:cstheme="minorBidi"/>
                <w:b/>
                <w:szCs w:val="22"/>
              </w:rPr>
              <w:t>Pass</w:t>
            </w:r>
            <w:r w:rsidR="00F25E20">
              <w:rPr>
                <w:rFonts w:ascii="Arial" w:hAnsi="Arial" w:cstheme="minorBidi"/>
                <w:szCs w:val="22"/>
              </w:rPr>
              <w:t>,</w:t>
            </w:r>
            <w:r w:rsidRPr="0007339F">
              <w:rPr>
                <w:rFonts w:ascii="Arial" w:hAnsi="Arial" w:cstheme="minorBidi"/>
                <w:szCs w:val="22"/>
              </w:rPr>
              <w:t xml:space="preserve"> if significant residual risks remain</w:t>
            </w:r>
            <w:r w:rsidR="00FB1A98">
              <w:rPr>
                <w:rFonts w:ascii="Arial" w:hAnsi="Arial" w:cstheme="minorBidi"/>
                <w:szCs w:val="22"/>
              </w:rPr>
              <w:t xml:space="preserve"> that could be mitigated through a derogation</w:t>
            </w:r>
            <w:r w:rsidRPr="0007339F">
              <w:rPr>
                <w:rFonts w:ascii="Arial" w:hAnsi="Arial" w:cstheme="minorBidi"/>
                <w:szCs w:val="22"/>
              </w:rPr>
              <w:br/>
            </w:r>
            <w:r w:rsidRPr="0007339F">
              <w:rPr>
                <w:rFonts w:ascii="Arial" w:hAnsi="Arial" w:cstheme="minorBidi"/>
                <w:szCs w:val="22"/>
              </w:rPr>
              <w:br/>
              <w:t xml:space="preserve">Or </w:t>
            </w:r>
            <w:r w:rsidR="00EF6B0D" w:rsidRPr="00854259">
              <w:rPr>
                <w:rFonts w:ascii="Arial" w:hAnsi="Arial" w:cstheme="minorBidi"/>
                <w:b/>
                <w:szCs w:val="22"/>
              </w:rPr>
              <w:t>f</w:t>
            </w:r>
            <w:r w:rsidRPr="00854259">
              <w:rPr>
                <w:rFonts w:ascii="Arial" w:hAnsi="Arial" w:cstheme="minorBidi"/>
                <w:b/>
                <w:szCs w:val="22"/>
              </w:rPr>
              <w:t>ail</w:t>
            </w:r>
            <w:r w:rsidRPr="0007339F">
              <w:rPr>
                <w:rFonts w:ascii="Arial" w:hAnsi="Arial" w:cstheme="minorBidi"/>
                <w:szCs w:val="22"/>
              </w:rPr>
              <w:t xml:space="preserve"> otherwise</w:t>
            </w:r>
          </w:p>
        </w:tc>
      </w:tr>
      <w:tr w:rsidR="00FA26E0" w:rsidTr="00E711D7">
        <w:tc>
          <w:tcPr>
            <w:tcW w:w="7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A26E0" w:rsidRPr="0007339F" w:rsidRDefault="00FA26E0" w:rsidP="00CD2AC0">
            <w:pPr>
              <w:pStyle w:val="NormalWeb"/>
              <w:spacing w:after="0"/>
              <w:rPr>
                <w:rFonts w:ascii="Arial" w:hAnsi="Arial" w:cstheme="minorBidi"/>
                <w:szCs w:val="22"/>
              </w:rPr>
            </w:pPr>
            <w:r w:rsidRPr="0007339F">
              <w:rPr>
                <w:rFonts w:ascii="Arial" w:hAnsi="Arial" w:cstheme="minorBidi"/>
                <w:szCs w:val="22"/>
              </w:rPr>
              <w:t>4</w:t>
            </w:r>
          </w:p>
        </w:tc>
        <w:tc>
          <w:tcPr>
            <w:tcW w:w="38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A26E0" w:rsidRPr="0007339F" w:rsidRDefault="00FA26E0" w:rsidP="00FB1A98">
            <w:pPr>
              <w:pStyle w:val="NormalWeb"/>
              <w:spacing w:after="0"/>
              <w:rPr>
                <w:rFonts w:ascii="Arial" w:hAnsi="Arial" w:cstheme="minorBidi"/>
                <w:szCs w:val="22"/>
              </w:rPr>
            </w:pPr>
            <w:r w:rsidRPr="0007339F">
              <w:rPr>
                <w:rFonts w:ascii="Arial" w:hAnsi="Arial" w:cstheme="minorBidi"/>
                <w:szCs w:val="22"/>
              </w:rPr>
              <w:t>The derogation quantity requested is proportionate to the level of residual risk, within the quantity cap and will be deployed within 6 months of 13 July 2018.</w:t>
            </w:r>
          </w:p>
        </w:tc>
        <w:tc>
          <w:tcPr>
            <w:tcW w:w="31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A26E0" w:rsidRPr="0007339F" w:rsidRDefault="00FA26E0" w:rsidP="00CD2AC0">
            <w:pPr>
              <w:pStyle w:val="NormalWeb"/>
              <w:spacing w:after="0"/>
              <w:rPr>
                <w:rFonts w:ascii="Arial" w:hAnsi="Arial" w:cstheme="minorBidi"/>
                <w:szCs w:val="22"/>
              </w:rPr>
            </w:pPr>
            <w:r w:rsidRPr="0007339F">
              <w:rPr>
                <w:rFonts w:ascii="Arial" w:hAnsi="Arial" w:cstheme="minorBidi"/>
                <w:szCs w:val="22"/>
              </w:rPr>
              <w:t>This criteri</w:t>
            </w:r>
            <w:r w:rsidR="002B1091">
              <w:rPr>
                <w:rFonts w:ascii="Arial" w:hAnsi="Arial" w:cstheme="minorBidi"/>
                <w:szCs w:val="22"/>
              </w:rPr>
              <w:t>on</w:t>
            </w:r>
            <w:r w:rsidRPr="0007339F">
              <w:rPr>
                <w:rFonts w:ascii="Arial" w:hAnsi="Arial" w:cstheme="minorBidi"/>
                <w:szCs w:val="22"/>
              </w:rPr>
              <w:t xml:space="preserve"> is designed to </w:t>
            </w:r>
            <w:r w:rsidR="00F11A7D" w:rsidRPr="0007339F">
              <w:rPr>
                <w:rFonts w:ascii="Arial" w:hAnsi="Arial" w:cstheme="minorBidi"/>
                <w:szCs w:val="22"/>
              </w:rPr>
              <w:t>keep additional numbers</w:t>
            </w:r>
            <w:r w:rsidRPr="0007339F">
              <w:rPr>
                <w:rFonts w:ascii="Arial" w:hAnsi="Arial" w:cstheme="minorBidi"/>
                <w:szCs w:val="22"/>
              </w:rPr>
              <w:t xml:space="preserve"> of SMETS1 meters</w:t>
            </w:r>
            <w:r w:rsidR="00266EFB" w:rsidRPr="0007339F">
              <w:rPr>
                <w:rFonts w:ascii="Arial" w:hAnsi="Arial" w:cstheme="minorBidi"/>
                <w:szCs w:val="22"/>
              </w:rPr>
              <w:t xml:space="preserve"> within bounds</w:t>
            </w:r>
            <w:r w:rsidRPr="0007339F">
              <w:rPr>
                <w:rFonts w:ascii="Arial" w:hAnsi="Arial" w:cstheme="minorBidi"/>
                <w:szCs w:val="22"/>
              </w:rPr>
              <w:t xml:space="preserve">, </w:t>
            </w:r>
            <w:r w:rsidR="00266EFB" w:rsidRPr="0007339F">
              <w:rPr>
                <w:rFonts w:ascii="Arial" w:hAnsi="Arial" w:cstheme="minorBidi"/>
                <w:szCs w:val="22"/>
              </w:rPr>
              <w:t>consistent with</w:t>
            </w:r>
            <w:r w:rsidRPr="0007339F">
              <w:rPr>
                <w:rFonts w:ascii="Arial" w:hAnsi="Arial" w:cstheme="minorBidi"/>
                <w:szCs w:val="22"/>
              </w:rPr>
              <w:t xml:space="preserve"> the policy objective of transitioning to SMETS2 meters as soon as possible</w:t>
            </w:r>
            <w:r w:rsidR="00D2107F">
              <w:rPr>
                <w:rFonts w:ascii="Arial" w:hAnsi="Arial" w:cstheme="minorBidi"/>
                <w:szCs w:val="22"/>
              </w:rPr>
              <w:t>.</w:t>
            </w:r>
          </w:p>
          <w:p w:rsidR="00FA26E0" w:rsidRPr="0007339F" w:rsidRDefault="00FA26E0" w:rsidP="00CD2AC0">
            <w:pPr>
              <w:pStyle w:val="NormalWeb"/>
              <w:spacing w:after="0"/>
              <w:rPr>
                <w:rFonts w:ascii="Arial" w:hAnsi="Arial" w:cstheme="minorBidi"/>
                <w:szCs w:val="22"/>
              </w:rPr>
            </w:pPr>
            <w:r w:rsidRPr="0007339F">
              <w:rPr>
                <w:rFonts w:ascii="Arial" w:hAnsi="Arial" w:cstheme="minorBidi"/>
                <w:szCs w:val="22"/>
              </w:rPr>
              <w:t> </w:t>
            </w:r>
          </w:p>
          <w:p w:rsidR="00FA26E0" w:rsidRPr="0007339F" w:rsidRDefault="00FA26E0" w:rsidP="00007732">
            <w:pPr>
              <w:pStyle w:val="NormalWeb"/>
              <w:spacing w:after="0"/>
              <w:rPr>
                <w:rFonts w:ascii="Arial" w:hAnsi="Arial" w:cstheme="minorBidi"/>
                <w:szCs w:val="22"/>
              </w:rPr>
            </w:pPr>
            <w:r w:rsidRPr="0007339F">
              <w:rPr>
                <w:rFonts w:ascii="Arial" w:hAnsi="Arial" w:cstheme="minorBidi"/>
                <w:szCs w:val="22"/>
              </w:rPr>
              <w:t xml:space="preserve">Quantity cap </w:t>
            </w:r>
            <w:r w:rsidRPr="000F6B49">
              <w:rPr>
                <w:rFonts w:ascii="Arial" w:hAnsi="Arial" w:cstheme="minorBidi"/>
                <w:szCs w:val="22"/>
              </w:rPr>
              <w:t xml:space="preserve">is </w:t>
            </w:r>
            <w:r w:rsidR="006D41AC" w:rsidRPr="000F6B49">
              <w:rPr>
                <w:rFonts w:ascii="Arial" w:hAnsi="Arial" w:cstheme="minorBidi"/>
                <w:szCs w:val="22"/>
              </w:rPr>
              <w:t>8</w:t>
            </w:r>
            <w:r w:rsidRPr="000F6B49">
              <w:rPr>
                <w:rFonts w:ascii="Arial" w:hAnsi="Arial" w:cstheme="minorBidi"/>
                <w:szCs w:val="22"/>
              </w:rPr>
              <w:t>0% of 3</w:t>
            </w:r>
            <w:r w:rsidR="002B1091" w:rsidRPr="000F6B49">
              <w:rPr>
                <w:rFonts w:ascii="Arial" w:hAnsi="Arial" w:cstheme="minorBidi"/>
                <w:szCs w:val="22"/>
              </w:rPr>
              <w:t>-</w:t>
            </w:r>
            <w:r w:rsidRPr="000F6B49">
              <w:rPr>
                <w:rFonts w:ascii="Arial" w:hAnsi="Arial" w:cstheme="minorBidi"/>
                <w:szCs w:val="22"/>
              </w:rPr>
              <w:t xml:space="preserve">month </w:t>
            </w:r>
            <w:r w:rsidR="004F047F" w:rsidRPr="000F6B49">
              <w:rPr>
                <w:rFonts w:ascii="Arial" w:hAnsi="Arial" w:cstheme="minorBidi"/>
                <w:szCs w:val="22"/>
              </w:rPr>
              <w:t xml:space="preserve">smart meter </w:t>
            </w:r>
            <w:r w:rsidRPr="000F6B49">
              <w:rPr>
                <w:rFonts w:ascii="Arial" w:hAnsi="Arial" w:cstheme="minorBidi"/>
                <w:szCs w:val="22"/>
              </w:rPr>
              <w:t>deployment</w:t>
            </w:r>
            <w:r w:rsidR="00EF6B0D" w:rsidRPr="000F6B49">
              <w:rPr>
                <w:rFonts w:ascii="Arial" w:hAnsi="Arial" w:cstheme="minorBidi"/>
                <w:szCs w:val="22"/>
              </w:rPr>
              <w:t xml:space="preserve"> quantity</w:t>
            </w:r>
            <w:r w:rsidRPr="000F6B49">
              <w:rPr>
                <w:rFonts w:ascii="Arial" w:hAnsi="Arial" w:cstheme="minorBidi"/>
                <w:szCs w:val="22"/>
              </w:rPr>
              <w:t xml:space="preserve">  for July, August, </w:t>
            </w:r>
            <w:r w:rsidR="00F961CD" w:rsidRPr="000F6B49">
              <w:rPr>
                <w:rFonts w:ascii="Arial" w:hAnsi="Arial" w:cstheme="minorBidi"/>
                <w:szCs w:val="22"/>
              </w:rPr>
              <w:t xml:space="preserve">and </w:t>
            </w:r>
            <w:r w:rsidRPr="000F6B49">
              <w:rPr>
                <w:rFonts w:ascii="Arial" w:hAnsi="Arial" w:cstheme="minorBidi"/>
                <w:szCs w:val="22"/>
              </w:rPr>
              <w:t xml:space="preserve">September 2017, </w:t>
            </w:r>
            <w:r w:rsidR="00CB7F59" w:rsidRPr="000F6B49">
              <w:rPr>
                <w:rFonts w:ascii="Arial" w:hAnsi="Arial" w:cstheme="minorBidi"/>
                <w:szCs w:val="22"/>
              </w:rPr>
              <w:t>o</w:t>
            </w:r>
            <w:r w:rsidR="00EB54D9" w:rsidRPr="000F6B49">
              <w:rPr>
                <w:rFonts w:ascii="Arial" w:hAnsi="Arial" w:cstheme="minorBidi"/>
                <w:szCs w:val="22"/>
              </w:rPr>
              <w:t xml:space="preserve">r 40% </w:t>
            </w:r>
            <w:r w:rsidR="00982866" w:rsidRPr="000F6B49">
              <w:rPr>
                <w:rFonts w:ascii="Arial" w:hAnsi="Arial" w:cstheme="minorBidi"/>
                <w:szCs w:val="22"/>
              </w:rPr>
              <w:t xml:space="preserve">of 3-month forecast </w:t>
            </w:r>
            <w:r w:rsidR="004F047F" w:rsidRPr="000F6B49">
              <w:rPr>
                <w:rFonts w:ascii="Arial" w:hAnsi="Arial" w:cstheme="minorBidi"/>
                <w:szCs w:val="22"/>
              </w:rPr>
              <w:t xml:space="preserve">of smart meters </w:t>
            </w:r>
            <w:r w:rsidR="00982866" w:rsidRPr="000F6B49">
              <w:rPr>
                <w:rFonts w:ascii="Arial" w:hAnsi="Arial" w:cstheme="minorBidi"/>
                <w:szCs w:val="22"/>
              </w:rPr>
              <w:t xml:space="preserve"> deployment</w:t>
            </w:r>
            <w:r w:rsidR="00EB54D9" w:rsidRPr="000F6B49">
              <w:rPr>
                <w:rFonts w:ascii="Arial" w:hAnsi="Arial" w:cstheme="minorBidi"/>
                <w:szCs w:val="22"/>
              </w:rPr>
              <w:t xml:space="preserve"> quantity for</w:t>
            </w:r>
            <w:r w:rsidR="00982866" w:rsidRPr="000F6B49">
              <w:rPr>
                <w:rFonts w:ascii="Arial" w:hAnsi="Arial" w:cstheme="minorBidi"/>
                <w:szCs w:val="22"/>
              </w:rPr>
              <w:t xml:space="preserve"> April, May and June 2018</w:t>
            </w:r>
            <w:r w:rsidR="00007732" w:rsidRPr="000F6B49">
              <w:rPr>
                <w:rFonts w:ascii="Arial" w:hAnsi="Arial" w:cstheme="minorBidi"/>
                <w:szCs w:val="22"/>
              </w:rPr>
              <w:t xml:space="preserve"> deployed wit</w:t>
            </w:r>
            <w:r w:rsidR="00007732">
              <w:rPr>
                <w:rFonts w:ascii="Arial" w:hAnsi="Arial" w:cstheme="minorBidi"/>
                <w:szCs w:val="22"/>
              </w:rPr>
              <w:t xml:space="preserve">hin 6 months of 13 July 2018.  </w:t>
            </w:r>
            <w:r w:rsidR="00EB54D9">
              <w:rPr>
                <w:rFonts w:ascii="Arial" w:hAnsi="Arial" w:cstheme="minorBidi"/>
                <w:szCs w:val="22"/>
              </w:rPr>
              <w:t xml:space="preserve"> </w:t>
            </w:r>
            <w:r w:rsidRPr="0007339F">
              <w:rPr>
                <w:rFonts w:ascii="Arial" w:hAnsi="Arial" w:cstheme="minorBidi"/>
                <w:szCs w:val="22"/>
              </w:rPr>
              <w:t>This figure should take into account mitigating action taken.</w:t>
            </w:r>
          </w:p>
        </w:tc>
        <w:tc>
          <w:tcPr>
            <w:tcW w:w="41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80FE5" w:rsidRDefault="00B80FE5" w:rsidP="00CD2AC0">
            <w:pPr>
              <w:pStyle w:val="NormalWeb"/>
              <w:spacing w:after="0"/>
              <w:rPr>
                <w:rFonts w:ascii="Arial" w:hAnsi="Arial" w:cstheme="minorBidi"/>
                <w:szCs w:val="22"/>
              </w:rPr>
            </w:pPr>
            <w:r w:rsidRPr="00B80FE5">
              <w:rPr>
                <w:rFonts w:ascii="Arial" w:hAnsi="Arial" w:cstheme="minorBidi"/>
                <w:szCs w:val="22"/>
              </w:rPr>
              <w:t>Applicant to specify whether the quantity is referenced to actual smart meter installations in July, August and September 2017 or planned smart meter installations in April, May and June 2018.</w:t>
            </w:r>
          </w:p>
          <w:p w:rsidR="006D7F9C" w:rsidRDefault="006D7F9C" w:rsidP="00CD2AC0">
            <w:pPr>
              <w:pStyle w:val="NormalWeb"/>
              <w:spacing w:after="0"/>
              <w:rPr>
                <w:rFonts w:ascii="Arial" w:hAnsi="Arial" w:cstheme="minorBidi"/>
                <w:szCs w:val="22"/>
              </w:rPr>
            </w:pPr>
          </w:p>
          <w:p w:rsidR="00FA26E0" w:rsidRPr="0007339F" w:rsidRDefault="00FA26E0" w:rsidP="00CD2AC0">
            <w:pPr>
              <w:pStyle w:val="NormalWeb"/>
              <w:spacing w:after="0"/>
              <w:rPr>
                <w:rFonts w:ascii="Arial" w:hAnsi="Arial" w:cstheme="minorBidi"/>
                <w:szCs w:val="22"/>
              </w:rPr>
            </w:pPr>
            <w:r w:rsidRPr="0007339F">
              <w:rPr>
                <w:rFonts w:ascii="Arial" w:hAnsi="Arial" w:cstheme="minorBidi"/>
                <w:szCs w:val="22"/>
              </w:rPr>
              <w:t xml:space="preserve">Quantity of SMETS1 </w:t>
            </w:r>
            <w:r w:rsidR="00982866">
              <w:rPr>
                <w:rFonts w:ascii="Arial" w:hAnsi="Arial" w:cstheme="minorBidi"/>
                <w:szCs w:val="22"/>
              </w:rPr>
              <w:t xml:space="preserve">compliant </w:t>
            </w:r>
            <w:r w:rsidRPr="0007339F">
              <w:rPr>
                <w:rFonts w:ascii="Arial" w:hAnsi="Arial" w:cstheme="minorBidi"/>
                <w:szCs w:val="22"/>
              </w:rPr>
              <w:t>electricity meters to be deployed after 13 July 2018</w:t>
            </w:r>
          </w:p>
          <w:p w:rsidR="00FA26E0" w:rsidRPr="0007339F" w:rsidRDefault="00FA26E0" w:rsidP="00CD2AC0">
            <w:pPr>
              <w:pStyle w:val="NormalWeb"/>
              <w:spacing w:after="0"/>
              <w:rPr>
                <w:rFonts w:ascii="Arial" w:hAnsi="Arial" w:cstheme="minorBidi"/>
                <w:szCs w:val="22"/>
              </w:rPr>
            </w:pPr>
            <w:r w:rsidRPr="0007339F">
              <w:rPr>
                <w:rFonts w:ascii="Arial" w:hAnsi="Arial" w:cstheme="minorBidi"/>
                <w:szCs w:val="22"/>
              </w:rPr>
              <w:t> </w:t>
            </w:r>
          </w:p>
          <w:p w:rsidR="00FA26E0" w:rsidRPr="0007339F" w:rsidRDefault="00FA26E0" w:rsidP="00CD2AC0">
            <w:pPr>
              <w:pStyle w:val="NormalWeb"/>
              <w:spacing w:after="0"/>
              <w:rPr>
                <w:rFonts w:ascii="Arial" w:hAnsi="Arial" w:cstheme="minorBidi"/>
                <w:szCs w:val="22"/>
              </w:rPr>
            </w:pPr>
            <w:r w:rsidRPr="0007339F">
              <w:rPr>
                <w:rFonts w:ascii="Arial" w:hAnsi="Arial" w:cstheme="minorBidi"/>
                <w:szCs w:val="22"/>
              </w:rPr>
              <w:t xml:space="preserve">Quantity of SMETS1 </w:t>
            </w:r>
            <w:r w:rsidR="00982866">
              <w:rPr>
                <w:rFonts w:ascii="Arial" w:hAnsi="Arial" w:cstheme="minorBidi"/>
                <w:szCs w:val="22"/>
              </w:rPr>
              <w:t xml:space="preserve">compliant </w:t>
            </w:r>
            <w:r w:rsidRPr="0007339F">
              <w:rPr>
                <w:rFonts w:ascii="Arial" w:hAnsi="Arial" w:cstheme="minorBidi"/>
                <w:szCs w:val="22"/>
              </w:rPr>
              <w:t>gas meters to be deployed after 13 July 2018</w:t>
            </w:r>
          </w:p>
          <w:p w:rsidR="00FA26E0" w:rsidRPr="0007339F" w:rsidRDefault="00FA26E0" w:rsidP="00CD2AC0">
            <w:pPr>
              <w:pStyle w:val="NormalWeb"/>
              <w:spacing w:after="0"/>
              <w:rPr>
                <w:rFonts w:ascii="Arial" w:hAnsi="Arial" w:cstheme="minorBidi"/>
                <w:szCs w:val="22"/>
              </w:rPr>
            </w:pPr>
            <w:r w:rsidRPr="0007339F">
              <w:rPr>
                <w:rFonts w:ascii="Arial" w:hAnsi="Arial" w:cstheme="minorBidi"/>
                <w:szCs w:val="22"/>
              </w:rPr>
              <w:t> </w:t>
            </w:r>
          </w:p>
          <w:p w:rsidR="00FA26E0" w:rsidRPr="0007339F" w:rsidRDefault="00FA26E0" w:rsidP="00CD2AC0">
            <w:pPr>
              <w:pStyle w:val="NormalWeb"/>
              <w:spacing w:after="0"/>
              <w:rPr>
                <w:rFonts w:ascii="Arial" w:hAnsi="Arial" w:cstheme="minorBidi"/>
                <w:szCs w:val="22"/>
              </w:rPr>
            </w:pPr>
            <w:r w:rsidRPr="0007339F">
              <w:rPr>
                <w:rFonts w:ascii="Arial" w:hAnsi="Arial" w:cstheme="minorBidi"/>
                <w:szCs w:val="22"/>
              </w:rPr>
              <w:t>Explanation of how the requested quantity is consistent with the risk to be mitigated and will be installed by no later than 13 January 2019.</w:t>
            </w:r>
          </w:p>
          <w:p w:rsidR="00FA26E0" w:rsidRPr="0007339F" w:rsidRDefault="00FA26E0" w:rsidP="00CD2AC0">
            <w:pPr>
              <w:pStyle w:val="NormalWeb"/>
              <w:spacing w:after="0"/>
              <w:rPr>
                <w:rFonts w:ascii="Arial" w:hAnsi="Arial" w:cstheme="minorBidi"/>
                <w:szCs w:val="22"/>
              </w:rPr>
            </w:pPr>
            <w:r w:rsidRPr="0007339F">
              <w:rPr>
                <w:rFonts w:ascii="Arial" w:hAnsi="Arial" w:cstheme="minorBidi"/>
                <w:szCs w:val="22"/>
              </w:rPr>
              <w:t>[500 word limit]</w:t>
            </w:r>
          </w:p>
        </w:tc>
        <w:tc>
          <w:tcPr>
            <w:tcW w:w="30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A26E0" w:rsidRPr="0007339F" w:rsidRDefault="00FA26E0" w:rsidP="00EF6B0D">
            <w:pPr>
              <w:pStyle w:val="NormalWeb"/>
              <w:spacing w:after="0"/>
              <w:rPr>
                <w:rFonts w:ascii="Arial" w:hAnsi="Arial" w:cstheme="minorBidi"/>
                <w:szCs w:val="22"/>
              </w:rPr>
            </w:pPr>
            <w:r w:rsidRPr="00854259">
              <w:rPr>
                <w:rFonts w:ascii="Arial" w:hAnsi="Arial" w:cstheme="minorBidi"/>
                <w:b/>
                <w:szCs w:val="22"/>
              </w:rPr>
              <w:t>Pass</w:t>
            </w:r>
            <w:r w:rsidR="00EF6B0D">
              <w:rPr>
                <w:rFonts w:ascii="Arial" w:hAnsi="Arial" w:cstheme="minorBidi"/>
                <w:szCs w:val="22"/>
              </w:rPr>
              <w:t>,</w:t>
            </w:r>
            <w:r w:rsidRPr="0007339F">
              <w:rPr>
                <w:rFonts w:ascii="Arial" w:hAnsi="Arial" w:cstheme="minorBidi"/>
                <w:szCs w:val="22"/>
              </w:rPr>
              <w:t xml:space="preserve"> if reasonable, within quantity cap and planned to complete before 13 Jan 2019</w:t>
            </w:r>
            <w:r w:rsidRPr="0007339F">
              <w:rPr>
                <w:rFonts w:ascii="Arial" w:hAnsi="Arial" w:cstheme="minorBidi"/>
                <w:szCs w:val="22"/>
              </w:rPr>
              <w:br/>
            </w:r>
            <w:r w:rsidRPr="0007339F">
              <w:rPr>
                <w:rFonts w:ascii="Arial" w:hAnsi="Arial" w:cstheme="minorBidi"/>
                <w:szCs w:val="22"/>
              </w:rPr>
              <w:br/>
              <w:t xml:space="preserve">Or </w:t>
            </w:r>
            <w:r w:rsidR="00EF6B0D" w:rsidRPr="00854259">
              <w:rPr>
                <w:rFonts w:ascii="Arial" w:hAnsi="Arial" w:cstheme="minorBidi"/>
                <w:b/>
                <w:szCs w:val="22"/>
              </w:rPr>
              <w:t>f</w:t>
            </w:r>
            <w:r w:rsidRPr="00854259">
              <w:rPr>
                <w:rFonts w:ascii="Arial" w:hAnsi="Arial" w:cstheme="minorBidi"/>
                <w:b/>
                <w:szCs w:val="22"/>
              </w:rPr>
              <w:t>ail</w:t>
            </w:r>
            <w:r w:rsidRPr="0007339F">
              <w:rPr>
                <w:rFonts w:ascii="Arial" w:hAnsi="Arial" w:cstheme="minorBidi"/>
                <w:szCs w:val="22"/>
              </w:rPr>
              <w:t xml:space="preserve"> otherwise</w:t>
            </w:r>
          </w:p>
        </w:tc>
      </w:tr>
      <w:tr w:rsidR="00FA26E0" w:rsidTr="00E711D7">
        <w:tc>
          <w:tcPr>
            <w:tcW w:w="7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A26E0" w:rsidRPr="0007339F" w:rsidRDefault="00FA26E0" w:rsidP="00CD2AC0">
            <w:pPr>
              <w:pStyle w:val="NormalWeb"/>
              <w:spacing w:after="0"/>
              <w:rPr>
                <w:rFonts w:ascii="Arial" w:hAnsi="Arial" w:cstheme="minorBidi"/>
                <w:szCs w:val="22"/>
              </w:rPr>
            </w:pPr>
            <w:r w:rsidRPr="0007339F">
              <w:rPr>
                <w:rFonts w:ascii="Arial" w:hAnsi="Arial" w:cstheme="minorBidi"/>
                <w:szCs w:val="22"/>
              </w:rPr>
              <w:t>6</w:t>
            </w:r>
          </w:p>
        </w:tc>
        <w:tc>
          <w:tcPr>
            <w:tcW w:w="11180"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A26E0" w:rsidRPr="0007339F" w:rsidRDefault="006D7F9C" w:rsidP="00CD2AC0">
            <w:pPr>
              <w:pStyle w:val="NormalWeb"/>
              <w:spacing w:after="0"/>
              <w:rPr>
                <w:rFonts w:ascii="Arial" w:hAnsi="Arial" w:cstheme="minorBidi"/>
                <w:szCs w:val="22"/>
              </w:rPr>
            </w:pPr>
            <w:r w:rsidRPr="006D7F9C">
              <w:rPr>
                <w:rFonts w:ascii="Arial" w:hAnsi="Arial" w:cstheme="minorBidi"/>
                <w:szCs w:val="22"/>
              </w:rPr>
              <w:t>If deemed eligible, how will the applicant demonstrate to BEIS and Ofgem that they will install SMETS</w:t>
            </w:r>
            <w:r w:rsidR="00D2107F">
              <w:rPr>
                <w:rFonts w:ascii="Arial" w:hAnsi="Arial" w:cstheme="minorBidi"/>
                <w:szCs w:val="22"/>
              </w:rPr>
              <w:t>1</w:t>
            </w:r>
            <w:r w:rsidRPr="006D7F9C">
              <w:rPr>
                <w:rFonts w:ascii="Arial" w:hAnsi="Arial" w:cstheme="minorBidi"/>
                <w:szCs w:val="22"/>
              </w:rPr>
              <w:t xml:space="preserve"> compliant devices after the SMETS1 end date in a manner that is consistent with the derogation in terms of complying with the time limit and quantity cap? [250 words] </w:t>
            </w:r>
          </w:p>
        </w:tc>
        <w:tc>
          <w:tcPr>
            <w:tcW w:w="3080" w:type="dxa"/>
            <w:tcBorders>
              <w:top w:val="single" w:sz="8" w:space="0" w:color="A3A3A3"/>
              <w:left w:val="single" w:sz="8" w:space="0" w:color="A3A3A3"/>
              <w:bottom w:val="single" w:sz="8" w:space="0" w:color="A3A3A3"/>
              <w:right w:val="single" w:sz="8" w:space="0" w:color="A3A3A3"/>
            </w:tcBorders>
          </w:tcPr>
          <w:p w:rsidR="00FA26E0" w:rsidRPr="0007339F" w:rsidRDefault="00FA26E0" w:rsidP="00CD2AC0">
            <w:pPr>
              <w:pStyle w:val="NormalWeb"/>
              <w:spacing w:after="0"/>
              <w:rPr>
                <w:rFonts w:ascii="Arial" w:hAnsi="Arial" w:cstheme="minorBidi"/>
                <w:szCs w:val="22"/>
              </w:rPr>
            </w:pPr>
            <w:r w:rsidRPr="00854259">
              <w:rPr>
                <w:rFonts w:ascii="Arial" w:hAnsi="Arial" w:cstheme="minorBidi"/>
                <w:b/>
                <w:szCs w:val="22"/>
              </w:rPr>
              <w:t>Pass</w:t>
            </w:r>
            <w:r w:rsidRPr="0007339F">
              <w:rPr>
                <w:rFonts w:ascii="Arial" w:hAnsi="Arial" w:cstheme="minorBidi"/>
                <w:szCs w:val="22"/>
              </w:rPr>
              <w:t xml:space="preserve"> (if reasonable plans to </w:t>
            </w:r>
            <w:r w:rsidR="00610833">
              <w:rPr>
                <w:rFonts w:ascii="Arial" w:hAnsi="Arial" w:cstheme="minorBidi"/>
                <w:szCs w:val="22"/>
              </w:rPr>
              <w:t>demonstrate compliance</w:t>
            </w:r>
            <w:r w:rsidRPr="0007339F">
              <w:rPr>
                <w:rFonts w:ascii="Arial" w:hAnsi="Arial" w:cstheme="minorBidi"/>
                <w:szCs w:val="22"/>
              </w:rPr>
              <w:t xml:space="preserve"> with derogation requirements)</w:t>
            </w:r>
          </w:p>
          <w:p w:rsidR="00FA26E0" w:rsidRPr="0007339F" w:rsidRDefault="00FA26E0" w:rsidP="00F52CAD">
            <w:pPr>
              <w:pStyle w:val="NormalWeb"/>
              <w:spacing w:after="0"/>
              <w:rPr>
                <w:rFonts w:ascii="Arial" w:hAnsi="Arial" w:cstheme="minorBidi"/>
                <w:szCs w:val="22"/>
              </w:rPr>
            </w:pPr>
            <w:r w:rsidRPr="0007339F">
              <w:rPr>
                <w:rFonts w:ascii="Arial" w:hAnsi="Arial" w:cstheme="minorBidi"/>
                <w:szCs w:val="22"/>
              </w:rPr>
              <w:t xml:space="preserve">Or </w:t>
            </w:r>
            <w:r w:rsidR="00F52CAD" w:rsidRPr="00854259">
              <w:rPr>
                <w:rFonts w:ascii="Arial" w:hAnsi="Arial" w:cstheme="minorBidi"/>
                <w:b/>
                <w:szCs w:val="22"/>
              </w:rPr>
              <w:t>f</w:t>
            </w:r>
            <w:r w:rsidRPr="00854259">
              <w:rPr>
                <w:rFonts w:ascii="Arial" w:hAnsi="Arial" w:cstheme="minorBidi"/>
                <w:b/>
                <w:szCs w:val="22"/>
              </w:rPr>
              <w:t xml:space="preserve">ail </w:t>
            </w:r>
            <w:r w:rsidRPr="0007339F">
              <w:rPr>
                <w:rFonts w:ascii="Arial" w:hAnsi="Arial" w:cstheme="minorBidi"/>
                <w:szCs w:val="22"/>
              </w:rPr>
              <w:t>otherwise</w:t>
            </w:r>
          </w:p>
        </w:tc>
      </w:tr>
    </w:tbl>
    <w:p w:rsidR="00FA26E0" w:rsidRPr="0007339F" w:rsidRDefault="00FA26E0" w:rsidP="00FA26E0">
      <w:pPr>
        <w:pStyle w:val="NormalWeb"/>
        <w:spacing w:after="0"/>
        <w:rPr>
          <w:rFonts w:ascii="Arial" w:hAnsi="Arial" w:cstheme="minorBidi"/>
          <w:szCs w:val="22"/>
        </w:rPr>
      </w:pPr>
      <w:r w:rsidRPr="0007339F">
        <w:rPr>
          <w:rFonts w:ascii="Arial" w:hAnsi="Arial" w:cstheme="minorBidi"/>
          <w:szCs w:val="22"/>
        </w:rPr>
        <w:t> </w:t>
      </w:r>
    </w:p>
    <w:p w:rsidR="00177C8B" w:rsidRDefault="00177C8B" w:rsidP="00177C8B">
      <w:pPr>
        <w:spacing w:after="0" w:line="240" w:lineRule="auto"/>
        <w:ind w:left="426"/>
        <w:jc w:val="both"/>
      </w:pPr>
    </w:p>
    <w:p w:rsidR="00F52CAD" w:rsidRPr="0007339F" w:rsidRDefault="00F52CAD" w:rsidP="00011D40">
      <w:pPr>
        <w:numPr>
          <w:ilvl w:val="0"/>
          <w:numId w:val="14"/>
        </w:numPr>
        <w:spacing w:after="0" w:line="240" w:lineRule="auto"/>
        <w:ind w:left="426" w:hanging="426"/>
        <w:jc w:val="both"/>
      </w:pPr>
      <w:r>
        <w:t xml:space="preserve">If an applicant </w:t>
      </w:r>
      <w:r w:rsidR="006F3A0E">
        <w:t>is able to</w:t>
      </w:r>
      <w:r>
        <w:t xml:space="preserve"> “pass” all sections of Part B then they will be granted a derogation.  If they “fail” any section in Part B then a derogation will not be granted.  </w:t>
      </w:r>
      <w:r w:rsidR="004B6DD2">
        <w:t xml:space="preserve">Application forms are set out in </w:t>
      </w:r>
      <w:r w:rsidR="004B6DD2" w:rsidRPr="00BB0684">
        <w:t>Section 4</w:t>
      </w:r>
      <w:r w:rsidR="004B6DD2">
        <w:t xml:space="preserve"> below.</w:t>
      </w:r>
    </w:p>
    <w:p w:rsidR="00FA26E0" w:rsidRPr="0007339F" w:rsidRDefault="00FA26E0" w:rsidP="00FA26E0">
      <w:pPr>
        <w:pStyle w:val="NormalWeb"/>
        <w:spacing w:after="0"/>
        <w:rPr>
          <w:rFonts w:ascii="Arial" w:hAnsi="Arial" w:cstheme="minorBidi"/>
          <w:szCs w:val="22"/>
        </w:rPr>
      </w:pPr>
    </w:p>
    <w:p w:rsidR="00177C8B" w:rsidRDefault="00177C8B" w:rsidP="00177C8B">
      <w:pPr>
        <w:spacing w:after="160" w:line="259" w:lineRule="auto"/>
      </w:pPr>
    </w:p>
    <w:p w:rsidR="00670F70" w:rsidRDefault="00670F70" w:rsidP="00177C8B">
      <w:pPr>
        <w:spacing w:after="160" w:line="259" w:lineRule="auto"/>
        <w:sectPr w:rsidR="00670F70" w:rsidSect="001B7792">
          <w:pgSz w:w="16838" w:h="11906" w:orient="landscape" w:code="9"/>
          <w:pgMar w:top="851" w:right="1134" w:bottom="851" w:left="851" w:header="567" w:footer="567" w:gutter="0"/>
          <w:cols w:space="720"/>
          <w:formProt w:val="0"/>
          <w:docGrid w:linePitch="326"/>
        </w:sectPr>
      </w:pPr>
    </w:p>
    <w:p w:rsidR="00FA26E0" w:rsidRPr="004B6DD2" w:rsidRDefault="00CD39FA" w:rsidP="004B6DD2">
      <w:pPr>
        <w:pStyle w:val="ChptHead"/>
        <w:numPr>
          <w:ilvl w:val="0"/>
          <w:numId w:val="13"/>
        </w:numPr>
        <w:spacing w:before="500" w:after="500" w:line="240" w:lineRule="auto"/>
        <w:rPr>
          <w:color w:val="002060"/>
        </w:rPr>
      </w:pPr>
      <w:bookmarkStart w:id="23" w:name="_Toc499760743"/>
      <w:r>
        <w:rPr>
          <w:caps/>
          <w:color w:val="002060"/>
        </w:rPr>
        <w:t>A</w:t>
      </w:r>
      <w:r w:rsidR="00A0419C">
        <w:rPr>
          <w:color w:val="002060"/>
        </w:rPr>
        <w:t>pplication forms</w:t>
      </w:r>
      <w:bookmarkEnd w:id="23"/>
    </w:p>
    <w:p w:rsidR="002A2B55" w:rsidRDefault="004B6DD2" w:rsidP="006F3A0E">
      <w:pPr>
        <w:numPr>
          <w:ilvl w:val="0"/>
          <w:numId w:val="14"/>
        </w:numPr>
        <w:spacing w:after="0" w:line="240" w:lineRule="auto"/>
        <w:ind w:left="426" w:hanging="426"/>
        <w:jc w:val="both"/>
        <w:rPr>
          <w:rStyle w:val="Hyperlink"/>
          <w:rFonts w:ascii="Arial" w:hAnsi="Arial" w:cs="Arial"/>
        </w:rPr>
      </w:pPr>
      <w:r>
        <w:t xml:space="preserve">All forms must be completed with reference to the derogation criteria set out in </w:t>
      </w:r>
      <w:r w:rsidRPr="00BB0684">
        <w:t>Section 3</w:t>
      </w:r>
      <w:r>
        <w:t xml:space="preserve"> above.  Forms can be completed in A3 size to accommodate sections with large amounts of text.</w:t>
      </w:r>
      <w:r w:rsidR="0056751A">
        <w:t xml:space="preserve">  Any queries should be sent to </w:t>
      </w:r>
      <w:hyperlink r:id="rId33" w:history="1">
        <w:r w:rsidR="0056751A" w:rsidRPr="007B7D56">
          <w:rPr>
            <w:rStyle w:val="Hyperlink"/>
            <w:rFonts w:ascii="Arial" w:hAnsi="Arial"/>
          </w:rPr>
          <w:t>smartmetering@beis.gov.uk</w:t>
        </w:r>
      </w:hyperlink>
      <w:r w:rsidR="0056751A">
        <w:t xml:space="preserve"> .  Completed forms</w:t>
      </w:r>
      <w:r w:rsidR="003B07E3">
        <w:t>, both Part A and Part B</w:t>
      </w:r>
      <w:r w:rsidR="002A2B55">
        <w:t xml:space="preserve"> and Annex to Part B</w:t>
      </w:r>
      <w:r w:rsidR="003B07E3">
        <w:t>,</w:t>
      </w:r>
      <w:r w:rsidR="0056751A">
        <w:t xml:space="preserve"> should be submitted to BEIS by </w:t>
      </w:r>
      <w:r w:rsidR="0056751A" w:rsidRPr="00BB0684">
        <w:t xml:space="preserve">5pm, </w:t>
      </w:r>
      <w:r w:rsidR="00907D26">
        <w:t>Friday 5 January 2018</w:t>
      </w:r>
      <w:r w:rsidR="0056751A">
        <w:t xml:space="preserve"> at  </w:t>
      </w:r>
      <w:hyperlink r:id="rId34" w:history="1">
        <w:r w:rsidR="0056751A" w:rsidRPr="0077207D">
          <w:rPr>
            <w:rStyle w:val="Hyperlink"/>
            <w:rFonts w:ascii="Arial" w:hAnsi="Arial" w:cs="Arial"/>
          </w:rPr>
          <w:t>smartmetering@beis.gov.uk</w:t>
        </w:r>
      </w:hyperlink>
      <w:r w:rsidR="002A2B55">
        <w:rPr>
          <w:rStyle w:val="Hyperlink"/>
          <w:rFonts w:ascii="Arial" w:hAnsi="Arial" w:cs="Arial"/>
        </w:rPr>
        <w:t xml:space="preserve"> or by post to :</w:t>
      </w:r>
    </w:p>
    <w:p w:rsidR="006F3A0E" w:rsidRDefault="006F3A0E" w:rsidP="000F6B49">
      <w:pPr>
        <w:spacing w:after="0" w:line="240" w:lineRule="auto"/>
        <w:ind w:left="720" w:firstLine="720"/>
      </w:pPr>
    </w:p>
    <w:p w:rsidR="002A2B55" w:rsidRDefault="002A2B55" w:rsidP="000F6B49">
      <w:pPr>
        <w:spacing w:after="0" w:line="240" w:lineRule="auto"/>
        <w:ind w:left="720" w:firstLine="720"/>
      </w:pPr>
      <w:r>
        <w:t>Nicola Barber</w:t>
      </w:r>
    </w:p>
    <w:p w:rsidR="002A2B55" w:rsidRDefault="002A2B55" w:rsidP="000F6B49">
      <w:pPr>
        <w:spacing w:after="0" w:line="240" w:lineRule="auto"/>
        <w:ind w:left="1440"/>
        <w:rPr>
          <w:rFonts w:cs="Arial"/>
          <w:lang w:val="en"/>
        </w:rPr>
      </w:pPr>
      <w:r w:rsidRPr="003702BE">
        <w:t>Smart Metering Implementation Programme</w:t>
      </w:r>
      <w:r>
        <w:t xml:space="preserve"> - Policy and Consumers Team</w:t>
      </w:r>
      <w:r>
        <w:br/>
      </w:r>
      <w:r w:rsidRPr="00D236C3">
        <w:t xml:space="preserve">Department </w:t>
      </w:r>
      <w:r>
        <w:t>for Business,</w:t>
      </w:r>
      <w:r w:rsidRPr="00D236C3">
        <w:t xml:space="preserve"> Energy &amp; </w:t>
      </w:r>
      <w:r>
        <w:t>Industrial Strategy</w:t>
      </w:r>
      <w:r w:rsidRPr="00D236C3">
        <w:t>,</w:t>
      </w:r>
      <w:r>
        <w:br/>
      </w:r>
      <w:r w:rsidRPr="0040711B">
        <w:t>5</w:t>
      </w:r>
      <w:r w:rsidRPr="0040711B">
        <w:rPr>
          <w:vertAlign w:val="superscript"/>
        </w:rPr>
        <w:t>th</w:t>
      </w:r>
      <w:r w:rsidRPr="0040711B">
        <w:t xml:space="preserve"> Floor Victoria 3,</w:t>
      </w:r>
      <w:r w:rsidRPr="0040711B">
        <w:br/>
        <w:t>1 Victoria Street,</w:t>
      </w:r>
      <w:r w:rsidRPr="0040711B">
        <w:br/>
        <w:t xml:space="preserve">London, </w:t>
      </w:r>
      <w:r w:rsidRPr="0040711B">
        <w:rPr>
          <w:rFonts w:cs="Arial"/>
          <w:lang w:val="en"/>
        </w:rPr>
        <w:t>SW1H 0ET</w:t>
      </w:r>
    </w:p>
    <w:p w:rsidR="004B6DD2" w:rsidRDefault="004B6DD2" w:rsidP="006F3A0E">
      <w:pPr>
        <w:spacing w:after="0" w:line="240" w:lineRule="auto"/>
        <w:ind w:left="426"/>
        <w:jc w:val="both"/>
      </w:pPr>
    </w:p>
    <w:p w:rsidR="004B6DD2" w:rsidRDefault="004B6DD2" w:rsidP="004B6DD2">
      <w:pPr>
        <w:spacing w:after="0" w:line="240" w:lineRule="auto"/>
        <w:jc w:val="both"/>
      </w:pPr>
    </w:p>
    <w:tbl>
      <w:tblPr>
        <w:tblW w:w="101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3350"/>
        <w:gridCol w:w="5519"/>
        <w:gridCol w:w="1276"/>
      </w:tblGrid>
      <w:tr w:rsidR="004B6DD2" w:rsidRPr="00310EF2" w:rsidTr="00CD39FA">
        <w:tc>
          <w:tcPr>
            <w:tcW w:w="10145" w:type="dxa"/>
            <w:gridSpan w:val="3"/>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rsidR="004B6DD2" w:rsidRPr="00310EF2" w:rsidRDefault="004B6DD2" w:rsidP="00A919FB">
            <w:pPr>
              <w:pStyle w:val="TableHeader"/>
              <w:framePr w:hSpace="0" w:wrap="auto" w:vAnchor="margin" w:hAnchor="text" w:yAlign="inline"/>
            </w:pPr>
            <w:r>
              <w:t xml:space="preserve">APPLICATION FOR DEROGATION FROM SMETS1 END DATE – </w:t>
            </w:r>
            <w:r w:rsidR="007943A6">
              <w:t>PART A</w:t>
            </w:r>
            <w:r w:rsidR="00A57E6C">
              <w:t xml:space="preserve">: </w:t>
            </w:r>
            <w:r>
              <w:t>EVIDENCE OF ELIGIBILITY</w:t>
            </w:r>
          </w:p>
        </w:tc>
      </w:tr>
      <w:tr w:rsidR="0056751A" w:rsidRPr="00310EF2" w:rsidTr="00CD39FA">
        <w:tc>
          <w:tcPr>
            <w:tcW w:w="33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56751A" w:rsidRPr="0056751A" w:rsidRDefault="0056751A" w:rsidP="00A919FB">
            <w:pPr>
              <w:pStyle w:val="TableHeader"/>
              <w:framePr w:hSpace="0" w:wrap="auto" w:vAnchor="margin" w:hAnchor="text" w:yAlign="inline"/>
              <w:rPr>
                <w:color w:val="auto"/>
              </w:rPr>
            </w:pPr>
            <w:r>
              <w:rPr>
                <w:color w:val="auto"/>
              </w:rPr>
              <w:t>Organisation name:</w:t>
            </w:r>
          </w:p>
        </w:tc>
        <w:tc>
          <w:tcPr>
            <w:tcW w:w="6795" w:type="dxa"/>
            <w:gridSpan w:val="2"/>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56751A" w:rsidRPr="0056751A" w:rsidRDefault="0056751A" w:rsidP="00A919FB">
            <w:pPr>
              <w:pStyle w:val="TableHeader"/>
              <w:framePr w:hSpace="0" w:wrap="auto" w:vAnchor="margin" w:hAnchor="text" w:yAlign="inline"/>
              <w:rPr>
                <w:color w:val="auto"/>
              </w:rPr>
            </w:pPr>
          </w:p>
        </w:tc>
      </w:tr>
      <w:tr w:rsidR="0056751A" w:rsidRPr="00310EF2" w:rsidTr="00CD39FA">
        <w:tc>
          <w:tcPr>
            <w:tcW w:w="33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56751A" w:rsidRDefault="0056751A" w:rsidP="00A919FB">
            <w:pPr>
              <w:pStyle w:val="TableHeader"/>
              <w:framePr w:hSpace="0" w:wrap="auto" w:vAnchor="margin" w:hAnchor="text" w:yAlign="inline"/>
              <w:rPr>
                <w:color w:val="auto"/>
              </w:rPr>
            </w:pPr>
            <w:r>
              <w:rPr>
                <w:color w:val="auto"/>
              </w:rPr>
              <w:t>Name of contact:</w:t>
            </w:r>
          </w:p>
        </w:tc>
        <w:tc>
          <w:tcPr>
            <w:tcW w:w="6795" w:type="dxa"/>
            <w:gridSpan w:val="2"/>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56751A" w:rsidRPr="0056751A" w:rsidRDefault="0056751A" w:rsidP="00A919FB">
            <w:pPr>
              <w:pStyle w:val="TableHeader"/>
              <w:framePr w:hSpace="0" w:wrap="auto" w:vAnchor="margin" w:hAnchor="text" w:yAlign="inline"/>
              <w:rPr>
                <w:color w:val="auto"/>
              </w:rPr>
            </w:pPr>
          </w:p>
        </w:tc>
      </w:tr>
      <w:tr w:rsidR="0056751A" w:rsidRPr="00310EF2" w:rsidTr="00CD39FA">
        <w:tc>
          <w:tcPr>
            <w:tcW w:w="33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56751A" w:rsidRDefault="0056751A" w:rsidP="00A919FB">
            <w:pPr>
              <w:pStyle w:val="TableHeader"/>
              <w:framePr w:hSpace="0" w:wrap="auto" w:vAnchor="margin" w:hAnchor="text" w:yAlign="inline"/>
              <w:rPr>
                <w:color w:val="auto"/>
              </w:rPr>
            </w:pPr>
            <w:r>
              <w:rPr>
                <w:color w:val="auto"/>
              </w:rPr>
              <w:t>Contact e-mail address:</w:t>
            </w:r>
          </w:p>
        </w:tc>
        <w:tc>
          <w:tcPr>
            <w:tcW w:w="6795" w:type="dxa"/>
            <w:gridSpan w:val="2"/>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56751A" w:rsidRPr="0056751A" w:rsidRDefault="0056751A" w:rsidP="00A919FB">
            <w:pPr>
              <w:pStyle w:val="TableHeader"/>
              <w:framePr w:hSpace="0" w:wrap="auto" w:vAnchor="margin" w:hAnchor="text" w:yAlign="inline"/>
              <w:rPr>
                <w:color w:val="auto"/>
              </w:rPr>
            </w:pPr>
          </w:p>
        </w:tc>
      </w:tr>
      <w:tr w:rsidR="0056751A" w:rsidRPr="00310EF2" w:rsidTr="00CD39FA">
        <w:tc>
          <w:tcPr>
            <w:tcW w:w="33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56751A" w:rsidRDefault="0056751A" w:rsidP="00A919FB">
            <w:pPr>
              <w:pStyle w:val="TableHeader"/>
              <w:framePr w:hSpace="0" w:wrap="auto" w:vAnchor="margin" w:hAnchor="text" w:yAlign="inline"/>
              <w:rPr>
                <w:color w:val="auto"/>
              </w:rPr>
            </w:pPr>
            <w:r>
              <w:rPr>
                <w:color w:val="auto"/>
              </w:rPr>
              <w:t>Contact telephone number:</w:t>
            </w:r>
          </w:p>
        </w:tc>
        <w:tc>
          <w:tcPr>
            <w:tcW w:w="6795" w:type="dxa"/>
            <w:gridSpan w:val="2"/>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56751A" w:rsidRPr="0056751A" w:rsidRDefault="0056751A" w:rsidP="00A919FB">
            <w:pPr>
              <w:pStyle w:val="TableHeader"/>
              <w:framePr w:hSpace="0" w:wrap="auto" w:vAnchor="margin" w:hAnchor="text" w:yAlign="inline"/>
              <w:rPr>
                <w:color w:val="auto"/>
              </w:rPr>
            </w:pPr>
          </w:p>
        </w:tc>
      </w:tr>
      <w:tr w:rsidR="00A57E6C" w:rsidRPr="00310EF2" w:rsidTr="00CD39FA">
        <w:tc>
          <w:tcPr>
            <w:tcW w:w="10145" w:type="dxa"/>
            <w:gridSpan w:val="3"/>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hideMark/>
          </w:tcPr>
          <w:p w:rsidR="00A57E6C" w:rsidRDefault="00A57E6C" w:rsidP="00A919FB">
            <w:pPr>
              <w:pStyle w:val="TableHeader"/>
              <w:framePr w:hSpace="0" w:wrap="auto" w:vAnchor="margin" w:hAnchor="text" w:yAlign="inline"/>
            </w:pPr>
            <w:r>
              <w:t xml:space="preserve">Criterion 1: </w:t>
            </w:r>
            <w:r w:rsidRPr="00BD5539">
              <w:rPr>
                <w:b w:val="0"/>
              </w:rPr>
              <w:t xml:space="preserve">Applicant is a licensed domestic </w:t>
            </w:r>
            <w:r w:rsidR="00EE33EB" w:rsidRPr="00BD5539">
              <w:rPr>
                <w:b w:val="0"/>
              </w:rPr>
              <w:t>or non-domestic energy supplier in Great Britain, serving premises within the scope of the Smart Metering Implementation Programme.</w:t>
            </w:r>
          </w:p>
          <w:p w:rsidR="00EE33EB" w:rsidRPr="00310EF2" w:rsidRDefault="00EE33EB" w:rsidP="00D2107F">
            <w:pPr>
              <w:pStyle w:val="TableHeader"/>
              <w:framePr w:hSpace="0" w:wrap="auto" w:vAnchor="margin" w:hAnchor="text" w:yAlign="inline"/>
            </w:pPr>
            <w:r>
              <w:t xml:space="preserve">Evidence required: </w:t>
            </w:r>
            <w:r w:rsidR="00907D26">
              <w:rPr>
                <w:b w:val="0"/>
              </w:rPr>
              <w:t>Energy suppliers may self-certify that they meet this criterion</w:t>
            </w:r>
            <w:r>
              <w:t xml:space="preserve"> </w:t>
            </w:r>
          </w:p>
        </w:tc>
      </w:tr>
      <w:tr w:rsidR="00EE33EB" w:rsidRPr="0007339F" w:rsidTr="00080F14">
        <w:tc>
          <w:tcPr>
            <w:tcW w:w="8869"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E33EB" w:rsidRPr="0007339F" w:rsidRDefault="00EE33EB" w:rsidP="00A919FB">
            <w:pPr>
              <w:pStyle w:val="NormalWeb"/>
              <w:spacing w:after="0"/>
              <w:rPr>
                <w:rFonts w:ascii="Arial" w:hAnsi="Arial" w:cstheme="minorBidi"/>
                <w:szCs w:val="22"/>
              </w:rPr>
            </w:pPr>
            <w:r>
              <w:rPr>
                <w:rFonts w:ascii="Arial" w:hAnsi="Arial" w:cstheme="minorBidi"/>
                <w:szCs w:val="22"/>
              </w:rPr>
              <w:t>[applicant to enter details here]</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E33EB" w:rsidRDefault="00080F14" w:rsidP="00EE33EB">
            <w:pPr>
              <w:pStyle w:val="NormalWeb"/>
              <w:spacing w:after="0"/>
              <w:rPr>
                <w:rFonts w:ascii="Arial" w:hAnsi="Arial" w:cstheme="minorBidi"/>
                <w:szCs w:val="22"/>
              </w:rPr>
            </w:pPr>
            <w:r>
              <w:rPr>
                <w:rFonts w:ascii="Arial" w:hAnsi="Arial" w:cstheme="minorBidi"/>
                <w:szCs w:val="22"/>
              </w:rPr>
              <w:t>Column for BEIS use only</w:t>
            </w:r>
          </w:p>
          <w:p w:rsidR="00080F14" w:rsidRDefault="00080F14" w:rsidP="00EE33EB">
            <w:pPr>
              <w:pStyle w:val="NormalWeb"/>
              <w:spacing w:after="0"/>
              <w:rPr>
                <w:rFonts w:ascii="Arial" w:hAnsi="Arial" w:cstheme="minorBidi"/>
                <w:szCs w:val="22"/>
              </w:rPr>
            </w:pPr>
          </w:p>
        </w:tc>
      </w:tr>
      <w:tr w:rsidR="00600AEA" w:rsidRPr="0007339F" w:rsidTr="008A6957">
        <w:tc>
          <w:tcPr>
            <w:tcW w:w="10145" w:type="dxa"/>
            <w:gridSpan w:val="3"/>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rsidR="00600AEA" w:rsidRDefault="00600AEA" w:rsidP="00EE33EB">
            <w:pPr>
              <w:pStyle w:val="NormalWeb"/>
              <w:spacing w:after="0"/>
              <w:rPr>
                <w:rFonts w:ascii="Arial" w:hAnsi="Arial" w:cstheme="minorBidi"/>
                <w:b/>
                <w:szCs w:val="22"/>
              </w:rPr>
            </w:pPr>
            <w:r>
              <w:rPr>
                <w:rFonts w:ascii="Arial" w:hAnsi="Arial" w:cstheme="minorBidi"/>
                <w:b/>
                <w:color w:val="FFFFFF" w:themeColor="background1"/>
                <w:szCs w:val="22"/>
              </w:rPr>
              <w:t xml:space="preserve">Criterion 2: </w:t>
            </w:r>
            <w:r w:rsidRPr="00BD5539">
              <w:rPr>
                <w:rFonts w:ascii="Arial" w:hAnsi="Arial" w:cstheme="minorBidi"/>
                <w:color w:val="FFFFFF" w:themeColor="background1"/>
                <w:szCs w:val="22"/>
              </w:rPr>
              <w:t xml:space="preserve">Applicant is </w:t>
            </w:r>
            <w:r w:rsidR="004A7556">
              <w:rPr>
                <w:rFonts w:ascii="Arial" w:hAnsi="Arial" w:cstheme="minorBidi"/>
                <w:color w:val="FFFFFF" w:themeColor="background1"/>
                <w:szCs w:val="22"/>
              </w:rPr>
              <w:t xml:space="preserve">either </w:t>
            </w:r>
            <w:r w:rsidRPr="00BD5539">
              <w:rPr>
                <w:rFonts w:ascii="Arial" w:hAnsi="Arial" w:cstheme="minorBidi"/>
                <w:color w:val="FFFFFF" w:themeColor="background1"/>
                <w:szCs w:val="22"/>
              </w:rPr>
              <w:t xml:space="preserve">currently deploying </w:t>
            </w:r>
            <w:r w:rsidR="004A7556">
              <w:rPr>
                <w:rFonts w:ascii="Arial" w:hAnsi="Arial" w:cstheme="minorBidi"/>
                <w:color w:val="FFFFFF" w:themeColor="background1"/>
                <w:szCs w:val="22"/>
              </w:rPr>
              <w:t xml:space="preserve">or planning to deploy </w:t>
            </w:r>
            <w:r w:rsidR="00300A42">
              <w:rPr>
                <w:rFonts w:ascii="Arial" w:hAnsi="Arial" w:cstheme="minorBidi"/>
                <w:color w:val="FFFFFF" w:themeColor="background1"/>
                <w:szCs w:val="22"/>
              </w:rPr>
              <w:t xml:space="preserve">before the SMETS1 end date </w:t>
            </w:r>
            <w:r w:rsidRPr="00BD5539">
              <w:rPr>
                <w:rFonts w:ascii="Arial" w:hAnsi="Arial" w:cstheme="minorBidi"/>
                <w:color w:val="FFFFFF" w:themeColor="background1"/>
                <w:szCs w:val="22"/>
              </w:rPr>
              <w:t>a significant quantity of SMETS1 compliant electricity and gas meters (in proportion to the number of customers it supplies) .</w:t>
            </w:r>
            <w:r>
              <w:rPr>
                <w:rFonts w:ascii="Arial" w:hAnsi="Arial" w:cstheme="minorBidi"/>
                <w:b/>
                <w:color w:val="FFFFFF" w:themeColor="background1"/>
                <w:szCs w:val="22"/>
              </w:rPr>
              <w:t xml:space="preserve"> </w:t>
            </w:r>
          </w:p>
          <w:p w:rsidR="00670F70" w:rsidRPr="006135EB" w:rsidRDefault="00670F70" w:rsidP="00EA4851">
            <w:pPr>
              <w:pStyle w:val="NormalWeb"/>
              <w:spacing w:after="0"/>
              <w:rPr>
                <w:rFonts w:ascii="Arial" w:hAnsi="Arial" w:cstheme="minorBidi"/>
                <w:color w:val="FFFFFF" w:themeColor="background1"/>
                <w:szCs w:val="22"/>
              </w:rPr>
            </w:pPr>
            <w:r>
              <w:rPr>
                <w:rFonts w:ascii="Arial" w:hAnsi="Arial" w:cstheme="minorBidi"/>
                <w:b/>
                <w:color w:val="FFFFFF" w:themeColor="background1"/>
                <w:szCs w:val="22"/>
              </w:rPr>
              <w:t xml:space="preserve">Evidence required: </w:t>
            </w:r>
            <w:r w:rsidR="004A7556" w:rsidRPr="005A152D">
              <w:rPr>
                <w:rFonts w:ascii="Arial" w:hAnsi="Arial" w:cstheme="minorBidi"/>
                <w:color w:val="FFFFFF" w:themeColor="background1"/>
                <w:szCs w:val="22"/>
              </w:rPr>
              <w:t xml:space="preserve">If currently deploying - </w:t>
            </w:r>
            <w:r w:rsidR="004A7556">
              <w:rPr>
                <w:rFonts w:ascii="Arial" w:hAnsi="Arial" w:cstheme="minorBidi"/>
                <w:color w:val="FFFFFF" w:themeColor="background1"/>
                <w:szCs w:val="22"/>
              </w:rPr>
              <w:t>t</w:t>
            </w:r>
            <w:r w:rsidR="00080F14" w:rsidRPr="00BD5539">
              <w:rPr>
                <w:rFonts w:ascii="Arial" w:hAnsi="Arial" w:cstheme="minorBidi"/>
                <w:color w:val="FFFFFF" w:themeColor="background1"/>
                <w:szCs w:val="22"/>
              </w:rPr>
              <w:t>he rate of electricity and gas smart meter deployment</w:t>
            </w:r>
            <w:r w:rsidR="00BD5539" w:rsidRPr="00BD5539">
              <w:rPr>
                <w:rFonts w:ascii="Arial" w:hAnsi="Arial" w:cstheme="minorBidi"/>
                <w:color w:val="FFFFFF" w:themeColor="background1"/>
                <w:szCs w:val="22"/>
              </w:rPr>
              <w:t xml:space="preserve"> per month averaged across July, August and September 2017 exceeds a de minimis threshold of &gt;0.25% of energy supplier’s total mandated meter portfolio as at the end of September 2017.  </w:t>
            </w:r>
            <w:r w:rsidR="00300A42">
              <w:rPr>
                <w:rFonts w:ascii="Arial" w:hAnsi="Arial" w:cstheme="minorBidi"/>
                <w:color w:val="FFFFFF" w:themeColor="background1"/>
                <w:szCs w:val="22"/>
              </w:rPr>
              <w:t xml:space="preserve">If planning to deploy – the </w:t>
            </w:r>
            <w:r w:rsidR="00300A42" w:rsidRPr="00BD5539">
              <w:rPr>
                <w:rFonts w:ascii="Arial" w:hAnsi="Arial" w:cstheme="minorBidi"/>
                <w:color w:val="FFFFFF" w:themeColor="background1"/>
                <w:szCs w:val="22"/>
              </w:rPr>
              <w:t xml:space="preserve">rate of electricity and gas smart meter deployment </w:t>
            </w:r>
            <w:r w:rsidR="00300A42">
              <w:rPr>
                <w:rFonts w:ascii="Arial" w:hAnsi="Arial" w:cstheme="minorBidi"/>
                <w:color w:val="FFFFFF" w:themeColor="background1"/>
                <w:szCs w:val="22"/>
              </w:rPr>
              <w:t xml:space="preserve">planned </w:t>
            </w:r>
            <w:r w:rsidR="00300A42" w:rsidRPr="00BD5539">
              <w:rPr>
                <w:rFonts w:ascii="Arial" w:hAnsi="Arial" w:cstheme="minorBidi"/>
                <w:color w:val="FFFFFF" w:themeColor="background1"/>
                <w:szCs w:val="22"/>
              </w:rPr>
              <w:t xml:space="preserve">per month </w:t>
            </w:r>
            <w:r w:rsidR="000D39ED">
              <w:rPr>
                <w:rFonts w:ascii="Arial" w:hAnsi="Arial" w:cstheme="minorBidi"/>
                <w:color w:val="FFFFFF" w:themeColor="background1"/>
                <w:szCs w:val="22"/>
              </w:rPr>
              <w:t xml:space="preserve">(to be credibly supported by the plan submitted for Part B Criterion 1) </w:t>
            </w:r>
            <w:r w:rsidR="00300A42" w:rsidRPr="00BD5539">
              <w:rPr>
                <w:rFonts w:ascii="Arial" w:hAnsi="Arial" w:cstheme="minorBidi"/>
                <w:color w:val="FFFFFF" w:themeColor="background1"/>
                <w:szCs w:val="22"/>
              </w:rPr>
              <w:t xml:space="preserve">averaged across </w:t>
            </w:r>
            <w:r w:rsidR="00300A42">
              <w:rPr>
                <w:rFonts w:ascii="Arial" w:hAnsi="Arial" w:cstheme="minorBidi"/>
                <w:color w:val="FFFFFF" w:themeColor="background1"/>
                <w:szCs w:val="22"/>
              </w:rPr>
              <w:t>April, May and June</w:t>
            </w:r>
            <w:r w:rsidR="00CD39FA">
              <w:rPr>
                <w:rFonts w:ascii="Arial" w:hAnsi="Arial" w:cstheme="minorBidi"/>
                <w:color w:val="FFFFFF" w:themeColor="background1"/>
                <w:szCs w:val="22"/>
              </w:rPr>
              <w:t xml:space="preserve"> 2018</w:t>
            </w:r>
            <w:r w:rsidR="00300A42" w:rsidRPr="00BD5539">
              <w:rPr>
                <w:rFonts w:ascii="Arial" w:hAnsi="Arial" w:cstheme="minorBidi"/>
                <w:color w:val="FFFFFF" w:themeColor="background1"/>
                <w:szCs w:val="22"/>
              </w:rPr>
              <w:t xml:space="preserve"> exceeds a de minimis threshold of &gt;0.25% of energy supplier’s total mandated meter portfolio as at the end of September 2017</w:t>
            </w:r>
          </w:p>
        </w:tc>
      </w:tr>
      <w:tr w:rsidR="00600AEA" w:rsidRPr="0007339F" w:rsidTr="00080F14">
        <w:tc>
          <w:tcPr>
            <w:tcW w:w="8869"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00AEA" w:rsidRDefault="00080F14" w:rsidP="00A919FB">
            <w:pPr>
              <w:pStyle w:val="NormalWeb"/>
              <w:spacing w:after="0"/>
              <w:rPr>
                <w:rFonts w:ascii="Arial" w:hAnsi="Arial" w:cstheme="minorBidi"/>
                <w:szCs w:val="22"/>
              </w:rPr>
            </w:pPr>
            <w:r>
              <w:rPr>
                <w:rFonts w:ascii="Arial" w:hAnsi="Arial" w:cstheme="minorBidi"/>
                <w:szCs w:val="22"/>
              </w:rPr>
              <w:t>[applicant to enter details here]</w:t>
            </w:r>
          </w:p>
          <w:p w:rsidR="00080F14" w:rsidRDefault="00080F14" w:rsidP="00A919FB">
            <w:pPr>
              <w:pStyle w:val="NormalWeb"/>
              <w:spacing w:after="0"/>
              <w:rPr>
                <w:rFonts w:ascii="Arial" w:hAnsi="Arial" w:cstheme="minorBidi"/>
                <w:szCs w:val="22"/>
              </w:rPr>
            </w:pP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00AEA" w:rsidRDefault="00600AEA" w:rsidP="00EE33EB">
            <w:pPr>
              <w:pStyle w:val="NormalWeb"/>
              <w:spacing w:after="0"/>
              <w:rPr>
                <w:rFonts w:ascii="Arial" w:hAnsi="Arial" w:cstheme="minorBidi"/>
                <w:szCs w:val="22"/>
              </w:rPr>
            </w:pPr>
          </w:p>
        </w:tc>
      </w:tr>
      <w:tr w:rsidR="00C76F55" w:rsidRPr="0007339F" w:rsidTr="00C76F55">
        <w:tc>
          <w:tcPr>
            <w:tcW w:w="10145" w:type="dxa"/>
            <w:gridSpan w:val="3"/>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rsidR="00C76F55" w:rsidRPr="00C76F55" w:rsidRDefault="00C76F55" w:rsidP="00C76F55">
            <w:pPr>
              <w:pStyle w:val="NormalWeb"/>
              <w:spacing w:after="0"/>
              <w:rPr>
                <w:rFonts w:ascii="Arial" w:hAnsi="Arial" w:cstheme="minorBidi"/>
                <w:color w:val="FFFFFF" w:themeColor="background1"/>
                <w:szCs w:val="22"/>
              </w:rPr>
            </w:pPr>
            <w:r w:rsidRPr="006135EB">
              <w:rPr>
                <w:rFonts w:ascii="Arial" w:hAnsi="Arial" w:cstheme="minorBidi"/>
                <w:b/>
                <w:color w:val="FFFFFF" w:themeColor="background1"/>
                <w:szCs w:val="22"/>
              </w:rPr>
              <w:t>Criterion 3</w:t>
            </w:r>
            <w:r w:rsidRPr="00C76F55">
              <w:rPr>
                <w:rFonts w:ascii="Arial" w:hAnsi="Arial" w:cstheme="minorBidi"/>
                <w:color w:val="FFFFFF" w:themeColor="background1"/>
                <w:szCs w:val="22"/>
              </w:rPr>
              <w:t>: Applicant is in a position to operate SMETS2 meters</w:t>
            </w:r>
          </w:p>
          <w:p w:rsidR="00C76F55" w:rsidRDefault="00C76F55" w:rsidP="00C76F55">
            <w:pPr>
              <w:pStyle w:val="NormalWeb"/>
              <w:spacing w:after="0"/>
              <w:rPr>
                <w:rFonts w:ascii="Arial" w:hAnsi="Arial" w:cstheme="minorBidi"/>
                <w:szCs w:val="22"/>
              </w:rPr>
            </w:pPr>
            <w:r w:rsidRPr="00C76F55">
              <w:rPr>
                <w:rFonts w:ascii="Arial" w:hAnsi="Arial" w:cstheme="minorBidi"/>
                <w:color w:val="FFFFFF" w:themeColor="background1"/>
                <w:szCs w:val="22"/>
              </w:rPr>
              <w:t>Evidence required: At the point of application, applicant has confirmation from DCC/SECAS that the applicant is a DCC User in the User Role of Gas Supplier and/or Import Supplier (as relevant)</w:t>
            </w:r>
          </w:p>
        </w:tc>
      </w:tr>
      <w:tr w:rsidR="00C76F55" w:rsidRPr="0007339F" w:rsidTr="00080F14">
        <w:tc>
          <w:tcPr>
            <w:tcW w:w="8869"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76F55" w:rsidRDefault="00C76F55" w:rsidP="00A919FB">
            <w:pPr>
              <w:pStyle w:val="NormalWeb"/>
              <w:spacing w:after="0"/>
              <w:rPr>
                <w:rFonts w:ascii="Arial" w:hAnsi="Arial" w:cstheme="minorBidi"/>
                <w:szCs w:val="22"/>
              </w:rPr>
            </w:pPr>
            <w:r>
              <w:rPr>
                <w:rFonts w:ascii="Arial" w:hAnsi="Arial" w:cstheme="minorBidi"/>
                <w:szCs w:val="22"/>
              </w:rPr>
              <w:t>[applicant to enter details here]</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76F55" w:rsidRDefault="00C76F55" w:rsidP="00EE33EB">
            <w:pPr>
              <w:pStyle w:val="NormalWeb"/>
              <w:spacing w:after="0"/>
              <w:rPr>
                <w:rFonts w:ascii="Arial" w:hAnsi="Arial" w:cstheme="minorBidi"/>
                <w:szCs w:val="22"/>
              </w:rPr>
            </w:pPr>
          </w:p>
        </w:tc>
      </w:tr>
    </w:tbl>
    <w:p w:rsidR="00C008D8" w:rsidRDefault="00C008D8" w:rsidP="00C008D8">
      <w:pPr>
        <w:spacing w:after="0" w:line="240" w:lineRule="auto"/>
        <w:ind w:left="426"/>
        <w:jc w:val="both"/>
      </w:pPr>
    </w:p>
    <w:p w:rsidR="008A6957" w:rsidRDefault="008A6957" w:rsidP="004B6DD2">
      <w:pPr>
        <w:spacing w:after="0" w:line="240" w:lineRule="auto"/>
        <w:ind w:left="426"/>
        <w:jc w:val="both"/>
        <w:sectPr w:rsidR="008A6957" w:rsidSect="008A6957">
          <w:pgSz w:w="11906" w:h="16838" w:code="9"/>
          <w:pgMar w:top="1134" w:right="851" w:bottom="851" w:left="851" w:header="567" w:footer="567" w:gutter="0"/>
          <w:cols w:space="720"/>
          <w:formProt w:val="0"/>
          <w:docGrid w:linePitch="326"/>
        </w:sectPr>
      </w:pPr>
    </w:p>
    <w:p w:rsidR="004B6DD2" w:rsidRDefault="004B6DD2" w:rsidP="004B6DD2">
      <w:pPr>
        <w:spacing w:after="0" w:line="240" w:lineRule="auto"/>
        <w:ind w:left="426"/>
        <w:jc w:val="both"/>
      </w:pPr>
    </w:p>
    <w:p w:rsidR="004B6DD2" w:rsidRDefault="003B07E3" w:rsidP="00011D40">
      <w:pPr>
        <w:numPr>
          <w:ilvl w:val="0"/>
          <w:numId w:val="14"/>
        </w:numPr>
        <w:spacing w:after="0" w:line="240" w:lineRule="auto"/>
        <w:ind w:left="426" w:hanging="426"/>
        <w:jc w:val="both"/>
      </w:pPr>
      <w:r>
        <w:t xml:space="preserve">If an applicant scores “yes” to all sections of Part A then they are eligible and should complete Part B, the approval criteria.  </w:t>
      </w:r>
      <w:r w:rsidR="006F3A0E">
        <w:t>Applicants who are eligible for Part A should submit both Part A and Part B as part of their application</w:t>
      </w:r>
      <w:r>
        <w:t>.</w:t>
      </w:r>
    </w:p>
    <w:p w:rsidR="007943A6" w:rsidRDefault="007943A6" w:rsidP="004C0C05">
      <w:pPr>
        <w:spacing w:after="0" w:line="240" w:lineRule="auto"/>
        <w:ind w:left="426"/>
        <w:jc w:val="both"/>
      </w:pPr>
    </w:p>
    <w:tbl>
      <w:tblPr>
        <w:tblW w:w="14681"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3350"/>
        <w:gridCol w:w="9771"/>
        <w:gridCol w:w="1560"/>
      </w:tblGrid>
      <w:tr w:rsidR="007943A6" w:rsidRPr="00310EF2" w:rsidTr="007943A6">
        <w:trPr>
          <w:tblHeader/>
        </w:trPr>
        <w:tc>
          <w:tcPr>
            <w:tcW w:w="14681" w:type="dxa"/>
            <w:gridSpan w:val="3"/>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rsidR="007943A6" w:rsidRPr="00310EF2" w:rsidRDefault="007943A6" w:rsidP="004C0C05">
            <w:pPr>
              <w:pStyle w:val="TableHeader"/>
              <w:framePr w:hSpace="0" w:wrap="auto" w:vAnchor="margin" w:hAnchor="text" w:yAlign="inline"/>
            </w:pPr>
            <w:r>
              <w:t xml:space="preserve">APPLICATION FOR DEROGATION FROM SMETS1 END DATE – PART </w:t>
            </w:r>
            <w:r w:rsidR="004C0C05">
              <w:t>B</w:t>
            </w:r>
            <w:r>
              <w:t xml:space="preserve">: EVIDENCE TO SUPPORT </w:t>
            </w:r>
            <w:r w:rsidR="004C0C05">
              <w:t>APPROVAL OF DEROGATIO</w:t>
            </w:r>
            <w:r>
              <w:t>N</w:t>
            </w:r>
          </w:p>
        </w:tc>
      </w:tr>
      <w:tr w:rsidR="007943A6" w:rsidRPr="0056751A" w:rsidTr="007943A6">
        <w:trPr>
          <w:tblHeader/>
        </w:trPr>
        <w:tc>
          <w:tcPr>
            <w:tcW w:w="33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943A6" w:rsidRPr="0056751A" w:rsidRDefault="007943A6" w:rsidP="000B5B40">
            <w:pPr>
              <w:pStyle w:val="TableHeader"/>
              <w:framePr w:hSpace="0" w:wrap="auto" w:vAnchor="margin" w:hAnchor="text" w:yAlign="inline"/>
              <w:rPr>
                <w:color w:val="auto"/>
              </w:rPr>
            </w:pPr>
            <w:r>
              <w:rPr>
                <w:color w:val="auto"/>
              </w:rPr>
              <w:t>Organisation name:</w:t>
            </w:r>
          </w:p>
        </w:tc>
        <w:tc>
          <w:tcPr>
            <w:tcW w:w="11331" w:type="dxa"/>
            <w:gridSpan w:val="2"/>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943A6" w:rsidRPr="0056751A" w:rsidRDefault="007943A6" w:rsidP="000B5B40">
            <w:pPr>
              <w:pStyle w:val="TableHeader"/>
              <w:framePr w:hSpace="0" w:wrap="auto" w:vAnchor="margin" w:hAnchor="text" w:yAlign="inline"/>
              <w:rPr>
                <w:color w:val="auto"/>
              </w:rPr>
            </w:pPr>
          </w:p>
        </w:tc>
      </w:tr>
      <w:tr w:rsidR="007943A6" w:rsidRPr="0056751A" w:rsidTr="007943A6">
        <w:trPr>
          <w:tblHeader/>
        </w:trPr>
        <w:tc>
          <w:tcPr>
            <w:tcW w:w="33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943A6" w:rsidRDefault="007943A6" w:rsidP="000B5B40">
            <w:pPr>
              <w:pStyle w:val="TableHeader"/>
              <w:framePr w:hSpace="0" w:wrap="auto" w:vAnchor="margin" w:hAnchor="text" w:yAlign="inline"/>
              <w:rPr>
                <w:color w:val="auto"/>
              </w:rPr>
            </w:pPr>
            <w:r>
              <w:rPr>
                <w:color w:val="auto"/>
              </w:rPr>
              <w:t>Name of contact:</w:t>
            </w:r>
          </w:p>
        </w:tc>
        <w:tc>
          <w:tcPr>
            <w:tcW w:w="11331" w:type="dxa"/>
            <w:gridSpan w:val="2"/>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943A6" w:rsidRPr="0056751A" w:rsidRDefault="007943A6" w:rsidP="000B5B40">
            <w:pPr>
              <w:pStyle w:val="TableHeader"/>
              <w:framePr w:hSpace="0" w:wrap="auto" w:vAnchor="margin" w:hAnchor="text" w:yAlign="inline"/>
              <w:rPr>
                <w:color w:val="auto"/>
              </w:rPr>
            </w:pPr>
          </w:p>
        </w:tc>
      </w:tr>
      <w:tr w:rsidR="007943A6" w:rsidRPr="0056751A" w:rsidTr="007943A6">
        <w:trPr>
          <w:tblHeader/>
        </w:trPr>
        <w:tc>
          <w:tcPr>
            <w:tcW w:w="33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943A6" w:rsidRDefault="007943A6" w:rsidP="000B5B40">
            <w:pPr>
              <w:pStyle w:val="TableHeader"/>
              <w:framePr w:hSpace="0" w:wrap="auto" w:vAnchor="margin" w:hAnchor="text" w:yAlign="inline"/>
              <w:rPr>
                <w:color w:val="auto"/>
              </w:rPr>
            </w:pPr>
            <w:r>
              <w:rPr>
                <w:color w:val="auto"/>
              </w:rPr>
              <w:t>Contact e-mail address:</w:t>
            </w:r>
          </w:p>
        </w:tc>
        <w:tc>
          <w:tcPr>
            <w:tcW w:w="11331" w:type="dxa"/>
            <w:gridSpan w:val="2"/>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943A6" w:rsidRPr="0056751A" w:rsidRDefault="007943A6" w:rsidP="000B5B40">
            <w:pPr>
              <w:pStyle w:val="TableHeader"/>
              <w:framePr w:hSpace="0" w:wrap="auto" w:vAnchor="margin" w:hAnchor="text" w:yAlign="inline"/>
              <w:rPr>
                <w:color w:val="auto"/>
              </w:rPr>
            </w:pPr>
          </w:p>
        </w:tc>
      </w:tr>
      <w:tr w:rsidR="007943A6" w:rsidRPr="0056751A" w:rsidTr="007943A6">
        <w:trPr>
          <w:tblHeader/>
        </w:trPr>
        <w:tc>
          <w:tcPr>
            <w:tcW w:w="33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943A6" w:rsidRDefault="007943A6" w:rsidP="000B5B40">
            <w:pPr>
              <w:pStyle w:val="TableHeader"/>
              <w:framePr w:hSpace="0" w:wrap="auto" w:vAnchor="margin" w:hAnchor="text" w:yAlign="inline"/>
              <w:rPr>
                <w:color w:val="auto"/>
              </w:rPr>
            </w:pPr>
            <w:r>
              <w:rPr>
                <w:color w:val="auto"/>
              </w:rPr>
              <w:t>Contact telephone number:</w:t>
            </w:r>
          </w:p>
        </w:tc>
        <w:tc>
          <w:tcPr>
            <w:tcW w:w="11331" w:type="dxa"/>
            <w:gridSpan w:val="2"/>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943A6" w:rsidRPr="0056751A" w:rsidRDefault="007943A6" w:rsidP="000B5B40">
            <w:pPr>
              <w:pStyle w:val="TableHeader"/>
              <w:framePr w:hSpace="0" w:wrap="auto" w:vAnchor="margin" w:hAnchor="text" w:yAlign="inline"/>
              <w:rPr>
                <w:color w:val="auto"/>
              </w:rPr>
            </w:pPr>
          </w:p>
        </w:tc>
      </w:tr>
      <w:tr w:rsidR="007943A6" w:rsidRPr="0056751A" w:rsidTr="007943A6">
        <w:trPr>
          <w:tblHeader/>
        </w:trPr>
        <w:tc>
          <w:tcPr>
            <w:tcW w:w="14681" w:type="dxa"/>
            <w:gridSpan w:val="3"/>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rsidR="007943A6" w:rsidRDefault="007943A6" w:rsidP="000B5B40">
            <w:pPr>
              <w:pStyle w:val="TableHeader"/>
              <w:framePr w:hSpace="0" w:wrap="auto" w:vAnchor="margin" w:hAnchor="text" w:yAlign="inline"/>
              <w:rPr>
                <w:b w:val="0"/>
              </w:rPr>
            </w:pPr>
            <w:r>
              <w:t xml:space="preserve">Criterion 1: </w:t>
            </w:r>
            <w:r>
              <w:rPr>
                <w:b w:val="0"/>
              </w:rPr>
              <w:t>The eligible applicant has demonstrated a clear plan to complete an effective transition from SMETS1 to SMETS2 by 13 July 2018</w:t>
            </w:r>
            <w:r w:rsidR="004C0C05">
              <w:rPr>
                <w:b w:val="0"/>
              </w:rPr>
              <w:t>.</w:t>
            </w:r>
          </w:p>
          <w:p w:rsidR="004C0C05" w:rsidRPr="004C0C05" w:rsidRDefault="004C0C05" w:rsidP="000B5B40">
            <w:pPr>
              <w:pStyle w:val="TableHeader"/>
              <w:framePr w:hSpace="0" w:wrap="auto" w:vAnchor="margin" w:hAnchor="text" w:yAlign="inline"/>
              <w:rPr>
                <w:b w:val="0"/>
              </w:rPr>
            </w:pPr>
            <w:r>
              <w:t xml:space="preserve">Evidence: </w:t>
            </w:r>
            <w:r>
              <w:rPr>
                <w:b w:val="0"/>
              </w:rPr>
              <w:t>The applicant to provide evidence of a well-planned and resourced transition which will complete the cutover from SMETS1 to SMETS2 by 13 July 2018.</w:t>
            </w:r>
            <w:r w:rsidR="00792F7A">
              <w:rPr>
                <w:b w:val="0"/>
              </w:rPr>
              <w:t xml:space="preserve"> </w:t>
            </w:r>
          </w:p>
        </w:tc>
      </w:tr>
      <w:tr w:rsidR="007943A6" w:rsidRPr="0056751A" w:rsidTr="007943A6">
        <w:trPr>
          <w:tblHeader/>
        </w:trPr>
        <w:tc>
          <w:tcPr>
            <w:tcW w:w="13121" w:type="dxa"/>
            <w:gridSpan w:val="2"/>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943A6" w:rsidRDefault="004C0C05" w:rsidP="000B5B40">
            <w:pPr>
              <w:pStyle w:val="TableHeader"/>
              <w:framePr w:hSpace="0" w:wrap="auto" w:vAnchor="margin" w:hAnchor="text" w:yAlign="inline"/>
              <w:rPr>
                <w:color w:val="auto"/>
              </w:rPr>
            </w:pPr>
            <w:r>
              <w:rPr>
                <w:color w:val="auto"/>
              </w:rPr>
              <w:t>Please use Annex A below for this criteria.  Do not enter any information in this box.</w:t>
            </w:r>
          </w:p>
        </w:tc>
        <w:tc>
          <w:tcPr>
            <w:tcW w:w="15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943A6" w:rsidRPr="007943A6" w:rsidRDefault="007943A6" w:rsidP="000B5B40">
            <w:pPr>
              <w:pStyle w:val="TableHeader"/>
              <w:framePr w:hSpace="0" w:wrap="auto" w:vAnchor="margin" w:hAnchor="text" w:yAlign="inline"/>
              <w:rPr>
                <w:b w:val="0"/>
                <w:color w:val="auto"/>
              </w:rPr>
            </w:pPr>
            <w:r>
              <w:rPr>
                <w:b w:val="0"/>
                <w:color w:val="auto"/>
              </w:rPr>
              <w:t>Column for BEIS use only</w:t>
            </w:r>
          </w:p>
        </w:tc>
      </w:tr>
      <w:tr w:rsidR="00792F7A" w:rsidRPr="0056751A" w:rsidTr="00792F7A">
        <w:trPr>
          <w:tblHeader/>
        </w:trPr>
        <w:tc>
          <w:tcPr>
            <w:tcW w:w="14681" w:type="dxa"/>
            <w:gridSpan w:val="3"/>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rsidR="00792F7A" w:rsidRPr="00A5592E" w:rsidRDefault="00A5592E" w:rsidP="000B5B40">
            <w:pPr>
              <w:pStyle w:val="TableHeader"/>
              <w:framePr w:hSpace="0" w:wrap="auto" w:vAnchor="margin" w:hAnchor="text" w:yAlign="inline"/>
              <w:rPr>
                <w:color w:val="auto"/>
              </w:rPr>
            </w:pPr>
            <w:r>
              <w:t xml:space="preserve">Criteria 2: </w:t>
            </w:r>
            <w:r>
              <w:rPr>
                <w:b w:val="0"/>
              </w:rPr>
              <w:t>The eligible applicant has taken reasonable steps to mitigate the operational and commercial impacts of transitioning from SMETS1 to SMETS2 electricity and gas meters.</w:t>
            </w:r>
          </w:p>
          <w:p w:rsidR="00A5592E" w:rsidRPr="00A5592E" w:rsidRDefault="00A5592E" w:rsidP="000B5B40">
            <w:pPr>
              <w:pStyle w:val="TableHeader"/>
              <w:framePr w:hSpace="0" w:wrap="auto" w:vAnchor="margin" w:hAnchor="text" w:yAlign="inline"/>
              <w:rPr>
                <w:b w:val="0"/>
              </w:rPr>
            </w:pPr>
            <w:r>
              <w:t xml:space="preserve">Evidence: </w:t>
            </w:r>
            <w:r w:rsidRPr="00A5592E">
              <w:rPr>
                <w:b w:val="0"/>
              </w:rPr>
              <w:t xml:space="preserve">1) </w:t>
            </w:r>
            <w:r>
              <w:rPr>
                <w:b w:val="0"/>
              </w:rPr>
              <w:t xml:space="preserve">Explanation of steps taken to mitigate the operational risks of transition [500 words} 2) Explanation of steps taken to mitigate the commercial risks of transition [500 words]  </w:t>
            </w:r>
          </w:p>
        </w:tc>
      </w:tr>
      <w:tr w:rsidR="00792F7A" w:rsidRPr="0056751A" w:rsidTr="007943A6">
        <w:trPr>
          <w:tblHeader/>
        </w:trPr>
        <w:tc>
          <w:tcPr>
            <w:tcW w:w="13121" w:type="dxa"/>
            <w:gridSpan w:val="2"/>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92F7A" w:rsidRDefault="00A5592E" w:rsidP="000B5B40">
            <w:pPr>
              <w:pStyle w:val="TableHeader"/>
              <w:framePr w:hSpace="0" w:wrap="auto" w:vAnchor="margin" w:hAnchor="text" w:yAlign="inline"/>
              <w:rPr>
                <w:color w:val="auto"/>
              </w:rPr>
            </w:pPr>
            <w:r>
              <w:rPr>
                <w:color w:val="auto"/>
              </w:rPr>
              <w:t>[applicant to enter details here</w:t>
            </w:r>
            <w:r w:rsidR="00806489">
              <w:rPr>
                <w:color w:val="auto"/>
              </w:rPr>
              <w:t>: maximum 500 words for point (1), maximum 500 words for point (2)</w:t>
            </w:r>
            <w:r w:rsidR="008B3359">
              <w:rPr>
                <w:color w:val="auto"/>
              </w:rPr>
              <w:t>]</w:t>
            </w:r>
          </w:p>
          <w:p w:rsidR="003023B9" w:rsidRDefault="003023B9" w:rsidP="000B5B40">
            <w:pPr>
              <w:pStyle w:val="TableHeader"/>
              <w:framePr w:hSpace="0" w:wrap="auto" w:vAnchor="margin" w:hAnchor="text" w:yAlign="inline"/>
              <w:rPr>
                <w:color w:val="auto"/>
              </w:rPr>
            </w:pPr>
          </w:p>
        </w:tc>
        <w:tc>
          <w:tcPr>
            <w:tcW w:w="15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792F7A" w:rsidRDefault="00792F7A" w:rsidP="000B5B40">
            <w:pPr>
              <w:pStyle w:val="TableHeader"/>
              <w:framePr w:hSpace="0" w:wrap="auto" w:vAnchor="margin" w:hAnchor="text" w:yAlign="inline"/>
              <w:rPr>
                <w:b w:val="0"/>
                <w:color w:val="auto"/>
              </w:rPr>
            </w:pPr>
          </w:p>
        </w:tc>
      </w:tr>
      <w:tr w:rsidR="003023B9" w:rsidRPr="0056751A" w:rsidTr="003023B9">
        <w:trPr>
          <w:tblHeader/>
        </w:trPr>
        <w:tc>
          <w:tcPr>
            <w:tcW w:w="14681" w:type="dxa"/>
            <w:gridSpan w:val="3"/>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rsidR="003023B9" w:rsidRDefault="003023B9" w:rsidP="003023B9">
            <w:pPr>
              <w:pStyle w:val="TableHeader"/>
              <w:framePr w:hSpace="0" w:wrap="auto" w:vAnchor="margin" w:hAnchor="text" w:yAlign="inline"/>
              <w:rPr>
                <w:b w:val="0"/>
              </w:rPr>
            </w:pPr>
            <w:r>
              <w:t xml:space="preserve">Criteria 3: </w:t>
            </w:r>
            <w:r>
              <w:rPr>
                <w:b w:val="0"/>
              </w:rPr>
              <w:t xml:space="preserve">Material residual risks remain despite reasonable efforts by the applicant to mitigate them that could be relieved in whole or </w:t>
            </w:r>
            <w:r w:rsidR="00EA4851">
              <w:rPr>
                <w:b w:val="0"/>
              </w:rPr>
              <w:t xml:space="preserve">in </w:t>
            </w:r>
            <w:r>
              <w:rPr>
                <w:b w:val="0"/>
              </w:rPr>
              <w:t>part through a derogation.</w:t>
            </w:r>
          </w:p>
          <w:p w:rsidR="003023B9" w:rsidRPr="003023B9" w:rsidRDefault="003023B9" w:rsidP="003023B9">
            <w:pPr>
              <w:pStyle w:val="TableHeader"/>
              <w:framePr w:hSpace="0" w:wrap="auto" w:vAnchor="margin" w:hAnchor="text" w:yAlign="inline"/>
              <w:rPr>
                <w:b w:val="0"/>
              </w:rPr>
            </w:pPr>
            <w:r>
              <w:t xml:space="preserve">Evidence: </w:t>
            </w:r>
            <w:r w:rsidR="001338A3" w:rsidRPr="001338A3">
              <w:rPr>
                <w:b w:val="0"/>
              </w:rPr>
              <w:t xml:space="preserve">1) </w:t>
            </w:r>
            <w:r>
              <w:rPr>
                <w:b w:val="0"/>
              </w:rPr>
              <w:t>Statement  of the principal operational and commercial risks that remain despite mitigating actions and explanation of impact</w:t>
            </w:r>
            <w:r w:rsidR="001338A3">
              <w:rPr>
                <w:b w:val="0"/>
              </w:rPr>
              <w:t xml:space="preserve"> [500 words]. 2) Cause and quantum of the likely</w:t>
            </w:r>
            <w:r w:rsidR="00806489">
              <w:rPr>
                <w:b w:val="0"/>
              </w:rPr>
              <w:t xml:space="preserve"> financial impact of the residual risks [250 words].  3) Explanation of how the applicant would use the additional flexibility to reduce these residual risks [500 words].</w:t>
            </w:r>
          </w:p>
        </w:tc>
      </w:tr>
      <w:tr w:rsidR="003023B9" w:rsidRPr="0056751A" w:rsidTr="007943A6">
        <w:trPr>
          <w:tblHeader/>
        </w:trPr>
        <w:tc>
          <w:tcPr>
            <w:tcW w:w="13121" w:type="dxa"/>
            <w:gridSpan w:val="2"/>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3023B9" w:rsidRDefault="00806489" w:rsidP="000B5B40">
            <w:pPr>
              <w:pStyle w:val="TableHeader"/>
              <w:framePr w:hSpace="0" w:wrap="auto" w:vAnchor="margin" w:hAnchor="text" w:yAlign="inline"/>
              <w:rPr>
                <w:color w:val="auto"/>
              </w:rPr>
            </w:pPr>
            <w:r>
              <w:rPr>
                <w:color w:val="auto"/>
              </w:rPr>
              <w:t>[applicant to enter details here: maximum 500 words for point (1), maximum 250 words for point (2), maximum 500 words for point (3)</w:t>
            </w:r>
          </w:p>
        </w:tc>
        <w:tc>
          <w:tcPr>
            <w:tcW w:w="15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3023B9" w:rsidRDefault="003023B9" w:rsidP="000B5B40">
            <w:pPr>
              <w:pStyle w:val="TableHeader"/>
              <w:framePr w:hSpace="0" w:wrap="auto" w:vAnchor="margin" w:hAnchor="text" w:yAlign="inline"/>
              <w:rPr>
                <w:b w:val="0"/>
                <w:color w:val="auto"/>
              </w:rPr>
            </w:pPr>
          </w:p>
        </w:tc>
      </w:tr>
      <w:tr w:rsidR="00806489" w:rsidRPr="0056751A" w:rsidTr="00806489">
        <w:trPr>
          <w:tblHeader/>
        </w:trPr>
        <w:tc>
          <w:tcPr>
            <w:tcW w:w="14681" w:type="dxa"/>
            <w:gridSpan w:val="3"/>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rsidR="00806489" w:rsidRDefault="00806489" w:rsidP="000B5B40">
            <w:pPr>
              <w:pStyle w:val="TableHeader"/>
              <w:framePr w:hSpace="0" w:wrap="auto" w:vAnchor="margin" w:hAnchor="text" w:yAlign="inline"/>
              <w:rPr>
                <w:b w:val="0"/>
              </w:rPr>
            </w:pPr>
            <w:r>
              <w:t xml:space="preserve">Criteria 4: </w:t>
            </w:r>
            <w:r>
              <w:rPr>
                <w:b w:val="0"/>
              </w:rPr>
              <w:t>The derogation quantity requested is proportionate to the level of residual risk, within the quantity</w:t>
            </w:r>
            <w:r w:rsidR="00BC0AF2">
              <w:rPr>
                <w:b w:val="0"/>
              </w:rPr>
              <w:t xml:space="preserve"> cap and will be deployed within 6 months of 13 July 2018</w:t>
            </w:r>
          </w:p>
          <w:p w:rsidR="00BC0AF2" w:rsidRPr="00BC0AF2" w:rsidRDefault="00BC0AF2" w:rsidP="00FF755B">
            <w:pPr>
              <w:pStyle w:val="TableHeader"/>
              <w:framePr w:hSpace="0" w:wrap="auto" w:vAnchor="margin" w:hAnchor="text" w:yAlign="inline"/>
              <w:rPr>
                <w:b w:val="0"/>
              </w:rPr>
            </w:pPr>
            <w:r>
              <w:t xml:space="preserve">Evidence: </w:t>
            </w:r>
            <w:r w:rsidR="000D39ED" w:rsidRPr="000D39ED">
              <w:rPr>
                <w:b w:val="0"/>
              </w:rPr>
              <w:t>1)</w:t>
            </w:r>
            <w:r w:rsidR="000D39ED">
              <w:rPr>
                <w:b w:val="0"/>
              </w:rPr>
              <w:t xml:space="preserve"> Applicant to specify whether the quantity is referenced to actual smart meter installations in July, August and September 2017 or planned smart meter installations in April, May and June 2018. 2</w:t>
            </w:r>
            <w:r w:rsidRPr="000D39ED">
              <w:rPr>
                <w:b w:val="0"/>
              </w:rPr>
              <w:t>)</w:t>
            </w:r>
            <w:r>
              <w:t xml:space="preserve"> </w:t>
            </w:r>
            <w:r>
              <w:rPr>
                <w:b w:val="0"/>
              </w:rPr>
              <w:t xml:space="preserve">Quantity of SMETS1 compliant electricity meters to be deployed after 13 July 2018.  </w:t>
            </w:r>
            <w:r w:rsidR="000D39ED">
              <w:rPr>
                <w:b w:val="0"/>
              </w:rPr>
              <w:t>3</w:t>
            </w:r>
            <w:r>
              <w:rPr>
                <w:b w:val="0"/>
              </w:rPr>
              <w:t xml:space="preserve">) Quantity of SMETS1 compliant  gas meters to be deployed after 13 July 2018.  </w:t>
            </w:r>
            <w:r w:rsidR="000D39ED">
              <w:rPr>
                <w:b w:val="0"/>
              </w:rPr>
              <w:t>4</w:t>
            </w:r>
            <w:r>
              <w:rPr>
                <w:b w:val="0"/>
              </w:rPr>
              <w:t xml:space="preserve">) Explanation of how the requested quantity is consistent with the risk to be mitigated and will be installed by no later than 13 January 2019 [500 words].  </w:t>
            </w:r>
          </w:p>
        </w:tc>
      </w:tr>
      <w:tr w:rsidR="00806489" w:rsidRPr="0056751A" w:rsidTr="007943A6">
        <w:trPr>
          <w:tblHeader/>
        </w:trPr>
        <w:tc>
          <w:tcPr>
            <w:tcW w:w="13121" w:type="dxa"/>
            <w:gridSpan w:val="2"/>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806489" w:rsidRDefault="00BC0AF2" w:rsidP="000B5B40">
            <w:pPr>
              <w:pStyle w:val="TableHeader"/>
              <w:framePr w:hSpace="0" w:wrap="auto" w:vAnchor="margin" w:hAnchor="text" w:yAlign="inline"/>
              <w:rPr>
                <w:color w:val="auto"/>
              </w:rPr>
            </w:pPr>
            <w:r>
              <w:rPr>
                <w:color w:val="auto"/>
              </w:rPr>
              <w:t>[applicant to enter details here:  maximum 500 words for point (3).</w:t>
            </w:r>
          </w:p>
        </w:tc>
        <w:tc>
          <w:tcPr>
            <w:tcW w:w="15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806489" w:rsidRDefault="00806489" w:rsidP="000B5B40">
            <w:pPr>
              <w:pStyle w:val="TableHeader"/>
              <w:framePr w:hSpace="0" w:wrap="auto" w:vAnchor="margin" w:hAnchor="text" w:yAlign="inline"/>
              <w:rPr>
                <w:b w:val="0"/>
                <w:color w:val="auto"/>
              </w:rPr>
            </w:pPr>
          </w:p>
        </w:tc>
      </w:tr>
      <w:tr w:rsidR="000B5B40" w:rsidRPr="0056751A" w:rsidTr="000B5B40">
        <w:trPr>
          <w:tblHeader/>
        </w:trPr>
        <w:tc>
          <w:tcPr>
            <w:tcW w:w="14681" w:type="dxa"/>
            <w:gridSpan w:val="3"/>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rsidR="000B5B40" w:rsidRPr="000B5B40" w:rsidRDefault="000B5B40" w:rsidP="00FF755B">
            <w:pPr>
              <w:pStyle w:val="TableHeader"/>
              <w:framePr w:hSpace="0" w:wrap="auto" w:vAnchor="margin" w:hAnchor="text" w:yAlign="inline"/>
              <w:rPr>
                <w:b w:val="0"/>
              </w:rPr>
            </w:pPr>
            <w:r>
              <w:t xml:space="preserve">Criteria 5: </w:t>
            </w:r>
            <w:r>
              <w:rPr>
                <w:b w:val="0"/>
              </w:rPr>
              <w:t xml:space="preserve">If deemed eligible, how will the applicant demonstrate </w:t>
            </w:r>
            <w:r w:rsidR="006D7F9C">
              <w:rPr>
                <w:b w:val="0"/>
              </w:rPr>
              <w:t xml:space="preserve">to BEIS and Ofgem </w:t>
            </w:r>
            <w:r>
              <w:rPr>
                <w:b w:val="0"/>
              </w:rPr>
              <w:t>that they will install SMETS</w:t>
            </w:r>
            <w:r w:rsidR="00EA4851">
              <w:rPr>
                <w:b w:val="0"/>
              </w:rPr>
              <w:t>1</w:t>
            </w:r>
            <w:r>
              <w:rPr>
                <w:b w:val="0"/>
              </w:rPr>
              <w:t xml:space="preserve"> compliant devices after the SMETS1 end date in a manner that is consistent with the derogation</w:t>
            </w:r>
            <w:r w:rsidR="000740BB">
              <w:rPr>
                <w:b w:val="0"/>
              </w:rPr>
              <w:t xml:space="preserve"> in terms of complying with the time limit and quantity cap</w:t>
            </w:r>
            <w:r>
              <w:rPr>
                <w:b w:val="0"/>
              </w:rPr>
              <w:t xml:space="preserve">? [250 words] </w:t>
            </w:r>
          </w:p>
        </w:tc>
      </w:tr>
      <w:tr w:rsidR="00BC0AF2" w:rsidRPr="0056751A" w:rsidTr="007943A6">
        <w:trPr>
          <w:tblHeader/>
        </w:trPr>
        <w:tc>
          <w:tcPr>
            <w:tcW w:w="13121" w:type="dxa"/>
            <w:gridSpan w:val="2"/>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BC0AF2" w:rsidRDefault="000B5B40" w:rsidP="000B5B40">
            <w:pPr>
              <w:pStyle w:val="TableHeader"/>
              <w:framePr w:hSpace="0" w:wrap="auto" w:vAnchor="margin" w:hAnchor="text" w:yAlign="inline"/>
              <w:rPr>
                <w:color w:val="auto"/>
              </w:rPr>
            </w:pPr>
            <w:r>
              <w:rPr>
                <w:color w:val="auto"/>
              </w:rPr>
              <w:t>[applicant to enter details here: maximum 250 words]</w:t>
            </w:r>
          </w:p>
        </w:tc>
        <w:tc>
          <w:tcPr>
            <w:tcW w:w="15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BC0AF2" w:rsidRDefault="00BC0AF2" w:rsidP="000B5B40">
            <w:pPr>
              <w:pStyle w:val="TableHeader"/>
              <w:framePr w:hSpace="0" w:wrap="auto" w:vAnchor="margin" w:hAnchor="text" w:yAlign="inline"/>
              <w:rPr>
                <w:b w:val="0"/>
                <w:color w:val="auto"/>
              </w:rPr>
            </w:pPr>
          </w:p>
        </w:tc>
      </w:tr>
    </w:tbl>
    <w:p w:rsidR="002723AB" w:rsidRDefault="002723AB" w:rsidP="007943A6">
      <w:pPr>
        <w:spacing w:after="0" w:line="240" w:lineRule="auto"/>
        <w:jc w:val="both"/>
      </w:pPr>
    </w:p>
    <w:p w:rsidR="002723AB" w:rsidRDefault="002723AB">
      <w:pPr>
        <w:spacing w:after="160" w:line="259" w:lineRule="auto"/>
      </w:pPr>
      <w:r>
        <w:br w:type="page"/>
      </w:r>
    </w:p>
    <w:p w:rsidR="007943A6" w:rsidRPr="00F4796E" w:rsidRDefault="007943A6" w:rsidP="007943A6">
      <w:pPr>
        <w:spacing w:after="0" w:line="240" w:lineRule="auto"/>
        <w:jc w:val="both"/>
      </w:pPr>
    </w:p>
    <w:p w:rsidR="001D09BB" w:rsidRDefault="00BB4DA7" w:rsidP="00BB4DA7">
      <w:pPr>
        <w:numPr>
          <w:ilvl w:val="0"/>
          <w:numId w:val="14"/>
        </w:numPr>
        <w:spacing w:after="0" w:line="240" w:lineRule="auto"/>
        <w:ind w:left="426" w:hanging="426"/>
        <w:jc w:val="both"/>
      </w:pPr>
      <w:r>
        <w:t>Please complete Annex A for Part B, Criteria 1</w:t>
      </w:r>
      <w:r w:rsidR="00A80F87">
        <w:t xml:space="preserve">.  </w:t>
      </w:r>
      <w:r w:rsidR="002723AB">
        <w:rPr>
          <w:b/>
        </w:rPr>
        <w:t>A</w:t>
      </w:r>
      <w:r w:rsidR="00A80F87" w:rsidRPr="00A80F87">
        <w:rPr>
          <w:b/>
        </w:rPr>
        <w:t xml:space="preserve">cross all sections </w:t>
      </w:r>
      <w:r w:rsidR="002723AB">
        <w:rPr>
          <w:b/>
        </w:rPr>
        <w:t xml:space="preserve">Annex A </w:t>
      </w:r>
      <w:r w:rsidR="00A80F87" w:rsidRPr="00A80F87">
        <w:rPr>
          <w:b/>
        </w:rPr>
        <w:t>must be a maximum of 2500 words.</w:t>
      </w:r>
      <w:r>
        <w:t xml:space="preserve">. </w:t>
      </w:r>
    </w:p>
    <w:p w:rsidR="00BB4DA7" w:rsidRDefault="00BB4DA7" w:rsidP="00FA26E0">
      <w:pPr>
        <w:pStyle w:val="NormalWeb"/>
        <w:spacing w:after="0"/>
        <w:rPr>
          <w:rFonts w:ascii="Arial" w:hAnsi="Arial" w:cstheme="minorBidi"/>
          <w:szCs w:val="22"/>
        </w:rPr>
      </w:pPr>
    </w:p>
    <w:tbl>
      <w:tblPr>
        <w:tblW w:w="14681"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3350"/>
        <w:gridCol w:w="9771"/>
        <w:gridCol w:w="1560"/>
      </w:tblGrid>
      <w:tr w:rsidR="004C0C05" w:rsidRPr="00310EF2" w:rsidTr="000B5B40">
        <w:trPr>
          <w:tblHeader/>
        </w:trPr>
        <w:tc>
          <w:tcPr>
            <w:tcW w:w="14681" w:type="dxa"/>
            <w:gridSpan w:val="3"/>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rsidR="004C0C05" w:rsidRPr="00310EF2" w:rsidRDefault="004C0C05" w:rsidP="004C0C05">
            <w:pPr>
              <w:pStyle w:val="TableHeader"/>
              <w:framePr w:hSpace="0" w:wrap="auto" w:vAnchor="margin" w:hAnchor="text" w:yAlign="inline"/>
            </w:pPr>
            <w:r>
              <w:t>APPLICATION FOR DEROGATION FROM SMETS1 END DATE – ANNEX A: TO BE COMPLETED FOR PART B, CRITERIA 1</w:t>
            </w:r>
            <w:r w:rsidR="00A80F87">
              <w:t xml:space="preserve">.  </w:t>
            </w:r>
            <w:r w:rsidR="00A80F87" w:rsidRPr="00A80F87">
              <w:rPr>
                <w:sz w:val="28"/>
                <w:szCs w:val="28"/>
              </w:rPr>
              <w:t>MAXIMUM OF 2500 WORDS ACROSS ALL SECTIONS</w:t>
            </w:r>
          </w:p>
        </w:tc>
      </w:tr>
      <w:tr w:rsidR="004C0C05" w:rsidRPr="0056751A" w:rsidTr="000B5B40">
        <w:trPr>
          <w:tblHeader/>
        </w:trPr>
        <w:tc>
          <w:tcPr>
            <w:tcW w:w="33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4C0C05" w:rsidRPr="0056751A" w:rsidRDefault="004C0C05" w:rsidP="000B5B40">
            <w:pPr>
              <w:pStyle w:val="TableHeader"/>
              <w:framePr w:hSpace="0" w:wrap="auto" w:vAnchor="margin" w:hAnchor="text" w:yAlign="inline"/>
              <w:rPr>
                <w:color w:val="auto"/>
              </w:rPr>
            </w:pPr>
            <w:r>
              <w:rPr>
                <w:color w:val="auto"/>
              </w:rPr>
              <w:t>Organisation name:</w:t>
            </w:r>
          </w:p>
        </w:tc>
        <w:tc>
          <w:tcPr>
            <w:tcW w:w="11331" w:type="dxa"/>
            <w:gridSpan w:val="2"/>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4C0C05" w:rsidRPr="0056751A" w:rsidRDefault="004C0C05" w:rsidP="000B5B40">
            <w:pPr>
              <w:pStyle w:val="TableHeader"/>
              <w:framePr w:hSpace="0" w:wrap="auto" w:vAnchor="margin" w:hAnchor="text" w:yAlign="inline"/>
              <w:rPr>
                <w:color w:val="auto"/>
              </w:rPr>
            </w:pPr>
          </w:p>
        </w:tc>
      </w:tr>
      <w:tr w:rsidR="004C0C05" w:rsidRPr="0056751A" w:rsidTr="000B5B40">
        <w:trPr>
          <w:tblHeader/>
        </w:trPr>
        <w:tc>
          <w:tcPr>
            <w:tcW w:w="33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4C0C05" w:rsidRDefault="004C0C05" w:rsidP="000B5B40">
            <w:pPr>
              <w:pStyle w:val="TableHeader"/>
              <w:framePr w:hSpace="0" w:wrap="auto" w:vAnchor="margin" w:hAnchor="text" w:yAlign="inline"/>
              <w:rPr>
                <w:color w:val="auto"/>
              </w:rPr>
            </w:pPr>
            <w:r>
              <w:rPr>
                <w:color w:val="auto"/>
              </w:rPr>
              <w:t>Name of contact:</w:t>
            </w:r>
          </w:p>
        </w:tc>
        <w:tc>
          <w:tcPr>
            <w:tcW w:w="11331" w:type="dxa"/>
            <w:gridSpan w:val="2"/>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4C0C05" w:rsidRPr="0056751A" w:rsidRDefault="004C0C05" w:rsidP="000B5B40">
            <w:pPr>
              <w:pStyle w:val="TableHeader"/>
              <w:framePr w:hSpace="0" w:wrap="auto" w:vAnchor="margin" w:hAnchor="text" w:yAlign="inline"/>
              <w:rPr>
                <w:color w:val="auto"/>
              </w:rPr>
            </w:pPr>
          </w:p>
        </w:tc>
      </w:tr>
      <w:tr w:rsidR="004C0C05" w:rsidRPr="0056751A" w:rsidTr="000B5B40">
        <w:trPr>
          <w:tblHeader/>
        </w:trPr>
        <w:tc>
          <w:tcPr>
            <w:tcW w:w="33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4C0C05" w:rsidRDefault="004C0C05" w:rsidP="000B5B40">
            <w:pPr>
              <w:pStyle w:val="TableHeader"/>
              <w:framePr w:hSpace="0" w:wrap="auto" w:vAnchor="margin" w:hAnchor="text" w:yAlign="inline"/>
              <w:rPr>
                <w:color w:val="auto"/>
              </w:rPr>
            </w:pPr>
            <w:r>
              <w:rPr>
                <w:color w:val="auto"/>
              </w:rPr>
              <w:t>Contact e-mail address:</w:t>
            </w:r>
          </w:p>
        </w:tc>
        <w:tc>
          <w:tcPr>
            <w:tcW w:w="11331" w:type="dxa"/>
            <w:gridSpan w:val="2"/>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4C0C05" w:rsidRPr="0056751A" w:rsidRDefault="004C0C05" w:rsidP="000B5B40">
            <w:pPr>
              <w:pStyle w:val="TableHeader"/>
              <w:framePr w:hSpace="0" w:wrap="auto" w:vAnchor="margin" w:hAnchor="text" w:yAlign="inline"/>
              <w:rPr>
                <w:color w:val="auto"/>
              </w:rPr>
            </w:pPr>
          </w:p>
        </w:tc>
      </w:tr>
      <w:tr w:rsidR="004C0C05" w:rsidRPr="0056751A" w:rsidTr="000B5B40">
        <w:trPr>
          <w:tblHeader/>
        </w:trPr>
        <w:tc>
          <w:tcPr>
            <w:tcW w:w="335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4C0C05" w:rsidRDefault="004C0C05" w:rsidP="000B5B40">
            <w:pPr>
              <w:pStyle w:val="TableHeader"/>
              <w:framePr w:hSpace="0" w:wrap="auto" w:vAnchor="margin" w:hAnchor="text" w:yAlign="inline"/>
              <w:rPr>
                <w:color w:val="auto"/>
              </w:rPr>
            </w:pPr>
            <w:r>
              <w:rPr>
                <w:color w:val="auto"/>
              </w:rPr>
              <w:t>Contact telephone number:</w:t>
            </w:r>
          </w:p>
        </w:tc>
        <w:tc>
          <w:tcPr>
            <w:tcW w:w="11331" w:type="dxa"/>
            <w:gridSpan w:val="2"/>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4C0C05" w:rsidRPr="0056751A" w:rsidRDefault="004C0C05" w:rsidP="000B5B40">
            <w:pPr>
              <w:pStyle w:val="TableHeader"/>
              <w:framePr w:hSpace="0" w:wrap="auto" w:vAnchor="margin" w:hAnchor="text" w:yAlign="inline"/>
              <w:rPr>
                <w:color w:val="auto"/>
              </w:rPr>
            </w:pPr>
          </w:p>
        </w:tc>
      </w:tr>
      <w:tr w:rsidR="00BB4DA7" w:rsidRPr="0056751A" w:rsidTr="00BB4DA7">
        <w:trPr>
          <w:tblHeader/>
        </w:trPr>
        <w:tc>
          <w:tcPr>
            <w:tcW w:w="14681" w:type="dxa"/>
            <w:gridSpan w:val="3"/>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rsidR="00BB4DA7" w:rsidRDefault="00BB4DA7" w:rsidP="000B5B40">
            <w:pPr>
              <w:pStyle w:val="TableHeader"/>
              <w:framePr w:hSpace="0" w:wrap="auto" w:vAnchor="margin" w:hAnchor="text" w:yAlign="inline"/>
              <w:rPr>
                <w:b w:val="0"/>
              </w:rPr>
            </w:pPr>
            <w:r>
              <w:t xml:space="preserve">Section A, Schedule: </w:t>
            </w:r>
            <w:r w:rsidR="00A80F87">
              <w:rPr>
                <w:b w:val="0"/>
              </w:rPr>
              <w:t>Provide details of your SMETS1 to SMETS2 transition plan as follows:</w:t>
            </w:r>
          </w:p>
          <w:p w:rsidR="00A80F87" w:rsidRDefault="00A80F87" w:rsidP="00A80F87">
            <w:pPr>
              <w:pStyle w:val="TableHeader"/>
              <w:framePr w:hSpace="0" w:wrap="auto" w:vAnchor="margin" w:hAnchor="text" w:yAlign="inline"/>
              <w:numPr>
                <w:ilvl w:val="0"/>
                <w:numId w:val="36"/>
              </w:numPr>
              <w:rPr>
                <w:b w:val="0"/>
              </w:rPr>
            </w:pPr>
            <w:r>
              <w:rPr>
                <w:b w:val="0"/>
              </w:rPr>
              <w:t>Monthly profile of SMETS1 and SMETS2 Credit and Prepayment installations from first SMETS2 install through to the end of the SMETS1 to SMETS2 transition.</w:t>
            </w:r>
          </w:p>
          <w:p w:rsidR="00A80F87" w:rsidRPr="00A80F87" w:rsidRDefault="00A80F87" w:rsidP="002A2B55">
            <w:pPr>
              <w:pStyle w:val="TableHeader"/>
              <w:framePr w:hSpace="0" w:wrap="auto" w:vAnchor="margin" w:hAnchor="text" w:yAlign="inline"/>
              <w:numPr>
                <w:ilvl w:val="0"/>
                <w:numId w:val="36"/>
              </w:numPr>
              <w:rPr>
                <w:b w:val="0"/>
              </w:rPr>
            </w:pPr>
            <w:r>
              <w:rPr>
                <w:b w:val="0"/>
              </w:rPr>
              <w:t>A plan o</w:t>
            </w:r>
            <w:r w:rsidR="002A2B55">
              <w:rPr>
                <w:b w:val="0"/>
              </w:rPr>
              <w:t>n</w:t>
            </w:r>
            <w:r>
              <w:rPr>
                <w:b w:val="0"/>
              </w:rPr>
              <w:t xml:space="preserve"> a page (up to A3 size) illustrating any necessary IT system functionality drops, End to End testing, </w:t>
            </w:r>
            <w:r w:rsidR="003B0B5A">
              <w:rPr>
                <w:b w:val="0"/>
              </w:rPr>
              <w:t xml:space="preserve">DCC user onboarding process, </w:t>
            </w:r>
            <w:r>
              <w:rPr>
                <w:b w:val="0"/>
              </w:rPr>
              <w:t xml:space="preserve">phasing of Credit and Prepayment Pilots, key activites and dependencies required to enable you to scale up on SMETS2 including up-skilling of meter installers, </w:t>
            </w:r>
            <w:r w:rsidR="003B0B5A">
              <w:rPr>
                <w:b w:val="0"/>
              </w:rPr>
              <w:t xml:space="preserve">procurement and delivery of certified </w:t>
            </w:r>
            <w:r w:rsidR="006D7F9C">
              <w:rPr>
                <w:b w:val="0"/>
              </w:rPr>
              <w:t xml:space="preserve">SMETS2 </w:t>
            </w:r>
            <w:r w:rsidR="003B0B5A">
              <w:rPr>
                <w:b w:val="0"/>
              </w:rPr>
              <w:t>assets</w:t>
            </w:r>
            <w:r w:rsidR="006D7F9C">
              <w:rPr>
                <w:b w:val="0"/>
              </w:rPr>
              <w:t xml:space="preserve"> to enable piloting and volume transiation</w:t>
            </w:r>
            <w:r w:rsidR="003B0B5A">
              <w:rPr>
                <w:b w:val="0"/>
              </w:rPr>
              <w:t xml:space="preserve">, </w:t>
            </w:r>
            <w:r w:rsidR="006D7F9C">
              <w:rPr>
                <w:b w:val="0"/>
              </w:rPr>
              <w:t xml:space="preserve">cutover to the </w:t>
            </w:r>
            <w:r>
              <w:rPr>
                <w:b w:val="0"/>
              </w:rPr>
              <w:t>SMETS2 supply chain, model office operation and transition to Business As Usual (BAU).</w:t>
            </w:r>
            <w:r w:rsidR="00A42023">
              <w:rPr>
                <w:b w:val="0"/>
              </w:rPr>
              <w:t xml:space="preserve"> </w:t>
            </w:r>
          </w:p>
        </w:tc>
      </w:tr>
      <w:tr w:rsidR="00BB4DA7" w:rsidRPr="0056751A" w:rsidTr="00E65760">
        <w:trPr>
          <w:tblHeader/>
        </w:trPr>
        <w:tc>
          <w:tcPr>
            <w:tcW w:w="13121" w:type="dxa"/>
            <w:gridSpan w:val="2"/>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BB4DA7" w:rsidRDefault="00E65760" w:rsidP="000B5B40">
            <w:pPr>
              <w:pStyle w:val="TableHeader"/>
              <w:framePr w:hSpace="0" w:wrap="auto" w:vAnchor="margin" w:hAnchor="text" w:yAlign="inline"/>
              <w:rPr>
                <w:color w:val="auto"/>
              </w:rPr>
            </w:pPr>
            <w:r>
              <w:rPr>
                <w:color w:val="auto"/>
              </w:rPr>
              <w:t>[applicant to enter details here]</w:t>
            </w:r>
          </w:p>
        </w:tc>
        <w:tc>
          <w:tcPr>
            <w:tcW w:w="15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BB4DA7" w:rsidRPr="00E65760" w:rsidRDefault="00E65760" w:rsidP="000B5B40">
            <w:pPr>
              <w:pStyle w:val="TableHeader"/>
              <w:framePr w:hSpace="0" w:wrap="auto" w:vAnchor="margin" w:hAnchor="text" w:yAlign="inline"/>
              <w:rPr>
                <w:b w:val="0"/>
                <w:color w:val="auto"/>
              </w:rPr>
            </w:pPr>
            <w:r>
              <w:rPr>
                <w:b w:val="0"/>
                <w:color w:val="auto"/>
              </w:rPr>
              <w:t>Column for BEIS use only</w:t>
            </w:r>
          </w:p>
        </w:tc>
      </w:tr>
      <w:tr w:rsidR="00E65760" w:rsidRPr="0056751A" w:rsidTr="00E65760">
        <w:trPr>
          <w:tblHeader/>
        </w:trPr>
        <w:tc>
          <w:tcPr>
            <w:tcW w:w="14681" w:type="dxa"/>
            <w:gridSpan w:val="3"/>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rsidR="00C54795" w:rsidRDefault="00E65760" w:rsidP="000B5B40">
            <w:pPr>
              <w:pStyle w:val="TableHeader"/>
              <w:framePr w:hSpace="0" w:wrap="auto" w:vAnchor="margin" w:hAnchor="text" w:yAlign="inline"/>
            </w:pPr>
            <w:r>
              <w:t xml:space="preserve">Section B, People: </w:t>
            </w:r>
          </w:p>
          <w:p w:rsidR="00E65760" w:rsidRDefault="00E65760" w:rsidP="00C54795">
            <w:pPr>
              <w:pStyle w:val="TableHeader"/>
              <w:framePr w:hSpace="0" w:wrap="auto" w:vAnchor="margin" w:hAnchor="text" w:yAlign="inline"/>
              <w:numPr>
                <w:ilvl w:val="0"/>
                <w:numId w:val="38"/>
              </w:numPr>
              <w:rPr>
                <w:b w:val="0"/>
              </w:rPr>
            </w:pPr>
            <w:r>
              <w:rPr>
                <w:b w:val="0"/>
              </w:rPr>
              <w:t>Details of your training approach and curriculum to convert internal and 3</w:t>
            </w:r>
            <w:r w:rsidRPr="00E65760">
              <w:rPr>
                <w:b w:val="0"/>
                <w:vertAlign w:val="superscript"/>
              </w:rPr>
              <w:t>rd</w:t>
            </w:r>
            <w:r>
              <w:rPr>
                <w:b w:val="0"/>
              </w:rPr>
              <w:t xml:space="preserve"> party field force staff from SMETS1 technology to SMETS2</w:t>
            </w:r>
            <w:r w:rsidR="00EA4851">
              <w:rPr>
                <w:b w:val="0"/>
              </w:rPr>
              <w:t>.</w:t>
            </w:r>
          </w:p>
          <w:p w:rsidR="00E65760" w:rsidRDefault="00E65760" w:rsidP="00E65760">
            <w:pPr>
              <w:pStyle w:val="TableHeader"/>
              <w:framePr w:hSpace="0" w:wrap="auto" w:vAnchor="margin" w:hAnchor="text" w:yAlign="inline"/>
              <w:numPr>
                <w:ilvl w:val="0"/>
                <w:numId w:val="37"/>
              </w:numPr>
              <w:rPr>
                <w:b w:val="0"/>
              </w:rPr>
            </w:pPr>
            <w:r>
              <w:rPr>
                <w:b w:val="0"/>
              </w:rPr>
              <w:t>Set out the training schedule and how it will be delivered to up-skill your field force (both initernal and 3</w:t>
            </w:r>
            <w:r w:rsidRPr="00E65760">
              <w:rPr>
                <w:b w:val="0"/>
                <w:vertAlign w:val="superscript"/>
              </w:rPr>
              <w:t>rd</w:t>
            </w:r>
            <w:r>
              <w:rPr>
                <w:b w:val="0"/>
              </w:rPr>
              <w:t xml:space="preserve"> party) to SMETS2.</w:t>
            </w:r>
          </w:p>
          <w:p w:rsidR="00E65760" w:rsidRDefault="00E65760" w:rsidP="00E65760">
            <w:pPr>
              <w:pStyle w:val="TableHeader"/>
              <w:framePr w:hSpace="0" w:wrap="auto" w:vAnchor="margin" w:hAnchor="text" w:yAlign="inline"/>
              <w:numPr>
                <w:ilvl w:val="0"/>
                <w:numId w:val="37"/>
              </w:numPr>
              <w:rPr>
                <w:b w:val="0"/>
              </w:rPr>
            </w:pPr>
            <w:r>
              <w:rPr>
                <w:b w:val="0"/>
              </w:rPr>
              <w:t>Describe how you have the required mentoring and technical support staff in place to transition</w:t>
            </w:r>
            <w:r w:rsidR="00A42023">
              <w:rPr>
                <w:b w:val="0"/>
              </w:rPr>
              <w:t xml:space="preserve"> to SMETS2.</w:t>
            </w:r>
          </w:p>
          <w:p w:rsidR="00A42023" w:rsidRPr="00E65760" w:rsidRDefault="00A42023" w:rsidP="00E65760">
            <w:pPr>
              <w:pStyle w:val="TableHeader"/>
              <w:framePr w:hSpace="0" w:wrap="auto" w:vAnchor="margin" w:hAnchor="text" w:yAlign="inline"/>
              <w:numPr>
                <w:ilvl w:val="0"/>
                <w:numId w:val="37"/>
              </w:numPr>
              <w:rPr>
                <w:b w:val="0"/>
              </w:rPr>
            </w:pPr>
            <w:r>
              <w:rPr>
                <w:b w:val="0"/>
              </w:rPr>
              <w:t xml:space="preserve">Details of the training required and plan for your front/back office customer operations staff in order for them to ramp up and transition to SMETS2 operations at volume. </w:t>
            </w:r>
          </w:p>
        </w:tc>
      </w:tr>
      <w:tr w:rsidR="00E65760" w:rsidRPr="0056751A" w:rsidTr="00E65760">
        <w:trPr>
          <w:tblHeader/>
        </w:trPr>
        <w:tc>
          <w:tcPr>
            <w:tcW w:w="13121" w:type="dxa"/>
            <w:gridSpan w:val="2"/>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E65760" w:rsidRDefault="00A42023" w:rsidP="000B5B40">
            <w:pPr>
              <w:pStyle w:val="TableHeader"/>
              <w:framePr w:hSpace="0" w:wrap="auto" w:vAnchor="margin" w:hAnchor="text" w:yAlign="inline"/>
              <w:rPr>
                <w:color w:val="auto"/>
              </w:rPr>
            </w:pPr>
            <w:r>
              <w:rPr>
                <w:color w:val="auto"/>
              </w:rPr>
              <w:t>[applicant to enter details here]</w:t>
            </w:r>
          </w:p>
        </w:tc>
        <w:tc>
          <w:tcPr>
            <w:tcW w:w="15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E65760" w:rsidRDefault="00E65760" w:rsidP="000B5B40">
            <w:pPr>
              <w:pStyle w:val="TableHeader"/>
              <w:framePr w:hSpace="0" w:wrap="auto" w:vAnchor="margin" w:hAnchor="text" w:yAlign="inline"/>
              <w:rPr>
                <w:b w:val="0"/>
                <w:color w:val="auto"/>
              </w:rPr>
            </w:pPr>
          </w:p>
        </w:tc>
      </w:tr>
      <w:tr w:rsidR="00A42023" w:rsidRPr="0056751A" w:rsidTr="00A42023">
        <w:trPr>
          <w:tblHeader/>
        </w:trPr>
        <w:tc>
          <w:tcPr>
            <w:tcW w:w="14681" w:type="dxa"/>
            <w:gridSpan w:val="3"/>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rsidR="00C54795" w:rsidRDefault="00A42023" w:rsidP="000B5B40">
            <w:pPr>
              <w:pStyle w:val="TableHeader"/>
              <w:framePr w:hSpace="0" w:wrap="auto" w:vAnchor="margin" w:hAnchor="text" w:yAlign="inline"/>
              <w:rPr>
                <w:b w:val="0"/>
              </w:rPr>
            </w:pPr>
            <w:r>
              <w:t xml:space="preserve">Section C, Assets: </w:t>
            </w:r>
          </w:p>
          <w:p w:rsidR="00C54795" w:rsidRDefault="00DC5F53" w:rsidP="00C54795">
            <w:pPr>
              <w:pStyle w:val="TableHeader"/>
              <w:framePr w:hSpace="0" w:wrap="auto" w:vAnchor="margin" w:hAnchor="text" w:yAlign="inline"/>
              <w:numPr>
                <w:ilvl w:val="0"/>
                <w:numId w:val="39"/>
              </w:numPr>
              <w:rPr>
                <w:b w:val="0"/>
              </w:rPr>
            </w:pPr>
            <w:r>
              <w:rPr>
                <w:b w:val="0"/>
              </w:rPr>
              <w:t>Details of c</w:t>
            </w:r>
            <w:r w:rsidR="00A42023">
              <w:rPr>
                <w:b w:val="0"/>
              </w:rPr>
              <w:t>onfirm</w:t>
            </w:r>
            <w:r w:rsidR="003B0B5A">
              <w:rPr>
                <w:b w:val="0"/>
              </w:rPr>
              <w:t xml:space="preserve">ed </w:t>
            </w:r>
            <w:r w:rsidR="00A42023">
              <w:rPr>
                <w:b w:val="0"/>
              </w:rPr>
              <w:t>contract</w:t>
            </w:r>
            <w:r w:rsidR="003B0B5A">
              <w:rPr>
                <w:b w:val="0"/>
              </w:rPr>
              <w:t>s</w:t>
            </w:r>
            <w:r w:rsidR="00A42023">
              <w:rPr>
                <w:b w:val="0"/>
              </w:rPr>
              <w:t xml:space="preserve"> </w:t>
            </w:r>
            <w:r w:rsidR="003B0B5A">
              <w:rPr>
                <w:b w:val="0"/>
              </w:rPr>
              <w:t xml:space="preserve">and delivery dates </w:t>
            </w:r>
            <w:r w:rsidR="00A42023">
              <w:rPr>
                <w:b w:val="0"/>
              </w:rPr>
              <w:t xml:space="preserve">for supplies of </w:t>
            </w:r>
            <w:r w:rsidR="003B0B5A">
              <w:rPr>
                <w:b w:val="0"/>
              </w:rPr>
              <w:t xml:space="preserve">certified (listed on the CPL) </w:t>
            </w:r>
            <w:r w:rsidR="00A42023">
              <w:rPr>
                <w:b w:val="0"/>
              </w:rPr>
              <w:t>SMETS2 electricity and gas meters, IHDs/PPMIDs and DCC comms hubs in quantities and delivery schedules to achieve your 1</w:t>
            </w:r>
            <w:r w:rsidR="00C54795">
              <w:rPr>
                <w:b w:val="0"/>
              </w:rPr>
              <w:t xml:space="preserve">3 July 2018 transition plan. </w:t>
            </w:r>
          </w:p>
          <w:p w:rsidR="00A42023" w:rsidRPr="00A42023" w:rsidRDefault="00A42023" w:rsidP="00C54795">
            <w:pPr>
              <w:pStyle w:val="TableHeader"/>
              <w:framePr w:hSpace="0" w:wrap="auto" w:vAnchor="margin" w:hAnchor="text" w:yAlign="inline"/>
              <w:numPr>
                <w:ilvl w:val="0"/>
                <w:numId w:val="39"/>
              </w:numPr>
              <w:rPr>
                <w:b w:val="0"/>
              </w:rPr>
            </w:pPr>
            <w:r>
              <w:rPr>
                <w:b w:val="0"/>
              </w:rPr>
              <w:t>Describe the supply chain and logistics in place to convert your field installation capability from SMETS1 to SMETS2 meters.</w:t>
            </w:r>
            <w:r w:rsidR="00C54795">
              <w:rPr>
                <w:b w:val="0"/>
              </w:rPr>
              <w:t xml:space="preserve"> </w:t>
            </w:r>
          </w:p>
        </w:tc>
      </w:tr>
      <w:tr w:rsidR="00A42023" w:rsidRPr="0056751A" w:rsidTr="00E65760">
        <w:trPr>
          <w:tblHeader/>
        </w:trPr>
        <w:tc>
          <w:tcPr>
            <w:tcW w:w="13121" w:type="dxa"/>
            <w:gridSpan w:val="2"/>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A42023" w:rsidRDefault="00C54795" w:rsidP="000B5B40">
            <w:pPr>
              <w:pStyle w:val="TableHeader"/>
              <w:framePr w:hSpace="0" w:wrap="auto" w:vAnchor="margin" w:hAnchor="text" w:yAlign="inline"/>
              <w:rPr>
                <w:color w:val="auto"/>
              </w:rPr>
            </w:pPr>
            <w:r>
              <w:rPr>
                <w:color w:val="auto"/>
              </w:rPr>
              <w:t>[applicant to enter details here]</w:t>
            </w:r>
          </w:p>
        </w:tc>
        <w:tc>
          <w:tcPr>
            <w:tcW w:w="15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A42023" w:rsidRDefault="00A42023" w:rsidP="000B5B40">
            <w:pPr>
              <w:pStyle w:val="TableHeader"/>
              <w:framePr w:hSpace="0" w:wrap="auto" w:vAnchor="margin" w:hAnchor="text" w:yAlign="inline"/>
              <w:rPr>
                <w:b w:val="0"/>
                <w:color w:val="auto"/>
              </w:rPr>
            </w:pPr>
          </w:p>
        </w:tc>
      </w:tr>
      <w:tr w:rsidR="00C54795" w:rsidRPr="0056751A" w:rsidTr="00C54795">
        <w:trPr>
          <w:tblHeader/>
        </w:trPr>
        <w:tc>
          <w:tcPr>
            <w:tcW w:w="14681" w:type="dxa"/>
            <w:gridSpan w:val="3"/>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rsidR="00C54795" w:rsidRDefault="00C54795" w:rsidP="000B5B40">
            <w:pPr>
              <w:pStyle w:val="TableHeader"/>
              <w:framePr w:hSpace="0" w:wrap="auto" w:vAnchor="margin" w:hAnchor="text" w:yAlign="inline"/>
            </w:pPr>
            <w:r>
              <w:t>Section D, Systems &amp; Processes:</w:t>
            </w:r>
          </w:p>
          <w:p w:rsidR="00C54795" w:rsidRDefault="00C54795" w:rsidP="00C54795">
            <w:pPr>
              <w:pStyle w:val="TableHeader"/>
              <w:framePr w:hSpace="0" w:wrap="auto" w:vAnchor="margin" w:hAnchor="text" w:yAlign="inline"/>
              <w:numPr>
                <w:ilvl w:val="0"/>
                <w:numId w:val="40"/>
              </w:numPr>
              <w:rPr>
                <w:b w:val="0"/>
              </w:rPr>
            </w:pPr>
            <w:r>
              <w:rPr>
                <w:b w:val="0"/>
              </w:rPr>
              <w:t>Confirm implementation into your production environment of all the key IT systems and process changes required to support your transition to SMETS2.</w:t>
            </w:r>
          </w:p>
          <w:p w:rsidR="00C54795" w:rsidRDefault="00C54795" w:rsidP="00C54795">
            <w:pPr>
              <w:pStyle w:val="TableHeader"/>
              <w:framePr w:hSpace="0" w:wrap="auto" w:vAnchor="margin" w:hAnchor="text" w:yAlign="inline"/>
              <w:numPr>
                <w:ilvl w:val="0"/>
                <w:numId w:val="40"/>
              </w:numPr>
              <w:rPr>
                <w:b w:val="0"/>
              </w:rPr>
            </w:pPr>
            <w:r>
              <w:rPr>
                <w:b w:val="0"/>
              </w:rPr>
              <w:t>Set out your approach, plan and progress</w:t>
            </w:r>
            <w:r w:rsidR="00797F5F">
              <w:rPr>
                <w:b w:val="0"/>
              </w:rPr>
              <w:t xml:space="preserve"> so far to complete all necessary End to End testing activities</w:t>
            </w:r>
            <w:r w:rsidR="007D5359">
              <w:rPr>
                <w:b w:val="0"/>
              </w:rPr>
              <w:t xml:space="preserve"> ahead of your SMETS1 to SMETS2 transition phases.</w:t>
            </w:r>
          </w:p>
          <w:p w:rsidR="007D5359" w:rsidRDefault="007D5359" w:rsidP="00C54795">
            <w:pPr>
              <w:pStyle w:val="TableHeader"/>
              <w:framePr w:hSpace="0" w:wrap="auto" w:vAnchor="margin" w:hAnchor="text" w:yAlign="inline"/>
              <w:numPr>
                <w:ilvl w:val="0"/>
                <w:numId w:val="40"/>
              </w:numPr>
              <w:rPr>
                <w:b w:val="0"/>
              </w:rPr>
            </w:pPr>
            <w:r>
              <w:rPr>
                <w:b w:val="0"/>
              </w:rPr>
              <w:t>Provide details on the system and process changes and associated testing to incorporate the 3</w:t>
            </w:r>
            <w:r w:rsidRPr="007D5359">
              <w:rPr>
                <w:b w:val="0"/>
                <w:vertAlign w:val="superscript"/>
              </w:rPr>
              <w:t>rd</w:t>
            </w:r>
            <w:r>
              <w:rPr>
                <w:b w:val="0"/>
              </w:rPr>
              <w:t xml:space="preserve"> party providers (e.g. Field force, DCC adaptor managed service, prepayment service providers) required to </w:t>
            </w:r>
            <w:r w:rsidR="002A2B55">
              <w:rPr>
                <w:b w:val="0"/>
              </w:rPr>
              <w:t xml:space="preserve">achieve your </w:t>
            </w:r>
            <w:r>
              <w:rPr>
                <w:b w:val="0"/>
              </w:rPr>
              <w:t xml:space="preserve"> SMETS1 to SMETS2 transition.</w:t>
            </w:r>
          </w:p>
          <w:p w:rsidR="007D5359" w:rsidRPr="00C54795" w:rsidRDefault="007D5359" w:rsidP="00C54795">
            <w:pPr>
              <w:pStyle w:val="TableHeader"/>
              <w:framePr w:hSpace="0" w:wrap="auto" w:vAnchor="margin" w:hAnchor="text" w:yAlign="inline"/>
              <w:numPr>
                <w:ilvl w:val="0"/>
                <w:numId w:val="40"/>
              </w:numPr>
              <w:rPr>
                <w:b w:val="0"/>
              </w:rPr>
            </w:pPr>
            <w:r>
              <w:rPr>
                <w:b w:val="0"/>
              </w:rPr>
              <w:t>Set out your approach and plans to pilot</w:t>
            </w:r>
            <w:r w:rsidR="000A026F">
              <w:rPr>
                <w:b w:val="0"/>
              </w:rPr>
              <w:t xml:space="preserve"> SMETS2 installation in support of your </w:t>
            </w:r>
            <w:r w:rsidR="00317539">
              <w:rPr>
                <w:b w:val="0"/>
              </w:rPr>
              <w:t>transition from SMETS1 to SMETS2.</w:t>
            </w:r>
          </w:p>
        </w:tc>
      </w:tr>
      <w:tr w:rsidR="00C54795" w:rsidRPr="0056751A" w:rsidTr="00E65760">
        <w:trPr>
          <w:tblHeader/>
        </w:trPr>
        <w:tc>
          <w:tcPr>
            <w:tcW w:w="13121" w:type="dxa"/>
            <w:gridSpan w:val="2"/>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C54795" w:rsidRDefault="00317539" w:rsidP="000B5B40">
            <w:pPr>
              <w:pStyle w:val="TableHeader"/>
              <w:framePr w:hSpace="0" w:wrap="auto" w:vAnchor="margin" w:hAnchor="text" w:yAlign="inline"/>
              <w:rPr>
                <w:color w:val="auto"/>
              </w:rPr>
            </w:pPr>
            <w:r>
              <w:rPr>
                <w:color w:val="auto"/>
              </w:rPr>
              <w:t>[applicant to enter details here]</w:t>
            </w:r>
          </w:p>
        </w:tc>
        <w:tc>
          <w:tcPr>
            <w:tcW w:w="15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C54795" w:rsidRDefault="00C54795" w:rsidP="000B5B40">
            <w:pPr>
              <w:pStyle w:val="TableHeader"/>
              <w:framePr w:hSpace="0" w:wrap="auto" w:vAnchor="margin" w:hAnchor="text" w:yAlign="inline"/>
              <w:rPr>
                <w:b w:val="0"/>
                <w:color w:val="auto"/>
              </w:rPr>
            </w:pPr>
          </w:p>
        </w:tc>
      </w:tr>
      <w:tr w:rsidR="00317539" w:rsidRPr="0056751A" w:rsidTr="00317539">
        <w:trPr>
          <w:tblHeader/>
        </w:trPr>
        <w:tc>
          <w:tcPr>
            <w:tcW w:w="14681" w:type="dxa"/>
            <w:gridSpan w:val="3"/>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rsidR="00317539" w:rsidRDefault="00FE37CF" w:rsidP="000B5B40">
            <w:pPr>
              <w:pStyle w:val="TableHeader"/>
              <w:framePr w:hSpace="0" w:wrap="auto" w:vAnchor="margin" w:hAnchor="text" w:yAlign="inline"/>
            </w:pPr>
            <w:r>
              <w:t>Section E, Business C</w:t>
            </w:r>
            <w:r w:rsidR="00317539">
              <w:t>h</w:t>
            </w:r>
            <w:r>
              <w:t>a</w:t>
            </w:r>
            <w:r w:rsidR="00317539">
              <w:t>nge and Customer Services:</w:t>
            </w:r>
          </w:p>
          <w:p w:rsidR="00317539" w:rsidRDefault="00317539" w:rsidP="00317539">
            <w:pPr>
              <w:pStyle w:val="TableHeader"/>
              <w:framePr w:hSpace="0" w:wrap="auto" w:vAnchor="margin" w:hAnchor="text" w:yAlign="inline"/>
              <w:numPr>
                <w:ilvl w:val="0"/>
                <w:numId w:val="41"/>
              </w:numPr>
              <w:rPr>
                <w:b w:val="0"/>
              </w:rPr>
            </w:pPr>
            <w:r>
              <w:rPr>
                <w:b w:val="0"/>
              </w:rPr>
              <w:t xml:space="preserve">Provide details on your </w:t>
            </w:r>
            <w:r w:rsidR="00FE37CF">
              <w:rPr>
                <w:b w:val="0"/>
              </w:rPr>
              <w:t>approach to identify, manage and resolve issues arising during the transition.</w:t>
            </w:r>
          </w:p>
          <w:p w:rsidR="00FE37CF" w:rsidRDefault="00FE37CF" w:rsidP="00317539">
            <w:pPr>
              <w:pStyle w:val="TableHeader"/>
              <w:framePr w:hSpace="0" w:wrap="auto" w:vAnchor="margin" w:hAnchor="text" w:yAlign="inline"/>
              <w:numPr>
                <w:ilvl w:val="0"/>
                <w:numId w:val="41"/>
              </w:numPr>
              <w:rPr>
                <w:b w:val="0"/>
              </w:rPr>
            </w:pPr>
            <w:r>
              <w:rPr>
                <w:b w:val="0"/>
              </w:rPr>
              <w:t>Describe your customer services transition approach and plan to move support from any ring fenced smart operation to the BAU business as SMETS2 volumes ramp up and your final smart Target Operating Model is adopted.</w:t>
            </w:r>
          </w:p>
          <w:p w:rsidR="0046437B" w:rsidRDefault="00FE37CF" w:rsidP="0046437B">
            <w:pPr>
              <w:pStyle w:val="TableHeader"/>
              <w:framePr w:hSpace="0" w:wrap="auto" w:vAnchor="margin" w:hAnchor="text" w:yAlign="inline"/>
              <w:numPr>
                <w:ilvl w:val="0"/>
                <w:numId w:val="41"/>
              </w:numPr>
              <w:rPr>
                <w:b w:val="0"/>
              </w:rPr>
            </w:pPr>
            <w:r>
              <w:rPr>
                <w:b w:val="0"/>
              </w:rPr>
              <w:t xml:space="preserve">Describe any </w:t>
            </w:r>
            <w:r w:rsidR="00DC5F53">
              <w:rPr>
                <w:b w:val="0"/>
              </w:rPr>
              <w:t xml:space="preserve">changes to </w:t>
            </w:r>
            <w:r>
              <w:rPr>
                <w:b w:val="0"/>
              </w:rPr>
              <w:t>your Customers</w:t>
            </w:r>
            <w:r w:rsidR="00DC5F53">
              <w:rPr>
                <w:b w:val="0"/>
              </w:rPr>
              <w:t>’ smart journey and experience which you expect to implement</w:t>
            </w:r>
            <w:r>
              <w:rPr>
                <w:b w:val="0"/>
              </w:rPr>
              <w:t xml:space="preserve"> as </w:t>
            </w:r>
            <w:r w:rsidR="00DC5F53">
              <w:rPr>
                <w:b w:val="0"/>
              </w:rPr>
              <w:t xml:space="preserve">part of your </w:t>
            </w:r>
            <w:r>
              <w:rPr>
                <w:b w:val="0"/>
              </w:rPr>
              <w:t>transition from SMETS1 to SMETS2 (</w:t>
            </w:r>
            <w:r w:rsidR="00DC5F53">
              <w:rPr>
                <w:b w:val="0"/>
              </w:rPr>
              <w:t>such as widening of</w:t>
            </w:r>
            <w:r>
              <w:rPr>
                <w:b w:val="0"/>
              </w:rPr>
              <w:t xml:space="preserve"> eligibility </w:t>
            </w:r>
            <w:r w:rsidR="00DC5F53">
              <w:rPr>
                <w:b w:val="0"/>
              </w:rPr>
              <w:t>criteria</w:t>
            </w:r>
            <w:r>
              <w:rPr>
                <w:b w:val="0"/>
              </w:rPr>
              <w:t xml:space="preserve">, </w:t>
            </w:r>
            <w:r w:rsidR="0046437B">
              <w:rPr>
                <w:b w:val="0"/>
              </w:rPr>
              <w:t xml:space="preserve">expansion of </w:t>
            </w:r>
            <w:r>
              <w:rPr>
                <w:b w:val="0"/>
              </w:rPr>
              <w:t xml:space="preserve">engagement </w:t>
            </w:r>
            <w:r w:rsidR="0046437B">
              <w:rPr>
                <w:b w:val="0"/>
              </w:rPr>
              <w:t>activities</w:t>
            </w:r>
            <w:r>
              <w:rPr>
                <w:b w:val="0"/>
              </w:rPr>
              <w:t xml:space="preserve">, </w:t>
            </w:r>
            <w:r w:rsidR="0046437B">
              <w:rPr>
                <w:b w:val="0"/>
              </w:rPr>
              <w:t>improvements to</w:t>
            </w:r>
            <w:r>
              <w:rPr>
                <w:b w:val="0"/>
              </w:rPr>
              <w:t xml:space="preserve"> appointment booking)</w:t>
            </w:r>
          </w:p>
          <w:p w:rsidR="00FE37CF" w:rsidRPr="00317539" w:rsidRDefault="0046437B" w:rsidP="0046437B">
            <w:pPr>
              <w:pStyle w:val="TableHeader"/>
              <w:framePr w:hSpace="0" w:wrap="auto" w:vAnchor="margin" w:hAnchor="text" w:yAlign="inline"/>
              <w:numPr>
                <w:ilvl w:val="0"/>
                <w:numId w:val="41"/>
              </w:numPr>
              <w:rPr>
                <w:b w:val="0"/>
              </w:rPr>
            </w:pPr>
            <w:r>
              <w:rPr>
                <w:b w:val="0"/>
              </w:rPr>
              <w:t>Describe how you will manage customer perception of the smart metering rollout during the transition and derogation periods.</w:t>
            </w:r>
            <w:r w:rsidR="00FE37CF">
              <w:rPr>
                <w:b w:val="0"/>
              </w:rPr>
              <w:t xml:space="preserve"> </w:t>
            </w:r>
          </w:p>
        </w:tc>
      </w:tr>
      <w:tr w:rsidR="00317539" w:rsidRPr="0056751A" w:rsidTr="00E65760">
        <w:trPr>
          <w:tblHeader/>
        </w:trPr>
        <w:tc>
          <w:tcPr>
            <w:tcW w:w="13121" w:type="dxa"/>
            <w:gridSpan w:val="2"/>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317539" w:rsidRDefault="00FE37CF" w:rsidP="000B5B40">
            <w:pPr>
              <w:pStyle w:val="TableHeader"/>
              <w:framePr w:hSpace="0" w:wrap="auto" w:vAnchor="margin" w:hAnchor="text" w:yAlign="inline"/>
              <w:rPr>
                <w:color w:val="auto"/>
              </w:rPr>
            </w:pPr>
            <w:r>
              <w:rPr>
                <w:color w:val="auto"/>
              </w:rPr>
              <w:t>[applicant to enter details here]</w:t>
            </w:r>
          </w:p>
        </w:tc>
        <w:tc>
          <w:tcPr>
            <w:tcW w:w="15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317539" w:rsidRDefault="00317539" w:rsidP="000B5B40">
            <w:pPr>
              <w:pStyle w:val="TableHeader"/>
              <w:framePr w:hSpace="0" w:wrap="auto" w:vAnchor="margin" w:hAnchor="text" w:yAlign="inline"/>
              <w:rPr>
                <w:b w:val="0"/>
                <w:color w:val="auto"/>
              </w:rPr>
            </w:pPr>
          </w:p>
        </w:tc>
      </w:tr>
      <w:tr w:rsidR="00FE37CF" w:rsidRPr="0056751A" w:rsidTr="00FE37CF">
        <w:trPr>
          <w:tblHeader/>
        </w:trPr>
        <w:tc>
          <w:tcPr>
            <w:tcW w:w="14681" w:type="dxa"/>
            <w:gridSpan w:val="3"/>
            <w:tcBorders>
              <w:top w:val="single" w:sz="8" w:space="0" w:color="A3A3A3"/>
              <w:left w:val="single" w:sz="8" w:space="0" w:color="A3A3A3"/>
              <w:bottom w:val="single" w:sz="8" w:space="0" w:color="A3A3A3"/>
              <w:right w:val="single" w:sz="8" w:space="0" w:color="A3A3A3"/>
            </w:tcBorders>
            <w:shd w:val="clear" w:color="auto" w:fill="00B0F0"/>
            <w:tcMar>
              <w:top w:w="80" w:type="dxa"/>
              <w:left w:w="80" w:type="dxa"/>
              <w:bottom w:w="80" w:type="dxa"/>
              <w:right w:w="80" w:type="dxa"/>
            </w:tcMar>
          </w:tcPr>
          <w:p w:rsidR="00FE37CF" w:rsidRPr="00FE37CF" w:rsidRDefault="00FE37CF" w:rsidP="000B5B40">
            <w:pPr>
              <w:pStyle w:val="TableHeader"/>
              <w:framePr w:hSpace="0" w:wrap="auto" w:vAnchor="margin" w:hAnchor="text" w:yAlign="inline"/>
            </w:pPr>
            <w:r>
              <w:t>Section F, Any other relevant information</w:t>
            </w:r>
          </w:p>
        </w:tc>
      </w:tr>
      <w:tr w:rsidR="00FE37CF" w:rsidRPr="0056751A" w:rsidTr="00E65760">
        <w:trPr>
          <w:tblHeader/>
        </w:trPr>
        <w:tc>
          <w:tcPr>
            <w:tcW w:w="13121" w:type="dxa"/>
            <w:gridSpan w:val="2"/>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FE37CF" w:rsidRDefault="00460ED7" w:rsidP="000B5B40">
            <w:pPr>
              <w:pStyle w:val="TableHeader"/>
              <w:framePr w:hSpace="0" w:wrap="auto" w:vAnchor="margin" w:hAnchor="text" w:yAlign="inline"/>
              <w:rPr>
                <w:color w:val="auto"/>
              </w:rPr>
            </w:pPr>
            <w:r>
              <w:rPr>
                <w:color w:val="auto"/>
              </w:rPr>
              <w:t>[applicant to enter details here]</w:t>
            </w:r>
          </w:p>
        </w:tc>
        <w:tc>
          <w:tcPr>
            <w:tcW w:w="156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FE37CF" w:rsidRDefault="00FE37CF" w:rsidP="000B5B40">
            <w:pPr>
              <w:pStyle w:val="TableHeader"/>
              <w:framePr w:hSpace="0" w:wrap="auto" w:vAnchor="margin" w:hAnchor="text" w:yAlign="inline"/>
              <w:rPr>
                <w:b w:val="0"/>
                <w:color w:val="auto"/>
              </w:rPr>
            </w:pPr>
          </w:p>
        </w:tc>
      </w:tr>
    </w:tbl>
    <w:p w:rsidR="004C0C05" w:rsidRDefault="004C0C05" w:rsidP="00FA26E0">
      <w:pPr>
        <w:pStyle w:val="NormalWeb"/>
        <w:spacing w:after="0"/>
        <w:rPr>
          <w:rFonts w:ascii="Arial" w:hAnsi="Arial" w:cstheme="minorBidi"/>
          <w:szCs w:val="22"/>
        </w:rPr>
      </w:pPr>
    </w:p>
    <w:p w:rsidR="004C0C05" w:rsidRPr="0007339F" w:rsidRDefault="004C0C05" w:rsidP="00FA26E0">
      <w:pPr>
        <w:pStyle w:val="NormalWeb"/>
        <w:spacing w:after="0"/>
        <w:rPr>
          <w:rFonts w:ascii="Arial" w:hAnsi="Arial" w:cstheme="minorBidi"/>
          <w:szCs w:val="22"/>
        </w:rPr>
      </w:pPr>
    </w:p>
    <w:p w:rsidR="002A2B55" w:rsidRDefault="002A2B55">
      <w:pPr>
        <w:pStyle w:val="BodyText"/>
        <w:tabs>
          <w:tab w:val="left" w:pos="4368"/>
        </w:tabs>
        <w:spacing w:before="0" w:after="0" w:line="240" w:lineRule="auto"/>
        <w:rPr>
          <w:color w:val="002060"/>
        </w:rPr>
      </w:pPr>
    </w:p>
    <w:p w:rsidR="002A2B55" w:rsidRDefault="002A2B55">
      <w:pPr>
        <w:pStyle w:val="BodyText"/>
        <w:tabs>
          <w:tab w:val="left" w:pos="4368"/>
        </w:tabs>
        <w:spacing w:before="0" w:after="0" w:line="240" w:lineRule="auto"/>
        <w:rPr>
          <w:color w:val="002060"/>
        </w:rPr>
      </w:pPr>
    </w:p>
    <w:p w:rsidR="002A2B55" w:rsidRPr="00F24D2E" w:rsidRDefault="002A2B55">
      <w:pPr>
        <w:pStyle w:val="BodyText"/>
        <w:tabs>
          <w:tab w:val="left" w:pos="4368"/>
        </w:tabs>
        <w:spacing w:before="0" w:after="0" w:line="240" w:lineRule="auto"/>
        <w:rPr>
          <w:color w:val="002060"/>
        </w:rPr>
        <w:sectPr w:rsidR="002A2B55" w:rsidRPr="00F24D2E" w:rsidSect="008A6957">
          <w:pgSz w:w="16838" w:h="11906" w:orient="landscape" w:code="9"/>
          <w:pgMar w:top="851" w:right="1134" w:bottom="851" w:left="851" w:header="567" w:footer="567" w:gutter="0"/>
          <w:cols w:space="720"/>
          <w:formProt w:val="0"/>
          <w:docGrid w:linePitch="326"/>
        </w:sectPr>
      </w:pPr>
    </w:p>
    <w:bookmarkEnd w:id="17"/>
    <w:bookmarkEnd w:id="18"/>
    <w:bookmarkEnd w:id="19"/>
    <w:bookmarkEnd w:id="20"/>
    <w:bookmarkEnd w:id="21"/>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28"/>
      </w:tblGrid>
      <w:tr w:rsidR="00F80598" w:rsidRPr="008B191E" w:rsidTr="00243D10">
        <w:trPr>
          <w:gridBefore w:val="1"/>
          <w:wBefore w:w="1134" w:type="dxa"/>
          <w:trHeight w:hRule="exact" w:val="7088"/>
        </w:trPr>
        <w:tc>
          <w:tcPr>
            <w:tcW w:w="9628" w:type="dxa"/>
            <w:shd w:val="clear" w:color="auto" w:fill="auto"/>
          </w:tcPr>
          <w:p w:rsidR="00F80598" w:rsidRPr="008B191E" w:rsidRDefault="00F80598" w:rsidP="00243D10"/>
        </w:tc>
      </w:tr>
      <w:tr w:rsidR="00F80598" w:rsidRPr="008F68AF" w:rsidTr="00243D10">
        <w:trPr>
          <w:trHeight w:hRule="exact" w:val="4649"/>
        </w:trPr>
        <w:tc>
          <w:tcPr>
            <w:tcW w:w="10762" w:type="dxa"/>
            <w:gridSpan w:val="2"/>
            <w:shd w:val="clear" w:color="auto" w:fill="auto"/>
          </w:tcPr>
          <w:p w:rsidR="00F80598" w:rsidRPr="008F68AF" w:rsidRDefault="00F80598" w:rsidP="00243D10">
            <w:pPr>
              <w:pStyle w:val="Acknowledgements"/>
            </w:pPr>
            <w:r>
              <w:rPr>
                <w:noProof/>
                <w:lang w:eastAsia="en-GB"/>
              </w:rPr>
              <w:drawing>
                <wp:inline distT="0" distB="0" distL="0" distR="0" wp14:anchorId="1397134D" wp14:editId="25CC20C7">
                  <wp:extent cx="6120130" cy="1752342"/>
                  <wp:effectExtent l="0" t="0" r="0" b="0"/>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120130" cy="1752342"/>
                          </a:xfrm>
                          <a:prstGeom prst="rect">
                            <a:avLst/>
                          </a:prstGeom>
                          <a:noFill/>
                          <a:ln>
                            <a:noFill/>
                          </a:ln>
                        </pic:spPr>
                      </pic:pic>
                    </a:graphicData>
                  </a:graphic>
                </wp:inline>
              </w:drawing>
            </w:r>
          </w:p>
        </w:tc>
      </w:tr>
      <w:tr w:rsidR="00F80598" w:rsidRPr="008B191E" w:rsidTr="00243D10">
        <w:trPr>
          <w:gridBefore w:val="1"/>
          <w:wBefore w:w="1134" w:type="dxa"/>
          <w:trHeight w:hRule="exact" w:val="1134"/>
        </w:trPr>
        <w:tc>
          <w:tcPr>
            <w:tcW w:w="9628" w:type="dxa"/>
            <w:shd w:val="clear" w:color="auto" w:fill="auto"/>
          </w:tcPr>
          <w:p w:rsidR="00F80598" w:rsidRDefault="00F80598" w:rsidP="00BB1A19">
            <w:pPr>
              <w:pStyle w:val="BackSheetFooter"/>
            </w:pPr>
            <w:r>
              <w:t>© Crown copyright</w:t>
            </w:r>
            <w:r w:rsidR="007F62E5">
              <w:t xml:space="preserve"> </w:t>
            </w:r>
            <w:r w:rsidR="00331633">
              <w:t>2017</w:t>
            </w:r>
          </w:p>
          <w:p w:rsidR="00F80598" w:rsidRPr="007F3AE8" w:rsidRDefault="00F80598" w:rsidP="00BB1A19">
            <w:pPr>
              <w:pStyle w:val="BackSheetFooter"/>
              <w:rPr>
                <w:b/>
              </w:rPr>
            </w:pPr>
            <w:r w:rsidRPr="007F3AE8">
              <w:rPr>
                <w:b/>
              </w:rPr>
              <w:t xml:space="preserve">Department </w:t>
            </w:r>
            <w:r w:rsidR="00407BCF">
              <w:rPr>
                <w:b/>
              </w:rPr>
              <w:t>for Business,</w:t>
            </w:r>
            <w:r w:rsidRPr="007F3AE8">
              <w:rPr>
                <w:b/>
              </w:rPr>
              <w:t xml:space="preserve"> Energy &amp; </w:t>
            </w:r>
            <w:r w:rsidR="00407BCF">
              <w:rPr>
                <w:b/>
              </w:rPr>
              <w:t>Industrial Strategy</w:t>
            </w:r>
          </w:p>
          <w:p w:rsidR="00F80598" w:rsidRDefault="008644D4" w:rsidP="00BB1A19">
            <w:pPr>
              <w:pStyle w:val="BackSheetFooter"/>
            </w:pPr>
            <w:r>
              <w:t xml:space="preserve">1 Victoria Street, </w:t>
            </w:r>
            <w:r w:rsidRPr="00CC4540">
              <w:t xml:space="preserve">London, </w:t>
            </w:r>
            <w:r w:rsidRPr="00CC4540">
              <w:rPr>
                <w:rFonts w:cs="Arial"/>
                <w:lang w:val="en"/>
              </w:rPr>
              <w:t>SW1H 0ET</w:t>
            </w:r>
          </w:p>
          <w:p w:rsidR="00F80598" w:rsidRPr="005168D7" w:rsidRDefault="00622071" w:rsidP="00407BCF">
            <w:pPr>
              <w:pStyle w:val="BackSheetFooter"/>
              <w:rPr>
                <w:rFonts w:cs="Arial"/>
              </w:rPr>
            </w:pPr>
            <w:hyperlink r:id="rId36" w:history="1">
              <w:r w:rsidR="00407BCF" w:rsidRPr="005168D7">
                <w:rPr>
                  <w:rStyle w:val="Hyperlink"/>
                  <w:rFonts w:ascii="Arial" w:hAnsi="Arial" w:cs="Arial"/>
                </w:rPr>
                <w:t>www.gov.uk/beis</w:t>
              </w:r>
            </w:hyperlink>
            <w:r w:rsidR="00F80598" w:rsidRPr="005168D7">
              <w:rPr>
                <w:rFonts w:cs="Arial"/>
              </w:rPr>
              <w:t xml:space="preserve">   </w:t>
            </w:r>
          </w:p>
        </w:tc>
      </w:tr>
    </w:tbl>
    <w:p w:rsidR="002933E3" w:rsidRPr="002933E3" w:rsidRDefault="002933E3" w:rsidP="002933E3"/>
    <w:sectPr w:rsidR="002933E3" w:rsidRPr="002933E3" w:rsidSect="00963998">
      <w:headerReference w:type="default" r:id="rId37"/>
      <w:footerReference w:type="default" r:id="rId38"/>
      <w:headerReference w:type="first" r:id="rId39"/>
      <w:footerReference w:type="first" r:id="rId40"/>
      <w:pgSz w:w="11906" w:h="16838" w:code="9"/>
      <w:pgMar w:top="2041" w:right="1134" w:bottom="1134" w:left="1134" w:header="680"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071" w:rsidRDefault="00622071" w:rsidP="00F52BAB">
      <w:pPr>
        <w:spacing w:after="0" w:line="240" w:lineRule="auto"/>
      </w:pPr>
      <w:r>
        <w:separator/>
      </w:r>
    </w:p>
    <w:p w:rsidR="00622071" w:rsidRDefault="00622071"/>
    <w:p w:rsidR="00622071" w:rsidRDefault="00622071"/>
    <w:p w:rsidR="00622071" w:rsidRDefault="00622071"/>
    <w:p w:rsidR="00622071" w:rsidRDefault="00622071" w:rsidP="00CB78D7"/>
    <w:p w:rsidR="00622071" w:rsidRDefault="00622071"/>
    <w:p w:rsidR="00622071" w:rsidRDefault="00622071" w:rsidP="00011D40"/>
  </w:endnote>
  <w:endnote w:type="continuationSeparator" w:id="0">
    <w:p w:rsidR="00622071" w:rsidRDefault="00622071" w:rsidP="00F52BAB">
      <w:pPr>
        <w:spacing w:after="0" w:line="240" w:lineRule="auto"/>
      </w:pPr>
      <w:r>
        <w:continuationSeparator/>
      </w:r>
    </w:p>
    <w:p w:rsidR="00622071" w:rsidRDefault="00622071"/>
    <w:p w:rsidR="00622071" w:rsidRDefault="00622071"/>
    <w:p w:rsidR="00622071" w:rsidRDefault="00622071"/>
    <w:p w:rsidR="00622071" w:rsidRDefault="00622071" w:rsidP="00CB78D7"/>
    <w:p w:rsidR="00622071" w:rsidRDefault="00622071"/>
    <w:p w:rsidR="00622071" w:rsidRDefault="00622071" w:rsidP="00011D40"/>
  </w:endnote>
  <w:endnote w:type="continuationNotice" w:id="1">
    <w:p w:rsidR="00622071" w:rsidRDefault="00622071">
      <w:pPr>
        <w:spacing w:after="0" w:line="240" w:lineRule="auto"/>
      </w:pPr>
    </w:p>
    <w:p w:rsidR="00622071" w:rsidRDefault="00622071"/>
    <w:p w:rsidR="00622071" w:rsidRDefault="00622071" w:rsidP="00011D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D26" w:rsidRPr="00291DB3" w:rsidRDefault="00907D26"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sidR="00A65B6C">
      <w:rPr>
        <w:rStyle w:val="PageNumber"/>
        <w:noProof/>
      </w:rPr>
      <w:t>10</w:t>
    </w:r>
    <w:r w:rsidRPr="00291DB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D26" w:rsidRDefault="00907D26">
    <w:pPr>
      <w:pStyle w:val="Footer"/>
      <w:jc w:val="right"/>
    </w:pPr>
  </w:p>
  <w:p w:rsidR="00907D26" w:rsidRDefault="00907D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D26" w:rsidRDefault="00907D26" w:rsidP="00243D1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907D26" w:rsidRPr="006470B9" w:rsidRDefault="00907D26" w:rsidP="00243D10">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D26" w:rsidRPr="00291DB3" w:rsidRDefault="00907D26"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sidR="00C76F55">
      <w:rPr>
        <w:rStyle w:val="PageNumber"/>
        <w:noProof/>
      </w:rPr>
      <w:t>4</w:t>
    </w:r>
    <w:r w:rsidRPr="00291DB3">
      <w:rPr>
        <w:rStyle w:val="PageNumber"/>
      </w:rPr>
      <w:fldChar w:fldCharType="end"/>
    </w:r>
  </w:p>
  <w:p w:rsidR="00907D26" w:rsidRDefault="00907D26"/>
  <w:p w:rsidR="00907D26" w:rsidRDefault="00907D26" w:rsidP="00CB78D7"/>
  <w:p w:rsidR="00907D26" w:rsidRDefault="00907D26"/>
  <w:p w:rsidR="00907D26" w:rsidRDefault="00907D26" w:rsidP="00011D4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D26" w:rsidRDefault="00907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071" w:rsidRDefault="00622071" w:rsidP="008349B7">
      <w:r>
        <w:separator/>
      </w:r>
    </w:p>
    <w:p w:rsidR="00622071" w:rsidRDefault="00622071"/>
    <w:p w:rsidR="00622071" w:rsidRDefault="00622071" w:rsidP="00011D40"/>
  </w:footnote>
  <w:footnote w:type="continuationSeparator" w:id="0">
    <w:p w:rsidR="00622071" w:rsidRDefault="00622071">
      <w:r>
        <w:continuationSeparator/>
      </w:r>
    </w:p>
    <w:p w:rsidR="00622071" w:rsidRDefault="00622071"/>
    <w:p w:rsidR="00622071" w:rsidRDefault="00622071" w:rsidP="00011D40"/>
  </w:footnote>
  <w:footnote w:type="continuationNotice" w:id="1">
    <w:p w:rsidR="00622071" w:rsidRDefault="00622071" w:rsidP="00CB78D7"/>
    <w:p w:rsidR="00622071" w:rsidRDefault="00622071"/>
    <w:p w:rsidR="00622071" w:rsidRDefault="00622071" w:rsidP="00011D40"/>
  </w:footnote>
  <w:footnote w:id="2">
    <w:p w:rsidR="00907D26" w:rsidRPr="008B5DC8" w:rsidRDefault="00907D26" w:rsidP="001D4CDF">
      <w:pPr>
        <w:pStyle w:val="FootnoteText"/>
        <w:ind w:left="142" w:hanging="142"/>
        <w:rPr>
          <w:rFonts w:asciiTheme="minorHAnsi" w:hAnsiTheme="minorHAnsi"/>
        </w:rPr>
      </w:pPr>
      <w:r w:rsidRPr="008B5DC8">
        <w:rPr>
          <w:rStyle w:val="FootnoteReference"/>
          <w:rFonts w:asciiTheme="minorHAnsi" w:hAnsiTheme="minorHAnsi"/>
        </w:rPr>
        <w:footnoteRef/>
      </w:r>
      <w:r w:rsidRPr="008B5DC8">
        <w:rPr>
          <w:rFonts w:asciiTheme="minorHAnsi" w:hAnsiTheme="minorHAnsi"/>
        </w:rPr>
        <w:t xml:space="preserve"> BEIS considers an operational risk to be a risk that the licensee will fail to continue to be able to rollout smart metering systems at a rate consistent with its rollout plan, and a commercial risk to be a risk that it will be disproportionally expensive for the licensee to continue to meet its rollout plans or that there is a risk of stranding of assets of a material value in order to do so.</w:t>
      </w:r>
    </w:p>
  </w:footnote>
  <w:footnote w:id="3">
    <w:p w:rsidR="00907D26" w:rsidRPr="0055090B" w:rsidRDefault="00907D26" w:rsidP="00CD3C71">
      <w:pPr>
        <w:pStyle w:val="FootnoteText"/>
        <w:ind w:left="142" w:hanging="142"/>
        <w:rPr>
          <w:rFonts w:asciiTheme="minorHAnsi" w:hAnsiTheme="minorHAnsi"/>
        </w:rPr>
      </w:pPr>
      <w:r>
        <w:rPr>
          <w:rStyle w:val="FootnoteReference"/>
        </w:rPr>
        <w:footnoteRef/>
      </w:r>
      <w:r>
        <w:t xml:space="preserve"> </w:t>
      </w:r>
      <w:r w:rsidRPr="0055090B">
        <w:rPr>
          <w:rFonts w:asciiTheme="minorHAnsi" w:hAnsiTheme="minorHAnsi"/>
        </w:rPr>
        <w:t xml:space="preserve">Evidence submitted should be consistent with </w:t>
      </w:r>
      <w:r>
        <w:rPr>
          <w:rFonts w:asciiTheme="minorHAnsi" w:hAnsiTheme="minorHAnsi"/>
        </w:rPr>
        <w:t xml:space="preserve">energy suppliers’ </w:t>
      </w:r>
      <w:r w:rsidRPr="0055090B">
        <w:rPr>
          <w:rFonts w:asciiTheme="minorHAnsi" w:hAnsiTheme="minorHAnsi"/>
        </w:rPr>
        <w:t>quarterly statistical submissions to BEIS.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D26" w:rsidRPr="008B191E" w:rsidRDefault="00907D26" w:rsidP="000B6B2B">
    <w:pPr>
      <w:pStyle w:val="Header"/>
      <w:pBdr>
        <w:bottom w:val="single" w:sz="12" w:space="4" w:color="009FDA" w:themeColor="background2"/>
      </w:pBdr>
      <w:rPr>
        <w:rStyle w:val="PageNumber"/>
      </w:rPr>
    </w:pPr>
    <w:r>
      <w:rPr>
        <w:rStyle w:val="PageNumber"/>
      </w:rPr>
      <w:t>Smart Metering Implementation Programme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D26" w:rsidRDefault="00907D26">
    <w:pPr>
      <w:pStyle w:val="Header"/>
    </w:pPr>
    <w:r>
      <w:t>OFFICIAL – SENSITIVE COMMERCIAL</w:t>
    </w:r>
  </w:p>
  <w:p w:rsidR="00907D26" w:rsidRPr="00FB4A4B" w:rsidRDefault="00907D26" w:rsidP="00124F15">
    <w:pPr>
      <w:pStyle w:val="Header"/>
      <w:jc w:val="center"/>
      <w:rPr>
        <w:b/>
        <w:color w:val="FF0000"/>
        <w:sz w:val="40"/>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D26" w:rsidRPr="008B191E" w:rsidRDefault="00907D26" w:rsidP="00700D4A">
    <w:pPr>
      <w:pStyle w:val="Header"/>
      <w:pBdr>
        <w:bottom w:val="single" w:sz="12" w:space="4" w:color="009FDA" w:themeColor="background2"/>
      </w:pBdr>
      <w:rPr>
        <w:rStyle w:val="PageNumber"/>
      </w:rPr>
    </w:pPr>
    <w:r>
      <w:rPr>
        <w:rStyle w:val="PageNumber"/>
      </w:rPr>
      <w:t>General information</w:t>
    </w:r>
  </w:p>
  <w:p w:rsidR="00907D26" w:rsidRDefault="00907D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D26" w:rsidRPr="008B191E" w:rsidRDefault="00907D26" w:rsidP="001E37D9">
    <w:pPr>
      <w:pStyle w:val="Header"/>
      <w:pBdr>
        <w:bottom w:val="single" w:sz="12" w:space="4" w:color="009FDA" w:themeColor="background2"/>
      </w:pBdr>
      <w:rPr>
        <w:rStyle w:val="PageNumber"/>
      </w:rPr>
    </w:pPr>
    <w:r>
      <w:rPr>
        <w:rStyle w:val="PageNumber"/>
      </w:rPr>
      <w:t>Introduction</w:t>
    </w:r>
  </w:p>
  <w:p w:rsidR="00907D26" w:rsidRDefault="00907D2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D26" w:rsidRDefault="00907D2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D26" w:rsidRPr="008B191E" w:rsidRDefault="00907D26" w:rsidP="00291DB3">
    <w:pPr>
      <w:pStyle w:val="Header"/>
      <w:pBdr>
        <w:bottom w:val="single" w:sz="12" w:space="4" w:color="009FDA" w:themeColor="background2"/>
      </w:pBdr>
      <w:rPr>
        <w:rStyle w:val="PageNumber"/>
        <w:color w:val="002C77" w:themeColor="text1"/>
      </w:rPr>
    </w:pPr>
    <w:r w:rsidRPr="008B191E">
      <w:rPr>
        <w:rStyle w:val="PageNumber"/>
        <w:color w:val="002C77" w:themeColor="text1"/>
      </w:rPr>
      <w:fldChar w:fldCharType="begin"/>
    </w:r>
    <w:r w:rsidRPr="008B191E">
      <w:rPr>
        <w:rStyle w:val="PageNumber"/>
        <w:color w:val="002C77" w:themeColor="text1"/>
      </w:rPr>
      <w:instrText xml:space="preserve"> STYLEREF "Heading 1" \* MERGEFORMAT </w:instrText>
    </w:r>
    <w:r w:rsidRPr="008B191E">
      <w:rPr>
        <w:rStyle w:val="PageNumber"/>
        <w:color w:val="002C77" w:themeColor="text1"/>
      </w:rPr>
      <w:fldChar w:fldCharType="separate"/>
    </w:r>
    <w:r w:rsidR="00C76F55">
      <w:rPr>
        <w:rStyle w:val="PageNumber"/>
        <w:noProof/>
        <w:color w:val="002C77" w:themeColor="text1"/>
      </w:rPr>
      <w:t>General information</w:t>
    </w:r>
    <w:r w:rsidRPr="008B191E">
      <w:rPr>
        <w:rStyle w:val="PageNumber"/>
        <w:color w:val="002C77" w:themeColor="text1"/>
      </w:rPr>
      <w:fldChar w:fldCharType="end"/>
    </w:r>
  </w:p>
  <w:p w:rsidR="00907D26" w:rsidRDefault="00907D26"/>
  <w:p w:rsidR="00907D26" w:rsidRDefault="00907D26" w:rsidP="00CB78D7"/>
  <w:p w:rsidR="00907D26" w:rsidRDefault="00907D26"/>
  <w:p w:rsidR="00907D26" w:rsidRDefault="00907D26" w:rsidP="00011D4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D26" w:rsidRDefault="00907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757D"/>
    <w:multiLevelType w:val="hybridMultilevel"/>
    <w:tmpl w:val="0D6A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324E4"/>
    <w:multiLevelType w:val="hybridMultilevel"/>
    <w:tmpl w:val="0B7CD3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DC74F5B"/>
    <w:multiLevelType w:val="hybridMultilevel"/>
    <w:tmpl w:val="70668074"/>
    <w:lvl w:ilvl="0" w:tplc="5E44D616">
      <w:start w:val="1"/>
      <w:numFmt w:val="bullet"/>
      <w:pStyle w:val="BulletList2"/>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E81CCC"/>
    <w:multiLevelType w:val="hybridMultilevel"/>
    <w:tmpl w:val="158C1404"/>
    <w:lvl w:ilvl="0" w:tplc="1A7A20C2">
      <w:start w:val="1"/>
      <w:numFmt w:val="decimal"/>
      <w:lvlText w:val="%1."/>
      <w:lvlJc w:val="left"/>
      <w:pPr>
        <w:ind w:left="360" w:hanging="360"/>
      </w:pPr>
      <w:rPr>
        <w:b w:val="0"/>
        <w:color w:val="auto"/>
        <w:vertAlign w:val="baseline"/>
      </w:rPr>
    </w:lvl>
    <w:lvl w:ilvl="1" w:tplc="08090019">
      <w:start w:val="1"/>
      <w:numFmt w:val="lowerLetter"/>
      <w:lvlText w:val="%2."/>
      <w:lvlJc w:val="left"/>
      <w:pPr>
        <w:ind w:left="1440" w:hanging="360"/>
      </w:pPr>
    </w:lvl>
    <w:lvl w:ilvl="2" w:tplc="51988B10">
      <w:start w:val="1"/>
      <w:numFmt w:val="lowerLetter"/>
      <w:lvlText w:val="(%3)"/>
      <w:lvlJc w:val="left"/>
      <w:pPr>
        <w:ind w:left="786"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8D0CC8"/>
    <w:multiLevelType w:val="hybridMultilevel"/>
    <w:tmpl w:val="ED2432FE"/>
    <w:lvl w:ilvl="0" w:tplc="8054AE44">
      <w:start w:val="1"/>
      <w:numFmt w:val="bullet"/>
      <w:pStyle w:val="ListBullet"/>
      <w:lvlText w:val=""/>
      <w:lvlJc w:val="left"/>
      <w:pPr>
        <w:tabs>
          <w:tab w:val="num" w:pos="284"/>
        </w:tabs>
        <w:ind w:left="284" w:hanging="284"/>
      </w:pPr>
      <w:rPr>
        <w:rFonts w:ascii="Symbol" w:hAnsi="Symbol" w:hint="default"/>
        <w:color w:val="00AEEF"/>
        <w:sz w:val="24"/>
        <w:szCs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5">
    <w:nsid w:val="17427534"/>
    <w:multiLevelType w:val="hybridMultilevel"/>
    <w:tmpl w:val="158C1404"/>
    <w:lvl w:ilvl="0" w:tplc="1A7A20C2">
      <w:start w:val="1"/>
      <w:numFmt w:val="decimal"/>
      <w:lvlText w:val="%1."/>
      <w:lvlJc w:val="left"/>
      <w:pPr>
        <w:ind w:left="360" w:hanging="360"/>
      </w:pPr>
      <w:rPr>
        <w:b w:val="0"/>
        <w:color w:val="auto"/>
        <w:vertAlign w:val="baseline"/>
      </w:rPr>
    </w:lvl>
    <w:lvl w:ilvl="1" w:tplc="08090019">
      <w:start w:val="1"/>
      <w:numFmt w:val="lowerLetter"/>
      <w:lvlText w:val="%2."/>
      <w:lvlJc w:val="left"/>
      <w:pPr>
        <w:ind w:left="1440" w:hanging="360"/>
      </w:pPr>
    </w:lvl>
    <w:lvl w:ilvl="2" w:tplc="51988B10">
      <w:start w:val="1"/>
      <w:numFmt w:val="lowerLetter"/>
      <w:lvlText w:val="(%3)"/>
      <w:lvlJc w:val="left"/>
      <w:pPr>
        <w:ind w:left="786"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B6762"/>
    <w:multiLevelType w:val="hybridMultilevel"/>
    <w:tmpl w:val="6A5E3A0A"/>
    <w:lvl w:ilvl="0" w:tplc="1F7639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DB32EA"/>
    <w:multiLevelType w:val="hybridMultilevel"/>
    <w:tmpl w:val="D53A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0971A6"/>
    <w:multiLevelType w:val="hybridMultilevel"/>
    <w:tmpl w:val="0D0CFD24"/>
    <w:lvl w:ilvl="0" w:tplc="15F4AC16">
      <w:start w:val="1"/>
      <w:numFmt w:val="lowerLetter"/>
      <w:pStyle w:val="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E2C8C"/>
    <w:multiLevelType w:val="hybridMultilevel"/>
    <w:tmpl w:val="62C8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0708BD"/>
    <w:multiLevelType w:val="hybridMultilevel"/>
    <w:tmpl w:val="BC3CE828"/>
    <w:lvl w:ilvl="0" w:tplc="FF3651FC">
      <w:start w:val="1"/>
      <w:numFmt w:val="bullet"/>
      <w:pStyle w:val="BulletList3"/>
      <w:lvlText w:val=""/>
      <w:lvlJc w:val="left"/>
      <w:pPr>
        <w:ind w:left="720" w:hanging="360"/>
      </w:pPr>
      <w:rPr>
        <w:rFonts w:ascii="Symbol" w:hAnsi="Symbol" w:hint="default"/>
        <w:b/>
        <w:i w:val="0"/>
        <w:color w:val="0076A3"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DE4699"/>
    <w:multiLevelType w:val="hybridMultilevel"/>
    <w:tmpl w:val="190EB294"/>
    <w:lvl w:ilvl="0" w:tplc="BA886E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AF3FEB"/>
    <w:multiLevelType w:val="hybridMultilevel"/>
    <w:tmpl w:val="2DD25390"/>
    <w:lvl w:ilvl="0" w:tplc="486A6CD4">
      <w:start w:val="1"/>
      <w:numFmt w:val="lowerRoman"/>
      <w:pStyle w:val="List"/>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B6F5E"/>
    <w:multiLevelType w:val="hybridMultilevel"/>
    <w:tmpl w:val="158C1404"/>
    <w:lvl w:ilvl="0" w:tplc="1A7A20C2">
      <w:start w:val="1"/>
      <w:numFmt w:val="decimal"/>
      <w:lvlText w:val="%1."/>
      <w:lvlJc w:val="left"/>
      <w:pPr>
        <w:ind w:left="360" w:hanging="360"/>
      </w:pPr>
      <w:rPr>
        <w:b w:val="0"/>
        <w:color w:val="auto"/>
        <w:vertAlign w:val="baseline"/>
      </w:rPr>
    </w:lvl>
    <w:lvl w:ilvl="1" w:tplc="08090019">
      <w:start w:val="1"/>
      <w:numFmt w:val="lowerLetter"/>
      <w:lvlText w:val="%2."/>
      <w:lvlJc w:val="left"/>
      <w:pPr>
        <w:ind w:left="1440" w:hanging="360"/>
      </w:pPr>
    </w:lvl>
    <w:lvl w:ilvl="2" w:tplc="51988B10">
      <w:start w:val="1"/>
      <w:numFmt w:val="lowerLetter"/>
      <w:lvlText w:val="(%3)"/>
      <w:lvlJc w:val="left"/>
      <w:pPr>
        <w:ind w:left="786"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313617"/>
    <w:multiLevelType w:val="multilevel"/>
    <w:tmpl w:val="D38C5D68"/>
    <w:lvl w:ilvl="0">
      <w:start w:val="1"/>
      <w:numFmt w:val="decimal"/>
      <w:pStyle w:val="DECCNumberedChapterHead"/>
      <w:lvlText w:val="%1."/>
      <w:lvlJc w:val="left"/>
      <w:pPr>
        <w:ind w:left="360" w:hanging="360"/>
      </w:pPr>
      <w:rPr>
        <w:rFonts w:hint="default"/>
      </w:rPr>
    </w:lvl>
    <w:lvl w:ilvl="1">
      <w:start w:val="1"/>
      <w:numFmt w:val="decimal"/>
      <w:pStyle w:val="BodyNumbering"/>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8C70450"/>
    <w:multiLevelType w:val="hybridMultilevel"/>
    <w:tmpl w:val="67604AC6"/>
    <w:lvl w:ilvl="0" w:tplc="723A9960">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8D36105"/>
    <w:multiLevelType w:val="hybridMultilevel"/>
    <w:tmpl w:val="9F2CE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90848E0"/>
    <w:multiLevelType w:val="multilevel"/>
    <w:tmpl w:val="CDE2EC3E"/>
    <w:lvl w:ilvl="0">
      <w:start w:val="1"/>
      <w:numFmt w:val="decimal"/>
      <w:pStyle w:val="NumberList1"/>
      <w:lvlText w:val="%1."/>
      <w:lvlJc w:val="left"/>
      <w:pPr>
        <w:ind w:left="851" w:hanging="851"/>
      </w:pPr>
      <w:rPr>
        <w:rFonts w:ascii="Arial" w:hAnsi="Arial" w:hint="default"/>
        <w:b w:val="0"/>
        <w:i w:val="0"/>
        <w:color w:val="auto"/>
        <w:sz w:val="24"/>
      </w:rPr>
    </w:lvl>
    <w:lvl w:ilvl="1">
      <w:start w:val="1"/>
      <w:numFmt w:val="lowerLetter"/>
      <w:pStyle w:val="NumberList2"/>
      <w:lvlText w:val="(%2)"/>
      <w:lvlJc w:val="left"/>
      <w:pPr>
        <w:ind w:left="1701" w:hanging="850"/>
      </w:pPr>
      <w:rPr>
        <w:rFonts w:ascii="Arial" w:hAnsi="Arial" w:hint="default"/>
        <w:sz w:val="24"/>
      </w:rPr>
    </w:lvl>
    <w:lvl w:ilvl="2">
      <w:start w:val="1"/>
      <w:numFmt w:val="lowerRoman"/>
      <w:pStyle w:val="NumberList3"/>
      <w:lvlText w:val="(%3)"/>
      <w:lvlJc w:val="left"/>
      <w:pPr>
        <w:tabs>
          <w:tab w:val="num" w:pos="17010"/>
        </w:tabs>
        <w:ind w:left="2552" w:hanging="851"/>
      </w:pPr>
      <w:rPr>
        <w:rFonts w:ascii="Arial" w:hAnsi="Arial" w:hint="default"/>
        <w:sz w:val="24"/>
      </w:rPr>
    </w:lvl>
    <w:lvl w:ilvl="3">
      <w:start w:val="1"/>
      <w:numFmt w:val="lowerRoman"/>
      <w:lvlText w:val="(%4)"/>
      <w:lvlJc w:val="left"/>
      <w:pPr>
        <w:ind w:left="851" w:hanging="851"/>
      </w:pPr>
      <w:rPr>
        <w:rFonts w:ascii="Arial" w:hAnsi="Arial" w:hint="default"/>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9987740"/>
    <w:multiLevelType w:val="hybridMultilevel"/>
    <w:tmpl w:val="4018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B009FD"/>
    <w:multiLevelType w:val="hybridMultilevel"/>
    <w:tmpl w:val="37BA3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A6D36B4"/>
    <w:multiLevelType w:val="hybridMultilevel"/>
    <w:tmpl w:val="6BA05E16"/>
    <w:lvl w:ilvl="0" w:tplc="F930736C">
      <w:start w:val="1"/>
      <w:numFmt w:val="bullet"/>
      <w:pStyle w:val="BulletList1"/>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B16497"/>
    <w:multiLevelType w:val="hybridMultilevel"/>
    <w:tmpl w:val="99AA8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0E6647"/>
    <w:multiLevelType w:val="multilevel"/>
    <w:tmpl w:val="08E0FAD4"/>
    <w:lvl w:ilvl="0">
      <w:start w:val="1"/>
      <w:numFmt w:val="bullet"/>
      <w:pStyle w:val="Listbullet1"/>
      <w:lvlText w:val=""/>
      <w:lvlJc w:val="left"/>
      <w:pPr>
        <w:ind w:left="1353" w:hanging="360"/>
      </w:pPr>
      <w:rPr>
        <w:rFonts w:ascii="Symbol" w:hAnsi="Symbol" w:hint="default"/>
        <w:color w:val="00AEEF"/>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43641C98"/>
    <w:multiLevelType w:val="hybridMultilevel"/>
    <w:tmpl w:val="4EFEBE24"/>
    <w:lvl w:ilvl="0" w:tplc="095A291A">
      <w:start w:val="1"/>
      <w:numFmt w:val="bullet"/>
      <w:pStyle w:val="Listbulletintable"/>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4">
    <w:nsid w:val="45C13D35"/>
    <w:multiLevelType w:val="multilevel"/>
    <w:tmpl w:val="6C767BAE"/>
    <w:lvl w:ilvl="0">
      <w:start w:val="3"/>
      <w:numFmt w:val="decimal"/>
      <w:lvlRestart w:val="0"/>
      <w:lvlText w:val="A%1"/>
      <w:lvlJc w:val="left"/>
      <w:pPr>
        <w:tabs>
          <w:tab w:val="num" w:pos="709"/>
        </w:tabs>
        <w:ind w:left="709" w:hanging="709"/>
      </w:pPr>
      <w:rPr>
        <w:rFonts w:hint="default"/>
      </w:rPr>
    </w:lvl>
    <w:lvl w:ilvl="1">
      <w:start w:val="1"/>
      <w:numFmt w:val="decimal"/>
      <w:lvlText w:val="A%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5">
    <w:nsid w:val="463F2CA4"/>
    <w:multiLevelType w:val="hybridMultilevel"/>
    <w:tmpl w:val="7BA85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AB67921"/>
    <w:multiLevelType w:val="hybridMultilevel"/>
    <w:tmpl w:val="87CAE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AB70FD4"/>
    <w:multiLevelType w:val="hybridMultilevel"/>
    <w:tmpl w:val="FB6C08CE"/>
    <w:lvl w:ilvl="0" w:tplc="1A7A20C2">
      <w:start w:val="1"/>
      <w:numFmt w:val="decimal"/>
      <w:lvlText w:val="%1."/>
      <w:lvlJc w:val="left"/>
      <w:pPr>
        <w:ind w:left="360" w:hanging="360"/>
      </w:pPr>
      <w:rPr>
        <w:b w:val="0"/>
        <w:color w:val="auto"/>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AF614F"/>
    <w:multiLevelType w:val="hybridMultilevel"/>
    <w:tmpl w:val="0A8AC5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5134E8"/>
    <w:multiLevelType w:val="hybridMultilevel"/>
    <w:tmpl w:val="C478D0DC"/>
    <w:lvl w:ilvl="0" w:tplc="08090001">
      <w:start w:val="1"/>
      <w:numFmt w:val="bullet"/>
      <w:lvlText w:val=""/>
      <w:lvlJc w:val="left"/>
      <w:pPr>
        <w:ind w:left="1070" w:hanging="360"/>
      </w:pPr>
      <w:rPr>
        <w:rFonts w:ascii="Symbol" w:hAnsi="Symbol" w:hint="default"/>
        <w:b w:val="0"/>
        <w:color w:val="auto"/>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923B93"/>
    <w:multiLevelType w:val="hybridMultilevel"/>
    <w:tmpl w:val="4B28C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E008DC"/>
    <w:multiLevelType w:val="hybridMultilevel"/>
    <w:tmpl w:val="1A52FCC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5C0BF4"/>
    <w:multiLevelType w:val="hybridMultilevel"/>
    <w:tmpl w:val="DEF84DDA"/>
    <w:lvl w:ilvl="0" w:tplc="4A7CDB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3321C52"/>
    <w:multiLevelType w:val="hybridMultilevel"/>
    <w:tmpl w:val="DEF84DDA"/>
    <w:lvl w:ilvl="0" w:tplc="4A7CDB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90346A7"/>
    <w:multiLevelType w:val="hybridMultilevel"/>
    <w:tmpl w:val="624E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0A1AA4"/>
    <w:multiLevelType w:val="hybridMultilevel"/>
    <w:tmpl w:val="5F608398"/>
    <w:lvl w:ilvl="0" w:tplc="013242B2">
      <w:start w:val="1"/>
      <w:numFmt w:val="decimal"/>
      <w:lvlText w:val="%1."/>
      <w:lvlJc w:val="left"/>
      <w:pPr>
        <w:ind w:left="720" w:hanging="360"/>
      </w:pPr>
      <w:rPr>
        <w:rFonts w:cs="Times New Roman"/>
      </w:rPr>
    </w:lvl>
    <w:lvl w:ilvl="1" w:tplc="06E6F21A">
      <w:start w:val="1"/>
      <w:numFmt w:val="lowerLetter"/>
      <w:pStyle w:val="Heading2Title"/>
      <w:lvlText w:val="%2."/>
      <w:lvlJc w:val="left"/>
      <w:pPr>
        <w:ind w:left="1440" w:hanging="360"/>
      </w:pPr>
      <w:rPr>
        <w:rFonts w:cs="Times New Roman"/>
      </w:rPr>
    </w:lvl>
    <w:lvl w:ilvl="2" w:tplc="7778D292" w:tentative="1">
      <w:start w:val="1"/>
      <w:numFmt w:val="lowerRoman"/>
      <w:lvlText w:val="%3."/>
      <w:lvlJc w:val="right"/>
      <w:pPr>
        <w:ind w:left="2160" w:hanging="180"/>
      </w:pPr>
      <w:rPr>
        <w:rFonts w:cs="Times New Roman"/>
      </w:rPr>
    </w:lvl>
    <w:lvl w:ilvl="3" w:tplc="C47C574C" w:tentative="1">
      <w:start w:val="1"/>
      <w:numFmt w:val="decimal"/>
      <w:lvlText w:val="%4."/>
      <w:lvlJc w:val="left"/>
      <w:pPr>
        <w:ind w:left="2880" w:hanging="360"/>
      </w:pPr>
      <w:rPr>
        <w:rFonts w:cs="Times New Roman"/>
      </w:rPr>
    </w:lvl>
    <w:lvl w:ilvl="4" w:tplc="947AB996" w:tentative="1">
      <w:start w:val="1"/>
      <w:numFmt w:val="lowerLetter"/>
      <w:lvlText w:val="%5."/>
      <w:lvlJc w:val="left"/>
      <w:pPr>
        <w:ind w:left="3600" w:hanging="360"/>
      </w:pPr>
      <w:rPr>
        <w:rFonts w:cs="Times New Roman"/>
      </w:rPr>
    </w:lvl>
    <w:lvl w:ilvl="5" w:tplc="23782B00" w:tentative="1">
      <w:start w:val="1"/>
      <w:numFmt w:val="lowerRoman"/>
      <w:lvlText w:val="%6."/>
      <w:lvlJc w:val="right"/>
      <w:pPr>
        <w:ind w:left="4320" w:hanging="180"/>
      </w:pPr>
      <w:rPr>
        <w:rFonts w:cs="Times New Roman"/>
      </w:rPr>
    </w:lvl>
    <w:lvl w:ilvl="6" w:tplc="2A844D08" w:tentative="1">
      <w:start w:val="1"/>
      <w:numFmt w:val="decimal"/>
      <w:lvlText w:val="%7."/>
      <w:lvlJc w:val="left"/>
      <w:pPr>
        <w:ind w:left="5040" w:hanging="360"/>
      </w:pPr>
      <w:rPr>
        <w:rFonts w:cs="Times New Roman"/>
      </w:rPr>
    </w:lvl>
    <w:lvl w:ilvl="7" w:tplc="93083A02" w:tentative="1">
      <w:start w:val="1"/>
      <w:numFmt w:val="lowerLetter"/>
      <w:lvlText w:val="%8."/>
      <w:lvlJc w:val="left"/>
      <w:pPr>
        <w:ind w:left="5760" w:hanging="360"/>
      </w:pPr>
      <w:rPr>
        <w:rFonts w:cs="Times New Roman"/>
      </w:rPr>
    </w:lvl>
    <w:lvl w:ilvl="8" w:tplc="E0360312" w:tentative="1">
      <w:start w:val="1"/>
      <w:numFmt w:val="lowerRoman"/>
      <w:lvlText w:val="%9."/>
      <w:lvlJc w:val="right"/>
      <w:pPr>
        <w:ind w:left="6480" w:hanging="180"/>
      </w:pPr>
      <w:rPr>
        <w:rFonts w:cs="Times New Roman"/>
      </w:rPr>
    </w:lvl>
  </w:abstractNum>
  <w:abstractNum w:abstractNumId="36">
    <w:nsid w:val="7D9F15A2"/>
    <w:multiLevelType w:val="hybridMultilevel"/>
    <w:tmpl w:val="B9FEDF04"/>
    <w:lvl w:ilvl="0" w:tplc="1A7A20C2">
      <w:start w:val="1"/>
      <w:numFmt w:val="decimal"/>
      <w:lvlText w:val="%1."/>
      <w:lvlJc w:val="left"/>
      <w:pPr>
        <w:ind w:left="1778" w:hanging="360"/>
      </w:pPr>
      <w:rPr>
        <w:b w:val="0"/>
        <w:color w:val="auto"/>
        <w:vertAlign w:val="baseline"/>
      </w:rPr>
    </w:lvl>
    <w:lvl w:ilvl="1" w:tplc="0809001B">
      <w:start w:val="1"/>
      <w:numFmt w:val="lowerRoman"/>
      <w:lvlText w:val="%2."/>
      <w:lvlJc w:val="right"/>
      <w:pPr>
        <w:ind w:left="2858" w:hanging="360"/>
      </w:pPr>
    </w:lvl>
    <w:lvl w:ilvl="2" w:tplc="0809001B" w:tentative="1">
      <w:start w:val="1"/>
      <w:numFmt w:val="lowerRoman"/>
      <w:lvlText w:val="%3."/>
      <w:lvlJc w:val="right"/>
      <w:pPr>
        <w:ind w:left="3578" w:hanging="180"/>
      </w:pPr>
    </w:lvl>
    <w:lvl w:ilvl="3" w:tplc="0809000F">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num w:numId="1">
    <w:abstractNumId w:val="20"/>
  </w:num>
  <w:num w:numId="2">
    <w:abstractNumId w:val="2"/>
  </w:num>
  <w:num w:numId="3">
    <w:abstractNumId w:val="10"/>
  </w:num>
  <w:num w:numId="4">
    <w:abstractNumId w:val="17"/>
  </w:num>
  <w:num w:numId="5">
    <w:abstractNumId w:val="4"/>
  </w:num>
  <w:num w:numId="6">
    <w:abstractNumId w:val="23"/>
  </w:num>
  <w:num w:numId="7">
    <w:abstractNumId w:val="14"/>
  </w:num>
  <w:num w:numId="8">
    <w:abstractNumId w:val="12"/>
  </w:num>
  <w:num w:numId="9">
    <w:abstractNumId w:val="8"/>
  </w:num>
  <w:num w:numId="10">
    <w:abstractNumId w:val="22"/>
  </w:num>
  <w:num w:numId="11">
    <w:abstractNumId w:val="36"/>
  </w:num>
  <w:num w:numId="12">
    <w:abstractNumId w:val="34"/>
  </w:num>
  <w:num w:numId="13">
    <w:abstractNumId w:val="11"/>
  </w:num>
  <w:num w:numId="14">
    <w:abstractNumId w:val="36"/>
  </w:num>
  <w:num w:numId="15">
    <w:abstractNumId w:val="29"/>
  </w:num>
  <w:num w:numId="16">
    <w:abstractNumId w:val="30"/>
  </w:num>
  <w:num w:numId="17">
    <w:abstractNumId w:val="15"/>
  </w:num>
  <w:num w:numId="18">
    <w:abstractNumId w:val="28"/>
  </w:num>
  <w:num w:numId="19">
    <w:abstractNumId w:val="27"/>
  </w:num>
  <w:num w:numId="20">
    <w:abstractNumId w:val="13"/>
  </w:num>
  <w:num w:numId="21">
    <w:abstractNumId w:val="3"/>
  </w:num>
  <w:num w:numId="22">
    <w:abstractNumId w:val="5"/>
  </w:num>
  <w:num w:numId="23">
    <w:abstractNumId w:val="35"/>
  </w:num>
  <w:num w:numId="24">
    <w:abstractNumId w:val="24"/>
  </w:num>
  <w:num w:numId="25">
    <w:abstractNumId w:val="32"/>
  </w:num>
  <w:num w:numId="26">
    <w:abstractNumId w:val="33"/>
  </w:num>
  <w:num w:numId="27">
    <w:abstractNumId w:val="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9"/>
  </w:num>
  <w:num w:numId="31">
    <w:abstractNumId w:val="25"/>
  </w:num>
  <w:num w:numId="32">
    <w:abstractNumId w:val="26"/>
  </w:num>
  <w:num w:numId="33">
    <w:abstractNumId w:val="10"/>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0"/>
  </w:num>
  <w:num w:numId="37">
    <w:abstractNumId w:val="9"/>
  </w:num>
  <w:num w:numId="38">
    <w:abstractNumId w:val="18"/>
  </w:num>
  <w:num w:numId="39">
    <w:abstractNumId w:val="21"/>
  </w:num>
  <w:num w:numId="40">
    <w:abstractNumId w:val="1"/>
  </w:num>
  <w:num w:numId="4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hideSpellingErrors/>
  <w:hideGrammaticalError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9C"/>
    <w:rsid w:val="00002DD6"/>
    <w:rsid w:val="00003A0F"/>
    <w:rsid w:val="00005117"/>
    <w:rsid w:val="00005447"/>
    <w:rsid w:val="000075D9"/>
    <w:rsid w:val="00007732"/>
    <w:rsid w:val="00007D4B"/>
    <w:rsid w:val="00010B2C"/>
    <w:rsid w:val="00011965"/>
    <w:rsid w:val="00011D40"/>
    <w:rsid w:val="000122D3"/>
    <w:rsid w:val="0001258F"/>
    <w:rsid w:val="00013933"/>
    <w:rsid w:val="000161C9"/>
    <w:rsid w:val="000203F0"/>
    <w:rsid w:val="00021874"/>
    <w:rsid w:val="00021D88"/>
    <w:rsid w:val="00022F43"/>
    <w:rsid w:val="00023FE6"/>
    <w:rsid w:val="000246CD"/>
    <w:rsid w:val="00025CE9"/>
    <w:rsid w:val="00026B2F"/>
    <w:rsid w:val="00026C16"/>
    <w:rsid w:val="0002742E"/>
    <w:rsid w:val="00027E55"/>
    <w:rsid w:val="00030FE9"/>
    <w:rsid w:val="00031725"/>
    <w:rsid w:val="00031CC2"/>
    <w:rsid w:val="00032481"/>
    <w:rsid w:val="0003266A"/>
    <w:rsid w:val="00033CE5"/>
    <w:rsid w:val="00034339"/>
    <w:rsid w:val="00034C70"/>
    <w:rsid w:val="00034CEC"/>
    <w:rsid w:val="00036906"/>
    <w:rsid w:val="00037FAA"/>
    <w:rsid w:val="00041AC5"/>
    <w:rsid w:val="00043E74"/>
    <w:rsid w:val="0004638B"/>
    <w:rsid w:val="00046C7D"/>
    <w:rsid w:val="00050615"/>
    <w:rsid w:val="0005063B"/>
    <w:rsid w:val="00050D52"/>
    <w:rsid w:val="000525C1"/>
    <w:rsid w:val="000528E9"/>
    <w:rsid w:val="00053B48"/>
    <w:rsid w:val="00054989"/>
    <w:rsid w:val="00057090"/>
    <w:rsid w:val="00057DE9"/>
    <w:rsid w:val="00057F94"/>
    <w:rsid w:val="00061CFC"/>
    <w:rsid w:val="00062C30"/>
    <w:rsid w:val="00065E77"/>
    <w:rsid w:val="00066ADE"/>
    <w:rsid w:val="00070ED5"/>
    <w:rsid w:val="000724F8"/>
    <w:rsid w:val="0007302A"/>
    <w:rsid w:val="0007339F"/>
    <w:rsid w:val="000740BB"/>
    <w:rsid w:val="000745C1"/>
    <w:rsid w:val="00077A68"/>
    <w:rsid w:val="000808B8"/>
    <w:rsid w:val="0008095C"/>
    <w:rsid w:val="00080F14"/>
    <w:rsid w:val="00080FDB"/>
    <w:rsid w:val="00083284"/>
    <w:rsid w:val="00083C4B"/>
    <w:rsid w:val="00083F2E"/>
    <w:rsid w:val="0008496E"/>
    <w:rsid w:val="00085253"/>
    <w:rsid w:val="00085D08"/>
    <w:rsid w:val="0008671C"/>
    <w:rsid w:val="00086F18"/>
    <w:rsid w:val="000901FC"/>
    <w:rsid w:val="00092FF0"/>
    <w:rsid w:val="00094BF6"/>
    <w:rsid w:val="00095F17"/>
    <w:rsid w:val="00095F89"/>
    <w:rsid w:val="000962CE"/>
    <w:rsid w:val="00097B37"/>
    <w:rsid w:val="00097C7B"/>
    <w:rsid w:val="000A026F"/>
    <w:rsid w:val="000A2A15"/>
    <w:rsid w:val="000A35E9"/>
    <w:rsid w:val="000A36E4"/>
    <w:rsid w:val="000A6526"/>
    <w:rsid w:val="000B0955"/>
    <w:rsid w:val="000B19DF"/>
    <w:rsid w:val="000B2276"/>
    <w:rsid w:val="000B36FA"/>
    <w:rsid w:val="000B533B"/>
    <w:rsid w:val="000B5B40"/>
    <w:rsid w:val="000B6B2B"/>
    <w:rsid w:val="000B7435"/>
    <w:rsid w:val="000C1FD6"/>
    <w:rsid w:val="000C21D8"/>
    <w:rsid w:val="000C2963"/>
    <w:rsid w:val="000C4022"/>
    <w:rsid w:val="000C4710"/>
    <w:rsid w:val="000C6E8A"/>
    <w:rsid w:val="000C7C0A"/>
    <w:rsid w:val="000D39ED"/>
    <w:rsid w:val="000D57DE"/>
    <w:rsid w:val="000D5CFC"/>
    <w:rsid w:val="000D613C"/>
    <w:rsid w:val="000D6368"/>
    <w:rsid w:val="000D64D9"/>
    <w:rsid w:val="000D7B8C"/>
    <w:rsid w:val="000D7FEB"/>
    <w:rsid w:val="000E2F8F"/>
    <w:rsid w:val="000E5266"/>
    <w:rsid w:val="000E570C"/>
    <w:rsid w:val="000E573B"/>
    <w:rsid w:val="000E705B"/>
    <w:rsid w:val="000F0581"/>
    <w:rsid w:val="000F1068"/>
    <w:rsid w:val="000F6B49"/>
    <w:rsid w:val="000F70D4"/>
    <w:rsid w:val="000F7B7C"/>
    <w:rsid w:val="000F7FD4"/>
    <w:rsid w:val="00100E04"/>
    <w:rsid w:val="00100E7B"/>
    <w:rsid w:val="0010354C"/>
    <w:rsid w:val="001044D7"/>
    <w:rsid w:val="00104D5F"/>
    <w:rsid w:val="00104D7F"/>
    <w:rsid w:val="00106633"/>
    <w:rsid w:val="0010763F"/>
    <w:rsid w:val="001144B4"/>
    <w:rsid w:val="0011673E"/>
    <w:rsid w:val="00120C3F"/>
    <w:rsid w:val="00121B82"/>
    <w:rsid w:val="00122308"/>
    <w:rsid w:val="00122AF8"/>
    <w:rsid w:val="00122CB0"/>
    <w:rsid w:val="001232F0"/>
    <w:rsid w:val="00124F15"/>
    <w:rsid w:val="0012577B"/>
    <w:rsid w:val="00125B01"/>
    <w:rsid w:val="00127202"/>
    <w:rsid w:val="0012736F"/>
    <w:rsid w:val="00127BA9"/>
    <w:rsid w:val="001301D7"/>
    <w:rsid w:val="00130CE3"/>
    <w:rsid w:val="00132C15"/>
    <w:rsid w:val="0013333C"/>
    <w:rsid w:val="001338A3"/>
    <w:rsid w:val="00134973"/>
    <w:rsid w:val="00135EF9"/>
    <w:rsid w:val="00135FE2"/>
    <w:rsid w:val="001403F3"/>
    <w:rsid w:val="001408B6"/>
    <w:rsid w:val="00141880"/>
    <w:rsid w:val="00144B33"/>
    <w:rsid w:val="00146076"/>
    <w:rsid w:val="00147911"/>
    <w:rsid w:val="00147D44"/>
    <w:rsid w:val="00150231"/>
    <w:rsid w:val="001507F3"/>
    <w:rsid w:val="00151359"/>
    <w:rsid w:val="00151B8A"/>
    <w:rsid w:val="00151D77"/>
    <w:rsid w:val="001531A9"/>
    <w:rsid w:val="00154861"/>
    <w:rsid w:val="0015518E"/>
    <w:rsid w:val="00155696"/>
    <w:rsid w:val="00156099"/>
    <w:rsid w:val="0015692F"/>
    <w:rsid w:val="00156F36"/>
    <w:rsid w:val="00157CD8"/>
    <w:rsid w:val="00163D85"/>
    <w:rsid w:val="001640A7"/>
    <w:rsid w:val="00164810"/>
    <w:rsid w:val="001658FD"/>
    <w:rsid w:val="00165D34"/>
    <w:rsid w:val="00165E06"/>
    <w:rsid w:val="0016699B"/>
    <w:rsid w:val="00166CCC"/>
    <w:rsid w:val="00170E58"/>
    <w:rsid w:val="001712B3"/>
    <w:rsid w:val="00171D51"/>
    <w:rsid w:val="00172C73"/>
    <w:rsid w:val="00173B56"/>
    <w:rsid w:val="0017424D"/>
    <w:rsid w:val="00177C8B"/>
    <w:rsid w:val="001815A0"/>
    <w:rsid w:val="001842D0"/>
    <w:rsid w:val="0018701B"/>
    <w:rsid w:val="0019038B"/>
    <w:rsid w:val="00190C00"/>
    <w:rsid w:val="00191B65"/>
    <w:rsid w:val="001958AA"/>
    <w:rsid w:val="001958F6"/>
    <w:rsid w:val="00195E7D"/>
    <w:rsid w:val="001967DA"/>
    <w:rsid w:val="00197304"/>
    <w:rsid w:val="00197323"/>
    <w:rsid w:val="00197A3E"/>
    <w:rsid w:val="00197A9F"/>
    <w:rsid w:val="001A0DCD"/>
    <w:rsid w:val="001A1D86"/>
    <w:rsid w:val="001A4461"/>
    <w:rsid w:val="001A470D"/>
    <w:rsid w:val="001A5BA6"/>
    <w:rsid w:val="001A6DCF"/>
    <w:rsid w:val="001A7CA5"/>
    <w:rsid w:val="001B16C5"/>
    <w:rsid w:val="001B17C2"/>
    <w:rsid w:val="001B1FB4"/>
    <w:rsid w:val="001B273C"/>
    <w:rsid w:val="001B2EF4"/>
    <w:rsid w:val="001B3BCD"/>
    <w:rsid w:val="001B4EFC"/>
    <w:rsid w:val="001B57C3"/>
    <w:rsid w:val="001B725C"/>
    <w:rsid w:val="001B739E"/>
    <w:rsid w:val="001B7792"/>
    <w:rsid w:val="001C2C4F"/>
    <w:rsid w:val="001C315B"/>
    <w:rsid w:val="001C3573"/>
    <w:rsid w:val="001C3EE1"/>
    <w:rsid w:val="001C50F6"/>
    <w:rsid w:val="001C5A64"/>
    <w:rsid w:val="001C5BA1"/>
    <w:rsid w:val="001C7DBA"/>
    <w:rsid w:val="001D09BB"/>
    <w:rsid w:val="001D0C6A"/>
    <w:rsid w:val="001D1386"/>
    <w:rsid w:val="001D2229"/>
    <w:rsid w:val="001D22FA"/>
    <w:rsid w:val="001D2F9A"/>
    <w:rsid w:val="001D4CDF"/>
    <w:rsid w:val="001D5762"/>
    <w:rsid w:val="001D6D82"/>
    <w:rsid w:val="001D6F6E"/>
    <w:rsid w:val="001D7D7D"/>
    <w:rsid w:val="001E07A6"/>
    <w:rsid w:val="001E2498"/>
    <w:rsid w:val="001E2711"/>
    <w:rsid w:val="001E33A5"/>
    <w:rsid w:val="001E37D9"/>
    <w:rsid w:val="001E44C9"/>
    <w:rsid w:val="001E50A9"/>
    <w:rsid w:val="001F18C0"/>
    <w:rsid w:val="001F1FEE"/>
    <w:rsid w:val="001F2051"/>
    <w:rsid w:val="001F264E"/>
    <w:rsid w:val="001F32A6"/>
    <w:rsid w:val="001F3CA5"/>
    <w:rsid w:val="001F3DFE"/>
    <w:rsid w:val="001F4CF1"/>
    <w:rsid w:val="001F521E"/>
    <w:rsid w:val="001F62BF"/>
    <w:rsid w:val="001F6832"/>
    <w:rsid w:val="0020209D"/>
    <w:rsid w:val="00203112"/>
    <w:rsid w:val="00204D68"/>
    <w:rsid w:val="00206204"/>
    <w:rsid w:val="00206A24"/>
    <w:rsid w:val="00212143"/>
    <w:rsid w:val="002164D4"/>
    <w:rsid w:val="002178F1"/>
    <w:rsid w:val="00217BB5"/>
    <w:rsid w:val="00217C73"/>
    <w:rsid w:val="00220DED"/>
    <w:rsid w:val="00221C63"/>
    <w:rsid w:val="0022297A"/>
    <w:rsid w:val="00225284"/>
    <w:rsid w:val="002257F9"/>
    <w:rsid w:val="00226C04"/>
    <w:rsid w:val="00226EEE"/>
    <w:rsid w:val="002277D7"/>
    <w:rsid w:val="00227818"/>
    <w:rsid w:val="002301E1"/>
    <w:rsid w:val="00230764"/>
    <w:rsid w:val="00230CF2"/>
    <w:rsid w:val="00230D87"/>
    <w:rsid w:val="00230FA4"/>
    <w:rsid w:val="002310D0"/>
    <w:rsid w:val="00232AA3"/>
    <w:rsid w:val="00232F15"/>
    <w:rsid w:val="00233B15"/>
    <w:rsid w:val="00233CD4"/>
    <w:rsid w:val="00235EC5"/>
    <w:rsid w:val="002367D6"/>
    <w:rsid w:val="00236ECD"/>
    <w:rsid w:val="002372DF"/>
    <w:rsid w:val="00240F3C"/>
    <w:rsid w:val="00243D10"/>
    <w:rsid w:val="00245021"/>
    <w:rsid w:val="00245EB3"/>
    <w:rsid w:val="00246E52"/>
    <w:rsid w:val="0024798C"/>
    <w:rsid w:val="00247CAD"/>
    <w:rsid w:val="002518EB"/>
    <w:rsid w:val="00252B56"/>
    <w:rsid w:val="002536AF"/>
    <w:rsid w:val="00253E55"/>
    <w:rsid w:val="002619C8"/>
    <w:rsid w:val="00262393"/>
    <w:rsid w:val="002650BD"/>
    <w:rsid w:val="00265711"/>
    <w:rsid w:val="002657B7"/>
    <w:rsid w:val="0026605F"/>
    <w:rsid w:val="00266EFB"/>
    <w:rsid w:val="0026769B"/>
    <w:rsid w:val="00267B4D"/>
    <w:rsid w:val="0027034D"/>
    <w:rsid w:val="002723AB"/>
    <w:rsid w:val="0027294A"/>
    <w:rsid w:val="00272F65"/>
    <w:rsid w:val="00273B7D"/>
    <w:rsid w:val="0027432C"/>
    <w:rsid w:val="00275411"/>
    <w:rsid w:val="00276AF4"/>
    <w:rsid w:val="00281FC2"/>
    <w:rsid w:val="0028239F"/>
    <w:rsid w:val="00282B0C"/>
    <w:rsid w:val="00283CD9"/>
    <w:rsid w:val="00284BA7"/>
    <w:rsid w:val="002864C9"/>
    <w:rsid w:val="002901E2"/>
    <w:rsid w:val="00290519"/>
    <w:rsid w:val="00290EF2"/>
    <w:rsid w:val="00291BC3"/>
    <w:rsid w:val="00291DB3"/>
    <w:rsid w:val="002933E3"/>
    <w:rsid w:val="00293668"/>
    <w:rsid w:val="0029374F"/>
    <w:rsid w:val="00294107"/>
    <w:rsid w:val="00297C12"/>
    <w:rsid w:val="002A073B"/>
    <w:rsid w:val="002A1E5F"/>
    <w:rsid w:val="002A2B55"/>
    <w:rsid w:val="002A5DB4"/>
    <w:rsid w:val="002A5FE6"/>
    <w:rsid w:val="002A611B"/>
    <w:rsid w:val="002A7683"/>
    <w:rsid w:val="002A7B1B"/>
    <w:rsid w:val="002B00AC"/>
    <w:rsid w:val="002B1091"/>
    <w:rsid w:val="002B1720"/>
    <w:rsid w:val="002B3A5A"/>
    <w:rsid w:val="002B4FB5"/>
    <w:rsid w:val="002B5A88"/>
    <w:rsid w:val="002B5EF8"/>
    <w:rsid w:val="002B6E51"/>
    <w:rsid w:val="002B725A"/>
    <w:rsid w:val="002B76EC"/>
    <w:rsid w:val="002C13A9"/>
    <w:rsid w:val="002C1EA9"/>
    <w:rsid w:val="002C1FD6"/>
    <w:rsid w:val="002C6FE3"/>
    <w:rsid w:val="002D0025"/>
    <w:rsid w:val="002D0270"/>
    <w:rsid w:val="002D0636"/>
    <w:rsid w:val="002D06FC"/>
    <w:rsid w:val="002D0B67"/>
    <w:rsid w:val="002D127A"/>
    <w:rsid w:val="002D136F"/>
    <w:rsid w:val="002D2285"/>
    <w:rsid w:val="002D3380"/>
    <w:rsid w:val="002D4A41"/>
    <w:rsid w:val="002D5504"/>
    <w:rsid w:val="002D6951"/>
    <w:rsid w:val="002D6E4D"/>
    <w:rsid w:val="002E01DD"/>
    <w:rsid w:val="002E0CA8"/>
    <w:rsid w:val="002E1191"/>
    <w:rsid w:val="002E387E"/>
    <w:rsid w:val="002E556C"/>
    <w:rsid w:val="002E7074"/>
    <w:rsid w:val="002F1CD6"/>
    <w:rsid w:val="002F49DC"/>
    <w:rsid w:val="002F4C82"/>
    <w:rsid w:val="002F5F04"/>
    <w:rsid w:val="002F6B99"/>
    <w:rsid w:val="002F75E4"/>
    <w:rsid w:val="00300A42"/>
    <w:rsid w:val="003023B9"/>
    <w:rsid w:val="0030258B"/>
    <w:rsid w:val="003028E9"/>
    <w:rsid w:val="003044F1"/>
    <w:rsid w:val="00304CD8"/>
    <w:rsid w:val="00306C93"/>
    <w:rsid w:val="00310217"/>
    <w:rsid w:val="00310EF2"/>
    <w:rsid w:val="00314B1B"/>
    <w:rsid w:val="00315AD4"/>
    <w:rsid w:val="00317539"/>
    <w:rsid w:val="00317B20"/>
    <w:rsid w:val="00321574"/>
    <w:rsid w:val="003226F1"/>
    <w:rsid w:val="00322E97"/>
    <w:rsid w:val="00324006"/>
    <w:rsid w:val="003240DE"/>
    <w:rsid w:val="0032770A"/>
    <w:rsid w:val="00327BAA"/>
    <w:rsid w:val="00330BF5"/>
    <w:rsid w:val="00331633"/>
    <w:rsid w:val="003330D5"/>
    <w:rsid w:val="00337097"/>
    <w:rsid w:val="00341001"/>
    <w:rsid w:val="0034381C"/>
    <w:rsid w:val="00343C99"/>
    <w:rsid w:val="00345B45"/>
    <w:rsid w:val="00347F6B"/>
    <w:rsid w:val="003502D6"/>
    <w:rsid w:val="00350736"/>
    <w:rsid w:val="00350965"/>
    <w:rsid w:val="00351472"/>
    <w:rsid w:val="00354AB7"/>
    <w:rsid w:val="00355159"/>
    <w:rsid w:val="00355A87"/>
    <w:rsid w:val="0035788F"/>
    <w:rsid w:val="00360041"/>
    <w:rsid w:val="00362E02"/>
    <w:rsid w:val="0036504C"/>
    <w:rsid w:val="00365213"/>
    <w:rsid w:val="0036529C"/>
    <w:rsid w:val="00370087"/>
    <w:rsid w:val="00372F19"/>
    <w:rsid w:val="00373A5C"/>
    <w:rsid w:val="00374DC0"/>
    <w:rsid w:val="00376457"/>
    <w:rsid w:val="003765D3"/>
    <w:rsid w:val="00380B09"/>
    <w:rsid w:val="00380C35"/>
    <w:rsid w:val="00380F22"/>
    <w:rsid w:val="003811FE"/>
    <w:rsid w:val="003832F3"/>
    <w:rsid w:val="00386A08"/>
    <w:rsid w:val="00392341"/>
    <w:rsid w:val="00393A71"/>
    <w:rsid w:val="00396BFC"/>
    <w:rsid w:val="0039710C"/>
    <w:rsid w:val="00397776"/>
    <w:rsid w:val="003979A1"/>
    <w:rsid w:val="003A0E34"/>
    <w:rsid w:val="003A245A"/>
    <w:rsid w:val="003A2EB4"/>
    <w:rsid w:val="003A5605"/>
    <w:rsid w:val="003A69A4"/>
    <w:rsid w:val="003A7326"/>
    <w:rsid w:val="003B04F1"/>
    <w:rsid w:val="003B07E3"/>
    <w:rsid w:val="003B0B5A"/>
    <w:rsid w:val="003B226A"/>
    <w:rsid w:val="003B27ED"/>
    <w:rsid w:val="003B3707"/>
    <w:rsid w:val="003B3DC2"/>
    <w:rsid w:val="003B4C12"/>
    <w:rsid w:val="003B7FD0"/>
    <w:rsid w:val="003C1DD3"/>
    <w:rsid w:val="003C2C4C"/>
    <w:rsid w:val="003C3336"/>
    <w:rsid w:val="003C39EF"/>
    <w:rsid w:val="003C6E39"/>
    <w:rsid w:val="003D0295"/>
    <w:rsid w:val="003D340A"/>
    <w:rsid w:val="003D4FF5"/>
    <w:rsid w:val="003D56D5"/>
    <w:rsid w:val="003D701A"/>
    <w:rsid w:val="003E105C"/>
    <w:rsid w:val="003E10EF"/>
    <w:rsid w:val="003E19FF"/>
    <w:rsid w:val="003E2F24"/>
    <w:rsid w:val="003E4649"/>
    <w:rsid w:val="003E4AC9"/>
    <w:rsid w:val="003E5142"/>
    <w:rsid w:val="003F0E77"/>
    <w:rsid w:val="003F4D9F"/>
    <w:rsid w:val="0040245E"/>
    <w:rsid w:val="00404439"/>
    <w:rsid w:val="004056D9"/>
    <w:rsid w:val="004056E7"/>
    <w:rsid w:val="00405DBC"/>
    <w:rsid w:val="004064EB"/>
    <w:rsid w:val="0040711B"/>
    <w:rsid w:val="00407BCF"/>
    <w:rsid w:val="00407FAA"/>
    <w:rsid w:val="004101CF"/>
    <w:rsid w:val="0041081D"/>
    <w:rsid w:val="00411D25"/>
    <w:rsid w:val="00413521"/>
    <w:rsid w:val="00421245"/>
    <w:rsid w:val="004229F8"/>
    <w:rsid w:val="00422EE6"/>
    <w:rsid w:val="00423138"/>
    <w:rsid w:val="00423665"/>
    <w:rsid w:val="00427190"/>
    <w:rsid w:val="004272AC"/>
    <w:rsid w:val="0042742E"/>
    <w:rsid w:val="00432F88"/>
    <w:rsid w:val="00434069"/>
    <w:rsid w:val="00434C38"/>
    <w:rsid w:val="00435CB7"/>
    <w:rsid w:val="00437003"/>
    <w:rsid w:val="00442069"/>
    <w:rsid w:val="0044217E"/>
    <w:rsid w:val="0044223A"/>
    <w:rsid w:val="00443D9B"/>
    <w:rsid w:val="00444F49"/>
    <w:rsid w:val="0044582D"/>
    <w:rsid w:val="00445EBC"/>
    <w:rsid w:val="00446386"/>
    <w:rsid w:val="004508D9"/>
    <w:rsid w:val="0045240C"/>
    <w:rsid w:val="004524F1"/>
    <w:rsid w:val="00453A3A"/>
    <w:rsid w:val="00453D56"/>
    <w:rsid w:val="004547F2"/>
    <w:rsid w:val="004549E6"/>
    <w:rsid w:val="00454C4A"/>
    <w:rsid w:val="004558B2"/>
    <w:rsid w:val="00457118"/>
    <w:rsid w:val="00460ED7"/>
    <w:rsid w:val="00463891"/>
    <w:rsid w:val="00463C0D"/>
    <w:rsid w:val="0046437B"/>
    <w:rsid w:val="00465DBC"/>
    <w:rsid w:val="0047036E"/>
    <w:rsid w:val="00470981"/>
    <w:rsid w:val="00471380"/>
    <w:rsid w:val="00471DA4"/>
    <w:rsid w:val="00471ED6"/>
    <w:rsid w:val="0047572F"/>
    <w:rsid w:val="00476961"/>
    <w:rsid w:val="00477C3A"/>
    <w:rsid w:val="00481B31"/>
    <w:rsid w:val="004820B7"/>
    <w:rsid w:val="004843F1"/>
    <w:rsid w:val="004864ED"/>
    <w:rsid w:val="00487667"/>
    <w:rsid w:val="00487CCE"/>
    <w:rsid w:val="00487EDA"/>
    <w:rsid w:val="004900C7"/>
    <w:rsid w:val="004905B9"/>
    <w:rsid w:val="00490E77"/>
    <w:rsid w:val="00490EBD"/>
    <w:rsid w:val="00491801"/>
    <w:rsid w:val="00492EF1"/>
    <w:rsid w:val="00493A4E"/>
    <w:rsid w:val="00494B6C"/>
    <w:rsid w:val="004964FE"/>
    <w:rsid w:val="004A05B9"/>
    <w:rsid w:val="004A1599"/>
    <w:rsid w:val="004A171F"/>
    <w:rsid w:val="004A1832"/>
    <w:rsid w:val="004A1B54"/>
    <w:rsid w:val="004A2677"/>
    <w:rsid w:val="004A2DC9"/>
    <w:rsid w:val="004A3397"/>
    <w:rsid w:val="004A3D06"/>
    <w:rsid w:val="004A4D89"/>
    <w:rsid w:val="004A63E0"/>
    <w:rsid w:val="004A63F4"/>
    <w:rsid w:val="004A6F78"/>
    <w:rsid w:val="004A7556"/>
    <w:rsid w:val="004B2C8B"/>
    <w:rsid w:val="004B6911"/>
    <w:rsid w:val="004B6DD2"/>
    <w:rsid w:val="004C05C7"/>
    <w:rsid w:val="004C082C"/>
    <w:rsid w:val="004C0C05"/>
    <w:rsid w:val="004C3816"/>
    <w:rsid w:val="004C3C17"/>
    <w:rsid w:val="004C4B4C"/>
    <w:rsid w:val="004C5710"/>
    <w:rsid w:val="004C7452"/>
    <w:rsid w:val="004D1851"/>
    <w:rsid w:val="004D243E"/>
    <w:rsid w:val="004D2B91"/>
    <w:rsid w:val="004D34F2"/>
    <w:rsid w:val="004D3782"/>
    <w:rsid w:val="004D5E3E"/>
    <w:rsid w:val="004D6598"/>
    <w:rsid w:val="004D6885"/>
    <w:rsid w:val="004D68BC"/>
    <w:rsid w:val="004E1E7E"/>
    <w:rsid w:val="004E26E9"/>
    <w:rsid w:val="004E4501"/>
    <w:rsid w:val="004E4990"/>
    <w:rsid w:val="004E5885"/>
    <w:rsid w:val="004E5967"/>
    <w:rsid w:val="004E5C17"/>
    <w:rsid w:val="004E5F0B"/>
    <w:rsid w:val="004E6112"/>
    <w:rsid w:val="004E6548"/>
    <w:rsid w:val="004E6FA9"/>
    <w:rsid w:val="004E7B81"/>
    <w:rsid w:val="004F047F"/>
    <w:rsid w:val="004F06B0"/>
    <w:rsid w:val="004F16B8"/>
    <w:rsid w:val="004F3004"/>
    <w:rsid w:val="004F3362"/>
    <w:rsid w:val="004F40A1"/>
    <w:rsid w:val="004F49C4"/>
    <w:rsid w:val="004F5005"/>
    <w:rsid w:val="004F5051"/>
    <w:rsid w:val="004F64CF"/>
    <w:rsid w:val="004F754C"/>
    <w:rsid w:val="004F76E6"/>
    <w:rsid w:val="004F7DA5"/>
    <w:rsid w:val="005012FB"/>
    <w:rsid w:val="00502FBF"/>
    <w:rsid w:val="005035FD"/>
    <w:rsid w:val="00504FB3"/>
    <w:rsid w:val="00505430"/>
    <w:rsid w:val="005056FA"/>
    <w:rsid w:val="00505747"/>
    <w:rsid w:val="00506D86"/>
    <w:rsid w:val="005101D3"/>
    <w:rsid w:val="00513893"/>
    <w:rsid w:val="00514B25"/>
    <w:rsid w:val="00514FCE"/>
    <w:rsid w:val="005152AC"/>
    <w:rsid w:val="00515480"/>
    <w:rsid w:val="0051587C"/>
    <w:rsid w:val="00516233"/>
    <w:rsid w:val="005168D7"/>
    <w:rsid w:val="00517195"/>
    <w:rsid w:val="00520287"/>
    <w:rsid w:val="00520D9D"/>
    <w:rsid w:val="00520F39"/>
    <w:rsid w:val="0052225F"/>
    <w:rsid w:val="0052271E"/>
    <w:rsid w:val="00522C9B"/>
    <w:rsid w:val="00523F27"/>
    <w:rsid w:val="00524D6F"/>
    <w:rsid w:val="00525619"/>
    <w:rsid w:val="005261E1"/>
    <w:rsid w:val="00527EC5"/>
    <w:rsid w:val="0053032D"/>
    <w:rsid w:val="005308E7"/>
    <w:rsid w:val="00530B5E"/>
    <w:rsid w:val="00531B55"/>
    <w:rsid w:val="0053520C"/>
    <w:rsid w:val="005362CC"/>
    <w:rsid w:val="00536C4D"/>
    <w:rsid w:val="00536C61"/>
    <w:rsid w:val="00537CAE"/>
    <w:rsid w:val="00540176"/>
    <w:rsid w:val="0054026B"/>
    <w:rsid w:val="00542947"/>
    <w:rsid w:val="0054750A"/>
    <w:rsid w:val="005508B2"/>
    <w:rsid w:val="00552DB9"/>
    <w:rsid w:val="00553474"/>
    <w:rsid w:val="00553B01"/>
    <w:rsid w:val="0055406D"/>
    <w:rsid w:val="005634C7"/>
    <w:rsid w:val="005639FE"/>
    <w:rsid w:val="005641D9"/>
    <w:rsid w:val="00566791"/>
    <w:rsid w:val="00566DAB"/>
    <w:rsid w:val="00567364"/>
    <w:rsid w:val="0056751A"/>
    <w:rsid w:val="005677F9"/>
    <w:rsid w:val="00570927"/>
    <w:rsid w:val="00573F04"/>
    <w:rsid w:val="005740B6"/>
    <w:rsid w:val="00577468"/>
    <w:rsid w:val="0058192B"/>
    <w:rsid w:val="00581D07"/>
    <w:rsid w:val="005853BC"/>
    <w:rsid w:val="005856D4"/>
    <w:rsid w:val="005861AF"/>
    <w:rsid w:val="00586374"/>
    <w:rsid w:val="00587E33"/>
    <w:rsid w:val="00592132"/>
    <w:rsid w:val="0059524E"/>
    <w:rsid w:val="00595B5F"/>
    <w:rsid w:val="005971AB"/>
    <w:rsid w:val="00597DC8"/>
    <w:rsid w:val="005A152D"/>
    <w:rsid w:val="005A1AE2"/>
    <w:rsid w:val="005A5416"/>
    <w:rsid w:val="005A6523"/>
    <w:rsid w:val="005A75A9"/>
    <w:rsid w:val="005B0285"/>
    <w:rsid w:val="005B10EC"/>
    <w:rsid w:val="005B3D6E"/>
    <w:rsid w:val="005B5A32"/>
    <w:rsid w:val="005B78DD"/>
    <w:rsid w:val="005C01FE"/>
    <w:rsid w:val="005C0637"/>
    <w:rsid w:val="005C2537"/>
    <w:rsid w:val="005C57AD"/>
    <w:rsid w:val="005C621B"/>
    <w:rsid w:val="005C7450"/>
    <w:rsid w:val="005D0FA3"/>
    <w:rsid w:val="005D1159"/>
    <w:rsid w:val="005D1E31"/>
    <w:rsid w:val="005D23E7"/>
    <w:rsid w:val="005D24CF"/>
    <w:rsid w:val="005D2C8E"/>
    <w:rsid w:val="005D4303"/>
    <w:rsid w:val="005D4324"/>
    <w:rsid w:val="005D4C4B"/>
    <w:rsid w:val="005D6FB1"/>
    <w:rsid w:val="005D7A43"/>
    <w:rsid w:val="005E06CC"/>
    <w:rsid w:val="005E318C"/>
    <w:rsid w:val="005E3CAA"/>
    <w:rsid w:val="005E41A2"/>
    <w:rsid w:val="005E49A9"/>
    <w:rsid w:val="005E7008"/>
    <w:rsid w:val="005E7950"/>
    <w:rsid w:val="005F1773"/>
    <w:rsid w:val="005F1F0C"/>
    <w:rsid w:val="005F31E8"/>
    <w:rsid w:val="005F38E7"/>
    <w:rsid w:val="005F5EB9"/>
    <w:rsid w:val="00600AEA"/>
    <w:rsid w:val="0060102B"/>
    <w:rsid w:val="0060232D"/>
    <w:rsid w:val="00602ABA"/>
    <w:rsid w:val="00604474"/>
    <w:rsid w:val="00605D38"/>
    <w:rsid w:val="00610432"/>
    <w:rsid w:val="00610833"/>
    <w:rsid w:val="0061146D"/>
    <w:rsid w:val="00611C09"/>
    <w:rsid w:val="00611EB0"/>
    <w:rsid w:val="00611F67"/>
    <w:rsid w:val="00613234"/>
    <w:rsid w:val="00613306"/>
    <w:rsid w:val="006135EB"/>
    <w:rsid w:val="0061382B"/>
    <w:rsid w:val="0061403F"/>
    <w:rsid w:val="0061438A"/>
    <w:rsid w:val="00614690"/>
    <w:rsid w:val="00615EFA"/>
    <w:rsid w:val="00616D0D"/>
    <w:rsid w:val="00616D54"/>
    <w:rsid w:val="0061772F"/>
    <w:rsid w:val="0062028A"/>
    <w:rsid w:val="00621656"/>
    <w:rsid w:val="00621B29"/>
    <w:rsid w:val="00621E18"/>
    <w:rsid w:val="00622071"/>
    <w:rsid w:val="006223DF"/>
    <w:rsid w:val="00623253"/>
    <w:rsid w:val="00624788"/>
    <w:rsid w:val="0062490D"/>
    <w:rsid w:val="00627B48"/>
    <w:rsid w:val="00627CD9"/>
    <w:rsid w:val="00630357"/>
    <w:rsid w:val="0063147D"/>
    <w:rsid w:val="00634F10"/>
    <w:rsid w:val="00635EAD"/>
    <w:rsid w:val="00640C1F"/>
    <w:rsid w:val="00643239"/>
    <w:rsid w:val="00643D58"/>
    <w:rsid w:val="00643EF2"/>
    <w:rsid w:val="00644FDC"/>
    <w:rsid w:val="0064586D"/>
    <w:rsid w:val="0064657A"/>
    <w:rsid w:val="0064748D"/>
    <w:rsid w:val="006507EC"/>
    <w:rsid w:val="00650C55"/>
    <w:rsid w:val="00650CAC"/>
    <w:rsid w:val="00652AF4"/>
    <w:rsid w:val="00654863"/>
    <w:rsid w:val="0065539A"/>
    <w:rsid w:val="0065727B"/>
    <w:rsid w:val="00657AF1"/>
    <w:rsid w:val="00660463"/>
    <w:rsid w:val="00660DC4"/>
    <w:rsid w:val="0066332A"/>
    <w:rsid w:val="00663EFA"/>
    <w:rsid w:val="0066564D"/>
    <w:rsid w:val="0066686F"/>
    <w:rsid w:val="00670113"/>
    <w:rsid w:val="00670801"/>
    <w:rsid w:val="00670D1D"/>
    <w:rsid w:val="00670F70"/>
    <w:rsid w:val="00671EF4"/>
    <w:rsid w:val="00672638"/>
    <w:rsid w:val="00672BBD"/>
    <w:rsid w:val="0067636A"/>
    <w:rsid w:val="0067664E"/>
    <w:rsid w:val="00681474"/>
    <w:rsid w:val="0068173C"/>
    <w:rsid w:val="00681F68"/>
    <w:rsid w:val="0068220F"/>
    <w:rsid w:val="0068312B"/>
    <w:rsid w:val="006836CD"/>
    <w:rsid w:val="00684478"/>
    <w:rsid w:val="00685D0D"/>
    <w:rsid w:val="006876C6"/>
    <w:rsid w:val="006908D3"/>
    <w:rsid w:val="006919FF"/>
    <w:rsid w:val="00691F7C"/>
    <w:rsid w:val="006945A4"/>
    <w:rsid w:val="006951EB"/>
    <w:rsid w:val="00696397"/>
    <w:rsid w:val="00696BF4"/>
    <w:rsid w:val="00696F31"/>
    <w:rsid w:val="006A12E6"/>
    <w:rsid w:val="006A4127"/>
    <w:rsid w:val="006A5A67"/>
    <w:rsid w:val="006A6107"/>
    <w:rsid w:val="006A643A"/>
    <w:rsid w:val="006B0A04"/>
    <w:rsid w:val="006B124B"/>
    <w:rsid w:val="006B13E1"/>
    <w:rsid w:val="006B2B22"/>
    <w:rsid w:val="006B4627"/>
    <w:rsid w:val="006B5486"/>
    <w:rsid w:val="006B54A8"/>
    <w:rsid w:val="006B5DCE"/>
    <w:rsid w:val="006B6DDB"/>
    <w:rsid w:val="006B7DB6"/>
    <w:rsid w:val="006C24F3"/>
    <w:rsid w:val="006C295F"/>
    <w:rsid w:val="006C29DF"/>
    <w:rsid w:val="006C569C"/>
    <w:rsid w:val="006C7A42"/>
    <w:rsid w:val="006D00E0"/>
    <w:rsid w:val="006D0CF5"/>
    <w:rsid w:val="006D14D1"/>
    <w:rsid w:val="006D1A04"/>
    <w:rsid w:val="006D371A"/>
    <w:rsid w:val="006D41AC"/>
    <w:rsid w:val="006D52AD"/>
    <w:rsid w:val="006D5829"/>
    <w:rsid w:val="006D61C0"/>
    <w:rsid w:val="006D6802"/>
    <w:rsid w:val="006D7F9C"/>
    <w:rsid w:val="006E2254"/>
    <w:rsid w:val="006E26B7"/>
    <w:rsid w:val="006E2C13"/>
    <w:rsid w:val="006E558D"/>
    <w:rsid w:val="006E6135"/>
    <w:rsid w:val="006E6473"/>
    <w:rsid w:val="006E6958"/>
    <w:rsid w:val="006E6D62"/>
    <w:rsid w:val="006E73C0"/>
    <w:rsid w:val="006F0FC2"/>
    <w:rsid w:val="006F18C0"/>
    <w:rsid w:val="006F209D"/>
    <w:rsid w:val="006F2F31"/>
    <w:rsid w:val="006F3A0E"/>
    <w:rsid w:val="006F3C38"/>
    <w:rsid w:val="006F5FEE"/>
    <w:rsid w:val="006F7259"/>
    <w:rsid w:val="00700B40"/>
    <w:rsid w:val="00700C96"/>
    <w:rsid w:val="00700D4A"/>
    <w:rsid w:val="00701266"/>
    <w:rsid w:val="0070165C"/>
    <w:rsid w:val="00701C00"/>
    <w:rsid w:val="00703267"/>
    <w:rsid w:val="007047A2"/>
    <w:rsid w:val="00704A1D"/>
    <w:rsid w:val="00712935"/>
    <w:rsid w:val="007155BC"/>
    <w:rsid w:val="0072050C"/>
    <w:rsid w:val="0072553E"/>
    <w:rsid w:val="00732D32"/>
    <w:rsid w:val="007337B0"/>
    <w:rsid w:val="007349C5"/>
    <w:rsid w:val="00737C56"/>
    <w:rsid w:val="00740E08"/>
    <w:rsid w:val="007418A2"/>
    <w:rsid w:val="00743F11"/>
    <w:rsid w:val="007441F4"/>
    <w:rsid w:val="00744532"/>
    <w:rsid w:val="00744639"/>
    <w:rsid w:val="00744C87"/>
    <w:rsid w:val="007473DD"/>
    <w:rsid w:val="00750932"/>
    <w:rsid w:val="0075299C"/>
    <w:rsid w:val="00752F4A"/>
    <w:rsid w:val="00753684"/>
    <w:rsid w:val="007553FA"/>
    <w:rsid w:val="0075566B"/>
    <w:rsid w:val="007624B8"/>
    <w:rsid w:val="007624D7"/>
    <w:rsid w:val="00762AEF"/>
    <w:rsid w:val="00762DAA"/>
    <w:rsid w:val="00763796"/>
    <w:rsid w:val="00764A36"/>
    <w:rsid w:val="00764AE7"/>
    <w:rsid w:val="00764B41"/>
    <w:rsid w:val="00765B76"/>
    <w:rsid w:val="00766CAE"/>
    <w:rsid w:val="0077153A"/>
    <w:rsid w:val="0077207D"/>
    <w:rsid w:val="0077555E"/>
    <w:rsid w:val="0077689C"/>
    <w:rsid w:val="007774E7"/>
    <w:rsid w:val="0078049B"/>
    <w:rsid w:val="00780B9A"/>
    <w:rsid w:val="00782D45"/>
    <w:rsid w:val="007837ED"/>
    <w:rsid w:val="00791ED0"/>
    <w:rsid w:val="007920AA"/>
    <w:rsid w:val="00792F7A"/>
    <w:rsid w:val="00793029"/>
    <w:rsid w:val="00793304"/>
    <w:rsid w:val="00793930"/>
    <w:rsid w:val="007943A6"/>
    <w:rsid w:val="0079646B"/>
    <w:rsid w:val="0079677E"/>
    <w:rsid w:val="00796CF4"/>
    <w:rsid w:val="00797BBA"/>
    <w:rsid w:val="00797E33"/>
    <w:rsid w:val="00797F5F"/>
    <w:rsid w:val="007A4A5D"/>
    <w:rsid w:val="007A4BC8"/>
    <w:rsid w:val="007B1DFC"/>
    <w:rsid w:val="007B1FFA"/>
    <w:rsid w:val="007B28A7"/>
    <w:rsid w:val="007B3E50"/>
    <w:rsid w:val="007B4E74"/>
    <w:rsid w:val="007B4EF1"/>
    <w:rsid w:val="007B76EF"/>
    <w:rsid w:val="007B7E6C"/>
    <w:rsid w:val="007C161B"/>
    <w:rsid w:val="007C1915"/>
    <w:rsid w:val="007C3083"/>
    <w:rsid w:val="007C3DE7"/>
    <w:rsid w:val="007C5277"/>
    <w:rsid w:val="007D15B7"/>
    <w:rsid w:val="007D39F6"/>
    <w:rsid w:val="007D5359"/>
    <w:rsid w:val="007D6AF3"/>
    <w:rsid w:val="007E13D1"/>
    <w:rsid w:val="007E18EB"/>
    <w:rsid w:val="007E4EF8"/>
    <w:rsid w:val="007E73FD"/>
    <w:rsid w:val="007F0FE9"/>
    <w:rsid w:val="007F18B4"/>
    <w:rsid w:val="007F3AE8"/>
    <w:rsid w:val="007F62E5"/>
    <w:rsid w:val="007F7784"/>
    <w:rsid w:val="00800550"/>
    <w:rsid w:val="00800E61"/>
    <w:rsid w:val="00801765"/>
    <w:rsid w:val="00801DC4"/>
    <w:rsid w:val="008032FF"/>
    <w:rsid w:val="00803307"/>
    <w:rsid w:val="008057D4"/>
    <w:rsid w:val="00805C10"/>
    <w:rsid w:val="00805C97"/>
    <w:rsid w:val="00806489"/>
    <w:rsid w:val="008108C3"/>
    <w:rsid w:val="00810FC2"/>
    <w:rsid w:val="0081188F"/>
    <w:rsid w:val="00812EF0"/>
    <w:rsid w:val="00814CE4"/>
    <w:rsid w:val="00815B66"/>
    <w:rsid w:val="008208E7"/>
    <w:rsid w:val="00820DDD"/>
    <w:rsid w:val="00821503"/>
    <w:rsid w:val="008218DC"/>
    <w:rsid w:val="00824D6F"/>
    <w:rsid w:val="00824E8F"/>
    <w:rsid w:val="00825798"/>
    <w:rsid w:val="00825967"/>
    <w:rsid w:val="0082682A"/>
    <w:rsid w:val="0082767E"/>
    <w:rsid w:val="00827F1B"/>
    <w:rsid w:val="008306E1"/>
    <w:rsid w:val="00831206"/>
    <w:rsid w:val="00831CA9"/>
    <w:rsid w:val="008327E5"/>
    <w:rsid w:val="00833D51"/>
    <w:rsid w:val="008340CA"/>
    <w:rsid w:val="008349B7"/>
    <w:rsid w:val="00834D74"/>
    <w:rsid w:val="008376D0"/>
    <w:rsid w:val="008435D2"/>
    <w:rsid w:val="00843B31"/>
    <w:rsid w:val="008448A4"/>
    <w:rsid w:val="00844A30"/>
    <w:rsid w:val="0084538C"/>
    <w:rsid w:val="008458CA"/>
    <w:rsid w:val="00846805"/>
    <w:rsid w:val="00846F09"/>
    <w:rsid w:val="0084751D"/>
    <w:rsid w:val="008502F3"/>
    <w:rsid w:val="00850EA3"/>
    <w:rsid w:val="008527BD"/>
    <w:rsid w:val="00853D62"/>
    <w:rsid w:val="00854259"/>
    <w:rsid w:val="0085450E"/>
    <w:rsid w:val="00855D60"/>
    <w:rsid w:val="0086105B"/>
    <w:rsid w:val="008624AA"/>
    <w:rsid w:val="00863384"/>
    <w:rsid w:val="00864375"/>
    <w:rsid w:val="008644D4"/>
    <w:rsid w:val="00865FFB"/>
    <w:rsid w:val="00866D47"/>
    <w:rsid w:val="008734D8"/>
    <w:rsid w:val="00874115"/>
    <w:rsid w:val="00874206"/>
    <w:rsid w:val="008744A4"/>
    <w:rsid w:val="0087484E"/>
    <w:rsid w:val="00875448"/>
    <w:rsid w:val="0087552F"/>
    <w:rsid w:val="00875FF2"/>
    <w:rsid w:val="00877069"/>
    <w:rsid w:val="0087758A"/>
    <w:rsid w:val="0087789C"/>
    <w:rsid w:val="008811D3"/>
    <w:rsid w:val="00882A0C"/>
    <w:rsid w:val="008830D3"/>
    <w:rsid w:val="00884EFB"/>
    <w:rsid w:val="00885C04"/>
    <w:rsid w:val="00887118"/>
    <w:rsid w:val="00890AAA"/>
    <w:rsid w:val="00890EA9"/>
    <w:rsid w:val="00891B09"/>
    <w:rsid w:val="008935AF"/>
    <w:rsid w:val="008976B1"/>
    <w:rsid w:val="008A0ADC"/>
    <w:rsid w:val="008A100B"/>
    <w:rsid w:val="008A3190"/>
    <w:rsid w:val="008A4878"/>
    <w:rsid w:val="008A6957"/>
    <w:rsid w:val="008A7810"/>
    <w:rsid w:val="008B01FE"/>
    <w:rsid w:val="008B13C5"/>
    <w:rsid w:val="008B191E"/>
    <w:rsid w:val="008B2AFE"/>
    <w:rsid w:val="008B3359"/>
    <w:rsid w:val="008B4C91"/>
    <w:rsid w:val="008B51E5"/>
    <w:rsid w:val="008B62E5"/>
    <w:rsid w:val="008C0555"/>
    <w:rsid w:val="008C0BF5"/>
    <w:rsid w:val="008C1504"/>
    <w:rsid w:val="008C2820"/>
    <w:rsid w:val="008C3595"/>
    <w:rsid w:val="008C36AB"/>
    <w:rsid w:val="008C61FD"/>
    <w:rsid w:val="008D0326"/>
    <w:rsid w:val="008D0B7C"/>
    <w:rsid w:val="008D26B0"/>
    <w:rsid w:val="008D30F5"/>
    <w:rsid w:val="008D5B15"/>
    <w:rsid w:val="008D758C"/>
    <w:rsid w:val="008D7ABA"/>
    <w:rsid w:val="008E37F6"/>
    <w:rsid w:val="008E3A61"/>
    <w:rsid w:val="008E3BEA"/>
    <w:rsid w:val="008E430B"/>
    <w:rsid w:val="008E4AE4"/>
    <w:rsid w:val="008E5200"/>
    <w:rsid w:val="008E5F8F"/>
    <w:rsid w:val="008E68EF"/>
    <w:rsid w:val="008F098E"/>
    <w:rsid w:val="008F22E5"/>
    <w:rsid w:val="008F2930"/>
    <w:rsid w:val="008F36F3"/>
    <w:rsid w:val="008F382D"/>
    <w:rsid w:val="008F3D0B"/>
    <w:rsid w:val="008F68AF"/>
    <w:rsid w:val="008F6D5F"/>
    <w:rsid w:val="008F6F16"/>
    <w:rsid w:val="008F7F2E"/>
    <w:rsid w:val="0090155F"/>
    <w:rsid w:val="00901761"/>
    <w:rsid w:val="009022FF"/>
    <w:rsid w:val="009073C8"/>
    <w:rsid w:val="00907D26"/>
    <w:rsid w:val="00911587"/>
    <w:rsid w:val="00911B5C"/>
    <w:rsid w:val="00911D96"/>
    <w:rsid w:val="009125C2"/>
    <w:rsid w:val="00915196"/>
    <w:rsid w:val="00915BD0"/>
    <w:rsid w:val="00916120"/>
    <w:rsid w:val="00917315"/>
    <w:rsid w:val="00920120"/>
    <w:rsid w:val="009208C7"/>
    <w:rsid w:val="00921FC8"/>
    <w:rsid w:val="009250EA"/>
    <w:rsid w:val="00925588"/>
    <w:rsid w:val="0092670E"/>
    <w:rsid w:val="00930E5D"/>
    <w:rsid w:val="009336C4"/>
    <w:rsid w:val="0093474E"/>
    <w:rsid w:val="0093556E"/>
    <w:rsid w:val="00941738"/>
    <w:rsid w:val="009428CD"/>
    <w:rsid w:val="009430E4"/>
    <w:rsid w:val="009444FC"/>
    <w:rsid w:val="009452C7"/>
    <w:rsid w:val="00945F10"/>
    <w:rsid w:val="00947928"/>
    <w:rsid w:val="009501D9"/>
    <w:rsid w:val="009501F5"/>
    <w:rsid w:val="00952366"/>
    <w:rsid w:val="00954820"/>
    <w:rsid w:val="00954CF2"/>
    <w:rsid w:val="00956136"/>
    <w:rsid w:val="00957178"/>
    <w:rsid w:val="00957330"/>
    <w:rsid w:val="00957698"/>
    <w:rsid w:val="0096059A"/>
    <w:rsid w:val="00961B0E"/>
    <w:rsid w:val="00961F0D"/>
    <w:rsid w:val="00962F7F"/>
    <w:rsid w:val="00963998"/>
    <w:rsid w:val="00964774"/>
    <w:rsid w:val="00966A69"/>
    <w:rsid w:val="0097111D"/>
    <w:rsid w:val="009714AD"/>
    <w:rsid w:val="00972694"/>
    <w:rsid w:val="00972704"/>
    <w:rsid w:val="00973CF9"/>
    <w:rsid w:val="00974FD3"/>
    <w:rsid w:val="0097545A"/>
    <w:rsid w:val="00982866"/>
    <w:rsid w:val="00982A07"/>
    <w:rsid w:val="00983B42"/>
    <w:rsid w:val="00985897"/>
    <w:rsid w:val="00986413"/>
    <w:rsid w:val="00987C19"/>
    <w:rsid w:val="009926BA"/>
    <w:rsid w:val="00993B89"/>
    <w:rsid w:val="00993DB7"/>
    <w:rsid w:val="00995CC3"/>
    <w:rsid w:val="00995D16"/>
    <w:rsid w:val="00996357"/>
    <w:rsid w:val="00997486"/>
    <w:rsid w:val="009976AF"/>
    <w:rsid w:val="009A3446"/>
    <w:rsid w:val="009A3C1B"/>
    <w:rsid w:val="009A44CF"/>
    <w:rsid w:val="009A4E60"/>
    <w:rsid w:val="009A510A"/>
    <w:rsid w:val="009A5883"/>
    <w:rsid w:val="009A7B14"/>
    <w:rsid w:val="009B067B"/>
    <w:rsid w:val="009B0FB1"/>
    <w:rsid w:val="009B740E"/>
    <w:rsid w:val="009C2875"/>
    <w:rsid w:val="009C2F8B"/>
    <w:rsid w:val="009C3F72"/>
    <w:rsid w:val="009C6488"/>
    <w:rsid w:val="009C74C1"/>
    <w:rsid w:val="009C75D6"/>
    <w:rsid w:val="009D2B70"/>
    <w:rsid w:val="009D3F2A"/>
    <w:rsid w:val="009D416B"/>
    <w:rsid w:val="009D4A85"/>
    <w:rsid w:val="009D4E86"/>
    <w:rsid w:val="009D4F00"/>
    <w:rsid w:val="009D55B4"/>
    <w:rsid w:val="009D583B"/>
    <w:rsid w:val="009D58A3"/>
    <w:rsid w:val="009D7879"/>
    <w:rsid w:val="009E46BF"/>
    <w:rsid w:val="009E5D7B"/>
    <w:rsid w:val="009F022E"/>
    <w:rsid w:val="009F4A35"/>
    <w:rsid w:val="009F5BF0"/>
    <w:rsid w:val="009F796C"/>
    <w:rsid w:val="00A004D9"/>
    <w:rsid w:val="00A010BA"/>
    <w:rsid w:val="00A01FFB"/>
    <w:rsid w:val="00A0419C"/>
    <w:rsid w:val="00A06B72"/>
    <w:rsid w:val="00A07040"/>
    <w:rsid w:val="00A07215"/>
    <w:rsid w:val="00A074FE"/>
    <w:rsid w:val="00A07F4C"/>
    <w:rsid w:val="00A106EF"/>
    <w:rsid w:val="00A109E7"/>
    <w:rsid w:val="00A149BB"/>
    <w:rsid w:val="00A14CBB"/>
    <w:rsid w:val="00A15713"/>
    <w:rsid w:val="00A15D81"/>
    <w:rsid w:val="00A166F2"/>
    <w:rsid w:val="00A1768E"/>
    <w:rsid w:val="00A2086F"/>
    <w:rsid w:val="00A210E7"/>
    <w:rsid w:val="00A21D52"/>
    <w:rsid w:val="00A22477"/>
    <w:rsid w:val="00A22A6D"/>
    <w:rsid w:val="00A22BAF"/>
    <w:rsid w:val="00A23F6C"/>
    <w:rsid w:val="00A23F71"/>
    <w:rsid w:val="00A256CD"/>
    <w:rsid w:val="00A25F00"/>
    <w:rsid w:val="00A27660"/>
    <w:rsid w:val="00A27F55"/>
    <w:rsid w:val="00A30A5A"/>
    <w:rsid w:val="00A31571"/>
    <w:rsid w:val="00A33C60"/>
    <w:rsid w:val="00A35A16"/>
    <w:rsid w:val="00A35E88"/>
    <w:rsid w:val="00A37605"/>
    <w:rsid w:val="00A37AC7"/>
    <w:rsid w:val="00A37EA3"/>
    <w:rsid w:val="00A417E7"/>
    <w:rsid w:val="00A41DE0"/>
    <w:rsid w:val="00A42023"/>
    <w:rsid w:val="00A42C60"/>
    <w:rsid w:val="00A43388"/>
    <w:rsid w:val="00A4489D"/>
    <w:rsid w:val="00A44D42"/>
    <w:rsid w:val="00A451EB"/>
    <w:rsid w:val="00A466C5"/>
    <w:rsid w:val="00A47661"/>
    <w:rsid w:val="00A476E7"/>
    <w:rsid w:val="00A533C6"/>
    <w:rsid w:val="00A5592E"/>
    <w:rsid w:val="00A57E6C"/>
    <w:rsid w:val="00A6038D"/>
    <w:rsid w:val="00A60494"/>
    <w:rsid w:val="00A6320C"/>
    <w:rsid w:val="00A63229"/>
    <w:rsid w:val="00A6459F"/>
    <w:rsid w:val="00A64A7A"/>
    <w:rsid w:val="00A64BB3"/>
    <w:rsid w:val="00A65B6C"/>
    <w:rsid w:val="00A664CF"/>
    <w:rsid w:val="00A67259"/>
    <w:rsid w:val="00A70705"/>
    <w:rsid w:val="00A73B6D"/>
    <w:rsid w:val="00A741FF"/>
    <w:rsid w:val="00A7455F"/>
    <w:rsid w:val="00A7563B"/>
    <w:rsid w:val="00A77F37"/>
    <w:rsid w:val="00A80F87"/>
    <w:rsid w:val="00A822F4"/>
    <w:rsid w:val="00A8236A"/>
    <w:rsid w:val="00A84222"/>
    <w:rsid w:val="00A905AA"/>
    <w:rsid w:val="00A90827"/>
    <w:rsid w:val="00A90D88"/>
    <w:rsid w:val="00A917F6"/>
    <w:rsid w:val="00A919FB"/>
    <w:rsid w:val="00A91BAD"/>
    <w:rsid w:val="00A91F29"/>
    <w:rsid w:val="00A93175"/>
    <w:rsid w:val="00A940A8"/>
    <w:rsid w:val="00A941B0"/>
    <w:rsid w:val="00A942B9"/>
    <w:rsid w:val="00A94556"/>
    <w:rsid w:val="00A962BB"/>
    <w:rsid w:val="00A96644"/>
    <w:rsid w:val="00A9714C"/>
    <w:rsid w:val="00A971A4"/>
    <w:rsid w:val="00AA0278"/>
    <w:rsid w:val="00AA07A5"/>
    <w:rsid w:val="00AA11EA"/>
    <w:rsid w:val="00AA1FD9"/>
    <w:rsid w:val="00AA2DFE"/>
    <w:rsid w:val="00AA5290"/>
    <w:rsid w:val="00AA6A17"/>
    <w:rsid w:val="00AA71A0"/>
    <w:rsid w:val="00AB1BCA"/>
    <w:rsid w:val="00AB1DC9"/>
    <w:rsid w:val="00AB2797"/>
    <w:rsid w:val="00AB28A1"/>
    <w:rsid w:val="00AB38D4"/>
    <w:rsid w:val="00AB44F9"/>
    <w:rsid w:val="00AB4BE0"/>
    <w:rsid w:val="00AB4DAE"/>
    <w:rsid w:val="00AB4F13"/>
    <w:rsid w:val="00AB6084"/>
    <w:rsid w:val="00AB7242"/>
    <w:rsid w:val="00AB76D8"/>
    <w:rsid w:val="00AC0634"/>
    <w:rsid w:val="00AC08EA"/>
    <w:rsid w:val="00AC09CA"/>
    <w:rsid w:val="00AC17CF"/>
    <w:rsid w:val="00AC1DB9"/>
    <w:rsid w:val="00AC3CC5"/>
    <w:rsid w:val="00AC4970"/>
    <w:rsid w:val="00AC4D33"/>
    <w:rsid w:val="00AC52A0"/>
    <w:rsid w:val="00AC5C00"/>
    <w:rsid w:val="00AD071F"/>
    <w:rsid w:val="00AD2419"/>
    <w:rsid w:val="00AD4E36"/>
    <w:rsid w:val="00AD5D39"/>
    <w:rsid w:val="00AD7C05"/>
    <w:rsid w:val="00AD7E43"/>
    <w:rsid w:val="00AE0CD3"/>
    <w:rsid w:val="00AE1D0C"/>
    <w:rsid w:val="00AE27CB"/>
    <w:rsid w:val="00AE5887"/>
    <w:rsid w:val="00AE5A7D"/>
    <w:rsid w:val="00AE5F46"/>
    <w:rsid w:val="00AF0B41"/>
    <w:rsid w:val="00AF0F58"/>
    <w:rsid w:val="00AF103D"/>
    <w:rsid w:val="00AF3D5D"/>
    <w:rsid w:val="00AF5D2D"/>
    <w:rsid w:val="00AF60C8"/>
    <w:rsid w:val="00B01023"/>
    <w:rsid w:val="00B01FA8"/>
    <w:rsid w:val="00B0220C"/>
    <w:rsid w:val="00B02C00"/>
    <w:rsid w:val="00B02FAF"/>
    <w:rsid w:val="00B03992"/>
    <w:rsid w:val="00B046DC"/>
    <w:rsid w:val="00B05B05"/>
    <w:rsid w:val="00B1011C"/>
    <w:rsid w:val="00B10755"/>
    <w:rsid w:val="00B10F76"/>
    <w:rsid w:val="00B11424"/>
    <w:rsid w:val="00B11FF3"/>
    <w:rsid w:val="00B12A50"/>
    <w:rsid w:val="00B173FC"/>
    <w:rsid w:val="00B20A30"/>
    <w:rsid w:val="00B20C8E"/>
    <w:rsid w:val="00B20D2F"/>
    <w:rsid w:val="00B2118C"/>
    <w:rsid w:val="00B22B73"/>
    <w:rsid w:val="00B22C50"/>
    <w:rsid w:val="00B245C6"/>
    <w:rsid w:val="00B254A2"/>
    <w:rsid w:val="00B276D9"/>
    <w:rsid w:val="00B30126"/>
    <w:rsid w:val="00B30C68"/>
    <w:rsid w:val="00B3136D"/>
    <w:rsid w:val="00B34DF1"/>
    <w:rsid w:val="00B35E60"/>
    <w:rsid w:val="00B3618B"/>
    <w:rsid w:val="00B361B2"/>
    <w:rsid w:val="00B364BB"/>
    <w:rsid w:val="00B368C7"/>
    <w:rsid w:val="00B36AC9"/>
    <w:rsid w:val="00B40032"/>
    <w:rsid w:val="00B4021E"/>
    <w:rsid w:val="00B41647"/>
    <w:rsid w:val="00B42CE4"/>
    <w:rsid w:val="00B42F13"/>
    <w:rsid w:val="00B4665E"/>
    <w:rsid w:val="00B46924"/>
    <w:rsid w:val="00B46EC0"/>
    <w:rsid w:val="00B47266"/>
    <w:rsid w:val="00B501F4"/>
    <w:rsid w:val="00B50A99"/>
    <w:rsid w:val="00B50D1E"/>
    <w:rsid w:val="00B5164F"/>
    <w:rsid w:val="00B519B5"/>
    <w:rsid w:val="00B51D40"/>
    <w:rsid w:val="00B535E5"/>
    <w:rsid w:val="00B5379C"/>
    <w:rsid w:val="00B5605F"/>
    <w:rsid w:val="00B5692E"/>
    <w:rsid w:val="00B56C73"/>
    <w:rsid w:val="00B60858"/>
    <w:rsid w:val="00B61C61"/>
    <w:rsid w:val="00B61F8B"/>
    <w:rsid w:val="00B62B83"/>
    <w:rsid w:val="00B65D1C"/>
    <w:rsid w:val="00B6629D"/>
    <w:rsid w:val="00B6652C"/>
    <w:rsid w:val="00B67165"/>
    <w:rsid w:val="00B672FD"/>
    <w:rsid w:val="00B67E21"/>
    <w:rsid w:val="00B70D4F"/>
    <w:rsid w:val="00B7219F"/>
    <w:rsid w:val="00B72930"/>
    <w:rsid w:val="00B73348"/>
    <w:rsid w:val="00B73831"/>
    <w:rsid w:val="00B7551C"/>
    <w:rsid w:val="00B75D03"/>
    <w:rsid w:val="00B760E0"/>
    <w:rsid w:val="00B801FD"/>
    <w:rsid w:val="00B80CC2"/>
    <w:rsid w:val="00B80FE5"/>
    <w:rsid w:val="00B82943"/>
    <w:rsid w:val="00B838B4"/>
    <w:rsid w:val="00B86A30"/>
    <w:rsid w:val="00B86EEE"/>
    <w:rsid w:val="00B879B9"/>
    <w:rsid w:val="00B9040A"/>
    <w:rsid w:val="00B9134C"/>
    <w:rsid w:val="00B93595"/>
    <w:rsid w:val="00B93FEE"/>
    <w:rsid w:val="00B94CD7"/>
    <w:rsid w:val="00B95201"/>
    <w:rsid w:val="00BA0DBD"/>
    <w:rsid w:val="00BA1693"/>
    <w:rsid w:val="00BA209F"/>
    <w:rsid w:val="00BA4A62"/>
    <w:rsid w:val="00BA7F2E"/>
    <w:rsid w:val="00BB0684"/>
    <w:rsid w:val="00BB0EDF"/>
    <w:rsid w:val="00BB18E4"/>
    <w:rsid w:val="00BB1A19"/>
    <w:rsid w:val="00BB36C2"/>
    <w:rsid w:val="00BB3B7C"/>
    <w:rsid w:val="00BB4DA7"/>
    <w:rsid w:val="00BB6558"/>
    <w:rsid w:val="00BB7105"/>
    <w:rsid w:val="00BC0AF2"/>
    <w:rsid w:val="00BC2DC1"/>
    <w:rsid w:val="00BC4DEE"/>
    <w:rsid w:val="00BD09A0"/>
    <w:rsid w:val="00BD11E4"/>
    <w:rsid w:val="00BD140A"/>
    <w:rsid w:val="00BD19A3"/>
    <w:rsid w:val="00BD41EE"/>
    <w:rsid w:val="00BD5539"/>
    <w:rsid w:val="00BD5B32"/>
    <w:rsid w:val="00BD60EA"/>
    <w:rsid w:val="00BD6777"/>
    <w:rsid w:val="00BD764D"/>
    <w:rsid w:val="00BE082A"/>
    <w:rsid w:val="00BE19E6"/>
    <w:rsid w:val="00BE1D9E"/>
    <w:rsid w:val="00BE1E40"/>
    <w:rsid w:val="00BE2327"/>
    <w:rsid w:val="00BF04C7"/>
    <w:rsid w:val="00BF210D"/>
    <w:rsid w:val="00BF2488"/>
    <w:rsid w:val="00BF2DE5"/>
    <w:rsid w:val="00BF36F1"/>
    <w:rsid w:val="00BF3D4F"/>
    <w:rsid w:val="00BF781A"/>
    <w:rsid w:val="00C00208"/>
    <w:rsid w:val="00C00539"/>
    <w:rsid w:val="00C008D8"/>
    <w:rsid w:val="00C0129E"/>
    <w:rsid w:val="00C0217E"/>
    <w:rsid w:val="00C02FA7"/>
    <w:rsid w:val="00C03ED4"/>
    <w:rsid w:val="00C04D3E"/>
    <w:rsid w:val="00C06323"/>
    <w:rsid w:val="00C065CC"/>
    <w:rsid w:val="00C06AAF"/>
    <w:rsid w:val="00C10071"/>
    <w:rsid w:val="00C11FFA"/>
    <w:rsid w:val="00C14CC2"/>
    <w:rsid w:val="00C16C78"/>
    <w:rsid w:val="00C179DA"/>
    <w:rsid w:val="00C213B5"/>
    <w:rsid w:val="00C213F2"/>
    <w:rsid w:val="00C24F8D"/>
    <w:rsid w:val="00C25822"/>
    <w:rsid w:val="00C2735F"/>
    <w:rsid w:val="00C30097"/>
    <w:rsid w:val="00C303B9"/>
    <w:rsid w:val="00C30439"/>
    <w:rsid w:val="00C324C6"/>
    <w:rsid w:val="00C32EB7"/>
    <w:rsid w:val="00C33E75"/>
    <w:rsid w:val="00C34BDB"/>
    <w:rsid w:val="00C35225"/>
    <w:rsid w:val="00C37C31"/>
    <w:rsid w:val="00C404A3"/>
    <w:rsid w:val="00C40978"/>
    <w:rsid w:val="00C40B58"/>
    <w:rsid w:val="00C4100D"/>
    <w:rsid w:val="00C469B2"/>
    <w:rsid w:val="00C47AE5"/>
    <w:rsid w:val="00C52DFC"/>
    <w:rsid w:val="00C54795"/>
    <w:rsid w:val="00C54CE6"/>
    <w:rsid w:val="00C55282"/>
    <w:rsid w:val="00C56F01"/>
    <w:rsid w:val="00C57123"/>
    <w:rsid w:val="00C57208"/>
    <w:rsid w:val="00C57506"/>
    <w:rsid w:val="00C57619"/>
    <w:rsid w:val="00C57665"/>
    <w:rsid w:val="00C613F9"/>
    <w:rsid w:val="00C6650D"/>
    <w:rsid w:val="00C66F95"/>
    <w:rsid w:val="00C71BF9"/>
    <w:rsid w:val="00C74303"/>
    <w:rsid w:val="00C748BE"/>
    <w:rsid w:val="00C76F55"/>
    <w:rsid w:val="00C77657"/>
    <w:rsid w:val="00C80218"/>
    <w:rsid w:val="00C809A5"/>
    <w:rsid w:val="00C830CA"/>
    <w:rsid w:val="00C831D4"/>
    <w:rsid w:val="00C84C8F"/>
    <w:rsid w:val="00C90884"/>
    <w:rsid w:val="00C91FA4"/>
    <w:rsid w:val="00C92D0B"/>
    <w:rsid w:val="00C93745"/>
    <w:rsid w:val="00C95DD0"/>
    <w:rsid w:val="00C960F4"/>
    <w:rsid w:val="00C96DA0"/>
    <w:rsid w:val="00CA07AC"/>
    <w:rsid w:val="00CA099D"/>
    <w:rsid w:val="00CA1755"/>
    <w:rsid w:val="00CA23B2"/>
    <w:rsid w:val="00CA2C07"/>
    <w:rsid w:val="00CA41A8"/>
    <w:rsid w:val="00CA4522"/>
    <w:rsid w:val="00CA4D2E"/>
    <w:rsid w:val="00CA5C87"/>
    <w:rsid w:val="00CA6885"/>
    <w:rsid w:val="00CB081C"/>
    <w:rsid w:val="00CB13CB"/>
    <w:rsid w:val="00CB19C9"/>
    <w:rsid w:val="00CB262A"/>
    <w:rsid w:val="00CB6EEE"/>
    <w:rsid w:val="00CB7029"/>
    <w:rsid w:val="00CB7126"/>
    <w:rsid w:val="00CB729D"/>
    <w:rsid w:val="00CB78D7"/>
    <w:rsid w:val="00CB7F59"/>
    <w:rsid w:val="00CC0184"/>
    <w:rsid w:val="00CC07B7"/>
    <w:rsid w:val="00CC0B68"/>
    <w:rsid w:val="00CC0C77"/>
    <w:rsid w:val="00CC3B7E"/>
    <w:rsid w:val="00CC3ECB"/>
    <w:rsid w:val="00CC4540"/>
    <w:rsid w:val="00CC6507"/>
    <w:rsid w:val="00CC6FE2"/>
    <w:rsid w:val="00CC7869"/>
    <w:rsid w:val="00CD0A20"/>
    <w:rsid w:val="00CD12BB"/>
    <w:rsid w:val="00CD15EC"/>
    <w:rsid w:val="00CD2750"/>
    <w:rsid w:val="00CD2AC0"/>
    <w:rsid w:val="00CD39FA"/>
    <w:rsid w:val="00CD3A9F"/>
    <w:rsid w:val="00CD3C71"/>
    <w:rsid w:val="00CD3F8A"/>
    <w:rsid w:val="00CD48C0"/>
    <w:rsid w:val="00CD514A"/>
    <w:rsid w:val="00CD66C8"/>
    <w:rsid w:val="00CD6EC5"/>
    <w:rsid w:val="00CD745D"/>
    <w:rsid w:val="00CD754C"/>
    <w:rsid w:val="00CD7CDC"/>
    <w:rsid w:val="00CE0219"/>
    <w:rsid w:val="00CE33ED"/>
    <w:rsid w:val="00CE41BF"/>
    <w:rsid w:val="00CE4FEB"/>
    <w:rsid w:val="00CE5B49"/>
    <w:rsid w:val="00CE6299"/>
    <w:rsid w:val="00CE7DA3"/>
    <w:rsid w:val="00CE7E14"/>
    <w:rsid w:val="00CF0618"/>
    <w:rsid w:val="00CF0A46"/>
    <w:rsid w:val="00CF2F77"/>
    <w:rsid w:val="00CF4A16"/>
    <w:rsid w:val="00CF4AF2"/>
    <w:rsid w:val="00CF4F05"/>
    <w:rsid w:val="00CF4FFB"/>
    <w:rsid w:val="00CF640A"/>
    <w:rsid w:val="00CF779D"/>
    <w:rsid w:val="00D010F6"/>
    <w:rsid w:val="00D0785C"/>
    <w:rsid w:val="00D10519"/>
    <w:rsid w:val="00D10987"/>
    <w:rsid w:val="00D11572"/>
    <w:rsid w:val="00D11A53"/>
    <w:rsid w:val="00D11CFE"/>
    <w:rsid w:val="00D13818"/>
    <w:rsid w:val="00D13956"/>
    <w:rsid w:val="00D155E3"/>
    <w:rsid w:val="00D20120"/>
    <w:rsid w:val="00D207D9"/>
    <w:rsid w:val="00D20DD0"/>
    <w:rsid w:val="00D2107F"/>
    <w:rsid w:val="00D2241D"/>
    <w:rsid w:val="00D22A3F"/>
    <w:rsid w:val="00D2389D"/>
    <w:rsid w:val="00D238FE"/>
    <w:rsid w:val="00D25E6F"/>
    <w:rsid w:val="00D26D18"/>
    <w:rsid w:val="00D30F3B"/>
    <w:rsid w:val="00D31658"/>
    <w:rsid w:val="00D34A5C"/>
    <w:rsid w:val="00D36EF3"/>
    <w:rsid w:val="00D41E9F"/>
    <w:rsid w:val="00D4386F"/>
    <w:rsid w:val="00D44248"/>
    <w:rsid w:val="00D44A62"/>
    <w:rsid w:val="00D44D24"/>
    <w:rsid w:val="00D454B8"/>
    <w:rsid w:val="00D46389"/>
    <w:rsid w:val="00D466A8"/>
    <w:rsid w:val="00D46A29"/>
    <w:rsid w:val="00D51238"/>
    <w:rsid w:val="00D514B7"/>
    <w:rsid w:val="00D5179E"/>
    <w:rsid w:val="00D51D36"/>
    <w:rsid w:val="00D51EAB"/>
    <w:rsid w:val="00D538CF"/>
    <w:rsid w:val="00D548F8"/>
    <w:rsid w:val="00D54D10"/>
    <w:rsid w:val="00D55015"/>
    <w:rsid w:val="00D5617B"/>
    <w:rsid w:val="00D62EAB"/>
    <w:rsid w:val="00D6392F"/>
    <w:rsid w:val="00D63D73"/>
    <w:rsid w:val="00D63D80"/>
    <w:rsid w:val="00D64696"/>
    <w:rsid w:val="00D647BF"/>
    <w:rsid w:val="00D64D8D"/>
    <w:rsid w:val="00D6557C"/>
    <w:rsid w:val="00D6581D"/>
    <w:rsid w:val="00D6689B"/>
    <w:rsid w:val="00D71AB6"/>
    <w:rsid w:val="00D72E9F"/>
    <w:rsid w:val="00D80616"/>
    <w:rsid w:val="00D826EC"/>
    <w:rsid w:val="00D848BD"/>
    <w:rsid w:val="00D853E9"/>
    <w:rsid w:val="00D8598A"/>
    <w:rsid w:val="00D865D8"/>
    <w:rsid w:val="00D867CE"/>
    <w:rsid w:val="00D875B3"/>
    <w:rsid w:val="00D87803"/>
    <w:rsid w:val="00D91A90"/>
    <w:rsid w:val="00D9359C"/>
    <w:rsid w:val="00D937BF"/>
    <w:rsid w:val="00D942EE"/>
    <w:rsid w:val="00D95B89"/>
    <w:rsid w:val="00D9765C"/>
    <w:rsid w:val="00D97EAF"/>
    <w:rsid w:val="00DA09A6"/>
    <w:rsid w:val="00DA3BA8"/>
    <w:rsid w:val="00DA6CAD"/>
    <w:rsid w:val="00DA79D3"/>
    <w:rsid w:val="00DA7E83"/>
    <w:rsid w:val="00DB0027"/>
    <w:rsid w:val="00DB26C1"/>
    <w:rsid w:val="00DB32CF"/>
    <w:rsid w:val="00DB4718"/>
    <w:rsid w:val="00DB5E04"/>
    <w:rsid w:val="00DC274C"/>
    <w:rsid w:val="00DC30FA"/>
    <w:rsid w:val="00DC3E02"/>
    <w:rsid w:val="00DC5F53"/>
    <w:rsid w:val="00DC6D69"/>
    <w:rsid w:val="00DC74DD"/>
    <w:rsid w:val="00DD2405"/>
    <w:rsid w:val="00DD31CE"/>
    <w:rsid w:val="00DD5254"/>
    <w:rsid w:val="00DD78ED"/>
    <w:rsid w:val="00DD7DBC"/>
    <w:rsid w:val="00DE0504"/>
    <w:rsid w:val="00DE0E84"/>
    <w:rsid w:val="00DE2544"/>
    <w:rsid w:val="00DE3024"/>
    <w:rsid w:val="00DE3A3B"/>
    <w:rsid w:val="00DE3D6E"/>
    <w:rsid w:val="00DE4FA9"/>
    <w:rsid w:val="00DE7008"/>
    <w:rsid w:val="00DF0F1A"/>
    <w:rsid w:val="00DF5AD1"/>
    <w:rsid w:val="00DF67B7"/>
    <w:rsid w:val="00DF749D"/>
    <w:rsid w:val="00DF7E89"/>
    <w:rsid w:val="00E002B8"/>
    <w:rsid w:val="00E0229C"/>
    <w:rsid w:val="00E027A3"/>
    <w:rsid w:val="00E03151"/>
    <w:rsid w:val="00E03CBD"/>
    <w:rsid w:val="00E03D99"/>
    <w:rsid w:val="00E03EDD"/>
    <w:rsid w:val="00E050D1"/>
    <w:rsid w:val="00E10CAF"/>
    <w:rsid w:val="00E13CEF"/>
    <w:rsid w:val="00E14234"/>
    <w:rsid w:val="00E156E2"/>
    <w:rsid w:val="00E17034"/>
    <w:rsid w:val="00E17D96"/>
    <w:rsid w:val="00E20D5D"/>
    <w:rsid w:val="00E22A72"/>
    <w:rsid w:val="00E24B8B"/>
    <w:rsid w:val="00E25261"/>
    <w:rsid w:val="00E26BC6"/>
    <w:rsid w:val="00E272FA"/>
    <w:rsid w:val="00E310CD"/>
    <w:rsid w:val="00E3223C"/>
    <w:rsid w:val="00E32CC1"/>
    <w:rsid w:val="00E3446F"/>
    <w:rsid w:val="00E347EB"/>
    <w:rsid w:val="00E3747E"/>
    <w:rsid w:val="00E375DB"/>
    <w:rsid w:val="00E412AD"/>
    <w:rsid w:val="00E412BA"/>
    <w:rsid w:val="00E41952"/>
    <w:rsid w:val="00E433EA"/>
    <w:rsid w:val="00E51E71"/>
    <w:rsid w:val="00E5289B"/>
    <w:rsid w:val="00E536DF"/>
    <w:rsid w:val="00E545EB"/>
    <w:rsid w:val="00E556A2"/>
    <w:rsid w:val="00E56DB2"/>
    <w:rsid w:val="00E602AA"/>
    <w:rsid w:val="00E60804"/>
    <w:rsid w:val="00E6211F"/>
    <w:rsid w:val="00E64F18"/>
    <w:rsid w:val="00E65760"/>
    <w:rsid w:val="00E65FA0"/>
    <w:rsid w:val="00E66AD5"/>
    <w:rsid w:val="00E711D7"/>
    <w:rsid w:val="00E715B2"/>
    <w:rsid w:val="00E716B4"/>
    <w:rsid w:val="00E726FA"/>
    <w:rsid w:val="00E77B39"/>
    <w:rsid w:val="00E80F87"/>
    <w:rsid w:val="00E82A7F"/>
    <w:rsid w:val="00E83E78"/>
    <w:rsid w:val="00E84838"/>
    <w:rsid w:val="00E851B1"/>
    <w:rsid w:val="00E85442"/>
    <w:rsid w:val="00E865F9"/>
    <w:rsid w:val="00E86A56"/>
    <w:rsid w:val="00E86DA6"/>
    <w:rsid w:val="00E90E98"/>
    <w:rsid w:val="00E9261A"/>
    <w:rsid w:val="00E926FE"/>
    <w:rsid w:val="00E93305"/>
    <w:rsid w:val="00E93BEF"/>
    <w:rsid w:val="00E94BA1"/>
    <w:rsid w:val="00E96351"/>
    <w:rsid w:val="00E978F1"/>
    <w:rsid w:val="00E97B34"/>
    <w:rsid w:val="00EA0D4E"/>
    <w:rsid w:val="00EA1922"/>
    <w:rsid w:val="00EA28A9"/>
    <w:rsid w:val="00EA44B3"/>
    <w:rsid w:val="00EA4851"/>
    <w:rsid w:val="00EA5FB9"/>
    <w:rsid w:val="00EA701E"/>
    <w:rsid w:val="00EB4C12"/>
    <w:rsid w:val="00EB54D9"/>
    <w:rsid w:val="00EB65F2"/>
    <w:rsid w:val="00EB70A4"/>
    <w:rsid w:val="00EB76D7"/>
    <w:rsid w:val="00EB7BD4"/>
    <w:rsid w:val="00EB7F39"/>
    <w:rsid w:val="00EC0447"/>
    <w:rsid w:val="00EC0D1E"/>
    <w:rsid w:val="00EC147A"/>
    <w:rsid w:val="00EC1D88"/>
    <w:rsid w:val="00EC270A"/>
    <w:rsid w:val="00EC29CF"/>
    <w:rsid w:val="00EC3DC2"/>
    <w:rsid w:val="00EC3E35"/>
    <w:rsid w:val="00EC3FB9"/>
    <w:rsid w:val="00EC64AD"/>
    <w:rsid w:val="00EC6694"/>
    <w:rsid w:val="00ED1236"/>
    <w:rsid w:val="00ED15C6"/>
    <w:rsid w:val="00ED1D82"/>
    <w:rsid w:val="00ED24EC"/>
    <w:rsid w:val="00ED4CE7"/>
    <w:rsid w:val="00ED66D6"/>
    <w:rsid w:val="00ED7020"/>
    <w:rsid w:val="00ED769F"/>
    <w:rsid w:val="00EE033D"/>
    <w:rsid w:val="00EE1022"/>
    <w:rsid w:val="00EE1FA2"/>
    <w:rsid w:val="00EE33EB"/>
    <w:rsid w:val="00EE38DD"/>
    <w:rsid w:val="00EE3B31"/>
    <w:rsid w:val="00EE3F2D"/>
    <w:rsid w:val="00EE5259"/>
    <w:rsid w:val="00EE54A2"/>
    <w:rsid w:val="00EE610E"/>
    <w:rsid w:val="00EE64C8"/>
    <w:rsid w:val="00EF0675"/>
    <w:rsid w:val="00EF1127"/>
    <w:rsid w:val="00EF3022"/>
    <w:rsid w:val="00EF3462"/>
    <w:rsid w:val="00EF397B"/>
    <w:rsid w:val="00EF3B04"/>
    <w:rsid w:val="00EF3B59"/>
    <w:rsid w:val="00EF4569"/>
    <w:rsid w:val="00EF59F6"/>
    <w:rsid w:val="00EF6B0D"/>
    <w:rsid w:val="00F00C2E"/>
    <w:rsid w:val="00F01C36"/>
    <w:rsid w:val="00F05371"/>
    <w:rsid w:val="00F07476"/>
    <w:rsid w:val="00F07A0D"/>
    <w:rsid w:val="00F10538"/>
    <w:rsid w:val="00F10B33"/>
    <w:rsid w:val="00F11A7D"/>
    <w:rsid w:val="00F120F3"/>
    <w:rsid w:val="00F1246F"/>
    <w:rsid w:val="00F12EDB"/>
    <w:rsid w:val="00F14071"/>
    <w:rsid w:val="00F1543C"/>
    <w:rsid w:val="00F15E0F"/>
    <w:rsid w:val="00F175B8"/>
    <w:rsid w:val="00F24B21"/>
    <w:rsid w:val="00F24D2E"/>
    <w:rsid w:val="00F2569D"/>
    <w:rsid w:val="00F25E20"/>
    <w:rsid w:val="00F2722B"/>
    <w:rsid w:val="00F27A38"/>
    <w:rsid w:val="00F303DD"/>
    <w:rsid w:val="00F3317F"/>
    <w:rsid w:val="00F33612"/>
    <w:rsid w:val="00F33865"/>
    <w:rsid w:val="00F33CF5"/>
    <w:rsid w:val="00F340AF"/>
    <w:rsid w:val="00F343FB"/>
    <w:rsid w:val="00F34A0D"/>
    <w:rsid w:val="00F354F1"/>
    <w:rsid w:val="00F3583D"/>
    <w:rsid w:val="00F3607D"/>
    <w:rsid w:val="00F40F99"/>
    <w:rsid w:val="00F41419"/>
    <w:rsid w:val="00F416F5"/>
    <w:rsid w:val="00F4411A"/>
    <w:rsid w:val="00F4440F"/>
    <w:rsid w:val="00F449BD"/>
    <w:rsid w:val="00F44D5E"/>
    <w:rsid w:val="00F45A77"/>
    <w:rsid w:val="00F4796E"/>
    <w:rsid w:val="00F5236C"/>
    <w:rsid w:val="00F52B88"/>
    <w:rsid w:val="00F52BAB"/>
    <w:rsid w:val="00F52CAD"/>
    <w:rsid w:val="00F5326B"/>
    <w:rsid w:val="00F536E7"/>
    <w:rsid w:val="00F55195"/>
    <w:rsid w:val="00F55534"/>
    <w:rsid w:val="00F56D22"/>
    <w:rsid w:val="00F60078"/>
    <w:rsid w:val="00F61926"/>
    <w:rsid w:val="00F61C44"/>
    <w:rsid w:val="00F66E0C"/>
    <w:rsid w:val="00F70FB1"/>
    <w:rsid w:val="00F71DC7"/>
    <w:rsid w:val="00F742CE"/>
    <w:rsid w:val="00F768CA"/>
    <w:rsid w:val="00F80598"/>
    <w:rsid w:val="00F81296"/>
    <w:rsid w:val="00F81FAA"/>
    <w:rsid w:val="00F82A5C"/>
    <w:rsid w:val="00F82D5D"/>
    <w:rsid w:val="00F843BF"/>
    <w:rsid w:val="00F84C34"/>
    <w:rsid w:val="00F85F77"/>
    <w:rsid w:val="00F86008"/>
    <w:rsid w:val="00F866CD"/>
    <w:rsid w:val="00F86E15"/>
    <w:rsid w:val="00F92F95"/>
    <w:rsid w:val="00F9424F"/>
    <w:rsid w:val="00F9532F"/>
    <w:rsid w:val="00F959DC"/>
    <w:rsid w:val="00F961CD"/>
    <w:rsid w:val="00F96B47"/>
    <w:rsid w:val="00FA0683"/>
    <w:rsid w:val="00FA0731"/>
    <w:rsid w:val="00FA0EF7"/>
    <w:rsid w:val="00FA26E0"/>
    <w:rsid w:val="00FA386B"/>
    <w:rsid w:val="00FA3E99"/>
    <w:rsid w:val="00FA4D08"/>
    <w:rsid w:val="00FA5127"/>
    <w:rsid w:val="00FA5D7D"/>
    <w:rsid w:val="00FA5EF0"/>
    <w:rsid w:val="00FA63C3"/>
    <w:rsid w:val="00FA72F8"/>
    <w:rsid w:val="00FB1A98"/>
    <w:rsid w:val="00FB2541"/>
    <w:rsid w:val="00FB3457"/>
    <w:rsid w:val="00FB413C"/>
    <w:rsid w:val="00FB4A4B"/>
    <w:rsid w:val="00FB52D5"/>
    <w:rsid w:val="00FB5A41"/>
    <w:rsid w:val="00FB6728"/>
    <w:rsid w:val="00FB7AB0"/>
    <w:rsid w:val="00FC0C91"/>
    <w:rsid w:val="00FC2D3A"/>
    <w:rsid w:val="00FC38F8"/>
    <w:rsid w:val="00FC3B70"/>
    <w:rsid w:val="00FC54E4"/>
    <w:rsid w:val="00FC686D"/>
    <w:rsid w:val="00FD74CA"/>
    <w:rsid w:val="00FD7E96"/>
    <w:rsid w:val="00FE0414"/>
    <w:rsid w:val="00FE0752"/>
    <w:rsid w:val="00FE0F82"/>
    <w:rsid w:val="00FE18D4"/>
    <w:rsid w:val="00FE2554"/>
    <w:rsid w:val="00FE322C"/>
    <w:rsid w:val="00FE37CF"/>
    <w:rsid w:val="00FE3B3C"/>
    <w:rsid w:val="00FE61BF"/>
    <w:rsid w:val="00FE7288"/>
    <w:rsid w:val="00FF2554"/>
    <w:rsid w:val="00FF25FF"/>
    <w:rsid w:val="00FF2D40"/>
    <w:rsid w:val="00FF3C02"/>
    <w:rsid w:val="00FF755B"/>
    <w:rsid w:val="00FF75B4"/>
    <w:rsid w:val="00FF7DD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5" w:qFormat="1"/>
    <w:lsdException w:name="caption" w:uiPriority="0" w:qFormat="1"/>
    <w:lsdException w:name="footnote reference" w:qFormat="1"/>
    <w:lsdException w:name="List" w:uiPriority="0" w:qFormat="1"/>
    <w:lsdException w:name="List Bullet" w:uiPriority="0" w:qFormat="1"/>
    <w:lsdException w:name="List 2" w:uiPriority="0" w:qFormat="1"/>
    <w:lsdException w:name="List Bullet 2" w:uiPriority="0" w:qFormat="1"/>
    <w:lsdException w:name="List Bullet 3" w:uiPriority="0" w:qFormat="1"/>
    <w:lsdException w:name="Title" w:semiHidden="0" w:uiPriority="2"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3D effect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304CD8"/>
    <w:pPr>
      <w:spacing w:after="240" w:line="320" w:lineRule="atLeast"/>
    </w:pPr>
    <w:rPr>
      <w:rFonts w:ascii="Arial" w:hAnsi="Arial"/>
      <w:sz w:val="24"/>
    </w:rPr>
  </w:style>
  <w:style w:type="paragraph" w:styleId="Heading1">
    <w:name w:val="heading 1"/>
    <w:aliases w:val="Chapter Head"/>
    <w:basedOn w:val="Normal"/>
    <w:next w:val="Normal"/>
    <w:link w:val="Heading1Char"/>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aliases w:val="Heading A"/>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aliases w:val="Heading B"/>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aliases w:val="Heading C"/>
    <w:basedOn w:val="Normal"/>
    <w:next w:val="Normal"/>
    <w:link w:val="Heading4Char"/>
    <w:unhideWhenUsed/>
    <w:qFormat/>
    <w:rsid w:val="00E03EDD"/>
    <w:pPr>
      <w:keepNext/>
      <w:keepLines/>
      <w:spacing w:before="240" w:after="0"/>
      <w:outlineLvl w:val="3"/>
    </w:pPr>
    <w:rPr>
      <w:rFonts w:eastAsiaTheme="majorEastAsia" w:cstheme="majorBidi"/>
      <w:iCs/>
      <w:color w:val="002C77" w:themeColor="text1"/>
    </w:rPr>
  </w:style>
  <w:style w:type="paragraph" w:styleId="Heading6">
    <w:name w:val="heading 6"/>
    <w:basedOn w:val="Normal"/>
    <w:next w:val="Normal"/>
    <w:link w:val="Heading6Char"/>
    <w:uiPriority w:val="9"/>
    <w:qFormat/>
    <w:rsid w:val="00236ECD"/>
    <w:pPr>
      <w:spacing w:before="240" w:after="60" w:line="280" w:lineRule="exact"/>
      <w:ind w:left="1294" w:hanging="1152"/>
      <w:outlineLvl w:val="5"/>
    </w:pPr>
    <w:rPr>
      <w:rFonts w:eastAsia="MS Mincho" w:cs="Times New Roman"/>
      <w:b/>
      <w:bCs/>
      <w:sz w:val="22"/>
    </w:rPr>
  </w:style>
  <w:style w:type="paragraph" w:styleId="Heading7">
    <w:name w:val="heading 7"/>
    <w:basedOn w:val="Normal"/>
    <w:next w:val="Normal"/>
    <w:link w:val="Heading7Char"/>
    <w:uiPriority w:val="9"/>
    <w:qFormat/>
    <w:rsid w:val="00236ECD"/>
    <w:pPr>
      <w:spacing w:before="240" w:after="60" w:line="280" w:lineRule="exact"/>
      <w:ind w:left="1438" w:hanging="1296"/>
      <w:outlineLvl w:val="6"/>
    </w:pPr>
    <w:rPr>
      <w:rFonts w:eastAsia="MS Mincho" w:cs="Times New Roman"/>
      <w:i/>
      <w:sz w:val="22"/>
      <w:szCs w:val="24"/>
    </w:rPr>
  </w:style>
  <w:style w:type="paragraph" w:styleId="Heading8">
    <w:name w:val="heading 8"/>
    <w:basedOn w:val="Normal"/>
    <w:next w:val="Normal"/>
    <w:link w:val="Heading8Char"/>
    <w:uiPriority w:val="9"/>
    <w:semiHidden/>
    <w:unhideWhenUsed/>
    <w:qFormat/>
    <w:rsid w:val="00236ECD"/>
    <w:pPr>
      <w:keepNext/>
      <w:keepLines/>
      <w:spacing w:before="200" w:after="0" w:line="280" w:lineRule="exact"/>
      <w:ind w:left="1582" w:hanging="1440"/>
      <w:outlineLvl w:val="7"/>
    </w:pPr>
    <w:rPr>
      <w:rFonts w:eastAsiaTheme="majorEastAsia" w:cstheme="majorBidi"/>
      <w:color w:val="004FD9" w:themeColor="text1" w:themeTint="BF"/>
      <w:sz w:val="20"/>
      <w:szCs w:val="20"/>
    </w:rPr>
  </w:style>
  <w:style w:type="paragraph" w:styleId="Heading9">
    <w:name w:val="heading 9"/>
    <w:basedOn w:val="Normal"/>
    <w:next w:val="Normal"/>
    <w:link w:val="Heading9Char"/>
    <w:uiPriority w:val="9"/>
    <w:semiHidden/>
    <w:unhideWhenUsed/>
    <w:qFormat/>
    <w:rsid w:val="00236ECD"/>
    <w:pPr>
      <w:keepNext/>
      <w:keepLines/>
      <w:spacing w:before="200" w:after="0" w:line="280" w:lineRule="exact"/>
      <w:ind w:left="1726" w:hanging="1584"/>
      <w:outlineLvl w:val="8"/>
    </w:pPr>
    <w:rPr>
      <w:rFonts w:asciiTheme="majorHAnsi" w:eastAsiaTheme="majorEastAsia" w:hAnsiTheme="majorHAnsi" w:cstheme="majorBidi"/>
      <w:i/>
      <w:iCs/>
      <w:color w:val="004FD9"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2C77" w:themeColor="text1"/>
      <w:sz w:val="84"/>
    </w:rPr>
  </w:style>
  <w:style w:type="paragraph" w:customStyle="1" w:styleId="CoverSubtitle">
    <w:name w:val="Cover Subtitle"/>
    <w:basedOn w:val="Normal"/>
    <w:qFormat/>
    <w:rsid w:val="00F5326B"/>
    <w:pPr>
      <w:spacing w:before="240" w:after="0" w:line="240" w:lineRule="auto"/>
    </w:pPr>
    <w:rPr>
      <w:color w:val="002C77" w:themeColor="text1"/>
      <w:sz w:val="48"/>
    </w:rPr>
  </w:style>
  <w:style w:type="table" w:styleId="TableGrid">
    <w:name w:val="Table Grid"/>
    <w:basedOn w:val="TableNormal"/>
    <w:uiPriority w:val="59"/>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
    <w:name w:val="List Table 4"/>
    <w:basedOn w:val="TableNormal"/>
    <w:uiPriority w:val="49"/>
    <w:rsid w:val="00F5326B"/>
    <w:pPr>
      <w:spacing w:after="0" w:line="240" w:lineRule="auto"/>
    </w:pPr>
    <w:tblPr>
      <w:tblStyleRowBandSize w:val="1"/>
      <w:tblStyleColBandSize w:val="1"/>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qFormat/>
    <w:rsid w:val="00C00539"/>
    <w:pPr>
      <w:spacing w:after="440" w:line="440" w:lineRule="atLeast"/>
    </w:pPr>
    <w:rPr>
      <w:color w:val="002C77" w:themeColor="text1"/>
      <w:sz w:val="32"/>
    </w:rPr>
  </w:style>
  <w:style w:type="character" w:customStyle="1" w:styleId="Heading2Char">
    <w:name w:val="Heading 2 Char"/>
    <w:aliases w:val="Heading A Char"/>
    <w:basedOn w:val="DefaultParagraphFont"/>
    <w:link w:val="Heading2"/>
    <w:rsid w:val="0092670E"/>
    <w:rPr>
      <w:rFonts w:ascii="Arial" w:eastAsiaTheme="majorEastAsia" w:hAnsi="Arial" w:cstheme="majorBidi"/>
      <w:color w:val="002C77" w:themeColor="text1"/>
      <w:sz w:val="32"/>
      <w:szCs w:val="26"/>
    </w:rPr>
  </w:style>
  <w:style w:type="character" w:customStyle="1" w:styleId="Heading1Char">
    <w:name w:val="Heading 1 Char"/>
    <w:aliases w:val="Chapter Head Char"/>
    <w:basedOn w:val="DefaultParagraphFont"/>
    <w:link w:val="Heading1"/>
    <w:rsid w:val="001640A7"/>
    <w:rPr>
      <w:rFonts w:ascii="Arial" w:eastAsiaTheme="majorEastAsia" w:hAnsi="Arial" w:cstheme="majorBidi"/>
      <w:color w:val="002C77" w:themeColor="text1"/>
      <w:sz w:val="50"/>
      <w:szCs w:val="32"/>
    </w:rPr>
  </w:style>
  <w:style w:type="character" w:customStyle="1" w:styleId="Heading3Char">
    <w:name w:val="Heading 3 Char"/>
    <w:aliases w:val="Heading B Char"/>
    <w:basedOn w:val="DefaultParagraphFont"/>
    <w:link w:val="Heading3"/>
    <w:rsid w:val="0092670E"/>
    <w:rPr>
      <w:rFonts w:ascii="Arial" w:eastAsiaTheme="majorEastAsia" w:hAnsi="Arial" w:cstheme="majorBidi"/>
      <w:b/>
      <w:color w:val="002C77" w:themeColor="text1"/>
      <w:sz w:val="24"/>
      <w:szCs w:val="24"/>
    </w:rPr>
  </w:style>
  <w:style w:type="character" w:customStyle="1" w:styleId="Heading4Char">
    <w:name w:val="Heading 4 Char"/>
    <w:aliases w:val="Heading C Char"/>
    <w:basedOn w:val="DefaultParagraphFont"/>
    <w:link w:val="Heading4"/>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73"/>
    <w:qFormat/>
    <w:rsid w:val="0070165C"/>
    <w:pPr>
      <w:spacing w:line="240" w:lineRule="auto"/>
      <w:ind w:left="567" w:right="567"/>
    </w:pPr>
    <w:rPr>
      <w:i/>
      <w:iCs/>
    </w:rPr>
  </w:style>
  <w:style w:type="character" w:customStyle="1" w:styleId="QuoteChar">
    <w:name w:val="Quote Char"/>
    <w:basedOn w:val="DefaultParagraphFont"/>
    <w:link w:val="Quote"/>
    <w:uiPriority w:val="73"/>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5"/>
    <w:unhideWhenUsed/>
    <w:qFormat/>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uiPriority w:val="5"/>
    <w:rsid w:val="00672638"/>
    <w:rPr>
      <w:rFonts w:ascii="Arial" w:hAnsi="Arial"/>
      <w:color w:val="002C77" w:themeColor="text1"/>
      <w:sz w:val="24"/>
    </w:rPr>
  </w:style>
  <w:style w:type="paragraph" w:styleId="Footer">
    <w:name w:val="footer"/>
    <w:aliases w:val="JPW-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aliases w:val="JPW-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aliases w:val="List para,Dot pt,No Spacing1,List Paragraph Char Char Char,Indicator Text,Numbered Para 1,List Paragraph1,Bullet 1,Bullet Points,MAIN CONTENT,List Paragraph12,List Para,Bullet 1CxSpLast,OBC Bullet,F5 List Paragraph,List Paragraph11,L"/>
    <w:basedOn w:val="Normal"/>
    <w:link w:val="ListParagraphChar"/>
    <w:uiPriority w:val="34"/>
    <w:qFormat/>
    <w:rsid w:val="00041AC5"/>
    <w:pPr>
      <w:ind w:left="720"/>
      <w:contextualSpacing/>
    </w:pPr>
  </w:style>
  <w:style w:type="paragraph" w:customStyle="1" w:styleId="BulletList1">
    <w:name w:val="Bullet List 1"/>
    <w:basedOn w:val="Normal"/>
    <w:uiPriority w:val="1"/>
    <w:qFormat/>
    <w:rsid w:val="008935AF"/>
    <w:pPr>
      <w:numPr>
        <w:numId w:val="1"/>
      </w:numPr>
      <w:tabs>
        <w:tab w:val="left" w:pos="284"/>
      </w:tabs>
      <w:ind w:left="284" w:hanging="284"/>
    </w:pPr>
  </w:style>
  <w:style w:type="paragraph" w:customStyle="1" w:styleId="BulletList2">
    <w:name w:val="Bullet List 2"/>
    <w:basedOn w:val="Normal"/>
    <w:uiPriority w:val="1"/>
    <w:qFormat/>
    <w:rsid w:val="008935AF"/>
    <w:pPr>
      <w:numPr>
        <w:numId w:val="2"/>
      </w:numPr>
      <w:tabs>
        <w:tab w:val="left" w:pos="567"/>
      </w:tabs>
      <w:ind w:left="568" w:hanging="284"/>
    </w:pPr>
  </w:style>
  <w:style w:type="paragraph" w:customStyle="1" w:styleId="BulletList3">
    <w:name w:val="Bullet List 3"/>
    <w:basedOn w:val="Normal"/>
    <w:uiPriority w:val="1"/>
    <w:qFormat/>
    <w:rsid w:val="008935AF"/>
    <w:pPr>
      <w:numPr>
        <w:numId w:val="3"/>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2C77" w:themeColor="text1"/>
    </w:rPr>
  </w:style>
  <w:style w:type="paragraph" w:styleId="FootnoteText">
    <w:name w:val="footnote text"/>
    <w:basedOn w:val="Normal"/>
    <w:link w:val="FootnoteTextChar"/>
    <w:uiPriority w:val="99"/>
    <w:unhideWhenUsed/>
    <w:qFormat/>
    <w:rsid w:val="00BD09A0"/>
    <w:pPr>
      <w:widowControl w:val="0"/>
      <w:spacing w:after="0" w:line="240" w:lineRule="auto"/>
      <w:contextualSpacing/>
    </w:pPr>
    <w:rPr>
      <w:sz w:val="20"/>
      <w:szCs w:val="20"/>
    </w:rPr>
  </w:style>
  <w:style w:type="character" w:customStyle="1" w:styleId="FootnoteTextChar">
    <w:name w:val="Footnote Text Char"/>
    <w:basedOn w:val="DefaultParagraphFont"/>
    <w:link w:val="FootnoteText"/>
    <w:uiPriority w:val="99"/>
    <w:rsid w:val="00BD09A0"/>
    <w:rPr>
      <w:rFonts w:ascii="Arial" w:hAnsi="Arial"/>
      <w:sz w:val="20"/>
      <w:szCs w:val="20"/>
    </w:rPr>
  </w:style>
  <w:style w:type="character" w:styleId="FootnoteReference">
    <w:name w:val="footnote reference"/>
    <w:basedOn w:val="DefaultParagraphFont"/>
    <w:uiPriority w:val="99"/>
    <w:unhideWhenUsed/>
    <w:qFormat/>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4"/>
      </w:numPr>
      <w:tabs>
        <w:tab w:val="left" w:pos="851"/>
      </w:tabs>
    </w:pPr>
  </w:style>
  <w:style w:type="paragraph" w:customStyle="1" w:styleId="NumberList2">
    <w:name w:val="Number List 2"/>
    <w:basedOn w:val="Normal"/>
    <w:qFormat/>
    <w:rsid w:val="001640A7"/>
    <w:pPr>
      <w:numPr>
        <w:ilvl w:val="1"/>
        <w:numId w:val="4"/>
      </w:numPr>
      <w:tabs>
        <w:tab w:val="left" w:pos="1701"/>
      </w:tabs>
    </w:pPr>
  </w:style>
  <w:style w:type="paragraph" w:customStyle="1" w:styleId="NumberList3">
    <w:name w:val="Number List 3"/>
    <w:basedOn w:val="Normal"/>
    <w:qFormat/>
    <w:rsid w:val="001640A7"/>
    <w:pPr>
      <w:numPr>
        <w:ilvl w:val="2"/>
        <w:numId w:val="4"/>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
    <w:name w:val="Grid Table 2 Accent 5"/>
    <w:basedOn w:val="TableNormal"/>
    <w:uiPriority w:val="47"/>
    <w:rsid w:val="001B57C3"/>
    <w:pPr>
      <w:spacing w:after="0" w:line="240" w:lineRule="auto"/>
    </w:pPr>
    <w:tblPr>
      <w:tblStyleRowBandSize w:val="1"/>
      <w:tblStyleColBandSize w:val="1"/>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semiHidden/>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rsid w:val="00F3583D"/>
    <w:pPr>
      <w:tabs>
        <w:tab w:val="left" w:leader="underscore" w:pos="9214"/>
      </w:tabs>
      <w:spacing w:after="100"/>
    </w:pPr>
    <w:rPr>
      <w:noProof/>
    </w:rPr>
  </w:style>
  <w:style w:type="paragraph" w:styleId="TOC2">
    <w:name w:val="toc 2"/>
    <w:basedOn w:val="TOC1"/>
    <w:next w:val="Normal"/>
    <w:autoRedefine/>
    <w:uiPriority w:val="39"/>
    <w:unhideWhenUsed/>
    <w:rsid w:val="000B19DF"/>
    <w:pPr>
      <w:ind w:left="284"/>
    </w:pPr>
  </w:style>
  <w:style w:type="paragraph" w:styleId="TOC3">
    <w:name w:val="toc 3"/>
    <w:basedOn w:val="Normal"/>
    <w:next w:val="Normal"/>
    <w:autoRedefine/>
    <w:uiPriority w:val="39"/>
    <w:unhideWhenUsed/>
    <w:rsid w:val="00B4021E"/>
    <w:pPr>
      <w:spacing w:after="100"/>
      <w:ind w:left="480"/>
    </w:pPr>
  </w:style>
  <w:style w:type="paragraph" w:customStyle="1" w:styleId="InnerCoverTitle">
    <w:name w:val="Inner Cover Title"/>
    <w:basedOn w:val="Normal"/>
    <w:qFormat/>
    <w:rsid w:val="00824E8F"/>
    <w:pPr>
      <w:spacing w:after="0"/>
    </w:pPr>
    <w:rPr>
      <w:caps/>
      <w:color w:val="002C77" w:themeColor="text1"/>
      <w:sz w:val="64"/>
    </w:rPr>
  </w:style>
  <w:style w:type="paragraph" w:customStyle="1" w:styleId="InnerCoverSubtitle">
    <w:name w:val="Inner Cover Subtitle"/>
    <w:basedOn w:val="Normal"/>
    <w:qFormat/>
    <w:rsid w:val="00824E8F"/>
    <w:pPr>
      <w:spacing w:before="240" w:after="0" w:line="240" w:lineRule="auto"/>
    </w:pPr>
    <w:rPr>
      <w:color w:val="002C77"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paragraph" w:customStyle="1" w:styleId="DECCReference">
    <w:name w:val="DECC Reference"/>
    <w:basedOn w:val="Normal"/>
    <w:autoRedefine/>
    <w:rsid w:val="001F32A6"/>
    <w:pPr>
      <w:autoSpaceDE w:val="0"/>
      <w:autoSpaceDN w:val="0"/>
      <w:adjustRightInd w:val="0"/>
      <w:spacing w:before="60" w:after="60" w:line="320" w:lineRule="exact"/>
    </w:pPr>
    <w:rPr>
      <w:rFonts w:eastAsia="Times New Roman" w:cs="Arial"/>
      <w:color w:val="FFFFFF" w:themeColor="background1"/>
      <w:szCs w:val="24"/>
      <w:lang w:eastAsia="en-GB"/>
    </w:rPr>
  </w:style>
  <w:style w:type="paragraph" w:customStyle="1" w:styleId="TableHeaders">
    <w:name w:val="Table Headers"/>
    <w:basedOn w:val="Normal"/>
    <w:next w:val="TableText"/>
    <w:qFormat/>
    <w:rsid w:val="001F32A6"/>
    <w:pPr>
      <w:autoSpaceDE w:val="0"/>
      <w:autoSpaceDN w:val="0"/>
      <w:adjustRightInd w:val="0"/>
      <w:spacing w:before="120" w:after="0" w:line="280" w:lineRule="exact"/>
      <w:ind w:left="113" w:right="113"/>
    </w:pPr>
    <w:rPr>
      <w:rFonts w:eastAsia="Times New Roman" w:cs="Arial"/>
      <w:b/>
      <w:color w:val="FFFFFF"/>
      <w:szCs w:val="24"/>
      <w:lang w:eastAsia="en-GB"/>
    </w:rPr>
  </w:style>
  <w:style w:type="table" w:styleId="Table3Deffects1">
    <w:name w:val="Table 3D effects 1"/>
    <w:basedOn w:val="TableNormal"/>
    <w:rsid w:val="001F32A6"/>
    <w:pPr>
      <w:autoSpaceDE w:val="0"/>
      <w:autoSpaceDN w:val="0"/>
      <w:adjustRightInd w:val="0"/>
      <w:spacing w:before="120" w:after="120" w:line="280" w:lineRule="exact"/>
    </w:pPr>
    <w:rPr>
      <w:rFonts w:ascii="Arial" w:eastAsia="Times New Roman" w:hAnsi="Arial" w:cs="Times New Roman"/>
      <w:sz w:val="20"/>
      <w:szCs w:val="20"/>
    </w:rPr>
    <w:tblPr>
      <w:tblBorders>
        <w:top w:val="single" w:sz="8" w:space="0" w:color="AEA79F" w:themeColor="accent6"/>
        <w:left w:val="single" w:sz="8" w:space="0" w:color="AEA79F" w:themeColor="accent6"/>
        <w:bottom w:val="single" w:sz="8" w:space="0" w:color="AEA79F" w:themeColor="accent6"/>
        <w:right w:val="single" w:sz="8" w:space="0" w:color="AEA79F" w:themeColor="accent6"/>
        <w:insideH w:val="single" w:sz="8" w:space="0" w:color="AEA79F" w:themeColor="accent6"/>
        <w:insideV w:val="single" w:sz="8" w:space="0" w:color="AEA79F" w:themeColor="accent6"/>
      </w:tblBorders>
      <w:tblCellMar>
        <w:top w:w="57" w:type="dxa"/>
        <w:bottom w:w="57" w:type="dxa"/>
      </w:tblCellMar>
    </w:tblPr>
    <w:tcPr>
      <w:shd w:val="clear" w:color="C0C0C0" w:fill="auto"/>
    </w:tcPr>
    <w:tblStylePr w:type="firstRow">
      <w:pPr>
        <w:wordWrap/>
        <w:spacing w:beforeLines="100" w:before="100" w:beforeAutospacing="0" w:afterLines="100" w:after="100" w:afterAutospacing="0" w:line="240" w:lineRule="auto"/>
        <w:contextualSpacing w:val="0"/>
      </w:pPr>
      <w:rPr>
        <w:b/>
        <w14:textOutline w14:w="0" w14:cap="rnd" w14:cmpd="sng" w14:algn="ctr">
          <w14:noFill/>
          <w14:prstDash w14:val="solid"/>
          <w14:bevel/>
        </w14:textOutline>
      </w:rPr>
      <w:tblPr/>
      <w:trPr>
        <w:cantSplit/>
        <w:tblHeader/>
      </w:trPr>
      <w:tcPr>
        <w:tcBorders>
          <w:top w:val="single" w:sz="8" w:space="0" w:color="AEA79F" w:themeColor="accent6"/>
          <w:left w:val="single" w:sz="8" w:space="0" w:color="AEA79F" w:themeColor="accent6"/>
          <w:bottom w:val="single" w:sz="8" w:space="0" w:color="AEA79F" w:themeColor="accent6"/>
          <w:right w:val="single" w:sz="8" w:space="0" w:color="AEA79F" w:themeColor="accent6"/>
          <w:insideH w:val="single" w:sz="8" w:space="0" w:color="AEA79F" w:themeColor="accent6"/>
          <w:insideV w:val="single" w:sz="8" w:space="0" w:color="AEA79F" w:themeColor="accent6"/>
          <w:tl2br w:val="nil"/>
          <w:tr2bl w:val="nil"/>
        </w:tcBorders>
        <w:shd w:val="clear" w:color="C0C0C0" w:fill="AEA79F" w:themeFill="accent6"/>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DECCIntrotext">
    <w:name w:val="DECC Intro text"/>
    <w:basedOn w:val="Normal"/>
    <w:next w:val="Normal"/>
    <w:autoRedefine/>
    <w:qFormat/>
    <w:rsid w:val="001F32A6"/>
    <w:pPr>
      <w:keepNext/>
      <w:autoSpaceDE w:val="0"/>
      <w:autoSpaceDN w:val="0"/>
      <w:adjustRightInd w:val="0"/>
      <w:spacing w:before="240" w:after="120" w:line="380" w:lineRule="exact"/>
      <w:outlineLvl w:val="5"/>
    </w:pPr>
    <w:rPr>
      <w:rFonts w:eastAsia="Times New Roman" w:cs="Arial"/>
      <w:bCs/>
      <w:color w:val="00AEEF"/>
      <w:kern w:val="32"/>
      <w:sz w:val="32"/>
      <w:szCs w:val="56"/>
      <w:lang w:eastAsia="en-GB"/>
    </w:rPr>
  </w:style>
  <w:style w:type="paragraph" w:customStyle="1" w:styleId="BodyNumbering">
    <w:name w:val="Body Numbering"/>
    <w:basedOn w:val="Normal"/>
    <w:qFormat/>
    <w:rsid w:val="001F32A6"/>
    <w:pPr>
      <w:numPr>
        <w:ilvl w:val="1"/>
        <w:numId w:val="7"/>
      </w:numPr>
      <w:tabs>
        <w:tab w:val="left" w:pos="851"/>
      </w:tabs>
      <w:autoSpaceDE w:val="0"/>
      <w:autoSpaceDN w:val="0"/>
      <w:adjustRightInd w:val="0"/>
      <w:spacing w:before="120" w:after="120" w:line="280" w:lineRule="exact"/>
      <w:ind w:right="11" w:hanging="792"/>
    </w:pPr>
    <w:rPr>
      <w:rFonts w:eastAsia="Times New Roman" w:cs="Arial"/>
      <w:color w:val="000000"/>
      <w:szCs w:val="24"/>
      <w:lang w:eastAsia="en-GB"/>
    </w:rPr>
  </w:style>
  <w:style w:type="paragraph" w:customStyle="1" w:styleId="Figureschartstitle0">
    <w:name w:val="Figures/charts title"/>
    <w:basedOn w:val="Normal"/>
    <w:next w:val="Normal"/>
    <w:qFormat/>
    <w:rsid w:val="001F32A6"/>
    <w:pPr>
      <w:pBdr>
        <w:top w:val="single" w:sz="8" w:space="4" w:color="00AEEF"/>
      </w:pBdr>
      <w:spacing w:before="120" w:after="60" w:line="240" w:lineRule="auto"/>
      <w:outlineLvl w:val="5"/>
    </w:pPr>
    <w:rPr>
      <w:rFonts w:eastAsia="Times New Roman" w:cs="Times New Roman"/>
      <w:b/>
      <w:color w:val="00AEEF"/>
      <w:sz w:val="22"/>
      <w:szCs w:val="20"/>
    </w:rPr>
  </w:style>
  <w:style w:type="paragraph" w:customStyle="1" w:styleId="BoxText">
    <w:name w:val="Box Text"/>
    <w:basedOn w:val="Normal"/>
    <w:next w:val="BodyText"/>
    <w:qFormat/>
    <w:rsid w:val="001F32A6"/>
    <w:pPr>
      <w:shd w:val="clear" w:color="auto" w:fill="CAEEFF"/>
      <w:autoSpaceDE w:val="0"/>
      <w:autoSpaceDN w:val="0"/>
      <w:adjustRightInd w:val="0"/>
      <w:spacing w:before="120" w:after="120" w:line="320" w:lineRule="exact"/>
      <w:ind w:left="567" w:right="567"/>
    </w:pPr>
    <w:rPr>
      <w:rFonts w:eastAsia="Times New Roman" w:cs="Arial"/>
      <w:szCs w:val="24"/>
      <w:lang w:eastAsia="en-GB"/>
    </w:rPr>
  </w:style>
  <w:style w:type="paragraph" w:customStyle="1" w:styleId="TableText">
    <w:name w:val="Table Text"/>
    <w:basedOn w:val="Normal"/>
    <w:rsid w:val="001F32A6"/>
    <w:pPr>
      <w:autoSpaceDE w:val="0"/>
      <w:autoSpaceDN w:val="0"/>
      <w:adjustRightInd w:val="0"/>
      <w:spacing w:before="60" w:after="60" w:line="280" w:lineRule="exact"/>
      <w:ind w:left="113" w:right="113"/>
    </w:pPr>
    <w:rPr>
      <w:rFonts w:eastAsia="Times New Roman" w:cs="Arial"/>
      <w:color w:val="000000"/>
      <w:szCs w:val="24"/>
      <w:lang w:eastAsia="en-GB"/>
    </w:rPr>
  </w:style>
  <w:style w:type="character" w:customStyle="1" w:styleId="DECCPBlue">
    <w:name w:val="DECC P Blue"/>
    <w:rsid w:val="001F32A6"/>
    <w:rPr>
      <w:color w:val="009EE3"/>
    </w:rPr>
  </w:style>
  <w:style w:type="character" w:customStyle="1" w:styleId="DECCPOrange">
    <w:name w:val="DECC P Orange"/>
    <w:rsid w:val="001F32A6"/>
    <w:rPr>
      <w:color w:val="F08015"/>
    </w:rPr>
  </w:style>
  <w:style w:type="character" w:customStyle="1" w:styleId="DECCPRed">
    <w:name w:val="DECC P Red"/>
    <w:rsid w:val="001F32A6"/>
    <w:rPr>
      <w:color w:val="AA0721"/>
    </w:rPr>
  </w:style>
  <w:style w:type="character" w:customStyle="1" w:styleId="DECCPPurple">
    <w:name w:val="DECC P Purple"/>
    <w:rsid w:val="001F32A6"/>
    <w:rPr>
      <w:color w:val="742F89"/>
    </w:rPr>
  </w:style>
  <w:style w:type="paragraph" w:styleId="ListBullet">
    <w:name w:val="List Bullet"/>
    <w:basedOn w:val="Normal"/>
    <w:qFormat/>
    <w:rsid w:val="001F32A6"/>
    <w:pPr>
      <w:numPr>
        <w:numId w:val="5"/>
      </w:numPr>
      <w:autoSpaceDE w:val="0"/>
      <w:autoSpaceDN w:val="0"/>
      <w:adjustRightInd w:val="0"/>
      <w:spacing w:before="120" w:after="120" w:line="280" w:lineRule="exact"/>
      <w:ind w:left="794" w:hanging="397"/>
    </w:pPr>
    <w:rPr>
      <w:rFonts w:eastAsia="Times New Roman" w:cs="Arial"/>
      <w:color w:val="000000"/>
      <w:szCs w:val="24"/>
      <w:lang w:eastAsia="en-GB"/>
    </w:rPr>
  </w:style>
  <w:style w:type="table" w:customStyle="1" w:styleId="DECC3">
    <w:name w:val="DECC 3"/>
    <w:basedOn w:val="TableNormal"/>
    <w:uiPriority w:val="99"/>
    <w:rsid w:val="001F32A6"/>
    <w:pPr>
      <w:spacing w:after="0" w:line="240" w:lineRule="auto"/>
    </w:pPr>
    <w:rPr>
      <w:rFonts w:ascii="Arial" w:eastAsia="Times New Roman" w:hAnsi="Arial" w:cs="Times New Roman"/>
      <w:sz w:val="20"/>
      <w:szCs w:val="20"/>
    </w:rPr>
    <w:tblPr>
      <w:tblBorders>
        <w:top w:val="single" w:sz="8" w:space="0" w:color="AC1A2F"/>
        <w:left w:val="single" w:sz="8" w:space="0" w:color="AC1A2F"/>
        <w:bottom w:val="single" w:sz="8" w:space="0" w:color="AC1A2F"/>
        <w:right w:val="single" w:sz="8" w:space="0" w:color="AC1A2F"/>
        <w:insideH w:val="single" w:sz="8" w:space="0" w:color="AC1A2F"/>
        <w:insideV w:val="single" w:sz="8" w:space="0" w:color="AC1A2F"/>
      </w:tblBorders>
      <w:tblCellMar>
        <w:top w:w="57" w:type="dxa"/>
        <w:bottom w:w="57" w:type="dxa"/>
      </w:tblCellMar>
    </w:tblPr>
    <w:tcPr>
      <w:shd w:val="clear" w:color="auto" w:fill="auto"/>
    </w:tcPr>
    <w:tblStylePr w:type="firstRow">
      <w:pPr>
        <w:wordWrap/>
        <w:spacing w:beforeLines="100" w:before="100" w:beforeAutospacing="0" w:afterLines="100" w:after="100" w:afterAutospacing="0" w:line="240" w:lineRule="auto"/>
        <w:contextualSpacing w:val="0"/>
      </w:pPr>
      <w:rPr>
        <w:rFonts w:ascii="Arial" w:hAnsi="Arial"/>
        <w:b/>
        <w:color w:val="FFFFFF" w:themeColor="background1"/>
      </w:rPr>
      <w:tblPr/>
      <w:trPr>
        <w:cantSplit/>
        <w:tblHeader/>
      </w:trPr>
      <w:tcPr>
        <w:shd w:val="clear" w:color="auto" w:fill="AC1A2F"/>
      </w:tcPr>
    </w:tblStylePr>
  </w:style>
  <w:style w:type="paragraph" w:customStyle="1" w:styleId="ConsulatationQuestionWhite">
    <w:name w:val="Consulatation Question White"/>
    <w:basedOn w:val="Normal"/>
    <w:rsid w:val="001F32A6"/>
    <w:pPr>
      <w:autoSpaceDE w:val="0"/>
      <w:autoSpaceDN w:val="0"/>
      <w:adjustRightInd w:val="0"/>
      <w:spacing w:before="120" w:after="0" w:line="280" w:lineRule="exact"/>
      <w:ind w:left="113" w:right="113"/>
    </w:pPr>
    <w:rPr>
      <w:rFonts w:eastAsia="Times New Roman" w:cs="Arial"/>
      <w:b/>
      <w:color w:val="FFFFFF"/>
      <w:szCs w:val="24"/>
      <w:lang w:eastAsia="en-GB"/>
    </w:rPr>
  </w:style>
  <w:style w:type="paragraph" w:customStyle="1" w:styleId="Listbulletintable">
    <w:name w:val="List bullet in table"/>
    <w:basedOn w:val="ListBullet"/>
    <w:qFormat/>
    <w:rsid w:val="001F32A6"/>
    <w:pPr>
      <w:numPr>
        <w:numId w:val="6"/>
      </w:numPr>
      <w:spacing w:before="60" w:after="60"/>
      <w:ind w:left="463" w:hanging="350"/>
    </w:pPr>
  </w:style>
  <w:style w:type="paragraph" w:styleId="BodyText">
    <w:name w:val="Body Text"/>
    <w:basedOn w:val="Normal"/>
    <w:link w:val="BodyTextChar"/>
    <w:qFormat/>
    <w:rsid w:val="001F32A6"/>
    <w:pPr>
      <w:autoSpaceDE w:val="0"/>
      <w:autoSpaceDN w:val="0"/>
      <w:adjustRightInd w:val="0"/>
      <w:spacing w:before="120" w:after="120" w:line="280" w:lineRule="exact"/>
    </w:pPr>
    <w:rPr>
      <w:rFonts w:eastAsia="Times New Roman" w:cs="Arial"/>
      <w:color w:val="000000"/>
      <w:szCs w:val="24"/>
      <w:lang w:eastAsia="en-GB"/>
    </w:rPr>
  </w:style>
  <w:style w:type="character" w:customStyle="1" w:styleId="BodyTextChar">
    <w:name w:val="Body Text Char"/>
    <w:basedOn w:val="DefaultParagraphFont"/>
    <w:link w:val="BodyText"/>
    <w:rsid w:val="001F32A6"/>
    <w:rPr>
      <w:rFonts w:ascii="Arial" w:eastAsia="Times New Roman" w:hAnsi="Arial" w:cs="Arial"/>
      <w:color w:val="000000"/>
      <w:sz w:val="24"/>
      <w:szCs w:val="24"/>
      <w:lang w:eastAsia="en-GB"/>
    </w:rPr>
  </w:style>
  <w:style w:type="paragraph" w:customStyle="1" w:styleId="DECCNumberedChapterHead">
    <w:name w:val="DECC Numbered Chapter Head"/>
    <w:basedOn w:val="Heading1"/>
    <w:next w:val="BodyText"/>
    <w:qFormat/>
    <w:rsid w:val="001F32A6"/>
    <w:pPr>
      <w:keepNext w:val="0"/>
      <w:keepLines w:val="0"/>
      <w:pageBreakBefore w:val="0"/>
      <w:numPr>
        <w:numId w:val="7"/>
      </w:numPr>
      <w:spacing w:before="1000" w:after="1000" w:line="540" w:lineRule="exact"/>
    </w:pPr>
    <w:rPr>
      <w:rFonts w:eastAsia="Times New Roman" w:cs="Arial"/>
      <w:bCs/>
      <w:color w:val="00AEEF"/>
      <w:kern w:val="32"/>
      <w:lang w:eastAsia="en-GB"/>
    </w:rPr>
  </w:style>
  <w:style w:type="paragraph" w:styleId="ListBullet20">
    <w:name w:val="List Bullet 2"/>
    <w:basedOn w:val="Normal"/>
    <w:qFormat/>
    <w:rsid w:val="001F32A6"/>
    <w:pPr>
      <w:tabs>
        <w:tab w:val="num" w:pos="1418"/>
      </w:tabs>
      <w:autoSpaceDE w:val="0"/>
      <w:autoSpaceDN w:val="0"/>
      <w:adjustRightInd w:val="0"/>
      <w:spacing w:before="120" w:after="120" w:line="280" w:lineRule="exact"/>
      <w:ind w:left="1418" w:hanging="567"/>
    </w:pPr>
    <w:rPr>
      <w:rFonts w:eastAsia="Times New Roman" w:cs="Arial"/>
      <w:color w:val="000000"/>
      <w:szCs w:val="24"/>
      <w:lang w:eastAsia="en-GB"/>
    </w:rPr>
  </w:style>
  <w:style w:type="paragraph" w:styleId="ListBullet30">
    <w:name w:val="List Bullet 3"/>
    <w:basedOn w:val="Normal"/>
    <w:qFormat/>
    <w:rsid w:val="001F32A6"/>
    <w:pPr>
      <w:tabs>
        <w:tab w:val="num" w:pos="1843"/>
      </w:tabs>
      <w:autoSpaceDE w:val="0"/>
      <w:autoSpaceDN w:val="0"/>
      <w:adjustRightInd w:val="0"/>
      <w:spacing w:before="120" w:after="120" w:line="280" w:lineRule="exact"/>
      <w:ind w:left="1843" w:hanging="425"/>
      <w:contextualSpacing/>
    </w:pPr>
    <w:rPr>
      <w:rFonts w:eastAsia="Times New Roman" w:cs="Arial"/>
      <w:color w:val="000000"/>
      <w:szCs w:val="24"/>
      <w:lang w:eastAsia="en-GB"/>
    </w:rPr>
  </w:style>
  <w:style w:type="paragraph" w:styleId="BodyTextIndent">
    <w:name w:val="Body Text Indent"/>
    <w:basedOn w:val="Normal"/>
    <w:link w:val="BodyTextIndentChar"/>
    <w:qFormat/>
    <w:rsid w:val="001F32A6"/>
    <w:pPr>
      <w:autoSpaceDE w:val="0"/>
      <w:autoSpaceDN w:val="0"/>
      <w:adjustRightInd w:val="0"/>
      <w:spacing w:before="120" w:after="120" w:line="280" w:lineRule="exact"/>
      <w:ind w:left="794"/>
    </w:pPr>
    <w:rPr>
      <w:rFonts w:eastAsia="Times New Roman" w:cs="Arial"/>
      <w:color w:val="000000"/>
      <w:szCs w:val="24"/>
      <w:lang w:eastAsia="en-GB"/>
    </w:rPr>
  </w:style>
  <w:style w:type="character" w:customStyle="1" w:styleId="BodyTextIndentChar">
    <w:name w:val="Body Text Indent Char"/>
    <w:basedOn w:val="DefaultParagraphFont"/>
    <w:link w:val="BodyTextIndent"/>
    <w:rsid w:val="001F32A6"/>
    <w:rPr>
      <w:rFonts w:ascii="Arial" w:eastAsia="Times New Roman" w:hAnsi="Arial" w:cs="Arial"/>
      <w:color w:val="000000"/>
      <w:sz w:val="24"/>
      <w:szCs w:val="24"/>
      <w:lang w:eastAsia="en-GB"/>
    </w:rPr>
  </w:style>
  <w:style w:type="paragraph" w:styleId="List">
    <w:name w:val="List"/>
    <w:qFormat/>
    <w:rsid w:val="001F32A6"/>
    <w:pPr>
      <w:numPr>
        <w:numId w:val="8"/>
      </w:numPr>
      <w:spacing w:before="120" w:after="120" w:line="280" w:lineRule="exact"/>
      <w:ind w:left="794" w:hanging="397"/>
    </w:pPr>
    <w:rPr>
      <w:rFonts w:ascii="Arial" w:eastAsia="Times New Roman" w:hAnsi="Arial" w:cs="Arial"/>
      <w:color w:val="000000"/>
      <w:sz w:val="24"/>
      <w:szCs w:val="24"/>
      <w:lang w:eastAsia="en-GB"/>
    </w:rPr>
  </w:style>
  <w:style w:type="paragraph" w:styleId="List2">
    <w:name w:val="List 2"/>
    <w:aliases w:val="List Alpha"/>
    <w:qFormat/>
    <w:rsid w:val="001F32A6"/>
    <w:pPr>
      <w:numPr>
        <w:numId w:val="9"/>
      </w:numPr>
      <w:spacing w:before="120" w:after="120" w:line="280" w:lineRule="exact"/>
      <w:ind w:left="794" w:hanging="397"/>
    </w:pPr>
    <w:rPr>
      <w:rFonts w:ascii="Arial" w:eastAsia="Times New Roman" w:hAnsi="Arial" w:cs="Arial"/>
      <w:color w:val="000000"/>
      <w:sz w:val="24"/>
      <w:szCs w:val="24"/>
      <w:lang w:eastAsia="en-GB"/>
    </w:rPr>
  </w:style>
  <w:style w:type="paragraph" w:customStyle="1" w:styleId="Notes">
    <w:name w:val="Notes"/>
    <w:aliases w:val="Examples"/>
    <w:basedOn w:val="BodyText"/>
    <w:qFormat/>
    <w:rsid w:val="001F32A6"/>
    <w:rPr>
      <w:b/>
    </w:rPr>
  </w:style>
  <w:style w:type="table" w:customStyle="1" w:styleId="DECC4">
    <w:name w:val="DECC 4"/>
    <w:basedOn w:val="TableNormal"/>
    <w:uiPriority w:val="99"/>
    <w:rsid w:val="001F32A6"/>
    <w:pPr>
      <w:spacing w:after="0" w:line="240" w:lineRule="auto"/>
    </w:pPr>
    <w:rPr>
      <w:rFonts w:ascii="Arial" w:eastAsia="Times New Roman" w:hAnsi="Arial" w:cs="Times New Roman"/>
      <w:sz w:val="20"/>
      <w:szCs w:val="20"/>
    </w:rPr>
    <w:tblPr>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CellMar>
        <w:top w:w="57" w:type="dxa"/>
        <w:bottom w:w="57" w:type="dxa"/>
      </w:tblCellMar>
    </w:tblPr>
    <w:tcPr>
      <w:shd w:val="clear" w:color="auto" w:fill="auto"/>
    </w:tcPr>
    <w:tblStylePr w:type="firstRow">
      <w:pPr>
        <w:wordWrap/>
        <w:spacing w:beforeLines="100" w:before="100" w:beforeAutospacing="0" w:afterLines="100" w:after="100" w:afterAutospacing="0" w:line="240" w:lineRule="auto"/>
      </w:pPr>
      <w:rPr>
        <w:b w:val="0"/>
        <w:color w:val="FFFFFF" w:themeColor="background1"/>
      </w:rPr>
      <w:tblPr/>
      <w:trPr>
        <w:cantSplit/>
        <w:tblHeader/>
      </w:trPr>
      <w:tcPr>
        <w:shd w:val="clear" w:color="auto" w:fill="00AEEF"/>
      </w:tcPr>
    </w:tblStylePr>
  </w:style>
  <w:style w:type="table" w:customStyle="1" w:styleId="DECC5">
    <w:name w:val="DECC 5"/>
    <w:basedOn w:val="TableNormal"/>
    <w:uiPriority w:val="99"/>
    <w:rsid w:val="001F32A6"/>
    <w:pPr>
      <w:spacing w:before="120" w:after="120" w:line="240" w:lineRule="auto"/>
    </w:pPr>
    <w:rPr>
      <w:rFonts w:ascii="Arial" w:eastAsia="Times New Roman" w:hAnsi="Arial" w:cs="Times New Roman"/>
      <w:sz w:val="20"/>
      <w:szCs w:val="20"/>
    </w:rPr>
    <w:tblPr>
      <w:tblStyleRowBandSize w:val="1"/>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CellMar>
        <w:top w:w="57" w:type="dxa"/>
        <w:bottom w:w="57" w:type="dxa"/>
      </w:tblCellMar>
    </w:tblPr>
    <w:trPr>
      <w:cantSplit/>
      <w:tblHeader/>
    </w:trPr>
    <w:tcPr>
      <w:shd w:val="clear" w:color="auto" w:fill="CAEEFF"/>
    </w:tcPr>
    <w:tblStylePr w:type="firstRow">
      <w:tblPr/>
      <w:tcPr>
        <w:shd w:val="clear" w:color="auto" w:fill="CAEEFF"/>
      </w:tcPr>
    </w:tblStylePr>
    <w:tblStylePr w:type="band1Horz">
      <w:tblPr/>
      <w:tcPr>
        <w:shd w:val="clear" w:color="auto" w:fill="CAEEFF"/>
      </w:tcPr>
    </w:tblStylePr>
  </w:style>
  <w:style w:type="table" w:customStyle="1" w:styleId="DECC6">
    <w:name w:val="DECC 6"/>
    <w:basedOn w:val="TableNormal"/>
    <w:uiPriority w:val="99"/>
    <w:rsid w:val="001F32A6"/>
    <w:pPr>
      <w:spacing w:after="0" w:line="240" w:lineRule="auto"/>
    </w:pPr>
    <w:rPr>
      <w:rFonts w:ascii="Arial" w:eastAsia="Times New Roman" w:hAnsi="Arial" w:cs="Times New Roman"/>
      <w:sz w:val="20"/>
      <w:szCs w:val="20"/>
    </w:rPr>
    <w:tblPr>
      <w:tblStyleRowBandSize w:val="1"/>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CellMar>
        <w:top w:w="57" w:type="dxa"/>
        <w:bottom w:w="57" w:type="dxa"/>
      </w:tblCellMar>
    </w:tblPr>
    <w:tblStylePr w:type="firstRow">
      <w:pPr>
        <w:wordWrap/>
        <w:spacing w:beforeLines="50" w:before="50" w:beforeAutospacing="0" w:afterLines="50" w:after="50" w:afterAutospacing="0" w:line="240" w:lineRule="auto"/>
        <w:contextualSpacing w:val="0"/>
      </w:pPr>
      <w:tblPr/>
      <w:tcPr>
        <w:shd w:val="clear" w:color="auto" w:fill="00AEEF"/>
      </w:tcPr>
    </w:tblStylePr>
    <w:tblStylePr w:type="band1Horz">
      <w:tblPr/>
      <w:tcPr>
        <w:shd w:val="clear" w:color="auto" w:fill="CAEEFF"/>
      </w:tcPr>
    </w:tblStylePr>
    <w:tblStylePr w:type="band2Horz">
      <w:tblPr/>
      <w:tcPr>
        <w:shd w:val="clear" w:color="auto" w:fill="00AEEF"/>
      </w:tcPr>
    </w:tblStylePr>
  </w:style>
  <w:style w:type="paragraph" w:styleId="Subtitle">
    <w:name w:val="Subtitle"/>
    <w:basedOn w:val="Normal"/>
    <w:link w:val="SubtitleChar"/>
    <w:qFormat/>
    <w:rsid w:val="00166CCC"/>
    <w:pPr>
      <w:spacing w:before="120" w:after="120" w:line="520" w:lineRule="exact"/>
      <w:outlineLvl w:val="1"/>
    </w:pPr>
    <w:rPr>
      <w:rFonts w:eastAsia="Times New Roman" w:cs="Times New Roman"/>
      <w:sz w:val="44"/>
      <w:szCs w:val="20"/>
    </w:rPr>
  </w:style>
  <w:style w:type="character" w:customStyle="1" w:styleId="SubtitleChar">
    <w:name w:val="Subtitle Char"/>
    <w:basedOn w:val="DefaultParagraphFont"/>
    <w:link w:val="Subtitle"/>
    <w:rsid w:val="00166CCC"/>
    <w:rPr>
      <w:rFonts w:ascii="Arial" w:eastAsia="Times New Roman" w:hAnsi="Arial" w:cs="Times New Roman"/>
      <w:sz w:val="44"/>
      <w:szCs w:val="20"/>
    </w:rPr>
  </w:style>
  <w:style w:type="character" w:styleId="FollowedHyperlink">
    <w:name w:val="FollowedHyperlink"/>
    <w:basedOn w:val="DefaultParagraphFont"/>
    <w:uiPriority w:val="99"/>
    <w:semiHidden/>
    <w:unhideWhenUsed/>
    <w:rsid w:val="00780B9A"/>
    <w:rPr>
      <w:color w:val="954F72" w:themeColor="followedHyperlink"/>
      <w:u w:val="single"/>
    </w:rPr>
  </w:style>
  <w:style w:type="character" w:customStyle="1" w:styleId="Heading6Char">
    <w:name w:val="Heading 6 Char"/>
    <w:basedOn w:val="DefaultParagraphFont"/>
    <w:link w:val="Heading6"/>
    <w:uiPriority w:val="9"/>
    <w:rsid w:val="00236ECD"/>
    <w:rPr>
      <w:rFonts w:ascii="Arial" w:eastAsia="MS Mincho" w:hAnsi="Arial" w:cs="Times New Roman"/>
      <w:b/>
      <w:bCs/>
    </w:rPr>
  </w:style>
  <w:style w:type="character" w:customStyle="1" w:styleId="Heading7Char">
    <w:name w:val="Heading 7 Char"/>
    <w:basedOn w:val="DefaultParagraphFont"/>
    <w:link w:val="Heading7"/>
    <w:uiPriority w:val="9"/>
    <w:rsid w:val="00236ECD"/>
    <w:rPr>
      <w:rFonts w:ascii="Arial" w:eastAsia="MS Mincho" w:hAnsi="Arial" w:cs="Times New Roman"/>
      <w:i/>
      <w:szCs w:val="24"/>
    </w:rPr>
  </w:style>
  <w:style w:type="character" w:customStyle="1" w:styleId="Heading8Char">
    <w:name w:val="Heading 8 Char"/>
    <w:basedOn w:val="DefaultParagraphFont"/>
    <w:link w:val="Heading8"/>
    <w:uiPriority w:val="9"/>
    <w:semiHidden/>
    <w:rsid w:val="00236ECD"/>
    <w:rPr>
      <w:rFonts w:ascii="Arial" w:eastAsiaTheme="majorEastAsia" w:hAnsi="Arial" w:cstheme="majorBidi"/>
      <w:color w:val="004FD9" w:themeColor="text1" w:themeTint="BF"/>
      <w:sz w:val="20"/>
      <w:szCs w:val="20"/>
    </w:rPr>
  </w:style>
  <w:style w:type="character" w:customStyle="1" w:styleId="Heading9Char">
    <w:name w:val="Heading 9 Char"/>
    <w:basedOn w:val="DefaultParagraphFont"/>
    <w:link w:val="Heading9"/>
    <w:uiPriority w:val="9"/>
    <w:semiHidden/>
    <w:rsid w:val="00236ECD"/>
    <w:rPr>
      <w:rFonts w:asciiTheme="majorHAnsi" w:eastAsiaTheme="majorEastAsia" w:hAnsiTheme="majorHAnsi" w:cstheme="majorBidi"/>
      <w:i/>
      <w:iCs/>
      <w:color w:val="004FD9" w:themeColor="text1" w:themeTint="BF"/>
      <w:sz w:val="20"/>
      <w:szCs w:val="20"/>
    </w:rPr>
  </w:style>
  <w:style w:type="paragraph" w:customStyle="1" w:styleId="Listbullet2">
    <w:name w:val="List bullet2"/>
    <w:qFormat/>
    <w:rsid w:val="00236ECD"/>
    <w:pPr>
      <w:numPr>
        <w:ilvl w:val="1"/>
        <w:numId w:val="10"/>
      </w:numPr>
      <w:tabs>
        <w:tab w:val="clear" w:pos="720"/>
        <w:tab w:val="num" w:pos="1418"/>
      </w:tabs>
      <w:spacing w:before="120" w:after="120" w:line="320" w:lineRule="exact"/>
      <w:ind w:left="1418" w:hanging="567"/>
      <w:contextualSpacing/>
    </w:pPr>
    <w:rPr>
      <w:rFonts w:ascii="Arial" w:eastAsia="Times New Roman" w:hAnsi="Arial" w:cs="Times New Roman"/>
      <w:sz w:val="24"/>
      <w:szCs w:val="20"/>
    </w:rPr>
  </w:style>
  <w:style w:type="paragraph" w:customStyle="1" w:styleId="Listbullet1">
    <w:name w:val="List bullet1"/>
    <w:link w:val="Listbullet1Char"/>
    <w:qFormat/>
    <w:rsid w:val="00236ECD"/>
    <w:pPr>
      <w:numPr>
        <w:numId w:val="10"/>
      </w:numPr>
      <w:tabs>
        <w:tab w:val="left" w:pos="851"/>
      </w:tabs>
      <w:spacing w:before="120" w:after="120" w:line="320" w:lineRule="exact"/>
    </w:pPr>
    <w:rPr>
      <w:rFonts w:ascii="Arial" w:eastAsia="Times New Roman" w:hAnsi="Arial" w:cs="Arial"/>
      <w:sz w:val="24"/>
      <w:szCs w:val="20"/>
    </w:rPr>
  </w:style>
  <w:style w:type="character" w:customStyle="1" w:styleId="Listbullet1Char">
    <w:name w:val="List bullet1 Char"/>
    <w:basedOn w:val="DefaultParagraphFont"/>
    <w:link w:val="Listbullet1"/>
    <w:rsid w:val="00236ECD"/>
    <w:rPr>
      <w:rFonts w:ascii="Arial" w:eastAsia="Times New Roman" w:hAnsi="Arial" w:cs="Arial"/>
      <w:sz w:val="24"/>
      <w:szCs w:val="20"/>
    </w:rPr>
  </w:style>
  <w:style w:type="paragraph" w:customStyle="1" w:styleId="Listbullet3">
    <w:name w:val="List bullet3"/>
    <w:qFormat/>
    <w:rsid w:val="00236ECD"/>
    <w:pPr>
      <w:numPr>
        <w:ilvl w:val="2"/>
        <w:numId w:val="10"/>
      </w:numPr>
      <w:spacing w:after="60" w:line="240" w:lineRule="auto"/>
      <w:ind w:left="1843" w:hanging="425"/>
      <w:contextualSpacing/>
    </w:pPr>
    <w:rPr>
      <w:rFonts w:ascii="Arial" w:eastAsia="Times New Roman" w:hAnsi="Arial" w:cs="Times New Roman"/>
      <w:sz w:val="24"/>
      <w:szCs w:val="20"/>
    </w:rPr>
  </w:style>
  <w:style w:type="paragraph" w:customStyle="1" w:styleId="ChptHead">
    <w:name w:val="Chpt Head"/>
    <w:basedOn w:val="Heading1"/>
    <w:next w:val="Normal"/>
    <w:qFormat/>
    <w:rsid w:val="00236ECD"/>
    <w:pPr>
      <w:keepLines w:val="0"/>
      <w:pageBreakBefore w:val="0"/>
      <w:spacing w:before="1000" w:after="1000" w:line="540" w:lineRule="exact"/>
      <w:ind w:left="2276" w:hanging="432"/>
      <w:contextualSpacing/>
    </w:pPr>
    <w:rPr>
      <w:rFonts w:eastAsia="Times New Roman" w:cs="Times New Roman"/>
      <w:color w:val="00AEEF"/>
      <w:szCs w:val="20"/>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236ECD"/>
    <w:rPr>
      <w:rFonts w:ascii="Arial" w:hAnsi="Arial"/>
      <w:sz w:val="24"/>
    </w:rPr>
  </w:style>
  <w:style w:type="paragraph" w:customStyle="1" w:styleId="Tabletext0">
    <w:name w:val="Table text"/>
    <w:basedOn w:val="Normal"/>
    <w:qFormat/>
    <w:rsid w:val="00236ECD"/>
    <w:pPr>
      <w:spacing w:before="120" w:after="120" w:line="240" w:lineRule="auto"/>
    </w:pPr>
    <w:rPr>
      <w:rFonts w:cs="Times New Roman"/>
      <w:color w:val="000000"/>
      <w:szCs w:val="24"/>
    </w:rPr>
  </w:style>
  <w:style w:type="paragraph" w:customStyle="1" w:styleId="TableHeader">
    <w:name w:val="Table Header"/>
    <w:basedOn w:val="Normal"/>
    <w:qFormat/>
    <w:rsid w:val="00236ECD"/>
    <w:pPr>
      <w:framePr w:hSpace="180" w:wrap="around" w:vAnchor="text" w:hAnchor="margin" w:y="63"/>
      <w:spacing w:after="0" w:line="240" w:lineRule="auto"/>
    </w:pPr>
    <w:rPr>
      <w:rFonts w:cs="Times New Roman"/>
      <w:b/>
      <w:color w:val="FFFFFF" w:themeColor="background1"/>
      <w:szCs w:val="24"/>
    </w:rPr>
  </w:style>
  <w:style w:type="paragraph" w:customStyle="1" w:styleId="Tablebold">
    <w:name w:val="Table bold"/>
    <w:basedOn w:val="NoSpacing"/>
    <w:qFormat/>
    <w:rsid w:val="00236ECD"/>
    <w:pPr>
      <w:framePr w:hSpace="180" w:wrap="around" w:vAnchor="text" w:hAnchor="margin" w:y="63"/>
      <w:spacing w:before="120" w:after="120"/>
      <w:contextualSpacing/>
    </w:pPr>
    <w:rPr>
      <w:rFonts w:eastAsia="Times New Roman" w:cs="Arial"/>
      <w:b/>
      <w:color w:val="000000"/>
      <w:szCs w:val="24"/>
      <w:lang w:eastAsia="en-GB"/>
    </w:rPr>
  </w:style>
  <w:style w:type="paragraph" w:styleId="NoSpacing">
    <w:name w:val="No Spacing"/>
    <w:uiPriority w:val="1"/>
    <w:qFormat/>
    <w:rsid w:val="00236ECD"/>
    <w:pPr>
      <w:spacing w:after="0" w:line="240" w:lineRule="auto"/>
    </w:pPr>
    <w:rPr>
      <w:rFonts w:ascii="Arial" w:hAnsi="Arial"/>
      <w:sz w:val="24"/>
    </w:rPr>
  </w:style>
  <w:style w:type="paragraph" w:customStyle="1" w:styleId="Paragraphtext">
    <w:name w:val="Paragraph text"/>
    <w:basedOn w:val="Normal"/>
    <w:qFormat/>
    <w:rsid w:val="00CE7DA3"/>
    <w:pPr>
      <w:spacing w:before="120" w:after="120" w:line="280" w:lineRule="exact"/>
    </w:pPr>
    <w:rPr>
      <w:rFonts w:eastAsia="Times New Roman" w:cs="Times New Roman"/>
      <w:szCs w:val="20"/>
    </w:rPr>
  </w:style>
  <w:style w:type="character" w:styleId="CommentReference">
    <w:name w:val="annotation reference"/>
    <w:basedOn w:val="DefaultParagraphFont"/>
    <w:uiPriority w:val="99"/>
    <w:unhideWhenUsed/>
    <w:rsid w:val="00CE7DA3"/>
    <w:rPr>
      <w:sz w:val="16"/>
      <w:szCs w:val="16"/>
    </w:rPr>
  </w:style>
  <w:style w:type="paragraph" w:styleId="CommentText">
    <w:name w:val="annotation text"/>
    <w:basedOn w:val="Normal"/>
    <w:link w:val="CommentTextChar"/>
    <w:uiPriority w:val="99"/>
    <w:unhideWhenUsed/>
    <w:rsid w:val="00CE7DA3"/>
    <w:pPr>
      <w:spacing w:before="120" w:after="120" w:line="240" w:lineRule="auto"/>
    </w:pPr>
    <w:rPr>
      <w:rFonts w:eastAsia="Times New Roman" w:cs="Arial"/>
      <w:sz w:val="20"/>
      <w:szCs w:val="20"/>
    </w:rPr>
  </w:style>
  <w:style w:type="character" w:customStyle="1" w:styleId="CommentTextChar">
    <w:name w:val="Comment Text Char"/>
    <w:basedOn w:val="DefaultParagraphFont"/>
    <w:link w:val="CommentText"/>
    <w:uiPriority w:val="99"/>
    <w:rsid w:val="00CE7DA3"/>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E7DA3"/>
    <w:pPr>
      <w:spacing w:before="0" w:after="240"/>
    </w:pPr>
    <w:rPr>
      <w:rFonts w:eastAsiaTheme="minorHAnsi" w:cstheme="minorBidi"/>
      <w:b/>
      <w:bCs/>
    </w:rPr>
  </w:style>
  <w:style w:type="character" w:customStyle="1" w:styleId="CommentSubjectChar">
    <w:name w:val="Comment Subject Char"/>
    <w:basedOn w:val="CommentTextChar"/>
    <w:link w:val="CommentSubject"/>
    <w:uiPriority w:val="99"/>
    <w:semiHidden/>
    <w:rsid w:val="00CE7DA3"/>
    <w:rPr>
      <w:rFonts w:ascii="Arial" w:eastAsia="Times New Roman" w:hAnsi="Arial" w:cs="Arial"/>
      <w:b/>
      <w:bCs/>
      <w:sz w:val="20"/>
      <w:szCs w:val="20"/>
    </w:rPr>
  </w:style>
  <w:style w:type="paragraph" w:customStyle="1" w:styleId="Default">
    <w:name w:val="Default"/>
    <w:rsid w:val="00973CF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A3397"/>
    <w:pPr>
      <w:spacing w:after="0" w:line="240" w:lineRule="auto"/>
    </w:pPr>
    <w:rPr>
      <w:rFonts w:ascii="Arial" w:hAnsi="Arial"/>
      <w:sz w:val="24"/>
    </w:rPr>
  </w:style>
  <w:style w:type="paragraph" w:styleId="NormalWeb">
    <w:name w:val="Normal (Web)"/>
    <w:basedOn w:val="Normal"/>
    <w:uiPriority w:val="99"/>
    <w:unhideWhenUsed/>
    <w:rsid w:val="00CF4F05"/>
    <w:rPr>
      <w:rFonts w:ascii="Times New Roman" w:hAnsi="Times New Roman" w:cs="Times New Roman"/>
      <w:szCs w:val="24"/>
    </w:rPr>
  </w:style>
  <w:style w:type="paragraph" w:customStyle="1" w:styleId="Body3">
    <w:name w:val="Body3"/>
    <w:basedOn w:val="Normal"/>
    <w:rsid w:val="00B70D4F"/>
    <w:pPr>
      <w:spacing w:after="220" w:line="360" w:lineRule="auto"/>
      <w:ind w:left="1412"/>
      <w:jc w:val="both"/>
    </w:pPr>
    <w:rPr>
      <w:rFonts w:ascii="Times New Roman" w:eastAsia="Times New Roman" w:hAnsi="Times New Roman" w:cs="Times New Roman"/>
      <w:szCs w:val="24"/>
    </w:rPr>
  </w:style>
  <w:style w:type="paragraph" w:customStyle="1" w:styleId="BodyTextdef">
    <w:name w:val="Body Text def"/>
    <w:basedOn w:val="BodyText"/>
    <w:rsid w:val="00B70D4F"/>
    <w:pPr>
      <w:tabs>
        <w:tab w:val="left" w:pos="950"/>
      </w:tabs>
      <w:autoSpaceDE/>
      <w:autoSpaceDN/>
      <w:adjustRightInd/>
      <w:spacing w:line="360" w:lineRule="auto"/>
      <w:jc w:val="both"/>
    </w:pPr>
    <w:rPr>
      <w:rFonts w:ascii="Times New Roman" w:hAnsi="Times New Roman" w:cs="Times New Roman"/>
      <w:color w:val="auto"/>
      <w:lang w:eastAsia="en-US"/>
    </w:rPr>
  </w:style>
  <w:style w:type="paragraph" w:customStyle="1" w:styleId="Heading2Title">
    <w:name w:val="Heading 2 Title"/>
    <w:basedOn w:val="Heading2"/>
    <w:next w:val="Normal"/>
    <w:rsid w:val="00B70D4F"/>
    <w:pPr>
      <w:keepNext w:val="0"/>
      <w:keepLines w:val="0"/>
      <w:widowControl w:val="0"/>
      <w:numPr>
        <w:ilvl w:val="1"/>
        <w:numId w:val="23"/>
      </w:numPr>
      <w:spacing w:before="0" w:after="220" w:line="360" w:lineRule="auto"/>
      <w:jc w:val="both"/>
    </w:pPr>
    <w:rPr>
      <w:rFonts w:ascii="Calibri" w:eastAsia="SimSun" w:hAnsi="Calibri" w:cs="Times New Roman"/>
      <w:color w:val="auto"/>
      <w:sz w:val="22"/>
      <w:szCs w:val="20"/>
      <w:lang w:val="x-none" w:eastAsia="zh-CN"/>
    </w:rPr>
  </w:style>
  <w:style w:type="character" w:customStyle="1" w:styleId="DeltaViewInsertion">
    <w:name w:val="DeltaView Insertion"/>
    <w:uiPriority w:val="99"/>
    <w:rsid w:val="00B70D4F"/>
    <w:rPr>
      <w:color w:val="0000FF"/>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5" w:qFormat="1"/>
    <w:lsdException w:name="caption" w:uiPriority="0" w:qFormat="1"/>
    <w:lsdException w:name="footnote reference" w:qFormat="1"/>
    <w:lsdException w:name="List" w:uiPriority="0" w:qFormat="1"/>
    <w:lsdException w:name="List Bullet" w:uiPriority="0" w:qFormat="1"/>
    <w:lsdException w:name="List 2" w:uiPriority="0" w:qFormat="1"/>
    <w:lsdException w:name="List Bullet 2" w:uiPriority="0" w:qFormat="1"/>
    <w:lsdException w:name="List Bullet 3" w:uiPriority="0" w:qFormat="1"/>
    <w:lsdException w:name="Title" w:semiHidden="0" w:uiPriority="2"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3D effect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304CD8"/>
    <w:pPr>
      <w:spacing w:after="240" w:line="320" w:lineRule="atLeast"/>
    </w:pPr>
    <w:rPr>
      <w:rFonts w:ascii="Arial" w:hAnsi="Arial"/>
      <w:sz w:val="24"/>
    </w:rPr>
  </w:style>
  <w:style w:type="paragraph" w:styleId="Heading1">
    <w:name w:val="heading 1"/>
    <w:aliases w:val="Chapter Head"/>
    <w:basedOn w:val="Normal"/>
    <w:next w:val="Normal"/>
    <w:link w:val="Heading1Char"/>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aliases w:val="Heading A"/>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aliases w:val="Heading B"/>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aliases w:val="Heading C"/>
    <w:basedOn w:val="Normal"/>
    <w:next w:val="Normal"/>
    <w:link w:val="Heading4Char"/>
    <w:unhideWhenUsed/>
    <w:qFormat/>
    <w:rsid w:val="00E03EDD"/>
    <w:pPr>
      <w:keepNext/>
      <w:keepLines/>
      <w:spacing w:before="240" w:after="0"/>
      <w:outlineLvl w:val="3"/>
    </w:pPr>
    <w:rPr>
      <w:rFonts w:eastAsiaTheme="majorEastAsia" w:cstheme="majorBidi"/>
      <w:iCs/>
      <w:color w:val="002C77" w:themeColor="text1"/>
    </w:rPr>
  </w:style>
  <w:style w:type="paragraph" w:styleId="Heading6">
    <w:name w:val="heading 6"/>
    <w:basedOn w:val="Normal"/>
    <w:next w:val="Normal"/>
    <w:link w:val="Heading6Char"/>
    <w:uiPriority w:val="9"/>
    <w:qFormat/>
    <w:rsid w:val="00236ECD"/>
    <w:pPr>
      <w:spacing w:before="240" w:after="60" w:line="280" w:lineRule="exact"/>
      <w:ind w:left="1294" w:hanging="1152"/>
      <w:outlineLvl w:val="5"/>
    </w:pPr>
    <w:rPr>
      <w:rFonts w:eastAsia="MS Mincho" w:cs="Times New Roman"/>
      <w:b/>
      <w:bCs/>
      <w:sz w:val="22"/>
    </w:rPr>
  </w:style>
  <w:style w:type="paragraph" w:styleId="Heading7">
    <w:name w:val="heading 7"/>
    <w:basedOn w:val="Normal"/>
    <w:next w:val="Normal"/>
    <w:link w:val="Heading7Char"/>
    <w:uiPriority w:val="9"/>
    <w:qFormat/>
    <w:rsid w:val="00236ECD"/>
    <w:pPr>
      <w:spacing w:before="240" w:after="60" w:line="280" w:lineRule="exact"/>
      <w:ind w:left="1438" w:hanging="1296"/>
      <w:outlineLvl w:val="6"/>
    </w:pPr>
    <w:rPr>
      <w:rFonts w:eastAsia="MS Mincho" w:cs="Times New Roman"/>
      <w:i/>
      <w:sz w:val="22"/>
      <w:szCs w:val="24"/>
    </w:rPr>
  </w:style>
  <w:style w:type="paragraph" w:styleId="Heading8">
    <w:name w:val="heading 8"/>
    <w:basedOn w:val="Normal"/>
    <w:next w:val="Normal"/>
    <w:link w:val="Heading8Char"/>
    <w:uiPriority w:val="9"/>
    <w:semiHidden/>
    <w:unhideWhenUsed/>
    <w:qFormat/>
    <w:rsid w:val="00236ECD"/>
    <w:pPr>
      <w:keepNext/>
      <w:keepLines/>
      <w:spacing w:before="200" w:after="0" w:line="280" w:lineRule="exact"/>
      <w:ind w:left="1582" w:hanging="1440"/>
      <w:outlineLvl w:val="7"/>
    </w:pPr>
    <w:rPr>
      <w:rFonts w:eastAsiaTheme="majorEastAsia" w:cstheme="majorBidi"/>
      <w:color w:val="004FD9" w:themeColor="text1" w:themeTint="BF"/>
      <w:sz w:val="20"/>
      <w:szCs w:val="20"/>
    </w:rPr>
  </w:style>
  <w:style w:type="paragraph" w:styleId="Heading9">
    <w:name w:val="heading 9"/>
    <w:basedOn w:val="Normal"/>
    <w:next w:val="Normal"/>
    <w:link w:val="Heading9Char"/>
    <w:uiPriority w:val="9"/>
    <w:semiHidden/>
    <w:unhideWhenUsed/>
    <w:qFormat/>
    <w:rsid w:val="00236ECD"/>
    <w:pPr>
      <w:keepNext/>
      <w:keepLines/>
      <w:spacing w:before="200" w:after="0" w:line="280" w:lineRule="exact"/>
      <w:ind w:left="1726" w:hanging="1584"/>
      <w:outlineLvl w:val="8"/>
    </w:pPr>
    <w:rPr>
      <w:rFonts w:asciiTheme="majorHAnsi" w:eastAsiaTheme="majorEastAsia" w:hAnsiTheme="majorHAnsi" w:cstheme="majorBidi"/>
      <w:i/>
      <w:iCs/>
      <w:color w:val="004FD9"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2C77" w:themeColor="text1"/>
      <w:sz w:val="84"/>
    </w:rPr>
  </w:style>
  <w:style w:type="paragraph" w:customStyle="1" w:styleId="CoverSubtitle">
    <w:name w:val="Cover Subtitle"/>
    <w:basedOn w:val="Normal"/>
    <w:qFormat/>
    <w:rsid w:val="00F5326B"/>
    <w:pPr>
      <w:spacing w:before="240" w:after="0" w:line="240" w:lineRule="auto"/>
    </w:pPr>
    <w:rPr>
      <w:color w:val="002C77" w:themeColor="text1"/>
      <w:sz w:val="48"/>
    </w:rPr>
  </w:style>
  <w:style w:type="table" w:styleId="TableGrid">
    <w:name w:val="Table Grid"/>
    <w:basedOn w:val="TableNormal"/>
    <w:uiPriority w:val="59"/>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
    <w:name w:val="List Table 4"/>
    <w:basedOn w:val="TableNormal"/>
    <w:uiPriority w:val="49"/>
    <w:rsid w:val="00F5326B"/>
    <w:pPr>
      <w:spacing w:after="0" w:line="240" w:lineRule="auto"/>
    </w:pPr>
    <w:tblPr>
      <w:tblStyleRowBandSize w:val="1"/>
      <w:tblStyleColBandSize w:val="1"/>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qFormat/>
    <w:rsid w:val="00C00539"/>
    <w:pPr>
      <w:spacing w:after="440" w:line="440" w:lineRule="atLeast"/>
    </w:pPr>
    <w:rPr>
      <w:color w:val="002C77" w:themeColor="text1"/>
      <w:sz w:val="32"/>
    </w:rPr>
  </w:style>
  <w:style w:type="character" w:customStyle="1" w:styleId="Heading2Char">
    <w:name w:val="Heading 2 Char"/>
    <w:aliases w:val="Heading A Char"/>
    <w:basedOn w:val="DefaultParagraphFont"/>
    <w:link w:val="Heading2"/>
    <w:rsid w:val="0092670E"/>
    <w:rPr>
      <w:rFonts w:ascii="Arial" w:eastAsiaTheme="majorEastAsia" w:hAnsi="Arial" w:cstheme="majorBidi"/>
      <w:color w:val="002C77" w:themeColor="text1"/>
      <w:sz w:val="32"/>
      <w:szCs w:val="26"/>
    </w:rPr>
  </w:style>
  <w:style w:type="character" w:customStyle="1" w:styleId="Heading1Char">
    <w:name w:val="Heading 1 Char"/>
    <w:aliases w:val="Chapter Head Char"/>
    <w:basedOn w:val="DefaultParagraphFont"/>
    <w:link w:val="Heading1"/>
    <w:rsid w:val="001640A7"/>
    <w:rPr>
      <w:rFonts w:ascii="Arial" w:eastAsiaTheme="majorEastAsia" w:hAnsi="Arial" w:cstheme="majorBidi"/>
      <w:color w:val="002C77" w:themeColor="text1"/>
      <w:sz w:val="50"/>
      <w:szCs w:val="32"/>
    </w:rPr>
  </w:style>
  <w:style w:type="character" w:customStyle="1" w:styleId="Heading3Char">
    <w:name w:val="Heading 3 Char"/>
    <w:aliases w:val="Heading B Char"/>
    <w:basedOn w:val="DefaultParagraphFont"/>
    <w:link w:val="Heading3"/>
    <w:rsid w:val="0092670E"/>
    <w:rPr>
      <w:rFonts w:ascii="Arial" w:eastAsiaTheme="majorEastAsia" w:hAnsi="Arial" w:cstheme="majorBidi"/>
      <w:b/>
      <w:color w:val="002C77" w:themeColor="text1"/>
      <w:sz w:val="24"/>
      <w:szCs w:val="24"/>
    </w:rPr>
  </w:style>
  <w:style w:type="character" w:customStyle="1" w:styleId="Heading4Char">
    <w:name w:val="Heading 4 Char"/>
    <w:aliases w:val="Heading C Char"/>
    <w:basedOn w:val="DefaultParagraphFont"/>
    <w:link w:val="Heading4"/>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73"/>
    <w:qFormat/>
    <w:rsid w:val="0070165C"/>
    <w:pPr>
      <w:spacing w:line="240" w:lineRule="auto"/>
      <w:ind w:left="567" w:right="567"/>
    </w:pPr>
    <w:rPr>
      <w:i/>
      <w:iCs/>
    </w:rPr>
  </w:style>
  <w:style w:type="character" w:customStyle="1" w:styleId="QuoteChar">
    <w:name w:val="Quote Char"/>
    <w:basedOn w:val="DefaultParagraphFont"/>
    <w:link w:val="Quote"/>
    <w:uiPriority w:val="73"/>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5"/>
    <w:unhideWhenUsed/>
    <w:qFormat/>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uiPriority w:val="5"/>
    <w:rsid w:val="00672638"/>
    <w:rPr>
      <w:rFonts w:ascii="Arial" w:hAnsi="Arial"/>
      <w:color w:val="002C77" w:themeColor="text1"/>
      <w:sz w:val="24"/>
    </w:rPr>
  </w:style>
  <w:style w:type="paragraph" w:styleId="Footer">
    <w:name w:val="footer"/>
    <w:aliases w:val="JPW-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aliases w:val="JPW-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aliases w:val="List para,Dot pt,No Spacing1,List Paragraph Char Char Char,Indicator Text,Numbered Para 1,List Paragraph1,Bullet 1,Bullet Points,MAIN CONTENT,List Paragraph12,List Para,Bullet 1CxSpLast,OBC Bullet,F5 List Paragraph,List Paragraph11,L"/>
    <w:basedOn w:val="Normal"/>
    <w:link w:val="ListParagraphChar"/>
    <w:uiPriority w:val="34"/>
    <w:qFormat/>
    <w:rsid w:val="00041AC5"/>
    <w:pPr>
      <w:ind w:left="720"/>
      <w:contextualSpacing/>
    </w:pPr>
  </w:style>
  <w:style w:type="paragraph" w:customStyle="1" w:styleId="BulletList1">
    <w:name w:val="Bullet List 1"/>
    <w:basedOn w:val="Normal"/>
    <w:uiPriority w:val="1"/>
    <w:qFormat/>
    <w:rsid w:val="008935AF"/>
    <w:pPr>
      <w:numPr>
        <w:numId w:val="1"/>
      </w:numPr>
      <w:tabs>
        <w:tab w:val="left" w:pos="284"/>
      </w:tabs>
      <w:ind w:left="284" w:hanging="284"/>
    </w:pPr>
  </w:style>
  <w:style w:type="paragraph" w:customStyle="1" w:styleId="BulletList2">
    <w:name w:val="Bullet List 2"/>
    <w:basedOn w:val="Normal"/>
    <w:uiPriority w:val="1"/>
    <w:qFormat/>
    <w:rsid w:val="008935AF"/>
    <w:pPr>
      <w:numPr>
        <w:numId w:val="2"/>
      </w:numPr>
      <w:tabs>
        <w:tab w:val="left" w:pos="567"/>
      </w:tabs>
      <w:ind w:left="568" w:hanging="284"/>
    </w:pPr>
  </w:style>
  <w:style w:type="paragraph" w:customStyle="1" w:styleId="BulletList3">
    <w:name w:val="Bullet List 3"/>
    <w:basedOn w:val="Normal"/>
    <w:uiPriority w:val="1"/>
    <w:qFormat/>
    <w:rsid w:val="008935AF"/>
    <w:pPr>
      <w:numPr>
        <w:numId w:val="3"/>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2C77" w:themeColor="text1"/>
    </w:rPr>
  </w:style>
  <w:style w:type="paragraph" w:styleId="FootnoteText">
    <w:name w:val="footnote text"/>
    <w:basedOn w:val="Normal"/>
    <w:link w:val="FootnoteTextChar"/>
    <w:uiPriority w:val="99"/>
    <w:unhideWhenUsed/>
    <w:qFormat/>
    <w:rsid w:val="00BD09A0"/>
    <w:pPr>
      <w:widowControl w:val="0"/>
      <w:spacing w:after="0" w:line="240" w:lineRule="auto"/>
      <w:contextualSpacing/>
    </w:pPr>
    <w:rPr>
      <w:sz w:val="20"/>
      <w:szCs w:val="20"/>
    </w:rPr>
  </w:style>
  <w:style w:type="character" w:customStyle="1" w:styleId="FootnoteTextChar">
    <w:name w:val="Footnote Text Char"/>
    <w:basedOn w:val="DefaultParagraphFont"/>
    <w:link w:val="FootnoteText"/>
    <w:uiPriority w:val="99"/>
    <w:rsid w:val="00BD09A0"/>
    <w:rPr>
      <w:rFonts w:ascii="Arial" w:hAnsi="Arial"/>
      <w:sz w:val="20"/>
      <w:szCs w:val="20"/>
    </w:rPr>
  </w:style>
  <w:style w:type="character" w:styleId="FootnoteReference">
    <w:name w:val="footnote reference"/>
    <w:basedOn w:val="DefaultParagraphFont"/>
    <w:uiPriority w:val="99"/>
    <w:unhideWhenUsed/>
    <w:qFormat/>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4"/>
      </w:numPr>
      <w:tabs>
        <w:tab w:val="left" w:pos="851"/>
      </w:tabs>
    </w:pPr>
  </w:style>
  <w:style w:type="paragraph" w:customStyle="1" w:styleId="NumberList2">
    <w:name w:val="Number List 2"/>
    <w:basedOn w:val="Normal"/>
    <w:qFormat/>
    <w:rsid w:val="001640A7"/>
    <w:pPr>
      <w:numPr>
        <w:ilvl w:val="1"/>
        <w:numId w:val="4"/>
      </w:numPr>
      <w:tabs>
        <w:tab w:val="left" w:pos="1701"/>
      </w:tabs>
    </w:pPr>
  </w:style>
  <w:style w:type="paragraph" w:customStyle="1" w:styleId="NumberList3">
    <w:name w:val="Number List 3"/>
    <w:basedOn w:val="Normal"/>
    <w:qFormat/>
    <w:rsid w:val="001640A7"/>
    <w:pPr>
      <w:numPr>
        <w:ilvl w:val="2"/>
        <w:numId w:val="4"/>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
    <w:name w:val="Grid Table 2 Accent 5"/>
    <w:basedOn w:val="TableNormal"/>
    <w:uiPriority w:val="47"/>
    <w:rsid w:val="001B57C3"/>
    <w:pPr>
      <w:spacing w:after="0" w:line="240" w:lineRule="auto"/>
    </w:pPr>
    <w:tblPr>
      <w:tblStyleRowBandSize w:val="1"/>
      <w:tblStyleColBandSize w:val="1"/>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semiHidden/>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rsid w:val="00F3583D"/>
    <w:pPr>
      <w:tabs>
        <w:tab w:val="left" w:leader="underscore" w:pos="9214"/>
      </w:tabs>
      <w:spacing w:after="100"/>
    </w:pPr>
    <w:rPr>
      <w:noProof/>
    </w:rPr>
  </w:style>
  <w:style w:type="paragraph" w:styleId="TOC2">
    <w:name w:val="toc 2"/>
    <w:basedOn w:val="TOC1"/>
    <w:next w:val="Normal"/>
    <w:autoRedefine/>
    <w:uiPriority w:val="39"/>
    <w:unhideWhenUsed/>
    <w:rsid w:val="000B19DF"/>
    <w:pPr>
      <w:ind w:left="284"/>
    </w:pPr>
  </w:style>
  <w:style w:type="paragraph" w:styleId="TOC3">
    <w:name w:val="toc 3"/>
    <w:basedOn w:val="Normal"/>
    <w:next w:val="Normal"/>
    <w:autoRedefine/>
    <w:uiPriority w:val="39"/>
    <w:unhideWhenUsed/>
    <w:rsid w:val="00B4021E"/>
    <w:pPr>
      <w:spacing w:after="100"/>
      <w:ind w:left="480"/>
    </w:pPr>
  </w:style>
  <w:style w:type="paragraph" w:customStyle="1" w:styleId="InnerCoverTitle">
    <w:name w:val="Inner Cover Title"/>
    <w:basedOn w:val="Normal"/>
    <w:qFormat/>
    <w:rsid w:val="00824E8F"/>
    <w:pPr>
      <w:spacing w:after="0"/>
    </w:pPr>
    <w:rPr>
      <w:caps/>
      <w:color w:val="002C77" w:themeColor="text1"/>
      <w:sz w:val="64"/>
    </w:rPr>
  </w:style>
  <w:style w:type="paragraph" w:customStyle="1" w:styleId="InnerCoverSubtitle">
    <w:name w:val="Inner Cover Subtitle"/>
    <w:basedOn w:val="Normal"/>
    <w:qFormat/>
    <w:rsid w:val="00824E8F"/>
    <w:pPr>
      <w:spacing w:before="240" w:after="0" w:line="240" w:lineRule="auto"/>
    </w:pPr>
    <w:rPr>
      <w:color w:val="002C77"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paragraph" w:customStyle="1" w:styleId="DECCReference">
    <w:name w:val="DECC Reference"/>
    <w:basedOn w:val="Normal"/>
    <w:autoRedefine/>
    <w:rsid w:val="001F32A6"/>
    <w:pPr>
      <w:autoSpaceDE w:val="0"/>
      <w:autoSpaceDN w:val="0"/>
      <w:adjustRightInd w:val="0"/>
      <w:spacing w:before="60" w:after="60" w:line="320" w:lineRule="exact"/>
    </w:pPr>
    <w:rPr>
      <w:rFonts w:eastAsia="Times New Roman" w:cs="Arial"/>
      <w:color w:val="FFFFFF" w:themeColor="background1"/>
      <w:szCs w:val="24"/>
      <w:lang w:eastAsia="en-GB"/>
    </w:rPr>
  </w:style>
  <w:style w:type="paragraph" w:customStyle="1" w:styleId="TableHeaders">
    <w:name w:val="Table Headers"/>
    <w:basedOn w:val="Normal"/>
    <w:next w:val="TableText"/>
    <w:qFormat/>
    <w:rsid w:val="001F32A6"/>
    <w:pPr>
      <w:autoSpaceDE w:val="0"/>
      <w:autoSpaceDN w:val="0"/>
      <w:adjustRightInd w:val="0"/>
      <w:spacing w:before="120" w:after="0" w:line="280" w:lineRule="exact"/>
      <w:ind w:left="113" w:right="113"/>
    </w:pPr>
    <w:rPr>
      <w:rFonts w:eastAsia="Times New Roman" w:cs="Arial"/>
      <w:b/>
      <w:color w:val="FFFFFF"/>
      <w:szCs w:val="24"/>
      <w:lang w:eastAsia="en-GB"/>
    </w:rPr>
  </w:style>
  <w:style w:type="table" w:styleId="Table3Deffects1">
    <w:name w:val="Table 3D effects 1"/>
    <w:basedOn w:val="TableNormal"/>
    <w:rsid w:val="001F32A6"/>
    <w:pPr>
      <w:autoSpaceDE w:val="0"/>
      <w:autoSpaceDN w:val="0"/>
      <w:adjustRightInd w:val="0"/>
      <w:spacing w:before="120" w:after="120" w:line="280" w:lineRule="exact"/>
    </w:pPr>
    <w:rPr>
      <w:rFonts w:ascii="Arial" w:eastAsia="Times New Roman" w:hAnsi="Arial" w:cs="Times New Roman"/>
      <w:sz w:val="20"/>
      <w:szCs w:val="20"/>
    </w:rPr>
    <w:tblPr>
      <w:tblBorders>
        <w:top w:val="single" w:sz="8" w:space="0" w:color="AEA79F" w:themeColor="accent6"/>
        <w:left w:val="single" w:sz="8" w:space="0" w:color="AEA79F" w:themeColor="accent6"/>
        <w:bottom w:val="single" w:sz="8" w:space="0" w:color="AEA79F" w:themeColor="accent6"/>
        <w:right w:val="single" w:sz="8" w:space="0" w:color="AEA79F" w:themeColor="accent6"/>
        <w:insideH w:val="single" w:sz="8" w:space="0" w:color="AEA79F" w:themeColor="accent6"/>
        <w:insideV w:val="single" w:sz="8" w:space="0" w:color="AEA79F" w:themeColor="accent6"/>
      </w:tblBorders>
      <w:tblCellMar>
        <w:top w:w="57" w:type="dxa"/>
        <w:bottom w:w="57" w:type="dxa"/>
      </w:tblCellMar>
    </w:tblPr>
    <w:tcPr>
      <w:shd w:val="clear" w:color="C0C0C0" w:fill="auto"/>
    </w:tcPr>
    <w:tblStylePr w:type="firstRow">
      <w:pPr>
        <w:wordWrap/>
        <w:spacing w:beforeLines="100" w:before="100" w:beforeAutospacing="0" w:afterLines="100" w:after="100" w:afterAutospacing="0" w:line="240" w:lineRule="auto"/>
        <w:contextualSpacing w:val="0"/>
      </w:pPr>
      <w:rPr>
        <w:b/>
        <w14:textOutline w14:w="0" w14:cap="rnd" w14:cmpd="sng" w14:algn="ctr">
          <w14:noFill/>
          <w14:prstDash w14:val="solid"/>
          <w14:bevel/>
        </w14:textOutline>
      </w:rPr>
      <w:tblPr/>
      <w:trPr>
        <w:cantSplit/>
        <w:tblHeader/>
      </w:trPr>
      <w:tcPr>
        <w:tcBorders>
          <w:top w:val="single" w:sz="8" w:space="0" w:color="AEA79F" w:themeColor="accent6"/>
          <w:left w:val="single" w:sz="8" w:space="0" w:color="AEA79F" w:themeColor="accent6"/>
          <w:bottom w:val="single" w:sz="8" w:space="0" w:color="AEA79F" w:themeColor="accent6"/>
          <w:right w:val="single" w:sz="8" w:space="0" w:color="AEA79F" w:themeColor="accent6"/>
          <w:insideH w:val="single" w:sz="8" w:space="0" w:color="AEA79F" w:themeColor="accent6"/>
          <w:insideV w:val="single" w:sz="8" w:space="0" w:color="AEA79F" w:themeColor="accent6"/>
          <w:tl2br w:val="nil"/>
          <w:tr2bl w:val="nil"/>
        </w:tcBorders>
        <w:shd w:val="clear" w:color="C0C0C0" w:fill="AEA79F" w:themeFill="accent6"/>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DECCIntrotext">
    <w:name w:val="DECC Intro text"/>
    <w:basedOn w:val="Normal"/>
    <w:next w:val="Normal"/>
    <w:autoRedefine/>
    <w:qFormat/>
    <w:rsid w:val="001F32A6"/>
    <w:pPr>
      <w:keepNext/>
      <w:autoSpaceDE w:val="0"/>
      <w:autoSpaceDN w:val="0"/>
      <w:adjustRightInd w:val="0"/>
      <w:spacing w:before="240" w:after="120" w:line="380" w:lineRule="exact"/>
      <w:outlineLvl w:val="5"/>
    </w:pPr>
    <w:rPr>
      <w:rFonts w:eastAsia="Times New Roman" w:cs="Arial"/>
      <w:bCs/>
      <w:color w:val="00AEEF"/>
      <w:kern w:val="32"/>
      <w:sz w:val="32"/>
      <w:szCs w:val="56"/>
      <w:lang w:eastAsia="en-GB"/>
    </w:rPr>
  </w:style>
  <w:style w:type="paragraph" w:customStyle="1" w:styleId="BodyNumbering">
    <w:name w:val="Body Numbering"/>
    <w:basedOn w:val="Normal"/>
    <w:qFormat/>
    <w:rsid w:val="001F32A6"/>
    <w:pPr>
      <w:numPr>
        <w:ilvl w:val="1"/>
        <w:numId w:val="7"/>
      </w:numPr>
      <w:tabs>
        <w:tab w:val="left" w:pos="851"/>
      </w:tabs>
      <w:autoSpaceDE w:val="0"/>
      <w:autoSpaceDN w:val="0"/>
      <w:adjustRightInd w:val="0"/>
      <w:spacing w:before="120" w:after="120" w:line="280" w:lineRule="exact"/>
      <w:ind w:right="11" w:hanging="792"/>
    </w:pPr>
    <w:rPr>
      <w:rFonts w:eastAsia="Times New Roman" w:cs="Arial"/>
      <w:color w:val="000000"/>
      <w:szCs w:val="24"/>
      <w:lang w:eastAsia="en-GB"/>
    </w:rPr>
  </w:style>
  <w:style w:type="paragraph" w:customStyle="1" w:styleId="Figureschartstitle0">
    <w:name w:val="Figures/charts title"/>
    <w:basedOn w:val="Normal"/>
    <w:next w:val="Normal"/>
    <w:qFormat/>
    <w:rsid w:val="001F32A6"/>
    <w:pPr>
      <w:pBdr>
        <w:top w:val="single" w:sz="8" w:space="4" w:color="00AEEF"/>
      </w:pBdr>
      <w:spacing w:before="120" w:after="60" w:line="240" w:lineRule="auto"/>
      <w:outlineLvl w:val="5"/>
    </w:pPr>
    <w:rPr>
      <w:rFonts w:eastAsia="Times New Roman" w:cs="Times New Roman"/>
      <w:b/>
      <w:color w:val="00AEEF"/>
      <w:sz w:val="22"/>
      <w:szCs w:val="20"/>
    </w:rPr>
  </w:style>
  <w:style w:type="paragraph" w:customStyle="1" w:styleId="BoxText">
    <w:name w:val="Box Text"/>
    <w:basedOn w:val="Normal"/>
    <w:next w:val="BodyText"/>
    <w:qFormat/>
    <w:rsid w:val="001F32A6"/>
    <w:pPr>
      <w:shd w:val="clear" w:color="auto" w:fill="CAEEFF"/>
      <w:autoSpaceDE w:val="0"/>
      <w:autoSpaceDN w:val="0"/>
      <w:adjustRightInd w:val="0"/>
      <w:spacing w:before="120" w:after="120" w:line="320" w:lineRule="exact"/>
      <w:ind w:left="567" w:right="567"/>
    </w:pPr>
    <w:rPr>
      <w:rFonts w:eastAsia="Times New Roman" w:cs="Arial"/>
      <w:szCs w:val="24"/>
      <w:lang w:eastAsia="en-GB"/>
    </w:rPr>
  </w:style>
  <w:style w:type="paragraph" w:customStyle="1" w:styleId="TableText">
    <w:name w:val="Table Text"/>
    <w:basedOn w:val="Normal"/>
    <w:rsid w:val="001F32A6"/>
    <w:pPr>
      <w:autoSpaceDE w:val="0"/>
      <w:autoSpaceDN w:val="0"/>
      <w:adjustRightInd w:val="0"/>
      <w:spacing w:before="60" w:after="60" w:line="280" w:lineRule="exact"/>
      <w:ind w:left="113" w:right="113"/>
    </w:pPr>
    <w:rPr>
      <w:rFonts w:eastAsia="Times New Roman" w:cs="Arial"/>
      <w:color w:val="000000"/>
      <w:szCs w:val="24"/>
      <w:lang w:eastAsia="en-GB"/>
    </w:rPr>
  </w:style>
  <w:style w:type="character" w:customStyle="1" w:styleId="DECCPBlue">
    <w:name w:val="DECC P Blue"/>
    <w:rsid w:val="001F32A6"/>
    <w:rPr>
      <w:color w:val="009EE3"/>
    </w:rPr>
  </w:style>
  <w:style w:type="character" w:customStyle="1" w:styleId="DECCPOrange">
    <w:name w:val="DECC P Orange"/>
    <w:rsid w:val="001F32A6"/>
    <w:rPr>
      <w:color w:val="F08015"/>
    </w:rPr>
  </w:style>
  <w:style w:type="character" w:customStyle="1" w:styleId="DECCPRed">
    <w:name w:val="DECC P Red"/>
    <w:rsid w:val="001F32A6"/>
    <w:rPr>
      <w:color w:val="AA0721"/>
    </w:rPr>
  </w:style>
  <w:style w:type="character" w:customStyle="1" w:styleId="DECCPPurple">
    <w:name w:val="DECC P Purple"/>
    <w:rsid w:val="001F32A6"/>
    <w:rPr>
      <w:color w:val="742F89"/>
    </w:rPr>
  </w:style>
  <w:style w:type="paragraph" w:styleId="ListBullet">
    <w:name w:val="List Bullet"/>
    <w:basedOn w:val="Normal"/>
    <w:qFormat/>
    <w:rsid w:val="001F32A6"/>
    <w:pPr>
      <w:numPr>
        <w:numId w:val="5"/>
      </w:numPr>
      <w:autoSpaceDE w:val="0"/>
      <w:autoSpaceDN w:val="0"/>
      <w:adjustRightInd w:val="0"/>
      <w:spacing w:before="120" w:after="120" w:line="280" w:lineRule="exact"/>
      <w:ind w:left="794" w:hanging="397"/>
    </w:pPr>
    <w:rPr>
      <w:rFonts w:eastAsia="Times New Roman" w:cs="Arial"/>
      <w:color w:val="000000"/>
      <w:szCs w:val="24"/>
      <w:lang w:eastAsia="en-GB"/>
    </w:rPr>
  </w:style>
  <w:style w:type="table" w:customStyle="1" w:styleId="DECC3">
    <w:name w:val="DECC 3"/>
    <w:basedOn w:val="TableNormal"/>
    <w:uiPriority w:val="99"/>
    <w:rsid w:val="001F32A6"/>
    <w:pPr>
      <w:spacing w:after="0" w:line="240" w:lineRule="auto"/>
    </w:pPr>
    <w:rPr>
      <w:rFonts w:ascii="Arial" w:eastAsia="Times New Roman" w:hAnsi="Arial" w:cs="Times New Roman"/>
      <w:sz w:val="20"/>
      <w:szCs w:val="20"/>
    </w:rPr>
    <w:tblPr>
      <w:tblBorders>
        <w:top w:val="single" w:sz="8" w:space="0" w:color="AC1A2F"/>
        <w:left w:val="single" w:sz="8" w:space="0" w:color="AC1A2F"/>
        <w:bottom w:val="single" w:sz="8" w:space="0" w:color="AC1A2F"/>
        <w:right w:val="single" w:sz="8" w:space="0" w:color="AC1A2F"/>
        <w:insideH w:val="single" w:sz="8" w:space="0" w:color="AC1A2F"/>
        <w:insideV w:val="single" w:sz="8" w:space="0" w:color="AC1A2F"/>
      </w:tblBorders>
      <w:tblCellMar>
        <w:top w:w="57" w:type="dxa"/>
        <w:bottom w:w="57" w:type="dxa"/>
      </w:tblCellMar>
    </w:tblPr>
    <w:tcPr>
      <w:shd w:val="clear" w:color="auto" w:fill="auto"/>
    </w:tcPr>
    <w:tblStylePr w:type="firstRow">
      <w:pPr>
        <w:wordWrap/>
        <w:spacing w:beforeLines="100" w:before="100" w:beforeAutospacing="0" w:afterLines="100" w:after="100" w:afterAutospacing="0" w:line="240" w:lineRule="auto"/>
        <w:contextualSpacing w:val="0"/>
      </w:pPr>
      <w:rPr>
        <w:rFonts w:ascii="Arial" w:hAnsi="Arial"/>
        <w:b/>
        <w:color w:val="FFFFFF" w:themeColor="background1"/>
      </w:rPr>
      <w:tblPr/>
      <w:trPr>
        <w:cantSplit/>
        <w:tblHeader/>
      </w:trPr>
      <w:tcPr>
        <w:shd w:val="clear" w:color="auto" w:fill="AC1A2F"/>
      </w:tcPr>
    </w:tblStylePr>
  </w:style>
  <w:style w:type="paragraph" w:customStyle="1" w:styleId="ConsulatationQuestionWhite">
    <w:name w:val="Consulatation Question White"/>
    <w:basedOn w:val="Normal"/>
    <w:rsid w:val="001F32A6"/>
    <w:pPr>
      <w:autoSpaceDE w:val="0"/>
      <w:autoSpaceDN w:val="0"/>
      <w:adjustRightInd w:val="0"/>
      <w:spacing w:before="120" w:after="0" w:line="280" w:lineRule="exact"/>
      <w:ind w:left="113" w:right="113"/>
    </w:pPr>
    <w:rPr>
      <w:rFonts w:eastAsia="Times New Roman" w:cs="Arial"/>
      <w:b/>
      <w:color w:val="FFFFFF"/>
      <w:szCs w:val="24"/>
      <w:lang w:eastAsia="en-GB"/>
    </w:rPr>
  </w:style>
  <w:style w:type="paragraph" w:customStyle="1" w:styleId="Listbulletintable">
    <w:name w:val="List bullet in table"/>
    <w:basedOn w:val="ListBullet"/>
    <w:qFormat/>
    <w:rsid w:val="001F32A6"/>
    <w:pPr>
      <w:numPr>
        <w:numId w:val="6"/>
      </w:numPr>
      <w:spacing w:before="60" w:after="60"/>
      <w:ind w:left="463" w:hanging="350"/>
    </w:pPr>
  </w:style>
  <w:style w:type="paragraph" w:styleId="BodyText">
    <w:name w:val="Body Text"/>
    <w:basedOn w:val="Normal"/>
    <w:link w:val="BodyTextChar"/>
    <w:qFormat/>
    <w:rsid w:val="001F32A6"/>
    <w:pPr>
      <w:autoSpaceDE w:val="0"/>
      <w:autoSpaceDN w:val="0"/>
      <w:adjustRightInd w:val="0"/>
      <w:spacing w:before="120" w:after="120" w:line="280" w:lineRule="exact"/>
    </w:pPr>
    <w:rPr>
      <w:rFonts w:eastAsia="Times New Roman" w:cs="Arial"/>
      <w:color w:val="000000"/>
      <w:szCs w:val="24"/>
      <w:lang w:eastAsia="en-GB"/>
    </w:rPr>
  </w:style>
  <w:style w:type="character" w:customStyle="1" w:styleId="BodyTextChar">
    <w:name w:val="Body Text Char"/>
    <w:basedOn w:val="DefaultParagraphFont"/>
    <w:link w:val="BodyText"/>
    <w:rsid w:val="001F32A6"/>
    <w:rPr>
      <w:rFonts w:ascii="Arial" w:eastAsia="Times New Roman" w:hAnsi="Arial" w:cs="Arial"/>
      <w:color w:val="000000"/>
      <w:sz w:val="24"/>
      <w:szCs w:val="24"/>
      <w:lang w:eastAsia="en-GB"/>
    </w:rPr>
  </w:style>
  <w:style w:type="paragraph" w:customStyle="1" w:styleId="DECCNumberedChapterHead">
    <w:name w:val="DECC Numbered Chapter Head"/>
    <w:basedOn w:val="Heading1"/>
    <w:next w:val="BodyText"/>
    <w:qFormat/>
    <w:rsid w:val="001F32A6"/>
    <w:pPr>
      <w:keepNext w:val="0"/>
      <w:keepLines w:val="0"/>
      <w:pageBreakBefore w:val="0"/>
      <w:numPr>
        <w:numId w:val="7"/>
      </w:numPr>
      <w:spacing w:before="1000" w:after="1000" w:line="540" w:lineRule="exact"/>
    </w:pPr>
    <w:rPr>
      <w:rFonts w:eastAsia="Times New Roman" w:cs="Arial"/>
      <w:bCs/>
      <w:color w:val="00AEEF"/>
      <w:kern w:val="32"/>
      <w:lang w:eastAsia="en-GB"/>
    </w:rPr>
  </w:style>
  <w:style w:type="paragraph" w:styleId="ListBullet20">
    <w:name w:val="List Bullet 2"/>
    <w:basedOn w:val="Normal"/>
    <w:qFormat/>
    <w:rsid w:val="001F32A6"/>
    <w:pPr>
      <w:tabs>
        <w:tab w:val="num" w:pos="1418"/>
      </w:tabs>
      <w:autoSpaceDE w:val="0"/>
      <w:autoSpaceDN w:val="0"/>
      <w:adjustRightInd w:val="0"/>
      <w:spacing w:before="120" w:after="120" w:line="280" w:lineRule="exact"/>
      <w:ind w:left="1418" w:hanging="567"/>
    </w:pPr>
    <w:rPr>
      <w:rFonts w:eastAsia="Times New Roman" w:cs="Arial"/>
      <w:color w:val="000000"/>
      <w:szCs w:val="24"/>
      <w:lang w:eastAsia="en-GB"/>
    </w:rPr>
  </w:style>
  <w:style w:type="paragraph" w:styleId="ListBullet30">
    <w:name w:val="List Bullet 3"/>
    <w:basedOn w:val="Normal"/>
    <w:qFormat/>
    <w:rsid w:val="001F32A6"/>
    <w:pPr>
      <w:tabs>
        <w:tab w:val="num" w:pos="1843"/>
      </w:tabs>
      <w:autoSpaceDE w:val="0"/>
      <w:autoSpaceDN w:val="0"/>
      <w:adjustRightInd w:val="0"/>
      <w:spacing w:before="120" w:after="120" w:line="280" w:lineRule="exact"/>
      <w:ind w:left="1843" w:hanging="425"/>
      <w:contextualSpacing/>
    </w:pPr>
    <w:rPr>
      <w:rFonts w:eastAsia="Times New Roman" w:cs="Arial"/>
      <w:color w:val="000000"/>
      <w:szCs w:val="24"/>
      <w:lang w:eastAsia="en-GB"/>
    </w:rPr>
  </w:style>
  <w:style w:type="paragraph" w:styleId="BodyTextIndent">
    <w:name w:val="Body Text Indent"/>
    <w:basedOn w:val="Normal"/>
    <w:link w:val="BodyTextIndentChar"/>
    <w:qFormat/>
    <w:rsid w:val="001F32A6"/>
    <w:pPr>
      <w:autoSpaceDE w:val="0"/>
      <w:autoSpaceDN w:val="0"/>
      <w:adjustRightInd w:val="0"/>
      <w:spacing w:before="120" w:after="120" w:line="280" w:lineRule="exact"/>
      <w:ind w:left="794"/>
    </w:pPr>
    <w:rPr>
      <w:rFonts w:eastAsia="Times New Roman" w:cs="Arial"/>
      <w:color w:val="000000"/>
      <w:szCs w:val="24"/>
      <w:lang w:eastAsia="en-GB"/>
    </w:rPr>
  </w:style>
  <w:style w:type="character" w:customStyle="1" w:styleId="BodyTextIndentChar">
    <w:name w:val="Body Text Indent Char"/>
    <w:basedOn w:val="DefaultParagraphFont"/>
    <w:link w:val="BodyTextIndent"/>
    <w:rsid w:val="001F32A6"/>
    <w:rPr>
      <w:rFonts w:ascii="Arial" w:eastAsia="Times New Roman" w:hAnsi="Arial" w:cs="Arial"/>
      <w:color w:val="000000"/>
      <w:sz w:val="24"/>
      <w:szCs w:val="24"/>
      <w:lang w:eastAsia="en-GB"/>
    </w:rPr>
  </w:style>
  <w:style w:type="paragraph" w:styleId="List">
    <w:name w:val="List"/>
    <w:qFormat/>
    <w:rsid w:val="001F32A6"/>
    <w:pPr>
      <w:numPr>
        <w:numId w:val="8"/>
      </w:numPr>
      <w:spacing w:before="120" w:after="120" w:line="280" w:lineRule="exact"/>
      <w:ind w:left="794" w:hanging="397"/>
    </w:pPr>
    <w:rPr>
      <w:rFonts w:ascii="Arial" w:eastAsia="Times New Roman" w:hAnsi="Arial" w:cs="Arial"/>
      <w:color w:val="000000"/>
      <w:sz w:val="24"/>
      <w:szCs w:val="24"/>
      <w:lang w:eastAsia="en-GB"/>
    </w:rPr>
  </w:style>
  <w:style w:type="paragraph" w:styleId="List2">
    <w:name w:val="List 2"/>
    <w:aliases w:val="List Alpha"/>
    <w:qFormat/>
    <w:rsid w:val="001F32A6"/>
    <w:pPr>
      <w:numPr>
        <w:numId w:val="9"/>
      </w:numPr>
      <w:spacing w:before="120" w:after="120" w:line="280" w:lineRule="exact"/>
      <w:ind w:left="794" w:hanging="397"/>
    </w:pPr>
    <w:rPr>
      <w:rFonts w:ascii="Arial" w:eastAsia="Times New Roman" w:hAnsi="Arial" w:cs="Arial"/>
      <w:color w:val="000000"/>
      <w:sz w:val="24"/>
      <w:szCs w:val="24"/>
      <w:lang w:eastAsia="en-GB"/>
    </w:rPr>
  </w:style>
  <w:style w:type="paragraph" w:customStyle="1" w:styleId="Notes">
    <w:name w:val="Notes"/>
    <w:aliases w:val="Examples"/>
    <w:basedOn w:val="BodyText"/>
    <w:qFormat/>
    <w:rsid w:val="001F32A6"/>
    <w:rPr>
      <w:b/>
    </w:rPr>
  </w:style>
  <w:style w:type="table" w:customStyle="1" w:styleId="DECC4">
    <w:name w:val="DECC 4"/>
    <w:basedOn w:val="TableNormal"/>
    <w:uiPriority w:val="99"/>
    <w:rsid w:val="001F32A6"/>
    <w:pPr>
      <w:spacing w:after="0" w:line="240" w:lineRule="auto"/>
    </w:pPr>
    <w:rPr>
      <w:rFonts w:ascii="Arial" w:eastAsia="Times New Roman" w:hAnsi="Arial" w:cs="Times New Roman"/>
      <w:sz w:val="20"/>
      <w:szCs w:val="20"/>
    </w:rPr>
    <w:tblPr>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CellMar>
        <w:top w:w="57" w:type="dxa"/>
        <w:bottom w:w="57" w:type="dxa"/>
      </w:tblCellMar>
    </w:tblPr>
    <w:tcPr>
      <w:shd w:val="clear" w:color="auto" w:fill="auto"/>
    </w:tcPr>
    <w:tblStylePr w:type="firstRow">
      <w:pPr>
        <w:wordWrap/>
        <w:spacing w:beforeLines="100" w:before="100" w:beforeAutospacing="0" w:afterLines="100" w:after="100" w:afterAutospacing="0" w:line="240" w:lineRule="auto"/>
      </w:pPr>
      <w:rPr>
        <w:b w:val="0"/>
        <w:color w:val="FFFFFF" w:themeColor="background1"/>
      </w:rPr>
      <w:tblPr/>
      <w:trPr>
        <w:cantSplit/>
        <w:tblHeader/>
      </w:trPr>
      <w:tcPr>
        <w:shd w:val="clear" w:color="auto" w:fill="00AEEF"/>
      </w:tcPr>
    </w:tblStylePr>
  </w:style>
  <w:style w:type="table" w:customStyle="1" w:styleId="DECC5">
    <w:name w:val="DECC 5"/>
    <w:basedOn w:val="TableNormal"/>
    <w:uiPriority w:val="99"/>
    <w:rsid w:val="001F32A6"/>
    <w:pPr>
      <w:spacing w:before="120" w:after="120" w:line="240" w:lineRule="auto"/>
    </w:pPr>
    <w:rPr>
      <w:rFonts w:ascii="Arial" w:eastAsia="Times New Roman" w:hAnsi="Arial" w:cs="Times New Roman"/>
      <w:sz w:val="20"/>
      <w:szCs w:val="20"/>
    </w:rPr>
    <w:tblPr>
      <w:tblStyleRowBandSize w:val="1"/>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CellMar>
        <w:top w:w="57" w:type="dxa"/>
        <w:bottom w:w="57" w:type="dxa"/>
      </w:tblCellMar>
    </w:tblPr>
    <w:trPr>
      <w:cantSplit/>
      <w:tblHeader/>
    </w:trPr>
    <w:tcPr>
      <w:shd w:val="clear" w:color="auto" w:fill="CAEEFF"/>
    </w:tcPr>
    <w:tblStylePr w:type="firstRow">
      <w:tblPr/>
      <w:tcPr>
        <w:shd w:val="clear" w:color="auto" w:fill="CAEEFF"/>
      </w:tcPr>
    </w:tblStylePr>
    <w:tblStylePr w:type="band1Horz">
      <w:tblPr/>
      <w:tcPr>
        <w:shd w:val="clear" w:color="auto" w:fill="CAEEFF"/>
      </w:tcPr>
    </w:tblStylePr>
  </w:style>
  <w:style w:type="table" w:customStyle="1" w:styleId="DECC6">
    <w:name w:val="DECC 6"/>
    <w:basedOn w:val="TableNormal"/>
    <w:uiPriority w:val="99"/>
    <w:rsid w:val="001F32A6"/>
    <w:pPr>
      <w:spacing w:after="0" w:line="240" w:lineRule="auto"/>
    </w:pPr>
    <w:rPr>
      <w:rFonts w:ascii="Arial" w:eastAsia="Times New Roman" w:hAnsi="Arial" w:cs="Times New Roman"/>
      <w:sz w:val="20"/>
      <w:szCs w:val="20"/>
    </w:rPr>
    <w:tblPr>
      <w:tblStyleRowBandSize w:val="1"/>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CellMar>
        <w:top w:w="57" w:type="dxa"/>
        <w:bottom w:w="57" w:type="dxa"/>
      </w:tblCellMar>
    </w:tblPr>
    <w:tblStylePr w:type="firstRow">
      <w:pPr>
        <w:wordWrap/>
        <w:spacing w:beforeLines="50" w:before="50" w:beforeAutospacing="0" w:afterLines="50" w:after="50" w:afterAutospacing="0" w:line="240" w:lineRule="auto"/>
        <w:contextualSpacing w:val="0"/>
      </w:pPr>
      <w:tblPr/>
      <w:tcPr>
        <w:shd w:val="clear" w:color="auto" w:fill="00AEEF"/>
      </w:tcPr>
    </w:tblStylePr>
    <w:tblStylePr w:type="band1Horz">
      <w:tblPr/>
      <w:tcPr>
        <w:shd w:val="clear" w:color="auto" w:fill="CAEEFF"/>
      </w:tcPr>
    </w:tblStylePr>
    <w:tblStylePr w:type="band2Horz">
      <w:tblPr/>
      <w:tcPr>
        <w:shd w:val="clear" w:color="auto" w:fill="00AEEF"/>
      </w:tcPr>
    </w:tblStylePr>
  </w:style>
  <w:style w:type="paragraph" w:styleId="Subtitle">
    <w:name w:val="Subtitle"/>
    <w:basedOn w:val="Normal"/>
    <w:link w:val="SubtitleChar"/>
    <w:qFormat/>
    <w:rsid w:val="00166CCC"/>
    <w:pPr>
      <w:spacing w:before="120" w:after="120" w:line="520" w:lineRule="exact"/>
      <w:outlineLvl w:val="1"/>
    </w:pPr>
    <w:rPr>
      <w:rFonts w:eastAsia="Times New Roman" w:cs="Times New Roman"/>
      <w:sz w:val="44"/>
      <w:szCs w:val="20"/>
    </w:rPr>
  </w:style>
  <w:style w:type="character" w:customStyle="1" w:styleId="SubtitleChar">
    <w:name w:val="Subtitle Char"/>
    <w:basedOn w:val="DefaultParagraphFont"/>
    <w:link w:val="Subtitle"/>
    <w:rsid w:val="00166CCC"/>
    <w:rPr>
      <w:rFonts w:ascii="Arial" w:eastAsia="Times New Roman" w:hAnsi="Arial" w:cs="Times New Roman"/>
      <w:sz w:val="44"/>
      <w:szCs w:val="20"/>
    </w:rPr>
  </w:style>
  <w:style w:type="character" w:styleId="FollowedHyperlink">
    <w:name w:val="FollowedHyperlink"/>
    <w:basedOn w:val="DefaultParagraphFont"/>
    <w:uiPriority w:val="99"/>
    <w:semiHidden/>
    <w:unhideWhenUsed/>
    <w:rsid w:val="00780B9A"/>
    <w:rPr>
      <w:color w:val="954F72" w:themeColor="followedHyperlink"/>
      <w:u w:val="single"/>
    </w:rPr>
  </w:style>
  <w:style w:type="character" w:customStyle="1" w:styleId="Heading6Char">
    <w:name w:val="Heading 6 Char"/>
    <w:basedOn w:val="DefaultParagraphFont"/>
    <w:link w:val="Heading6"/>
    <w:uiPriority w:val="9"/>
    <w:rsid w:val="00236ECD"/>
    <w:rPr>
      <w:rFonts w:ascii="Arial" w:eastAsia="MS Mincho" w:hAnsi="Arial" w:cs="Times New Roman"/>
      <w:b/>
      <w:bCs/>
    </w:rPr>
  </w:style>
  <w:style w:type="character" w:customStyle="1" w:styleId="Heading7Char">
    <w:name w:val="Heading 7 Char"/>
    <w:basedOn w:val="DefaultParagraphFont"/>
    <w:link w:val="Heading7"/>
    <w:uiPriority w:val="9"/>
    <w:rsid w:val="00236ECD"/>
    <w:rPr>
      <w:rFonts w:ascii="Arial" w:eastAsia="MS Mincho" w:hAnsi="Arial" w:cs="Times New Roman"/>
      <w:i/>
      <w:szCs w:val="24"/>
    </w:rPr>
  </w:style>
  <w:style w:type="character" w:customStyle="1" w:styleId="Heading8Char">
    <w:name w:val="Heading 8 Char"/>
    <w:basedOn w:val="DefaultParagraphFont"/>
    <w:link w:val="Heading8"/>
    <w:uiPriority w:val="9"/>
    <w:semiHidden/>
    <w:rsid w:val="00236ECD"/>
    <w:rPr>
      <w:rFonts w:ascii="Arial" w:eastAsiaTheme="majorEastAsia" w:hAnsi="Arial" w:cstheme="majorBidi"/>
      <w:color w:val="004FD9" w:themeColor="text1" w:themeTint="BF"/>
      <w:sz w:val="20"/>
      <w:szCs w:val="20"/>
    </w:rPr>
  </w:style>
  <w:style w:type="character" w:customStyle="1" w:styleId="Heading9Char">
    <w:name w:val="Heading 9 Char"/>
    <w:basedOn w:val="DefaultParagraphFont"/>
    <w:link w:val="Heading9"/>
    <w:uiPriority w:val="9"/>
    <w:semiHidden/>
    <w:rsid w:val="00236ECD"/>
    <w:rPr>
      <w:rFonts w:asciiTheme="majorHAnsi" w:eastAsiaTheme="majorEastAsia" w:hAnsiTheme="majorHAnsi" w:cstheme="majorBidi"/>
      <w:i/>
      <w:iCs/>
      <w:color w:val="004FD9" w:themeColor="text1" w:themeTint="BF"/>
      <w:sz w:val="20"/>
      <w:szCs w:val="20"/>
    </w:rPr>
  </w:style>
  <w:style w:type="paragraph" w:customStyle="1" w:styleId="Listbullet2">
    <w:name w:val="List bullet2"/>
    <w:qFormat/>
    <w:rsid w:val="00236ECD"/>
    <w:pPr>
      <w:numPr>
        <w:ilvl w:val="1"/>
        <w:numId w:val="10"/>
      </w:numPr>
      <w:tabs>
        <w:tab w:val="clear" w:pos="720"/>
        <w:tab w:val="num" w:pos="1418"/>
      </w:tabs>
      <w:spacing w:before="120" w:after="120" w:line="320" w:lineRule="exact"/>
      <w:ind w:left="1418" w:hanging="567"/>
      <w:contextualSpacing/>
    </w:pPr>
    <w:rPr>
      <w:rFonts w:ascii="Arial" w:eastAsia="Times New Roman" w:hAnsi="Arial" w:cs="Times New Roman"/>
      <w:sz w:val="24"/>
      <w:szCs w:val="20"/>
    </w:rPr>
  </w:style>
  <w:style w:type="paragraph" w:customStyle="1" w:styleId="Listbullet1">
    <w:name w:val="List bullet1"/>
    <w:link w:val="Listbullet1Char"/>
    <w:qFormat/>
    <w:rsid w:val="00236ECD"/>
    <w:pPr>
      <w:numPr>
        <w:numId w:val="10"/>
      </w:numPr>
      <w:tabs>
        <w:tab w:val="left" w:pos="851"/>
      </w:tabs>
      <w:spacing w:before="120" w:after="120" w:line="320" w:lineRule="exact"/>
    </w:pPr>
    <w:rPr>
      <w:rFonts w:ascii="Arial" w:eastAsia="Times New Roman" w:hAnsi="Arial" w:cs="Arial"/>
      <w:sz w:val="24"/>
      <w:szCs w:val="20"/>
    </w:rPr>
  </w:style>
  <w:style w:type="character" w:customStyle="1" w:styleId="Listbullet1Char">
    <w:name w:val="List bullet1 Char"/>
    <w:basedOn w:val="DefaultParagraphFont"/>
    <w:link w:val="Listbullet1"/>
    <w:rsid w:val="00236ECD"/>
    <w:rPr>
      <w:rFonts w:ascii="Arial" w:eastAsia="Times New Roman" w:hAnsi="Arial" w:cs="Arial"/>
      <w:sz w:val="24"/>
      <w:szCs w:val="20"/>
    </w:rPr>
  </w:style>
  <w:style w:type="paragraph" w:customStyle="1" w:styleId="Listbullet3">
    <w:name w:val="List bullet3"/>
    <w:qFormat/>
    <w:rsid w:val="00236ECD"/>
    <w:pPr>
      <w:numPr>
        <w:ilvl w:val="2"/>
        <w:numId w:val="10"/>
      </w:numPr>
      <w:spacing w:after="60" w:line="240" w:lineRule="auto"/>
      <w:ind w:left="1843" w:hanging="425"/>
      <w:contextualSpacing/>
    </w:pPr>
    <w:rPr>
      <w:rFonts w:ascii="Arial" w:eastAsia="Times New Roman" w:hAnsi="Arial" w:cs="Times New Roman"/>
      <w:sz w:val="24"/>
      <w:szCs w:val="20"/>
    </w:rPr>
  </w:style>
  <w:style w:type="paragraph" w:customStyle="1" w:styleId="ChptHead">
    <w:name w:val="Chpt Head"/>
    <w:basedOn w:val="Heading1"/>
    <w:next w:val="Normal"/>
    <w:qFormat/>
    <w:rsid w:val="00236ECD"/>
    <w:pPr>
      <w:keepLines w:val="0"/>
      <w:pageBreakBefore w:val="0"/>
      <w:spacing w:before="1000" w:after="1000" w:line="540" w:lineRule="exact"/>
      <w:ind w:left="2276" w:hanging="432"/>
      <w:contextualSpacing/>
    </w:pPr>
    <w:rPr>
      <w:rFonts w:eastAsia="Times New Roman" w:cs="Times New Roman"/>
      <w:color w:val="00AEEF"/>
      <w:szCs w:val="20"/>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236ECD"/>
    <w:rPr>
      <w:rFonts w:ascii="Arial" w:hAnsi="Arial"/>
      <w:sz w:val="24"/>
    </w:rPr>
  </w:style>
  <w:style w:type="paragraph" w:customStyle="1" w:styleId="Tabletext0">
    <w:name w:val="Table text"/>
    <w:basedOn w:val="Normal"/>
    <w:qFormat/>
    <w:rsid w:val="00236ECD"/>
    <w:pPr>
      <w:spacing w:before="120" w:after="120" w:line="240" w:lineRule="auto"/>
    </w:pPr>
    <w:rPr>
      <w:rFonts w:cs="Times New Roman"/>
      <w:color w:val="000000"/>
      <w:szCs w:val="24"/>
    </w:rPr>
  </w:style>
  <w:style w:type="paragraph" w:customStyle="1" w:styleId="TableHeader">
    <w:name w:val="Table Header"/>
    <w:basedOn w:val="Normal"/>
    <w:qFormat/>
    <w:rsid w:val="00236ECD"/>
    <w:pPr>
      <w:framePr w:hSpace="180" w:wrap="around" w:vAnchor="text" w:hAnchor="margin" w:y="63"/>
      <w:spacing w:after="0" w:line="240" w:lineRule="auto"/>
    </w:pPr>
    <w:rPr>
      <w:rFonts w:cs="Times New Roman"/>
      <w:b/>
      <w:color w:val="FFFFFF" w:themeColor="background1"/>
      <w:szCs w:val="24"/>
    </w:rPr>
  </w:style>
  <w:style w:type="paragraph" w:customStyle="1" w:styleId="Tablebold">
    <w:name w:val="Table bold"/>
    <w:basedOn w:val="NoSpacing"/>
    <w:qFormat/>
    <w:rsid w:val="00236ECD"/>
    <w:pPr>
      <w:framePr w:hSpace="180" w:wrap="around" w:vAnchor="text" w:hAnchor="margin" w:y="63"/>
      <w:spacing w:before="120" w:after="120"/>
      <w:contextualSpacing/>
    </w:pPr>
    <w:rPr>
      <w:rFonts w:eastAsia="Times New Roman" w:cs="Arial"/>
      <w:b/>
      <w:color w:val="000000"/>
      <w:szCs w:val="24"/>
      <w:lang w:eastAsia="en-GB"/>
    </w:rPr>
  </w:style>
  <w:style w:type="paragraph" w:styleId="NoSpacing">
    <w:name w:val="No Spacing"/>
    <w:uiPriority w:val="1"/>
    <w:qFormat/>
    <w:rsid w:val="00236ECD"/>
    <w:pPr>
      <w:spacing w:after="0" w:line="240" w:lineRule="auto"/>
    </w:pPr>
    <w:rPr>
      <w:rFonts w:ascii="Arial" w:hAnsi="Arial"/>
      <w:sz w:val="24"/>
    </w:rPr>
  </w:style>
  <w:style w:type="paragraph" w:customStyle="1" w:styleId="Paragraphtext">
    <w:name w:val="Paragraph text"/>
    <w:basedOn w:val="Normal"/>
    <w:qFormat/>
    <w:rsid w:val="00CE7DA3"/>
    <w:pPr>
      <w:spacing w:before="120" w:after="120" w:line="280" w:lineRule="exact"/>
    </w:pPr>
    <w:rPr>
      <w:rFonts w:eastAsia="Times New Roman" w:cs="Times New Roman"/>
      <w:szCs w:val="20"/>
    </w:rPr>
  </w:style>
  <w:style w:type="character" w:styleId="CommentReference">
    <w:name w:val="annotation reference"/>
    <w:basedOn w:val="DefaultParagraphFont"/>
    <w:uiPriority w:val="99"/>
    <w:unhideWhenUsed/>
    <w:rsid w:val="00CE7DA3"/>
    <w:rPr>
      <w:sz w:val="16"/>
      <w:szCs w:val="16"/>
    </w:rPr>
  </w:style>
  <w:style w:type="paragraph" w:styleId="CommentText">
    <w:name w:val="annotation text"/>
    <w:basedOn w:val="Normal"/>
    <w:link w:val="CommentTextChar"/>
    <w:uiPriority w:val="99"/>
    <w:unhideWhenUsed/>
    <w:rsid w:val="00CE7DA3"/>
    <w:pPr>
      <w:spacing w:before="120" w:after="120" w:line="240" w:lineRule="auto"/>
    </w:pPr>
    <w:rPr>
      <w:rFonts w:eastAsia="Times New Roman" w:cs="Arial"/>
      <w:sz w:val="20"/>
      <w:szCs w:val="20"/>
    </w:rPr>
  </w:style>
  <w:style w:type="character" w:customStyle="1" w:styleId="CommentTextChar">
    <w:name w:val="Comment Text Char"/>
    <w:basedOn w:val="DefaultParagraphFont"/>
    <w:link w:val="CommentText"/>
    <w:uiPriority w:val="99"/>
    <w:rsid w:val="00CE7DA3"/>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E7DA3"/>
    <w:pPr>
      <w:spacing w:before="0" w:after="240"/>
    </w:pPr>
    <w:rPr>
      <w:rFonts w:eastAsiaTheme="minorHAnsi" w:cstheme="minorBidi"/>
      <w:b/>
      <w:bCs/>
    </w:rPr>
  </w:style>
  <w:style w:type="character" w:customStyle="1" w:styleId="CommentSubjectChar">
    <w:name w:val="Comment Subject Char"/>
    <w:basedOn w:val="CommentTextChar"/>
    <w:link w:val="CommentSubject"/>
    <w:uiPriority w:val="99"/>
    <w:semiHidden/>
    <w:rsid w:val="00CE7DA3"/>
    <w:rPr>
      <w:rFonts w:ascii="Arial" w:eastAsia="Times New Roman" w:hAnsi="Arial" w:cs="Arial"/>
      <w:b/>
      <w:bCs/>
      <w:sz w:val="20"/>
      <w:szCs w:val="20"/>
    </w:rPr>
  </w:style>
  <w:style w:type="paragraph" w:customStyle="1" w:styleId="Default">
    <w:name w:val="Default"/>
    <w:rsid w:val="00973CF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A3397"/>
    <w:pPr>
      <w:spacing w:after="0" w:line="240" w:lineRule="auto"/>
    </w:pPr>
    <w:rPr>
      <w:rFonts w:ascii="Arial" w:hAnsi="Arial"/>
      <w:sz w:val="24"/>
    </w:rPr>
  </w:style>
  <w:style w:type="paragraph" w:styleId="NormalWeb">
    <w:name w:val="Normal (Web)"/>
    <w:basedOn w:val="Normal"/>
    <w:uiPriority w:val="99"/>
    <w:unhideWhenUsed/>
    <w:rsid w:val="00CF4F05"/>
    <w:rPr>
      <w:rFonts w:ascii="Times New Roman" w:hAnsi="Times New Roman" w:cs="Times New Roman"/>
      <w:szCs w:val="24"/>
    </w:rPr>
  </w:style>
  <w:style w:type="paragraph" w:customStyle="1" w:styleId="Body3">
    <w:name w:val="Body3"/>
    <w:basedOn w:val="Normal"/>
    <w:rsid w:val="00B70D4F"/>
    <w:pPr>
      <w:spacing w:after="220" w:line="360" w:lineRule="auto"/>
      <w:ind w:left="1412"/>
      <w:jc w:val="both"/>
    </w:pPr>
    <w:rPr>
      <w:rFonts w:ascii="Times New Roman" w:eastAsia="Times New Roman" w:hAnsi="Times New Roman" w:cs="Times New Roman"/>
      <w:szCs w:val="24"/>
    </w:rPr>
  </w:style>
  <w:style w:type="paragraph" w:customStyle="1" w:styleId="BodyTextdef">
    <w:name w:val="Body Text def"/>
    <w:basedOn w:val="BodyText"/>
    <w:rsid w:val="00B70D4F"/>
    <w:pPr>
      <w:tabs>
        <w:tab w:val="left" w:pos="950"/>
      </w:tabs>
      <w:autoSpaceDE/>
      <w:autoSpaceDN/>
      <w:adjustRightInd/>
      <w:spacing w:line="360" w:lineRule="auto"/>
      <w:jc w:val="both"/>
    </w:pPr>
    <w:rPr>
      <w:rFonts w:ascii="Times New Roman" w:hAnsi="Times New Roman" w:cs="Times New Roman"/>
      <w:color w:val="auto"/>
      <w:lang w:eastAsia="en-US"/>
    </w:rPr>
  </w:style>
  <w:style w:type="paragraph" w:customStyle="1" w:styleId="Heading2Title">
    <w:name w:val="Heading 2 Title"/>
    <w:basedOn w:val="Heading2"/>
    <w:next w:val="Normal"/>
    <w:rsid w:val="00B70D4F"/>
    <w:pPr>
      <w:keepNext w:val="0"/>
      <w:keepLines w:val="0"/>
      <w:widowControl w:val="0"/>
      <w:numPr>
        <w:ilvl w:val="1"/>
        <w:numId w:val="23"/>
      </w:numPr>
      <w:spacing w:before="0" w:after="220" w:line="360" w:lineRule="auto"/>
      <w:jc w:val="both"/>
    </w:pPr>
    <w:rPr>
      <w:rFonts w:ascii="Calibri" w:eastAsia="SimSun" w:hAnsi="Calibri" w:cs="Times New Roman"/>
      <w:color w:val="auto"/>
      <w:sz w:val="22"/>
      <w:szCs w:val="20"/>
      <w:lang w:val="x-none" w:eastAsia="zh-CN"/>
    </w:rPr>
  </w:style>
  <w:style w:type="character" w:customStyle="1" w:styleId="DeltaViewInsertion">
    <w:name w:val="DeltaView Insertion"/>
    <w:uiPriority w:val="99"/>
    <w:rsid w:val="00B70D4F"/>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8620">
      <w:bodyDiv w:val="1"/>
      <w:marLeft w:val="0"/>
      <w:marRight w:val="0"/>
      <w:marTop w:val="0"/>
      <w:marBottom w:val="0"/>
      <w:divBdr>
        <w:top w:val="none" w:sz="0" w:space="0" w:color="auto"/>
        <w:left w:val="none" w:sz="0" w:space="0" w:color="auto"/>
        <w:bottom w:val="none" w:sz="0" w:space="0" w:color="auto"/>
        <w:right w:val="none" w:sz="0" w:space="0" w:color="auto"/>
      </w:divBdr>
    </w:div>
    <w:div w:id="348142739">
      <w:bodyDiv w:val="1"/>
      <w:marLeft w:val="0"/>
      <w:marRight w:val="0"/>
      <w:marTop w:val="0"/>
      <w:marBottom w:val="0"/>
      <w:divBdr>
        <w:top w:val="none" w:sz="0" w:space="0" w:color="auto"/>
        <w:left w:val="none" w:sz="0" w:space="0" w:color="auto"/>
        <w:bottom w:val="none" w:sz="0" w:space="0" w:color="auto"/>
        <w:right w:val="none" w:sz="0" w:space="0" w:color="auto"/>
      </w:divBdr>
    </w:div>
    <w:div w:id="690842081">
      <w:bodyDiv w:val="1"/>
      <w:marLeft w:val="0"/>
      <w:marRight w:val="0"/>
      <w:marTop w:val="0"/>
      <w:marBottom w:val="0"/>
      <w:divBdr>
        <w:top w:val="none" w:sz="0" w:space="0" w:color="auto"/>
        <w:left w:val="none" w:sz="0" w:space="0" w:color="auto"/>
        <w:bottom w:val="none" w:sz="0" w:space="0" w:color="auto"/>
        <w:right w:val="none" w:sz="0" w:space="0" w:color="auto"/>
      </w:divBdr>
    </w:div>
    <w:div w:id="797800530">
      <w:bodyDiv w:val="1"/>
      <w:marLeft w:val="0"/>
      <w:marRight w:val="0"/>
      <w:marTop w:val="0"/>
      <w:marBottom w:val="0"/>
      <w:divBdr>
        <w:top w:val="none" w:sz="0" w:space="0" w:color="auto"/>
        <w:left w:val="none" w:sz="0" w:space="0" w:color="auto"/>
        <w:bottom w:val="none" w:sz="0" w:space="0" w:color="auto"/>
        <w:right w:val="none" w:sz="0" w:space="0" w:color="auto"/>
      </w:divBdr>
    </w:div>
    <w:div w:id="1056126554">
      <w:bodyDiv w:val="1"/>
      <w:marLeft w:val="0"/>
      <w:marRight w:val="0"/>
      <w:marTop w:val="0"/>
      <w:marBottom w:val="0"/>
      <w:divBdr>
        <w:top w:val="none" w:sz="0" w:space="0" w:color="auto"/>
        <w:left w:val="none" w:sz="0" w:space="0" w:color="auto"/>
        <w:bottom w:val="none" w:sz="0" w:space="0" w:color="auto"/>
        <w:right w:val="none" w:sz="0" w:space="0" w:color="auto"/>
      </w:divBdr>
    </w:div>
    <w:div w:id="1221747146">
      <w:bodyDiv w:val="1"/>
      <w:marLeft w:val="0"/>
      <w:marRight w:val="0"/>
      <w:marTop w:val="0"/>
      <w:marBottom w:val="0"/>
      <w:divBdr>
        <w:top w:val="none" w:sz="0" w:space="0" w:color="auto"/>
        <w:left w:val="none" w:sz="0" w:space="0" w:color="auto"/>
        <w:bottom w:val="none" w:sz="0" w:space="0" w:color="auto"/>
        <w:right w:val="none" w:sz="0" w:space="0" w:color="auto"/>
      </w:divBdr>
    </w:div>
    <w:div w:id="1336609676">
      <w:bodyDiv w:val="1"/>
      <w:marLeft w:val="0"/>
      <w:marRight w:val="0"/>
      <w:marTop w:val="0"/>
      <w:marBottom w:val="0"/>
      <w:divBdr>
        <w:top w:val="none" w:sz="0" w:space="0" w:color="auto"/>
        <w:left w:val="none" w:sz="0" w:space="0" w:color="auto"/>
        <w:bottom w:val="none" w:sz="0" w:space="0" w:color="auto"/>
        <w:right w:val="none" w:sz="0" w:space="0" w:color="auto"/>
      </w:divBdr>
    </w:div>
    <w:div w:id="1361202494">
      <w:bodyDiv w:val="1"/>
      <w:marLeft w:val="0"/>
      <w:marRight w:val="0"/>
      <w:marTop w:val="0"/>
      <w:marBottom w:val="0"/>
      <w:divBdr>
        <w:top w:val="none" w:sz="0" w:space="0" w:color="auto"/>
        <w:left w:val="none" w:sz="0" w:space="0" w:color="auto"/>
        <w:bottom w:val="none" w:sz="0" w:space="0" w:color="auto"/>
        <w:right w:val="none" w:sz="0" w:space="0" w:color="auto"/>
      </w:divBdr>
    </w:div>
    <w:div w:id="1553808869">
      <w:bodyDiv w:val="1"/>
      <w:marLeft w:val="0"/>
      <w:marRight w:val="0"/>
      <w:marTop w:val="0"/>
      <w:marBottom w:val="0"/>
      <w:divBdr>
        <w:top w:val="none" w:sz="0" w:space="0" w:color="auto"/>
        <w:left w:val="none" w:sz="0" w:space="0" w:color="auto"/>
        <w:bottom w:val="none" w:sz="0" w:space="0" w:color="auto"/>
        <w:right w:val="none" w:sz="0" w:space="0" w:color="auto"/>
      </w:divBdr>
    </w:div>
    <w:div w:id="1840268039">
      <w:bodyDiv w:val="1"/>
      <w:marLeft w:val="0"/>
      <w:marRight w:val="0"/>
      <w:marTop w:val="0"/>
      <w:marBottom w:val="0"/>
      <w:divBdr>
        <w:top w:val="none" w:sz="0" w:space="0" w:color="auto"/>
        <w:left w:val="none" w:sz="0" w:space="0" w:color="auto"/>
        <w:bottom w:val="none" w:sz="0" w:space="0" w:color="auto"/>
        <w:right w:val="none" w:sz="0" w:space="0" w:color="auto"/>
      </w:divBdr>
    </w:div>
    <w:div w:id="1857228212">
      <w:bodyDiv w:val="1"/>
      <w:marLeft w:val="0"/>
      <w:marRight w:val="0"/>
      <w:marTop w:val="0"/>
      <w:marBottom w:val="0"/>
      <w:divBdr>
        <w:top w:val="none" w:sz="0" w:space="0" w:color="auto"/>
        <w:left w:val="none" w:sz="0" w:space="0" w:color="auto"/>
        <w:bottom w:val="none" w:sz="0" w:space="0" w:color="auto"/>
        <w:right w:val="none" w:sz="0" w:space="0" w:color="auto"/>
      </w:divBdr>
    </w:div>
    <w:div w:id="1901593775">
      <w:bodyDiv w:val="1"/>
      <w:marLeft w:val="0"/>
      <w:marRight w:val="0"/>
      <w:marTop w:val="0"/>
      <w:marBottom w:val="0"/>
      <w:divBdr>
        <w:top w:val="none" w:sz="0" w:space="0" w:color="auto"/>
        <w:left w:val="none" w:sz="0" w:space="0" w:color="auto"/>
        <w:bottom w:val="none" w:sz="0" w:space="0" w:color="auto"/>
        <w:right w:val="none" w:sz="0" w:space="0" w:color="auto"/>
      </w:divBdr>
    </w:div>
    <w:div w:id="2010015831">
      <w:bodyDiv w:val="1"/>
      <w:marLeft w:val="0"/>
      <w:marRight w:val="0"/>
      <w:marTop w:val="0"/>
      <w:marBottom w:val="0"/>
      <w:divBdr>
        <w:top w:val="none" w:sz="0" w:space="0" w:color="auto"/>
        <w:left w:val="none" w:sz="0" w:space="0" w:color="auto"/>
        <w:bottom w:val="none" w:sz="0" w:space="0" w:color="auto"/>
        <w:right w:val="none" w:sz="0" w:space="0" w:color="auto"/>
      </w:divBdr>
    </w:div>
    <w:div w:id="2070686815">
      <w:bodyDiv w:val="1"/>
      <w:marLeft w:val="0"/>
      <w:marRight w:val="0"/>
      <w:marTop w:val="0"/>
      <w:marBottom w:val="0"/>
      <w:divBdr>
        <w:top w:val="none" w:sz="0" w:space="0" w:color="auto"/>
        <w:left w:val="none" w:sz="0" w:space="0" w:color="auto"/>
        <w:bottom w:val="none" w:sz="0" w:space="0" w:color="auto"/>
        <w:right w:val="none" w:sz="0" w:space="0" w:color="auto"/>
      </w:divBdr>
    </w:div>
    <w:div w:id="208610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oter" Target="footer3.xml"/><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s://www.gov.uk/government/consultations/the-operational-transition-of-smart-meters-including-draft-legal-text" TargetMode="External"/><Relationship Id="rId34" Type="http://schemas.openxmlformats.org/officeDocument/2006/relationships/hyperlink" Target="mailto:smartmetering@beis.gov.uk"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mailto:smartmetering@beis.gov.uk"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gov.uk/beis" TargetMode="External"/><Relationship Id="rId29" Type="http://schemas.openxmlformats.org/officeDocument/2006/relationships/hyperlink" Target="mailto:smartmetering@beis.gov.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smartmetering@beis.gov.uk" TargetMode="External"/><Relationship Id="rId32" Type="http://schemas.openxmlformats.org/officeDocument/2006/relationships/header" Target="header5.xml"/><Relationship Id="rId37" Type="http://schemas.openxmlformats.org/officeDocument/2006/relationships/header" Target="header6.xml"/><Relationship Id="rId40"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psi@nationalarchives.gsi.gov.uk" TargetMode="External"/><Relationship Id="rId28" Type="http://schemas.openxmlformats.org/officeDocument/2006/relationships/hyperlink" Target="mailto:smartmetering@beis.gov.uk" TargetMode="External"/><Relationship Id="rId36" Type="http://schemas.openxmlformats.org/officeDocument/2006/relationships/hyperlink" Target="http://www.gov.uk/beis" TargetMode="Externa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yperlink" Target="mailto:smartmetering@beis.gov.u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nationalarchives.gov.uk/doc/open-government-licence/" TargetMode="External"/><Relationship Id="rId27" Type="http://schemas.openxmlformats.org/officeDocument/2006/relationships/header" Target="header4.xml"/><Relationship Id="rId30" Type="http://schemas.openxmlformats.org/officeDocument/2006/relationships/hyperlink" Target="https://www.gov.uk/government/consultations/the-operational-transition-of-smart-meters-including-draft-legal-text" TargetMode="External"/><Relationship Id="rId35" Type="http://schemas.openxmlformats.org/officeDocument/2006/relationships/image" Target="media/image3.png"/></Relationships>
</file>

<file path=word/theme/theme1.xml><?xml version="1.0" encoding="utf-8"?>
<a:theme xmlns:a="http://schemas.openxmlformats.org/drawingml/2006/main" name="Office Theme">
  <a:themeElements>
    <a:clrScheme name="DECC Colours">
      <a:dk1>
        <a:srgbClr val="002C77"/>
      </a:dk1>
      <a:lt1>
        <a:sysClr val="window" lastClr="FFFFFF"/>
      </a:lt1>
      <a:dk2>
        <a:srgbClr val="000000"/>
      </a:dk2>
      <a:lt2>
        <a:srgbClr val="009FDA"/>
      </a:lt2>
      <a:accent1>
        <a:srgbClr val="009FDA"/>
      </a:accent1>
      <a:accent2>
        <a:srgbClr val="E26EB2"/>
      </a:accent2>
      <a:accent3>
        <a:srgbClr val="69BE28"/>
      </a:accent3>
      <a:accent4>
        <a:srgbClr val="B382C7"/>
      </a:accent4>
      <a:accent5>
        <a:srgbClr val="FFD000"/>
      </a:accent5>
      <a:accent6>
        <a:srgbClr val="AEA79F"/>
      </a:accent6>
      <a:hlink>
        <a:srgbClr val="0070C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ECC Document" ma:contentTypeID="0x01010020B27A3BB4AD4E469BDEA344273B4F220100737A66F8863FB84A89BEEFFA1A053860" ma:contentTypeVersion="7" ma:contentTypeDescription="DECC Microsoft Word Document Content Type" ma:contentTypeScope="" ma:versionID="f8a589f6f98440beb99d7ff8a7f45956">
  <xsd:schema xmlns:xsd="http://www.w3.org/2001/XMLSchema" xmlns:xs="http://www.w3.org/2001/XMLSchema" xmlns:p="http://schemas.microsoft.com/office/2006/metadata/properties" xmlns:ns1="http://schemas.microsoft.com/sharepoint/v3" xmlns:ns3="f7e53c2a-c5c2-4bbb-ab47-6d506cb60401" targetNamespace="http://schemas.microsoft.com/office/2006/metadata/properties" ma:root="true" ma:fieldsID="8d11f8b447c11e08a6eb15843481de07" ns1:_="" ns3:_="">
    <xsd:import namespace="http://schemas.microsoft.com/sharepoint/v3"/>
    <xsd:import namespace="f7e53c2a-c5c2-4bbb-ab47-6d506cb60401"/>
    <xsd:element name="properties">
      <xsd:complexType>
        <xsd:sequence>
          <xsd:element name="documentManagement">
            <xsd:complexType>
              <xsd:all>
                <xsd:element ref="ns3:_dlc_DocId" minOccurs="0"/>
                <xsd:element ref="ns3:_dlc_DocIdUrl" minOccurs="0"/>
                <xsd:element ref="ns3:_dlc_DocIdPersistId" minOccurs="0"/>
                <xsd:element ref="ns3:Document_x0020_Security_x0020_Classification" minOccurs="0"/>
                <xsd:element ref="ns3:Folder_x0020_ID" minOccurs="0"/>
                <xsd:element ref="ns3:Case_x0020_Reference_x0020_Number" minOccurs="0"/>
                <xsd:element ref="ns3:Request_x0020_Type" minOccurs="0"/>
                <xsd:element ref="ns3:MP" minOccurs="0"/>
                <xsd:element ref="ns3:Minister" minOccurs="0"/>
                <xsd:element ref="ns3:Linked_x0020_Documents" minOccurs="0"/>
                <xsd:element ref="ns3:Location_x0020_Of_x0020_Original_x0020_Source_x0020_Document" minOccurs="0"/>
                <xsd:element ref="ns3:Document_x0020_Notes" minOccurs="0"/>
                <xsd:element ref="ns3:Folder_x0020_Number"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53c2a-c5c2-4bbb-ab47-6d506cb60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ecurity_x0020_Classification" ma:index="12" nillable="true" ma:displayName="Document Security Classification" ma:default="Official" ma:description="Please select the security classification." ma:format="Dropdown" ma:internalName="Document_x0020_Security_x0020_Classification" ma:readOnly="false">
      <xsd:simpleType>
        <xsd:restriction base="dms:Choice">
          <xsd:enumeration value="Official"/>
          <xsd:enumeration value="Official Sensitive"/>
          <xsd:enumeration value="Official Sensitive Personal"/>
          <xsd:enumeration value="Official Sensitive Commercial"/>
        </xsd:restriction>
      </xsd:simpleType>
    </xsd:element>
    <xsd:element name="Folder_x0020_ID" ma:index="13" nillable="true" ma:displayName="Folder ID" ma:internalName="Folder_x0020_ID" ma:readOnly="false">
      <xsd:simpleType>
        <xsd:restriction base="dms:Text">
          <xsd:maxLength value="255"/>
        </xsd:restriction>
      </xsd:simpleType>
    </xsd:element>
    <xsd:element name="Case_x0020_Reference_x0020_Number" ma:index="14" nillable="true" ma:displayName="Case Reference Number" ma:description="." ma:internalName="Case_x0020_Reference_x0020_Number" ma:readOnly="false">
      <xsd:simpleType>
        <xsd:restriction base="dms:Text">
          <xsd:maxLength value="255"/>
        </xsd:restriction>
      </xsd:simpleType>
    </xsd:element>
    <xsd:element name="Request_x0020_Type" ma:index="15" nillable="true" ma:displayName="Request Type" ma:description="Please select the request type." ma:format="Dropdown" ma:internalName="Request_x0020_Type" ma:readOnly="false">
      <xsd:simpleType>
        <xsd:restriction base="dms:Choice">
          <xsd:enumeration value="FOI"/>
          <xsd:enumeration value="EIR"/>
          <xsd:enumeration value="PQ"/>
          <xsd:enumeration value="MC"/>
        </xsd:restriction>
      </xsd:simpleType>
    </xsd:element>
    <xsd:element name="MP" ma:index="16" nillable="true" ma:displayName="MP" ma:description="Please enter the MP." ma:internalName="MP" ma:readOnly="false">
      <xsd:simpleType>
        <xsd:restriction base="dms:Text">
          <xsd:maxLength value="255"/>
        </xsd:restriction>
      </xsd:simpleType>
    </xsd:element>
    <xsd:element name="Minister" ma:index="17" nillable="true" ma:displayName="Minister" ma:description="Minister's Name" ma:internalName="Minister" ma:readOnly="false">
      <xsd:simpleType>
        <xsd:restriction base="dms:Text">
          <xsd:maxLength value="255"/>
        </xsd:restriction>
      </xsd:simpleType>
    </xsd:element>
    <xsd:element name="Linked_x0020_Documents" ma:index="18" nillable="true" ma:displayName="Linked Documents" ma:description="Documents linked to this item" ma:internalName="Linked_x0020_Documents" ma:readOnly="false">
      <xsd:simpleType>
        <xsd:restriction base="dms:Note"/>
      </xsd:simpleType>
    </xsd:element>
    <xsd:element name="Location_x0020_Of_x0020_Original_x0020_Source_x0020_Document" ma:index="19" nillable="true" ma:displayName="Location Of Original Source Document" ma:description="Please enter the location of the original source document." ma:internalName="Location_x0020_Of_x0020_Original_x0020_Source_x0020_Document" ma:readOnly="false">
      <xsd:simpleType>
        <xsd:restriction base="dms:Note">
          <xsd:maxLength value="255"/>
        </xsd:restriction>
      </xsd:simpleType>
    </xsd:element>
    <xsd:element name="Document_x0020_Notes" ma:index="20" nillable="true" ma:displayName="Document Notes" ma:description="Notes field for the item" ma:internalName="Document_x0020_Notes" ma:readOnly="false">
      <xsd:simpleType>
        <xsd:restriction base="dms:Note"/>
      </xsd:simpleType>
    </xsd:element>
    <xsd:element name="Folder_x0020_Number" ma:index="21" nillable="true" ma:displayName="Folder Number" ma:internalName="Folder_x0020_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_x0020_Notes xmlns="f7e53c2a-c5c2-4bbb-ab47-6d506cb60401" xsi:nil="true"/>
    <Case_x0020_Reference_x0020_Number xmlns="f7e53c2a-c5c2-4bbb-ab47-6d506cb60401" xsi:nil="true"/>
    <Document_x0020_Security_x0020_Classification xmlns="f7e53c2a-c5c2-4bbb-ab47-6d506cb60401" xsi:nil="true"/>
    <Minister xmlns="f7e53c2a-c5c2-4bbb-ab47-6d506cb60401" xsi:nil="true"/>
    <Folder_x0020_Number xmlns="f7e53c2a-c5c2-4bbb-ab47-6d506cb60401" xsi:nil="true"/>
    <Folder_x0020_ID xmlns="f7e53c2a-c5c2-4bbb-ab47-6d506cb60401" xsi:nil="true"/>
    <Location_x0020_Of_x0020_Original_x0020_Source_x0020_Document xmlns="f7e53c2a-c5c2-4bbb-ab47-6d506cb60401" xsi:nil="true"/>
    <MP xmlns="f7e53c2a-c5c2-4bbb-ab47-6d506cb60401" xsi:nil="true"/>
    <Request_x0020_Type xmlns="f7e53c2a-c5c2-4bbb-ab47-6d506cb60401" xsi:nil="true"/>
    <Linked_x0020_Documents xmlns="f7e53c2a-c5c2-4bbb-ab47-6d506cb60401" xsi:nil="true"/>
    <_dlc_Exempt xmlns="http://schemas.microsoft.com/sharepoint/v3" xsi:nil="true"/>
    <_dlc_DocId xmlns="f7e53c2a-c5c2-4bbb-ab47-6d506cb60401">DECCCHH-70-181541</_dlc_DocId>
    <_dlc_DocIdUrl xmlns="f7e53c2a-c5c2-4bbb-ab47-6d506cb60401">
      <Url>https://edrms.decc.gsi.gov.uk/ch/smf/PAC/_layouts/15/DocIdRedir.aspx?ID=DECCCHH-70-181541</Url>
      <Description>DECCCHH-70-181541</Description>
    </_dlc_DocIdUrl>
  </documentManagement>
</p:properties>
</file>

<file path=customXml/item4.xml><?xml version="1.0" encoding="utf-8"?>
<?mso-contentType ?>
<SharedContentType xmlns="Microsoft.SharePoint.Taxonomy.ContentTypeSync" SourceId="9c6981cf-ca77-4d25-a722-9ba9d442762a" ContentTypeId="0x01010020B27A3BB4AD4E469BDEA344273B4F22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8A9B9-81B9-408C-B163-37AB3A843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53c2a-c5c2-4bbb-ab47-6d506cb60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5ED254-65FA-4EC6-9267-AE77818AD5C8}">
  <ds:schemaRefs>
    <ds:schemaRef ds:uri="http://schemas.microsoft.com/sharepoint/events"/>
  </ds:schemaRefs>
</ds:datastoreItem>
</file>

<file path=customXml/itemProps3.xml><?xml version="1.0" encoding="utf-8"?>
<ds:datastoreItem xmlns:ds="http://schemas.openxmlformats.org/officeDocument/2006/customXml" ds:itemID="{4DD10F3C-9ECF-43FF-A7D7-35571C734593}">
  <ds:schemaRefs>
    <ds:schemaRef ds:uri="http://schemas.microsoft.com/office/2006/metadata/properties"/>
    <ds:schemaRef ds:uri="http://schemas.microsoft.com/office/infopath/2007/PartnerControls"/>
    <ds:schemaRef ds:uri="f7e53c2a-c5c2-4bbb-ab47-6d506cb60401"/>
    <ds:schemaRef ds:uri="http://schemas.microsoft.com/sharepoint/v3"/>
  </ds:schemaRefs>
</ds:datastoreItem>
</file>

<file path=customXml/itemProps4.xml><?xml version="1.0" encoding="utf-8"?>
<ds:datastoreItem xmlns:ds="http://schemas.openxmlformats.org/officeDocument/2006/customXml" ds:itemID="{F971A3FD-4AF7-4988-8E3A-039ACD36B514}">
  <ds:schemaRefs>
    <ds:schemaRef ds:uri="Microsoft.SharePoint.Taxonomy.ContentTypeSync"/>
  </ds:schemaRefs>
</ds:datastoreItem>
</file>

<file path=customXml/itemProps5.xml><?xml version="1.0" encoding="utf-8"?>
<ds:datastoreItem xmlns:ds="http://schemas.openxmlformats.org/officeDocument/2006/customXml" ds:itemID="{CA74E3CF-7C53-4501-A526-114390F22978}">
  <ds:schemaRefs>
    <ds:schemaRef ds:uri="http://schemas.microsoft.com/sharepoint/v3/contenttype/forms"/>
  </ds:schemaRefs>
</ds:datastoreItem>
</file>

<file path=customXml/itemProps6.xml><?xml version="1.0" encoding="utf-8"?>
<ds:datastoreItem xmlns:ds="http://schemas.openxmlformats.org/officeDocument/2006/customXml" ds:itemID="{1ACA3701-4CFD-4DF0-9323-54102028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5438</Words>
  <Characters>30998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DECC Document Template - Standard Numbering</vt:lpstr>
    </vt:vector>
  </TitlesOfParts>
  <Manager>DECC</Manager>
  <Company>DECC</Company>
  <LinksUpToDate>false</LinksUpToDate>
  <CharactersWithSpaces>36364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Document Template - Standard Numbering</dc:title>
  <dc:subject>DECC Document Template - Standard Numbering</dc:subject>
  <dc:creator>Robinson Jane (Smart Meters)</dc:creator>
  <cp:lastModifiedBy>Barber Nicola (Heat &amp; Industry)</cp:lastModifiedBy>
  <cp:revision>2</cp:revision>
  <cp:lastPrinted>2017-10-02T15:20:00Z</cp:lastPrinted>
  <dcterms:created xsi:type="dcterms:W3CDTF">2017-12-01T15:58:00Z</dcterms:created>
  <dcterms:modified xsi:type="dcterms:W3CDTF">2017-12-01T15:58:00Z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0x01010020B27A3BB4AD4E469BDEA344273B4F220100737A66F8863FB84A89BEEFFA1A053860</vt:lpwstr>
  </property>
  <property fmtid="{D5CDD505-2E9C-101B-9397-08002B2CF9AE}" pid="3" name="_dlc_DocIdItemGuid">
    <vt:lpwstr>67c97bfc-e0f8-4ca7-b997-d1bcf097c47c</vt:lpwstr>
  </property>
</Properties>
</file>