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29C7" w14:textId="2E2CC640" w:rsidR="00543AA4" w:rsidRPr="00950AB7" w:rsidRDefault="00543AA4" w:rsidP="0097528A">
      <w:pPr>
        <w:jc w:val="center"/>
        <w:rPr>
          <w:rFonts w:ascii="Tahoma" w:hAnsi="Tahoma" w:cs="Tahoma"/>
          <w:color w:val="000000"/>
          <w:sz w:val="24"/>
          <w:szCs w:val="24"/>
        </w:rPr>
      </w:pPr>
      <w:r w:rsidRPr="00950AB7">
        <w:rPr>
          <w:rFonts w:ascii="Tahoma" w:hAnsi="Tahoma" w:cs="Tahoma"/>
          <w:bCs/>
          <w:noProof/>
          <w:sz w:val="24"/>
          <w:szCs w:val="24"/>
          <w:lang w:eastAsia="en-GB"/>
        </w:rPr>
        <mc:AlternateContent>
          <mc:Choice Requires="wps">
            <w:drawing>
              <wp:inline distT="0" distB="0" distL="0" distR="0" wp14:anchorId="1C53D37D" wp14:editId="6F791789">
                <wp:extent cx="6042991" cy="978010"/>
                <wp:effectExtent l="0" t="0" r="15240" b="12700"/>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978010"/>
                        </a:xfrm>
                        <a:prstGeom prst="rect">
                          <a:avLst/>
                        </a:prstGeom>
                        <a:solidFill>
                          <a:srgbClr val="FFFFFF"/>
                        </a:solidFill>
                        <a:ln w="12700">
                          <a:solidFill>
                            <a:srgbClr val="000000"/>
                          </a:solidFill>
                          <a:miter lim="800000"/>
                          <a:headEnd/>
                          <a:tailEnd/>
                        </a:ln>
                      </wps:spPr>
                      <wps:txbx>
                        <w:txbxContent>
                          <w:p w14:paraId="7003FB8E" w14:textId="77777777" w:rsidR="00665022" w:rsidRPr="00543AA4" w:rsidRDefault="00665022" w:rsidP="00543AA4">
                            <w:pPr>
                              <w:pStyle w:val="NormalWeb"/>
                              <w:rPr>
                                <w:rFonts w:ascii="Tahoma" w:hAnsi="Tahoma" w:cs="Tahoma"/>
                                <w:sz w:val="32"/>
                                <w:szCs w:val="32"/>
                              </w:rPr>
                            </w:pPr>
                            <w:r w:rsidRPr="00543AA4">
                              <w:rPr>
                                <w:rFonts w:ascii="Tahoma" w:hAnsi="Tahoma" w:cs="Tahoma"/>
                                <w:b/>
                                <w:bCs/>
                                <w:color w:val="000000"/>
                                <w:sz w:val="32"/>
                                <w:szCs w:val="32"/>
                              </w:rPr>
                              <w:t>Further education and skills inspections and outcomes</w:t>
                            </w:r>
                            <w:r w:rsidRPr="00543AA4">
                              <w:rPr>
                                <w:rFonts w:ascii="Tahoma" w:hAnsi="Tahoma" w:cs="Tahoma"/>
                                <w:sz w:val="32"/>
                                <w:szCs w:val="32"/>
                              </w:rPr>
                              <w:t xml:space="preserve"> </w:t>
                            </w:r>
                          </w:p>
                          <w:p w14:paraId="63D66DB8" w14:textId="77777777" w:rsidR="00665022" w:rsidRPr="005055AF" w:rsidRDefault="00665022" w:rsidP="00543AA4">
                            <w:pPr>
                              <w:rPr>
                                <w:color w:val="000000"/>
                                <w:sz w:val="16"/>
                                <w:szCs w:val="16"/>
                              </w:rPr>
                            </w:pPr>
                          </w:p>
                          <w:p w14:paraId="7F9242DA" w14:textId="5D191AEC" w:rsidR="00665022" w:rsidRPr="00950AB7" w:rsidRDefault="00665022" w:rsidP="00164836">
                            <w:pPr>
                              <w:pStyle w:val="NormalWeb"/>
                              <w:numPr>
                                <w:ilvl w:val="0"/>
                                <w:numId w:val="5"/>
                              </w:numPr>
                              <w:rPr>
                                <w:rFonts w:ascii="Tahoma" w:eastAsia="Tahoma" w:hAnsi="Tahoma" w:cs="Tahoma"/>
                                <w:color w:val="000000"/>
                                <w:sz w:val="20"/>
                                <w:szCs w:val="20"/>
                              </w:rPr>
                            </w:pPr>
                            <w:r w:rsidRPr="00950AB7">
                              <w:rPr>
                                <w:rFonts w:ascii="Tahoma" w:eastAsia="Tahoma" w:hAnsi="Tahoma" w:cs="Tahoma"/>
                                <w:color w:val="000000"/>
                                <w:sz w:val="20"/>
                                <w:szCs w:val="20"/>
                              </w:rPr>
                              <w:t>provisional data for the most recent inspection</w:t>
                            </w:r>
                            <w:r w:rsidR="000C4CCB">
                              <w:rPr>
                                <w:rFonts w:ascii="Tahoma" w:eastAsia="Tahoma" w:hAnsi="Tahoma" w:cs="Tahoma"/>
                                <w:color w:val="000000"/>
                                <w:sz w:val="20"/>
                                <w:szCs w:val="20"/>
                              </w:rPr>
                              <w:t>s and</w:t>
                            </w:r>
                            <w:bookmarkStart w:id="0" w:name="_GoBack"/>
                            <w:bookmarkEnd w:id="0"/>
                            <w:r w:rsidRPr="00950AB7">
                              <w:rPr>
                                <w:rFonts w:ascii="Tahoma" w:eastAsia="Tahoma" w:hAnsi="Tahoma" w:cs="Tahoma"/>
                                <w:color w:val="000000"/>
                                <w:sz w:val="20"/>
                                <w:szCs w:val="20"/>
                              </w:rPr>
                              <w:t xml:space="preserve"> outcomes as at 31 August 2017</w:t>
                            </w:r>
                          </w:p>
                          <w:p w14:paraId="025EA673" w14:textId="36CD73BA" w:rsidR="00665022" w:rsidRPr="00950AB7" w:rsidRDefault="00665022" w:rsidP="00543AA4">
                            <w:pPr>
                              <w:pStyle w:val="NormalWeb"/>
                              <w:numPr>
                                <w:ilvl w:val="0"/>
                                <w:numId w:val="5"/>
                              </w:numPr>
                              <w:rPr>
                                <w:rFonts w:ascii="Tahoma" w:eastAsia="Tahoma" w:hAnsi="Tahoma" w:cs="Tahoma"/>
                                <w:color w:val="000000"/>
                                <w:sz w:val="20"/>
                                <w:szCs w:val="20"/>
                              </w:rPr>
                            </w:pPr>
                            <w:r w:rsidRPr="00950AB7">
                              <w:rPr>
                                <w:rFonts w:ascii="Tahoma" w:eastAsia="Tahoma" w:hAnsi="Tahoma" w:cs="Tahoma"/>
                                <w:color w:val="000000"/>
                                <w:sz w:val="20"/>
                                <w:szCs w:val="20"/>
                              </w:rPr>
                              <w:t>provisional data for inspections conducted between 1 September 2016 and 31 August 2017</w:t>
                            </w:r>
                          </w:p>
                          <w:p w14:paraId="1052E66D" w14:textId="4A5CCD35" w:rsidR="00665022" w:rsidRPr="00950AB7" w:rsidRDefault="00665022" w:rsidP="000E3360">
                            <w:pPr>
                              <w:pStyle w:val="NormalWeb"/>
                              <w:numPr>
                                <w:ilvl w:val="0"/>
                                <w:numId w:val="5"/>
                              </w:numPr>
                              <w:rPr>
                                <w:rFonts w:eastAsia="Tahoma"/>
                                <w:color w:val="000000"/>
                                <w:sz w:val="20"/>
                                <w:szCs w:val="20"/>
                              </w:rPr>
                            </w:pPr>
                            <w:r w:rsidRPr="00950AB7">
                              <w:rPr>
                                <w:rFonts w:ascii="Tahoma" w:eastAsia="Tahoma" w:hAnsi="Tahoma" w:cs="Tahoma"/>
                                <w:color w:val="000000"/>
                                <w:sz w:val="20"/>
                                <w:szCs w:val="20"/>
                              </w:rPr>
                              <w:t>revised data for inspections conducted between 1 September 2016 and 28 February 2017</w:t>
                            </w:r>
                          </w:p>
                          <w:p w14:paraId="5CFA7B23" w14:textId="77777777" w:rsidR="00665022" w:rsidRPr="00543AA4" w:rsidRDefault="00665022" w:rsidP="00543AA4">
                            <w:pPr>
                              <w:pStyle w:val="NormalWeb"/>
                              <w:numPr>
                                <w:ilvl w:val="0"/>
                                <w:numId w:val="5"/>
                              </w:numPr>
                              <w:rPr>
                                <w:rFonts w:ascii="Tahoma" w:eastAsia="Tahoma" w:hAnsi="Tahoma" w:cs="Tahoma"/>
                                <w:color w:val="000000"/>
                                <w:sz w:val="20"/>
                                <w:szCs w:val="20"/>
                              </w:rPr>
                            </w:pPr>
                          </w:p>
                        </w:txbxContent>
                      </wps:txbx>
                      <wps:bodyPr rot="0" vert="horz" wrap="square" lIns="91440" tIns="45720" rIns="91440" bIns="45720" anchor="t" anchorCtr="0" upright="1">
                        <a:noAutofit/>
                      </wps:bodyPr>
                    </wps:wsp>
                  </a:graphicData>
                </a:graphic>
              </wp:inline>
            </w:drawing>
          </mc:Choice>
          <mc:Fallback>
            <w:pict>
              <v:shapetype w14:anchorId="1C53D37D" id="_x0000_t202" coordsize="21600,21600" o:spt="202" path="m,l,21600r21600,l21600,xe">
                <v:stroke joinstyle="miter"/>
                <v:path gradientshapeok="t" o:connecttype="rect"/>
              </v:shapetype>
              <v:shape id="TextBox 1" o:spid="_x0000_s1026" type="#_x0000_t202" style="width:475.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" strokeweight="1pt">
                <v:textbox>
                  <w:txbxContent>
                    <w:p w14:paraId="7003FB8E" w14:textId="77777777" w:rsidR="00665022" w:rsidRPr="00543AA4" w:rsidRDefault="00665022" w:rsidP="00543AA4">
                      <w:pPr>
                        <w:pStyle w:val="NormalWeb"/>
                        <w:rPr>
                          <w:rFonts w:ascii="Tahoma" w:hAnsi="Tahoma" w:cs="Tahoma"/>
                          <w:sz w:val="32"/>
                          <w:szCs w:val="32"/>
                        </w:rPr>
                      </w:pPr>
                      <w:r w:rsidRPr="00543AA4">
                        <w:rPr>
                          <w:rFonts w:ascii="Tahoma" w:hAnsi="Tahoma" w:cs="Tahoma"/>
                          <w:b/>
                          <w:bCs/>
                          <w:color w:val="000000"/>
                          <w:sz w:val="32"/>
                          <w:szCs w:val="32"/>
                        </w:rPr>
                        <w:t>Further education and skills inspections and outcomes</w:t>
                      </w:r>
                      <w:r w:rsidRPr="00543AA4">
                        <w:rPr>
                          <w:rFonts w:ascii="Tahoma" w:hAnsi="Tahoma" w:cs="Tahoma"/>
                          <w:sz w:val="32"/>
                          <w:szCs w:val="32"/>
                        </w:rPr>
                        <w:t xml:space="preserve"> </w:t>
                      </w:r>
                    </w:p>
                    <w:p w14:paraId="63D66DB8" w14:textId="77777777" w:rsidR="00665022" w:rsidRPr="005055AF" w:rsidRDefault="00665022" w:rsidP="00543AA4">
                      <w:pPr>
                        <w:rPr>
                          <w:color w:val="000000"/>
                          <w:sz w:val="16"/>
                          <w:szCs w:val="16"/>
                        </w:rPr>
                      </w:pPr>
                    </w:p>
                    <w:p w14:paraId="7F9242DA" w14:textId="5D191AEC" w:rsidR="00665022" w:rsidRPr="00950AB7" w:rsidRDefault="00665022" w:rsidP="00164836">
                      <w:pPr>
                        <w:pStyle w:val="NormalWeb"/>
                        <w:numPr>
                          <w:ilvl w:val="0"/>
                          <w:numId w:val="5"/>
                        </w:numPr>
                        <w:rPr>
                          <w:rFonts w:ascii="Tahoma" w:eastAsia="Tahoma" w:hAnsi="Tahoma" w:cs="Tahoma"/>
                          <w:color w:val="000000"/>
                          <w:sz w:val="20"/>
                          <w:szCs w:val="20"/>
                        </w:rPr>
                      </w:pPr>
                      <w:r w:rsidRPr="00950AB7">
                        <w:rPr>
                          <w:rFonts w:ascii="Tahoma" w:eastAsia="Tahoma" w:hAnsi="Tahoma" w:cs="Tahoma"/>
                          <w:color w:val="000000"/>
                          <w:sz w:val="20"/>
                          <w:szCs w:val="20"/>
                        </w:rPr>
                        <w:t>provisional data for the most recent inspection</w:t>
                      </w:r>
                      <w:r w:rsidR="000C4CCB">
                        <w:rPr>
                          <w:rFonts w:ascii="Tahoma" w:eastAsia="Tahoma" w:hAnsi="Tahoma" w:cs="Tahoma"/>
                          <w:color w:val="000000"/>
                          <w:sz w:val="20"/>
                          <w:szCs w:val="20"/>
                        </w:rPr>
                        <w:t>s and</w:t>
                      </w:r>
                      <w:bookmarkStart w:id="1" w:name="_GoBack"/>
                      <w:bookmarkEnd w:id="1"/>
                      <w:r w:rsidRPr="00950AB7">
                        <w:rPr>
                          <w:rFonts w:ascii="Tahoma" w:eastAsia="Tahoma" w:hAnsi="Tahoma" w:cs="Tahoma"/>
                          <w:color w:val="000000"/>
                          <w:sz w:val="20"/>
                          <w:szCs w:val="20"/>
                        </w:rPr>
                        <w:t xml:space="preserve"> outcomes as at 31 August 2017</w:t>
                      </w:r>
                    </w:p>
                    <w:p w14:paraId="025EA673" w14:textId="36CD73BA" w:rsidR="00665022" w:rsidRPr="00950AB7" w:rsidRDefault="00665022" w:rsidP="00543AA4">
                      <w:pPr>
                        <w:pStyle w:val="NormalWeb"/>
                        <w:numPr>
                          <w:ilvl w:val="0"/>
                          <w:numId w:val="5"/>
                        </w:numPr>
                        <w:rPr>
                          <w:rFonts w:ascii="Tahoma" w:eastAsia="Tahoma" w:hAnsi="Tahoma" w:cs="Tahoma"/>
                          <w:color w:val="000000"/>
                          <w:sz w:val="20"/>
                          <w:szCs w:val="20"/>
                        </w:rPr>
                      </w:pPr>
                      <w:r w:rsidRPr="00950AB7">
                        <w:rPr>
                          <w:rFonts w:ascii="Tahoma" w:eastAsia="Tahoma" w:hAnsi="Tahoma" w:cs="Tahoma"/>
                          <w:color w:val="000000"/>
                          <w:sz w:val="20"/>
                          <w:szCs w:val="20"/>
                        </w:rPr>
                        <w:t>provisional data for inspections conducted between 1 September 2016 and 31 August 2017</w:t>
                      </w:r>
                    </w:p>
                    <w:p w14:paraId="1052E66D" w14:textId="4A5CCD35" w:rsidR="00665022" w:rsidRPr="00950AB7" w:rsidRDefault="00665022" w:rsidP="000E3360">
                      <w:pPr>
                        <w:pStyle w:val="NormalWeb"/>
                        <w:numPr>
                          <w:ilvl w:val="0"/>
                          <w:numId w:val="5"/>
                        </w:numPr>
                        <w:rPr>
                          <w:rFonts w:eastAsia="Tahoma"/>
                          <w:color w:val="000000"/>
                          <w:sz w:val="20"/>
                          <w:szCs w:val="20"/>
                        </w:rPr>
                      </w:pPr>
                      <w:r w:rsidRPr="00950AB7">
                        <w:rPr>
                          <w:rFonts w:ascii="Tahoma" w:eastAsia="Tahoma" w:hAnsi="Tahoma" w:cs="Tahoma"/>
                          <w:color w:val="000000"/>
                          <w:sz w:val="20"/>
                          <w:szCs w:val="20"/>
                        </w:rPr>
                        <w:t>revised data for inspections conducted between 1 September 2016 and 28 February 2017</w:t>
                      </w:r>
                    </w:p>
                    <w:p w14:paraId="5CFA7B23" w14:textId="77777777" w:rsidR="00665022" w:rsidRPr="00543AA4" w:rsidRDefault="00665022" w:rsidP="00543AA4">
                      <w:pPr>
                        <w:pStyle w:val="NormalWeb"/>
                        <w:numPr>
                          <w:ilvl w:val="0"/>
                          <w:numId w:val="5"/>
                        </w:numPr>
                        <w:rPr>
                          <w:rFonts w:ascii="Tahoma" w:eastAsia="Tahoma" w:hAnsi="Tahoma" w:cs="Tahoma"/>
                          <w:color w:val="000000"/>
                          <w:sz w:val="20"/>
                          <w:szCs w:val="20"/>
                        </w:rPr>
                      </w:pPr>
                    </w:p>
                  </w:txbxContent>
                </v:textbox>
                <w10:anchorlock/>
              </v:shape>
            </w:pict>
          </mc:Fallback>
        </mc:AlternateContent>
      </w:r>
    </w:p>
    <w:p w14:paraId="2843A151" w14:textId="77777777" w:rsidR="00543AA4" w:rsidRPr="00950AB7" w:rsidRDefault="00543AA4" w:rsidP="00543AA4">
      <w:pPr>
        <w:rPr>
          <w:rFonts w:ascii="Tahoma" w:hAnsi="Tahoma" w:cs="Tahoma"/>
          <w:color w:val="000000"/>
          <w:sz w:val="8"/>
          <w:szCs w:val="8"/>
        </w:rPr>
      </w:pPr>
    </w:p>
    <w:p w14:paraId="45907B17" w14:textId="77777777" w:rsidR="00543AA4" w:rsidRPr="00950AB7" w:rsidRDefault="00543AA4" w:rsidP="00543AA4">
      <w:pPr>
        <w:rPr>
          <w:rFonts w:ascii="Tahoma" w:hAnsi="Tahoma" w:cs="Tahoma"/>
          <w:color w:val="000000"/>
          <w:sz w:val="8"/>
          <w:szCs w:val="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6"/>
        <w:gridCol w:w="5900"/>
      </w:tblGrid>
      <w:tr w:rsidR="001115CE" w:rsidRPr="00950AB7" w14:paraId="793B3A59" w14:textId="77777777" w:rsidTr="00FC3A49">
        <w:trPr>
          <w:trHeight w:val="1254"/>
        </w:trPr>
        <w:tc>
          <w:tcPr>
            <w:tcW w:w="4096" w:type="dxa"/>
            <w:tcBorders>
              <w:top w:val="single" w:sz="12" w:space="0" w:color="A6A6A6"/>
              <w:left w:val="single" w:sz="12" w:space="0" w:color="FFFFFF"/>
              <w:bottom w:val="nil"/>
              <w:right w:val="single" w:sz="12" w:space="0" w:color="FFFFFF"/>
            </w:tcBorders>
            <w:shd w:val="clear" w:color="auto" w:fill="auto"/>
          </w:tcPr>
          <w:p w14:paraId="3F64F7B6" w14:textId="77777777" w:rsidR="001115CE" w:rsidRPr="00950AB7" w:rsidRDefault="001115CE" w:rsidP="001115CE">
            <w:pPr>
              <w:rPr>
                <w:rFonts w:ascii="Tahoma" w:hAnsi="Tahoma" w:cs="Tahoma"/>
                <w:sz w:val="8"/>
                <w:szCs w:val="8"/>
              </w:rPr>
            </w:pPr>
          </w:p>
          <w:p w14:paraId="1F7FDEEE" w14:textId="55B9B8F4" w:rsidR="001115CE" w:rsidRPr="00950AB7" w:rsidRDefault="00211D3F" w:rsidP="00211D3F">
            <w:pPr>
              <w:rPr>
                <w:rFonts w:ascii="Tahoma" w:hAnsi="Tahoma" w:cs="Tahoma"/>
                <w:sz w:val="24"/>
                <w:szCs w:val="24"/>
              </w:rPr>
            </w:pPr>
            <w:r w:rsidRPr="00950AB7">
              <w:rPr>
                <w:rFonts w:ascii="Tahoma" w:hAnsi="Tahoma" w:cs="Tahoma"/>
                <w:sz w:val="24"/>
                <w:szCs w:val="24"/>
              </w:rPr>
              <w:t>The number of sixth form colleges judged good or outstanding has reduced by a fifth</w:t>
            </w:r>
          </w:p>
        </w:tc>
        <w:tc>
          <w:tcPr>
            <w:tcW w:w="5900" w:type="dxa"/>
            <w:tcBorders>
              <w:top w:val="single" w:sz="12" w:space="0" w:color="A6A6A6"/>
              <w:left w:val="single" w:sz="12" w:space="0" w:color="FFFFFF"/>
              <w:bottom w:val="nil"/>
              <w:right w:val="single" w:sz="12" w:space="0" w:color="FFFFFF"/>
            </w:tcBorders>
            <w:shd w:val="clear" w:color="auto" w:fill="auto"/>
          </w:tcPr>
          <w:p w14:paraId="079813D3" w14:textId="77777777" w:rsidR="001115CE" w:rsidRPr="00950AB7" w:rsidRDefault="001115CE" w:rsidP="001115CE">
            <w:pPr>
              <w:rPr>
                <w:rFonts w:ascii="Tahoma" w:hAnsi="Tahoma" w:cs="Tahoma"/>
                <w:sz w:val="8"/>
                <w:szCs w:val="8"/>
              </w:rPr>
            </w:pPr>
          </w:p>
          <w:p w14:paraId="79778521" w14:textId="66C94669" w:rsidR="001115CE" w:rsidRPr="00950AB7" w:rsidRDefault="00211D3F" w:rsidP="00211D3F">
            <w:pPr>
              <w:rPr>
                <w:rFonts w:ascii="Tahoma" w:eastAsia="Times New Roman" w:hAnsi="Tahoma" w:cs="Tahoma"/>
                <w:bCs/>
                <w:sz w:val="8"/>
                <w:szCs w:val="8"/>
                <w:lang w:eastAsia="en-GB"/>
              </w:rPr>
            </w:pPr>
            <w:r w:rsidRPr="00950AB7">
              <w:rPr>
                <w:rFonts w:ascii="Tahoma" w:eastAsia="Times New Roman" w:hAnsi="Tahoma" w:cs="Tahoma"/>
                <w:bCs/>
                <w:sz w:val="24"/>
                <w:szCs w:val="24"/>
                <w:lang w:eastAsia="en-GB"/>
              </w:rPr>
              <w:t>This can be attributed to a drop in performance at inspection this year and to the reduction in the number of good and outstanding sixth form colleges as a result of mergers and conversions to academies. This affected the proportion of sixth form colleges judged good or outstanding, which declined by eight percentage points</w:t>
            </w:r>
            <w:r w:rsidR="00B70F4A" w:rsidRPr="00950AB7">
              <w:rPr>
                <w:rFonts w:ascii="Tahoma" w:eastAsia="Times New Roman" w:hAnsi="Tahoma" w:cs="Tahoma"/>
                <w:bCs/>
                <w:sz w:val="24"/>
                <w:szCs w:val="24"/>
                <w:lang w:eastAsia="en-GB"/>
              </w:rPr>
              <w:t xml:space="preserve">.   </w:t>
            </w:r>
          </w:p>
        </w:tc>
      </w:tr>
      <w:tr w:rsidR="00543AA4" w:rsidRPr="00950AB7" w14:paraId="6C88CFCB" w14:textId="77777777" w:rsidTr="00785756">
        <w:trPr>
          <w:trHeight w:val="682"/>
        </w:trPr>
        <w:tc>
          <w:tcPr>
            <w:tcW w:w="9996" w:type="dxa"/>
            <w:gridSpan w:val="2"/>
            <w:tcBorders>
              <w:top w:val="nil"/>
              <w:left w:val="nil"/>
              <w:bottom w:val="nil"/>
              <w:right w:val="nil"/>
            </w:tcBorders>
            <w:shd w:val="clear" w:color="auto" w:fill="auto"/>
          </w:tcPr>
          <w:p w14:paraId="39139E0F" w14:textId="3CE7ED12" w:rsidR="001115CE" w:rsidRPr="00950AB7" w:rsidRDefault="001115CE" w:rsidP="008C2F1E">
            <w:pPr>
              <w:rPr>
                <w:rFonts w:ascii="Tahoma" w:hAnsi="Tahoma" w:cs="Tahoma"/>
                <w:sz w:val="8"/>
                <w:szCs w:val="8"/>
              </w:rPr>
            </w:pPr>
          </w:p>
          <w:p w14:paraId="2358897F" w14:textId="77777777" w:rsidR="00785756" w:rsidRPr="00950AB7" w:rsidRDefault="00785756" w:rsidP="00785756">
            <w:pPr>
              <w:rPr>
                <w:rFonts w:ascii="Tahoma" w:hAnsi="Tahoma" w:cs="Tahoma"/>
                <w:b/>
                <w:sz w:val="24"/>
                <w:szCs w:val="24"/>
              </w:rPr>
            </w:pPr>
            <w:r w:rsidRPr="00950AB7">
              <w:rPr>
                <w:rFonts w:ascii="Tahoma" w:hAnsi="Tahoma" w:cs="Tahoma"/>
                <w:b/>
                <w:sz w:val="24"/>
                <w:szCs w:val="24"/>
              </w:rPr>
              <w:t>Figure 1: Proportion of sixth form colleges judged good or outstanding for overall effectiveness at their most recent inspection, over time</w:t>
            </w:r>
          </w:p>
          <w:p w14:paraId="10A0311D" w14:textId="2A88B3F1" w:rsidR="00FC3A49" w:rsidRPr="00950AB7" w:rsidRDefault="00FC3A49" w:rsidP="00FC3A49">
            <w:pPr>
              <w:spacing w:before="80"/>
              <w:rPr>
                <w:rFonts w:ascii="Tahoma" w:hAnsi="Tahoma" w:cs="Tahoma"/>
                <w:sz w:val="20"/>
                <w:szCs w:val="20"/>
              </w:rPr>
            </w:pPr>
            <w:r w:rsidRPr="00950AB7">
              <w:rPr>
                <w:rFonts w:ascii="Tahoma" w:hAnsi="Tahoma" w:cs="Tahoma"/>
                <w:sz w:val="20"/>
                <w:szCs w:val="20"/>
              </w:rPr>
              <w:t>Number of sixth form colleges in brackets</w:t>
            </w:r>
          </w:p>
        </w:tc>
      </w:tr>
      <w:tr w:rsidR="00543AA4" w:rsidRPr="00950AB7" w14:paraId="11E646C1" w14:textId="77777777" w:rsidTr="00962320">
        <w:trPr>
          <w:trHeight w:val="397"/>
        </w:trPr>
        <w:tc>
          <w:tcPr>
            <w:tcW w:w="9996" w:type="dxa"/>
            <w:gridSpan w:val="2"/>
            <w:tcBorders>
              <w:top w:val="single" w:sz="12" w:space="0" w:color="FFFFFF"/>
              <w:left w:val="nil"/>
              <w:bottom w:val="single" w:sz="12" w:space="0" w:color="A6A6A6"/>
              <w:right w:val="nil"/>
            </w:tcBorders>
            <w:shd w:val="clear" w:color="auto" w:fill="auto"/>
          </w:tcPr>
          <w:p w14:paraId="5982C90F" w14:textId="6D317060" w:rsidR="001115CE" w:rsidRPr="00950AB7" w:rsidRDefault="000B00E1" w:rsidP="00543AA4">
            <w:pPr>
              <w:jc w:val="both"/>
              <w:rPr>
                <w:rFonts w:ascii="Tahoma" w:eastAsia="Times New Roman" w:hAnsi="Tahoma" w:cs="Tahoma"/>
                <w:bCs/>
                <w:sz w:val="16"/>
                <w:szCs w:val="16"/>
                <w:lang w:eastAsia="en-GB"/>
              </w:rPr>
            </w:pPr>
            <w:r w:rsidRPr="00950AB7">
              <w:rPr>
                <w:rFonts w:ascii="Tahoma" w:eastAsia="Times New Roman" w:hAnsi="Tahoma" w:cs="Tahoma"/>
                <w:bCs/>
                <w:noProof/>
                <w:sz w:val="16"/>
                <w:szCs w:val="16"/>
                <w:lang w:eastAsia="en-GB"/>
              </w:rPr>
              <w:drawing>
                <wp:inline distT="0" distB="0" distL="0" distR="0" wp14:anchorId="38CFC5A3" wp14:editId="65729AC2">
                  <wp:extent cx="6188075" cy="2614552"/>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a:extLst>
                              <a:ext uri="{28A0092B-C50C-407E-A947-70E740481C1C}">
                                <a14:useLocalDpi xmlns:a14="http://schemas.microsoft.com/office/drawing/2010/main" val="0"/>
                              </a:ext>
                            </a:extLst>
                          </a:blip>
                          <a:srcRect t="2648" b="11930"/>
                          <a:stretch/>
                        </pic:blipFill>
                        <pic:spPr bwMode="auto">
                          <a:xfrm>
                            <a:off x="0" y="0"/>
                            <a:ext cx="6188075" cy="2614552"/>
                          </a:xfrm>
                          <a:prstGeom prst="rect">
                            <a:avLst/>
                          </a:prstGeom>
                          <a:noFill/>
                          <a:ln>
                            <a:noFill/>
                          </a:ln>
                          <a:extLst>
                            <a:ext uri="{53640926-AAD7-44D8-BBD7-CCE9431645EC}">
                              <a14:shadowObscured xmlns:a14="http://schemas.microsoft.com/office/drawing/2010/main"/>
                            </a:ext>
                          </a:extLst>
                        </pic:spPr>
                      </pic:pic>
                    </a:graphicData>
                  </a:graphic>
                </wp:inline>
              </w:drawing>
            </w:r>
          </w:p>
          <w:p w14:paraId="05965D0E" w14:textId="747C9B8E" w:rsidR="00543AA4" w:rsidRPr="00950AB7" w:rsidRDefault="00543AA4" w:rsidP="00785756">
            <w:pPr>
              <w:pStyle w:val="ListParagraph"/>
              <w:numPr>
                <w:ilvl w:val="0"/>
                <w:numId w:val="31"/>
              </w:numPr>
              <w:ind w:left="303" w:hanging="303"/>
              <w:jc w:val="both"/>
              <w:rPr>
                <w:rFonts w:ascii="Tahoma" w:eastAsia="Times New Roman" w:hAnsi="Tahoma" w:cs="Tahoma"/>
                <w:bCs/>
                <w:sz w:val="16"/>
                <w:szCs w:val="16"/>
                <w:lang w:eastAsia="en-GB"/>
              </w:rPr>
            </w:pPr>
            <w:r w:rsidRPr="00950AB7">
              <w:rPr>
                <w:rFonts w:ascii="Tahoma" w:eastAsia="Times New Roman" w:hAnsi="Tahoma" w:cs="Tahoma"/>
                <w:bCs/>
                <w:sz w:val="16"/>
                <w:szCs w:val="16"/>
                <w:lang w:eastAsia="en-GB"/>
              </w:rPr>
              <w:t xml:space="preserve">Figures for 2015 onwards are not comparable to previous years. A different methodology has been used to calculate the percentage of providers judged good or outstanding, with providers that ceased to be funded or closed during the year no longer included. </w:t>
            </w:r>
          </w:p>
          <w:p w14:paraId="579889AB" w14:textId="77777777" w:rsidR="003714E8" w:rsidRPr="00950AB7" w:rsidRDefault="003714E8" w:rsidP="00785756">
            <w:pPr>
              <w:jc w:val="both"/>
              <w:rPr>
                <w:rFonts w:ascii="Tahoma" w:eastAsia="Times New Roman" w:hAnsi="Tahoma" w:cs="Tahoma"/>
                <w:sz w:val="8"/>
                <w:szCs w:val="8"/>
                <w:lang w:eastAsia="en-GB"/>
              </w:rPr>
            </w:pPr>
          </w:p>
        </w:tc>
      </w:tr>
      <w:tr w:rsidR="005343C9" w:rsidRPr="00950AB7" w14:paraId="6A9DA606" w14:textId="77777777" w:rsidTr="000E3360">
        <w:trPr>
          <w:trHeight w:val="405"/>
        </w:trPr>
        <w:tc>
          <w:tcPr>
            <w:tcW w:w="4096" w:type="dxa"/>
            <w:tcBorders>
              <w:top w:val="single" w:sz="12" w:space="0" w:color="A6A6A6"/>
              <w:left w:val="single" w:sz="12" w:space="0" w:color="FFFFFF"/>
              <w:bottom w:val="single" w:sz="12" w:space="0" w:color="A6A6A6"/>
              <w:right w:val="single" w:sz="12" w:space="0" w:color="FFFFFF"/>
            </w:tcBorders>
            <w:shd w:val="clear" w:color="auto" w:fill="auto"/>
          </w:tcPr>
          <w:p w14:paraId="5168A68F" w14:textId="77777777" w:rsidR="005343C9" w:rsidRPr="00950AB7" w:rsidRDefault="005343C9" w:rsidP="009A28FE">
            <w:pPr>
              <w:rPr>
                <w:rFonts w:ascii="Tahoma" w:hAnsi="Tahoma" w:cs="Tahoma"/>
                <w:sz w:val="8"/>
                <w:szCs w:val="8"/>
              </w:rPr>
            </w:pPr>
          </w:p>
          <w:p w14:paraId="36CA9B8F" w14:textId="7D824983" w:rsidR="005343C9" w:rsidRPr="00950AB7" w:rsidRDefault="005343C9" w:rsidP="00364A43">
            <w:pPr>
              <w:rPr>
                <w:rFonts w:ascii="Tahoma" w:hAnsi="Tahoma" w:cs="Tahoma"/>
                <w:sz w:val="8"/>
                <w:szCs w:val="8"/>
              </w:rPr>
            </w:pPr>
            <w:r w:rsidRPr="00950AB7">
              <w:rPr>
                <w:rFonts w:ascii="Tahoma" w:hAnsi="Tahoma" w:cs="Tahoma"/>
                <w:sz w:val="24"/>
                <w:szCs w:val="24"/>
              </w:rPr>
              <w:t xml:space="preserve">The proportion of community learning and skills providers judged good or outstanding during 2016/17 was higher than last year, at 78%  </w:t>
            </w:r>
          </w:p>
        </w:tc>
        <w:tc>
          <w:tcPr>
            <w:tcW w:w="5900" w:type="dxa"/>
            <w:tcBorders>
              <w:top w:val="single" w:sz="12" w:space="0" w:color="A6A6A6"/>
              <w:left w:val="single" w:sz="12" w:space="0" w:color="FFFFFF"/>
              <w:bottom w:val="single" w:sz="12" w:space="0" w:color="A6A6A6"/>
              <w:right w:val="single" w:sz="12" w:space="0" w:color="FFFFFF"/>
            </w:tcBorders>
            <w:shd w:val="clear" w:color="auto" w:fill="auto"/>
          </w:tcPr>
          <w:p w14:paraId="15BE8E19" w14:textId="77777777" w:rsidR="005343C9" w:rsidRPr="00950AB7" w:rsidRDefault="005343C9" w:rsidP="009A28FE">
            <w:pPr>
              <w:rPr>
                <w:rFonts w:ascii="Tahoma" w:hAnsi="Tahoma" w:cs="Tahoma"/>
                <w:sz w:val="8"/>
                <w:szCs w:val="8"/>
              </w:rPr>
            </w:pPr>
          </w:p>
          <w:p w14:paraId="4A5E240E" w14:textId="77777777" w:rsidR="005343C9" w:rsidRPr="00950AB7" w:rsidRDefault="005343C9" w:rsidP="009A28FE">
            <w:pPr>
              <w:rPr>
                <w:rFonts w:ascii="Tahoma" w:hAnsi="Tahoma" w:cs="Tahoma"/>
                <w:sz w:val="24"/>
                <w:szCs w:val="24"/>
              </w:rPr>
            </w:pPr>
            <w:r w:rsidRPr="00950AB7">
              <w:rPr>
                <w:rFonts w:ascii="Tahoma" w:hAnsi="Tahoma" w:cs="Tahoma"/>
                <w:sz w:val="24"/>
                <w:szCs w:val="24"/>
              </w:rPr>
              <w:t xml:space="preserve">A higher proportion of providers previously judged good remained good at inspection and a higher proportion of providers that previously required improvement improved to be good at inspection this year.  </w:t>
            </w:r>
          </w:p>
          <w:p w14:paraId="189A1829" w14:textId="77777777" w:rsidR="005343C9" w:rsidRPr="00950AB7" w:rsidRDefault="005343C9" w:rsidP="009A28FE">
            <w:pPr>
              <w:rPr>
                <w:rFonts w:ascii="Tahoma" w:hAnsi="Tahoma" w:cs="Tahoma"/>
                <w:sz w:val="8"/>
                <w:szCs w:val="8"/>
              </w:rPr>
            </w:pPr>
          </w:p>
        </w:tc>
      </w:tr>
      <w:tr w:rsidR="000E3360" w:rsidRPr="00950AB7" w14:paraId="1496686A" w14:textId="77777777" w:rsidTr="009A28FE">
        <w:trPr>
          <w:trHeight w:val="405"/>
        </w:trPr>
        <w:tc>
          <w:tcPr>
            <w:tcW w:w="4096" w:type="dxa"/>
            <w:tcBorders>
              <w:top w:val="single" w:sz="12" w:space="0" w:color="A6A6A6"/>
              <w:left w:val="single" w:sz="12" w:space="0" w:color="FFFFFF"/>
              <w:bottom w:val="nil"/>
              <w:right w:val="single" w:sz="12" w:space="0" w:color="FFFFFF"/>
            </w:tcBorders>
            <w:shd w:val="clear" w:color="auto" w:fill="auto"/>
          </w:tcPr>
          <w:p w14:paraId="095C84EA" w14:textId="77777777" w:rsidR="000E3360" w:rsidRPr="00950AB7" w:rsidRDefault="000E3360" w:rsidP="000E3360">
            <w:pPr>
              <w:rPr>
                <w:rFonts w:ascii="Tahoma" w:hAnsi="Tahoma" w:cs="Tahoma"/>
                <w:sz w:val="8"/>
                <w:szCs w:val="8"/>
              </w:rPr>
            </w:pPr>
          </w:p>
          <w:p w14:paraId="12B41CFE" w14:textId="3D63CAEB" w:rsidR="000E3360" w:rsidRPr="00950AB7" w:rsidRDefault="000E3360" w:rsidP="000E3360">
            <w:pPr>
              <w:rPr>
                <w:rFonts w:ascii="Tahoma" w:hAnsi="Tahoma" w:cs="Tahoma"/>
                <w:sz w:val="8"/>
                <w:szCs w:val="8"/>
              </w:rPr>
            </w:pPr>
            <w:r w:rsidRPr="00950AB7">
              <w:rPr>
                <w:rFonts w:ascii="Tahoma" w:hAnsi="Tahoma" w:cs="Tahoma"/>
                <w:sz w:val="24"/>
                <w:szCs w:val="24"/>
              </w:rPr>
              <w:t>A fifth of general further education colleges were involved in a merger during 2016/17</w:t>
            </w:r>
          </w:p>
        </w:tc>
        <w:tc>
          <w:tcPr>
            <w:tcW w:w="5900" w:type="dxa"/>
            <w:tcBorders>
              <w:top w:val="single" w:sz="12" w:space="0" w:color="A6A6A6"/>
              <w:left w:val="single" w:sz="12" w:space="0" w:color="FFFFFF"/>
              <w:bottom w:val="nil"/>
              <w:right w:val="single" w:sz="12" w:space="0" w:color="FFFFFF"/>
            </w:tcBorders>
            <w:shd w:val="clear" w:color="auto" w:fill="auto"/>
          </w:tcPr>
          <w:p w14:paraId="3081B356" w14:textId="77777777" w:rsidR="000E3360" w:rsidRPr="00950AB7" w:rsidRDefault="000E3360" w:rsidP="000E3360">
            <w:pPr>
              <w:rPr>
                <w:rFonts w:ascii="Tahoma" w:hAnsi="Tahoma" w:cs="Tahoma"/>
                <w:sz w:val="8"/>
                <w:szCs w:val="8"/>
              </w:rPr>
            </w:pPr>
          </w:p>
          <w:p w14:paraId="7AC9C7E6" w14:textId="77777777" w:rsidR="000E3360" w:rsidRPr="00950AB7" w:rsidRDefault="000E3360" w:rsidP="000E3360">
            <w:pPr>
              <w:rPr>
                <w:rFonts w:ascii="Tahoma" w:eastAsia="Times New Roman" w:hAnsi="Tahoma" w:cs="Tahoma"/>
                <w:bCs/>
                <w:sz w:val="24"/>
                <w:szCs w:val="24"/>
                <w:lang w:eastAsia="en-GB"/>
              </w:rPr>
            </w:pPr>
            <w:r w:rsidRPr="00950AB7">
              <w:rPr>
                <w:rFonts w:ascii="Tahoma" w:eastAsia="Times New Roman" w:hAnsi="Tahoma" w:cs="Tahoma"/>
                <w:bCs/>
                <w:sz w:val="24"/>
                <w:szCs w:val="24"/>
                <w:lang w:eastAsia="en-GB"/>
              </w:rPr>
              <w:t>Forty-two general further education colleges went through the mergers process this year, affecting around 285,000 learners.</w:t>
            </w:r>
          </w:p>
          <w:p w14:paraId="22C90375" w14:textId="77777777" w:rsidR="000E3360" w:rsidRPr="00950AB7" w:rsidRDefault="000E3360" w:rsidP="000E3360">
            <w:pPr>
              <w:rPr>
                <w:rFonts w:ascii="Tahoma" w:hAnsi="Tahoma" w:cs="Tahoma"/>
                <w:sz w:val="8"/>
                <w:szCs w:val="8"/>
              </w:rPr>
            </w:pPr>
          </w:p>
        </w:tc>
      </w:tr>
    </w:tbl>
    <w:bookmarkStart w:id="2" w:name="_Toc486330819" w:displacedByCustomXml="next"/>
    <w:bookmarkStart w:id="3" w:name="_Toc486330502" w:displacedByCustomXml="next"/>
    <w:bookmarkStart w:id="4" w:name="_Toc484088462" w:displacedByCustomXml="next"/>
    <w:sdt>
      <w:sdtPr>
        <w:rPr>
          <w:rFonts w:asciiTheme="minorHAnsi" w:eastAsiaTheme="minorHAnsi" w:hAnsiTheme="minorHAnsi" w:cstheme="minorBidi"/>
          <w:b w:val="0"/>
          <w:color w:val="auto"/>
          <w:sz w:val="22"/>
          <w:szCs w:val="22"/>
          <w:lang w:val="en-GB"/>
        </w:rPr>
        <w:id w:val="-2010743074"/>
        <w:docPartObj>
          <w:docPartGallery w:val="Table of Contents"/>
          <w:docPartUnique/>
        </w:docPartObj>
      </w:sdtPr>
      <w:sdtEndPr>
        <w:rPr>
          <w:bCs/>
          <w:noProof/>
        </w:rPr>
      </w:sdtEndPr>
      <w:sdtContent>
        <w:p w14:paraId="0EC431A8" w14:textId="07DD05FF" w:rsidR="00613BCA" w:rsidRPr="00950AB7" w:rsidRDefault="00613BCA">
          <w:pPr>
            <w:pStyle w:val="TOCHeading"/>
          </w:pPr>
          <w:r w:rsidRPr="00950AB7">
            <w:t>Contents</w:t>
          </w:r>
        </w:p>
        <w:p w14:paraId="61B42038" w14:textId="77777777" w:rsidR="00613BCA" w:rsidRPr="00950AB7" w:rsidRDefault="00613BCA">
          <w:pPr>
            <w:pStyle w:val="TOC2"/>
            <w:tabs>
              <w:tab w:val="right" w:leader="dot" w:pos="9628"/>
            </w:tabs>
            <w:rPr>
              <w:rFonts w:ascii="Tahoma" w:hAnsi="Tahoma" w:cs="Tahoma"/>
              <w:sz w:val="24"/>
              <w:szCs w:val="24"/>
            </w:rPr>
          </w:pPr>
        </w:p>
        <w:p w14:paraId="21094734" w14:textId="77777777" w:rsidR="000B00E1" w:rsidRPr="00950AB7" w:rsidRDefault="00613BCA">
          <w:pPr>
            <w:pStyle w:val="TOC2"/>
            <w:tabs>
              <w:tab w:val="right" w:leader="dot" w:pos="9628"/>
            </w:tabs>
            <w:rPr>
              <w:rFonts w:ascii="Tahoma" w:eastAsiaTheme="minorEastAsia" w:hAnsi="Tahoma" w:cs="Tahoma"/>
              <w:noProof/>
              <w:sz w:val="24"/>
              <w:szCs w:val="24"/>
              <w:lang w:eastAsia="en-GB"/>
            </w:rPr>
          </w:pPr>
          <w:r w:rsidRPr="00950AB7">
            <w:rPr>
              <w:rFonts w:ascii="Tahoma" w:hAnsi="Tahoma" w:cs="Tahoma"/>
              <w:sz w:val="24"/>
              <w:szCs w:val="24"/>
            </w:rPr>
            <w:fldChar w:fldCharType="begin"/>
          </w:r>
          <w:r w:rsidRPr="00950AB7">
            <w:rPr>
              <w:rFonts w:ascii="Tahoma" w:hAnsi="Tahoma" w:cs="Tahoma"/>
              <w:sz w:val="24"/>
              <w:szCs w:val="24"/>
            </w:rPr>
            <w:instrText xml:space="preserve"> TOC \o "1-3" \h \z \u </w:instrText>
          </w:r>
          <w:r w:rsidRPr="00950AB7">
            <w:rPr>
              <w:rFonts w:ascii="Tahoma" w:hAnsi="Tahoma" w:cs="Tahoma"/>
              <w:sz w:val="24"/>
              <w:szCs w:val="24"/>
            </w:rPr>
            <w:fldChar w:fldCharType="separate"/>
          </w:r>
          <w:hyperlink w:anchor="_Toc498611138" w:history="1">
            <w:r w:rsidR="000B00E1" w:rsidRPr="00950AB7">
              <w:rPr>
                <w:rStyle w:val="Hyperlink"/>
                <w:rFonts w:ascii="Tahoma" w:eastAsiaTheme="majorEastAsia" w:hAnsi="Tahoma" w:cs="Tahoma"/>
                <w:noProof/>
                <w:sz w:val="24"/>
                <w:szCs w:val="24"/>
              </w:rPr>
              <w:t>In-year inspection outcomes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_Toc498611138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3</w:t>
            </w:r>
            <w:r w:rsidR="000B00E1" w:rsidRPr="00950AB7">
              <w:rPr>
                <w:rFonts w:ascii="Tahoma" w:hAnsi="Tahoma" w:cs="Tahoma"/>
                <w:noProof/>
                <w:webHidden/>
                <w:sz w:val="24"/>
                <w:szCs w:val="24"/>
              </w:rPr>
              <w:fldChar w:fldCharType="end"/>
            </w:r>
          </w:hyperlink>
        </w:p>
        <w:p w14:paraId="7BFD488A" w14:textId="77777777" w:rsidR="000B00E1" w:rsidRPr="00950AB7" w:rsidRDefault="000C4CCB">
          <w:pPr>
            <w:pStyle w:val="TOC2"/>
            <w:tabs>
              <w:tab w:val="right" w:leader="dot" w:pos="9628"/>
            </w:tabs>
            <w:rPr>
              <w:rFonts w:ascii="Tahoma" w:eastAsiaTheme="minorEastAsia" w:hAnsi="Tahoma" w:cs="Tahoma"/>
              <w:noProof/>
              <w:sz w:val="24"/>
              <w:szCs w:val="24"/>
              <w:lang w:eastAsia="en-GB"/>
            </w:rPr>
          </w:pPr>
          <w:hyperlink w:anchor="_Toc498611139" w:history="1">
            <w:r w:rsidR="000B00E1" w:rsidRPr="00950AB7">
              <w:rPr>
                <w:rStyle w:val="Hyperlink"/>
                <w:rFonts w:ascii="Tahoma" w:eastAsiaTheme="majorEastAsia" w:hAnsi="Tahoma" w:cs="Tahoma"/>
                <w:noProof/>
                <w:sz w:val="24"/>
                <w:szCs w:val="24"/>
              </w:rPr>
              <w:t>Most recent inspection outcomes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_Toc498611139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4</w:t>
            </w:r>
            <w:r w:rsidR="000B00E1" w:rsidRPr="00950AB7">
              <w:rPr>
                <w:rFonts w:ascii="Tahoma" w:hAnsi="Tahoma" w:cs="Tahoma"/>
                <w:noProof/>
                <w:webHidden/>
                <w:sz w:val="24"/>
                <w:szCs w:val="24"/>
              </w:rPr>
              <w:fldChar w:fldCharType="end"/>
            </w:r>
          </w:hyperlink>
        </w:p>
        <w:p w14:paraId="4F258F11" w14:textId="77777777" w:rsidR="000B00E1" w:rsidRPr="00950AB7" w:rsidRDefault="000B00E1">
          <w:pPr>
            <w:pStyle w:val="TOC1"/>
            <w:tabs>
              <w:tab w:val="right" w:leader="dot" w:pos="9628"/>
            </w:tabs>
            <w:rPr>
              <w:rStyle w:val="Hyperlink"/>
              <w:rFonts w:ascii="Tahoma" w:hAnsi="Tahoma" w:cs="Tahoma"/>
              <w:noProof/>
              <w:sz w:val="24"/>
              <w:szCs w:val="24"/>
            </w:rPr>
          </w:pPr>
        </w:p>
        <w:p w14:paraId="3ED4CE3E" w14:textId="77777777" w:rsidR="000B00E1" w:rsidRPr="00950AB7" w:rsidRDefault="000C4CCB">
          <w:pPr>
            <w:pStyle w:val="TOC1"/>
            <w:tabs>
              <w:tab w:val="right" w:leader="dot" w:pos="9628"/>
            </w:tabs>
            <w:rPr>
              <w:rFonts w:ascii="Tahoma" w:eastAsiaTheme="minorEastAsia" w:hAnsi="Tahoma" w:cs="Tahoma"/>
              <w:noProof/>
              <w:sz w:val="24"/>
              <w:szCs w:val="24"/>
              <w:lang w:eastAsia="en-GB"/>
            </w:rPr>
          </w:pPr>
          <w:hyperlink w:anchor="_Toc498611140" w:history="1">
            <w:r w:rsidR="000B00E1" w:rsidRPr="00950AB7">
              <w:rPr>
                <w:rStyle w:val="Hyperlink"/>
                <w:rFonts w:ascii="Tahoma" w:eastAsiaTheme="majorEastAsia" w:hAnsi="Tahoma" w:cs="Tahoma"/>
                <w:noProof/>
                <w:sz w:val="24"/>
                <w:szCs w:val="24"/>
              </w:rPr>
              <w:t>Main findings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_Toc498611140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5</w:t>
            </w:r>
            <w:r w:rsidR="000B00E1" w:rsidRPr="00950AB7">
              <w:rPr>
                <w:rFonts w:ascii="Tahoma" w:hAnsi="Tahoma" w:cs="Tahoma"/>
                <w:noProof/>
                <w:webHidden/>
                <w:sz w:val="24"/>
                <w:szCs w:val="24"/>
              </w:rPr>
              <w:fldChar w:fldCharType="end"/>
            </w:r>
          </w:hyperlink>
        </w:p>
        <w:p w14:paraId="04F900F6" w14:textId="77777777" w:rsidR="000B00E1" w:rsidRPr="00950AB7" w:rsidRDefault="000C4CCB">
          <w:pPr>
            <w:pStyle w:val="TOC2"/>
            <w:tabs>
              <w:tab w:val="right" w:leader="dot" w:pos="9628"/>
            </w:tabs>
            <w:rPr>
              <w:rFonts w:ascii="Tahoma" w:eastAsiaTheme="minorEastAsia" w:hAnsi="Tahoma" w:cs="Tahoma"/>
              <w:noProof/>
              <w:sz w:val="24"/>
              <w:szCs w:val="24"/>
              <w:lang w:eastAsia="en-GB"/>
            </w:rPr>
          </w:pPr>
          <w:hyperlink w:anchor="_Toc498611141" w:history="1">
            <w:r w:rsidR="000B00E1" w:rsidRPr="00950AB7">
              <w:rPr>
                <w:rStyle w:val="Hyperlink"/>
                <w:rFonts w:ascii="Tahoma" w:eastAsiaTheme="majorEastAsia" w:hAnsi="Tahoma" w:cs="Tahoma"/>
                <w:noProof/>
                <w:sz w:val="24"/>
                <w:szCs w:val="24"/>
              </w:rPr>
              <w:t>General further education colleges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_Toc498611141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5</w:t>
            </w:r>
            <w:r w:rsidR="000B00E1" w:rsidRPr="00950AB7">
              <w:rPr>
                <w:rFonts w:ascii="Tahoma" w:hAnsi="Tahoma" w:cs="Tahoma"/>
                <w:noProof/>
                <w:webHidden/>
                <w:sz w:val="24"/>
                <w:szCs w:val="24"/>
              </w:rPr>
              <w:fldChar w:fldCharType="end"/>
            </w:r>
          </w:hyperlink>
        </w:p>
        <w:p w14:paraId="5FA68813" w14:textId="77777777" w:rsidR="000B00E1" w:rsidRPr="00950AB7" w:rsidRDefault="000C4CCB">
          <w:pPr>
            <w:pStyle w:val="TOC2"/>
            <w:tabs>
              <w:tab w:val="right" w:leader="dot" w:pos="9628"/>
            </w:tabs>
            <w:rPr>
              <w:rFonts w:ascii="Tahoma" w:eastAsiaTheme="minorEastAsia" w:hAnsi="Tahoma" w:cs="Tahoma"/>
              <w:noProof/>
              <w:sz w:val="24"/>
              <w:szCs w:val="24"/>
              <w:lang w:eastAsia="en-GB"/>
            </w:rPr>
          </w:pPr>
          <w:hyperlink w:anchor="_Toc498611142" w:history="1">
            <w:r w:rsidR="000B00E1" w:rsidRPr="00950AB7">
              <w:rPr>
                <w:rStyle w:val="Hyperlink"/>
                <w:rFonts w:ascii="Tahoma" w:eastAsiaTheme="majorEastAsia" w:hAnsi="Tahoma" w:cs="Tahoma"/>
                <w:noProof/>
                <w:sz w:val="24"/>
                <w:szCs w:val="24"/>
              </w:rPr>
              <w:t xml:space="preserve">Sixth form colleges </w:t>
            </w:r>
            <w:r w:rsidR="000B00E1" w:rsidRPr="00950AB7">
              <w:rPr>
                <w:rStyle w:val="Hyperlink"/>
                <w:rFonts w:ascii="Tahoma" w:hAnsi="Tahoma" w:cs="Tahoma"/>
                <w:noProof/>
                <w:sz w:val="24"/>
                <w:szCs w:val="24"/>
              </w:rPr>
              <w:t>and 16 to 19 academies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_Toc498611142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8</w:t>
            </w:r>
            <w:r w:rsidR="000B00E1" w:rsidRPr="00950AB7">
              <w:rPr>
                <w:rFonts w:ascii="Tahoma" w:hAnsi="Tahoma" w:cs="Tahoma"/>
                <w:noProof/>
                <w:webHidden/>
                <w:sz w:val="24"/>
                <w:szCs w:val="24"/>
              </w:rPr>
              <w:fldChar w:fldCharType="end"/>
            </w:r>
          </w:hyperlink>
        </w:p>
        <w:p w14:paraId="12BF2F46" w14:textId="77777777" w:rsidR="000B00E1" w:rsidRPr="00950AB7" w:rsidRDefault="000C4CCB">
          <w:pPr>
            <w:pStyle w:val="TOC2"/>
            <w:tabs>
              <w:tab w:val="right" w:leader="dot" w:pos="9628"/>
            </w:tabs>
            <w:rPr>
              <w:rFonts w:ascii="Tahoma" w:eastAsiaTheme="minorEastAsia" w:hAnsi="Tahoma" w:cs="Tahoma"/>
              <w:noProof/>
              <w:sz w:val="24"/>
              <w:szCs w:val="24"/>
              <w:lang w:eastAsia="en-GB"/>
            </w:rPr>
          </w:pPr>
          <w:hyperlink w:anchor="_Toc498611143" w:history="1">
            <w:r w:rsidR="000B00E1" w:rsidRPr="00950AB7">
              <w:rPr>
                <w:rStyle w:val="Hyperlink"/>
                <w:rFonts w:ascii="Tahoma" w:eastAsiaTheme="majorEastAsia" w:hAnsi="Tahoma" w:cs="Tahoma"/>
                <w:noProof/>
                <w:sz w:val="24"/>
                <w:szCs w:val="24"/>
              </w:rPr>
              <w:t>Independent learning providers (including employer providers)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_Toc498611143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11</w:t>
            </w:r>
            <w:r w:rsidR="000B00E1" w:rsidRPr="00950AB7">
              <w:rPr>
                <w:rFonts w:ascii="Tahoma" w:hAnsi="Tahoma" w:cs="Tahoma"/>
                <w:noProof/>
                <w:webHidden/>
                <w:sz w:val="24"/>
                <w:szCs w:val="24"/>
              </w:rPr>
              <w:fldChar w:fldCharType="end"/>
            </w:r>
          </w:hyperlink>
        </w:p>
        <w:p w14:paraId="4B855942" w14:textId="77777777" w:rsidR="000B00E1" w:rsidRPr="00950AB7" w:rsidRDefault="000C4CCB">
          <w:pPr>
            <w:pStyle w:val="TOC2"/>
            <w:tabs>
              <w:tab w:val="right" w:leader="dot" w:pos="9628"/>
            </w:tabs>
            <w:rPr>
              <w:rFonts w:ascii="Tahoma" w:eastAsiaTheme="minorEastAsia" w:hAnsi="Tahoma" w:cs="Tahoma"/>
              <w:noProof/>
              <w:sz w:val="24"/>
              <w:szCs w:val="24"/>
              <w:lang w:eastAsia="en-GB"/>
            </w:rPr>
          </w:pPr>
          <w:hyperlink w:anchor="_Toc498611144" w:history="1">
            <w:r w:rsidR="000B00E1" w:rsidRPr="00950AB7">
              <w:rPr>
                <w:rStyle w:val="Hyperlink"/>
                <w:rFonts w:ascii="Tahoma" w:eastAsiaTheme="majorEastAsia" w:hAnsi="Tahoma" w:cs="Tahoma"/>
                <w:noProof/>
                <w:sz w:val="24"/>
                <w:szCs w:val="24"/>
              </w:rPr>
              <w:t>Community learning and skills providers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_Toc498611144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13</w:t>
            </w:r>
            <w:r w:rsidR="000B00E1" w:rsidRPr="00950AB7">
              <w:rPr>
                <w:rFonts w:ascii="Tahoma" w:hAnsi="Tahoma" w:cs="Tahoma"/>
                <w:noProof/>
                <w:webHidden/>
                <w:sz w:val="24"/>
                <w:szCs w:val="24"/>
              </w:rPr>
              <w:fldChar w:fldCharType="end"/>
            </w:r>
          </w:hyperlink>
        </w:p>
        <w:p w14:paraId="55BE2818" w14:textId="77777777" w:rsidR="000B00E1" w:rsidRPr="00950AB7" w:rsidRDefault="000C4CCB">
          <w:pPr>
            <w:pStyle w:val="TOC2"/>
            <w:tabs>
              <w:tab w:val="right" w:leader="dot" w:pos="9628"/>
            </w:tabs>
            <w:rPr>
              <w:rFonts w:ascii="Tahoma" w:eastAsiaTheme="minorEastAsia" w:hAnsi="Tahoma" w:cs="Tahoma"/>
              <w:noProof/>
              <w:sz w:val="24"/>
              <w:szCs w:val="24"/>
              <w:lang w:eastAsia="en-GB"/>
            </w:rPr>
          </w:pPr>
          <w:hyperlink w:anchor="_Toc498611145" w:history="1">
            <w:r w:rsidR="000B00E1" w:rsidRPr="00950AB7">
              <w:rPr>
                <w:rStyle w:val="Hyperlink"/>
                <w:rFonts w:ascii="Tahoma" w:eastAsiaTheme="majorEastAsia" w:hAnsi="Tahoma" w:cs="Tahoma"/>
                <w:noProof/>
                <w:sz w:val="24"/>
                <w:szCs w:val="24"/>
              </w:rPr>
              <w:t>Prisons and young offender institutions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_Toc498611145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14</w:t>
            </w:r>
            <w:r w:rsidR="000B00E1" w:rsidRPr="00950AB7">
              <w:rPr>
                <w:rFonts w:ascii="Tahoma" w:hAnsi="Tahoma" w:cs="Tahoma"/>
                <w:noProof/>
                <w:webHidden/>
                <w:sz w:val="24"/>
                <w:szCs w:val="24"/>
              </w:rPr>
              <w:fldChar w:fldCharType="end"/>
            </w:r>
          </w:hyperlink>
        </w:p>
        <w:p w14:paraId="7B1508DE" w14:textId="77777777" w:rsidR="000B00E1" w:rsidRPr="00950AB7" w:rsidRDefault="000C4CCB">
          <w:pPr>
            <w:pStyle w:val="TOC2"/>
            <w:tabs>
              <w:tab w:val="right" w:leader="dot" w:pos="9628"/>
            </w:tabs>
            <w:rPr>
              <w:rFonts w:ascii="Tahoma" w:eastAsiaTheme="minorEastAsia" w:hAnsi="Tahoma" w:cs="Tahoma"/>
              <w:noProof/>
              <w:sz w:val="24"/>
              <w:szCs w:val="24"/>
              <w:lang w:eastAsia="en-GB"/>
            </w:rPr>
          </w:pPr>
          <w:hyperlink w:anchor="_Toc498611146" w:history="1">
            <w:r w:rsidR="000B00E1" w:rsidRPr="00950AB7">
              <w:rPr>
                <w:rStyle w:val="Hyperlink"/>
                <w:rFonts w:ascii="Tahoma" w:eastAsiaTheme="majorEastAsia" w:hAnsi="Tahoma" w:cs="Tahoma"/>
                <w:noProof/>
                <w:sz w:val="24"/>
                <w:szCs w:val="24"/>
              </w:rPr>
              <w:t>Other further education and skills providers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_Toc498611146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15</w:t>
            </w:r>
            <w:r w:rsidR="000B00E1" w:rsidRPr="00950AB7">
              <w:rPr>
                <w:rFonts w:ascii="Tahoma" w:hAnsi="Tahoma" w:cs="Tahoma"/>
                <w:noProof/>
                <w:webHidden/>
                <w:sz w:val="24"/>
                <w:szCs w:val="24"/>
              </w:rPr>
              <w:fldChar w:fldCharType="end"/>
            </w:r>
          </w:hyperlink>
        </w:p>
        <w:p w14:paraId="6EEE5FC1" w14:textId="77777777" w:rsidR="000B00E1" w:rsidRPr="00950AB7" w:rsidRDefault="000B00E1">
          <w:pPr>
            <w:pStyle w:val="TOC1"/>
            <w:tabs>
              <w:tab w:val="right" w:leader="dot" w:pos="9628"/>
            </w:tabs>
            <w:rPr>
              <w:rStyle w:val="Hyperlink"/>
              <w:rFonts w:ascii="Tahoma" w:hAnsi="Tahoma" w:cs="Tahoma"/>
              <w:noProof/>
              <w:sz w:val="24"/>
              <w:szCs w:val="24"/>
            </w:rPr>
          </w:pPr>
        </w:p>
        <w:p w14:paraId="710218EB" w14:textId="77777777" w:rsidR="000B00E1" w:rsidRPr="00950AB7" w:rsidRDefault="000C4CCB">
          <w:pPr>
            <w:pStyle w:val="TOC1"/>
            <w:tabs>
              <w:tab w:val="right" w:leader="dot" w:pos="9628"/>
            </w:tabs>
            <w:rPr>
              <w:rFonts w:ascii="Tahoma" w:eastAsiaTheme="minorEastAsia" w:hAnsi="Tahoma" w:cs="Tahoma"/>
              <w:noProof/>
              <w:sz w:val="24"/>
              <w:szCs w:val="24"/>
              <w:lang w:eastAsia="en-GB"/>
            </w:rPr>
          </w:pPr>
          <w:hyperlink w:anchor="_Toc498611147" w:history="1">
            <w:r w:rsidR="000B00E1" w:rsidRPr="00950AB7">
              <w:rPr>
                <w:rStyle w:val="Hyperlink"/>
                <w:rFonts w:ascii="Tahoma" w:eastAsiaTheme="majorEastAsia" w:hAnsi="Tahoma" w:cs="Tahoma"/>
                <w:noProof/>
                <w:sz w:val="24"/>
                <w:szCs w:val="24"/>
              </w:rPr>
              <w:t>Revisions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_Toc498611147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17</w:t>
            </w:r>
            <w:r w:rsidR="000B00E1" w:rsidRPr="00950AB7">
              <w:rPr>
                <w:rFonts w:ascii="Tahoma" w:hAnsi="Tahoma" w:cs="Tahoma"/>
                <w:noProof/>
                <w:webHidden/>
                <w:sz w:val="24"/>
                <w:szCs w:val="24"/>
              </w:rPr>
              <w:fldChar w:fldCharType="end"/>
            </w:r>
          </w:hyperlink>
        </w:p>
        <w:p w14:paraId="49DC747C" w14:textId="77777777" w:rsidR="000B00E1" w:rsidRPr="00950AB7" w:rsidRDefault="000B00E1">
          <w:pPr>
            <w:pStyle w:val="TOC1"/>
            <w:tabs>
              <w:tab w:val="right" w:leader="dot" w:pos="9628"/>
            </w:tabs>
            <w:rPr>
              <w:rStyle w:val="Hyperlink"/>
              <w:rFonts w:ascii="Tahoma" w:hAnsi="Tahoma" w:cs="Tahoma"/>
              <w:noProof/>
              <w:sz w:val="24"/>
              <w:szCs w:val="24"/>
            </w:rPr>
          </w:pPr>
        </w:p>
        <w:p w14:paraId="7882DB57" w14:textId="77777777" w:rsidR="000B00E1" w:rsidRPr="00950AB7" w:rsidRDefault="000C4CCB">
          <w:pPr>
            <w:pStyle w:val="TOC1"/>
            <w:tabs>
              <w:tab w:val="right" w:leader="dot" w:pos="9628"/>
            </w:tabs>
            <w:rPr>
              <w:rFonts w:ascii="Tahoma" w:eastAsiaTheme="minorEastAsia" w:hAnsi="Tahoma" w:cs="Tahoma"/>
              <w:noProof/>
              <w:sz w:val="24"/>
              <w:szCs w:val="24"/>
              <w:lang w:eastAsia="en-GB"/>
            </w:rPr>
          </w:pPr>
          <w:hyperlink w:anchor="_Toc498611148" w:history="1">
            <w:r w:rsidR="000B00E1" w:rsidRPr="00950AB7">
              <w:rPr>
                <w:rStyle w:val="Hyperlink"/>
                <w:rFonts w:ascii="Tahoma" w:eastAsiaTheme="majorEastAsia" w:hAnsi="Tahoma" w:cs="Tahoma"/>
                <w:noProof/>
                <w:sz w:val="24"/>
                <w:szCs w:val="24"/>
              </w:rPr>
              <w:t>Notes</w:t>
            </w:r>
            <w:r w:rsidR="000B00E1" w:rsidRPr="00950AB7">
              <w:rPr>
                <w:rFonts w:ascii="Tahoma" w:hAnsi="Tahoma" w:cs="Tahoma"/>
                <w:noProof/>
                <w:webHidden/>
                <w:sz w:val="24"/>
                <w:szCs w:val="24"/>
              </w:rPr>
              <w:tab/>
            </w:r>
            <w:r w:rsidR="000B00E1" w:rsidRPr="00950AB7">
              <w:rPr>
                <w:rFonts w:ascii="Tahoma" w:hAnsi="Tahoma" w:cs="Tahoma"/>
                <w:noProof/>
                <w:webHidden/>
                <w:sz w:val="24"/>
                <w:szCs w:val="24"/>
              </w:rPr>
              <w:fldChar w:fldCharType="begin"/>
            </w:r>
            <w:r w:rsidR="000B00E1" w:rsidRPr="00950AB7">
              <w:rPr>
                <w:rFonts w:ascii="Tahoma" w:hAnsi="Tahoma" w:cs="Tahoma"/>
                <w:noProof/>
                <w:webHidden/>
                <w:sz w:val="24"/>
                <w:szCs w:val="24"/>
              </w:rPr>
              <w:instrText xml:space="preserve"> PAGEREF _Toc498611148 \h </w:instrText>
            </w:r>
            <w:r w:rsidR="000B00E1" w:rsidRPr="00950AB7">
              <w:rPr>
                <w:rFonts w:ascii="Tahoma" w:hAnsi="Tahoma" w:cs="Tahoma"/>
                <w:noProof/>
                <w:webHidden/>
                <w:sz w:val="24"/>
                <w:szCs w:val="24"/>
              </w:rPr>
            </w:r>
            <w:r w:rsidR="000B00E1" w:rsidRPr="00950AB7">
              <w:rPr>
                <w:rFonts w:ascii="Tahoma" w:hAnsi="Tahoma" w:cs="Tahoma"/>
                <w:noProof/>
                <w:webHidden/>
                <w:sz w:val="24"/>
                <w:szCs w:val="24"/>
              </w:rPr>
              <w:fldChar w:fldCharType="separate"/>
            </w:r>
            <w:r w:rsidR="00EC2DF8">
              <w:rPr>
                <w:rFonts w:ascii="Tahoma" w:hAnsi="Tahoma" w:cs="Tahoma"/>
                <w:noProof/>
                <w:webHidden/>
                <w:sz w:val="24"/>
                <w:szCs w:val="24"/>
              </w:rPr>
              <w:t>18</w:t>
            </w:r>
            <w:r w:rsidR="000B00E1" w:rsidRPr="00950AB7">
              <w:rPr>
                <w:rFonts w:ascii="Tahoma" w:hAnsi="Tahoma" w:cs="Tahoma"/>
                <w:noProof/>
                <w:webHidden/>
                <w:sz w:val="24"/>
                <w:szCs w:val="24"/>
              </w:rPr>
              <w:fldChar w:fldCharType="end"/>
            </w:r>
          </w:hyperlink>
        </w:p>
        <w:p w14:paraId="17B1B634" w14:textId="10EEEF40" w:rsidR="00613BCA" w:rsidRPr="00950AB7" w:rsidRDefault="00613BCA">
          <w:r w:rsidRPr="00950AB7">
            <w:rPr>
              <w:rFonts w:ascii="Tahoma" w:hAnsi="Tahoma" w:cs="Tahoma"/>
              <w:bCs/>
              <w:noProof/>
              <w:sz w:val="24"/>
              <w:szCs w:val="24"/>
            </w:rPr>
            <w:fldChar w:fldCharType="end"/>
          </w:r>
        </w:p>
      </w:sdtContent>
    </w:sdt>
    <w:p w14:paraId="71A5CA7F" w14:textId="77777777" w:rsidR="00613BCA" w:rsidRPr="00950AB7" w:rsidRDefault="00613BCA" w:rsidP="00613BCA">
      <w:pPr>
        <w:rPr>
          <w:rFonts w:ascii="Tahoma" w:hAnsi="Tahoma" w:cs="Tahoma"/>
          <w:sz w:val="24"/>
          <w:szCs w:val="24"/>
        </w:rPr>
      </w:pPr>
    </w:p>
    <w:p w14:paraId="2BD2D9D3" w14:textId="6D804AED" w:rsidR="00613BCA" w:rsidRPr="00950AB7" w:rsidRDefault="00613BCA" w:rsidP="00613BCA">
      <w:pPr>
        <w:rPr>
          <w:rFonts w:ascii="Tahoma" w:hAnsi="Tahoma" w:cs="Tahoma"/>
          <w:sz w:val="24"/>
          <w:szCs w:val="24"/>
        </w:rPr>
      </w:pPr>
    </w:p>
    <w:p w14:paraId="52FB3D3B" w14:textId="77777777" w:rsidR="00613BCA" w:rsidRPr="00950AB7" w:rsidRDefault="00613BCA" w:rsidP="00613BCA">
      <w:pPr>
        <w:rPr>
          <w:rFonts w:ascii="Tahoma" w:hAnsi="Tahoma" w:cs="Tahoma"/>
          <w:sz w:val="24"/>
          <w:szCs w:val="24"/>
        </w:rPr>
      </w:pPr>
    </w:p>
    <w:p w14:paraId="0B68E883" w14:textId="77777777" w:rsidR="00613BCA" w:rsidRPr="00950AB7" w:rsidRDefault="00613BCA" w:rsidP="00613BCA">
      <w:pPr>
        <w:rPr>
          <w:rFonts w:ascii="Tahoma" w:hAnsi="Tahoma" w:cs="Tahoma"/>
          <w:sz w:val="24"/>
          <w:szCs w:val="24"/>
        </w:rPr>
      </w:pPr>
    </w:p>
    <w:p w14:paraId="52ACA887" w14:textId="77777777" w:rsidR="00613BCA" w:rsidRPr="00950AB7" w:rsidRDefault="00613BCA" w:rsidP="00613BCA">
      <w:pPr>
        <w:rPr>
          <w:rFonts w:ascii="Tahoma" w:hAnsi="Tahoma" w:cs="Tahoma"/>
          <w:sz w:val="24"/>
          <w:szCs w:val="24"/>
        </w:rPr>
      </w:pPr>
    </w:p>
    <w:p w14:paraId="44CA3310" w14:textId="77777777" w:rsidR="00613BCA" w:rsidRPr="00950AB7" w:rsidRDefault="00613BCA" w:rsidP="00613BCA">
      <w:pPr>
        <w:rPr>
          <w:rFonts w:ascii="Tahoma" w:hAnsi="Tahoma" w:cs="Tahoma"/>
          <w:sz w:val="24"/>
          <w:szCs w:val="24"/>
        </w:rPr>
      </w:pPr>
    </w:p>
    <w:p w14:paraId="1C15B57F" w14:textId="77777777" w:rsidR="00613BCA" w:rsidRPr="00950AB7" w:rsidRDefault="00613BCA" w:rsidP="00613BCA">
      <w:pPr>
        <w:rPr>
          <w:rFonts w:ascii="Tahoma" w:hAnsi="Tahoma" w:cs="Tahoma"/>
          <w:sz w:val="24"/>
          <w:szCs w:val="24"/>
        </w:rPr>
      </w:pPr>
    </w:p>
    <w:p w14:paraId="07E083F6" w14:textId="77777777" w:rsidR="00613BCA" w:rsidRPr="00950AB7" w:rsidRDefault="00613BCA" w:rsidP="00613BCA">
      <w:pPr>
        <w:rPr>
          <w:rFonts w:ascii="Tahoma" w:hAnsi="Tahoma" w:cs="Tahoma"/>
          <w:sz w:val="24"/>
          <w:szCs w:val="24"/>
        </w:rPr>
      </w:pPr>
    </w:p>
    <w:p w14:paraId="4B331808" w14:textId="77777777" w:rsidR="00613BCA" w:rsidRPr="00950AB7" w:rsidRDefault="00613BCA" w:rsidP="00613BCA">
      <w:pPr>
        <w:rPr>
          <w:rFonts w:ascii="Tahoma" w:hAnsi="Tahoma" w:cs="Tahoma"/>
          <w:sz w:val="24"/>
          <w:szCs w:val="24"/>
        </w:rPr>
      </w:pPr>
    </w:p>
    <w:p w14:paraId="022DD66F" w14:textId="77777777" w:rsidR="00613BCA" w:rsidRPr="00950AB7" w:rsidRDefault="00613BCA" w:rsidP="00613BCA">
      <w:pPr>
        <w:rPr>
          <w:rFonts w:ascii="Tahoma" w:hAnsi="Tahoma" w:cs="Tahoma"/>
          <w:sz w:val="24"/>
          <w:szCs w:val="24"/>
        </w:rPr>
      </w:pPr>
    </w:p>
    <w:p w14:paraId="3388068A" w14:textId="77777777" w:rsidR="00613BCA" w:rsidRPr="00950AB7" w:rsidRDefault="00613BCA" w:rsidP="00613BCA">
      <w:pPr>
        <w:rPr>
          <w:rFonts w:ascii="Tahoma" w:hAnsi="Tahoma" w:cs="Tahoma"/>
          <w:sz w:val="24"/>
          <w:szCs w:val="24"/>
        </w:rPr>
      </w:pPr>
    </w:p>
    <w:p w14:paraId="046FA80B" w14:textId="77777777" w:rsidR="00613BCA" w:rsidRPr="00950AB7" w:rsidRDefault="00613BCA" w:rsidP="00613BCA">
      <w:pPr>
        <w:rPr>
          <w:rFonts w:ascii="Tahoma" w:hAnsi="Tahoma" w:cs="Tahoma"/>
          <w:sz w:val="24"/>
          <w:szCs w:val="24"/>
        </w:rPr>
      </w:pPr>
    </w:p>
    <w:p w14:paraId="09C250D4" w14:textId="77777777" w:rsidR="00613BCA" w:rsidRPr="00950AB7" w:rsidRDefault="00613BCA" w:rsidP="00613BCA">
      <w:pPr>
        <w:rPr>
          <w:rFonts w:ascii="Tahoma" w:hAnsi="Tahoma" w:cs="Tahoma"/>
          <w:b/>
          <w:sz w:val="32"/>
          <w:szCs w:val="32"/>
        </w:rPr>
      </w:pPr>
      <w:r w:rsidRPr="00950AB7">
        <w:rPr>
          <w:rFonts w:ascii="Tahoma" w:hAnsi="Tahoma" w:cs="Tahoma"/>
          <w:b/>
          <w:sz w:val="32"/>
          <w:szCs w:val="32"/>
        </w:rPr>
        <w:t>Acknowledgements</w:t>
      </w:r>
    </w:p>
    <w:p w14:paraId="7EA38591" w14:textId="77777777" w:rsidR="00613BCA" w:rsidRPr="00950AB7" w:rsidRDefault="00613BCA" w:rsidP="00613BCA">
      <w:pPr>
        <w:rPr>
          <w:rFonts w:ascii="Tahoma" w:hAnsi="Tahoma" w:cs="Tahoma"/>
          <w:sz w:val="24"/>
          <w:szCs w:val="24"/>
        </w:rPr>
      </w:pPr>
    </w:p>
    <w:p w14:paraId="133BB21C" w14:textId="690416E8" w:rsidR="00613BCA" w:rsidRPr="00950AB7" w:rsidRDefault="00613BCA" w:rsidP="00613BCA">
      <w:pPr>
        <w:rPr>
          <w:rFonts w:ascii="Tahoma" w:eastAsiaTheme="majorEastAsia" w:hAnsi="Tahoma" w:cs="Tahoma"/>
          <w:b/>
          <w:sz w:val="24"/>
          <w:szCs w:val="24"/>
        </w:rPr>
      </w:pPr>
      <w:r w:rsidRPr="00950AB7">
        <w:rPr>
          <w:rFonts w:ascii="Tahoma" w:hAnsi="Tahoma" w:cs="Tahoma"/>
          <w:sz w:val="24"/>
          <w:szCs w:val="24"/>
        </w:rPr>
        <w:t>Thanks to the following for their contribution to this statistical release: Stuart Lloyd and John Hadler.</w:t>
      </w:r>
    </w:p>
    <w:p w14:paraId="6D0E1F49" w14:textId="77777777" w:rsidR="00613BCA" w:rsidRPr="00950AB7" w:rsidRDefault="00613BCA" w:rsidP="00613BCA">
      <w:pPr>
        <w:rPr>
          <w:rFonts w:ascii="Tahoma" w:eastAsiaTheme="majorEastAsia" w:hAnsi="Tahoma" w:cs="Tahoma"/>
          <w:b/>
          <w:sz w:val="24"/>
          <w:szCs w:val="24"/>
        </w:rPr>
      </w:pPr>
      <w:r w:rsidRPr="00950AB7">
        <w:rPr>
          <w:rFonts w:ascii="Tahoma" w:eastAsiaTheme="majorEastAsia" w:hAnsi="Tahoma" w:cs="Tahoma"/>
          <w:b/>
          <w:sz w:val="24"/>
          <w:szCs w:val="24"/>
        </w:rPr>
        <w:br w:type="page"/>
      </w:r>
    </w:p>
    <w:p w14:paraId="2EF62C4D" w14:textId="742C92F1" w:rsidR="00543AA4" w:rsidRPr="00950AB7" w:rsidRDefault="00543AA4" w:rsidP="00543AA4">
      <w:pPr>
        <w:keepNext/>
        <w:keepLines/>
        <w:spacing w:before="40"/>
        <w:outlineLvl w:val="1"/>
        <w:rPr>
          <w:rFonts w:ascii="Tahoma" w:eastAsiaTheme="majorEastAsia" w:hAnsi="Tahoma" w:cs="Tahoma"/>
          <w:b/>
          <w:sz w:val="28"/>
          <w:szCs w:val="28"/>
        </w:rPr>
      </w:pPr>
      <w:bookmarkStart w:id="5" w:name="_Toc498611138"/>
      <w:r w:rsidRPr="00950AB7">
        <w:rPr>
          <w:rFonts w:ascii="Tahoma" w:eastAsiaTheme="majorEastAsia" w:hAnsi="Tahoma" w:cs="Tahoma"/>
          <w:b/>
          <w:sz w:val="28"/>
          <w:szCs w:val="28"/>
        </w:rPr>
        <w:lastRenderedPageBreak/>
        <w:t>In-year inspection outcomes</w:t>
      </w:r>
      <w:bookmarkEnd w:id="5"/>
      <w:bookmarkEnd w:id="4"/>
      <w:bookmarkEnd w:id="3"/>
      <w:bookmarkEnd w:id="2"/>
      <w:r w:rsidRPr="00950AB7">
        <w:rPr>
          <w:rFonts w:ascii="Tahoma" w:eastAsiaTheme="majorEastAsia" w:hAnsi="Tahoma" w:cs="Tahoma"/>
          <w:b/>
          <w:sz w:val="28"/>
          <w:szCs w:val="28"/>
        </w:rPr>
        <w:t xml:space="preserve"> </w:t>
      </w:r>
    </w:p>
    <w:p w14:paraId="350E5972" w14:textId="77777777" w:rsidR="00543AA4" w:rsidRPr="00950AB7" w:rsidRDefault="00543AA4" w:rsidP="00543AA4">
      <w:pPr>
        <w:rPr>
          <w:rFonts w:ascii="Tahoma" w:hAnsi="Tahoma" w:cs="Tahoma"/>
          <w:b/>
          <w:sz w:val="24"/>
          <w:szCs w:val="24"/>
        </w:rPr>
      </w:pPr>
    </w:p>
    <w:p w14:paraId="028A423C" w14:textId="5C92A9A7" w:rsidR="00543AA4" w:rsidRPr="00950AB7" w:rsidRDefault="00543AA4" w:rsidP="00543AA4">
      <w:pPr>
        <w:rPr>
          <w:rFonts w:ascii="Tahoma" w:eastAsia="Times New Roman" w:hAnsi="Tahoma" w:cs="Tahoma"/>
          <w:bCs/>
          <w:sz w:val="24"/>
          <w:szCs w:val="24"/>
          <w:lang w:eastAsia="en-GB"/>
        </w:rPr>
      </w:pPr>
      <w:r w:rsidRPr="00950AB7">
        <w:rPr>
          <w:rFonts w:ascii="Tahoma" w:eastAsia="Times New Roman" w:hAnsi="Tahoma" w:cs="Tahoma"/>
          <w:bCs/>
          <w:sz w:val="24"/>
          <w:szCs w:val="24"/>
          <w:lang w:eastAsia="en-GB"/>
        </w:rPr>
        <w:t xml:space="preserve">Between </w:t>
      </w:r>
      <w:r w:rsidRPr="00950AB7">
        <w:rPr>
          <w:rFonts w:ascii="Tahoma" w:eastAsia="Times New Roman" w:hAnsi="Tahoma" w:cs="Times New Roman"/>
          <w:sz w:val="24"/>
          <w:szCs w:val="24"/>
          <w:lang w:eastAsia="en-GB"/>
        </w:rPr>
        <w:t xml:space="preserve">1 September 2016 and </w:t>
      </w:r>
      <w:r w:rsidR="004C28CC" w:rsidRPr="00950AB7">
        <w:rPr>
          <w:rFonts w:ascii="Tahoma" w:eastAsia="Times New Roman" w:hAnsi="Tahoma" w:cs="Times New Roman"/>
          <w:sz w:val="24"/>
          <w:szCs w:val="24"/>
          <w:lang w:eastAsia="en-GB"/>
        </w:rPr>
        <w:t>31 August 2017</w:t>
      </w:r>
      <w:r w:rsidRPr="00950AB7">
        <w:rPr>
          <w:rFonts w:ascii="Tahoma" w:eastAsia="Times New Roman" w:hAnsi="Tahoma" w:cs="Tahoma"/>
          <w:bCs/>
          <w:sz w:val="24"/>
          <w:szCs w:val="24"/>
          <w:lang w:eastAsia="en-GB"/>
        </w:rPr>
        <w:t xml:space="preserve">, </w:t>
      </w:r>
      <w:r w:rsidR="004C28CC" w:rsidRPr="00950AB7">
        <w:rPr>
          <w:rFonts w:ascii="Tahoma" w:eastAsia="Times New Roman" w:hAnsi="Tahoma" w:cs="Tahoma"/>
          <w:bCs/>
          <w:sz w:val="24"/>
          <w:szCs w:val="24"/>
          <w:lang w:eastAsia="en-GB"/>
        </w:rPr>
        <w:t>39</w:t>
      </w:r>
      <w:r w:rsidR="00D55100" w:rsidRPr="00950AB7">
        <w:rPr>
          <w:rFonts w:ascii="Tahoma" w:eastAsia="Times New Roman" w:hAnsi="Tahoma" w:cs="Tahoma"/>
          <w:bCs/>
          <w:sz w:val="24"/>
          <w:szCs w:val="24"/>
          <w:lang w:eastAsia="en-GB"/>
        </w:rPr>
        <w:t>2</w:t>
      </w:r>
      <w:r w:rsidRPr="00950AB7">
        <w:rPr>
          <w:rFonts w:ascii="Tahoma" w:eastAsia="Times New Roman" w:hAnsi="Tahoma" w:cs="Tahoma"/>
          <w:bCs/>
          <w:sz w:val="24"/>
          <w:szCs w:val="24"/>
          <w:lang w:eastAsia="en-GB"/>
        </w:rPr>
        <w:t xml:space="preserve"> further education and skills providers were inspected. Th</w:t>
      </w:r>
      <w:r w:rsidR="006447DF" w:rsidRPr="00950AB7">
        <w:rPr>
          <w:rFonts w:ascii="Tahoma" w:eastAsia="Times New Roman" w:hAnsi="Tahoma" w:cs="Tahoma"/>
          <w:bCs/>
          <w:sz w:val="24"/>
          <w:szCs w:val="24"/>
          <w:lang w:eastAsia="en-GB"/>
        </w:rPr>
        <w:t>ese</w:t>
      </w:r>
      <w:r w:rsidRPr="00950AB7">
        <w:rPr>
          <w:rFonts w:ascii="Tahoma" w:eastAsia="Times New Roman" w:hAnsi="Tahoma" w:cs="Tahoma"/>
          <w:bCs/>
          <w:sz w:val="24"/>
          <w:szCs w:val="24"/>
          <w:lang w:eastAsia="en-GB"/>
        </w:rPr>
        <w:t xml:space="preserve"> included </w:t>
      </w:r>
      <w:r w:rsidR="004C28CC" w:rsidRPr="00950AB7">
        <w:rPr>
          <w:rFonts w:ascii="Tahoma" w:eastAsia="Times New Roman" w:hAnsi="Tahoma" w:cs="Tahoma"/>
          <w:bCs/>
          <w:sz w:val="24"/>
          <w:szCs w:val="24"/>
          <w:lang w:eastAsia="en-GB"/>
        </w:rPr>
        <w:t>10</w:t>
      </w:r>
      <w:r w:rsidR="00D55100" w:rsidRPr="00950AB7">
        <w:rPr>
          <w:rFonts w:ascii="Tahoma" w:eastAsia="Times New Roman" w:hAnsi="Tahoma" w:cs="Tahoma"/>
          <w:bCs/>
          <w:sz w:val="24"/>
          <w:szCs w:val="24"/>
          <w:lang w:eastAsia="en-GB"/>
        </w:rPr>
        <w:t>2</w:t>
      </w:r>
      <w:r w:rsidRPr="00950AB7">
        <w:rPr>
          <w:rFonts w:ascii="Tahoma" w:eastAsia="Times New Roman" w:hAnsi="Tahoma" w:cs="Tahoma"/>
          <w:bCs/>
          <w:sz w:val="24"/>
          <w:szCs w:val="24"/>
          <w:lang w:eastAsia="en-GB"/>
        </w:rPr>
        <w:t xml:space="preserve"> colleges, </w:t>
      </w:r>
      <w:r w:rsidR="004C28CC" w:rsidRPr="00950AB7">
        <w:rPr>
          <w:rFonts w:ascii="Tahoma" w:eastAsia="Times New Roman" w:hAnsi="Tahoma" w:cs="Tahoma"/>
          <w:bCs/>
          <w:sz w:val="24"/>
          <w:szCs w:val="24"/>
          <w:lang w:eastAsia="en-GB"/>
        </w:rPr>
        <w:t>15</w:t>
      </w:r>
      <w:r w:rsidR="00D55100" w:rsidRPr="00950AB7">
        <w:rPr>
          <w:rFonts w:ascii="Tahoma" w:eastAsia="Times New Roman" w:hAnsi="Tahoma" w:cs="Tahoma"/>
          <w:bCs/>
          <w:sz w:val="24"/>
          <w:szCs w:val="24"/>
          <w:lang w:eastAsia="en-GB"/>
        </w:rPr>
        <w:t>9</w:t>
      </w:r>
      <w:r w:rsidRPr="00950AB7">
        <w:rPr>
          <w:rFonts w:ascii="Tahoma" w:eastAsia="Times New Roman" w:hAnsi="Tahoma" w:cs="Times New Roman"/>
          <w:sz w:val="24"/>
          <w:szCs w:val="24"/>
          <w:lang w:eastAsia="en-GB"/>
        </w:rPr>
        <w:t xml:space="preserve"> </w:t>
      </w:r>
      <w:r w:rsidRPr="00950AB7">
        <w:rPr>
          <w:rFonts w:ascii="Tahoma" w:eastAsia="Times New Roman" w:hAnsi="Tahoma" w:cs="Tahoma"/>
          <w:bCs/>
          <w:sz w:val="24"/>
          <w:szCs w:val="24"/>
          <w:lang w:eastAsia="en-GB"/>
        </w:rPr>
        <w:t xml:space="preserve">independent learning providers (including employer providers) and </w:t>
      </w:r>
      <w:r w:rsidR="004C28CC" w:rsidRPr="00950AB7">
        <w:rPr>
          <w:rFonts w:ascii="Tahoma" w:eastAsia="Times New Roman" w:hAnsi="Tahoma" w:cs="Tahoma"/>
          <w:bCs/>
          <w:sz w:val="24"/>
          <w:szCs w:val="24"/>
          <w:lang w:eastAsia="en-GB"/>
        </w:rPr>
        <w:t>7</w:t>
      </w:r>
      <w:r w:rsidR="00D55100" w:rsidRPr="00950AB7">
        <w:rPr>
          <w:rFonts w:ascii="Tahoma" w:eastAsia="Times New Roman" w:hAnsi="Tahoma" w:cs="Tahoma"/>
          <w:bCs/>
          <w:sz w:val="24"/>
          <w:szCs w:val="24"/>
          <w:lang w:eastAsia="en-GB"/>
        </w:rPr>
        <w:t>8</w:t>
      </w:r>
      <w:r w:rsidRPr="00950AB7">
        <w:rPr>
          <w:rFonts w:ascii="Tahoma" w:eastAsia="Times New Roman" w:hAnsi="Tahoma" w:cs="Tahoma"/>
          <w:bCs/>
          <w:sz w:val="24"/>
          <w:szCs w:val="24"/>
          <w:lang w:eastAsia="en-GB"/>
        </w:rPr>
        <w:t xml:space="preserve"> community learning and skills providers. Ofsted also contributed to the inspections of </w:t>
      </w:r>
      <w:r w:rsidR="00B36072" w:rsidRPr="00950AB7">
        <w:rPr>
          <w:rFonts w:ascii="Tahoma" w:eastAsia="Times New Roman" w:hAnsi="Tahoma" w:cs="Tahoma"/>
          <w:bCs/>
          <w:sz w:val="24"/>
          <w:szCs w:val="24"/>
          <w:lang w:eastAsia="en-GB"/>
        </w:rPr>
        <w:t>41</w:t>
      </w:r>
      <w:r w:rsidRPr="00950AB7">
        <w:rPr>
          <w:rFonts w:ascii="Tahoma" w:eastAsia="Times New Roman" w:hAnsi="Tahoma" w:cs="Tahoma"/>
          <w:bCs/>
          <w:sz w:val="24"/>
          <w:szCs w:val="24"/>
          <w:lang w:eastAsia="en-GB"/>
        </w:rPr>
        <w:t xml:space="preserve"> prisons and young offender institutions, where the reports were published between 1 September 2016 and </w:t>
      </w:r>
      <w:r w:rsidR="004C28CC" w:rsidRPr="00950AB7">
        <w:rPr>
          <w:rFonts w:ascii="Tahoma" w:eastAsia="Times New Roman" w:hAnsi="Tahoma" w:cs="Times New Roman"/>
          <w:sz w:val="24"/>
          <w:szCs w:val="24"/>
          <w:lang w:eastAsia="en-GB"/>
        </w:rPr>
        <w:t>31 August 2017</w:t>
      </w:r>
      <w:r w:rsidRPr="00950AB7">
        <w:rPr>
          <w:rFonts w:ascii="Tahoma" w:eastAsia="Times New Roman" w:hAnsi="Tahoma" w:cs="Tahoma"/>
          <w:bCs/>
          <w:sz w:val="24"/>
          <w:szCs w:val="24"/>
          <w:lang w:eastAsia="en-GB"/>
        </w:rPr>
        <w:t>.</w:t>
      </w:r>
    </w:p>
    <w:p w14:paraId="0D1BA6C8" w14:textId="77777777" w:rsidR="00543AA4" w:rsidRPr="00950AB7" w:rsidRDefault="00543AA4" w:rsidP="00543AA4">
      <w:pPr>
        <w:rPr>
          <w:rFonts w:ascii="Tahoma" w:eastAsia="Times New Roman" w:hAnsi="Tahoma" w:cs="Tahoma"/>
          <w:bCs/>
          <w:sz w:val="24"/>
          <w:szCs w:val="24"/>
          <w:lang w:eastAsia="en-GB"/>
        </w:rPr>
      </w:pPr>
    </w:p>
    <w:p w14:paraId="78D9F5DC" w14:textId="2DAF9533" w:rsidR="00543AA4" w:rsidRPr="00950AB7" w:rsidRDefault="00543AA4" w:rsidP="00543AA4">
      <w:pPr>
        <w:rPr>
          <w:rFonts w:ascii="Tahoma" w:eastAsia="Times New Roman" w:hAnsi="Tahoma" w:cs="Tahoma"/>
          <w:bCs/>
          <w:sz w:val="24"/>
          <w:szCs w:val="24"/>
          <w:lang w:eastAsia="en-GB"/>
        </w:rPr>
      </w:pPr>
      <w:r w:rsidRPr="00950AB7">
        <w:rPr>
          <w:rFonts w:ascii="Tahoma" w:eastAsia="Times New Roman" w:hAnsi="Tahoma" w:cs="Tahoma"/>
          <w:bCs/>
          <w:sz w:val="24"/>
          <w:szCs w:val="24"/>
          <w:lang w:eastAsia="en-GB"/>
        </w:rPr>
        <w:t xml:space="preserve">The </w:t>
      </w:r>
      <w:r w:rsidR="00DF0CD4" w:rsidRPr="00950AB7">
        <w:rPr>
          <w:rFonts w:ascii="Tahoma" w:eastAsia="Times New Roman" w:hAnsi="Tahoma" w:cs="Tahoma"/>
          <w:bCs/>
          <w:sz w:val="24"/>
          <w:szCs w:val="24"/>
          <w:lang w:eastAsia="en-GB"/>
        </w:rPr>
        <w:t>39</w:t>
      </w:r>
      <w:r w:rsidR="00D55100" w:rsidRPr="00950AB7">
        <w:rPr>
          <w:rFonts w:ascii="Tahoma" w:eastAsia="Times New Roman" w:hAnsi="Tahoma" w:cs="Tahoma"/>
          <w:bCs/>
          <w:sz w:val="24"/>
          <w:szCs w:val="24"/>
          <w:lang w:eastAsia="en-GB"/>
        </w:rPr>
        <w:t>2</w:t>
      </w:r>
      <w:r w:rsidRPr="00950AB7">
        <w:rPr>
          <w:rFonts w:ascii="Tahoma" w:eastAsia="Times New Roman" w:hAnsi="Tahoma" w:cs="Tahoma"/>
          <w:bCs/>
          <w:sz w:val="24"/>
          <w:szCs w:val="24"/>
          <w:lang w:eastAsia="en-GB"/>
        </w:rPr>
        <w:t xml:space="preserve"> inspections consisted of </w:t>
      </w:r>
      <w:r w:rsidR="00DF0CD4" w:rsidRPr="00950AB7">
        <w:rPr>
          <w:rFonts w:ascii="Tahoma" w:eastAsia="Times New Roman" w:hAnsi="Tahoma" w:cs="Tahoma"/>
          <w:bCs/>
          <w:sz w:val="24"/>
          <w:szCs w:val="24"/>
          <w:lang w:eastAsia="en-GB"/>
        </w:rPr>
        <w:t>27</w:t>
      </w:r>
      <w:r w:rsidR="00D55100" w:rsidRPr="00950AB7">
        <w:rPr>
          <w:rFonts w:ascii="Tahoma" w:eastAsia="Times New Roman" w:hAnsi="Tahoma" w:cs="Tahoma"/>
          <w:bCs/>
          <w:sz w:val="24"/>
          <w:szCs w:val="24"/>
          <w:lang w:eastAsia="en-GB"/>
        </w:rPr>
        <w:t>4</w:t>
      </w:r>
      <w:r w:rsidR="008B1563" w:rsidRPr="00950AB7">
        <w:rPr>
          <w:rFonts w:ascii="Tahoma" w:eastAsia="Times New Roman" w:hAnsi="Tahoma" w:cs="Tahoma"/>
          <w:bCs/>
          <w:sz w:val="24"/>
          <w:szCs w:val="24"/>
          <w:lang w:eastAsia="en-GB"/>
        </w:rPr>
        <w:t xml:space="preserve"> full inspections and 118</w:t>
      </w:r>
      <w:r w:rsidR="00B36072" w:rsidRPr="00950AB7">
        <w:rPr>
          <w:rFonts w:ascii="Tahoma" w:eastAsia="Times New Roman" w:hAnsi="Tahoma" w:cs="Tahoma"/>
          <w:bCs/>
          <w:sz w:val="24"/>
          <w:szCs w:val="24"/>
          <w:lang w:eastAsia="en-GB"/>
        </w:rPr>
        <w:t xml:space="preserve"> short inspections</w:t>
      </w:r>
      <w:r w:rsidR="008B1563" w:rsidRPr="00950AB7">
        <w:rPr>
          <w:rFonts w:ascii="Tahoma" w:eastAsia="Times New Roman" w:hAnsi="Tahoma" w:cs="Tahoma"/>
          <w:bCs/>
          <w:sz w:val="24"/>
          <w:szCs w:val="24"/>
          <w:lang w:eastAsia="en-GB"/>
        </w:rPr>
        <w:t xml:space="preserve"> (including those that converted</w:t>
      </w:r>
      <w:r w:rsidR="00B36072" w:rsidRPr="00950AB7">
        <w:rPr>
          <w:rFonts w:ascii="Tahoma" w:eastAsia="Times New Roman" w:hAnsi="Tahoma" w:cs="Tahoma"/>
          <w:bCs/>
          <w:sz w:val="24"/>
          <w:szCs w:val="24"/>
          <w:lang w:eastAsia="en-GB"/>
        </w:rPr>
        <w:t xml:space="preserve"> to full inspections</w:t>
      </w:r>
      <w:r w:rsidR="008B1563" w:rsidRPr="00950AB7">
        <w:rPr>
          <w:rFonts w:ascii="Tahoma" w:eastAsia="Times New Roman" w:hAnsi="Tahoma" w:cs="Tahoma"/>
          <w:bCs/>
          <w:sz w:val="24"/>
          <w:szCs w:val="24"/>
          <w:lang w:eastAsia="en-GB"/>
        </w:rPr>
        <w:t>)</w:t>
      </w:r>
      <w:r w:rsidR="00B36072" w:rsidRPr="00950AB7">
        <w:rPr>
          <w:rFonts w:ascii="Tahoma" w:eastAsia="Times New Roman" w:hAnsi="Tahoma" w:cs="Tahoma"/>
          <w:bCs/>
          <w:sz w:val="24"/>
          <w:szCs w:val="24"/>
          <w:lang w:eastAsia="en-GB"/>
        </w:rPr>
        <w:t>.</w:t>
      </w:r>
      <w:r w:rsidRPr="00950AB7">
        <w:rPr>
          <w:rFonts w:ascii="Tahoma" w:eastAsia="Times New Roman" w:hAnsi="Tahoma" w:cs="Tahoma"/>
          <w:bCs/>
          <w:sz w:val="24"/>
          <w:szCs w:val="24"/>
          <w:lang w:eastAsia="en-GB"/>
        </w:rPr>
        <w:t xml:space="preserve"> These in</w:t>
      </w:r>
      <w:r w:rsidR="006447DF" w:rsidRPr="00950AB7">
        <w:rPr>
          <w:rFonts w:ascii="Tahoma" w:eastAsia="Times New Roman" w:hAnsi="Tahoma" w:cs="Tahoma"/>
          <w:bCs/>
          <w:sz w:val="24"/>
          <w:szCs w:val="24"/>
          <w:lang w:eastAsia="en-GB"/>
        </w:rPr>
        <w:t xml:space="preserve">spections can be broken down in </w:t>
      </w:r>
      <w:r w:rsidRPr="00950AB7">
        <w:rPr>
          <w:rFonts w:ascii="Tahoma" w:eastAsia="Times New Roman" w:hAnsi="Tahoma" w:cs="Tahoma"/>
          <w:bCs/>
          <w:sz w:val="24"/>
          <w:szCs w:val="24"/>
          <w:lang w:eastAsia="en-GB"/>
        </w:rPr>
        <w:t>to the following categories:</w:t>
      </w:r>
    </w:p>
    <w:p w14:paraId="5CB9FA63" w14:textId="0C160101" w:rsidR="00543AA4" w:rsidRPr="00950AB7" w:rsidRDefault="00A55AF0" w:rsidP="00543AA4">
      <w:pPr>
        <w:numPr>
          <w:ilvl w:val="0"/>
          <w:numId w:val="15"/>
        </w:numPr>
        <w:rPr>
          <w:rFonts w:ascii="Tahoma" w:hAnsi="Tahoma" w:cs="Tahoma"/>
          <w:sz w:val="24"/>
          <w:szCs w:val="24"/>
        </w:rPr>
      </w:pPr>
      <w:r w:rsidRPr="00950AB7">
        <w:rPr>
          <w:rFonts w:ascii="Tahoma" w:hAnsi="Tahoma" w:cs="Tahoma"/>
          <w:sz w:val="24"/>
          <w:szCs w:val="24"/>
        </w:rPr>
        <w:t>1</w:t>
      </w:r>
      <w:r w:rsidR="00A863B2" w:rsidRPr="00950AB7">
        <w:rPr>
          <w:rFonts w:ascii="Tahoma" w:hAnsi="Tahoma" w:cs="Tahoma"/>
          <w:sz w:val="24"/>
          <w:szCs w:val="24"/>
        </w:rPr>
        <w:t>27</w:t>
      </w:r>
      <w:r w:rsidRPr="00950AB7">
        <w:rPr>
          <w:rFonts w:ascii="Tahoma" w:hAnsi="Tahoma" w:cs="Tahoma"/>
          <w:sz w:val="24"/>
          <w:szCs w:val="24"/>
        </w:rPr>
        <w:t xml:space="preserve"> </w:t>
      </w:r>
      <w:r w:rsidR="00543AA4" w:rsidRPr="00950AB7">
        <w:rPr>
          <w:rFonts w:ascii="Tahoma" w:hAnsi="Tahoma" w:cs="Tahoma"/>
          <w:sz w:val="24"/>
          <w:szCs w:val="24"/>
        </w:rPr>
        <w:t>risk</w:t>
      </w:r>
      <w:r w:rsidR="00D91B2E" w:rsidRPr="00950AB7">
        <w:rPr>
          <w:rFonts w:ascii="Tahoma" w:hAnsi="Tahoma" w:cs="Tahoma"/>
          <w:sz w:val="24"/>
          <w:szCs w:val="24"/>
        </w:rPr>
        <w:t>-</w:t>
      </w:r>
      <w:r w:rsidR="00543AA4" w:rsidRPr="00950AB7">
        <w:rPr>
          <w:rFonts w:ascii="Tahoma" w:hAnsi="Tahoma" w:cs="Tahoma"/>
          <w:sz w:val="24"/>
          <w:szCs w:val="24"/>
        </w:rPr>
        <w:t>assessed full inspections of previously good or outstanding providers</w:t>
      </w:r>
    </w:p>
    <w:p w14:paraId="65C7943C" w14:textId="381DA7DB" w:rsidR="00543AA4" w:rsidRPr="00950AB7" w:rsidRDefault="004C32DE" w:rsidP="00543AA4">
      <w:pPr>
        <w:numPr>
          <w:ilvl w:val="0"/>
          <w:numId w:val="15"/>
        </w:numPr>
        <w:rPr>
          <w:rFonts w:ascii="Tahoma" w:hAnsi="Tahoma" w:cs="Tahoma"/>
          <w:sz w:val="24"/>
          <w:szCs w:val="24"/>
        </w:rPr>
      </w:pPr>
      <w:r w:rsidRPr="00950AB7">
        <w:rPr>
          <w:rFonts w:ascii="Tahoma" w:hAnsi="Tahoma" w:cs="Tahoma"/>
          <w:sz w:val="24"/>
          <w:szCs w:val="24"/>
        </w:rPr>
        <w:t>118</w:t>
      </w:r>
      <w:r w:rsidR="00543AA4" w:rsidRPr="00950AB7">
        <w:rPr>
          <w:rFonts w:ascii="Tahoma" w:hAnsi="Tahoma" w:cs="Tahoma"/>
          <w:sz w:val="24"/>
          <w:szCs w:val="24"/>
        </w:rPr>
        <w:t xml:space="preserve"> short inspections of previously good providers</w:t>
      </w:r>
      <w:r w:rsidR="00E040BD" w:rsidRPr="00950AB7">
        <w:rPr>
          <w:rFonts w:ascii="Tahoma" w:hAnsi="Tahoma" w:cs="Tahoma"/>
          <w:sz w:val="24"/>
          <w:szCs w:val="24"/>
        </w:rPr>
        <w:t xml:space="preserve"> (including those that converted to a full inspection)</w:t>
      </w:r>
    </w:p>
    <w:p w14:paraId="348EADB2" w14:textId="3664FB65" w:rsidR="00543AA4" w:rsidRPr="00950AB7" w:rsidRDefault="004C32DE" w:rsidP="00543AA4">
      <w:pPr>
        <w:numPr>
          <w:ilvl w:val="0"/>
          <w:numId w:val="15"/>
        </w:numPr>
        <w:rPr>
          <w:rFonts w:ascii="Tahoma" w:hAnsi="Tahoma" w:cs="Tahoma"/>
          <w:sz w:val="24"/>
          <w:szCs w:val="24"/>
        </w:rPr>
      </w:pPr>
      <w:r w:rsidRPr="00950AB7">
        <w:rPr>
          <w:rFonts w:ascii="Tahoma" w:hAnsi="Tahoma" w:cs="Tahoma"/>
          <w:sz w:val="24"/>
          <w:szCs w:val="24"/>
        </w:rPr>
        <w:t>100</w:t>
      </w:r>
      <w:r w:rsidR="00543AA4" w:rsidRPr="00950AB7">
        <w:rPr>
          <w:rFonts w:ascii="Tahoma" w:hAnsi="Tahoma" w:cs="Tahoma"/>
          <w:sz w:val="24"/>
          <w:szCs w:val="24"/>
        </w:rPr>
        <w:t xml:space="preserve"> routine full inspections of </w:t>
      </w:r>
      <w:r w:rsidR="006447DF" w:rsidRPr="00950AB7">
        <w:rPr>
          <w:rFonts w:ascii="Tahoma" w:hAnsi="Tahoma" w:cs="Tahoma"/>
          <w:sz w:val="24"/>
          <w:szCs w:val="24"/>
        </w:rPr>
        <w:t xml:space="preserve">providers </w:t>
      </w:r>
      <w:r w:rsidR="00543AA4" w:rsidRPr="00950AB7">
        <w:rPr>
          <w:rFonts w:ascii="Tahoma" w:hAnsi="Tahoma" w:cs="Tahoma"/>
          <w:sz w:val="24"/>
          <w:szCs w:val="24"/>
        </w:rPr>
        <w:t xml:space="preserve">previously </w:t>
      </w:r>
      <w:r w:rsidR="006447DF" w:rsidRPr="00950AB7">
        <w:rPr>
          <w:rFonts w:ascii="Tahoma" w:hAnsi="Tahoma" w:cs="Tahoma"/>
          <w:sz w:val="24"/>
          <w:szCs w:val="24"/>
        </w:rPr>
        <w:t xml:space="preserve">judged </w:t>
      </w:r>
      <w:r w:rsidR="00543AA4" w:rsidRPr="00950AB7">
        <w:rPr>
          <w:rFonts w:ascii="Tahoma" w:hAnsi="Tahoma" w:cs="Tahoma"/>
          <w:sz w:val="24"/>
          <w:szCs w:val="24"/>
        </w:rPr>
        <w:t>requires imp</w:t>
      </w:r>
      <w:r w:rsidR="006447DF" w:rsidRPr="00950AB7">
        <w:rPr>
          <w:rFonts w:ascii="Tahoma" w:hAnsi="Tahoma" w:cs="Tahoma"/>
          <w:sz w:val="24"/>
          <w:szCs w:val="24"/>
        </w:rPr>
        <w:t>rovement or inadequate</w:t>
      </w:r>
    </w:p>
    <w:p w14:paraId="60AA4EB8" w14:textId="7E800FD6" w:rsidR="00543AA4" w:rsidRPr="00950AB7" w:rsidRDefault="004C32DE" w:rsidP="00543AA4">
      <w:pPr>
        <w:numPr>
          <w:ilvl w:val="0"/>
          <w:numId w:val="15"/>
        </w:numPr>
        <w:rPr>
          <w:rFonts w:ascii="Tahoma" w:hAnsi="Tahoma" w:cs="Tahoma"/>
          <w:sz w:val="24"/>
          <w:szCs w:val="24"/>
        </w:rPr>
      </w:pPr>
      <w:r w:rsidRPr="00950AB7">
        <w:rPr>
          <w:rFonts w:ascii="Tahoma" w:hAnsi="Tahoma" w:cs="Tahoma"/>
          <w:sz w:val="24"/>
          <w:szCs w:val="24"/>
        </w:rPr>
        <w:t>45</w:t>
      </w:r>
      <w:r w:rsidR="00543AA4" w:rsidRPr="00950AB7">
        <w:rPr>
          <w:rFonts w:ascii="Tahoma" w:hAnsi="Tahoma" w:cs="Tahoma"/>
          <w:sz w:val="24"/>
          <w:szCs w:val="24"/>
        </w:rPr>
        <w:t xml:space="preserve"> full inspections of providers </w:t>
      </w:r>
      <w:r w:rsidR="006447DF" w:rsidRPr="00950AB7">
        <w:rPr>
          <w:rFonts w:ascii="Tahoma" w:hAnsi="Tahoma" w:cs="Tahoma"/>
          <w:sz w:val="24"/>
          <w:szCs w:val="24"/>
        </w:rPr>
        <w:t xml:space="preserve">that </w:t>
      </w:r>
      <w:r w:rsidR="00543AA4" w:rsidRPr="00950AB7">
        <w:rPr>
          <w:rFonts w:ascii="Tahoma" w:hAnsi="Tahoma" w:cs="Tahoma"/>
          <w:sz w:val="24"/>
          <w:szCs w:val="24"/>
        </w:rPr>
        <w:t>we</w:t>
      </w:r>
      <w:r w:rsidR="006447DF" w:rsidRPr="00950AB7">
        <w:rPr>
          <w:rFonts w:ascii="Tahoma" w:hAnsi="Tahoma" w:cs="Tahoma"/>
          <w:sz w:val="24"/>
          <w:szCs w:val="24"/>
        </w:rPr>
        <w:t>re inspected for the first time</w:t>
      </w:r>
    </w:p>
    <w:p w14:paraId="7262FB36" w14:textId="4A82C57B" w:rsidR="004C32DE" w:rsidRPr="00950AB7" w:rsidRDefault="00F94D1F" w:rsidP="00543AA4">
      <w:pPr>
        <w:numPr>
          <w:ilvl w:val="0"/>
          <w:numId w:val="15"/>
        </w:numPr>
        <w:rPr>
          <w:rFonts w:ascii="Tahoma" w:hAnsi="Tahoma" w:cs="Tahoma"/>
          <w:sz w:val="24"/>
          <w:szCs w:val="24"/>
        </w:rPr>
      </w:pPr>
      <w:r w:rsidRPr="00950AB7">
        <w:rPr>
          <w:rFonts w:ascii="Tahoma" w:hAnsi="Tahoma" w:cs="Tahoma"/>
          <w:sz w:val="24"/>
          <w:szCs w:val="24"/>
        </w:rPr>
        <w:t>two</w:t>
      </w:r>
      <w:r w:rsidR="004C32DE" w:rsidRPr="00950AB7">
        <w:rPr>
          <w:rFonts w:ascii="Tahoma" w:hAnsi="Tahoma" w:cs="Tahoma"/>
          <w:sz w:val="24"/>
          <w:szCs w:val="24"/>
        </w:rPr>
        <w:t xml:space="preserve"> full inspections of outstanding providers that </w:t>
      </w:r>
      <w:r w:rsidR="00164836" w:rsidRPr="00950AB7">
        <w:rPr>
          <w:rFonts w:ascii="Tahoma" w:hAnsi="Tahoma" w:cs="Tahoma"/>
          <w:sz w:val="24"/>
          <w:szCs w:val="24"/>
        </w:rPr>
        <w:t>we</w:t>
      </w:r>
      <w:r w:rsidR="004C32DE" w:rsidRPr="00950AB7">
        <w:rPr>
          <w:rFonts w:ascii="Tahoma" w:hAnsi="Tahoma" w:cs="Tahoma"/>
          <w:sz w:val="24"/>
          <w:szCs w:val="24"/>
        </w:rPr>
        <w:t>re not exempt from inspection.</w:t>
      </w:r>
      <w:r w:rsidR="008F14C0" w:rsidRPr="00950AB7">
        <w:rPr>
          <w:rStyle w:val="FootnoteReference"/>
          <w:rFonts w:ascii="Tahoma" w:hAnsi="Tahoma" w:cs="Tahoma"/>
          <w:sz w:val="24"/>
          <w:szCs w:val="24"/>
        </w:rPr>
        <w:footnoteReference w:id="1"/>
      </w:r>
    </w:p>
    <w:p w14:paraId="009AC682" w14:textId="77777777" w:rsidR="00543AA4" w:rsidRPr="00950AB7" w:rsidRDefault="00543AA4" w:rsidP="00543AA4">
      <w:pPr>
        <w:rPr>
          <w:rFonts w:ascii="Tahoma" w:eastAsia="Times New Roman" w:hAnsi="Tahoma" w:cs="Tahoma"/>
          <w:bCs/>
          <w:sz w:val="24"/>
          <w:szCs w:val="24"/>
          <w:lang w:eastAsia="en-GB"/>
        </w:rPr>
      </w:pPr>
    </w:p>
    <w:p w14:paraId="4CBE1EA6" w14:textId="6D7BF700" w:rsidR="00543AA4" w:rsidRPr="00950AB7" w:rsidRDefault="006447DF" w:rsidP="00543AA4">
      <w:pPr>
        <w:rPr>
          <w:rFonts w:ascii="Tahoma" w:eastAsia="Times New Roman" w:hAnsi="Tahoma" w:cs="Tahoma"/>
          <w:bCs/>
          <w:sz w:val="24"/>
          <w:szCs w:val="24"/>
          <w:lang w:eastAsia="en-GB"/>
        </w:rPr>
      </w:pPr>
      <w:r w:rsidRPr="00950AB7">
        <w:rPr>
          <w:rFonts w:ascii="Tahoma" w:eastAsia="Times New Roman" w:hAnsi="Tahoma" w:cs="Tahoma"/>
          <w:bCs/>
          <w:sz w:val="24"/>
          <w:szCs w:val="24"/>
          <w:lang w:eastAsia="en-GB"/>
        </w:rPr>
        <w:t xml:space="preserve">Of the 118 </w:t>
      </w:r>
      <w:r w:rsidR="00543AA4" w:rsidRPr="00950AB7">
        <w:rPr>
          <w:rFonts w:ascii="Tahoma" w:eastAsia="Times New Roman" w:hAnsi="Tahoma" w:cs="Tahoma"/>
          <w:bCs/>
          <w:sz w:val="24"/>
          <w:szCs w:val="24"/>
          <w:lang w:eastAsia="en-GB"/>
        </w:rPr>
        <w:t>short inspections</w:t>
      </w:r>
      <w:r w:rsidRPr="00950AB7">
        <w:rPr>
          <w:rFonts w:ascii="Tahoma" w:eastAsia="Times New Roman" w:hAnsi="Tahoma" w:cs="Tahoma"/>
          <w:bCs/>
          <w:sz w:val="24"/>
          <w:szCs w:val="24"/>
          <w:lang w:eastAsia="en-GB"/>
        </w:rPr>
        <w:t xml:space="preserve">, </w:t>
      </w:r>
      <w:r w:rsidR="00F94D1F" w:rsidRPr="00950AB7">
        <w:rPr>
          <w:rFonts w:ascii="Tahoma" w:eastAsia="Times New Roman" w:hAnsi="Tahoma" w:cs="Tahoma"/>
          <w:bCs/>
          <w:sz w:val="24"/>
          <w:szCs w:val="24"/>
          <w:lang w:eastAsia="en-GB"/>
        </w:rPr>
        <w:t>9</w:t>
      </w:r>
      <w:r w:rsidR="009808E7" w:rsidRPr="00950AB7">
        <w:rPr>
          <w:rFonts w:ascii="Tahoma" w:eastAsia="Times New Roman" w:hAnsi="Tahoma" w:cs="Tahoma"/>
          <w:bCs/>
          <w:sz w:val="24"/>
          <w:szCs w:val="24"/>
          <w:lang w:eastAsia="en-GB"/>
        </w:rPr>
        <w:t>4</w:t>
      </w:r>
      <w:r w:rsidRPr="00950AB7">
        <w:rPr>
          <w:rFonts w:ascii="Tahoma" w:eastAsia="Times New Roman" w:hAnsi="Tahoma" w:cs="Tahoma"/>
          <w:bCs/>
          <w:sz w:val="24"/>
          <w:szCs w:val="24"/>
          <w:lang w:eastAsia="en-GB"/>
        </w:rPr>
        <w:t xml:space="preserve"> providers remained good</w:t>
      </w:r>
      <w:r w:rsidR="00543AA4" w:rsidRPr="00950AB7">
        <w:rPr>
          <w:rFonts w:ascii="Tahoma" w:eastAsia="Times New Roman" w:hAnsi="Tahoma" w:cs="Tahoma"/>
          <w:bCs/>
          <w:sz w:val="24"/>
          <w:szCs w:val="24"/>
          <w:lang w:eastAsia="en-GB"/>
        </w:rPr>
        <w:t xml:space="preserve"> </w:t>
      </w:r>
      <w:r w:rsidRPr="00950AB7">
        <w:rPr>
          <w:rFonts w:ascii="Tahoma" w:eastAsia="Times New Roman" w:hAnsi="Tahoma" w:cs="Tahoma"/>
          <w:bCs/>
          <w:sz w:val="24"/>
          <w:szCs w:val="24"/>
          <w:lang w:eastAsia="en-GB"/>
        </w:rPr>
        <w:t xml:space="preserve">and </w:t>
      </w:r>
      <w:r w:rsidR="00F94D1F" w:rsidRPr="00950AB7">
        <w:rPr>
          <w:rFonts w:ascii="Tahoma" w:eastAsia="Times New Roman" w:hAnsi="Tahoma" w:cs="Tahoma"/>
          <w:bCs/>
          <w:sz w:val="24"/>
          <w:szCs w:val="24"/>
          <w:lang w:eastAsia="en-GB"/>
        </w:rPr>
        <w:t>2</w:t>
      </w:r>
      <w:r w:rsidR="009808E7" w:rsidRPr="00950AB7">
        <w:rPr>
          <w:rFonts w:ascii="Tahoma" w:eastAsia="Times New Roman" w:hAnsi="Tahoma" w:cs="Tahoma"/>
          <w:bCs/>
          <w:sz w:val="24"/>
          <w:szCs w:val="24"/>
          <w:lang w:eastAsia="en-GB"/>
        </w:rPr>
        <w:t>4</w:t>
      </w:r>
      <w:r w:rsidR="00543AA4" w:rsidRPr="00950AB7">
        <w:rPr>
          <w:rFonts w:ascii="Tahoma" w:eastAsia="Times New Roman" w:hAnsi="Tahoma" w:cs="Tahoma"/>
          <w:bCs/>
          <w:sz w:val="24"/>
          <w:szCs w:val="24"/>
          <w:lang w:eastAsia="en-GB"/>
        </w:rPr>
        <w:t xml:space="preserve"> short inspections convert</w:t>
      </w:r>
      <w:r w:rsidRPr="00950AB7">
        <w:rPr>
          <w:rFonts w:ascii="Tahoma" w:eastAsia="Times New Roman" w:hAnsi="Tahoma" w:cs="Tahoma"/>
          <w:bCs/>
          <w:sz w:val="24"/>
          <w:szCs w:val="24"/>
          <w:lang w:eastAsia="en-GB"/>
        </w:rPr>
        <w:t>ed</w:t>
      </w:r>
      <w:r w:rsidR="00543AA4" w:rsidRPr="00950AB7">
        <w:rPr>
          <w:rFonts w:ascii="Tahoma" w:eastAsia="Times New Roman" w:hAnsi="Tahoma" w:cs="Tahoma"/>
          <w:bCs/>
          <w:sz w:val="24"/>
          <w:szCs w:val="24"/>
          <w:lang w:eastAsia="en-GB"/>
        </w:rPr>
        <w:t xml:space="preserve"> to a full inspection. From these converted inspections </w:t>
      </w:r>
      <w:r w:rsidR="00F94D1F" w:rsidRPr="00950AB7">
        <w:rPr>
          <w:rFonts w:ascii="Tahoma" w:eastAsia="Times New Roman" w:hAnsi="Tahoma" w:cs="Tahoma"/>
          <w:bCs/>
          <w:sz w:val="24"/>
          <w:szCs w:val="24"/>
          <w:lang w:eastAsia="en-GB"/>
        </w:rPr>
        <w:t>eight</w:t>
      </w:r>
      <w:r w:rsidR="00543AA4" w:rsidRPr="00950AB7">
        <w:rPr>
          <w:rFonts w:ascii="Tahoma" w:eastAsia="Times New Roman" w:hAnsi="Tahoma" w:cs="Tahoma"/>
          <w:bCs/>
          <w:sz w:val="24"/>
          <w:szCs w:val="24"/>
          <w:lang w:eastAsia="en-GB"/>
        </w:rPr>
        <w:t xml:space="preserve"> providers improved to outstanding, three remained good</w:t>
      </w:r>
      <w:r w:rsidR="00F94D1F" w:rsidRPr="00950AB7">
        <w:rPr>
          <w:rFonts w:ascii="Tahoma" w:eastAsia="Times New Roman" w:hAnsi="Tahoma" w:cs="Tahoma"/>
          <w:bCs/>
          <w:sz w:val="24"/>
          <w:szCs w:val="24"/>
          <w:lang w:eastAsia="en-GB"/>
        </w:rPr>
        <w:t>,</w:t>
      </w:r>
      <w:r w:rsidR="00543AA4" w:rsidRPr="00950AB7">
        <w:rPr>
          <w:rFonts w:ascii="Tahoma" w:eastAsia="Times New Roman" w:hAnsi="Tahoma" w:cs="Tahoma"/>
          <w:bCs/>
          <w:sz w:val="24"/>
          <w:szCs w:val="24"/>
          <w:lang w:eastAsia="en-GB"/>
        </w:rPr>
        <w:t xml:space="preserve"> </w:t>
      </w:r>
      <w:r w:rsidR="0098172B" w:rsidRPr="00950AB7">
        <w:rPr>
          <w:rFonts w:ascii="Tahoma" w:eastAsia="Times New Roman" w:hAnsi="Tahoma" w:cs="Tahoma"/>
          <w:bCs/>
          <w:sz w:val="24"/>
          <w:szCs w:val="24"/>
          <w:lang w:eastAsia="en-GB"/>
        </w:rPr>
        <w:t>t</w:t>
      </w:r>
      <w:r w:rsidR="00F94D1F" w:rsidRPr="00950AB7">
        <w:rPr>
          <w:rFonts w:ascii="Tahoma" w:eastAsia="Times New Roman" w:hAnsi="Tahoma" w:cs="Tahoma"/>
          <w:bCs/>
          <w:sz w:val="24"/>
          <w:szCs w:val="24"/>
          <w:lang w:eastAsia="en-GB"/>
        </w:rPr>
        <w:t>e</w:t>
      </w:r>
      <w:r w:rsidR="0098172B" w:rsidRPr="00950AB7">
        <w:rPr>
          <w:rFonts w:ascii="Tahoma" w:eastAsia="Times New Roman" w:hAnsi="Tahoma" w:cs="Tahoma"/>
          <w:bCs/>
          <w:sz w:val="24"/>
          <w:szCs w:val="24"/>
          <w:lang w:eastAsia="en-GB"/>
        </w:rPr>
        <w:t>n</w:t>
      </w:r>
      <w:r w:rsidR="00F94D1F" w:rsidRPr="00950AB7">
        <w:rPr>
          <w:rFonts w:ascii="Tahoma" w:eastAsia="Times New Roman" w:hAnsi="Tahoma" w:cs="Tahoma"/>
          <w:bCs/>
          <w:sz w:val="24"/>
          <w:szCs w:val="24"/>
          <w:lang w:eastAsia="en-GB"/>
        </w:rPr>
        <w:t xml:space="preserve"> </w:t>
      </w:r>
      <w:r w:rsidR="00543AA4" w:rsidRPr="00950AB7">
        <w:rPr>
          <w:rFonts w:ascii="Tahoma" w:eastAsia="Times New Roman" w:hAnsi="Tahoma" w:cs="Tahoma"/>
          <w:bCs/>
          <w:sz w:val="24"/>
          <w:szCs w:val="24"/>
          <w:lang w:eastAsia="en-GB"/>
        </w:rPr>
        <w:t>declined to require</w:t>
      </w:r>
      <w:r w:rsidR="008B1563" w:rsidRPr="00950AB7">
        <w:rPr>
          <w:rFonts w:ascii="Tahoma" w:eastAsia="Times New Roman" w:hAnsi="Tahoma" w:cs="Tahoma"/>
          <w:bCs/>
          <w:sz w:val="24"/>
          <w:szCs w:val="24"/>
          <w:lang w:eastAsia="en-GB"/>
        </w:rPr>
        <w:t>s</w:t>
      </w:r>
      <w:r w:rsidR="00543AA4" w:rsidRPr="00950AB7">
        <w:rPr>
          <w:rFonts w:ascii="Tahoma" w:eastAsia="Times New Roman" w:hAnsi="Tahoma" w:cs="Tahoma"/>
          <w:bCs/>
          <w:sz w:val="24"/>
          <w:szCs w:val="24"/>
          <w:lang w:eastAsia="en-GB"/>
        </w:rPr>
        <w:t xml:space="preserve"> improvement</w:t>
      </w:r>
      <w:r w:rsidR="00F94D1F" w:rsidRPr="00950AB7">
        <w:rPr>
          <w:rFonts w:ascii="Tahoma" w:eastAsia="Times New Roman" w:hAnsi="Tahoma" w:cs="Tahoma"/>
          <w:bCs/>
          <w:sz w:val="24"/>
          <w:szCs w:val="24"/>
          <w:lang w:eastAsia="en-GB"/>
        </w:rPr>
        <w:t xml:space="preserve"> and three declined to inadequate</w:t>
      </w:r>
      <w:r w:rsidR="00543AA4" w:rsidRPr="00950AB7">
        <w:rPr>
          <w:rFonts w:ascii="Tahoma" w:eastAsia="Times New Roman" w:hAnsi="Tahoma" w:cs="Tahoma"/>
          <w:bCs/>
          <w:sz w:val="24"/>
          <w:szCs w:val="24"/>
          <w:lang w:eastAsia="en-GB"/>
        </w:rPr>
        <w:t>.</w:t>
      </w:r>
      <w:r w:rsidR="00B36072" w:rsidRPr="00950AB7">
        <w:rPr>
          <w:rFonts w:ascii="Tahoma" w:eastAsia="Times New Roman" w:hAnsi="Tahoma" w:cs="Tahoma"/>
          <w:bCs/>
          <w:sz w:val="24"/>
          <w:szCs w:val="24"/>
          <w:lang w:eastAsia="en-GB"/>
        </w:rPr>
        <w:t xml:space="preserve"> </w:t>
      </w:r>
    </w:p>
    <w:p w14:paraId="34AAB3B4" w14:textId="77777777" w:rsidR="00543AA4" w:rsidRPr="00950AB7" w:rsidRDefault="00543AA4" w:rsidP="00543AA4">
      <w:pPr>
        <w:rPr>
          <w:rFonts w:ascii="Tahoma" w:eastAsia="Times New Roman" w:hAnsi="Tahoma" w:cs="Tahoma"/>
          <w:bCs/>
          <w:sz w:val="12"/>
          <w:szCs w:val="12"/>
          <w:lang w:eastAsia="en-GB"/>
        </w:rPr>
      </w:pPr>
      <w:r w:rsidRPr="00950AB7">
        <w:rPr>
          <w:rFonts w:ascii="Tahoma" w:eastAsia="Times New Roman" w:hAnsi="Tahoma" w:cs="Tahoma"/>
          <w:bCs/>
          <w:noProof/>
          <w:sz w:val="12"/>
          <w:szCs w:val="12"/>
          <w:lang w:eastAsia="en-GB"/>
        </w:rPr>
        <mc:AlternateContent>
          <mc:Choice Requires="wps">
            <w:drawing>
              <wp:anchor distT="0" distB="0" distL="114300" distR="114300" simplePos="0" relativeHeight="251662336" behindDoc="0" locked="0" layoutInCell="1" allowOverlap="1" wp14:anchorId="3CDF092F" wp14:editId="7A83B007">
                <wp:simplePos x="0" y="0"/>
                <wp:positionH relativeFrom="column">
                  <wp:posOffset>-64770</wp:posOffset>
                </wp:positionH>
                <wp:positionV relativeFrom="paragraph">
                  <wp:posOffset>116204</wp:posOffset>
                </wp:positionV>
                <wp:extent cx="5991225" cy="2265045"/>
                <wp:effectExtent l="0" t="0" r="28575" b="20955"/>
                <wp:wrapNone/>
                <wp:docPr id="193" name="Rectangle 193"/>
                <wp:cNvGraphicFramePr/>
                <a:graphic xmlns:a="http://schemas.openxmlformats.org/drawingml/2006/main">
                  <a:graphicData uri="http://schemas.microsoft.com/office/word/2010/wordprocessingShape">
                    <wps:wsp>
                      <wps:cNvSpPr/>
                      <wps:spPr>
                        <a:xfrm>
                          <a:off x="0" y="0"/>
                          <a:ext cx="5991225" cy="2265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FEC49" id="Rectangle 193" o:spid="_x0000_s1026" style="position:absolute;margin-left:-5.1pt;margin-top:9.15pt;width:471.75pt;height:17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" filled="f" strokecolor="windowText" strokeweight="1pt"/>
            </w:pict>
          </mc:Fallback>
        </mc:AlternateContent>
      </w:r>
    </w:p>
    <w:p w14:paraId="13BCC6D4" w14:textId="77777777" w:rsidR="00543AA4" w:rsidRPr="00950AB7" w:rsidRDefault="00543AA4" w:rsidP="00543AA4">
      <w:pPr>
        <w:rPr>
          <w:rFonts w:ascii="Tahoma" w:eastAsia="Times New Roman" w:hAnsi="Tahoma" w:cs="Tahoma"/>
          <w:bCs/>
          <w:sz w:val="12"/>
          <w:szCs w:val="12"/>
          <w:lang w:eastAsia="en-GB"/>
        </w:rPr>
      </w:pPr>
    </w:p>
    <w:p w14:paraId="4C245C9A" w14:textId="0D290FD5" w:rsidR="00543AA4" w:rsidRPr="00950AB7" w:rsidRDefault="00543AA4" w:rsidP="00543AA4">
      <w:pPr>
        <w:rPr>
          <w:rFonts w:ascii="Tahoma" w:eastAsia="Times New Roman" w:hAnsi="Tahoma" w:cs="Tahoma"/>
          <w:b/>
          <w:bCs/>
          <w:sz w:val="24"/>
          <w:szCs w:val="24"/>
          <w:lang w:eastAsia="en-GB"/>
        </w:rPr>
      </w:pPr>
      <w:r w:rsidRPr="00950AB7">
        <w:rPr>
          <w:rFonts w:ascii="Tahoma" w:eastAsia="Times New Roman" w:hAnsi="Tahoma" w:cs="Tahoma"/>
          <w:b/>
          <w:bCs/>
          <w:sz w:val="24"/>
          <w:szCs w:val="24"/>
          <w:lang w:eastAsia="en-GB"/>
        </w:rPr>
        <w:t>Figure 2: The number of short inspections and their outcomes</w:t>
      </w:r>
      <w:r w:rsidR="000E001D" w:rsidRPr="00950AB7">
        <w:rPr>
          <w:rFonts w:ascii="Tahoma" w:eastAsia="Times New Roman" w:hAnsi="Tahoma" w:cs="Tahoma"/>
          <w:b/>
          <w:bCs/>
          <w:sz w:val="24"/>
          <w:szCs w:val="24"/>
          <w:lang w:eastAsia="en-GB"/>
        </w:rPr>
        <w:t>, 2016/17</w:t>
      </w:r>
    </w:p>
    <w:p w14:paraId="2A015285" w14:textId="57699E16" w:rsidR="00543AA4" w:rsidRPr="00950AB7" w:rsidRDefault="00654F91" w:rsidP="00543AA4">
      <w:pPr>
        <w:rPr>
          <w:rFonts w:ascii="Tahoma" w:eastAsia="Times New Roman" w:hAnsi="Tahoma" w:cs="Tahoma"/>
          <w:bCs/>
          <w:sz w:val="24"/>
          <w:szCs w:val="24"/>
          <w:lang w:eastAsia="en-GB"/>
        </w:rPr>
      </w:pPr>
      <w:r w:rsidRPr="00950AB7">
        <w:rPr>
          <w:noProof/>
          <w:lang w:eastAsia="en-GB"/>
        </w:rPr>
        <w:drawing>
          <wp:inline distT="0" distB="0" distL="0" distR="0" wp14:anchorId="09E2998C" wp14:editId="5D01D4A0">
            <wp:extent cx="5861050" cy="199706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5191" cy="2005288"/>
                    </a:xfrm>
                    <a:prstGeom prst="rect">
                      <a:avLst/>
                    </a:prstGeom>
                  </pic:spPr>
                </pic:pic>
              </a:graphicData>
            </a:graphic>
          </wp:inline>
        </w:drawing>
      </w:r>
    </w:p>
    <w:p w14:paraId="0FC7723D" w14:textId="77777777" w:rsidR="00543AA4" w:rsidRPr="00950AB7" w:rsidRDefault="00543AA4" w:rsidP="00543AA4">
      <w:pPr>
        <w:rPr>
          <w:rFonts w:ascii="Tahoma" w:eastAsia="Times New Roman" w:hAnsi="Tahoma" w:cs="Tahoma"/>
          <w:bCs/>
          <w:sz w:val="8"/>
          <w:szCs w:val="24"/>
          <w:lang w:eastAsia="en-GB"/>
        </w:rPr>
      </w:pPr>
    </w:p>
    <w:p w14:paraId="389EBD03" w14:textId="77777777" w:rsidR="00A9402E" w:rsidRPr="00950AB7" w:rsidRDefault="00A9402E" w:rsidP="00543AA4">
      <w:pPr>
        <w:rPr>
          <w:rFonts w:ascii="Tahoma" w:eastAsia="Times New Roman" w:hAnsi="Tahoma" w:cs="Tahoma"/>
          <w:bCs/>
          <w:sz w:val="24"/>
          <w:szCs w:val="24"/>
          <w:lang w:eastAsia="en-GB"/>
        </w:rPr>
      </w:pPr>
    </w:p>
    <w:p w14:paraId="7176514B" w14:textId="1EFCC366" w:rsidR="00543AA4" w:rsidRPr="00950AB7" w:rsidRDefault="00A434DA" w:rsidP="00543AA4">
      <w:pPr>
        <w:rPr>
          <w:rFonts w:ascii="Tahoma" w:eastAsia="Times New Roman" w:hAnsi="Tahoma" w:cs="Tahoma"/>
          <w:bCs/>
          <w:sz w:val="24"/>
          <w:szCs w:val="24"/>
          <w:lang w:eastAsia="en-GB"/>
        </w:rPr>
      </w:pPr>
      <w:r w:rsidRPr="00950AB7">
        <w:rPr>
          <w:rFonts w:ascii="Tahoma" w:eastAsia="Times New Roman" w:hAnsi="Tahoma" w:cs="Tahoma"/>
          <w:bCs/>
          <w:sz w:val="24"/>
          <w:szCs w:val="24"/>
          <w:lang w:eastAsia="en-GB"/>
        </w:rPr>
        <w:lastRenderedPageBreak/>
        <w:t>Overall, f</w:t>
      </w:r>
      <w:r w:rsidR="00BA0188" w:rsidRPr="00950AB7">
        <w:rPr>
          <w:rFonts w:ascii="Tahoma" w:eastAsia="Times New Roman" w:hAnsi="Tahoma" w:cs="Tahoma"/>
          <w:bCs/>
          <w:sz w:val="24"/>
          <w:szCs w:val="24"/>
          <w:lang w:eastAsia="en-GB"/>
        </w:rPr>
        <w:t xml:space="preserve">rom the full and short </w:t>
      </w:r>
      <w:r w:rsidR="008F14C0" w:rsidRPr="00950AB7">
        <w:rPr>
          <w:rFonts w:ascii="Tahoma" w:eastAsia="Times New Roman" w:hAnsi="Tahoma" w:cs="Tahoma"/>
          <w:bCs/>
          <w:sz w:val="24"/>
          <w:szCs w:val="24"/>
          <w:lang w:eastAsia="en-GB"/>
        </w:rPr>
        <w:t xml:space="preserve">inspections conducted </w:t>
      </w:r>
      <w:r w:rsidR="00BF2180" w:rsidRPr="00950AB7">
        <w:rPr>
          <w:rFonts w:ascii="Tahoma" w:eastAsia="Times New Roman" w:hAnsi="Tahoma" w:cs="Tahoma"/>
          <w:bCs/>
          <w:sz w:val="24"/>
          <w:szCs w:val="24"/>
          <w:lang w:eastAsia="en-GB"/>
        </w:rPr>
        <w:t>during</w:t>
      </w:r>
      <w:r w:rsidR="008F14C0" w:rsidRPr="00950AB7">
        <w:rPr>
          <w:rFonts w:ascii="Tahoma" w:eastAsia="Times New Roman" w:hAnsi="Tahoma" w:cs="Tahoma"/>
          <w:bCs/>
          <w:sz w:val="24"/>
          <w:szCs w:val="24"/>
          <w:lang w:eastAsia="en-GB"/>
        </w:rPr>
        <w:t xml:space="preserve"> 2016/17, </w:t>
      </w:r>
      <w:r w:rsidR="00A9402E" w:rsidRPr="00950AB7">
        <w:rPr>
          <w:rFonts w:ascii="Tahoma" w:eastAsia="Times New Roman" w:hAnsi="Tahoma" w:cs="Tahoma"/>
          <w:bCs/>
          <w:sz w:val="24"/>
          <w:szCs w:val="24"/>
          <w:lang w:eastAsia="en-GB"/>
        </w:rPr>
        <w:t>5</w:t>
      </w:r>
      <w:r w:rsidR="00543AA4" w:rsidRPr="00950AB7">
        <w:rPr>
          <w:rFonts w:ascii="Tahoma" w:eastAsia="Times New Roman" w:hAnsi="Tahoma" w:cs="Tahoma"/>
          <w:bCs/>
          <w:sz w:val="24"/>
          <w:szCs w:val="24"/>
          <w:lang w:eastAsia="en-GB"/>
        </w:rPr>
        <w:t>% of the providers were judged outstanding, 5</w:t>
      </w:r>
      <w:r w:rsidR="00FB6EFC" w:rsidRPr="00950AB7">
        <w:rPr>
          <w:rFonts w:ascii="Tahoma" w:eastAsia="Times New Roman" w:hAnsi="Tahoma" w:cs="Tahoma"/>
          <w:bCs/>
          <w:sz w:val="24"/>
          <w:szCs w:val="24"/>
          <w:lang w:eastAsia="en-GB"/>
        </w:rPr>
        <w:t>7</w:t>
      </w:r>
      <w:r w:rsidR="00543AA4" w:rsidRPr="00950AB7">
        <w:rPr>
          <w:rFonts w:ascii="Tahoma" w:eastAsia="Times New Roman" w:hAnsi="Tahoma" w:cs="Tahoma"/>
          <w:bCs/>
          <w:sz w:val="24"/>
          <w:szCs w:val="24"/>
          <w:lang w:eastAsia="en-GB"/>
        </w:rPr>
        <w:t xml:space="preserve">% good, 29% requires improvement and 8% inadequate. </w:t>
      </w:r>
    </w:p>
    <w:p w14:paraId="6319A0DB" w14:textId="77777777" w:rsidR="00543AA4" w:rsidRPr="00950AB7" w:rsidRDefault="00543AA4" w:rsidP="00543AA4">
      <w:pPr>
        <w:rPr>
          <w:rFonts w:ascii="Tahoma" w:eastAsia="Times New Roman" w:hAnsi="Tahoma" w:cs="Tahoma"/>
          <w:bCs/>
          <w:sz w:val="24"/>
          <w:szCs w:val="24"/>
          <w:lang w:eastAsia="en-GB"/>
        </w:rPr>
      </w:pPr>
    </w:p>
    <w:p w14:paraId="3BA26662" w14:textId="77777777" w:rsidR="004C4A22" w:rsidRPr="00950AB7" w:rsidRDefault="004C4A22" w:rsidP="00543AA4">
      <w:pPr>
        <w:rPr>
          <w:rFonts w:ascii="Tahoma" w:eastAsia="Times New Roman" w:hAnsi="Tahoma" w:cs="Tahoma"/>
          <w:bCs/>
          <w:sz w:val="24"/>
          <w:szCs w:val="24"/>
          <w:lang w:eastAsia="en-GB"/>
        </w:rPr>
      </w:pPr>
    </w:p>
    <w:p w14:paraId="693CE013" w14:textId="77777777" w:rsidR="00543AA4" w:rsidRPr="00950AB7" w:rsidRDefault="00543AA4" w:rsidP="00543AA4">
      <w:pPr>
        <w:keepNext/>
        <w:keepLines/>
        <w:spacing w:before="40"/>
        <w:outlineLvl w:val="1"/>
        <w:rPr>
          <w:rFonts w:ascii="Tahoma" w:eastAsiaTheme="majorEastAsia" w:hAnsi="Tahoma" w:cs="Tahoma"/>
          <w:b/>
          <w:sz w:val="28"/>
          <w:szCs w:val="28"/>
        </w:rPr>
      </w:pPr>
      <w:bookmarkStart w:id="6" w:name="_Toc484088463"/>
      <w:bookmarkStart w:id="7" w:name="_Toc486330503"/>
      <w:bookmarkStart w:id="8" w:name="_Toc486330820"/>
      <w:bookmarkStart w:id="9" w:name="_Toc498611139"/>
      <w:r w:rsidRPr="00950AB7">
        <w:rPr>
          <w:rFonts w:ascii="Tahoma" w:eastAsiaTheme="majorEastAsia" w:hAnsi="Tahoma" w:cs="Tahoma"/>
          <w:b/>
          <w:sz w:val="28"/>
          <w:szCs w:val="28"/>
        </w:rPr>
        <w:t>Most recent inspection outcomes</w:t>
      </w:r>
      <w:bookmarkEnd w:id="6"/>
      <w:bookmarkEnd w:id="7"/>
      <w:bookmarkEnd w:id="8"/>
      <w:bookmarkEnd w:id="9"/>
    </w:p>
    <w:p w14:paraId="5F6D3608" w14:textId="77777777" w:rsidR="00543AA4" w:rsidRPr="00950AB7" w:rsidRDefault="00543AA4" w:rsidP="00543AA4">
      <w:pPr>
        <w:rPr>
          <w:rFonts w:ascii="Tahoma" w:hAnsi="Tahoma" w:cs="Tahoma"/>
          <w:sz w:val="24"/>
          <w:szCs w:val="24"/>
        </w:rPr>
      </w:pPr>
    </w:p>
    <w:p w14:paraId="60210C25" w14:textId="034B3F74" w:rsidR="005E2DD2" w:rsidRPr="00950AB7" w:rsidRDefault="00A25E18" w:rsidP="00543AA4">
      <w:pPr>
        <w:rPr>
          <w:rFonts w:ascii="Tahoma" w:hAnsi="Tahoma" w:cs="Tahoma"/>
          <w:sz w:val="24"/>
          <w:szCs w:val="24"/>
        </w:rPr>
      </w:pPr>
      <w:r w:rsidRPr="00950AB7">
        <w:rPr>
          <w:rFonts w:ascii="Tahoma" w:hAnsi="Tahoma" w:cs="Tahoma"/>
          <w:sz w:val="24"/>
          <w:szCs w:val="24"/>
        </w:rPr>
        <w:t xml:space="preserve">As at 31 August 2017, there were </w:t>
      </w:r>
      <w:r w:rsidR="00307BD9" w:rsidRPr="00950AB7">
        <w:rPr>
          <w:rFonts w:ascii="Tahoma" w:hAnsi="Tahoma" w:cs="Tahoma"/>
          <w:sz w:val="24"/>
          <w:szCs w:val="24"/>
        </w:rPr>
        <w:t>1,16</w:t>
      </w:r>
      <w:r w:rsidR="005C27C8" w:rsidRPr="00950AB7">
        <w:rPr>
          <w:rFonts w:ascii="Tahoma" w:hAnsi="Tahoma" w:cs="Tahoma"/>
          <w:sz w:val="24"/>
          <w:szCs w:val="24"/>
        </w:rPr>
        <w:t>8</w:t>
      </w:r>
      <w:r w:rsidR="00307BD9" w:rsidRPr="00950AB7">
        <w:rPr>
          <w:rFonts w:ascii="Tahoma" w:hAnsi="Tahoma" w:cs="Tahoma"/>
          <w:sz w:val="24"/>
          <w:szCs w:val="24"/>
        </w:rPr>
        <w:t xml:space="preserve"> open and funded further education and skills providers, of which </w:t>
      </w:r>
      <w:r w:rsidR="00BF2180" w:rsidRPr="00950AB7">
        <w:rPr>
          <w:rFonts w:ascii="Tahoma" w:hAnsi="Tahoma" w:cs="Tahoma"/>
          <w:sz w:val="24"/>
          <w:szCs w:val="24"/>
        </w:rPr>
        <w:t>1,052 (</w:t>
      </w:r>
      <w:r w:rsidR="00307BD9" w:rsidRPr="00950AB7">
        <w:rPr>
          <w:rFonts w:ascii="Tahoma" w:hAnsi="Tahoma" w:cs="Tahoma"/>
          <w:sz w:val="24"/>
          <w:szCs w:val="24"/>
        </w:rPr>
        <w:t>90%</w:t>
      </w:r>
      <w:r w:rsidR="00BF2180" w:rsidRPr="00950AB7">
        <w:rPr>
          <w:rFonts w:ascii="Tahoma" w:hAnsi="Tahoma" w:cs="Tahoma"/>
          <w:sz w:val="24"/>
          <w:szCs w:val="24"/>
        </w:rPr>
        <w:t>)</w:t>
      </w:r>
      <w:r w:rsidR="00307BD9" w:rsidRPr="00950AB7">
        <w:rPr>
          <w:rFonts w:ascii="Tahoma" w:hAnsi="Tahoma" w:cs="Tahoma"/>
          <w:sz w:val="24"/>
          <w:szCs w:val="24"/>
        </w:rPr>
        <w:t xml:space="preserve"> had been inspected. </w:t>
      </w:r>
      <w:r w:rsidR="005E2DD2" w:rsidRPr="00950AB7">
        <w:rPr>
          <w:rFonts w:ascii="Tahoma" w:hAnsi="Tahoma" w:cs="Tahoma"/>
          <w:sz w:val="24"/>
          <w:szCs w:val="24"/>
        </w:rPr>
        <w:t>Eight out of 10 were judged good or outstanding at their most recent inspection. This is the same proportion as at the end of last year.</w:t>
      </w:r>
    </w:p>
    <w:p w14:paraId="03E25013" w14:textId="66DA01D4" w:rsidR="00385418" w:rsidRPr="00950AB7" w:rsidRDefault="000E001D" w:rsidP="00543AA4">
      <w:pPr>
        <w:rPr>
          <w:rFonts w:ascii="Tahoma" w:hAnsi="Tahoma" w:cs="Tahoma"/>
          <w:b/>
          <w:sz w:val="24"/>
          <w:szCs w:val="24"/>
        </w:rPr>
      </w:pPr>
      <w:r w:rsidRPr="00950AB7">
        <w:rPr>
          <w:rFonts w:ascii="Tahoma" w:hAnsi="Tahoma" w:cs="Tahoma"/>
          <w:b/>
          <w:noProof/>
          <w:sz w:val="24"/>
          <w:szCs w:val="24"/>
          <w:lang w:eastAsia="en-GB"/>
        </w:rPr>
        <mc:AlternateContent>
          <mc:Choice Requires="wps">
            <w:drawing>
              <wp:anchor distT="0" distB="0" distL="114300" distR="114300" simplePos="0" relativeHeight="251682816" behindDoc="0" locked="0" layoutInCell="1" allowOverlap="1" wp14:anchorId="548518B3" wp14:editId="1A185ED9">
                <wp:simplePos x="0" y="0"/>
                <wp:positionH relativeFrom="column">
                  <wp:posOffset>-98988</wp:posOffset>
                </wp:positionH>
                <wp:positionV relativeFrom="paragraph">
                  <wp:posOffset>188176</wp:posOffset>
                </wp:positionV>
                <wp:extent cx="6362700" cy="5287992"/>
                <wp:effectExtent l="0" t="0" r="19050" b="27305"/>
                <wp:wrapNone/>
                <wp:docPr id="19" name="Rectangle 19"/>
                <wp:cNvGraphicFramePr/>
                <a:graphic xmlns:a="http://schemas.openxmlformats.org/drawingml/2006/main">
                  <a:graphicData uri="http://schemas.microsoft.com/office/word/2010/wordprocessingShape">
                    <wps:wsp>
                      <wps:cNvSpPr/>
                      <wps:spPr>
                        <a:xfrm>
                          <a:off x="0" y="0"/>
                          <a:ext cx="6362700" cy="52879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F0D0" id="Rectangle 19" o:spid="_x0000_s1026" style="position:absolute;margin-left:-7.8pt;margin-top:14.8pt;width:501pt;height:41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" filled="f" strokecolor="black [3213]" strokeweight="1pt"/>
            </w:pict>
          </mc:Fallback>
        </mc:AlternateContent>
      </w:r>
    </w:p>
    <w:p w14:paraId="6F01ABCC" w14:textId="77777777" w:rsidR="000E001D" w:rsidRPr="00950AB7" w:rsidRDefault="000E001D" w:rsidP="00543AA4">
      <w:pPr>
        <w:rPr>
          <w:rFonts w:ascii="Tahoma" w:hAnsi="Tahoma" w:cs="Tahoma"/>
          <w:b/>
          <w:sz w:val="8"/>
          <w:szCs w:val="8"/>
        </w:rPr>
      </w:pPr>
    </w:p>
    <w:p w14:paraId="61BF99F5" w14:textId="04FFBF43" w:rsidR="00385418" w:rsidRPr="00950AB7" w:rsidRDefault="005E2DD2" w:rsidP="005E2DD2">
      <w:pPr>
        <w:rPr>
          <w:rFonts w:ascii="Tahoma" w:hAnsi="Tahoma" w:cs="Tahoma"/>
          <w:b/>
          <w:sz w:val="24"/>
          <w:szCs w:val="24"/>
        </w:rPr>
      </w:pPr>
      <w:r w:rsidRPr="00950AB7">
        <w:rPr>
          <w:rFonts w:ascii="Tahoma" w:hAnsi="Tahoma" w:cs="Tahoma"/>
          <w:b/>
          <w:sz w:val="24"/>
          <w:szCs w:val="24"/>
        </w:rPr>
        <w:t xml:space="preserve">Figure </w:t>
      </w:r>
      <w:r w:rsidR="00F10D5F" w:rsidRPr="00950AB7">
        <w:rPr>
          <w:rFonts w:ascii="Tahoma" w:hAnsi="Tahoma" w:cs="Tahoma"/>
          <w:b/>
          <w:sz w:val="24"/>
          <w:szCs w:val="24"/>
        </w:rPr>
        <w:t>3</w:t>
      </w:r>
      <w:r w:rsidRPr="00950AB7">
        <w:rPr>
          <w:rFonts w:ascii="Tahoma" w:hAnsi="Tahoma" w:cs="Tahoma"/>
          <w:b/>
          <w:sz w:val="24"/>
          <w:szCs w:val="24"/>
        </w:rPr>
        <w:t xml:space="preserve">: Overall effectiveness of further education </w:t>
      </w:r>
      <w:r w:rsidR="00164836" w:rsidRPr="00950AB7">
        <w:rPr>
          <w:rFonts w:ascii="Tahoma" w:hAnsi="Tahoma" w:cs="Tahoma"/>
          <w:b/>
          <w:sz w:val="24"/>
          <w:szCs w:val="24"/>
        </w:rPr>
        <w:t xml:space="preserve">(FE) </w:t>
      </w:r>
      <w:r w:rsidRPr="00950AB7">
        <w:rPr>
          <w:rFonts w:ascii="Tahoma" w:hAnsi="Tahoma" w:cs="Tahoma"/>
          <w:b/>
          <w:sz w:val="24"/>
          <w:szCs w:val="24"/>
        </w:rPr>
        <w:t xml:space="preserve">and skills providers at their most recent inspection, </w:t>
      </w:r>
      <w:r w:rsidR="008F14C0" w:rsidRPr="00950AB7">
        <w:rPr>
          <w:rFonts w:ascii="Tahoma" w:hAnsi="Tahoma" w:cs="Tahoma"/>
          <w:b/>
          <w:sz w:val="24"/>
          <w:szCs w:val="24"/>
        </w:rPr>
        <w:t xml:space="preserve">as at </w:t>
      </w:r>
      <w:r w:rsidRPr="00950AB7">
        <w:rPr>
          <w:rFonts w:ascii="Tahoma" w:hAnsi="Tahoma" w:cs="Tahoma"/>
          <w:b/>
          <w:sz w:val="24"/>
          <w:szCs w:val="24"/>
        </w:rPr>
        <w:t>31 August 2017</w:t>
      </w:r>
    </w:p>
    <w:p w14:paraId="4A04F6EB" w14:textId="06E97B4A" w:rsidR="00FC3A49" w:rsidRPr="00950AB7" w:rsidRDefault="00FC3A49" w:rsidP="00FC3A49">
      <w:pPr>
        <w:spacing w:before="80"/>
        <w:rPr>
          <w:rFonts w:ascii="Tahoma" w:hAnsi="Tahoma" w:cs="Tahoma"/>
        </w:rPr>
      </w:pPr>
      <w:r w:rsidRPr="00950AB7">
        <w:rPr>
          <w:rFonts w:ascii="Tahoma" w:hAnsi="Tahoma" w:cs="Tahoma"/>
        </w:rPr>
        <w:t>Number of providers in brackets</w:t>
      </w:r>
    </w:p>
    <w:p w14:paraId="16CCAD4E" w14:textId="50CB7562" w:rsidR="000B1F38" w:rsidRPr="00950AB7" w:rsidRDefault="00163E5E" w:rsidP="00543AA4">
      <w:pPr>
        <w:rPr>
          <w:rFonts w:ascii="Tahoma" w:hAnsi="Tahoma" w:cs="Tahoma"/>
          <w:b/>
          <w:sz w:val="24"/>
          <w:szCs w:val="24"/>
        </w:rPr>
      </w:pPr>
      <w:r w:rsidRPr="00950AB7">
        <w:rPr>
          <w:rFonts w:ascii="Tahoma" w:hAnsi="Tahoma" w:cs="Tahoma"/>
          <w:b/>
          <w:noProof/>
          <w:sz w:val="24"/>
          <w:szCs w:val="24"/>
          <w:lang w:eastAsia="en-GB"/>
        </w:rPr>
        <w:drawing>
          <wp:inline distT="0" distB="0" distL="0" distR="0" wp14:anchorId="117AD6B6" wp14:editId="6A341EA7">
            <wp:extent cx="6232994" cy="41056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8946" t="2102" b="6998"/>
                    <a:stretch/>
                  </pic:blipFill>
                  <pic:spPr bwMode="auto">
                    <a:xfrm>
                      <a:off x="0" y="0"/>
                      <a:ext cx="6234094" cy="4106359"/>
                    </a:xfrm>
                    <a:prstGeom prst="rect">
                      <a:avLst/>
                    </a:prstGeom>
                    <a:noFill/>
                    <a:ln>
                      <a:noFill/>
                    </a:ln>
                    <a:extLst>
                      <a:ext uri="{53640926-AAD7-44D8-BBD7-CCE9431645EC}">
                        <a14:shadowObscured xmlns:a14="http://schemas.microsoft.com/office/drawing/2010/main"/>
                      </a:ext>
                    </a:extLst>
                  </pic:spPr>
                </pic:pic>
              </a:graphicData>
            </a:graphic>
          </wp:inline>
        </w:drawing>
      </w:r>
    </w:p>
    <w:p w14:paraId="6F0B3E0C" w14:textId="77777777" w:rsidR="004C4A22" w:rsidRPr="00950AB7" w:rsidRDefault="004C4A22" w:rsidP="00381226">
      <w:pPr>
        <w:pStyle w:val="ListParagraph"/>
        <w:numPr>
          <w:ilvl w:val="0"/>
          <w:numId w:val="27"/>
        </w:numPr>
        <w:spacing w:before="120"/>
        <w:ind w:left="357" w:hanging="357"/>
        <w:rPr>
          <w:rFonts w:ascii="Tahoma" w:hAnsi="Tahoma" w:cs="Tahoma"/>
          <w:sz w:val="16"/>
          <w:szCs w:val="16"/>
        </w:rPr>
      </w:pPr>
      <w:r w:rsidRPr="00950AB7">
        <w:rPr>
          <w:rFonts w:ascii="Tahoma" w:hAnsi="Tahoma" w:cs="Tahoma"/>
          <w:sz w:val="16"/>
          <w:szCs w:val="16"/>
        </w:rPr>
        <w:t>Includes employer providers.</w:t>
      </w:r>
    </w:p>
    <w:p w14:paraId="1D58551D" w14:textId="77777777" w:rsidR="004C4A22" w:rsidRPr="00950AB7" w:rsidRDefault="004C4A22" w:rsidP="004C4A22">
      <w:pPr>
        <w:pStyle w:val="ListParagraph"/>
        <w:numPr>
          <w:ilvl w:val="0"/>
          <w:numId w:val="27"/>
        </w:numPr>
        <w:rPr>
          <w:rFonts w:ascii="Tahoma" w:hAnsi="Tahoma" w:cs="Tahoma"/>
          <w:sz w:val="16"/>
          <w:szCs w:val="16"/>
        </w:rPr>
      </w:pPr>
      <w:r w:rsidRPr="00950AB7">
        <w:rPr>
          <w:rFonts w:ascii="Tahoma" w:hAnsi="Tahoma" w:cs="Tahoma"/>
          <w:sz w:val="16"/>
          <w:szCs w:val="16"/>
        </w:rPr>
        <w:t>Inspection of further education provision only, not provider as a whole.</w:t>
      </w:r>
    </w:p>
    <w:p w14:paraId="60C5EBA9" w14:textId="77777777" w:rsidR="004C4A22" w:rsidRPr="00950AB7" w:rsidRDefault="004C4A22" w:rsidP="004C4A22">
      <w:pPr>
        <w:pStyle w:val="ListParagraph"/>
        <w:numPr>
          <w:ilvl w:val="0"/>
          <w:numId w:val="27"/>
        </w:numPr>
        <w:rPr>
          <w:rFonts w:ascii="Tahoma" w:hAnsi="Tahoma" w:cs="Tahoma"/>
          <w:sz w:val="16"/>
          <w:szCs w:val="16"/>
        </w:rPr>
      </w:pPr>
      <w:r w:rsidRPr="00950AB7">
        <w:rPr>
          <w:rFonts w:ascii="Tahoma" w:hAnsi="Tahoma" w:cs="Tahoma"/>
          <w:sz w:val="16"/>
          <w:szCs w:val="16"/>
        </w:rPr>
        <w:t>Where the number of providers is small, percentages should be treated with caution.</w:t>
      </w:r>
    </w:p>
    <w:p w14:paraId="37B1D001" w14:textId="77777777" w:rsidR="000B1F38" w:rsidRPr="00950AB7" w:rsidRDefault="000B1F38" w:rsidP="00543AA4">
      <w:pPr>
        <w:rPr>
          <w:rFonts w:ascii="Tahoma" w:hAnsi="Tahoma" w:cs="Tahoma"/>
          <w:b/>
          <w:sz w:val="24"/>
          <w:szCs w:val="24"/>
        </w:rPr>
      </w:pPr>
    </w:p>
    <w:p w14:paraId="3B857F92" w14:textId="77777777" w:rsidR="000B1F38" w:rsidRPr="00950AB7" w:rsidRDefault="000B1F38" w:rsidP="00543AA4">
      <w:pPr>
        <w:rPr>
          <w:rFonts w:ascii="Tahoma" w:hAnsi="Tahoma" w:cs="Tahoma"/>
          <w:b/>
          <w:sz w:val="24"/>
          <w:szCs w:val="24"/>
        </w:rPr>
      </w:pPr>
    </w:p>
    <w:p w14:paraId="63F5803B" w14:textId="2218568A" w:rsidR="00543AA4" w:rsidRPr="00950AB7" w:rsidRDefault="00E2133C" w:rsidP="00543AA4">
      <w:pPr>
        <w:rPr>
          <w:rFonts w:ascii="Tahoma" w:hAnsi="Tahoma" w:cs="Tahoma"/>
          <w:sz w:val="24"/>
          <w:szCs w:val="24"/>
        </w:rPr>
      </w:pPr>
      <w:r w:rsidRPr="00950AB7">
        <w:rPr>
          <w:rFonts w:ascii="Tahoma" w:hAnsi="Tahoma" w:cs="Tahoma"/>
          <w:sz w:val="24"/>
          <w:szCs w:val="24"/>
        </w:rPr>
        <w:lastRenderedPageBreak/>
        <w:t>As at 31 August 2017</w:t>
      </w:r>
      <w:r w:rsidR="008F14C0" w:rsidRPr="00950AB7">
        <w:rPr>
          <w:rFonts w:ascii="Tahoma" w:hAnsi="Tahoma" w:cs="Tahoma"/>
          <w:sz w:val="24"/>
          <w:szCs w:val="24"/>
        </w:rPr>
        <w:t>,</w:t>
      </w:r>
      <w:r w:rsidRPr="00950AB7">
        <w:rPr>
          <w:rFonts w:ascii="Tahoma" w:hAnsi="Tahoma" w:cs="Tahoma"/>
          <w:sz w:val="24"/>
          <w:szCs w:val="24"/>
        </w:rPr>
        <w:t xml:space="preserve"> </w:t>
      </w:r>
      <w:r w:rsidR="00F73A6F" w:rsidRPr="00950AB7">
        <w:rPr>
          <w:rFonts w:ascii="Tahoma" w:hAnsi="Tahoma" w:cs="Tahoma"/>
          <w:sz w:val="24"/>
          <w:szCs w:val="24"/>
        </w:rPr>
        <w:t>15%</w:t>
      </w:r>
      <w:r w:rsidR="0006190E" w:rsidRPr="00950AB7">
        <w:rPr>
          <w:rFonts w:ascii="Tahoma" w:hAnsi="Tahoma" w:cs="Tahoma"/>
          <w:sz w:val="24"/>
          <w:szCs w:val="24"/>
        </w:rPr>
        <w:t xml:space="preserve"> </w:t>
      </w:r>
      <w:r w:rsidRPr="00950AB7">
        <w:rPr>
          <w:rFonts w:ascii="Tahoma" w:hAnsi="Tahoma" w:cs="Tahoma"/>
          <w:sz w:val="24"/>
          <w:szCs w:val="24"/>
        </w:rPr>
        <w:t xml:space="preserve">of </w:t>
      </w:r>
      <w:r w:rsidR="0006190E" w:rsidRPr="00950AB7">
        <w:rPr>
          <w:rFonts w:ascii="Tahoma" w:hAnsi="Tahoma" w:cs="Tahoma"/>
          <w:sz w:val="24"/>
          <w:szCs w:val="24"/>
        </w:rPr>
        <w:t>all open and funded</w:t>
      </w:r>
      <w:r w:rsidR="00543AA4" w:rsidRPr="00950AB7">
        <w:rPr>
          <w:rFonts w:ascii="Tahoma" w:hAnsi="Tahoma" w:cs="Tahoma"/>
          <w:sz w:val="24"/>
          <w:szCs w:val="24"/>
        </w:rPr>
        <w:t xml:space="preserve"> further education and skills providers were judged outstanding at their most recent inspection</w:t>
      </w:r>
      <w:r w:rsidR="005E2DD2" w:rsidRPr="00950AB7">
        <w:rPr>
          <w:rFonts w:ascii="Tahoma" w:hAnsi="Tahoma" w:cs="Tahoma"/>
          <w:sz w:val="24"/>
          <w:szCs w:val="24"/>
        </w:rPr>
        <w:t xml:space="preserve"> (</w:t>
      </w:r>
      <w:r w:rsidR="00F73A6F" w:rsidRPr="00950AB7">
        <w:rPr>
          <w:rFonts w:ascii="Tahoma" w:hAnsi="Tahoma" w:cs="Tahoma"/>
          <w:sz w:val="24"/>
          <w:szCs w:val="24"/>
        </w:rPr>
        <w:t>159</w:t>
      </w:r>
      <w:r w:rsidR="00543AA4" w:rsidRPr="00950AB7">
        <w:rPr>
          <w:rFonts w:ascii="Tahoma" w:hAnsi="Tahoma" w:cs="Tahoma"/>
          <w:sz w:val="24"/>
          <w:szCs w:val="24"/>
        </w:rPr>
        <w:t xml:space="preserve"> providers</w:t>
      </w:r>
      <w:r w:rsidR="005E2DD2" w:rsidRPr="00950AB7">
        <w:rPr>
          <w:rFonts w:ascii="Tahoma" w:hAnsi="Tahoma" w:cs="Tahoma"/>
          <w:sz w:val="24"/>
          <w:szCs w:val="24"/>
        </w:rPr>
        <w:t>)</w:t>
      </w:r>
      <w:r w:rsidR="00543AA4" w:rsidRPr="00950AB7">
        <w:rPr>
          <w:rFonts w:ascii="Tahoma" w:hAnsi="Tahoma" w:cs="Tahoma"/>
          <w:sz w:val="24"/>
          <w:szCs w:val="24"/>
        </w:rPr>
        <w:t xml:space="preserve">. Since the Education Act 2011 came in to force, most </w:t>
      </w:r>
      <w:r w:rsidR="008F14C0" w:rsidRPr="00950AB7">
        <w:rPr>
          <w:rFonts w:ascii="Tahoma" w:hAnsi="Tahoma" w:cs="Tahoma"/>
          <w:sz w:val="24"/>
          <w:szCs w:val="24"/>
        </w:rPr>
        <w:t xml:space="preserve">types </w:t>
      </w:r>
      <w:r w:rsidR="00543AA4" w:rsidRPr="00950AB7">
        <w:rPr>
          <w:rFonts w:ascii="Tahoma" w:hAnsi="Tahoma" w:cs="Tahoma"/>
          <w:sz w:val="24"/>
          <w:szCs w:val="24"/>
        </w:rPr>
        <w:t>of provider judged outstanding have been exempt from routine inspection and are only inspected if there is a cause for concern.</w:t>
      </w:r>
      <w:r w:rsidR="00C92791" w:rsidRPr="00950AB7">
        <w:rPr>
          <w:rFonts w:ascii="Tahoma" w:hAnsi="Tahoma" w:cs="Tahoma"/>
          <w:sz w:val="24"/>
          <w:szCs w:val="24"/>
        </w:rPr>
        <w:t xml:space="preserve"> </w:t>
      </w:r>
      <w:r w:rsidR="004D501D" w:rsidRPr="00950AB7">
        <w:rPr>
          <w:rFonts w:ascii="Tahoma" w:hAnsi="Tahoma" w:cs="Tahoma"/>
          <w:sz w:val="24"/>
          <w:szCs w:val="24"/>
        </w:rPr>
        <w:t>A cause for concern may include, f</w:t>
      </w:r>
      <w:r w:rsidR="00C92791" w:rsidRPr="00950AB7">
        <w:rPr>
          <w:rFonts w:ascii="Tahoma" w:hAnsi="Tahoma" w:cs="Tahoma"/>
          <w:sz w:val="24"/>
          <w:szCs w:val="24"/>
        </w:rPr>
        <w:t>or example</w:t>
      </w:r>
      <w:r w:rsidR="004D501D" w:rsidRPr="00950AB7">
        <w:rPr>
          <w:rFonts w:ascii="Tahoma" w:hAnsi="Tahoma" w:cs="Tahoma"/>
          <w:sz w:val="24"/>
          <w:szCs w:val="24"/>
        </w:rPr>
        <w:t>,</w:t>
      </w:r>
      <w:r w:rsidR="00C92791" w:rsidRPr="00950AB7">
        <w:rPr>
          <w:rFonts w:ascii="Tahoma" w:hAnsi="Tahoma" w:cs="Tahoma"/>
          <w:sz w:val="24"/>
          <w:szCs w:val="24"/>
        </w:rPr>
        <w:t xml:space="preserve"> </w:t>
      </w:r>
      <w:r w:rsidR="004D501D" w:rsidRPr="00950AB7">
        <w:rPr>
          <w:rFonts w:ascii="Tahoma" w:hAnsi="Tahoma" w:cs="Tahoma"/>
          <w:sz w:val="24"/>
          <w:szCs w:val="24"/>
        </w:rPr>
        <w:t>a decline in p</w:t>
      </w:r>
      <w:r w:rsidR="00C92791" w:rsidRPr="00950AB7">
        <w:rPr>
          <w:rFonts w:ascii="Tahoma" w:hAnsi="Tahoma" w:cs="Tahoma"/>
          <w:sz w:val="24"/>
          <w:szCs w:val="24"/>
        </w:rPr>
        <w:t>erformance or another compelling reason, such as potential safeguarding issues.</w:t>
      </w:r>
      <w:r w:rsidR="00543AA4" w:rsidRPr="00950AB7">
        <w:rPr>
          <w:rFonts w:ascii="Tahoma" w:hAnsi="Tahoma" w:cs="Tahoma"/>
          <w:sz w:val="24"/>
          <w:szCs w:val="24"/>
        </w:rPr>
        <w:t xml:space="preserve"> </w:t>
      </w:r>
    </w:p>
    <w:p w14:paraId="5C4531B9" w14:textId="792293AF" w:rsidR="00543AA4" w:rsidRPr="00950AB7" w:rsidRDefault="00543AA4" w:rsidP="00543AA4">
      <w:pPr>
        <w:rPr>
          <w:rFonts w:ascii="Tahoma" w:hAnsi="Tahoma" w:cs="Tahoma"/>
          <w:sz w:val="24"/>
          <w:szCs w:val="24"/>
        </w:rPr>
      </w:pPr>
    </w:p>
    <w:p w14:paraId="06EA315C" w14:textId="77777777" w:rsidR="00A434DA" w:rsidRPr="00950AB7" w:rsidRDefault="00066ADB" w:rsidP="00543AA4">
      <w:pPr>
        <w:rPr>
          <w:rFonts w:ascii="Tahoma" w:hAnsi="Tahoma" w:cs="Tahoma"/>
          <w:sz w:val="24"/>
          <w:szCs w:val="24"/>
        </w:rPr>
      </w:pPr>
      <w:r w:rsidRPr="00950AB7">
        <w:rPr>
          <w:rFonts w:ascii="Tahoma" w:hAnsi="Tahoma" w:cs="Tahoma"/>
          <w:sz w:val="24"/>
          <w:szCs w:val="24"/>
        </w:rPr>
        <w:t>Of the 12</w:t>
      </w:r>
      <w:r w:rsidR="00EB1FC5" w:rsidRPr="00950AB7">
        <w:rPr>
          <w:rFonts w:ascii="Tahoma" w:hAnsi="Tahoma" w:cs="Tahoma"/>
          <w:sz w:val="24"/>
          <w:szCs w:val="24"/>
        </w:rPr>
        <w:t>7</w:t>
      </w:r>
      <w:r w:rsidR="00543AA4" w:rsidRPr="00950AB7">
        <w:rPr>
          <w:rFonts w:ascii="Tahoma" w:hAnsi="Tahoma" w:cs="Tahoma"/>
          <w:sz w:val="24"/>
          <w:szCs w:val="24"/>
        </w:rPr>
        <w:t xml:space="preserve"> </w:t>
      </w:r>
      <w:r w:rsidR="008B1563" w:rsidRPr="00950AB7">
        <w:rPr>
          <w:rFonts w:ascii="Tahoma" w:hAnsi="Tahoma" w:cs="Tahoma"/>
          <w:sz w:val="24"/>
          <w:szCs w:val="24"/>
        </w:rPr>
        <w:t xml:space="preserve">outstanding </w:t>
      </w:r>
      <w:r w:rsidR="00543AA4" w:rsidRPr="00950AB7">
        <w:rPr>
          <w:rFonts w:ascii="Tahoma" w:hAnsi="Tahoma" w:cs="Tahoma"/>
          <w:sz w:val="24"/>
          <w:szCs w:val="24"/>
        </w:rPr>
        <w:t>providers that are ex</w:t>
      </w:r>
      <w:r w:rsidRPr="00950AB7">
        <w:rPr>
          <w:rFonts w:ascii="Tahoma" w:hAnsi="Tahoma" w:cs="Tahoma"/>
          <w:sz w:val="24"/>
          <w:szCs w:val="24"/>
        </w:rPr>
        <w:t xml:space="preserve">empt from routine inspection, </w:t>
      </w:r>
      <w:r w:rsidR="00BF2180" w:rsidRPr="00950AB7">
        <w:rPr>
          <w:rFonts w:ascii="Tahoma" w:hAnsi="Tahoma" w:cs="Tahoma"/>
          <w:sz w:val="24"/>
          <w:szCs w:val="24"/>
        </w:rPr>
        <w:t xml:space="preserve">more than half have had their </w:t>
      </w:r>
      <w:r w:rsidR="00543AA4" w:rsidRPr="00950AB7">
        <w:rPr>
          <w:rFonts w:ascii="Tahoma" w:hAnsi="Tahoma" w:cs="Tahoma"/>
          <w:sz w:val="24"/>
          <w:szCs w:val="24"/>
        </w:rPr>
        <w:t xml:space="preserve">most recent inspection within the last </w:t>
      </w:r>
      <w:r w:rsidR="00BF2180" w:rsidRPr="00950AB7">
        <w:rPr>
          <w:rFonts w:ascii="Tahoma" w:hAnsi="Tahoma" w:cs="Tahoma"/>
          <w:sz w:val="24"/>
          <w:szCs w:val="24"/>
        </w:rPr>
        <w:t>six</w:t>
      </w:r>
      <w:r w:rsidR="00543AA4" w:rsidRPr="00950AB7">
        <w:rPr>
          <w:rFonts w:ascii="Tahoma" w:hAnsi="Tahoma" w:cs="Tahoma"/>
          <w:sz w:val="24"/>
          <w:szCs w:val="24"/>
        </w:rPr>
        <w:t xml:space="preserve"> years</w:t>
      </w:r>
      <w:r w:rsidR="008F14C0" w:rsidRPr="00950AB7">
        <w:rPr>
          <w:rFonts w:ascii="Tahoma" w:hAnsi="Tahoma" w:cs="Tahoma"/>
          <w:sz w:val="24"/>
          <w:szCs w:val="24"/>
        </w:rPr>
        <w:t>.</w:t>
      </w:r>
      <w:r w:rsidR="00543AA4" w:rsidRPr="00950AB7">
        <w:rPr>
          <w:rFonts w:ascii="Tahoma" w:hAnsi="Tahoma" w:cs="Tahoma"/>
          <w:sz w:val="24"/>
          <w:szCs w:val="24"/>
        </w:rPr>
        <w:t xml:space="preserve"> </w:t>
      </w:r>
    </w:p>
    <w:p w14:paraId="47043A0D" w14:textId="77777777" w:rsidR="00A434DA" w:rsidRPr="00950AB7" w:rsidRDefault="00A434DA" w:rsidP="00543AA4">
      <w:pPr>
        <w:rPr>
          <w:rFonts w:ascii="Tahoma" w:hAnsi="Tahoma" w:cs="Tahoma"/>
          <w:sz w:val="24"/>
          <w:szCs w:val="24"/>
        </w:rPr>
      </w:pPr>
    </w:p>
    <w:p w14:paraId="2A81C330" w14:textId="77777777" w:rsidR="00543AA4" w:rsidRPr="00950AB7" w:rsidRDefault="00543AA4" w:rsidP="00543AA4">
      <w:pPr>
        <w:rPr>
          <w:rFonts w:ascii="Tahoma" w:eastAsiaTheme="majorEastAsia" w:hAnsi="Tahoma" w:cs="Tahoma"/>
          <w:b/>
          <w:sz w:val="24"/>
          <w:szCs w:val="24"/>
        </w:rPr>
      </w:pPr>
    </w:p>
    <w:p w14:paraId="4F29BF0F" w14:textId="77777777" w:rsidR="00543AA4" w:rsidRPr="00950AB7" w:rsidRDefault="00543AA4" w:rsidP="00543AA4">
      <w:pPr>
        <w:keepNext/>
        <w:keepLines/>
        <w:outlineLvl w:val="0"/>
        <w:rPr>
          <w:rFonts w:ascii="Tahoma" w:eastAsiaTheme="majorEastAsia" w:hAnsi="Tahoma" w:cs="Tahoma"/>
          <w:b/>
          <w:sz w:val="32"/>
          <w:szCs w:val="32"/>
        </w:rPr>
      </w:pPr>
      <w:bookmarkStart w:id="10" w:name="_Toc484088464"/>
      <w:bookmarkStart w:id="11" w:name="_Toc486330504"/>
      <w:bookmarkStart w:id="12" w:name="_Toc486330821"/>
      <w:bookmarkStart w:id="13" w:name="_Toc498611140"/>
      <w:r w:rsidRPr="00950AB7">
        <w:rPr>
          <w:rFonts w:ascii="Tahoma" w:eastAsiaTheme="majorEastAsia" w:hAnsi="Tahoma" w:cs="Tahoma"/>
          <w:b/>
          <w:sz w:val="32"/>
          <w:szCs w:val="32"/>
        </w:rPr>
        <w:t>Main findings</w:t>
      </w:r>
      <w:bookmarkEnd w:id="10"/>
      <w:bookmarkEnd w:id="11"/>
      <w:bookmarkEnd w:id="12"/>
      <w:bookmarkEnd w:id="13"/>
    </w:p>
    <w:p w14:paraId="0F938C40" w14:textId="77777777" w:rsidR="00543AA4" w:rsidRPr="00950AB7" w:rsidRDefault="00543AA4" w:rsidP="00543AA4">
      <w:pPr>
        <w:rPr>
          <w:rFonts w:ascii="Tahoma" w:hAnsi="Tahoma" w:cs="Tahoma"/>
          <w:sz w:val="24"/>
          <w:szCs w:val="24"/>
        </w:rPr>
      </w:pPr>
    </w:p>
    <w:p w14:paraId="2A783903" w14:textId="77777777" w:rsidR="00543AA4" w:rsidRPr="00950AB7" w:rsidRDefault="00543AA4" w:rsidP="00543AA4">
      <w:pPr>
        <w:rPr>
          <w:rFonts w:ascii="Tahoma" w:hAnsi="Tahoma" w:cs="Tahoma"/>
          <w:sz w:val="24"/>
          <w:szCs w:val="24"/>
        </w:rPr>
      </w:pPr>
    </w:p>
    <w:p w14:paraId="612FDFAF" w14:textId="77777777" w:rsidR="00543AA4" w:rsidRPr="00950AB7" w:rsidRDefault="00543AA4" w:rsidP="00543AA4">
      <w:pPr>
        <w:keepNext/>
        <w:keepLines/>
        <w:spacing w:before="40"/>
        <w:outlineLvl w:val="1"/>
        <w:rPr>
          <w:rFonts w:ascii="Tahoma" w:eastAsiaTheme="majorEastAsia" w:hAnsi="Tahoma" w:cs="Tahoma"/>
          <w:b/>
          <w:sz w:val="28"/>
          <w:szCs w:val="28"/>
        </w:rPr>
      </w:pPr>
      <w:bookmarkStart w:id="14" w:name="_Toc484088465"/>
      <w:bookmarkStart w:id="15" w:name="_Toc486330505"/>
      <w:bookmarkStart w:id="16" w:name="_Toc486330822"/>
      <w:bookmarkStart w:id="17" w:name="_Toc498611141"/>
      <w:r w:rsidRPr="00950AB7">
        <w:rPr>
          <w:rFonts w:ascii="Tahoma" w:eastAsiaTheme="majorEastAsia" w:hAnsi="Tahoma" w:cs="Tahoma"/>
          <w:b/>
          <w:sz w:val="28"/>
          <w:szCs w:val="28"/>
        </w:rPr>
        <w:t>General further education colleges</w:t>
      </w:r>
      <w:bookmarkEnd w:id="14"/>
      <w:bookmarkEnd w:id="15"/>
      <w:bookmarkEnd w:id="16"/>
      <w:bookmarkEnd w:id="17"/>
    </w:p>
    <w:p w14:paraId="04A5343D" w14:textId="77777777" w:rsidR="00543AA4" w:rsidRPr="00950AB7" w:rsidRDefault="00543AA4" w:rsidP="00543AA4">
      <w:pPr>
        <w:rPr>
          <w:rFonts w:ascii="Tahoma" w:hAnsi="Tahoma" w:cs="Tahoma"/>
          <w:sz w:val="24"/>
          <w:szCs w:val="24"/>
        </w:rPr>
      </w:pPr>
    </w:p>
    <w:p w14:paraId="4108A900" w14:textId="4A217A19" w:rsidR="00F453A8" w:rsidRPr="00950AB7" w:rsidRDefault="004F12F6" w:rsidP="00543AA4">
      <w:pPr>
        <w:rPr>
          <w:rFonts w:ascii="Tahoma" w:hAnsi="Tahoma" w:cs="Tahoma"/>
          <w:sz w:val="24"/>
          <w:szCs w:val="24"/>
        </w:rPr>
      </w:pPr>
      <w:r w:rsidRPr="00950AB7">
        <w:rPr>
          <w:rFonts w:ascii="Tahoma" w:hAnsi="Tahoma" w:cs="Tahoma"/>
          <w:sz w:val="24"/>
          <w:szCs w:val="24"/>
        </w:rPr>
        <w:t>During</w:t>
      </w:r>
      <w:r w:rsidR="00604473" w:rsidRPr="00950AB7">
        <w:rPr>
          <w:rFonts w:ascii="Tahoma" w:hAnsi="Tahoma" w:cs="Tahoma"/>
          <w:sz w:val="24"/>
          <w:szCs w:val="24"/>
        </w:rPr>
        <w:t xml:space="preserve"> 2016/17, </w:t>
      </w:r>
      <w:r w:rsidR="003C0ADB" w:rsidRPr="00950AB7">
        <w:rPr>
          <w:rFonts w:ascii="Tahoma" w:hAnsi="Tahoma" w:cs="Tahoma"/>
          <w:sz w:val="24"/>
          <w:szCs w:val="24"/>
        </w:rPr>
        <w:t>a fifth</w:t>
      </w:r>
      <w:r w:rsidR="000333B4" w:rsidRPr="00950AB7">
        <w:rPr>
          <w:rFonts w:ascii="Tahoma" w:hAnsi="Tahoma" w:cs="Tahoma"/>
          <w:sz w:val="24"/>
          <w:szCs w:val="24"/>
        </w:rPr>
        <w:t xml:space="preserve"> </w:t>
      </w:r>
      <w:r w:rsidR="003C0ADB" w:rsidRPr="00950AB7">
        <w:rPr>
          <w:rFonts w:ascii="Tahoma" w:hAnsi="Tahoma" w:cs="Tahoma"/>
          <w:sz w:val="24"/>
          <w:szCs w:val="24"/>
        </w:rPr>
        <w:t xml:space="preserve">of </w:t>
      </w:r>
      <w:r w:rsidR="00604473" w:rsidRPr="00950AB7">
        <w:rPr>
          <w:rFonts w:ascii="Tahoma" w:hAnsi="Tahoma" w:cs="Tahoma"/>
          <w:sz w:val="24"/>
          <w:szCs w:val="24"/>
        </w:rPr>
        <w:t>general further education (FE) colleges</w:t>
      </w:r>
      <w:r w:rsidR="001C376E" w:rsidRPr="00950AB7">
        <w:rPr>
          <w:rFonts w:ascii="Tahoma" w:hAnsi="Tahoma" w:cs="Tahoma"/>
          <w:sz w:val="24"/>
          <w:szCs w:val="24"/>
        </w:rPr>
        <w:t xml:space="preserve"> </w:t>
      </w:r>
      <w:r w:rsidR="00F453A8" w:rsidRPr="00950AB7">
        <w:rPr>
          <w:rFonts w:ascii="Tahoma" w:hAnsi="Tahoma" w:cs="Tahoma"/>
          <w:sz w:val="24"/>
          <w:szCs w:val="24"/>
        </w:rPr>
        <w:t xml:space="preserve">(42) </w:t>
      </w:r>
      <w:r w:rsidR="001C376E" w:rsidRPr="00950AB7">
        <w:rPr>
          <w:rFonts w:ascii="Tahoma" w:hAnsi="Tahoma" w:cs="Tahoma"/>
          <w:sz w:val="24"/>
          <w:szCs w:val="24"/>
        </w:rPr>
        <w:t>were involved in a merger: 38 with other general FE colleges and four with sixth form colleges.</w:t>
      </w:r>
      <w:r w:rsidR="003C0ADB" w:rsidRPr="00950AB7">
        <w:rPr>
          <w:rFonts w:ascii="Tahoma" w:hAnsi="Tahoma" w:cs="Tahoma"/>
          <w:sz w:val="24"/>
          <w:szCs w:val="24"/>
        </w:rPr>
        <w:t xml:space="preserve"> The large majority of mergers took place in August 2017</w:t>
      </w:r>
      <w:r w:rsidR="004D56C9" w:rsidRPr="00950AB7">
        <w:rPr>
          <w:rFonts w:ascii="Tahoma" w:hAnsi="Tahoma" w:cs="Tahoma"/>
          <w:sz w:val="24"/>
          <w:szCs w:val="24"/>
        </w:rPr>
        <w:t xml:space="preserve"> and followed on from area</w:t>
      </w:r>
      <w:r w:rsidR="00041F11" w:rsidRPr="00950AB7">
        <w:rPr>
          <w:rFonts w:ascii="Tahoma" w:hAnsi="Tahoma" w:cs="Tahoma"/>
          <w:sz w:val="24"/>
          <w:szCs w:val="24"/>
        </w:rPr>
        <w:t xml:space="preserve"> reviews carried out by the FE C</w:t>
      </w:r>
      <w:r w:rsidR="004D56C9" w:rsidRPr="00950AB7">
        <w:rPr>
          <w:rFonts w:ascii="Tahoma" w:hAnsi="Tahoma" w:cs="Tahoma"/>
          <w:sz w:val="24"/>
          <w:szCs w:val="24"/>
        </w:rPr>
        <w:t>ommissioner in 2015/16</w:t>
      </w:r>
      <w:r w:rsidR="009837F1" w:rsidRPr="00950AB7">
        <w:rPr>
          <w:rFonts w:ascii="Tahoma" w:hAnsi="Tahoma" w:cs="Tahoma"/>
          <w:sz w:val="24"/>
          <w:szCs w:val="24"/>
        </w:rPr>
        <w:t xml:space="preserve"> and 2016/17</w:t>
      </w:r>
      <w:r w:rsidR="003C0ADB" w:rsidRPr="00950AB7">
        <w:rPr>
          <w:rFonts w:ascii="Tahoma" w:hAnsi="Tahoma" w:cs="Tahoma"/>
          <w:sz w:val="24"/>
          <w:szCs w:val="24"/>
        </w:rPr>
        <w:t xml:space="preserve">. </w:t>
      </w:r>
    </w:p>
    <w:p w14:paraId="600D4D64" w14:textId="77777777" w:rsidR="00F453A8" w:rsidRPr="00950AB7" w:rsidRDefault="00F453A8" w:rsidP="00543AA4">
      <w:pPr>
        <w:rPr>
          <w:rFonts w:ascii="Tahoma" w:hAnsi="Tahoma" w:cs="Tahoma"/>
          <w:sz w:val="24"/>
          <w:szCs w:val="24"/>
        </w:rPr>
      </w:pPr>
    </w:p>
    <w:p w14:paraId="6C194003" w14:textId="70085C95" w:rsidR="00D34F96" w:rsidRPr="00950AB7" w:rsidRDefault="003C0ADB" w:rsidP="00543AA4">
      <w:pPr>
        <w:rPr>
          <w:rFonts w:ascii="Tahoma" w:hAnsi="Tahoma" w:cs="Tahoma"/>
          <w:sz w:val="24"/>
          <w:szCs w:val="24"/>
        </w:rPr>
      </w:pPr>
      <w:r w:rsidRPr="00950AB7">
        <w:rPr>
          <w:rFonts w:ascii="Tahoma" w:hAnsi="Tahoma" w:cs="Tahoma"/>
          <w:sz w:val="24"/>
          <w:szCs w:val="24"/>
        </w:rPr>
        <w:t>From these mergers 22 general FE colleges remained</w:t>
      </w:r>
      <w:r w:rsidR="00F453A8" w:rsidRPr="00950AB7">
        <w:rPr>
          <w:rFonts w:ascii="Tahoma" w:hAnsi="Tahoma" w:cs="Tahoma"/>
          <w:sz w:val="24"/>
          <w:szCs w:val="24"/>
        </w:rPr>
        <w:t xml:space="preserve"> out of the 42 that were involved</w:t>
      </w:r>
      <w:r w:rsidR="004B18D6" w:rsidRPr="00950AB7">
        <w:rPr>
          <w:rFonts w:ascii="Tahoma" w:hAnsi="Tahoma" w:cs="Tahoma"/>
          <w:sz w:val="24"/>
          <w:szCs w:val="24"/>
        </w:rPr>
        <w:t xml:space="preserve">. </w:t>
      </w:r>
      <w:r w:rsidR="00994FAD" w:rsidRPr="00950AB7">
        <w:rPr>
          <w:rFonts w:ascii="Tahoma" w:hAnsi="Tahoma" w:cs="Tahoma"/>
          <w:sz w:val="24"/>
          <w:szCs w:val="24"/>
        </w:rPr>
        <w:t>Twenty</w:t>
      </w:r>
      <w:r w:rsidR="008F14C0" w:rsidRPr="00950AB7">
        <w:rPr>
          <w:rFonts w:ascii="Tahoma" w:hAnsi="Tahoma" w:cs="Tahoma"/>
          <w:sz w:val="24"/>
          <w:szCs w:val="24"/>
        </w:rPr>
        <w:t xml:space="preserve"> of these had been created from the merger of two colleges and two had been created from the merger of three colleges.</w:t>
      </w:r>
    </w:p>
    <w:p w14:paraId="3109429D" w14:textId="77777777" w:rsidR="00D34F96" w:rsidRPr="00950AB7" w:rsidRDefault="00D34F96" w:rsidP="00543AA4">
      <w:pPr>
        <w:rPr>
          <w:rFonts w:ascii="Tahoma" w:hAnsi="Tahoma" w:cs="Tahoma"/>
          <w:sz w:val="24"/>
          <w:szCs w:val="24"/>
        </w:rPr>
      </w:pPr>
    </w:p>
    <w:p w14:paraId="5CE174E3" w14:textId="01BB543D" w:rsidR="00E1576D" w:rsidRPr="00950AB7" w:rsidRDefault="008F14C0" w:rsidP="00543AA4">
      <w:pPr>
        <w:rPr>
          <w:rFonts w:ascii="Tahoma" w:hAnsi="Tahoma" w:cs="Tahoma"/>
          <w:sz w:val="24"/>
          <w:szCs w:val="24"/>
        </w:rPr>
      </w:pPr>
      <w:r w:rsidRPr="00950AB7">
        <w:rPr>
          <w:rFonts w:ascii="Tahoma" w:hAnsi="Tahoma" w:cs="Tahoma"/>
          <w:sz w:val="24"/>
          <w:szCs w:val="24"/>
        </w:rPr>
        <w:t xml:space="preserve">In total around 285,000 learners were affected by the mergers. </w:t>
      </w:r>
      <w:r w:rsidR="00E1576D" w:rsidRPr="00950AB7">
        <w:rPr>
          <w:rFonts w:ascii="Tahoma" w:hAnsi="Tahoma" w:cs="Tahoma"/>
          <w:sz w:val="24"/>
          <w:szCs w:val="24"/>
        </w:rPr>
        <w:t xml:space="preserve">In eight </w:t>
      </w:r>
      <w:r w:rsidRPr="00950AB7">
        <w:rPr>
          <w:rFonts w:ascii="Tahoma" w:hAnsi="Tahoma" w:cs="Tahoma"/>
          <w:sz w:val="24"/>
          <w:szCs w:val="24"/>
        </w:rPr>
        <w:t xml:space="preserve">out </w:t>
      </w:r>
      <w:r w:rsidR="00E1576D" w:rsidRPr="00950AB7">
        <w:rPr>
          <w:rFonts w:ascii="Tahoma" w:hAnsi="Tahoma" w:cs="Tahoma"/>
          <w:sz w:val="24"/>
          <w:szCs w:val="24"/>
        </w:rPr>
        <w:t xml:space="preserve">of the </w:t>
      </w:r>
      <w:r w:rsidRPr="00950AB7">
        <w:rPr>
          <w:rFonts w:ascii="Tahoma" w:hAnsi="Tahoma" w:cs="Tahoma"/>
          <w:sz w:val="24"/>
          <w:szCs w:val="24"/>
        </w:rPr>
        <w:t xml:space="preserve">22 </w:t>
      </w:r>
      <w:r w:rsidR="00E1576D" w:rsidRPr="00950AB7">
        <w:rPr>
          <w:rFonts w:ascii="Tahoma" w:hAnsi="Tahoma" w:cs="Tahoma"/>
          <w:sz w:val="24"/>
          <w:szCs w:val="24"/>
        </w:rPr>
        <w:t>colleges that remained</w:t>
      </w:r>
      <w:r w:rsidRPr="00950AB7">
        <w:rPr>
          <w:rFonts w:ascii="Tahoma" w:hAnsi="Tahoma" w:cs="Tahoma"/>
          <w:sz w:val="24"/>
          <w:szCs w:val="24"/>
        </w:rPr>
        <w:t>,</w:t>
      </w:r>
      <w:r w:rsidR="00E1576D" w:rsidRPr="00950AB7">
        <w:rPr>
          <w:rFonts w:ascii="Tahoma" w:hAnsi="Tahoma" w:cs="Tahoma"/>
          <w:sz w:val="24"/>
          <w:szCs w:val="24"/>
        </w:rPr>
        <w:t xml:space="preserve"> the number of learners</w:t>
      </w:r>
      <w:r w:rsidR="00C8208F" w:rsidRPr="00950AB7">
        <w:rPr>
          <w:rFonts w:ascii="Tahoma" w:hAnsi="Tahoma" w:cs="Tahoma"/>
          <w:sz w:val="24"/>
          <w:szCs w:val="24"/>
        </w:rPr>
        <w:t xml:space="preserve"> approximately </w:t>
      </w:r>
      <w:r w:rsidR="00E1576D" w:rsidRPr="00950AB7">
        <w:rPr>
          <w:rFonts w:ascii="Tahoma" w:hAnsi="Tahoma" w:cs="Tahoma"/>
          <w:sz w:val="24"/>
          <w:szCs w:val="24"/>
        </w:rPr>
        <w:t xml:space="preserve">doubled and in </w:t>
      </w:r>
      <w:r w:rsidR="00C8208F" w:rsidRPr="00950AB7">
        <w:rPr>
          <w:rFonts w:ascii="Tahoma" w:hAnsi="Tahoma" w:cs="Tahoma"/>
          <w:sz w:val="24"/>
          <w:szCs w:val="24"/>
        </w:rPr>
        <w:t>eight</w:t>
      </w:r>
      <w:r w:rsidR="00E1576D" w:rsidRPr="00950AB7">
        <w:rPr>
          <w:rFonts w:ascii="Tahoma" w:hAnsi="Tahoma" w:cs="Tahoma"/>
          <w:sz w:val="24"/>
          <w:szCs w:val="24"/>
        </w:rPr>
        <w:t xml:space="preserve"> colleges the number of lea</w:t>
      </w:r>
      <w:r w:rsidR="00F453A8" w:rsidRPr="00950AB7">
        <w:rPr>
          <w:rFonts w:ascii="Tahoma" w:hAnsi="Tahoma" w:cs="Tahoma"/>
          <w:sz w:val="24"/>
          <w:szCs w:val="24"/>
        </w:rPr>
        <w:t>r</w:t>
      </w:r>
      <w:r w:rsidR="00E1576D" w:rsidRPr="00950AB7">
        <w:rPr>
          <w:rFonts w:ascii="Tahoma" w:hAnsi="Tahoma" w:cs="Tahoma"/>
          <w:sz w:val="24"/>
          <w:szCs w:val="24"/>
        </w:rPr>
        <w:t xml:space="preserve">ners increased by </w:t>
      </w:r>
      <w:r w:rsidR="00745060" w:rsidRPr="00950AB7">
        <w:rPr>
          <w:rFonts w:ascii="Tahoma" w:hAnsi="Tahoma" w:cs="Tahoma"/>
          <w:sz w:val="24"/>
          <w:szCs w:val="24"/>
        </w:rPr>
        <w:t xml:space="preserve">approximately </w:t>
      </w:r>
      <w:r w:rsidR="00E1576D" w:rsidRPr="00950AB7">
        <w:rPr>
          <w:rFonts w:ascii="Tahoma" w:hAnsi="Tahoma" w:cs="Tahoma"/>
          <w:sz w:val="24"/>
          <w:szCs w:val="24"/>
        </w:rPr>
        <w:t>50%</w:t>
      </w:r>
      <w:r w:rsidR="00F453A8" w:rsidRPr="00950AB7">
        <w:rPr>
          <w:rFonts w:ascii="Tahoma" w:hAnsi="Tahoma" w:cs="Tahoma"/>
          <w:sz w:val="24"/>
          <w:szCs w:val="24"/>
        </w:rPr>
        <w:t>.</w:t>
      </w:r>
      <w:r w:rsidR="00F453A8" w:rsidRPr="00950AB7">
        <w:rPr>
          <w:rStyle w:val="FootnoteReference"/>
          <w:rFonts w:ascii="Tahoma" w:hAnsi="Tahoma" w:cs="Tahoma"/>
          <w:sz w:val="24"/>
          <w:szCs w:val="24"/>
        </w:rPr>
        <w:footnoteReference w:id="2"/>
      </w:r>
      <w:r w:rsidR="00E1576D" w:rsidRPr="00950AB7">
        <w:rPr>
          <w:rFonts w:ascii="Tahoma" w:hAnsi="Tahoma" w:cs="Tahoma"/>
          <w:sz w:val="24"/>
          <w:szCs w:val="24"/>
        </w:rPr>
        <w:t xml:space="preserve">  </w:t>
      </w:r>
    </w:p>
    <w:p w14:paraId="5D30EB32" w14:textId="77777777" w:rsidR="00E1576D" w:rsidRPr="00950AB7" w:rsidRDefault="00E1576D" w:rsidP="00543AA4">
      <w:pPr>
        <w:rPr>
          <w:rFonts w:ascii="Tahoma" w:hAnsi="Tahoma" w:cs="Tahoma"/>
          <w:sz w:val="24"/>
          <w:szCs w:val="24"/>
        </w:rPr>
      </w:pPr>
    </w:p>
    <w:p w14:paraId="2F7DDD73" w14:textId="3666F60C" w:rsidR="00BC7444" w:rsidRPr="00950AB7" w:rsidRDefault="00041F11" w:rsidP="00543AA4">
      <w:pPr>
        <w:rPr>
          <w:rFonts w:ascii="Tahoma" w:hAnsi="Tahoma" w:cs="Tahoma"/>
          <w:sz w:val="24"/>
          <w:szCs w:val="24"/>
        </w:rPr>
      </w:pPr>
      <w:r w:rsidRPr="00950AB7">
        <w:rPr>
          <w:rFonts w:ascii="Tahoma" w:hAnsi="Tahoma" w:cs="Tahoma"/>
          <w:sz w:val="24"/>
          <w:szCs w:val="24"/>
        </w:rPr>
        <w:t>The most recent inspection outcome</w:t>
      </w:r>
      <w:r w:rsidR="0066349A" w:rsidRPr="00950AB7">
        <w:rPr>
          <w:rFonts w:ascii="Tahoma" w:hAnsi="Tahoma" w:cs="Tahoma"/>
          <w:sz w:val="24"/>
          <w:szCs w:val="24"/>
        </w:rPr>
        <w:t>s</w:t>
      </w:r>
      <w:r w:rsidRPr="00950AB7">
        <w:rPr>
          <w:rFonts w:ascii="Tahoma" w:hAnsi="Tahoma" w:cs="Tahoma"/>
          <w:sz w:val="24"/>
          <w:szCs w:val="24"/>
        </w:rPr>
        <w:t xml:space="preserve"> for the colleges involved in the 22 mergers outlined above were</w:t>
      </w:r>
      <w:r w:rsidR="00BC7444" w:rsidRPr="00950AB7">
        <w:rPr>
          <w:rFonts w:ascii="Tahoma" w:hAnsi="Tahoma" w:cs="Tahoma"/>
          <w:sz w:val="24"/>
          <w:szCs w:val="24"/>
        </w:rPr>
        <w:t>:</w:t>
      </w:r>
    </w:p>
    <w:p w14:paraId="02CABE2C" w14:textId="2F984384" w:rsidR="00BC7444" w:rsidRPr="00950AB7" w:rsidRDefault="00625867" w:rsidP="00BC7444">
      <w:pPr>
        <w:pStyle w:val="ListParagraph"/>
        <w:numPr>
          <w:ilvl w:val="0"/>
          <w:numId w:val="23"/>
        </w:numPr>
        <w:rPr>
          <w:rFonts w:ascii="Tahoma" w:hAnsi="Tahoma" w:cs="Tahoma"/>
          <w:sz w:val="24"/>
          <w:szCs w:val="24"/>
        </w:rPr>
      </w:pPr>
      <w:r w:rsidRPr="00950AB7">
        <w:rPr>
          <w:rFonts w:ascii="Tahoma" w:hAnsi="Tahoma" w:cs="Tahoma"/>
          <w:sz w:val="24"/>
          <w:szCs w:val="24"/>
        </w:rPr>
        <w:t>nine</w:t>
      </w:r>
      <w:r w:rsidR="00BC7444" w:rsidRPr="00950AB7">
        <w:rPr>
          <w:rFonts w:ascii="Tahoma" w:hAnsi="Tahoma" w:cs="Tahoma"/>
          <w:sz w:val="24"/>
          <w:szCs w:val="24"/>
        </w:rPr>
        <w:t xml:space="preserve"> </w:t>
      </w:r>
      <w:r w:rsidR="0066349A" w:rsidRPr="00950AB7">
        <w:rPr>
          <w:rFonts w:ascii="Tahoma" w:hAnsi="Tahoma" w:cs="Tahoma"/>
          <w:sz w:val="24"/>
          <w:szCs w:val="24"/>
        </w:rPr>
        <w:t xml:space="preserve">mergers </w:t>
      </w:r>
      <w:r w:rsidR="00BC7444" w:rsidRPr="00950AB7">
        <w:rPr>
          <w:rFonts w:ascii="Tahoma" w:hAnsi="Tahoma" w:cs="Tahoma"/>
          <w:sz w:val="24"/>
          <w:szCs w:val="24"/>
        </w:rPr>
        <w:t>between colleges both judged good</w:t>
      </w:r>
      <w:r w:rsidRPr="00950AB7">
        <w:rPr>
          <w:rFonts w:ascii="Tahoma" w:hAnsi="Tahoma" w:cs="Tahoma"/>
          <w:sz w:val="24"/>
          <w:szCs w:val="24"/>
        </w:rPr>
        <w:t xml:space="preserve"> or outstanding</w:t>
      </w:r>
      <w:r w:rsidR="00DA5F3A" w:rsidRPr="00950AB7">
        <w:rPr>
          <w:rFonts w:ascii="Tahoma" w:hAnsi="Tahoma" w:cs="Tahoma"/>
          <w:sz w:val="24"/>
          <w:szCs w:val="24"/>
        </w:rPr>
        <w:t xml:space="preserve"> (115,000 learners)</w:t>
      </w:r>
    </w:p>
    <w:p w14:paraId="40401D96" w14:textId="7F62EEE6" w:rsidR="00BC7444" w:rsidRPr="00950AB7" w:rsidRDefault="00625867" w:rsidP="00BC7444">
      <w:pPr>
        <w:pStyle w:val="ListParagraph"/>
        <w:numPr>
          <w:ilvl w:val="0"/>
          <w:numId w:val="23"/>
        </w:numPr>
        <w:rPr>
          <w:rFonts w:ascii="Tahoma" w:hAnsi="Tahoma" w:cs="Tahoma"/>
          <w:sz w:val="24"/>
          <w:szCs w:val="24"/>
        </w:rPr>
      </w:pPr>
      <w:r w:rsidRPr="00950AB7">
        <w:rPr>
          <w:rFonts w:ascii="Tahoma" w:hAnsi="Tahoma" w:cs="Tahoma"/>
          <w:sz w:val="24"/>
          <w:szCs w:val="24"/>
        </w:rPr>
        <w:t>nine</w:t>
      </w:r>
      <w:r w:rsidR="00BC7444" w:rsidRPr="00950AB7">
        <w:rPr>
          <w:rFonts w:ascii="Tahoma" w:hAnsi="Tahoma" w:cs="Tahoma"/>
          <w:sz w:val="24"/>
          <w:szCs w:val="24"/>
        </w:rPr>
        <w:t xml:space="preserve"> </w:t>
      </w:r>
      <w:r w:rsidR="0066349A" w:rsidRPr="00950AB7">
        <w:rPr>
          <w:rFonts w:ascii="Tahoma" w:hAnsi="Tahoma" w:cs="Tahoma"/>
          <w:sz w:val="24"/>
          <w:szCs w:val="24"/>
        </w:rPr>
        <w:t xml:space="preserve">mergers </w:t>
      </w:r>
      <w:r w:rsidR="00BC7444" w:rsidRPr="00950AB7">
        <w:rPr>
          <w:rFonts w:ascii="Tahoma" w:hAnsi="Tahoma" w:cs="Tahoma"/>
          <w:sz w:val="24"/>
          <w:szCs w:val="24"/>
        </w:rPr>
        <w:t>between college</w:t>
      </w:r>
      <w:r w:rsidRPr="00950AB7">
        <w:rPr>
          <w:rFonts w:ascii="Tahoma" w:hAnsi="Tahoma" w:cs="Tahoma"/>
          <w:sz w:val="24"/>
          <w:szCs w:val="24"/>
        </w:rPr>
        <w:t xml:space="preserve">s </w:t>
      </w:r>
      <w:r w:rsidR="00BC7444" w:rsidRPr="00950AB7">
        <w:rPr>
          <w:rFonts w:ascii="Tahoma" w:hAnsi="Tahoma" w:cs="Tahoma"/>
          <w:sz w:val="24"/>
          <w:szCs w:val="24"/>
        </w:rPr>
        <w:t xml:space="preserve">judged good </w:t>
      </w:r>
      <w:r w:rsidRPr="00950AB7">
        <w:rPr>
          <w:rFonts w:ascii="Tahoma" w:hAnsi="Tahoma" w:cs="Tahoma"/>
          <w:sz w:val="24"/>
          <w:szCs w:val="24"/>
        </w:rPr>
        <w:t xml:space="preserve">or outstanding </w:t>
      </w:r>
      <w:r w:rsidR="00BC7444" w:rsidRPr="00950AB7">
        <w:rPr>
          <w:rFonts w:ascii="Tahoma" w:hAnsi="Tahoma" w:cs="Tahoma"/>
          <w:sz w:val="24"/>
          <w:szCs w:val="24"/>
        </w:rPr>
        <w:t xml:space="preserve">and another </w:t>
      </w:r>
      <w:r w:rsidRPr="00950AB7">
        <w:rPr>
          <w:rFonts w:ascii="Tahoma" w:hAnsi="Tahoma" w:cs="Tahoma"/>
          <w:sz w:val="24"/>
          <w:szCs w:val="24"/>
        </w:rPr>
        <w:t xml:space="preserve">college that </w:t>
      </w:r>
      <w:r w:rsidR="00BC7444" w:rsidRPr="00950AB7">
        <w:rPr>
          <w:rFonts w:ascii="Tahoma" w:hAnsi="Tahoma" w:cs="Tahoma"/>
          <w:sz w:val="24"/>
          <w:szCs w:val="24"/>
        </w:rPr>
        <w:t>require</w:t>
      </w:r>
      <w:r w:rsidRPr="00950AB7">
        <w:rPr>
          <w:rFonts w:ascii="Tahoma" w:hAnsi="Tahoma" w:cs="Tahoma"/>
          <w:sz w:val="24"/>
          <w:szCs w:val="24"/>
        </w:rPr>
        <w:t>d</w:t>
      </w:r>
      <w:r w:rsidR="00BC7444" w:rsidRPr="00950AB7">
        <w:rPr>
          <w:rFonts w:ascii="Tahoma" w:hAnsi="Tahoma" w:cs="Tahoma"/>
          <w:sz w:val="24"/>
          <w:szCs w:val="24"/>
        </w:rPr>
        <w:t xml:space="preserve"> improvement</w:t>
      </w:r>
      <w:r w:rsidRPr="00950AB7">
        <w:rPr>
          <w:rFonts w:ascii="Tahoma" w:hAnsi="Tahoma" w:cs="Tahoma"/>
          <w:sz w:val="24"/>
          <w:szCs w:val="24"/>
        </w:rPr>
        <w:t xml:space="preserve"> or was inadequate</w:t>
      </w:r>
      <w:r w:rsidR="00DA5F3A" w:rsidRPr="00950AB7">
        <w:rPr>
          <w:rFonts w:ascii="Tahoma" w:hAnsi="Tahoma" w:cs="Tahoma"/>
          <w:sz w:val="24"/>
          <w:szCs w:val="24"/>
        </w:rPr>
        <w:t xml:space="preserve"> (130,000 learners)</w:t>
      </w:r>
    </w:p>
    <w:p w14:paraId="0DEAD61D" w14:textId="1173E67E" w:rsidR="00BC7444" w:rsidRPr="00950AB7" w:rsidRDefault="00625867" w:rsidP="00625867">
      <w:pPr>
        <w:pStyle w:val="ListParagraph"/>
        <w:numPr>
          <w:ilvl w:val="0"/>
          <w:numId w:val="23"/>
        </w:numPr>
        <w:rPr>
          <w:rFonts w:ascii="Tahoma" w:hAnsi="Tahoma" w:cs="Tahoma"/>
          <w:sz w:val="24"/>
          <w:szCs w:val="24"/>
        </w:rPr>
      </w:pPr>
      <w:r w:rsidRPr="00950AB7">
        <w:rPr>
          <w:rFonts w:ascii="Tahoma" w:hAnsi="Tahoma" w:cs="Tahoma"/>
          <w:sz w:val="24"/>
          <w:szCs w:val="24"/>
        </w:rPr>
        <w:t xml:space="preserve">four </w:t>
      </w:r>
      <w:r w:rsidR="0066349A" w:rsidRPr="00950AB7">
        <w:rPr>
          <w:rFonts w:ascii="Tahoma" w:hAnsi="Tahoma" w:cs="Tahoma"/>
          <w:sz w:val="24"/>
          <w:szCs w:val="24"/>
        </w:rPr>
        <w:t xml:space="preserve">mergers </w:t>
      </w:r>
      <w:r w:rsidR="00BC7444" w:rsidRPr="00950AB7">
        <w:rPr>
          <w:rFonts w:ascii="Tahoma" w:hAnsi="Tahoma" w:cs="Tahoma"/>
          <w:sz w:val="24"/>
          <w:szCs w:val="24"/>
        </w:rPr>
        <w:t xml:space="preserve">between colleges </w:t>
      </w:r>
      <w:r w:rsidRPr="00950AB7">
        <w:rPr>
          <w:rFonts w:ascii="Tahoma" w:hAnsi="Tahoma" w:cs="Tahoma"/>
          <w:sz w:val="24"/>
          <w:szCs w:val="24"/>
        </w:rPr>
        <w:t>both judged requires improvement or inadequate</w:t>
      </w:r>
      <w:r w:rsidR="00DA5F3A" w:rsidRPr="00950AB7">
        <w:rPr>
          <w:rFonts w:ascii="Tahoma" w:hAnsi="Tahoma" w:cs="Tahoma"/>
          <w:sz w:val="24"/>
          <w:szCs w:val="24"/>
        </w:rPr>
        <w:t xml:space="preserve"> (30,000 </w:t>
      </w:r>
      <w:r w:rsidR="00CD1941" w:rsidRPr="00950AB7">
        <w:rPr>
          <w:rFonts w:ascii="Tahoma" w:hAnsi="Tahoma" w:cs="Tahoma"/>
          <w:sz w:val="24"/>
          <w:szCs w:val="24"/>
        </w:rPr>
        <w:t>learners</w:t>
      </w:r>
      <w:r w:rsidR="00DA5F3A" w:rsidRPr="00950AB7">
        <w:rPr>
          <w:rFonts w:ascii="Tahoma" w:hAnsi="Tahoma" w:cs="Tahoma"/>
          <w:sz w:val="24"/>
          <w:szCs w:val="24"/>
        </w:rPr>
        <w:t>)</w:t>
      </w:r>
      <w:r w:rsidR="00CD1941" w:rsidRPr="00950AB7">
        <w:rPr>
          <w:rFonts w:ascii="Tahoma" w:hAnsi="Tahoma" w:cs="Tahoma"/>
          <w:sz w:val="24"/>
          <w:szCs w:val="24"/>
        </w:rPr>
        <w:t>.</w:t>
      </w:r>
    </w:p>
    <w:p w14:paraId="0AA547D7" w14:textId="77777777" w:rsidR="00BC7444" w:rsidRPr="00950AB7" w:rsidRDefault="00BC7444" w:rsidP="00543AA4">
      <w:pPr>
        <w:rPr>
          <w:rFonts w:ascii="Tahoma" w:hAnsi="Tahoma" w:cs="Tahoma"/>
          <w:sz w:val="24"/>
          <w:szCs w:val="24"/>
        </w:rPr>
      </w:pPr>
    </w:p>
    <w:p w14:paraId="50D1BEB5" w14:textId="5F5D6AF1" w:rsidR="00543AA4" w:rsidRPr="00950AB7" w:rsidRDefault="00152C50" w:rsidP="00543AA4">
      <w:pPr>
        <w:rPr>
          <w:rFonts w:ascii="Tahoma" w:hAnsi="Tahoma" w:cs="Tahoma"/>
          <w:sz w:val="24"/>
          <w:szCs w:val="24"/>
        </w:rPr>
      </w:pPr>
      <w:r w:rsidRPr="00950AB7">
        <w:rPr>
          <w:rFonts w:ascii="Tahoma" w:hAnsi="Tahoma" w:cs="Tahoma"/>
          <w:sz w:val="24"/>
          <w:szCs w:val="24"/>
        </w:rPr>
        <w:t xml:space="preserve">Mergers have reduced the number of open and funded colleges from 207 as at 31 August 2016 to 189 as at 31 August 2017. Colleges that have officially closed as a result of a </w:t>
      </w:r>
      <w:r w:rsidRPr="00950AB7">
        <w:rPr>
          <w:rFonts w:ascii="Tahoma" w:hAnsi="Tahoma" w:cs="Tahoma"/>
          <w:sz w:val="24"/>
          <w:szCs w:val="24"/>
        </w:rPr>
        <w:lastRenderedPageBreak/>
        <w:t xml:space="preserve">merger will no longer be reported on separately in the Official Statistics. </w:t>
      </w:r>
      <w:r w:rsidR="00DD0D7E" w:rsidRPr="00950AB7">
        <w:rPr>
          <w:rFonts w:ascii="Tahoma" w:hAnsi="Tahoma" w:cs="Tahoma"/>
          <w:sz w:val="24"/>
          <w:szCs w:val="24"/>
        </w:rPr>
        <w:t>All but one of the</w:t>
      </w:r>
      <w:r w:rsidR="00C25750" w:rsidRPr="00950AB7">
        <w:rPr>
          <w:rFonts w:ascii="Tahoma" w:hAnsi="Tahoma" w:cs="Tahoma"/>
          <w:sz w:val="24"/>
          <w:szCs w:val="24"/>
        </w:rPr>
        <w:t xml:space="preserve"> 189</w:t>
      </w:r>
      <w:r w:rsidR="00DD0D7E" w:rsidRPr="00950AB7">
        <w:rPr>
          <w:rFonts w:ascii="Tahoma" w:hAnsi="Tahoma" w:cs="Tahoma"/>
          <w:sz w:val="24"/>
          <w:szCs w:val="24"/>
        </w:rPr>
        <w:t xml:space="preserve"> colleges</w:t>
      </w:r>
      <w:r w:rsidR="000467F2" w:rsidRPr="00950AB7">
        <w:rPr>
          <w:rFonts w:ascii="Tahoma" w:hAnsi="Tahoma" w:cs="Tahoma"/>
          <w:sz w:val="24"/>
          <w:szCs w:val="24"/>
        </w:rPr>
        <w:t xml:space="preserve"> had</w:t>
      </w:r>
      <w:r w:rsidR="00DD0D7E" w:rsidRPr="00950AB7">
        <w:rPr>
          <w:rFonts w:ascii="Tahoma" w:hAnsi="Tahoma" w:cs="Tahoma"/>
          <w:sz w:val="24"/>
          <w:szCs w:val="24"/>
        </w:rPr>
        <w:t xml:space="preserve"> been inspected</w:t>
      </w:r>
      <w:r w:rsidR="000467F2" w:rsidRPr="00950AB7">
        <w:rPr>
          <w:rFonts w:ascii="Tahoma" w:hAnsi="Tahoma" w:cs="Tahoma"/>
          <w:sz w:val="24"/>
          <w:szCs w:val="24"/>
        </w:rPr>
        <w:t xml:space="preserve"> </w:t>
      </w:r>
      <w:r w:rsidR="005B0987" w:rsidRPr="00950AB7">
        <w:rPr>
          <w:rFonts w:ascii="Tahoma" w:hAnsi="Tahoma" w:cs="Tahoma"/>
          <w:sz w:val="24"/>
          <w:szCs w:val="24"/>
        </w:rPr>
        <w:t>by</w:t>
      </w:r>
      <w:r w:rsidR="000467F2" w:rsidRPr="00950AB7">
        <w:rPr>
          <w:rFonts w:ascii="Tahoma" w:hAnsi="Tahoma" w:cs="Tahoma"/>
          <w:sz w:val="24"/>
          <w:szCs w:val="24"/>
        </w:rPr>
        <w:t xml:space="preserve"> 31 August 2017</w:t>
      </w:r>
      <w:r w:rsidR="00543AA4" w:rsidRPr="00950AB7">
        <w:rPr>
          <w:rFonts w:ascii="Tahoma" w:hAnsi="Tahoma" w:cs="Tahoma"/>
          <w:sz w:val="24"/>
          <w:szCs w:val="24"/>
          <w:vertAlign w:val="superscript"/>
        </w:rPr>
        <w:footnoteReference w:id="3"/>
      </w:r>
      <w:r w:rsidR="00543AA4" w:rsidRPr="00950AB7">
        <w:rPr>
          <w:rFonts w:ascii="Tahoma" w:hAnsi="Tahoma" w:cs="Tahoma"/>
          <w:sz w:val="24"/>
          <w:szCs w:val="24"/>
        </w:rPr>
        <w:t>.</w:t>
      </w:r>
    </w:p>
    <w:p w14:paraId="198E0896" w14:textId="77777777" w:rsidR="00543AA4" w:rsidRPr="00950AB7" w:rsidRDefault="00543AA4" w:rsidP="00543AA4">
      <w:pPr>
        <w:rPr>
          <w:rFonts w:ascii="Tahoma" w:hAnsi="Tahoma" w:cs="Tahoma"/>
          <w:sz w:val="24"/>
          <w:szCs w:val="24"/>
        </w:rPr>
      </w:pPr>
    </w:p>
    <w:p w14:paraId="79858799" w14:textId="1B43D46E" w:rsidR="00601D93" w:rsidRPr="00950AB7" w:rsidRDefault="00A83F67" w:rsidP="00601D93">
      <w:pPr>
        <w:rPr>
          <w:rFonts w:ascii="Tahoma" w:hAnsi="Tahoma" w:cs="Tahoma"/>
          <w:sz w:val="24"/>
          <w:szCs w:val="24"/>
        </w:rPr>
      </w:pPr>
      <w:r w:rsidRPr="00950AB7">
        <w:rPr>
          <w:rFonts w:ascii="Tahoma" w:hAnsi="Tahoma" w:cs="Tahoma"/>
          <w:sz w:val="24"/>
          <w:szCs w:val="24"/>
        </w:rPr>
        <w:t xml:space="preserve">Between 1 September 2016 and 31 August 2017 </w:t>
      </w:r>
      <w:r w:rsidR="007D37A0" w:rsidRPr="00950AB7">
        <w:rPr>
          <w:rFonts w:ascii="Tahoma" w:hAnsi="Tahoma" w:cs="Tahoma"/>
          <w:sz w:val="24"/>
          <w:szCs w:val="24"/>
        </w:rPr>
        <w:t xml:space="preserve">we inspected </w:t>
      </w:r>
      <w:r w:rsidR="005A27ED" w:rsidRPr="00950AB7">
        <w:rPr>
          <w:rFonts w:ascii="Tahoma" w:hAnsi="Tahoma" w:cs="Tahoma"/>
          <w:sz w:val="24"/>
          <w:szCs w:val="24"/>
        </w:rPr>
        <w:t>7</w:t>
      </w:r>
      <w:r w:rsidR="000467F2" w:rsidRPr="00950AB7">
        <w:rPr>
          <w:rFonts w:ascii="Tahoma" w:hAnsi="Tahoma" w:cs="Tahoma"/>
          <w:sz w:val="24"/>
          <w:szCs w:val="24"/>
        </w:rPr>
        <w:t>1</w:t>
      </w:r>
      <w:r w:rsidR="00543AA4" w:rsidRPr="00950AB7">
        <w:rPr>
          <w:rFonts w:ascii="Tahoma" w:hAnsi="Tahoma" w:cs="Tahoma"/>
          <w:sz w:val="24"/>
          <w:szCs w:val="24"/>
        </w:rPr>
        <w:t xml:space="preserve"> general FE colleges</w:t>
      </w:r>
      <w:r w:rsidR="007D37A0" w:rsidRPr="00950AB7">
        <w:rPr>
          <w:rFonts w:ascii="Tahoma" w:hAnsi="Tahoma" w:cs="Tahoma"/>
          <w:sz w:val="24"/>
          <w:szCs w:val="24"/>
        </w:rPr>
        <w:t>.</w:t>
      </w:r>
      <w:r w:rsidR="00543AA4" w:rsidRPr="00950AB7">
        <w:rPr>
          <w:rFonts w:ascii="Tahoma" w:hAnsi="Tahoma" w:cs="Tahoma"/>
          <w:sz w:val="24"/>
          <w:szCs w:val="24"/>
        </w:rPr>
        <w:t xml:space="preserve"> There were </w:t>
      </w:r>
      <w:r w:rsidR="00BC6122" w:rsidRPr="00950AB7">
        <w:rPr>
          <w:rFonts w:ascii="Tahoma" w:hAnsi="Tahoma" w:cs="Tahoma"/>
          <w:sz w:val="24"/>
          <w:szCs w:val="24"/>
        </w:rPr>
        <w:t>59</w:t>
      </w:r>
      <w:r w:rsidR="00543AA4" w:rsidRPr="00950AB7">
        <w:rPr>
          <w:rFonts w:ascii="Tahoma" w:hAnsi="Tahoma" w:cs="Tahoma"/>
          <w:sz w:val="24"/>
          <w:szCs w:val="24"/>
        </w:rPr>
        <w:t xml:space="preserve"> full inspections</w:t>
      </w:r>
      <w:r w:rsidR="00D12E3E" w:rsidRPr="00950AB7">
        <w:rPr>
          <w:rFonts w:ascii="Tahoma" w:hAnsi="Tahoma" w:cs="Tahoma"/>
          <w:sz w:val="24"/>
          <w:szCs w:val="24"/>
        </w:rPr>
        <w:t xml:space="preserve"> and </w:t>
      </w:r>
      <w:r w:rsidR="00CF1C7D" w:rsidRPr="00950AB7">
        <w:rPr>
          <w:rFonts w:ascii="Tahoma" w:hAnsi="Tahoma" w:cs="Tahoma"/>
          <w:sz w:val="24"/>
          <w:szCs w:val="24"/>
        </w:rPr>
        <w:t>12</w:t>
      </w:r>
      <w:r w:rsidR="00BC6122" w:rsidRPr="00950AB7">
        <w:rPr>
          <w:rFonts w:ascii="Tahoma" w:hAnsi="Tahoma" w:cs="Tahoma"/>
          <w:sz w:val="24"/>
          <w:szCs w:val="24"/>
        </w:rPr>
        <w:t xml:space="preserve"> </w:t>
      </w:r>
      <w:r w:rsidR="00CF1C7D" w:rsidRPr="00950AB7">
        <w:rPr>
          <w:rFonts w:ascii="Tahoma" w:eastAsia="Times New Roman" w:hAnsi="Tahoma" w:cs="Tahoma"/>
          <w:bCs/>
          <w:sz w:val="24"/>
          <w:szCs w:val="24"/>
          <w:lang w:eastAsia="en-GB"/>
        </w:rPr>
        <w:t>short inspections (including those that converted to full inspections)</w:t>
      </w:r>
      <w:r w:rsidR="00543AA4" w:rsidRPr="00950AB7">
        <w:rPr>
          <w:rFonts w:ascii="Tahoma" w:hAnsi="Tahoma" w:cs="Tahoma"/>
          <w:sz w:val="24"/>
          <w:szCs w:val="24"/>
        </w:rPr>
        <w:t>.</w:t>
      </w:r>
      <w:r w:rsidR="007D37A0" w:rsidRPr="00950AB7">
        <w:rPr>
          <w:rFonts w:ascii="Tahoma" w:hAnsi="Tahoma" w:cs="Tahoma"/>
          <w:sz w:val="24"/>
          <w:szCs w:val="24"/>
        </w:rPr>
        <w:t xml:space="preserve"> T</w:t>
      </w:r>
      <w:r w:rsidR="00601D93" w:rsidRPr="00950AB7">
        <w:rPr>
          <w:rFonts w:ascii="Tahoma" w:hAnsi="Tahoma" w:cs="Tahoma"/>
          <w:sz w:val="24"/>
          <w:szCs w:val="24"/>
        </w:rPr>
        <w:t xml:space="preserve">he inspection outcomes </w:t>
      </w:r>
      <w:r w:rsidR="007D37A0" w:rsidRPr="00950AB7">
        <w:rPr>
          <w:rFonts w:ascii="Tahoma" w:hAnsi="Tahoma" w:cs="Tahoma"/>
          <w:sz w:val="24"/>
          <w:szCs w:val="24"/>
        </w:rPr>
        <w:t xml:space="preserve">for 2016/17 were very similar to those in </w:t>
      </w:r>
      <w:r w:rsidR="00601D93" w:rsidRPr="00950AB7">
        <w:rPr>
          <w:rFonts w:ascii="Tahoma" w:hAnsi="Tahoma" w:cs="Tahoma"/>
          <w:sz w:val="24"/>
          <w:szCs w:val="24"/>
        </w:rPr>
        <w:t>2015/16</w:t>
      </w:r>
      <w:r w:rsidR="007D37A0" w:rsidRPr="00950AB7">
        <w:rPr>
          <w:rFonts w:ascii="Tahoma" w:hAnsi="Tahoma" w:cs="Tahoma"/>
          <w:sz w:val="24"/>
          <w:szCs w:val="24"/>
        </w:rPr>
        <w:t>, despite a different group of providers being inspected</w:t>
      </w:r>
      <w:r w:rsidR="00601D93" w:rsidRPr="00950AB7">
        <w:rPr>
          <w:rFonts w:ascii="Tahoma" w:hAnsi="Tahoma" w:cs="Tahoma"/>
          <w:sz w:val="24"/>
          <w:szCs w:val="24"/>
        </w:rPr>
        <w:t>:</w:t>
      </w:r>
    </w:p>
    <w:p w14:paraId="12AFF916" w14:textId="31C7B3DA" w:rsidR="00601D93" w:rsidRPr="00950AB7" w:rsidRDefault="00F158C2" w:rsidP="00601D93">
      <w:pPr>
        <w:numPr>
          <w:ilvl w:val="0"/>
          <w:numId w:val="8"/>
        </w:numPr>
        <w:contextualSpacing/>
        <w:rPr>
          <w:rFonts w:ascii="Tahoma" w:hAnsi="Tahoma" w:cs="Tahoma"/>
          <w:sz w:val="24"/>
          <w:szCs w:val="24"/>
        </w:rPr>
      </w:pPr>
      <w:r w:rsidRPr="00950AB7">
        <w:rPr>
          <w:rFonts w:ascii="Tahoma" w:hAnsi="Tahoma" w:cs="Tahoma"/>
          <w:sz w:val="24"/>
          <w:szCs w:val="24"/>
        </w:rPr>
        <w:t>m</w:t>
      </w:r>
      <w:r w:rsidR="00601D93" w:rsidRPr="00950AB7">
        <w:rPr>
          <w:rFonts w:ascii="Tahoma" w:hAnsi="Tahoma" w:cs="Tahoma"/>
          <w:sz w:val="24"/>
          <w:szCs w:val="24"/>
        </w:rPr>
        <w:t>ost of the previously good general FE colleges that received a short inspection remained good or improved to outstanding (11 out of 12, with one college declining to requires improvement)</w:t>
      </w:r>
    </w:p>
    <w:p w14:paraId="03F38841" w14:textId="40209F47" w:rsidR="00601D93" w:rsidRPr="00950AB7" w:rsidRDefault="00F158C2" w:rsidP="00601D93">
      <w:pPr>
        <w:numPr>
          <w:ilvl w:val="0"/>
          <w:numId w:val="8"/>
        </w:numPr>
        <w:contextualSpacing/>
        <w:rPr>
          <w:rFonts w:ascii="Tahoma" w:hAnsi="Tahoma" w:cs="Tahoma"/>
          <w:sz w:val="24"/>
          <w:szCs w:val="24"/>
        </w:rPr>
      </w:pPr>
      <w:r w:rsidRPr="00950AB7">
        <w:rPr>
          <w:rFonts w:ascii="Tahoma" w:hAnsi="Tahoma" w:cs="Tahoma"/>
          <w:sz w:val="24"/>
          <w:szCs w:val="24"/>
        </w:rPr>
        <w:t>t</w:t>
      </w:r>
      <w:r w:rsidR="00601D93" w:rsidRPr="00950AB7">
        <w:rPr>
          <w:rFonts w:ascii="Tahoma" w:hAnsi="Tahoma" w:cs="Tahoma"/>
          <w:sz w:val="24"/>
          <w:szCs w:val="24"/>
        </w:rPr>
        <w:t>he majority of previously good or outstanding general FE colleges that were risk assessed to receive a full inspection declined to less than good (17 out of 29)</w:t>
      </w:r>
    </w:p>
    <w:p w14:paraId="30BECF20" w14:textId="4EC6106C" w:rsidR="00601D93" w:rsidRPr="00950AB7" w:rsidRDefault="00F158C2" w:rsidP="00601D93">
      <w:pPr>
        <w:numPr>
          <w:ilvl w:val="0"/>
          <w:numId w:val="8"/>
        </w:numPr>
        <w:contextualSpacing/>
        <w:rPr>
          <w:rFonts w:ascii="Tahoma" w:hAnsi="Tahoma" w:cs="Tahoma"/>
          <w:sz w:val="24"/>
          <w:szCs w:val="24"/>
        </w:rPr>
      </w:pPr>
      <w:r w:rsidRPr="00950AB7">
        <w:rPr>
          <w:rFonts w:ascii="Tahoma" w:hAnsi="Tahoma" w:cs="Tahoma"/>
          <w:sz w:val="24"/>
          <w:szCs w:val="24"/>
        </w:rPr>
        <w:t>t</w:t>
      </w:r>
      <w:r w:rsidR="00601D93" w:rsidRPr="00950AB7">
        <w:rPr>
          <w:rFonts w:ascii="Tahoma" w:hAnsi="Tahoma" w:cs="Tahoma"/>
          <w:sz w:val="24"/>
          <w:szCs w:val="24"/>
        </w:rPr>
        <w:t xml:space="preserve">he large majority of colleges previously judged requires improvement or inadequate did not improve </w:t>
      </w:r>
      <w:r w:rsidR="00BC2071" w:rsidRPr="00950AB7">
        <w:rPr>
          <w:rFonts w:ascii="Tahoma" w:hAnsi="Tahoma" w:cs="Tahoma"/>
          <w:sz w:val="24"/>
          <w:szCs w:val="24"/>
        </w:rPr>
        <w:t>to</w:t>
      </w:r>
      <w:r w:rsidR="00601D93" w:rsidRPr="00950AB7">
        <w:rPr>
          <w:rFonts w:ascii="Tahoma" w:hAnsi="Tahoma" w:cs="Tahoma"/>
          <w:sz w:val="24"/>
          <w:szCs w:val="24"/>
        </w:rPr>
        <w:t xml:space="preserve"> good or outstanding (20 out of 29). It is worth noting however that </w:t>
      </w:r>
      <w:r w:rsidR="00B339BB" w:rsidRPr="00950AB7">
        <w:rPr>
          <w:rFonts w:ascii="Tahoma" w:hAnsi="Tahoma" w:cs="Tahoma"/>
          <w:sz w:val="24"/>
          <w:szCs w:val="24"/>
        </w:rPr>
        <w:t>eight</w:t>
      </w:r>
      <w:r w:rsidR="00601D93" w:rsidRPr="00950AB7">
        <w:rPr>
          <w:rFonts w:ascii="Tahoma" w:hAnsi="Tahoma" w:cs="Tahoma"/>
          <w:sz w:val="24"/>
          <w:szCs w:val="24"/>
        </w:rPr>
        <w:t xml:space="preserve"> out of the nine previously inadequate general FE colleges did improve; six to requi</w:t>
      </w:r>
      <w:r w:rsidRPr="00950AB7">
        <w:rPr>
          <w:rFonts w:ascii="Tahoma" w:hAnsi="Tahoma" w:cs="Tahoma"/>
          <w:sz w:val="24"/>
          <w:szCs w:val="24"/>
        </w:rPr>
        <w:t>res improvement and two to good.</w:t>
      </w:r>
    </w:p>
    <w:p w14:paraId="154E3758" w14:textId="77777777" w:rsidR="00601D93" w:rsidRPr="00950AB7" w:rsidRDefault="00601D93" w:rsidP="00543AA4">
      <w:pPr>
        <w:rPr>
          <w:rFonts w:ascii="Tahoma" w:hAnsi="Tahoma" w:cs="Tahoma"/>
          <w:sz w:val="24"/>
          <w:szCs w:val="24"/>
        </w:rPr>
      </w:pPr>
    </w:p>
    <w:p w14:paraId="7FBA0402" w14:textId="6AB8E080" w:rsidR="000F5479" w:rsidRDefault="000F5479" w:rsidP="00543AA4">
      <w:pPr>
        <w:rPr>
          <w:rFonts w:ascii="Tahoma" w:hAnsi="Tahoma" w:cs="Tahoma"/>
          <w:sz w:val="24"/>
          <w:szCs w:val="24"/>
        </w:rPr>
      </w:pPr>
      <w:r w:rsidRPr="00950AB7">
        <w:rPr>
          <w:rFonts w:ascii="Tahoma" w:hAnsi="Tahoma" w:cs="Tahoma"/>
          <w:sz w:val="24"/>
          <w:szCs w:val="24"/>
        </w:rPr>
        <w:t xml:space="preserve">The proportion of general FE colleges judged good or outstanding </w:t>
      </w:r>
      <w:r w:rsidR="00141F56" w:rsidRPr="00950AB7">
        <w:rPr>
          <w:rFonts w:ascii="Tahoma" w:hAnsi="Tahoma" w:cs="Tahoma"/>
          <w:sz w:val="24"/>
          <w:szCs w:val="24"/>
        </w:rPr>
        <w:t xml:space="preserve">during 2016/17 </w:t>
      </w:r>
      <w:r w:rsidRPr="00950AB7">
        <w:rPr>
          <w:rFonts w:ascii="Tahoma" w:hAnsi="Tahoma" w:cs="Tahoma"/>
          <w:sz w:val="24"/>
          <w:szCs w:val="24"/>
        </w:rPr>
        <w:t>was 46%, five percentage points lower than in 2015/16.</w:t>
      </w:r>
      <w:r w:rsidRPr="00950AB7">
        <w:rPr>
          <w:rFonts w:ascii="Tahoma" w:hAnsi="Tahoma" w:cs="Tahoma"/>
          <w:sz w:val="24"/>
        </w:rPr>
        <w:t xml:space="preserve"> </w:t>
      </w:r>
      <w:r w:rsidR="00141F56" w:rsidRPr="00950AB7">
        <w:rPr>
          <w:rFonts w:ascii="Tahoma" w:hAnsi="Tahoma" w:cs="Tahoma"/>
          <w:sz w:val="24"/>
        </w:rPr>
        <w:t>A</w:t>
      </w:r>
      <w:r w:rsidRPr="00950AB7">
        <w:rPr>
          <w:rFonts w:ascii="Tahoma" w:hAnsi="Tahoma" w:cs="Tahoma"/>
          <w:sz w:val="24"/>
        </w:rPr>
        <w:t xml:space="preserve"> higher proportion of colleges previously judged as good declined to requires improvement and more colleges previously judged as requiring improvement remained the same grade at inspection this year. These two factors combined meant </w:t>
      </w:r>
      <w:r w:rsidR="001E554B" w:rsidRPr="00950AB7">
        <w:rPr>
          <w:rFonts w:ascii="Tahoma" w:hAnsi="Tahoma" w:cs="Tahoma"/>
          <w:sz w:val="24"/>
        </w:rPr>
        <w:t xml:space="preserve">that the </w:t>
      </w:r>
      <w:r w:rsidRPr="00950AB7">
        <w:rPr>
          <w:rFonts w:ascii="Tahoma" w:hAnsi="Tahoma" w:cs="Tahoma"/>
          <w:sz w:val="24"/>
        </w:rPr>
        <w:t xml:space="preserve">proportion judged to require improvement was </w:t>
      </w:r>
      <w:r w:rsidRPr="00950AB7">
        <w:rPr>
          <w:rFonts w:ascii="Tahoma" w:hAnsi="Tahoma" w:cs="Tahoma"/>
          <w:sz w:val="24"/>
          <w:szCs w:val="24"/>
        </w:rPr>
        <w:t xml:space="preserve">12 percentage points higher </w:t>
      </w:r>
      <w:r w:rsidR="001E554B" w:rsidRPr="00950AB7">
        <w:rPr>
          <w:rFonts w:ascii="Tahoma" w:hAnsi="Tahoma" w:cs="Tahoma"/>
          <w:sz w:val="24"/>
          <w:szCs w:val="24"/>
        </w:rPr>
        <w:t xml:space="preserve">this year compared </w:t>
      </w:r>
      <w:r w:rsidR="007A52EE" w:rsidRPr="00950AB7">
        <w:rPr>
          <w:rFonts w:ascii="Tahoma" w:hAnsi="Tahoma" w:cs="Tahoma"/>
          <w:sz w:val="24"/>
          <w:szCs w:val="24"/>
        </w:rPr>
        <w:t>with</w:t>
      </w:r>
      <w:r w:rsidR="001E554B" w:rsidRPr="00950AB7">
        <w:rPr>
          <w:rFonts w:ascii="Tahoma" w:hAnsi="Tahoma" w:cs="Tahoma"/>
          <w:sz w:val="24"/>
          <w:szCs w:val="24"/>
        </w:rPr>
        <w:t xml:space="preserve"> last year</w:t>
      </w:r>
      <w:r w:rsidRPr="00950AB7">
        <w:rPr>
          <w:rFonts w:ascii="Tahoma" w:hAnsi="Tahoma" w:cs="Tahoma"/>
          <w:sz w:val="24"/>
          <w:szCs w:val="24"/>
        </w:rPr>
        <w:t>.</w:t>
      </w:r>
    </w:p>
    <w:p w14:paraId="5E51D895" w14:textId="33C7043F" w:rsidR="00CC5276" w:rsidRDefault="00CC5276" w:rsidP="00543AA4">
      <w:pPr>
        <w:rPr>
          <w:rFonts w:ascii="Tahoma" w:hAnsi="Tahoma" w:cs="Tahoma"/>
          <w:sz w:val="24"/>
          <w:szCs w:val="24"/>
        </w:rPr>
      </w:pPr>
      <w:r w:rsidRPr="00950AB7">
        <w:rPr>
          <w:rFonts w:ascii="Tahoma" w:hAnsi="Tahoma" w:cs="Tahoma"/>
          <w:bCs/>
          <w:noProof/>
          <w:sz w:val="24"/>
          <w:szCs w:val="24"/>
          <w:lang w:eastAsia="en-GB"/>
        </w:rPr>
        <mc:AlternateContent>
          <mc:Choice Requires="wps">
            <w:drawing>
              <wp:anchor distT="0" distB="0" distL="114300" distR="114300" simplePos="0" relativeHeight="251659264" behindDoc="0" locked="0" layoutInCell="1" allowOverlap="1" wp14:anchorId="3B0D0AFB" wp14:editId="1BD82348">
                <wp:simplePos x="0" y="0"/>
                <wp:positionH relativeFrom="margin">
                  <wp:posOffset>-53340</wp:posOffset>
                </wp:positionH>
                <wp:positionV relativeFrom="paragraph">
                  <wp:posOffset>169545</wp:posOffset>
                </wp:positionV>
                <wp:extent cx="6231255" cy="2374900"/>
                <wp:effectExtent l="0" t="0" r="17145" b="25400"/>
                <wp:wrapNone/>
                <wp:docPr id="195" name="Rectangle 195"/>
                <wp:cNvGraphicFramePr/>
                <a:graphic xmlns:a="http://schemas.openxmlformats.org/drawingml/2006/main">
                  <a:graphicData uri="http://schemas.microsoft.com/office/word/2010/wordprocessingShape">
                    <wps:wsp>
                      <wps:cNvSpPr/>
                      <wps:spPr>
                        <a:xfrm>
                          <a:off x="0" y="0"/>
                          <a:ext cx="6231255" cy="23749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A1E8A" id="Rectangle 195" o:spid="_x0000_s1026" style="position:absolute;margin-left:-4.2pt;margin-top:13.35pt;width:490.65pt;height: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" filled="f" strokecolor="windowText">
                <w10:wrap anchorx="margin"/>
              </v:rect>
            </w:pict>
          </mc:Fallback>
        </mc:AlternateContent>
      </w:r>
    </w:p>
    <w:p w14:paraId="04EEB1CF" w14:textId="6D74C56E" w:rsidR="00CC5276" w:rsidRPr="00CC5276" w:rsidRDefault="00CC5276" w:rsidP="00543AA4">
      <w:pPr>
        <w:rPr>
          <w:rFonts w:ascii="Tahoma" w:hAnsi="Tahoma" w:cs="Tahoma"/>
          <w:sz w:val="8"/>
          <w:szCs w:val="8"/>
        </w:rPr>
      </w:pPr>
    </w:p>
    <w:p w14:paraId="1BAF91FA" w14:textId="6EB8B535" w:rsidR="00543AA4" w:rsidRPr="00950AB7" w:rsidRDefault="00543AA4" w:rsidP="00543AA4">
      <w:pPr>
        <w:rPr>
          <w:rFonts w:ascii="Tahoma" w:hAnsi="Tahoma" w:cs="Tahoma"/>
          <w:b/>
          <w:sz w:val="24"/>
          <w:szCs w:val="24"/>
        </w:rPr>
      </w:pPr>
      <w:r w:rsidRPr="00950AB7">
        <w:rPr>
          <w:rFonts w:ascii="Tahoma" w:hAnsi="Tahoma" w:cs="Tahoma"/>
          <w:b/>
          <w:sz w:val="24"/>
          <w:szCs w:val="24"/>
        </w:rPr>
        <w:t>Figure 4: General further education college full and short inspection outcomes, by reporting year</w:t>
      </w:r>
    </w:p>
    <w:p w14:paraId="397FF5F1" w14:textId="3432DDCA" w:rsidR="00543AA4" w:rsidRPr="00950AB7" w:rsidRDefault="00543AA4" w:rsidP="00B63328">
      <w:pPr>
        <w:spacing w:before="80" w:after="80"/>
        <w:rPr>
          <w:rFonts w:ascii="Tahoma" w:hAnsi="Tahoma" w:cs="Tahoma"/>
          <w:sz w:val="20"/>
          <w:szCs w:val="20"/>
        </w:rPr>
      </w:pPr>
      <w:r w:rsidRPr="00950AB7">
        <w:rPr>
          <w:rFonts w:ascii="Tahoma" w:hAnsi="Tahoma" w:cs="Tahoma"/>
          <w:sz w:val="20"/>
          <w:szCs w:val="20"/>
        </w:rPr>
        <w:t>Number of inspections in brackets</w:t>
      </w:r>
    </w:p>
    <w:p w14:paraId="4258F3F7" w14:textId="4A3DB552" w:rsidR="005A27ED" w:rsidRPr="00950AB7" w:rsidRDefault="00B63328" w:rsidP="00543AA4">
      <w:pPr>
        <w:rPr>
          <w:rFonts w:ascii="Tahoma" w:hAnsi="Tahoma" w:cs="Tahoma"/>
          <w:sz w:val="24"/>
          <w:szCs w:val="24"/>
        </w:rPr>
      </w:pPr>
      <w:r w:rsidRPr="00950AB7">
        <w:rPr>
          <w:rFonts w:ascii="Tahoma" w:hAnsi="Tahoma" w:cs="Tahoma"/>
          <w:noProof/>
          <w:sz w:val="24"/>
          <w:szCs w:val="24"/>
          <w:lang w:eastAsia="en-GB"/>
        </w:rPr>
        <w:drawing>
          <wp:inline distT="0" distB="0" distL="0" distR="0" wp14:anchorId="49CDEEC1" wp14:editId="4EA879C8">
            <wp:extent cx="6105525" cy="1619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21718" t="5866" r="710" b="3484"/>
                    <a:stretch/>
                  </pic:blipFill>
                  <pic:spPr bwMode="auto">
                    <a:xfrm>
                      <a:off x="0" y="0"/>
                      <a:ext cx="6105525" cy="1619250"/>
                    </a:xfrm>
                    <a:prstGeom prst="rect">
                      <a:avLst/>
                    </a:prstGeom>
                    <a:noFill/>
                    <a:ln>
                      <a:noFill/>
                    </a:ln>
                    <a:extLst>
                      <a:ext uri="{53640926-AAD7-44D8-BBD7-CCE9431645EC}">
                        <a14:shadowObscured xmlns:a14="http://schemas.microsoft.com/office/drawing/2010/main"/>
                      </a:ext>
                    </a:extLst>
                  </pic:spPr>
                </pic:pic>
              </a:graphicData>
            </a:graphic>
          </wp:inline>
        </w:drawing>
      </w:r>
    </w:p>
    <w:p w14:paraId="7D0AFB62" w14:textId="5C852D5E" w:rsidR="00543AA4" w:rsidRPr="00CC5276" w:rsidRDefault="00543AA4" w:rsidP="00543AA4">
      <w:pPr>
        <w:rPr>
          <w:rFonts w:ascii="Tahoma" w:hAnsi="Tahoma" w:cs="Tahoma"/>
          <w:sz w:val="8"/>
          <w:szCs w:val="8"/>
        </w:rPr>
      </w:pPr>
    </w:p>
    <w:p w14:paraId="4DCE4C89" w14:textId="77777777" w:rsidR="00CC5276" w:rsidRPr="00950AB7" w:rsidRDefault="00CC5276" w:rsidP="00543AA4">
      <w:pPr>
        <w:rPr>
          <w:rFonts w:ascii="Tahoma" w:hAnsi="Tahoma" w:cs="Tahoma"/>
          <w:sz w:val="24"/>
          <w:szCs w:val="24"/>
        </w:rPr>
      </w:pPr>
    </w:p>
    <w:p w14:paraId="43FAB338" w14:textId="5E5E2396" w:rsidR="005777BF" w:rsidRPr="00950AB7" w:rsidRDefault="005777BF" w:rsidP="005777BF">
      <w:pPr>
        <w:rPr>
          <w:rFonts w:ascii="Tahoma" w:hAnsi="Tahoma" w:cs="Tahoma"/>
          <w:sz w:val="24"/>
          <w:szCs w:val="24"/>
        </w:rPr>
      </w:pPr>
      <w:r w:rsidRPr="00950AB7">
        <w:rPr>
          <w:rFonts w:ascii="Tahoma" w:hAnsi="Tahoma" w:cs="Tahoma"/>
          <w:sz w:val="24"/>
          <w:szCs w:val="24"/>
        </w:rPr>
        <w:t xml:space="preserve">In the 18 general FE colleges that declined from good or outstanding to requires improvement or inadequate this year, inspectors found a general decline in the quality of </w:t>
      </w:r>
      <w:r w:rsidRPr="00950AB7">
        <w:rPr>
          <w:rFonts w:ascii="Tahoma" w:hAnsi="Tahoma" w:cs="Tahoma"/>
          <w:sz w:val="24"/>
          <w:szCs w:val="24"/>
        </w:rPr>
        <w:lastRenderedPageBreak/>
        <w:t>provision. Where improvement actions had been put in place, they had not sufficient</w:t>
      </w:r>
      <w:r w:rsidR="00A3224B" w:rsidRPr="00950AB7">
        <w:rPr>
          <w:rFonts w:ascii="Tahoma" w:hAnsi="Tahoma" w:cs="Tahoma"/>
          <w:sz w:val="24"/>
          <w:szCs w:val="24"/>
        </w:rPr>
        <w:t xml:space="preserve">ly improved the </w:t>
      </w:r>
      <w:r w:rsidRPr="00950AB7">
        <w:rPr>
          <w:rFonts w:ascii="Tahoma" w:hAnsi="Tahoma" w:cs="Tahoma"/>
          <w:sz w:val="24"/>
          <w:szCs w:val="24"/>
        </w:rPr>
        <w:t>quality</w:t>
      </w:r>
      <w:r w:rsidR="00A3224B" w:rsidRPr="00950AB7">
        <w:rPr>
          <w:rFonts w:ascii="Tahoma" w:hAnsi="Tahoma" w:cs="Tahoma"/>
          <w:sz w:val="24"/>
          <w:szCs w:val="24"/>
        </w:rPr>
        <w:t xml:space="preserve"> of provision</w:t>
      </w:r>
      <w:r w:rsidRPr="00950AB7">
        <w:rPr>
          <w:rFonts w:ascii="Tahoma" w:hAnsi="Tahoma" w:cs="Tahoma"/>
          <w:sz w:val="24"/>
          <w:szCs w:val="24"/>
        </w:rPr>
        <w:t xml:space="preserve">. In at least half of </w:t>
      </w:r>
      <w:r w:rsidR="00A3224B" w:rsidRPr="00950AB7">
        <w:rPr>
          <w:rFonts w:ascii="Tahoma" w:hAnsi="Tahoma" w:cs="Tahoma"/>
          <w:sz w:val="24"/>
          <w:szCs w:val="24"/>
        </w:rPr>
        <w:t xml:space="preserve">the </w:t>
      </w:r>
      <w:r w:rsidRPr="00950AB7">
        <w:rPr>
          <w:rFonts w:ascii="Tahoma" w:hAnsi="Tahoma" w:cs="Tahoma"/>
          <w:sz w:val="24"/>
          <w:szCs w:val="24"/>
        </w:rPr>
        <w:t>colleges, inspectors found the leadership and management of teaching, learning and assessment was weak.</w:t>
      </w:r>
    </w:p>
    <w:p w14:paraId="197329D2" w14:textId="77777777" w:rsidR="005777BF" w:rsidRPr="00950AB7" w:rsidRDefault="005777BF" w:rsidP="00543AA4">
      <w:pPr>
        <w:rPr>
          <w:rFonts w:ascii="Tahoma" w:hAnsi="Tahoma" w:cs="Tahoma"/>
          <w:sz w:val="24"/>
          <w:szCs w:val="24"/>
        </w:rPr>
      </w:pPr>
    </w:p>
    <w:p w14:paraId="14D10EF7" w14:textId="178035D9" w:rsidR="001F6119" w:rsidRPr="00950AB7" w:rsidRDefault="001F0F2D" w:rsidP="001F6119">
      <w:pPr>
        <w:rPr>
          <w:rFonts w:ascii="Tahoma" w:hAnsi="Tahoma" w:cs="Tahoma"/>
          <w:sz w:val="24"/>
        </w:rPr>
      </w:pPr>
      <w:r w:rsidRPr="00950AB7">
        <w:rPr>
          <w:rFonts w:ascii="Tahoma" w:hAnsi="Tahoma" w:cs="Tahoma"/>
          <w:sz w:val="24"/>
        </w:rPr>
        <w:t xml:space="preserve">In seven of the 10 colleges that remained requires improvement at inspection this year, inspectors found </w:t>
      </w:r>
      <w:r w:rsidR="00152C50" w:rsidRPr="00950AB7">
        <w:rPr>
          <w:rFonts w:ascii="Tahoma" w:hAnsi="Tahoma" w:cs="Tahoma"/>
          <w:sz w:val="24"/>
        </w:rPr>
        <w:t>a new principal</w:t>
      </w:r>
      <w:r w:rsidRPr="00950AB7">
        <w:rPr>
          <w:rFonts w:ascii="Tahoma" w:hAnsi="Tahoma" w:cs="Tahoma"/>
          <w:sz w:val="24"/>
        </w:rPr>
        <w:t xml:space="preserve"> and/or senior leadership teams </w:t>
      </w:r>
      <w:r w:rsidR="00A3224B" w:rsidRPr="00950AB7">
        <w:rPr>
          <w:rFonts w:ascii="Tahoma" w:hAnsi="Tahoma" w:cs="Tahoma"/>
          <w:sz w:val="24"/>
        </w:rPr>
        <w:t xml:space="preserve">in place that </w:t>
      </w:r>
      <w:r w:rsidRPr="00950AB7">
        <w:rPr>
          <w:rFonts w:ascii="Tahoma" w:hAnsi="Tahoma" w:cs="Tahoma"/>
          <w:sz w:val="24"/>
        </w:rPr>
        <w:t>were starting to have a positive impact. There were signs of improvement and a change in culture, but changes were at an early stage and the colleges were not yet good overall</w:t>
      </w:r>
      <w:r w:rsidR="001F6119" w:rsidRPr="00950AB7">
        <w:rPr>
          <w:rFonts w:ascii="Tahoma" w:hAnsi="Tahoma" w:cs="Tahoma"/>
          <w:sz w:val="24"/>
        </w:rPr>
        <w:t xml:space="preserve">.  </w:t>
      </w:r>
    </w:p>
    <w:p w14:paraId="3337E8DB" w14:textId="77777777" w:rsidR="001F6119" w:rsidRPr="00950AB7" w:rsidRDefault="001F6119" w:rsidP="001F6119">
      <w:pPr>
        <w:rPr>
          <w:rFonts w:ascii="Tahoma" w:hAnsi="Tahoma" w:cs="Tahoma"/>
          <w:sz w:val="24"/>
        </w:rPr>
      </w:pPr>
    </w:p>
    <w:p w14:paraId="02ECEC35" w14:textId="2AD337E8" w:rsidR="001F6119" w:rsidRPr="00950AB7" w:rsidRDefault="001F0F2D" w:rsidP="001F6119">
      <w:pPr>
        <w:rPr>
          <w:rFonts w:ascii="Tahoma" w:hAnsi="Tahoma" w:cs="Tahoma"/>
          <w:sz w:val="24"/>
        </w:rPr>
      </w:pPr>
      <w:r w:rsidRPr="00950AB7">
        <w:rPr>
          <w:rFonts w:ascii="Tahoma" w:hAnsi="Tahoma" w:cs="Tahoma"/>
          <w:sz w:val="24"/>
        </w:rPr>
        <w:t xml:space="preserve">Nine colleges improved to good this year from requires improvement or inadequate. Eight of those colleges had either </w:t>
      </w:r>
      <w:r w:rsidR="00152C50" w:rsidRPr="00950AB7">
        <w:rPr>
          <w:rFonts w:ascii="Tahoma" w:hAnsi="Tahoma" w:cs="Tahoma"/>
          <w:sz w:val="24"/>
        </w:rPr>
        <w:t>a new principal</w:t>
      </w:r>
      <w:r w:rsidRPr="00950AB7">
        <w:rPr>
          <w:rFonts w:ascii="Tahoma" w:hAnsi="Tahoma" w:cs="Tahoma"/>
          <w:sz w:val="24"/>
        </w:rPr>
        <w:t xml:space="preserve"> and/or senior leadership team in place at the time of their previous inspection, which was within the past two years. At their inspection this year, inspectors found that a new culture within the colleges had led to rapid improvements: the quality of teaching had improved, learners were now achieving well and had positive destinations, such as further education or employment</w:t>
      </w:r>
      <w:r w:rsidR="001F6119" w:rsidRPr="00950AB7">
        <w:rPr>
          <w:rFonts w:ascii="Tahoma" w:hAnsi="Tahoma" w:cs="Tahoma"/>
          <w:sz w:val="24"/>
        </w:rPr>
        <w:t>.</w:t>
      </w:r>
    </w:p>
    <w:p w14:paraId="7190AE72" w14:textId="43FCA814" w:rsidR="00F41585" w:rsidRPr="00950AB7" w:rsidRDefault="00F41585" w:rsidP="00543AA4">
      <w:pPr>
        <w:rPr>
          <w:rFonts w:ascii="Tahoma" w:hAnsi="Tahoma" w:cs="Tahoma"/>
          <w:sz w:val="24"/>
          <w:szCs w:val="24"/>
        </w:rPr>
      </w:pPr>
    </w:p>
    <w:p w14:paraId="04355A35" w14:textId="73731D20" w:rsidR="007A52EE" w:rsidRPr="00950AB7" w:rsidRDefault="00EE432A" w:rsidP="00CC5276">
      <w:pPr>
        <w:pStyle w:val="Default"/>
      </w:pPr>
      <w:r w:rsidRPr="00950AB7">
        <w:t>In the two general FE colleges that improved to outstanding this year, inspectors found that college leaders had successfully established a culture of high expectations for all staff and learners. Links with employers and the local communities were highly effective. They created excellent opportunities for learners to progress into further learning and jobs that met local, regional or national needs. Learners made significant progress compared with their starting points and achieved their qualifications</w:t>
      </w:r>
      <w:r w:rsidR="007D3696" w:rsidRPr="00950AB7">
        <w:t>.</w:t>
      </w:r>
      <w:r w:rsidR="007A52EE" w:rsidRPr="00950AB7">
        <w:br w:type="page"/>
      </w:r>
    </w:p>
    <w:p w14:paraId="42FF35EE" w14:textId="14D9D7B8" w:rsidR="00601D93" w:rsidRPr="00950AB7" w:rsidRDefault="00B339BB" w:rsidP="00601D93">
      <w:pPr>
        <w:rPr>
          <w:rFonts w:ascii="Tahoma" w:hAnsi="Tahoma" w:cs="Tahoma"/>
          <w:sz w:val="24"/>
          <w:szCs w:val="24"/>
        </w:rPr>
      </w:pPr>
      <w:r w:rsidRPr="00950AB7">
        <w:rPr>
          <w:rFonts w:ascii="Tahoma" w:hAnsi="Tahoma" w:cs="Tahoma"/>
          <w:sz w:val="24"/>
          <w:szCs w:val="24"/>
        </w:rPr>
        <w:lastRenderedPageBreak/>
        <w:t>During</w:t>
      </w:r>
      <w:r w:rsidR="00601D93" w:rsidRPr="00950AB7">
        <w:rPr>
          <w:rFonts w:ascii="Tahoma" w:hAnsi="Tahoma" w:cs="Tahoma"/>
          <w:sz w:val="24"/>
          <w:szCs w:val="24"/>
        </w:rPr>
        <w:t xml:space="preserve"> </w:t>
      </w:r>
      <w:r w:rsidR="00B014BD" w:rsidRPr="00950AB7">
        <w:rPr>
          <w:rFonts w:ascii="Tahoma" w:hAnsi="Tahoma" w:cs="Tahoma"/>
          <w:sz w:val="24"/>
          <w:szCs w:val="24"/>
        </w:rPr>
        <w:t xml:space="preserve">2016/17, </w:t>
      </w:r>
      <w:r w:rsidR="00601D93" w:rsidRPr="00950AB7">
        <w:rPr>
          <w:rFonts w:ascii="Tahoma" w:hAnsi="Tahoma" w:cs="Tahoma"/>
          <w:sz w:val="24"/>
          <w:szCs w:val="24"/>
        </w:rPr>
        <w:t xml:space="preserve">there were twice as many general FE colleges that declined to requires improvement or inadequate (18) than improved </w:t>
      </w:r>
      <w:r w:rsidR="00593377" w:rsidRPr="00950AB7">
        <w:rPr>
          <w:rFonts w:ascii="Tahoma" w:hAnsi="Tahoma" w:cs="Tahoma"/>
          <w:sz w:val="24"/>
          <w:szCs w:val="24"/>
        </w:rPr>
        <w:t xml:space="preserve">to </w:t>
      </w:r>
      <w:r w:rsidR="00601D93" w:rsidRPr="00950AB7">
        <w:rPr>
          <w:rFonts w:ascii="Tahoma" w:hAnsi="Tahoma" w:cs="Tahoma"/>
          <w:sz w:val="24"/>
          <w:szCs w:val="24"/>
        </w:rPr>
        <w:t xml:space="preserve">good or outstanding (nine). </w:t>
      </w:r>
    </w:p>
    <w:p w14:paraId="0B9A5B5C" w14:textId="0DD244C0" w:rsidR="00722071" w:rsidRPr="00950AB7" w:rsidRDefault="00722071">
      <w:pPr>
        <w:rPr>
          <w:rFonts w:ascii="Tahoma" w:hAnsi="Tahoma" w:cs="Tahoma"/>
          <w:b/>
          <w:sz w:val="24"/>
          <w:szCs w:val="24"/>
        </w:rPr>
      </w:pPr>
    </w:p>
    <w:p w14:paraId="56A434A5" w14:textId="77777777" w:rsidR="007A52EE" w:rsidRPr="00950AB7" w:rsidRDefault="007A52EE">
      <w:pPr>
        <w:rPr>
          <w:rFonts w:ascii="Tahoma" w:hAnsi="Tahoma" w:cs="Tahoma"/>
          <w:b/>
          <w:sz w:val="8"/>
          <w:szCs w:val="8"/>
        </w:rPr>
      </w:pPr>
    </w:p>
    <w:p w14:paraId="0D19F42B" w14:textId="34F3E4B9" w:rsidR="00543AA4" w:rsidRPr="00950AB7" w:rsidRDefault="00543AA4" w:rsidP="00EB02B9">
      <w:pPr>
        <w:rPr>
          <w:rFonts w:ascii="Tahoma" w:hAnsi="Tahoma" w:cs="Tahoma"/>
          <w:b/>
          <w:sz w:val="24"/>
          <w:szCs w:val="24"/>
        </w:rPr>
      </w:pPr>
      <w:r w:rsidRPr="00950AB7">
        <w:rPr>
          <w:rFonts w:ascii="Tahoma" w:hAnsi="Tahoma" w:cs="Tahoma"/>
          <w:bCs/>
          <w:noProof/>
          <w:sz w:val="24"/>
          <w:szCs w:val="24"/>
          <w:lang w:eastAsia="en-GB"/>
        </w:rPr>
        <mc:AlternateContent>
          <mc:Choice Requires="wps">
            <w:drawing>
              <wp:anchor distT="0" distB="0" distL="114300" distR="114300" simplePos="0" relativeHeight="251674624" behindDoc="0" locked="0" layoutInCell="1" allowOverlap="1" wp14:anchorId="5B357FBF" wp14:editId="653C8593">
                <wp:simplePos x="0" y="0"/>
                <wp:positionH relativeFrom="margin">
                  <wp:posOffset>-82137</wp:posOffset>
                </wp:positionH>
                <wp:positionV relativeFrom="paragraph">
                  <wp:posOffset>-95870</wp:posOffset>
                </wp:positionV>
                <wp:extent cx="6334125" cy="3891516"/>
                <wp:effectExtent l="0" t="0" r="28575" b="13970"/>
                <wp:wrapNone/>
                <wp:docPr id="196" name="Rectangle 196"/>
                <wp:cNvGraphicFramePr/>
                <a:graphic xmlns:a="http://schemas.openxmlformats.org/drawingml/2006/main">
                  <a:graphicData uri="http://schemas.microsoft.com/office/word/2010/wordprocessingShape">
                    <wps:wsp>
                      <wps:cNvSpPr/>
                      <wps:spPr>
                        <a:xfrm>
                          <a:off x="0" y="0"/>
                          <a:ext cx="6334125" cy="38915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D742" id="Rectangle 196" o:spid="_x0000_s1026" style="position:absolute;margin-left:-6.45pt;margin-top:-7.55pt;width:498.75pt;height:30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" filled="f" strokecolor="windowText">
                <w10:wrap anchorx="margin"/>
              </v:rect>
            </w:pict>
          </mc:Fallback>
        </mc:AlternateContent>
      </w:r>
      <w:r w:rsidRPr="00950AB7">
        <w:rPr>
          <w:rFonts w:ascii="Tahoma" w:hAnsi="Tahoma" w:cs="Tahoma"/>
          <w:b/>
          <w:sz w:val="24"/>
          <w:szCs w:val="24"/>
        </w:rPr>
        <w:t xml:space="preserve">Figure 5: General further education college inspection outcomes between 1 September 2016 and </w:t>
      </w:r>
      <w:r w:rsidR="004C28CC" w:rsidRPr="00950AB7">
        <w:rPr>
          <w:rFonts w:ascii="Tahoma" w:hAnsi="Tahoma" w:cs="Tahoma"/>
          <w:b/>
          <w:sz w:val="24"/>
          <w:szCs w:val="24"/>
        </w:rPr>
        <w:t>31 August 2017</w:t>
      </w:r>
      <w:r w:rsidRPr="00950AB7">
        <w:rPr>
          <w:rFonts w:ascii="Tahoma" w:hAnsi="Tahoma" w:cs="Tahoma"/>
          <w:b/>
          <w:sz w:val="24"/>
          <w:szCs w:val="24"/>
        </w:rPr>
        <w:t>, by previous overall effectiveness and type of inspection</w:t>
      </w:r>
    </w:p>
    <w:tbl>
      <w:tblPr>
        <w:tblStyle w:val="TableGrid1"/>
        <w:tblW w:w="9841" w:type="dxa"/>
        <w:tblCellMar>
          <w:left w:w="57" w:type="dxa"/>
          <w:right w:w="57" w:type="dxa"/>
        </w:tblCellMar>
        <w:tblLook w:val="04A0" w:firstRow="1" w:lastRow="0" w:firstColumn="1" w:lastColumn="0" w:noHBand="0" w:noVBand="1"/>
      </w:tblPr>
      <w:tblGrid>
        <w:gridCol w:w="1706"/>
        <w:gridCol w:w="1447"/>
        <w:gridCol w:w="1482"/>
        <w:gridCol w:w="1400"/>
        <w:gridCol w:w="831"/>
        <w:gridCol w:w="1523"/>
        <w:gridCol w:w="1452"/>
      </w:tblGrid>
      <w:tr w:rsidR="00543AA4" w:rsidRPr="00950AB7" w14:paraId="44D52665" w14:textId="77777777" w:rsidTr="004179CA">
        <w:trPr>
          <w:trHeight w:val="398"/>
        </w:trPr>
        <w:tc>
          <w:tcPr>
            <w:tcW w:w="1706" w:type="dxa"/>
            <w:vMerge w:val="restart"/>
            <w:tcBorders>
              <w:left w:val="nil"/>
              <w:right w:val="nil"/>
            </w:tcBorders>
            <w:shd w:val="clear" w:color="auto" w:fill="FFFFFF" w:themeFill="background1"/>
            <w:noWrap/>
            <w:vAlign w:val="bottom"/>
            <w:hideMark/>
          </w:tcPr>
          <w:p w14:paraId="37B8D9CF" w14:textId="77777777" w:rsidR="00543AA4" w:rsidRPr="00950AB7" w:rsidRDefault="00543AA4" w:rsidP="00543AA4">
            <w:pPr>
              <w:rPr>
                <w:b/>
                <w:sz w:val="22"/>
                <w:szCs w:val="22"/>
              </w:rPr>
            </w:pPr>
            <w:r w:rsidRPr="00950AB7">
              <w:rPr>
                <w:b/>
                <w:sz w:val="22"/>
                <w:szCs w:val="22"/>
              </w:rPr>
              <w:t>Previous overall effectiveness</w:t>
            </w:r>
          </w:p>
        </w:tc>
        <w:tc>
          <w:tcPr>
            <w:tcW w:w="1447" w:type="dxa"/>
            <w:vMerge w:val="restart"/>
            <w:tcBorders>
              <w:left w:val="nil"/>
              <w:right w:val="nil"/>
            </w:tcBorders>
            <w:shd w:val="clear" w:color="auto" w:fill="FFFFFF" w:themeFill="background1"/>
            <w:vAlign w:val="bottom"/>
          </w:tcPr>
          <w:p w14:paraId="498898EA" w14:textId="77777777" w:rsidR="00543AA4" w:rsidRPr="00950AB7" w:rsidRDefault="00543AA4" w:rsidP="00543AA4">
            <w:pPr>
              <w:rPr>
                <w:b/>
                <w:sz w:val="22"/>
                <w:szCs w:val="22"/>
              </w:rPr>
            </w:pPr>
            <w:r w:rsidRPr="00950AB7">
              <w:rPr>
                <w:b/>
                <w:sz w:val="22"/>
                <w:szCs w:val="22"/>
              </w:rPr>
              <w:t>Type of inspection</w:t>
            </w:r>
          </w:p>
        </w:tc>
        <w:tc>
          <w:tcPr>
            <w:tcW w:w="1482" w:type="dxa"/>
            <w:vMerge w:val="restart"/>
            <w:tcBorders>
              <w:left w:val="nil"/>
              <w:right w:val="nil"/>
            </w:tcBorders>
            <w:shd w:val="clear" w:color="auto" w:fill="FFFFFF" w:themeFill="background1"/>
            <w:vAlign w:val="bottom"/>
            <w:hideMark/>
          </w:tcPr>
          <w:p w14:paraId="185F2420" w14:textId="77777777" w:rsidR="00543AA4" w:rsidRPr="00950AB7" w:rsidRDefault="00543AA4" w:rsidP="00543AA4">
            <w:pPr>
              <w:jc w:val="center"/>
              <w:rPr>
                <w:b/>
                <w:sz w:val="22"/>
                <w:szCs w:val="22"/>
              </w:rPr>
            </w:pPr>
            <w:r w:rsidRPr="00950AB7">
              <w:rPr>
                <w:b/>
                <w:sz w:val="22"/>
                <w:szCs w:val="22"/>
              </w:rPr>
              <w:t>Total number of inspections</w:t>
            </w:r>
          </w:p>
        </w:tc>
        <w:tc>
          <w:tcPr>
            <w:tcW w:w="5206" w:type="dxa"/>
            <w:gridSpan w:val="4"/>
            <w:tcBorders>
              <w:left w:val="nil"/>
              <w:right w:val="nil"/>
            </w:tcBorders>
            <w:shd w:val="clear" w:color="auto" w:fill="FFFFFF" w:themeFill="background1"/>
            <w:noWrap/>
            <w:vAlign w:val="center"/>
            <w:hideMark/>
          </w:tcPr>
          <w:p w14:paraId="14F98E4F" w14:textId="77777777" w:rsidR="00543AA4" w:rsidRPr="00950AB7" w:rsidRDefault="00543AA4" w:rsidP="00543AA4">
            <w:pPr>
              <w:jc w:val="center"/>
              <w:rPr>
                <w:b/>
                <w:sz w:val="22"/>
                <w:szCs w:val="22"/>
              </w:rPr>
            </w:pPr>
            <w:r w:rsidRPr="00950AB7">
              <w:rPr>
                <w:b/>
                <w:sz w:val="22"/>
                <w:szCs w:val="22"/>
              </w:rPr>
              <w:t>Overall effectiveness (number)</w:t>
            </w:r>
          </w:p>
        </w:tc>
      </w:tr>
      <w:tr w:rsidR="00543AA4" w:rsidRPr="00950AB7" w14:paraId="13FD79F3" w14:textId="77777777" w:rsidTr="004179CA">
        <w:trPr>
          <w:trHeight w:val="264"/>
        </w:trPr>
        <w:tc>
          <w:tcPr>
            <w:tcW w:w="1706" w:type="dxa"/>
            <w:vMerge/>
            <w:tcBorders>
              <w:left w:val="nil"/>
              <w:bottom w:val="single" w:sz="4" w:space="0" w:color="auto"/>
              <w:right w:val="nil"/>
            </w:tcBorders>
            <w:shd w:val="clear" w:color="auto" w:fill="FFFFFF" w:themeFill="background1"/>
            <w:vAlign w:val="bottom"/>
            <w:hideMark/>
          </w:tcPr>
          <w:p w14:paraId="402EC549" w14:textId="77777777" w:rsidR="00543AA4" w:rsidRPr="00950AB7" w:rsidRDefault="00543AA4" w:rsidP="00543AA4">
            <w:pPr>
              <w:rPr>
                <w:sz w:val="22"/>
                <w:szCs w:val="22"/>
              </w:rPr>
            </w:pPr>
          </w:p>
        </w:tc>
        <w:tc>
          <w:tcPr>
            <w:tcW w:w="1447" w:type="dxa"/>
            <w:vMerge/>
            <w:tcBorders>
              <w:left w:val="nil"/>
              <w:bottom w:val="single" w:sz="4" w:space="0" w:color="auto"/>
              <w:right w:val="nil"/>
            </w:tcBorders>
            <w:shd w:val="clear" w:color="auto" w:fill="FFFFFF" w:themeFill="background1"/>
          </w:tcPr>
          <w:p w14:paraId="5D535E21" w14:textId="77777777" w:rsidR="00543AA4" w:rsidRPr="00950AB7" w:rsidRDefault="00543AA4" w:rsidP="00543AA4">
            <w:pPr>
              <w:rPr>
                <w:sz w:val="22"/>
                <w:szCs w:val="22"/>
              </w:rPr>
            </w:pPr>
          </w:p>
        </w:tc>
        <w:tc>
          <w:tcPr>
            <w:tcW w:w="1482" w:type="dxa"/>
            <w:vMerge/>
            <w:tcBorders>
              <w:left w:val="nil"/>
              <w:bottom w:val="single" w:sz="4" w:space="0" w:color="auto"/>
              <w:right w:val="nil"/>
            </w:tcBorders>
            <w:shd w:val="clear" w:color="auto" w:fill="FFFFFF" w:themeFill="background1"/>
            <w:vAlign w:val="bottom"/>
            <w:hideMark/>
          </w:tcPr>
          <w:p w14:paraId="624F054F" w14:textId="77777777" w:rsidR="00543AA4" w:rsidRPr="00950AB7" w:rsidRDefault="00543AA4" w:rsidP="00543AA4">
            <w:pPr>
              <w:rPr>
                <w:sz w:val="22"/>
                <w:szCs w:val="22"/>
              </w:rPr>
            </w:pPr>
          </w:p>
        </w:tc>
        <w:tc>
          <w:tcPr>
            <w:tcW w:w="1400" w:type="dxa"/>
            <w:tcBorders>
              <w:left w:val="nil"/>
              <w:bottom w:val="single" w:sz="4" w:space="0" w:color="auto"/>
              <w:right w:val="nil"/>
            </w:tcBorders>
            <w:shd w:val="clear" w:color="auto" w:fill="FFFFFF" w:themeFill="background1"/>
            <w:noWrap/>
            <w:vAlign w:val="bottom"/>
            <w:hideMark/>
          </w:tcPr>
          <w:p w14:paraId="0C8B8211" w14:textId="77777777" w:rsidR="00543AA4" w:rsidRPr="00950AB7" w:rsidRDefault="00543AA4" w:rsidP="00543AA4">
            <w:pPr>
              <w:jc w:val="center"/>
              <w:rPr>
                <w:sz w:val="22"/>
                <w:szCs w:val="22"/>
              </w:rPr>
            </w:pPr>
            <w:r w:rsidRPr="00950AB7">
              <w:rPr>
                <w:sz w:val="22"/>
                <w:szCs w:val="22"/>
              </w:rPr>
              <w:t>Outstanding</w:t>
            </w:r>
          </w:p>
        </w:tc>
        <w:tc>
          <w:tcPr>
            <w:tcW w:w="831" w:type="dxa"/>
            <w:tcBorders>
              <w:left w:val="nil"/>
              <w:bottom w:val="single" w:sz="4" w:space="0" w:color="auto"/>
              <w:right w:val="nil"/>
            </w:tcBorders>
            <w:shd w:val="clear" w:color="auto" w:fill="FFFFFF" w:themeFill="background1"/>
            <w:noWrap/>
            <w:vAlign w:val="bottom"/>
            <w:hideMark/>
          </w:tcPr>
          <w:p w14:paraId="5F097BE6" w14:textId="77777777" w:rsidR="00543AA4" w:rsidRPr="00950AB7" w:rsidRDefault="00543AA4" w:rsidP="00543AA4">
            <w:pPr>
              <w:jc w:val="center"/>
              <w:rPr>
                <w:sz w:val="22"/>
                <w:szCs w:val="22"/>
              </w:rPr>
            </w:pPr>
            <w:r w:rsidRPr="00950AB7">
              <w:rPr>
                <w:sz w:val="22"/>
                <w:szCs w:val="22"/>
              </w:rPr>
              <w:t>Good</w:t>
            </w:r>
            <w:r w:rsidRPr="00950AB7">
              <w:rPr>
                <w:sz w:val="22"/>
                <w:szCs w:val="22"/>
                <w:vertAlign w:val="superscript"/>
              </w:rPr>
              <w:t>1</w:t>
            </w:r>
          </w:p>
        </w:tc>
        <w:tc>
          <w:tcPr>
            <w:tcW w:w="1523" w:type="dxa"/>
            <w:tcBorders>
              <w:left w:val="nil"/>
              <w:bottom w:val="single" w:sz="4" w:space="0" w:color="auto"/>
              <w:right w:val="nil"/>
            </w:tcBorders>
            <w:shd w:val="clear" w:color="auto" w:fill="FFFFFF" w:themeFill="background1"/>
            <w:noWrap/>
            <w:vAlign w:val="bottom"/>
            <w:hideMark/>
          </w:tcPr>
          <w:p w14:paraId="09E30977" w14:textId="77777777" w:rsidR="00543AA4" w:rsidRPr="00950AB7" w:rsidRDefault="00543AA4" w:rsidP="00543AA4">
            <w:pPr>
              <w:jc w:val="center"/>
              <w:rPr>
                <w:sz w:val="22"/>
                <w:szCs w:val="22"/>
              </w:rPr>
            </w:pPr>
            <w:r w:rsidRPr="00950AB7">
              <w:rPr>
                <w:sz w:val="22"/>
                <w:szCs w:val="22"/>
              </w:rPr>
              <w:t>Requires improvement</w:t>
            </w:r>
          </w:p>
        </w:tc>
        <w:tc>
          <w:tcPr>
            <w:tcW w:w="1452" w:type="dxa"/>
            <w:tcBorders>
              <w:left w:val="nil"/>
              <w:bottom w:val="single" w:sz="4" w:space="0" w:color="auto"/>
              <w:right w:val="nil"/>
            </w:tcBorders>
            <w:shd w:val="clear" w:color="auto" w:fill="FFFFFF" w:themeFill="background1"/>
            <w:noWrap/>
            <w:vAlign w:val="bottom"/>
            <w:hideMark/>
          </w:tcPr>
          <w:p w14:paraId="65EEC4B6" w14:textId="77777777" w:rsidR="00543AA4" w:rsidRPr="00950AB7" w:rsidRDefault="00543AA4" w:rsidP="00543AA4">
            <w:pPr>
              <w:jc w:val="center"/>
              <w:rPr>
                <w:sz w:val="22"/>
                <w:szCs w:val="22"/>
              </w:rPr>
            </w:pPr>
            <w:r w:rsidRPr="00950AB7">
              <w:rPr>
                <w:sz w:val="22"/>
                <w:szCs w:val="22"/>
              </w:rPr>
              <w:t>Inadequate</w:t>
            </w:r>
          </w:p>
        </w:tc>
      </w:tr>
      <w:tr w:rsidR="004179CA" w:rsidRPr="00950AB7" w14:paraId="48A1CEE5" w14:textId="77777777" w:rsidTr="004179CA">
        <w:trPr>
          <w:trHeight w:val="264"/>
        </w:trPr>
        <w:tc>
          <w:tcPr>
            <w:tcW w:w="1706" w:type="dxa"/>
            <w:tcBorders>
              <w:left w:val="nil"/>
              <w:bottom w:val="single" w:sz="4" w:space="0" w:color="auto"/>
              <w:right w:val="nil"/>
            </w:tcBorders>
            <w:noWrap/>
            <w:vAlign w:val="center"/>
            <w:hideMark/>
          </w:tcPr>
          <w:p w14:paraId="7E3C0E1B" w14:textId="77777777" w:rsidR="004179CA" w:rsidRPr="00950AB7" w:rsidRDefault="004179CA" w:rsidP="004179CA">
            <w:pPr>
              <w:rPr>
                <w:sz w:val="22"/>
                <w:szCs w:val="22"/>
              </w:rPr>
            </w:pPr>
            <w:r w:rsidRPr="00950AB7">
              <w:rPr>
                <w:sz w:val="22"/>
                <w:szCs w:val="22"/>
              </w:rPr>
              <w:t>Outstanding</w:t>
            </w:r>
          </w:p>
        </w:tc>
        <w:tc>
          <w:tcPr>
            <w:tcW w:w="1447" w:type="dxa"/>
            <w:tcBorders>
              <w:left w:val="nil"/>
              <w:bottom w:val="single" w:sz="4" w:space="0" w:color="auto"/>
              <w:right w:val="nil"/>
            </w:tcBorders>
            <w:vAlign w:val="center"/>
          </w:tcPr>
          <w:p w14:paraId="60F60FCD" w14:textId="77777777" w:rsidR="004179CA" w:rsidRPr="00950AB7" w:rsidRDefault="004179CA" w:rsidP="004179CA">
            <w:pPr>
              <w:rPr>
                <w:sz w:val="22"/>
                <w:szCs w:val="22"/>
              </w:rPr>
            </w:pPr>
            <w:r w:rsidRPr="00950AB7">
              <w:rPr>
                <w:sz w:val="22"/>
                <w:szCs w:val="22"/>
              </w:rPr>
              <w:t>Full</w:t>
            </w:r>
          </w:p>
        </w:tc>
        <w:tc>
          <w:tcPr>
            <w:tcW w:w="1482" w:type="dxa"/>
            <w:tcBorders>
              <w:left w:val="nil"/>
              <w:bottom w:val="single" w:sz="4" w:space="0" w:color="auto"/>
              <w:right w:val="nil"/>
            </w:tcBorders>
            <w:noWrap/>
            <w:hideMark/>
          </w:tcPr>
          <w:p w14:paraId="5AC91E30" w14:textId="4A92DB5A" w:rsidR="004179CA" w:rsidRPr="00950AB7" w:rsidRDefault="004179CA" w:rsidP="004179CA">
            <w:pPr>
              <w:jc w:val="center"/>
              <w:rPr>
                <w:sz w:val="22"/>
                <w:szCs w:val="22"/>
              </w:rPr>
            </w:pPr>
            <w:r w:rsidRPr="00950AB7">
              <w:rPr>
                <w:sz w:val="22"/>
                <w:szCs w:val="22"/>
              </w:rPr>
              <w:t>6</w:t>
            </w:r>
          </w:p>
        </w:tc>
        <w:tc>
          <w:tcPr>
            <w:tcW w:w="1400" w:type="dxa"/>
            <w:tcBorders>
              <w:left w:val="nil"/>
              <w:bottom w:val="single" w:sz="4" w:space="0" w:color="auto"/>
              <w:right w:val="nil"/>
            </w:tcBorders>
            <w:noWrap/>
            <w:hideMark/>
          </w:tcPr>
          <w:p w14:paraId="7097F4CC" w14:textId="3A178E95" w:rsidR="004179CA" w:rsidRPr="00950AB7" w:rsidRDefault="004179CA" w:rsidP="004179CA">
            <w:pPr>
              <w:jc w:val="center"/>
              <w:rPr>
                <w:sz w:val="22"/>
                <w:szCs w:val="22"/>
              </w:rPr>
            </w:pPr>
            <w:r w:rsidRPr="00950AB7">
              <w:rPr>
                <w:sz w:val="22"/>
                <w:szCs w:val="22"/>
              </w:rPr>
              <w:t>0</w:t>
            </w:r>
          </w:p>
        </w:tc>
        <w:tc>
          <w:tcPr>
            <w:tcW w:w="831" w:type="dxa"/>
            <w:tcBorders>
              <w:left w:val="nil"/>
              <w:bottom w:val="single" w:sz="4" w:space="0" w:color="auto"/>
              <w:right w:val="nil"/>
            </w:tcBorders>
            <w:noWrap/>
            <w:hideMark/>
          </w:tcPr>
          <w:p w14:paraId="10971C64" w14:textId="1EB47888" w:rsidR="004179CA" w:rsidRPr="00950AB7" w:rsidRDefault="004179CA" w:rsidP="004179CA">
            <w:pPr>
              <w:jc w:val="center"/>
              <w:rPr>
                <w:sz w:val="22"/>
                <w:szCs w:val="22"/>
              </w:rPr>
            </w:pPr>
            <w:r w:rsidRPr="00950AB7">
              <w:rPr>
                <w:sz w:val="22"/>
                <w:szCs w:val="22"/>
              </w:rPr>
              <w:t>4</w:t>
            </w:r>
          </w:p>
        </w:tc>
        <w:tc>
          <w:tcPr>
            <w:tcW w:w="1523" w:type="dxa"/>
            <w:tcBorders>
              <w:left w:val="nil"/>
              <w:bottom w:val="single" w:sz="4" w:space="0" w:color="auto"/>
              <w:right w:val="nil"/>
            </w:tcBorders>
            <w:shd w:val="clear" w:color="auto" w:fill="604A7B"/>
            <w:noWrap/>
            <w:hideMark/>
          </w:tcPr>
          <w:p w14:paraId="1028D98F" w14:textId="4180543C" w:rsidR="004179CA" w:rsidRPr="00950AB7" w:rsidRDefault="004179CA" w:rsidP="004179CA">
            <w:pPr>
              <w:jc w:val="center"/>
              <w:rPr>
                <w:color w:val="FFFFFF" w:themeColor="background1"/>
                <w:sz w:val="22"/>
                <w:szCs w:val="22"/>
              </w:rPr>
            </w:pPr>
            <w:r w:rsidRPr="00950AB7">
              <w:rPr>
                <w:color w:val="FFFFFF" w:themeColor="background1"/>
                <w:sz w:val="22"/>
                <w:szCs w:val="22"/>
              </w:rPr>
              <w:t>2</w:t>
            </w:r>
          </w:p>
        </w:tc>
        <w:tc>
          <w:tcPr>
            <w:tcW w:w="1452" w:type="dxa"/>
            <w:tcBorders>
              <w:left w:val="nil"/>
              <w:bottom w:val="single" w:sz="4" w:space="0" w:color="auto"/>
              <w:right w:val="nil"/>
            </w:tcBorders>
            <w:shd w:val="clear" w:color="auto" w:fill="604A7B"/>
            <w:noWrap/>
            <w:hideMark/>
          </w:tcPr>
          <w:p w14:paraId="0A2F0364" w14:textId="0A4830EC" w:rsidR="004179CA" w:rsidRPr="00950AB7" w:rsidRDefault="004179CA" w:rsidP="004179CA">
            <w:pPr>
              <w:jc w:val="center"/>
              <w:rPr>
                <w:color w:val="FFFFFF" w:themeColor="background1"/>
                <w:sz w:val="22"/>
                <w:szCs w:val="22"/>
              </w:rPr>
            </w:pPr>
            <w:r w:rsidRPr="00950AB7">
              <w:rPr>
                <w:color w:val="FFFFFF" w:themeColor="background1"/>
                <w:sz w:val="22"/>
                <w:szCs w:val="22"/>
              </w:rPr>
              <w:t>0</w:t>
            </w:r>
          </w:p>
        </w:tc>
      </w:tr>
      <w:tr w:rsidR="004179CA" w:rsidRPr="00950AB7" w14:paraId="6537D46D" w14:textId="77777777" w:rsidTr="004179CA">
        <w:trPr>
          <w:trHeight w:val="264"/>
        </w:trPr>
        <w:tc>
          <w:tcPr>
            <w:tcW w:w="1706" w:type="dxa"/>
            <w:tcBorders>
              <w:top w:val="single" w:sz="4" w:space="0" w:color="auto"/>
              <w:left w:val="nil"/>
              <w:bottom w:val="single" w:sz="4" w:space="0" w:color="auto"/>
              <w:right w:val="nil"/>
            </w:tcBorders>
            <w:noWrap/>
            <w:vAlign w:val="center"/>
            <w:hideMark/>
          </w:tcPr>
          <w:p w14:paraId="028B108B" w14:textId="77777777" w:rsidR="004179CA" w:rsidRPr="00950AB7" w:rsidRDefault="004179CA" w:rsidP="004179CA">
            <w:pPr>
              <w:rPr>
                <w:sz w:val="22"/>
                <w:szCs w:val="22"/>
              </w:rPr>
            </w:pPr>
            <w:r w:rsidRPr="00950AB7">
              <w:rPr>
                <w:sz w:val="22"/>
                <w:szCs w:val="22"/>
              </w:rPr>
              <w:t>Good</w:t>
            </w:r>
          </w:p>
        </w:tc>
        <w:tc>
          <w:tcPr>
            <w:tcW w:w="1447" w:type="dxa"/>
            <w:tcBorders>
              <w:top w:val="single" w:sz="4" w:space="0" w:color="auto"/>
              <w:left w:val="nil"/>
              <w:bottom w:val="single" w:sz="4" w:space="0" w:color="auto"/>
              <w:right w:val="nil"/>
            </w:tcBorders>
            <w:vAlign w:val="center"/>
          </w:tcPr>
          <w:p w14:paraId="2C0666CF" w14:textId="77777777" w:rsidR="004179CA" w:rsidRPr="00950AB7" w:rsidRDefault="004179CA" w:rsidP="004179CA">
            <w:pPr>
              <w:rPr>
                <w:sz w:val="22"/>
                <w:szCs w:val="22"/>
              </w:rPr>
            </w:pPr>
            <w:r w:rsidRPr="00950AB7">
              <w:rPr>
                <w:sz w:val="22"/>
                <w:szCs w:val="22"/>
              </w:rPr>
              <w:t>Full</w:t>
            </w:r>
          </w:p>
        </w:tc>
        <w:tc>
          <w:tcPr>
            <w:tcW w:w="1482" w:type="dxa"/>
            <w:tcBorders>
              <w:top w:val="single" w:sz="4" w:space="0" w:color="auto"/>
              <w:left w:val="nil"/>
              <w:bottom w:val="single" w:sz="4" w:space="0" w:color="auto"/>
              <w:right w:val="nil"/>
            </w:tcBorders>
            <w:noWrap/>
            <w:hideMark/>
          </w:tcPr>
          <w:p w14:paraId="0CA2E387" w14:textId="4BC74AF2" w:rsidR="004179CA" w:rsidRPr="00950AB7" w:rsidRDefault="004179CA" w:rsidP="004179CA">
            <w:pPr>
              <w:jc w:val="center"/>
              <w:rPr>
                <w:sz w:val="22"/>
                <w:szCs w:val="22"/>
              </w:rPr>
            </w:pPr>
            <w:r w:rsidRPr="00950AB7">
              <w:rPr>
                <w:sz w:val="22"/>
                <w:szCs w:val="22"/>
              </w:rPr>
              <w:t>23</w:t>
            </w:r>
          </w:p>
        </w:tc>
        <w:tc>
          <w:tcPr>
            <w:tcW w:w="1400" w:type="dxa"/>
            <w:tcBorders>
              <w:top w:val="single" w:sz="4" w:space="0" w:color="auto"/>
              <w:left w:val="nil"/>
              <w:bottom w:val="single" w:sz="4" w:space="0" w:color="auto"/>
              <w:right w:val="nil"/>
            </w:tcBorders>
            <w:noWrap/>
            <w:hideMark/>
          </w:tcPr>
          <w:p w14:paraId="5FFF71BB" w14:textId="1C95AA5C" w:rsidR="004179CA" w:rsidRPr="00950AB7" w:rsidRDefault="004179CA" w:rsidP="004179CA">
            <w:pPr>
              <w:jc w:val="center"/>
              <w:rPr>
                <w:sz w:val="22"/>
                <w:szCs w:val="22"/>
              </w:rPr>
            </w:pPr>
            <w:r w:rsidRPr="00950AB7">
              <w:rPr>
                <w:sz w:val="22"/>
                <w:szCs w:val="22"/>
              </w:rPr>
              <w:t>0</w:t>
            </w:r>
          </w:p>
        </w:tc>
        <w:tc>
          <w:tcPr>
            <w:tcW w:w="831" w:type="dxa"/>
            <w:tcBorders>
              <w:top w:val="single" w:sz="4" w:space="0" w:color="auto"/>
              <w:left w:val="nil"/>
              <w:bottom w:val="single" w:sz="4" w:space="0" w:color="auto"/>
              <w:right w:val="nil"/>
            </w:tcBorders>
            <w:noWrap/>
            <w:hideMark/>
          </w:tcPr>
          <w:p w14:paraId="65BAFBE8" w14:textId="27DED35E" w:rsidR="004179CA" w:rsidRPr="00950AB7" w:rsidRDefault="004179CA" w:rsidP="004179CA">
            <w:pPr>
              <w:jc w:val="center"/>
              <w:rPr>
                <w:sz w:val="22"/>
                <w:szCs w:val="22"/>
              </w:rPr>
            </w:pPr>
            <w:r w:rsidRPr="00950AB7">
              <w:rPr>
                <w:sz w:val="22"/>
                <w:szCs w:val="22"/>
              </w:rPr>
              <w:t>8</w:t>
            </w:r>
          </w:p>
        </w:tc>
        <w:tc>
          <w:tcPr>
            <w:tcW w:w="1523" w:type="dxa"/>
            <w:tcBorders>
              <w:top w:val="single" w:sz="4" w:space="0" w:color="auto"/>
              <w:left w:val="nil"/>
              <w:bottom w:val="single" w:sz="4" w:space="0" w:color="auto"/>
              <w:right w:val="nil"/>
            </w:tcBorders>
            <w:shd w:val="clear" w:color="auto" w:fill="604A7B"/>
            <w:noWrap/>
            <w:hideMark/>
          </w:tcPr>
          <w:p w14:paraId="515EDF7A" w14:textId="2CE31F9B" w:rsidR="004179CA" w:rsidRPr="00950AB7" w:rsidRDefault="004179CA" w:rsidP="004179CA">
            <w:pPr>
              <w:jc w:val="center"/>
              <w:rPr>
                <w:color w:val="FFFFFF" w:themeColor="background1"/>
                <w:sz w:val="22"/>
                <w:szCs w:val="22"/>
              </w:rPr>
            </w:pPr>
            <w:r w:rsidRPr="00950AB7">
              <w:rPr>
                <w:color w:val="FFFFFF" w:themeColor="background1"/>
                <w:sz w:val="22"/>
                <w:szCs w:val="22"/>
              </w:rPr>
              <w:t>14</w:t>
            </w:r>
          </w:p>
        </w:tc>
        <w:tc>
          <w:tcPr>
            <w:tcW w:w="1452" w:type="dxa"/>
            <w:tcBorders>
              <w:top w:val="single" w:sz="4" w:space="0" w:color="auto"/>
              <w:left w:val="nil"/>
              <w:bottom w:val="single" w:sz="4" w:space="0" w:color="auto"/>
              <w:right w:val="nil"/>
            </w:tcBorders>
            <w:shd w:val="clear" w:color="auto" w:fill="604A7B"/>
            <w:noWrap/>
            <w:hideMark/>
          </w:tcPr>
          <w:p w14:paraId="3FB03040" w14:textId="5CE3BAED" w:rsidR="004179CA" w:rsidRPr="00950AB7" w:rsidRDefault="004179CA" w:rsidP="004179CA">
            <w:pPr>
              <w:jc w:val="center"/>
              <w:rPr>
                <w:color w:val="FFFFFF" w:themeColor="background1"/>
                <w:sz w:val="22"/>
                <w:szCs w:val="22"/>
              </w:rPr>
            </w:pPr>
            <w:r w:rsidRPr="00950AB7">
              <w:rPr>
                <w:color w:val="FFFFFF" w:themeColor="background1"/>
                <w:sz w:val="22"/>
                <w:szCs w:val="22"/>
              </w:rPr>
              <w:t>1</w:t>
            </w:r>
          </w:p>
        </w:tc>
      </w:tr>
      <w:tr w:rsidR="00543AA4" w:rsidRPr="00950AB7" w14:paraId="30C60822" w14:textId="77777777" w:rsidTr="004179CA">
        <w:trPr>
          <w:trHeight w:val="264"/>
        </w:trPr>
        <w:tc>
          <w:tcPr>
            <w:tcW w:w="1706" w:type="dxa"/>
            <w:tcBorders>
              <w:top w:val="single" w:sz="4" w:space="0" w:color="auto"/>
              <w:left w:val="nil"/>
              <w:bottom w:val="single" w:sz="4" w:space="0" w:color="auto"/>
              <w:right w:val="nil"/>
            </w:tcBorders>
            <w:noWrap/>
            <w:vAlign w:val="center"/>
          </w:tcPr>
          <w:p w14:paraId="29DD36E3" w14:textId="77777777" w:rsidR="00543AA4" w:rsidRPr="00950AB7" w:rsidRDefault="00543AA4" w:rsidP="00543AA4">
            <w:pPr>
              <w:rPr>
                <w:sz w:val="22"/>
                <w:szCs w:val="22"/>
              </w:rPr>
            </w:pPr>
            <w:r w:rsidRPr="00950AB7">
              <w:rPr>
                <w:sz w:val="22"/>
                <w:szCs w:val="22"/>
              </w:rPr>
              <w:t>Good</w:t>
            </w:r>
          </w:p>
        </w:tc>
        <w:tc>
          <w:tcPr>
            <w:tcW w:w="1447" w:type="dxa"/>
            <w:tcBorders>
              <w:top w:val="single" w:sz="4" w:space="0" w:color="auto"/>
              <w:left w:val="nil"/>
              <w:bottom w:val="single" w:sz="4" w:space="0" w:color="auto"/>
              <w:right w:val="nil"/>
            </w:tcBorders>
            <w:vAlign w:val="center"/>
          </w:tcPr>
          <w:p w14:paraId="268F5B6A" w14:textId="77777777" w:rsidR="00543AA4" w:rsidRPr="00950AB7" w:rsidRDefault="00543AA4" w:rsidP="00543AA4">
            <w:pPr>
              <w:rPr>
                <w:sz w:val="22"/>
                <w:szCs w:val="22"/>
              </w:rPr>
            </w:pPr>
            <w:r w:rsidRPr="00950AB7">
              <w:rPr>
                <w:sz w:val="22"/>
                <w:szCs w:val="22"/>
              </w:rPr>
              <w:t>Short (including conversions)</w:t>
            </w:r>
          </w:p>
        </w:tc>
        <w:tc>
          <w:tcPr>
            <w:tcW w:w="1482" w:type="dxa"/>
            <w:tcBorders>
              <w:top w:val="single" w:sz="4" w:space="0" w:color="auto"/>
              <w:left w:val="nil"/>
              <w:bottom w:val="single" w:sz="4" w:space="0" w:color="auto"/>
              <w:right w:val="nil"/>
            </w:tcBorders>
            <w:noWrap/>
            <w:vAlign w:val="center"/>
          </w:tcPr>
          <w:p w14:paraId="64B2A6C8" w14:textId="0241B2BD" w:rsidR="00543AA4" w:rsidRPr="00950AB7" w:rsidRDefault="004179CA" w:rsidP="00543AA4">
            <w:pPr>
              <w:jc w:val="center"/>
              <w:rPr>
                <w:sz w:val="22"/>
                <w:szCs w:val="22"/>
              </w:rPr>
            </w:pPr>
            <w:r w:rsidRPr="00950AB7">
              <w:rPr>
                <w:sz w:val="22"/>
                <w:szCs w:val="22"/>
              </w:rPr>
              <w:t>12</w:t>
            </w:r>
          </w:p>
        </w:tc>
        <w:tc>
          <w:tcPr>
            <w:tcW w:w="1400" w:type="dxa"/>
            <w:tcBorders>
              <w:top w:val="single" w:sz="4" w:space="0" w:color="auto"/>
              <w:left w:val="nil"/>
              <w:bottom w:val="single" w:sz="4" w:space="0" w:color="auto"/>
              <w:right w:val="nil"/>
            </w:tcBorders>
            <w:noWrap/>
            <w:vAlign w:val="center"/>
          </w:tcPr>
          <w:p w14:paraId="34B5261E" w14:textId="22DF0BC6" w:rsidR="00543AA4" w:rsidRPr="00950AB7" w:rsidRDefault="004179CA" w:rsidP="00543AA4">
            <w:pPr>
              <w:jc w:val="center"/>
              <w:rPr>
                <w:sz w:val="22"/>
                <w:szCs w:val="22"/>
              </w:rPr>
            </w:pPr>
            <w:r w:rsidRPr="00950AB7">
              <w:rPr>
                <w:sz w:val="22"/>
                <w:szCs w:val="22"/>
              </w:rPr>
              <w:t>2</w:t>
            </w:r>
          </w:p>
        </w:tc>
        <w:tc>
          <w:tcPr>
            <w:tcW w:w="831" w:type="dxa"/>
            <w:tcBorders>
              <w:top w:val="single" w:sz="4" w:space="0" w:color="auto"/>
              <w:left w:val="nil"/>
              <w:bottom w:val="single" w:sz="4" w:space="0" w:color="auto"/>
              <w:right w:val="nil"/>
            </w:tcBorders>
            <w:noWrap/>
            <w:vAlign w:val="center"/>
          </w:tcPr>
          <w:p w14:paraId="2484101C" w14:textId="0515EABE" w:rsidR="00543AA4" w:rsidRPr="00950AB7" w:rsidRDefault="004179CA" w:rsidP="00543AA4">
            <w:pPr>
              <w:jc w:val="center"/>
              <w:rPr>
                <w:sz w:val="22"/>
                <w:szCs w:val="22"/>
              </w:rPr>
            </w:pPr>
            <w:r w:rsidRPr="00950AB7">
              <w:rPr>
                <w:sz w:val="22"/>
                <w:szCs w:val="22"/>
              </w:rPr>
              <w:t>9</w:t>
            </w:r>
          </w:p>
        </w:tc>
        <w:tc>
          <w:tcPr>
            <w:tcW w:w="1523" w:type="dxa"/>
            <w:tcBorders>
              <w:top w:val="single" w:sz="4" w:space="0" w:color="auto"/>
              <w:left w:val="nil"/>
              <w:bottom w:val="single" w:sz="4" w:space="0" w:color="auto"/>
              <w:right w:val="nil"/>
            </w:tcBorders>
            <w:shd w:val="clear" w:color="auto" w:fill="604A7B"/>
            <w:noWrap/>
            <w:vAlign w:val="center"/>
          </w:tcPr>
          <w:p w14:paraId="796AD963" w14:textId="77777777" w:rsidR="00543AA4" w:rsidRPr="00950AB7" w:rsidRDefault="00543AA4" w:rsidP="00543AA4">
            <w:pPr>
              <w:jc w:val="center"/>
              <w:rPr>
                <w:color w:val="FFFFFF" w:themeColor="background1"/>
                <w:sz w:val="22"/>
                <w:szCs w:val="22"/>
              </w:rPr>
            </w:pPr>
            <w:r w:rsidRPr="00950AB7">
              <w:rPr>
                <w:color w:val="FFFFFF" w:themeColor="background1"/>
                <w:sz w:val="22"/>
                <w:szCs w:val="22"/>
              </w:rPr>
              <w:t>1</w:t>
            </w:r>
          </w:p>
        </w:tc>
        <w:tc>
          <w:tcPr>
            <w:tcW w:w="1452" w:type="dxa"/>
            <w:tcBorders>
              <w:top w:val="single" w:sz="4" w:space="0" w:color="auto"/>
              <w:left w:val="nil"/>
              <w:bottom w:val="single" w:sz="4" w:space="0" w:color="auto"/>
              <w:right w:val="nil"/>
            </w:tcBorders>
            <w:shd w:val="clear" w:color="auto" w:fill="604A7B"/>
            <w:noWrap/>
            <w:vAlign w:val="center"/>
          </w:tcPr>
          <w:p w14:paraId="1322954B" w14:textId="77777777" w:rsidR="00543AA4" w:rsidRPr="00950AB7" w:rsidRDefault="00543AA4" w:rsidP="00543AA4">
            <w:pPr>
              <w:jc w:val="center"/>
              <w:rPr>
                <w:color w:val="FFFFFF" w:themeColor="background1"/>
                <w:sz w:val="22"/>
                <w:szCs w:val="22"/>
              </w:rPr>
            </w:pPr>
            <w:r w:rsidRPr="00950AB7">
              <w:rPr>
                <w:color w:val="FFFFFF" w:themeColor="background1"/>
                <w:sz w:val="22"/>
                <w:szCs w:val="22"/>
              </w:rPr>
              <w:t>0</w:t>
            </w:r>
          </w:p>
        </w:tc>
      </w:tr>
      <w:tr w:rsidR="004179CA" w:rsidRPr="00950AB7" w14:paraId="1B6E1BA7" w14:textId="77777777" w:rsidTr="00921855">
        <w:trPr>
          <w:trHeight w:val="264"/>
        </w:trPr>
        <w:tc>
          <w:tcPr>
            <w:tcW w:w="1706" w:type="dxa"/>
            <w:tcBorders>
              <w:top w:val="single" w:sz="4" w:space="0" w:color="auto"/>
              <w:left w:val="nil"/>
              <w:bottom w:val="single" w:sz="4" w:space="0" w:color="auto"/>
              <w:right w:val="nil"/>
            </w:tcBorders>
            <w:noWrap/>
            <w:vAlign w:val="center"/>
            <w:hideMark/>
          </w:tcPr>
          <w:p w14:paraId="3832C86F" w14:textId="77777777" w:rsidR="004179CA" w:rsidRPr="00950AB7" w:rsidRDefault="004179CA" w:rsidP="004179CA">
            <w:pPr>
              <w:rPr>
                <w:sz w:val="22"/>
                <w:szCs w:val="22"/>
              </w:rPr>
            </w:pPr>
            <w:r w:rsidRPr="00950AB7">
              <w:rPr>
                <w:sz w:val="22"/>
                <w:szCs w:val="22"/>
              </w:rPr>
              <w:t>Requires improvement</w:t>
            </w:r>
          </w:p>
        </w:tc>
        <w:tc>
          <w:tcPr>
            <w:tcW w:w="1447" w:type="dxa"/>
            <w:tcBorders>
              <w:top w:val="single" w:sz="4" w:space="0" w:color="auto"/>
              <w:left w:val="nil"/>
              <w:bottom w:val="single" w:sz="4" w:space="0" w:color="auto"/>
              <w:right w:val="nil"/>
            </w:tcBorders>
            <w:vAlign w:val="center"/>
          </w:tcPr>
          <w:p w14:paraId="0F401A20" w14:textId="77777777" w:rsidR="004179CA" w:rsidRPr="00950AB7" w:rsidRDefault="004179CA" w:rsidP="004179CA">
            <w:pPr>
              <w:rPr>
                <w:sz w:val="22"/>
                <w:szCs w:val="22"/>
              </w:rPr>
            </w:pPr>
            <w:r w:rsidRPr="00950AB7">
              <w:rPr>
                <w:sz w:val="22"/>
                <w:szCs w:val="22"/>
              </w:rPr>
              <w:t>Full</w:t>
            </w:r>
          </w:p>
        </w:tc>
        <w:tc>
          <w:tcPr>
            <w:tcW w:w="1482" w:type="dxa"/>
            <w:tcBorders>
              <w:top w:val="single" w:sz="4" w:space="0" w:color="auto"/>
              <w:left w:val="nil"/>
              <w:bottom w:val="single" w:sz="4" w:space="0" w:color="auto"/>
              <w:right w:val="nil"/>
            </w:tcBorders>
            <w:noWrap/>
            <w:hideMark/>
          </w:tcPr>
          <w:p w14:paraId="29370243" w14:textId="2D0F6C8C" w:rsidR="004179CA" w:rsidRPr="00950AB7" w:rsidRDefault="004179CA" w:rsidP="004179CA">
            <w:pPr>
              <w:jc w:val="center"/>
              <w:rPr>
                <w:sz w:val="22"/>
                <w:szCs w:val="22"/>
              </w:rPr>
            </w:pPr>
            <w:r w:rsidRPr="00950AB7">
              <w:rPr>
                <w:sz w:val="22"/>
                <w:szCs w:val="22"/>
              </w:rPr>
              <w:t>20</w:t>
            </w:r>
          </w:p>
        </w:tc>
        <w:tc>
          <w:tcPr>
            <w:tcW w:w="1400" w:type="dxa"/>
            <w:tcBorders>
              <w:top w:val="single" w:sz="4" w:space="0" w:color="auto"/>
              <w:left w:val="nil"/>
              <w:bottom w:val="single" w:sz="4" w:space="0" w:color="auto"/>
              <w:right w:val="nil"/>
            </w:tcBorders>
            <w:shd w:val="clear" w:color="auto" w:fill="8AB23E"/>
            <w:noWrap/>
            <w:hideMark/>
          </w:tcPr>
          <w:p w14:paraId="3E5E8681" w14:textId="53377AE8" w:rsidR="004179CA" w:rsidRPr="00950AB7" w:rsidRDefault="004179CA" w:rsidP="004179CA">
            <w:pPr>
              <w:jc w:val="center"/>
              <w:rPr>
                <w:color w:val="FFFFFF" w:themeColor="background1"/>
                <w:sz w:val="22"/>
                <w:szCs w:val="22"/>
              </w:rPr>
            </w:pPr>
            <w:r w:rsidRPr="00950AB7">
              <w:rPr>
                <w:color w:val="FFFFFF" w:themeColor="background1"/>
                <w:sz w:val="22"/>
                <w:szCs w:val="22"/>
              </w:rPr>
              <w:t>0</w:t>
            </w:r>
          </w:p>
        </w:tc>
        <w:tc>
          <w:tcPr>
            <w:tcW w:w="831" w:type="dxa"/>
            <w:tcBorders>
              <w:top w:val="single" w:sz="4" w:space="0" w:color="auto"/>
              <w:left w:val="nil"/>
              <w:bottom w:val="single" w:sz="4" w:space="0" w:color="auto"/>
              <w:right w:val="nil"/>
            </w:tcBorders>
            <w:shd w:val="clear" w:color="auto" w:fill="8AB23E"/>
            <w:noWrap/>
            <w:hideMark/>
          </w:tcPr>
          <w:p w14:paraId="4B5AC540" w14:textId="5F475D5D" w:rsidR="004179CA" w:rsidRPr="00950AB7" w:rsidRDefault="004179CA" w:rsidP="004179CA">
            <w:pPr>
              <w:jc w:val="center"/>
              <w:rPr>
                <w:color w:val="FFFFFF" w:themeColor="background1"/>
                <w:sz w:val="22"/>
                <w:szCs w:val="22"/>
              </w:rPr>
            </w:pPr>
            <w:r w:rsidRPr="00950AB7">
              <w:rPr>
                <w:color w:val="FFFFFF" w:themeColor="background1"/>
                <w:sz w:val="22"/>
                <w:szCs w:val="22"/>
              </w:rPr>
              <w:t>7</w:t>
            </w:r>
          </w:p>
        </w:tc>
        <w:tc>
          <w:tcPr>
            <w:tcW w:w="1523" w:type="dxa"/>
            <w:tcBorders>
              <w:top w:val="single" w:sz="4" w:space="0" w:color="auto"/>
              <w:left w:val="nil"/>
              <w:bottom w:val="single" w:sz="4" w:space="0" w:color="auto"/>
              <w:right w:val="nil"/>
            </w:tcBorders>
            <w:noWrap/>
            <w:hideMark/>
          </w:tcPr>
          <w:p w14:paraId="744DFF8A" w14:textId="4FA05336" w:rsidR="004179CA" w:rsidRPr="00950AB7" w:rsidRDefault="004179CA" w:rsidP="004179CA">
            <w:pPr>
              <w:jc w:val="center"/>
              <w:rPr>
                <w:sz w:val="22"/>
                <w:szCs w:val="22"/>
              </w:rPr>
            </w:pPr>
            <w:r w:rsidRPr="00950AB7">
              <w:rPr>
                <w:sz w:val="22"/>
                <w:szCs w:val="22"/>
              </w:rPr>
              <w:t>10</w:t>
            </w:r>
          </w:p>
        </w:tc>
        <w:tc>
          <w:tcPr>
            <w:tcW w:w="1452" w:type="dxa"/>
            <w:tcBorders>
              <w:top w:val="single" w:sz="4" w:space="0" w:color="auto"/>
              <w:left w:val="nil"/>
              <w:bottom w:val="single" w:sz="4" w:space="0" w:color="auto"/>
              <w:right w:val="nil"/>
            </w:tcBorders>
            <w:noWrap/>
            <w:hideMark/>
          </w:tcPr>
          <w:p w14:paraId="6F51426C" w14:textId="5BBC5CC7" w:rsidR="004179CA" w:rsidRPr="00950AB7" w:rsidRDefault="004179CA" w:rsidP="004179CA">
            <w:pPr>
              <w:jc w:val="center"/>
              <w:rPr>
                <w:sz w:val="22"/>
                <w:szCs w:val="22"/>
              </w:rPr>
            </w:pPr>
            <w:r w:rsidRPr="00950AB7">
              <w:rPr>
                <w:sz w:val="22"/>
                <w:szCs w:val="22"/>
              </w:rPr>
              <w:t>3</w:t>
            </w:r>
          </w:p>
        </w:tc>
      </w:tr>
      <w:tr w:rsidR="004179CA" w:rsidRPr="00950AB7" w14:paraId="4FCA4006" w14:textId="77777777" w:rsidTr="00921855">
        <w:trPr>
          <w:trHeight w:val="264"/>
        </w:trPr>
        <w:tc>
          <w:tcPr>
            <w:tcW w:w="1706" w:type="dxa"/>
            <w:tcBorders>
              <w:top w:val="single" w:sz="4" w:space="0" w:color="auto"/>
              <w:left w:val="nil"/>
              <w:bottom w:val="single" w:sz="4" w:space="0" w:color="auto"/>
              <w:right w:val="nil"/>
            </w:tcBorders>
            <w:noWrap/>
            <w:vAlign w:val="center"/>
            <w:hideMark/>
          </w:tcPr>
          <w:p w14:paraId="6A27973A" w14:textId="77777777" w:rsidR="004179CA" w:rsidRPr="00950AB7" w:rsidRDefault="004179CA" w:rsidP="004179CA">
            <w:pPr>
              <w:rPr>
                <w:sz w:val="22"/>
                <w:szCs w:val="22"/>
              </w:rPr>
            </w:pPr>
            <w:r w:rsidRPr="00950AB7">
              <w:rPr>
                <w:sz w:val="22"/>
                <w:szCs w:val="22"/>
              </w:rPr>
              <w:t>Inadequate</w:t>
            </w:r>
          </w:p>
        </w:tc>
        <w:tc>
          <w:tcPr>
            <w:tcW w:w="1447" w:type="dxa"/>
            <w:tcBorders>
              <w:top w:val="single" w:sz="4" w:space="0" w:color="auto"/>
              <w:left w:val="nil"/>
              <w:bottom w:val="single" w:sz="4" w:space="0" w:color="auto"/>
              <w:right w:val="nil"/>
            </w:tcBorders>
            <w:vAlign w:val="center"/>
          </w:tcPr>
          <w:p w14:paraId="0BE189CE" w14:textId="77777777" w:rsidR="004179CA" w:rsidRPr="00950AB7" w:rsidRDefault="004179CA" w:rsidP="004179CA">
            <w:pPr>
              <w:rPr>
                <w:sz w:val="22"/>
                <w:szCs w:val="22"/>
              </w:rPr>
            </w:pPr>
            <w:r w:rsidRPr="00950AB7">
              <w:rPr>
                <w:sz w:val="22"/>
                <w:szCs w:val="22"/>
              </w:rPr>
              <w:t>Full</w:t>
            </w:r>
          </w:p>
        </w:tc>
        <w:tc>
          <w:tcPr>
            <w:tcW w:w="1482" w:type="dxa"/>
            <w:tcBorders>
              <w:top w:val="single" w:sz="4" w:space="0" w:color="auto"/>
              <w:left w:val="nil"/>
              <w:bottom w:val="single" w:sz="4" w:space="0" w:color="auto"/>
              <w:right w:val="nil"/>
            </w:tcBorders>
            <w:noWrap/>
            <w:hideMark/>
          </w:tcPr>
          <w:p w14:paraId="66704F5E" w14:textId="3F3D3CF6" w:rsidR="004179CA" w:rsidRPr="00950AB7" w:rsidRDefault="00BA4224" w:rsidP="004179CA">
            <w:pPr>
              <w:jc w:val="center"/>
              <w:rPr>
                <w:sz w:val="22"/>
                <w:szCs w:val="22"/>
              </w:rPr>
            </w:pPr>
            <w:r w:rsidRPr="00950AB7">
              <w:rPr>
                <w:sz w:val="22"/>
                <w:szCs w:val="22"/>
              </w:rPr>
              <w:t>9</w:t>
            </w:r>
          </w:p>
        </w:tc>
        <w:tc>
          <w:tcPr>
            <w:tcW w:w="1400" w:type="dxa"/>
            <w:tcBorders>
              <w:top w:val="single" w:sz="4" w:space="0" w:color="auto"/>
              <w:left w:val="nil"/>
              <w:bottom w:val="single" w:sz="4" w:space="0" w:color="auto"/>
              <w:right w:val="nil"/>
            </w:tcBorders>
            <w:shd w:val="clear" w:color="auto" w:fill="8AB23E"/>
            <w:noWrap/>
            <w:hideMark/>
          </w:tcPr>
          <w:p w14:paraId="7DA1B770" w14:textId="1BEE16FF" w:rsidR="004179CA" w:rsidRPr="00950AB7" w:rsidRDefault="004179CA" w:rsidP="004179CA">
            <w:pPr>
              <w:jc w:val="center"/>
              <w:rPr>
                <w:color w:val="FFFFFF" w:themeColor="background1"/>
                <w:sz w:val="22"/>
                <w:szCs w:val="22"/>
              </w:rPr>
            </w:pPr>
            <w:r w:rsidRPr="00950AB7">
              <w:rPr>
                <w:color w:val="FFFFFF" w:themeColor="background1"/>
                <w:sz w:val="22"/>
                <w:szCs w:val="22"/>
              </w:rPr>
              <w:t>0</w:t>
            </w:r>
          </w:p>
        </w:tc>
        <w:tc>
          <w:tcPr>
            <w:tcW w:w="831" w:type="dxa"/>
            <w:tcBorders>
              <w:top w:val="single" w:sz="4" w:space="0" w:color="auto"/>
              <w:left w:val="nil"/>
              <w:bottom w:val="single" w:sz="4" w:space="0" w:color="auto"/>
              <w:right w:val="nil"/>
            </w:tcBorders>
            <w:shd w:val="clear" w:color="auto" w:fill="8AB23E"/>
            <w:noWrap/>
            <w:hideMark/>
          </w:tcPr>
          <w:p w14:paraId="40075247" w14:textId="2A81E650" w:rsidR="004179CA" w:rsidRPr="00950AB7" w:rsidRDefault="004179CA" w:rsidP="004179CA">
            <w:pPr>
              <w:jc w:val="center"/>
              <w:rPr>
                <w:color w:val="FFFFFF" w:themeColor="background1"/>
                <w:sz w:val="22"/>
                <w:szCs w:val="22"/>
              </w:rPr>
            </w:pPr>
            <w:r w:rsidRPr="00950AB7">
              <w:rPr>
                <w:color w:val="FFFFFF" w:themeColor="background1"/>
                <w:sz w:val="22"/>
                <w:szCs w:val="22"/>
              </w:rPr>
              <w:t>2</w:t>
            </w:r>
          </w:p>
        </w:tc>
        <w:tc>
          <w:tcPr>
            <w:tcW w:w="1523" w:type="dxa"/>
            <w:tcBorders>
              <w:top w:val="single" w:sz="4" w:space="0" w:color="auto"/>
              <w:left w:val="nil"/>
              <w:bottom w:val="single" w:sz="4" w:space="0" w:color="auto"/>
              <w:right w:val="nil"/>
            </w:tcBorders>
            <w:noWrap/>
            <w:hideMark/>
          </w:tcPr>
          <w:p w14:paraId="73EC3ABE" w14:textId="7F49676E" w:rsidR="004179CA" w:rsidRPr="00950AB7" w:rsidRDefault="00BA4224" w:rsidP="004179CA">
            <w:pPr>
              <w:jc w:val="center"/>
              <w:rPr>
                <w:sz w:val="22"/>
                <w:szCs w:val="22"/>
              </w:rPr>
            </w:pPr>
            <w:r w:rsidRPr="00950AB7">
              <w:rPr>
                <w:sz w:val="22"/>
                <w:szCs w:val="22"/>
              </w:rPr>
              <w:t>6</w:t>
            </w:r>
          </w:p>
        </w:tc>
        <w:tc>
          <w:tcPr>
            <w:tcW w:w="1452" w:type="dxa"/>
            <w:tcBorders>
              <w:top w:val="single" w:sz="4" w:space="0" w:color="auto"/>
              <w:left w:val="nil"/>
              <w:bottom w:val="single" w:sz="4" w:space="0" w:color="auto"/>
              <w:right w:val="nil"/>
            </w:tcBorders>
            <w:noWrap/>
            <w:hideMark/>
          </w:tcPr>
          <w:p w14:paraId="489679C4" w14:textId="0B022F53" w:rsidR="004179CA" w:rsidRPr="00950AB7" w:rsidRDefault="004179CA" w:rsidP="004179CA">
            <w:pPr>
              <w:jc w:val="center"/>
              <w:rPr>
                <w:sz w:val="22"/>
                <w:szCs w:val="22"/>
              </w:rPr>
            </w:pPr>
            <w:r w:rsidRPr="00950AB7">
              <w:rPr>
                <w:sz w:val="22"/>
                <w:szCs w:val="22"/>
              </w:rPr>
              <w:t>1</w:t>
            </w:r>
          </w:p>
        </w:tc>
      </w:tr>
      <w:tr w:rsidR="00543AA4" w:rsidRPr="00950AB7" w14:paraId="60F570D2" w14:textId="77777777" w:rsidTr="004179CA">
        <w:trPr>
          <w:trHeight w:val="264"/>
        </w:trPr>
        <w:tc>
          <w:tcPr>
            <w:tcW w:w="1706" w:type="dxa"/>
            <w:tcBorders>
              <w:top w:val="single" w:sz="4" w:space="0" w:color="auto"/>
              <w:left w:val="nil"/>
              <w:bottom w:val="single" w:sz="4" w:space="0" w:color="auto"/>
              <w:right w:val="nil"/>
            </w:tcBorders>
            <w:noWrap/>
            <w:vAlign w:val="center"/>
            <w:hideMark/>
          </w:tcPr>
          <w:p w14:paraId="1D070EA2" w14:textId="77777777" w:rsidR="00543AA4" w:rsidRPr="00950AB7" w:rsidRDefault="00543AA4" w:rsidP="00543AA4">
            <w:pPr>
              <w:rPr>
                <w:sz w:val="22"/>
                <w:szCs w:val="22"/>
              </w:rPr>
            </w:pPr>
            <w:r w:rsidRPr="00950AB7">
              <w:rPr>
                <w:sz w:val="22"/>
                <w:szCs w:val="22"/>
              </w:rPr>
              <w:t>Not previously inspected</w:t>
            </w:r>
          </w:p>
        </w:tc>
        <w:tc>
          <w:tcPr>
            <w:tcW w:w="1447" w:type="dxa"/>
            <w:tcBorders>
              <w:top w:val="single" w:sz="4" w:space="0" w:color="auto"/>
              <w:left w:val="nil"/>
              <w:bottom w:val="single" w:sz="4" w:space="0" w:color="auto"/>
              <w:right w:val="nil"/>
            </w:tcBorders>
            <w:vAlign w:val="center"/>
          </w:tcPr>
          <w:p w14:paraId="32C91845" w14:textId="77777777" w:rsidR="00543AA4" w:rsidRPr="00950AB7" w:rsidRDefault="00543AA4" w:rsidP="00543AA4">
            <w:pPr>
              <w:rPr>
                <w:sz w:val="22"/>
                <w:szCs w:val="22"/>
              </w:rPr>
            </w:pPr>
            <w:r w:rsidRPr="00950AB7">
              <w:rPr>
                <w:sz w:val="22"/>
                <w:szCs w:val="22"/>
              </w:rPr>
              <w:t>Full</w:t>
            </w:r>
          </w:p>
        </w:tc>
        <w:tc>
          <w:tcPr>
            <w:tcW w:w="1482" w:type="dxa"/>
            <w:tcBorders>
              <w:top w:val="single" w:sz="4" w:space="0" w:color="auto"/>
              <w:left w:val="nil"/>
              <w:bottom w:val="single" w:sz="4" w:space="0" w:color="auto"/>
              <w:right w:val="nil"/>
            </w:tcBorders>
            <w:noWrap/>
            <w:vAlign w:val="center"/>
            <w:hideMark/>
          </w:tcPr>
          <w:p w14:paraId="67B4EA7A" w14:textId="77777777" w:rsidR="00543AA4" w:rsidRPr="00950AB7" w:rsidRDefault="00543AA4" w:rsidP="00543AA4">
            <w:pPr>
              <w:jc w:val="center"/>
              <w:rPr>
                <w:sz w:val="22"/>
                <w:szCs w:val="22"/>
              </w:rPr>
            </w:pPr>
            <w:r w:rsidRPr="00950AB7">
              <w:rPr>
                <w:sz w:val="22"/>
                <w:szCs w:val="22"/>
              </w:rPr>
              <w:t>1</w:t>
            </w:r>
          </w:p>
        </w:tc>
        <w:tc>
          <w:tcPr>
            <w:tcW w:w="1400" w:type="dxa"/>
            <w:tcBorders>
              <w:top w:val="single" w:sz="4" w:space="0" w:color="auto"/>
              <w:left w:val="nil"/>
              <w:bottom w:val="single" w:sz="4" w:space="0" w:color="auto"/>
              <w:right w:val="nil"/>
            </w:tcBorders>
            <w:noWrap/>
            <w:vAlign w:val="center"/>
            <w:hideMark/>
          </w:tcPr>
          <w:p w14:paraId="22943B3D" w14:textId="77777777" w:rsidR="00543AA4" w:rsidRPr="00950AB7" w:rsidRDefault="00543AA4" w:rsidP="00543AA4">
            <w:pPr>
              <w:jc w:val="center"/>
              <w:rPr>
                <w:sz w:val="22"/>
                <w:szCs w:val="22"/>
              </w:rPr>
            </w:pPr>
            <w:r w:rsidRPr="00950AB7">
              <w:rPr>
                <w:sz w:val="22"/>
                <w:szCs w:val="22"/>
              </w:rPr>
              <w:t>0</w:t>
            </w:r>
          </w:p>
        </w:tc>
        <w:tc>
          <w:tcPr>
            <w:tcW w:w="831" w:type="dxa"/>
            <w:tcBorders>
              <w:top w:val="single" w:sz="4" w:space="0" w:color="auto"/>
              <w:left w:val="nil"/>
              <w:bottom w:val="single" w:sz="4" w:space="0" w:color="auto"/>
              <w:right w:val="nil"/>
            </w:tcBorders>
            <w:noWrap/>
            <w:vAlign w:val="center"/>
            <w:hideMark/>
          </w:tcPr>
          <w:p w14:paraId="2BB162BC" w14:textId="77777777" w:rsidR="00543AA4" w:rsidRPr="00950AB7" w:rsidRDefault="00543AA4" w:rsidP="00543AA4">
            <w:pPr>
              <w:jc w:val="center"/>
              <w:rPr>
                <w:sz w:val="22"/>
                <w:szCs w:val="22"/>
              </w:rPr>
            </w:pPr>
            <w:r w:rsidRPr="00950AB7">
              <w:rPr>
                <w:sz w:val="22"/>
                <w:szCs w:val="22"/>
              </w:rPr>
              <w:t>1</w:t>
            </w:r>
          </w:p>
        </w:tc>
        <w:tc>
          <w:tcPr>
            <w:tcW w:w="1523" w:type="dxa"/>
            <w:tcBorders>
              <w:top w:val="single" w:sz="4" w:space="0" w:color="auto"/>
              <w:left w:val="nil"/>
              <w:bottom w:val="single" w:sz="4" w:space="0" w:color="auto"/>
              <w:right w:val="nil"/>
            </w:tcBorders>
            <w:noWrap/>
            <w:vAlign w:val="center"/>
            <w:hideMark/>
          </w:tcPr>
          <w:p w14:paraId="4F259C64" w14:textId="77777777" w:rsidR="00543AA4" w:rsidRPr="00950AB7" w:rsidRDefault="00543AA4" w:rsidP="00543AA4">
            <w:pPr>
              <w:jc w:val="center"/>
              <w:rPr>
                <w:sz w:val="22"/>
                <w:szCs w:val="22"/>
              </w:rPr>
            </w:pPr>
            <w:r w:rsidRPr="00950AB7">
              <w:rPr>
                <w:sz w:val="22"/>
                <w:szCs w:val="22"/>
              </w:rPr>
              <w:t>0</w:t>
            </w:r>
          </w:p>
        </w:tc>
        <w:tc>
          <w:tcPr>
            <w:tcW w:w="1452" w:type="dxa"/>
            <w:tcBorders>
              <w:top w:val="single" w:sz="4" w:space="0" w:color="auto"/>
              <w:left w:val="nil"/>
              <w:bottom w:val="single" w:sz="4" w:space="0" w:color="auto"/>
              <w:right w:val="nil"/>
            </w:tcBorders>
            <w:noWrap/>
            <w:vAlign w:val="center"/>
            <w:hideMark/>
          </w:tcPr>
          <w:p w14:paraId="70ED76DA" w14:textId="77777777" w:rsidR="00543AA4" w:rsidRPr="00950AB7" w:rsidRDefault="00543AA4" w:rsidP="00543AA4">
            <w:pPr>
              <w:jc w:val="center"/>
              <w:rPr>
                <w:sz w:val="22"/>
                <w:szCs w:val="22"/>
              </w:rPr>
            </w:pPr>
            <w:r w:rsidRPr="00950AB7">
              <w:rPr>
                <w:sz w:val="22"/>
                <w:szCs w:val="22"/>
              </w:rPr>
              <w:t>0</w:t>
            </w:r>
          </w:p>
        </w:tc>
      </w:tr>
      <w:tr w:rsidR="004179CA" w:rsidRPr="00950AB7" w14:paraId="4D87340C" w14:textId="77777777" w:rsidTr="00921855">
        <w:trPr>
          <w:trHeight w:val="264"/>
        </w:trPr>
        <w:tc>
          <w:tcPr>
            <w:tcW w:w="1706" w:type="dxa"/>
            <w:tcBorders>
              <w:top w:val="single" w:sz="4" w:space="0" w:color="auto"/>
              <w:left w:val="nil"/>
              <w:bottom w:val="single" w:sz="4" w:space="0" w:color="auto"/>
              <w:right w:val="nil"/>
            </w:tcBorders>
            <w:noWrap/>
            <w:vAlign w:val="center"/>
          </w:tcPr>
          <w:p w14:paraId="42F60A38" w14:textId="77777777" w:rsidR="004179CA" w:rsidRPr="00950AB7" w:rsidRDefault="004179CA" w:rsidP="004179CA">
            <w:pPr>
              <w:rPr>
                <w:sz w:val="22"/>
                <w:szCs w:val="22"/>
              </w:rPr>
            </w:pPr>
            <w:r w:rsidRPr="00950AB7">
              <w:rPr>
                <w:sz w:val="22"/>
                <w:szCs w:val="22"/>
              </w:rPr>
              <w:t>Total</w:t>
            </w:r>
          </w:p>
        </w:tc>
        <w:tc>
          <w:tcPr>
            <w:tcW w:w="1447" w:type="dxa"/>
            <w:tcBorders>
              <w:top w:val="single" w:sz="4" w:space="0" w:color="auto"/>
              <w:left w:val="nil"/>
              <w:bottom w:val="single" w:sz="4" w:space="0" w:color="auto"/>
              <w:right w:val="nil"/>
            </w:tcBorders>
            <w:vAlign w:val="center"/>
          </w:tcPr>
          <w:p w14:paraId="73F2EFB1" w14:textId="77777777" w:rsidR="004179CA" w:rsidRPr="00950AB7" w:rsidRDefault="004179CA" w:rsidP="004179CA">
            <w:pPr>
              <w:rPr>
                <w:sz w:val="22"/>
                <w:szCs w:val="22"/>
              </w:rPr>
            </w:pPr>
          </w:p>
        </w:tc>
        <w:tc>
          <w:tcPr>
            <w:tcW w:w="1482" w:type="dxa"/>
            <w:tcBorders>
              <w:top w:val="single" w:sz="4" w:space="0" w:color="auto"/>
              <w:left w:val="nil"/>
              <w:bottom w:val="single" w:sz="4" w:space="0" w:color="auto"/>
              <w:right w:val="nil"/>
            </w:tcBorders>
            <w:noWrap/>
          </w:tcPr>
          <w:p w14:paraId="49E241FA" w14:textId="4DB900A1" w:rsidR="004179CA" w:rsidRPr="00950AB7" w:rsidRDefault="00BA4224" w:rsidP="004179CA">
            <w:pPr>
              <w:jc w:val="center"/>
              <w:rPr>
                <w:sz w:val="22"/>
                <w:szCs w:val="22"/>
              </w:rPr>
            </w:pPr>
            <w:r w:rsidRPr="00950AB7">
              <w:rPr>
                <w:sz w:val="22"/>
                <w:szCs w:val="22"/>
              </w:rPr>
              <w:t>71</w:t>
            </w:r>
          </w:p>
        </w:tc>
        <w:tc>
          <w:tcPr>
            <w:tcW w:w="1400" w:type="dxa"/>
            <w:tcBorders>
              <w:top w:val="single" w:sz="4" w:space="0" w:color="auto"/>
              <w:left w:val="nil"/>
              <w:bottom w:val="single" w:sz="4" w:space="0" w:color="auto"/>
              <w:right w:val="nil"/>
            </w:tcBorders>
            <w:noWrap/>
          </w:tcPr>
          <w:p w14:paraId="0809E439" w14:textId="571C5392" w:rsidR="004179CA" w:rsidRPr="00950AB7" w:rsidRDefault="004179CA" w:rsidP="004179CA">
            <w:pPr>
              <w:jc w:val="center"/>
              <w:rPr>
                <w:sz w:val="22"/>
                <w:szCs w:val="22"/>
              </w:rPr>
            </w:pPr>
            <w:r w:rsidRPr="00950AB7">
              <w:rPr>
                <w:sz w:val="22"/>
                <w:szCs w:val="22"/>
              </w:rPr>
              <w:t>2</w:t>
            </w:r>
          </w:p>
        </w:tc>
        <w:tc>
          <w:tcPr>
            <w:tcW w:w="831" w:type="dxa"/>
            <w:tcBorders>
              <w:top w:val="single" w:sz="4" w:space="0" w:color="auto"/>
              <w:left w:val="nil"/>
              <w:bottom w:val="single" w:sz="4" w:space="0" w:color="auto"/>
              <w:right w:val="nil"/>
            </w:tcBorders>
            <w:noWrap/>
          </w:tcPr>
          <w:p w14:paraId="7E850E5C" w14:textId="5C592A79" w:rsidR="004179CA" w:rsidRPr="00950AB7" w:rsidRDefault="004179CA" w:rsidP="004179CA">
            <w:pPr>
              <w:jc w:val="center"/>
              <w:rPr>
                <w:sz w:val="22"/>
                <w:szCs w:val="22"/>
              </w:rPr>
            </w:pPr>
            <w:r w:rsidRPr="00950AB7">
              <w:rPr>
                <w:sz w:val="22"/>
                <w:szCs w:val="22"/>
              </w:rPr>
              <w:t>31</w:t>
            </w:r>
          </w:p>
        </w:tc>
        <w:tc>
          <w:tcPr>
            <w:tcW w:w="1523" w:type="dxa"/>
            <w:tcBorders>
              <w:top w:val="single" w:sz="4" w:space="0" w:color="auto"/>
              <w:left w:val="nil"/>
              <w:bottom w:val="single" w:sz="4" w:space="0" w:color="auto"/>
              <w:right w:val="nil"/>
            </w:tcBorders>
            <w:noWrap/>
          </w:tcPr>
          <w:p w14:paraId="5184CD57" w14:textId="12CDB8B2" w:rsidR="004179CA" w:rsidRPr="00950AB7" w:rsidRDefault="00BA4224" w:rsidP="004179CA">
            <w:pPr>
              <w:jc w:val="center"/>
              <w:rPr>
                <w:sz w:val="22"/>
                <w:szCs w:val="22"/>
              </w:rPr>
            </w:pPr>
            <w:r w:rsidRPr="00950AB7">
              <w:rPr>
                <w:sz w:val="22"/>
                <w:szCs w:val="22"/>
              </w:rPr>
              <w:t>33</w:t>
            </w:r>
          </w:p>
        </w:tc>
        <w:tc>
          <w:tcPr>
            <w:tcW w:w="1452" w:type="dxa"/>
            <w:tcBorders>
              <w:top w:val="single" w:sz="4" w:space="0" w:color="auto"/>
              <w:left w:val="nil"/>
              <w:bottom w:val="single" w:sz="4" w:space="0" w:color="auto"/>
              <w:right w:val="nil"/>
            </w:tcBorders>
            <w:noWrap/>
          </w:tcPr>
          <w:p w14:paraId="6EC66E6D" w14:textId="64C36280" w:rsidR="004179CA" w:rsidRPr="00950AB7" w:rsidRDefault="004179CA" w:rsidP="004179CA">
            <w:pPr>
              <w:jc w:val="center"/>
              <w:rPr>
                <w:sz w:val="22"/>
                <w:szCs w:val="22"/>
              </w:rPr>
            </w:pPr>
            <w:r w:rsidRPr="00950AB7">
              <w:rPr>
                <w:sz w:val="22"/>
                <w:szCs w:val="22"/>
              </w:rPr>
              <w:t>5</w:t>
            </w:r>
          </w:p>
        </w:tc>
      </w:tr>
      <w:tr w:rsidR="00543AA4" w:rsidRPr="00950AB7" w14:paraId="7077F406" w14:textId="77777777" w:rsidTr="004179CA">
        <w:trPr>
          <w:trHeight w:val="149"/>
        </w:trPr>
        <w:tc>
          <w:tcPr>
            <w:tcW w:w="1706" w:type="dxa"/>
            <w:tcBorders>
              <w:top w:val="single" w:sz="4" w:space="0" w:color="auto"/>
              <w:left w:val="nil"/>
              <w:bottom w:val="single" w:sz="4" w:space="0" w:color="auto"/>
              <w:right w:val="nil"/>
            </w:tcBorders>
            <w:noWrap/>
            <w:vAlign w:val="center"/>
          </w:tcPr>
          <w:p w14:paraId="56E4924A" w14:textId="77777777" w:rsidR="00543AA4" w:rsidRPr="00950AB7" w:rsidRDefault="00543AA4" w:rsidP="00543AA4">
            <w:pPr>
              <w:rPr>
                <w:sz w:val="12"/>
                <w:szCs w:val="12"/>
              </w:rPr>
            </w:pPr>
          </w:p>
        </w:tc>
        <w:tc>
          <w:tcPr>
            <w:tcW w:w="1447" w:type="dxa"/>
            <w:tcBorders>
              <w:top w:val="single" w:sz="4" w:space="0" w:color="auto"/>
              <w:left w:val="nil"/>
              <w:bottom w:val="nil"/>
              <w:right w:val="nil"/>
            </w:tcBorders>
            <w:vAlign w:val="center"/>
          </w:tcPr>
          <w:p w14:paraId="19CD0A3C" w14:textId="77777777" w:rsidR="00543AA4" w:rsidRPr="00950AB7" w:rsidRDefault="00543AA4" w:rsidP="00543AA4">
            <w:pPr>
              <w:jc w:val="center"/>
              <w:rPr>
                <w:sz w:val="12"/>
                <w:szCs w:val="12"/>
              </w:rPr>
            </w:pPr>
          </w:p>
        </w:tc>
        <w:tc>
          <w:tcPr>
            <w:tcW w:w="1482" w:type="dxa"/>
            <w:tcBorders>
              <w:top w:val="single" w:sz="4" w:space="0" w:color="auto"/>
              <w:left w:val="nil"/>
              <w:bottom w:val="nil"/>
              <w:right w:val="nil"/>
            </w:tcBorders>
            <w:noWrap/>
            <w:vAlign w:val="center"/>
          </w:tcPr>
          <w:p w14:paraId="6A0E621B" w14:textId="77777777" w:rsidR="00543AA4" w:rsidRPr="00950AB7" w:rsidRDefault="00543AA4" w:rsidP="00543AA4">
            <w:pPr>
              <w:jc w:val="center"/>
              <w:rPr>
                <w:sz w:val="12"/>
                <w:szCs w:val="12"/>
              </w:rPr>
            </w:pPr>
          </w:p>
        </w:tc>
        <w:tc>
          <w:tcPr>
            <w:tcW w:w="1400" w:type="dxa"/>
            <w:tcBorders>
              <w:top w:val="single" w:sz="4" w:space="0" w:color="auto"/>
              <w:left w:val="nil"/>
              <w:bottom w:val="nil"/>
              <w:right w:val="nil"/>
            </w:tcBorders>
            <w:noWrap/>
            <w:vAlign w:val="center"/>
          </w:tcPr>
          <w:p w14:paraId="44D69C7F" w14:textId="77777777" w:rsidR="00543AA4" w:rsidRPr="00950AB7" w:rsidRDefault="00543AA4" w:rsidP="00543AA4">
            <w:pPr>
              <w:jc w:val="center"/>
              <w:rPr>
                <w:sz w:val="12"/>
                <w:szCs w:val="12"/>
              </w:rPr>
            </w:pPr>
          </w:p>
        </w:tc>
        <w:tc>
          <w:tcPr>
            <w:tcW w:w="831" w:type="dxa"/>
            <w:tcBorders>
              <w:top w:val="single" w:sz="4" w:space="0" w:color="auto"/>
              <w:left w:val="nil"/>
              <w:bottom w:val="nil"/>
              <w:right w:val="nil"/>
            </w:tcBorders>
            <w:noWrap/>
            <w:vAlign w:val="center"/>
          </w:tcPr>
          <w:p w14:paraId="783E832F" w14:textId="77777777" w:rsidR="00543AA4" w:rsidRPr="00950AB7" w:rsidRDefault="00543AA4" w:rsidP="00543AA4">
            <w:pPr>
              <w:jc w:val="center"/>
              <w:rPr>
                <w:sz w:val="12"/>
                <w:szCs w:val="12"/>
              </w:rPr>
            </w:pPr>
          </w:p>
        </w:tc>
        <w:tc>
          <w:tcPr>
            <w:tcW w:w="1523" w:type="dxa"/>
            <w:tcBorders>
              <w:top w:val="single" w:sz="4" w:space="0" w:color="auto"/>
              <w:left w:val="nil"/>
              <w:bottom w:val="nil"/>
              <w:right w:val="nil"/>
            </w:tcBorders>
            <w:noWrap/>
            <w:vAlign w:val="center"/>
          </w:tcPr>
          <w:p w14:paraId="113B941E" w14:textId="77777777" w:rsidR="00543AA4" w:rsidRPr="00950AB7" w:rsidRDefault="00543AA4" w:rsidP="00543AA4">
            <w:pPr>
              <w:jc w:val="center"/>
              <w:rPr>
                <w:sz w:val="12"/>
                <w:szCs w:val="12"/>
              </w:rPr>
            </w:pPr>
          </w:p>
        </w:tc>
        <w:tc>
          <w:tcPr>
            <w:tcW w:w="1452" w:type="dxa"/>
            <w:tcBorders>
              <w:top w:val="single" w:sz="4" w:space="0" w:color="auto"/>
              <w:left w:val="nil"/>
              <w:bottom w:val="nil"/>
              <w:right w:val="nil"/>
            </w:tcBorders>
            <w:noWrap/>
            <w:vAlign w:val="center"/>
          </w:tcPr>
          <w:p w14:paraId="35AE080F" w14:textId="77777777" w:rsidR="00543AA4" w:rsidRPr="00950AB7" w:rsidRDefault="00543AA4" w:rsidP="00543AA4">
            <w:pPr>
              <w:jc w:val="center"/>
              <w:rPr>
                <w:sz w:val="12"/>
                <w:szCs w:val="12"/>
              </w:rPr>
            </w:pPr>
          </w:p>
        </w:tc>
      </w:tr>
      <w:tr w:rsidR="00543AA4" w:rsidRPr="00950AB7" w14:paraId="09C47E08" w14:textId="77777777" w:rsidTr="004179CA">
        <w:trPr>
          <w:trHeight w:val="264"/>
        </w:trPr>
        <w:tc>
          <w:tcPr>
            <w:tcW w:w="1706" w:type="dxa"/>
            <w:tcBorders>
              <w:top w:val="single" w:sz="4" w:space="0" w:color="auto"/>
              <w:right w:val="single" w:sz="4" w:space="0" w:color="auto"/>
            </w:tcBorders>
            <w:shd w:val="clear" w:color="auto" w:fill="8AB23E"/>
            <w:noWrap/>
            <w:vAlign w:val="center"/>
          </w:tcPr>
          <w:p w14:paraId="44D97C72" w14:textId="77777777" w:rsidR="00543AA4" w:rsidRPr="00950AB7" w:rsidRDefault="00543AA4" w:rsidP="00543AA4"/>
        </w:tc>
        <w:tc>
          <w:tcPr>
            <w:tcW w:w="8135" w:type="dxa"/>
            <w:gridSpan w:val="6"/>
            <w:tcBorders>
              <w:top w:val="nil"/>
              <w:left w:val="single" w:sz="4" w:space="0" w:color="auto"/>
              <w:bottom w:val="nil"/>
              <w:right w:val="nil"/>
            </w:tcBorders>
            <w:vAlign w:val="center"/>
          </w:tcPr>
          <w:p w14:paraId="6687FB67" w14:textId="77777777" w:rsidR="00543AA4" w:rsidRPr="00950AB7" w:rsidRDefault="00543AA4" w:rsidP="00543AA4">
            <w:pPr>
              <w:rPr>
                <w:sz w:val="22"/>
                <w:szCs w:val="22"/>
              </w:rPr>
            </w:pPr>
            <w:r w:rsidRPr="00950AB7">
              <w:rPr>
                <w:sz w:val="22"/>
                <w:szCs w:val="22"/>
              </w:rPr>
              <w:t>Improved to good or outstanding</w:t>
            </w:r>
          </w:p>
        </w:tc>
      </w:tr>
      <w:tr w:rsidR="00543AA4" w:rsidRPr="00950AB7" w14:paraId="39514481" w14:textId="77777777" w:rsidTr="004179CA">
        <w:trPr>
          <w:trHeight w:val="264"/>
        </w:trPr>
        <w:tc>
          <w:tcPr>
            <w:tcW w:w="1706" w:type="dxa"/>
            <w:tcBorders>
              <w:right w:val="single" w:sz="4" w:space="0" w:color="auto"/>
            </w:tcBorders>
            <w:shd w:val="clear" w:color="auto" w:fill="604A7B"/>
            <w:noWrap/>
            <w:vAlign w:val="center"/>
          </w:tcPr>
          <w:p w14:paraId="5223A3B1" w14:textId="77777777" w:rsidR="00543AA4" w:rsidRPr="00950AB7" w:rsidRDefault="00543AA4" w:rsidP="00543AA4"/>
        </w:tc>
        <w:tc>
          <w:tcPr>
            <w:tcW w:w="8135" w:type="dxa"/>
            <w:gridSpan w:val="6"/>
            <w:tcBorders>
              <w:top w:val="nil"/>
              <w:left w:val="single" w:sz="4" w:space="0" w:color="auto"/>
              <w:bottom w:val="nil"/>
              <w:right w:val="nil"/>
            </w:tcBorders>
            <w:vAlign w:val="center"/>
          </w:tcPr>
          <w:p w14:paraId="3C4B8C47" w14:textId="2C84BF2A" w:rsidR="00543AA4" w:rsidRPr="00950AB7" w:rsidRDefault="00543AA4" w:rsidP="00543AA4">
            <w:pPr>
              <w:rPr>
                <w:sz w:val="22"/>
                <w:szCs w:val="22"/>
              </w:rPr>
            </w:pPr>
            <w:r w:rsidRPr="00950AB7">
              <w:rPr>
                <w:sz w:val="22"/>
                <w:szCs w:val="22"/>
              </w:rPr>
              <w:t>Declined to requires improvement or inadequate</w:t>
            </w:r>
          </w:p>
        </w:tc>
      </w:tr>
    </w:tbl>
    <w:p w14:paraId="7DBDD1FD" w14:textId="77777777" w:rsidR="00543AA4" w:rsidRPr="00950AB7" w:rsidRDefault="00543AA4" w:rsidP="00543AA4">
      <w:pPr>
        <w:rPr>
          <w:rFonts w:ascii="Tahoma" w:hAnsi="Tahoma" w:cs="Tahoma"/>
          <w:sz w:val="12"/>
          <w:szCs w:val="12"/>
        </w:rPr>
      </w:pPr>
    </w:p>
    <w:p w14:paraId="762DE1E6" w14:textId="02F55D61" w:rsidR="00543AA4" w:rsidRPr="00950AB7" w:rsidRDefault="00543AA4" w:rsidP="00543AA4">
      <w:pPr>
        <w:numPr>
          <w:ilvl w:val="0"/>
          <w:numId w:val="13"/>
        </w:numPr>
        <w:contextualSpacing/>
        <w:rPr>
          <w:rFonts w:ascii="Tahoma" w:hAnsi="Tahoma" w:cs="Tahoma"/>
          <w:sz w:val="16"/>
          <w:szCs w:val="16"/>
        </w:rPr>
      </w:pPr>
      <w:r w:rsidRPr="00950AB7">
        <w:rPr>
          <w:rFonts w:ascii="Tahoma" w:hAnsi="Tahoma" w:cs="Tahoma"/>
          <w:sz w:val="16"/>
          <w:szCs w:val="16"/>
        </w:rPr>
        <w:t>Includes the overall effectiveness judgement from full inspections and those that remained good after a short inspection.</w:t>
      </w:r>
    </w:p>
    <w:p w14:paraId="594032A8" w14:textId="77777777" w:rsidR="00543AA4" w:rsidRPr="00950AB7" w:rsidRDefault="00543AA4" w:rsidP="00543AA4">
      <w:pPr>
        <w:rPr>
          <w:rFonts w:ascii="Tahoma" w:hAnsi="Tahoma" w:cs="Tahoma"/>
          <w:sz w:val="8"/>
          <w:szCs w:val="8"/>
        </w:rPr>
      </w:pPr>
    </w:p>
    <w:p w14:paraId="3BAF9D35" w14:textId="77777777" w:rsidR="00722071" w:rsidRPr="00950AB7" w:rsidRDefault="00722071" w:rsidP="00D94D34">
      <w:pPr>
        <w:rPr>
          <w:rFonts w:ascii="Tahoma" w:hAnsi="Tahoma" w:cs="Tahoma"/>
          <w:sz w:val="24"/>
          <w:szCs w:val="24"/>
        </w:rPr>
      </w:pPr>
    </w:p>
    <w:p w14:paraId="19871446" w14:textId="575BBBC7" w:rsidR="006F76F8" w:rsidRPr="00950AB7" w:rsidRDefault="00A3224B" w:rsidP="00D94D34">
      <w:pPr>
        <w:rPr>
          <w:rFonts w:ascii="Tahoma" w:hAnsi="Tahoma" w:cs="Tahoma"/>
          <w:sz w:val="24"/>
          <w:szCs w:val="24"/>
        </w:rPr>
      </w:pPr>
      <w:r w:rsidRPr="00950AB7">
        <w:rPr>
          <w:rFonts w:ascii="Tahoma" w:hAnsi="Tahoma" w:cs="Tahoma"/>
          <w:sz w:val="24"/>
          <w:szCs w:val="24"/>
        </w:rPr>
        <w:t xml:space="preserve">The in-year inspection outcomes had a </w:t>
      </w:r>
      <w:r w:rsidR="00D94D34" w:rsidRPr="00950AB7">
        <w:rPr>
          <w:rFonts w:ascii="Tahoma" w:hAnsi="Tahoma" w:cs="Tahoma"/>
          <w:sz w:val="24"/>
          <w:szCs w:val="24"/>
        </w:rPr>
        <w:t xml:space="preserve">negative effect on the </w:t>
      </w:r>
      <w:r w:rsidRPr="00950AB7">
        <w:rPr>
          <w:rFonts w:ascii="Tahoma" w:hAnsi="Tahoma" w:cs="Tahoma"/>
          <w:sz w:val="24"/>
          <w:szCs w:val="24"/>
        </w:rPr>
        <w:t xml:space="preserve">overall </w:t>
      </w:r>
      <w:r w:rsidR="00D94D34" w:rsidRPr="00950AB7">
        <w:rPr>
          <w:rFonts w:ascii="Tahoma" w:hAnsi="Tahoma" w:cs="Tahoma"/>
          <w:sz w:val="24"/>
          <w:szCs w:val="24"/>
        </w:rPr>
        <w:t>proportion of general FE colleges judged good or outstanding at their most recent inspection</w:t>
      </w:r>
      <w:r w:rsidRPr="00950AB7">
        <w:rPr>
          <w:rFonts w:ascii="Tahoma" w:hAnsi="Tahoma" w:cs="Tahoma"/>
          <w:sz w:val="24"/>
          <w:szCs w:val="24"/>
        </w:rPr>
        <w:t xml:space="preserve">. This </w:t>
      </w:r>
      <w:r w:rsidR="008E25B5" w:rsidRPr="00950AB7">
        <w:rPr>
          <w:rFonts w:ascii="Tahoma" w:hAnsi="Tahoma" w:cs="Tahoma"/>
          <w:sz w:val="24"/>
          <w:szCs w:val="24"/>
        </w:rPr>
        <w:t>continued the downward trend reported over the last two years. The proportion of colleges judged good or outstanding declined by two percentage points</w:t>
      </w:r>
      <w:r w:rsidR="00FB7CB7" w:rsidRPr="00950AB7">
        <w:rPr>
          <w:rFonts w:ascii="Tahoma" w:hAnsi="Tahoma" w:cs="Tahoma"/>
          <w:sz w:val="24"/>
          <w:szCs w:val="24"/>
        </w:rPr>
        <w:t>,</w:t>
      </w:r>
      <w:r w:rsidR="008E25B5" w:rsidRPr="00950AB7">
        <w:rPr>
          <w:rFonts w:ascii="Tahoma" w:hAnsi="Tahoma" w:cs="Tahoma"/>
          <w:sz w:val="24"/>
          <w:szCs w:val="24"/>
        </w:rPr>
        <w:t xml:space="preserve"> from 71% as at 31 August 2016 to 69% as at 31 August 2017. This decline would have been greater if</w:t>
      </w:r>
      <w:r w:rsidR="006F76F8" w:rsidRPr="00950AB7">
        <w:rPr>
          <w:rFonts w:ascii="Tahoma" w:hAnsi="Tahoma" w:cs="Tahoma"/>
          <w:sz w:val="24"/>
          <w:szCs w:val="24"/>
        </w:rPr>
        <w:t xml:space="preserve"> the colleges that officially closed as a result of a merger had continued to be included.</w:t>
      </w:r>
    </w:p>
    <w:p w14:paraId="45EE30F4" w14:textId="77777777" w:rsidR="00543AA4" w:rsidRPr="00950AB7" w:rsidRDefault="00543AA4" w:rsidP="00543AA4">
      <w:pPr>
        <w:rPr>
          <w:rFonts w:ascii="Tahoma" w:hAnsi="Tahoma" w:cs="Tahoma"/>
          <w:sz w:val="24"/>
          <w:szCs w:val="24"/>
        </w:rPr>
      </w:pPr>
    </w:p>
    <w:p w14:paraId="5DD8CA98" w14:textId="77777777" w:rsidR="00543AA4" w:rsidRPr="00950AB7" w:rsidRDefault="00543AA4" w:rsidP="00543AA4">
      <w:pPr>
        <w:rPr>
          <w:rFonts w:ascii="Tahoma" w:hAnsi="Tahoma" w:cs="Tahoma"/>
          <w:sz w:val="24"/>
          <w:szCs w:val="24"/>
        </w:rPr>
      </w:pPr>
    </w:p>
    <w:p w14:paraId="2AAE525A" w14:textId="5E1E4977" w:rsidR="008316D9" w:rsidRPr="00950AB7" w:rsidRDefault="00543AA4" w:rsidP="00543AA4">
      <w:pPr>
        <w:keepNext/>
        <w:keepLines/>
        <w:spacing w:before="40"/>
        <w:outlineLvl w:val="1"/>
        <w:rPr>
          <w:rFonts w:ascii="Tahoma" w:eastAsiaTheme="majorEastAsia" w:hAnsi="Tahoma" w:cs="Tahoma"/>
          <w:b/>
          <w:sz w:val="28"/>
          <w:szCs w:val="28"/>
        </w:rPr>
      </w:pPr>
      <w:bookmarkStart w:id="18" w:name="_Toc484088466"/>
      <w:bookmarkStart w:id="19" w:name="_Toc486330506"/>
      <w:bookmarkStart w:id="20" w:name="_Toc486330823"/>
      <w:bookmarkStart w:id="21" w:name="_Toc498611142"/>
      <w:r w:rsidRPr="00950AB7">
        <w:rPr>
          <w:rFonts w:ascii="Tahoma" w:eastAsiaTheme="majorEastAsia" w:hAnsi="Tahoma" w:cs="Tahoma"/>
          <w:b/>
          <w:sz w:val="28"/>
          <w:szCs w:val="28"/>
        </w:rPr>
        <w:t>Sixth form colleges</w:t>
      </w:r>
      <w:bookmarkEnd w:id="18"/>
      <w:bookmarkEnd w:id="19"/>
      <w:bookmarkEnd w:id="20"/>
      <w:r w:rsidR="00F04432" w:rsidRPr="00950AB7">
        <w:rPr>
          <w:rFonts w:ascii="Tahoma" w:eastAsiaTheme="majorEastAsia" w:hAnsi="Tahoma" w:cs="Tahoma"/>
          <w:b/>
          <w:sz w:val="28"/>
          <w:szCs w:val="28"/>
        </w:rPr>
        <w:t xml:space="preserve"> </w:t>
      </w:r>
      <w:r w:rsidR="00F04432" w:rsidRPr="00950AB7">
        <w:rPr>
          <w:rFonts w:ascii="Tahoma" w:hAnsi="Tahoma" w:cs="Tahoma"/>
          <w:b/>
          <w:sz w:val="28"/>
          <w:szCs w:val="28"/>
        </w:rPr>
        <w:t>and 16 to 19 academies</w:t>
      </w:r>
      <w:bookmarkEnd w:id="21"/>
    </w:p>
    <w:p w14:paraId="2D15BF34" w14:textId="77777777" w:rsidR="00722071" w:rsidRPr="00950AB7" w:rsidRDefault="00722071" w:rsidP="00543AA4">
      <w:pPr>
        <w:rPr>
          <w:rFonts w:ascii="Tahoma" w:hAnsi="Tahoma" w:cs="Tahoma"/>
          <w:sz w:val="24"/>
          <w:szCs w:val="24"/>
        </w:rPr>
      </w:pPr>
    </w:p>
    <w:p w14:paraId="71B13820" w14:textId="4A2B5896" w:rsidR="00875550" w:rsidRPr="00950AB7" w:rsidRDefault="00F04432" w:rsidP="00543AA4">
      <w:pPr>
        <w:rPr>
          <w:rFonts w:ascii="Tahoma" w:hAnsi="Tahoma" w:cs="Tahoma"/>
          <w:sz w:val="24"/>
          <w:szCs w:val="24"/>
        </w:rPr>
      </w:pPr>
      <w:r w:rsidRPr="00950AB7">
        <w:rPr>
          <w:rFonts w:ascii="Tahoma" w:hAnsi="Tahoma" w:cs="Tahoma"/>
          <w:sz w:val="24"/>
          <w:szCs w:val="24"/>
        </w:rPr>
        <w:t>Following area reviews</w:t>
      </w:r>
      <w:r w:rsidR="00962F9D" w:rsidRPr="00950AB7">
        <w:rPr>
          <w:rFonts w:ascii="Tahoma" w:hAnsi="Tahoma" w:cs="Tahoma"/>
          <w:sz w:val="24"/>
          <w:szCs w:val="24"/>
        </w:rPr>
        <w:t>, the number of sixth form colleges decreased during 2016/17. F</w:t>
      </w:r>
      <w:r w:rsidRPr="00950AB7">
        <w:rPr>
          <w:rFonts w:ascii="Tahoma" w:hAnsi="Tahoma" w:cs="Tahoma"/>
          <w:sz w:val="24"/>
          <w:szCs w:val="24"/>
        </w:rPr>
        <w:t xml:space="preserve">our sixth form colleges merged with four separate general FE colleges and seven sixth form colleges converted to become 16 to 19 academies. </w:t>
      </w:r>
    </w:p>
    <w:p w14:paraId="77D4E73D" w14:textId="77777777" w:rsidR="00875550" w:rsidRPr="00950AB7" w:rsidRDefault="00875550" w:rsidP="00543AA4">
      <w:pPr>
        <w:rPr>
          <w:rFonts w:ascii="Tahoma" w:hAnsi="Tahoma" w:cs="Tahoma"/>
          <w:sz w:val="24"/>
          <w:szCs w:val="24"/>
        </w:rPr>
      </w:pPr>
    </w:p>
    <w:p w14:paraId="3F17AEB3" w14:textId="65EF3370" w:rsidR="00220DB0" w:rsidRPr="00950AB7" w:rsidRDefault="00C94938" w:rsidP="00543AA4">
      <w:pPr>
        <w:rPr>
          <w:rFonts w:ascii="Tahoma" w:hAnsi="Tahoma" w:cs="Tahoma"/>
          <w:sz w:val="24"/>
        </w:rPr>
      </w:pPr>
      <w:r w:rsidRPr="00950AB7">
        <w:rPr>
          <w:rFonts w:ascii="Tahoma" w:hAnsi="Tahoma" w:cs="Tahoma"/>
          <w:sz w:val="24"/>
        </w:rPr>
        <w:t xml:space="preserve">Although the sites where learning takes place have remained open, the four sixth form colleges that have officially closed as a result of a merger will no longer be reported on </w:t>
      </w:r>
      <w:r w:rsidRPr="00950AB7">
        <w:rPr>
          <w:rFonts w:ascii="Tahoma" w:hAnsi="Tahoma" w:cs="Tahoma"/>
          <w:sz w:val="24"/>
        </w:rPr>
        <w:lastRenderedPageBreak/>
        <w:t>separately in the Official Statistics.</w:t>
      </w:r>
      <w:r w:rsidR="00220DB0" w:rsidRPr="00950AB7">
        <w:rPr>
          <w:rFonts w:ascii="Tahoma" w:hAnsi="Tahoma" w:cs="Tahoma"/>
          <w:sz w:val="24"/>
        </w:rPr>
        <w:t xml:space="preserve"> Two of the</w:t>
      </w:r>
      <w:r w:rsidR="00962F9D" w:rsidRPr="00950AB7">
        <w:rPr>
          <w:rFonts w:ascii="Tahoma" w:hAnsi="Tahoma" w:cs="Tahoma"/>
          <w:sz w:val="24"/>
        </w:rPr>
        <w:t>se</w:t>
      </w:r>
      <w:r w:rsidR="00220DB0" w:rsidRPr="00950AB7">
        <w:rPr>
          <w:rFonts w:ascii="Tahoma" w:hAnsi="Tahoma" w:cs="Tahoma"/>
          <w:sz w:val="24"/>
        </w:rPr>
        <w:t xml:space="preserve"> </w:t>
      </w:r>
      <w:r w:rsidR="00AC4562" w:rsidRPr="00950AB7">
        <w:rPr>
          <w:rFonts w:ascii="Tahoma" w:hAnsi="Tahoma" w:cs="Tahoma"/>
          <w:sz w:val="24"/>
        </w:rPr>
        <w:t xml:space="preserve">sixth form </w:t>
      </w:r>
      <w:r w:rsidR="00220DB0" w:rsidRPr="00950AB7">
        <w:rPr>
          <w:rFonts w:ascii="Tahoma" w:hAnsi="Tahoma" w:cs="Tahoma"/>
          <w:sz w:val="24"/>
        </w:rPr>
        <w:t xml:space="preserve">colleges </w:t>
      </w:r>
      <w:r w:rsidR="00962F9D" w:rsidRPr="00950AB7">
        <w:rPr>
          <w:rFonts w:ascii="Tahoma" w:hAnsi="Tahoma" w:cs="Tahoma"/>
          <w:sz w:val="24"/>
        </w:rPr>
        <w:t>w</w:t>
      </w:r>
      <w:r w:rsidR="00220DB0" w:rsidRPr="00950AB7">
        <w:rPr>
          <w:rFonts w:ascii="Tahoma" w:hAnsi="Tahoma" w:cs="Tahoma"/>
          <w:sz w:val="24"/>
        </w:rPr>
        <w:t>ere previously judged requires improvement and two were judge</w:t>
      </w:r>
      <w:r w:rsidR="00AC4562" w:rsidRPr="00950AB7">
        <w:rPr>
          <w:rFonts w:ascii="Tahoma" w:hAnsi="Tahoma" w:cs="Tahoma"/>
          <w:sz w:val="24"/>
        </w:rPr>
        <w:t>d good</w:t>
      </w:r>
      <w:r w:rsidR="00220DB0" w:rsidRPr="00950AB7">
        <w:rPr>
          <w:rFonts w:ascii="Tahoma" w:hAnsi="Tahoma" w:cs="Tahoma"/>
          <w:sz w:val="24"/>
        </w:rPr>
        <w:t>.</w:t>
      </w:r>
    </w:p>
    <w:p w14:paraId="347201B5" w14:textId="77777777" w:rsidR="00220DB0" w:rsidRPr="00950AB7" w:rsidRDefault="00220DB0" w:rsidP="00543AA4">
      <w:pPr>
        <w:rPr>
          <w:rFonts w:ascii="Tahoma" w:hAnsi="Tahoma" w:cs="Tahoma"/>
          <w:sz w:val="24"/>
        </w:rPr>
      </w:pPr>
    </w:p>
    <w:p w14:paraId="3DB80A7E" w14:textId="57667FB6" w:rsidR="00875550" w:rsidRPr="00950AB7" w:rsidRDefault="00940D18" w:rsidP="00543AA4">
      <w:pPr>
        <w:rPr>
          <w:rFonts w:ascii="Tahoma" w:hAnsi="Tahoma" w:cs="Tahoma"/>
          <w:sz w:val="24"/>
        </w:rPr>
      </w:pPr>
      <w:r w:rsidRPr="00950AB7">
        <w:rPr>
          <w:rFonts w:ascii="Tahoma" w:hAnsi="Tahoma" w:cs="Tahoma"/>
          <w:sz w:val="24"/>
        </w:rPr>
        <w:t>Similarly, for the seven sixth form colleges that converted to become 16 to 19 academies, these colleges will now be reported in Official Statistics under the 16 to 19 academies provider category. However, their inspection history as a sixth form college has been carried forward in line with our published policy</w:t>
      </w:r>
      <w:r w:rsidR="00220DB0" w:rsidRPr="00950AB7">
        <w:rPr>
          <w:rFonts w:ascii="Tahoma" w:hAnsi="Tahoma" w:cs="Tahoma"/>
          <w:sz w:val="24"/>
        </w:rPr>
        <w:t xml:space="preserve">. </w:t>
      </w:r>
      <w:r w:rsidR="00220DB0" w:rsidRPr="00950AB7">
        <w:rPr>
          <w:rFonts w:ascii="Tahoma" w:hAnsi="Tahoma" w:cs="Tahoma"/>
          <w:sz w:val="24"/>
          <w:szCs w:val="24"/>
        </w:rPr>
        <w:t xml:space="preserve">All of the </w:t>
      </w:r>
      <w:r w:rsidR="00AC4562" w:rsidRPr="00950AB7">
        <w:rPr>
          <w:rFonts w:ascii="Tahoma" w:hAnsi="Tahoma" w:cs="Tahoma"/>
          <w:sz w:val="24"/>
          <w:szCs w:val="24"/>
        </w:rPr>
        <w:t xml:space="preserve">sixth form </w:t>
      </w:r>
      <w:r w:rsidR="00220DB0" w:rsidRPr="00950AB7">
        <w:rPr>
          <w:rFonts w:ascii="Tahoma" w:hAnsi="Tahoma" w:cs="Tahoma"/>
          <w:sz w:val="24"/>
          <w:szCs w:val="24"/>
        </w:rPr>
        <w:t xml:space="preserve">colleges that converted </w:t>
      </w:r>
      <w:r w:rsidR="00BE3FDE" w:rsidRPr="00950AB7">
        <w:rPr>
          <w:rFonts w:ascii="Tahoma" w:hAnsi="Tahoma" w:cs="Tahoma"/>
          <w:sz w:val="24"/>
          <w:szCs w:val="24"/>
        </w:rPr>
        <w:t xml:space="preserve">to academies </w:t>
      </w:r>
      <w:r w:rsidR="00220DB0" w:rsidRPr="00950AB7">
        <w:rPr>
          <w:rFonts w:ascii="Tahoma" w:hAnsi="Tahoma" w:cs="Tahoma"/>
          <w:sz w:val="24"/>
          <w:szCs w:val="24"/>
        </w:rPr>
        <w:t>were judged good or outstanding for overall effectiveness at their previous inspection.</w:t>
      </w:r>
      <w:r w:rsidR="00220DB0" w:rsidRPr="00950AB7">
        <w:rPr>
          <w:rFonts w:ascii="Tahoma" w:hAnsi="Tahoma" w:cs="Tahoma"/>
          <w:sz w:val="24"/>
        </w:rPr>
        <w:t xml:space="preserve">        </w:t>
      </w:r>
    </w:p>
    <w:p w14:paraId="408A0830" w14:textId="77777777" w:rsidR="00220DB0" w:rsidRPr="00950AB7" w:rsidRDefault="00220DB0" w:rsidP="00543AA4">
      <w:pPr>
        <w:rPr>
          <w:rFonts w:ascii="Tahoma" w:hAnsi="Tahoma" w:cs="Tahoma"/>
          <w:sz w:val="24"/>
          <w:szCs w:val="24"/>
        </w:rPr>
      </w:pPr>
    </w:p>
    <w:p w14:paraId="4507778E" w14:textId="1C625D96" w:rsidR="00F04432" w:rsidRPr="00950AB7" w:rsidRDefault="00F04432" w:rsidP="00543AA4">
      <w:pPr>
        <w:rPr>
          <w:rFonts w:ascii="Tahoma" w:hAnsi="Tahoma" w:cs="Tahoma"/>
          <w:sz w:val="24"/>
          <w:szCs w:val="24"/>
        </w:rPr>
      </w:pPr>
      <w:r w:rsidRPr="00950AB7">
        <w:rPr>
          <w:rFonts w:ascii="Tahoma" w:hAnsi="Tahoma" w:cs="Tahoma"/>
          <w:sz w:val="24"/>
          <w:szCs w:val="24"/>
        </w:rPr>
        <w:t>These changes reduced the number of sixth form colleges from 90 as at 31 August 2016 to 79 as at 31 August 2017.</w:t>
      </w:r>
      <w:r w:rsidR="00560A32" w:rsidRPr="00950AB7">
        <w:rPr>
          <w:rFonts w:ascii="Tahoma" w:hAnsi="Tahoma" w:cs="Tahoma"/>
          <w:sz w:val="24"/>
          <w:szCs w:val="24"/>
        </w:rPr>
        <w:t xml:space="preserve"> All but one of the </w:t>
      </w:r>
      <w:r w:rsidR="00447C11" w:rsidRPr="00950AB7">
        <w:rPr>
          <w:rFonts w:ascii="Tahoma" w:hAnsi="Tahoma" w:cs="Tahoma"/>
          <w:sz w:val="24"/>
          <w:szCs w:val="24"/>
        </w:rPr>
        <w:t>79</w:t>
      </w:r>
      <w:r w:rsidR="00560A32" w:rsidRPr="00950AB7">
        <w:rPr>
          <w:rFonts w:ascii="Tahoma" w:hAnsi="Tahoma" w:cs="Tahoma"/>
          <w:sz w:val="24"/>
          <w:szCs w:val="24"/>
        </w:rPr>
        <w:t xml:space="preserve"> sixth form colleges had been inspected as at 31 August 2017.</w:t>
      </w:r>
    </w:p>
    <w:p w14:paraId="4A825395" w14:textId="77777777" w:rsidR="00F04432" w:rsidRPr="00950AB7" w:rsidRDefault="00F04432" w:rsidP="00543AA4">
      <w:pPr>
        <w:rPr>
          <w:rFonts w:ascii="Tahoma" w:hAnsi="Tahoma" w:cs="Tahoma"/>
          <w:sz w:val="24"/>
        </w:rPr>
      </w:pPr>
    </w:p>
    <w:p w14:paraId="7E14D106" w14:textId="472DFFD9" w:rsidR="00EE259C" w:rsidRPr="00950AB7" w:rsidRDefault="00EE259C" w:rsidP="00E46360">
      <w:pPr>
        <w:rPr>
          <w:rFonts w:ascii="Tahoma" w:hAnsi="Tahoma" w:cs="Tahoma"/>
          <w:sz w:val="24"/>
        </w:rPr>
      </w:pPr>
      <w:r w:rsidRPr="00950AB7">
        <w:rPr>
          <w:rFonts w:ascii="Tahoma" w:hAnsi="Tahoma" w:cs="Tahoma"/>
          <w:sz w:val="24"/>
        </w:rPr>
        <w:t xml:space="preserve">Between 1 September 2016 and 31 August 2017 we inspected </w:t>
      </w:r>
      <w:r w:rsidR="00E46360" w:rsidRPr="00950AB7">
        <w:rPr>
          <w:rFonts w:ascii="Tahoma" w:hAnsi="Tahoma" w:cs="Tahoma"/>
          <w:sz w:val="24"/>
        </w:rPr>
        <w:t xml:space="preserve">24 sixth form colleges </w:t>
      </w:r>
      <w:r w:rsidR="00EB3B67" w:rsidRPr="00950AB7">
        <w:rPr>
          <w:rFonts w:ascii="Tahoma" w:hAnsi="Tahoma" w:cs="Tahoma"/>
          <w:sz w:val="24"/>
        </w:rPr>
        <w:t>(including those that later became academies)</w:t>
      </w:r>
      <w:r w:rsidRPr="00950AB7">
        <w:rPr>
          <w:rFonts w:ascii="Tahoma" w:hAnsi="Tahoma" w:cs="Tahoma"/>
          <w:sz w:val="24"/>
        </w:rPr>
        <w:t>. There were 13 full inspections and 11 short inspections (including those that converted to full inspections):</w:t>
      </w:r>
    </w:p>
    <w:p w14:paraId="6E2A3485" w14:textId="39983008" w:rsidR="00EE259C" w:rsidRPr="00950AB7" w:rsidRDefault="00F158C2" w:rsidP="00EE259C">
      <w:pPr>
        <w:pStyle w:val="ListParagraph"/>
        <w:numPr>
          <w:ilvl w:val="0"/>
          <w:numId w:val="32"/>
        </w:numPr>
        <w:rPr>
          <w:rFonts w:ascii="Tahoma" w:hAnsi="Tahoma" w:cs="Tahoma"/>
          <w:sz w:val="24"/>
        </w:rPr>
      </w:pPr>
      <w:r w:rsidRPr="00950AB7">
        <w:rPr>
          <w:rFonts w:ascii="Tahoma" w:hAnsi="Tahoma" w:cs="Tahoma"/>
          <w:sz w:val="24"/>
        </w:rPr>
        <w:t>a</w:t>
      </w:r>
      <w:r w:rsidR="00E46360" w:rsidRPr="00950AB7">
        <w:rPr>
          <w:rFonts w:ascii="Tahoma" w:hAnsi="Tahoma" w:cs="Tahoma"/>
          <w:sz w:val="24"/>
        </w:rPr>
        <w:t xml:space="preserve">ll but one of the sixth form colleges that received a short inspection remained good (eight out of 11) or improved </w:t>
      </w:r>
      <w:r w:rsidR="00BE4B63" w:rsidRPr="00950AB7">
        <w:rPr>
          <w:rFonts w:ascii="Tahoma" w:hAnsi="Tahoma" w:cs="Tahoma"/>
          <w:sz w:val="24"/>
        </w:rPr>
        <w:t xml:space="preserve">to </w:t>
      </w:r>
      <w:r w:rsidR="00E46360" w:rsidRPr="00950AB7">
        <w:rPr>
          <w:rFonts w:ascii="Tahoma" w:hAnsi="Tahoma" w:cs="Tahoma"/>
          <w:sz w:val="24"/>
        </w:rPr>
        <w:t>outstanding (two out of 11)</w:t>
      </w:r>
    </w:p>
    <w:p w14:paraId="21A6E53C" w14:textId="341D7BC3" w:rsidR="00E46360" w:rsidRPr="00950AB7" w:rsidRDefault="00F158C2" w:rsidP="00EE259C">
      <w:pPr>
        <w:pStyle w:val="ListParagraph"/>
        <w:numPr>
          <w:ilvl w:val="0"/>
          <w:numId w:val="32"/>
        </w:numPr>
        <w:rPr>
          <w:rFonts w:ascii="Tahoma" w:hAnsi="Tahoma" w:cs="Tahoma"/>
          <w:sz w:val="24"/>
        </w:rPr>
      </w:pPr>
      <w:r w:rsidRPr="00950AB7">
        <w:rPr>
          <w:rFonts w:ascii="Tahoma" w:hAnsi="Tahoma" w:cs="Tahoma"/>
          <w:sz w:val="24"/>
        </w:rPr>
        <w:t>s</w:t>
      </w:r>
      <w:r w:rsidR="00E46360" w:rsidRPr="00950AB7">
        <w:rPr>
          <w:rFonts w:ascii="Tahoma" w:hAnsi="Tahoma" w:cs="Tahoma"/>
          <w:sz w:val="24"/>
        </w:rPr>
        <w:t xml:space="preserve">even out of 10 </w:t>
      </w:r>
      <w:r w:rsidR="009A1535" w:rsidRPr="00950AB7">
        <w:rPr>
          <w:rFonts w:ascii="Tahoma" w:hAnsi="Tahoma" w:cs="Tahoma"/>
          <w:sz w:val="24"/>
        </w:rPr>
        <w:t xml:space="preserve">sixth form </w:t>
      </w:r>
      <w:r w:rsidR="00E46360" w:rsidRPr="00950AB7">
        <w:rPr>
          <w:rFonts w:ascii="Tahoma" w:hAnsi="Tahoma" w:cs="Tahoma"/>
          <w:sz w:val="24"/>
        </w:rPr>
        <w:t>colleges that were risk assessed to rec</w:t>
      </w:r>
      <w:r w:rsidRPr="00950AB7">
        <w:rPr>
          <w:rFonts w:ascii="Tahoma" w:hAnsi="Tahoma" w:cs="Tahoma"/>
          <w:sz w:val="24"/>
        </w:rPr>
        <w:t>eive a full inspection declined</w:t>
      </w:r>
    </w:p>
    <w:p w14:paraId="5A45F942" w14:textId="787A5987" w:rsidR="00CF0A7F" w:rsidRPr="00950AB7" w:rsidRDefault="00F158C2" w:rsidP="00EE259C">
      <w:pPr>
        <w:pStyle w:val="ListParagraph"/>
        <w:numPr>
          <w:ilvl w:val="0"/>
          <w:numId w:val="32"/>
        </w:numPr>
        <w:rPr>
          <w:rFonts w:ascii="Tahoma" w:hAnsi="Tahoma" w:cs="Tahoma"/>
          <w:sz w:val="24"/>
        </w:rPr>
      </w:pPr>
      <w:r w:rsidRPr="00950AB7">
        <w:rPr>
          <w:rFonts w:ascii="Tahoma" w:hAnsi="Tahoma" w:cs="Tahoma"/>
          <w:sz w:val="24"/>
        </w:rPr>
        <w:t>t</w:t>
      </w:r>
      <w:r w:rsidR="00CF0A7F" w:rsidRPr="00950AB7">
        <w:rPr>
          <w:rFonts w:ascii="Tahoma" w:hAnsi="Tahoma" w:cs="Tahoma"/>
          <w:sz w:val="24"/>
        </w:rPr>
        <w:t xml:space="preserve">wo out of the three sixth form colleges previously judged requires improvement improved to good. </w:t>
      </w:r>
    </w:p>
    <w:p w14:paraId="34875EDA" w14:textId="77777777" w:rsidR="00EE259C" w:rsidRPr="00950AB7" w:rsidRDefault="00EE259C" w:rsidP="00E46360">
      <w:pPr>
        <w:rPr>
          <w:rFonts w:ascii="Tahoma" w:hAnsi="Tahoma" w:cs="Tahoma"/>
          <w:sz w:val="24"/>
        </w:rPr>
      </w:pPr>
    </w:p>
    <w:p w14:paraId="1AB4E5A6" w14:textId="1B469192" w:rsidR="00E46360" w:rsidRPr="00950AB7" w:rsidRDefault="00BB2936" w:rsidP="00E46360">
      <w:pPr>
        <w:rPr>
          <w:rFonts w:ascii="Tahoma" w:hAnsi="Tahoma" w:cs="Tahoma"/>
          <w:sz w:val="24"/>
        </w:rPr>
      </w:pPr>
      <w:r w:rsidRPr="00950AB7">
        <w:rPr>
          <w:rFonts w:ascii="Tahoma" w:hAnsi="Tahoma" w:cs="Tahoma"/>
          <w:sz w:val="24"/>
        </w:rPr>
        <w:t>The proportion of sixth form colleges judged good or outstanding was</w:t>
      </w:r>
      <w:r w:rsidR="00EE259C" w:rsidRPr="00950AB7">
        <w:rPr>
          <w:rFonts w:ascii="Tahoma" w:hAnsi="Tahoma" w:cs="Tahoma"/>
          <w:sz w:val="24"/>
        </w:rPr>
        <w:t xml:space="preserve"> 63%</w:t>
      </w:r>
      <w:r w:rsidRPr="00950AB7">
        <w:rPr>
          <w:rFonts w:ascii="Tahoma" w:hAnsi="Tahoma" w:cs="Tahoma"/>
          <w:sz w:val="24"/>
        </w:rPr>
        <w:t xml:space="preserve">, seven percentage points lower than in 2015/16. </w:t>
      </w:r>
    </w:p>
    <w:p w14:paraId="10374CBB" w14:textId="77777777" w:rsidR="00EE259C" w:rsidRPr="00950AB7" w:rsidRDefault="00EE259C" w:rsidP="00E46360">
      <w:pPr>
        <w:rPr>
          <w:rFonts w:ascii="Tahoma" w:hAnsi="Tahoma" w:cs="Tahoma"/>
          <w:sz w:val="24"/>
          <w:szCs w:val="24"/>
        </w:rPr>
      </w:pPr>
    </w:p>
    <w:p w14:paraId="678E95A8" w14:textId="5F9BEFF9" w:rsidR="00560A32" w:rsidRPr="00950AB7" w:rsidRDefault="00560A32" w:rsidP="00E46360">
      <w:pPr>
        <w:rPr>
          <w:rFonts w:ascii="Tahoma" w:hAnsi="Tahoma" w:cs="Tahoma"/>
          <w:sz w:val="24"/>
          <w:szCs w:val="24"/>
        </w:rPr>
      </w:pPr>
      <w:r w:rsidRPr="00950AB7">
        <w:rPr>
          <w:rFonts w:ascii="Tahoma" w:hAnsi="Tahoma" w:cs="Tahoma"/>
          <w:sz w:val="24"/>
          <w:szCs w:val="24"/>
        </w:rPr>
        <w:t>In the eight sixth form colleges that declined to requires improvement or inadequ</w:t>
      </w:r>
      <w:r w:rsidR="00AC4562" w:rsidRPr="00950AB7">
        <w:rPr>
          <w:rFonts w:ascii="Tahoma" w:hAnsi="Tahoma" w:cs="Tahoma"/>
          <w:sz w:val="24"/>
          <w:szCs w:val="24"/>
        </w:rPr>
        <w:t>ate this year, inspectors found the quality of teaching, learning and assessment was not consi</w:t>
      </w:r>
      <w:r w:rsidR="001A74DA" w:rsidRPr="00950AB7">
        <w:rPr>
          <w:rFonts w:ascii="Tahoma" w:hAnsi="Tahoma" w:cs="Tahoma"/>
          <w:sz w:val="24"/>
          <w:szCs w:val="24"/>
        </w:rPr>
        <w:t>stently good</w:t>
      </w:r>
      <w:r w:rsidR="00AC4562" w:rsidRPr="00950AB7">
        <w:rPr>
          <w:rFonts w:ascii="Tahoma" w:hAnsi="Tahoma" w:cs="Tahoma"/>
          <w:sz w:val="24"/>
          <w:szCs w:val="24"/>
        </w:rPr>
        <w:t>. Weaknesses included poor performance management of teachers and a failure to explore the relationship between the quality of teaching and students’ progress.</w:t>
      </w:r>
    </w:p>
    <w:p w14:paraId="334B6503" w14:textId="77777777" w:rsidR="00560A32" w:rsidRPr="00950AB7" w:rsidRDefault="00560A32" w:rsidP="00E46360">
      <w:pPr>
        <w:rPr>
          <w:rFonts w:ascii="Tahoma" w:hAnsi="Tahoma" w:cs="Tahoma"/>
          <w:sz w:val="24"/>
        </w:rPr>
      </w:pPr>
    </w:p>
    <w:p w14:paraId="4647F0FA" w14:textId="5D3F8BED" w:rsidR="00E46360" w:rsidRPr="00950AB7" w:rsidRDefault="001A74DA" w:rsidP="001A74DA">
      <w:pPr>
        <w:rPr>
          <w:rFonts w:ascii="Tahoma" w:hAnsi="Tahoma" w:cs="Tahoma"/>
          <w:sz w:val="24"/>
        </w:rPr>
      </w:pPr>
      <w:r w:rsidRPr="00950AB7">
        <w:rPr>
          <w:rFonts w:ascii="Tahoma" w:hAnsi="Tahoma" w:cs="Tahoma"/>
          <w:sz w:val="24"/>
        </w:rPr>
        <w:t xml:space="preserve">In the </w:t>
      </w:r>
      <w:r w:rsidR="00056710" w:rsidRPr="00950AB7">
        <w:rPr>
          <w:rFonts w:ascii="Tahoma" w:hAnsi="Tahoma" w:cs="Tahoma"/>
          <w:sz w:val="24"/>
        </w:rPr>
        <w:t>two sixth form colleges that improved to outstanding</w:t>
      </w:r>
      <w:r w:rsidRPr="00950AB7">
        <w:rPr>
          <w:rFonts w:ascii="Tahoma" w:hAnsi="Tahoma" w:cs="Tahoma"/>
          <w:sz w:val="24"/>
        </w:rPr>
        <w:t xml:space="preserve">, </w:t>
      </w:r>
      <w:r w:rsidR="00056710" w:rsidRPr="00950AB7">
        <w:rPr>
          <w:rFonts w:ascii="Tahoma" w:hAnsi="Tahoma" w:cs="Tahoma"/>
          <w:sz w:val="24"/>
        </w:rPr>
        <w:t>inspectors found the principal, leadership team and governors had worked relentlessly to develop high aspirations and expectations for students and staff</w:t>
      </w:r>
      <w:r w:rsidRPr="00950AB7">
        <w:rPr>
          <w:rFonts w:ascii="Tahoma" w:hAnsi="Tahoma" w:cs="Tahoma"/>
          <w:sz w:val="24"/>
        </w:rPr>
        <w:t xml:space="preserve">. </w:t>
      </w:r>
      <w:r w:rsidR="00AC185D" w:rsidRPr="00950AB7">
        <w:rPr>
          <w:rFonts w:ascii="Tahoma" w:hAnsi="Tahoma" w:cs="Tahoma"/>
          <w:sz w:val="24"/>
        </w:rPr>
        <w:t>C</w:t>
      </w:r>
      <w:r w:rsidR="00056710" w:rsidRPr="00950AB7">
        <w:rPr>
          <w:rFonts w:ascii="Tahoma" w:hAnsi="Tahoma" w:cs="Tahoma"/>
          <w:sz w:val="24"/>
        </w:rPr>
        <w:t>ontinuous improvement in the quality of teaching and learning was a main focus</w:t>
      </w:r>
      <w:r w:rsidR="00AC185D" w:rsidRPr="00950AB7">
        <w:rPr>
          <w:rFonts w:ascii="Tahoma" w:hAnsi="Tahoma" w:cs="Tahoma"/>
          <w:sz w:val="24"/>
        </w:rPr>
        <w:t>.</w:t>
      </w:r>
      <w:r w:rsidR="00056710" w:rsidRPr="00950AB7">
        <w:rPr>
          <w:rFonts w:ascii="Tahoma" w:hAnsi="Tahoma" w:cs="Tahoma"/>
          <w:sz w:val="24"/>
        </w:rPr>
        <w:t xml:space="preserve"> Teachers assessed students’ starting points skilfully</w:t>
      </w:r>
      <w:r w:rsidR="001301CC" w:rsidRPr="00950AB7">
        <w:rPr>
          <w:rFonts w:ascii="Tahoma" w:hAnsi="Tahoma" w:cs="Tahoma"/>
          <w:sz w:val="24"/>
        </w:rPr>
        <w:t xml:space="preserve"> and</w:t>
      </w:r>
      <w:r w:rsidR="00056710" w:rsidRPr="00950AB7">
        <w:rPr>
          <w:rFonts w:ascii="Tahoma" w:hAnsi="Tahoma" w:cs="Tahoma"/>
          <w:sz w:val="24"/>
        </w:rPr>
        <w:t xml:space="preserve"> </w:t>
      </w:r>
      <w:r w:rsidR="001301CC" w:rsidRPr="00950AB7">
        <w:rPr>
          <w:rFonts w:ascii="Tahoma" w:hAnsi="Tahoma" w:cs="Tahoma"/>
          <w:sz w:val="24"/>
        </w:rPr>
        <w:t>t</w:t>
      </w:r>
      <w:r w:rsidR="00056710" w:rsidRPr="00950AB7">
        <w:rPr>
          <w:rFonts w:ascii="Tahoma" w:hAnsi="Tahoma" w:cs="Tahoma"/>
          <w:sz w:val="24"/>
        </w:rPr>
        <w:t>hey planned lessons well to meet the needs of the vast majority of students.</w:t>
      </w:r>
    </w:p>
    <w:p w14:paraId="5ECD7A6B" w14:textId="77777777" w:rsidR="00543AA4" w:rsidRPr="00950AB7" w:rsidRDefault="00543AA4" w:rsidP="00543AA4">
      <w:pPr>
        <w:rPr>
          <w:rFonts w:ascii="Tahoma" w:hAnsi="Tahoma" w:cs="Tahoma"/>
          <w:sz w:val="24"/>
          <w:szCs w:val="24"/>
        </w:rPr>
      </w:pPr>
    </w:p>
    <w:p w14:paraId="17A0D497" w14:textId="77777777" w:rsidR="007A52EE" w:rsidRPr="00950AB7" w:rsidRDefault="007A52EE">
      <w:pPr>
        <w:rPr>
          <w:rFonts w:ascii="Tahoma" w:hAnsi="Tahoma" w:cs="Tahoma"/>
          <w:sz w:val="24"/>
          <w:szCs w:val="24"/>
        </w:rPr>
      </w:pPr>
      <w:r w:rsidRPr="00950AB7">
        <w:rPr>
          <w:rFonts w:ascii="Tahoma" w:hAnsi="Tahoma" w:cs="Tahoma"/>
          <w:sz w:val="24"/>
          <w:szCs w:val="24"/>
        </w:rPr>
        <w:br w:type="page"/>
      </w:r>
    </w:p>
    <w:p w14:paraId="68B56379" w14:textId="74846EF0" w:rsidR="00543AA4" w:rsidRPr="00950AB7" w:rsidRDefault="00AC185D" w:rsidP="00543AA4">
      <w:pPr>
        <w:rPr>
          <w:rFonts w:ascii="Tahoma" w:hAnsi="Tahoma" w:cs="Tahoma"/>
          <w:sz w:val="24"/>
          <w:szCs w:val="24"/>
        </w:rPr>
      </w:pPr>
      <w:r w:rsidRPr="00950AB7">
        <w:rPr>
          <w:rFonts w:ascii="Tahoma" w:hAnsi="Tahoma" w:cs="Tahoma"/>
          <w:sz w:val="24"/>
          <w:szCs w:val="24"/>
        </w:rPr>
        <w:lastRenderedPageBreak/>
        <w:t>During 2016/17</w:t>
      </w:r>
      <w:r w:rsidR="00C66437" w:rsidRPr="00950AB7">
        <w:rPr>
          <w:rFonts w:ascii="Tahoma" w:hAnsi="Tahoma" w:cs="Tahoma"/>
          <w:sz w:val="24"/>
          <w:szCs w:val="24"/>
        </w:rPr>
        <w:t>, more sixth form colleges declined to requires improvement or inadequate (eight), than improved to good or outstanding (two</w:t>
      </w:r>
      <w:r w:rsidRPr="00950AB7">
        <w:rPr>
          <w:rFonts w:ascii="Tahoma" w:hAnsi="Tahoma" w:cs="Tahoma"/>
          <w:sz w:val="24"/>
          <w:szCs w:val="24"/>
        </w:rPr>
        <w:t>)</w:t>
      </w:r>
      <w:r w:rsidR="008966EA" w:rsidRPr="00950AB7">
        <w:rPr>
          <w:rFonts w:ascii="Tahoma" w:hAnsi="Tahoma" w:cs="Tahoma"/>
          <w:sz w:val="24"/>
          <w:szCs w:val="24"/>
        </w:rPr>
        <w:t>.</w:t>
      </w:r>
    </w:p>
    <w:p w14:paraId="76D165B5" w14:textId="100871CF" w:rsidR="00722071" w:rsidRPr="00950AB7" w:rsidRDefault="00722071">
      <w:pPr>
        <w:rPr>
          <w:rFonts w:ascii="Tahoma" w:hAnsi="Tahoma" w:cs="Tahoma"/>
          <w:b/>
          <w:sz w:val="24"/>
          <w:szCs w:val="24"/>
        </w:rPr>
      </w:pPr>
    </w:p>
    <w:p w14:paraId="2F02DA95" w14:textId="77777777" w:rsidR="007A52EE" w:rsidRPr="00950AB7" w:rsidRDefault="007A52EE">
      <w:pPr>
        <w:rPr>
          <w:rFonts w:ascii="Tahoma" w:hAnsi="Tahoma" w:cs="Tahoma"/>
          <w:b/>
          <w:sz w:val="8"/>
          <w:szCs w:val="8"/>
        </w:rPr>
      </w:pPr>
    </w:p>
    <w:p w14:paraId="10BF5947" w14:textId="365505EF" w:rsidR="00543AA4" w:rsidRPr="00950AB7" w:rsidRDefault="009A1535" w:rsidP="00543AA4">
      <w:pPr>
        <w:spacing w:after="80"/>
        <w:rPr>
          <w:rFonts w:ascii="Tahoma" w:hAnsi="Tahoma" w:cs="Tahoma"/>
          <w:b/>
          <w:sz w:val="24"/>
          <w:szCs w:val="24"/>
        </w:rPr>
      </w:pPr>
      <w:r w:rsidRPr="00950AB7">
        <w:rPr>
          <w:rFonts w:ascii="Tahoma" w:hAnsi="Tahoma" w:cs="Tahoma"/>
          <w:bCs/>
          <w:noProof/>
          <w:sz w:val="24"/>
          <w:szCs w:val="24"/>
          <w:lang w:eastAsia="en-GB"/>
        </w:rPr>
        <mc:AlternateContent>
          <mc:Choice Requires="wps">
            <w:drawing>
              <wp:anchor distT="0" distB="0" distL="114300" distR="114300" simplePos="0" relativeHeight="251675648" behindDoc="0" locked="0" layoutInCell="1" allowOverlap="1" wp14:anchorId="54252746" wp14:editId="6C3ABAB6">
                <wp:simplePos x="0" y="0"/>
                <wp:positionH relativeFrom="margin">
                  <wp:posOffset>-53340</wp:posOffset>
                </wp:positionH>
                <wp:positionV relativeFrom="paragraph">
                  <wp:posOffset>-43815</wp:posOffset>
                </wp:positionV>
                <wp:extent cx="6153150" cy="32099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6153150" cy="32099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5C56" id="Rectangle 197" o:spid="_x0000_s1026" style="position:absolute;margin-left:-4.2pt;margin-top:-3.45pt;width:484.5pt;height:25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" filled="f" strokecolor="windowText">
                <w10:wrap anchorx="margin"/>
              </v:rect>
            </w:pict>
          </mc:Fallback>
        </mc:AlternateContent>
      </w:r>
      <w:r w:rsidR="00543AA4" w:rsidRPr="00950AB7">
        <w:rPr>
          <w:rFonts w:ascii="Tahoma" w:hAnsi="Tahoma" w:cs="Tahoma"/>
          <w:b/>
          <w:sz w:val="24"/>
          <w:szCs w:val="24"/>
        </w:rPr>
        <w:t xml:space="preserve">Figure 6: Sixth form college inspection outcomes between 1 September 2016 and </w:t>
      </w:r>
      <w:r w:rsidR="004C28CC" w:rsidRPr="00950AB7">
        <w:rPr>
          <w:rFonts w:ascii="Tahoma" w:hAnsi="Tahoma" w:cs="Tahoma"/>
          <w:b/>
          <w:sz w:val="24"/>
          <w:szCs w:val="24"/>
        </w:rPr>
        <w:t>31 August 2017</w:t>
      </w:r>
      <w:r w:rsidR="00543AA4" w:rsidRPr="00950AB7">
        <w:rPr>
          <w:rFonts w:ascii="Tahoma" w:hAnsi="Tahoma" w:cs="Tahoma"/>
          <w:b/>
          <w:sz w:val="24"/>
          <w:szCs w:val="24"/>
        </w:rPr>
        <w:t>, by previous overall effectiveness and type of inspection</w:t>
      </w:r>
    </w:p>
    <w:tbl>
      <w:tblPr>
        <w:tblW w:w="9483" w:type="dxa"/>
        <w:tblCellMar>
          <w:left w:w="57" w:type="dxa"/>
          <w:right w:w="57" w:type="dxa"/>
        </w:tblCellMar>
        <w:tblLook w:val="04A0" w:firstRow="1" w:lastRow="0" w:firstColumn="1" w:lastColumn="0" w:noHBand="0" w:noVBand="1"/>
      </w:tblPr>
      <w:tblGrid>
        <w:gridCol w:w="1574"/>
        <w:gridCol w:w="1392"/>
        <w:gridCol w:w="1398"/>
        <w:gridCol w:w="1469"/>
        <w:gridCol w:w="776"/>
        <w:gridCol w:w="1551"/>
        <w:gridCol w:w="1323"/>
      </w:tblGrid>
      <w:tr w:rsidR="00543AA4" w:rsidRPr="00950AB7" w14:paraId="22C23CE1" w14:textId="77777777" w:rsidTr="00171C47">
        <w:trPr>
          <w:trHeight w:val="255"/>
        </w:trPr>
        <w:tc>
          <w:tcPr>
            <w:tcW w:w="1574" w:type="dxa"/>
            <w:vMerge w:val="restart"/>
            <w:tcBorders>
              <w:top w:val="single" w:sz="4" w:space="0" w:color="auto"/>
              <w:bottom w:val="single" w:sz="4" w:space="0" w:color="000000"/>
            </w:tcBorders>
            <w:shd w:val="clear" w:color="auto" w:fill="FFFFFF" w:themeFill="background1"/>
            <w:noWrap/>
            <w:vAlign w:val="bottom"/>
            <w:hideMark/>
          </w:tcPr>
          <w:p w14:paraId="17D0BAA8" w14:textId="77777777" w:rsidR="00543AA4" w:rsidRPr="00950AB7" w:rsidRDefault="00543AA4" w:rsidP="00543AA4">
            <w:pPr>
              <w:rPr>
                <w:rFonts w:ascii="Tahoma" w:eastAsia="Times New Roman" w:hAnsi="Tahoma" w:cs="Tahoma"/>
                <w:b/>
                <w:color w:val="000000"/>
                <w:lang w:eastAsia="en-GB"/>
              </w:rPr>
            </w:pPr>
            <w:r w:rsidRPr="00950AB7">
              <w:rPr>
                <w:rFonts w:ascii="Tahoma" w:eastAsia="Times New Roman" w:hAnsi="Tahoma" w:cs="Tahoma"/>
                <w:b/>
                <w:color w:val="000000"/>
                <w:lang w:eastAsia="en-GB"/>
              </w:rPr>
              <w:t>Previous overall effectiveness</w:t>
            </w:r>
          </w:p>
        </w:tc>
        <w:tc>
          <w:tcPr>
            <w:tcW w:w="1392" w:type="dxa"/>
            <w:vMerge w:val="restart"/>
            <w:tcBorders>
              <w:top w:val="single" w:sz="4" w:space="0" w:color="auto"/>
              <w:bottom w:val="single" w:sz="4" w:space="0" w:color="000000"/>
            </w:tcBorders>
            <w:shd w:val="clear" w:color="auto" w:fill="FFFFFF" w:themeFill="background1"/>
            <w:vAlign w:val="bottom"/>
            <w:hideMark/>
          </w:tcPr>
          <w:p w14:paraId="3D958BE8" w14:textId="77777777" w:rsidR="00543AA4" w:rsidRPr="00950AB7" w:rsidRDefault="00543AA4" w:rsidP="00543AA4">
            <w:pPr>
              <w:rPr>
                <w:rFonts w:ascii="Tahoma" w:eastAsia="Times New Roman" w:hAnsi="Tahoma" w:cs="Tahoma"/>
                <w:b/>
                <w:color w:val="000000"/>
                <w:lang w:eastAsia="en-GB"/>
              </w:rPr>
            </w:pPr>
            <w:r w:rsidRPr="00950AB7">
              <w:rPr>
                <w:rFonts w:ascii="Tahoma" w:eastAsia="Times New Roman" w:hAnsi="Tahoma" w:cs="Tahoma"/>
                <w:b/>
                <w:color w:val="000000"/>
                <w:lang w:eastAsia="en-GB"/>
              </w:rPr>
              <w:t>Type of inspection</w:t>
            </w:r>
          </w:p>
        </w:tc>
        <w:tc>
          <w:tcPr>
            <w:tcW w:w="1398" w:type="dxa"/>
            <w:vMerge w:val="restart"/>
            <w:tcBorders>
              <w:top w:val="single" w:sz="4" w:space="0" w:color="auto"/>
              <w:bottom w:val="single" w:sz="4" w:space="0" w:color="000000"/>
            </w:tcBorders>
            <w:shd w:val="clear" w:color="auto" w:fill="FFFFFF" w:themeFill="background1"/>
            <w:vAlign w:val="bottom"/>
            <w:hideMark/>
          </w:tcPr>
          <w:p w14:paraId="2D252B0F" w14:textId="77777777" w:rsidR="00543AA4" w:rsidRPr="00950AB7" w:rsidRDefault="00543AA4" w:rsidP="00543AA4">
            <w:pPr>
              <w:jc w:val="center"/>
              <w:rPr>
                <w:rFonts w:ascii="Tahoma" w:eastAsia="Times New Roman" w:hAnsi="Tahoma" w:cs="Tahoma"/>
                <w:b/>
                <w:color w:val="000000"/>
                <w:lang w:eastAsia="en-GB"/>
              </w:rPr>
            </w:pPr>
            <w:r w:rsidRPr="00950AB7">
              <w:rPr>
                <w:rFonts w:ascii="Tahoma" w:eastAsia="Times New Roman" w:hAnsi="Tahoma" w:cs="Tahoma"/>
                <w:b/>
                <w:color w:val="000000"/>
                <w:lang w:eastAsia="en-GB"/>
              </w:rPr>
              <w:t>Total number of inspections</w:t>
            </w:r>
          </w:p>
        </w:tc>
        <w:tc>
          <w:tcPr>
            <w:tcW w:w="5119" w:type="dxa"/>
            <w:gridSpan w:val="4"/>
            <w:tcBorders>
              <w:top w:val="single" w:sz="4" w:space="0" w:color="auto"/>
              <w:bottom w:val="single" w:sz="4" w:space="0" w:color="auto"/>
            </w:tcBorders>
            <w:shd w:val="clear" w:color="auto" w:fill="FFFFFF" w:themeFill="background1"/>
            <w:noWrap/>
            <w:vAlign w:val="center"/>
            <w:hideMark/>
          </w:tcPr>
          <w:p w14:paraId="05F1A7E2" w14:textId="77777777" w:rsidR="00543AA4" w:rsidRPr="00950AB7" w:rsidRDefault="00543AA4" w:rsidP="00543AA4">
            <w:pPr>
              <w:jc w:val="center"/>
              <w:rPr>
                <w:rFonts w:ascii="Tahoma" w:eastAsia="Times New Roman" w:hAnsi="Tahoma" w:cs="Tahoma"/>
                <w:b/>
                <w:color w:val="000000"/>
                <w:lang w:eastAsia="en-GB"/>
              </w:rPr>
            </w:pPr>
            <w:r w:rsidRPr="00950AB7">
              <w:rPr>
                <w:rFonts w:ascii="Tahoma" w:eastAsia="Times New Roman" w:hAnsi="Tahoma" w:cs="Tahoma"/>
                <w:b/>
                <w:color w:val="000000"/>
                <w:lang w:eastAsia="en-GB"/>
              </w:rPr>
              <w:t>Overall effectiveness (number)</w:t>
            </w:r>
          </w:p>
        </w:tc>
      </w:tr>
      <w:tr w:rsidR="00543AA4" w:rsidRPr="00950AB7" w14:paraId="66C42879" w14:textId="77777777" w:rsidTr="00171C47">
        <w:trPr>
          <w:trHeight w:val="255"/>
        </w:trPr>
        <w:tc>
          <w:tcPr>
            <w:tcW w:w="1574" w:type="dxa"/>
            <w:vMerge/>
            <w:tcBorders>
              <w:top w:val="single" w:sz="4" w:space="0" w:color="auto"/>
              <w:bottom w:val="single" w:sz="4" w:space="0" w:color="000000"/>
            </w:tcBorders>
            <w:shd w:val="clear" w:color="auto" w:fill="FFFFFF" w:themeFill="background1"/>
            <w:vAlign w:val="center"/>
            <w:hideMark/>
          </w:tcPr>
          <w:p w14:paraId="10A64AEC" w14:textId="77777777" w:rsidR="00543AA4" w:rsidRPr="00950AB7" w:rsidRDefault="00543AA4" w:rsidP="00543AA4">
            <w:pPr>
              <w:rPr>
                <w:rFonts w:ascii="Tahoma" w:eastAsia="Times New Roman" w:hAnsi="Tahoma" w:cs="Tahoma"/>
                <w:color w:val="000000"/>
                <w:lang w:eastAsia="en-GB"/>
              </w:rPr>
            </w:pPr>
          </w:p>
        </w:tc>
        <w:tc>
          <w:tcPr>
            <w:tcW w:w="1392" w:type="dxa"/>
            <w:vMerge/>
            <w:tcBorders>
              <w:top w:val="single" w:sz="4" w:space="0" w:color="auto"/>
              <w:bottom w:val="single" w:sz="4" w:space="0" w:color="000000"/>
            </w:tcBorders>
            <w:shd w:val="clear" w:color="auto" w:fill="FFFFFF" w:themeFill="background1"/>
            <w:vAlign w:val="center"/>
            <w:hideMark/>
          </w:tcPr>
          <w:p w14:paraId="569508A3" w14:textId="77777777" w:rsidR="00543AA4" w:rsidRPr="00950AB7" w:rsidRDefault="00543AA4" w:rsidP="00543AA4">
            <w:pPr>
              <w:rPr>
                <w:rFonts w:ascii="Tahoma" w:eastAsia="Times New Roman" w:hAnsi="Tahoma" w:cs="Tahoma"/>
                <w:color w:val="000000"/>
                <w:lang w:eastAsia="en-GB"/>
              </w:rPr>
            </w:pPr>
          </w:p>
        </w:tc>
        <w:tc>
          <w:tcPr>
            <w:tcW w:w="1398" w:type="dxa"/>
            <w:vMerge/>
            <w:tcBorders>
              <w:top w:val="single" w:sz="4" w:space="0" w:color="auto"/>
              <w:bottom w:val="single" w:sz="4" w:space="0" w:color="000000"/>
            </w:tcBorders>
            <w:shd w:val="clear" w:color="auto" w:fill="FFFFFF" w:themeFill="background1"/>
            <w:vAlign w:val="center"/>
            <w:hideMark/>
          </w:tcPr>
          <w:p w14:paraId="2E794B4E" w14:textId="77777777" w:rsidR="00543AA4" w:rsidRPr="00950AB7" w:rsidRDefault="00543AA4" w:rsidP="00543AA4">
            <w:pPr>
              <w:rPr>
                <w:rFonts w:ascii="Tahoma" w:eastAsia="Times New Roman" w:hAnsi="Tahoma" w:cs="Tahoma"/>
                <w:color w:val="000000"/>
                <w:lang w:eastAsia="en-GB"/>
              </w:rPr>
            </w:pPr>
          </w:p>
        </w:tc>
        <w:tc>
          <w:tcPr>
            <w:tcW w:w="1469" w:type="dxa"/>
            <w:tcBorders>
              <w:top w:val="nil"/>
              <w:bottom w:val="single" w:sz="4" w:space="0" w:color="auto"/>
            </w:tcBorders>
            <w:shd w:val="clear" w:color="auto" w:fill="FFFFFF" w:themeFill="background1"/>
            <w:noWrap/>
            <w:vAlign w:val="bottom"/>
            <w:hideMark/>
          </w:tcPr>
          <w:p w14:paraId="7E4AAD00"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Outstanding</w:t>
            </w:r>
          </w:p>
        </w:tc>
        <w:tc>
          <w:tcPr>
            <w:tcW w:w="776" w:type="dxa"/>
            <w:tcBorders>
              <w:top w:val="nil"/>
              <w:bottom w:val="single" w:sz="4" w:space="0" w:color="auto"/>
            </w:tcBorders>
            <w:shd w:val="clear" w:color="auto" w:fill="FFFFFF" w:themeFill="background1"/>
            <w:noWrap/>
            <w:vAlign w:val="bottom"/>
            <w:hideMark/>
          </w:tcPr>
          <w:p w14:paraId="11DBC5A6"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Good</w:t>
            </w:r>
            <w:r w:rsidRPr="00950AB7">
              <w:rPr>
                <w:rFonts w:ascii="Tahoma" w:eastAsia="Times New Roman" w:hAnsi="Tahoma" w:cs="Tahoma"/>
                <w:color w:val="000000"/>
                <w:vertAlign w:val="superscript"/>
                <w:lang w:eastAsia="en-GB"/>
              </w:rPr>
              <w:t>1</w:t>
            </w:r>
          </w:p>
        </w:tc>
        <w:tc>
          <w:tcPr>
            <w:tcW w:w="1551" w:type="dxa"/>
            <w:tcBorders>
              <w:top w:val="nil"/>
              <w:bottom w:val="single" w:sz="4" w:space="0" w:color="auto"/>
            </w:tcBorders>
            <w:shd w:val="clear" w:color="auto" w:fill="FFFFFF" w:themeFill="background1"/>
            <w:noWrap/>
            <w:vAlign w:val="bottom"/>
            <w:hideMark/>
          </w:tcPr>
          <w:p w14:paraId="373A3378"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Requires improvement</w:t>
            </w:r>
          </w:p>
        </w:tc>
        <w:tc>
          <w:tcPr>
            <w:tcW w:w="1323" w:type="dxa"/>
            <w:tcBorders>
              <w:top w:val="nil"/>
              <w:bottom w:val="single" w:sz="4" w:space="0" w:color="auto"/>
            </w:tcBorders>
            <w:shd w:val="clear" w:color="auto" w:fill="FFFFFF" w:themeFill="background1"/>
            <w:noWrap/>
            <w:vAlign w:val="bottom"/>
            <w:hideMark/>
          </w:tcPr>
          <w:p w14:paraId="4ED544FB"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Inadequate</w:t>
            </w:r>
          </w:p>
        </w:tc>
      </w:tr>
      <w:tr w:rsidR="00171C47" w:rsidRPr="00950AB7" w14:paraId="13B80CD0" w14:textId="77777777" w:rsidTr="00171C47">
        <w:trPr>
          <w:trHeight w:val="255"/>
        </w:trPr>
        <w:tc>
          <w:tcPr>
            <w:tcW w:w="1574" w:type="dxa"/>
            <w:tcBorders>
              <w:top w:val="nil"/>
              <w:bottom w:val="single" w:sz="4" w:space="0" w:color="auto"/>
            </w:tcBorders>
            <w:shd w:val="clear" w:color="auto" w:fill="auto"/>
            <w:noWrap/>
            <w:vAlign w:val="center"/>
            <w:hideMark/>
          </w:tcPr>
          <w:p w14:paraId="0E519B41" w14:textId="77777777" w:rsidR="00171C47" w:rsidRPr="00950AB7" w:rsidRDefault="00171C47" w:rsidP="00171C47">
            <w:pPr>
              <w:rPr>
                <w:rFonts w:ascii="Tahoma" w:eastAsia="Times New Roman" w:hAnsi="Tahoma" w:cs="Tahoma"/>
                <w:color w:val="000000"/>
                <w:lang w:eastAsia="en-GB"/>
              </w:rPr>
            </w:pPr>
            <w:r w:rsidRPr="00950AB7">
              <w:rPr>
                <w:rFonts w:ascii="Tahoma" w:eastAsia="Times New Roman" w:hAnsi="Tahoma" w:cs="Tahoma"/>
                <w:color w:val="000000"/>
                <w:lang w:eastAsia="en-GB"/>
              </w:rPr>
              <w:t>Outstanding</w:t>
            </w:r>
          </w:p>
        </w:tc>
        <w:tc>
          <w:tcPr>
            <w:tcW w:w="1392" w:type="dxa"/>
            <w:tcBorders>
              <w:top w:val="nil"/>
              <w:bottom w:val="single" w:sz="4" w:space="0" w:color="auto"/>
            </w:tcBorders>
            <w:shd w:val="clear" w:color="auto" w:fill="auto"/>
            <w:noWrap/>
            <w:vAlign w:val="center"/>
            <w:hideMark/>
          </w:tcPr>
          <w:p w14:paraId="6BBDB24D" w14:textId="77777777" w:rsidR="00171C47" w:rsidRPr="00950AB7" w:rsidRDefault="00171C47" w:rsidP="00171C47">
            <w:pPr>
              <w:rPr>
                <w:rFonts w:ascii="Tahoma" w:eastAsia="Times New Roman" w:hAnsi="Tahoma" w:cs="Tahoma"/>
                <w:color w:val="000000"/>
                <w:lang w:eastAsia="en-GB"/>
              </w:rPr>
            </w:pPr>
            <w:r w:rsidRPr="00950AB7">
              <w:rPr>
                <w:rFonts w:ascii="Tahoma" w:eastAsia="Times New Roman" w:hAnsi="Tahoma" w:cs="Tahoma"/>
                <w:color w:val="000000"/>
                <w:lang w:eastAsia="en-GB"/>
              </w:rPr>
              <w:t>Full</w:t>
            </w:r>
          </w:p>
        </w:tc>
        <w:tc>
          <w:tcPr>
            <w:tcW w:w="1398" w:type="dxa"/>
            <w:tcBorders>
              <w:top w:val="nil"/>
              <w:bottom w:val="single" w:sz="4" w:space="0" w:color="auto"/>
            </w:tcBorders>
            <w:shd w:val="clear" w:color="auto" w:fill="auto"/>
            <w:noWrap/>
            <w:hideMark/>
          </w:tcPr>
          <w:p w14:paraId="676E1BD2" w14:textId="319E5ED9" w:rsidR="00171C47" w:rsidRPr="00950AB7" w:rsidRDefault="00171C47" w:rsidP="00171C47">
            <w:pPr>
              <w:jc w:val="center"/>
              <w:rPr>
                <w:rFonts w:ascii="Tahoma" w:eastAsia="Times New Roman" w:hAnsi="Tahoma" w:cs="Tahoma"/>
                <w:color w:val="000000"/>
                <w:lang w:eastAsia="en-GB"/>
              </w:rPr>
            </w:pPr>
            <w:r w:rsidRPr="00950AB7">
              <w:rPr>
                <w:rFonts w:ascii="Tahoma" w:hAnsi="Tahoma" w:cs="Tahoma"/>
              </w:rPr>
              <w:t>1</w:t>
            </w:r>
          </w:p>
        </w:tc>
        <w:tc>
          <w:tcPr>
            <w:tcW w:w="1469" w:type="dxa"/>
            <w:tcBorders>
              <w:top w:val="nil"/>
              <w:bottom w:val="single" w:sz="4" w:space="0" w:color="auto"/>
            </w:tcBorders>
            <w:shd w:val="clear" w:color="auto" w:fill="auto"/>
            <w:noWrap/>
            <w:hideMark/>
          </w:tcPr>
          <w:p w14:paraId="062E3E34" w14:textId="36C9E962" w:rsidR="00171C47" w:rsidRPr="00950AB7" w:rsidRDefault="00171C47" w:rsidP="00171C47">
            <w:pPr>
              <w:jc w:val="center"/>
              <w:rPr>
                <w:rFonts w:ascii="Tahoma" w:eastAsia="Times New Roman" w:hAnsi="Tahoma" w:cs="Tahoma"/>
                <w:color w:val="000000"/>
                <w:lang w:eastAsia="en-GB"/>
              </w:rPr>
            </w:pPr>
            <w:r w:rsidRPr="00950AB7">
              <w:rPr>
                <w:rFonts w:ascii="Tahoma" w:hAnsi="Tahoma" w:cs="Tahoma"/>
              </w:rPr>
              <w:t>0</w:t>
            </w:r>
          </w:p>
        </w:tc>
        <w:tc>
          <w:tcPr>
            <w:tcW w:w="776" w:type="dxa"/>
            <w:tcBorders>
              <w:top w:val="nil"/>
              <w:bottom w:val="single" w:sz="4" w:space="0" w:color="auto"/>
            </w:tcBorders>
            <w:shd w:val="clear" w:color="auto" w:fill="auto"/>
            <w:noWrap/>
            <w:hideMark/>
          </w:tcPr>
          <w:p w14:paraId="37150E7C" w14:textId="78886522" w:rsidR="00171C47" w:rsidRPr="00950AB7" w:rsidRDefault="00171C47" w:rsidP="00171C47">
            <w:pPr>
              <w:jc w:val="center"/>
              <w:rPr>
                <w:rFonts w:ascii="Tahoma" w:eastAsia="Times New Roman" w:hAnsi="Tahoma" w:cs="Tahoma"/>
                <w:color w:val="000000"/>
                <w:lang w:eastAsia="en-GB"/>
              </w:rPr>
            </w:pPr>
            <w:r w:rsidRPr="00950AB7">
              <w:rPr>
                <w:rFonts w:ascii="Tahoma" w:hAnsi="Tahoma" w:cs="Tahoma"/>
              </w:rPr>
              <w:t>0</w:t>
            </w:r>
          </w:p>
        </w:tc>
        <w:tc>
          <w:tcPr>
            <w:tcW w:w="1551" w:type="dxa"/>
            <w:tcBorders>
              <w:top w:val="nil"/>
              <w:bottom w:val="single" w:sz="4" w:space="0" w:color="auto"/>
            </w:tcBorders>
            <w:shd w:val="clear" w:color="auto" w:fill="604A7B"/>
            <w:noWrap/>
            <w:hideMark/>
          </w:tcPr>
          <w:p w14:paraId="3DD96A5D" w14:textId="4D60C733" w:rsidR="00171C47" w:rsidRPr="00950AB7" w:rsidRDefault="00171C47" w:rsidP="00171C47">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1</w:t>
            </w:r>
          </w:p>
        </w:tc>
        <w:tc>
          <w:tcPr>
            <w:tcW w:w="1323" w:type="dxa"/>
            <w:tcBorders>
              <w:top w:val="nil"/>
              <w:bottom w:val="single" w:sz="4" w:space="0" w:color="auto"/>
            </w:tcBorders>
            <w:shd w:val="clear" w:color="auto" w:fill="604A7B"/>
            <w:noWrap/>
            <w:hideMark/>
          </w:tcPr>
          <w:p w14:paraId="58D237EB" w14:textId="29D18531" w:rsidR="00171C47" w:rsidRPr="00950AB7" w:rsidRDefault="00171C47" w:rsidP="00171C47">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0</w:t>
            </w:r>
          </w:p>
        </w:tc>
      </w:tr>
      <w:tr w:rsidR="00171C47" w:rsidRPr="00950AB7" w14:paraId="2AC530C5" w14:textId="77777777" w:rsidTr="00171C47">
        <w:trPr>
          <w:trHeight w:val="255"/>
        </w:trPr>
        <w:tc>
          <w:tcPr>
            <w:tcW w:w="1574" w:type="dxa"/>
            <w:tcBorders>
              <w:top w:val="nil"/>
              <w:bottom w:val="single" w:sz="4" w:space="0" w:color="auto"/>
            </w:tcBorders>
            <w:shd w:val="clear" w:color="auto" w:fill="auto"/>
            <w:noWrap/>
            <w:vAlign w:val="center"/>
            <w:hideMark/>
          </w:tcPr>
          <w:p w14:paraId="16D04442" w14:textId="77777777" w:rsidR="00171C47" w:rsidRPr="00950AB7" w:rsidRDefault="00171C47" w:rsidP="00171C47">
            <w:pPr>
              <w:rPr>
                <w:rFonts w:ascii="Tahoma" w:eastAsia="Times New Roman" w:hAnsi="Tahoma" w:cs="Tahoma"/>
                <w:color w:val="000000"/>
                <w:lang w:eastAsia="en-GB"/>
              </w:rPr>
            </w:pPr>
            <w:r w:rsidRPr="00950AB7">
              <w:rPr>
                <w:rFonts w:ascii="Tahoma" w:eastAsia="Times New Roman" w:hAnsi="Tahoma" w:cs="Tahoma"/>
                <w:color w:val="000000"/>
                <w:lang w:eastAsia="en-GB"/>
              </w:rPr>
              <w:t>Good</w:t>
            </w:r>
          </w:p>
        </w:tc>
        <w:tc>
          <w:tcPr>
            <w:tcW w:w="1392" w:type="dxa"/>
            <w:tcBorders>
              <w:top w:val="nil"/>
              <w:bottom w:val="single" w:sz="4" w:space="0" w:color="auto"/>
            </w:tcBorders>
            <w:shd w:val="clear" w:color="auto" w:fill="auto"/>
            <w:noWrap/>
            <w:vAlign w:val="center"/>
            <w:hideMark/>
          </w:tcPr>
          <w:p w14:paraId="4ED75066" w14:textId="77777777" w:rsidR="00171C47" w:rsidRPr="00950AB7" w:rsidRDefault="00171C47" w:rsidP="00171C47">
            <w:pPr>
              <w:rPr>
                <w:rFonts w:ascii="Tahoma" w:eastAsia="Times New Roman" w:hAnsi="Tahoma" w:cs="Tahoma"/>
                <w:color w:val="000000"/>
                <w:lang w:eastAsia="en-GB"/>
              </w:rPr>
            </w:pPr>
            <w:r w:rsidRPr="00950AB7">
              <w:rPr>
                <w:rFonts w:ascii="Tahoma" w:eastAsia="Times New Roman" w:hAnsi="Tahoma" w:cs="Tahoma"/>
                <w:color w:val="000000"/>
                <w:lang w:eastAsia="en-GB"/>
              </w:rPr>
              <w:t>Full</w:t>
            </w:r>
          </w:p>
        </w:tc>
        <w:tc>
          <w:tcPr>
            <w:tcW w:w="1398" w:type="dxa"/>
            <w:tcBorders>
              <w:top w:val="nil"/>
              <w:bottom w:val="single" w:sz="4" w:space="0" w:color="auto"/>
            </w:tcBorders>
            <w:shd w:val="clear" w:color="auto" w:fill="auto"/>
            <w:noWrap/>
            <w:hideMark/>
          </w:tcPr>
          <w:p w14:paraId="35342A47" w14:textId="2E711667" w:rsidR="00171C47" w:rsidRPr="00950AB7" w:rsidRDefault="00171C47" w:rsidP="00171C47">
            <w:pPr>
              <w:jc w:val="center"/>
              <w:rPr>
                <w:rFonts w:ascii="Tahoma" w:eastAsia="Times New Roman" w:hAnsi="Tahoma" w:cs="Tahoma"/>
                <w:color w:val="000000"/>
                <w:lang w:eastAsia="en-GB"/>
              </w:rPr>
            </w:pPr>
            <w:r w:rsidRPr="00950AB7">
              <w:rPr>
                <w:rFonts w:ascii="Tahoma" w:hAnsi="Tahoma" w:cs="Tahoma"/>
              </w:rPr>
              <w:t>9</w:t>
            </w:r>
          </w:p>
        </w:tc>
        <w:tc>
          <w:tcPr>
            <w:tcW w:w="1469" w:type="dxa"/>
            <w:tcBorders>
              <w:top w:val="nil"/>
              <w:bottom w:val="single" w:sz="4" w:space="0" w:color="auto"/>
            </w:tcBorders>
            <w:shd w:val="clear" w:color="auto" w:fill="auto"/>
            <w:noWrap/>
            <w:hideMark/>
          </w:tcPr>
          <w:p w14:paraId="2D46BBBD" w14:textId="00BAD483" w:rsidR="00171C47" w:rsidRPr="00950AB7" w:rsidRDefault="00171C47" w:rsidP="00171C47">
            <w:pPr>
              <w:jc w:val="center"/>
              <w:rPr>
                <w:rFonts w:ascii="Tahoma" w:eastAsia="Times New Roman" w:hAnsi="Tahoma" w:cs="Tahoma"/>
                <w:color w:val="000000"/>
                <w:lang w:eastAsia="en-GB"/>
              </w:rPr>
            </w:pPr>
            <w:r w:rsidRPr="00950AB7">
              <w:rPr>
                <w:rFonts w:ascii="Tahoma" w:hAnsi="Tahoma" w:cs="Tahoma"/>
              </w:rPr>
              <w:t>0</w:t>
            </w:r>
          </w:p>
        </w:tc>
        <w:tc>
          <w:tcPr>
            <w:tcW w:w="776" w:type="dxa"/>
            <w:tcBorders>
              <w:top w:val="nil"/>
              <w:bottom w:val="single" w:sz="4" w:space="0" w:color="auto"/>
            </w:tcBorders>
            <w:shd w:val="clear" w:color="auto" w:fill="auto"/>
            <w:noWrap/>
            <w:hideMark/>
          </w:tcPr>
          <w:p w14:paraId="0D9D0240" w14:textId="6FFF8E94" w:rsidR="00171C47" w:rsidRPr="00950AB7" w:rsidRDefault="00171C47" w:rsidP="00171C47">
            <w:pPr>
              <w:jc w:val="center"/>
              <w:rPr>
                <w:rFonts w:ascii="Tahoma" w:eastAsia="Times New Roman" w:hAnsi="Tahoma" w:cs="Tahoma"/>
                <w:color w:val="000000"/>
                <w:lang w:eastAsia="en-GB"/>
              </w:rPr>
            </w:pPr>
            <w:r w:rsidRPr="00950AB7">
              <w:rPr>
                <w:rFonts w:ascii="Tahoma" w:hAnsi="Tahoma" w:cs="Tahoma"/>
              </w:rPr>
              <w:t>3</w:t>
            </w:r>
          </w:p>
        </w:tc>
        <w:tc>
          <w:tcPr>
            <w:tcW w:w="1551" w:type="dxa"/>
            <w:tcBorders>
              <w:top w:val="nil"/>
              <w:bottom w:val="single" w:sz="4" w:space="0" w:color="auto"/>
            </w:tcBorders>
            <w:shd w:val="clear" w:color="auto" w:fill="604A7B"/>
            <w:noWrap/>
            <w:hideMark/>
          </w:tcPr>
          <w:p w14:paraId="5B6C1AC1" w14:textId="3BA9D3CF" w:rsidR="00171C47" w:rsidRPr="00950AB7" w:rsidRDefault="00171C47" w:rsidP="00171C47">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5</w:t>
            </w:r>
          </w:p>
        </w:tc>
        <w:tc>
          <w:tcPr>
            <w:tcW w:w="1323" w:type="dxa"/>
            <w:tcBorders>
              <w:top w:val="nil"/>
              <w:bottom w:val="single" w:sz="4" w:space="0" w:color="auto"/>
            </w:tcBorders>
            <w:shd w:val="clear" w:color="auto" w:fill="604A7B"/>
            <w:noWrap/>
            <w:hideMark/>
          </w:tcPr>
          <w:p w14:paraId="5D4B3F38" w14:textId="2463D1BA" w:rsidR="00171C47" w:rsidRPr="00950AB7" w:rsidRDefault="00171C47" w:rsidP="00171C47">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1</w:t>
            </w:r>
          </w:p>
        </w:tc>
      </w:tr>
      <w:tr w:rsidR="00543AA4" w:rsidRPr="00950AB7" w14:paraId="2DD600EF" w14:textId="77777777" w:rsidTr="00171C47">
        <w:trPr>
          <w:trHeight w:val="255"/>
        </w:trPr>
        <w:tc>
          <w:tcPr>
            <w:tcW w:w="1574" w:type="dxa"/>
            <w:tcBorders>
              <w:top w:val="nil"/>
              <w:bottom w:val="single" w:sz="4" w:space="0" w:color="auto"/>
            </w:tcBorders>
            <w:shd w:val="clear" w:color="auto" w:fill="auto"/>
            <w:noWrap/>
            <w:vAlign w:val="center"/>
            <w:hideMark/>
          </w:tcPr>
          <w:p w14:paraId="69ECBED8" w14:textId="77777777" w:rsidR="00543AA4" w:rsidRPr="00950AB7" w:rsidRDefault="00543AA4" w:rsidP="00543AA4">
            <w:pPr>
              <w:rPr>
                <w:rFonts w:ascii="Tahoma" w:eastAsia="Times New Roman" w:hAnsi="Tahoma" w:cs="Tahoma"/>
                <w:color w:val="000000"/>
                <w:lang w:eastAsia="en-GB"/>
              </w:rPr>
            </w:pPr>
            <w:r w:rsidRPr="00950AB7">
              <w:rPr>
                <w:rFonts w:ascii="Tahoma" w:eastAsia="Times New Roman" w:hAnsi="Tahoma" w:cs="Tahoma"/>
                <w:color w:val="000000"/>
                <w:lang w:eastAsia="en-GB"/>
              </w:rPr>
              <w:t>Good</w:t>
            </w:r>
          </w:p>
        </w:tc>
        <w:tc>
          <w:tcPr>
            <w:tcW w:w="1392" w:type="dxa"/>
            <w:tcBorders>
              <w:top w:val="nil"/>
              <w:bottom w:val="single" w:sz="4" w:space="0" w:color="auto"/>
            </w:tcBorders>
            <w:shd w:val="clear" w:color="auto" w:fill="auto"/>
            <w:noWrap/>
            <w:vAlign w:val="center"/>
            <w:hideMark/>
          </w:tcPr>
          <w:p w14:paraId="3A625709" w14:textId="77777777" w:rsidR="00543AA4" w:rsidRPr="00950AB7" w:rsidRDefault="00543AA4" w:rsidP="00543AA4">
            <w:pPr>
              <w:rPr>
                <w:rFonts w:ascii="Tahoma" w:eastAsia="Times New Roman" w:hAnsi="Tahoma" w:cs="Tahoma"/>
                <w:color w:val="000000"/>
                <w:lang w:eastAsia="en-GB"/>
              </w:rPr>
            </w:pPr>
            <w:r w:rsidRPr="00950AB7">
              <w:rPr>
                <w:rFonts w:ascii="Tahoma" w:hAnsi="Tahoma" w:cs="Tahoma"/>
              </w:rPr>
              <w:t>Short (including conversions)</w:t>
            </w:r>
          </w:p>
        </w:tc>
        <w:tc>
          <w:tcPr>
            <w:tcW w:w="1398" w:type="dxa"/>
            <w:tcBorders>
              <w:top w:val="nil"/>
              <w:bottom w:val="single" w:sz="4" w:space="0" w:color="auto"/>
            </w:tcBorders>
            <w:shd w:val="clear" w:color="auto" w:fill="auto"/>
            <w:noWrap/>
            <w:vAlign w:val="center"/>
            <w:hideMark/>
          </w:tcPr>
          <w:p w14:paraId="69B1C3B1" w14:textId="35606EF5" w:rsidR="00543AA4" w:rsidRPr="00950AB7" w:rsidRDefault="00171C47"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11</w:t>
            </w:r>
            <w:r w:rsidR="00543AA4" w:rsidRPr="00950AB7">
              <w:rPr>
                <w:rFonts w:ascii="Tahoma" w:eastAsia="Times New Roman" w:hAnsi="Tahoma" w:cs="Tahoma"/>
                <w:color w:val="000000"/>
                <w:lang w:eastAsia="en-GB"/>
              </w:rPr>
              <w:t xml:space="preserve"> </w:t>
            </w:r>
          </w:p>
        </w:tc>
        <w:tc>
          <w:tcPr>
            <w:tcW w:w="1469" w:type="dxa"/>
            <w:tcBorders>
              <w:top w:val="nil"/>
              <w:bottom w:val="single" w:sz="4" w:space="0" w:color="auto"/>
            </w:tcBorders>
            <w:shd w:val="clear" w:color="auto" w:fill="auto"/>
            <w:noWrap/>
            <w:vAlign w:val="center"/>
            <w:hideMark/>
          </w:tcPr>
          <w:p w14:paraId="63AD4BD1"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2</w:t>
            </w:r>
          </w:p>
        </w:tc>
        <w:tc>
          <w:tcPr>
            <w:tcW w:w="776" w:type="dxa"/>
            <w:tcBorders>
              <w:top w:val="nil"/>
              <w:bottom w:val="single" w:sz="4" w:space="0" w:color="auto"/>
            </w:tcBorders>
            <w:shd w:val="clear" w:color="auto" w:fill="auto"/>
            <w:noWrap/>
            <w:vAlign w:val="center"/>
            <w:hideMark/>
          </w:tcPr>
          <w:p w14:paraId="0A428E0F" w14:textId="02D425A5" w:rsidR="00543AA4" w:rsidRPr="00950AB7" w:rsidRDefault="00171C47"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8</w:t>
            </w:r>
          </w:p>
        </w:tc>
        <w:tc>
          <w:tcPr>
            <w:tcW w:w="1551" w:type="dxa"/>
            <w:tcBorders>
              <w:top w:val="nil"/>
              <w:bottom w:val="single" w:sz="4" w:space="0" w:color="auto"/>
            </w:tcBorders>
            <w:shd w:val="clear" w:color="auto" w:fill="604A7B"/>
            <w:noWrap/>
            <w:vAlign w:val="center"/>
            <w:hideMark/>
          </w:tcPr>
          <w:p w14:paraId="365095F7" w14:textId="7A07720F" w:rsidR="00543AA4" w:rsidRPr="00950AB7" w:rsidRDefault="00171C47" w:rsidP="00543AA4">
            <w:pPr>
              <w:jc w:val="center"/>
              <w:rPr>
                <w:rFonts w:ascii="Tahoma" w:eastAsia="Times New Roman" w:hAnsi="Tahoma" w:cs="Tahoma"/>
                <w:color w:val="FFFFFF" w:themeColor="background1"/>
                <w:lang w:eastAsia="en-GB"/>
              </w:rPr>
            </w:pPr>
            <w:r w:rsidRPr="00950AB7">
              <w:rPr>
                <w:rFonts w:ascii="Tahoma" w:eastAsia="Times New Roman" w:hAnsi="Tahoma" w:cs="Tahoma"/>
                <w:color w:val="FFFFFF" w:themeColor="background1"/>
                <w:lang w:eastAsia="en-GB"/>
              </w:rPr>
              <w:t>1</w:t>
            </w:r>
          </w:p>
        </w:tc>
        <w:tc>
          <w:tcPr>
            <w:tcW w:w="1323" w:type="dxa"/>
            <w:tcBorders>
              <w:top w:val="nil"/>
              <w:bottom w:val="single" w:sz="4" w:space="0" w:color="auto"/>
            </w:tcBorders>
            <w:shd w:val="clear" w:color="auto" w:fill="604A7B"/>
            <w:noWrap/>
            <w:vAlign w:val="center"/>
            <w:hideMark/>
          </w:tcPr>
          <w:p w14:paraId="4C95E744" w14:textId="77777777" w:rsidR="00543AA4" w:rsidRPr="00950AB7" w:rsidRDefault="00543AA4" w:rsidP="00543AA4">
            <w:pPr>
              <w:jc w:val="center"/>
              <w:rPr>
                <w:rFonts w:ascii="Tahoma" w:eastAsia="Times New Roman" w:hAnsi="Tahoma" w:cs="Tahoma"/>
                <w:color w:val="FFFFFF" w:themeColor="background1"/>
                <w:lang w:eastAsia="en-GB"/>
              </w:rPr>
            </w:pPr>
            <w:r w:rsidRPr="00950AB7">
              <w:rPr>
                <w:rFonts w:ascii="Tahoma" w:eastAsia="Times New Roman" w:hAnsi="Tahoma" w:cs="Tahoma"/>
                <w:color w:val="FFFFFF" w:themeColor="background1"/>
                <w:lang w:eastAsia="en-GB"/>
              </w:rPr>
              <w:t>0</w:t>
            </w:r>
          </w:p>
        </w:tc>
      </w:tr>
      <w:tr w:rsidR="00543AA4" w:rsidRPr="00950AB7" w14:paraId="7242EA1C" w14:textId="77777777" w:rsidTr="00171C47">
        <w:trPr>
          <w:trHeight w:val="255"/>
        </w:trPr>
        <w:tc>
          <w:tcPr>
            <w:tcW w:w="1574" w:type="dxa"/>
            <w:tcBorders>
              <w:top w:val="nil"/>
              <w:bottom w:val="single" w:sz="4" w:space="0" w:color="auto"/>
            </w:tcBorders>
            <w:shd w:val="clear" w:color="auto" w:fill="auto"/>
            <w:noWrap/>
            <w:vAlign w:val="center"/>
            <w:hideMark/>
          </w:tcPr>
          <w:p w14:paraId="05EE9384" w14:textId="77777777" w:rsidR="00543AA4" w:rsidRPr="00950AB7" w:rsidRDefault="00543AA4" w:rsidP="00543AA4">
            <w:pPr>
              <w:rPr>
                <w:rFonts w:ascii="Tahoma" w:eastAsia="Times New Roman" w:hAnsi="Tahoma" w:cs="Tahoma"/>
                <w:color w:val="000000"/>
                <w:lang w:eastAsia="en-GB"/>
              </w:rPr>
            </w:pPr>
            <w:r w:rsidRPr="00950AB7">
              <w:rPr>
                <w:rFonts w:ascii="Tahoma" w:eastAsia="Times New Roman" w:hAnsi="Tahoma" w:cs="Tahoma"/>
                <w:color w:val="000000"/>
                <w:lang w:eastAsia="en-GB"/>
              </w:rPr>
              <w:t>Requires improvement</w:t>
            </w:r>
          </w:p>
        </w:tc>
        <w:tc>
          <w:tcPr>
            <w:tcW w:w="1392" w:type="dxa"/>
            <w:tcBorders>
              <w:top w:val="nil"/>
              <w:bottom w:val="single" w:sz="4" w:space="0" w:color="auto"/>
            </w:tcBorders>
            <w:shd w:val="clear" w:color="auto" w:fill="auto"/>
            <w:noWrap/>
            <w:vAlign w:val="center"/>
            <w:hideMark/>
          </w:tcPr>
          <w:p w14:paraId="2C9DD565" w14:textId="77777777" w:rsidR="00543AA4" w:rsidRPr="00950AB7" w:rsidRDefault="00543AA4" w:rsidP="00543AA4">
            <w:pPr>
              <w:rPr>
                <w:rFonts w:ascii="Tahoma" w:eastAsia="Times New Roman" w:hAnsi="Tahoma" w:cs="Tahoma"/>
                <w:color w:val="000000"/>
                <w:lang w:eastAsia="en-GB"/>
              </w:rPr>
            </w:pPr>
            <w:r w:rsidRPr="00950AB7">
              <w:rPr>
                <w:rFonts w:ascii="Tahoma" w:eastAsia="Times New Roman" w:hAnsi="Tahoma" w:cs="Tahoma"/>
                <w:color w:val="000000"/>
                <w:lang w:eastAsia="en-GB"/>
              </w:rPr>
              <w:t>Full</w:t>
            </w:r>
          </w:p>
        </w:tc>
        <w:tc>
          <w:tcPr>
            <w:tcW w:w="1398" w:type="dxa"/>
            <w:tcBorders>
              <w:top w:val="nil"/>
              <w:bottom w:val="single" w:sz="4" w:space="0" w:color="auto"/>
            </w:tcBorders>
            <w:shd w:val="clear" w:color="auto" w:fill="auto"/>
            <w:noWrap/>
            <w:vAlign w:val="center"/>
            <w:hideMark/>
          </w:tcPr>
          <w:p w14:paraId="3E103E23"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3</w:t>
            </w:r>
          </w:p>
        </w:tc>
        <w:tc>
          <w:tcPr>
            <w:tcW w:w="1469" w:type="dxa"/>
            <w:tcBorders>
              <w:top w:val="nil"/>
              <w:bottom w:val="single" w:sz="4" w:space="0" w:color="auto"/>
            </w:tcBorders>
            <w:shd w:val="clear" w:color="auto" w:fill="8AB23E"/>
            <w:noWrap/>
            <w:vAlign w:val="center"/>
            <w:hideMark/>
          </w:tcPr>
          <w:p w14:paraId="102C9245" w14:textId="77777777" w:rsidR="00543AA4" w:rsidRPr="00950AB7" w:rsidRDefault="00543AA4" w:rsidP="00543AA4">
            <w:pPr>
              <w:jc w:val="center"/>
              <w:rPr>
                <w:rFonts w:ascii="Tahoma" w:eastAsia="Times New Roman" w:hAnsi="Tahoma" w:cs="Tahoma"/>
                <w:color w:val="FFFFFF" w:themeColor="background1"/>
                <w:lang w:eastAsia="en-GB"/>
              </w:rPr>
            </w:pPr>
            <w:r w:rsidRPr="00950AB7">
              <w:rPr>
                <w:rFonts w:ascii="Tahoma" w:eastAsia="Times New Roman" w:hAnsi="Tahoma" w:cs="Tahoma"/>
                <w:color w:val="FFFFFF" w:themeColor="background1"/>
                <w:lang w:eastAsia="en-GB"/>
              </w:rPr>
              <w:t>0</w:t>
            </w:r>
          </w:p>
        </w:tc>
        <w:tc>
          <w:tcPr>
            <w:tcW w:w="776" w:type="dxa"/>
            <w:tcBorders>
              <w:top w:val="nil"/>
              <w:bottom w:val="single" w:sz="4" w:space="0" w:color="auto"/>
            </w:tcBorders>
            <w:shd w:val="clear" w:color="auto" w:fill="8AB23E"/>
            <w:noWrap/>
            <w:vAlign w:val="center"/>
            <w:hideMark/>
          </w:tcPr>
          <w:p w14:paraId="18F41478" w14:textId="77777777" w:rsidR="00543AA4" w:rsidRPr="00950AB7" w:rsidRDefault="00543AA4" w:rsidP="00543AA4">
            <w:pPr>
              <w:jc w:val="center"/>
              <w:rPr>
                <w:rFonts w:ascii="Tahoma" w:eastAsia="Times New Roman" w:hAnsi="Tahoma" w:cs="Tahoma"/>
                <w:color w:val="FFFFFF" w:themeColor="background1"/>
                <w:lang w:eastAsia="en-GB"/>
              </w:rPr>
            </w:pPr>
            <w:r w:rsidRPr="00950AB7">
              <w:rPr>
                <w:rFonts w:ascii="Tahoma" w:eastAsia="Times New Roman" w:hAnsi="Tahoma" w:cs="Tahoma"/>
                <w:color w:val="FFFFFF" w:themeColor="background1"/>
                <w:lang w:eastAsia="en-GB"/>
              </w:rPr>
              <w:t>2</w:t>
            </w:r>
          </w:p>
        </w:tc>
        <w:tc>
          <w:tcPr>
            <w:tcW w:w="1551" w:type="dxa"/>
            <w:tcBorders>
              <w:top w:val="nil"/>
              <w:bottom w:val="single" w:sz="4" w:space="0" w:color="auto"/>
            </w:tcBorders>
            <w:shd w:val="clear" w:color="auto" w:fill="auto"/>
            <w:noWrap/>
            <w:vAlign w:val="center"/>
            <w:hideMark/>
          </w:tcPr>
          <w:p w14:paraId="66C20A4C"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1</w:t>
            </w:r>
          </w:p>
        </w:tc>
        <w:tc>
          <w:tcPr>
            <w:tcW w:w="1323" w:type="dxa"/>
            <w:tcBorders>
              <w:top w:val="nil"/>
              <w:bottom w:val="single" w:sz="4" w:space="0" w:color="auto"/>
            </w:tcBorders>
            <w:shd w:val="clear" w:color="auto" w:fill="auto"/>
            <w:noWrap/>
            <w:vAlign w:val="center"/>
            <w:hideMark/>
          </w:tcPr>
          <w:p w14:paraId="3D11E31F" w14:textId="77777777" w:rsidR="00543AA4" w:rsidRPr="00950AB7" w:rsidRDefault="00543AA4" w:rsidP="00543AA4">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0</w:t>
            </w:r>
          </w:p>
        </w:tc>
      </w:tr>
      <w:tr w:rsidR="00FE2E7F" w:rsidRPr="00950AB7" w14:paraId="4160D5BB" w14:textId="77777777" w:rsidTr="00921855">
        <w:trPr>
          <w:trHeight w:val="255"/>
        </w:trPr>
        <w:tc>
          <w:tcPr>
            <w:tcW w:w="2966" w:type="dxa"/>
            <w:gridSpan w:val="2"/>
            <w:tcBorders>
              <w:top w:val="nil"/>
              <w:bottom w:val="single" w:sz="4" w:space="0" w:color="auto"/>
            </w:tcBorders>
            <w:shd w:val="clear" w:color="auto" w:fill="auto"/>
            <w:noWrap/>
            <w:vAlign w:val="bottom"/>
            <w:hideMark/>
          </w:tcPr>
          <w:p w14:paraId="0C1C29D0" w14:textId="77777777" w:rsidR="00FE2E7F" w:rsidRPr="00950AB7" w:rsidRDefault="00FE2E7F" w:rsidP="00FE2E7F">
            <w:pPr>
              <w:rPr>
                <w:rFonts w:ascii="Tahoma" w:eastAsia="Times New Roman" w:hAnsi="Tahoma" w:cs="Tahoma"/>
                <w:color w:val="000000"/>
                <w:lang w:eastAsia="en-GB"/>
              </w:rPr>
            </w:pPr>
            <w:r w:rsidRPr="00950AB7">
              <w:rPr>
                <w:rFonts w:ascii="Tahoma" w:eastAsia="Times New Roman" w:hAnsi="Tahoma" w:cs="Tahoma"/>
                <w:color w:val="000000"/>
                <w:lang w:eastAsia="en-GB"/>
              </w:rPr>
              <w:t>Total</w:t>
            </w:r>
          </w:p>
        </w:tc>
        <w:tc>
          <w:tcPr>
            <w:tcW w:w="1398" w:type="dxa"/>
            <w:tcBorders>
              <w:top w:val="nil"/>
              <w:bottom w:val="single" w:sz="4" w:space="0" w:color="auto"/>
            </w:tcBorders>
            <w:shd w:val="clear" w:color="auto" w:fill="auto"/>
            <w:noWrap/>
            <w:hideMark/>
          </w:tcPr>
          <w:p w14:paraId="2F7CCAEF" w14:textId="62F46591" w:rsidR="00FE2E7F" w:rsidRPr="00950AB7" w:rsidRDefault="00FE2E7F" w:rsidP="00FE2E7F">
            <w:pPr>
              <w:jc w:val="center"/>
              <w:rPr>
                <w:rFonts w:ascii="Tahoma" w:eastAsia="Times New Roman" w:hAnsi="Tahoma" w:cs="Tahoma"/>
                <w:color w:val="000000"/>
                <w:lang w:eastAsia="en-GB"/>
              </w:rPr>
            </w:pPr>
            <w:r w:rsidRPr="00950AB7">
              <w:rPr>
                <w:rFonts w:ascii="Tahoma" w:hAnsi="Tahoma" w:cs="Tahoma"/>
              </w:rPr>
              <w:t>24</w:t>
            </w:r>
          </w:p>
        </w:tc>
        <w:tc>
          <w:tcPr>
            <w:tcW w:w="1469" w:type="dxa"/>
            <w:tcBorders>
              <w:top w:val="nil"/>
              <w:bottom w:val="single" w:sz="4" w:space="0" w:color="auto"/>
            </w:tcBorders>
            <w:shd w:val="clear" w:color="auto" w:fill="auto"/>
            <w:noWrap/>
            <w:hideMark/>
          </w:tcPr>
          <w:p w14:paraId="6181F968" w14:textId="161C539C" w:rsidR="00FE2E7F" w:rsidRPr="00950AB7" w:rsidRDefault="00FE2E7F" w:rsidP="00FE2E7F">
            <w:pPr>
              <w:jc w:val="center"/>
              <w:rPr>
                <w:rFonts w:ascii="Tahoma" w:eastAsia="Times New Roman" w:hAnsi="Tahoma" w:cs="Tahoma"/>
                <w:color w:val="000000"/>
                <w:lang w:eastAsia="en-GB"/>
              </w:rPr>
            </w:pPr>
            <w:r w:rsidRPr="00950AB7">
              <w:rPr>
                <w:rFonts w:ascii="Tahoma" w:hAnsi="Tahoma" w:cs="Tahoma"/>
              </w:rPr>
              <w:t>2</w:t>
            </w:r>
          </w:p>
        </w:tc>
        <w:tc>
          <w:tcPr>
            <w:tcW w:w="776" w:type="dxa"/>
            <w:tcBorders>
              <w:top w:val="nil"/>
              <w:bottom w:val="single" w:sz="4" w:space="0" w:color="auto"/>
            </w:tcBorders>
            <w:shd w:val="clear" w:color="auto" w:fill="auto"/>
            <w:noWrap/>
            <w:hideMark/>
          </w:tcPr>
          <w:p w14:paraId="5249E8AA" w14:textId="03E67B46" w:rsidR="00FE2E7F" w:rsidRPr="00950AB7" w:rsidRDefault="00FE2E7F" w:rsidP="00FE2E7F">
            <w:pPr>
              <w:jc w:val="center"/>
              <w:rPr>
                <w:rFonts w:ascii="Tahoma" w:eastAsia="Times New Roman" w:hAnsi="Tahoma" w:cs="Tahoma"/>
                <w:color w:val="000000"/>
                <w:lang w:eastAsia="en-GB"/>
              </w:rPr>
            </w:pPr>
            <w:r w:rsidRPr="00950AB7">
              <w:rPr>
                <w:rFonts w:ascii="Tahoma" w:hAnsi="Tahoma" w:cs="Tahoma"/>
              </w:rPr>
              <w:t>13</w:t>
            </w:r>
          </w:p>
        </w:tc>
        <w:tc>
          <w:tcPr>
            <w:tcW w:w="1551" w:type="dxa"/>
            <w:tcBorders>
              <w:top w:val="nil"/>
              <w:bottom w:val="single" w:sz="4" w:space="0" w:color="auto"/>
            </w:tcBorders>
            <w:shd w:val="clear" w:color="auto" w:fill="auto"/>
            <w:noWrap/>
            <w:hideMark/>
          </w:tcPr>
          <w:p w14:paraId="786FB272" w14:textId="6330C58D" w:rsidR="00FE2E7F" w:rsidRPr="00950AB7" w:rsidRDefault="00FE2E7F" w:rsidP="00FE2E7F">
            <w:pPr>
              <w:jc w:val="center"/>
              <w:rPr>
                <w:rFonts w:ascii="Tahoma" w:eastAsia="Times New Roman" w:hAnsi="Tahoma" w:cs="Tahoma"/>
                <w:color w:val="000000"/>
                <w:lang w:eastAsia="en-GB"/>
              </w:rPr>
            </w:pPr>
            <w:r w:rsidRPr="00950AB7">
              <w:rPr>
                <w:rFonts w:ascii="Tahoma" w:hAnsi="Tahoma" w:cs="Tahoma"/>
              </w:rPr>
              <w:t>8</w:t>
            </w:r>
          </w:p>
        </w:tc>
        <w:tc>
          <w:tcPr>
            <w:tcW w:w="1323" w:type="dxa"/>
            <w:tcBorders>
              <w:top w:val="nil"/>
              <w:bottom w:val="single" w:sz="4" w:space="0" w:color="auto"/>
            </w:tcBorders>
            <w:shd w:val="clear" w:color="auto" w:fill="auto"/>
            <w:noWrap/>
            <w:hideMark/>
          </w:tcPr>
          <w:p w14:paraId="701DC6CF" w14:textId="646CD98B" w:rsidR="00FE2E7F" w:rsidRPr="00950AB7" w:rsidRDefault="00FE2E7F" w:rsidP="00FE2E7F">
            <w:pPr>
              <w:jc w:val="center"/>
              <w:rPr>
                <w:rFonts w:ascii="Tahoma" w:eastAsia="Times New Roman" w:hAnsi="Tahoma" w:cs="Tahoma"/>
                <w:color w:val="000000"/>
                <w:lang w:eastAsia="en-GB"/>
              </w:rPr>
            </w:pPr>
            <w:r w:rsidRPr="00950AB7">
              <w:rPr>
                <w:rFonts w:ascii="Tahoma" w:hAnsi="Tahoma" w:cs="Tahoma"/>
              </w:rPr>
              <w:t>1</w:t>
            </w:r>
          </w:p>
        </w:tc>
      </w:tr>
    </w:tbl>
    <w:tbl>
      <w:tblPr>
        <w:tblStyle w:val="TableGrid1"/>
        <w:tblW w:w="9421" w:type="dxa"/>
        <w:tblInd w:w="5" w:type="dxa"/>
        <w:tblLook w:val="04A0" w:firstRow="1" w:lastRow="0" w:firstColumn="1" w:lastColumn="0" w:noHBand="0" w:noVBand="1"/>
      </w:tblPr>
      <w:tblGrid>
        <w:gridCol w:w="1643"/>
        <w:gridCol w:w="1358"/>
        <w:gridCol w:w="1291"/>
        <w:gridCol w:w="1397"/>
        <w:gridCol w:w="850"/>
        <w:gridCol w:w="1559"/>
        <w:gridCol w:w="1323"/>
      </w:tblGrid>
      <w:tr w:rsidR="00543AA4" w:rsidRPr="00950AB7" w14:paraId="0C8DF530" w14:textId="77777777" w:rsidTr="00543AA4">
        <w:trPr>
          <w:trHeight w:val="118"/>
        </w:trPr>
        <w:tc>
          <w:tcPr>
            <w:tcW w:w="1643" w:type="dxa"/>
            <w:tcBorders>
              <w:top w:val="nil"/>
              <w:left w:val="nil"/>
              <w:bottom w:val="single" w:sz="4" w:space="0" w:color="auto"/>
              <w:right w:val="nil"/>
            </w:tcBorders>
            <w:noWrap/>
            <w:vAlign w:val="center"/>
          </w:tcPr>
          <w:p w14:paraId="3AF43B61" w14:textId="77777777" w:rsidR="00543AA4" w:rsidRPr="00950AB7" w:rsidRDefault="00543AA4" w:rsidP="00543AA4">
            <w:pPr>
              <w:rPr>
                <w:sz w:val="8"/>
                <w:szCs w:val="8"/>
              </w:rPr>
            </w:pPr>
          </w:p>
        </w:tc>
        <w:tc>
          <w:tcPr>
            <w:tcW w:w="1358" w:type="dxa"/>
            <w:tcBorders>
              <w:top w:val="nil"/>
              <w:left w:val="nil"/>
              <w:bottom w:val="nil"/>
              <w:right w:val="nil"/>
            </w:tcBorders>
            <w:vAlign w:val="center"/>
          </w:tcPr>
          <w:p w14:paraId="4696C6EA" w14:textId="77777777" w:rsidR="00543AA4" w:rsidRPr="00950AB7" w:rsidRDefault="00543AA4" w:rsidP="00543AA4">
            <w:pPr>
              <w:jc w:val="center"/>
              <w:rPr>
                <w:sz w:val="8"/>
                <w:szCs w:val="8"/>
              </w:rPr>
            </w:pPr>
          </w:p>
        </w:tc>
        <w:tc>
          <w:tcPr>
            <w:tcW w:w="1291" w:type="dxa"/>
            <w:tcBorders>
              <w:top w:val="nil"/>
              <w:left w:val="nil"/>
              <w:bottom w:val="nil"/>
              <w:right w:val="nil"/>
            </w:tcBorders>
            <w:noWrap/>
            <w:vAlign w:val="center"/>
          </w:tcPr>
          <w:p w14:paraId="2159CE36" w14:textId="77777777" w:rsidR="00543AA4" w:rsidRPr="00950AB7" w:rsidRDefault="00543AA4" w:rsidP="00543AA4">
            <w:pPr>
              <w:jc w:val="center"/>
              <w:rPr>
                <w:sz w:val="8"/>
                <w:szCs w:val="8"/>
              </w:rPr>
            </w:pPr>
          </w:p>
        </w:tc>
        <w:tc>
          <w:tcPr>
            <w:tcW w:w="1397" w:type="dxa"/>
            <w:tcBorders>
              <w:top w:val="nil"/>
              <w:left w:val="nil"/>
              <w:bottom w:val="nil"/>
              <w:right w:val="nil"/>
            </w:tcBorders>
            <w:noWrap/>
            <w:vAlign w:val="center"/>
          </w:tcPr>
          <w:p w14:paraId="0D48A0DF" w14:textId="77777777" w:rsidR="00543AA4" w:rsidRPr="00950AB7" w:rsidRDefault="00543AA4" w:rsidP="00543AA4">
            <w:pPr>
              <w:jc w:val="center"/>
              <w:rPr>
                <w:sz w:val="8"/>
                <w:szCs w:val="8"/>
              </w:rPr>
            </w:pPr>
          </w:p>
        </w:tc>
        <w:tc>
          <w:tcPr>
            <w:tcW w:w="850" w:type="dxa"/>
            <w:tcBorders>
              <w:top w:val="nil"/>
              <w:left w:val="nil"/>
              <w:bottom w:val="nil"/>
              <w:right w:val="nil"/>
            </w:tcBorders>
            <w:noWrap/>
            <w:vAlign w:val="center"/>
          </w:tcPr>
          <w:p w14:paraId="365047C8" w14:textId="77777777" w:rsidR="00543AA4" w:rsidRPr="00950AB7" w:rsidRDefault="00543AA4" w:rsidP="00543AA4">
            <w:pPr>
              <w:jc w:val="center"/>
              <w:rPr>
                <w:sz w:val="8"/>
                <w:szCs w:val="8"/>
              </w:rPr>
            </w:pPr>
          </w:p>
        </w:tc>
        <w:tc>
          <w:tcPr>
            <w:tcW w:w="1559" w:type="dxa"/>
            <w:tcBorders>
              <w:top w:val="nil"/>
              <w:left w:val="nil"/>
              <w:bottom w:val="nil"/>
              <w:right w:val="nil"/>
            </w:tcBorders>
            <w:noWrap/>
            <w:vAlign w:val="center"/>
          </w:tcPr>
          <w:p w14:paraId="40DE830C" w14:textId="77777777" w:rsidR="00543AA4" w:rsidRPr="00950AB7" w:rsidRDefault="00543AA4" w:rsidP="00543AA4">
            <w:pPr>
              <w:jc w:val="center"/>
              <w:rPr>
                <w:sz w:val="8"/>
                <w:szCs w:val="8"/>
              </w:rPr>
            </w:pPr>
          </w:p>
        </w:tc>
        <w:tc>
          <w:tcPr>
            <w:tcW w:w="1323" w:type="dxa"/>
            <w:tcBorders>
              <w:top w:val="nil"/>
              <w:left w:val="nil"/>
              <w:bottom w:val="nil"/>
              <w:right w:val="nil"/>
            </w:tcBorders>
            <w:noWrap/>
            <w:vAlign w:val="center"/>
          </w:tcPr>
          <w:p w14:paraId="33563076" w14:textId="77777777" w:rsidR="00543AA4" w:rsidRPr="00950AB7" w:rsidRDefault="00543AA4" w:rsidP="00543AA4">
            <w:pPr>
              <w:jc w:val="center"/>
              <w:rPr>
                <w:sz w:val="8"/>
                <w:szCs w:val="8"/>
              </w:rPr>
            </w:pPr>
          </w:p>
        </w:tc>
      </w:tr>
      <w:tr w:rsidR="00543AA4" w:rsidRPr="00950AB7" w14:paraId="5D6CC59B" w14:textId="77777777" w:rsidTr="00293EF7">
        <w:trPr>
          <w:trHeight w:val="115"/>
        </w:trPr>
        <w:tc>
          <w:tcPr>
            <w:tcW w:w="1643" w:type="dxa"/>
            <w:tcBorders>
              <w:top w:val="single" w:sz="4" w:space="0" w:color="auto"/>
              <w:bottom w:val="single" w:sz="4" w:space="0" w:color="auto"/>
              <w:right w:val="single" w:sz="4" w:space="0" w:color="auto"/>
            </w:tcBorders>
            <w:shd w:val="clear" w:color="auto" w:fill="8AB23E"/>
            <w:noWrap/>
            <w:vAlign w:val="center"/>
          </w:tcPr>
          <w:p w14:paraId="3D03EF81" w14:textId="77777777" w:rsidR="00543AA4" w:rsidRPr="00950AB7" w:rsidRDefault="00543AA4" w:rsidP="00543AA4"/>
        </w:tc>
        <w:tc>
          <w:tcPr>
            <w:tcW w:w="7778" w:type="dxa"/>
            <w:gridSpan w:val="6"/>
            <w:tcBorders>
              <w:top w:val="nil"/>
              <w:left w:val="single" w:sz="4" w:space="0" w:color="auto"/>
              <w:bottom w:val="nil"/>
              <w:right w:val="nil"/>
            </w:tcBorders>
            <w:vAlign w:val="center"/>
          </w:tcPr>
          <w:p w14:paraId="5B080320" w14:textId="77777777" w:rsidR="00543AA4" w:rsidRPr="00950AB7" w:rsidRDefault="00543AA4" w:rsidP="00543AA4">
            <w:pPr>
              <w:rPr>
                <w:sz w:val="22"/>
                <w:szCs w:val="22"/>
              </w:rPr>
            </w:pPr>
            <w:r w:rsidRPr="00950AB7">
              <w:rPr>
                <w:sz w:val="22"/>
                <w:szCs w:val="22"/>
              </w:rPr>
              <w:t>Improved to good or outstanding</w:t>
            </w:r>
          </w:p>
        </w:tc>
      </w:tr>
      <w:tr w:rsidR="00543AA4" w:rsidRPr="00950AB7" w14:paraId="18FD1AAA" w14:textId="77777777" w:rsidTr="00293EF7">
        <w:trPr>
          <w:trHeight w:val="226"/>
        </w:trPr>
        <w:tc>
          <w:tcPr>
            <w:tcW w:w="1643" w:type="dxa"/>
            <w:tcBorders>
              <w:top w:val="single" w:sz="4" w:space="0" w:color="auto"/>
              <w:left w:val="single" w:sz="4" w:space="0" w:color="auto"/>
              <w:bottom w:val="single" w:sz="4" w:space="0" w:color="auto"/>
              <w:right w:val="single" w:sz="4" w:space="0" w:color="auto"/>
            </w:tcBorders>
            <w:shd w:val="clear" w:color="auto" w:fill="604A7B"/>
            <w:noWrap/>
            <w:vAlign w:val="center"/>
          </w:tcPr>
          <w:p w14:paraId="30E5A320" w14:textId="77777777" w:rsidR="00543AA4" w:rsidRPr="00950AB7" w:rsidRDefault="00543AA4" w:rsidP="00543AA4"/>
        </w:tc>
        <w:tc>
          <w:tcPr>
            <w:tcW w:w="7778" w:type="dxa"/>
            <w:gridSpan w:val="6"/>
            <w:tcBorders>
              <w:top w:val="nil"/>
              <w:left w:val="single" w:sz="4" w:space="0" w:color="auto"/>
              <w:bottom w:val="nil"/>
              <w:right w:val="nil"/>
            </w:tcBorders>
            <w:vAlign w:val="center"/>
          </w:tcPr>
          <w:p w14:paraId="74AFD7F7" w14:textId="77777777" w:rsidR="00543AA4" w:rsidRPr="00950AB7" w:rsidRDefault="00543AA4" w:rsidP="00543AA4">
            <w:pPr>
              <w:rPr>
                <w:sz w:val="22"/>
                <w:szCs w:val="22"/>
              </w:rPr>
            </w:pPr>
            <w:r w:rsidRPr="00950AB7">
              <w:rPr>
                <w:sz w:val="22"/>
                <w:szCs w:val="22"/>
              </w:rPr>
              <w:t>Declined to requires improvement or inadequate</w:t>
            </w:r>
          </w:p>
        </w:tc>
      </w:tr>
      <w:tr w:rsidR="00543AA4" w:rsidRPr="00950AB7" w14:paraId="06117581" w14:textId="77777777" w:rsidTr="00543AA4">
        <w:trPr>
          <w:trHeight w:val="617"/>
        </w:trPr>
        <w:tc>
          <w:tcPr>
            <w:tcW w:w="9421" w:type="dxa"/>
            <w:gridSpan w:val="7"/>
            <w:tcBorders>
              <w:top w:val="nil"/>
              <w:left w:val="nil"/>
              <w:bottom w:val="nil"/>
              <w:right w:val="nil"/>
            </w:tcBorders>
            <w:shd w:val="clear" w:color="auto" w:fill="auto"/>
            <w:noWrap/>
            <w:vAlign w:val="center"/>
          </w:tcPr>
          <w:p w14:paraId="40F4B005" w14:textId="77777777" w:rsidR="00543AA4" w:rsidRPr="00950AB7" w:rsidRDefault="00543AA4" w:rsidP="00543AA4">
            <w:pPr>
              <w:numPr>
                <w:ilvl w:val="0"/>
                <w:numId w:val="14"/>
              </w:numPr>
              <w:contextualSpacing/>
              <w:rPr>
                <w:sz w:val="16"/>
                <w:szCs w:val="16"/>
              </w:rPr>
            </w:pPr>
            <w:r w:rsidRPr="00950AB7">
              <w:rPr>
                <w:sz w:val="16"/>
                <w:szCs w:val="16"/>
              </w:rPr>
              <w:t>Includes the overall effectiveness judgement from full inspections and those that remained good after a short inspection that did not convert.</w:t>
            </w:r>
          </w:p>
        </w:tc>
      </w:tr>
    </w:tbl>
    <w:p w14:paraId="5A37C052" w14:textId="77777777" w:rsidR="00722071" w:rsidRPr="00950AB7" w:rsidRDefault="00722071" w:rsidP="008966EA">
      <w:pPr>
        <w:rPr>
          <w:rFonts w:ascii="Tahoma" w:hAnsi="Tahoma" w:cs="Tahoma"/>
          <w:sz w:val="24"/>
          <w:szCs w:val="24"/>
        </w:rPr>
      </w:pPr>
    </w:p>
    <w:p w14:paraId="739E18D0" w14:textId="480C1A63" w:rsidR="00676E88" w:rsidRPr="00950AB7" w:rsidRDefault="00DD0DC0" w:rsidP="008966EA">
      <w:pPr>
        <w:rPr>
          <w:rFonts w:ascii="Tahoma" w:hAnsi="Tahoma" w:cs="Tahoma"/>
          <w:sz w:val="24"/>
          <w:szCs w:val="24"/>
        </w:rPr>
      </w:pPr>
      <w:r w:rsidRPr="00950AB7">
        <w:rPr>
          <w:rFonts w:ascii="Tahoma" w:hAnsi="Tahoma" w:cs="Tahoma"/>
          <w:sz w:val="24"/>
          <w:szCs w:val="24"/>
        </w:rPr>
        <w:t xml:space="preserve">During 2016/17 the number of sixth form colleges judged good or outstanding </w:t>
      </w:r>
      <w:r w:rsidR="00A01863" w:rsidRPr="00950AB7">
        <w:rPr>
          <w:rFonts w:ascii="Tahoma" w:hAnsi="Tahoma" w:cs="Tahoma"/>
          <w:sz w:val="24"/>
          <w:szCs w:val="24"/>
        </w:rPr>
        <w:t>reduced by a fifth, from</w:t>
      </w:r>
      <w:r w:rsidR="00676E88" w:rsidRPr="00950AB7">
        <w:rPr>
          <w:rFonts w:ascii="Tahoma" w:hAnsi="Tahoma" w:cs="Tahoma"/>
          <w:sz w:val="24"/>
          <w:szCs w:val="24"/>
        </w:rPr>
        <w:t xml:space="preserve"> 79 as at 31 August 2016 to 63 as at 31 August 2017. This can be attributed to the drop in performance at inspection this year and to the reduction in the number of good and outstanding sixth form colleges as a result of mergers and conversions to academies.</w:t>
      </w:r>
    </w:p>
    <w:p w14:paraId="701D2030" w14:textId="77777777" w:rsidR="00676E88" w:rsidRPr="00950AB7" w:rsidRDefault="00676E88" w:rsidP="008966EA">
      <w:pPr>
        <w:rPr>
          <w:rFonts w:ascii="Tahoma" w:hAnsi="Tahoma" w:cs="Tahoma"/>
          <w:sz w:val="24"/>
          <w:szCs w:val="24"/>
        </w:rPr>
      </w:pPr>
    </w:p>
    <w:p w14:paraId="41FC3471" w14:textId="054D575A" w:rsidR="006F22DD" w:rsidRPr="00950AB7" w:rsidRDefault="00676E88" w:rsidP="008966EA">
      <w:pPr>
        <w:rPr>
          <w:rFonts w:ascii="Tahoma" w:hAnsi="Tahoma" w:cs="Tahoma"/>
          <w:sz w:val="24"/>
          <w:szCs w:val="24"/>
        </w:rPr>
      </w:pPr>
      <w:r w:rsidRPr="00950AB7">
        <w:rPr>
          <w:rFonts w:ascii="Tahoma" w:hAnsi="Tahoma" w:cs="Tahoma"/>
          <w:sz w:val="24"/>
          <w:szCs w:val="24"/>
        </w:rPr>
        <w:t xml:space="preserve">This reduction </w:t>
      </w:r>
      <w:r w:rsidR="008C4AED" w:rsidRPr="00950AB7">
        <w:rPr>
          <w:rFonts w:ascii="Tahoma" w:hAnsi="Tahoma" w:cs="Tahoma"/>
          <w:sz w:val="24"/>
          <w:szCs w:val="24"/>
        </w:rPr>
        <w:t>had a</w:t>
      </w:r>
      <w:r w:rsidR="00D53CD1" w:rsidRPr="00950AB7">
        <w:rPr>
          <w:rFonts w:ascii="Tahoma" w:hAnsi="Tahoma" w:cs="Tahoma"/>
          <w:sz w:val="24"/>
          <w:szCs w:val="24"/>
        </w:rPr>
        <w:t xml:space="preserve"> negative effect on the </w:t>
      </w:r>
      <w:r w:rsidR="006F22DD" w:rsidRPr="00950AB7">
        <w:rPr>
          <w:rFonts w:ascii="Tahoma" w:hAnsi="Tahoma" w:cs="Tahoma"/>
          <w:sz w:val="24"/>
          <w:szCs w:val="24"/>
        </w:rPr>
        <w:t xml:space="preserve">proportion of sixth form colleges judged good or outstanding at their most </w:t>
      </w:r>
      <w:r w:rsidR="00D53CD1" w:rsidRPr="00950AB7">
        <w:rPr>
          <w:rFonts w:ascii="Tahoma" w:hAnsi="Tahoma" w:cs="Tahoma"/>
          <w:sz w:val="24"/>
          <w:szCs w:val="24"/>
        </w:rPr>
        <w:t>recent inspection</w:t>
      </w:r>
      <w:r w:rsidRPr="00950AB7">
        <w:rPr>
          <w:rFonts w:ascii="Tahoma" w:hAnsi="Tahoma" w:cs="Tahoma"/>
          <w:sz w:val="24"/>
          <w:szCs w:val="24"/>
        </w:rPr>
        <w:t xml:space="preserve">, which declined for the first time in three years. </w:t>
      </w:r>
      <w:r w:rsidR="005D278B" w:rsidRPr="00950AB7">
        <w:rPr>
          <w:rFonts w:ascii="Tahoma" w:hAnsi="Tahoma" w:cs="Tahoma"/>
          <w:sz w:val="24"/>
          <w:szCs w:val="24"/>
        </w:rPr>
        <w:t>The proportion of sixth form colleges judged good or outstanding declined by eight percentage points, from 89% as at 31 August 2016 to 81% as at 31 August 2017.</w:t>
      </w:r>
      <w:r w:rsidR="001301CC" w:rsidRPr="00950AB7">
        <w:rPr>
          <w:rFonts w:ascii="Tahoma" w:hAnsi="Tahoma" w:cs="Tahoma"/>
          <w:sz w:val="24"/>
          <w:szCs w:val="24"/>
        </w:rPr>
        <w:t xml:space="preserve"> </w:t>
      </w:r>
    </w:p>
    <w:p w14:paraId="08DDB3BC" w14:textId="77777777" w:rsidR="006F22DD" w:rsidRPr="00950AB7" w:rsidRDefault="006F22DD" w:rsidP="008966EA">
      <w:pPr>
        <w:rPr>
          <w:rFonts w:ascii="Tahoma" w:hAnsi="Tahoma" w:cs="Tahoma"/>
          <w:sz w:val="24"/>
          <w:szCs w:val="24"/>
        </w:rPr>
      </w:pPr>
    </w:p>
    <w:p w14:paraId="42A95256" w14:textId="1B324309" w:rsidR="00940D18" w:rsidRPr="00950AB7" w:rsidRDefault="00940D18" w:rsidP="008966EA">
      <w:pPr>
        <w:rPr>
          <w:rFonts w:ascii="Tahoma" w:hAnsi="Tahoma" w:cs="Tahoma"/>
          <w:sz w:val="24"/>
          <w:szCs w:val="24"/>
        </w:rPr>
      </w:pPr>
      <w:r w:rsidRPr="00950AB7">
        <w:rPr>
          <w:rFonts w:ascii="Tahoma" w:hAnsi="Tahoma" w:cs="Tahoma"/>
          <w:sz w:val="24"/>
          <w:szCs w:val="24"/>
        </w:rPr>
        <w:t>However, it should be noted that sixth form colleges had a smaller number of colleges decline from good or outstanding compared with other larger provider groups. As sixth form colleges are a smaller group of providers, the number declining ha</w:t>
      </w:r>
      <w:r w:rsidR="00DD0DC0" w:rsidRPr="00950AB7">
        <w:rPr>
          <w:rFonts w:ascii="Tahoma" w:hAnsi="Tahoma" w:cs="Tahoma"/>
          <w:sz w:val="24"/>
          <w:szCs w:val="24"/>
        </w:rPr>
        <w:t>s</w:t>
      </w:r>
      <w:r w:rsidRPr="00950AB7">
        <w:rPr>
          <w:rFonts w:ascii="Tahoma" w:hAnsi="Tahoma" w:cs="Tahoma"/>
          <w:sz w:val="24"/>
          <w:szCs w:val="24"/>
        </w:rPr>
        <w:t xml:space="preserve"> a bigger effect on the most recent inspection</w:t>
      </w:r>
      <w:r w:rsidR="00F11C30" w:rsidRPr="00950AB7">
        <w:rPr>
          <w:rFonts w:ascii="Tahoma" w:hAnsi="Tahoma" w:cs="Tahoma"/>
          <w:sz w:val="24"/>
          <w:szCs w:val="24"/>
        </w:rPr>
        <w:t xml:space="preserve"> outcomes</w:t>
      </w:r>
      <w:r w:rsidRPr="00950AB7">
        <w:rPr>
          <w:rFonts w:ascii="Tahoma" w:hAnsi="Tahoma" w:cs="Tahoma"/>
          <w:sz w:val="24"/>
          <w:szCs w:val="24"/>
        </w:rPr>
        <w:t xml:space="preserve">. </w:t>
      </w:r>
    </w:p>
    <w:p w14:paraId="6CFF5736" w14:textId="77777777" w:rsidR="000868EC" w:rsidRPr="00950AB7" w:rsidRDefault="000868EC" w:rsidP="00601D93">
      <w:pPr>
        <w:rPr>
          <w:rFonts w:ascii="Tahoma" w:hAnsi="Tahoma" w:cs="Tahoma"/>
          <w:sz w:val="24"/>
        </w:rPr>
      </w:pPr>
    </w:p>
    <w:p w14:paraId="108EB34C" w14:textId="77777777" w:rsidR="007C556A" w:rsidRPr="00950AB7" w:rsidRDefault="000868EC" w:rsidP="00601D93">
      <w:pPr>
        <w:rPr>
          <w:rFonts w:ascii="Tahoma" w:hAnsi="Tahoma" w:cs="Tahoma"/>
          <w:sz w:val="24"/>
        </w:rPr>
      </w:pPr>
      <w:r w:rsidRPr="00950AB7">
        <w:rPr>
          <w:rFonts w:ascii="Tahoma" w:hAnsi="Tahoma" w:cs="Tahoma"/>
          <w:sz w:val="24"/>
        </w:rPr>
        <w:t xml:space="preserve">The number of 16 to </w:t>
      </w:r>
      <w:r w:rsidR="00601D93" w:rsidRPr="00950AB7">
        <w:rPr>
          <w:rFonts w:ascii="Tahoma" w:hAnsi="Tahoma" w:cs="Tahoma"/>
          <w:sz w:val="24"/>
        </w:rPr>
        <w:t>19 academies has increased from 21 as at 31 August 2016 to 31 as at 31 August 2017. This is largely as a result of sixth form c</w:t>
      </w:r>
      <w:r w:rsidR="008222E9" w:rsidRPr="00950AB7">
        <w:rPr>
          <w:rFonts w:ascii="Tahoma" w:hAnsi="Tahoma" w:cs="Tahoma"/>
          <w:sz w:val="24"/>
        </w:rPr>
        <w:t xml:space="preserve">olleges converting to become 16 to </w:t>
      </w:r>
      <w:r w:rsidR="00601D93" w:rsidRPr="00950AB7">
        <w:rPr>
          <w:rFonts w:ascii="Tahoma" w:hAnsi="Tahoma" w:cs="Tahoma"/>
          <w:sz w:val="24"/>
        </w:rPr>
        <w:t xml:space="preserve">19 academies </w:t>
      </w:r>
      <w:r w:rsidR="008222E9" w:rsidRPr="00950AB7">
        <w:rPr>
          <w:rFonts w:ascii="Tahoma" w:hAnsi="Tahoma" w:cs="Tahoma"/>
          <w:sz w:val="24"/>
          <w:szCs w:val="24"/>
        </w:rPr>
        <w:t>over the summer of 2017</w:t>
      </w:r>
      <w:r w:rsidR="009D2E62" w:rsidRPr="00950AB7">
        <w:rPr>
          <w:rFonts w:ascii="Tahoma" w:hAnsi="Tahoma" w:cs="Tahoma"/>
          <w:sz w:val="24"/>
        </w:rPr>
        <w:t xml:space="preserve">. </w:t>
      </w:r>
    </w:p>
    <w:p w14:paraId="6E4959B4" w14:textId="77777777" w:rsidR="007C556A" w:rsidRPr="00950AB7" w:rsidRDefault="007C556A" w:rsidP="00601D93">
      <w:pPr>
        <w:rPr>
          <w:rFonts w:ascii="Tahoma" w:hAnsi="Tahoma" w:cs="Tahoma"/>
          <w:sz w:val="24"/>
        </w:rPr>
      </w:pPr>
    </w:p>
    <w:p w14:paraId="0F0343BB" w14:textId="77777777" w:rsidR="007C556A" w:rsidRPr="00950AB7" w:rsidRDefault="007C556A" w:rsidP="00601D93">
      <w:pPr>
        <w:rPr>
          <w:rFonts w:ascii="Tahoma" w:hAnsi="Tahoma" w:cs="Tahoma"/>
          <w:sz w:val="24"/>
        </w:rPr>
      </w:pPr>
    </w:p>
    <w:p w14:paraId="0B4A21CC" w14:textId="77777777" w:rsidR="007C556A" w:rsidRPr="00950AB7" w:rsidRDefault="007C556A" w:rsidP="00601D93">
      <w:pPr>
        <w:rPr>
          <w:rFonts w:ascii="Tahoma" w:hAnsi="Tahoma" w:cs="Tahoma"/>
          <w:sz w:val="24"/>
        </w:rPr>
      </w:pPr>
    </w:p>
    <w:p w14:paraId="3A9CD914" w14:textId="4D8123DB" w:rsidR="008222E9" w:rsidRPr="00950AB7" w:rsidRDefault="009D2E62" w:rsidP="00601D93">
      <w:pPr>
        <w:rPr>
          <w:rFonts w:ascii="Tahoma" w:hAnsi="Tahoma" w:cs="Tahoma"/>
          <w:sz w:val="24"/>
        </w:rPr>
      </w:pPr>
      <w:r w:rsidRPr="00950AB7">
        <w:rPr>
          <w:rFonts w:ascii="Tahoma" w:hAnsi="Tahoma" w:cs="Tahoma"/>
          <w:sz w:val="24"/>
        </w:rPr>
        <w:t>As at 31 August 2017 the 16 to 19 academies group was made up of:</w:t>
      </w:r>
    </w:p>
    <w:p w14:paraId="3CAD680B" w14:textId="07B18892" w:rsidR="009D2E62" w:rsidRPr="00950AB7" w:rsidRDefault="009E3886" w:rsidP="009D2E62">
      <w:pPr>
        <w:pStyle w:val="ListParagraph"/>
        <w:numPr>
          <w:ilvl w:val="0"/>
          <w:numId w:val="40"/>
        </w:numPr>
        <w:rPr>
          <w:rFonts w:ascii="Tahoma" w:hAnsi="Tahoma" w:cs="Tahoma"/>
          <w:sz w:val="24"/>
        </w:rPr>
      </w:pPr>
      <w:r>
        <w:rPr>
          <w:rFonts w:ascii="Tahoma" w:hAnsi="Tahoma" w:cs="Tahoma"/>
          <w:sz w:val="24"/>
        </w:rPr>
        <w:t>21</w:t>
      </w:r>
      <w:r w:rsidR="009D2E62" w:rsidRPr="00950AB7">
        <w:rPr>
          <w:rFonts w:ascii="Tahoma" w:hAnsi="Tahoma" w:cs="Tahoma"/>
          <w:sz w:val="24"/>
        </w:rPr>
        <w:t xml:space="preserve"> 16 to 19 academies that were also present as at 31 August 2016. Of the 19 that had been inspected, six were judged outstanding, six good, six required improvement and one was inadequate</w:t>
      </w:r>
    </w:p>
    <w:p w14:paraId="1D87B5A4" w14:textId="50A4CDD8" w:rsidR="009D2E62" w:rsidRPr="00950AB7" w:rsidRDefault="009D2E62" w:rsidP="009D2E62">
      <w:pPr>
        <w:pStyle w:val="ListParagraph"/>
        <w:numPr>
          <w:ilvl w:val="0"/>
          <w:numId w:val="40"/>
        </w:numPr>
        <w:rPr>
          <w:rFonts w:ascii="Tahoma" w:hAnsi="Tahoma" w:cs="Tahoma"/>
          <w:sz w:val="24"/>
        </w:rPr>
      </w:pPr>
      <w:r w:rsidRPr="00950AB7">
        <w:rPr>
          <w:rFonts w:ascii="Tahoma" w:hAnsi="Tahoma" w:cs="Tahoma"/>
          <w:sz w:val="24"/>
        </w:rPr>
        <w:t>seven sixth form colleges that had converted to become an academy</w:t>
      </w:r>
      <w:r w:rsidR="00BA0F16" w:rsidRPr="00950AB7">
        <w:rPr>
          <w:rFonts w:ascii="Tahoma" w:hAnsi="Tahoma" w:cs="Tahoma"/>
          <w:sz w:val="24"/>
        </w:rPr>
        <w:t xml:space="preserve">, </w:t>
      </w:r>
      <w:r w:rsidR="00BE4B63" w:rsidRPr="00950AB7">
        <w:rPr>
          <w:rFonts w:ascii="Tahoma" w:hAnsi="Tahoma" w:cs="Tahoma"/>
          <w:sz w:val="24"/>
        </w:rPr>
        <w:t>four</w:t>
      </w:r>
      <w:r w:rsidR="00BA0F16" w:rsidRPr="00950AB7">
        <w:rPr>
          <w:rFonts w:ascii="Tahoma" w:hAnsi="Tahoma" w:cs="Tahoma"/>
          <w:sz w:val="24"/>
        </w:rPr>
        <w:t xml:space="preserve"> judged outstanding and </w:t>
      </w:r>
      <w:r w:rsidR="00BE4B63" w:rsidRPr="00950AB7">
        <w:rPr>
          <w:rFonts w:ascii="Tahoma" w:hAnsi="Tahoma" w:cs="Tahoma"/>
          <w:sz w:val="24"/>
        </w:rPr>
        <w:t>three</w:t>
      </w:r>
      <w:r w:rsidR="00BA0F16" w:rsidRPr="00950AB7">
        <w:rPr>
          <w:rFonts w:ascii="Tahoma" w:hAnsi="Tahoma" w:cs="Tahoma"/>
          <w:sz w:val="24"/>
        </w:rPr>
        <w:t xml:space="preserve"> judged good</w:t>
      </w:r>
      <w:r w:rsidR="00BE4B63" w:rsidRPr="00950AB7">
        <w:rPr>
          <w:rFonts w:ascii="Tahoma" w:hAnsi="Tahoma" w:cs="Tahoma"/>
          <w:sz w:val="24"/>
        </w:rPr>
        <w:t xml:space="preserve"> at the time of conversion. One was inspected during the year and improved to outstanding</w:t>
      </w:r>
    </w:p>
    <w:p w14:paraId="45B775A7" w14:textId="61597794" w:rsidR="009D2E62" w:rsidRPr="00950AB7" w:rsidRDefault="009D2E62" w:rsidP="00BA0F16">
      <w:pPr>
        <w:pStyle w:val="ListParagraph"/>
        <w:numPr>
          <w:ilvl w:val="0"/>
          <w:numId w:val="40"/>
        </w:numPr>
        <w:rPr>
          <w:rFonts w:ascii="Tahoma" w:hAnsi="Tahoma" w:cs="Tahoma"/>
          <w:sz w:val="24"/>
        </w:rPr>
      </w:pPr>
      <w:r w:rsidRPr="00950AB7">
        <w:rPr>
          <w:rFonts w:ascii="Tahoma" w:hAnsi="Tahoma" w:cs="Tahoma"/>
          <w:sz w:val="24"/>
        </w:rPr>
        <w:t>three new 16 to 19 academies that had yet to be inspected</w:t>
      </w:r>
      <w:r w:rsidR="00BA0F16" w:rsidRPr="00950AB7">
        <w:rPr>
          <w:rFonts w:ascii="Tahoma" w:hAnsi="Tahoma" w:cs="Tahoma"/>
          <w:sz w:val="24"/>
        </w:rPr>
        <w:t>.</w:t>
      </w:r>
    </w:p>
    <w:p w14:paraId="1E1E0128" w14:textId="262F11F0" w:rsidR="008222E9" w:rsidRPr="00950AB7" w:rsidRDefault="009D2E62" w:rsidP="00601D93">
      <w:pPr>
        <w:rPr>
          <w:rFonts w:ascii="Tahoma" w:hAnsi="Tahoma" w:cs="Tahoma"/>
          <w:sz w:val="24"/>
        </w:rPr>
      </w:pPr>
      <w:r w:rsidRPr="00950AB7">
        <w:rPr>
          <w:rFonts w:ascii="Tahoma" w:hAnsi="Tahoma" w:cs="Tahoma"/>
          <w:sz w:val="24"/>
        </w:rPr>
        <w:tab/>
      </w:r>
    </w:p>
    <w:p w14:paraId="36790EFC" w14:textId="478CDD71" w:rsidR="00601D93" w:rsidRPr="00950AB7" w:rsidRDefault="00601D93" w:rsidP="00601D93">
      <w:pPr>
        <w:rPr>
          <w:rFonts w:ascii="Tahoma" w:hAnsi="Tahoma" w:cs="Tahoma"/>
          <w:sz w:val="24"/>
        </w:rPr>
      </w:pPr>
      <w:r w:rsidRPr="00950AB7">
        <w:rPr>
          <w:rFonts w:ascii="Tahoma" w:hAnsi="Tahoma" w:cs="Tahoma"/>
          <w:sz w:val="24"/>
        </w:rPr>
        <w:t xml:space="preserve">A total of 26 academies (including the former </w:t>
      </w:r>
      <w:r w:rsidR="008222E9" w:rsidRPr="00950AB7">
        <w:rPr>
          <w:rFonts w:ascii="Tahoma" w:hAnsi="Tahoma" w:cs="Tahoma"/>
          <w:sz w:val="24"/>
        </w:rPr>
        <w:t xml:space="preserve">sixth form </w:t>
      </w:r>
      <w:r w:rsidRPr="00950AB7">
        <w:rPr>
          <w:rFonts w:ascii="Tahoma" w:hAnsi="Tahoma" w:cs="Tahoma"/>
          <w:sz w:val="24"/>
        </w:rPr>
        <w:t>colleges) had been inspected as at 31 August 2017, with 73% judged good or outstanding at their most recent inspection.</w:t>
      </w:r>
    </w:p>
    <w:p w14:paraId="758B262C" w14:textId="77777777" w:rsidR="00601D93" w:rsidRPr="00950AB7" w:rsidRDefault="00601D93" w:rsidP="00543AA4">
      <w:pPr>
        <w:rPr>
          <w:rFonts w:ascii="Tahoma" w:hAnsi="Tahoma" w:cs="Tahoma"/>
          <w:sz w:val="24"/>
          <w:szCs w:val="24"/>
        </w:rPr>
      </w:pPr>
    </w:p>
    <w:p w14:paraId="764454E0" w14:textId="77777777" w:rsidR="00601D93" w:rsidRPr="00950AB7" w:rsidRDefault="00601D93" w:rsidP="00543AA4">
      <w:pPr>
        <w:rPr>
          <w:rFonts w:ascii="Tahoma" w:hAnsi="Tahoma" w:cs="Tahoma"/>
          <w:sz w:val="24"/>
          <w:szCs w:val="24"/>
        </w:rPr>
      </w:pPr>
    </w:p>
    <w:p w14:paraId="016B77B5" w14:textId="77777777" w:rsidR="00543AA4" w:rsidRPr="00950AB7" w:rsidRDefault="00543AA4" w:rsidP="00543AA4">
      <w:pPr>
        <w:keepNext/>
        <w:keepLines/>
        <w:spacing w:before="40"/>
        <w:outlineLvl w:val="1"/>
        <w:rPr>
          <w:rFonts w:ascii="Tahoma" w:eastAsiaTheme="majorEastAsia" w:hAnsi="Tahoma" w:cs="Tahoma"/>
          <w:b/>
          <w:sz w:val="28"/>
          <w:szCs w:val="28"/>
        </w:rPr>
      </w:pPr>
      <w:bookmarkStart w:id="22" w:name="_Toc484088467"/>
      <w:bookmarkStart w:id="23" w:name="_Toc486330507"/>
      <w:bookmarkStart w:id="24" w:name="_Toc486330824"/>
      <w:bookmarkStart w:id="25" w:name="_Toc498611143"/>
      <w:r w:rsidRPr="00950AB7">
        <w:rPr>
          <w:rFonts w:ascii="Tahoma" w:eastAsiaTheme="majorEastAsia" w:hAnsi="Tahoma" w:cs="Tahoma"/>
          <w:b/>
          <w:sz w:val="28"/>
          <w:szCs w:val="28"/>
        </w:rPr>
        <w:t>Independent learning providers (including employer providers)</w:t>
      </w:r>
      <w:bookmarkEnd w:id="22"/>
      <w:bookmarkEnd w:id="23"/>
      <w:bookmarkEnd w:id="24"/>
      <w:bookmarkEnd w:id="25"/>
    </w:p>
    <w:p w14:paraId="12DC102E" w14:textId="77777777" w:rsidR="00543AA4" w:rsidRPr="00950AB7" w:rsidRDefault="00543AA4" w:rsidP="00543AA4">
      <w:pPr>
        <w:rPr>
          <w:rFonts w:ascii="Tahoma" w:hAnsi="Tahoma" w:cs="Tahoma"/>
          <w:sz w:val="24"/>
          <w:szCs w:val="24"/>
        </w:rPr>
      </w:pPr>
    </w:p>
    <w:p w14:paraId="199CBA76" w14:textId="67237396" w:rsidR="008E3FEF" w:rsidRPr="00950AB7" w:rsidRDefault="00DB2F9C" w:rsidP="00F26FFD">
      <w:pPr>
        <w:rPr>
          <w:rFonts w:ascii="Tahoma" w:hAnsi="Tahoma" w:cs="Tahoma"/>
          <w:sz w:val="24"/>
          <w:szCs w:val="24"/>
        </w:rPr>
      </w:pPr>
      <w:r w:rsidRPr="00950AB7">
        <w:rPr>
          <w:rFonts w:ascii="Tahoma" w:hAnsi="Tahoma" w:cs="Tahoma"/>
          <w:sz w:val="24"/>
          <w:szCs w:val="24"/>
        </w:rPr>
        <w:t>T</w:t>
      </w:r>
      <w:r w:rsidR="00E836AB" w:rsidRPr="00950AB7">
        <w:rPr>
          <w:rFonts w:ascii="Tahoma" w:hAnsi="Tahoma" w:cs="Tahoma"/>
          <w:sz w:val="24"/>
          <w:szCs w:val="24"/>
        </w:rPr>
        <w:t xml:space="preserve">he number of open and funded independent learning providers (including employer providers) increased by 3%, from 477 </w:t>
      </w:r>
      <w:r w:rsidRPr="00950AB7">
        <w:rPr>
          <w:rFonts w:ascii="Tahoma" w:hAnsi="Tahoma" w:cs="Tahoma"/>
          <w:sz w:val="24"/>
          <w:szCs w:val="24"/>
        </w:rPr>
        <w:t xml:space="preserve">as at 31 August 2016 </w:t>
      </w:r>
      <w:r w:rsidR="00E836AB" w:rsidRPr="00950AB7">
        <w:rPr>
          <w:rFonts w:ascii="Tahoma" w:hAnsi="Tahoma" w:cs="Tahoma"/>
          <w:sz w:val="24"/>
          <w:szCs w:val="24"/>
        </w:rPr>
        <w:t>to</w:t>
      </w:r>
      <w:r w:rsidR="00505AF5" w:rsidRPr="00950AB7">
        <w:rPr>
          <w:rFonts w:ascii="Tahoma" w:hAnsi="Tahoma" w:cs="Tahoma"/>
          <w:sz w:val="24"/>
          <w:szCs w:val="24"/>
        </w:rPr>
        <w:t xml:space="preserve"> 491</w:t>
      </w:r>
      <w:r w:rsidRPr="00950AB7">
        <w:rPr>
          <w:rFonts w:ascii="Tahoma" w:hAnsi="Tahoma" w:cs="Tahoma"/>
          <w:sz w:val="24"/>
          <w:szCs w:val="24"/>
        </w:rPr>
        <w:t xml:space="preserve"> as at 31 August 2017</w:t>
      </w:r>
      <w:r w:rsidR="00A07102" w:rsidRPr="00950AB7">
        <w:rPr>
          <w:rFonts w:ascii="Tahoma" w:hAnsi="Tahoma" w:cs="Tahoma"/>
          <w:sz w:val="24"/>
          <w:szCs w:val="24"/>
        </w:rPr>
        <w:t>.</w:t>
      </w:r>
      <w:r w:rsidR="008E3FEF" w:rsidRPr="00950AB7">
        <w:rPr>
          <w:rFonts w:ascii="Tahoma" w:hAnsi="Tahoma" w:cs="Tahoma"/>
          <w:sz w:val="24"/>
          <w:szCs w:val="24"/>
        </w:rPr>
        <w:t xml:space="preserve"> This increase was mainly as a result of providers that were only allocated ‘</w:t>
      </w:r>
      <w:r w:rsidR="00B05551">
        <w:rPr>
          <w:rFonts w:ascii="Tahoma" w:hAnsi="Tahoma" w:cs="Tahoma"/>
          <w:sz w:val="24"/>
          <w:szCs w:val="24"/>
        </w:rPr>
        <w:t>A</w:t>
      </w:r>
      <w:r w:rsidR="008E3FEF" w:rsidRPr="00950AB7">
        <w:rPr>
          <w:rFonts w:ascii="Tahoma" w:hAnsi="Tahoma" w:cs="Tahoma"/>
          <w:sz w:val="24"/>
          <w:szCs w:val="24"/>
        </w:rPr>
        <w:t xml:space="preserve">dvanced </w:t>
      </w:r>
      <w:r w:rsidR="00B05551">
        <w:rPr>
          <w:rFonts w:ascii="Tahoma" w:hAnsi="Tahoma" w:cs="Tahoma"/>
          <w:sz w:val="24"/>
          <w:szCs w:val="24"/>
        </w:rPr>
        <w:t>L</w:t>
      </w:r>
      <w:r w:rsidR="008E3FEF" w:rsidRPr="00950AB7">
        <w:rPr>
          <w:rFonts w:ascii="Tahoma" w:hAnsi="Tahoma" w:cs="Tahoma"/>
          <w:sz w:val="24"/>
          <w:szCs w:val="24"/>
        </w:rPr>
        <w:t>ear</w:t>
      </w:r>
      <w:r w:rsidR="00B05551">
        <w:rPr>
          <w:rFonts w:ascii="Tahoma" w:hAnsi="Tahoma" w:cs="Tahoma"/>
          <w:sz w:val="24"/>
          <w:szCs w:val="24"/>
        </w:rPr>
        <w:t>ner L</w:t>
      </w:r>
      <w:r w:rsidR="008E3FEF" w:rsidRPr="00950AB7">
        <w:rPr>
          <w:rFonts w:ascii="Tahoma" w:hAnsi="Tahoma" w:cs="Tahoma"/>
          <w:sz w:val="24"/>
          <w:szCs w:val="24"/>
        </w:rPr>
        <w:t xml:space="preserve">oans’ funding being included in scope for Ofsted inspections from September 2016. As is usual within this part of the </w:t>
      </w:r>
      <w:r w:rsidR="00A82E70" w:rsidRPr="00950AB7">
        <w:rPr>
          <w:rFonts w:ascii="Tahoma" w:hAnsi="Tahoma" w:cs="Tahoma"/>
          <w:sz w:val="24"/>
          <w:szCs w:val="24"/>
        </w:rPr>
        <w:t>sector</w:t>
      </w:r>
      <w:r w:rsidR="008E3FEF" w:rsidRPr="00950AB7">
        <w:rPr>
          <w:rFonts w:ascii="Tahoma" w:hAnsi="Tahoma" w:cs="Tahoma"/>
          <w:sz w:val="24"/>
          <w:szCs w:val="24"/>
        </w:rPr>
        <w:t xml:space="preserve">, there were a lot of providers moving in and out of scope for inspection over 2016/17. The net effect was an increase of 18 independent learning providers and a decrease of four employer providers.   </w:t>
      </w:r>
    </w:p>
    <w:p w14:paraId="311852F9" w14:textId="77777777" w:rsidR="00543AA4" w:rsidRPr="00950AB7" w:rsidRDefault="00543AA4" w:rsidP="00543AA4">
      <w:pPr>
        <w:rPr>
          <w:rFonts w:ascii="Tahoma" w:hAnsi="Tahoma" w:cs="Tahoma"/>
          <w:sz w:val="24"/>
          <w:szCs w:val="24"/>
        </w:rPr>
      </w:pPr>
    </w:p>
    <w:p w14:paraId="52FB35D4" w14:textId="77777777" w:rsidR="00CD1BAC" w:rsidRPr="00950AB7" w:rsidRDefault="00DB2F9C" w:rsidP="00543AA4">
      <w:pPr>
        <w:rPr>
          <w:rFonts w:ascii="Tahoma" w:hAnsi="Tahoma" w:cs="Tahoma"/>
          <w:sz w:val="24"/>
          <w:szCs w:val="24"/>
        </w:rPr>
      </w:pPr>
      <w:r w:rsidRPr="00950AB7">
        <w:rPr>
          <w:rFonts w:ascii="Tahoma" w:hAnsi="Tahoma" w:cs="Tahoma"/>
          <w:sz w:val="24"/>
          <w:szCs w:val="24"/>
        </w:rPr>
        <w:t>Between 1 September 2016 and 31 August 2017</w:t>
      </w:r>
      <w:r w:rsidR="00543AA4" w:rsidRPr="00950AB7">
        <w:rPr>
          <w:rFonts w:ascii="Tahoma" w:hAnsi="Tahoma" w:cs="Tahoma"/>
          <w:sz w:val="24"/>
          <w:szCs w:val="24"/>
        </w:rPr>
        <w:t xml:space="preserve">, </w:t>
      </w:r>
      <w:r w:rsidR="008711BE" w:rsidRPr="00950AB7">
        <w:rPr>
          <w:rFonts w:ascii="Tahoma" w:hAnsi="Tahoma" w:cs="Tahoma"/>
          <w:sz w:val="24"/>
          <w:szCs w:val="24"/>
        </w:rPr>
        <w:t>15</w:t>
      </w:r>
      <w:r w:rsidR="00505AF5" w:rsidRPr="00950AB7">
        <w:rPr>
          <w:rFonts w:ascii="Tahoma" w:hAnsi="Tahoma" w:cs="Tahoma"/>
          <w:sz w:val="24"/>
          <w:szCs w:val="24"/>
        </w:rPr>
        <w:t>9</w:t>
      </w:r>
      <w:r w:rsidR="00543AA4" w:rsidRPr="00950AB7">
        <w:rPr>
          <w:rFonts w:ascii="Tahoma" w:hAnsi="Tahoma" w:cs="Tahoma"/>
          <w:sz w:val="24"/>
          <w:szCs w:val="24"/>
        </w:rPr>
        <w:t xml:space="preserve"> independent learning providers (including employer providers) were inspected. Th</w:t>
      </w:r>
      <w:r w:rsidR="00E836AB" w:rsidRPr="00950AB7">
        <w:rPr>
          <w:rFonts w:ascii="Tahoma" w:hAnsi="Tahoma" w:cs="Tahoma"/>
          <w:sz w:val="24"/>
          <w:szCs w:val="24"/>
        </w:rPr>
        <w:t>is included</w:t>
      </w:r>
      <w:r w:rsidR="00543AA4" w:rsidRPr="00950AB7">
        <w:rPr>
          <w:rFonts w:ascii="Tahoma" w:hAnsi="Tahoma" w:cs="Tahoma"/>
          <w:sz w:val="24"/>
          <w:szCs w:val="24"/>
        </w:rPr>
        <w:t xml:space="preserve"> </w:t>
      </w:r>
      <w:r w:rsidR="00505AF5" w:rsidRPr="00950AB7">
        <w:rPr>
          <w:rFonts w:ascii="Tahoma" w:hAnsi="Tahoma" w:cs="Tahoma"/>
          <w:sz w:val="24"/>
          <w:szCs w:val="24"/>
        </w:rPr>
        <w:t>114</w:t>
      </w:r>
      <w:r w:rsidR="00856D97" w:rsidRPr="00950AB7">
        <w:rPr>
          <w:rFonts w:ascii="Tahoma" w:hAnsi="Tahoma" w:cs="Tahoma"/>
          <w:sz w:val="24"/>
          <w:szCs w:val="24"/>
        </w:rPr>
        <w:t xml:space="preserve"> full inspections</w:t>
      </w:r>
      <w:r w:rsidR="00D12E3E" w:rsidRPr="00950AB7">
        <w:rPr>
          <w:rFonts w:ascii="Tahoma" w:hAnsi="Tahoma" w:cs="Tahoma"/>
          <w:sz w:val="24"/>
          <w:szCs w:val="24"/>
        </w:rPr>
        <w:t xml:space="preserve"> and</w:t>
      </w:r>
      <w:r w:rsidR="00856D97" w:rsidRPr="00950AB7">
        <w:rPr>
          <w:rFonts w:ascii="Tahoma" w:hAnsi="Tahoma" w:cs="Tahoma"/>
          <w:sz w:val="24"/>
          <w:szCs w:val="24"/>
        </w:rPr>
        <w:t xml:space="preserve"> </w:t>
      </w:r>
      <w:r w:rsidR="00D12E3E" w:rsidRPr="00950AB7">
        <w:rPr>
          <w:rFonts w:ascii="Tahoma" w:hAnsi="Tahoma" w:cs="Tahoma"/>
          <w:sz w:val="24"/>
          <w:szCs w:val="24"/>
        </w:rPr>
        <w:t>45</w:t>
      </w:r>
      <w:r w:rsidR="009A2F72" w:rsidRPr="00950AB7">
        <w:rPr>
          <w:rFonts w:ascii="Tahoma" w:hAnsi="Tahoma" w:cs="Tahoma"/>
          <w:sz w:val="24"/>
          <w:szCs w:val="24"/>
        </w:rPr>
        <w:t xml:space="preserve"> </w:t>
      </w:r>
      <w:r w:rsidR="00D12E3E" w:rsidRPr="00950AB7">
        <w:rPr>
          <w:rFonts w:ascii="Tahoma" w:eastAsia="Times New Roman" w:hAnsi="Tahoma" w:cs="Tahoma"/>
          <w:bCs/>
          <w:sz w:val="24"/>
          <w:szCs w:val="24"/>
          <w:lang w:eastAsia="en-GB"/>
        </w:rPr>
        <w:t>short inspections (including those that converted to full inspections)</w:t>
      </w:r>
      <w:r w:rsidR="00CD1BAC" w:rsidRPr="00950AB7">
        <w:rPr>
          <w:rFonts w:ascii="Tahoma" w:hAnsi="Tahoma" w:cs="Tahoma"/>
          <w:sz w:val="24"/>
          <w:szCs w:val="24"/>
        </w:rPr>
        <w:t>:</w:t>
      </w:r>
    </w:p>
    <w:p w14:paraId="4ACD83C1" w14:textId="53A12CD2" w:rsidR="00CD1BAC" w:rsidRPr="00950AB7" w:rsidRDefault="009E3886" w:rsidP="00CD1BAC">
      <w:pPr>
        <w:pStyle w:val="ListParagraph"/>
        <w:numPr>
          <w:ilvl w:val="0"/>
          <w:numId w:val="33"/>
        </w:numPr>
        <w:rPr>
          <w:rFonts w:ascii="Tahoma" w:hAnsi="Tahoma" w:cs="Tahoma"/>
          <w:sz w:val="24"/>
          <w:szCs w:val="24"/>
        </w:rPr>
      </w:pPr>
      <w:r>
        <w:rPr>
          <w:rFonts w:ascii="Tahoma" w:hAnsi="Tahoma" w:cs="Tahoma"/>
          <w:sz w:val="24"/>
          <w:szCs w:val="24"/>
        </w:rPr>
        <w:t>34</w:t>
      </w:r>
      <w:r w:rsidR="00B25AFD" w:rsidRPr="00950AB7">
        <w:rPr>
          <w:rFonts w:ascii="Tahoma" w:hAnsi="Tahoma" w:cs="Tahoma"/>
          <w:sz w:val="24"/>
          <w:szCs w:val="24"/>
        </w:rPr>
        <w:t xml:space="preserve"> of the 45</w:t>
      </w:r>
      <w:r w:rsidR="00A24C90" w:rsidRPr="00950AB7">
        <w:rPr>
          <w:rFonts w:ascii="Tahoma" w:hAnsi="Tahoma" w:cs="Tahoma"/>
          <w:sz w:val="24"/>
          <w:szCs w:val="24"/>
        </w:rPr>
        <w:t xml:space="preserve"> short inspections resulted in the provider remaining good</w:t>
      </w:r>
      <w:r w:rsidR="00B71F99" w:rsidRPr="00950AB7">
        <w:rPr>
          <w:rFonts w:ascii="Tahoma" w:hAnsi="Tahoma" w:cs="Tahoma"/>
          <w:sz w:val="24"/>
          <w:szCs w:val="24"/>
        </w:rPr>
        <w:t xml:space="preserve">. From the </w:t>
      </w:r>
      <w:r w:rsidR="00B25AFD" w:rsidRPr="00950AB7">
        <w:rPr>
          <w:rFonts w:ascii="Tahoma" w:hAnsi="Tahoma" w:cs="Tahoma"/>
          <w:sz w:val="24"/>
          <w:szCs w:val="24"/>
        </w:rPr>
        <w:t xml:space="preserve">11 </w:t>
      </w:r>
      <w:r w:rsidR="00B71F99" w:rsidRPr="00950AB7">
        <w:rPr>
          <w:rFonts w:ascii="Tahoma" w:hAnsi="Tahoma" w:cs="Tahoma"/>
          <w:sz w:val="24"/>
          <w:szCs w:val="24"/>
        </w:rPr>
        <w:t xml:space="preserve">short inspections that </w:t>
      </w:r>
      <w:r w:rsidR="00B25AFD" w:rsidRPr="00950AB7">
        <w:rPr>
          <w:rFonts w:ascii="Tahoma" w:hAnsi="Tahoma" w:cs="Tahoma"/>
          <w:sz w:val="24"/>
          <w:szCs w:val="24"/>
        </w:rPr>
        <w:t xml:space="preserve">converted, nine of the providers declined to less than good </w:t>
      </w:r>
      <w:r w:rsidR="00F158C2" w:rsidRPr="00950AB7">
        <w:rPr>
          <w:rFonts w:ascii="Tahoma" w:hAnsi="Tahoma" w:cs="Tahoma"/>
          <w:sz w:val="24"/>
          <w:szCs w:val="24"/>
        </w:rPr>
        <w:t>and two improved to outstanding</w:t>
      </w:r>
    </w:p>
    <w:p w14:paraId="22678860" w14:textId="5AEEFC7B" w:rsidR="00CD1BAC" w:rsidRPr="00950AB7" w:rsidRDefault="00F158C2" w:rsidP="00CD1BAC">
      <w:pPr>
        <w:pStyle w:val="ListParagraph"/>
        <w:numPr>
          <w:ilvl w:val="0"/>
          <w:numId w:val="33"/>
        </w:numPr>
        <w:rPr>
          <w:rFonts w:ascii="Tahoma" w:hAnsi="Tahoma" w:cs="Tahoma"/>
          <w:sz w:val="24"/>
          <w:szCs w:val="24"/>
        </w:rPr>
      </w:pPr>
      <w:r w:rsidRPr="00950AB7">
        <w:rPr>
          <w:rFonts w:ascii="Tahoma" w:hAnsi="Tahoma" w:cs="Tahoma"/>
          <w:sz w:val="24"/>
          <w:szCs w:val="24"/>
        </w:rPr>
        <w:t>t</w:t>
      </w:r>
      <w:r w:rsidR="00B71F99" w:rsidRPr="00950AB7">
        <w:rPr>
          <w:rFonts w:ascii="Tahoma" w:hAnsi="Tahoma" w:cs="Tahoma"/>
          <w:sz w:val="24"/>
          <w:szCs w:val="24"/>
        </w:rPr>
        <w:t>here were 58 risk-</w:t>
      </w:r>
      <w:r w:rsidR="00B25AFD" w:rsidRPr="00950AB7">
        <w:rPr>
          <w:rFonts w:ascii="Tahoma" w:hAnsi="Tahoma" w:cs="Tahoma"/>
          <w:sz w:val="24"/>
          <w:szCs w:val="24"/>
        </w:rPr>
        <w:t>assessed inspections of previously good or outstanding providers, of which 34 resulted in the provider declining to requ</w:t>
      </w:r>
      <w:r w:rsidRPr="00950AB7">
        <w:rPr>
          <w:rFonts w:ascii="Tahoma" w:hAnsi="Tahoma" w:cs="Tahoma"/>
          <w:sz w:val="24"/>
          <w:szCs w:val="24"/>
        </w:rPr>
        <w:t>ires improvement or inadequate</w:t>
      </w:r>
    </w:p>
    <w:p w14:paraId="020A6129" w14:textId="0D454D9D" w:rsidR="00981D09" w:rsidRPr="00950AB7" w:rsidRDefault="009E3886" w:rsidP="00CD1BAC">
      <w:pPr>
        <w:pStyle w:val="ListParagraph"/>
        <w:numPr>
          <w:ilvl w:val="0"/>
          <w:numId w:val="33"/>
        </w:numPr>
        <w:rPr>
          <w:rFonts w:ascii="Tahoma" w:hAnsi="Tahoma" w:cs="Tahoma"/>
          <w:sz w:val="24"/>
          <w:szCs w:val="24"/>
        </w:rPr>
      </w:pPr>
      <w:r>
        <w:rPr>
          <w:rFonts w:ascii="Tahoma" w:hAnsi="Tahoma" w:cs="Tahoma"/>
          <w:sz w:val="24"/>
          <w:szCs w:val="24"/>
        </w:rPr>
        <w:t>42</w:t>
      </w:r>
      <w:r w:rsidR="00B25AFD" w:rsidRPr="00950AB7">
        <w:rPr>
          <w:rFonts w:ascii="Tahoma" w:hAnsi="Tahoma" w:cs="Tahoma"/>
          <w:sz w:val="24"/>
          <w:szCs w:val="24"/>
        </w:rPr>
        <w:t xml:space="preserve"> providers judged requires improvement or inadequate at their previous inspection received routine re</w:t>
      </w:r>
      <w:r w:rsidR="008C4AED" w:rsidRPr="00950AB7">
        <w:rPr>
          <w:rFonts w:ascii="Tahoma" w:hAnsi="Tahoma" w:cs="Tahoma"/>
          <w:sz w:val="24"/>
          <w:szCs w:val="24"/>
        </w:rPr>
        <w:t>-</w:t>
      </w:r>
      <w:r w:rsidR="00B25AFD" w:rsidRPr="00950AB7">
        <w:rPr>
          <w:rFonts w:ascii="Tahoma" w:hAnsi="Tahoma" w:cs="Tahoma"/>
          <w:sz w:val="24"/>
          <w:szCs w:val="24"/>
        </w:rPr>
        <w:t>inspections during 2016/17. Of these, 26 improved to good.</w:t>
      </w:r>
    </w:p>
    <w:p w14:paraId="5E599F9C" w14:textId="77777777" w:rsidR="00981D09" w:rsidRPr="00950AB7" w:rsidRDefault="00981D09" w:rsidP="00543AA4">
      <w:pPr>
        <w:rPr>
          <w:rFonts w:ascii="Tahoma" w:hAnsi="Tahoma" w:cs="Tahoma"/>
          <w:sz w:val="24"/>
          <w:szCs w:val="24"/>
        </w:rPr>
      </w:pPr>
    </w:p>
    <w:p w14:paraId="2CE282A4" w14:textId="3AAB5EBD" w:rsidR="00981D09" w:rsidRPr="00950AB7" w:rsidRDefault="00495987" w:rsidP="00981D09">
      <w:pPr>
        <w:rPr>
          <w:rFonts w:ascii="Tahoma" w:hAnsi="Tahoma" w:cs="Tahoma"/>
          <w:sz w:val="24"/>
          <w:szCs w:val="24"/>
        </w:rPr>
      </w:pPr>
      <w:r w:rsidRPr="00950AB7">
        <w:rPr>
          <w:rFonts w:ascii="Tahoma" w:hAnsi="Tahoma" w:cs="Tahoma"/>
          <w:sz w:val="24"/>
          <w:szCs w:val="24"/>
        </w:rPr>
        <w:t>Overall the</w:t>
      </w:r>
      <w:r w:rsidR="008C4AED" w:rsidRPr="00950AB7">
        <w:rPr>
          <w:rFonts w:ascii="Tahoma" w:hAnsi="Tahoma" w:cs="Tahoma"/>
          <w:sz w:val="24"/>
          <w:szCs w:val="24"/>
        </w:rPr>
        <w:t xml:space="preserve"> </w:t>
      </w:r>
      <w:r w:rsidR="00543AA4" w:rsidRPr="00950AB7">
        <w:rPr>
          <w:rFonts w:ascii="Tahoma" w:hAnsi="Tahoma" w:cs="Tahoma"/>
          <w:sz w:val="24"/>
          <w:szCs w:val="24"/>
        </w:rPr>
        <w:t xml:space="preserve">proportion of </w:t>
      </w:r>
      <w:r w:rsidR="00DB2F9C" w:rsidRPr="00950AB7">
        <w:rPr>
          <w:rFonts w:ascii="Tahoma" w:hAnsi="Tahoma" w:cs="Tahoma"/>
          <w:sz w:val="24"/>
          <w:szCs w:val="24"/>
        </w:rPr>
        <w:t xml:space="preserve">providers </w:t>
      </w:r>
      <w:r w:rsidR="00543AA4" w:rsidRPr="00950AB7">
        <w:rPr>
          <w:rFonts w:ascii="Tahoma" w:hAnsi="Tahoma" w:cs="Tahoma"/>
          <w:sz w:val="24"/>
          <w:szCs w:val="24"/>
        </w:rPr>
        <w:t>judge</w:t>
      </w:r>
      <w:r w:rsidR="00DB2F9C" w:rsidRPr="00950AB7">
        <w:rPr>
          <w:rFonts w:ascii="Tahoma" w:hAnsi="Tahoma" w:cs="Tahoma"/>
          <w:sz w:val="24"/>
          <w:szCs w:val="24"/>
        </w:rPr>
        <w:t xml:space="preserve">d </w:t>
      </w:r>
      <w:r w:rsidR="00DE39CB" w:rsidRPr="00950AB7">
        <w:rPr>
          <w:rFonts w:ascii="Tahoma" w:hAnsi="Tahoma" w:cs="Tahoma"/>
          <w:sz w:val="24"/>
          <w:szCs w:val="24"/>
        </w:rPr>
        <w:t>good or outstanding was 57</w:t>
      </w:r>
      <w:r w:rsidR="00543AA4" w:rsidRPr="00950AB7">
        <w:rPr>
          <w:rFonts w:ascii="Tahoma" w:hAnsi="Tahoma" w:cs="Tahoma"/>
          <w:sz w:val="24"/>
          <w:szCs w:val="24"/>
        </w:rPr>
        <w:t>%, 1</w:t>
      </w:r>
      <w:r w:rsidR="00DE39CB" w:rsidRPr="00950AB7">
        <w:rPr>
          <w:rFonts w:ascii="Tahoma" w:hAnsi="Tahoma" w:cs="Tahoma"/>
          <w:sz w:val="24"/>
          <w:szCs w:val="24"/>
        </w:rPr>
        <w:t>5</w:t>
      </w:r>
      <w:r w:rsidR="009A2F72" w:rsidRPr="00950AB7">
        <w:rPr>
          <w:rFonts w:ascii="Tahoma" w:hAnsi="Tahoma" w:cs="Tahoma"/>
          <w:sz w:val="24"/>
          <w:szCs w:val="24"/>
        </w:rPr>
        <w:t xml:space="preserve"> percentage points lower than in</w:t>
      </w:r>
      <w:r w:rsidR="00543AA4" w:rsidRPr="00950AB7">
        <w:rPr>
          <w:rFonts w:ascii="Tahoma" w:hAnsi="Tahoma" w:cs="Tahoma"/>
          <w:sz w:val="24"/>
          <w:szCs w:val="24"/>
        </w:rPr>
        <w:t xml:space="preserve"> 2015/16. </w:t>
      </w:r>
      <w:r w:rsidR="00981D09" w:rsidRPr="00950AB7">
        <w:rPr>
          <w:rFonts w:ascii="Tahoma" w:hAnsi="Tahoma" w:cs="Tahoma"/>
          <w:sz w:val="24"/>
          <w:szCs w:val="24"/>
        </w:rPr>
        <w:t xml:space="preserve">Compared with last year, a higher proportion of previously good providers that were selected for inspection as a result of risk assessment declined at inspection this year. </w:t>
      </w:r>
    </w:p>
    <w:p w14:paraId="2A81FBED" w14:textId="10720BE4" w:rsidR="00543AA4" w:rsidRPr="00950AB7" w:rsidRDefault="00543AA4" w:rsidP="00543AA4">
      <w:pPr>
        <w:rPr>
          <w:rFonts w:ascii="Tahoma" w:hAnsi="Tahoma" w:cs="Tahoma"/>
          <w:b/>
          <w:sz w:val="24"/>
          <w:szCs w:val="24"/>
        </w:rPr>
      </w:pPr>
    </w:p>
    <w:p w14:paraId="57AA6DEA" w14:textId="023ED537" w:rsidR="00543AA4" w:rsidRPr="00950AB7" w:rsidRDefault="00532236" w:rsidP="00543AA4">
      <w:pPr>
        <w:rPr>
          <w:rFonts w:ascii="Tahoma" w:hAnsi="Tahoma" w:cs="Tahoma"/>
          <w:b/>
          <w:sz w:val="24"/>
          <w:szCs w:val="24"/>
        </w:rPr>
      </w:pPr>
      <w:r w:rsidRPr="00950AB7">
        <w:rPr>
          <w:rFonts w:ascii="Tahoma" w:hAnsi="Tahoma" w:cs="Tahoma"/>
          <w:bCs/>
          <w:noProof/>
          <w:sz w:val="24"/>
          <w:szCs w:val="24"/>
          <w:lang w:eastAsia="en-GB"/>
        </w:rPr>
        <mc:AlternateContent>
          <mc:Choice Requires="wps">
            <w:drawing>
              <wp:anchor distT="0" distB="0" distL="114300" distR="114300" simplePos="0" relativeHeight="251663360" behindDoc="0" locked="0" layoutInCell="1" allowOverlap="1" wp14:anchorId="0232FA14" wp14:editId="02808429">
                <wp:simplePos x="0" y="0"/>
                <wp:positionH relativeFrom="margin">
                  <wp:posOffset>-81376</wp:posOffset>
                </wp:positionH>
                <wp:positionV relativeFrom="paragraph">
                  <wp:posOffset>-99671</wp:posOffset>
                </wp:positionV>
                <wp:extent cx="6305550" cy="25527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305550" cy="25527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0AC41" id="Rectangle 25" o:spid="_x0000_s1026" style="position:absolute;margin-left:-6.4pt;margin-top:-7.85pt;width:496.5pt;height:2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" filled="f" strokecolor="windowText">
                <w10:wrap anchorx="margin"/>
              </v:rect>
            </w:pict>
          </mc:Fallback>
        </mc:AlternateContent>
      </w:r>
      <w:r w:rsidR="00543AA4" w:rsidRPr="00950AB7">
        <w:rPr>
          <w:rFonts w:ascii="Tahoma" w:hAnsi="Tahoma" w:cs="Tahoma"/>
          <w:b/>
          <w:sz w:val="24"/>
          <w:szCs w:val="24"/>
        </w:rPr>
        <w:t xml:space="preserve">Figure 7: Proportion of previously good independent learning providers (including employer providers) risk assessed for a full inspection that improved, declined or stayed the same at their next full inspection </w:t>
      </w:r>
    </w:p>
    <w:p w14:paraId="40479A67" w14:textId="77777777" w:rsidR="00543AA4" w:rsidRPr="00950AB7" w:rsidRDefault="00543AA4" w:rsidP="00543AA4">
      <w:pPr>
        <w:spacing w:before="80"/>
        <w:rPr>
          <w:rFonts w:ascii="Tahoma" w:hAnsi="Tahoma" w:cs="Tahoma"/>
          <w:sz w:val="20"/>
          <w:szCs w:val="20"/>
        </w:rPr>
      </w:pPr>
      <w:r w:rsidRPr="00950AB7">
        <w:rPr>
          <w:rFonts w:ascii="Tahoma" w:hAnsi="Tahoma" w:cs="Tahoma"/>
          <w:sz w:val="20"/>
          <w:szCs w:val="20"/>
        </w:rPr>
        <w:t>Number of inspections in brackets</w:t>
      </w:r>
    </w:p>
    <w:p w14:paraId="15FB2694" w14:textId="6216CD74" w:rsidR="00543AA4" w:rsidRPr="00950AB7" w:rsidRDefault="00B01982" w:rsidP="00543AA4">
      <w:pPr>
        <w:rPr>
          <w:rFonts w:ascii="Tahoma" w:hAnsi="Tahoma" w:cs="Tahoma"/>
          <w:sz w:val="24"/>
          <w:szCs w:val="24"/>
        </w:rPr>
      </w:pPr>
      <w:r w:rsidRPr="00950AB7">
        <w:rPr>
          <w:rFonts w:ascii="Tahoma" w:hAnsi="Tahoma" w:cs="Tahoma"/>
          <w:noProof/>
          <w:sz w:val="24"/>
          <w:szCs w:val="24"/>
          <w:lang w:eastAsia="en-GB"/>
        </w:rPr>
        <w:drawing>
          <wp:inline distT="0" distB="0" distL="0" distR="0" wp14:anchorId="41A4E6C7" wp14:editId="3E7E97FC">
            <wp:extent cx="6161405" cy="1549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21718" t="4310" b="8046"/>
                    <a:stretch/>
                  </pic:blipFill>
                  <pic:spPr bwMode="auto">
                    <a:xfrm>
                      <a:off x="0" y="0"/>
                      <a:ext cx="6161405" cy="1549400"/>
                    </a:xfrm>
                    <a:prstGeom prst="rect">
                      <a:avLst/>
                    </a:prstGeom>
                    <a:noFill/>
                    <a:ln>
                      <a:noFill/>
                    </a:ln>
                    <a:extLst>
                      <a:ext uri="{53640926-AAD7-44D8-BBD7-CCE9431645EC}">
                        <a14:shadowObscured xmlns:a14="http://schemas.microsoft.com/office/drawing/2010/main"/>
                      </a:ext>
                    </a:extLst>
                  </pic:spPr>
                </pic:pic>
              </a:graphicData>
            </a:graphic>
          </wp:inline>
        </w:drawing>
      </w:r>
    </w:p>
    <w:p w14:paraId="5F03C857" w14:textId="77777777" w:rsidR="00543AA4" w:rsidRPr="00950AB7" w:rsidRDefault="00543AA4" w:rsidP="00543AA4">
      <w:pPr>
        <w:rPr>
          <w:rFonts w:ascii="Tahoma" w:hAnsi="Tahoma" w:cs="Tahoma"/>
          <w:sz w:val="16"/>
          <w:szCs w:val="16"/>
        </w:rPr>
      </w:pPr>
      <w:r w:rsidRPr="00950AB7">
        <w:rPr>
          <w:rFonts w:ascii="Tahoma" w:hAnsi="Tahoma" w:cs="Tahoma"/>
          <w:sz w:val="16"/>
          <w:szCs w:val="16"/>
        </w:rPr>
        <w:t xml:space="preserve">1. Percentages are rounded and may not add to 100. </w:t>
      </w:r>
    </w:p>
    <w:p w14:paraId="2F29A3DF" w14:textId="1D840F08" w:rsidR="00543AA4" w:rsidRPr="00950AB7" w:rsidRDefault="00543AA4" w:rsidP="00543AA4">
      <w:pPr>
        <w:rPr>
          <w:rFonts w:ascii="Tahoma" w:hAnsi="Tahoma" w:cs="Tahoma"/>
          <w:sz w:val="8"/>
          <w:szCs w:val="8"/>
        </w:rPr>
      </w:pPr>
    </w:p>
    <w:p w14:paraId="35FF3FD0" w14:textId="77777777" w:rsidR="007C556A" w:rsidRPr="00950AB7" w:rsidRDefault="007C556A" w:rsidP="00543AA4">
      <w:pPr>
        <w:rPr>
          <w:rFonts w:ascii="Tahoma" w:hAnsi="Tahoma" w:cs="Tahoma"/>
          <w:sz w:val="24"/>
          <w:szCs w:val="24"/>
        </w:rPr>
      </w:pPr>
    </w:p>
    <w:p w14:paraId="2763DDF7" w14:textId="52243F4E" w:rsidR="007627CE" w:rsidRPr="00950AB7" w:rsidRDefault="00C13337" w:rsidP="00C13337">
      <w:pPr>
        <w:rPr>
          <w:rFonts w:ascii="Tahoma" w:hAnsi="Tahoma" w:cs="Tahoma"/>
          <w:sz w:val="24"/>
          <w:szCs w:val="24"/>
        </w:rPr>
      </w:pPr>
      <w:r w:rsidRPr="00950AB7">
        <w:rPr>
          <w:rFonts w:ascii="Tahoma" w:hAnsi="Tahoma" w:cs="Tahoma"/>
          <w:sz w:val="24"/>
          <w:szCs w:val="24"/>
        </w:rPr>
        <w:t xml:space="preserve">In at least half of the providers that declined to requires improvement or inadequate this year, inspectors found leaders’ evaluation of the quality of provision was insufficiently rigorous and monitoring processes did not identify areas of underperformance accurately. </w:t>
      </w:r>
      <w:r w:rsidR="008C57E7" w:rsidRPr="00950AB7">
        <w:rPr>
          <w:rFonts w:ascii="Tahoma" w:hAnsi="Tahoma" w:cs="Tahoma"/>
          <w:sz w:val="24"/>
          <w:szCs w:val="24"/>
        </w:rPr>
        <w:t>Within the providers, the p</w:t>
      </w:r>
      <w:r w:rsidR="0061775D" w:rsidRPr="00950AB7">
        <w:rPr>
          <w:rFonts w:ascii="Tahoma" w:hAnsi="Tahoma" w:cs="Tahoma"/>
          <w:sz w:val="24"/>
          <w:szCs w:val="24"/>
        </w:rPr>
        <w:t>rogress and/or achievement of learners and apprentices was either too low, too slow</w:t>
      </w:r>
      <w:r w:rsidR="001A5974" w:rsidRPr="00950AB7">
        <w:rPr>
          <w:rFonts w:ascii="Tahoma" w:hAnsi="Tahoma" w:cs="Tahoma"/>
          <w:sz w:val="24"/>
          <w:szCs w:val="24"/>
        </w:rPr>
        <w:t xml:space="preserve"> or in decline. L</w:t>
      </w:r>
      <w:r w:rsidR="0061775D" w:rsidRPr="00950AB7">
        <w:rPr>
          <w:rFonts w:ascii="Tahoma" w:hAnsi="Tahoma" w:cs="Tahoma"/>
          <w:sz w:val="24"/>
          <w:szCs w:val="24"/>
        </w:rPr>
        <w:t>eaders, managers and teachers did not always make sure that learners and apprentices developed good skills in English and mathematics</w:t>
      </w:r>
      <w:r w:rsidR="007627CE" w:rsidRPr="00950AB7">
        <w:rPr>
          <w:rFonts w:ascii="Tahoma" w:hAnsi="Tahoma" w:cs="Tahoma"/>
          <w:sz w:val="24"/>
        </w:rPr>
        <w:t>.</w:t>
      </w:r>
    </w:p>
    <w:p w14:paraId="67A2BBB9" w14:textId="77777777" w:rsidR="007627CE" w:rsidRPr="00950AB7" w:rsidRDefault="007627CE" w:rsidP="00543AA4">
      <w:pPr>
        <w:rPr>
          <w:rFonts w:ascii="Tahoma" w:hAnsi="Tahoma" w:cs="Tahoma"/>
          <w:sz w:val="24"/>
          <w:szCs w:val="24"/>
        </w:rPr>
      </w:pPr>
    </w:p>
    <w:p w14:paraId="4D3079FE" w14:textId="6607A37E" w:rsidR="004B3B16" w:rsidRPr="00950AB7" w:rsidRDefault="0061775D" w:rsidP="0094486B">
      <w:pPr>
        <w:rPr>
          <w:rFonts w:ascii="Tahoma" w:hAnsi="Tahoma" w:cs="Tahoma"/>
          <w:sz w:val="24"/>
        </w:rPr>
      </w:pPr>
      <w:r w:rsidRPr="00950AB7">
        <w:rPr>
          <w:rFonts w:ascii="Tahoma" w:hAnsi="Tahoma" w:cs="Tahoma"/>
          <w:sz w:val="24"/>
          <w:szCs w:val="24"/>
        </w:rPr>
        <w:t>In the seven providers that either remained or improved to outstandi</w:t>
      </w:r>
      <w:r w:rsidR="0094486B" w:rsidRPr="00950AB7">
        <w:rPr>
          <w:rFonts w:ascii="Tahoma" w:hAnsi="Tahoma" w:cs="Tahoma"/>
          <w:sz w:val="24"/>
          <w:szCs w:val="24"/>
        </w:rPr>
        <w:t xml:space="preserve">ng in 2016/17, inspectors found that </w:t>
      </w:r>
      <w:r w:rsidRPr="00950AB7">
        <w:rPr>
          <w:rFonts w:ascii="Tahoma" w:hAnsi="Tahoma" w:cs="Tahoma"/>
          <w:sz w:val="24"/>
          <w:szCs w:val="24"/>
        </w:rPr>
        <w:t>leaders, managers and staff had high expectations for the</w:t>
      </w:r>
      <w:r w:rsidR="008C57E7" w:rsidRPr="00950AB7">
        <w:rPr>
          <w:rFonts w:ascii="Tahoma" w:hAnsi="Tahoma" w:cs="Tahoma"/>
          <w:sz w:val="24"/>
          <w:szCs w:val="24"/>
        </w:rPr>
        <w:t>ir</w:t>
      </w:r>
      <w:r w:rsidRPr="00950AB7">
        <w:rPr>
          <w:rFonts w:ascii="Tahoma" w:hAnsi="Tahoma" w:cs="Tahoma"/>
          <w:sz w:val="24"/>
          <w:szCs w:val="24"/>
        </w:rPr>
        <w:t xml:space="preserve"> learners and apprentices</w:t>
      </w:r>
      <w:r w:rsidR="0094486B" w:rsidRPr="00950AB7">
        <w:rPr>
          <w:rFonts w:ascii="Tahoma" w:hAnsi="Tahoma" w:cs="Tahoma"/>
          <w:sz w:val="24"/>
          <w:szCs w:val="24"/>
        </w:rPr>
        <w:t>. T</w:t>
      </w:r>
      <w:r w:rsidRPr="00950AB7">
        <w:rPr>
          <w:rFonts w:ascii="Tahoma" w:hAnsi="Tahoma" w:cs="Tahoma"/>
          <w:sz w:val="24"/>
          <w:szCs w:val="24"/>
        </w:rPr>
        <w:t>raining officers were highly skilled, had good industry knowledge and gave significant support and guidance</w:t>
      </w:r>
      <w:r w:rsidR="0094486B" w:rsidRPr="00950AB7">
        <w:rPr>
          <w:rFonts w:ascii="Tahoma" w:hAnsi="Tahoma" w:cs="Tahoma"/>
          <w:sz w:val="24"/>
          <w:szCs w:val="24"/>
        </w:rPr>
        <w:t>. L</w:t>
      </w:r>
      <w:r w:rsidRPr="00950AB7">
        <w:rPr>
          <w:rFonts w:ascii="Tahoma" w:hAnsi="Tahoma" w:cs="Tahoma"/>
          <w:sz w:val="24"/>
          <w:szCs w:val="24"/>
        </w:rPr>
        <w:t xml:space="preserve">earners and apprentices were making outstanding progress and had excellent achievement rates. </w:t>
      </w:r>
    </w:p>
    <w:p w14:paraId="7F56248D" w14:textId="022B659E" w:rsidR="004B3B16" w:rsidRPr="00950AB7" w:rsidRDefault="004B3B16" w:rsidP="00543AA4">
      <w:pPr>
        <w:rPr>
          <w:rFonts w:ascii="Tahoma" w:hAnsi="Tahoma" w:cs="Tahoma"/>
          <w:sz w:val="24"/>
          <w:szCs w:val="24"/>
        </w:rPr>
      </w:pPr>
    </w:p>
    <w:p w14:paraId="5B2544B1" w14:textId="77777777" w:rsidR="007C556A" w:rsidRPr="00950AB7" w:rsidRDefault="007C556A">
      <w:pPr>
        <w:rPr>
          <w:rFonts w:ascii="Tahoma" w:hAnsi="Tahoma" w:cs="Tahoma"/>
          <w:sz w:val="24"/>
          <w:szCs w:val="24"/>
        </w:rPr>
      </w:pPr>
      <w:r w:rsidRPr="00950AB7">
        <w:rPr>
          <w:rFonts w:ascii="Tahoma" w:hAnsi="Tahoma" w:cs="Tahoma"/>
          <w:sz w:val="24"/>
          <w:szCs w:val="24"/>
        </w:rPr>
        <w:br w:type="page"/>
      </w:r>
    </w:p>
    <w:p w14:paraId="2321551F" w14:textId="1C3FEAF4" w:rsidR="0066793B" w:rsidRPr="00950AB7" w:rsidRDefault="00495987" w:rsidP="00543AA4">
      <w:pPr>
        <w:rPr>
          <w:rFonts w:ascii="Tahoma" w:hAnsi="Tahoma" w:cs="Tahoma"/>
          <w:sz w:val="24"/>
          <w:szCs w:val="24"/>
        </w:rPr>
      </w:pPr>
      <w:r w:rsidRPr="00950AB7">
        <w:rPr>
          <w:rFonts w:ascii="Tahoma" w:hAnsi="Tahoma" w:cs="Tahoma"/>
          <w:sz w:val="24"/>
          <w:szCs w:val="24"/>
        </w:rPr>
        <w:lastRenderedPageBreak/>
        <w:t>B</w:t>
      </w:r>
      <w:r w:rsidR="0066793B" w:rsidRPr="00950AB7">
        <w:rPr>
          <w:rFonts w:ascii="Tahoma" w:hAnsi="Tahoma" w:cs="Tahoma"/>
          <w:sz w:val="24"/>
          <w:szCs w:val="24"/>
        </w:rPr>
        <w:t>etween 1 September 2016 and 31 August 2017, more providers declined to requires improvement or inadequate (43) than improved to good or outstanding (26).</w:t>
      </w:r>
    </w:p>
    <w:p w14:paraId="18BDDDBF" w14:textId="10EBE619" w:rsidR="00495591" w:rsidRPr="00950AB7" w:rsidRDefault="00495591">
      <w:pPr>
        <w:rPr>
          <w:rFonts w:ascii="Tahoma" w:hAnsi="Tahoma" w:cs="Tahoma"/>
          <w:b/>
          <w:sz w:val="24"/>
          <w:szCs w:val="24"/>
        </w:rPr>
      </w:pPr>
    </w:p>
    <w:p w14:paraId="44E70B6C" w14:textId="77777777" w:rsidR="007717C8" w:rsidRPr="00950AB7" w:rsidRDefault="007717C8">
      <w:pPr>
        <w:rPr>
          <w:rFonts w:ascii="Tahoma" w:hAnsi="Tahoma" w:cs="Tahoma"/>
          <w:b/>
          <w:sz w:val="8"/>
          <w:szCs w:val="8"/>
        </w:rPr>
      </w:pPr>
    </w:p>
    <w:p w14:paraId="6720E18D" w14:textId="6D70BADF" w:rsidR="001A5974" w:rsidRPr="00950AB7" w:rsidRDefault="00AC185D" w:rsidP="0066793B">
      <w:pPr>
        <w:rPr>
          <w:rFonts w:ascii="Tahoma" w:hAnsi="Tahoma" w:cs="Tahoma"/>
          <w:b/>
          <w:sz w:val="24"/>
          <w:szCs w:val="24"/>
        </w:rPr>
      </w:pPr>
      <w:r w:rsidRPr="00950AB7">
        <w:rPr>
          <w:rFonts w:ascii="Tahoma" w:hAnsi="Tahoma" w:cs="Tahoma"/>
          <w:bCs/>
          <w:noProof/>
          <w:sz w:val="24"/>
          <w:szCs w:val="24"/>
          <w:lang w:eastAsia="en-GB"/>
        </w:rPr>
        <mc:AlternateContent>
          <mc:Choice Requires="wps">
            <w:drawing>
              <wp:anchor distT="0" distB="0" distL="114300" distR="114300" simplePos="0" relativeHeight="251679744" behindDoc="0" locked="0" layoutInCell="1" allowOverlap="1" wp14:anchorId="65CC567F" wp14:editId="68A03164">
                <wp:simplePos x="0" y="0"/>
                <wp:positionH relativeFrom="margin">
                  <wp:posOffset>-82137</wp:posOffset>
                </wp:positionH>
                <wp:positionV relativeFrom="paragraph">
                  <wp:posOffset>-74604</wp:posOffset>
                </wp:positionV>
                <wp:extent cx="6172200" cy="3891516"/>
                <wp:effectExtent l="0" t="0" r="19050" b="13970"/>
                <wp:wrapNone/>
                <wp:docPr id="4" name="Rectangle 4"/>
                <wp:cNvGraphicFramePr/>
                <a:graphic xmlns:a="http://schemas.openxmlformats.org/drawingml/2006/main">
                  <a:graphicData uri="http://schemas.microsoft.com/office/word/2010/wordprocessingShape">
                    <wps:wsp>
                      <wps:cNvSpPr/>
                      <wps:spPr>
                        <a:xfrm>
                          <a:off x="0" y="0"/>
                          <a:ext cx="6172200" cy="38915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7A2D" id="Rectangle 4" o:spid="_x0000_s1026" style="position:absolute;margin-left:-6.45pt;margin-top:-5.85pt;width:486pt;height:30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" filled="f" strokecolor="windowText">
                <w10:wrap anchorx="margin"/>
              </v:rect>
            </w:pict>
          </mc:Fallback>
        </mc:AlternateContent>
      </w:r>
      <w:r w:rsidR="001A5974" w:rsidRPr="00950AB7">
        <w:rPr>
          <w:rFonts w:ascii="Tahoma" w:hAnsi="Tahoma" w:cs="Tahoma"/>
          <w:b/>
          <w:sz w:val="24"/>
          <w:szCs w:val="24"/>
        </w:rPr>
        <w:t xml:space="preserve">Figure </w:t>
      </w:r>
      <w:r w:rsidR="00F10D5F" w:rsidRPr="00950AB7">
        <w:rPr>
          <w:rFonts w:ascii="Tahoma" w:hAnsi="Tahoma" w:cs="Tahoma"/>
          <w:b/>
          <w:sz w:val="24"/>
          <w:szCs w:val="24"/>
        </w:rPr>
        <w:t>8</w:t>
      </w:r>
      <w:r w:rsidR="001A5974" w:rsidRPr="00950AB7">
        <w:rPr>
          <w:rFonts w:ascii="Tahoma" w:hAnsi="Tahoma" w:cs="Tahoma"/>
          <w:b/>
          <w:sz w:val="24"/>
          <w:szCs w:val="24"/>
        </w:rPr>
        <w:t>: Independent learning providers (including employer providers) inspection outcomes between 1 September 2016 and 31 August 2017, by previous overall effectiveness and type of inspection</w:t>
      </w:r>
    </w:p>
    <w:tbl>
      <w:tblPr>
        <w:tblW w:w="9483" w:type="dxa"/>
        <w:tblCellMar>
          <w:left w:w="57" w:type="dxa"/>
          <w:right w:w="57" w:type="dxa"/>
        </w:tblCellMar>
        <w:tblLook w:val="04A0" w:firstRow="1" w:lastRow="0" w:firstColumn="1" w:lastColumn="0" w:noHBand="0" w:noVBand="1"/>
      </w:tblPr>
      <w:tblGrid>
        <w:gridCol w:w="1574"/>
        <w:gridCol w:w="1392"/>
        <w:gridCol w:w="1398"/>
        <w:gridCol w:w="1469"/>
        <w:gridCol w:w="776"/>
        <w:gridCol w:w="1551"/>
        <w:gridCol w:w="1323"/>
      </w:tblGrid>
      <w:tr w:rsidR="001A5974" w:rsidRPr="00950AB7" w14:paraId="73158289" w14:textId="77777777" w:rsidTr="004D65A0">
        <w:trPr>
          <w:trHeight w:val="255"/>
        </w:trPr>
        <w:tc>
          <w:tcPr>
            <w:tcW w:w="1574" w:type="dxa"/>
            <w:vMerge w:val="restart"/>
            <w:tcBorders>
              <w:top w:val="single" w:sz="4" w:space="0" w:color="auto"/>
              <w:bottom w:val="single" w:sz="4" w:space="0" w:color="000000"/>
            </w:tcBorders>
            <w:shd w:val="clear" w:color="auto" w:fill="FFFFFF" w:themeFill="background1"/>
            <w:noWrap/>
            <w:vAlign w:val="bottom"/>
            <w:hideMark/>
          </w:tcPr>
          <w:p w14:paraId="7379BE5A" w14:textId="77777777" w:rsidR="001A5974" w:rsidRPr="00950AB7" w:rsidRDefault="001A5974" w:rsidP="004D65A0">
            <w:pPr>
              <w:rPr>
                <w:rFonts w:ascii="Tahoma" w:eastAsia="Times New Roman" w:hAnsi="Tahoma" w:cs="Tahoma"/>
                <w:b/>
                <w:color w:val="000000"/>
                <w:lang w:eastAsia="en-GB"/>
              </w:rPr>
            </w:pPr>
            <w:r w:rsidRPr="00950AB7">
              <w:rPr>
                <w:rFonts w:ascii="Tahoma" w:eastAsia="Times New Roman" w:hAnsi="Tahoma" w:cs="Tahoma"/>
                <w:b/>
                <w:color w:val="000000"/>
                <w:lang w:eastAsia="en-GB"/>
              </w:rPr>
              <w:t>Previous overall effectiveness</w:t>
            </w:r>
          </w:p>
        </w:tc>
        <w:tc>
          <w:tcPr>
            <w:tcW w:w="1392" w:type="dxa"/>
            <w:vMerge w:val="restart"/>
            <w:tcBorders>
              <w:top w:val="single" w:sz="4" w:space="0" w:color="auto"/>
              <w:bottom w:val="single" w:sz="4" w:space="0" w:color="000000"/>
            </w:tcBorders>
            <w:shd w:val="clear" w:color="auto" w:fill="FFFFFF" w:themeFill="background1"/>
            <w:vAlign w:val="bottom"/>
            <w:hideMark/>
          </w:tcPr>
          <w:p w14:paraId="208884A0" w14:textId="77777777" w:rsidR="001A5974" w:rsidRPr="00950AB7" w:rsidRDefault="001A5974" w:rsidP="004D65A0">
            <w:pPr>
              <w:rPr>
                <w:rFonts w:ascii="Tahoma" w:eastAsia="Times New Roman" w:hAnsi="Tahoma" w:cs="Tahoma"/>
                <w:b/>
                <w:color w:val="000000"/>
                <w:lang w:eastAsia="en-GB"/>
              </w:rPr>
            </w:pPr>
            <w:r w:rsidRPr="00950AB7">
              <w:rPr>
                <w:rFonts w:ascii="Tahoma" w:eastAsia="Times New Roman" w:hAnsi="Tahoma" w:cs="Tahoma"/>
                <w:b/>
                <w:color w:val="000000"/>
                <w:lang w:eastAsia="en-GB"/>
              </w:rPr>
              <w:t>Type of inspection</w:t>
            </w:r>
          </w:p>
        </w:tc>
        <w:tc>
          <w:tcPr>
            <w:tcW w:w="1398" w:type="dxa"/>
            <w:vMerge w:val="restart"/>
            <w:tcBorders>
              <w:top w:val="single" w:sz="4" w:space="0" w:color="auto"/>
              <w:bottom w:val="single" w:sz="4" w:space="0" w:color="000000"/>
            </w:tcBorders>
            <w:shd w:val="clear" w:color="auto" w:fill="FFFFFF" w:themeFill="background1"/>
            <w:vAlign w:val="bottom"/>
            <w:hideMark/>
          </w:tcPr>
          <w:p w14:paraId="3054A067" w14:textId="77777777" w:rsidR="001A5974" w:rsidRPr="00950AB7" w:rsidRDefault="001A5974" w:rsidP="004D65A0">
            <w:pPr>
              <w:jc w:val="center"/>
              <w:rPr>
                <w:rFonts w:ascii="Tahoma" w:eastAsia="Times New Roman" w:hAnsi="Tahoma" w:cs="Tahoma"/>
                <w:b/>
                <w:color w:val="000000"/>
                <w:lang w:eastAsia="en-GB"/>
              </w:rPr>
            </w:pPr>
            <w:r w:rsidRPr="00950AB7">
              <w:rPr>
                <w:rFonts w:ascii="Tahoma" w:eastAsia="Times New Roman" w:hAnsi="Tahoma" w:cs="Tahoma"/>
                <w:b/>
                <w:color w:val="000000"/>
                <w:lang w:eastAsia="en-GB"/>
              </w:rPr>
              <w:t>Total number of inspections</w:t>
            </w:r>
          </w:p>
        </w:tc>
        <w:tc>
          <w:tcPr>
            <w:tcW w:w="5119" w:type="dxa"/>
            <w:gridSpan w:val="4"/>
            <w:tcBorders>
              <w:top w:val="single" w:sz="4" w:space="0" w:color="auto"/>
              <w:bottom w:val="single" w:sz="4" w:space="0" w:color="auto"/>
            </w:tcBorders>
            <w:shd w:val="clear" w:color="auto" w:fill="FFFFFF" w:themeFill="background1"/>
            <w:noWrap/>
            <w:vAlign w:val="center"/>
            <w:hideMark/>
          </w:tcPr>
          <w:p w14:paraId="399A64B0" w14:textId="77777777" w:rsidR="001A5974" w:rsidRPr="00950AB7" w:rsidRDefault="001A5974" w:rsidP="004D65A0">
            <w:pPr>
              <w:jc w:val="center"/>
              <w:rPr>
                <w:rFonts w:ascii="Tahoma" w:eastAsia="Times New Roman" w:hAnsi="Tahoma" w:cs="Tahoma"/>
                <w:b/>
                <w:color w:val="000000"/>
                <w:lang w:eastAsia="en-GB"/>
              </w:rPr>
            </w:pPr>
            <w:r w:rsidRPr="00950AB7">
              <w:rPr>
                <w:rFonts w:ascii="Tahoma" w:eastAsia="Times New Roman" w:hAnsi="Tahoma" w:cs="Tahoma"/>
                <w:b/>
                <w:color w:val="000000"/>
                <w:lang w:eastAsia="en-GB"/>
              </w:rPr>
              <w:t>Overall effectiveness (number)</w:t>
            </w:r>
          </w:p>
        </w:tc>
      </w:tr>
      <w:tr w:rsidR="001A5974" w:rsidRPr="00950AB7" w14:paraId="1AF930E8" w14:textId="77777777" w:rsidTr="004D65A0">
        <w:trPr>
          <w:trHeight w:val="255"/>
        </w:trPr>
        <w:tc>
          <w:tcPr>
            <w:tcW w:w="1574" w:type="dxa"/>
            <w:vMerge/>
            <w:tcBorders>
              <w:top w:val="single" w:sz="4" w:space="0" w:color="auto"/>
              <w:bottom w:val="single" w:sz="4" w:space="0" w:color="000000"/>
            </w:tcBorders>
            <w:shd w:val="clear" w:color="auto" w:fill="FFFFFF" w:themeFill="background1"/>
            <w:vAlign w:val="center"/>
            <w:hideMark/>
          </w:tcPr>
          <w:p w14:paraId="1B3DB05E" w14:textId="77777777" w:rsidR="001A5974" w:rsidRPr="00950AB7" w:rsidRDefault="001A5974" w:rsidP="004D65A0">
            <w:pPr>
              <w:rPr>
                <w:rFonts w:ascii="Tahoma" w:eastAsia="Times New Roman" w:hAnsi="Tahoma" w:cs="Tahoma"/>
                <w:color w:val="000000"/>
                <w:lang w:eastAsia="en-GB"/>
              </w:rPr>
            </w:pPr>
          </w:p>
        </w:tc>
        <w:tc>
          <w:tcPr>
            <w:tcW w:w="1392" w:type="dxa"/>
            <w:vMerge/>
            <w:tcBorders>
              <w:top w:val="single" w:sz="4" w:space="0" w:color="auto"/>
              <w:bottom w:val="single" w:sz="4" w:space="0" w:color="000000"/>
            </w:tcBorders>
            <w:shd w:val="clear" w:color="auto" w:fill="FFFFFF" w:themeFill="background1"/>
            <w:vAlign w:val="center"/>
            <w:hideMark/>
          </w:tcPr>
          <w:p w14:paraId="28A3BD86" w14:textId="77777777" w:rsidR="001A5974" w:rsidRPr="00950AB7" w:rsidRDefault="001A5974" w:rsidP="004D65A0">
            <w:pPr>
              <w:rPr>
                <w:rFonts w:ascii="Tahoma" w:eastAsia="Times New Roman" w:hAnsi="Tahoma" w:cs="Tahoma"/>
                <w:color w:val="000000"/>
                <w:lang w:eastAsia="en-GB"/>
              </w:rPr>
            </w:pPr>
          </w:p>
        </w:tc>
        <w:tc>
          <w:tcPr>
            <w:tcW w:w="1398" w:type="dxa"/>
            <w:vMerge/>
            <w:tcBorders>
              <w:top w:val="single" w:sz="4" w:space="0" w:color="auto"/>
              <w:bottom w:val="single" w:sz="4" w:space="0" w:color="000000"/>
            </w:tcBorders>
            <w:shd w:val="clear" w:color="auto" w:fill="FFFFFF" w:themeFill="background1"/>
            <w:vAlign w:val="center"/>
            <w:hideMark/>
          </w:tcPr>
          <w:p w14:paraId="2CAA7A13" w14:textId="77777777" w:rsidR="001A5974" w:rsidRPr="00950AB7" w:rsidRDefault="001A5974" w:rsidP="004D65A0">
            <w:pPr>
              <w:rPr>
                <w:rFonts w:ascii="Tahoma" w:eastAsia="Times New Roman" w:hAnsi="Tahoma" w:cs="Tahoma"/>
                <w:color w:val="000000"/>
                <w:lang w:eastAsia="en-GB"/>
              </w:rPr>
            </w:pPr>
          </w:p>
        </w:tc>
        <w:tc>
          <w:tcPr>
            <w:tcW w:w="1469" w:type="dxa"/>
            <w:tcBorders>
              <w:top w:val="nil"/>
              <w:bottom w:val="single" w:sz="4" w:space="0" w:color="auto"/>
            </w:tcBorders>
            <w:shd w:val="clear" w:color="auto" w:fill="FFFFFF" w:themeFill="background1"/>
            <w:noWrap/>
            <w:vAlign w:val="bottom"/>
            <w:hideMark/>
          </w:tcPr>
          <w:p w14:paraId="2319EDD1" w14:textId="77777777" w:rsidR="001A5974" w:rsidRPr="00950AB7" w:rsidRDefault="001A5974" w:rsidP="004D65A0">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Outstanding</w:t>
            </w:r>
          </w:p>
        </w:tc>
        <w:tc>
          <w:tcPr>
            <w:tcW w:w="776" w:type="dxa"/>
            <w:tcBorders>
              <w:top w:val="nil"/>
              <w:bottom w:val="single" w:sz="4" w:space="0" w:color="auto"/>
            </w:tcBorders>
            <w:shd w:val="clear" w:color="auto" w:fill="FFFFFF" w:themeFill="background1"/>
            <w:noWrap/>
            <w:vAlign w:val="bottom"/>
            <w:hideMark/>
          </w:tcPr>
          <w:p w14:paraId="34C52645" w14:textId="77777777" w:rsidR="001A5974" w:rsidRPr="00950AB7" w:rsidRDefault="001A5974" w:rsidP="004D65A0">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Good</w:t>
            </w:r>
            <w:r w:rsidRPr="00950AB7">
              <w:rPr>
                <w:rFonts w:ascii="Tahoma" w:eastAsia="Times New Roman" w:hAnsi="Tahoma" w:cs="Tahoma"/>
                <w:color w:val="000000"/>
                <w:vertAlign w:val="superscript"/>
                <w:lang w:eastAsia="en-GB"/>
              </w:rPr>
              <w:t>1</w:t>
            </w:r>
          </w:p>
        </w:tc>
        <w:tc>
          <w:tcPr>
            <w:tcW w:w="1551" w:type="dxa"/>
            <w:tcBorders>
              <w:top w:val="nil"/>
              <w:bottom w:val="single" w:sz="4" w:space="0" w:color="auto"/>
            </w:tcBorders>
            <w:shd w:val="clear" w:color="auto" w:fill="FFFFFF" w:themeFill="background1"/>
            <w:noWrap/>
            <w:vAlign w:val="bottom"/>
            <w:hideMark/>
          </w:tcPr>
          <w:p w14:paraId="0A59F984" w14:textId="77777777" w:rsidR="001A5974" w:rsidRPr="00950AB7" w:rsidRDefault="001A5974" w:rsidP="004D65A0">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Requires improvement</w:t>
            </w:r>
          </w:p>
        </w:tc>
        <w:tc>
          <w:tcPr>
            <w:tcW w:w="1323" w:type="dxa"/>
            <w:tcBorders>
              <w:top w:val="nil"/>
              <w:bottom w:val="single" w:sz="4" w:space="0" w:color="auto"/>
            </w:tcBorders>
            <w:shd w:val="clear" w:color="auto" w:fill="FFFFFF" w:themeFill="background1"/>
            <w:noWrap/>
            <w:vAlign w:val="bottom"/>
            <w:hideMark/>
          </w:tcPr>
          <w:p w14:paraId="38C5E544" w14:textId="77777777" w:rsidR="001A5974" w:rsidRPr="00950AB7" w:rsidRDefault="001A5974" w:rsidP="004D65A0">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Inadequate</w:t>
            </w:r>
          </w:p>
        </w:tc>
      </w:tr>
      <w:tr w:rsidR="001A5974" w:rsidRPr="00950AB7" w14:paraId="1DA369F1" w14:textId="77777777" w:rsidTr="001A5974">
        <w:trPr>
          <w:trHeight w:val="255"/>
        </w:trPr>
        <w:tc>
          <w:tcPr>
            <w:tcW w:w="1574" w:type="dxa"/>
            <w:tcBorders>
              <w:top w:val="nil"/>
              <w:bottom w:val="single" w:sz="4" w:space="0" w:color="auto"/>
            </w:tcBorders>
            <w:shd w:val="clear" w:color="auto" w:fill="auto"/>
            <w:noWrap/>
            <w:vAlign w:val="center"/>
            <w:hideMark/>
          </w:tcPr>
          <w:p w14:paraId="64D5E788" w14:textId="77777777" w:rsidR="001A5974" w:rsidRPr="00950AB7" w:rsidRDefault="001A5974" w:rsidP="001A5974">
            <w:pPr>
              <w:rPr>
                <w:rFonts w:ascii="Tahoma" w:eastAsia="Times New Roman" w:hAnsi="Tahoma" w:cs="Tahoma"/>
                <w:color w:val="000000"/>
                <w:lang w:eastAsia="en-GB"/>
              </w:rPr>
            </w:pPr>
            <w:r w:rsidRPr="00950AB7">
              <w:rPr>
                <w:rFonts w:ascii="Tahoma" w:eastAsia="Times New Roman" w:hAnsi="Tahoma" w:cs="Tahoma"/>
                <w:color w:val="000000"/>
                <w:lang w:eastAsia="en-GB"/>
              </w:rPr>
              <w:t>Outstanding</w:t>
            </w:r>
          </w:p>
        </w:tc>
        <w:tc>
          <w:tcPr>
            <w:tcW w:w="1392" w:type="dxa"/>
            <w:tcBorders>
              <w:top w:val="nil"/>
              <w:bottom w:val="single" w:sz="4" w:space="0" w:color="auto"/>
            </w:tcBorders>
            <w:shd w:val="clear" w:color="auto" w:fill="auto"/>
            <w:noWrap/>
            <w:vAlign w:val="center"/>
            <w:hideMark/>
          </w:tcPr>
          <w:p w14:paraId="7D202F88" w14:textId="77777777" w:rsidR="001A5974" w:rsidRPr="00950AB7" w:rsidRDefault="001A5974" w:rsidP="001A5974">
            <w:pPr>
              <w:rPr>
                <w:rFonts w:ascii="Tahoma" w:eastAsia="Times New Roman" w:hAnsi="Tahoma" w:cs="Tahoma"/>
                <w:color w:val="000000"/>
                <w:lang w:eastAsia="en-GB"/>
              </w:rPr>
            </w:pPr>
            <w:r w:rsidRPr="00950AB7">
              <w:rPr>
                <w:rFonts w:ascii="Tahoma" w:eastAsia="Times New Roman" w:hAnsi="Tahoma" w:cs="Tahoma"/>
                <w:color w:val="000000"/>
                <w:lang w:eastAsia="en-GB"/>
              </w:rPr>
              <w:t>Full</w:t>
            </w:r>
          </w:p>
        </w:tc>
        <w:tc>
          <w:tcPr>
            <w:tcW w:w="1398" w:type="dxa"/>
            <w:tcBorders>
              <w:top w:val="nil"/>
              <w:bottom w:val="single" w:sz="4" w:space="0" w:color="auto"/>
            </w:tcBorders>
            <w:shd w:val="clear" w:color="auto" w:fill="auto"/>
            <w:noWrap/>
          </w:tcPr>
          <w:p w14:paraId="56CC8085" w14:textId="38D03241"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7</w:t>
            </w:r>
          </w:p>
        </w:tc>
        <w:tc>
          <w:tcPr>
            <w:tcW w:w="1469" w:type="dxa"/>
            <w:tcBorders>
              <w:top w:val="nil"/>
              <w:bottom w:val="single" w:sz="4" w:space="0" w:color="auto"/>
            </w:tcBorders>
            <w:shd w:val="clear" w:color="auto" w:fill="auto"/>
            <w:noWrap/>
          </w:tcPr>
          <w:p w14:paraId="7E6B61ED" w14:textId="2624CCC5"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2</w:t>
            </w:r>
          </w:p>
        </w:tc>
        <w:tc>
          <w:tcPr>
            <w:tcW w:w="776" w:type="dxa"/>
            <w:tcBorders>
              <w:top w:val="nil"/>
              <w:bottom w:val="single" w:sz="4" w:space="0" w:color="auto"/>
            </w:tcBorders>
            <w:shd w:val="clear" w:color="auto" w:fill="auto"/>
            <w:noWrap/>
          </w:tcPr>
          <w:p w14:paraId="7898CBB6" w14:textId="6CD05D48"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5</w:t>
            </w:r>
          </w:p>
        </w:tc>
        <w:tc>
          <w:tcPr>
            <w:tcW w:w="1551" w:type="dxa"/>
            <w:tcBorders>
              <w:top w:val="nil"/>
              <w:bottom w:val="single" w:sz="4" w:space="0" w:color="auto"/>
            </w:tcBorders>
            <w:shd w:val="clear" w:color="auto" w:fill="604A7B"/>
            <w:noWrap/>
          </w:tcPr>
          <w:p w14:paraId="18CC06D2" w14:textId="10978A72"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0</w:t>
            </w:r>
          </w:p>
        </w:tc>
        <w:tc>
          <w:tcPr>
            <w:tcW w:w="1323" w:type="dxa"/>
            <w:tcBorders>
              <w:top w:val="nil"/>
              <w:bottom w:val="single" w:sz="4" w:space="0" w:color="auto"/>
            </w:tcBorders>
            <w:shd w:val="clear" w:color="auto" w:fill="604A7B"/>
            <w:noWrap/>
          </w:tcPr>
          <w:p w14:paraId="662E69F3" w14:textId="20A6F17C"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0</w:t>
            </w:r>
          </w:p>
        </w:tc>
      </w:tr>
      <w:tr w:rsidR="001A5974" w:rsidRPr="00950AB7" w14:paraId="25293700" w14:textId="77777777" w:rsidTr="001A5974">
        <w:trPr>
          <w:trHeight w:val="255"/>
        </w:trPr>
        <w:tc>
          <w:tcPr>
            <w:tcW w:w="1574" w:type="dxa"/>
            <w:tcBorders>
              <w:top w:val="nil"/>
              <w:bottom w:val="single" w:sz="4" w:space="0" w:color="auto"/>
            </w:tcBorders>
            <w:shd w:val="clear" w:color="auto" w:fill="auto"/>
            <w:noWrap/>
            <w:vAlign w:val="center"/>
            <w:hideMark/>
          </w:tcPr>
          <w:p w14:paraId="21241426" w14:textId="77777777" w:rsidR="001A5974" w:rsidRPr="00950AB7" w:rsidRDefault="001A5974" w:rsidP="001A5974">
            <w:pPr>
              <w:rPr>
                <w:rFonts w:ascii="Tahoma" w:eastAsia="Times New Roman" w:hAnsi="Tahoma" w:cs="Tahoma"/>
                <w:color w:val="000000"/>
                <w:lang w:eastAsia="en-GB"/>
              </w:rPr>
            </w:pPr>
            <w:r w:rsidRPr="00950AB7">
              <w:rPr>
                <w:rFonts w:ascii="Tahoma" w:eastAsia="Times New Roman" w:hAnsi="Tahoma" w:cs="Tahoma"/>
                <w:color w:val="000000"/>
                <w:lang w:eastAsia="en-GB"/>
              </w:rPr>
              <w:t>Good</w:t>
            </w:r>
          </w:p>
        </w:tc>
        <w:tc>
          <w:tcPr>
            <w:tcW w:w="1392" w:type="dxa"/>
            <w:tcBorders>
              <w:top w:val="nil"/>
              <w:bottom w:val="single" w:sz="4" w:space="0" w:color="auto"/>
            </w:tcBorders>
            <w:shd w:val="clear" w:color="auto" w:fill="auto"/>
            <w:noWrap/>
            <w:vAlign w:val="center"/>
            <w:hideMark/>
          </w:tcPr>
          <w:p w14:paraId="0025C83B" w14:textId="77777777" w:rsidR="001A5974" w:rsidRPr="00950AB7" w:rsidRDefault="001A5974" w:rsidP="001A5974">
            <w:pPr>
              <w:rPr>
                <w:rFonts w:ascii="Tahoma" w:eastAsia="Times New Roman" w:hAnsi="Tahoma" w:cs="Tahoma"/>
                <w:color w:val="000000"/>
                <w:lang w:eastAsia="en-GB"/>
              </w:rPr>
            </w:pPr>
            <w:r w:rsidRPr="00950AB7">
              <w:rPr>
                <w:rFonts w:ascii="Tahoma" w:eastAsia="Times New Roman" w:hAnsi="Tahoma" w:cs="Tahoma"/>
                <w:color w:val="000000"/>
                <w:lang w:eastAsia="en-GB"/>
              </w:rPr>
              <w:t>Full</w:t>
            </w:r>
          </w:p>
        </w:tc>
        <w:tc>
          <w:tcPr>
            <w:tcW w:w="1398" w:type="dxa"/>
            <w:tcBorders>
              <w:top w:val="nil"/>
              <w:bottom w:val="single" w:sz="4" w:space="0" w:color="auto"/>
            </w:tcBorders>
            <w:shd w:val="clear" w:color="auto" w:fill="auto"/>
            <w:noWrap/>
          </w:tcPr>
          <w:p w14:paraId="447F2B6B" w14:textId="018EA580"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51</w:t>
            </w:r>
          </w:p>
        </w:tc>
        <w:tc>
          <w:tcPr>
            <w:tcW w:w="1469" w:type="dxa"/>
            <w:tcBorders>
              <w:top w:val="nil"/>
              <w:bottom w:val="single" w:sz="4" w:space="0" w:color="auto"/>
            </w:tcBorders>
            <w:shd w:val="clear" w:color="auto" w:fill="auto"/>
            <w:noWrap/>
          </w:tcPr>
          <w:p w14:paraId="5DB17340" w14:textId="586FD5F9"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3</w:t>
            </w:r>
          </w:p>
        </w:tc>
        <w:tc>
          <w:tcPr>
            <w:tcW w:w="776" w:type="dxa"/>
            <w:tcBorders>
              <w:top w:val="nil"/>
              <w:bottom w:val="single" w:sz="4" w:space="0" w:color="auto"/>
            </w:tcBorders>
            <w:shd w:val="clear" w:color="auto" w:fill="auto"/>
            <w:noWrap/>
          </w:tcPr>
          <w:p w14:paraId="7B9F3C22" w14:textId="55708D52"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14</w:t>
            </w:r>
          </w:p>
        </w:tc>
        <w:tc>
          <w:tcPr>
            <w:tcW w:w="1551" w:type="dxa"/>
            <w:tcBorders>
              <w:top w:val="nil"/>
              <w:bottom w:val="single" w:sz="4" w:space="0" w:color="auto"/>
            </w:tcBorders>
            <w:shd w:val="clear" w:color="auto" w:fill="604A7B"/>
            <w:noWrap/>
          </w:tcPr>
          <w:p w14:paraId="26D2D50C" w14:textId="59EA5C41"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25</w:t>
            </w:r>
          </w:p>
        </w:tc>
        <w:tc>
          <w:tcPr>
            <w:tcW w:w="1323" w:type="dxa"/>
            <w:tcBorders>
              <w:top w:val="nil"/>
              <w:bottom w:val="single" w:sz="4" w:space="0" w:color="auto"/>
            </w:tcBorders>
            <w:shd w:val="clear" w:color="auto" w:fill="604A7B"/>
            <w:noWrap/>
          </w:tcPr>
          <w:p w14:paraId="0143E808" w14:textId="0EE1FECF"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9</w:t>
            </w:r>
          </w:p>
        </w:tc>
      </w:tr>
      <w:tr w:rsidR="001A5974" w:rsidRPr="00950AB7" w14:paraId="31E37FAC" w14:textId="77777777" w:rsidTr="001A5974">
        <w:trPr>
          <w:trHeight w:val="255"/>
        </w:trPr>
        <w:tc>
          <w:tcPr>
            <w:tcW w:w="1574" w:type="dxa"/>
            <w:tcBorders>
              <w:top w:val="nil"/>
              <w:bottom w:val="single" w:sz="4" w:space="0" w:color="auto"/>
            </w:tcBorders>
            <w:shd w:val="clear" w:color="auto" w:fill="auto"/>
            <w:noWrap/>
            <w:vAlign w:val="center"/>
            <w:hideMark/>
          </w:tcPr>
          <w:p w14:paraId="392FC867" w14:textId="77777777" w:rsidR="001A5974" w:rsidRPr="00950AB7" w:rsidRDefault="001A5974" w:rsidP="004D65A0">
            <w:pPr>
              <w:rPr>
                <w:rFonts w:ascii="Tahoma" w:eastAsia="Times New Roman" w:hAnsi="Tahoma" w:cs="Tahoma"/>
                <w:color w:val="000000"/>
                <w:lang w:eastAsia="en-GB"/>
              </w:rPr>
            </w:pPr>
            <w:r w:rsidRPr="00950AB7">
              <w:rPr>
                <w:rFonts w:ascii="Tahoma" w:eastAsia="Times New Roman" w:hAnsi="Tahoma" w:cs="Tahoma"/>
                <w:color w:val="000000"/>
                <w:lang w:eastAsia="en-GB"/>
              </w:rPr>
              <w:t>Good</w:t>
            </w:r>
          </w:p>
        </w:tc>
        <w:tc>
          <w:tcPr>
            <w:tcW w:w="1392" w:type="dxa"/>
            <w:tcBorders>
              <w:top w:val="nil"/>
              <w:bottom w:val="single" w:sz="4" w:space="0" w:color="auto"/>
            </w:tcBorders>
            <w:shd w:val="clear" w:color="auto" w:fill="auto"/>
            <w:noWrap/>
            <w:vAlign w:val="center"/>
            <w:hideMark/>
          </w:tcPr>
          <w:p w14:paraId="7927EEBE" w14:textId="77777777" w:rsidR="001A5974" w:rsidRPr="00950AB7" w:rsidRDefault="001A5974" w:rsidP="004D65A0">
            <w:pPr>
              <w:rPr>
                <w:rFonts w:ascii="Tahoma" w:eastAsia="Times New Roman" w:hAnsi="Tahoma" w:cs="Tahoma"/>
                <w:color w:val="000000"/>
                <w:lang w:eastAsia="en-GB"/>
              </w:rPr>
            </w:pPr>
            <w:r w:rsidRPr="00950AB7">
              <w:rPr>
                <w:rFonts w:ascii="Tahoma" w:hAnsi="Tahoma" w:cs="Tahoma"/>
              </w:rPr>
              <w:t>Short (including conversions)</w:t>
            </w:r>
          </w:p>
        </w:tc>
        <w:tc>
          <w:tcPr>
            <w:tcW w:w="1398" w:type="dxa"/>
            <w:tcBorders>
              <w:top w:val="nil"/>
              <w:bottom w:val="single" w:sz="4" w:space="0" w:color="auto"/>
            </w:tcBorders>
            <w:shd w:val="clear" w:color="auto" w:fill="auto"/>
            <w:noWrap/>
            <w:vAlign w:val="center"/>
          </w:tcPr>
          <w:p w14:paraId="0BFEF6F2" w14:textId="52BAD9F2" w:rsidR="001A5974" w:rsidRPr="00950AB7" w:rsidRDefault="001A5974" w:rsidP="004D65A0">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45</w:t>
            </w:r>
          </w:p>
        </w:tc>
        <w:tc>
          <w:tcPr>
            <w:tcW w:w="1469" w:type="dxa"/>
            <w:tcBorders>
              <w:top w:val="nil"/>
              <w:bottom w:val="single" w:sz="4" w:space="0" w:color="auto"/>
            </w:tcBorders>
            <w:shd w:val="clear" w:color="auto" w:fill="auto"/>
            <w:noWrap/>
            <w:vAlign w:val="center"/>
          </w:tcPr>
          <w:p w14:paraId="4F546892" w14:textId="6547FCCB" w:rsidR="001A5974" w:rsidRPr="00950AB7" w:rsidRDefault="001A5974" w:rsidP="004D65A0">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2</w:t>
            </w:r>
          </w:p>
        </w:tc>
        <w:tc>
          <w:tcPr>
            <w:tcW w:w="776" w:type="dxa"/>
            <w:tcBorders>
              <w:top w:val="nil"/>
              <w:bottom w:val="single" w:sz="4" w:space="0" w:color="auto"/>
            </w:tcBorders>
            <w:shd w:val="clear" w:color="auto" w:fill="auto"/>
            <w:noWrap/>
            <w:vAlign w:val="center"/>
          </w:tcPr>
          <w:p w14:paraId="743C8DE4" w14:textId="15B9D675" w:rsidR="001A5974" w:rsidRPr="00950AB7" w:rsidRDefault="001A5974" w:rsidP="004D65A0">
            <w:pPr>
              <w:jc w:val="center"/>
              <w:rPr>
                <w:rFonts w:ascii="Tahoma" w:eastAsia="Times New Roman" w:hAnsi="Tahoma" w:cs="Tahoma"/>
                <w:color w:val="000000"/>
                <w:lang w:eastAsia="en-GB"/>
              </w:rPr>
            </w:pPr>
            <w:r w:rsidRPr="00950AB7">
              <w:rPr>
                <w:rFonts w:ascii="Tahoma" w:eastAsia="Times New Roman" w:hAnsi="Tahoma" w:cs="Tahoma"/>
                <w:color w:val="000000"/>
                <w:lang w:eastAsia="en-GB"/>
              </w:rPr>
              <w:t>34</w:t>
            </w:r>
          </w:p>
        </w:tc>
        <w:tc>
          <w:tcPr>
            <w:tcW w:w="1551" w:type="dxa"/>
            <w:tcBorders>
              <w:top w:val="nil"/>
              <w:bottom w:val="single" w:sz="4" w:space="0" w:color="auto"/>
            </w:tcBorders>
            <w:shd w:val="clear" w:color="auto" w:fill="604A7B"/>
            <w:noWrap/>
            <w:vAlign w:val="center"/>
          </w:tcPr>
          <w:p w14:paraId="521C5066" w14:textId="156510C3" w:rsidR="001A5974" w:rsidRPr="00950AB7" w:rsidRDefault="001A5974" w:rsidP="004D65A0">
            <w:pPr>
              <w:jc w:val="center"/>
              <w:rPr>
                <w:rFonts w:ascii="Tahoma" w:eastAsia="Times New Roman" w:hAnsi="Tahoma" w:cs="Tahoma"/>
                <w:color w:val="FFFFFF" w:themeColor="background1"/>
                <w:lang w:eastAsia="en-GB"/>
              </w:rPr>
            </w:pPr>
            <w:r w:rsidRPr="00950AB7">
              <w:rPr>
                <w:rFonts w:ascii="Tahoma" w:eastAsia="Times New Roman" w:hAnsi="Tahoma" w:cs="Tahoma"/>
                <w:color w:val="FFFFFF" w:themeColor="background1"/>
                <w:lang w:eastAsia="en-GB"/>
              </w:rPr>
              <w:t>7</w:t>
            </w:r>
          </w:p>
        </w:tc>
        <w:tc>
          <w:tcPr>
            <w:tcW w:w="1323" w:type="dxa"/>
            <w:tcBorders>
              <w:top w:val="nil"/>
              <w:bottom w:val="single" w:sz="4" w:space="0" w:color="auto"/>
            </w:tcBorders>
            <w:shd w:val="clear" w:color="auto" w:fill="604A7B"/>
            <w:noWrap/>
            <w:vAlign w:val="center"/>
          </w:tcPr>
          <w:p w14:paraId="23453A8A" w14:textId="6140BC8A" w:rsidR="001A5974" w:rsidRPr="00950AB7" w:rsidRDefault="001A5974" w:rsidP="004D65A0">
            <w:pPr>
              <w:jc w:val="center"/>
              <w:rPr>
                <w:rFonts w:ascii="Tahoma" w:eastAsia="Times New Roman" w:hAnsi="Tahoma" w:cs="Tahoma"/>
                <w:color w:val="FFFFFF" w:themeColor="background1"/>
                <w:lang w:eastAsia="en-GB"/>
              </w:rPr>
            </w:pPr>
            <w:r w:rsidRPr="00950AB7">
              <w:rPr>
                <w:rFonts w:ascii="Tahoma" w:eastAsia="Times New Roman" w:hAnsi="Tahoma" w:cs="Tahoma"/>
                <w:color w:val="FFFFFF" w:themeColor="background1"/>
                <w:lang w:eastAsia="en-GB"/>
              </w:rPr>
              <w:t>2</w:t>
            </w:r>
          </w:p>
        </w:tc>
      </w:tr>
      <w:tr w:rsidR="001A5974" w:rsidRPr="00950AB7" w14:paraId="1E5D8EB1" w14:textId="77777777" w:rsidTr="004D65A0">
        <w:trPr>
          <w:trHeight w:val="255"/>
        </w:trPr>
        <w:tc>
          <w:tcPr>
            <w:tcW w:w="1574" w:type="dxa"/>
            <w:tcBorders>
              <w:top w:val="nil"/>
              <w:bottom w:val="single" w:sz="4" w:space="0" w:color="auto"/>
            </w:tcBorders>
            <w:shd w:val="clear" w:color="auto" w:fill="auto"/>
            <w:noWrap/>
            <w:vAlign w:val="center"/>
            <w:hideMark/>
          </w:tcPr>
          <w:p w14:paraId="7FA5C485" w14:textId="77777777" w:rsidR="001A5974" w:rsidRPr="00950AB7" w:rsidRDefault="001A5974" w:rsidP="001A5974">
            <w:pPr>
              <w:rPr>
                <w:rFonts w:ascii="Tahoma" w:eastAsia="Times New Roman" w:hAnsi="Tahoma" w:cs="Tahoma"/>
                <w:color w:val="000000"/>
                <w:lang w:eastAsia="en-GB"/>
              </w:rPr>
            </w:pPr>
            <w:r w:rsidRPr="00950AB7">
              <w:rPr>
                <w:rFonts w:ascii="Tahoma" w:eastAsia="Times New Roman" w:hAnsi="Tahoma" w:cs="Tahoma"/>
                <w:color w:val="000000"/>
                <w:lang w:eastAsia="en-GB"/>
              </w:rPr>
              <w:t>Requires improvement</w:t>
            </w:r>
          </w:p>
        </w:tc>
        <w:tc>
          <w:tcPr>
            <w:tcW w:w="1392" w:type="dxa"/>
            <w:tcBorders>
              <w:top w:val="nil"/>
              <w:bottom w:val="single" w:sz="4" w:space="0" w:color="auto"/>
            </w:tcBorders>
            <w:shd w:val="clear" w:color="auto" w:fill="auto"/>
            <w:noWrap/>
            <w:vAlign w:val="center"/>
            <w:hideMark/>
          </w:tcPr>
          <w:p w14:paraId="157116C2" w14:textId="77777777" w:rsidR="001A5974" w:rsidRPr="00950AB7" w:rsidRDefault="001A5974" w:rsidP="001A5974">
            <w:pPr>
              <w:rPr>
                <w:rFonts w:ascii="Tahoma" w:eastAsia="Times New Roman" w:hAnsi="Tahoma" w:cs="Tahoma"/>
                <w:color w:val="000000"/>
                <w:lang w:eastAsia="en-GB"/>
              </w:rPr>
            </w:pPr>
            <w:r w:rsidRPr="00950AB7">
              <w:rPr>
                <w:rFonts w:ascii="Tahoma" w:eastAsia="Times New Roman" w:hAnsi="Tahoma" w:cs="Tahoma"/>
                <w:color w:val="000000"/>
                <w:lang w:eastAsia="en-GB"/>
              </w:rPr>
              <w:t>Full</w:t>
            </w:r>
          </w:p>
        </w:tc>
        <w:tc>
          <w:tcPr>
            <w:tcW w:w="1398" w:type="dxa"/>
            <w:tcBorders>
              <w:top w:val="nil"/>
              <w:bottom w:val="single" w:sz="4" w:space="0" w:color="auto"/>
            </w:tcBorders>
            <w:shd w:val="clear" w:color="auto" w:fill="auto"/>
            <w:noWrap/>
          </w:tcPr>
          <w:p w14:paraId="2E82CE72" w14:textId="0619D037"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40</w:t>
            </w:r>
          </w:p>
        </w:tc>
        <w:tc>
          <w:tcPr>
            <w:tcW w:w="1469" w:type="dxa"/>
            <w:tcBorders>
              <w:top w:val="nil"/>
              <w:bottom w:val="single" w:sz="4" w:space="0" w:color="auto"/>
            </w:tcBorders>
            <w:shd w:val="clear" w:color="auto" w:fill="8AB23E"/>
            <w:noWrap/>
          </w:tcPr>
          <w:p w14:paraId="6B36A734" w14:textId="275594B7"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0</w:t>
            </w:r>
          </w:p>
        </w:tc>
        <w:tc>
          <w:tcPr>
            <w:tcW w:w="776" w:type="dxa"/>
            <w:tcBorders>
              <w:top w:val="nil"/>
              <w:bottom w:val="single" w:sz="4" w:space="0" w:color="auto"/>
            </w:tcBorders>
            <w:shd w:val="clear" w:color="auto" w:fill="8AB23E"/>
            <w:noWrap/>
          </w:tcPr>
          <w:p w14:paraId="2AB97425" w14:textId="1936F5F1"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25</w:t>
            </w:r>
          </w:p>
        </w:tc>
        <w:tc>
          <w:tcPr>
            <w:tcW w:w="1551" w:type="dxa"/>
            <w:tcBorders>
              <w:top w:val="nil"/>
              <w:bottom w:val="single" w:sz="4" w:space="0" w:color="auto"/>
            </w:tcBorders>
            <w:shd w:val="clear" w:color="auto" w:fill="auto"/>
            <w:noWrap/>
          </w:tcPr>
          <w:p w14:paraId="27A98BD4" w14:textId="6C85E0A3"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9</w:t>
            </w:r>
          </w:p>
        </w:tc>
        <w:tc>
          <w:tcPr>
            <w:tcW w:w="1323" w:type="dxa"/>
            <w:tcBorders>
              <w:top w:val="nil"/>
              <w:bottom w:val="single" w:sz="4" w:space="0" w:color="auto"/>
            </w:tcBorders>
            <w:shd w:val="clear" w:color="auto" w:fill="auto"/>
            <w:noWrap/>
          </w:tcPr>
          <w:p w14:paraId="2E661C6F" w14:textId="6707AEFF"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6</w:t>
            </w:r>
          </w:p>
        </w:tc>
      </w:tr>
      <w:tr w:rsidR="001A5974" w:rsidRPr="00950AB7" w14:paraId="73543735" w14:textId="77777777" w:rsidTr="004D65A0">
        <w:trPr>
          <w:trHeight w:val="255"/>
        </w:trPr>
        <w:tc>
          <w:tcPr>
            <w:tcW w:w="1574" w:type="dxa"/>
            <w:tcBorders>
              <w:top w:val="nil"/>
              <w:bottom w:val="single" w:sz="4" w:space="0" w:color="auto"/>
            </w:tcBorders>
            <w:shd w:val="clear" w:color="auto" w:fill="auto"/>
            <w:noWrap/>
            <w:vAlign w:val="center"/>
          </w:tcPr>
          <w:p w14:paraId="274B56F4" w14:textId="4605538E" w:rsidR="001A5974" w:rsidRPr="00950AB7" w:rsidRDefault="001A5974" w:rsidP="001A5974">
            <w:pPr>
              <w:rPr>
                <w:rFonts w:ascii="Tahoma" w:eastAsia="Times New Roman" w:hAnsi="Tahoma" w:cs="Tahoma"/>
                <w:color w:val="000000"/>
                <w:lang w:eastAsia="en-GB"/>
              </w:rPr>
            </w:pPr>
            <w:r w:rsidRPr="00950AB7">
              <w:rPr>
                <w:rFonts w:ascii="Tahoma" w:hAnsi="Tahoma" w:cs="Tahoma"/>
              </w:rPr>
              <w:t>Inadequate</w:t>
            </w:r>
          </w:p>
        </w:tc>
        <w:tc>
          <w:tcPr>
            <w:tcW w:w="1392" w:type="dxa"/>
            <w:tcBorders>
              <w:top w:val="nil"/>
              <w:bottom w:val="single" w:sz="4" w:space="0" w:color="auto"/>
            </w:tcBorders>
            <w:shd w:val="clear" w:color="auto" w:fill="auto"/>
            <w:noWrap/>
            <w:vAlign w:val="center"/>
          </w:tcPr>
          <w:p w14:paraId="1053A5EF" w14:textId="556347F9" w:rsidR="001A5974" w:rsidRPr="00950AB7" w:rsidRDefault="001A5974" w:rsidP="001A5974">
            <w:pPr>
              <w:rPr>
                <w:rFonts w:ascii="Tahoma" w:eastAsia="Times New Roman" w:hAnsi="Tahoma" w:cs="Tahoma"/>
                <w:color w:val="000000"/>
                <w:lang w:eastAsia="en-GB"/>
              </w:rPr>
            </w:pPr>
            <w:r w:rsidRPr="00950AB7">
              <w:rPr>
                <w:rFonts w:ascii="Tahoma" w:hAnsi="Tahoma" w:cs="Tahoma"/>
              </w:rPr>
              <w:t>Full</w:t>
            </w:r>
          </w:p>
        </w:tc>
        <w:tc>
          <w:tcPr>
            <w:tcW w:w="1398" w:type="dxa"/>
            <w:tcBorders>
              <w:top w:val="nil"/>
              <w:bottom w:val="single" w:sz="4" w:space="0" w:color="auto"/>
            </w:tcBorders>
            <w:shd w:val="clear" w:color="auto" w:fill="auto"/>
            <w:noWrap/>
          </w:tcPr>
          <w:p w14:paraId="74118CC0" w14:textId="73C8C525"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2</w:t>
            </w:r>
          </w:p>
        </w:tc>
        <w:tc>
          <w:tcPr>
            <w:tcW w:w="1469" w:type="dxa"/>
            <w:tcBorders>
              <w:top w:val="nil"/>
              <w:bottom w:val="single" w:sz="4" w:space="0" w:color="auto"/>
            </w:tcBorders>
            <w:shd w:val="clear" w:color="auto" w:fill="8AB23E"/>
            <w:noWrap/>
          </w:tcPr>
          <w:p w14:paraId="6051942A" w14:textId="4C6FD085"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0</w:t>
            </w:r>
          </w:p>
        </w:tc>
        <w:tc>
          <w:tcPr>
            <w:tcW w:w="776" w:type="dxa"/>
            <w:tcBorders>
              <w:top w:val="nil"/>
              <w:bottom w:val="single" w:sz="4" w:space="0" w:color="auto"/>
            </w:tcBorders>
            <w:shd w:val="clear" w:color="auto" w:fill="8AB23E"/>
            <w:noWrap/>
          </w:tcPr>
          <w:p w14:paraId="34ADF72F" w14:textId="12DAD5A8"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color w:val="FFFFFF" w:themeColor="background1"/>
              </w:rPr>
              <w:t>1</w:t>
            </w:r>
          </w:p>
        </w:tc>
        <w:tc>
          <w:tcPr>
            <w:tcW w:w="1551" w:type="dxa"/>
            <w:tcBorders>
              <w:top w:val="nil"/>
              <w:bottom w:val="single" w:sz="4" w:space="0" w:color="auto"/>
            </w:tcBorders>
            <w:shd w:val="clear" w:color="auto" w:fill="auto"/>
            <w:noWrap/>
          </w:tcPr>
          <w:p w14:paraId="10F09D72" w14:textId="60265F09"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1</w:t>
            </w:r>
          </w:p>
        </w:tc>
        <w:tc>
          <w:tcPr>
            <w:tcW w:w="1323" w:type="dxa"/>
            <w:tcBorders>
              <w:top w:val="nil"/>
              <w:bottom w:val="single" w:sz="4" w:space="0" w:color="auto"/>
            </w:tcBorders>
            <w:shd w:val="clear" w:color="auto" w:fill="auto"/>
            <w:noWrap/>
          </w:tcPr>
          <w:p w14:paraId="79D4C9F2" w14:textId="3DE123EA"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0</w:t>
            </w:r>
          </w:p>
        </w:tc>
      </w:tr>
      <w:tr w:rsidR="001A5974" w:rsidRPr="00950AB7" w14:paraId="39098EC6" w14:textId="77777777" w:rsidTr="004D65A0">
        <w:trPr>
          <w:trHeight w:val="255"/>
        </w:trPr>
        <w:tc>
          <w:tcPr>
            <w:tcW w:w="1574" w:type="dxa"/>
            <w:tcBorders>
              <w:top w:val="nil"/>
              <w:bottom w:val="single" w:sz="4" w:space="0" w:color="auto"/>
            </w:tcBorders>
            <w:shd w:val="clear" w:color="auto" w:fill="auto"/>
            <w:noWrap/>
            <w:vAlign w:val="center"/>
          </w:tcPr>
          <w:p w14:paraId="58CF6CAE" w14:textId="478229F7" w:rsidR="001A5974" w:rsidRPr="00950AB7" w:rsidRDefault="001A5974" w:rsidP="001A5974">
            <w:pPr>
              <w:rPr>
                <w:rFonts w:ascii="Tahoma" w:eastAsia="Times New Roman" w:hAnsi="Tahoma" w:cs="Tahoma"/>
                <w:color w:val="000000"/>
                <w:lang w:eastAsia="en-GB"/>
              </w:rPr>
            </w:pPr>
            <w:r w:rsidRPr="00950AB7">
              <w:rPr>
                <w:rFonts w:ascii="Tahoma" w:hAnsi="Tahoma" w:cs="Tahoma"/>
              </w:rPr>
              <w:t>Not previously inspected</w:t>
            </w:r>
          </w:p>
        </w:tc>
        <w:tc>
          <w:tcPr>
            <w:tcW w:w="1392" w:type="dxa"/>
            <w:tcBorders>
              <w:top w:val="nil"/>
              <w:bottom w:val="single" w:sz="4" w:space="0" w:color="auto"/>
            </w:tcBorders>
            <w:shd w:val="clear" w:color="auto" w:fill="auto"/>
            <w:noWrap/>
            <w:vAlign w:val="center"/>
          </w:tcPr>
          <w:p w14:paraId="288932F1" w14:textId="6790B3CE" w:rsidR="001A5974" w:rsidRPr="00950AB7" w:rsidRDefault="001A5974" w:rsidP="001A5974">
            <w:pPr>
              <w:rPr>
                <w:rFonts w:ascii="Tahoma" w:eastAsia="Times New Roman" w:hAnsi="Tahoma" w:cs="Tahoma"/>
                <w:color w:val="000000"/>
                <w:lang w:eastAsia="en-GB"/>
              </w:rPr>
            </w:pPr>
            <w:r w:rsidRPr="00950AB7">
              <w:rPr>
                <w:rFonts w:ascii="Tahoma" w:hAnsi="Tahoma" w:cs="Tahoma"/>
              </w:rPr>
              <w:t>Full</w:t>
            </w:r>
          </w:p>
        </w:tc>
        <w:tc>
          <w:tcPr>
            <w:tcW w:w="1398" w:type="dxa"/>
            <w:tcBorders>
              <w:top w:val="nil"/>
              <w:bottom w:val="single" w:sz="4" w:space="0" w:color="auto"/>
            </w:tcBorders>
            <w:shd w:val="clear" w:color="auto" w:fill="auto"/>
            <w:noWrap/>
          </w:tcPr>
          <w:p w14:paraId="32741853" w14:textId="003DA6E8"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14</w:t>
            </w:r>
          </w:p>
        </w:tc>
        <w:tc>
          <w:tcPr>
            <w:tcW w:w="1469" w:type="dxa"/>
            <w:tcBorders>
              <w:top w:val="nil"/>
              <w:bottom w:val="single" w:sz="4" w:space="0" w:color="auto"/>
            </w:tcBorders>
            <w:shd w:val="clear" w:color="auto" w:fill="auto"/>
            <w:noWrap/>
          </w:tcPr>
          <w:p w14:paraId="2AD5FAA6" w14:textId="159CF9ED"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rPr>
              <w:t>0</w:t>
            </w:r>
          </w:p>
        </w:tc>
        <w:tc>
          <w:tcPr>
            <w:tcW w:w="776" w:type="dxa"/>
            <w:tcBorders>
              <w:top w:val="nil"/>
              <w:bottom w:val="single" w:sz="4" w:space="0" w:color="auto"/>
            </w:tcBorders>
            <w:shd w:val="clear" w:color="auto" w:fill="auto"/>
            <w:noWrap/>
          </w:tcPr>
          <w:p w14:paraId="6DFD8B9E" w14:textId="4863A3E0" w:rsidR="001A5974" w:rsidRPr="00950AB7" w:rsidRDefault="001A5974" w:rsidP="001A5974">
            <w:pPr>
              <w:jc w:val="center"/>
              <w:rPr>
                <w:rFonts w:ascii="Tahoma" w:eastAsia="Times New Roman" w:hAnsi="Tahoma" w:cs="Tahoma"/>
                <w:color w:val="FFFFFF" w:themeColor="background1"/>
                <w:lang w:eastAsia="en-GB"/>
              </w:rPr>
            </w:pPr>
            <w:r w:rsidRPr="00950AB7">
              <w:rPr>
                <w:rFonts w:ascii="Tahoma" w:hAnsi="Tahoma" w:cs="Tahoma"/>
              </w:rPr>
              <w:t>5</w:t>
            </w:r>
          </w:p>
        </w:tc>
        <w:tc>
          <w:tcPr>
            <w:tcW w:w="1551" w:type="dxa"/>
            <w:tcBorders>
              <w:top w:val="nil"/>
              <w:bottom w:val="single" w:sz="4" w:space="0" w:color="auto"/>
            </w:tcBorders>
            <w:shd w:val="clear" w:color="auto" w:fill="auto"/>
            <w:noWrap/>
          </w:tcPr>
          <w:p w14:paraId="32E21A05" w14:textId="5FAE1D70"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7</w:t>
            </w:r>
          </w:p>
        </w:tc>
        <w:tc>
          <w:tcPr>
            <w:tcW w:w="1323" w:type="dxa"/>
            <w:tcBorders>
              <w:top w:val="nil"/>
              <w:bottom w:val="single" w:sz="4" w:space="0" w:color="auto"/>
            </w:tcBorders>
            <w:shd w:val="clear" w:color="auto" w:fill="auto"/>
            <w:noWrap/>
          </w:tcPr>
          <w:p w14:paraId="270D01C4" w14:textId="2B7E6FA7" w:rsidR="001A5974" w:rsidRPr="00950AB7" w:rsidRDefault="001A5974" w:rsidP="001A5974">
            <w:pPr>
              <w:jc w:val="center"/>
              <w:rPr>
                <w:rFonts w:ascii="Tahoma" w:eastAsia="Times New Roman" w:hAnsi="Tahoma" w:cs="Tahoma"/>
                <w:color w:val="000000"/>
                <w:lang w:eastAsia="en-GB"/>
              </w:rPr>
            </w:pPr>
            <w:r w:rsidRPr="00950AB7">
              <w:rPr>
                <w:rFonts w:ascii="Tahoma" w:hAnsi="Tahoma" w:cs="Tahoma"/>
              </w:rPr>
              <w:t>2</w:t>
            </w:r>
          </w:p>
        </w:tc>
      </w:tr>
      <w:tr w:rsidR="0094486B" w:rsidRPr="00950AB7" w14:paraId="5CB244FF" w14:textId="77777777" w:rsidTr="001A5974">
        <w:trPr>
          <w:trHeight w:val="255"/>
        </w:trPr>
        <w:tc>
          <w:tcPr>
            <w:tcW w:w="2966" w:type="dxa"/>
            <w:gridSpan w:val="2"/>
            <w:tcBorders>
              <w:top w:val="nil"/>
              <w:bottom w:val="single" w:sz="4" w:space="0" w:color="auto"/>
            </w:tcBorders>
            <w:shd w:val="clear" w:color="auto" w:fill="auto"/>
            <w:noWrap/>
            <w:vAlign w:val="bottom"/>
            <w:hideMark/>
          </w:tcPr>
          <w:p w14:paraId="0637D0E8" w14:textId="77777777" w:rsidR="0094486B" w:rsidRPr="00950AB7" w:rsidRDefault="0094486B" w:rsidP="0094486B">
            <w:pPr>
              <w:rPr>
                <w:rFonts w:ascii="Tahoma" w:eastAsia="Times New Roman" w:hAnsi="Tahoma" w:cs="Tahoma"/>
                <w:color w:val="000000"/>
                <w:lang w:eastAsia="en-GB"/>
              </w:rPr>
            </w:pPr>
            <w:r w:rsidRPr="00950AB7">
              <w:rPr>
                <w:rFonts w:ascii="Tahoma" w:eastAsia="Times New Roman" w:hAnsi="Tahoma" w:cs="Tahoma"/>
                <w:color w:val="000000"/>
                <w:lang w:eastAsia="en-GB"/>
              </w:rPr>
              <w:t>Total</w:t>
            </w:r>
          </w:p>
        </w:tc>
        <w:tc>
          <w:tcPr>
            <w:tcW w:w="1398" w:type="dxa"/>
            <w:tcBorders>
              <w:top w:val="nil"/>
              <w:bottom w:val="single" w:sz="4" w:space="0" w:color="auto"/>
            </w:tcBorders>
            <w:shd w:val="clear" w:color="auto" w:fill="auto"/>
            <w:noWrap/>
          </w:tcPr>
          <w:p w14:paraId="2655F507" w14:textId="0CFA3A2E" w:rsidR="0094486B" w:rsidRPr="00950AB7" w:rsidRDefault="0094486B" w:rsidP="0094486B">
            <w:pPr>
              <w:jc w:val="center"/>
              <w:rPr>
                <w:rFonts w:ascii="Tahoma" w:eastAsia="Times New Roman" w:hAnsi="Tahoma" w:cs="Tahoma"/>
                <w:color w:val="000000"/>
                <w:lang w:eastAsia="en-GB"/>
              </w:rPr>
            </w:pPr>
            <w:r w:rsidRPr="00950AB7">
              <w:rPr>
                <w:rFonts w:ascii="Tahoma" w:hAnsi="Tahoma" w:cs="Tahoma"/>
              </w:rPr>
              <w:t>159</w:t>
            </w:r>
          </w:p>
        </w:tc>
        <w:tc>
          <w:tcPr>
            <w:tcW w:w="1469" w:type="dxa"/>
            <w:tcBorders>
              <w:top w:val="nil"/>
              <w:bottom w:val="single" w:sz="4" w:space="0" w:color="auto"/>
            </w:tcBorders>
            <w:shd w:val="clear" w:color="auto" w:fill="auto"/>
            <w:noWrap/>
          </w:tcPr>
          <w:p w14:paraId="4AA5CF7B" w14:textId="100582D7" w:rsidR="0094486B" w:rsidRPr="00950AB7" w:rsidRDefault="0094486B" w:rsidP="0094486B">
            <w:pPr>
              <w:jc w:val="center"/>
              <w:rPr>
                <w:rFonts w:ascii="Tahoma" w:eastAsia="Times New Roman" w:hAnsi="Tahoma" w:cs="Tahoma"/>
                <w:color w:val="000000"/>
                <w:lang w:eastAsia="en-GB"/>
              </w:rPr>
            </w:pPr>
            <w:r w:rsidRPr="00950AB7">
              <w:rPr>
                <w:rFonts w:ascii="Tahoma" w:hAnsi="Tahoma" w:cs="Tahoma"/>
              </w:rPr>
              <w:t>7</w:t>
            </w:r>
          </w:p>
        </w:tc>
        <w:tc>
          <w:tcPr>
            <w:tcW w:w="776" w:type="dxa"/>
            <w:tcBorders>
              <w:top w:val="nil"/>
              <w:bottom w:val="single" w:sz="4" w:space="0" w:color="auto"/>
            </w:tcBorders>
            <w:shd w:val="clear" w:color="auto" w:fill="auto"/>
            <w:noWrap/>
          </w:tcPr>
          <w:p w14:paraId="56157587" w14:textId="4BA5F424" w:rsidR="0094486B" w:rsidRPr="00950AB7" w:rsidRDefault="0094486B" w:rsidP="0094486B">
            <w:pPr>
              <w:jc w:val="center"/>
              <w:rPr>
                <w:rFonts w:ascii="Tahoma" w:eastAsia="Times New Roman" w:hAnsi="Tahoma" w:cs="Tahoma"/>
                <w:color w:val="000000"/>
                <w:lang w:eastAsia="en-GB"/>
              </w:rPr>
            </w:pPr>
            <w:r w:rsidRPr="00950AB7">
              <w:rPr>
                <w:rFonts w:ascii="Tahoma" w:hAnsi="Tahoma" w:cs="Tahoma"/>
              </w:rPr>
              <w:t>84</w:t>
            </w:r>
          </w:p>
        </w:tc>
        <w:tc>
          <w:tcPr>
            <w:tcW w:w="1551" w:type="dxa"/>
            <w:tcBorders>
              <w:top w:val="nil"/>
              <w:bottom w:val="single" w:sz="4" w:space="0" w:color="auto"/>
            </w:tcBorders>
            <w:shd w:val="clear" w:color="auto" w:fill="auto"/>
            <w:noWrap/>
          </w:tcPr>
          <w:p w14:paraId="104A9FB3" w14:textId="1D9A55DB" w:rsidR="0094486B" w:rsidRPr="00950AB7" w:rsidRDefault="0094486B" w:rsidP="0094486B">
            <w:pPr>
              <w:jc w:val="center"/>
              <w:rPr>
                <w:rFonts w:ascii="Tahoma" w:eastAsia="Times New Roman" w:hAnsi="Tahoma" w:cs="Tahoma"/>
                <w:color w:val="000000"/>
                <w:lang w:eastAsia="en-GB"/>
              </w:rPr>
            </w:pPr>
            <w:r w:rsidRPr="00950AB7">
              <w:rPr>
                <w:rFonts w:ascii="Tahoma" w:hAnsi="Tahoma" w:cs="Tahoma"/>
              </w:rPr>
              <w:t>49</w:t>
            </w:r>
          </w:p>
        </w:tc>
        <w:tc>
          <w:tcPr>
            <w:tcW w:w="1323" w:type="dxa"/>
            <w:tcBorders>
              <w:top w:val="nil"/>
              <w:bottom w:val="single" w:sz="4" w:space="0" w:color="auto"/>
            </w:tcBorders>
            <w:shd w:val="clear" w:color="auto" w:fill="auto"/>
            <w:noWrap/>
          </w:tcPr>
          <w:p w14:paraId="19DD5FD6" w14:textId="567136DF" w:rsidR="0094486B" w:rsidRPr="00950AB7" w:rsidRDefault="0094486B" w:rsidP="0094486B">
            <w:pPr>
              <w:jc w:val="center"/>
              <w:rPr>
                <w:rFonts w:ascii="Tahoma" w:eastAsia="Times New Roman" w:hAnsi="Tahoma" w:cs="Tahoma"/>
                <w:color w:val="000000"/>
                <w:lang w:eastAsia="en-GB"/>
              </w:rPr>
            </w:pPr>
            <w:r w:rsidRPr="00950AB7">
              <w:rPr>
                <w:rFonts w:ascii="Tahoma" w:hAnsi="Tahoma" w:cs="Tahoma"/>
              </w:rPr>
              <w:t>19</w:t>
            </w:r>
          </w:p>
        </w:tc>
      </w:tr>
    </w:tbl>
    <w:tbl>
      <w:tblPr>
        <w:tblStyle w:val="TableGrid1"/>
        <w:tblW w:w="9421" w:type="dxa"/>
        <w:tblInd w:w="5" w:type="dxa"/>
        <w:tblLook w:val="04A0" w:firstRow="1" w:lastRow="0" w:firstColumn="1" w:lastColumn="0" w:noHBand="0" w:noVBand="1"/>
      </w:tblPr>
      <w:tblGrid>
        <w:gridCol w:w="1643"/>
        <w:gridCol w:w="1358"/>
        <w:gridCol w:w="1291"/>
        <w:gridCol w:w="1397"/>
        <w:gridCol w:w="850"/>
        <w:gridCol w:w="1559"/>
        <w:gridCol w:w="1323"/>
      </w:tblGrid>
      <w:tr w:rsidR="001A5974" w:rsidRPr="00950AB7" w14:paraId="72F6D655" w14:textId="77777777" w:rsidTr="004D65A0">
        <w:trPr>
          <w:trHeight w:val="118"/>
        </w:trPr>
        <w:tc>
          <w:tcPr>
            <w:tcW w:w="1643" w:type="dxa"/>
            <w:tcBorders>
              <w:top w:val="nil"/>
              <w:left w:val="nil"/>
              <w:bottom w:val="single" w:sz="4" w:space="0" w:color="auto"/>
              <w:right w:val="nil"/>
            </w:tcBorders>
            <w:noWrap/>
            <w:vAlign w:val="center"/>
          </w:tcPr>
          <w:p w14:paraId="3E0DC394" w14:textId="77777777" w:rsidR="001A5974" w:rsidRPr="00950AB7" w:rsidRDefault="001A5974" w:rsidP="004D65A0">
            <w:pPr>
              <w:rPr>
                <w:sz w:val="8"/>
                <w:szCs w:val="8"/>
              </w:rPr>
            </w:pPr>
          </w:p>
        </w:tc>
        <w:tc>
          <w:tcPr>
            <w:tcW w:w="1358" w:type="dxa"/>
            <w:tcBorders>
              <w:top w:val="nil"/>
              <w:left w:val="nil"/>
              <w:bottom w:val="nil"/>
              <w:right w:val="nil"/>
            </w:tcBorders>
            <w:vAlign w:val="center"/>
          </w:tcPr>
          <w:p w14:paraId="3114CF8C" w14:textId="77777777" w:rsidR="001A5974" w:rsidRPr="00950AB7" w:rsidRDefault="001A5974" w:rsidP="004D65A0">
            <w:pPr>
              <w:jc w:val="center"/>
              <w:rPr>
                <w:sz w:val="8"/>
                <w:szCs w:val="8"/>
              </w:rPr>
            </w:pPr>
          </w:p>
        </w:tc>
        <w:tc>
          <w:tcPr>
            <w:tcW w:w="1291" w:type="dxa"/>
            <w:tcBorders>
              <w:top w:val="nil"/>
              <w:left w:val="nil"/>
              <w:bottom w:val="nil"/>
              <w:right w:val="nil"/>
            </w:tcBorders>
            <w:noWrap/>
            <w:vAlign w:val="center"/>
          </w:tcPr>
          <w:p w14:paraId="066AEBFB" w14:textId="77777777" w:rsidR="001A5974" w:rsidRPr="00950AB7" w:rsidRDefault="001A5974" w:rsidP="004D65A0">
            <w:pPr>
              <w:jc w:val="center"/>
              <w:rPr>
                <w:sz w:val="8"/>
                <w:szCs w:val="8"/>
              </w:rPr>
            </w:pPr>
          </w:p>
        </w:tc>
        <w:tc>
          <w:tcPr>
            <w:tcW w:w="1397" w:type="dxa"/>
            <w:tcBorders>
              <w:top w:val="nil"/>
              <w:left w:val="nil"/>
              <w:bottom w:val="nil"/>
              <w:right w:val="nil"/>
            </w:tcBorders>
            <w:noWrap/>
            <w:vAlign w:val="center"/>
          </w:tcPr>
          <w:p w14:paraId="4EEB9F8D" w14:textId="77777777" w:rsidR="001A5974" w:rsidRPr="00950AB7" w:rsidRDefault="001A5974" w:rsidP="004D65A0">
            <w:pPr>
              <w:jc w:val="center"/>
              <w:rPr>
                <w:sz w:val="8"/>
                <w:szCs w:val="8"/>
              </w:rPr>
            </w:pPr>
          </w:p>
        </w:tc>
        <w:tc>
          <w:tcPr>
            <w:tcW w:w="850" w:type="dxa"/>
            <w:tcBorders>
              <w:top w:val="nil"/>
              <w:left w:val="nil"/>
              <w:bottom w:val="nil"/>
              <w:right w:val="nil"/>
            </w:tcBorders>
            <w:noWrap/>
            <w:vAlign w:val="center"/>
          </w:tcPr>
          <w:p w14:paraId="4054B3DF" w14:textId="77777777" w:rsidR="001A5974" w:rsidRPr="00950AB7" w:rsidRDefault="001A5974" w:rsidP="004D65A0">
            <w:pPr>
              <w:jc w:val="center"/>
              <w:rPr>
                <w:sz w:val="8"/>
                <w:szCs w:val="8"/>
              </w:rPr>
            </w:pPr>
          </w:p>
        </w:tc>
        <w:tc>
          <w:tcPr>
            <w:tcW w:w="1559" w:type="dxa"/>
            <w:tcBorders>
              <w:top w:val="nil"/>
              <w:left w:val="nil"/>
              <w:bottom w:val="nil"/>
              <w:right w:val="nil"/>
            </w:tcBorders>
            <w:noWrap/>
            <w:vAlign w:val="center"/>
          </w:tcPr>
          <w:p w14:paraId="0C854F13" w14:textId="77777777" w:rsidR="001A5974" w:rsidRPr="00950AB7" w:rsidRDefault="001A5974" w:rsidP="004D65A0">
            <w:pPr>
              <w:jc w:val="center"/>
              <w:rPr>
                <w:sz w:val="8"/>
                <w:szCs w:val="8"/>
              </w:rPr>
            </w:pPr>
          </w:p>
        </w:tc>
        <w:tc>
          <w:tcPr>
            <w:tcW w:w="1323" w:type="dxa"/>
            <w:tcBorders>
              <w:top w:val="nil"/>
              <w:left w:val="nil"/>
              <w:bottom w:val="nil"/>
              <w:right w:val="nil"/>
            </w:tcBorders>
            <w:noWrap/>
            <w:vAlign w:val="center"/>
          </w:tcPr>
          <w:p w14:paraId="7137564E" w14:textId="77777777" w:rsidR="001A5974" w:rsidRPr="00950AB7" w:rsidRDefault="001A5974" w:rsidP="004D65A0">
            <w:pPr>
              <w:jc w:val="center"/>
              <w:rPr>
                <w:sz w:val="8"/>
                <w:szCs w:val="8"/>
              </w:rPr>
            </w:pPr>
          </w:p>
        </w:tc>
      </w:tr>
      <w:tr w:rsidR="001A5974" w:rsidRPr="00950AB7" w14:paraId="69D362AC" w14:textId="77777777" w:rsidTr="004D65A0">
        <w:trPr>
          <w:trHeight w:val="115"/>
        </w:trPr>
        <w:tc>
          <w:tcPr>
            <w:tcW w:w="1643" w:type="dxa"/>
            <w:tcBorders>
              <w:top w:val="single" w:sz="4" w:space="0" w:color="auto"/>
              <w:bottom w:val="single" w:sz="4" w:space="0" w:color="auto"/>
              <w:right w:val="single" w:sz="4" w:space="0" w:color="auto"/>
            </w:tcBorders>
            <w:shd w:val="clear" w:color="auto" w:fill="8AB23E"/>
            <w:noWrap/>
            <w:vAlign w:val="center"/>
          </w:tcPr>
          <w:p w14:paraId="02897F95" w14:textId="77777777" w:rsidR="001A5974" w:rsidRPr="00950AB7" w:rsidRDefault="001A5974" w:rsidP="004D65A0"/>
        </w:tc>
        <w:tc>
          <w:tcPr>
            <w:tcW w:w="7778" w:type="dxa"/>
            <w:gridSpan w:val="6"/>
            <w:tcBorders>
              <w:top w:val="nil"/>
              <w:left w:val="single" w:sz="4" w:space="0" w:color="auto"/>
              <w:bottom w:val="nil"/>
              <w:right w:val="nil"/>
            </w:tcBorders>
            <w:vAlign w:val="center"/>
          </w:tcPr>
          <w:p w14:paraId="6FF01E9D" w14:textId="77777777" w:rsidR="001A5974" w:rsidRPr="00950AB7" w:rsidRDefault="001A5974" w:rsidP="004D65A0">
            <w:pPr>
              <w:rPr>
                <w:sz w:val="22"/>
                <w:szCs w:val="22"/>
              </w:rPr>
            </w:pPr>
            <w:r w:rsidRPr="00950AB7">
              <w:rPr>
                <w:sz w:val="22"/>
                <w:szCs w:val="22"/>
              </w:rPr>
              <w:t>Improved to good or outstanding</w:t>
            </w:r>
          </w:p>
        </w:tc>
      </w:tr>
      <w:tr w:rsidR="001A5974" w:rsidRPr="00950AB7" w14:paraId="559C3F86" w14:textId="77777777" w:rsidTr="004D65A0">
        <w:trPr>
          <w:trHeight w:val="226"/>
        </w:trPr>
        <w:tc>
          <w:tcPr>
            <w:tcW w:w="1643" w:type="dxa"/>
            <w:tcBorders>
              <w:top w:val="single" w:sz="4" w:space="0" w:color="auto"/>
              <w:left w:val="single" w:sz="4" w:space="0" w:color="auto"/>
              <w:bottom w:val="single" w:sz="4" w:space="0" w:color="auto"/>
              <w:right w:val="single" w:sz="4" w:space="0" w:color="auto"/>
            </w:tcBorders>
            <w:shd w:val="clear" w:color="auto" w:fill="604A7B"/>
            <w:noWrap/>
            <w:vAlign w:val="center"/>
          </w:tcPr>
          <w:p w14:paraId="6D7D5824" w14:textId="77777777" w:rsidR="001A5974" w:rsidRPr="00950AB7" w:rsidRDefault="001A5974" w:rsidP="004D65A0"/>
        </w:tc>
        <w:tc>
          <w:tcPr>
            <w:tcW w:w="7778" w:type="dxa"/>
            <w:gridSpan w:val="6"/>
            <w:tcBorders>
              <w:top w:val="nil"/>
              <w:left w:val="single" w:sz="4" w:space="0" w:color="auto"/>
              <w:bottom w:val="nil"/>
              <w:right w:val="nil"/>
            </w:tcBorders>
            <w:vAlign w:val="center"/>
          </w:tcPr>
          <w:p w14:paraId="7CAB6059" w14:textId="77777777" w:rsidR="001A5974" w:rsidRPr="00950AB7" w:rsidRDefault="001A5974" w:rsidP="004D65A0">
            <w:pPr>
              <w:rPr>
                <w:sz w:val="22"/>
                <w:szCs w:val="22"/>
              </w:rPr>
            </w:pPr>
            <w:r w:rsidRPr="00950AB7">
              <w:rPr>
                <w:sz w:val="22"/>
                <w:szCs w:val="22"/>
              </w:rPr>
              <w:t>Declined to requires improvement or inadequate</w:t>
            </w:r>
          </w:p>
        </w:tc>
      </w:tr>
      <w:tr w:rsidR="001A5974" w:rsidRPr="00950AB7" w14:paraId="6FFA0630" w14:textId="77777777" w:rsidTr="004D65A0">
        <w:trPr>
          <w:trHeight w:val="617"/>
        </w:trPr>
        <w:tc>
          <w:tcPr>
            <w:tcW w:w="9421" w:type="dxa"/>
            <w:gridSpan w:val="7"/>
            <w:tcBorders>
              <w:top w:val="nil"/>
              <w:left w:val="nil"/>
              <w:bottom w:val="nil"/>
              <w:right w:val="nil"/>
            </w:tcBorders>
            <w:shd w:val="clear" w:color="auto" w:fill="auto"/>
            <w:noWrap/>
            <w:vAlign w:val="center"/>
          </w:tcPr>
          <w:p w14:paraId="663DE7FF" w14:textId="77777777" w:rsidR="001A5974" w:rsidRPr="00950AB7" w:rsidRDefault="001A5974" w:rsidP="001A5974">
            <w:pPr>
              <w:numPr>
                <w:ilvl w:val="0"/>
                <w:numId w:val="28"/>
              </w:numPr>
              <w:contextualSpacing/>
              <w:rPr>
                <w:sz w:val="16"/>
                <w:szCs w:val="16"/>
              </w:rPr>
            </w:pPr>
            <w:r w:rsidRPr="00950AB7">
              <w:rPr>
                <w:sz w:val="16"/>
                <w:szCs w:val="16"/>
              </w:rPr>
              <w:t>Includes the overall effectiveness judgement from full inspections and those that remained good after a short inspection that did not convert.</w:t>
            </w:r>
          </w:p>
        </w:tc>
      </w:tr>
    </w:tbl>
    <w:p w14:paraId="4C139E1A" w14:textId="77777777" w:rsidR="00C13337" w:rsidRPr="00950AB7" w:rsidRDefault="00C13337" w:rsidP="00543AA4">
      <w:pPr>
        <w:rPr>
          <w:rFonts w:ascii="Tahoma" w:hAnsi="Tahoma" w:cs="Tahoma"/>
          <w:sz w:val="24"/>
          <w:szCs w:val="24"/>
        </w:rPr>
      </w:pPr>
    </w:p>
    <w:p w14:paraId="242DB786" w14:textId="760F7239" w:rsidR="00543AA4" w:rsidRPr="00950AB7" w:rsidRDefault="009E170B" w:rsidP="00543AA4">
      <w:pPr>
        <w:rPr>
          <w:rFonts w:ascii="Tahoma" w:hAnsi="Tahoma" w:cs="Tahoma"/>
          <w:sz w:val="24"/>
          <w:szCs w:val="24"/>
        </w:rPr>
      </w:pPr>
      <w:r w:rsidRPr="00950AB7">
        <w:rPr>
          <w:rFonts w:ascii="Tahoma" w:hAnsi="Tahoma" w:cs="Tahoma"/>
          <w:sz w:val="24"/>
          <w:szCs w:val="24"/>
        </w:rPr>
        <w:t xml:space="preserve">Overall </w:t>
      </w:r>
      <w:r w:rsidR="006F12F1" w:rsidRPr="00950AB7">
        <w:rPr>
          <w:rFonts w:ascii="Tahoma" w:hAnsi="Tahoma" w:cs="Tahoma"/>
          <w:sz w:val="24"/>
          <w:szCs w:val="24"/>
        </w:rPr>
        <w:t>there was a</w:t>
      </w:r>
      <w:r w:rsidR="00543AA4" w:rsidRPr="00950AB7">
        <w:rPr>
          <w:rFonts w:ascii="Tahoma" w:hAnsi="Tahoma" w:cs="Tahoma"/>
          <w:sz w:val="24"/>
          <w:szCs w:val="24"/>
        </w:rPr>
        <w:t xml:space="preserve"> </w:t>
      </w:r>
      <w:r w:rsidR="004B3B16" w:rsidRPr="00950AB7">
        <w:rPr>
          <w:rFonts w:ascii="Tahoma" w:hAnsi="Tahoma" w:cs="Tahoma"/>
          <w:sz w:val="24"/>
          <w:szCs w:val="24"/>
        </w:rPr>
        <w:t>three</w:t>
      </w:r>
      <w:r w:rsidR="00543AA4" w:rsidRPr="00950AB7">
        <w:rPr>
          <w:rFonts w:ascii="Tahoma" w:hAnsi="Tahoma" w:cs="Tahoma"/>
          <w:sz w:val="24"/>
          <w:szCs w:val="24"/>
        </w:rPr>
        <w:t xml:space="preserve"> percentage point </w:t>
      </w:r>
      <w:r w:rsidR="008C4FE1" w:rsidRPr="00950AB7">
        <w:rPr>
          <w:rFonts w:ascii="Tahoma" w:hAnsi="Tahoma" w:cs="Tahoma"/>
          <w:sz w:val="24"/>
          <w:szCs w:val="24"/>
        </w:rPr>
        <w:t xml:space="preserve">decline in </w:t>
      </w:r>
      <w:r w:rsidR="00543AA4" w:rsidRPr="00950AB7">
        <w:rPr>
          <w:rFonts w:ascii="Tahoma" w:hAnsi="Tahoma" w:cs="Tahoma"/>
          <w:sz w:val="24"/>
          <w:szCs w:val="24"/>
        </w:rPr>
        <w:t>the proportion of providers judged good or outstanding at their most recent inspection, declin</w:t>
      </w:r>
      <w:r w:rsidR="008C4FE1" w:rsidRPr="00950AB7">
        <w:rPr>
          <w:rFonts w:ascii="Tahoma" w:hAnsi="Tahoma" w:cs="Tahoma"/>
          <w:sz w:val="24"/>
          <w:szCs w:val="24"/>
        </w:rPr>
        <w:t>ing</w:t>
      </w:r>
      <w:r w:rsidR="00543AA4" w:rsidRPr="00950AB7">
        <w:rPr>
          <w:rFonts w:ascii="Tahoma" w:hAnsi="Tahoma" w:cs="Tahoma"/>
          <w:sz w:val="24"/>
          <w:szCs w:val="24"/>
        </w:rPr>
        <w:t xml:space="preserve"> from 83% as at 31 August 2016 to 8</w:t>
      </w:r>
      <w:r w:rsidR="007A78FB" w:rsidRPr="00950AB7">
        <w:rPr>
          <w:rFonts w:ascii="Tahoma" w:hAnsi="Tahoma" w:cs="Tahoma"/>
          <w:sz w:val="24"/>
          <w:szCs w:val="24"/>
        </w:rPr>
        <w:t>0</w:t>
      </w:r>
      <w:r w:rsidR="00543AA4" w:rsidRPr="00950AB7">
        <w:rPr>
          <w:rFonts w:ascii="Tahoma" w:hAnsi="Tahoma" w:cs="Tahoma"/>
          <w:sz w:val="24"/>
          <w:szCs w:val="24"/>
        </w:rPr>
        <w:t xml:space="preserve">% as at </w:t>
      </w:r>
      <w:r w:rsidR="004C28CC" w:rsidRPr="00950AB7">
        <w:rPr>
          <w:rFonts w:ascii="Tahoma" w:hAnsi="Tahoma" w:cs="Tahoma"/>
          <w:sz w:val="24"/>
          <w:szCs w:val="24"/>
        </w:rPr>
        <w:t>31 August 2017</w:t>
      </w:r>
      <w:r w:rsidR="00543AA4" w:rsidRPr="00950AB7">
        <w:rPr>
          <w:rFonts w:ascii="Tahoma" w:hAnsi="Tahoma" w:cs="Tahoma"/>
          <w:sz w:val="24"/>
          <w:szCs w:val="24"/>
        </w:rPr>
        <w:t>.</w:t>
      </w:r>
    </w:p>
    <w:p w14:paraId="175ABE23" w14:textId="77777777" w:rsidR="00532236" w:rsidRPr="00950AB7" w:rsidRDefault="00532236" w:rsidP="00543AA4">
      <w:pPr>
        <w:keepNext/>
        <w:keepLines/>
        <w:spacing w:before="40"/>
        <w:outlineLvl w:val="1"/>
        <w:rPr>
          <w:rFonts w:ascii="Tahoma" w:eastAsiaTheme="majorEastAsia" w:hAnsi="Tahoma" w:cs="Tahoma"/>
          <w:b/>
          <w:sz w:val="24"/>
          <w:szCs w:val="24"/>
        </w:rPr>
      </w:pPr>
      <w:bookmarkStart w:id="26" w:name="_Toc484088468"/>
      <w:bookmarkStart w:id="27" w:name="_Toc486330508"/>
      <w:bookmarkStart w:id="28" w:name="_Toc486330825"/>
      <w:bookmarkStart w:id="29" w:name="_Toc498611144"/>
    </w:p>
    <w:p w14:paraId="0F3D02C3" w14:textId="77777777" w:rsidR="00532236" w:rsidRPr="00950AB7" w:rsidRDefault="00532236" w:rsidP="00543AA4">
      <w:pPr>
        <w:keepNext/>
        <w:keepLines/>
        <w:spacing w:before="40"/>
        <w:outlineLvl w:val="1"/>
        <w:rPr>
          <w:rFonts w:ascii="Tahoma" w:eastAsiaTheme="majorEastAsia" w:hAnsi="Tahoma" w:cs="Tahoma"/>
          <w:b/>
          <w:sz w:val="24"/>
          <w:szCs w:val="24"/>
        </w:rPr>
      </w:pPr>
    </w:p>
    <w:p w14:paraId="6058C5F7" w14:textId="77777777" w:rsidR="00543AA4" w:rsidRPr="00950AB7" w:rsidRDefault="00543AA4" w:rsidP="00543AA4">
      <w:pPr>
        <w:keepNext/>
        <w:keepLines/>
        <w:spacing w:before="40"/>
        <w:outlineLvl w:val="1"/>
        <w:rPr>
          <w:rFonts w:ascii="Tahoma" w:eastAsiaTheme="majorEastAsia" w:hAnsi="Tahoma" w:cs="Tahoma"/>
          <w:b/>
          <w:sz w:val="28"/>
          <w:szCs w:val="28"/>
        </w:rPr>
      </w:pPr>
      <w:r w:rsidRPr="00950AB7">
        <w:rPr>
          <w:rFonts w:ascii="Tahoma" w:eastAsiaTheme="majorEastAsia" w:hAnsi="Tahoma" w:cs="Tahoma"/>
          <w:b/>
          <w:sz w:val="28"/>
          <w:szCs w:val="28"/>
        </w:rPr>
        <w:t>Community learning and skills providers</w:t>
      </w:r>
      <w:bookmarkEnd w:id="26"/>
      <w:bookmarkEnd w:id="27"/>
      <w:bookmarkEnd w:id="28"/>
      <w:bookmarkEnd w:id="29"/>
    </w:p>
    <w:p w14:paraId="6E6CA686" w14:textId="77777777" w:rsidR="009E170B" w:rsidRPr="00950AB7" w:rsidRDefault="009E170B" w:rsidP="00543AA4">
      <w:pPr>
        <w:keepNext/>
        <w:keepLines/>
        <w:spacing w:before="40"/>
        <w:outlineLvl w:val="1"/>
        <w:rPr>
          <w:rFonts w:ascii="Tahoma" w:eastAsiaTheme="majorEastAsia" w:hAnsi="Tahoma" w:cs="Tahoma"/>
          <w:b/>
          <w:sz w:val="28"/>
          <w:szCs w:val="28"/>
        </w:rPr>
      </w:pPr>
    </w:p>
    <w:p w14:paraId="57800345" w14:textId="4F669764" w:rsidR="009E170B" w:rsidRPr="00950AB7" w:rsidRDefault="009E170B" w:rsidP="009E170B">
      <w:pPr>
        <w:rPr>
          <w:rFonts w:ascii="Tahoma" w:hAnsi="Tahoma" w:cs="Tahoma"/>
          <w:sz w:val="24"/>
          <w:szCs w:val="24"/>
        </w:rPr>
      </w:pPr>
      <w:r w:rsidRPr="00950AB7">
        <w:rPr>
          <w:rFonts w:ascii="Tahoma" w:hAnsi="Tahoma" w:cs="Tahoma"/>
          <w:sz w:val="24"/>
        </w:rPr>
        <w:t>As at 31 August 2017, there were 22</w:t>
      </w:r>
      <w:r w:rsidR="006C0241" w:rsidRPr="00950AB7">
        <w:rPr>
          <w:rFonts w:ascii="Tahoma" w:hAnsi="Tahoma" w:cs="Tahoma"/>
          <w:sz w:val="24"/>
        </w:rPr>
        <w:t>5</w:t>
      </w:r>
      <w:r w:rsidRPr="00950AB7">
        <w:rPr>
          <w:rFonts w:ascii="Tahoma" w:hAnsi="Tahoma" w:cs="Tahoma"/>
          <w:sz w:val="24"/>
        </w:rPr>
        <w:t xml:space="preserve"> open and funded </w:t>
      </w:r>
      <w:r w:rsidRPr="00950AB7">
        <w:rPr>
          <w:rFonts w:ascii="Tahoma" w:hAnsi="Tahoma" w:cs="Tahoma"/>
          <w:sz w:val="24"/>
          <w:szCs w:val="24"/>
        </w:rPr>
        <w:t xml:space="preserve">community learning and skills providers. </w:t>
      </w:r>
      <w:r w:rsidR="00532236" w:rsidRPr="00950AB7">
        <w:rPr>
          <w:rFonts w:ascii="Tahoma" w:hAnsi="Tahoma" w:cs="Tahoma"/>
          <w:sz w:val="24"/>
          <w:szCs w:val="24"/>
        </w:rPr>
        <w:t>There were 138 local authority providers, 77 not for profit organisations and 10 specialist designated institutions. Overall, t</w:t>
      </w:r>
      <w:r w:rsidRPr="00950AB7">
        <w:rPr>
          <w:rFonts w:ascii="Tahoma" w:hAnsi="Tahoma" w:cs="Tahoma"/>
          <w:sz w:val="24"/>
          <w:szCs w:val="24"/>
        </w:rPr>
        <w:t xml:space="preserve">his </w:t>
      </w:r>
      <w:r w:rsidR="00532236" w:rsidRPr="00950AB7">
        <w:rPr>
          <w:rFonts w:ascii="Tahoma" w:hAnsi="Tahoma" w:cs="Tahoma"/>
          <w:sz w:val="24"/>
          <w:szCs w:val="24"/>
        </w:rPr>
        <w:t>wa</w:t>
      </w:r>
      <w:r w:rsidR="008C57E7" w:rsidRPr="00950AB7">
        <w:rPr>
          <w:rFonts w:ascii="Tahoma" w:hAnsi="Tahoma" w:cs="Tahoma"/>
          <w:sz w:val="24"/>
          <w:szCs w:val="24"/>
        </w:rPr>
        <w:t>s</w:t>
      </w:r>
      <w:r w:rsidRPr="00950AB7">
        <w:rPr>
          <w:rFonts w:ascii="Tahoma" w:hAnsi="Tahoma" w:cs="Tahoma"/>
          <w:sz w:val="24"/>
          <w:szCs w:val="24"/>
        </w:rPr>
        <w:t xml:space="preserve"> a 4% decrease </w:t>
      </w:r>
      <w:r w:rsidR="008C57E7" w:rsidRPr="00950AB7">
        <w:rPr>
          <w:rFonts w:ascii="Tahoma" w:hAnsi="Tahoma" w:cs="Tahoma"/>
          <w:sz w:val="24"/>
          <w:szCs w:val="24"/>
        </w:rPr>
        <w:t xml:space="preserve">compared with </w:t>
      </w:r>
      <w:r w:rsidRPr="00950AB7">
        <w:rPr>
          <w:rFonts w:ascii="Tahoma" w:hAnsi="Tahoma" w:cs="Tahoma"/>
          <w:sz w:val="24"/>
          <w:szCs w:val="24"/>
        </w:rPr>
        <w:t>31 August 2016, when there were 235 providers.</w:t>
      </w:r>
      <w:r w:rsidR="004F0E21" w:rsidRPr="00950AB7">
        <w:rPr>
          <w:rFonts w:ascii="Tahoma" w:hAnsi="Tahoma" w:cs="Tahoma"/>
          <w:sz w:val="24"/>
          <w:szCs w:val="24"/>
        </w:rPr>
        <w:t xml:space="preserve"> </w:t>
      </w:r>
    </w:p>
    <w:p w14:paraId="3A0E8E8A" w14:textId="77777777" w:rsidR="009E170B" w:rsidRPr="00950AB7" w:rsidRDefault="009E170B" w:rsidP="009E170B">
      <w:pPr>
        <w:rPr>
          <w:rFonts w:ascii="Tahoma" w:hAnsi="Tahoma" w:cs="Tahoma"/>
          <w:sz w:val="24"/>
          <w:szCs w:val="24"/>
        </w:rPr>
      </w:pPr>
    </w:p>
    <w:p w14:paraId="62D03832" w14:textId="260702DF" w:rsidR="009E170B" w:rsidRPr="00950AB7" w:rsidRDefault="00447871" w:rsidP="009E170B">
      <w:pPr>
        <w:rPr>
          <w:rFonts w:ascii="Tahoma" w:hAnsi="Tahoma" w:cs="Tahoma"/>
          <w:color w:val="0070C0"/>
          <w:sz w:val="24"/>
          <w:szCs w:val="24"/>
        </w:rPr>
      </w:pPr>
      <w:r w:rsidRPr="00950AB7">
        <w:rPr>
          <w:rFonts w:ascii="Tahoma" w:hAnsi="Tahoma" w:cs="Tahoma"/>
          <w:sz w:val="24"/>
          <w:szCs w:val="24"/>
        </w:rPr>
        <w:t>Eleven</w:t>
      </w:r>
      <w:r w:rsidR="009E170B" w:rsidRPr="00950AB7">
        <w:rPr>
          <w:rFonts w:ascii="Tahoma" w:hAnsi="Tahoma" w:cs="Tahoma"/>
          <w:sz w:val="24"/>
          <w:szCs w:val="24"/>
        </w:rPr>
        <w:t xml:space="preserve"> community learning and skills providers left the sector during 2016/17. Reasons included mergers, contracts being transferred to other pr</w:t>
      </w:r>
      <w:r w:rsidR="006C0241" w:rsidRPr="00950AB7">
        <w:rPr>
          <w:rFonts w:ascii="Tahoma" w:hAnsi="Tahoma" w:cs="Tahoma"/>
          <w:sz w:val="24"/>
          <w:szCs w:val="24"/>
        </w:rPr>
        <w:t xml:space="preserve">oviders and funding ceasing. </w:t>
      </w:r>
      <w:r w:rsidRPr="00950AB7">
        <w:rPr>
          <w:rFonts w:ascii="Tahoma" w:hAnsi="Tahoma" w:cs="Tahoma"/>
          <w:sz w:val="24"/>
          <w:szCs w:val="24"/>
        </w:rPr>
        <w:t>Eight</w:t>
      </w:r>
      <w:r w:rsidR="009E170B" w:rsidRPr="00950AB7">
        <w:rPr>
          <w:rFonts w:ascii="Tahoma" w:hAnsi="Tahoma" w:cs="Tahoma"/>
          <w:sz w:val="24"/>
          <w:szCs w:val="24"/>
        </w:rPr>
        <w:t xml:space="preserve"> of the providers that left were </w:t>
      </w:r>
      <w:r w:rsidRPr="00950AB7">
        <w:rPr>
          <w:rFonts w:ascii="Tahoma" w:hAnsi="Tahoma" w:cs="Tahoma"/>
          <w:sz w:val="24"/>
          <w:szCs w:val="24"/>
        </w:rPr>
        <w:t>judged</w:t>
      </w:r>
      <w:r w:rsidR="009E170B" w:rsidRPr="00950AB7">
        <w:rPr>
          <w:rFonts w:ascii="Tahoma" w:hAnsi="Tahoma" w:cs="Tahoma"/>
          <w:sz w:val="24"/>
          <w:szCs w:val="24"/>
        </w:rPr>
        <w:t xml:space="preserve"> good at their most recent inspection</w:t>
      </w:r>
      <w:r w:rsidR="009E170B" w:rsidRPr="00950AB7">
        <w:rPr>
          <w:rFonts w:ascii="Tahoma" w:hAnsi="Tahoma" w:cs="Tahoma"/>
          <w:color w:val="0070C0"/>
          <w:sz w:val="24"/>
          <w:szCs w:val="24"/>
        </w:rPr>
        <w:t xml:space="preserve">. </w:t>
      </w:r>
    </w:p>
    <w:p w14:paraId="28BFD80D" w14:textId="77777777" w:rsidR="009E170B" w:rsidRPr="00950AB7" w:rsidRDefault="009E170B" w:rsidP="009E170B">
      <w:pPr>
        <w:rPr>
          <w:rFonts w:ascii="Tahoma" w:hAnsi="Tahoma" w:cs="Tahoma"/>
          <w:sz w:val="24"/>
          <w:szCs w:val="24"/>
        </w:rPr>
      </w:pPr>
    </w:p>
    <w:p w14:paraId="68CF9139" w14:textId="553058FA" w:rsidR="0067059D" w:rsidRPr="00950AB7" w:rsidRDefault="00AB1AE9" w:rsidP="0067059D">
      <w:pPr>
        <w:rPr>
          <w:rFonts w:ascii="Tahoma" w:hAnsi="Tahoma" w:cs="Tahoma"/>
          <w:sz w:val="24"/>
          <w:szCs w:val="24"/>
        </w:rPr>
      </w:pPr>
      <w:r w:rsidRPr="00950AB7">
        <w:rPr>
          <w:rFonts w:ascii="Tahoma" w:hAnsi="Tahoma" w:cs="Tahoma"/>
          <w:sz w:val="24"/>
          <w:szCs w:val="24"/>
        </w:rPr>
        <w:lastRenderedPageBreak/>
        <w:t>Between 1 September 2016 and 31 August 2017,</w:t>
      </w:r>
      <w:r w:rsidR="009E170B" w:rsidRPr="00950AB7">
        <w:rPr>
          <w:rFonts w:ascii="Tahoma" w:hAnsi="Tahoma" w:cs="Tahoma"/>
          <w:sz w:val="24"/>
          <w:szCs w:val="24"/>
        </w:rPr>
        <w:t xml:space="preserve"> 78 community learning and skills providers were inspected. There were </w:t>
      </w:r>
      <w:r w:rsidRPr="00950AB7">
        <w:rPr>
          <w:rFonts w:ascii="Tahoma" w:hAnsi="Tahoma" w:cs="Tahoma"/>
          <w:sz w:val="24"/>
          <w:szCs w:val="24"/>
        </w:rPr>
        <w:t>41</w:t>
      </w:r>
      <w:r w:rsidR="009E170B" w:rsidRPr="00950AB7">
        <w:rPr>
          <w:rFonts w:ascii="Tahoma" w:hAnsi="Tahoma" w:cs="Tahoma"/>
          <w:sz w:val="24"/>
          <w:szCs w:val="24"/>
        </w:rPr>
        <w:t xml:space="preserve"> full inspections </w:t>
      </w:r>
      <w:r w:rsidR="00D12E3E" w:rsidRPr="00950AB7">
        <w:rPr>
          <w:rFonts w:ascii="Tahoma" w:hAnsi="Tahoma" w:cs="Tahoma"/>
          <w:sz w:val="24"/>
          <w:szCs w:val="24"/>
        </w:rPr>
        <w:t xml:space="preserve">and 37 </w:t>
      </w:r>
      <w:r w:rsidR="00D12E3E" w:rsidRPr="00950AB7">
        <w:rPr>
          <w:rFonts w:ascii="Tahoma" w:eastAsia="Times New Roman" w:hAnsi="Tahoma" w:cs="Tahoma"/>
          <w:bCs/>
          <w:sz w:val="24"/>
          <w:szCs w:val="24"/>
          <w:lang w:eastAsia="en-GB"/>
        </w:rPr>
        <w:t>short inspections (including those that converted to full inspections)</w:t>
      </w:r>
      <w:r w:rsidR="0067059D" w:rsidRPr="00950AB7">
        <w:rPr>
          <w:rFonts w:ascii="Tahoma" w:hAnsi="Tahoma" w:cs="Tahoma"/>
          <w:sz w:val="24"/>
          <w:szCs w:val="24"/>
        </w:rPr>
        <w:t>. The proportion of providers judged good or outstanding was 78%, eight percentage points higher than 2015/16:</w:t>
      </w:r>
    </w:p>
    <w:p w14:paraId="211AA4D6" w14:textId="441DCBDF" w:rsidR="00AC1498" w:rsidRPr="00950AB7" w:rsidRDefault="00AC1498" w:rsidP="00AC1498">
      <w:pPr>
        <w:pStyle w:val="ListParagraph"/>
        <w:numPr>
          <w:ilvl w:val="0"/>
          <w:numId w:val="34"/>
        </w:numPr>
        <w:rPr>
          <w:rFonts w:ascii="Tahoma" w:hAnsi="Tahoma" w:cs="Tahoma"/>
          <w:sz w:val="24"/>
          <w:szCs w:val="24"/>
        </w:rPr>
      </w:pPr>
      <w:r w:rsidRPr="00950AB7">
        <w:rPr>
          <w:rFonts w:ascii="Tahoma" w:hAnsi="Tahoma" w:cs="Tahoma"/>
          <w:sz w:val="24"/>
          <w:szCs w:val="24"/>
        </w:rPr>
        <w:t xml:space="preserve">we conducted 37 short inspections, the same number as last year. Thirty-five of the 37 short inspections </w:t>
      </w:r>
      <w:r w:rsidR="007A4044" w:rsidRPr="00950AB7">
        <w:rPr>
          <w:rFonts w:ascii="Tahoma" w:hAnsi="Tahoma" w:cs="Tahoma"/>
          <w:sz w:val="24"/>
          <w:szCs w:val="24"/>
        </w:rPr>
        <w:t xml:space="preserve">this year </w:t>
      </w:r>
      <w:r w:rsidRPr="00950AB7">
        <w:rPr>
          <w:rFonts w:ascii="Tahoma" w:hAnsi="Tahoma" w:cs="Tahoma"/>
          <w:sz w:val="24"/>
          <w:szCs w:val="24"/>
        </w:rPr>
        <w:t xml:space="preserve">resulted in the provider remaining good. In both years, from the short inspections that converted, two providers declined to be less than good </w:t>
      </w:r>
    </w:p>
    <w:p w14:paraId="2F1E9B75" w14:textId="05822B01" w:rsidR="00FE0703" w:rsidRPr="00950AB7" w:rsidRDefault="00F158C2" w:rsidP="00436AB7">
      <w:pPr>
        <w:pStyle w:val="ListParagraph"/>
        <w:numPr>
          <w:ilvl w:val="0"/>
          <w:numId w:val="34"/>
        </w:numPr>
        <w:rPr>
          <w:rFonts w:ascii="Tahoma" w:hAnsi="Tahoma" w:cs="Tahoma"/>
          <w:sz w:val="24"/>
          <w:szCs w:val="24"/>
        </w:rPr>
      </w:pPr>
      <w:r w:rsidRPr="00950AB7">
        <w:rPr>
          <w:rFonts w:ascii="Tahoma" w:hAnsi="Tahoma" w:cs="Tahoma"/>
          <w:sz w:val="24"/>
          <w:szCs w:val="24"/>
        </w:rPr>
        <w:t>h</w:t>
      </w:r>
      <w:r w:rsidR="00B71F99" w:rsidRPr="00950AB7">
        <w:rPr>
          <w:rFonts w:ascii="Tahoma" w:hAnsi="Tahoma" w:cs="Tahoma"/>
          <w:sz w:val="24"/>
          <w:szCs w:val="24"/>
        </w:rPr>
        <w:t>alf the number of risk-</w:t>
      </w:r>
      <w:r w:rsidR="00717688" w:rsidRPr="00950AB7">
        <w:rPr>
          <w:rFonts w:ascii="Tahoma" w:hAnsi="Tahoma" w:cs="Tahoma"/>
          <w:sz w:val="24"/>
          <w:szCs w:val="24"/>
        </w:rPr>
        <w:t xml:space="preserve">assessed inspections of previously good or outstanding providers were conducted this year. A higher proportion remained good or outstanding </w:t>
      </w:r>
      <w:r w:rsidR="008B6C47" w:rsidRPr="00950AB7">
        <w:rPr>
          <w:rFonts w:ascii="Tahoma" w:hAnsi="Tahoma" w:cs="Tahoma"/>
          <w:sz w:val="24"/>
          <w:szCs w:val="24"/>
        </w:rPr>
        <w:t>(59</w:t>
      </w:r>
      <w:r w:rsidR="00717688" w:rsidRPr="00950AB7">
        <w:rPr>
          <w:rFonts w:ascii="Tahoma" w:hAnsi="Tahoma" w:cs="Tahoma"/>
          <w:sz w:val="24"/>
          <w:szCs w:val="24"/>
        </w:rPr>
        <w:t xml:space="preserve">%) compared with last </w:t>
      </w:r>
      <w:r w:rsidRPr="00950AB7">
        <w:rPr>
          <w:rFonts w:ascii="Tahoma" w:hAnsi="Tahoma" w:cs="Tahoma"/>
          <w:sz w:val="24"/>
          <w:szCs w:val="24"/>
        </w:rPr>
        <w:t>year (53%)</w:t>
      </w:r>
    </w:p>
    <w:p w14:paraId="16254721" w14:textId="4A28361D" w:rsidR="0067059D" w:rsidRPr="00950AB7" w:rsidRDefault="00F158C2" w:rsidP="00436AB7">
      <w:pPr>
        <w:pStyle w:val="ListParagraph"/>
        <w:numPr>
          <w:ilvl w:val="0"/>
          <w:numId w:val="34"/>
        </w:numPr>
        <w:rPr>
          <w:rFonts w:ascii="Tahoma" w:hAnsi="Tahoma" w:cs="Tahoma"/>
          <w:sz w:val="24"/>
          <w:szCs w:val="24"/>
        </w:rPr>
      </w:pPr>
      <w:r w:rsidRPr="00950AB7">
        <w:rPr>
          <w:rFonts w:ascii="Tahoma" w:hAnsi="Tahoma" w:cs="Tahoma"/>
          <w:sz w:val="24"/>
          <w:szCs w:val="24"/>
        </w:rPr>
        <w:t>w</w:t>
      </w:r>
      <w:r w:rsidR="0067059D" w:rsidRPr="00950AB7">
        <w:rPr>
          <w:rFonts w:ascii="Tahoma" w:hAnsi="Tahoma" w:cs="Tahoma"/>
          <w:sz w:val="24"/>
          <w:szCs w:val="24"/>
        </w:rPr>
        <w:t>e conducted twice as many re-inspections of providers that previously required improvement</w:t>
      </w:r>
      <w:r w:rsidR="00717688" w:rsidRPr="00950AB7">
        <w:rPr>
          <w:rFonts w:ascii="Tahoma" w:hAnsi="Tahoma" w:cs="Tahoma"/>
          <w:sz w:val="24"/>
          <w:szCs w:val="24"/>
        </w:rPr>
        <w:t>. A</w:t>
      </w:r>
      <w:r w:rsidR="0067059D" w:rsidRPr="00950AB7">
        <w:rPr>
          <w:rFonts w:ascii="Tahoma" w:hAnsi="Tahoma" w:cs="Tahoma"/>
          <w:sz w:val="24"/>
          <w:szCs w:val="24"/>
        </w:rPr>
        <w:t xml:space="preserve"> higher proportion improv</w:t>
      </w:r>
      <w:r w:rsidR="00717688" w:rsidRPr="00950AB7">
        <w:rPr>
          <w:rFonts w:ascii="Tahoma" w:hAnsi="Tahoma" w:cs="Tahoma"/>
          <w:sz w:val="24"/>
          <w:szCs w:val="24"/>
        </w:rPr>
        <w:t>ed</w:t>
      </w:r>
      <w:r w:rsidR="0067059D" w:rsidRPr="00950AB7">
        <w:rPr>
          <w:rFonts w:ascii="Tahoma" w:hAnsi="Tahoma" w:cs="Tahoma"/>
          <w:sz w:val="24"/>
          <w:szCs w:val="24"/>
        </w:rPr>
        <w:t xml:space="preserve"> to good</w:t>
      </w:r>
      <w:r w:rsidR="00717688" w:rsidRPr="00950AB7">
        <w:rPr>
          <w:rFonts w:ascii="Tahoma" w:hAnsi="Tahoma" w:cs="Tahoma"/>
          <w:sz w:val="24"/>
          <w:szCs w:val="24"/>
        </w:rPr>
        <w:t xml:space="preserve"> (11 out of 15), compared with last year (four out of seven)</w:t>
      </w:r>
    </w:p>
    <w:p w14:paraId="0EAD28D2" w14:textId="23B7F97D" w:rsidR="00436AB7" w:rsidRPr="00950AB7" w:rsidRDefault="00F158C2" w:rsidP="00436AB7">
      <w:pPr>
        <w:pStyle w:val="ListParagraph"/>
        <w:numPr>
          <w:ilvl w:val="0"/>
          <w:numId w:val="34"/>
        </w:numPr>
        <w:rPr>
          <w:rFonts w:ascii="Tahoma" w:hAnsi="Tahoma" w:cs="Tahoma"/>
          <w:sz w:val="24"/>
          <w:szCs w:val="24"/>
        </w:rPr>
      </w:pPr>
      <w:r w:rsidRPr="00950AB7">
        <w:rPr>
          <w:rFonts w:ascii="Tahoma" w:hAnsi="Tahoma" w:cs="Tahoma"/>
          <w:sz w:val="24"/>
          <w:szCs w:val="24"/>
        </w:rPr>
        <w:t>n</w:t>
      </w:r>
      <w:r w:rsidR="00436AB7" w:rsidRPr="00950AB7">
        <w:rPr>
          <w:rFonts w:ascii="Tahoma" w:hAnsi="Tahoma" w:cs="Tahoma"/>
          <w:sz w:val="24"/>
          <w:szCs w:val="24"/>
        </w:rPr>
        <w:t xml:space="preserve">one of the community learning and skills providers </w:t>
      </w:r>
      <w:r w:rsidR="00FE0703" w:rsidRPr="00950AB7">
        <w:rPr>
          <w:rFonts w:ascii="Tahoma" w:hAnsi="Tahoma" w:cs="Tahoma"/>
          <w:sz w:val="24"/>
          <w:szCs w:val="24"/>
        </w:rPr>
        <w:t>w</w:t>
      </w:r>
      <w:r w:rsidR="00436AB7" w:rsidRPr="00950AB7">
        <w:rPr>
          <w:rFonts w:ascii="Tahoma" w:hAnsi="Tahoma" w:cs="Tahoma"/>
          <w:sz w:val="24"/>
          <w:szCs w:val="24"/>
        </w:rPr>
        <w:t>ere judged outstanding</w:t>
      </w:r>
      <w:r w:rsidR="00FE0703" w:rsidRPr="00950AB7">
        <w:rPr>
          <w:rFonts w:ascii="Tahoma" w:hAnsi="Tahoma" w:cs="Tahoma"/>
          <w:sz w:val="24"/>
          <w:szCs w:val="24"/>
        </w:rPr>
        <w:t xml:space="preserve"> this year</w:t>
      </w:r>
      <w:r w:rsidR="00436AB7" w:rsidRPr="00950AB7">
        <w:rPr>
          <w:rFonts w:ascii="Tahoma" w:hAnsi="Tahoma" w:cs="Tahoma"/>
          <w:sz w:val="24"/>
          <w:szCs w:val="24"/>
        </w:rPr>
        <w:t>.</w:t>
      </w:r>
    </w:p>
    <w:p w14:paraId="6E598B13" w14:textId="77777777" w:rsidR="009E170B" w:rsidRPr="00950AB7" w:rsidRDefault="009E170B" w:rsidP="009E170B">
      <w:pPr>
        <w:rPr>
          <w:rFonts w:ascii="Tahoma" w:hAnsi="Tahoma" w:cs="Tahoma"/>
          <w:sz w:val="24"/>
          <w:szCs w:val="24"/>
        </w:rPr>
      </w:pPr>
    </w:p>
    <w:p w14:paraId="7F1C3AD5" w14:textId="6A20F4DE" w:rsidR="0061775D" w:rsidRPr="00950AB7" w:rsidRDefault="0061775D" w:rsidP="000B3C75">
      <w:pPr>
        <w:rPr>
          <w:rFonts w:ascii="Tahoma" w:hAnsi="Tahoma" w:cs="Tahoma"/>
          <w:sz w:val="24"/>
          <w:szCs w:val="24"/>
        </w:rPr>
      </w:pPr>
      <w:r w:rsidRPr="00950AB7">
        <w:rPr>
          <w:rFonts w:ascii="Tahoma" w:hAnsi="Tahoma" w:cs="Tahoma"/>
          <w:sz w:val="24"/>
          <w:szCs w:val="24"/>
        </w:rPr>
        <w:t xml:space="preserve">In the providers judged </w:t>
      </w:r>
      <w:r w:rsidR="000B3C75" w:rsidRPr="00950AB7">
        <w:rPr>
          <w:rFonts w:ascii="Tahoma" w:hAnsi="Tahoma" w:cs="Tahoma"/>
          <w:sz w:val="24"/>
          <w:szCs w:val="24"/>
        </w:rPr>
        <w:t xml:space="preserve">good </w:t>
      </w:r>
      <w:r w:rsidR="00D73C84" w:rsidRPr="00950AB7">
        <w:rPr>
          <w:rFonts w:ascii="Tahoma" w:hAnsi="Tahoma" w:cs="Tahoma"/>
          <w:sz w:val="24"/>
          <w:szCs w:val="24"/>
        </w:rPr>
        <w:t>t</w:t>
      </w:r>
      <w:r w:rsidR="000B3C75" w:rsidRPr="00950AB7">
        <w:rPr>
          <w:rFonts w:ascii="Tahoma" w:hAnsi="Tahoma" w:cs="Tahoma"/>
          <w:sz w:val="24"/>
          <w:szCs w:val="24"/>
        </w:rPr>
        <w:t xml:space="preserve">his year, inspectors found </w:t>
      </w:r>
      <w:r w:rsidRPr="00950AB7">
        <w:rPr>
          <w:rFonts w:ascii="Tahoma" w:hAnsi="Tahoma" w:cs="Tahoma"/>
          <w:sz w:val="24"/>
          <w:szCs w:val="24"/>
        </w:rPr>
        <w:t xml:space="preserve">a </w:t>
      </w:r>
      <w:r w:rsidR="00D73C84" w:rsidRPr="00950AB7">
        <w:rPr>
          <w:rFonts w:ascii="Tahoma" w:hAnsi="Tahoma" w:cs="Tahoma"/>
          <w:sz w:val="24"/>
          <w:szCs w:val="24"/>
        </w:rPr>
        <w:t>wide</w:t>
      </w:r>
      <w:r w:rsidRPr="00950AB7">
        <w:rPr>
          <w:rFonts w:ascii="Tahoma" w:hAnsi="Tahoma" w:cs="Tahoma"/>
          <w:sz w:val="24"/>
          <w:szCs w:val="24"/>
        </w:rPr>
        <w:t xml:space="preserve"> range of programmes that engaged the most vulnerable and disadvantaged learners</w:t>
      </w:r>
      <w:r w:rsidR="000B3C75" w:rsidRPr="00950AB7">
        <w:rPr>
          <w:rFonts w:ascii="Tahoma" w:hAnsi="Tahoma" w:cs="Tahoma"/>
          <w:sz w:val="24"/>
          <w:szCs w:val="24"/>
        </w:rPr>
        <w:t>. There were e</w:t>
      </w:r>
      <w:r w:rsidRPr="00950AB7">
        <w:rPr>
          <w:rFonts w:ascii="Tahoma" w:hAnsi="Tahoma" w:cs="Tahoma"/>
          <w:sz w:val="24"/>
          <w:szCs w:val="24"/>
        </w:rPr>
        <w:t>ffective partn</w:t>
      </w:r>
      <w:r w:rsidR="000B3C75" w:rsidRPr="00950AB7">
        <w:rPr>
          <w:rFonts w:ascii="Tahoma" w:hAnsi="Tahoma" w:cs="Tahoma"/>
          <w:sz w:val="24"/>
          <w:szCs w:val="24"/>
        </w:rPr>
        <w:t xml:space="preserve">erships with other agencies and </w:t>
      </w:r>
      <w:r w:rsidRPr="00950AB7">
        <w:rPr>
          <w:rFonts w:ascii="Tahoma" w:hAnsi="Tahoma" w:cs="Tahoma"/>
          <w:sz w:val="24"/>
          <w:szCs w:val="24"/>
        </w:rPr>
        <w:t>good levels of support that enabled learners to progress well</w:t>
      </w:r>
      <w:r w:rsidR="00B71F99" w:rsidRPr="00950AB7">
        <w:rPr>
          <w:rFonts w:ascii="Tahoma" w:hAnsi="Tahoma" w:cs="Tahoma"/>
          <w:sz w:val="24"/>
          <w:szCs w:val="24"/>
        </w:rPr>
        <w:t>,</w:t>
      </w:r>
      <w:r w:rsidRPr="00950AB7">
        <w:rPr>
          <w:rFonts w:ascii="Tahoma" w:hAnsi="Tahoma" w:cs="Tahoma"/>
          <w:sz w:val="24"/>
          <w:szCs w:val="24"/>
        </w:rPr>
        <w:t xml:space="preserve"> often </w:t>
      </w:r>
      <w:r w:rsidR="00B71F99" w:rsidRPr="00950AB7">
        <w:rPr>
          <w:rFonts w:ascii="Tahoma" w:hAnsi="Tahoma" w:cs="Tahoma"/>
          <w:sz w:val="24"/>
          <w:szCs w:val="24"/>
        </w:rPr>
        <w:t xml:space="preserve">from </w:t>
      </w:r>
      <w:r w:rsidRPr="00950AB7">
        <w:rPr>
          <w:rFonts w:ascii="Tahoma" w:hAnsi="Tahoma" w:cs="Tahoma"/>
          <w:sz w:val="24"/>
          <w:szCs w:val="24"/>
        </w:rPr>
        <w:t>low starting points</w:t>
      </w:r>
      <w:r w:rsidR="000B3C75" w:rsidRPr="00950AB7">
        <w:rPr>
          <w:rFonts w:ascii="Tahoma" w:hAnsi="Tahoma" w:cs="Tahoma"/>
          <w:sz w:val="24"/>
          <w:szCs w:val="24"/>
        </w:rPr>
        <w:t>.</w:t>
      </w:r>
    </w:p>
    <w:p w14:paraId="735CA6BF" w14:textId="77777777" w:rsidR="0061775D" w:rsidRPr="00950AB7" w:rsidRDefault="0061775D" w:rsidP="0061775D">
      <w:pPr>
        <w:contextualSpacing/>
        <w:rPr>
          <w:rFonts w:ascii="Tahoma" w:hAnsi="Tahoma" w:cs="Tahoma"/>
          <w:sz w:val="24"/>
          <w:szCs w:val="24"/>
        </w:rPr>
      </w:pPr>
    </w:p>
    <w:p w14:paraId="3845BCDC" w14:textId="6839DDDD" w:rsidR="000B3C75" w:rsidRPr="00950AB7" w:rsidRDefault="0061775D" w:rsidP="000B3C75">
      <w:pPr>
        <w:rPr>
          <w:rFonts w:ascii="Tahoma" w:hAnsi="Tahoma" w:cs="Tahoma"/>
          <w:sz w:val="24"/>
          <w:szCs w:val="24"/>
        </w:rPr>
      </w:pPr>
      <w:r w:rsidRPr="00950AB7">
        <w:rPr>
          <w:rFonts w:ascii="Tahoma" w:hAnsi="Tahoma" w:cs="Tahoma"/>
          <w:sz w:val="24"/>
          <w:szCs w:val="24"/>
        </w:rPr>
        <w:t>In the providers judged requires improvement or inadequ</w:t>
      </w:r>
      <w:r w:rsidR="000B3C75" w:rsidRPr="00950AB7">
        <w:rPr>
          <w:rFonts w:ascii="Tahoma" w:hAnsi="Tahoma" w:cs="Tahoma"/>
          <w:sz w:val="24"/>
          <w:szCs w:val="24"/>
        </w:rPr>
        <w:t xml:space="preserve">ate this year, inspectors found </w:t>
      </w:r>
      <w:r w:rsidRPr="00950AB7">
        <w:rPr>
          <w:rFonts w:ascii="Tahoma" w:hAnsi="Tahoma" w:cs="Tahoma"/>
          <w:sz w:val="24"/>
          <w:szCs w:val="24"/>
        </w:rPr>
        <w:t>a lack of challenging targets for learners and insufficient monitoring of progress, particularly on non-accredited courses</w:t>
      </w:r>
      <w:r w:rsidR="000B3C75" w:rsidRPr="00950AB7">
        <w:rPr>
          <w:rFonts w:ascii="Tahoma" w:hAnsi="Tahoma" w:cs="Tahoma"/>
          <w:sz w:val="24"/>
          <w:szCs w:val="24"/>
        </w:rPr>
        <w:t xml:space="preserve">. Governors and managers did not have access to, or did not use, timely and accurate data to analyse and improve performance. </w:t>
      </w:r>
    </w:p>
    <w:p w14:paraId="02893A64" w14:textId="2332CC66" w:rsidR="0061775D" w:rsidRPr="00950AB7" w:rsidRDefault="0061775D" w:rsidP="000B3C75">
      <w:pPr>
        <w:rPr>
          <w:rFonts w:ascii="Tahoma" w:hAnsi="Tahoma" w:cs="Tahoma"/>
          <w:sz w:val="24"/>
          <w:szCs w:val="24"/>
        </w:rPr>
      </w:pPr>
    </w:p>
    <w:p w14:paraId="1B46D1F0" w14:textId="6382A9DB" w:rsidR="00EA7B89" w:rsidRPr="00950AB7" w:rsidRDefault="00EA7B89" w:rsidP="000B3C75">
      <w:pPr>
        <w:rPr>
          <w:rFonts w:ascii="Tahoma" w:hAnsi="Tahoma" w:cs="Tahoma"/>
          <w:sz w:val="24"/>
          <w:szCs w:val="24"/>
        </w:rPr>
      </w:pPr>
      <w:r w:rsidRPr="00950AB7">
        <w:rPr>
          <w:rFonts w:ascii="Tahoma" w:hAnsi="Tahoma" w:cs="Tahoma"/>
          <w:sz w:val="24"/>
          <w:szCs w:val="24"/>
        </w:rPr>
        <w:t xml:space="preserve">The in-year inspection outcomes had a </w:t>
      </w:r>
      <w:r w:rsidR="000D6EB2" w:rsidRPr="00950AB7">
        <w:rPr>
          <w:rFonts w:ascii="Tahoma" w:hAnsi="Tahoma" w:cs="Tahoma"/>
          <w:sz w:val="24"/>
          <w:szCs w:val="24"/>
        </w:rPr>
        <w:t xml:space="preserve">small </w:t>
      </w:r>
      <w:r w:rsidRPr="00950AB7">
        <w:rPr>
          <w:rFonts w:ascii="Tahoma" w:hAnsi="Tahoma" w:cs="Tahoma"/>
          <w:sz w:val="24"/>
          <w:szCs w:val="24"/>
        </w:rPr>
        <w:t>positive effect on the proportion of community learning and skills providers judged good or outstanding at their most recent inspection. The proportion of providers judged good or outstanding at their most recent inspection increased by one percentage point, from 82% as at 31 August 2016 to 83% as at 31 August 2017.</w:t>
      </w:r>
    </w:p>
    <w:p w14:paraId="51C1E527" w14:textId="77777777" w:rsidR="00543AA4" w:rsidRPr="00950AB7" w:rsidRDefault="00543AA4" w:rsidP="00543AA4">
      <w:pPr>
        <w:rPr>
          <w:rFonts w:ascii="Tahoma" w:hAnsi="Tahoma" w:cs="Tahoma"/>
          <w:sz w:val="24"/>
          <w:szCs w:val="24"/>
        </w:rPr>
      </w:pPr>
    </w:p>
    <w:p w14:paraId="6DFB960D" w14:textId="77777777" w:rsidR="00EA7B89" w:rsidRPr="00950AB7" w:rsidRDefault="00EA7B89" w:rsidP="00543AA4">
      <w:pPr>
        <w:rPr>
          <w:rFonts w:ascii="Tahoma" w:hAnsi="Tahoma" w:cs="Tahoma"/>
          <w:sz w:val="24"/>
          <w:szCs w:val="24"/>
        </w:rPr>
      </w:pPr>
    </w:p>
    <w:p w14:paraId="402C4742" w14:textId="2BC06E48" w:rsidR="00D528B0" w:rsidRPr="00950AB7" w:rsidRDefault="00D528B0" w:rsidP="00D528B0">
      <w:pPr>
        <w:keepNext/>
        <w:keepLines/>
        <w:spacing w:before="40"/>
        <w:outlineLvl w:val="1"/>
        <w:rPr>
          <w:rFonts w:ascii="Tahoma" w:eastAsiaTheme="majorEastAsia" w:hAnsi="Tahoma" w:cs="Tahoma"/>
          <w:b/>
          <w:sz w:val="28"/>
          <w:szCs w:val="28"/>
        </w:rPr>
      </w:pPr>
      <w:bookmarkStart w:id="30" w:name="_Toc498611145"/>
      <w:r w:rsidRPr="00950AB7">
        <w:rPr>
          <w:rFonts w:ascii="Tahoma" w:eastAsiaTheme="majorEastAsia" w:hAnsi="Tahoma" w:cs="Tahoma"/>
          <w:b/>
          <w:sz w:val="28"/>
          <w:szCs w:val="28"/>
        </w:rPr>
        <w:t>Prisons and young offender institutions</w:t>
      </w:r>
      <w:bookmarkEnd w:id="30"/>
    </w:p>
    <w:p w14:paraId="1053943B" w14:textId="77777777" w:rsidR="00D528B0" w:rsidRPr="00950AB7" w:rsidRDefault="00D528B0" w:rsidP="00D528B0">
      <w:pPr>
        <w:keepNext/>
        <w:keepLines/>
        <w:spacing w:before="40"/>
        <w:outlineLvl w:val="1"/>
        <w:rPr>
          <w:rFonts w:ascii="Tahoma" w:hAnsi="Tahoma" w:cs="Tahoma"/>
          <w:sz w:val="24"/>
          <w:szCs w:val="24"/>
        </w:rPr>
      </w:pPr>
    </w:p>
    <w:p w14:paraId="54EBA872" w14:textId="2D66155F" w:rsidR="00EE4E6B" w:rsidRPr="00950AB7" w:rsidRDefault="00EE4E6B" w:rsidP="00EE4E6B">
      <w:pPr>
        <w:rPr>
          <w:rFonts w:ascii="Tahoma" w:hAnsi="Tahoma" w:cs="Tahoma"/>
          <w:sz w:val="24"/>
          <w:szCs w:val="24"/>
        </w:rPr>
      </w:pPr>
      <w:r w:rsidRPr="00950AB7">
        <w:rPr>
          <w:rFonts w:ascii="Tahoma" w:hAnsi="Tahoma" w:cs="Tahoma"/>
          <w:sz w:val="24"/>
          <w:szCs w:val="24"/>
        </w:rPr>
        <w:t xml:space="preserve">As at 31 August 2017, there were 114 prisons and young offender institutions (YOIs). All of the prisons and YOIs had been inspected. </w:t>
      </w:r>
    </w:p>
    <w:p w14:paraId="61BAC385" w14:textId="77777777" w:rsidR="00EE4E6B" w:rsidRPr="00950AB7" w:rsidRDefault="00EE4E6B" w:rsidP="00D528B0">
      <w:pPr>
        <w:keepNext/>
        <w:keepLines/>
        <w:spacing w:before="40"/>
        <w:outlineLvl w:val="1"/>
        <w:rPr>
          <w:rFonts w:ascii="Tahoma" w:hAnsi="Tahoma" w:cs="Tahoma"/>
          <w:sz w:val="24"/>
          <w:szCs w:val="24"/>
        </w:rPr>
      </w:pPr>
    </w:p>
    <w:p w14:paraId="1EF148A7" w14:textId="6742F632" w:rsidR="00875550" w:rsidRPr="00950AB7" w:rsidRDefault="00875550" w:rsidP="00D528B0">
      <w:pPr>
        <w:rPr>
          <w:rFonts w:ascii="Tahoma" w:hAnsi="Tahoma" w:cs="Tahoma"/>
          <w:sz w:val="24"/>
          <w:szCs w:val="24"/>
        </w:rPr>
      </w:pPr>
      <w:r w:rsidRPr="00950AB7">
        <w:rPr>
          <w:rFonts w:ascii="Tahoma" w:hAnsi="Tahoma" w:cs="Tahoma"/>
          <w:sz w:val="24"/>
          <w:szCs w:val="24"/>
        </w:rPr>
        <w:t xml:space="preserve">Ofsted contributed to 41 prison and </w:t>
      </w:r>
      <w:r w:rsidR="00D73C84" w:rsidRPr="00950AB7">
        <w:rPr>
          <w:rFonts w:ascii="Tahoma" w:hAnsi="Tahoma" w:cs="Tahoma"/>
          <w:sz w:val="24"/>
          <w:szCs w:val="24"/>
        </w:rPr>
        <w:t>YOI inspections</w:t>
      </w:r>
      <w:r w:rsidRPr="00950AB7">
        <w:rPr>
          <w:rFonts w:ascii="Tahoma" w:hAnsi="Tahoma" w:cs="Tahoma"/>
          <w:sz w:val="24"/>
          <w:szCs w:val="24"/>
        </w:rPr>
        <w:t xml:space="preserve">, </w:t>
      </w:r>
      <w:r w:rsidR="00D73C84" w:rsidRPr="00950AB7">
        <w:rPr>
          <w:rFonts w:ascii="Tahoma" w:hAnsi="Tahoma" w:cs="Tahoma"/>
          <w:sz w:val="24"/>
          <w:szCs w:val="24"/>
        </w:rPr>
        <w:t xml:space="preserve">where </w:t>
      </w:r>
      <w:r w:rsidRPr="00950AB7">
        <w:rPr>
          <w:rFonts w:ascii="Tahoma" w:hAnsi="Tahoma" w:cs="Tahoma"/>
          <w:sz w:val="24"/>
          <w:szCs w:val="24"/>
        </w:rPr>
        <w:t xml:space="preserve">the reports were published between 1 September 2016 and 31 August 2017. </w:t>
      </w:r>
      <w:r w:rsidR="00D73C84" w:rsidRPr="00950AB7">
        <w:rPr>
          <w:rFonts w:ascii="Tahoma" w:hAnsi="Tahoma" w:cs="Tahoma"/>
          <w:sz w:val="24"/>
          <w:szCs w:val="24"/>
        </w:rPr>
        <w:t>Of these</w:t>
      </w:r>
      <w:r w:rsidR="000D6EB2" w:rsidRPr="00950AB7">
        <w:rPr>
          <w:rFonts w:ascii="Tahoma" w:hAnsi="Tahoma" w:cs="Tahoma"/>
          <w:sz w:val="24"/>
          <w:szCs w:val="24"/>
        </w:rPr>
        <w:t>,</w:t>
      </w:r>
      <w:r w:rsidR="00D73C84" w:rsidRPr="00950AB7">
        <w:rPr>
          <w:rFonts w:ascii="Tahoma" w:hAnsi="Tahoma" w:cs="Tahoma"/>
          <w:sz w:val="24"/>
          <w:szCs w:val="24"/>
        </w:rPr>
        <w:t xml:space="preserve"> 56% were judged </w:t>
      </w:r>
      <w:r w:rsidRPr="00950AB7">
        <w:rPr>
          <w:rFonts w:ascii="Tahoma" w:hAnsi="Tahoma" w:cs="Tahoma"/>
          <w:sz w:val="24"/>
          <w:szCs w:val="24"/>
        </w:rPr>
        <w:t xml:space="preserve">good or </w:t>
      </w:r>
      <w:r w:rsidRPr="00950AB7">
        <w:rPr>
          <w:rFonts w:ascii="Tahoma" w:hAnsi="Tahoma" w:cs="Tahoma"/>
          <w:sz w:val="24"/>
          <w:szCs w:val="24"/>
        </w:rPr>
        <w:lastRenderedPageBreak/>
        <w:t>outstanding for the overall effectiveness of learning and skills and work activities</w:t>
      </w:r>
      <w:r w:rsidR="00745060" w:rsidRPr="00950AB7">
        <w:rPr>
          <w:rFonts w:ascii="Tahoma" w:hAnsi="Tahoma" w:cs="Tahoma"/>
          <w:sz w:val="24"/>
          <w:szCs w:val="24"/>
        </w:rPr>
        <w:t xml:space="preserve"> (overall effectiveness)</w:t>
      </w:r>
      <w:r w:rsidRPr="00950AB7">
        <w:rPr>
          <w:rFonts w:ascii="Tahoma" w:hAnsi="Tahoma" w:cs="Tahoma"/>
          <w:sz w:val="24"/>
          <w:szCs w:val="24"/>
        </w:rPr>
        <w:t>. This is 1</w:t>
      </w:r>
      <w:r w:rsidR="0073456E" w:rsidRPr="00950AB7">
        <w:rPr>
          <w:rFonts w:ascii="Tahoma" w:hAnsi="Tahoma" w:cs="Tahoma"/>
          <w:sz w:val="24"/>
          <w:szCs w:val="24"/>
        </w:rPr>
        <w:t>6</w:t>
      </w:r>
      <w:r w:rsidRPr="00950AB7">
        <w:rPr>
          <w:rFonts w:ascii="Tahoma" w:hAnsi="Tahoma" w:cs="Tahoma"/>
          <w:sz w:val="24"/>
          <w:szCs w:val="24"/>
        </w:rPr>
        <w:t xml:space="preserve"> pe</w:t>
      </w:r>
      <w:r w:rsidR="00964303" w:rsidRPr="00950AB7">
        <w:rPr>
          <w:rFonts w:ascii="Tahoma" w:hAnsi="Tahoma" w:cs="Tahoma"/>
          <w:sz w:val="24"/>
          <w:szCs w:val="24"/>
        </w:rPr>
        <w:t>rcentage points higher than in 2015/16.</w:t>
      </w:r>
    </w:p>
    <w:p w14:paraId="648D0398" w14:textId="77777777" w:rsidR="00875550" w:rsidRPr="00950AB7" w:rsidRDefault="00875550" w:rsidP="00D528B0">
      <w:pPr>
        <w:rPr>
          <w:rFonts w:ascii="Tahoma" w:hAnsi="Tahoma" w:cs="Tahoma"/>
          <w:sz w:val="24"/>
          <w:szCs w:val="24"/>
        </w:rPr>
      </w:pPr>
    </w:p>
    <w:p w14:paraId="35C6A291" w14:textId="24B95CC1" w:rsidR="00EE4E6B" w:rsidRPr="00950AB7" w:rsidRDefault="00875550" w:rsidP="00D528B0">
      <w:pPr>
        <w:rPr>
          <w:rFonts w:ascii="Tahoma" w:hAnsi="Tahoma" w:cs="Tahoma"/>
          <w:sz w:val="24"/>
          <w:szCs w:val="24"/>
        </w:rPr>
      </w:pPr>
      <w:r w:rsidRPr="00950AB7">
        <w:rPr>
          <w:rFonts w:ascii="Tahoma" w:hAnsi="Tahoma" w:cs="Tahoma"/>
          <w:sz w:val="24"/>
          <w:szCs w:val="24"/>
        </w:rPr>
        <w:t>F</w:t>
      </w:r>
      <w:r w:rsidR="002F6D14" w:rsidRPr="00950AB7">
        <w:rPr>
          <w:rFonts w:ascii="Tahoma" w:hAnsi="Tahoma" w:cs="Tahoma"/>
          <w:sz w:val="24"/>
          <w:szCs w:val="24"/>
        </w:rPr>
        <w:t>or 22</w:t>
      </w:r>
      <w:r w:rsidRPr="00950AB7">
        <w:rPr>
          <w:rFonts w:ascii="Tahoma" w:hAnsi="Tahoma" w:cs="Tahoma"/>
          <w:sz w:val="24"/>
          <w:szCs w:val="24"/>
        </w:rPr>
        <w:t xml:space="preserve"> prisons, this was the first time they had received a judgement on the overall effectiveness since the judgement was introduced in March 2014</w:t>
      </w:r>
      <w:r w:rsidR="00EE4E6B" w:rsidRPr="00950AB7">
        <w:rPr>
          <w:rFonts w:ascii="Tahoma" w:hAnsi="Tahoma" w:cs="Tahoma"/>
          <w:sz w:val="24"/>
          <w:szCs w:val="24"/>
          <w:vertAlign w:val="superscript"/>
        </w:rPr>
        <w:footnoteReference w:id="4"/>
      </w:r>
      <w:r w:rsidR="002F6D14" w:rsidRPr="00950AB7">
        <w:rPr>
          <w:rFonts w:ascii="Tahoma" w:hAnsi="Tahoma" w:cs="Tahoma"/>
          <w:sz w:val="24"/>
          <w:szCs w:val="24"/>
        </w:rPr>
        <w:t>. Fifteen out of the 22</w:t>
      </w:r>
      <w:r w:rsidRPr="00950AB7">
        <w:rPr>
          <w:rFonts w:ascii="Tahoma" w:hAnsi="Tahoma" w:cs="Tahoma"/>
          <w:sz w:val="24"/>
          <w:szCs w:val="24"/>
        </w:rPr>
        <w:t xml:space="preserve"> were judged good and one was judged outstanding. </w:t>
      </w:r>
    </w:p>
    <w:p w14:paraId="518E79C9" w14:textId="77777777" w:rsidR="00EE4E6B" w:rsidRPr="00950AB7" w:rsidRDefault="00EE4E6B" w:rsidP="00D528B0">
      <w:pPr>
        <w:rPr>
          <w:rFonts w:ascii="Tahoma" w:hAnsi="Tahoma" w:cs="Tahoma"/>
          <w:sz w:val="24"/>
          <w:szCs w:val="24"/>
        </w:rPr>
      </w:pPr>
    </w:p>
    <w:p w14:paraId="10CFBECE" w14:textId="142457AE" w:rsidR="00875550" w:rsidRPr="00950AB7" w:rsidRDefault="008C4AED" w:rsidP="00D528B0">
      <w:pPr>
        <w:rPr>
          <w:rFonts w:ascii="Tahoma" w:hAnsi="Tahoma" w:cs="Tahoma"/>
          <w:sz w:val="24"/>
          <w:szCs w:val="24"/>
        </w:rPr>
      </w:pPr>
      <w:r w:rsidRPr="00950AB7">
        <w:rPr>
          <w:rFonts w:ascii="Tahoma" w:hAnsi="Tahoma" w:cs="Tahoma"/>
          <w:sz w:val="24"/>
          <w:szCs w:val="24"/>
        </w:rPr>
        <w:t>The in-year inspection outcomes had a</w:t>
      </w:r>
      <w:r w:rsidR="00875550" w:rsidRPr="00950AB7">
        <w:rPr>
          <w:rFonts w:ascii="Tahoma" w:hAnsi="Tahoma" w:cs="Tahoma"/>
          <w:sz w:val="24"/>
          <w:szCs w:val="24"/>
        </w:rPr>
        <w:t xml:space="preserve"> positive effect on the most recent inspection outcomes for all prisons and </w:t>
      </w:r>
      <w:r w:rsidR="009771D5" w:rsidRPr="00950AB7">
        <w:rPr>
          <w:rFonts w:ascii="Tahoma" w:hAnsi="Tahoma" w:cs="Tahoma"/>
          <w:sz w:val="24"/>
          <w:szCs w:val="24"/>
        </w:rPr>
        <w:t>YOIs</w:t>
      </w:r>
      <w:r w:rsidR="00875550" w:rsidRPr="00950AB7">
        <w:rPr>
          <w:rFonts w:ascii="Tahoma" w:hAnsi="Tahoma" w:cs="Tahoma"/>
          <w:sz w:val="24"/>
          <w:szCs w:val="24"/>
        </w:rPr>
        <w:t xml:space="preserve">. </w:t>
      </w:r>
      <w:r w:rsidR="00EE4E6B" w:rsidRPr="00950AB7">
        <w:rPr>
          <w:rFonts w:ascii="Tahoma" w:hAnsi="Tahoma" w:cs="Tahoma"/>
          <w:sz w:val="24"/>
          <w:szCs w:val="24"/>
        </w:rPr>
        <w:t>Overall</w:t>
      </w:r>
      <w:r w:rsidR="009771D5" w:rsidRPr="00950AB7">
        <w:rPr>
          <w:rFonts w:ascii="Tahoma" w:hAnsi="Tahoma" w:cs="Tahoma"/>
          <w:sz w:val="24"/>
          <w:szCs w:val="24"/>
        </w:rPr>
        <w:t>,</w:t>
      </w:r>
      <w:r w:rsidR="00EE4E6B" w:rsidRPr="00950AB7">
        <w:rPr>
          <w:rFonts w:ascii="Tahoma" w:hAnsi="Tahoma" w:cs="Tahoma"/>
          <w:sz w:val="24"/>
          <w:szCs w:val="24"/>
        </w:rPr>
        <w:t xml:space="preserve"> the proportion of prisons</w:t>
      </w:r>
      <w:r w:rsidR="009771D5" w:rsidRPr="00950AB7">
        <w:rPr>
          <w:rFonts w:ascii="Tahoma" w:hAnsi="Tahoma" w:cs="Tahoma"/>
          <w:sz w:val="24"/>
          <w:szCs w:val="24"/>
        </w:rPr>
        <w:t xml:space="preserve"> and YOIs</w:t>
      </w:r>
      <w:r w:rsidR="00EE4E6B" w:rsidRPr="00950AB7">
        <w:rPr>
          <w:rFonts w:ascii="Tahoma" w:hAnsi="Tahoma" w:cs="Tahoma"/>
          <w:sz w:val="24"/>
          <w:szCs w:val="24"/>
        </w:rPr>
        <w:t xml:space="preserve"> judged good or outstanding for overall effectiveness at their most recent inspection increased by eight percentage points; from 35% as at 31 August 2016 to 44% as at 31 August 2017.</w:t>
      </w:r>
    </w:p>
    <w:p w14:paraId="21FCD3D6" w14:textId="3FC92107" w:rsidR="00B01982" w:rsidRPr="00950AB7" w:rsidRDefault="00B01982">
      <w:pPr>
        <w:rPr>
          <w:rFonts w:ascii="Tahoma" w:hAnsi="Tahoma" w:cs="Tahoma"/>
          <w:b/>
          <w:sz w:val="24"/>
          <w:szCs w:val="24"/>
        </w:rPr>
      </w:pPr>
    </w:p>
    <w:p w14:paraId="2204E482" w14:textId="77777777" w:rsidR="007C556A" w:rsidRPr="00950AB7" w:rsidRDefault="007C556A">
      <w:pPr>
        <w:rPr>
          <w:rFonts w:ascii="Tahoma" w:hAnsi="Tahoma" w:cs="Tahoma"/>
          <w:b/>
          <w:sz w:val="8"/>
          <w:szCs w:val="8"/>
        </w:rPr>
      </w:pPr>
    </w:p>
    <w:p w14:paraId="2A0BDAE4" w14:textId="3FF100B7" w:rsidR="00D528B0" w:rsidRPr="00950AB7" w:rsidRDefault="00B01982" w:rsidP="00D528B0">
      <w:pPr>
        <w:rPr>
          <w:rFonts w:ascii="Tahoma" w:hAnsi="Tahoma" w:cs="Tahoma"/>
          <w:sz w:val="24"/>
          <w:szCs w:val="24"/>
        </w:rPr>
      </w:pPr>
      <w:r w:rsidRPr="00950AB7">
        <w:rPr>
          <w:rFonts w:ascii="Tahoma" w:hAnsi="Tahoma" w:cs="Tahoma"/>
          <w:bCs/>
          <w:noProof/>
          <w:sz w:val="24"/>
          <w:szCs w:val="24"/>
          <w:lang w:eastAsia="en-GB"/>
        </w:rPr>
        <mc:AlternateContent>
          <mc:Choice Requires="wps">
            <w:drawing>
              <wp:anchor distT="0" distB="0" distL="114300" distR="114300" simplePos="0" relativeHeight="251677696" behindDoc="0" locked="0" layoutInCell="1" allowOverlap="1" wp14:anchorId="426937EB" wp14:editId="0A3FAAC7">
                <wp:simplePos x="0" y="0"/>
                <wp:positionH relativeFrom="margin">
                  <wp:posOffset>-97790</wp:posOffset>
                </wp:positionH>
                <wp:positionV relativeFrom="paragraph">
                  <wp:posOffset>-66039</wp:posOffset>
                </wp:positionV>
                <wp:extent cx="6267450" cy="36068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6267450" cy="3606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1C9C0" id="Rectangle 12" o:spid="_x0000_s1026" style="position:absolute;margin-left:-7.7pt;margin-top:-5.2pt;width:493.5pt;height:2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" filled="f" strokecolor="windowText">
                <w10:wrap anchorx="margin"/>
              </v:rect>
            </w:pict>
          </mc:Fallback>
        </mc:AlternateContent>
      </w:r>
      <w:r w:rsidR="00D528B0" w:rsidRPr="00950AB7">
        <w:rPr>
          <w:rFonts w:ascii="Tahoma" w:hAnsi="Tahoma" w:cs="Tahoma"/>
          <w:b/>
          <w:sz w:val="24"/>
          <w:szCs w:val="24"/>
        </w:rPr>
        <w:t xml:space="preserve">Figure </w:t>
      </w:r>
      <w:r w:rsidR="00BB4BC9" w:rsidRPr="00950AB7">
        <w:rPr>
          <w:rFonts w:ascii="Tahoma" w:hAnsi="Tahoma" w:cs="Tahoma"/>
          <w:b/>
          <w:sz w:val="24"/>
          <w:szCs w:val="24"/>
        </w:rPr>
        <w:t>9</w:t>
      </w:r>
      <w:r w:rsidR="00D528B0" w:rsidRPr="00950AB7">
        <w:rPr>
          <w:rFonts w:ascii="Tahoma" w:hAnsi="Tahoma" w:cs="Tahoma"/>
          <w:b/>
          <w:sz w:val="24"/>
          <w:szCs w:val="24"/>
        </w:rPr>
        <w:t xml:space="preserve">: </w:t>
      </w:r>
      <w:r w:rsidR="00E86CE6" w:rsidRPr="00950AB7">
        <w:rPr>
          <w:rFonts w:ascii="Tahoma" w:hAnsi="Tahoma" w:cs="Tahoma"/>
          <w:b/>
          <w:sz w:val="24"/>
          <w:szCs w:val="24"/>
        </w:rPr>
        <w:t>Overall effectiveness of learning and skills and work activities (overall effectiveness) of prisons and young offender institutions at their most recent inspection, over time</w:t>
      </w:r>
    </w:p>
    <w:p w14:paraId="23D928BC" w14:textId="77777777" w:rsidR="00D528B0" w:rsidRPr="00950AB7" w:rsidRDefault="00D528B0" w:rsidP="00D528B0">
      <w:pPr>
        <w:spacing w:before="120" w:after="120"/>
        <w:rPr>
          <w:rFonts w:ascii="Tahoma" w:hAnsi="Tahoma" w:cs="Tahoma"/>
          <w:sz w:val="20"/>
          <w:szCs w:val="20"/>
        </w:rPr>
      </w:pPr>
      <w:r w:rsidRPr="00950AB7">
        <w:rPr>
          <w:rFonts w:ascii="Tahoma" w:hAnsi="Tahoma" w:cs="Tahoma"/>
          <w:sz w:val="20"/>
          <w:szCs w:val="20"/>
        </w:rPr>
        <w:t>Number of prisons and young offender institutions in brackets</w:t>
      </w:r>
      <w:r w:rsidRPr="00950AB7">
        <w:rPr>
          <w:rFonts w:ascii="Tahoma" w:hAnsi="Tahoma" w:cs="Tahoma"/>
          <w:sz w:val="20"/>
          <w:szCs w:val="20"/>
        </w:rPr>
        <w:tab/>
      </w:r>
      <w:r w:rsidRPr="00950AB7">
        <w:rPr>
          <w:rFonts w:ascii="Tahoma" w:hAnsi="Tahoma" w:cs="Tahoma"/>
          <w:sz w:val="20"/>
          <w:szCs w:val="20"/>
        </w:rPr>
        <w:tab/>
      </w:r>
    </w:p>
    <w:p w14:paraId="5CFC67D9" w14:textId="120F20B1" w:rsidR="00D528B0" w:rsidRPr="00950AB7" w:rsidRDefault="00B01982" w:rsidP="00D528B0">
      <w:pPr>
        <w:rPr>
          <w:rFonts w:ascii="Tahoma" w:hAnsi="Tahoma" w:cs="Tahoma"/>
          <w:b/>
          <w:sz w:val="24"/>
          <w:szCs w:val="24"/>
        </w:rPr>
      </w:pPr>
      <w:r w:rsidRPr="00950AB7">
        <w:rPr>
          <w:rFonts w:ascii="Tahoma" w:hAnsi="Tahoma" w:cs="Tahoma"/>
          <w:b/>
          <w:noProof/>
          <w:sz w:val="24"/>
          <w:szCs w:val="24"/>
          <w:lang w:eastAsia="en-GB"/>
        </w:rPr>
        <w:drawing>
          <wp:inline distT="0" distB="0" distL="0" distR="0" wp14:anchorId="5EBA3B9A" wp14:editId="0C2DAB9D">
            <wp:extent cx="6066155" cy="1628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3">
                      <a:extLst>
                        <a:ext uri="{28A0092B-C50C-407E-A947-70E740481C1C}">
                          <a14:useLocalDpi xmlns:a14="http://schemas.microsoft.com/office/drawing/2010/main" val="0"/>
                        </a:ext>
                      </a:extLst>
                    </a:blip>
                    <a:srcRect t="4281" b="4209"/>
                    <a:stretch/>
                  </pic:blipFill>
                  <pic:spPr bwMode="auto">
                    <a:xfrm>
                      <a:off x="0" y="0"/>
                      <a:ext cx="6066155" cy="1628775"/>
                    </a:xfrm>
                    <a:prstGeom prst="rect">
                      <a:avLst/>
                    </a:prstGeom>
                    <a:noFill/>
                    <a:ln>
                      <a:noFill/>
                    </a:ln>
                    <a:extLst>
                      <a:ext uri="{53640926-AAD7-44D8-BBD7-CCE9431645EC}">
                        <a14:shadowObscured xmlns:a14="http://schemas.microsoft.com/office/drawing/2010/main"/>
                      </a:ext>
                    </a:extLst>
                  </pic:spPr>
                </pic:pic>
              </a:graphicData>
            </a:graphic>
          </wp:inline>
        </w:drawing>
      </w:r>
    </w:p>
    <w:p w14:paraId="5A28C879" w14:textId="77777777" w:rsidR="00D528B0" w:rsidRPr="00950AB7" w:rsidRDefault="00D528B0" w:rsidP="00D528B0">
      <w:pPr>
        <w:rPr>
          <w:rFonts w:ascii="Tahoma" w:hAnsi="Tahoma" w:cs="Tahoma"/>
          <w:sz w:val="16"/>
          <w:szCs w:val="16"/>
        </w:rPr>
      </w:pPr>
    </w:p>
    <w:p w14:paraId="699F9F39" w14:textId="0A4A805C" w:rsidR="00D528B0" w:rsidRPr="00950AB7" w:rsidRDefault="00D528B0" w:rsidP="00D528B0">
      <w:pPr>
        <w:numPr>
          <w:ilvl w:val="0"/>
          <w:numId w:val="17"/>
        </w:numPr>
        <w:contextualSpacing/>
        <w:rPr>
          <w:rFonts w:ascii="Tahoma" w:hAnsi="Tahoma" w:cs="Tahoma"/>
          <w:sz w:val="16"/>
          <w:szCs w:val="16"/>
        </w:rPr>
      </w:pPr>
      <w:r w:rsidRPr="00950AB7">
        <w:rPr>
          <w:rFonts w:ascii="Tahoma" w:hAnsi="Tahoma" w:cs="Tahoma"/>
          <w:sz w:val="16"/>
          <w:szCs w:val="16"/>
        </w:rPr>
        <w:t xml:space="preserve">The overall effectiveness of learning and skills and work activities was introduced in March 2014 (with the exception of two prisons and young offender institutions that received the judgement in February 2014). Prisons and young offender institutions that have yet to receive this judgement are not included </w:t>
      </w:r>
      <w:r w:rsidR="009771D5" w:rsidRPr="00950AB7">
        <w:rPr>
          <w:rFonts w:ascii="Tahoma" w:hAnsi="Tahoma" w:cs="Tahoma"/>
          <w:sz w:val="16"/>
          <w:szCs w:val="16"/>
        </w:rPr>
        <w:t>in t</w:t>
      </w:r>
      <w:r w:rsidRPr="00950AB7">
        <w:rPr>
          <w:rFonts w:ascii="Tahoma" w:hAnsi="Tahoma" w:cs="Tahoma"/>
          <w:sz w:val="16"/>
          <w:szCs w:val="16"/>
        </w:rPr>
        <w:t>he</w:t>
      </w:r>
      <w:r w:rsidR="009771D5" w:rsidRPr="00950AB7">
        <w:rPr>
          <w:rFonts w:ascii="Tahoma" w:hAnsi="Tahoma" w:cs="Tahoma"/>
          <w:sz w:val="16"/>
          <w:szCs w:val="16"/>
        </w:rPr>
        <w:t xml:space="preserve">se </w:t>
      </w:r>
      <w:r w:rsidRPr="00950AB7">
        <w:rPr>
          <w:rFonts w:ascii="Tahoma" w:hAnsi="Tahoma" w:cs="Tahoma"/>
          <w:sz w:val="16"/>
          <w:szCs w:val="16"/>
        </w:rPr>
        <w:t>statistics. As</w:t>
      </w:r>
      <w:r w:rsidR="009771D5" w:rsidRPr="00950AB7">
        <w:rPr>
          <w:rFonts w:ascii="Tahoma" w:hAnsi="Tahoma" w:cs="Tahoma"/>
          <w:sz w:val="16"/>
          <w:szCs w:val="16"/>
        </w:rPr>
        <w:t xml:space="preserve"> at 31 August 2017, there were nine</w:t>
      </w:r>
      <w:r w:rsidRPr="00950AB7">
        <w:rPr>
          <w:rFonts w:ascii="Tahoma" w:hAnsi="Tahoma" w:cs="Tahoma"/>
          <w:sz w:val="16"/>
          <w:szCs w:val="16"/>
        </w:rPr>
        <w:t xml:space="preserve"> prisons and young offender institutions without an overall effectiveness judgement.</w:t>
      </w:r>
      <w:r w:rsidRPr="00950AB7">
        <w:rPr>
          <w:rFonts w:ascii="Tahoma" w:hAnsi="Tahoma" w:cs="Tahoma"/>
          <w:sz w:val="16"/>
          <w:szCs w:val="16"/>
        </w:rPr>
        <w:tab/>
      </w:r>
      <w:r w:rsidRPr="00950AB7">
        <w:rPr>
          <w:rFonts w:ascii="Tahoma" w:hAnsi="Tahoma" w:cs="Tahoma"/>
          <w:sz w:val="16"/>
          <w:szCs w:val="16"/>
        </w:rPr>
        <w:tab/>
      </w:r>
      <w:r w:rsidRPr="00950AB7">
        <w:rPr>
          <w:rFonts w:ascii="Tahoma" w:hAnsi="Tahoma" w:cs="Tahoma"/>
          <w:sz w:val="16"/>
          <w:szCs w:val="16"/>
        </w:rPr>
        <w:tab/>
      </w:r>
      <w:r w:rsidRPr="00950AB7">
        <w:rPr>
          <w:rFonts w:ascii="Tahoma" w:hAnsi="Tahoma" w:cs="Tahoma"/>
          <w:sz w:val="16"/>
          <w:szCs w:val="16"/>
        </w:rPr>
        <w:tab/>
      </w:r>
      <w:r w:rsidRPr="00950AB7">
        <w:rPr>
          <w:rFonts w:ascii="Tahoma" w:hAnsi="Tahoma" w:cs="Tahoma"/>
          <w:sz w:val="16"/>
          <w:szCs w:val="16"/>
        </w:rPr>
        <w:tab/>
      </w:r>
      <w:r w:rsidRPr="00950AB7">
        <w:rPr>
          <w:rFonts w:ascii="Tahoma" w:hAnsi="Tahoma" w:cs="Tahoma"/>
          <w:sz w:val="16"/>
          <w:szCs w:val="16"/>
        </w:rPr>
        <w:tab/>
      </w:r>
      <w:r w:rsidRPr="00950AB7">
        <w:rPr>
          <w:rFonts w:ascii="Tahoma" w:hAnsi="Tahoma" w:cs="Tahoma"/>
          <w:sz w:val="16"/>
          <w:szCs w:val="16"/>
        </w:rPr>
        <w:tab/>
      </w:r>
    </w:p>
    <w:p w14:paraId="2BAC42AC" w14:textId="1A44D50F" w:rsidR="00D528B0" w:rsidRPr="00950AB7" w:rsidRDefault="00D528B0" w:rsidP="00D528B0">
      <w:pPr>
        <w:numPr>
          <w:ilvl w:val="0"/>
          <w:numId w:val="17"/>
        </w:numPr>
        <w:contextualSpacing/>
        <w:rPr>
          <w:rFonts w:ascii="Tahoma" w:hAnsi="Tahoma" w:cs="Tahoma"/>
          <w:sz w:val="16"/>
          <w:szCs w:val="16"/>
        </w:rPr>
      </w:pPr>
      <w:r w:rsidRPr="00950AB7">
        <w:rPr>
          <w:rFonts w:ascii="Tahoma" w:hAnsi="Tahoma" w:cs="Tahoma"/>
          <w:sz w:val="16"/>
          <w:szCs w:val="16"/>
        </w:rPr>
        <w:t>Prior to 1 September 2012, providers with an inspection outcome of grad</w:t>
      </w:r>
      <w:r w:rsidR="00B01982" w:rsidRPr="00950AB7">
        <w:rPr>
          <w:rFonts w:ascii="Tahoma" w:hAnsi="Tahoma" w:cs="Tahoma"/>
          <w:sz w:val="16"/>
          <w:szCs w:val="16"/>
        </w:rPr>
        <w:t>e 3 were judged as satisfactory</w:t>
      </w:r>
    </w:p>
    <w:p w14:paraId="0A8688B8" w14:textId="77777777" w:rsidR="00D528B0" w:rsidRPr="00950AB7" w:rsidRDefault="00D528B0" w:rsidP="00D528B0">
      <w:pPr>
        <w:numPr>
          <w:ilvl w:val="0"/>
          <w:numId w:val="17"/>
        </w:numPr>
        <w:contextualSpacing/>
        <w:rPr>
          <w:rFonts w:ascii="Tahoma" w:hAnsi="Tahoma" w:cs="Tahoma"/>
          <w:sz w:val="16"/>
          <w:szCs w:val="16"/>
        </w:rPr>
      </w:pPr>
      <w:r w:rsidRPr="00950AB7">
        <w:rPr>
          <w:rFonts w:ascii="Tahoma" w:hAnsi="Tahoma" w:cs="Tahoma"/>
          <w:sz w:val="16"/>
          <w:szCs w:val="16"/>
        </w:rPr>
        <w:t>Inspections published by 31 August 2017.</w:t>
      </w:r>
    </w:p>
    <w:p w14:paraId="0689FDC0" w14:textId="374802BC" w:rsidR="00D528B0" w:rsidRPr="00950AB7" w:rsidRDefault="00D528B0" w:rsidP="00D528B0">
      <w:pPr>
        <w:numPr>
          <w:ilvl w:val="0"/>
          <w:numId w:val="17"/>
        </w:numPr>
        <w:contextualSpacing/>
        <w:rPr>
          <w:rFonts w:ascii="Tahoma" w:hAnsi="Tahoma" w:cs="Tahoma"/>
          <w:sz w:val="16"/>
          <w:szCs w:val="16"/>
        </w:rPr>
      </w:pPr>
      <w:r w:rsidRPr="00950AB7">
        <w:rPr>
          <w:rFonts w:ascii="Tahoma" w:hAnsi="Tahoma" w:cs="Tahoma"/>
          <w:sz w:val="16"/>
          <w:szCs w:val="16"/>
        </w:rPr>
        <w:t xml:space="preserve">Percentages are rounded and may not add to 100.  </w:t>
      </w:r>
    </w:p>
    <w:p w14:paraId="18E8F220" w14:textId="77777777" w:rsidR="008C2F1E" w:rsidRPr="00950AB7" w:rsidRDefault="008C2F1E" w:rsidP="00D528B0">
      <w:pPr>
        <w:rPr>
          <w:rFonts w:ascii="Tahoma" w:hAnsi="Tahoma" w:cs="Tahoma"/>
          <w:sz w:val="8"/>
          <w:szCs w:val="8"/>
        </w:rPr>
      </w:pPr>
    </w:p>
    <w:p w14:paraId="1A781DDA" w14:textId="36896003" w:rsidR="00495591" w:rsidRPr="00950AB7" w:rsidRDefault="00495591">
      <w:pPr>
        <w:rPr>
          <w:rFonts w:ascii="Tahoma" w:eastAsiaTheme="majorEastAsia" w:hAnsi="Tahoma" w:cs="Tahoma"/>
          <w:b/>
          <w:sz w:val="24"/>
          <w:szCs w:val="24"/>
        </w:rPr>
      </w:pPr>
    </w:p>
    <w:p w14:paraId="4F3518D9" w14:textId="77777777" w:rsidR="00B01982" w:rsidRPr="00950AB7" w:rsidRDefault="00B01982">
      <w:pPr>
        <w:rPr>
          <w:rFonts w:ascii="Tahoma" w:eastAsiaTheme="majorEastAsia" w:hAnsi="Tahoma" w:cs="Tahoma"/>
          <w:b/>
          <w:sz w:val="24"/>
          <w:szCs w:val="24"/>
        </w:rPr>
      </w:pPr>
    </w:p>
    <w:p w14:paraId="493ECC1C" w14:textId="46F0AF0B" w:rsidR="002E13F2" w:rsidRPr="00950AB7" w:rsidRDefault="002E13F2" w:rsidP="002E13F2">
      <w:pPr>
        <w:keepNext/>
        <w:keepLines/>
        <w:spacing w:before="40"/>
        <w:outlineLvl w:val="1"/>
        <w:rPr>
          <w:rFonts w:ascii="Tahoma" w:eastAsiaTheme="majorEastAsia" w:hAnsi="Tahoma" w:cs="Tahoma"/>
          <w:b/>
          <w:sz w:val="28"/>
          <w:szCs w:val="28"/>
        </w:rPr>
      </w:pPr>
      <w:bookmarkStart w:id="31" w:name="_Toc498611146"/>
      <w:r w:rsidRPr="00950AB7">
        <w:rPr>
          <w:rFonts w:ascii="Tahoma" w:eastAsiaTheme="majorEastAsia" w:hAnsi="Tahoma" w:cs="Tahoma"/>
          <w:b/>
          <w:sz w:val="28"/>
          <w:szCs w:val="28"/>
        </w:rPr>
        <w:t>Other further education and skills providers</w:t>
      </w:r>
      <w:bookmarkEnd w:id="31"/>
    </w:p>
    <w:p w14:paraId="1E72A2FB" w14:textId="77777777" w:rsidR="00BA4224" w:rsidRPr="00950AB7" w:rsidRDefault="00BA4224" w:rsidP="00543AA4">
      <w:pPr>
        <w:rPr>
          <w:rFonts w:ascii="Tahoma" w:hAnsi="Tahoma" w:cs="Tahoma"/>
          <w:sz w:val="24"/>
          <w:szCs w:val="24"/>
        </w:rPr>
      </w:pPr>
    </w:p>
    <w:p w14:paraId="336CD6F5" w14:textId="75811BBC" w:rsidR="009D48A1" w:rsidRPr="00950AB7" w:rsidRDefault="00EE4E6B" w:rsidP="00EE4E6B">
      <w:pPr>
        <w:rPr>
          <w:rFonts w:ascii="Tahoma" w:hAnsi="Tahoma" w:cs="Tahoma"/>
          <w:sz w:val="24"/>
        </w:rPr>
      </w:pPr>
      <w:r w:rsidRPr="00950AB7">
        <w:rPr>
          <w:rFonts w:ascii="Tahoma" w:hAnsi="Tahoma" w:cs="Tahoma"/>
          <w:sz w:val="24"/>
        </w:rPr>
        <w:t>Seven specialist further education colleges were inspected during 2016/17.</w:t>
      </w:r>
      <w:r w:rsidR="004613F7" w:rsidRPr="00950AB7">
        <w:rPr>
          <w:rFonts w:ascii="Tahoma" w:hAnsi="Tahoma" w:cs="Tahoma"/>
          <w:sz w:val="24"/>
        </w:rPr>
        <w:t xml:space="preserve"> The colleges</w:t>
      </w:r>
      <w:r w:rsidR="009D48A1" w:rsidRPr="00950AB7">
        <w:rPr>
          <w:rFonts w:ascii="Tahoma" w:hAnsi="Tahoma" w:cs="Tahoma"/>
          <w:sz w:val="24"/>
        </w:rPr>
        <w:t xml:space="preserve"> inspected this year</w:t>
      </w:r>
      <w:r w:rsidR="004613F7" w:rsidRPr="00950AB7">
        <w:rPr>
          <w:rFonts w:ascii="Tahoma" w:hAnsi="Tahoma" w:cs="Tahoma"/>
          <w:sz w:val="24"/>
        </w:rPr>
        <w:t xml:space="preserve"> specialise in providing agricultur</w:t>
      </w:r>
      <w:r w:rsidR="00B71F99" w:rsidRPr="00950AB7">
        <w:rPr>
          <w:rFonts w:ascii="Tahoma" w:hAnsi="Tahoma" w:cs="Tahoma"/>
          <w:sz w:val="24"/>
        </w:rPr>
        <w:t>al courses</w:t>
      </w:r>
      <w:r w:rsidR="004613F7" w:rsidRPr="00950AB7">
        <w:rPr>
          <w:rFonts w:ascii="Tahoma" w:hAnsi="Tahoma" w:cs="Tahoma"/>
          <w:sz w:val="24"/>
        </w:rPr>
        <w:t xml:space="preserve"> and other land-based provision.</w:t>
      </w:r>
      <w:r w:rsidRPr="00950AB7">
        <w:rPr>
          <w:rFonts w:ascii="Tahoma" w:hAnsi="Tahoma" w:cs="Tahoma"/>
          <w:sz w:val="24"/>
        </w:rPr>
        <w:t xml:space="preserve"> The four previously good colleges that received a short inspection all remained good. Out of the three previously good colleges risk assessed for a</w:t>
      </w:r>
      <w:r w:rsidR="004613F7" w:rsidRPr="00950AB7">
        <w:rPr>
          <w:rFonts w:ascii="Tahoma" w:hAnsi="Tahoma" w:cs="Tahoma"/>
          <w:sz w:val="24"/>
        </w:rPr>
        <w:t xml:space="preserve"> full</w:t>
      </w:r>
      <w:r w:rsidRPr="00950AB7">
        <w:rPr>
          <w:rFonts w:ascii="Tahoma" w:hAnsi="Tahoma" w:cs="Tahoma"/>
          <w:sz w:val="24"/>
        </w:rPr>
        <w:t xml:space="preserve"> inspection, two remained good and one declined to inadequate.</w:t>
      </w:r>
      <w:r w:rsidR="009D48A1" w:rsidRPr="00950AB7">
        <w:rPr>
          <w:rFonts w:ascii="Tahoma" w:hAnsi="Tahoma" w:cs="Tahoma"/>
          <w:sz w:val="24"/>
        </w:rPr>
        <w:t xml:space="preserve"> In total there are 16 specialist further </w:t>
      </w:r>
      <w:r w:rsidR="009D48A1" w:rsidRPr="00950AB7">
        <w:rPr>
          <w:rFonts w:ascii="Tahoma" w:hAnsi="Tahoma" w:cs="Tahoma"/>
          <w:sz w:val="24"/>
        </w:rPr>
        <w:lastRenderedPageBreak/>
        <w:t>education colleges, of which 13 are judged to be good or outstanding at their most recent inspection.</w:t>
      </w:r>
    </w:p>
    <w:p w14:paraId="59D76213" w14:textId="77777777" w:rsidR="00EE4E6B" w:rsidRPr="00950AB7" w:rsidRDefault="00EE4E6B" w:rsidP="00543AA4">
      <w:pPr>
        <w:rPr>
          <w:rFonts w:ascii="Tahoma" w:hAnsi="Tahoma" w:cs="Tahoma"/>
          <w:sz w:val="24"/>
          <w:szCs w:val="24"/>
        </w:rPr>
      </w:pPr>
    </w:p>
    <w:p w14:paraId="6CD7ECA5" w14:textId="504B338B" w:rsidR="00EE4E6B" w:rsidRPr="00950AB7" w:rsidRDefault="002F6D14" w:rsidP="00543AA4">
      <w:pPr>
        <w:rPr>
          <w:rFonts w:ascii="Tahoma" w:hAnsi="Tahoma" w:cs="Tahoma"/>
          <w:sz w:val="24"/>
          <w:szCs w:val="24"/>
        </w:rPr>
      </w:pPr>
      <w:r w:rsidRPr="00950AB7">
        <w:rPr>
          <w:rFonts w:ascii="Tahoma" w:hAnsi="Tahoma" w:cs="Tahoma"/>
          <w:sz w:val="24"/>
          <w:szCs w:val="24"/>
        </w:rPr>
        <w:t xml:space="preserve">Independent specialist colleges (ISCs) offer provision for learners with learning difficulties and/or disabilities. During 2016/17, 16 of the 22 ISCs we inspected were judged good or outstanding. All of the ISCs that had a full inspection received the same grade for their high needs provision as they did for overall effectiveness. Overall, the proportion of all ISCs judged to be good or outstanding was 82% </w:t>
      </w:r>
      <w:r w:rsidR="0071369A" w:rsidRPr="00950AB7">
        <w:rPr>
          <w:rFonts w:ascii="Tahoma" w:hAnsi="Tahoma" w:cs="Tahoma"/>
          <w:sz w:val="24"/>
          <w:szCs w:val="24"/>
        </w:rPr>
        <w:t>as at</w:t>
      </w:r>
      <w:r w:rsidRPr="00950AB7">
        <w:rPr>
          <w:rFonts w:ascii="Tahoma" w:hAnsi="Tahoma" w:cs="Tahoma"/>
          <w:sz w:val="24"/>
          <w:szCs w:val="24"/>
        </w:rPr>
        <w:t xml:space="preserve"> the 31 August 2017. This is the same proportion as last year</w:t>
      </w:r>
      <w:r w:rsidR="00EE4E6B" w:rsidRPr="00950AB7">
        <w:rPr>
          <w:rFonts w:ascii="Tahoma" w:hAnsi="Tahoma" w:cs="Tahoma"/>
          <w:sz w:val="24"/>
          <w:szCs w:val="24"/>
        </w:rPr>
        <w:t>.</w:t>
      </w:r>
    </w:p>
    <w:p w14:paraId="329E5866" w14:textId="77777777" w:rsidR="00EE4E6B" w:rsidRPr="00950AB7" w:rsidRDefault="00EE4E6B" w:rsidP="00543AA4">
      <w:pPr>
        <w:rPr>
          <w:rFonts w:ascii="Tahoma" w:hAnsi="Tahoma" w:cs="Tahoma"/>
          <w:sz w:val="24"/>
          <w:szCs w:val="24"/>
        </w:rPr>
      </w:pPr>
    </w:p>
    <w:p w14:paraId="1DA81D45" w14:textId="177D9BD0" w:rsidR="002E13F2" w:rsidRPr="00950AB7" w:rsidRDefault="002E13F2" w:rsidP="00627A54">
      <w:pPr>
        <w:rPr>
          <w:rFonts w:ascii="Tahoma" w:hAnsi="Tahoma" w:cs="Tahoma"/>
          <w:sz w:val="24"/>
        </w:rPr>
      </w:pPr>
      <w:r w:rsidRPr="00950AB7">
        <w:rPr>
          <w:rFonts w:ascii="Tahoma" w:hAnsi="Tahoma" w:cs="Tahoma"/>
          <w:sz w:val="24"/>
        </w:rPr>
        <w:t xml:space="preserve">We inspected the further education provision being delivered in five higher education institutions </w:t>
      </w:r>
      <w:r w:rsidR="00627A54" w:rsidRPr="00950AB7">
        <w:rPr>
          <w:rFonts w:ascii="Tahoma" w:hAnsi="Tahoma" w:cs="Tahoma"/>
          <w:sz w:val="24"/>
        </w:rPr>
        <w:t xml:space="preserve">(HEIs) </w:t>
      </w:r>
      <w:r w:rsidRPr="00950AB7">
        <w:rPr>
          <w:rFonts w:ascii="Tahoma" w:hAnsi="Tahoma" w:cs="Tahoma"/>
          <w:sz w:val="24"/>
        </w:rPr>
        <w:t>over 2016/17</w:t>
      </w:r>
      <w:r w:rsidR="00627A54" w:rsidRPr="00950AB7">
        <w:rPr>
          <w:rFonts w:ascii="Tahoma" w:hAnsi="Tahoma" w:cs="Tahoma"/>
          <w:sz w:val="24"/>
        </w:rPr>
        <w:t xml:space="preserve">. All three HEIs that received a short inspection remained good (2) or improved to outstanding (1). The </w:t>
      </w:r>
      <w:r w:rsidR="00801F90" w:rsidRPr="00950AB7">
        <w:rPr>
          <w:rFonts w:ascii="Tahoma" w:hAnsi="Tahoma" w:cs="Tahoma"/>
          <w:sz w:val="24"/>
        </w:rPr>
        <w:t xml:space="preserve">two HEIs </w:t>
      </w:r>
      <w:r w:rsidR="00627A54" w:rsidRPr="00950AB7">
        <w:rPr>
          <w:rFonts w:ascii="Tahoma" w:hAnsi="Tahoma" w:cs="Tahoma"/>
          <w:sz w:val="24"/>
        </w:rPr>
        <w:t xml:space="preserve">that </w:t>
      </w:r>
      <w:r w:rsidR="00801F90" w:rsidRPr="00950AB7">
        <w:rPr>
          <w:rFonts w:ascii="Tahoma" w:hAnsi="Tahoma" w:cs="Tahoma"/>
          <w:sz w:val="24"/>
        </w:rPr>
        <w:t xml:space="preserve">received a </w:t>
      </w:r>
      <w:r w:rsidR="008D2F35" w:rsidRPr="00950AB7">
        <w:rPr>
          <w:rFonts w:ascii="Tahoma" w:hAnsi="Tahoma" w:cs="Tahoma"/>
          <w:sz w:val="24"/>
        </w:rPr>
        <w:t>full inspection</w:t>
      </w:r>
      <w:r w:rsidR="00801F90" w:rsidRPr="00950AB7">
        <w:rPr>
          <w:rFonts w:ascii="Tahoma" w:hAnsi="Tahoma" w:cs="Tahoma"/>
          <w:sz w:val="24"/>
        </w:rPr>
        <w:t xml:space="preserve"> were both </w:t>
      </w:r>
      <w:r w:rsidR="008D2F35" w:rsidRPr="00950AB7">
        <w:rPr>
          <w:rFonts w:ascii="Tahoma" w:hAnsi="Tahoma" w:cs="Tahoma"/>
          <w:sz w:val="24"/>
        </w:rPr>
        <w:t>judge</w:t>
      </w:r>
      <w:r w:rsidR="00801F90" w:rsidRPr="00950AB7">
        <w:rPr>
          <w:rFonts w:ascii="Tahoma" w:hAnsi="Tahoma" w:cs="Tahoma"/>
          <w:sz w:val="24"/>
        </w:rPr>
        <w:t>d</w:t>
      </w:r>
      <w:r w:rsidR="008D2F35" w:rsidRPr="00950AB7">
        <w:rPr>
          <w:rFonts w:ascii="Tahoma" w:hAnsi="Tahoma" w:cs="Tahoma"/>
          <w:sz w:val="24"/>
        </w:rPr>
        <w:t xml:space="preserve"> </w:t>
      </w:r>
      <w:r w:rsidR="00801F90" w:rsidRPr="00950AB7">
        <w:rPr>
          <w:rFonts w:ascii="Tahoma" w:hAnsi="Tahoma" w:cs="Tahoma"/>
          <w:sz w:val="24"/>
        </w:rPr>
        <w:t>requires improvement</w:t>
      </w:r>
      <w:r w:rsidR="00627A54" w:rsidRPr="00950AB7">
        <w:rPr>
          <w:rFonts w:ascii="Tahoma" w:hAnsi="Tahoma" w:cs="Tahoma"/>
          <w:sz w:val="24"/>
        </w:rPr>
        <w:t xml:space="preserve">. </w:t>
      </w:r>
      <w:r w:rsidR="009D48A1" w:rsidRPr="00950AB7">
        <w:rPr>
          <w:rFonts w:ascii="Tahoma" w:hAnsi="Tahoma" w:cs="Tahoma"/>
          <w:sz w:val="24"/>
        </w:rPr>
        <w:t xml:space="preserve">In total there are 27 HEIs offering further education provision, of which 26 have been inspected. </w:t>
      </w:r>
      <w:r w:rsidR="008D2F35" w:rsidRPr="00950AB7">
        <w:rPr>
          <w:rFonts w:ascii="Tahoma" w:hAnsi="Tahoma" w:cs="Tahoma"/>
          <w:sz w:val="24"/>
        </w:rPr>
        <w:t>The</w:t>
      </w:r>
      <w:r w:rsidR="009D48A1" w:rsidRPr="00950AB7">
        <w:rPr>
          <w:rFonts w:ascii="Tahoma" w:hAnsi="Tahoma" w:cs="Tahoma"/>
          <w:sz w:val="24"/>
        </w:rPr>
        <w:t xml:space="preserve"> in-year</w:t>
      </w:r>
      <w:r w:rsidR="008D2F35" w:rsidRPr="00950AB7">
        <w:rPr>
          <w:rFonts w:ascii="Tahoma" w:hAnsi="Tahoma" w:cs="Tahoma"/>
          <w:sz w:val="24"/>
        </w:rPr>
        <w:t xml:space="preserve"> </w:t>
      </w:r>
      <w:r w:rsidR="00627A54" w:rsidRPr="00950AB7">
        <w:rPr>
          <w:rFonts w:ascii="Tahoma" w:hAnsi="Tahoma" w:cs="Tahoma"/>
          <w:sz w:val="24"/>
        </w:rPr>
        <w:t xml:space="preserve">outcomes brought the proportion of HEIs </w:t>
      </w:r>
      <w:r w:rsidRPr="00950AB7">
        <w:rPr>
          <w:rFonts w:ascii="Tahoma" w:hAnsi="Tahoma" w:cs="Tahoma"/>
          <w:sz w:val="24"/>
        </w:rPr>
        <w:t>judged good or outstanding</w:t>
      </w:r>
      <w:r w:rsidR="008D2F35" w:rsidRPr="00950AB7">
        <w:rPr>
          <w:rFonts w:ascii="Tahoma" w:hAnsi="Tahoma" w:cs="Tahoma"/>
          <w:sz w:val="24"/>
        </w:rPr>
        <w:t xml:space="preserve"> at their most recent inspection</w:t>
      </w:r>
      <w:r w:rsidRPr="00950AB7">
        <w:rPr>
          <w:rFonts w:ascii="Tahoma" w:hAnsi="Tahoma" w:cs="Tahoma"/>
          <w:sz w:val="24"/>
        </w:rPr>
        <w:t xml:space="preserve"> down from 100% as at 31 August 2016 to 92% as at 31 August 2017.   </w:t>
      </w:r>
    </w:p>
    <w:p w14:paraId="5577999C" w14:textId="77777777" w:rsidR="002E13F2" w:rsidRPr="00950AB7" w:rsidRDefault="002E13F2" w:rsidP="002E13F2">
      <w:pPr>
        <w:rPr>
          <w:rFonts w:ascii="Tahoma" w:hAnsi="Tahoma" w:cs="Tahoma"/>
          <w:sz w:val="24"/>
        </w:rPr>
      </w:pPr>
    </w:p>
    <w:p w14:paraId="684CE2B1" w14:textId="2CEE77FE" w:rsidR="002E13F2" w:rsidRPr="00950AB7" w:rsidRDefault="002E13F2" w:rsidP="002E13F2">
      <w:pPr>
        <w:rPr>
          <w:rFonts w:ascii="Tahoma" w:hAnsi="Tahoma" w:cs="Tahoma"/>
          <w:sz w:val="24"/>
        </w:rPr>
      </w:pPr>
      <w:r w:rsidRPr="00950AB7">
        <w:rPr>
          <w:rFonts w:ascii="Tahoma" w:hAnsi="Tahoma" w:cs="Tahoma"/>
          <w:sz w:val="24"/>
        </w:rPr>
        <w:t xml:space="preserve">All 13 National Careers Service contractors were inspected during 2016/17, with all of the contractors judged good (11) or outstanding (2). </w:t>
      </w:r>
    </w:p>
    <w:p w14:paraId="68A18527" w14:textId="77777777" w:rsidR="002E13F2" w:rsidRPr="00950AB7" w:rsidRDefault="002E13F2" w:rsidP="002E13F2">
      <w:pPr>
        <w:rPr>
          <w:rFonts w:ascii="Tahoma" w:hAnsi="Tahoma" w:cs="Tahoma"/>
          <w:sz w:val="24"/>
        </w:rPr>
      </w:pPr>
    </w:p>
    <w:p w14:paraId="150F3B92" w14:textId="77777777" w:rsidR="00601D93" w:rsidRPr="00950AB7" w:rsidRDefault="00601D93" w:rsidP="002477BB">
      <w:pPr>
        <w:rPr>
          <w:rFonts w:ascii="Tahoma" w:hAnsi="Tahoma" w:cs="Tahoma"/>
          <w:b/>
          <w:color w:val="FF0000"/>
          <w:sz w:val="24"/>
          <w:szCs w:val="24"/>
        </w:rPr>
      </w:pPr>
    </w:p>
    <w:p w14:paraId="308A96CE" w14:textId="590DD343" w:rsidR="001659C9" w:rsidRPr="00950AB7" w:rsidRDefault="001659C9" w:rsidP="001659C9">
      <w:pPr>
        <w:rPr>
          <w:rFonts w:ascii="Tahoma" w:hAnsi="Tahoma" w:cs="Tahoma"/>
          <w:sz w:val="24"/>
          <w:szCs w:val="24"/>
        </w:rPr>
      </w:pPr>
    </w:p>
    <w:p w14:paraId="503C3358" w14:textId="77777777" w:rsidR="001659C9" w:rsidRPr="00950AB7" w:rsidRDefault="001659C9" w:rsidP="00502DD5">
      <w:pPr>
        <w:rPr>
          <w:rFonts w:ascii="Tahoma" w:hAnsi="Tahoma" w:cs="Tahoma"/>
          <w:sz w:val="24"/>
          <w:szCs w:val="24"/>
        </w:rPr>
      </w:pPr>
    </w:p>
    <w:p w14:paraId="0333086F" w14:textId="77777777" w:rsidR="00502DD5" w:rsidRPr="00950AB7" w:rsidRDefault="00502DD5" w:rsidP="002477BB">
      <w:pPr>
        <w:rPr>
          <w:rFonts w:ascii="Tahoma" w:hAnsi="Tahoma" w:cs="Tahoma"/>
          <w:sz w:val="24"/>
          <w:szCs w:val="24"/>
        </w:rPr>
      </w:pPr>
    </w:p>
    <w:p w14:paraId="5B38ED77" w14:textId="77777777" w:rsidR="00601D93" w:rsidRPr="00950AB7" w:rsidRDefault="00601D93" w:rsidP="002477BB">
      <w:pPr>
        <w:rPr>
          <w:rFonts w:ascii="Tahoma" w:hAnsi="Tahoma" w:cs="Tahoma"/>
          <w:sz w:val="24"/>
          <w:szCs w:val="24"/>
        </w:rPr>
      </w:pPr>
    </w:p>
    <w:p w14:paraId="38CD50CC" w14:textId="77777777" w:rsidR="002477BB" w:rsidRPr="00950AB7" w:rsidRDefault="002477BB" w:rsidP="00543AA4">
      <w:pPr>
        <w:rPr>
          <w:rFonts w:ascii="Tahoma" w:hAnsi="Tahoma" w:cs="Tahoma"/>
          <w:b/>
          <w:color w:val="FF0000"/>
          <w:sz w:val="24"/>
          <w:szCs w:val="24"/>
        </w:rPr>
      </w:pPr>
    </w:p>
    <w:p w14:paraId="25E4B46D" w14:textId="77777777" w:rsidR="00543AA4" w:rsidRPr="00950AB7" w:rsidRDefault="00543AA4" w:rsidP="00543AA4">
      <w:pPr>
        <w:rPr>
          <w:rFonts w:ascii="Tahoma" w:hAnsi="Tahoma" w:cs="Tahoma"/>
          <w:sz w:val="24"/>
          <w:szCs w:val="24"/>
        </w:rPr>
      </w:pPr>
    </w:p>
    <w:p w14:paraId="5DC3EDEF" w14:textId="77777777" w:rsidR="00C80929" w:rsidRPr="00950AB7" w:rsidRDefault="00C80929">
      <w:pPr>
        <w:rPr>
          <w:rFonts w:ascii="Tahoma" w:eastAsiaTheme="majorEastAsia" w:hAnsi="Tahoma" w:cs="Tahoma"/>
          <w:b/>
          <w:sz w:val="32"/>
          <w:szCs w:val="32"/>
        </w:rPr>
      </w:pPr>
      <w:bookmarkStart w:id="32" w:name="_Toc485646781"/>
      <w:r w:rsidRPr="00950AB7">
        <w:rPr>
          <w:rFonts w:cs="Tahoma"/>
        </w:rPr>
        <w:br w:type="page"/>
      </w:r>
    </w:p>
    <w:p w14:paraId="1BF43361" w14:textId="77777777" w:rsidR="00EC2DF8" w:rsidRPr="00950AB7" w:rsidRDefault="00EC2DF8" w:rsidP="00EC2DF8">
      <w:pPr>
        <w:keepNext/>
        <w:keepLines/>
        <w:outlineLvl w:val="0"/>
        <w:rPr>
          <w:rFonts w:ascii="Tahoma" w:eastAsiaTheme="majorEastAsia" w:hAnsi="Tahoma" w:cs="Tahoma"/>
          <w:b/>
          <w:sz w:val="32"/>
          <w:szCs w:val="32"/>
        </w:rPr>
      </w:pPr>
      <w:bookmarkStart w:id="33" w:name="_Toc498611147"/>
      <w:bookmarkEnd w:id="32"/>
      <w:r w:rsidRPr="00950AB7">
        <w:rPr>
          <w:rFonts w:ascii="Tahoma" w:eastAsiaTheme="majorEastAsia" w:hAnsi="Tahoma" w:cs="Tahoma"/>
          <w:b/>
          <w:sz w:val="32"/>
          <w:szCs w:val="32"/>
        </w:rPr>
        <w:lastRenderedPageBreak/>
        <w:t>Revisions</w:t>
      </w:r>
      <w:bookmarkEnd w:id="33"/>
    </w:p>
    <w:p w14:paraId="0263DB2C" w14:textId="77777777" w:rsidR="00EC2DF8" w:rsidRPr="00950AB7" w:rsidRDefault="00EC2DF8" w:rsidP="00EC2DF8">
      <w:pPr>
        <w:rPr>
          <w:rFonts w:ascii="Tahoma" w:hAnsi="Tahoma" w:cs="Tahoma"/>
          <w:sz w:val="24"/>
          <w:szCs w:val="24"/>
        </w:rPr>
      </w:pPr>
    </w:p>
    <w:p w14:paraId="4BDBCCAC" w14:textId="77777777" w:rsidR="00EC2DF8" w:rsidRPr="00950AB7" w:rsidRDefault="00EC2DF8" w:rsidP="00EC2DF8">
      <w:pPr>
        <w:rPr>
          <w:rFonts w:ascii="Tahoma" w:hAnsi="Tahoma" w:cs="Tahoma"/>
          <w:b/>
          <w:sz w:val="24"/>
          <w:szCs w:val="24"/>
        </w:rPr>
      </w:pPr>
      <w:r w:rsidRPr="00950AB7">
        <w:rPr>
          <w:rFonts w:ascii="Tahoma" w:hAnsi="Tahoma" w:cs="Tahoma"/>
          <w:b/>
          <w:sz w:val="24"/>
          <w:szCs w:val="24"/>
        </w:rPr>
        <w:t>In-year statistics</w:t>
      </w:r>
    </w:p>
    <w:p w14:paraId="4A47CA56" w14:textId="77777777" w:rsidR="00EC2DF8" w:rsidRPr="00950AB7" w:rsidRDefault="00EC2DF8" w:rsidP="00EC2DF8">
      <w:pPr>
        <w:rPr>
          <w:rFonts w:ascii="Tahoma" w:hAnsi="Tahoma" w:cs="Tahoma"/>
          <w:sz w:val="24"/>
          <w:szCs w:val="24"/>
        </w:rPr>
      </w:pPr>
    </w:p>
    <w:p w14:paraId="3F2A2CA5" w14:textId="77777777" w:rsidR="00EC2DF8" w:rsidRPr="00950AB7" w:rsidRDefault="00EC2DF8" w:rsidP="00EC2DF8">
      <w:pPr>
        <w:rPr>
          <w:rFonts w:ascii="Tahoma" w:hAnsi="Tahoma" w:cs="Tahoma"/>
          <w:b/>
          <w:color w:val="000000"/>
          <w:sz w:val="24"/>
          <w:szCs w:val="24"/>
        </w:rPr>
      </w:pPr>
      <w:r w:rsidRPr="00950AB7">
        <w:rPr>
          <w:rFonts w:ascii="Tahoma" w:hAnsi="Tahoma" w:cs="Tahoma"/>
          <w:color w:val="000000"/>
          <w:sz w:val="24"/>
          <w:szCs w:val="24"/>
        </w:rPr>
        <w:t>The statistics</w:t>
      </w:r>
      <w:r>
        <w:rPr>
          <w:rFonts w:ascii="Tahoma" w:hAnsi="Tahoma" w:cs="Tahoma"/>
          <w:color w:val="000000"/>
          <w:sz w:val="24"/>
          <w:szCs w:val="24"/>
        </w:rPr>
        <w:t xml:space="preserve"> published in June 2017</w:t>
      </w:r>
      <w:r w:rsidRPr="00950AB7">
        <w:rPr>
          <w:rFonts w:ascii="Tahoma" w:hAnsi="Tahoma" w:cs="Tahoma"/>
          <w:color w:val="000000"/>
          <w:sz w:val="24"/>
          <w:szCs w:val="24"/>
        </w:rPr>
        <w:t xml:space="preserve"> reported on inspections carried out between 1 September 2016 and 28 February 2017. All inspections that took place during this period were published at the time of reporting. </w:t>
      </w:r>
      <w:r>
        <w:rPr>
          <w:rFonts w:ascii="Tahoma" w:hAnsi="Tahoma" w:cs="Tahoma"/>
          <w:color w:val="000000"/>
          <w:sz w:val="24"/>
          <w:szCs w:val="24"/>
        </w:rPr>
        <w:t>However, t</w:t>
      </w:r>
      <w:r w:rsidRPr="00950AB7">
        <w:rPr>
          <w:rFonts w:ascii="Tahoma" w:hAnsi="Tahoma" w:cs="Tahoma"/>
          <w:color w:val="000000"/>
          <w:sz w:val="24"/>
          <w:szCs w:val="24"/>
        </w:rPr>
        <w:t>he inspection published date has changed for seven providers and the inspection type has changed for two providers. All other data remains unchanged</w:t>
      </w:r>
      <w:r>
        <w:rPr>
          <w:rFonts w:ascii="Tahoma" w:hAnsi="Tahoma" w:cs="Tahoma"/>
          <w:color w:val="000000"/>
          <w:sz w:val="24"/>
          <w:szCs w:val="24"/>
        </w:rPr>
        <w:t>. These small changes</w:t>
      </w:r>
      <w:r w:rsidRPr="00950AB7">
        <w:rPr>
          <w:rFonts w:ascii="Tahoma" w:hAnsi="Tahoma" w:cs="Tahoma"/>
          <w:color w:val="000000"/>
          <w:sz w:val="24"/>
          <w:szCs w:val="24"/>
        </w:rPr>
        <w:t xml:space="preserve"> d</w:t>
      </w:r>
      <w:r>
        <w:rPr>
          <w:rFonts w:ascii="Tahoma" w:hAnsi="Tahoma" w:cs="Tahoma"/>
          <w:color w:val="000000"/>
          <w:sz w:val="24"/>
          <w:szCs w:val="24"/>
        </w:rPr>
        <w:t>o</w:t>
      </w:r>
      <w:r w:rsidRPr="00950AB7">
        <w:rPr>
          <w:rFonts w:ascii="Tahoma" w:hAnsi="Tahoma" w:cs="Tahoma"/>
          <w:color w:val="000000"/>
          <w:sz w:val="24"/>
          <w:szCs w:val="24"/>
        </w:rPr>
        <w:t xml:space="preserve"> not affect the main findings or tables and charts published. The corrections have been included within the underlying data published alongside this report. </w:t>
      </w:r>
    </w:p>
    <w:p w14:paraId="4FFF82E4" w14:textId="77777777" w:rsidR="00EC2DF8" w:rsidRPr="00950AB7" w:rsidRDefault="00EC2DF8" w:rsidP="00EC2DF8">
      <w:pPr>
        <w:rPr>
          <w:rFonts w:ascii="Tahoma" w:hAnsi="Tahoma" w:cs="Tahoma"/>
          <w:sz w:val="24"/>
          <w:szCs w:val="24"/>
        </w:rPr>
      </w:pPr>
    </w:p>
    <w:p w14:paraId="184D5393" w14:textId="77777777" w:rsidR="00EC2DF8" w:rsidRPr="00950AB7" w:rsidRDefault="00EC2DF8" w:rsidP="00EC2DF8">
      <w:pPr>
        <w:rPr>
          <w:rFonts w:ascii="Tahoma" w:hAnsi="Tahoma" w:cs="Tahoma"/>
          <w:b/>
          <w:sz w:val="24"/>
          <w:szCs w:val="24"/>
        </w:rPr>
      </w:pPr>
      <w:r>
        <w:rPr>
          <w:rFonts w:ascii="Tahoma" w:hAnsi="Tahoma" w:cs="Tahoma"/>
          <w:b/>
          <w:sz w:val="24"/>
          <w:szCs w:val="24"/>
        </w:rPr>
        <w:t>Statistics about the most recent inspection outcome of all open providers</w:t>
      </w:r>
    </w:p>
    <w:p w14:paraId="698BF3B5" w14:textId="77777777" w:rsidR="00EC2DF8" w:rsidRPr="00950AB7" w:rsidRDefault="00EC2DF8" w:rsidP="00EC2DF8">
      <w:pPr>
        <w:rPr>
          <w:rFonts w:ascii="Tahoma" w:hAnsi="Tahoma" w:cs="Tahoma"/>
          <w:sz w:val="24"/>
          <w:szCs w:val="24"/>
        </w:rPr>
      </w:pPr>
    </w:p>
    <w:p w14:paraId="391167A2" w14:textId="77777777" w:rsidR="00EC2DF8" w:rsidRPr="00950AB7" w:rsidRDefault="00EC2DF8" w:rsidP="00EC2DF8">
      <w:pPr>
        <w:rPr>
          <w:rFonts w:ascii="Tahoma" w:hAnsi="Tahoma" w:cs="Tahoma"/>
          <w:sz w:val="24"/>
          <w:szCs w:val="24"/>
        </w:rPr>
      </w:pPr>
      <w:r>
        <w:rPr>
          <w:rFonts w:ascii="Tahoma" w:hAnsi="Tahoma" w:cs="Tahoma"/>
          <w:sz w:val="24"/>
          <w:szCs w:val="24"/>
        </w:rPr>
        <w:t>Within the data, tables and charts file, the historic data in chart 6 has been updated following a review and data cleanse.</w:t>
      </w:r>
      <w:r w:rsidRPr="00950AB7">
        <w:rPr>
          <w:rFonts w:ascii="Tahoma" w:hAnsi="Tahoma" w:cs="Tahoma"/>
          <w:sz w:val="24"/>
          <w:szCs w:val="24"/>
        </w:rPr>
        <w:t xml:space="preserve"> </w:t>
      </w:r>
    </w:p>
    <w:p w14:paraId="6BC17582" w14:textId="77777777" w:rsidR="00EC2DF8" w:rsidRPr="00950AB7" w:rsidRDefault="00EC2DF8" w:rsidP="00EC2DF8">
      <w:pPr>
        <w:rPr>
          <w:rFonts w:ascii="Tahoma" w:hAnsi="Tahoma" w:cs="Tahoma"/>
          <w:sz w:val="24"/>
          <w:szCs w:val="24"/>
        </w:rPr>
      </w:pPr>
    </w:p>
    <w:p w14:paraId="77C5FD40" w14:textId="77777777" w:rsidR="00EC2DF8" w:rsidRDefault="00EC2DF8" w:rsidP="00EC2DF8">
      <w:pPr>
        <w:rPr>
          <w:rFonts w:ascii="Tahoma" w:hAnsi="Tahoma" w:cs="Tahoma"/>
          <w:sz w:val="24"/>
          <w:szCs w:val="24"/>
        </w:rPr>
      </w:pPr>
      <w:r>
        <w:rPr>
          <w:rFonts w:ascii="Tahoma" w:hAnsi="Tahoma" w:cs="Tahoma"/>
          <w:sz w:val="24"/>
          <w:szCs w:val="24"/>
        </w:rPr>
        <w:t>The impact of the data cleanse is</w:t>
      </w:r>
      <w:r w:rsidRPr="00950AB7">
        <w:rPr>
          <w:rFonts w:ascii="Tahoma" w:hAnsi="Tahoma" w:cs="Tahoma"/>
          <w:sz w:val="24"/>
          <w:szCs w:val="24"/>
        </w:rPr>
        <w:t xml:space="preserve"> a minimal change to the number of providers reported</w:t>
      </w:r>
      <w:r>
        <w:rPr>
          <w:rFonts w:ascii="Tahoma" w:hAnsi="Tahoma" w:cs="Tahoma"/>
          <w:sz w:val="24"/>
          <w:szCs w:val="24"/>
        </w:rPr>
        <w:t xml:space="preserve"> in each year between 2012 and 2016.</w:t>
      </w:r>
    </w:p>
    <w:p w14:paraId="0191785D" w14:textId="77777777" w:rsidR="00EC2DF8" w:rsidRDefault="00EC2DF8" w:rsidP="00EC2DF8">
      <w:pPr>
        <w:rPr>
          <w:rFonts w:ascii="Tahoma" w:hAnsi="Tahoma" w:cs="Tahoma"/>
          <w:sz w:val="24"/>
          <w:szCs w:val="24"/>
        </w:rPr>
      </w:pPr>
    </w:p>
    <w:p w14:paraId="44C341DB" w14:textId="77777777" w:rsidR="00EC2DF8" w:rsidRPr="00950AB7" w:rsidRDefault="00EC2DF8" w:rsidP="00EC2DF8">
      <w:pPr>
        <w:rPr>
          <w:rFonts w:ascii="Tahoma" w:hAnsi="Tahoma" w:cs="Tahoma"/>
          <w:sz w:val="24"/>
          <w:szCs w:val="24"/>
        </w:rPr>
      </w:pPr>
      <w:r>
        <w:rPr>
          <w:rFonts w:ascii="Tahoma" w:hAnsi="Tahoma" w:cs="Tahoma"/>
          <w:sz w:val="24"/>
          <w:szCs w:val="24"/>
        </w:rPr>
        <w:t>There is a larger change in the total number of open and funded providers at 31 August 2015, which has decreased by 15</w:t>
      </w:r>
      <w:r w:rsidRPr="00950AB7">
        <w:rPr>
          <w:rFonts w:ascii="Tahoma" w:hAnsi="Tahoma" w:cs="Tahoma"/>
          <w:sz w:val="24"/>
          <w:szCs w:val="24"/>
        </w:rPr>
        <w:t xml:space="preserve">. This is as a result of the </w:t>
      </w:r>
      <w:r>
        <w:rPr>
          <w:rFonts w:ascii="Tahoma" w:hAnsi="Tahoma" w:cs="Tahoma"/>
          <w:sz w:val="24"/>
          <w:szCs w:val="24"/>
        </w:rPr>
        <w:t>chart</w:t>
      </w:r>
      <w:r w:rsidRPr="00950AB7">
        <w:rPr>
          <w:rFonts w:ascii="Tahoma" w:hAnsi="Tahoma" w:cs="Tahoma"/>
          <w:sz w:val="24"/>
          <w:szCs w:val="24"/>
        </w:rPr>
        <w:t xml:space="preserve"> not being updated </w:t>
      </w:r>
      <w:r>
        <w:rPr>
          <w:rFonts w:ascii="Tahoma" w:hAnsi="Tahoma" w:cs="Tahoma"/>
          <w:sz w:val="24"/>
          <w:szCs w:val="24"/>
        </w:rPr>
        <w:t xml:space="preserve">in the previous publication </w:t>
      </w:r>
      <w:r w:rsidRPr="00950AB7">
        <w:rPr>
          <w:rFonts w:ascii="Tahoma" w:hAnsi="Tahoma" w:cs="Tahoma"/>
          <w:sz w:val="24"/>
          <w:szCs w:val="24"/>
        </w:rPr>
        <w:t xml:space="preserve">to reflect the new methodology, which excluded providers that ceased to be funded or closed during the year. </w:t>
      </w:r>
      <w:r>
        <w:rPr>
          <w:rFonts w:ascii="Tahoma" w:hAnsi="Tahoma" w:cs="Tahoma"/>
          <w:sz w:val="24"/>
          <w:szCs w:val="24"/>
        </w:rPr>
        <w:t>This has now been corrected.</w:t>
      </w:r>
    </w:p>
    <w:p w14:paraId="11C23FA3" w14:textId="77777777" w:rsidR="00EC2DF8" w:rsidRPr="00950AB7" w:rsidRDefault="00EC2DF8" w:rsidP="00EC2DF8">
      <w:pPr>
        <w:rPr>
          <w:rFonts w:ascii="Tahoma" w:hAnsi="Tahoma" w:cs="Tahoma"/>
          <w:sz w:val="24"/>
          <w:szCs w:val="24"/>
        </w:rPr>
      </w:pPr>
    </w:p>
    <w:p w14:paraId="640FFD52" w14:textId="77777777" w:rsidR="00EC2DF8" w:rsidRPr="00950AB7" w:rsidRDefault="00EC2DF8" w:rsidP="00EC2DF8">
      <w:pPr>
        <w:rPr>
          <w:rFonts w:ascii="Tahoma" w:hAnsi="Tahoma" w:cs="Tahoma"/>
          <w:sz w:val="24"/>
          <w:szCs w:val="24"/>
        </w:rPr>
      </w:pPr>
      <w:r>
        <w:rPr>
          <w:rFonts w:ascii="Tahoma" w:hAnsi="Tahoma" w:cs="Tahoma"/>
          <w:sz w:val="24"/>
          <w:szCs w:val="24"/>
        </w:rPr>
        <w:t>While this doesn’t affect the overall message of the chart, some</w:t>
      </w:r>
      <w:r w:rsidRPr="00950AB7">
        <w:rPr>
          <w:rFonts w:ascii="Tahoma" w:hAnsi="Tahoma" w:cs="Tahoma"/>
          <w:sz w:val="24"/>
          <w:szCs w:val="24"/>
        </w:rPr>
        <w:t xml:space="preserve"> percentages have been affected by one percentage point.         </w:t>
      </w:r>
    </w:p>
    <w:p w14:paraId="547619F7" w14:textId="77777777" w:rsidR="00EC2DF8" w:rsidRPr="00950AB7" w:rsidRDefault="00EC2DF8" w:rsidP="00EC2DF8">
      <w:pPr>
        <w:rPr>
          <w:rFonts w:ascii="Tahoma" w:hAnsi="Tahoma" w:cs="Tahoma"/>
          <w:sz w:val="24"/>
          <w:szCs w:val="24"/>
        </w:rPr>
      </w:pPr>
    </w:p>
    <w:p w14:paraId="51CEF724" w14:textId="77777777" w:rsidR="00EC2DF8" w:rsidRPr="00950AB7" w:rsidRDefault="00EC2DF8" w:rsidP="00EC2DF8">
      <w:pPr>
        <w:rPr>
          <w:rFonts w:ascii="Tahoma" w:hAnsi="Tahoma" w:cs="Tahoma"/>
          <w:sz w:val="24"/>
          <w:szCs w:val="24"/>
        </w:rPr>
      </w:pPr>
      <w:r w:rsidRPr="00950AB7">
        <w:rPr>
          <w:rFonts w:ascii="Tahoma" w:hAnsi="Tahoma" w:cs="Tahoma"/>
          <w:sz w:val="24"/>
          <w:szCs w:val="24"/>
        </w:rPr>
        <w:t>New data sets containing the revised statistics between 31 August 2012 and 31 August 2016 will be published alongside these Official Statistics.</w:t>
      </w:r>
    </w:p>
    <w:p w14:paraId="0BEBF4D3" w14:textId="77777777" w:rsidR="00EC2DF8" w:rsidRPr="00950AB7" w:rsidRDefault="00EC2DF8" w:rsidP="00EC2DF8">
      <w:pPr>
        <w:rPr>
          <w:rFonts w:ascii="Tahoma" w:hAnsi="Tahoma" w:cs="Tahoma"/>
          <w:sz w:val="24"/>
          <w:szCs w:val="24"/>
        </w:rPr>
      </w:pPr>
    </w:p>
    <w:p w14:paraId="761C06D6" w14:textId="77777777" w:rsidR="00EC2DF8" w:rsidRPr="00950AB7" w:rsidRDefault="00EC2DF8" w:rsidP="00EC2DF8">
      <w:pPr>
        <w:rPr>
          <w:rFonts w:ascii="Tahoma" w:hAnsi="Tahoma" w:cs="Tahoma"/>
          <w:b/>
          <w:sz w:val="24"/>
          <w:szCs w:val="24"/>
        </w:rPr>
      </w:pPr>
      <w:r w:rsidRPr="00950AB7">
        <w:rPr>
          <w:rFonts w:ascii="Tahoma" w:hAnsi="Tahoma" w:cs="Tahoma"/>
          <w:b/>
          <w:sz w:val="24"/>
          <w:szCs w:val="24"/>
        </w:rPr>
        <w:t>Prisons and young offender intuitions</w:t>
      </w:r>
    </w:p>
    <w:p w14:paraId="2C3F24D2" w14:textId="77777777" w:rsidR="00EC2DF8" w:rsidRPr="00950AB7" w:rsidRDefault="00EC2DF8" w:rsidP="00EC2DF8">
      <w:pPr>
        <w:rPr>
          <w:rFonts w:ascii="Tahoma" w:hAnsi="Tahoma" w:cs="Tahoma"/>
          <w:sz w:val="24"/>
          <w:szCs w:val="24"/>
        </w:rPr>
      </w:pPr>
      <w:r w:rsidRPr="00950AB7">
        <w:rPr>
          <w:rFonts w:ascii="Tahoma" w:hAnsi="Tahoma" w:cs="Tahoma"/>
          <w:sz w:val="24"/>
          <w:szCs w:val="24"/>
        </w:rPr>
        <w:t xml:space="preserve"> </w:t>
      </w:r>
    </w:p>
    <w:p w14:paraId="0D74677B" w14:textId="77777777" w:rsidR="00EC2DF8" w:rsidRPr="00950AB7" w:rsidRDefault="00EC2DF8" w:rsidP="00EC2DF8">
      <w:pPr>
        <w:rPr>
          <w:rFonts w:ascii="Tahoma" w:hAnsi="Tahoma" w:cs="Tahoma"/>
          <w:sz w:val="24"/>
          <w:szCs w:val="24"/>
        </w:rPr>
      </w:pPr>
      <w:r w:rsidRPr="00950AB7">
        <w:rPr>
          <w:rFonts w:ascii="Tahoma" w:hAnsi="Tahoma" w:cs="Tahoma"/>
          <w:sz w:val="24"/>
          <w:szCs w:val="24"/>
        </w:rPr>
        <w:t xml:space="preserve">One prison was missing from the most recent inspection outcomes as at 31 August 2016, published in the </w:t>
      </w:r>
      <w:r w:rsidRPr="00950AB7">
        <w:rPr>
          <w:rFonts w:ascii="Tahoma" w:hAnsi="Tahoma" w:cs="Tahoma"/>
          <w:color w:val="000000"/>
          <w:sz w:val="24"/>
          <w:szCs w:val="24"/>
        </w:rPr>
        <w:t xml:space="preserve">June 2017 statistics. This revision increases the number of prisons and young offender institutions judged requires improvement by one and increases the proportion by one percentage point. </w:t>
      </w:r>
    </w:p>
    <w:p w14:paraId="3736BBA7" w14:textId="29401F0E" w:rsidR="00703BCD" w:rsidRPr="00950AB7" w:rsidRDefault="00FB435B" w:rsidP="00703BCD">
      <w:pPr>
        <w:rPr>
          <w:rFonts w:ascii="Tahoma" w:hAnsi="Tahoma" w:cs="Tahoma"/>
          <w:sz w:val="24"/>
          <w:szCs w:val="24"/>
        </w:rPr>
      </w:pPr>
      <w:r w:rsidRPr="00950AB7">
        <w:rPr>
          <w:rFonts w:ascii="Tahoma" w:hAnsi="Tahoma" w:cs="Tahoma"/>
          <w:color w:val="000000"/>
          <w:sz w:val="24"/>
          <w:szCs w:val="24"/>
        </w:rPr>
        <w:t xml:space="preserve"> </w:t>
      </w:r>
    </w:p>
    <w:p w14:paraId="6E22BE5C" w14:textId="77777777" w:rsidR="00D84BE8" w:rsidRPr="00950AB7" w:rsidRDefault="00D84BE8" w:rsidP="00703BCD">
      <w:pPr>
        <w:rPr>
          <w:rFonts w:ascii="Tahoma" w:hAnsi="Tahoma" w:cs="Tahoma"/>
          <w:sz w:val="24"/>
          <w:szCs w:val="24"/>
        </w:rPr>
      </w:pPr>
    </w:p>
    <w:p w14:paraId="35F34527" w14:textId="77777777" w:rsidR="00FB435B" w:rsidRPr="00950AB7" w:rsidRDefault="00FB435B" w:rsidP="00703BCD">
      <w:pPr>
        <w:rPr>
          <w:rFonts w:ascii="Tahoma" w:hAnsi="Tahoma" w:cs="Tahoma"/>
          <w:sz w:val="24"/>
          <w:szCs w:val="24"/>
        </w:rPr>
      </w:pPr>
    </w:p>
    <w:p w14:paraId="6E318BD0" w14:textId="77777777" w:rsidR="00EC2DF8" w:rsidRDefault="00EC2DF8">
      <w:pPr>
        <w:rPr>
          <w:rFonts w:ascii="Tahoma" w:eastAsiaTheme="majorEastAsia" w:hAnsi="Tahoma" w:cs="Tahoma"/>
          <w:b/>
          <w:sz w:val="32"/>
          <w:szCs w:val="32"/>
        </w:rPr>
      </w:pPr>
      <w:bookmarkStart w:id="34" w:name="_Toc452636776"/>
      <w:bookmarkStart w:id="35" w:name="_Toc467249090"/>
      <w:bookmarkStart w:id="36" w:name="_Toc485646782"/>
      <w:bookmarkStart w:id="37" w:name="_Toc498611148"/>
      <w:r>
        <w:rPr>
          <w:rFonts w:ascii="Tahoma" w:eastAsiaTheme="majorEastAsia" w:hAnsi="Tahoma" w:cs="Tahoma"/>
          <w:b/>
          <w:sz w:val="32"/>
          <w:szCs w:val="32"/>
        </w:rPr>
        <w:br w:type="page"/>
      </w:r>
    </w:p>
    <w:p w14:paraId="7A87FF40" w14:textId="45B28F55" w:rsidR="00703BCD" w:rsidRPr="00950AB7" w:rsidRDefault="00703BCD" w:rsidP="00613BCA">
      <w:pPr>
        <w:keepNext/>
        <w:keepLines/>
        <w:outlineLvl w:val="0"/>
        <w:rPr>
          <w:rFonts w:ascii="Tahoma" w:eastAsiaTheme="majorEastAsia" w:hAnsi="Tahoma" w:cs="Tahoma"/>
          <w:b/>
          <w:sz w:val="32"/>
          <w:szCs w:val="32"/>
        </w:rPr>
      </w:pPr>
      <w:r w:rsidRPr="00950AB7">
        <w:rPr>
          <w:rFonts w:ascii="Tahoma" w:eastAsiaTheme="majorEastAsia" w:hAnsi="Tahoma" w:cs="Tahoma"/>
          <w:b/>
          <w:sz w:val="32"/>
          <w:szCs w:val="32"/>
        </w:rPr>
        <w:lastRenderedPageBreak/>
        <w:t>Notes</w:t>
      </w:r>
      <w:bookmarkEnd w:id="34"/>
      <w:bookmarkEnd w:id="35"/>
      <w:bookmarkEnd w:id="36"/>
      <w:bookmarkEnd w:id="37"/>
    </w:p>
    <w:p w14:paraId="4E583D4D" w14:textId="77777777" w:rsidR="00703BCD" w:rsidRPr="00950AB7" w:rsidRDefault="00703BCD" w:rsidP="00703BCD">
      <w:pPr>
        <w:rPr>
          <w:rFonts w:ascii="Tahoma" w:hAnsi="Tahoma" w:cs="Tahoma"/>
          <w:sz w:val="24"/>
          <w:szCs w:val="24"/>
        </w:rPr>
      </w:pPr>
    </w:p>
    <w:p w14:paraId="2A3480FA" w14:textId="77777777" w:rsidR="00703BCD" w:rsidRPr="00950AB7" w:rsidRDefault="00703BCD" w:rsidP="00703BCD">
      <w:pPr>
        <w:rPr>
          <w:rFonts w:ascii="Tahoma" w:hAnsi="Tahoma" w:cs="Tahoma"/>
          <w:color w:val="000000"/>
          <w:sz w:val="24"/>
          <w:szCs w:val="24"/>
        </w:rPr>
      </w:pPr>
      <w:r w:rsidRPr="00950AB7">
        <w:rPr>
          <w:rFonts w:ascii="Tahoma" w:hAnsi="Tahoma" w:cs="Tahoma"/>
          <w:color w:val="000000"/>
          <w:sz w:val="24"/>
          <w:szCs w:val="24"/>
        </w:rPr>
        <w:t>From the 31 August 2015, the most recent inspection outcomes include providers wholly or partly funded by the Education and Skills Funding Agency (or their predecessor funding agencies) at that point in time. For 31 August 2014 and before, the most recent inspection outcomes include: 1) providers wholly or partly funded by the Skills Funding Agency or the Education Funding Agency at that point in time, and 2) providers who had lost funding or closed during the corresponding reporting year.</w:t>
      </w:r>
    </w:p>
    <w:p w14:paraId="3B44ADAB" w14:textId="77777777" w:rsidR="00703BCD" w:rsidRPr="00950AB7" w:rsidRDefault="00703BCD" w:rsidP="00703BCD">
      <w:pPr>
        <w:ind w:left="360"/>
        <w:rPr>
          <w:rFonts w:ascii="Tahoma" w:hAnsi="Tahoma" w:cs="Tahoma"/>
          <w:bCs/>
          <w:sz w:val="24"/>
          <w:szCs w:val="24"/>
        </w:rPr>
      </w:pPr>
    </w:p>
    <w:p w14:paraId="54C75176" w14:textId="77777777" w:rsidR="00703BCD" w:rsidRPr="00950AB7" w:rsidRDefault="00703BCD" w:rsidP="00703BCD">
      <w:pPr>
        <w:rPr>
          <w:rFonts w:ascii="Tahoma" w:hAnsi="Tahoma" w:cs="Tahoma"/>
          <w:color w:val="000000"/>
          <w:sz w:val="24"/>
          <w:szCs w:val="24"/>
        </w:rPr>
      </w:pPr>
      <w:r w:rsidRPr="00950AB7">
        <w:rPr>
          <w:rFonts w:ascii="Tahoma" w:hAnsi="Tahoma" w:cs="Tahoma"/>
          <w:color w:val="000000"/>
          <w:sz w:val="24"/>
          <w:szCs w:val="24"/>
        </w:rPr>
        <w:t>Full inspections</w:t>
      </w:r>
    </w:p>
    <w:p w14:paraId="7D8CFB9F" w14:textId="77777777" w:rsidR="00703BCD" w:rsidRPr="00950AB7" w:rsidRDefault="00703BCD" w:rsidP="00703BCD">
      <w:pPr>
        <w:pStyle w:val="ListParagraph"/>
        <w:numPr>
          <w:ilvl w:val="0"/>
          <w:numId w:val="29"/>
        </w:numPr>
        <w:ind w:left="709" w:hanging="357"/>
        <w:rPr>
          <w:rFonts w:ascii="Tahoma" w:hAnsi="Tahoma" w:cs="Tahoma"/>
          <w:sz w:val="24"/>
          <w:szCs w:val="24"/>
        </w:rPr>
      </w:pPr>
      <w:r w:rsidRPr="00950AB7">
        <w:rPr>
          <w:rFonts w:ascii="Tahoma" w:hAnsi="Tahoma" w:cs="Tahoma"/>
          <w:sz w:val="24"/>
          <w:szCs w:val="24"/>
        </w:rPr>
        <w:t>Providers judged outstanding at their most recent inspection are not normally subject to routine inspection.</w:t>
      </w:r>
      <w:r w:rsidRPr="00950AB7">
        <w:rPr>
          <w:rFonts w:ascii="Tahoma" w:hAnsi="Tahoma" w:cs="Tahoma"/>
          <w:sz w:val="24"/>
          <w:szCs w:val="24"/>
          <w:vertAlign w:val="superscript"/>
        </w:rPr>
        <w:footnoteReference w:id="5"/>
      </w:r>
      <w:r w:rsidRPr="00950AB7">
        <w:rPr>
          <w:rFonts w:ascii="Tahoma" w:hAnsi="Tahoma" w:cs="Tahoma"/>
          <w:sz w:val="24"/>
          <w:szCs w:val="24"/>
        </w:rPr>
        <w:t xml:space="preserve"> However, an outstanding provider may be risk assessed to receive a full inspection where its performance declines or there is another compelling reason, such as potential safeguarding issues.</w:t>
      </w:r>
    </w:p>
    <w:p w14:paraId="249E0836" w14:textId="4BDF06C9" w:rsidR="00703BCD" w:rsidRPr="00950AB7" w:rsidRDefault="00703BCD" w:rsidP="00703BCD">
      <w:pPr>
        <w:pStyle w:val="ListParagraph"/>
        <w:numPr>
          <w:ilvl w:val="0"/>
          <w:numId w:val="29"/>
        </w:numPr>
        <w:ind w:left="709" w:hanging="357"/>
        <w:rPr>
          <w:rFonts w:ascii="Tahoma" w:hAnsi="Tahoma" w:cs="Tahoma"/>
          <w:sz w:val="24"/>
          <w:szCs w:val="24"/>
        </w:rPr>
      </w:pPr>
      <w:r w:rsidRPr="00950AB7">
        <w:rPr>
          <w:rFonts w:ascii="Tahoma" w:hAnsi="Tahoma" w:cs="Tahoma"/>
          <w:sz w:val="24"/>
          <w:szCs w:val="24"/>
        </w:rPr>
        <w:t>Providers judged good for overall effectiveness at their most recent inspection will usually be inspected within the three years from September 2015. This will normally be a short inspectio</w:t>
      </w:r>
      <w:r w:rsidR="00B71F99" w:rsidRPr="00950AB7">
        <w:rPr>
          <w:rFonts w:ascii="Tahoma" w:hAnsi="Tahoma" w:cs="Tahoma"/>
          <w:sz w:val="24"/>
          <w:szCs w:val="24"/>
        </w:rPr>
        <w:t>n (see below) but may be a risk-</w:t>
      </w:r>
      <w:r w:rsidRPr="00950AB7">
        <w:rPr>
          <w:rFonts w:ascii="Tahoma" w:hAnsi="Tahoma" w:cs="Tahoma"/>
          <w:sz w:val="24"/>
          <w:szCs w:val="24"/>
        </w:rPr>
        <w:t>assessed full inspection where information suggests that this is the most appropriate course of action, for example if the provider’s performance has declined.</w:t>
      </w:r>
    </w:p>
    <w:p w14:paraId="5DADC66C" w14:textId="77777777" w:rsidR="00703BCD" w:rsidRPr="00950AB7" w:rsidRDefault="00703BCD" w:rsidP="00703BCD">
      <w:pPr>
        <w:pStyle w:val="ListParagraph"/>
        <w:numPr>
          <w:ilvl w:val="0"/>
          <w:numId w:val="29"/>
        </w:numPr>
        <w:ind w:left="709" w:hanging="357"/>
        <w:rPr>
          <w:rFonts w:ascii="Tahoma" w:hAnsi="Tahoma" w:cs="Tahoma"/>
          <w:sz w:val="24"/>
          <w:szCs w:val="24"/>
        </w:rPr>
      </w:pPr>
      <w:r w:rsidRPr="00950AB7">
        <w:rPr>
          <w:rFonts w:ascii="Tahoma" w:hAnsi="Tahoma" w:cs="Tahoma"/>
          <w:sz w:val="24"/>
          <w:szCs w:val="24"/>
        </w:rPr>
        <w:t>A provider judged to require improvement at their most recent inspection will normally have a full re-inspection within 12 to 24 months of its previous inspection.</w:t>
      </w:r>
    </w:p>
    <w:p w14:paraId="6EA21006" w14:textId="77777777" w:rsidR="00703BCD" w:rsidRPr="00950AB7" w:rsidRDefault="00703BCD" w:rsidP="00703BCD">
      <w:pPr>
        <w:pStyle w:val="ListParagraph"/>
        <w:numPr>
          <w:ilvl w:val="0"/>
          <w:numId w:val="29"/>
        </w:numPr>
        <w:ind w:left="709" w:hanging="357"/>
        <w:rPr>
          <w:rFonts w:ascii="Tahoma" w:hAnsi="Tahoma" w:cs="Tahoma"/>
          <w:sz w:val="24"/>
          <w:szCs w:val="24"/>
        </w:rPr>
      </w:pPr>
      <w:r w:rsidRPr="00950AB7">
        <w:rPr>
          <w:rFonts w:ascii="Tahoma" w:hAnsi="Tahoma" w:cs="Tahoma"/>
          <w:sz w:val="24"/>
          <w:szCs w:val="24"/>
        </w:rPr>
        <w:t>Ofsted will monitor providers judged as inadequate and re-inspect them within 15 months of publication of their last full inspection report.</w:t>
      </w:r>
      <w:r w:rsidRPr="00950AB7">
        <w:rPr>
          <w:rStyle w:val="FootnoteReference"/>
          <w:rFonts w:ascii="Tahoma" w:hAnsi="Tahoma" w:cs="Tahoma"/>
          <w:sz w:val="24"/>
          <w:szCs w:val="24"/>
        </w:rPr>
        <w:footnoteReference w:id="6"/>
      </w:r>
    </w:p>
    <w:p w14:paraId="5A4D9A82" w14:textId="77777777" w:rsidR="00703BCD" w:rsidRPr="00950AB7" w:rsidRDefault="00703BCD" w:rsidP="00703BCD">
      <w:pPr>
        <w:rPr>
          <w:rFonts w:ascii="Tahoma" w:hAnsi="Tahoma" w:cs="Tahoma"/>
          <w:sz w:val="24"/>
          <w:szCs w:val="24"/>
        </w:rPr>
      </w:pPr>
    </w:p>
    <w:p w14:paraId="6E2D4F74" w14:textId="46141C38" w:rsidR="00703BCD" w:rsidRPr="00950AB7" w:rsidRDefault="00703BCD" w:rsidP="00703BCD">
      <w:pPr>
        <w:rPr>
          <w:rFonts w:ascii="Tahoma" w:hAnsi="Tahoma" w:cs="Tahoma"/>
          <w:color w:val="000000"/>
          <w:sz w:val="24"/>
          <w:szCs w:val="24"/>
        </w:rPr>
      </w:pPr>
      <w:r w:rsidRPr="00950AB7">
        <w:rPr>
          <w:rFonts w:ascii="Tahoma" w:hAnsi="Tahoma" w:cs="Tahoma"/>
          <w:color w:val="000000"/>
          <w:sz w:val="24"/>
          <w:szCs w:val="24"/>
        </w:rPr>
        <w:t>Short inspection</w:t>
      </w:r>
      <w:r w:rsidR="00B71F99" w:rsidRPr="00950AB7">
        <w:rPr>
          <w:rFonts w:ascii="Tahoma" w:hAnsi="Tahoma" w:cs="Tahoma"/>
          <w:color w:val="000000"/>
          <w:sz w:val="24"/>
          <w:szCs w:val="24"/>
        </w:rPr>
        <w:t>s</w:t>
      </w:r>
    </w:p>
    <w:p w14:paraId="5B4E1A5D" w14:textId="77777777" w:rsidR="00703BCD" w:rsidRPr="00950AB7" w:rsidRDefault="00703BCD" w:rsidP="00703BCD">
      <w:pPr>
        <w:pStyle w:val="ListParagraph"/>
        <w:numPr>
          <w:ilvl w:val="0"/>
          <w:numId w:val="29"/>
        </w:numPr>
        <w:ind w:left="709" w:hanging="357"/>
        <w:rPr>
          <w:rFonts w:ascii="Tahoma" w:hAnsi="Tahoma" w:cs="Tahoma"/>
          <w:sz w:val="24"/>
          <w:szCs w:val="24"/>
        </w:rPr>
      </w:pPr>
      <w:r w:rsidRPr="00950AB7">
        <w:rPr>
          <w:rFonts w:ascii="Tahoma" w:hAnsi="Tahoma" w:cs="Tahoma"/>
          <w:sz w:val="24"/>
          <w:szCs w:val="24"/>
        </w:rPr>
        <w:t>Providers awarded a grade of good for overall effectiveness at their previous inspection will usually receive a short inspection.</w:t>
      </w:r>
    </w:p>
    <w:p w14:paraId="5E563A20" w14:textId="77777777" w:rsidR="00703BCD" w:rsidRPr="00950AB7" w:rsidRDefault="00703BCD" w:rsidP="00703BCD">
      <w:pPr>
        <w:pStyle w:val="ListParagraph"/>
        <w:numPr>
          <w:ilvl w:val="0"/>
          <w:numId w:val="29"/>
        </w:numPr>
        <w:ind w:left="709" w:hanging="357"/>
        <w:rPr>
          <w:rFonts w:ascii="Tahoma" w:hAnsi="Tahoma" w:cs="Tahoma"/>
          <w:sz w:val="24"/>
          <w:szCs w:val="24"/>
        </w:rPr>
      </w:pPr>
      <w:r w:rsidRPr="00950AB7">
        <w:rPr>
          <w:rFonts w:ascii="Tahoma" w:hAnsi="Tahoma" w:cs="Tahoma"/>
          <w:sz w:val="24"/>
          <w:szCs w:val="24"/>
        </w:rPr>
        <w:t xml:space="preserve">A short inspection will determine whether the provider continues to provide a good standard of education/training for learners and whether safeguarding is effective. </w:t>
      </w:r>
    </w:p>
    <w:p w14:paraId="2D00BD63" w14:textId="77777777" w:rsidR="00703BCD" w:rsidRPr="00950AB7" w:rsidRDefault="00703BCD" w:rsidP="00703BCD">
      <w:pPr>
        <w:pStyle w:val="ListParagraph"/>
        <w:numPr>
          <w:ilvl w:val="0"/>
          <w:numId w:val="29"/>
        </w:numPr>
        <w:ind w:left="709" w:hanging="357"/>
        <w:rPr>
          <w:rFonts w:ascii="Tahoma" w:hAnsi="Tahoma" w:cs="Tahoma"/>
          <w:sz w:val="24"/>
          <w:szCs w:val="24"/>
        </w:rPr>
      </w:pPr>
      <w:r w:rsidRPr="00950AB7">
        <w:rPr>
          <w:rFonts w:ascii="Tahoma" w:hAnsi="Tahoma" w:cs="Tahoma"/>
          <w:sz w:val="24"/>
          <w:szCs w:val="24"/>
        </w:rPr>
        <w:t xml:space="preserve">A short inspection will not make individual graded judgements and will not change the provider’s overall effectiveness grade. </w:t>
      </w:r>
    </w:p>
    <w:p w14:paraId="106E37B0" w14:textId="77777777" w:rsidR="00703BCD" w:rsidRPr="00950AB7" w:rsidRDefault="00703BCD" w:rsidP="00703BCD">
      <w:pPr>
        <w:pStyle w:val="ListParagraph"/>
        <w:numPr>
          <w:ilvl w:val="0"/>
          <w:numId w:val="29"/>
        </w:numPr>
        <w:ind w:left="709" w:hanging="357"/>
        <w:rPr>
          <w:rFonts w:ascii="Tahoma" w:hAnsi="Tahoma" w:cs="Tahoma"/>
          <w:color w:val="000000"/>
          <w:sz w:val="24"/>
          <w:szCs w:val="24"/>
        </w:rPr>
      </w:pPr>
      <w:r w:rsidRPr="00950AB7">
        <w:rPr>
          <w:rFonts w:ascii="Tahoma" w:hAnsi="Tahoma" w:cs="Tahoma"/>
          <w:color w:val="000000"/>
          <w:sz w:val="24"/>
          <w:szCs w:val="24"/>
        </w:rPr>
        <w:t xml:space="preserve">The lead inspector can choose to convert the short inspection to a full inspection where: there is insufficient evidence to confirm that the provider remains good; there are concerns that there is evidence that the provider may no longer be good </w:t>
      </w:r>
      <w:r w:rsidRPr="00950AB7">
        <w:rPr>
          <w:rFonts w:ascii="Tahoma" w:hAnsi="Tahoma" w:cs="Tahoma"/>
          <w:color w:val="000000"/>
          <w:sz w:val="24"/>
          <w:szCs w:val="24"/>
        </w:rPr>
        <w:lastRenderedPageBreak/>
        <w:t>(which may include concerns about safeguarding); or if there is sufficient evidence of improved performance to suggest that the provider may be judged outstanding.</w:t>
      </w:r>
    </w:p>
    <w:p w14:paraId="6F5B21AB" w14:textId="77777777" w:rsidR="00703BCD" w:rsidRPr="00950AB7" w:rsidRDefault="00703BCD" w:rsidP="00C80929">
      <w:pPr>
        <w:pStyle w:val="ListParagraph"/>
        <w:numPr>
          <w:ilvl w:val="0"/>
          <w:numId w:val="29"/>
        </w:numPr>
        <w:ind w:left="709" w:hanging="357"/>
        <w:rPr>
          <w:rFonts w:ascii="Tahoma" w:hAnsi="Tahoma" w:cs="Tahoma"/>
          <w:color w:val="000000"/>
          <w:sz w:val="24"/>
          <w:szCs w:val="24"/>
        </w:rPr>
      </w:pPr>
      <w:r w:rsidRPr="00950AB7">
        <w:rPr>
          <w:rFonts w:ascii="Tahoma" w:hAnsi="Tahoma" w:cs="Tahoma"/>
          <w:color w:val="000000"/>
          <w:sz w:val="24"/>
          <w:szCs w:val="24"/>
        </w:rPr>
        <w:t>If the inspection is converted to a full inspection, inspectors will make the full set of graded judgements. As a result of the converted inspection the provider could improve, decline or remain the same.</w:t>
      </w:r>
    </w:p>
    <w:p w14:paraId="162788F2" w14:textId="77777777" w:rsidR="00703BCD" w:rsidRPr="00950AB7" w:rsidRDefault="00703BCD" w:rsidP="00703BCD">
      <w:pPr>
        <w:rPr>
          <w:rFonts w:ascii="Tahoma" w:hAnsi="Tahoma" w:cs="Tahoma"/>
          <w:bCs/>
          <w:sz w:val="24"/>
          <w:szCs w:val="24"/>
        </w:rPr>
      </w:pPr>
    </w:p>
    <w:p w14:paraId="05BD6E14" w14:textId="77777777" w:rsidR="00703BCD" w:rsidRPr="00950AB7" w:rsidRDefault="00703BCD" w:rsidP="00703BCD">
      <w:pPr>
        <w:rPr>
          <w:rFonts w:ascii="Tahoma" w:hAnsi="Tahoma" w:cs="Tahoma"/>
          <w:color w:val="000000"/>
          <w:sz w:val="24"/>
          <w:szCs w:val="24"/>
        </w:rPr>
      </w:pPr>
      <w:r w:rsidRPr="00950AB7">
        <w:rPr>
          <w:rFonts w:ascii="Tahoma" w:hAnsi="Tahoma" w:cs="Tahoma"/>
          <w:color w:val="000000"/>
          <w:sz w:val="24"/>
          <w:szCs w:val="24"/>
        </w:rPr>
        <w:t>The quality report for these official statistics contains an explanation of the methodology used and the relevant inspection frameworks, along with other useful information, such as where to find previously published further education and skills official statistics. It is available from:</w:t>
      </w:r>
    </w:p>
    <w:p w14:paraId="66FA3B1A" w14:textId="56E2223C" w:rsidR="00E520EA" w:rsidRPr="00950AB7" w:rsidRDefault="000C4CCB" w:rsidP="00703BCD">
      <w:pPr>
        <w:rPr>
          <w:rStyle w:val="Hyperlink"/>
          <w:rFonts w:ascii="Tahoma" w:hAnsi="Tahoma" w:cs="Tahoma"/>
          <w:sz w:val="24"/>
          <w:szCs w:val="24"/>
        </w:rPr>
      </w:pPr>
      <w:hyperlink r:id="rId14" w:history="1">
        <w:r w:rsidR="00E520EA" w:rsidRPr="00950AB7">
          <w:rPr>
            <w:rStyle w:val="Hyperlink"/>
            <w:rFonts w:ascii="Tahoma" w:hAnsi="Tahoma" w:cs="Tahoma"/>
            <w:sz w:val="24"/>
            <w:szCs w:val="24"/>
          </w:rPr>
          <w:t>https://www.gov.uk/government/statistics/further-education-and-skills-inspections-and-outcomes-as-at-31-august-2017</w:t>
        </w:r>
      </w:hyperlink>
    </w:p>
    <w:p w14:paraId="347658F6" w14:textId="5E137A0C" w:rsidR="00703BCD" w:rsidRPr="00950AB7" w:rsidRDefault="00703BCD" w:rsidP="00C8208F">
      <w:pPr>
        <w:rPr>
          <w:rFonts w:ascii="Tahoma" w:hAnsi="Tahoma" w:cs="Tahoma"/>
          <w:bCs/>
          <w:sz w:val="24"/>
          <w:szCs w:val="24"/>
        </w:rPr>
      </w:pPr>
      <w:r w:rsidRPr="00950AB7">
        <w:rPr>
          <w:rFonts w:ascii="Tahoma" w:hAnsi="Tahoma" w:cs="Tahoma"/>
          <w:sz w:val="24"/>
          <w:szCs w:val="24"/>
        </w:rPr>
        <w:t xml:space="preserve">  </w:t>
      </w:r>
    </w:p>
    <w:p w14:paraId="3B3FA04C" w14:textId="77777777" w:rsidR="00703BCD" w:rsidRPr="00950AB7" w:rsidRDefault="00703BCD" w:rsidP="00703BCD">
      <w:pPr>
        <w:rPr>
          <w:rFonts w:ascii="Tahoma" w:hAnsi="Tahoma" w:cs="Tahoma"/>
          <w:color w:val="000000"/>
          <w:sz w:val="24"/>
          <w:szCs w:val="24"/>
        </w:rPr>
      </w:pPr>
      <w:r w:rsidRPr="00950AB7">
        <w:rPr>
          <w:rFonts w:ascii="Tahoma" w:hAnsi="Tahoma" w:cs="Tahoma"/>
          <w:color w:val="000000"/>
          <w:sz w:val="24"/>
          <w:szCs w:val="24"/>
        </w:rPr>
        <w:t xml:space="preserve">In 2016, the National Statistician published new guidance covering management information and official statistics. This guidance can be accessed here: </w:t>
      </w:r>
    </w:p>
    <w:p w14:paraId="12F54FAA" w14:textId="77777777" w:rsidR="00703BCD" w:rsidRPr="00950AB7" w:rsidRDefault="000C4CCB" w:rsidP="00703BCD">
      <w:pPr>
        <w:rPr>
          <w:rFonts w:ascii="Tahoma" w:hAnsi="Tahoma" w:cs="Tahoma"/>
          <w:bCs/>
          <w:sz w:val="24"/>
          <w:szCs w:val="24"/>
        </w:rPr>
      </w:pPr>
      <w:hyperlink r:id="rId15" w:history="1">
        <w:r w:rsidR="00703BCD" w:rsidRPr="00950AB7">
          <w:rPr>
            <w:rStyle w:val="Hyperlink"/>
            <w:rFonts w:ascii="Tahoma" w:hAnsi="Tahoma" w:cs="Tahoma"/>
            <w:bCs/>
            <w:sz w:val="24"/>
            <w:szCs w:val="24"/>
          </w:rPr>
          <w:t>https://gss.civilservice.gov.uk/blog/2016/06/management-information-guidance/</w:t>
        </w:r>
      </w:hyperlink>
    </w:p>
    <w:p w14:paraId="07AF1606" w14:textId="77777777" w:rsidR="00C80929" w:rsidRPr="00950AB7" w:rsidRDefault="00C80929" w:rsidP="00C80929">
      <w:pPr>
        <w:rPr>
          <w:rFonts w:ascii="Tahoma" w:hAnsi="Tahoma" w:cs="Tahoma"/>
          <w:bCs/>
          <w:sz w:val="24"/>
          <w:szCs w:val="24"/>
        </w:rPr>
      </w:pPr>
    </w:p>
    <w:p w14:paraId="62EC8F7D" w14:textId="251BD4E1" w:rsidR="00C80929" w:rsidRPr="00950AB7" w:rsidRDefault="00477092" w:rsidP="00C80929">
      <w:pPr>
        <w:rPr>
          <w:rFonts w:ascii="Tahoma" w:hAnsi="Tahoma" w:cs="Tahoma"/>
          <w:bCs/>
          <w:sz w:val="24"/>
          <w:szCs w:val="24"/>
        </w:rPr>
      </w:pPr>
      <w:r w:rsidRPr="00950AB7">
        <w:rPr>
          <w:rFonts w:ascii="Tahoma" w:hAnsi="Tahoma" w:cs="Tahoma"/>
          <w:bCs/>
          <w:sz w:val="24"/>
          <w:szCs w:val="24"/>
        </w:rPr>
        <w:t>Findings from our forthcoming Annual Report will be published on 13 December 2017</w:t>
      </w:r>
      <w:r w:rsidR="00C80929" w:rsidRPr="00950AB7">
        <w:rPr>
          <w:rFonts w:ascii="Tahoma" w:hAnsi="Tahoma" w:cs="Tahoma"/>
          <w:bCs/>
          <w:sz w:val="24"/>
          <w:szCs w:val="24"/>
        </w:rPr>
        <w:t>.</w:t>
      </w:r>
    </w:p>
    <w:p w14:paraId="53A54E06" w14:textId="77777777" w:rsidR="00C80929" w:rsidRPr="00950AB7" w:rsidRDefault="00C80929" w:rsidP="00C80929">
      <w:pPr>
        <w:rPr>
          <w:rFonts w:ascii="Tahoma" w:hAnsi="Tahoma" w:cs="Tahoma"/>
          <w:bCs/>
          <w:sz w:val="24"/>
          <w:szCs w:val="24"/>
        </w:rPr>
      </w:pPr>
    </w:p>
    <w:p w14:paraId="7D878777" w14:textId="77777777" w:rsidR="00C80929" w:rsidRPr="00950AB7" w:rsidRDefault="00C80929" w:rsidP="00C80929">
      <w:pPr>
        <w:rPr>
          <w:rFonts w:ascii="Tahoma" w:hAnsi="Tahoma" w:cs="Tahoma"/>
          <w:bCs/>
          <w:sz w:val="24"/>
          <w:szCs w:val="24"/>
        </w:rPr>
      </w:pPr>
    </w:p>
    <w:p w14:paraId="70E94189" w14:textId="77777777" w:rsidR="00703BCD" w:rsidRPr="00950AB7" w:rsidRDefault="00703BCD" w:rsidP="00703BCD">
      <w:pPr>
        <w:rPr>
          <w:rFonts w:ascii="Tahoma" w:hAnsi="Tahoma" w:cs="Tahoma"/>
          <w:color w:val="FF0000"/>
          <w:sz w:val="24"/>
          <w:szCs w:val="24"/>
        </w:rPr>
      </w:pPr>
      <w:bookmarkStart w:id="38" w:name="_Glossary"/>
      <w:bookmarkEnd w:id="38"/>
      <w:r w:rsidRPr="00950AB7">
        <w:rPr>
          <w:rFonts w:ascii="Tahoma" w:hAnsi="Tahoma" w:cs="Tahoma"/>
          <w:sz w:val="24"/>
          <w:szCs w:val="24"/>
        </w:rPr>
        <w:t>If you have any comments or feedback on this publication, please contact Sarah Pearce on 03000 130 632 or</w:t>
      </w:r>
      <w:r w:rsidRPr="00950AB7">
        <w:rPr>
          <w:rFonts w:ascii="Tahoma" w:hAnsi="Tahoma" w:cs="Tahoma"/>
          <w:color w:val="FF0000"/>
          <w:sz w:val="24"/>
          <w:szCs w:val="24"/>
        </w:rPr>
        <w:t xml:space="preserve"> </w:t>
      </w:r>
      <w:hyperlink r:id="rId16" w:history="1">
        <w:r w:rsidRPr="00950AB7">
          <w:rPr>
            <w:rStyle w:val="Hyperlink"/>
            <w:rFonts w:ascii="Tahoma" w:hAnsi="Tahoma" w:cs="Tahoma"/>
            <w:sz w:val="24"/>
            <w:szCs w:val="24"/>
          </w:rPr>
          <w:t>Sarah.Pearce@ofsted.gov.uk</w:t>
        </w:r>
      </w:hyperlink>
    </w:p>
    <w:p w14:paraId="3F8412B1" w14:textId="77777777" w:rsidR="00703BCD" w:rsidRPr="00950AB7" w:rsidRDefault="00703BCD" w:rsidP="00703BCD">
      <w:pPr>
        <w:rPr>
          <w:rFonts w:ascii="Tahoma" w:hAnsi="Tahoma" w:cs="Tahoma"/>
          <w:sz w:val="24"/>
          <w:szCs w:val="24"/>
        </w:rPr>
      </w:pPr>
    </w:p>
    <w:p w14:paraId="12B1C705" w14:textId="77777777" w:rsidR="00703BCD" w:rsidRPr="00950AB7" w:rsidRDefault="00703BCD" w:rsidP="00703BCD">
      <w:pPr>
        <w:rPr>
          <w:rFonts w:ascii="Tahoma" w:hAnsi="Tahoma" w:cs="Tahoma"/>
          <w:sz w:val="24"/>
          <w:szCs w:val="24"/>
        </w:rPr>
      </w:pPr>
    </w:p>
    <w:p w14:paraId="4A2B5C66" w14:textId="77777777" w:rsidR="00950AB7" w:rsidRPr="00950AB7" w:rsidRDefault="00950AB7" w:rsidP="00703BCD">
      <w:pPr>
        <w:rPr>
          <w:rFonts w:ascii="Tahoma" w:hAnsi="Tahoma" w:cs="Tahoma"/>
          <w:sz w:val="24"/>
          <w:szCs w:val="24"/>
        </w:rPr>
      </w:pPr>
    </w:p>
    <w:p w14:paraId="7C849602" w14:textId="77777777" w:rsidR="00950AB7" w:rsidRPr="00950AB7" w:rsidRDefault="00950AB7" w:rsidP="00703BCD">
      <w:pPr>
        <w:rPr>
          <w:rFonts w:ascii="Tahoma" w:hAnsi="Tahoma" w:cs="Tahoma"/>
          <w:sz w:val="24"/>
          <w:szCs w:val="24"/>
        </w:rPr>
      </w:pPr>
    </w:p>
    <w:p w14:paraId="057BCC95" w14:textId="77777777" w:rsidR="00950AB7" w:rsidRPr="00950AB7" w:rsidRDefault="00950AB7" w:rsidP="00703BCD">
      <w:pPr>
        <w:rPr>
          <w:rFonts w:ascii="Tahoma" w:hAnsi="Tahoma" w:cs="Tahoma"/>
          <w:sz w:val="24"/>
          <w:szCs w:val="24"/>
        </w:rPr>
      </w:pPr>
    </w:p>
    <w:p w14:paraId="79641B5C" w14:textId="77777777" w:rsidR="00950AB7" w:rsidRPr="00950AB7" w:rsidRDefault="00950AB7" w:rsidP="00703BCD">
      <w:pPr>
        <w:rPr>
          <w:rFonts w:ascii="Tahoma" w:hAnsi="Tahoma" w:cs="Tahoma"/>
          <w:sz w:val="24"/>
          <w:szCs w:val="24"/>
        </w:rPr>
      </w:pPr>
    </w:p>
    <w:p w14:paraId="492CCDCD" w14:textId="77777777" w:rsidR="00703BCD" w:rsidRPr="00950AB7" w:rsidRDefault="00703BCD" w:rsidP="00703BCD">
      <w:pPr>
        <w:rPr>
          <w:rFonts w:ascii="Tahoma" w:hAnsi="Tahoma" w:cs="Tahoma"/>
          <w:sz w:val="24"/>
          <w:szCs w:val="24"/>
        </w:rPr>
      </w:pPr>
    </w:p>
    <w:p w14:paraId="56E01A25" w14:textId="77777777" w:rsidR="00703BCD" w:rsidRPr="00950AB7" w:rsidRDefault="00703BCD" w:rsidP="00703BCD">
      <w:pPr>
        <w:rPr>
          <w:rFonts w:ascii="Tahoma" w:hAnsi="Tahoma" w:cs="Tahoma"/>
          <w:sz w:val="24"/>
          <w:szCs w:val="24"/>
        </w:rPr>
      </w:pPr>
    </w:p>
    <w:p w14:paraId="64342DF1" w14:textId="77777777" w:rsidR="00703BCD" w:rsidRPr="00950AB7" w:rsidRDefault="00703BCD" w:rsidP="00703BCD">
      <w:pPr>
        <w:rPr>
          <w:rFonts w:ascii="Tahoma" w:hAnsi="Tahoma" w:cs="Tahoma"/>
          <w:sz w:val="24"/>
          <w:szCs w:val="24"/>
        </w:rPr>
      </w:pPr>
    </w:p>
    <w:p w14:paraId="2C3DFAD3" w14:textId="77777777" w:rsidR="00C8208F" w:rsidRPr="00950AB7" w:rsidRDefault="00C8208F" w:rsidP="00703BCD">
      <w:pPr>
        <w:rPr>
          <w:rFonts w:ascii="Tahoma" w:hAnsi="Tahoma" w:cs="Tahoma"/>
          <w:sz w:val="24"/>
          <w:szCs w:val="24"/>
        </w:rPr>
      </w:pPr>
    </w:p>
    <w:p w14:paraId="60CC29AC" w14:textId="77777777" w:rsidR="00C8208F" w:rsidRPr="00950AB7" w:rsidRDefault="00C8208F" w:rsidP="00703BCD">
      <w:pPr>
        <w:rPr>
          <w:rFonts w:ascii="Tahoma" w:hAnsi="Tahoma" w:cs="Tahoma"/>
          <w:sz w:val="24"/>
          <w:szCs w:val="24"/>
        </w:rPr>
      </w:pPr>
    </w:p>
    <w:p w14:paraId="13678E18" w14:textId="77777777" w:rsidR="00C8208F" w:rsidRPr="00950AB7" w:rsidRDefault="00C8208F" w:rsidP="00703BCD">
      <w:pPr>
        <w:rPr>
          <w:rFonts w:ascii="Tahoma" w:hAnsi="Tahoma" w:cs="Tahoma"/>
          <w:sz w:val="24"/>
          <w:szCs w:val="24"/>
        </w:rPr>
      </w:pPr>
    </w:p>
    <w:p w14:paraId="40D3576F" w14:textId="77777777" w:rsidR="00703BCD" w:rsidRPr="00950AB7" w:rsidRDefault="00703BCD" w:rsidP="00703BCD">
      <w:pPr>
        <w:rPr>
          <w:rFonts w:ascii="Tahoma" w:hAnsi="Tahoma" w:cs="Tahoma"/>
          <w:sz w:val="24"/>
          <w:szCs w:val="24"/>
        </w:rPr>
      </w:pPr>
    </w:p>
    <w:p w14:paraId="06CE11D9" w14:textId="77777777" w:rsidR="00703BCD" w:rsidRPr="00950AB7" w:rsidRDefault="00703BCD" w:rsidP="00703BCD">
      <w:pPr>
        <w:rPr>
          <w:rFonts w:ascii="Tahoma" w:hAnsi="Tahoma" w:cs="Tahoma"/>
          <w:sz w:val="24"/>
          <w:szCs w:val="24"/>
        </w:rPr>
      </w:pPr>
      <w:r w:rsidRPr="00950AB7">
        <w:rPr>
          <w:rFonts w:ascii="Tahoma" w:hAnsi="Tahoma" w:cs="Tahoma"/>
          <w:sz w:val="24"/>
          <w:szCs w:val="24"/>
        </w:rPr>
        <w:t>© Crown copyright</w:t>
      </w:r>
    </w:p>
    <w:p w14:paraId="2A8F611D" w14:textId="77777777" w:rsidR="00703BCD" w:rsidRPr="00950AB7" w:rsidRDefault="00703BCD" w:rsidP="00703BCD">
      <w:pPr>
        <w:rPr>
          <w:rFonts w:ascii="Tahoma" w:hAnsi="Tahoma" w:cs="Tahoma"/>
          <w:sz w:val="24"/>
          <w:szCs w:val="24"/>
        </w:rPr>
      </w:pPr>
    </w:p>
    <w:p w14:paraId="47CD3BDE" w14:textId="40A05310" w:rsidR="00703BCD" w:rsidRPr="00703BCD" w:rsidRDefault="00703BCD">
      <w:pPr>
        <w:rPr>
          <w:rFonts w:ascii="Tahoma" w:hAnsi="Tahoma" w:cs="Tahoma"/>
          <w:b/>
          <w:sz w:val="24"/>
          <w:szCs w:val="24"/>
        </w:rPr>
      </w:pPr>
      <w:r w:rsidRPr="00950AB7">
        <w:rPr>
          <w:rFonts w:ascii="Tahoma" w:hAnsi="Tahoma" w:cs="Tahoma"/>
          <w:sz w:val="24"/>
          <w:szCs w:val="24"/>
        </w:rPr>
        <w:t xml:space="preserve">You may re-use this information (not including logos) free of charge in any format or medium, under the terms of the Open Government Licence. To view this licence, visit </w:t>
      </w:r>
      <w:hyperlink r:id="rId17" w:history="1">
        <w:r w:rsidRPr="00950AB7">
          <w:rPr>
            <w:rStyle w:val="Hyperlink"/>
            <w:rFonts w:ascii="Tahoma" w:hAnsi="Tahoma" w:cs="Tahoma"/>
            <w:sz w:val="24"/>
            <w:szCs w:val="24"/>
          </w:rPr>
          <w:t>http://www.nationalarchives.gov.uk/doc/open-government-licence/</w:t>
        </w:r>
      </w:hyperlink>
      <w:r w:rsidRPr="00950AB7">
        <w:rPr>
          <w:rFonts w:ascii="Tahoma" w:hAnsi="Tahoma" w:cs="Tahoma"/>
          <w:sz w:val="24"/>
          <w:szCs w:val="24"/>
        </w:rPr>
        <w:t xml:space="preserve"> or write to the Information Policy Team, The National Archives, Kew, London, TW9 4DU or e-mail: </w:t>
      </w:r>
      <w:hyperlink r:id="rId18" w:history="1">
        <w:r w:rsidRPr="00950AB7">
          <w:rPr>
            <w:rStyle w:val="Hyperlink"/>
            <w:rFonts w:ascii="Tahoma" w:hAnsi="Tahoma" w:cs="Tahoma"/>
            <w:sz w:val="24"/>
            <w:szCs w:val="24"/>
          </w:rPr>
          <w:t>psi@nationalarchives.gsi.gov.uk</w:t>
        </w:r>
      </w:hyperlink>
    </w:p>
    <w:sectPr w:rsidR="00703BCD" w:rsidRPr="00703BCD" w:rsidSect="00BA763B">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9A4A3" w14:textId="77777777" w:rsidR="00665022" w:rsidRDefault="00665022" w:rsidP="00B41006">
      <w:r>
        <w:separator/>
      </w:r>
    </w:p>
  </w:endnote>
  <w:endnote w:type="continuationSeparator" w:id="0">
    <w:p w14:paraId="07866E62" w14:textId="77777777" w:rsidR="00665022" w:rsidRDefault="00665022"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F703" w14:textId="77777777" w:rsidR="00665022" w:rsidRDefault="00665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0736" w14:textId="77777777" w:rsidR="00665022" w:rsidRPr="001460CF" w:rsidRDefault="00665022" w:rsidP="00703BCD">
    <w:pPr>
      <w:pStyle w:val="Footer-RHSOdd"/>
      <w:pBdr>
        <w:top w:val="single" w:sz="4" w:space="2" w:color="auto"/>
      </w:pBdr>
      <w:tabs>
        <w:tab w:val="right" w:pos="8460"/>
      </w:tabs>
      <w:rPr>
        <w:b w:val="0"/>
        <w:sz w:val="20"/>
      </w:rPr>
    </w:pPr>
    <w:r w:rsidRPr="001460CF">
      <w:rPr>
        <w:b w:val="0"/>
        <w:sz w:val="20"/>
      </w:rPr>
      <w:t xml:space="preserve">Responsible </w:t>
    </w:r>
    <w:r>
      <w:rPr>
        <w:b w:val="0"/>
        <w:sz w:val="20"/>
      </w:rPr>
      <w:t>s</w:t>
    </w:r>
    <w:r w:rsidRPr="001460CF">
      <w:rPr>
        <w:b w:val="0"/>
        <w:sz w:val="20"/>
      </w:rPr>
      <w:t>tatistician:</w:t>
    </w:r>
    <w:r>
      <w:rPr>
        <w:b w:val="0"/>
        <w:sz w:val="20"/>
      </w:rPr>
      <w:t xml:space="preserve"> Sarah Pearce</w:t>
    </w:r>
    <w:r w:rsidRPr="001460CF">
      <w:rPr>
        <w:b w:val="0"/>
        <w:sz w:val="20"/>
      </w:rPr>
      <w:t xml:space="preserve">, </w:t>
    </w:r>
    <w:r>
      <w:rPr>
        <w:rStyle w:val="Hyperlink"/>
        <w:b w:val="0"/>
        <w:sz w:val="20"/>
      </w:rPr>
      <w:t>Sarah.Pearce@Ofsted.gov.uk</w:t>
    </w:r>
  </w:p>
  <w:p w14:paraId="164D9F9A" w14:textId="60E3C9B5" w:rsidR="00665022" w:rsidRPr="00A70E85" w:rsidRDefault="00665022" w:rsidP="00703BCD">
    <w:pPr>
      <w:pStyle w:val="Footer-RHSOdd"/>
      <w:pBdr>
        <w:top w:val="single" w:sz="4" w:space="2" w:color="auto"/>
      </w:pBdr>
      <w:tabs>
        <w:tab w:val="right" w:pos="8460"/>
      </w:tabs>
      <w:rPr>
        <w:b w:val="0"/>
        <w:sz w:val="20"/>
      </w:rPr>
    </w:pPr>
    <w:r w:rsidRPr="001460CF">
      <w:rPr>
        <w:b w:val="0"/>
        <w:sz w:val="20"/>
      </w:rPr>
      <w:t>Published on:</w:t>
    </w:r>
    <w:r>
      <w:rPr>
        <w:b w:val="0"/>
        <w:sz w:val="20"/>
      </w:rPr>
      <w:t xml:space="preserve"> 28/11/2017. Next publication: June 2018.</w:t>
    </w:r>
    <w:r>
      <w:rPr>
        <w:b w:val="0"/>
        <w:sz w:val="20"/>
      </w:rPr>
      <w:tab/>
    </w:r>
    <w:r w:rsidRPr="00243CDA">
      <w:rPr>
        <w:b w:val="0"/>
        <w:sz w:val="20"/>
      </w:rPr>
      <w:fldChar w:fldCharType="begin"/>
    </w:r>
    <w:r w:rsidRPr="00243CDA">
      <w:rPr>
        <w:b w:val="0"/>
        <w:sz w:val="20"/>
      </w:rPr>
      <w:instrText xml:space="preserve"> PAGE   \* MERGEFORMAT </w:instrText>
    </w:r>
    <w:r w:rsidRPr="00243CDA">
      <w:rPr>
        <w:b w:val="0"/>
        <w:sz w:val="20"/>
      </w:rPr>
      <w:fldChar w:fldCharType="separate"/>
    </w:r>
    <w:r w:rsidR="000C4CCB" w:rsidRPr="000C4CCB">
      <w:rPr>
        <w:b w:val="0"/>
        <w:bCs/>
        <w:noProof/>
        <w:sz w:val="20"/>
      </w:rPr>
      <w:t>1</w:t>
    </w:r>
    <w:r w:rsidRPr="00243CDA">
      <w:rPr>
        <w:b w:val="0"/>
        <w:bCs/>
        <w:noProof/>
        <w:sz w:val="20"/>
      </w:rPr>
      <w:fldChar w:fldCharType="end"/>
    </w:r>
    <w:r w:rsidRPr="00243CDA">
      <w:rPr>
        <w:b w:val="0"/>
        <w:bCs/>
        <w:sz w:val="20"/>
      </w:rPr>
      <w:t xml:space="preserve"> </w:t>
    </w:r>
    <w:r w:rsidRPr="00243CDA">
      <w:rPr>
        <w:b w:val="0"/>
        <w:sz w:val="20"/>
      </w:rPr>
      <w:t>|</w:t>
    </w:r>
    <w:r w:rsidRPr="00243CDA">
      <w:rPr>
        <w:b w:val="0"/>
        <w:bCs/>
        <w:sz w:val="20"/>
      </w:rPr>
      <w:t xml:space="preserve"> </w:t>
    </w:r>
    <w:r w:rsidRPr="00243CDA">
      <w:rPr>
        <w:b w:val="0"/>
        <w:color w:val="808080"/>
        <w:spacing w:val="60"/>
        <w:sz w:val="20"/>
      </w:rPr>
      <w:t>Page</w:t>
    </w:r>
  </w:p>
  <w:p w14:paraId="692384C0" w14:textId="40967BE6" w:rsidR="00665022" w:rsidRPr="00703BCD" w:rsidRDefault="00665022" w:rsidP="00703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7792" w14:textId="77777777" w:rsidR="00665022" w:rsidRDefault="0066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E77BA" w14:textId="77777777" w:rsidR="00665022" w:rsidRDefault="00665022" w:rsidP="00B41006">
      <w:r>
        <w:separator/>
      </w:r>
    </w:p>
  </w:footnote>
  <w:footnote w:type="continuationSeparator" w:id="0">
    <w:p w14:paraId="777FC800" w14:textId="77777777" w:rsidR="00665022" w:rsidRDefault="00665022" w:rsidP="00B41006">
      <w:r>
        <w:continuationSeparator/>
      </w:r>
    </w:p>
  </w:footnote>
  <w:footnote w:id="1">
    <w:p w14:paraId="432645E6" w14:textId="4F5AB100" w:rsidR="00665022" w:rsidRPr="00094B04" w:rsidRDefault="00665022">
      <w:pPr>
        <w:pStyle w:val="FootnoteText"/>
        <w:rPr>
          <w:rFonts w:ascii="Tahoma" w:hAnsi="Tahoma" w:cs="Tahoma"/>
          <w:sz w:val="16"/>
          <w:szCs w:val="16"/>
        </w:rPr>
      </w:pPr>
      <w:r w:rsidRPr="00094B04">
        <w:rPr>
          <w:rStyle w:val="FootnoteReference"/>
          <w:rFonts w:ascii="Tahoma" w:hAnsi="Tahoma" w:cs="Tahoma"/>
          <w:sz w:val="16"/>
          <w:szCs w:val="16"/>
        </w:rPr>
        <w:footnoteRef/>
      </w:r>
      <w:r w:rsidRPr="00094B04">
        <w:rPr>
          <w:rFonts w:ascii="Tahoma" w:hAnsi="Tahoma" w:cs="Tahoma"/>
          <w:sz w:val="16"/>
          <w:szCs w:val="16"/>
        </w:rPr>
        <w:t xml:space="preserve"> The following provider types are not exempt from routine inspection: higher education institutions offering further education, local authority providers, independent specialist colleges and dance and drama colleges.</w:t>
      </w:r>
    </w:p>
  </w:footnote>
  <w:footnote w:id="2">
    <w:p w14:paraId="01406F97" w14:textId="45636610" w:rsidR="00665022" w:rsidRPr="00094B04" w:rsidRDefault="00665022">
      <w:pPr>
        <w:pStyle w:val="FootnoteText"/>
        <w:rPr>
          <w:rFonts w:ascii="Tahoma" w:hAnsi="Tahoma" w:cs="Tahoma"/>
          <w:sz w:val="16"/>
          <w:szCs w:val="16"/>
        </w:rPr>
      </w:pPr>
      <w:r w:rsidRPr="00094B04">
        <w:rPr>
          <w:rStyle w:val="FootnoteReference"/>
          <w:rFonts w:ascii="Tahoma" w:hAnsi="Tahoma" w:cs="Tahoma"/>
          <w:sz w:val="16"/>
          <w:szCs w:val="16"/>
        </w:rPr>
        <w:footnoteRef/>
      </w:r>
      <w:r w:rsidRPr="00094B04">
        <w:rPr>
          <w:rFonts w:ascii="Tahoma" w:hAnsi="Tahoma" w:cs="Tahoma"/>
          <w:sz w:val="16"/>
          <w:szCs w:val="16"/>
        </w:rPr>
        <w:t xml:space="preserve"> Compared with the college that had the largest number of learners before the merger.</w:t>
      </w:r>
    </w:p>
  </w:footnote>
  <w:footnote w:id="3">
    <w:p w14:paraId="5C986286" w14:textId="77777777" w:rsidR="00665022" w:rsidRPr="00094B04" w:rsidRDefault="00665022" w:rsidP="00543AA4">
      <w:pPr>
        <w:pStyle w:val="FootnoteText"/>
        <w:rPr>
          <w:sz w:val="16"/>
          <w:szCs w:val="16"/>
        </w:rPr>
      </w:pPr>
      <w:r w:rsidRPr="00094B04">
        <w:rPr>
          <w:rStyle w:val="FootnoteReference"/>
          <w:rFonts w:ascii="Tahoma" w:hAnsi="Tahoma" w:cs="Tahoma"/>
          <w:sz w:val="16"/>
          <w:szCs w:val="16"/>
        </w:rPr>
        <w:footnoteRef/>
      </w:r>
      <w:r w:rsidRPr="00094B04">
        <w:rPr>
          <w:rFonts w:ascii="Tahoma" w:hAnsi="Tahoma" w:cs="Tahoma"/>
          <w:sz w:val="16"/>
          <w:szCs w:val="16"/>
        </w:rPr>
        <w:t xml:space="preserve"> The merged colleges have yet to be inspected as a new entity.</w:t>
      </w:r>
    </w:p>
  </w:footnote>
  <w:footnote w:id="4">
    <w:p w14:paraId="17254EB3" w14:textId="77777777" w:rsidR="00665022" w:rsidRPr="00094B04" w:rsidRDefault="00665022" w:rsidP="00EE4E6B">
      <w:pPr>
        <w:pStyle w:val="FootnoteText"/>
        <w:rPr>
          <w:rFonts w:ascii="Tahoma" w:hAnsi="Tahoma" w:cs="Tahoma"/>
          <w:sz w:val="16"/>
          <w:szCs w:val="16"/>
        </w:rPr>
      </w:pPr>
      <w:r w:rsidRPr="00094B04">
        <w:rPr>
          <w:rStyle w:val="FootnoteReference"/>
          <w:rFonts w:ascii="Tahoma" w:hAnsi="Tahoma" w:cs="Tahoma"/>
          <w:sz w:val="16"/>
          <w:szCs w:val="16"/>
        </w:rPr>
        <w:footnoteRef/>
      </w:r>
      <w:r w:rsidRPr="00094B04">
        <w:rPr>
          <w:rFonts w:ascii="Tahoma" w:hAnsi="Tahoma" w:cs="Tahoma"/>
          <w:sz w:val="16"/>
          <w:szCs w:val="16"/>
        </w:rPr>
        <w:t xml:space="preserve"> Two of the prisons were awarded an overall effectiveness judgement in late February 2014.  </w:t>
      </w:r>
    </w:p>
  </w:footnote>
  <w:footnote w:id="5">
    <w:p w14:paraId="2D8B62CA" w14:textId="1591FD8C" w:rsidR="00665022" w:rsidRPr="0092123A" w:rsidRDefault="00665022" w:rsidP="00703BCD">
      <w:pPr>
        <w:pStyle w:val="FootnoteText"/>
        <w:rPr>
          <w:rFonts w:ascii="Tahoma" w:hAnsi="Tahoma" w:cs="Tahoma"/>
          <w:sz w:val="16"/>
          <w:szCs w:val="16"/>
        </w:rPr>
      </w:pPr>
      <w:r w:rsidRPr="0092123A">
        <w:rPr>
          <w:rStyle w:val="FootnoteReference"/>
          <w:rFonts w:ascii="Tahoma" w:hAnsi="Tahoma" w:cs="Tahoma"/>
          <w:sz w:val="16"/>
          <w:szCs w:val="16"/>
        </w:rPr>
        <w:footnoteRef/>
      </w:r>
      <w:r w:rsidRPr="0092123A">
        <w:rPr>
          <w:rFonts w:ascii="Tahoma" w:hAnsi="Tahoma" w:cs="Tahoma"/>
          <w:sz w:val="16"/>
          <w:szCs w:val="16"/>
        </w:rPr>
        <w:t xml:space="preserve"> The following types of provision are still subject to routine inspection when they have been judged outstanding: higher education institutions offering further education; local authority providers; independent specialist colleges; dance and drama programmes; and learning and skills provision in prisons.</w:t>
      </w:r>
    </w:p>
  </w:footnote>
  <w:footnote w:id="6">
    <w:p w14:paraId="5759B087" w14:textId="77777777" w:rsidR="00665022" w:rsidRDefault="00665022" w:rsidP="00703BCD">
      <w:pPr>
        <w:pStyle w:val="FootnoteText"/>
      </w:pPr>
      <w:r w:rsidRPr="0092123A">
        <w:rPr>
          <w:rStyle w:val="FootnoteReference"/>
          <w:rFonts w:ascii="Tahoma" w:hAnsi="Tahoma" w:cs="Tahoma"/>
          <w:sz w:val="16"/>
          <w:szCs w:val="16"/>
        </w:rPr>
        <w:footnoteRef/>
      </w:r>
      <w:r w:rsidRPr="0092123A">
        <w:rPr>
          <w:rFonts w:ascii="Tahoma" w:hAnsi="Tahoma" w:cs="Tahoma"/>
          <w:sz w:val="16"/>
          <w:szCs w:val="16"/>
        </w:rPr>
        <w:t xml:space="preserve"> Full re-inspections or re-inspection monitoring visits may not happen in certain circumstances, for example where a provider’s funding contract has been terminated.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891F" w14:textId="77777777" w:rsidR="00665022" w:rsidRDefault="00665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993"/>
      <w:gridCol w:w="2645"/>
    </w:tblGrid>
    <w:tr w:rsidR="00665022" w14:paraId="13C10551" w14:textId="77777777" w:rsidTr="00703BCD">
      <w:trPr>
        <w:trHeight w:val="1986"/>
      </w:trPr>
      <w:tc>
        <w:tcPr>
          <w:tcW w:w="3628" w:type="pct"/>
          <w:shd w:val="clear" w:color="auto" w:fill="auto"/>
        </w:tcPr>
        <w:p w14:paraId="7D629521" w14:textId="77777777" w:rsidR="00665022" w:rsidRDefault="00665022" w:rsidP="00703BCD">
          <w:pPr>
            <w:pStyle w:val="Header"/>
          </w:pPr>
          <w:r>
            <w:rPr>
              <w:noProof/>
              <w:lang w:eastAsia="en-GB"/>
            </w:rPr>
            <mc:AlternateContent>
              <mc:Choice Requires="wps">
                <w:drawing>
                  <wp:anchor distT="0" distB="0" distL="114300" distR="114300" simplePos="0" relativeHeight="251659264" behindDoc="0" locked="0" layoutInCell="1" allowOverlap="1" wp14:anchorId="6EF5C1F9" wp14:editId="651F6D95">
                    <wp:simplePos x="0" y="0"/>
                    <wp:positionH relativeFrom="column">
                      <wp:posOffset>-71120</wp:posOffset>
                    </wp:positionH>
                    <wp:positionV relativeFrom="paragraph">
                      <wp:posOffset>114935</wp:posOffset>
                    </wp:positionV>
                    <wp:extent cx="1709420" cy="347980"/>
                    <wp:effectExtent l="14605" t="10160" r="952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14:paraId="6AC82B56" w14:textId="77777777" w:rsidR="00665022" w:rsidRPr="00033909" w:rsidRDefault="00665022" w:rsidP="00703BCD">
                                <w:pPr>
                                  <w:rPr>
                                    <w:sz w:val="32"/>
                                    <w:szCs w:val="32"/>
                                  </w:rPr>
                                </w:pPr>
                                <w:r>
                                  <w:rPr>
                                    <w:sz w:val="32"/>
                                    <w:szCs w:val="32"/>
                                  </w:rPr>
                                  <w:t>Official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F5C1F9" id="_x0000_t202" coordsize="21600,21600" o:spt="202" path="m,l,21600r21600,l21600,xe">
                    <v:stroke joinstyle="miter"/>
                    <v:path gradientshapeok="t" o:connecttype="rect"/>
                  </v:shapetype>
                  <v:shape id="Text Box 2" o:spid="_x0000_s1027" type="#_x0000_t202" style="position:absolute;margin-left:-5.6pt;margin-top:9.05pt;width:134.6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" strokeweight="1pt">
                    <v:textbox>
                      <w:txbxContent>
                        <w:p w14:paraId="6AC82B56" w14:textId="77777777" w:rsidR="00665022" w:rsidRPr="00033909" w:rsidRDefault="00665022" w:rsidP="00703BCD">
                          <w:pPr>
                            <w:rPr>
                              <w:sz w:val="32"/>
                              <w:szCs w:val="32"/>
                            </w:rPr>
                          </w:pPr>
                          <w:r>
                            <w:rPr>
                              <w:sz w:val="32"/>
                              <w:szCs w:val="32"/>
                            </w:rPr>
                            <w:t>Official s</w:t>
                          </w:r>
                          <w:r w:rsidRPr="00033909">
                            <w:rPr>
                              <w:sz w:val="32"/>
                              <w:szCs w:val="32"/>
                            </w:rPr>
                            <w:t>tatistic</w:t>
                          </w:r>
                          <w:r>
                            <w:rPr>
                              <w:sz w:val="32"/>
                              <w:szCs w:val="32"/>
                            </w:rPr>
                            <w:t>s</w:t>
                          </w:r>
                        </w:p>
                      </w:txbxContent>
                    </v:textbox>
                  </v:shape>
                </w:pict>
              </mc:Fallback>
            </mc:AlternateContent>
          </w:r>
        </w:p>
        <w:p w14:paraId="4A000554" w14:textId="77777777" w:rsidR="00665022" w:rsidRDefault="00665022" w:rsidP="00703BCD">
          <w:pPr>
            <w:pStyle w:val="Header"/>
            <w:jc w:val="right"/>
          </w:pPr>
        </w:p>
      </w:tc>
      <w:tc>
        <w:tcPr>
          <w:tcW w:w="1372" w:type="pct"/>
          <w:shd w:val="clear" w:color="auto" w:fill="auto"/>
        </w:tcPr>
        <w:p w14:paraId="7DD9488B" w14:textId="77777777" w:rsidR="00665022" w:rsidRDefault="00665022" w:rsidP="00703BCD">
          <w:pPr>
            <w:pStyle w:val="Header"/>
            <w:jc w:val="right"/>
          </w:pPr>
          <w:r>
            <w:rPr>
              <w:noProof/>
              <w:lang w:eastAsia="en-GB"/>
            </w:rPr>
            <w:drawing>
              <wp:inline distT="0" distB="0" distL="0" distR="0" wp14:anchorId="01BBDE5A" wp14:editId="1F4DC16B">
                <wp:extent cx="1343660" cy="1137285"/>
                <wp:effectExtent l="0" t="0" r="8890" b="5715"/>
                <wp:docPr id="15" name="Picture 15"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137285"/>
                        </a:xfrm>
                        <a:prstGeom prst="rect">
                          <a:avLst/>
                        </a:prstGeom>
                        <a:noFill/>
                        <a:ln>
                          <a:noFill/>
                        </a:ln>
                      </pic:spPr>
                    </pic:pic>
                  </a:graphicData>
                </a:graphic>
              </wp:inline>
            </w:drawing>
          </w:r>
        </w:p>
      </w:tc>
    </w:tr>
  </w:tbl>
  <w:p w14:paraId="1E4B491C" w14:textId="77777777" w:rsidR="00665022" w:rsidRDefault="00665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0D87" w14:textId="77777777" w:rsidR="00665022" w:rsidRDefault="0066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015"/>
    <w:multiLevelType w:val="hybridMultilevel"/>
    <w:tmpl w:val="06040312"/>
    <w:lvl w:ilvl="0" w:tplc="87E4C03A">
      <w:start w:val="1"/>
      <w:numFmt w:val="bullet"/>
      <w:lvlText w:val=""/>
      <w:lvlJc w:val="left"/>
      <w:pPr>
        <w:ind w:left="2862" w:hanging="360"/>
      </w:pPr>
      <w:rPr>
        <w:rFonts w:ascii="Wingdings" w:hAnsi="Wingdings" w:hint="default"/>
        <w:color w:val="auto"/>
        <w:sz w:val="36"/>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1" w15:restartNumberingAfterBreak="0">
    <w:nsid w:val="01F72037"/>
    <w:multiLevelType w:val="hybridMultilevel"/>
    <w:tmpl w:val="32A67450"/>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D04DA"/>
    <w:multiLevelType w:val="hybridMultilevel"/>
    <w:tmpl w:val="BC0CB76A"/>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405E"/>
    <w:multiLevelType w:val="hybridMultilevel"/>
    <w:tmpl w:val="3416A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C5644F"/>
    <w:multiLevelType w:val="hybridMultilevel"/>
    <w:tmpl w:val="120CB5A6"/>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77DD1"/>
    <w:multiLevelType w:val="hybridMultilevel"/>
    <w:tmpl w:val="77CA10EC"/>
    <w:lvl w:ilvl="0" w:tplc="B7F84A0C">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971E3"/>
    <w:multiLevelType w:val="hybridMultilevel"/>
    <w:tmpl w:val="E8CEA3A8"/>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8707A"/>
    <w:multiLevelType w:val="hybridMultilevel"/>
    <w:tmpl w:val="56047000"/>
    <w:lvl w:ilvl="0" w:tplc="05700C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D6ED7"/>
    <w:multiLevelType w:val="hybridMultilevel"/>
    <w:tmpl w:val="177EAE8C"/>
    <w:lvl w:ilvl="0" w:tplc="B7F84A0C">
      <w:start w:val="1"/>
      <w:numFmt w:val="bullet"/>
      <w:lvlText w:val=""/>
      <w:lvlJc w:val="left"/>
      <w:pPr>
        <w:ind w:left="1440" w:hanging="360"/>
      </w:pPr>
      <w:rPr>
        <w:rFonts w:ascii="Wingdings" w:hAnsi="Wingdings"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886F32"/>
    <w:multiLevelType w:val="hybridMultilevel"/>
    <w:tmpl w:val="5FC47FB0"/>
    <w:lvl w:ilvl="0" w:tplc="F2369620">
      <w:start w:val="1"/>
      <w:numFmt w:val="bullet"/>
      <w:lvlText w:val=""/>
      <w:lvlJc w:val="left"/>
      <w:pPr>
        <w:tabs>
          <w:tab w:val="num" w:pos="720"/>
        </w:tabs>
        <w:ind w:left="720" w:hanging="360"/>
      </w:pPr>
      <w:rPr>
        <w:rFonts w:ascii="Symbol" w:hAnsi="Symbol" w:hint="default"/>
      </w:rPr>
    </w:lvl>
    <w:lvl w:ilvl="1" w:tplc="E1F29514" w:tentative="1">
      <w:start w:val="1"/>
      <w:numFmt w:val="bullet"/>
      <w:lvlText w:val=""/>
      <w:lvlJc w:val="left"/>
      <w:pPr>
        <w:tabs>
          <w:tab w:val="num" w:pos="1440"/>
        </w:tabs>
        <w:ind w:left="1440" w:hanging="360"/>
      </w:pPr>
      <w:rPr>
        <w:rFonts w:ascii="Symbol" w:hAnsi="Symbol" w:hint="default"/>
      </w:rPr>
    </w:lvl>
    <w:lvl w:ilvl="2" w:tplc="CC067A10" w:tentative="1">
      <w:start w:val="1"/>
      <w:numFmt w:val="bullet"/>
      <w:lvlText w:val=""/>
      <w:lvlJc w:val="left"/>
      <w:pPr>
        <w:tabs>
          <w:tab w:val="num" w:pos="2160"/>
        </w:tabs>
        <w:ind w:left="2160" w:hanging="360"/>
      </w:pPr>
      <w:rPr>
        <w:rFonts w:ascii="Symbol" w:hAnsi="Symbol" w:hint="default"/>
      </w:rPr>
    </w:lvl>
    <w:lvl w:ilvl="3" w:tplc="1F4AA2E6" w:tentative="1">
      <w:start w:val="1"/>
      <w:numFmt w:val="bullet"/>
      <w:lvlText w:val=""/>
      <w:lvlJc w:val="left"/>
      <w:pPr>
        <w:tabs>
          <w:tab w:val="num" w:pos="2880"/>
        </w:tabs>
        <w:ind w:left="2880" w:hanging="360"/>
      </w:pPr>
      <w:rPr>
        <w:rFonts w:ascii="Symbol" w:hAnsi="Symbol" w:hint="default"/>
      </w:rPr>
    </w:lvl>
    <w:lvl w:ilvl="4" w:tplc="B9489422" w:tentative="1">
      <w:start w:val="1"/>
      <w:numFmt w:val="bullet"/>
      <w:lvlText w:val=""/>
      <w:lvlJc w:val="left"/>
      <w:pPr>
        <w:tabs>
          <w:tab w:val="num" w:pos="3600"/>
        </w:tabs>
        <w:ind w:left="3600" w:hanging="360"/>
      </w:pPr>
      <w:rPr>
        <w:rFonts w:ascii="Symbol" w:hAnsi="Symbol" w:hint="default"/>
      </w:rPr>
    </w:lvl>
    <w:lvl w:ilvl="5" w:tplc="822C40AA" w:tentative="1">
      <w:start w:val="1"/>
      <w:numFmt w:val="bullet"/>
      <w:lvlText w:val=""/>
      <w:lvlJc w:val="left"/>
      <w:pPr>
        <w:tabs>
          <w:tab w:val="num" w:pos="4320"/>
        </w:tabs>
        <w:ind w:left="4320" w:hanging="360"/>
      </w:pPr>
      <w:rPr>
        <w:rFonts w:ascii="Symbol" w:hAnsi="Symbol" w:hint="default"/>
      </w:rPr>
    </w:lvl>
    <w:lvl w:ilvl="6" w:tplc="319C7EAC" w:tentative="1">
      <w:start w:val="1"/>
      <w:numFmt w:val="bullet"/>
      <w:lvlText w:val=""/>
      <w:lvlJc w:val="left"/>
      <w:pPr>
        <w:tabs>
          <w:tab w:val="num" w:pos="5040"/>
        </w:tabs>
        <w:ind w:left="5040" w:hanging="360"/>
      </w:pPr>
      <w:rPr>
        <w:rFonts w:ascii="Symbol" w:hAnsi="Symbol" w:hint="default"/>
      </w:rPr>
    </w:lvl>
    <w:lvl w:ilvl="7" w:tplc="11B004C0" w:tentative="1">
      <w:start w:val="1"/>
      <w:numFmt w:val="bullet"/>
      <w:lvlText w:val=""/>
      <w:lvlJc w:val="left"/>
      <w:pPr>
        <w:tabs>
          <w:tab w:val="num" w:pos="5760"/>
        </w:tabs>
        <w:ind w:left="5760" w:hanging="360"/>
      </w:pPr>
      <w:rPr>
        <w:rFonts w:ascii="Symbol" w:hAnsi="Symbol" w:hint="default"/>
      </w:rPr>
    </w:lvl>
    <w:lvl w:ilvl="8" w:tplc="7DD0307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06F02E4"/>
    <w:multiLevelType w:val="hybridMultilevel"/>
    <w:tmpl w:val="82462222"/>
    <w:lvl w:ilvl="0" w:tplc="256AC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E3A55"/>
    <w:multiLevelType w:val="hybridMultilevel"/>
    <w:tmpl w:val="D9B0EE20"/>
    <w:lvl w:ilvl="0" w:tplc="D166C21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03B67"/>
    <w:multiLevelType w:val="hybridMultilevel"/>
    <w:tmpl w:val="04AED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0D01A1"/>
    <w:multiLevelType w:val="hybridMultilevel"/>
    <w:tmpl w:val="7042EF00"/>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F6F08"/>
    <w:multiLevelType w:val="hybridMultilevel"/>
    <w:tmpl w:val="BC9AD642"/>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47EBF"/>
    <w:multiLevelType w:val="hybridMultilevel"/>
    <w:tmpl w:val="569E7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C04F33"/>
    <w:multiLevelType w:val="hybridMultilevel"/>
    <w:tmpl w:val="3DC0796A"/>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634B7"/>
    <w:multiLevelType w:val="hybridMultilevel"/>
    <w:tmpl w:val="17EC3EA2"/>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66F72"/>
    <w:multiLevelType w:val="hybridMultilevel"/>
    <w:tmpl w:val="E312B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F56DC1"/>
    <w:multiLevelType w:val="hybridMultilevel"/>
    <w:tmpl w:val="8E166894"/>
    <w:lvl w:ilvl="0" w:tplc="B7F84A0C">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0A7991"/>
    <w:multiLevelType w:val="hybridMultilevel"/>
    <w:tmpl w:val="E236D1B6"/>
    <w:lvl w:ilvl="0" w:tplc="6F6028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7C6C5C"/>
    <w:multiLevelType w:val="hybridMultilevel"/>
    <w:tmpl w:val="48F8D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DF1490"/>
    <w:multiLevelType w:val="hybridMultilevel"/>
    <w:tmpl w:val="09101348"/>
    <w:lvl w:ilvl="0" w:tplc="B7F84A0C">
      <w:start w:val="1"/>
      <w:numFmt w:val="bullet"/>
      <w:lvlText w:val=""/>
      <w:lvlJc w:val="left"/>
      <w:pPr>
        <w:ind w:left="795" w:hanging="360"/>
      </w:pPr>
      <w:rPr>
        <w:rFonts w:ascii="Wingdings" w:hAnsi="Wingdings" w:hint="default"/>
        <w:sz w:val="32"/>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3FFB5472"/>
    <w:multiLevelType w:val="hybridMultilevel"/>
    <w:tmpl w:val="D87CB088"/>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40F3D"/>
    <w:multiLevelType w:val="hybridMultilevel"/>
    <w:tmpl w:val="A4D2BCEE"/>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80349"/>
    <w:multiLevelType w:val="hybridMultilevel"/>
    <w:tmpl w:val="615454A8"/>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80D46"/>
    <w:multiLevelType w:val="hybridMultilevel"/>
    <w:tmpl w:val="AF9A32D6"/>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D4F50"/>
    <w:multiLevelType w:val="hybridMultilevel"/>
    <w:tmpl w:val="CE2022D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870B76"/>
    <w:multiLevelType w:val="hybridMultilevel"/>
    <w:tmpl w:val="55AE4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0854FE"/>
    <w:multiLevelType w:val="hybridMultilevel"/>
    <w:tmpl w:val="B98A861A"/>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C4175"/>
    <w:multiLevelType w:val="hybridMultilevel"/>
    <w:tmpl w:val="CEB461FC"/>
    <w:lvl w:ilvl="0" w:tplc="B7F84A0C">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73164D"/>
    <w:multiLevelType w:val="hybridMultilevel"/>
    <w:tmpl w:val="9BDCEA40"/>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F6085"/>
    <w:multiLevelType w:val="hybridMultilevel"/>
    <w:tmpl w:val="56FC7036"/>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72282"/>
    <w:multiLevelType w:val="hybridMultilevel"/>
    <w:tmpl w:val="FE7680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F34164"/>
    <w:multiLevelType w:val="hybridMultilevel"/>
    <w:tmpl w:val="200CB296"/>
    <w:lvl w:ilvl="0" w:tplc="5184986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A3F0D"/>
    <w:multiLevelType w:val="hybridMultilevel"/>
    <w:tmpl w:val="ABCE7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2C7C8F"/>
    <w:multiLevelType w:val="hybridMultilevel"/>
    <w:tmpl w:val="A5600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41459F"/>
    <w:multiLevelType w:val="hybridMultilevel"/>
    <w:tmpl w:val="39F00C46"/>
    <w:lvl w:ilvl="0" w:tplc="947CD7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5F7A8D"/>
    <w:multiLevelType w:val="hybridMultilevel"/>
    <w:tmpl w:val="24CE72EC"/>
    <w:lvl w:ilvl="0" w:tplc="AEE051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416C5"/>
    <w:multiLevelType w:val="hybridMultilevel"/>
    <w:tmpl w:val="8C424A04"/>
    <w:lvl w:ilvl="0" w:tplc="586202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1"/>
  </w:num>
  <w:num w:numId="3">
    <w:abstractNumId w:val="36"/>
  </w:num>
  <w:num w:numId="4">
    <w:abstractNumId w:val="10"/>
  </w:num>
  <w:num w:numId="5">
    <w:abstractNumId w:val="9"/>
  </w:num>
  <w:num w:numId="6">
    <w:abstractNumId w:val="37"/>
  </w:num>
  <w:num w:numId="7">
    <w:abstractNumId w:val="25"/>
  </w:num>
  <w:num w:numId="8">
    <w:abstractNumId w:val="32"/>
  </w:num>
  <w:num w:numId="9">
    <w:abstractNumId w:val="12"/>
  </w:num>
  <w:num w:numId="10">
    <w:abstractNumId w:val="23"/>
  </w:num>
  <w:num w:numId="11">
    <w:abstractNumId w:val="29"/>
  </w:num>
  <w:num w:numId="12">
    <w:abstractNumId w:val="26"/>
  </w:num>
  <w:num w:numId="13">
    <w:abstractNumId w:val="15"/>
  </w:num>
  <w:num w:numId="14">
    <w:abstractNumId w:val="20"/>
  </w:num>
  <w:num w:numId="15">
    <w:abstractNumId w:val="22"/>
  </w:num>
  <w:num w:numId="16">
    <w:abstractNumId w:val="21"/>
  </w:num>
  <w:num w:numId="17">
    <w:abstractNumId w:val="3"/>
  </w:num>
  <w:num w:numId="18">
    <w:abstractNumId w:val="27"/>
  </w:num>
  <w:num w:numId="19">
    <w:abstractNumId w:val="5"/>
  </w:num>
  <w:num w:numId="20">
    <w:abstractNumId w:val="30"/>
  </w:num>
  <w:num w:numId="21">
    <w:abstractNumId w:val="19"/>
  </w:num>
  <w:num w:numId="22">
    <w:abstractNumId w:val="38"/>
  </w:num>
  <w:num w:numId="23">
    <w:abstractNumId w:val="24"/>
  </w:num>
  <w:num w:numId="24">
    <w:abstractNumId w:val="4"/>
  </w:num>
  <w:num w:numId="25">
    <w:abstractNumId w:val="35"/>
  </w:num>
  <w:num w:numId="26">
    <w:abstractNumId w:val="8"/>
  </w:num>
  <w:num w:numId="27">
    <w:abstractNumId w:val="28"/>
  </w:num>
  <w:num w:numId="28">
    <w:abstractNumId w:val="39"/>
  </w:num>
  <w:num w:numId="29">
    <w:abstractNumId w:val="0"/>
  </w:num>
  <w:num w:numId="30">
    <w:abstractNumId w:val="13"/>
  </w:num>
  <w:num w:numId="31">
    <w:abstractNumId w:val="33"/>
  </w:num>
  <w:num w:numId="32">
    <w:abstractNumId w:val="2"/>
  </w:num>
  <w:num w:numId="33">
    <w:abstractNumId w:val="16"/>
  </w:num>
  <w:num w:numId="34">
    <w:abstractNumId w:val="31"/>
  </w:num>
  <w:num w:numId="35">
    <w:abstractNumId w:val="6"/>
  </w:num>
  <w:num w:numId="36">
    <w:abstractNumId w:val="34"/>
  </w:num>
  <w:num w:numId="37">
    <w:abstractNumId w:val="7"/>
  </w:num>
  <w:num w:numId="38">
    <w:abstractNumId w:val="17"/>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55"/>
    <w:rsid w:val="000124F4"/>
    <w:rsid w:val="00020314"/>
    <w:rsid w:val="000241FD"/>
    <w:rsid w:val="0003071F"/>
    <w:rsid w:val="000333B4"/>
    <w:rsid w:val="0003489D"/>
    <w:rsid w:val="0003540B"/>
    <w:rsid w:val="00040779"/>
    <w:rsid w:val="00041F11"/>
    <w:rsid w:val="0004235B"/>
    <w:rsid w:val="000467F2"/>
    <w:rsid w:val="00051576"/>
    <w:rsid w:val="0005187D"/>
    <w:rsid w:val="00053F07"/>
    <w:rsid w:val="00056710"/>
    <w:rsid w:val="00056FFC"/>
    <w:rsid w:val="000604D2"/>
    <w:rsid w:val="0006190E"/>
    <w:rsid w:val="0006656F"/>
    <w:rsid w:val="00066A11"/>
    <w:rsid w:val="00066ADB"/>
    <w:rsid w:val="00071B70"/>
    <w:rsid w:val="00074C68"/>
    <w:rsid w:val="00080014"/>
    <w:rsid w:val="000868EC"/>
    <w:rsid w:val="00087A44"/>
    <w:rsid w:val="00090BA0"/>
    <w:rsid w:val="00094B04"/>
    <w:rsid w:val="000A056C"/>
    <w:rsid w:val="000A41FA"/>
    <w:rsid w:val="000B00E1"/>
    <w:rsid w:val="000B1F38"/>
    <w:rsid w:val="000B3C75"/>
    <w:rsid w:val="000B40E7"/>
    <w:rsid w:val="000C0FF6"/>
    <w:rsid w:val="000C3155"/>
    <w:rsid w:val="000C4CCB"/>
    <w:rsid w:val="000D2C0E"/>
    <w:rsid w:val="000D39E2"/>
    <w:rsid w:val="000D6317"/>
    <w:rsid w:val="000D6EB2"/>
    <w:rsid w:val="000E001D"/>
    <w:rsid w:val="000E0F11"/>
    <w:rsid w:val="000E3360"/>
    <w:rsid w:val="000E6A80"/>
    <w:rsid w:val="000F189F"/>
    <w:rsid w:val="000F5479"/>
    <w:rsid w:val="000F70AE"/>
    <w:rsid w:val="000F740E"/>
    <w:rsid w:val="00100511"/>
    <w:rsid w:val="001016FA"/>
    <w:rsid w:val="00101CD6"/>
    <w:rsid w:val="00101F94"/>
    <w:rsid w:val="001034DA"/>
    <w:rsid w:val="001046F0"/>
    <w:rsid w:val="001115CE"/>
    <w:rsid w:val="00115357"/>
    <w:rsid w:val="001215B1"/>
    <w:rsid w:val="0012223F"/>
    <w:rsid w:val="001226B1"/>
    <w:rsid w:val="001301CC"/>
    <w:rsid w:val="0013093A"/>
    <w:rsid w:val="00134EBE"/>
    <w:rsid w:val="001401A0"/>
    <w:rsid w:val="00141F56"/>
    <w:rsid w:val="00146584"/>
    <w:rsid w:val="001477D2"/>
    <w:rsid w:val="0015207C"/>
    <w:rsid w:val="00152C50"/>
    <w:rsid w:val="00153B89"/>
    <w:rsid w:val="0015422E"/>
    <w:rsid w:val="001546C1"/>
    <w:rsid w:val="00155C38"/>
    <w:rsid w:val="00163E5E"/>
    <w:rsid w:val="00164836"/>
    <w:rsid w:val="001659C9"/>
    <w:rsid w:val="001666B3"/>
    <w:rsid w:val="00167EB5"/>
    <w:rsid w:val="001714EF"/>
    <w:rsid w:val="00171C47"/>
    <w:rsid w:val="001725E0"/>
    <w:rsid w:val="00182B0F"/>
    <w:rsid w:val="00183BB0"/>
    <w:rsid w:val="00185EDC"/>
    <w:rsid w:val="001875BE"/>
    <w:rsid w:val="00194A8B"/>
    <w:rsid w:val="001A3CB2"/>
    <w:rsid w:val="001A4859"/>
    <w:rsid w:val="001A5974"/>
    <w:rsid w:val="001A74DA"/>
    <w:rsid w:val="001C0BE5"/>
    <w:rsid w:val="001C376E"/>
    <w:rsid w:val="001D1CC4"/>
    <w:rsid w:val="001D3A54"/>
    <w:rsid w:val="001D76DB"/>
    <w:rsid w:val="001E149C"/>
    <w:rsid w:val="001E554B"/>
    <w:rsid w:val="001E7512"/>
    <w:rsid w:val="001F0F2D"/>
    <w:rsid w:val="001F5DDB"/>
    <w:rsid w:val="001F6119"/>
    <w:rsid w:val="001F6DDC"/>
    <w:rsid w:val="002105EE"/>
    <w:rsid w:val="00211D3F"/>
    <w:rsid w:val="00211E4F"/>
    <w:rsid w:val="00215415"/>
    <w:rsid w:val="00220AEC"/>
    <w:rsid w:val="00220DB0"/>
    <w:rsid w:val="00225BEB"/>
    <w:rsid w:val="002347F3"/>
    <w:rsid w:val="002354EF"/>
    <w:rsid w:val="002355DA"/>
    <w:rsid w:val="00235EE6"/>
    <w:rsid w:val="0023794D"/>
    <w:rsid w:val="00237BEA"/>
    <w:rsid w:val="002407BD"/>
    <w:rsid w:val="00240961"/>
    <w:rsid w:val="00244792"/>
    <w:rsid w:val="00246407"/>
    <w:rsid w:val="002477BB"/>
    <w:rsid w:val="002542BA"/>
    <w:rsid w:val="002548B8"/>
    <w:rsid w:val="00266106"/>
    <w:rsid w:val="00277ED3"/>
    <w:rsid w:val="0028063F"/>
    <w:rsid w:val="00282242"/>
    <w:rsid w:val="00282CAB"/>
    <w:rsid w:val="002926E3"/>
    <w:rsid w:val="00292860"/>
    <w:rsid w:val="00293EF7"/>
    <w:rsid w:val="002A0F67"/>
    <w:rsid w:val="002A53C8"/>
    <w:rsid w:val="002A76E8"/>
    <w:rsid w:val="002B0D81"/>
    <w:rsid w:val="002B2CBC"/>
    <w:rsid w:val="002B3A35"/>
    <w:rsid w:val="002B3BAE"/>
    <w:rsid w:val="002B4709"/>
    <w:rsid w:val="002B53BD"/>
    <w:rsid w:val="002B70D7"/>
    <w:rsid w:val="002C1A16"/>
    <w:rsid w:val="002C220C"/>
    <w:rsid w:val="002C58ED"/>
    <w:rsid w:val="002C64C7"/>
    <w:rsid w:val="002C7F0B"/>
    <w:rsid w:val="002E0D6F"/>
    <w:rsid w:val="002E13F2"/>
    <w:rsid w:val="002E6069"/>
    <w:rsid w:val="002E6CF5"/>
    <w:rsid w:val="002F23FE"/>
    <w:rsid w:val="002F592A"/>
    <w:rsid w:val="002F6D14"/>
    <w:rsid w:val="003006C6"/>
    <w:rsid w:val="00302095"/>
    <w:rsid w:val="00307BD9"/>
    <w:rsid w:val="0031087A"/>
    <w:rsid w:val="003124A6"/>
    <w:rsid w:val="00312D71"/>
    <w:rsid w:val="00314C3B"/>
    <w:rsid w:val="0032058D"/>
    <w:rsid w:val="00322567"/>
    <w:rsid w:val="0032324D"/>
    <w:rsid w:val="00323782"/>
    <w:rsid w:val="0032469E"/>
    <w:rsid w:val="0032476A"/>
    <w:rsid w:val="003446B0"/>
    <w:rsid w:val="00350CC2"/>
    <w:rsid w:val="00351103"/>
    <w:rsid w:val="003547EC"/>
    <w:rsid w:val="00355337"/>
    <w:rsid w:val="00355783"/>
    <w:rsid w:val="003558F8"/>
    <w:rsid w:val="00357827"/>
    <w:rsid w:val="00357982"/>
    <w:rsid w:val="00362339"/>
    <w:rsid w:val="00363FE6"/>
    <w:rsid w:val="00364A43"/>
    <w:rsid w:val="00366334"/>
    <w:rsid w:val="00366C7B"/>
    <w:rsid w:val="003714E8"/>
    <w:rsid w:val="003720C2"/>
    <w:rsid w:val="00372A98"/>
    <w:rsid w:val="00373EF6"/>
    <w:rsid w:val="00377C67"/>
    <w:rsid w:val="00381226"/>
    <w:rsid w:val="00383442"/>
    <w:rsid w:val="00385418"/>
    <w:rsid w:val="00385C95"/>
    <w:rsid w:val="00386A43"/>
    <w:rsid w:val="0039156E"/>
    <w:rsid w:val="00396B53"/>
    <w:rsid w:val="003A5391"/>
    <w:rsid w:val="003A690B"/>
    <w:rsid w:val="003A7D82"/>
    <w:rsid w:val="003B7264"/>
    <w:rsid w:val="003C0224"/>
    <w:rsid w:val="003C0ADB"/>
    <w:rsid w:val="003C285F"/>
    <w:rsid w:val="003C7522"/>
    <w:rsid w:val="003E278A"/>
    <w:rsid w:val="003E27E0"/>
    <w:rsid w:val="003E381D"/>
    <w:rsid w:val="003E7949"/>
    <w:rsid w:val="003F2BF9"/>
    <w:rsid w:val="00401CA1"/>
    <w:rsid w:val="00406ECB"/>
    <w:rsid w:val="004105F1"/>
    <w:rsid w:val="004129DF"/>
    <w:rsid w:val="004179CA"/>
    <w:rsid w:val="00417C08"/>
    <w:rsid w:val="00423B8F"/>
    <w:rsid w:val="00430C99"/>
    <w:rsid w:val="004337E5"/>
    <w:rsid w:val="00436AB7"/>
    <w:rsid w:val="00442E7E"/>
    <w:rsid w:val="00443740"/>
    <w:rsid w:val="00444E58"/>
    <w:rsid w:val="004451E8"/>
    <w:rsid w:val="00447871"/>
    <w:rsid w:val="00447C11"/>
    <w:rsid w:val="004524E7"/>
    <w:rsid w:val="004534AE"/>
    <w:rsid w:val="00456B77"/>
    <w:rsid w:val="00456EFC"/>
    <w:rsid w:val="00457A08"/>
    <w:rsid w:val="004611B5"/>
    <w:rsid w:val="004613F7"/>
    <w:rsid w:val="0046173E"/>
    <w:rsid w:val="00463C47"/>
    <w:rsid w:val="00470B84"/>
    <w:rsid w:val="00476662"/>
    <w:rsid w:val="00477092"/>
    <w:rsid w:val="004772A0"/>
    <w:rsid w:val="00477395"/>
    <w:rsid w:val="00485DE0"/>
    <w:rsid w:val="00486533"/>
    <w:rsid w:val="00490E56"/>
    <w:rsid w:val="00495591"/>
    <w:rsid w:val="00495987"/>
    <w:rsid w:val="004A4A5B"/>
    <w:rsid w:val="004A5CE6"/>
    <w:rsid w:val="004B04DC"/>
    <w:rsid w:val="004B18D6"/>
    <w:rsid w:val="004B2F64"/>
    <w:rsid w:val="004B3B16"/>
    <w:rsid w:val="004B427D"/>
    <w:rsid w:val="004B7A9B"/>
    <w:rsid w:val="004C236A"/>
    <w:rsid w:val="004C28CC"/>
    <w:rsid w:val="004C32DE"/>
    <w:rsid w:val="004C33B1"/>
    <w:rsid w:val="004C3611"/>
    <w:rsid w:val="004C4A22"/>
    <w:rsid w:val="004D040A"/>
    <w:rsid w:val="004D06A5"/>
    <w:rsid w:val="004D07C0"/>
    <w:rsid w:val="004D1E65"/>
    <w:rsid w:val="004D292B"/>
    <w:rsid w:val="004D3E7E"/>
    <w:rsid w:val="004D4A0A"/>
    <w:rsid w:val="004D501D"/>
    <w:rsid w:val="004D5280"/>
    <w:rsid w:val="004D56C9"/>
    <w:rsid w:val="004D65A0"/>
    <w:rsid w:val="004D702B"/>
    <w:rsid w:val="004E0AEA"/>
    <w:rsid w:val="004E27D3"/>
    <w:rsid w:val="004E3304"/>
    <w:rsid w:val="004F071A"/>
    <w:rsid w:val="004F0E21"/>
    <w:rsid w:val="004F12F6"/>
    <w:rsid w:val="00502DD5"/>
    <w:rsid w:val="00503FEC"/>
    <w:rsid w:val="00504B2C"/>
    <w:rsid w:val="00505AF5"/>
    <w:rsid w:val="00507A35"/>
    <w:rsid w:val="005103AB"/>
    <w:rsid w:val="005140E1"/>
    <w:rsid w:val="00521578"/>
    <w:rsid w:val="00523BB0"/>
    <w:rsid w:val="00525171"/>
    <w:rsid w:val="005270CF"/>
    <w:rsid w:val="00527C00"/>
    <w:rsid w:val="00532236"/>
    <w:rsid w:val="005343C9"/>
    <w:rsid w:val="0054161C"/>
    <w:rsid w:val="00542021"/>
    <w:rsid w:val="00543AA4"/>
    <w:rsid w:val="00544D30"/>
    <w:rsid w:val="00554B49"/>
    <w:rsid w:val="00556B5A"/>
    <w:rsid w:val="00560460"/>
    <w:rsid w:val="00560A32"/>
    <w:rsid w:val="005616FE"/>
    <w:rsid w:val="0056208F"/>
    <w:rsid w:val="0056307D"/>
    <w:rsid w:val="00564355"/>
    <w:rsid w:val="0056634E"/>
    <w:rsid w:val="0057018F"/>
    <w:rsid w:val="00570E0B"/>
    <w:rsid w:val="00573CB2"/>
    <w:rsid w:val="00574210"/>
    <w:rsid w:val="005743C8"/>
    <w:rsid w:val="00575AAD"/>
    <w:rsid w:val="00576B8B"/>
    <w:rsid w:val="005777BF"/>
    <w:rsid w:val="005806B0"/>
    <w:rsid w:val="005813B7"/>
    <w:rsid w:val="00581CBD"/>
    <w:rsid w:val="00585B5B"/>
    <w:rsid w:val="00591423"/>
    <w:rsid w:val="005914EE"/>
    <w:rsid w:val="00593377"/>
    <w:rsid w:val="00595717"/>
    <w:rsid w:val="0059770C"/>
    <w:rsid w:val="005A27ED"/>
    <w:rsid w:val="005A6877"/>
    <w:rsid w:val="005B0987"/>
    <w:rsid w:val="005B7A49"/>
    <w:rsid w:val="005C27C8"/>
    <w:rsid w:val="005D027C"/>
    <w:rsid w:val="005D20CE"/>
    <w:rsid w:val="005D26E6"/>
    <w:rsid w:val="005D278B"/>
    <w:rsid w:val="005E19C7"/>
    <w:rsid w:val="005E1D3F"/>
    <w:rsid w:val="005E2DD2"/>
    <w:rsid w:val="005E357C"/>
    <w:rsid w:val="005E3B86"/>
    <w:rsid w:val="005E6A9C"/>
    <w:rsid w:val="005F6DA0"/>
    <w:rsid w:val="0060041F"/>
    <w:rsid w:val="00601D93"/>
    <w:rsid w:val="00604473"/>
    <w:rsid w:val="00605C15"/>
    <w:rsid w:val="00605F32"/>
    <w:rsid w:val="00611232"/>
    <w:rsid w:val="00611328"/>
    <w:rsid w:val="00612E14"/>
    <w:rsid w:val="00613AF3"/>
    <w:rsid w:val="00613BCA"/>
    <w:rsid w:val="00613D86"/>
    <w:rsid w:val="00614CF4"/>
    <w:rsid w:val="0061775D"/>
    <w:rsid w:val="00625867"/>
    <w:rsid w:val="0062692F"/>
    <w:rsid w:val="00627A54"/>
    <w:rsid w:val="00627A65"/>
    <w:rsid w:val="0063214D"/>
    <w:rsid w:val="00635ACA"/>
    <w:rsid w:val="0064024C"/>
    <w:rsid w:val="00641F5B"/>
    <w:rsid w:val="006423A9"/>
    <w:rsid w:val="006447DF"/>
    <w:rsid w:val="00644DAC"/>
    <w:rsid w:val="00654F91"/>
    <w:rsid w:val="006573E4"/>
    <w:rsid w:val="006578AF"/>
    <w:rsid w:val="006601FB"/>
    <w:rsid w:val="0066349A"/>
    <w:rsid w:val="006648F6"/>
    <w:rsid w:val="00665022"/>
    <w:rsid w:val="006672BA"/>
    <w:rsid w:val="0066793B"/>
    <w:rsid w:val="00667F9B"/>
    <w:rsid w:val="0067059D"/>
    <w:rsid w:val="00672F47"/>
    <w:rsid w:val="00674327"/>
    <w:rsid w:val="0067550B"/>
    <w:rsid w:val="00676E88"/>
    <w:rsid w:val="00680088"/>
    <w:rsid w:val="00684B08"/>
    <w:rsid w:val="00690C74"/>
    <w:rsid w:val="006938F0"/>
    <w:rsid w:val="006969E4"/>
    <w:rsid w:val="00697AA3"/>
    <w:rsid w:val="006A1E1A"/>
    <w:rsid w:val="006A2644"/>
    <w:rsid w:val="006A2C36"/>
    <w:rsid w:val="006A484E"/>
    <w:rsid w:val="006A5C16"/>
    <w:rsid w:val="006B13EC"/>
    <w:rsid w:val="006B793B"/>
    <w:rsid w:val="006C0241"/>
    <w:rsid w:val="006C3D24"/>
    <w:rsid w:val="006C7352"/>
    <w:rsid w:val="006D098F"/>
    <w:rsid w:val="006D122A"/>
    <w:rsid w:val="006D1BE7"/>
    <w:rsid w:val="006F12F1"/>
    <w:rsid w:val="006F22DD"/>
    <w:rsid w:val="006F76F8"/>
    <w:rsid w:val="006F7835"/>
    <w:rsid w:val="00703BCD"/>
    <w:rsid w:val="00705305"/>
    <w:rsid w:val="00710B7C"/>
    <w:rsid w:val="00712EFF"/>
    <w:rsid w:val="0071369A"/>
    <w:rsid w:val="00717688"/>
    <w:rsid w:val="00722071"/>
    <w:rsid w:val="00723F9B"/>
    <w:rsid w:val="007322B6"/>
    <w:rsid w:val="0073456E"/>
    <w:rsid w:val="00735F85"/>
    <w:rsid w:val="0073653A"/>
    <w:rsid w:val="00745060"/>
    <w:rsid w:val="007521FB"/>
    <w:rsid w:val="00753294"/>
    <w:rsid w:val="007534DC"/>
    <w:rsid w:val="00754D06"/>
    <w:rsid w:val="00755785"/>
    <w:rsid w:val="007627CE"/>
    <w:rsid w:val="007650EF"/>
    <w:rsid w:val="00765575"/>
    <w:rsid w:val="0076580F"/>
    <w:rsid w:val="007659D2"/>
    <w:rsid w:val="00767023"/>
    <w:rsid w:val="007717C8"/>
    <w:rsid w:val="00780952"/>
    <w:rsid w:val="00785756"/>
    <w:rsid w:val="00791F83"/>
    <w:rsid w:val="00795461"/>
    <w:rsid w:val="0079775B"/>
    <w:rsid w:val="007A0FA8"/>
    <w:rsid w:val="007A4044"/>
    <w:rsid w:val="007A52EE"/>
    <w:rsid w:val="007A5BCC"/>
    <w:rsid w:val="007A5C53"/>
    <w:rsid w:val="007A78FB"/>
    <w:rsid w:val="007B57B5"/>
    <w:rsid w:val="007B6630"/>
    <w:rsid w:val="007C556A"/>
    <w:rsid w:val="007D1941"/>
    <w:rsid w:val="007D3696"/>
    <w:rsid w:val="007D37A0"/>
    <w:rsid w:val="007D498C"/>
    <w:rsid w:val="007D65DE"/>
    <w:rsid w:val="007E76EE"/>
    <w:rsid w:val="007F0527"/>
    <w:rsid w:val="007F11D9"/>
    <w:rsid w:val="007F18C5"/>
    <w:rsid w:val="007F471A"/>
    <w:rsid w:val="007F527C"/>
    <w:rsid w:val="007F6F7A"/>
    <w:rsid w:val="00801F90"/>
    <w:rsid w:val="00805894"/>
    <w:rsid w:val="0081112E"/>
    <w:rsid w:val="00814344"/>
    <w:rsid w:val="008218DE"/>
    <w:rsid w:val="008222E9"/>
    <w:rsid w:val="00822E76"/>
    <w:rsid w:val="00823C00"/>
    <w:rsid w:val="008269D9"/>
    <w:rsid w:val="00827384"/>
    <w:rsid w:val="008316D9"/>
    <w:rsid w:val="008404A4"/>
    <w:rsid w:val="008416E0"/>
    <w:rsid w:val="008426EE"/>
    <w:rsid w:val="00845342"/>
    <w:rsid w:val="008466E3"/>
    <w:rsid w:val="0085193C"/>
    <w:rsid w:val="008546F0"/>
    <w:rsid w:val="00856D97"/>
    <w:rsid w:val="00860F47"/>
    <w:rsid w:val="0086365A"/>
    <w:rsid w:val="008647B5"/>
    <w:rsid w:val="008711BE"/>
    <w:rsid w:val="008724A0"/>
    <w:rsid w:val="00875159"/>
    <w:rsid w:val="00875550"/>
    <w:rsid w:val="00875F8B"/>
    <w:rsid w:val="00880566"/>
    <w:rsid w:val="00881C66"/>
    <w:rsid w:val="008835D0"/>
    <w:rsid w:val="00892697"/>
    <w:rsid w:val="008951EC"/>
    <w:rsid w:val="008953FB"/>
    <w:rsid w:val="00895B84"/>
    <w:rsid w:val="008966EA"/>
    <w:rsid w:val="00897549"/>
    <w:rsid w:val="008979AB"/>
    <w:rsid w:val="008A24FE"/>
    <w:rsid w:val="008B1563"/>
    <w:rsid w:val="008B158C"/>
    <w:rsid w:val="008B6BD3"/>
    <w:rsid w:val="008B6C47"/>
    <w:rsid w:val="008B758E"/>
    <w:rsid w:val="008B77D6"/>
    <w:rsid w:val="008C0E11"/>
    <w:rsid w:val="008C2F1E"/>
    <w:rsid w:val="008C42BC"/>
    <w:rsid w:val="008C4AED"/>
    <w:rsid w:val="008C4FE1"/>
    <w:rsid w:val="008C57E7"/>
    <w:rsid w:val="008D2F35"/>
    <w:rsid w:val="008E1538"/>
    <w:rsid w:val="008E25B5"/>
    <w:rsid w:val="008E2A88"/>
    <w:rsid w:val="008E3FEF"/>
    <w:rsid w:val="008E4A7A"/>
    <w:rsid w:val="008F14C0"/>
    <w:rsid w:val="008F59DD"/>
    <w:rsid w:val="008F7B54"/>
    <w:rsid w:val="0090103C"/>
    <w:rsid w:val="00901A46"/>
    <w:rsid w:val="009034F6"/>
    <w:rsid w:val="009067CB"/>
    <w:rsid w:val="009149F4"/>
    <w:rsid w:val="00916DF0"/>
    <w:rsid w:val="00920C24"/>
    <w:rsid w:val="0092123A"/>
    <w:rsid w:val="00921855"/>
    <w:rsid w:val="00923E47"/>
    <w:rsid w:val="0092480F"/>
    <w:rsid w:val="00925A12"/>
    <w:rsid w:val="0092722E"/>
    <w:rsid w:val="0092735A"/>
    <w:rsid w:val="00935D78"/>
    <w:rsid w:val="00936181"/>
    <w:rsid w:val="00940D18"/>
    <w:rsid w:val="0094119D"/>
    <w:rsid w:val="0094486B"/>
    <w:rsid w:val="00944FA7"/>
    <w:rsid w:val="00945E9A"/>
    <w:rsid w:val="00950AB7"/>
    <w:rsid w:val="00962320"/>
    <w:rsid w:val="00962F9D"/>
    <w:rsid w:val="00964303"/>
    <w:rsid w:val="00973180"/>
    <w:rsid w:val="00973F29"/>
    <w:rsid w:val="0097528A"/>
    <w:rsid w:val="009768C4"/>
    <w:rsid w:val="00976B68"/>
    <w:rsid w:val="00976B8C"/>
    <w:rsid w:val="009771D5"/>
    <w:rsid w:val="009779C3"/>
    <w:rsid w:val="0098074E"/>
    <w:rsid w:val="009808E7"/>
    <w:rsid w:val="0098172B"/>
    <w:rsid w:val="00981D09"/>
    <w:rsid w:val="0098283F"/>
    <w:rsid w:val="009837F1"/>
    <w:rsid w:val="00985D1E"/>
    <w:rsid w:val="0098750D"/>
    <w:rsid w:val="00990D38"/>
    <w:rsid w:val="00991BE7"/>
    <w:rsid w:val="00993EB9"/>
    <w:rsid w:val="009947FE"/>
    <w:rsid w:val="00994FAD"/>
    <w:rsid w:val="00996766"/>
    <w:rsid w:val="009A1535"/>
    <w:rsid w:val="009A28FE"/>
    <w:rsid w:val="009A2F72"/>
    <w:rsid w:val="009A32D1"/>
    <w:rsid w:val="009A50D6"/>
    <w:rsid w:val="009B1A95"/>
    <w:rsid w:val="009B79F7"/>
    <w:rsid w:val="009C0AFD"/>
    <w:rsid w:val="009C2E0F"/>
    <w:rsid w:val="009C64BB"/>
    <w:rsid w:val="009C6CE2"/>
    <w:rsid w:val="009D257D"/>
    <w:rsid w:val="009D2E62"/>
    <w:rsid w:val="009D39CB"/>
    <w:rsid w:val="009D48A1"/>
    <w:rsid w:val="009D5E22"/>
    <w:rsid w:val="009D738A"/>
    <w:rsid w:val="009E170B"/>
    <w:rsid w:val="009E3886"/>
    <w:rsid w:val="009F086D"/>
    <w:rsid w:val="009F09BE"/>
    <w:rsid w:val="009F44B2"/>
    <w:rsid w:val="009F652C"/>
    <w:rsid w:val="00A00EE8"/>
    <w:rsid w:val="00A01863"/>
    <w:rsid w:val="00A02FB6"/>
    <w:rsid w:val="00A069D6"/>
    <w:rsid w:val="00A07102"/>
    <w:rsid w:val="00A07A28"/>
    <w:rsid w:val="00A24011"/>
    <w:rsid w:val="00A24C90"/>
    <w:rsid w:val="00A25E18"/>
    <w:rsid w:val="00A3224B"/>
    <w:rsid w:val="00A40D9F"/>
    <w:rsid w:val="00A4173F"/>
    <w:rsid w:val="00A41949"/>
    <w:rsid w:val="00A434DA"/>
    <w:rsid w:val="00A435BF"/>
    <w:rsid w:val="00A4425D"/>
    <w:rsid w:val="00A45687"/>
    <w:rsid w:val="00A4629C"/>
    <w:rsid w:val="00A51FDA"/>
    <w:rsid w:val="00A54E5C"/>
    <w:rsid w:val="00A55AF0"/>
    <w:rsid w:val="00A561BF"/>
    <w:rsid w:val="00A572C1"/>
    <w:rsid w:val="00A61FD8"/>
    <w:rsid w:val="00A65288"/>
    <w:rsid w:val="00A65E71"/>
    <w:rsid w:val="00A82D96"/>
    <w:rsid w:val="00A82E70"/>
    <w:rsid w:val="00A83F67"/>
    <w:rsid w:val="00A851B0"/>
    <w:rsid w:val="00A863B2"/>
    <w:rsid w:val="00A87963"/>
    <w:rsid w:val="00A9402E"/>
    <w:rsid w:val="00AA062F"/>
    <w:rsid w:val="00AA0A1E"/>
    <w:rsid w:val="00AA4917"/>
    <w:rsid w:val="00AB1AE9"/>
    <w:rsid w:val="00AB4BF3"/>
    <w:rsid w:val="00AC1498"/>
    <w:rsid w:val="00AC185D"/>
    <w:rsid w:val="00AC199B"/>
    <w:rsid w:val="00AC31EC"/>
    <w:rsid w:val="00AC4562"/>
    <w:rsid w:val="00AC743E"/>
    <w:rsid w:val="00AC7B0E"/>
    <w:rsid w:val="00AC7BB5"/>
    <w:rsid w:val="00AE18D8"/>
    <w:rsid w:val="00AE5158"/>
    <w:rsid w:val="00AE6051"/>
    <w:rsid w:val="00AE6A9E"/>
    <w:rsid w:val="00AF18CA"/>
    <w:rsid w:val="00AF2B9B"/>
    <w:rsid w:val="00AF490E"/>
    <w:rsid w:val="00B014BD"/>
    <w:rsid w:val="00B01982"/>
    <w:rsid w:val="00B05551"/>
    <w:rsid w:val="00B061C8"/>
    <w:rsid w:val="00B119AD"/>
    <w:rsid w:val="00B16179"/>
    <w:rsid w:val="00B25AFD"/>
    <w:rsid w:val="00B267E5"/>
    <w:rsid w:val="00B31871"/>
    <w:rsid w:val="00B339BB"/>
    <w:rsid w:val="00B36072"/>
    <w:rsid w:val="00B36494"/>
    <w:rsid w:val="00B41006"/>
    <w:rsid w:val="00B425FE"/>
    <w:rsid w:val="00B43B0D"/>
    <w:rsid w:val="00B4417E"/>
    <w:rsid w:val="00B453DA"/>
    <w:rsid w:val="00B46CB5"/>
    <w:rsid w:val="00B522C0"/>
    <w:rsid w:val="00B54CD4"/>
    <w:rsid w:val="00B5628F"/>
    <w:rsid w:val="00B61CD9"/>
    <w:rsid w:val="00B63328"/>
    <w:rsid w:val="00B63B3B"/>
    <w:rsid w:val="00B70575"/>
    <w:rsid w:val="00B70F4A"/>
    <w:rsid w:val="00B71F99"/>
    <w:rsid w:val="00B74F87"/>
    <w:rsid w:val="00B758EF"/>
    <w:rsid w:val="00B75BBD"/>
    <w:rsid w:val="00B80B1F"/>
    <w:rsid w:val="00B820E4"/>
    <w:rsid w:val="00B827CB"/>
    <w:rsid w:val="00B879CD"/>
    <w:rsid w:val="00BA0188"/>
    <w:rsid w:val="00BA0F16"/>
    <w:rsid w:val="00BA2154"/>
    <w:rsid w:val="00BA25C9"/>
    <w:rsid w:val="00BA3503"/>
    <w:rsid w:val="00BA37E8"/>
    <w:rsid w:val="00BA4224"/>
    <w:rsid w:val="00BA763B"/>
    <w:rsid w:val="00BB2936"/>
    <w:rsid w:val="00BB48A3"/>
    <w:rsid w:val="00BB4BC9"/>
    <w:rsid w:val="00BB5EBF"/>
    <w:rsid w:val="00BC2071"/>
    <w:rsid w:val="00BC4DF0"/>
    <w:rsid w:val="00BC514D"/>
    <w:rsid w:val="00BC6122"/>
    <w:rsid w:val="00BC7444"/>
    <w:rsid w:val="00BD1873"/>
    <w:rsid w:val="00BD3B48"/>
    <w:rsid w:val="00BD6F39"/>
    <w:rsid w:val="00BD7D53"/>
    <w:rsid w:val="00BE0CA7"/>
    <w:rsid w:val="00BE3901"/>
    <w:rsid w:val="00BE3A9A"/>
    <w:rsid w:val="00BE3FDE"/>
    <w:rsid w:val="00BE4B63"/>
    <w:rsid w:val="00BE7A2F"/>
    <w:rsid w:val="00BF2180"/>
    <w:rsid w:val="00BF23E3"/>
    <w:rsid w:val="00BF2596"/>
    <w:rsid w:val="00BF5B3D"/>
    <w:rsid w:val="00C02F1A"/>
    <w:rsid w:val="00C061F0"/>
    <w:rsid w:val="00C06911"/>
    <w:rsid w:val="00C13337"/>
    <w:rsid w:val="00C13AAC"/>
    <w:rsid w:val="00C25750"/>
    <w:rsid w:val="00C377C2"/>
    <w:rsid w:val="00C44274"/>
    <w:rsid w:val="00C4611B"/>
    <w:rsid w:val="00C53934"/>
    <w:rsid w:val="00C6229A"/>
    <w:rsid w:val="00C66437"/>
    <w:rsid w:val="00C73FAA"/>
    <w:rsid w:val="00C77188"/>
    <w:rsid w:val="00C80929"/>
    <w:rsid w:val="00C8208F"/>
    <w:rsid w:val="00C92791"/>
    <w:rsid w:val="00C92FA4"/>
    <w:rsid w:val="00C94938"/>
    <w:rsid w:val="00CA1DD8"/>
    <w:rsid w:val="00CA53C4"/>
    <w:rsid w:val="00CB341F"/>
    <w:rsid w:val="00CB5851"/>
    <w:rsid w:val="00CC176F"/>
    <w:rsid w:val="00CC2261"/>
    <w:rsid w:val="00CC5276"/>
    <w:rsid w:val="00CD1941"/>
    <w:rsid w:val="00CD1BAC"/>
    <w:rsid w:val="00CE09A4"/>
    <w:rsid w:val="00CE4516"/>
    <w:rsid w:val="00CE6071"/>
    <w:rsid w:val="00CE6AEC"/>
    <w:rsid w:val="00CF0A7F"/>
    <w:rsid w:val="00CF1B36"/>
    <w:rsid w:val="00CF1C7D"/>
    <w:rsid w:val="00CF26BA"/>
    <w:rsid w:val="00CF3970"/>
    <w:rsid w:val="00CF423B"/>
    <w:rsid w:val="00D07352"/>
    <w:rsid w:val="00D12E3E"/>
    <w:rsid w:val="00D15F4F"/>
    <w:rsid w:val="00D169E4"/>
    <w:rsid w:val="00D174C6"/>
    <w:rsid w:val="00D207F9"/>
    <w:rsid w:val="00D23711"/>
    <w:rsid w:val="00D26555"/>
    <w:rsid w:val="00D34F96"/>
    <w:rsid w:val="00D43023"/>
    <w:rsid w:val="00D50513"/>
    <w:rsid w:val="00D528B0"/>
    <w:rsid w:val="00D53CD1"/>
    <w:rsid w:val="00D550C5"/>
    <w:rsid w:val="00D55100"/>
    <w:rsid w:val="00D5694A"/>
    <w:rsid w:val="00D60534"/>
    <w:rsid w:val="00D62107"/>
    <w:rsid w:val="00D65494"/>
    <w:rsid w:val="00D73C84"/>
    <w:rsid w:val="00D753ED"/>
    <w:rsid w:val="00D80BB0"/>
    <w:rsid w:val="00D81777"/>
    <w:rsid w:val="00D83009"/>
    <w:rsid w:val="00D83BBA"/>
    <w:rsid w:val="00D84BE8"/>
    <w:rsid w:val="00D91687"/>
    <w:rsid w:val="00D91B2E"/>
    <w:rsid w:val="00D930E5"/>
    <w:rsid w:val="00D94D34"/>
    <w:rsid w:val="00D95A00"/>
    <w:rsid w:val="00D96102"/>
    <w:rsid w:val="00DA0921"/>
    <w:rsid w:val="00DA5F3A"/>
    <w:rsid w:val="00DB2677"/>
    <w:rsid w:val="00DB2F9C"/>
    <w:rsid w:val="00DB57D2"/>
    <w:rsid w:val="00DB62EA"/>
    <w:rsid w:val="00DB66BC"/>
    <w:rsid w:val="00DC4CC6"/>
    <w:rsid w:val="00DC77B6"/>
    <w:rsid w:val="00DC7E98"/>
    <w:rsid w:val="00DD0D7E"/>
    <w:rsid w:val="00DD0DC0"/>
    <w:rsid w:val="00DD0F14"/>
    <w:rsid w:val="00DE11CD"/>
    <w:rsid w:val="00DE39CB"/>
    <w:rsid w:val="00DE3E55"/>
    <w:rsid w:val="00DE483F"/>
    <w:rsid w:val="00DF0A82"/>
    <w:rsid w:val="00DF0CD4"/>
    <w:rsid w:val="00DF2D89"/>
    <w:rsid w:val="00DF329B"/>
    <w:rsid w:val="00DF5817"/>
    <w:rsid w:val="00E01B3B"/>
    <w:rsid w:val="00E0300F"/>
    <w:rsid w:val="00E040BD"/>
    <w:rsid w:val="00E058E9"/>
    <w:rsid w:val="00E05EC6"/>
    <w:rsid w:val="00E1080E"/>
    <w:rsid w:val="00E136E0"/>
    <w:rsid w:val="00E144EF"/>
    <w:rsid w:val="00E1576D"/>
    <w:rsid w:val="00E15A3C"/>
    <w:rsid w:val="00E15EDD"/>
    <w:rsid w:val="00E1613C"/>
    <w:rsid w:val="00E16238"/>
    <w:rsid w:val="00E2003E"/>
    <w:rsid w:val="00E20240"/>
    <w:rsid w:val="00E2133C"/>
    <w:rsid w:val="00E259DF"/>
    <w:rsid w:val="00E33A22"/>
    <w:rsid w:val="00E34BA7"/>
    <w:rsid w:val="00E35385"/>
    <w:rsid w:val="00E36835"/>
    <w:rsid w:val="00E37F6F"/>
    <w:rsid w:val="00E44FAC"/>
    <w:rsid w:val="00E4544C"/>
    <w:rsid w:val="00E46360"/>
    <w:rsid w:val="00E4644C"/>
    <w:rsid w:val="00E46F0D"/>
    <w:rsid w:val="00E479AD"/>
    <w:rsid w:val="00E50DC4"/>
    <w:rsid w:val="00E520EA"/>
    <w:rsid w:val="00E714D4"/>
    <w:rsid w:val="00E73BBE"/>
    <w:rsid w:val="00E754DF"/>
    <w:rsid w:val="00E75CE1"/>
    <w:rsid w:val="00E814D4"/>
    <w:rsid w:val="00E836AB"/>
    <w:rsid w:val="00E85BBB"/>
    <w:rsid w:val="00E86CE6"/>
    <w:rsid w:val="00E91207"/>
    <w:rsid w:val="00E91FF0"/>
    <w:rsid w:val="00E92C8C"/>
    <w:rsid w:val="00E92CDE"/>
    <w:rsid w:val="00E959C9"/>
    <w:rsid w:val="00E967D1"/>
    <w:rsid w:val="00EA2B67"/>
    <w:rsid w:val="00EA3172"/>
    <w:rsid w:val="00EA34C7"/>
    <w:rsid w:val="00EA64C6"/>
    <w:rsid w:val="00EA7B89"/>
    <w:rsid w:val="00EB02B9"/>
    <w:rsid w:val="00EB1FC5"/>
    <w:rsid w:val="00EB32D4"/>
    <w:rsid w:val="00EB3B67"/>
    <w:rsid w:val="00EB4333"/>
    <w:rsid w:val="00EB7D96"/>
    <w:rsid w:val="00EC2348"/>
    <w:rsid w:val="00EC2746"/>
    <w:rsid w:val="00EC2DF8"/>
    <w:rsid w:val="00EC5187"/>
    <w:rsid w:val="00EC51BC"/>
    <w:rsid w:val="00EC5B59"/>
    <w:rsid w:val="00EC7CB8"/>
    <w:rsid w:val="00ED0F3C"/>
    <w:rsid w:val="00ED42B7"/>
    <w:rsid w:val="00ED5869"/>
    <w:rsid w:val="00ED7242"/>
    <w:rsid w:val="00EE259C"/>
    <w:rsid w:val="00EE432A"/>
    <w:rsid w:val="00EE4E6B"/>
    <w:rsid w:val="00EE5137"/>
    <w:rsid w:val="00F00807"/>
    <w:rsid w:val="00F04432"/>
    <w:rsid w:val="00F10CB5"/>
    <w:rsid w:val="00F10D5F"/>
    <w:rsid w:val="00F11C30"/>
    <w:rsid w:val="00F13F38"/>
    <w:rsid w:val="00F158C2"/>
    <w:rsid w:val="00F15AB6"/>
    <w:rsid w:val="00F1739C"/>
    <w:rsid w:val="00F17A17"/>
    <w:rsid w:val="00F218C7"/>
    <w:rsid w:val="00F25E92"/>
    <w:rsid w:val="00F26FFD"/>
    <w:rsid w:val="00F31F49"/>
    <w:rsid w:val="00F41585"/>
    <w:rsid w:val="00F453A8"/>
    <w:rsid w:val="00F474FA"/>
    <w:rsid w:val="00F47826"/>
    <w:rsid w:val="00F57298"/>
    <w:rsid w:val="00F617ED"/>
    <w:rsid w:val="00F62966"/>
    <w:rsid w:val="00F62EA4"/>
    <w:rsid w:val="00F65513"/>
    <w:rsid w:val="00F65563"/>
    <w:rsid w:val="00F70B13"/>
    <w:rsid w:val="00F7267B"/>
    <w:rsid w:val="00F73A6F"/>
    <w:rsid w:val="00F81871"/>
    <w:rsid w:val="00F8243D"/>
    <w:rsid w:val="00F83C59"/>
    <w:rsid w:val="00F86802"/>
    <w:rsid w:val="00F9373C"/>
    <w:rsid w:val="00F94D1F"/>
    <w:rsid w:val="00F957B5"/>
    <w:rsid w:val="00F96915"/>
    <w:rsid w:val="00FA23CE"/>
    <w:rsid w:val="00FA2F92"/>
    <w:rsid w:val="00FA753D"/>
    <w:rsid w:val="00FB435B"/>
    <w:rsid w:val="00FB489B"/>
    <w:rsid w:val="00FB6EFC"/>
    <w:rsid w:val="00FB7CB7"/>
    <w:rsid w:val="00FC3A49"/>
    <w:rsid w:val="00FC3B79"/>
    <w:rsid w:val="00FC44AB"/>
    <w:rsid w:val="00FD6509"/>
    <w:rsid w:val="00FE0703"/>
    <w:rsid w:val="00FE1CD8"/>
    <w:rsid w:val="00FE273C"/>
    <w:rsid w:val="00FE2E7F"/>
    <w:rsid w:val="00FE343F"/>
    <w:rsid w:val="00FE45B6"/>
    <w:rsid w:val="00FE5B5E"/>
    <w:rsid w:val="00FE5FC3"/>
    <w:rsid w:val="00FF1105"/>
    <w:rsid w:val="00FF226D"/>
    <w:rsid w:val="00FF2528"/>
    <w:rsid w:val="00FF3DF0"/>
    <w:rsid w:val="00FF3E39"/>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361B5084"/>
  <w15:chartTrackingRefBased/>
  <w15:docId w15:val="{212FF73D-617D-4BD3-A2D0-D562431B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paragraph" w:styleId="Heading1">
    <w:name w:val="heading 1"/>
    <w:basedOn w:val="Normal"/>
    <w:next w:val="Normal"/>
    <w:link w:val="Heading1Char"/>
    <w:uiPriority w:val="9"/>
    <w:qFormat/>
    <w:rsid w:val="00040779"/>
    <w:pPr>
      <w:keepNext/>
      <w:keepLines/>
      <w:spacing w:before="240"/>
      <w:outlineLvl w:val="0"/>
    </w:pPr>
    <w:rPr>
      <w:rFonts w:ascii="Tahoma" w:eastAsiaTheme="majorEastAsia" w:hAnsi="Tahom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styleId="Hyperlink">
    <w:name w:val="Hyperlink"/>
    <w:basedOn w:val="DefaultParagraphFont"/>
    <w:uiPriority w:val="99"/>
    <w:unhideWhenUsed/>
    <w:rsid w:val="00D26555"/>
    <w:rPr>
      <w:color w:val="0563C1" w:themeColor="hyperlink"/>
      <w:u w:val="single"/>
    </w:rPr>
  </w:style>
  <w:style w:type="character" w:styleId="FollowedHyperlink">
    <w:name w:val="FollowedHyperlink"/>
    <w:basedOn w:val="DefaultParagraphFont"/>
    <w:uiPriority w:val="99"/>
    <w:semiHidden/>
    <w:unhideWhenUsed/>
    <w:rsid w:val="00D26555"/>
    <w:rPr>
      <w:color w:val="954F72" w:themeColor="followedHyperlink"/>
      <w:u w:val="single"/>
    </w:rPr>
  </w:style>
  <w:style w:type="paragraph" w:styleId="ListParagraph">
    <w:name w:val="List Paragraph"/>
    <w:basedOn w:val="Normal"/>
    <w:uiPriority w:val="34"/>
    <w:qFormat/>
    <w:rsid w:val="00D26555"/>
    <w:pPr>
      <w:ind w:left="720"/>
      <w:contextualSpacing/>
    </w:pPr>
  </w:style>
  <w:style w:type="character" w:customStyle="1" w:styleId="Heading1Char">
    <w:name w:val="Heading 1 Char"/>
    <w:basedOn w:val="DefaultParagraphFont"/>
    <w:link w:val="Heading1"/>
    <w:uiPriority w:val="9"/>
    <w:rsid w:val="00040779"/>
    <w:rPr>
      <w:rFonts w:ascii="Tahoma" w:eastAsiaTheme="majorEastAsia" w:hAnsi="Tahoma" w:cstheme="majorBidi"/>
      <w:b/>
      <w:color w:val="000000" w:themeColor="text1"/>
      <w:sz w:val="32"/>
      <w:szCs w:val="32"/>
    </w:rPr>
  </w:style>
  <w:style w:type="paragraph" w:styleId="TOCHeading">
    <w:name w:val="TOC Heading"/>
    <w:basedOn w:val="Heading1"/>
    <w:next w:val="Normal"/>
    <w:uiPriority w:val="39"/>
    <w:unhideWhenUsed/>
    <w:qFormat/>
    <w:rsid w:val="00040779"/>
    <w:pPr>
      <w:spacing w:line="259" w:lineRule="auto"/>
      <w:outlineLvl w:val="9"/>
    </w:pPr>
    <w:rPr>
      <w:lang w:val="en-US"/>
    </w:rPr>
  </w:style>
  <w:style w:type="paragraph" w:styleId="TOC1">
    <w:name w:val="toc 1"/>
    <w:basedOn w:val="Normal"/>
    <w:next w:val="Normal"/>
    <w:autoRedefine/>
    <w:uiPriority w:val="39"/>
    <w:unhideWhenUsed/>
    <w:rsid w:val="00040779"/>
    <w:pPr>
      <w:spacing w:after="100"/>
    </w:pPr>
  </w:style>
  <w:style w:type="character" w:styleId="CommentReference">
    <w:name w:val="annotation reference"/>
    <w:basedOn w:val="DefaultParagraphFont"/>
    <w:uiPriority w:val="99"/>
    <w:semiHidden/>
    <w:unhideWhenUsed/>
    <w:rsid w:val="00B75BBD"/>
    <w:rPr>
      <w:sz w:val="16"/>
      <w:szCs w:val="16"/>
    </w:rPr>
  </w:style>
  <w:style w:type="paragraph" w:styleId="CommentText">
    <w:name w:val="annotation text"/>
    <w:basedOn w:val="Normal"/>
    <w:link w:val="CommentTextChar"/>
    <w:uiPriority w:val="99"/>
    <w:unhideWhenUsed/>
    <w:rsid w:val="00B75BBD"/>
    <w:rPr>
      <w:sz w:val="20"/>
      <w:szCs w:val="20"/>
    </w:rPr>
  </w:style>
  <w:style w:type="character" w:customStyle="1" w:styleId="CommentTextChar">
    <w:name w:val="Comment Text Char"/>
    <w:basedOn w:val="DefaultParagraphFont"/>
    <w:link w:val="CommentText"/>
    <w:uiPriority w:val="99"/>
    <w:rsid w:val="00B75BBD"/>
    <w:rPr>
      <w:sz w:val="20"/>
      <w:szCs w:val="20"/>
    </w:rPr>
  </w:style>
  <w:style w:type="paragraph" w:styleId="CommentSubject">
    <w:name w:val="annotation subject"/>
    <w:basedOn w:val="CommentText"/>
    <w:next w:val="CommentText"/>
    <w:link w:val="CommentSubjectChar"/>
    <w:uiPriority w:val="99"/>
    <w:semiHidden/>
    <w:unhideWhenUsed/>
    <w:rsid w:val="00B75BBD"/>
    <w:rPr>
      <w:b/>
      <w:bCs/>
    </w:rPr>
  </w:style>
  <w:style w:type="character" w:customStyle="1" w:styleId="CommentSubjectChar">
    <w:name w:val="Comment Subject Char"/>
    <w:basedOn w:val="CommentTextChar"/>
    <w:link w:val="CommentSubject"/>
    <w:uiPriority w:val="99"/>
    <w:semiHidden/>
    <w:rsid w:val="00B75BBD"/>
    <w:rPr>
      <w:b/>
      <w:bCs/>
      <w:sz w:val="20"/>
      <w:szCs w:val="20"/>
    </w:rPr>
  </w:style>
  <w:style w:type="paragraph" w:styleId="BalloonText">
    <w:name w:val="Balloon Text"/>
    <w:basedOn w:val="Normal"/>
    <w:link w:val="BalloonTextChar"/>
    <w:uiPriority w:val="99"/>
    <w:semiHidden/>
    <w:unhideWhenUsed/>
    <w:rsid w:val="00B75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BD"/>
    <w:rPr>
      <w:rFonts w:ascii="Segoe UI" w:hAnsi="Segoe UI" w:cs="Segoe UI"/>
      <w:sz w:val="18"/>
      <w:szCs w:val="18"/>
    </w:rPr>
  </w:style>
  <w:style w:type="paragraph" w:styleId="Revision">
    <w:name w:val="Revision"/>
    <w:hidden/>
    <w:uiPriority w:val="99"/>
    <w:semiHidden/>
    <w:rsid w:val="00406ECB"/>
  </w:style>
  <w:style w:type="paragraph" w:styleId="FootnoteText">
    <w:name w:val="footnote text"/>
    <w:basedOn w:val="Normal"/>
    <w:link w:val="FootnoteTextChar"/>
    <w:unhideWhenUsed/>
    <w:rsid w:val="0060041F"/>
    <w:rPr>
      <w:sz w:val="20"/>
      <w:szCs w:val="20"/>
    </w:rPr>
  </w:style>
  <w:style w:type="character" w:customStyle="1" w:styleId="FootnoteTextChar">
    <w:name w:val="Footnote Text Char"/>
    <w:basedOn w:val="DefaultParagraphFont"/>
    <w:link w:val="FootnoteText"/>
    <w:rsid w:val="0060041F"/>
    <w:rPr>
      <w:sz w:val="20"/>
      <w:szCs w:val="20"/>
    </w:rPr>
  </w:style>
  <w:style w:type="character" w:styleId="FootnoteReference">
    <w:name w:val="footnote reference"/>
    <w:basedOn w:val="DefaultParagraphFont"/>
    <w:unhideWhenUsed/>
    <w:rsid w:val="0060041F"/>
    <w:rPr>
      <w:vertAlign w:val="superscript"/>
    </w:rPr>
  </w:style>
  <w:style w:type="table" w:styleId="TableGrid">
    <w:name w:val="Table Grid"/>
    <w:basedOn w:val="TableNormal"/>
    <w:uiPriority w:val="39"/>
    <w:rsid w:val="0032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3AA4"/>
    <w:rPr>
      <w:rFonts w:ascii="Times New Roman" w:hAnsi="Times New Roman" w:cs="Times New Roman"/>
      <w:sz w:val="24"/>
      <w:szCs w:val="24"/>
    </w:rPr>
  </w:style>
  <w:style w:type="table" w:customStyle="1" w:styleId="TableGrid1">
    <w:name w:val="Table Grid1"/>
    <w:basedOn w:val="TableNormal"/>
    <w:next w:val="TableGrid"/>
    <w:uiPriority w:val="39"/>
    <w:rsid w:val="00543AA4"/>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92860"/>
    <w:pPr>
      <w:spacing w:after="100"/>
      <w:ind w:left="220"/>
    </w:pPr>
  </w:style>
  <w:style w:type="paragraph" w:customStyle="1" w:styleId="Footer-RHSOdd">
    <w:name w:val="Footer - RHS Odd"/>
    <w:basedOn w:val="Normal"/>
    <w:rsid w:val="00703BCD"/>
    <w:pPr>
      <w:pBdr>
        <w:top w:val="single" w:sz="4" w:space="6" w:color="auto"/>
      </w:pBdr>
      <w:tabs>
        <w:tab w:val="left" w:pos="567"/>
      </w:tabs>
    </w:pPr>
    <w:rPr>
      <w:rFonts w:ascii="Tahoma" w:eastAsia="Times New Roman" w:hAnsi="Tahoma" w:cs="Times New Roman"/>
      <w:b/>
      <w:color w:val="000000"/>
      <w:sz w:val="16"/>
      <w:szCs w:val="20"/>
    </w:rPr>
  </w:style>
  <w:style w:type="paragraph" w:customStyle="1" w:styleId="Default">
    <w:name w:val="Default"/>
    <w:rsid w:val="00134EB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747">
      <w:bodyDiv w:val="1"/>
      <w:marLeft w:val="0"/>
      <w:marRight w:val="0"/>
      <w:marTop w:val="0"/>
      <w:marBottom w:val="0"/>
      <w:divBdr>
        <w:top w:val="none" w:sz="0" w:space="0" w:color="auto"/>
        <w:left w:val="none" w:sz="0" w:space="0" w:color="auto"/>
        <w:bottom w:val="none" w:sz="0" w:space="0" w:color="auto"/>
        <w:right w:val="none" w:sz="0" w:space="0" w:color="auto"/>
      </w:divBdr>
    </w:div>
    <w:div w:id="142545336">
      <w:bodyDiv w:val="1"/>
      <w:marLeft w:val="0"/>
      <w:marRight w:val="0"/>
      <w:marTop w:val="0"/>
      <w:marBottom w:val="0"/>
      <w:divBdr>
        <w:top w:val="none" w:sz="0" w:space="0" w:color="auto"/>
        <w:left w:val="none" w:sz="0" w:space="0" w:color="auto"/>
        <w:bottom w:val="none" w:sz="0" w:space="0" w:color="auto"/>
        <w:right w:val="none" w:sz="0" w:space="0" w:color="auto"/>
      </w:divBdr>
    </w:div>
    <w:div w:id="163057625">
      <w:bodyDiv w:val="1"/>
      <w:marLeft w:val="0"/>
      <w:marRight w:val="0"/>
      <w:marTop w:val="0"/>
      <w:marBottom w:val="0"/>
      <w:divBdr>
        <w:top w:val="none" w:sz="0" w:space="0" w:color="auto"/>
        <w:left w:val="none" w:sz="0" w:space="0" w:color="auto"/>
        <w:bottom w:val="none" w:sz="0" w:space="0" w:color="auto"/>
        <w:right w:val="none" w:sz="0" w:space="0" w:color="auto"/>
      </w:divBdr>
    </w:div>
    <w:div w:id="172842014">
      <w:bodyDiv w:val="1"/>
      <w:marLeft w:val="0"/>
      <w:marRight w:val="0"/>
      <w:marTop w:val="0"/>
      <w:marBottom w:val="0"/>
      <w:divBdr>
        <w:top w:val="none" w:sz="0" w:space="0" w:color="auto"/>
        <w:left w:val="none" w:sz="0" w:space="0" w:color="auto"/>
        <w:bottom w:val="none" w:sz="0" w:space="0" w:color="auto"/>
        <w:right w:val="none" w:sz="0" w:space="0" w:color="auto"/>
      </w:divBdr>
    </w:div>
    <w:div w:id="178012131">
      <w:bodyDiv w:val="1"/>
      <w:marLeft w:val="0"/>
      <w:marRight w:val="0"/>
      <w:marTop w:val="0"/>
      <w:marBottom w:val="0"/>
      <w:divBdr>
        <w:top w:val="none" w:sz="0" w:space="0" w:color="auto"/>
        <w:left w:val="none" w:sz="0" w:space="0" w:color="auto"/>
        <w:bottom w:val="none" w:sz="0" w:space="0" w:color="auto"/>
        <w:right w:val="none" w:sz="0" w:space="0" w:color="auto"/>
      </w:divBdr>
    </w:div>
    <w:div w:id="229313482">
      <w:bodyDiv w:val="1"/>
      <w:marLeft w:val="0"/>
      <w:marRight w:val="0"/>
      <w:marTop w:val="0"/>
      <w:marBottom w:val="0"/>
      <w:divBdr>
        <w:top w:val="none" w:sz="0" w:space="0" w:color="auto"/>
        <w:left w:val="none" w:sz="0" w:space="0" w:color="auto"/>
        <w:bottom w:val="none" w:sz="0" w:space="0" w:color="auto"/>
        <w:right w:val="none" w:sz="0" w:space="0" w:color="auto"/>
      </w:divBdr>
    </w:div>
    <w:div w:id="316348392">
      <w:bodyDiv w:val="1"/>
      <w:marLeft w:val="0"/>
      <w:marRight w:val="0"/>
      <w:marTop w:val="0"/>
      <w:marBottom w:val="0"/>
      <w:divBdr>
        <w:top w:val="none" w:sz="0" w:space="0" w:color="auto"/>
        <w:left w:val="none" w:sz="0" w:space="0" w:color="auto"/>
        <w:bottom w:val="none" w:sz="0" w:space="0" w:color="auto"/>
        <w:right w:val="none" w:sz="0" w:space="0" w:color="auto"/>
      </w:divBdr>
    </w:div>
    <w:div w:id="325523025">
      <w:bodyDiv w:val="1"/>
      <w:marLeft w:val="0"/>
      <w:marRight w:val="0"/>
      <w:marTop w:val="0"/>
      <w:marBottom w:val="0"/>
      <w:divBdr>
        <w:top w:val="none" w:sz="0" w:space="0" w:color="auto"/>
        <w:left w:val="none" w:sz="0" w:space="0" w:color="auto"/>
        <w:bottom w:val="none" w:sz="0" w:space="0" w:color="auto"/>
        <w:right w:val="none" w:sz="0" w:space="0" w:color="auto"/>
      </w:divBdr>
    </w:div>
    <w:div w:id="330179999">
      <w:bodyDiv w:val="1"/>
      <w:marLeft w:val="0"/>
      <w:marRight w:val="0"/>
      <w:marTop w:val="0"/>
      <w:marBottom w:val="0"/>
      <w:divBdr>
        <w:top w:val="none" w:sz="0" w:space="0" w:color="auto"/>
        <w:left w:val="none" w:sz="0" w:space="0" w:color="auto"/>
        <w:bottom w:val="none" w:sz="0" w:space="0" w:color="auto"/>
        <w:right w:val="none" w:sz="0" w:space="0" w:color="auto"/>
      </w:divBdr>
    </w:div>
    <w:div w:id="337774279">
      <w:bodyDiv w:val="1"/>
      <w:marLeft w:val="0"/>
      <w:marRight w:val="0"/>
      <w:marTop w:val="0"/>
      <w:marBottom w:val="0"/>
      <w:divBdr>
        <w:top w:val="none" w:sz="0" w:space="0" w:color="auto"/>
        <w:left w:val="none" w:sz="0" w:space="0" w:color="auto"/>
        <w:bottom w:val="none" w:sz="0" w:space="0" w:color="auto"/>
        <w:right w:val="none" w:sz="0" w:space="0" w:color="auto"/>
      </w:divBdr>
    </w:div>
    <w:div w:id="412747020">
      <w:bodyDiv w:val="1"/>
      <w:marLeft w:val="0"/>
      <w:marRight w:val="0"/>
      <w:marTop w:val="0"/>
      <w:marBottom w:val="0"/>
      <w:divBdr>
        <w:top w:val="none" w:sz="0" w:space="0" w:color="auto"/>
        <w:left w:val="none" w:sz="0" w:space="0" w:color="auto"/>
        <w:bottom w:val="none" w:sz="0" w:space="0" w:color="auto"/>
        <w:right w:val="none" w:sz="0" w:space="0" w:color="auto"/>
      </w:divBdr>
    </w:div>
    <w:div w:id="416371354">
      <w:bodyDiv w:val="1"/>
      <w:marLeft w:val="0"/>
      <w:marRight w:val="0"/>
      <w:marTop w:val="0"/>
      <w:marBottom w:val="0"/>
      <w:divBdr>
        <w:top w:val="none" w:sz="0" w:space="0" w:color="auto"/>
        <w:left w:val="none" w:sz="0" w:space="0" w:color="auto"/>
        <w:bottom w:val="none" w:sz="0" w:space="0" w:color="auto"/>
        <w:right w:val="none" w:sz="0" w:space="0" w:color="auto"/>
      </w:divBdr>
    </w:div>
    <w:div w:id="508107075">
      <w:bodyDiv w:val="1"/>
      <w:marLeft w:val="0"/>
      <w:marRight w:val="0"/>
      <w:marTop w:val="0"/>
      <w:marBottom w:val="0"/>
      <w:divBdr>
        <w:top w:val="none" w:sz="0" w:space="0" w:color="auto"/>
        <w:left w:val="none" w:sz="0" w:space="0" w:color="auto"/>
        <w:bottom w:val="none" w:sz="0" w:space="0" w:color="auto"/>
        <w:right w:val="none" w:sz="0" w:space="0" w:color="auto"/>
      </w:divBdr>
    </w:div>
    <w:div w:id="512574014">
      <w:bodyDiv w:val="1"/>
      <w:marLeft w:val="0"/>
      <w:marRight w:val="0"/>
      <w:marTop w:val="0"/>
      <w:marBottom w:val="0"/>
      <w:divBdr>
        <w:top w:val="none" w:sz="0" w:space="0" w:color="auto"/>
        <w:left w:val="none" w:sz="0" w:space="0" w:color="auto"/>
        <w:bottom w:val="none" w:sz="0" w:space="0" w:color="auto"/>
        <w:right w:val="none" w:sz="0" w:space="0" w:color="auto"/>
      </w:divBdr>
    </w:div>
    <w:div w:id="513347042">
      <w:bodyDiv w:val="1"/>
      <w:marLeft w:val="0"/>
      <w:marRight w:val="0"/>
      <w:marTop w:val="0"/>
      <w:marBottom w:val="0"/>
      <w:divBdr>
        <w:top w:val="none" w:sz="0" w:space="0" w:color="auto"/>
        <w:left w:val="none" w:sz="0" w:space="0" w:color="auto"/>
        <w:bottom w:val="none" w:sz="0" w:space="0" w:color="auto"/>
        <w:right w:val="none" w:sz="0" w:space="0" w:color="auto"/>
      </w:divBdr>
    </w:div>
    <w:div w:id="529300162">
      <w:bodyDiv w:val="1"/>
      <w:marLeft w:val="0"/>
      <w:marRight w:val="0"/>
      <w:marTop w:val="0"/>
      <w:marBottom w:val="0"/>
      <w:divBdr>
        <w:top w:val="none" w:sz="0" w:space="0" w:color="auto"/>
        <w:left w:val="none" w:sz="0" w:space="0" w:color="auto"/>
        <w:bottom w:val="none" w:sz="0" w:space="0" w:color="auto"/>
        <w:right w:val="none" w:sz="0" w:space="0" w:color="auto"/>
      </w:divBdr>
    </w:div>
    <w:div w:id="532814428">
      <w:bodyDiv w:val="1"/>
      <w:marLeft w:val="0"/>
      <w:marRight w:val="0"/>
      <w:marTop w:val="0"/>
      <w:marBottom w:val="0"/>
      <w:divBdr>
        <w:top w:val="none" w:sz="0" w:space="0" w:color="auto"/>
        <w:left w:val="none" w:sz="0" w:space="0" w:color="auto"/>
        <w:bottom w:val="none" w:sz="0" w:space="0" w:color="auto"/>
        <w:right w:val="none" w:sz="0" w:space="0" w:color="auto"/>
      </w:divBdr>
    </w:div>
    <w:div w:id="557712826">
      <w:bodyDiv w:val="1"/>
      <w:marLeft w:val="0"/>
      <w:marRight w:val="0"/>
      <w:marTop w:val="0"/>
      <w:marBottom w:val="0"/>
      <w:divBdr>
        <w:top w:val="none" w:sz="0" w:space="0" w:color="auto"/>
        <w:left w:val="none" w:sz="0" w:space="0" w:color="auto"/>
        <w:bottom w:val="none" w:sz="0" w:space="0" w:color="auto"/>
        <w:right w:val="none" w:sz="0" w:space="0" w:color="auto"/>
      </w:divBdr>
    </w:div>
    <w:div w:id="636376603">
      <w:bodyDiv w:val="1"/>
      <w:marLeft w:val="0"/>
      <w:marRight w:val="0"/>
      <w:marTop w:val="0"/>
      <w:marBottom w:val="0"/>
      <w:divBdr>
        <w:top w:val="none" w:sz="0" w:space="0" w:color="auto"/>
        <w:left w:val="none" w:sz="0" w:space="0" w:color="auto"/>
        <w:bottom w:val="none" w:sz="0" w:space="0" w:color="auto"/>
        <w:right w:val="none" w:sz="0" w:space="0" w:color="auto"/>
      </w:divBdr>
    </w:div>
    <w:div w:id="644432087">
      <w:bodyDiv w:val="1"/>
      <w:marLeft w:val="0"/>
      <w:marRight w:val="0"/>
      <w:marTop w:val="0"/>
      <w:marBottom w:val="0"/>
      <w:divBdr>
        <w:top w:val="none" w:sz="0" w:space="0" w:color="auto"/>
        <w:left w:val="none" w:sz="0" w:space="0" w:color="auto"/>
        <w:bottom w:val="none" w:sz="0" w:space="0" w:color="auto"/>
        <w:right w:val="none" w:sz="0" w:space="0" w:color="auto"/>
      </w:divBdr>
    </w:div>
    <w:div w:id="789738589">
      <w:bodyDiv w:val="1"/>
      <w:marLeft w:val="0"/>
      <w:marRight w:val="0"/>
      <w:marTop w:val="0"/>
      <w:marBottom w:val="0"/>
      <w:divBdr>
        <w:top w:val="none" w:sz="0" w:space="0" w:color="auto"/>
        <w:left w:val="none" w:sz="0" w:space="0" w:color="auto"/>
        <w:bottom w:val="none" w:sz="0" w:space="0" w:color="auto"/>
        <w:right w:val="none" w:sz="0" w:space="0" w:color="auto"/>
      </w:divBdr>
    </w:div>
    <w:div w:id="812143512">
      <w:bodyDiv w:val="1"/>
      <w:marLeft w:val="0"/>
      <w:marRight w:val="0"/>
      <w:marTop w:val="0"/>
      <w:marBottom w:val="0"/>
      <w:divBdr>
        <w:top w:val="none" w:sz="0" w:space="0" w:color="auto"/>
        <w:left w:val="none" w:sz="0" w:space="0" w:color="auto"/>
        <w:bottom w:val="none" w:sz="0" w:space="0" w:color="auto"/>
        <w:right w:val="none" w:sz="0" w:space="0" w:color="auto"/>
      </w:divBdr>
    </w:div>
    <w:div w:id="833645401">
      <w:bodyDiv w:val="1"/>
      <w:marLeft w:val="0"/>
      <w:marRight w:val="0"/>
      <w:marTop w:val="0"/>
      <w:marBottom w:val="0"/>
      <w:divBdr>
        <w:top w:val="none" w:sz="0" w:space="0" w:color="auto"/>
        <w:left w:val="none" w:sz="0" w:space="0" w:color="auto"/>
        <w:bottom w:val="none" w:sz="0" w:space="0" w:color="auto"/>
        <w:right w:val="none" w:sz="0" w:space="0" w:color="auto"/>
      </w:divBdr>
    </w:div>
    <w:div w:id="871529959">
      <w:bodyDiv w:val="1"/>
      <w:marLeft w:val="0"/>
      <w:marRight w:val="0"/>
      <w:marTop w:val="0"/>
      <w:marBottom w:val="0"/>
      <w:divBdr>
        <w:top w:val="none" w:sz="0" w:space="0" w:color="auto"/>
        <w:left w:val="none" w:sz="0" w:space="0" w:color="auto"/>
        <w:bottom w:val="none" w:sz="0" w:space="0" w:color="auto"/>
        <w:right w:val="none" w:sz="0" w:space="0" w:color="auto"/>
      </w:divBdr>
    </w:div>
    <w:div w:id="916134858">
      <w:bodyDiv w:val="1"/>
      <w:marLeft w:val="0"/>
      <w:marRight w:val="0"/>
      <w:marTop w:val="0"/>
      <w:marBottom w:val="0"/>
      <w:divBdr>
        <w:top w:val="none" w:sz="0" w:space="0" w:color="auto"/>
        <w:left w:val="none" w:sz="0" w:space="0" w:color="auto"/>
        <w:bottom w:val="none" w:sz="0" w:space="0" w:color="auto"/>
        <w:right w:val="none" w:sz="0" w:space="0" w:color="auto"/>
      </w:divBdr>
    </w:div>
    <w:div w:id="954824925">
      <w:bodyDiv w:val="1"/>
      <w:marLeft w:val="0"/>
      <w:marRight w:val="0"/>
      <w:marTop w:val="0"/>
      <w:marBottom w:val="0"/>
      <w:divBdr>
        <w:top w:val="none" w:sz="0" w:space="0" w:color="auto"/>
        <w:left w:val="none" w:sz="0" w:space="0" w:color="auto"/>
        <w:bottom w:val="none" w:sz="0" w:space="0" w:color="auto"/>
        <w:right w:val="none" w:sz="0" w:space="0" w:color="auto"/>
      </w:divBdr>
    </w:div>
    <w:div w:id="1025060675">
      <w:bodyDiv w:val="1"/>
      <w:marLeft w:val="0"/>
      <w:marRight w:val="0"/>
      <w:marTop w:val="0"/>
      <w:marBottom w:val="0"/>
      <w:divBdr>
        <w:top w:val="none" w:sz="0" w:space="0" w:color="auto"/>
        <w:left w:val="none" w:sz="0" w:space="0" w:color="auto"/>
        <w:bottom w:val="none" w:sz="0" w:space="0" w:color="auto"/>
        <w:right w:val="none" w:sz="0" w:space="0" w:color="auto"/>
      </w:divBdr>
    </w:div>
    <w:div w:id="1090394410">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204826080">
      <w:bodyDiv w:val="1"/>
      <w:marLeft w:val="0"/>
      <w:marRight w:val="0"/>
      <w:marTop w:val="0"/>
      <w:marBottom w:val="0"/>
      <w:divBdr>
        <w:top w:val="none" w:sz="0" w:space="0" w:color="auto"/>
        <w:left w:val="none" w:sz="0" w:space="0" w:color="auto"/>
        <w:bottom w:val="none" w:sz="0" w:space="0" w:color="auto"/>
        <w:right w:val="none" w:sz="0" w:space="0" w:color="auto"/>
      </w:divBdr>
    </w:div>
    <w:div w:id="1212425120">
      <w:bodyDiv w:val="1"/>
      <w:marLeft w:val="0"/>
      <w:marRight w:val="0"/>
      <w:marTop w:val="0"/>
      <w:marBottom w:val="0"/>
      <w:divBdr>
        <w:top w:val="none" w:sz="0" w:space="0" w:color="auto"/>
        <w:left w:val="none" w:sz="0" w:space="0" w:color="auto"/>
        <w:bottom w:val="none" w:sz="0" w:space="0" w:color="auto"/>
        <w:right w:val="none" w:sz="0" w:space="0" w:color="auto"/>
      </w:divBdr>
    </w:div>
    <w:div w:id="1257398458">
      <w:bodyDiv w:val="1"/>
      <w:marLeft w:val="0"/>
      <w:marRight w:val="0"/>
      <w:marTop w:val="0"/>
      <w:marBottom w:val="0"/>
      <w:divBdr>
        <w:top w:val="none" w:sz="0" w:space="0" w:color="auto"/>
        <w:left w:val="none" w:sz="0" w:space="0" w:color="auto"/>
        <w:bottom w:val="none" w:sz="0" w:space="0" w:color="auto"/>
        <w:right w:val="none" w:sz="0" w:space="0" w:color="auto"/>
      </w:divBdr>
    </w:div>
    <w:div w:id="1317146872">
      <w:bodyDiv w:val="1"/>
      <w:marLeft w:val="0"/>
      <w:marRight w:val="0"/>
      <w:marTop w:val="0"/>
      <w:marBottom w:val="0"/>
      <w:divBdr>
        <w:top w:val="none" w:sz="0" w:space="0" w:color="auto"/>
        <w:left w:val="none" w:sz="0" w:space="0" w:color="auto"/>
        <w:bottom w:val="none" w:sz="0" w:space="0" w:color="auto"/>
        <w:right w:val="none" w:sz="0" w:space="0" w:color="auto"/>
      </w:divBdr>
    </w:div>
    <w:div w:id="1318846807">
      <w:bodyDiv w:val="1"/>
      <w:marLeft w:val="0"/>
      <w:marRight w:val="0"/>
      <w:marTop w:val="0"/>
      <w:marBottom w:val="0"/>
      <w:divBdr>
        <w:top w:val="none" w:sz="0" w:space="0" w:color="auto"/>
        <w:left w:val="none" w:sz="0" w:space="0" w:color="auto"/>
        <w:bottom w:val="none" w:sz="0" w:space="0" w:color="auto"/>
        <w:right w:val="none" w:sz="0" w:space="0" w:color="auto"/>
      </w:divBdr>
    </w:div>
    <w:div w:id="1325011576">
      <w:bodyDiv w:val="1"/>
      <w:marLeft w:val="0"/>
      <w:marRight w:val="0"/>
      <w:marTop w:val="0"/>
      <w:marBottom w:val="0"/>
      <w:divBdr>
        <w:top w:val="none" w:sz="0" w:space="0" w:color="auto"/>
        <w:left w:val="none" w:sz="0" w:space="0" w:color="auto"/>
        <w:bottom w:val="none" w:sz="0" w:space="0" w:color="auto"/>
        <w:right w:val="none" w:sz="0" w:space="0" w:color="auto"/>
      </w:divBdr>
    </w:div>
    <w:div w:id="1376927485">
      <w:bodyDiv w:val="1"/>
      <w:marLeft w:val="0"/>
      <w:marRight w:val="0"/>
      <w:marTop w:val="0"/>
      <w:marBottom w:val="0"/>
      <w:divBdr>
        <w:top w:val="none" w:sz="0" w:space="0" w:color="auto"/>
        <w:left w:val="none" w:sz="0" w:space="0" w:color="auto"/>
        <w:bottom w:val="none" w:sz="0" w:space="0" w:color="auto"/>
        <w:right w:val="none" w:sz="0" w:space="0" w:color="auto"/>
      </w:divBdr>
    </w:div>
    <w:div w:id="1544488409">
      <w:bodyDiv w:val="1"/>
      <w:marLeft w:val="0"/>
      <w:marRight w:val="0"/>
      <w:marTop w:val="0"/>
      <w:marBottom w:val="0"/>
      <w:divBdr>
        <w:top w:val="none" w:sz="0" w:space="0" w:color="auto"/>
        <w:left w:val="none" w:sz="0" w:space="0" w:color="auto"/>
        <w:bottom w:val="none" w:sz="0" w:space="0" w:color="auto"/>
        <w:right w:val="none" w:sz="0" w:space="0" w:color="auto"/>
      </w:divBdr>
    </w:div>
    <w:div w:id="1624574346">
      <w:bodyDiv w:val="1"/>
      <w:marLeft w:val="0"/>
      <w:marRight w:val="0"/>
      <w:marTop w:val="0"/>
      <w:marBottom w:val="0"/>
      <w:divBdr>
        <w:top w:val="none" w:sz="0" w:space="0" w:color="auto"/>
        <w:left w:val="none" w:sz="0" w:space="0" w:color="auto"/>
        <w:bottom w:val="none" w:sz="0" w:space="0" w:color="auto"/>
        <w:right w:val="none" w:sz="0" w:space="0" w:color="auto"/>
      </w:divBdr>
    </w:div>
    <w:div w:id="1627929076">
      <w:bodyDiv w:val="1"/>
      <w:marLeft w:val="0"/>
      <w:marRight w:val="0"/>
      <w:marTop w:val="0"/>
      <w:marBottom w:val="0"/>
      <w:divBdr>
        <w:top w:val="none" w:sz="0" w:space="0" w:color="auto"/>
        <w:left w:val="none" w:sz="0" w:space="0" w:color="auto"/>
        <w:bottom w:val="none" w:sz="0" w:space="0" w:color="auto"/>
        <w:right w:val="none" w:sz="0" w:space="0" w:color="auto"/>
      </w:divBdr>
    </w:div>
    <w:div w:id="1737193952">
      <w:bodyDiv w:val="1"/>
      <w:marLeft w:val="0"/>
      <w:marRight w:val="0"/>
      <w:marTop w:val="0"/>
      <w:marBottom w:val="0"/>
      <w:divBdr>
        <w:top w:val="none" w:sz="0" w:space="0" w:color="auto"/>
        <w:left w:val="none" w:sz="0" w:space="0" w:color="auto"/>
        <w:bottom w:val="none" w:sz="0" w:space="0" w:color="auto"/>
        <w:right w:val="none" w:sz="0" w:space="0" w:color="auto"/>
      </w:divBdr>
    </w:div>
    <w:div w:id="1744913918">
      <w:bodyDiv w:val="1"/>
      <w:marLeft w:val="0"/>
      <w:marRight w:val="0"/>
      <w:marTop w:val="0"/>
      <w:marBottom w:val="0"/>
      <w:divBdr>
        <w:top w:val="none" w:sz="0" w:space="0" w:color="auto"/>
        <w:left w:val="none" w:sz="0" w:space="0" w:color="auto"/>
        <w:bottom w:val="none" w:sz="0" w:space="0" w:color="auto"/>
        <w:right w:val="none" w:sz="0" w:space="0" w:color="auto"/>
      </w:divBdr>
    </w:div>
    <w:div w:id="1768034617">
      <w:bodyDiv w:val="1"/>
      <w:marLeft w:val="0"/>
      <w:marRight w:val="0"/>
      <w:marTop w:val="0"/>
      <w:marBottom w:val="0"/>
      <w:divBdr>
        <w:top w:val="none" w:sz="0" w:space="0" w:color="auto"/>
        <w:left w:val="none" w:sz="0" w:space="0" w:color="auto"/>
        <w:bottom w:val="none" w:sz="0" w:space="0" w:color="auto"/>
        <w:right w:val="none" w:sz="0" w:space="0" w:color="auto"/>
      </w:divBdr>
    </w:div>
    <w:div w:id="1777484510">
      <w:bodyDiv w:val="1"/>
      <w:marLeft w:val="0"/>
      <w:marRight w:val="0"/>
      <w:marTop w:val="0"/>
      <w:marBottom w:val="0"/>
      <w:divBdr>
        <w:top w:val="none" w:sz="0" w:space="0" w:color="auto"/>
        <w:left w:val="none" w:sz="0" w:space="0" w:color="auto"/>
        <w:bottom w:val="none" w:sz="0" w:space="0" w:color="auto"/>
        <w:right w:val="none" w:sz="0" w:space="0" w:color="auto"/>
      </w:divBdr>
    </w:div>
    <w:div w:id="1779640145">
      <w:bodyDiv w:val="1"/>
      <w:marLeft w:val="0"/>
      <w:marRight w:val="0"/>
      <w:marTop w:val="0"/>
      <w:marBottom w:val="0"/>
      <w:divBdr>
        <w:top w:val="none" w:sz="0" w:space="0" w:color="auto"/>
        <w:left w:val="none" w:sz="0" w:space="0" w:color="auto"/>
        <w:bottom w:val="none" w:sz="0" w:space="0" w:color="auto"/>
        <w:right w:val="none" w:sz="0" w:space="0" w:color="auto"/>
      </w:divBdr>
    </w:div>
    <w:div w:id="1803302904">
      <w:bodyDiv w:val="1"/>
      <w:marLeft w:val="0"/>
      <w:marRight w:val="0"/>
      <w:marTop w:val="0"/>
      <w:marBottom w:val="0"/>
      <w:divBdr>
        <w:top w:val="none" w:sz="0" w:space="0" w:color="auto"/>
        <w:left w:val="none" w:sz="0" w:space="0" w:color="auto"/>
        <w:bottom w:val="none" w:sz="0" w:space="0" w:color="auto"/>
        <w:right w:val="none" w:sz="0" w:space="0" w:color="auto"/>
      </w:divBdr>
    </w:div>
    <w:div w:id="1817607859">
      <w:bodyDiv w:val="1"/>
      <w:marLeft w:val="0"/>
      <w:marRight w:val="0"/>
      <w:marTop w:val="0"/>
      <w:marBottom w:val="0"/>
      <w:divBdr>
        <w:top w:val="none" w:sz="0" w:space="0" w:color="auto"/>
        <w:left w:val="none" w:sz="0" w:space="0" w:color="auto"/>
        <w:bottom w:val="none" w:sz="0" w:space="0" w:color="auto"/>
        <w:right w:val="none" w:sz="0" w:space="0" w:color="auto"/>
      </w:divBdr>
    </w:div>
    <w:div w:id="1877042046">
      <w:bodyDiv w:val="1"/>
      <w:marLeft w:val="0"/>
      <w:marRight w:val="0"/>
      <w:marTop w:val="0"/>
      <w:marBottom w:val="0"/>
      <w:divBdr>
        <w:top w:val="none" w:sz="0" w:space="0" w:color="auto"/>
        <w:left w:val="none" w:sz="0" w:space="0" w:color="auto"/>
        <w:bottom w:val="none" w:sz="0" w:space="0" w:color="auto"/>
        <w:right w:val="none" w:sz="0" w:space="0" w:color="auto"/>
      </w:divBdr>
    </w:div>
    <w:div w:id="1972636014">
      <w:bodyDiv w:val="1"/>
      <w:marLeft w:val="0"/>
      <w:marRight w:val="0"/>
      <w:marTop w:val="0"/>
      <w:marBottom w:val="0"/>
      <w:divBdr>
        <w:top w:val="none" w:sz="0" w:space="0" w:color="auto"/>
        <w:left w:val="none" w:sz="0" w:space="0" w:color="auto"/>
        <w:bottom w:val="none" w:sz="0" w:space="0" w:color="auto"/>
        <w:right w:val="none" w:sz="0" w:space="0" w:color="auto"/>
      </w:divBdr>
    </w:div>
    <w:div w:id="2001032769">
      <w:bodyDiv w:val="1"/>
      <w:marLeft w:val="0"/>
      <w:marRight w:val="0"/>
      <w:marTop w:val="0"/>
      <w:marBottom w:val="0"/>
      <w:divBdr>
        <w:top w:val="none" w:sz="0" w:space="0" w:color="auto"/>
        <w:left w:val="none" w:sz="0" w:space="0" w:color="auto"/>
        <w:bottom w:val="none" w:sz="0" w:space="0" w:color="auto"/>
        <w:right w:val="none" w:sz="0" w:space="0" w:color="auto"/>
      </w:divBdr>
    </w:div>
    <w:div w:id="2137871103">
      <w:bodyDiv w:val="1"/>
      <w:marLeft w:val="0"/>
      <w:marRight w:val="0"/>
      <w:marTop w:val="0"/>
      <w:marBottom w:val="0"/>
      <w:divBdr>
        <w:top w:val="none" w:sz="0" w:space="0" w:color="auto"/>
        <w:left w:val="none" w:sz="0" w:space="0" w:color="auto"/>
        <w:bottom w:val="none" w:sz="0" w:space="0" w:color="auto"/>
        <w:right w:val="none" w:sz="0" w:space="0" w:color="auto"/>
      </w:divBdr>
    </w:div>
    <w:div w:id="21403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psi@nationalarchives.gsi.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ationalarchives.gov.uk/doc/open-government-lic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rah%20Pearce%20%3cSarah.Pearce@ofsted.gov.uk%3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ss.civilservice.gov.uk/blog/2016/06/management-information-guidance/"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statistics/further-education-and-skills-inspections-and-outcomes-as-at-31-august-201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8138-919C-4F6C-B838-8EA0147B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McGreavy</dc:creator>
  <cp:keywords/>
  <dc:description/>
  <cp:lastModifiedBy>Stuart Lloyd</cp:lastModifiedBy>
  <cp:revision>12</cp:revision>
  <cp:lastPrinted>2017-03-14T11:12:00Z</cp:lastPrinted>
  <dcterms:created xsi:type="dcterms:W3CDTF">2017-11-21T18:19:00Z</dcterms:created>
  <dcterms:modified xsi:type="dcterms:W3CDTF">2017-11-23T16:11:00Z</dcterms:modified>
</cp:coreProperties>
</file>