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034067" w:rsidP="002C5025">
            <w:pPr>
              <w:pStyle w:val="MOJaddress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F47796">
            <w:pPr>
              <w:pStyle w:val="MOJaddress"/>
            </w:pPr>
          </w:p>
        </w:tc>
        <w:tc>
          <w:tcPr>
            <w:tcW w:w="3261" w:type="dxa"/>
          </w:tcPr>
          <w:p w:rsidR="00C016D5" w:rsidRPr="00D5584F" w:rsidRDefault="00C016D5" w:rsidP="00D5584F">
            <w:pPr>
              <w:spacing w:after="40" w:line="200" w:lineRule="atLeast"/>
              <w:rPr>
                <w:szCs w:val="22"/>
              </w:rPr>
            </w:pPr>
            <w:r w:rsidRPr="00D5584F">
              <w:rPr>
                <w:szCs w:val="22"/>
              </w:rPr>
              <w:t>Data Access &amp; Compliance</w:t>
            </w:r>
            <w:r>
              <w:rPr>
                <w:szCs w:val="22"/>
              </w:rPr>
              <w:t xml:space="preserve"> </w:t>
            </w:r>
            <w:r w:rsidRPr="00D5584F">
              <w:rPr>
                <w:szCs w:val="22"/>
              </w:rPr>
              <w:t>Unit</w:t>
            </w:r>
          </w:p>
          <w:p w:rsidR="00C016D5" w:rsidRPr="00D5584F" w:rsidRDefault="00C016D5" w:rsidP="00D5584F">
            <w:pPr>
              <w:spacing w:after="40" w:line="200" w:lineRule="atLeast"/>
              <w:rPr>
                <w:szCs w:val="22"/>
              </w:rPr>
            </w:pPr>
            <w:r w:rsidRPr="00D5584F">
              <w:rPr>
                <w:szCs w:val="22"/>
              </w:rPr>
              <w:t>Ministry of Justice</w:t>
            </w:r>
          </w:p>
          <w:p w:rsidR="00C016D5" w:rsidRPr="00D5584F" w:rsidRDefault="00C016D5" w:rsidP="00D5584F">
            <w:pPr>
              <w:spacing w:after="40" w:line="200" w:lineRule="atLeast"/>
              <w:rPr>
                <w:szCs w:val="22"/>
              </w:rPr>
            </w:pPr>
            <w:r w:rsidRPr="00D5584F">
              <w:rPr>
                <w:szCs w:val="22"/>
              </w:rPr>
              <w:t xml:space="preserve">102 Petty France </w:t>
            </w:r>
          </w:p>
          <w:p w:rsidR="00C016D5" w:rsidRPr="00D5584F" w:rsidRDefault="00C016D5" w:rsidP="00D5584F">
            <w:pPr>
              <w:spacing w:after="40" w:line="200" w:lineRule="atLeast"/>
              <w:rPr>
                <w:szCs w:val="22"/>
              </w:rPr>
            </w:pPr>
            <w:r w:rsidRPr="00D5584F">
              <w:rPr>
                <w:szCs w:val="22"/>
              </w:rPr>
              <w:t>London</w:t>
            </w:r>
          </w:p>
          <w:p w:rsidR="00C016D5" w:rsidRDefault="00C016D5" w:rsidP="00D5584F">
            <w:pPr>
              <w:pStyle w:val="MOJaddress"/>
              <w:rPr>
                <w:sz w:val="22"/>
                <w:szCs w:val="22"/>
              </w:rPr>
            </w:pPr>
            <w:r w:rsidRPr="00D5584F">
              <w:rPr>
                <w:sz w:val="22"/>
                <w:szCs w:val="22"/>
              </w:rPr>
              <w:t>SW1H 9AJ</w:t>
            </w:r>
          </w:p>
          <w:p w:rsidR="00C016D5" w:rsidRDefault="00C016D5" w:rsidP="00D5584F">
            <w:pPr>
              <w:pStyle w:val="MOJaddress"/>
              <w:rPr>
                <w:sz w:val="22"/>
                <w:szCs w:val="22"/>
              </w:rPr>
            </w:pPr>
          </w:p>
          <w:p w:rsidR="00C016D5" w:rsidRDefault="00C016D5" w:rsidP="00D5584F">
            <w:pPr>
              <w:pStyle w:val="MOJaddress"/>
            </w:pPr>
            <w:hyperlink r:id="rId9" w:history="1">
              <w:r w:rsidRPr="00CC4A4F">
                <w:rPr>
                  <w:rStyle w:val="Hyperlink"/>
                  <w:sz w:val="22"/>
                  <w:szCs w:val="22"/>
                </w:rPr>
                <w:t>data.access@justice.gsi.gov.uk</w:t>
              </w:r>
            </w:hyperlink>
          </w:p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6C1542" w:rsidRDefault="00004A33" w:rsidP="00D11624">
            <w:pPr>
              <w:pStyle w:val="MOJaddress"/>
            </w:pPr>
            <w:r w:rsidRPr="006C1542">
              <w:rPr>
                <w:sz w:val="22"/>
                <w:szCs w:val="22"/>
              </w:rPr>
              <w:t>October 2017</w:t>
            </w:r>
          </w:p>
        </w:tc>
      </w:tr>
    </w:tbl>
    <w:p w:rsidR="009853E8" w:rsidRPr="00004A33" w:rsidRDefault="009853E8" w:rsidP="007A3DF8">
      <w:pPr>
        <w:rPr>
          <w:b/>
          <w:szCs w:val="22"/>
        </w:rPr>
      </w:pPr>
    </w:p>
    <w:p w:rsidR="009853E8" w:rsidRDefault="007A3DF8" w:rsidP="009853E8">
      <w:pPr>
        <w:rPr>
          <w:b/>
          <w:color w:val="0000CC"/>
          <w:szCs w:val="22"/>
        </w:rPr>
      </w:pPr>
      <w:r>
        <w:rPr>
          <w:b/>
          <w:szCs w:val="22"/>
        </w:rPr>
        <w:t xml:space="preserve">Freedom of Information Act (FOIA) </w:t>
      </w:r>
      <w:r w:rsidRPr="00004A33">
        <w:rPr>
          <w:b/>
          <w:szCs w:val="22"/>
        </w:rPr>
        <w:t>Request –</w:t>
      </w:r>
      <w:r w:rsidR="003304CE">
        <w:rPr>
          <w:b/>
          <w:szCs w:val="22"/>
        </w:rPr>
        <w:t xml:space="preserve"> </w:t>
      </w:r>
      <w:r w:rsidR="00004A33" w:rsidRPr="00004A33">
        <w:rPr>
          <w:szCs w:val="22"/>
        </w:rPr>
        <w:t>170919013</w:t>
      </w:r>
    </w:p>
    <w:p w:rsidR="009853E8" w:rsidRDefault="009853E8" w:rsidP="009853E8">
      <w:pPr>
        <w:rPr>
          <w:b/>
          <w:color w:val="0000CC"/>
          <w:szCs w:val="22"/>
        </w:rPr>
      </w:pPr>
    </w:p>
    <w:p w:rsidR="00CA5194" w:rsidRDefault="00CA5194" w:rsidP="00CA5194">
      <w:r>
        <w:t>Thank you for your request in which</w:t>
      </w:r>
      <w:r w:rsidR="00A54B9C">
        <w:t xml:space="preserve"> you</w:t>
      </w:r>
      <w:r>
        <w:t xml:space="preserve"> asked for the following information from the Ministry of Justice (MoJ):  </w:t>
      </w:r>
    </w:p>
    <w:p w:rsidR="00CA5194" w:rsidRDefault="00CA5194" w:rsidP="00CA5194">
      <w:pPr>
        <w:rPr>
          <w:rFonts w:cs="Arial"/>
          <w:szCs w:val="22"/>
        </w:rPr>
      </w:pPr>
    </w:p>
    <w:p w:rsidR="00004A33" w:rsidRPr="00004A33" w:rsidRDefault="00004A33" w:rsidP="00CA5194">
      <w:pPr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Between August 2014 and August 2017 how many defendants have been sentenced at Sheffield Crown Court for the following charges: </w:t>
      </w:r>
    </w:p>
    <w:p w:rsidR="00004A33" w:rsidRPr="00004A33" w:rsidRDefault="00004A33" w:rsidP="00CA5194">
      <w:pPr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</w:p>
    <w:p w:rsidR="00004A33" w:rsidRPr="00004A33" w:rsidRDefault="00004A33" w:rsidP="00CA5194">
      <w:pPr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- Possession of an offensive weapon in a public place; </w:t>
      </w:r>
    </w:p>
    <w:p w:rsidR="00004A33" w:rsidRPr="00004A33" w:rsidRDefault="00004A33" w:rsidP="00CA5194">
      <w:pPr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- Possession of an article with a blade/ point in a public place; </w:t>
      </w:r>
    </w:p>
    <w:p w:rsidR="00004A33" w:rsidRPr="00004A33" w:rsidRDefault="00004A33" w:rsidP="00CA5194">
      <w:pPr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- Possession of an offensive weapon on school premises; and </w:t>
      </w: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preview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>- Possession of an article with bl</w:t>
      </w:r>
      <w:r w:rsidRPr="00004A33"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ade/ point on school premises </w:t>
      </w: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Can you please provide a breakdown by year, so between August 2014-2015, August 2015-August 2016 and August 2016- August 2017. </w:t>
      </w: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Of those defendants how many had a previous relevant conviction for knife crime? </w:t>
      </w: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A ‘relevant offence’ includes those offences listed above and the following offences; </w:t>
      </w: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Threatening with an offensive weapon in a public place; </w:t>
      </w: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Threatening with an article with a blade/ point in a public place; </w:t>
      </w: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Threatening with an article with a blade/ point on school premises; and </w:t>
      </w: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 xml:space="preserve">Threatening with an offensive weapon on school premises. </w:t>
      </w:r>
    </w:p>
    <w:p w:rsidR="00004A33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</w:p>
    <w:p w:rsidR="00CA5194" w:rsidRPr="00004A33" w:rsidRDefault="00004A33" w:rsidP="00CA5194">
      <w:pPr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</w:pPr>
      <w:r w:rsidRPr="00004A33">
        <w:rPr>
          <w:rStyle w:val="ellipsis-complete"/>
          <w:rFonts w:cs="Arial"/>
          <w:b/>
          <w:i/>
          <w:color w:val="0B0C0C"/>
          <w:szCs w:val="22"/>
          <w:bdr w:val="none" w:sz="0" w:space="0" w:color="auto" w:frame="1"/>
          <w:shd w:val="clear" w:color="auto" w:fill="FFFFFF"/>
        </w:rPr>
        <w:t>Of the defendants who have two or more relevant convictions for knife crime, how many were given the the minimum sentence of at least 6 months imprisonment? And how many were given suspended sentences?</w:t>
      </w:r>
    </w:p>
    <w:p w:rsidR="00004A33" w:rsidRPr="00004A33" w:rsidRDefault="00004A33" w:rsidP="00CA5194">
      <w:pPr>
        <w:rPr>
          <w:rFonts w:cs="Arial"/>
          <w:i/>
          <w:szCs w:val="22"/>
        </w:rPr>
      </w:pPr>
    </w:p>
    <w:p w:rsidR="00D11624" w:rsidRDefault="00D11624" w:rsidP="00CA5194">
      <w:pPr>
        <w:rPr>
          <w:rFonts w:cs="Arial"/>
          <w:szCs w:val="22"/>
        </w:rPr>
      </w:pPr>
      <w:r>
        <w:rPr>
          <w:rFonts w:cs="Arial"/>
          <w:szCs w:val="22"/>
        </w:rPr>
        <w:t>Your request has been handled under the FOIA.</w:t>
      </w:r>
    </w:p>
    <w:p w:rsidR="00D11624" w:rsidRDefault="00D11624" w:rsidP="00CA5194">
      <w:pPr>
        <w:rPr>
          <w:rFonts w:cs="Arial"/>
          <w:szCs w:val="22"/>
        </w:rPr>
      </w:pPr>
    </w:p>
    <w:p w:rsidR="00CA5194" w:rsidRDefault="00CA5194" w:rsidP="00CA5194">
      <w:pPr>
        <w:rPr>
          <w:rFonts w:cs="Arial"/>
          <w:color w:val="0000CC"/>
          <w:szCs w:val="22"/>
        </w:rPr>
      </w:pPr>
      <w:r>
        <w:rPr>
          <w:rFonts w:cs="Arial"/>
          <w:szCs w:val="22"/>
        </w:rPr>
        <w:t xml:space="preserve">I can confirm that the MoJ holds the information that you have requested and I have provided it </w:t>
      </w:r>
      <w:r w:rsidR="003304CE" w:rsidRPr="003304CE">
        <w:rPr>
          <w:rFonts w:cs="Arial"/>
          <w:szCs w:val="22"/>
        </w:rPr>
        <w:t>below</w:t>
      </w:r>
      <w:r w:rsidRPr="003304CE">
        <w:rPr>
          <w:rFonts w:cs="Arial"/>
          <w:szCs w:val="22"/>
        </w:rPr>
        <w:t>.</w:t>
      </w:r>
    </w:p>
    <w:p w:rsidR="00CA5194" w:rsidRDefault="00CA5194" w:rsidP="00CA5194">
      <w:pPr>
        <w:rPr>
          <w:rFonts w:cs="Arial"/>
          <w:color w:val="0000CC"/>
          <w:szCs w:val="22"/>
        </w:rPr>
      </w:pPr>
    </w:p>
    <w:p w:rsidR="00AA3C91" w:rsidRPr="006205F8" w:rsidRDefault="003304CE" w:rsidP="00CA5194">
      <w:pPr>
        <w:rPr>
          <w:rFonts w:cs="Arial"/>
          <w:szCs w:val="22"/>
        </w:rPr>
      </w:pPr>
      <w:r w:rsidRPr="006205F8">
        <w:rPr>
          <w:rFonts w:cs="Arial"/>
          <w:szCs w:val="22"/>
        </w:rPr>
        <w:t xml:space="preserve">Statistics on knife </w:t>
      </w:r>
      <w:r w:rsidR="0060674E" w:rsidRPr="006205F8">
        <w:rPr>
          <w:rFonts w:cs="Arial"/>
          <w:szCs w:val="22"/>
        </w:rPr>
        <w:t>possession sentencing are</w:t>
      </w:r>
      <w:r w:rsidRPr="006205F8">
        <w:rPr>
          <w:rFonts w:cs="Arial"/>
          <w:szCs w:val="22"/>
        </w:rPr>
        <w:t xml:space="preserve"> not</w:t>
      </w:r>
      <w:r w:rsidR="0060674E" w:rsidRPr="006205F8">
        <w:rPr>
          <w:rFonts w:cs="Arial"/>
          <w:szCs w:val="22"/>
        </w:rPr>
        <w:t xml:space="preserve"> available </w:t>
      </w:r>
      <w:r w:rsidRPr="006205F8">
        <w:rPr>
          <w:rFonts w:cs="Arial"/>
          <w:szCs w:val="22"/>
        </w:rPr>
        <w:t>up to August 2017, however your questions has been answered</w:t>
      </w:r>
      <w:r w:rsidR="00AA3C91" w:rsidRPr="006205F8">
        <w:rPr>
          <w:rFonts w:cs="Arial"/>
          <w:szCs w:val="22"/>
        </w:rPr>
        <w:t xml:space="preserve"> with the </w:t>
      </w:r>
      <w:r w:rsidRPr="006205F8">
        <w:rPr>
          <w:rFonts w:cs="Arial"/>
          <w:szCs w:val="22"/>
        </w:rPr>
        <w:t>latest</w:t>
      </w:r>
      <w:r w:rsidR="0060674E" w:rsidRPr="006205F8">
        <w:rPr>
          <w:rFonts w:cs="Arial"/>
          <w:szCs w:val="22"/>
        </w:rPr>
        <w:t xml:space="preserve"> period that figures are available</w:t>
      </w:r>
      <w:r w:rsidR="00AA3C91" w:rsidRPr="006205F8">
        <w:rPr>
          <w:rFonts w:cs="Arial"/>
          <w:szCs w:val="22"/>
        </w:rPr>
        <w:t>.</w:t>
      </w:r>
    </w:p>
    <w:p w:rsidR="00CA5194" w:rsidRPr="006205F8" w:rsidRDefault="003304CE" w:rsidP="00CA5194">
      <w:pPr>
        <w:rPr>
          <w:rFonts w:cs="Arial"/>
          <w:szCs w:val="22"/>
        </w:rPr>
      </w:pPr>
      <w:r w:rsidRPr="006205F8">
        <w:rPr>
          <w:rFonts w:cs="Arial"/>
          <w:szCs w:val="22"/>
        </w:rPr>
        <w:t xml:space="preserve">  </w:t>
      </w:r>
    </w:p>
    <w:p w:rsidR="003304CE" w:rsidRPr="006205F8" w:rsidRDefault="003304CE" w:rsidP="00CA5194">
      <w:pPr>
        <w:rPr>
          <w:rFonts w:cs="Arial"/>
          <w:szCs w:val="22"/>
        </w:rPr>
      </w:pPr>
    </w:p>
    <w:p w:rsidR="00392BC8" w:rsidRDefault="003304CE" w:rsidP="00CA5194">
      <w:pPr>
        <w:rPr>
          <w:rFonts w:cs="Arial"/>
          <w:szCs w:val="22"/>
        </w:rPr>
      </w:pPr>
      <w:r w:rsidRPr="006205F8">
        <w:rPr>
          <w:rFonts w:cs="Arial"/>
          <w:szCs w:val="22"/>
        </w:rPr>
        <w:lastRenderedPageBreak/>
        <w:t>The table below</w:t>
      </w:r>
      <w:r w:rsidR="00AA3C91" w:rsidRPr="006205F8">
        <w:rPr>
          <w:rFonts w:cs="Arial"/>
          <w:szCs w:val="22"/>
        </w:rPr>
        <w:t xml:space="preserve"> illustrates number of offenders who were sentenced</w:t>
      </w:r>
      <w:r w:rsidR="0060674E" w:rsidRPr="006205F8">
        <w:rPr>
          <w:rFonts w:cs="Arial"/>
          <w:szCs w:val="22"/>
        </w:rPr>
        <w:t xml:space="preserve"> for the possession of knife or offensive weapon offence at Sheffield Crown Court for each year ending June between 2015 and 2017. For this group of offenders </w:t>
      </w:r>
      <w:r w:rsidR="00392BC8">
        <w:rPr>
          <w:rFonts w:cs="Arial"/>
          <w:szCs w:val="22"/>
        </w:rPr>
        <w:t xml:space="preserve">the table provides </w:t>
      </w:r>
    </w:p>
    <w:p w:rsidR="00F94EF0" w:rsidRDefault="00F94EF0" w:rsidP="00CA5194">
      <w:pPr>
        <w:rPr>
          <w:rFonts w:cs="Arial"/>
          <w:szCs w:val="22"/>
        </w:rPr>
      </w:pPr>
    </w:p>
    <w:p w:rsidR="00F94EF0" w:rsidRDefault="00F94EF0" w:rsidP="00F94EF0">
      <w:pPr>
        <w:numPr>
          <w:ilvl w:val="0"/>
          <w:numId w:val="4"/>
        </w:numPr>
        <w:rPr>
          <w:rFonts w:cs="Arial"/>
          <w:szCs w:val="22"/>
        </w:rPr>
      </w:pPr>
      <w:r w:rsidRPr="006205F8">
        <w:rPr>
          <w:rFonts w:cs="Arial"/>
          <w:szCs w:val="22"/>
        </w:rPr>
        <w:t>the number of offenders who have been convicted or cautioned for one or more</w:t>
      </w:r>
      <w:r>
        <w:rPr>
          <w:rFonts w:cs="Arial"/>
          <w:szCs w:val="22"/>
        </w:rPr>
        <w:t xml:space="preserve"> </w:t>
      </w:r>
      <w:r w:rsidRPr="006205F8">
        <w:rPr>
          <w:rFonts w:cs="Arial"/>
          <w:szCs w:val="22"/>
        </w:rPr>
        <w:t>previous knife possession offences</w:t>
      </w:r>
    </w:p>
    <w:p w:rsidR="00F94EF0" w:rsidRDefault="00F94EF0" w:rsidP="00F94EF0">
      <w:pPr>
        <w:numPr>
          <w:ilvl w:val="0"/>
          <w:numId w:val="4"/>
        </w:numPr>
        <w:rPr>
          <w:rFonts w:cs="Arial"/>
          <w:szCs w:val="22"/>
        </w:rPr>
      </w:pPr>
      <w:r w:rsidRPr="00F94EF0">
        <w:rPr>
          <w:rFonts w:cs="Arial"/>
          <w:szCs w:val="22"/>
        </w:rPr>
        <w:t>the number of offenders who received a suspended sentence order who have been convicted or cautioned for two or more previous knife possession offences and</w:t>
      </w:r>
    </w:p>
    <w:p w:rsidR="00F94EF0" w:rsidRDefault="00F94EF0" w:rsidP="00F94EF0">
      <w:pPr>
        <w:numPr>
          <w:ilvl w:val="0"/>
          <w:numId w:val="4"/>
        </w:numPr>
        <w:tabs>
          <w:tab w:val="left" w:pos="284"/>
        </w:tabs>
        <w:rPr>
          <w:rFonts w:cs="Arial"/>
          <w:szCs w:val="22"/>
        </w:rPr>
      </w:pPr>
      <w:r w:rsidRPr="006205F8">
        <w:rPr>
          <w:rFonts w:cs="Arial"/>
          <w:szCs w:val="22"/>
        </w:rPr>
        <w:t>the number of offenders receiving an immediate custodial sentence of at least six months who have been convicted or cautioned for two or more previous knife possession offences.</w:t>
      </w:r>
    </w:p>
    <w:p w:rsidR="00DD521F" w:rsidRDefault="00DD521F" w:rsidP="00CA5194">
      <w:pPr>
        <w:rPr>
          <w:rFonts w:cs="Arial"/>
          <w:szCs w:val="22"/>
        </w:rPr>
      </w:pPr>
    </w:p>
    <w:p w:rsidR="00DD521F" w:rsidRDefault="00034067" w:rsidP="00CA5194">
      <w:pPr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5724525" cy="3819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4CE" w:rsidRPr="006205F8" w:rsidRDefault="00034067" w:rsidP="00CA5194">
      <w:pPr>
        <w:rPr>
          <w:rFonts w:cs="Arial"/>
          <w:szCs w:val="22"/>
        </w:rPr>
      </w:pPr>
      <w:r w:rsidRPr="00DD521F">
        <w:rPr>
          <w:noProof/>
        </w:rPr>
        <w:drawing>
          <wp:inline distT="0" distB="0" distL="0" distR="0">
            <wp:extent cx="5724525" cy="3524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85" w:rsidRPr="006205F8">
        <w:rPr>
          <w:rFonts w:cs="Arial"/>
          <w:szCs w:val="22"/>
        </w:rPr>
        <w:t>These figures have been drawn from the Police National Computer which, as with any large scale administrative IT system, are subject to possible errors with data entry and processing.</w:t>
      </w:r>
      <w:r w:rsidR="00054AF5" w:rsidRPr="006205F8">
        <w:rPr>
          <w:rFonts w:cs="Arial"/>
          <w:szCs w:val="22"/>
        </w:rPr>
        <w:t xml:space="preserve">  </w:t>
      </w:r>
      <w:r w:rsidR="00AA3C91" w:rsidRPr="006205F8">
        <w:rPr>
          <w:rFonts w:cs="Arial"/>
          <w:szCs w:val="22"/>
        </w:rPr>
        <w:t xml:space="preserve"> </w:t>
      </w:r>
      <w:r w:rsidR="003304CE" w:rsidRPr="006205F8">
        <w:rPr>
          <w:rFonts w:cs="Arial"/>
          <w:szCs w:val="22"/>
        </w:rPr>
        <w:t xml:space="preserve"> </w:t>
      </w:r>
    </w:p>
    <w:p w:rsidR="00CA5194" w:rsidRDefault="00CA5194" w:rsidP="00CA5194">
      <w:pPr>
        <w:rPr>
          <w:rFonts w:cs="Arial"/>
          <w:szCs w:val="22"/>
        </w:rPr>
      </w:pPr>
    </w:p>
    <w:p w:rsidR="00CA5194" w:rsidRDefault="00CA5194" w:rsidP="00CA5194">
      <w:pPr>
        <w:rPr>
          <w:szCs w:val="22"/>
        </w:rPr>
      </w:pPr>
    </w:p>
    <w:p w:rsidR="00CA5194" w:rsidRDefault="00CA5194" w:rsidP="00CA5194">
      <w:pPr>
        <w:rPr>
          <w:szCs w:val="22"/>
        </w:rPr>
      </w:pPr>
      <w:r>
        <w:rPr>
          <w:szCs w:val="22"/>
        </w:rPr>
        <w:t xml:space="preserve">Yours sincerely </w:t>
      </w:r>
    </w:p>
    <w:p w:rsidR="00CA5194" w:rsidRDefault="00CA5194" w:rsidP="00CA5194">
      <w:pPr>
        <w:rPr>
          <w:szCs w:val="22"/>
        </w:rPr>
      </w:pPr>
    </w:p>
    <w:p w:rsidR="003304CE" w:rsidRPr="003304CE" w:rsidRDefault="003304CE" w:rsidP="003304CE">
      <w:pPr>
        <w:rPr>
          <w:color w:val="0000CC"/>
          <w:szCs w:val="22"/>
        </w:rPr>
      </w:pPr>
      <w:r>
        <w:rPr>
          <w:szCs w:val="22"/>
        </w:rPr>
        <w:t>Justice Statistics Analytical Services</w:t>
      </w:r>
    </w:p>
    <w:p w:rsidR="00D5584F" w:rsidRDefault="00D5584F" w:rsidP="00CA5194">
      <w:pPr>
        <w:rPr>
          <w:color w:val="0000CC"/>
          <w:szCs w:val="22"/>
        </w:rPr>
      </w:pPr>
    </w:p>
    <w:p w:rsidR="006E32CA" w:rsidRPr="009C4B46" w:rsidRDefault="006E32CA" w:rsidP="00CA5194">
      <w:pPr>
        <w:rPr>
          <w:color w:val="0000CC"/>
          <w:szCs w:val="22"/>
        </w:rPr>
      </w:pPr>
    </w:p>
    <w:sectPr w:rsidR="006E32CA" w:rsidRPr="009C4B46" w:rsidSect="00561341">
      <w:footerReference w:type="default" r:id="rId12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CF" w:rsidRDefault="00A160CF">
      <w:r>
        <w:separator/>
      </w:r>
    </w:p>
  </w:endnote>
  <w:endnote w:type="continuationSeparator" w:id="0">
    <w:p w:rsidR="00A160CF" w:rsidRDefault="00A1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06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CF" w:rsidRDefault="00A160CF">
      <w:r>
        <w:separator/>
      </w:r>
    </w:p>
  </w:footnote>
  <w:footnote w:type="continuationSeparator" w:id="0">
    <w:p w:rsidR="00A160CF" w:rsidRDefault="00A1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5439F"/>
    <w:multiLevelType w:val="hybridMultilevel"/>
    <w:tmpl w:val="CFE29240"/>
    <w:lvl w:ilvl="0" w:tplc="506CB5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6286"/>
    <w:multiLevelType w:val="hybridMultilevel"/>
    <w:tmpl w:val="FFFAC85E"/>
    <w:lvl w:ilvl="0" w:tplc="506CB5B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04A33"/>
    <w:rsid w:val="00017054"/>
    <w:rsid w:val="000222E7"/>
    <w:rsid w:val="000222F6"/>
    <w:rsid w:val="00026D9A"/>
    <w:rsid w:val="00032200"/>
    <w:rsid w:val="00034067"/>
    <w:rsid w:val="00037330"/>
    <w:rsid w:val="00054AF5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A6E0D"/>
    <w:rsid w:val="001B6FB2"/>
    <w:rsid w:val="001C54E1"/>
    <w:rsid w:val="001C779E"/>
    <w:rsid w:val="001E0568"/>
    <w:rsid w:val="001E1665"/>
    <w:rsid w:val="001F33F4"/>
    <w:rsid w:val="002504EB"/>
    <w:rsid w:val="00255FC6"/>
    <w:rsid w:val="00273E23"/>
    <w:rsid w:val="00285A9C"/>
    <w:rsid w:val="00286352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04CE"/>
    <w:rsid w:val="003366B3"/>
    <w:rsid w:val="00375DDC"/>
    <w:rsid w:val="00376A97"/>
    <w:rsid w:val="00377D6F"/>
    <w:rsid w:val="0038642F"/>
    <w:rsid w:val="00392BC8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0674E"/>
    <w:rsid w:val="006205F8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91D5D"/>
    <w:rsid w:val="006C1542"/>
    <w:rsid w:val="006C72DE"/>
    <w:rsid w:val="006E32CA"/>
    <w:rsid w:val="006E79A6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60DF8"/>
    <w:rsid w:val="00880411"/>
    <w:rsid w:val="00882334"/>
    <w:rsid w:val="00886775"/>
    <w:rsid w:val="00892055"/>
    <w:rsid w:val="00896E91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60CF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A3C91"/>
    <w:rsid w:val="00AD7505"/>
    <w:rsid w:val="00AE7402"/>
    <w:rsid w:val="00AF2FD9"/>
    <w:rsid w:val="00B01B28"/>
    <w:rsid w:val="00B22B85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93EF7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21F"/>
    <w:rsid w:val="00DD5704"/>
    <w:rsid w:val="00DE65A5"/>
    <w:rsid w:val="00DE71AB"/>
    <w:rsid w:val="00E07BB4"/>
    <w:rsid w:val="00E4338B"/>
    <w:rsid w:val="00E51801"/>
    <w:rsid w:val="00E53522"/>
    <w:rsid w:val="00E575DD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47796"/>
    <w:rsid w:val="00F61AFC"/>
    <w:rsid w:val="00F74765"/>
    <w:rsid w:val="00F779B2"/>
    <w:rsid w:val="00F81AD5"/>
    <w:rsid w:val="00F82DB8"/>
    <w:rsid w:val="00F92115"/>
    <w:rsid w:val="00F94EF0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FFDE39-A60E-45FB-8690-CC4D61D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-preview">
    <w:name w:val="ellipsis-preview"/>
    <w:rsid w:val="00004A33"/>
  </w:style>
  <w:style w:type="character" w:customStyle="1" w:styleId="ellipsis-complete">
    <w:name w:val="ellipsis-complete"/>
    <w:rsid w:val="0000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data.access@justice.gsi.gov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F722-ECA2-4CD2-9237-0D7DAF9D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170919013 Knife possession in Sheffield</vt:lpstr>
    </vt:vector>
  </TitlesOfParts>
  <Manager>Ministry of Justice</Manager>
  <Company>Ministry of Justice</Company>
  <LinksUpToDate>false</LinksUpToDate>
  <CharactersWithSpaces>2767</CharactersWithSpaces>
  <SharedDoc>false</SharedDoc>
  <HLinks>
    <vt:vector size="6" baseType="variant"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170919013 Knife possession in Sheffield</dc:title>
  <dc:subject>FOI Release</dc:subject>
  <dc:creator>Ministry of Justice</dc:creator>
  <cp:keywords>Ministry of Justice, MoJ, letterhead,</cp:keywords>
  <dc:description/>
  <cp:lastModifiedBy>Cox, Allan</cp:lastModifiedBy>
  <cp:revision>2</cp:revision>
  <cp:lastPrinted>2015-07-06T11:35:00Z</cp:lastPrinted>
  <dcterms:created xsi:type="dcterms:W3CDTF">2017-11-10T15:56:00Z</dcterms:created>
  <dcterms:modified xsi:type="dcterms:W3CDTF">2017-11-10T15:56:00Z</dcterms:modified>
  <cp:category>letterhead</cp:category>
</cp:coreProperties>
</file>