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CEB" w:rsidRDefault="00FC5CEB" w:rsidP="004667E7">
      <w:pPr>
        <w:pStyle w:val="ChptHead"/>
        <w:numPr>
          <w:ilvl w:val="0"/>
          <w:numId w:val="0"/>
        </w:numPr>
        <w:spacing w:before="480" w:after="0"/>
        <w:ind w:left="360" w:hanging="360"/>
        <w:contextualSpacing w:val="0"/>
        <w:rPr>
          <w:rFonts w:ascii="Times New Roman" w:hAnsi="Times New Roman"/>
          <w:b/>
          <w:color w:val="auto"/>
          <w:sz w:val="28"/>
          <w:szCs w:val="28"/>
        </w:rPr>
      </w:pPr>
      <w:bookmarkStart w:id="0" w:name="_Toc445795221"/>
      <w:r>
        <w:rPr>
          <w:rFonts w:ascii="Times New Roman" w:hAnsi="Times New Roman"/>
          <w:b/>
          <w:noProof/>
          <w:color w:val="auto"/>
          <w:sz w:val="28"/>
          <w:szCs w:val="28"/>
          <w:lang w:eastAsia="en-GB"/>
        </w:rPr>
        <w:drawing>
          <wp:inline distT="0" distB="0" distL="0" distR="0" wp14:anchorId="4118E764" wp14:editId="7371B207">
            <wp:extent cx="1054660" cy="560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low-res-Dept-for-Business-Energy-and-Industrial-Strat_294_SML_AW-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0599" cy="563305"/>
                    </a:xfrm>
                    <a:prstGeom prst="rect">
                      <a:avLst/>
                    </a:prstGeom>
                  </pic:spPr>
                </pic:pic>
              </a:graphicData>
            </a:graphic>
          </wp:inline>
        </w:drawing>
      </w:r>
    </w:p>
    <w:p w:rsidR="004667E7" w:rsidRPr="00D3047B" w:rsidRDefault="00FC5CEB" w:rsidP="004667E7">
      <w:pPr>
        <w:pStyle w:val="ChptHead"/>
        <w:numPr>
          <w:ilvl w:val="0"/>
          <w:numId w:val="0"/>
        </w:numPr>
        <w:spacing w:before="480" w:after="0"/>
        <w:ind w:left="360" w:hanging="360"/>
        <w:contextualSpacing w:val="0"/>
        <w:rPr>
          <w:rFonts w:ascii="Times New Roman" w:hAnsi="Times New Roman"/>
          <w:b/>
          <w:color w:val="auto"/>
          <w:sz w:val="28"/>
          <w:szCs w:val="28"/>
        </w:rPr>
      </w:pPr>
      <w:r>
        <w:rPr>
          <w:rFonts w:ascii="Times New Roman" w:hAnsi="Times New Roman"/>
          <w:b/>
          <w:color w:val="auto"/>
          <w:sz w:val="28"/>
          <w:szCs w:val="28"/>
        </w:rPr>
        <w:t>R</w:t>
      </w:r>
      <w:bookmarkStart w:id="1" w:name="_GoBack"/>
      <w:bookmarkEnd w:id="1"/>
      <w:r w:rsidR="004667E7" w:rsidRPr="00D3047B">
        <w:rPr>
          <w:rFonts w:ascii="Times New Roman" w:hAnsi="Times New Roman"/>
          <w:b/>
          <w:color w:val="auto"/>
          <w:sz w:val="28"/>
          <w:szCs w:val="28"/>
        </w:rPr>
        <w:t>egistration and Declaration</w:t>
      </w:r>
      <w:bookmarkEnd w:id="0"/>
    </w:p>
    <w:p w:rsidR="004667E7" w:rsidRPr="00D3047B" w:rsidRDefault="004667E7" w:rsidP="004667E7">
      <w:pPr>
        <w:spacing w:line="276" w:lineRule="auto"/>
        <w:jc w:val="both"/>
        <w:rPr>
          <w:rFonts w:ascii="Times New Roman" w:hAnsi="Times New Roman" w:cs="Times New Roman"/>
        </w:rPr>
      </w:pPr>
    </w:p>
    <w:p w:rsidR="004667E7" w:rsidRPr="00D3047B" w:rsidRDefault="004667E7" w:rsidP="004667E7">
      <w:pPr>
        <w:spacing w:line="276" w:lineRule="auto"/>
        <w:jc w:val="both"/>
        <w:rPr>
          <w:rFonts w:ascii="Times New Roman" w:hAnsi="Times New Roman" w:cs="Times New Roman"/>
          <w:b/>
        </w:rPr>
      </w:pPr>
      <w:r w:rsidRPr="00D3047B">
        <w:rPr>
          <w:rFonts w:ascii="Times New Roman" w:hAnsi="Times New Roman" w:cs="Times New Roman"/>
          <w:b/>
        </w:rPr>
        <w:t>Registration and declaration sheet to be completed and returned by 12pm on Monday 20</w:t>
      </w:r>
      <w:r w:rsidRPr="00D3047B">
        <w:rPr>
          <w:rFonts w:ascii="Times New Roman" w:hAnsi="Times New Roman" w:cs="Times New Roman"/>
          <w:b/>
          <w:vertAlign w:val="superscript"/>
        </w:rPr>
        <w:t>th</w:t>
      </w:r>
      <w:r w:rsidRPr="00D3047B">
        <w:rPr>
          <w:rFonts w:ascii="Times New Roman" w:hAnsi="Times New Roman" w:cs="Times New Roman"/>
          <w:b/>
        </w:rPr>
        <w:t xml:space="preserve"> November.</w:t>
      </w:r>
    </w:p>
    <w:p w:rsidR="004667E7" w:rsidRPr="00D3047B" w:rsidRDefault="004667E7" w:rsidP="004667E7">
      <w:pPr>
        <w:rPr>
          <w:rFonts w:ascii="Times New Roman" w:hAnsi="Times New Roman" w:cs="Times New Roman"/>
          <w:b/>
        </w:rPr>
      </w:pPr>
    </w:p>
    <w:p w:rsidR="004F445B" w:rsidRDefault="004F445B" w:rsidP="004667E7">
      <w:pPr>
        <w:rPr>
          <w:rFonts w:ascii="Times New Roman" w:hAnsi="Times New Roman" w:cs="Times New Roman"/>
        </w:rPr>
      </w:pPr>
      <w:r w:rsidRPr="004F445B">
        <w:rPr>
          <w:rFonts w:ascii="Times New Roman" w:hAnsi="Times New Roman" w:cs="Times New Roman"/>
        </w:rPr>
        <w:t xml:space="preserve">The workshop will take place at the Church House Conference Centre, Dean’s Yard, Westminster, London SW1P 3NZ between 10am and 4pm. </w:t>
      </w:r>
      <w:proofErr w:type="gramStart"/>
      <w:r>
        <w:rPr>
          <w:rFonts w:ascii="Times New Roman" w:hAnsi="Times New Roman" w:cs="Times New Roman"/>
        </w:rPr>
        <w:t>Joining</w:t>
      </w:r>
      <w:proofErr w:type="gramEnd"/>
      <w:r>
        <w:rPr>
          <w:rFonts w:ascii="Times New Roman" w:hAnsi="Times New Roman" w:cs="Times New Roman"/>
        </w:rPr>
        <w:t xml:space="preserve"> instructions will be sent out once you have registered.</w:t>
      </w:r>
    </w:p>
    <w:p w:rsidR="004F445B" w:rsidRPr="004F445B" w:rsidRDefault="004F445B" w:rsidP="004667E7">
      <w:pPr>
        <w:rPr>
          <w:rFonts w:ascii="Times New Roman" w:hAnsi="Times New Roman" w:cs="Times New Roman"/>
        </w:rPr>
      </w:pPr>
      <w:r w:rsidRPr="004F445B">
        <w:rPr>
          <w:rFonts w:ascii="Times New Roman" w:hAnsi="Times New Roman" w:cs="Times New Roman"/>
        </w:rPr>
        <w:t xml:space="preserve"> </w:t>
      </w:r>
    </w:p>
    <w:p w:rsidR="004667E7" w:rsidRPr="00D3047B" w:rsidRDefault="004667E7" w:rsidP="004667E7">
      <w:pPr>
        <w:rPr>
          <w:rFonts w:ascii="Times New Roman" w:hAnsi="Times New Roman" w:cs="Times New Roman"/>
        </w:rPr>
      </w:pPr>
      <w:r w:rsidRPr="00D3047B">
        <w:rPr>
          <w:rFonts w:ascii="Times New Roman" w:hAnsi="Times New Roman" w:cs="Times New Roman"/>
        </w:rPr>
        <w:t xml:space="preserve">Participation is subject to the commercial eligibility criteria of the BEIS SMR competition.  Vendors who have not previously submitted an eligibility declaration are asked to complete the declaration when registering for the event.  Please note that any future initiatives may be subject to more stringent eligibility criteria.  </w:t>
      </w:r>
    </w:p>
    <w:p w:rsidR="004667E7" w:rsidRPr="00D3047B" w:rsidRDefault="004667E7" w:rsidP="004667E7">
      <w:pPr>
        <w:rPr>
          <w:rFonts w:ascii="Times New Roman" w:hAnsi="Times New Roman" w:cs="Times New Roman"/>
        </w:rPr>
      </w:pPr>
    </w:p>
    <w:p w:rsidR="004667E7" w:rsidRPr="00D3047B" w:rsidRDefault="004667E7" w:rsidP="004667E7">
      <w:pPr>
        <w:rPr>
          <w:rFonts w:ascii="Times New Roman" w:hAnsi="Times New Roman" w:cs="Times New Roman"/>
        </w:rPr>
      </w:pPr>
      <w:r w:rsidRPr="00D3047B">
        <w:rPr>
          <w:rFonts w:ascii="Times New Roman" w:hAnsi="Times New Roman" w:cs="Times New Roman"/>
        </w:rPr>
        <w:t xml:space="preserve">As we expect a high level of interest in this event we anticipate that only two people per organisation will be able to attend although we will confirm this nearer the time. </w:t>
      </w:r>
    </w:p>
    <w:p w:rsidR="004667E7" w:rsidRPr="00D3047B" w:rsidRDefault="004667E7" w:rsidP="004667E7">
      <w:pPr>
        <w:rPr>
          <w:rFonts w:ascii="Times New Roman" w:hAnsi="Times New Roman" w:cs="Times New Roman"/>
        </w:rPr>
      </w:pPr>
    </w:p>
    <w:p w:rsidR="004667E7" w:rsidRPr="00D3047B" w:rsidRDefault="004667E7" w:rsidP="004667E7">
      <w:pPr>
        <w:spacing w:line="276" w:lineRule="auto"/>
        <w:jc w:val="both"/>
        <w:rPr>
          <w:rFonts w:ascii="Times New Roman" w:hAnsi="Times New Roman" w:cs="Times New Roman"/>
        </w:rPr>
      </w:pPr>
      <w:r w:rsidRPr="00D3047B">
        <w:rPr>
          <w:rFonts w:ascii="Times New Roman" w:hAnsi="Times New Roman" w:cs="Times New Roman"/>
        </w:rPr>
        <w:t xml:space="preserve">To: The Department of Business, Energy and Industrial Strategy </w:t>
      </w:r>
    </w:p>
    <w:p w:rsidR="004667E7" w:rsidRPr="00D3047B" w:rsidRDefault="004667E7" w:rsidP="004667E7">
      <w:pPr>
        <w:spacing w:line="276" w:lineRule="auto"/>
        <w:jc w:val="both"/>
        <w:rPr>
          <w:rFonts w:ascii="Times New Roman" w:hAnsi="Times New Roman" w:cs="Times New Roman"/>
        </w:rPr>
      </w:pPr>
    </w:p>
    <w:p w:rsidR="004667E7" w:rsidRPr="00D3047B" w:rsidRDefault="004667E7" w:rsidP="004667E7">
      <w:pPr>
        <w:spacing w:line="276" w:lineRule="auto"/>
        <w:jc w:val="both"/>
        <w:rPr>
          <w:rFonts w:ascii="Times New Roman" w:hAnsi="Times New Roman" w:cs="Times New Roman"/>
        </w:rPr>
      </w:pPr>
      <w:r w:rsidRPr="00D3047B">
        <w:rPr>
          <w:rFonts w:ascii="Times New Roman" w:hAnsi="Times New Roman" w:cs="Times New Roman"/>
        </w:rPr>
        <w:t>I would like to register for the regulatory workshop on 23</w:t>
      </w:r>
      <w:r w:rsidRPr="00D3047B">
        <w:rPr>
          <w:rFonts w:ascii="Times New Roman" w:hAnsi="Times New Roman" w:cs="Times New Roman"/>
          <w:vertAlign w:val="superscript"/>
        </w:rPr>
        <w:t>rd</w:t>
      </w:r>
      <w:r w:rsidRPr="00D3047B">
        <w:rPr>
          <w:rFonts w:ascii="Times New Roman" w:hAnsi="Times New Roman" w:cs="Times New Roman"/>
        </w:rPr>
        <w:t xml:space="preserve"> November. </w:t>
      </w:r>
    </w:p>
    <w:p w:rsidR="004667E7" w:rsidRPr="00D3047B" w:rsidRDefault="004667E7" w:rsidP="004667E7">
      <w:pPr>
        <w:spacing w:line="276" w:lineRule="auto"/>
        <w:jc w:val="both"/>
        <w:rPr>
          <w:rFonts w:ascii="Times New Roman" w:hAnsi="Times New Roman" w:cs="Times New Roman"/>
        </w:rPr>
      </w:pPr>
    </w:p>
    <w:p w:rsidR="004667E7" w:rsidRPr="00D3047B" w:rsidRDefault="004667E7" w:rsidP="004667E7">
      <w:pPr>
        <w:spacing w:line="276" w:lineRule="auto"/>
        <w:jc w:val="both"/>
        <w:rPr>
          <w:rFonts w:ascii="Times New Roman" w:hAnsi="Times New Roman" w:cs="Times New Roman"/>
        </w:rPr>
      </w:pPr>
      <w:r w:rsidRPr="00D3047B">
        <w:rPr>
          <w:rFonts w:ascii="Times New Roman" w:hAnsi="Times New Roman" w:cs="Times New Roman"/>
        </w:rPr>
        <w:t>Print name(s) of those attending</w:t>
      </w:r>
    </w:p>
    <w:p w:rsidR="004667E7" w:rsidRPr="00D3047B" w:rsidRDefault="004667E7" w:rsidP="004667E7">
      <w:pPr>
        <w:spacing w:line="276" w:lineRule="auto"/>
        <w:jc w:val="both"/>
        <w:rPr>
          <w:rFonts w:ascii="Times New Roman" w:hAnsi="Times New Roman" w:cs="Times New Roman"/>
        </w:rPr>
      </w:pPr>
    </w:p>
    <w:p w:rsidR="004667E7" w:rsidRPr="00D3047B" w:rsidRDefault="004667E7" w:rsidP="004667E7">
      <w:pPr>
        <w:spacing w:line="276" w:lineRule="auto"/>
        <w:jc w:val="both"/>
        <w:rPr>
          <w:rFonts w:ascii="Times New Roman" w:hAnsi="Times New Roman" w:cs="Times New Roman"/>
        </w:rPr>
      </w:pPr>
      <w:r w:rsidRPr="00D3047B">
        <w:rPr>
          <w:rFonts w:ascii="Times New Roman" w:hAnsi="Times New Roman" w:cs="Times New Roman"/>
        </w:rPr>
        <w:t>…………………………………………………………………………………</w:t>
      </w:r>
    </w:p>
    <w:p w:rsidR="004F445B" w:rsidRPr="00D3047B" w:rsidRDefault="004F445B" w:rsidP="004667E7">
      <w:pPr>
        <w:spacing w:line="276" w:lineRule="auto"/>
        <w:jc w:val="both"/>
        <w:rPr>
          <w:rFonts w:ascii="Times New Roman" w:hAnsi="Times New Roman" w:cs="Times New Roman"/>
        </w:rPr>
      </w:pPr>
    </w:p>
    <w:p w:rsidR="004667E7" w:rsidRPr="00D3047B" w:rsidRDefault="004667E7" w:rsidP="004667E7">
      <w:pPr>
        <w:spacing w:line="276" w:lineRule="auto"/>
        <w:rPr>
          <w:rFonts w:ascii="Times New Roman" w:hAnsi="Times New Roman" w:cs="Times New Roman"/>
        </w:rPr>
      </w:pPr>
      <w:r w:rsidRPr="00D3047B">
        <w:rPr>
          <w:rFonts w:ascii="Times New Roman" w:hAnsi="Times New Roman" w:cs="Times New Roman"/>
        </w:rPr>
        <w:t>Having considered the eligibility criteria (see below), we confirm that our organisation is compliant with those criteria.</w:t>
      </w:r>
    </w:p>
    <w:p w:rsidR="004667E7" w:rsidRPr="00D3047B" w:rsidRDefault="004667E7" w:rsidP="004667E7">
      <w:pPr>
        <w:spacing w:line="276" w:lineRule="auto"/>
        <w:jc w:val="both"/>
        <w:rPr>
          <w:rFonts w:ascii="Times New Roman" w:hAnsi="Times New Roman" w:cs="Times New Roman"/>
        </w:rPr>
      </w:pPr>
    </w:p>
    <w:p w:rsidR="004667E7" w:rsidRPr="00D3047B" w:rsidRDefault="004667E7" w:rsidP="004667E7">
      <w:pPr>
        <w:spacing w:line="276" w:lineRule="auto"/>
        <w:jc w:val="both"/>
        <w:rPr>
          <w:rFonts w:ascii="Times New Roman" w:hAnsi="Times New Roman" w:cs="Times New Roman"/>
        </w:rPr>
      </w:pPr>
      <w:r w:rsidRPr="00D3047B">
        <w:rPr>
          <w:rFonts w:ascii="Times New Roman" w:hAnsi="Times New Roman" w:cs="Times New Roman"/>
        </w:rPr>
        <w:t>…………………………………………………………………………………</w:t>
      </w:r>
    </w:p>
    <w:p w:rsidR="004667E7" w:rsidRPr="00D3047B" w:rsidRDefault="004667E7" w:rsidP="004667E7">
      <w:pPr>
        <w:spacing w:line="276" w:lineRule="auto"/>
        <w:jc w:val="both"/>
        <w:rPr>
          <w:rFonts w:ascii="Times New Roman" w:hAnsi="Times New Roman" w:cs="Times New Roman"/>
        </w:rPr>
      </w:pPr>
      <w:r w:rsidRPr="00D3047B">
        <w:rPr>
          <w:rFonts w:ascii="Times New Roman" w:hAnsi="Times New Roman" w:cs="Times New Roman"/>
        </w:rPr>
        <w:t>Signature (duly authorised on behalf of the organisation)</w:t>
      </w:r>
    </w:p>
    <w:p w:rsidR="004667E7" w:rsidRPr="00D3047B" w:rsidRDefault="004667E7" w:rsidP="004667E7">
      <w:pPr>
        <w:spacing w:line="276" w:lineRule="auto"/>
        <w:jc w:val="both"/>
        <w:rPr>
          <w:rFonts w:ascii="Times New Roman" w:hAnsi="Times New Roman" w:cs="Times New Roman"/>
        </w:rPr>
      </w:pPr>
    </w:p>
    <w:p w:rsidR="004667E7" w:rsidRPr="00D3047B" w:rsidRDefault="004667E7" w:rsidP="004667E7">
      <w:pPr>
        <w:spacing w:line="276" w:lineRule="auto"/>
        <w:jc w:val="both"/>
        <w:rPr>
          <w:rFonts w:ascii="Times New Roman" w:hAnsi="Times New Roman" w:cs="Times New Roman"/>
        </w:rPr>
      </w:pPr>
      <w:r w:rsidRPr="00D3047B">
        <w:rPr>
          <w:rFonts w:ascii="Times New Roman" w:hAnsi="Times New Roman" w:cs="Times New Roman"/>
        </w:rPr>
        <w:t>…………………………………………………………………………………</w:t>
      </w:r>
    </w:p>
    <w:p w:rsidR="004667E7" w:rsidRPr="00D3047B" w:rsidRDefault="004667E7" w:rsidP="004667E7">
      <w:pPr>
        <w:spacing w:line="276" w:lineRule="auto"/>
        <w:jc w:val="both"/>
        <w:rPr>
          <w:rFonts w:ascii="Times New Roman" w:hAnsi="Times New Roman" w:cs="Times New Roman"/>
        </w:rPr>
      </w:pPr>
      <w:r w:rsidRPr="00D3047B">
        <w:rPr>
          <w:rFonts w:ascii="Times New Roman" w:hAnsi="Times New Roman" w:cs="Times New Roman"/>
        </w:rPr>
        <w:t>On behalf of (organisation name)</w:t>
      </w:r>
    </w:p>
    <w:p w:rsidR="004667E7" w:rsidRPr="00D3047B" w:rsidRDefault="004667E7" w:rsidP="004667E7">
      <w:pPr>
        <w:spacing w:line="276" w:lineRule="auto"/>
        <w:jc w:val="both"/>
        <w:rPr>
          <w:rFonts w:ascii="Times New Roman" w:hAnsi="Times New Roman" w:cs="Times New Roman"/>
        </w:rPr>
      </w:pPr>
    </w:p>
    <w:p w:rsidR="004667E7" w:rsidRPr="00D3047B" w:rsidRDefault="004667E7" w:rsidP="004667E7">
      <w:pPr>
        <w:spacing w:line="276" w:lineRule="auto"/>
        <w:jc w:val="both"/>
        <w:rPr>
          <w:rFonts w:ascii="Times New Roman" w:hAnsi="Times New Roman" w:cs="Times New Roman"/>
        </w:rPr>
      </w:pPr>
      <w:r w:rsidRPr="00D3047B">
        <w:rPr>
          <w:rFonts w:ascii="Times New Roman" w:hAnsi="Times New Roman" w:cs="Times New Roman"/>
        </w:rPr>
        <w:t>…………………………………………………………………………………</w:t>
      </w:r>
    </w:p>
    <w:p w:rsidR="004667E7" w:rsidRPr="00D3047B" w:rsidRDefault="004667E7" w:rsidP="004667E7">
      <w:pPr>
        <w:spacing w:line="276" w:lineRule="auto"/>
        <w:jc w:val="both"/>
        <w:rPr>
          <w:rFonts w:ascii="Times New Roman" w:hAnsi="Times New Roman" w:cs="Times New Roman"/>
        </w:rPr>
      </w:pPr>
      <w:r w:rsidRPr="00D3047B">
        <w:rPr>
          <w:rFonts w:ascii="Times New Roman" w:hAnsi="Times New Roman" w:cs="Times New Roman"/>
        </w:rPr>
        <w:t>Date</w:t>
      </w:r>
    </w:p>
    <w:p w:rsidR="004667E7" w:rsidRPr="00D3047B" w:rsidRDefault="004667E7" w:rsidP="004667E7">
      <w:pPr>
        <w:spacing w:line="276" w:lineRule="auto"/>
        <w:jc w:val="both"/>
        <w:rPr>
          <w:rFonts w:ascii="Times New Roman" w:hAnsi="Times New Roman" w:cs="Times New Roman"/>
          <w:b/>
        </w:rPr>
      </w:pPr>
      <w:r w:rsidRPr="00D3047B">
        <w:rPr>
          <w:rFonts w:ascii="Times New Roman" w:hAnsi="Times New Roman" w:cs="Times New Roman"/>
        </w:rPr>
        <w:t>…………………………………………………………………………………</w:t>
      </w:r>
    </w:p>
    <w:p w:rsidR="004667E7" w:rsidRPr="00D3047B" w:rsidRDefault="004667E7" w:rsidP="004667E7">
      <w:pPr>
        <w:spacing w:line="276" w:lineRule="auto"/>
        <w:rPr>
          <w:rFonts w:ascii="Times New Roman" w:hAnsi="Times New Roman" w:cs="Times New Roman"/>
        </w:rPr>
      </w:pPr>
    </w:p>
    <w:p w:rsidR="004667E7" w:rsidRPr="00D3047B" w:rsidRDefault="004667E7" w:rsidP="004667E7">
      <w:pPr>
        <w:pStyle w:val="Paragraphtext"/>
        <w:spacing w:line="276" w:lineRule="auto"/>
        <w:rPr>
          <w:rFonts w:ascii="Times New Roman" w:eastAsia="MS Mincho" w:hAnsi="Times New Roman"/>
          <w:sz w:val="22"/>
          <w:szCs w:val="22"/>
        </w:rPr>
      </w:pPr>
      <w:r w:rsidRPr="00D3047B">
        <w:rPr>
          <w:rFonts w:ascii="Times New Roman" w:eastAsia="MS Mincho" w:hAnsi="Times New Roman"/>
          <w:sz w:val="22"/>
          <w:szCs w:val="22"/>
        </w:rPr>
        <w:t xml:space="preserve">Completed forms should be returned to </w:t>
      </w:r>
      <w:hyperlink r:id="rId9" w:history="1">
        <w:r w:rsidRPr="00D3047B">
          <w:rPr>
            <w:rStyle w:val="Hyperlink"/>
            <w:rFonts w:ascii="Times New Roman" w:eastAsia="MS Mincho" w:hAnsi="Times New Roman"/>
            <w:sz w:val="22"/>
            <w:szCs w:val="22"/>
          </w:rPr>
          <w:t>smrteam@beis.gov.uk</w:t>
        </w:r>
      </w:hyperlink>
    </w:p>
    <w:p w:rsidR="004667E7" w:rsidRPr="00D3047B" w:rsidRDefault="004667E7" w:rsidP="004667E7">
      <w:pPr>
        <w:pStyle w:val="Paragraphtext"/>
        <w:spacing w:line="276" w:lineRule="auto"/>
        <w:rPr>
          <w:rFonts w:ascii="Times New Roman" w:eastAsia="MS Mincho" w:hAnsi="Times New Roman"/>
          <w:sz w:val="22"/>
          <w:szCs w:val="22"/>
        </w:rPr>
      </w:pPr>
    </w:p>
    <w:p w:rsidR="004667E7" w:rsidRDefault="004667E7" w:rsidP="004667E7">
      <w:pPr>
        <w:pStyle w:val="Paragraphtext"/>
        <w:spacing w:line="276" w:lineRule="auto"/>
        <w:rPr>
          <w:rFonts w:ascii="Times New Roman" w:eastAsia="MS Mincho" w:hAnsi="Times New Roman"/>
          <w:sz w:val="22"/>
          <w:szCs w:val="22"/>
        </w:rPr>
      </w:pPr>
    </w:p>
    <w:p w:rsidR="004667E7" w:rsidRDefault="004667E7" w:rsidP="004667E7">
      <w:pPr>
        <w:pStyle w:val="Paragraphtext"/>
        <w:spacing w:line="276" w:lineRule="auto"/>
        <w:rPr>
          <w:rFonts w:ascii="Times New Roman" w:eastAsia="MS Mincho" w:hAnsi="Times New Roman"/>
          <w:sz w:val="22"/>
          <w:szCs w:val="22"/>
        </w:rPr>
      </w:pPr>
    </w:p>
    <w:p w:rsidR="004667E7" w:rsidRDefault="004667E7" w:rsidP="004667E7">
      <w:pPr>
        <w:pStyle w:val="Paragraphtext"/>
        <w:spacing w:line="276" w:lineRule="auto"/>
        <w:rPr>
          <w:rFonts w:ascii="Times New Roman" w:eastAsia="MS Mincho" w:hAnsi="Times New Roman"/>
          <w:sz w:val="22"/>
          <w:szCs w:val="22"/>
        </w:rPr>
      </w:pPr>
    </w:p>
    <w:p w:rsidR="004667E7" w:rsidRDefault="004667E7" w:rsidP="004667E7">
      <w:pPr>
        <w:pStyle w:val="Paragraphtext"/>
        <w:spacing w:line="276" w:lineRule="auto"/>
        <w:rPr>
          <w:rFonts w:ascii="Times New Roman" w:eastAsia="MS Mincho" w:hAnsi="Times New Roman"/>
          <w:sz w:val="22"/>
          <w:szCs w:val="22"/>
        </w:rPr>
      </w:pPr>
    </w:p>
    <w:p w:rsidR="004667E7" w:rsidRPr="00D3047B" w:rsidRDefault="004667E7" w:rsidP="004667E7">
      <w:pPr>
        <w:rPr>
          <w:rFonts w:ascii="Times New Roman" w:hAnsi="Times New Roman" w:cs="Times New Roman"/>
          <w:b/>
          <w:sz w:val="24"/>
          <w:szCs w:val="24"/>
        </w:rPr>
      </w:pPr>
      <w:bookmarkStart w:id="2" w:name="_Toc445795219"/>
      <w:r w:rsidRPr="00D3047B">
        <w:rPr>
          <w:rFonts w:ascii="Times New Roman" w:hAnsi="Times New Roman" w:cs="Times New Roman"/>
          <w:b/>
          <w:sz w:val="24"/>
          <w:szCs w:val="24"/>
        </w:rPr>
        <w:t>SMR Eligibility Criteria</w:t>
      </w:r>
      <w:bookmarkEnd w:id="2"/>
    </w:p>
    <w:p w:rsidR="004667E7" w:rsidRPr="00D3047B" w:rsidRDefault="004667E7" w:rsidP="004667E7">
      <w:pPr>
        <w:rPr>
          <w:rFonts w:ascii="Times New Roman" w:hAnsi="Times New Roman" w:cs="Times New Roman"/>
          <w:sz w:val="24"/>
          <w:szCs w:val="24"/>
        </w:rPr>
      </w:pPr>
      <w:r w:rsidRPr="00D3047B">
        <w:rPr>
          <w:rFonts w:ascii="Times New Roman" w:hAnsi="Times New Roman" w:cs="Times New Roman"/>
          <w:sz w:val="24"/>
          <w:szCs w:val="24"/>
        </w:rPr>
        <w:t xml:space="preserve">Please read the eligibility criteria carefully to ensure that your organisation is compliant. </w:t>
      </w:r>
    </w:p>
    <w:p w:rsidR="004667E7" w:rsidRPr="00D3047B" w:rsidRDefault="004667E7" w:rsidP="004667E7">
      <w:pPr>
        <w:rPr>
          <w:rFonts w:ascii="Times New Roman" w:hAnsi="Times New Roman" w:cs="Times New Roman"/>
          <w:sz w:val="24"/>
          <w:szCs w:val="24"/>
        </w:rPr>
      </w:pPr>
    </w:p>
    <w:tbl>
      <w:tblPr>
        <w:tblStyle w:val="TableGrid"/>
        <w:tblW w:w="5000" w:type="pct"/>
        <w:jc w:val="center"/>
        <w:tblLook w:val="04A0" w:firstRow="1" w:lastRow="0" w:firstColumn="1" w:lastColumn="0" w:noHBand="0" w:noVBand="1"/>
      </w:tblPr>
      <w:tblGrid>
        <w:gridCol w:w="9242"/>
      </w:tblGrid>
      <w:tr w:rsidR="004667E7" w:rsidRPr="00D3047B" w:rsidTr="00672A05">
        <w:trPr>
          <w:jc w:val="center"/>
        </w:trPr>
        <w:tc>
          <w:tcPr>
            <w:tcW w:w="5000" w:type="pct"/>
          </w:tcPr>
          <w:p w:rsidR="004667E7" w:rsidRPr="00D3047B" w:rsidRDefault="004667E7" w:rsidP="00672A05">
            <w:pPr>
              <w:spacing w:before="100" w:beforeAutospacing="1" w:after="100" w:afterAutospacing="1"/>
              <w:rPr>
                <w:rFonts w:ascii="Times New Roman" w:eastAsiaTheme="minorHAnsi" w:hAnsi="Times New Roman" w:cs="Times New Roman"/>
                <w:b/>
                <w:sz w:val="24"/>
                <w:szCs w:val="24"/>
              </w:rPr>
            </w:pPr>
            <w:r w:rsidRPr="00D3047B">
              <w:rPr>
                <w:rFonts w:ascii="Times New Roman" w:eastAsiaTheme="minorHAnsi" w:hAnsi="Times New Roman" w:cs="Times New Roman"/>
                <w:b/>
                <w:sz w:val="24"/>
                <w:szCs w:val="24"/>
              </w:rPr>
              <w:t>Eligibility Criteria</w:t>
            </w:r>
          </w:p>
        </w:tc>
      </w:tr>
      <w:tr w:rsidR="004667E7" w:rsidRPr="00D3047B" w:rsidTr="00672A05">
        <w:trPr>
          <w:trHeight w:val="705"/>
          <w:jc w:val="center"/>
        </w:trPr>
        <w:tc>
          <w:tcPr>
            <w:tcW w:w="5000" w:type="pct"/>
          </w:tcPr>
          <w:p w:rsidR="004667E7" w:rsidRPr="00D3047B" w:rsidRDefault="004667E7" w:rsidP="004667E7">
            <w:pPr>
              <w:pStyle w:val="ListParagraph"/>
              <w:numPr>
                <w:ilvl w:val="0"/>
                <w:numId w:val="1"/>
              </w:numPr>
              <w:spacing w:before="100" w:beforeAutospacing="1" w:after="100" w:afterAutospacing="1"/>
              <w:ind w:left="357" w:hanging="357"/>
              <w:rPr>
                <w:rFonts w:ascii="Times New Roman" w:eastAsiaTheme="minorHAnsi" w:hAnsi="Times New Roman" w:cs="Times New Roman"/>
              </w:rPr>
            </w:pPr>
            <w:r w:rsidRPr="00D3047B">
              <w:rPr>
                <w:rFonts w:ascii="Times New Roman" w:eastAsiaTheme="minorHAnsi" w:hAnsi="Times New Roman" w:cs="Times New Roman"/>
                <w:b/>
              </w:rPr>
              <w:t>Constitution</w:t>
            </w:r>
            <w:r w:rsidRPr="00D3047B">
              <w:rPr>
                <w:rFonts w:ascii="Times New Roman" w:eastAsiaTheme="minorHAnsi" w:hAnsi="Times New Roman" w:cs="Times New Roman"/>
              </w:rPr>
              <w:t xml:space="preserve">: The organisation (or the lead partner if a consortium) is a registered company. </w:t>
            </w:r>
          </w:p>
        </w:tc>
      </w:tr>
      <w:tr w:rsidR="004667E7" w:rsidRPr="00D3047B" w:rsidTr="00672A05">
        <w:trPr>
          <w:trHeight w:val="1398"/>
          <w:jc w:val="center"/>
        </w:trPr>
        <w:tc>
          <w:tcPr>
            <w:tcW w:w="5000" w:type="pct"/>
          </w:tcPr>
          <w:p w:rsidR="004667E7" w:rsidRPr="00D3047B" w:rsidRDefault="004667E7" w:rsidP="004667E7">
            <w:pPr>
              <w:pStyle w:val="ListParagraph"/>
              <w:numPr>
                <w:ilvl w:val="0"/>
                <w:numId w:val="1"/>
              </w:numPr>
              <w:spacing w:before="100" w:beforeAutospacing="1" w:after="100" w:afterAutospacing="1"/>
              <w:ind w:left="357" w:hanging="357"/>
              <w:rPr>
                <w:rFonts w:ascii="Times New Roman" w:eastAsiaTheme="minorHAnsi" w:hAnsi="Times New Roman" w:cs="Times New Roman"/>
              </w:rPr>
            </w:pPr>
            <w:r w:rsidRPr="00D3047B">
              <w:rPr>
                <w:rFonts w:ascii="Times New Roman" w:eastAsiaTheme="minorHAnsi" w:hAnsi="Times New Roman" w:cs="Times New Roman"/>
                <w:b/>
              </w:rPr>
              <w:t>Offences</w:t>
            </w:r>
            <w:r w:rsidRPr="00D3047B">
              <w:rPr>
                <w:rFonts w:ascii="Times New Roman" w:eastAsiaTheme="minorHAnsi" w:hAnsi="Times New Roman" w:cs="Times New Roman"/>
              </w:rPr>
              <w:t>: Neither the company, nor any of its directors or officers, have been convicted of any of the offences listed under regulation 57(1) of the Public Contracts Regulations 2015</w:t>
            </w:r>
            <w:r w:rsidRPr="00D3047B">
              <w:rPr>
                <w:rStyle w:val="FootnoteReference"/>
                <w:rFonts w:ascii="Times New Roman" w:eastAsiaTheme="minorHAnsi" w:hAnsi="Times New Roman" w:cs="Times New Roman"/>
              </w:rPr>
              <w:footnoteReference w:id="1"/>
            </w:r>
            <w:r w:rsidRPr="00D3047B">
              <w:rPr>
                <w:rFonts w:ascii="Times New Roman" w:eastAsiaTheme="minorHAnsi" w:hAnsi="Times New Roman" w:cs="Times New Roman"/>
              </w:rPr>
              <w:t>. This also applies to any parent company or consortium partners, and to directors or officers of those companies.</w:t>
            </w:r>
          </w:p>
        </w:tc>
      </w:tr>
      <w:tr w:rsidR="004667E7" w:rsidRPr="00D3047B" w:rsidTr="00672A05">
        <w:trPr>
          <w:trHeight w:val="1191"/>
          <w:jc w:val="center"/>
        </w:trPr>
        <w:tc>
          <w:tcPr>
            <w:tcW w:w="5000" w:type="pct"/>
          </w:tcPr>
          <w:p w:rsidR="004667E7" w:rsidRPr="00D3047B" w:rsidRDefault="004667E7" w:rsidP="004667E7">
            <w:pPr>
              <w:pStyle w:val="ListParagraph"/>
              <w:numPr>
                <w:ilvl w:val="0"/>
                <w:numId w:val="1"/>
              </w:numPr>
              <w:spacing w:before="100" w:beforeAutospacing="1" w:after="100" w:afterAutospacing="1"/>
              <w:ind w:left="357" w:hanging="357"/>
              <w:rPr>
                <w:rFonts w:ascii="Times New Roman" w:eastAsiaTheme="minorHAnsi" w:hAnsi="Times New Roman" w:cs="Times New Roman"/>
              </w:rPr>
            </w:pPr>
            <w:r w:rsidRPr="00D3047B">
              <w:rPr>
                <w:rFonts w:ascii="Times New Roman" w:eastAsiaTheme="minorHAnsi" w:hAnsi="Times New Roman" w:cs="Times New Roman"/>
                <w:b/>
              </w:rPr>
              <w:t>Sanctions</w:t>
            </w:r>
            <w:r w:rsidRPr="00D3047B">
              <w:rPr>
                <w:rFonts w:ascii="Times New Roman" w:eastAsiaTheme="minorHAnsi" w:hAnsi="Times New Roman" w:cs="Times New Roman"/>
              </w:rPr>
              <w:t>: Neither the company, nor any of its directors or officers, are subject to United Nations, European Union or United Kingdom sanctions. This also applies to any parent company or consortium partners, and to shareholders, directors or officers of those companies.</w:t>
            </w:r>
          </w:p>
        </w:tc>
      </w:tr>
      <w:tr w:rsidR="004667E7" w:rsidRPr="00D3047B" w:rsidTr="00672A05">
        <w:trPr>
          <w:trHeight w:val="1206"/>
          <w:jc w:val="center"/>
        </w:trPr>
        <w:tc>
          <w:tcPr>
            <w:tcW w:w="5000" w:type="pct"/>
          </w:tcPr>
          <w:p w:rsidR="004667E7" w:rsidRPr="00D3047B" w:rsidRDefault="004667E7" w:rsidP="004667E7">
            <w:pPr>
              <w:pStyle w:val="ListParagraph"/>
              <w:numPr>
                <w:ilvl w:val="0"/>
                <w:numId w:val="1"/>
              </w:numPr>
              <w:spacing w:before="100" w:beforeAutospacing="1" w:after="100" w:afterAutospacing="1"/>
              <w:ind w:left="357" w:hanging="357"/>
              <w:rPr>
                <w:rFonts w:ascii="Times New Roman" w:eastAsiaTheme="minorHAnsi" w:hAnsi="Times New Roman" w:cs="Times New Roman"/>
              </w:rPr>
            </w:pPr>
            <w:r w:rsidRPr="00D3047B">
              <w:rPr>
                <w:rFonts w:ascii="Times New Roman" w:eastAsiaTheme="minorHAnsi" w:hAnsi="Times New Roman" w:cs="Times New Roman"/>
                <w:b/>
              </w:rPr>
              <w:t>Solvency</w:t>
            </w:r>
            <w:r w:rsidRPr="00D3047B">
              <w:rPr>
                <w:rFonts w:ascii="Times New Roman" w:eastAsiaTheme="minorHAnsi" w:hAnsi="Times New Roman" w:cs="Times New Roman"/>
              </w:rPr>
              <w:t>: The company is not in the situation described in Article 57(8</w:t>
            </w:r>
            <w:proofErr w:type="gramStart"/>
            <w:r w:rsidRPr="00D3047B">
              <w:rPr>
                <w:rFonts w:ascii="Times New Roman" w:eastAsiaTheme="minorHAnsi" w:hAnsi="Times New Roman" w:cs="Times New Roman"/>
              </w:rPr>
              <w:t>)(</w:t>
            </w:r>
            <w:proofErr w:type="gramEnd"/>
            <w:r w:rsidRPr="00D3047B">
              <w:rPr>
                <w:rFonts w:ascii="Times New Roman" w:eastAsiaTheme="minorHAnsi" w:hAnsi="Times New Roman" w:cs="Times New Roman"/>
              </w:rPr>
              <w:t>b) of the Public Contracts Regulations 2015 (it is not the subject of insolvency or winding-up proceedings etc., or in any analogous situation arising from a similar procedure under the laws and regulations of any state). This also applies to any parent company or consortium partners.</w:t>
            </w:r>
          </w:p>
        </w:tc>
      </w:tr>
      <w:tr w:rsidR="004667E7" w:rsidRPr="00D3047B" w:rsidTr="00672A05">
        <w:trPr>
          <w:trHeight w:val="1651"/>
          <w:jc w:val="center"/>
        </w:trPr>
        <w:tc>
          <w:tcPr>
            <w:tcW w:w="5000" w:type="pct"/>
          </w:tcPr>
          <w:p w:rsidR="004667E7" w:rsidRPr="00D3047B" w:rsidRDefault="004667E7" w:rsidP="004667E7">
            <w:pPr>
              <w:pStyle w:val="ListParagraph"/>
              <w:numPr>
                <w:ilvl w:val="0"/>
                <w:numId w:val="1"/>
              </w:numPr>
              <w:spacing w:before="100" w:beforeAutospacing="1" w:after="100" w:afterAutospacing="1"/>
              <w:ind w:left="357" w:hanging="357"/>
              <w:rPr>
                <w:rFonts w:ascii="Times New Roman" w:eastAsiaTheme="minorHAnsi" w:hAnsi="Times New Roman" w:cs="Times New Roman"/>
              </w:rPr>
            </w:pPr>
            <w:r w:rsidRPr="00D3047B">
              <w:rPr>
                <w:rFonts w:ascii="Times New Roman" w:eastAsiaTheme="minorHAnsi" w:hAnsi="Times New Roman" w:cs="Times New Roman"/>
                <w:b/>
              </w:rPr>
              <w:t>Non-proliferation</w:t>
            </w:r>
            <w:r w:rsidRPr="00D3047B">
              <w:rPr>
                <w:rFonts w:ascii="Times New Roman" w:eastAsiaTheme="minorHAnsi" w:hAnsi="Times New Roman" w:cs="Times New Roman"/>
              </w:rPr>
              <w:t xml:space="preserve">: The </w:t>
            </w:r>
            <w:proofErr w:type="gramStart"/>
            <w:r w:rsidRPr="00D3047B">
              <w:rPr>
                <w:rFonts w:ascii="Times New Roman" w:eastAsiaTheme="minorHAnsi" w:hAnsi="Times New Roman" w:cs="Times New Roman"/>
              </w:rPr>
              <w:t>company</w:t>
            </w:r>
            <w:proofErr w:type="gramEnd"/>
            <w:r w:rsidRPr="00D3047B">
              <w:rPr>
                <w:rFonts w:ascii="Times New Roman" w:eastAsiaTheme="minorHAnsi" w:hAnsi="Times New Roman" w:cs="Times New Roman"/>
              </w:rPr>
              <w:t xml:space="preserve">, and any shareholder, must be associated with a country that has both signed and ratified the Treaty on the Non-Proliferation of Nuclear Weapons (NPT) and have a Comprehensive Safeguards Agreement (CSA) with the International Atomic Energy Agency (IAEA). The company, and any shareholder, must not be associated with a country which is subject to United Nations or European Union sanctions due to infringements of the NPT, their CSA or an associated Additional Protocol. These provisions also apply to any parent company or consortium partners. In this context ‘associated with’ is defined as incorporated in, operating in, or owned (directly or indirectly) by nationals of this country. </w:t>
            </w:r>
          </w:p>
        </w:tc>
      </w:tr>
    </w:tbl>
    <w:p w:rsidR="00F5427C" w:rsidRDefault="00F5427C"/>
    <w:sectPr w:rsidR="00F5427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7E7" w:rsidRDefault="004667E7" w:rsidP="004667E7">
      <w:r>
        <w:separator/>
      </w:r>
    </w:p>
  </w:endnote>
  <w:endnote w:type="continuationSeparator" w:id="0">
    <w:p w:rsidR="004667E7" w:rsidRDefault="004667E7" w:rsidP="00466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Neue">
    <w:charset w:val="00"/>
    <w:family w:val="auto"/>
    <w:pitch w:val="variable"/>
    <w:sig w:usb0="8000006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7E7" w:rsidRDefault="004667E7" w:rsidP="004667E7">
      <w:r>
        <w:separator/>
      </w:r>
    </w:p>
  </w:footnote>
  <w:footnote w:type="continuationSeparator" w:id="0">
    <w:p w:rsidR="004667E7" w:rsidRDefault="004667E7" w:rsidP="004667E7">
      <w:r>
        <w:continuationSeparator/>
      </w:r>
    </w:p>
  </w:footnote>
  <w:footnote w:id="1">
    <w:p w:rsidR="004667E7" w:rsidRDefault="004667E7" w:rsidP="004667E7">
      <w:pPr>
        <w:pStyle w:val="FootnoteText"/>
      </w:pPr>
      <w:r>
        <w:rPr>
          <w:rStyle w:val="FootnoteReference"/>
        </w:rPr>
        <w:footnoteRef/>
      </w:r>
      <w:r>
        <w:t xml:space="preserve"> </w:t>
      </w:r>
      <w:hyperlink r:id="rId1" w:history="1">
        <w:r w:rsidRPr="00A77526">
          <w:rPr>
            <w:rStyle w:val="Hyperlink"/>
          </w:rPr>
          <w:t>http://www.legislation.gov.uk/uksi/2015/102/pdfs/uksi_20150102_en.pdf</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4A6DDC"/>
    <w:multiLevelType w:val="hybridMultilevel"/>
    <w:tmpl w:val="3D20553E"/>
    <w:lvl w:ilvl="0" w:tplc="F4784BB2">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42B7440"/>
    <w:multiLevelType w:val="multilevel"/>
    <w:tmpl w:val="08BC8F4E"/>
    <w:lvl w:ilvl="0">
      <w:start w:val="1"/>
      <w:numFmt w:val="decimal"/>
      <w:pStyle w:val="ChptHead"/>
      <w:lvlText w:val="%1."/>
      <w:lvlJc w:val="left"/>
      <w:pPr>
        <w:tabs>
          <w:tab w:val="num" w:pos="360"/>
        </w:tabs>
        <w:ind w:left="360" w:hanging="360"/>
      </w:pPr>
      <w:rPr>
        <w:rFonts w:hint="default"/>
      </w:rPr>
    </w:lvl>
    <w:lvl w:ilvl="1">
      <w:start w:val="1"/>
      <w:numFmt w:val="decimal"/>
      <w:pStyle w:val="Paragraphnumbered"/>
      <w:lvlText w:val="%1.%2."/>
      <w:lvlJc w:val="left"/>
      <w:pPr>
        <w:tabs>
          <w:tab w:val="num" w:pos="432"/>
        </w:tabs>
        <w:ind w:left="432" w:hanging="432"/>
      </w:pPr>
      <w:rPr>
        <w:rFonts w:hint="default"/>
        <w:b w:val="0"/>
        <w:color w:val="000000" w:themeColor="text1"/>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7E7"/>
    <w:rsid w:val="004667E7"/>
    <w:rsid w:val="004F445B"/>
    <w:rsid w:val="00B97370"/>
    <w:rsid w:val="00F5427C"/>
    <w:rsid w:val="00FC5C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7E7"/>
    <w:pPr>
      <w:spacing w:after="0" w:line="240" w:lineRule="auto"/>
    </w:pPr>
    <w:rPr>
      <w:rFonts w:ascii="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OBC Bullet Char,Dot pt Char,No Spacing1 Char,List Paragraph Char Char Char Char,Indicator Text Char,Numbered Para 1 Char,List Paragraph1 Char,Bullet 1 Char,Bullet Points Char,MAIN CONTENT Char,List Paragraph12 Char,L Char"/>
    <w:basedOn w:val="DefaultParagraphFont"/>
    <w:link w:val="ListParagraph"/>
    <w:uiPriority w:val="34"/>
    <w:qFormat/>
    <w:locked/>
    <w:rsid w:val="004667E7"/>
    <w:rPr>
      <w:rFonts w:ascii="Calibri" w:hAnsi="Calibri" w:cs="Calibri"/>
    </w:rPr>
  </w:style>
  <w:style w:type="paragraph" w:styleId="ListParagraph">
    <w:name w:val="List Paragraph"/>
    <w:aliases w:val="OBC Bullet,Dot pt,No Spacing1,List Paragraph Char Char Char,Indicator Text,Numbered Para 1,List Paragraph1,Bullet 1,Bullet Points,MAIN CONTENT,List Paragraph12,List Paragraph 2,List Paragraph11,F5 List Paragraph,List Paragraph2,L"/>
    <w:basedOn w:val="Normal"/>
    <w:link w:val="ListParagraphChar"/>
    <w:uiPriority w:val="34"/>
    <w:qFormat/>
    <w:rsid w:val="004667E7"/>
    <w:pPr>
      <w:ind w:left="720"/>
    </w:pPr>
    <w:rPr>
      <w:sz w:val="24"/>
      <w:szCs w:val="24"/>
    </w:rPr>
  </w:style>
  <w:style w:type="character" w:styleId="Hyperlink">
    <w:name w:val="Hyperlink"/>
    <w:semiHidden/>
    <w:rsid w:val="004667E7"/>
    <w:rPr>
      <w:rFonts w:ascii="Helvetica Neue" w:hAnsi="Helvetica Neue"/>
      <w:color w:val="0000FF"/>
      <w:sz w:val="24"/>
      <w:u w:val="single"/>
    </w:rPr>
  </w:style>
  <w:style w:type="paragraph" w:styleId="FootnoteText">
    <w:name w:val="footnote text"/>
    <w:basedOn w:val="Normal"/>
    <w:link w:val="FootnoteTextChar"/>
    <w:uiPriority w:val="99"/>
    <w:rsid w:val="004667E7"/>
    <w:pPr>
      <w:spacing w:after="60" w:line="240" w:lineRule="exact"/>
    </w:pPr>
    <w:rPr>
      <w:rFonts w:ascii="Arial" w:eastAsia="Times New Roman" w:hAnsi="Arial" w:cs="Arial"/>
      <w:sz w:val="20"/>
      <w:szCs w:val="20"/>
    </w:rPr>
  </w:style>
  <w:style w:type="character" w:customStyle="1" w:styleId="FootnoteTextChar">
    <w:name w:val="Footnote Text Char"/>
    <w:basedOn w:val="DefaultParagraphFont"/>
    <w:link w:val="FootnoteText"/>
    <w:uiPriority w:val="99"/>
    <w:rsid w:val="004667E7"/>
    <w:rPr>
      <w:rFonts w:eastAsia="Times New Roman"/>
      <w:sz w:val="20"/>
      <w:szCs w:val="20"/>
    </w:rPr>
  </w:style>
  <w:style w:type="character" w:styleId="FootnoteReference">
    <w:name w:val="footnote reference"/>
    <w:uiPriority w:val="99"/>
    <w:semiHidden/>
    <w:rsid w:val="004667E7"/>
    <w:rPr>
      <w:vertAlign w:val="superscript"/>
    </w:rPr>
  </w:style>
  <w:style w:type="table" w:styleId="TableGrid">
    <w:name w:val="Table Grid"/>
    <w:basedOn w:val="TableNormal"/>
    <w:uiPriority w:val="59"/>
    <w:rsid w:val="004667E7"/>
    <w:pPr>
      <w:spacing w:after="0" w:line="240" w:lineRule="auto"/>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text">
    <w:name w:val="Paragraph text"/>
    <w:basedOn w:val="Normal"/>
    <w:qFormat/>
    <w:rsid w:val="004667E7"/>
    <w:pPr>
      <w:spacing w:before="120" w:after="120" w:line="280" w:lineRule="exact"/>
    </w:pPr>
    <w:rPr>
      <w:rFonts w:ascii="Arial" w:eastAsia="Times New Roman" w:hAnsi="Arial" w:cs="Times New Roman"/>
      <w:sz w:val="24"/>
      <w:szCs w:val="20"/>
    </w:rPr>
  </w:style>
  <w:style w:type="paragraph" w:customStyle="1" w:styleId="Paragraphnumbered">
    <w:name w:val="Paragraph numbered"/>
    <w:basedOn w:val="Paragraphtext"/>
    <w:qFormat/>
    <w:rsid w:val="004667E7"/>
    <w:pPr>
      <w:numPr>
        <w:ilvl w:val="1"/>
        <w:numId w:val="2"/>
      </w:numPr>
      <w:tabs>
        <w:tab w:val="clear" w:pos="432"/>
        <w:tab w:val="num" w:pos="792"/>
      </w:tabs>
      <w:ind w:left="792"/>
    </w:pPr>
  </w:style>
  <w:style w:type="paragraph" w:customStyle="1" w:styleId="ChptHead">
    <w:name w:val="Chpt Head"/>
    <w:basedOn w:val="Normal"/>
    <w:next w:val="Paragraphtext"/>
    <w:qFormat/>
    <w:rsid w:val="004667E7"/>
    <w:pPr>
      <w:keepNext/>
      <w:numPr>
        <w:numId w:val="2"/>
      </w:numPr>
      <w:spacing w:before="1000" w:after="1000" w:line="540" w:lineRule="exact"/>
      <w:contextualSpacing/>
      <w:outlineLvl w:val="0"/>
    </w:pPr>
    <w:rPr>
      <w:rFonts w:ascii="Arial" w:eastAsia="Times New Roman" w:hAnsi="Arial" w:cs="Times New Roman"/>
      <w:color w:val="00AEEF"/>
      <w:sz w:val="50"/>
      <w:szCs w:val="20"/>
    </w:rPr>
  </w:style>
  <w:style w:type="paragraph" w:styleId="BalloonText">
    <w:name w:val="Balloon Text"/>
    <w:basedOn w:val="Normal"/>
    <w:link w:val="BalloonTextChar"/>
    <w:uiPriority w:val="99"/>
    <w:semiHidden/>
    <w:unhideWhenUsed/>
    <w:rsid w:val="00FC5CEB"/>
    <w:rPr>
      <w:rFonts w:ascii="Tahoma" w:hAnsi="Tahoma" w:cs="Tahoma"/>
      <w:sz w:val="16"/>
      <w:szCs w:val="16"/>
    </w:rPr>
  </w:style>
  <w:style w:type="character" w:customStyle="1" w:styleId="BalloonTextChar">
    <w:name w:val="Balloon Text Char"/>
    <w:basedOn w:val="DefaultParagraphFont"/>
    <w:link w:val="BalloonText"/>
    <w:uiPriority w:val="99"/>
    <w:semiHidden/>
    <w:rsid w:val="00FC5C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7E7"/>
    <w:pPr>
      <w:spacing w:after="0" w:line="240" w:lineRule="auto"/>
    </w:pPr>
    <w:rPr>
      <w:rFonts w:ascii="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OBC Bullet Char,Dot pt Char,No Spacing1 Char,List Paragraph Char Char Char Char,Indicator Text Char,Numbered Para 1 Char,List Paragraph1 Char,Bullet 1 Char,Bullet Points Char,MAIN CONTENT Char,List Paragraph12 Char,L Char"/>
    <w:basedOn w:val="DefaultParagraphFont"/>
    <w:link w:val="ListParagraph"/>
    <w:uiPriority w:val="34"/>
    <w:qFormat/>
    <w:locked/>
    <w:rsid w:val="004667E7"/>
    <w:rPr>
      <w:rFonts w:ascii="Calibri" w:hAnsi="Calibri" w:cs="Calibri"/>
    </w:rPr>
  </w:style>
  <w:style w:type="paragraph" w:styleId="ListParagraph">
    <w:name w:val="List Paragraph"/>
    <w:aliases w:val="OBC Bullet,Dot pt,No Spacing1,List Paragraph Char Char Char,Indicator Text,Numbered Para 1,List Paragraph1,Bullet 1,Bullet Points,MAIN CONTENT,List Paragraph12,List Paragraph 2,List Paragraph11,F5 List Paragraph,List Paragraph2,L"/>
    <w:basedOn w:val="Normal"/>
    <w:link w:val="ListParagraphChar"/>
    <w:uiPriority w:val="34"/>
    <w:qFormat/>
    <w:rsid w:val="004667E7"/>
    <w:pPr>
      <w:ind w:left="720"/>
    </w:pPr>
    <w:rPr>
      <w:sz w:val="24"/>
      <w:szCs w:val="24"/>
    </w:rPr>
  </w:style>
  <w:style w:type="character" w:styleId="Hyperlink">
    <w:name w:val="Hyperlink"/>
    <w:semiHidden/>
    <w:rsid w:val="004667E7"/>
    <w:rPr>
      <w:rFonts w:ascii="Helvetica Neue" w:hAnsi="Helvetica Neue"/>
      <w:color w:val="0000FF"/>
      <w:sz w:val="24"/>
      <w:u w:val="single"/>
    </w:rPr>
  </w:style>
  <w:style w:type="paragraph" w:styleId="FootnoteText">
    <w:name w:val="footnote text"/>
    <w:basedOn w:val="Normal"/>
    <w:link w:val="FootnoteTextChar"/>
    <w:uiPriority w:val="99"/>
    <w:rsid w:val="004667E7"/>
    <w:pPr>
      <w:spacing w:after="60" w:line="240" w:lineRule="exact"/>
    </w:pPr>
    <w:rPr>
      <w:rFonts w:ascii="Arial" w:eastAsia="Times New Roman" w:hAnsi="Arial" w:cs="Arial"/>
      <w:sz w:val="20"/>
      <w:szCs w:val="20"/>
    </w:rPr>
  </w:style>
  <w:style w:type="character" w:customStyle="1" w:styleId="FootnoteTextChar">
    <w:name w:val="Footnote Text Char"/>
    <w:basedOn w:val="DefaultParagraphFont"/>
    <w:link w:val="FootnoteText"/>
    <w:uiPriority w:val="99"/>
    <w:rsid w:val="004667E7"/>
    <w:rPr>
      <w:rFonts w:eastAsia="Times New Roman"/>
      <w:sz w:val="20"/>
      <w:szCs w:val="20"/>
    </w:rPr>
  </w:style>
  <w:style w:type="character" w:styleId="FootnoteReference">
    <w:name w:val="footnote reference"/>
    <w:uiPriority w:val="99"/>
    <w:semiHidden/>
    <w:rsid w:val="004667E7"/>
    <w:rPr>
      <w:vertAlign w:val="superscript"/>
    </w:rPr>
  </w:style>
  <w:style w:type="table" w:styleId="TableGrid">
    <w:name w:val="Table Grid"/>
    <w:basedOn w:val="TableNormal"/>
    <w:uiPriority w:val="59"/>
    <w:rsid w:val="004667E7"/>
    <w:pPr>
      <w:spacing w:after="0" w:line="240" w:lineRule="auto"/>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text">
    <w:name w:val="Paragraph text"/>
    <w:basedOn w:val="Normal"/>
    <w:qFormat/>
    <w:rsid w:val="004667E7"/>
    <w:pPr>
      <w:spacing w:before="120" w:after="120" w:line="280" w:lineRule="exact"/>
    </w:pPr>
    <w:rPr>
      <w:rFonts w:ascii="Arial" w:eastAsia="Times New Roman" w:hAnsi="Arial" w:cs="Times New Roman"/>
      <w:sz w:val="24"/>
      <w:szCs w:val="20"/>
    </w:rPr>
  </w:style>
  <w:style w:type="paragraph" w:customStyle="1" w:styleId="Paragraphnumbered">
    <w:name w:val="Paragraph numbered"/>
    <w:basedOn w:val="Paragraphtext"/>
    <w:qFormat/>
    <w:rsid w:val="004667E7"/>
    <w:pPr>
      <w:numPr>
        <w:ilvl w:val="1"/>
        <w:numId w:val="2"/>
      </w:numPr>
      <w:tabs>
        <w:tab w:val="clear" w:pos="432"/>
        <w:tab w:val="num" w:pos="792"/>
      </w:tabs>
      <w:ind w:left="792"/>
    </w:pPr>
  </w:style>
  <w:style w:type="paragraph" w:customStyle="1" w:styleId="ChptHead">
    <w:name w:val="Chpt Head"/>
    <w:basedOn w:val="Normal"/>
    <w:next w:val="Paragraphtext"/>
    <w:qFormat/>
    <w:rsid w:val="004667E7"/>
    <w:pPr>
      <w:keepNext/>
      <w:numPr>
        <w:numId w:val="2"/>
      </w:numPr>
      <w:spacing w:before="1000" w:after="1000" w:line="540" w:lineRule="exact"/>
      <w:contextualSpacing/>
      <w:outlineLvl w:val="0"/>
    </w:pPr>
    <w:rPr>
      <w:rFonts w:ascii="Arial" w:eastAsia="Times New Roman" w:hAnsi="Arial" w:cs="Times New Roman"/>
      <w:color w:val="00AEEF"/>
      <w:sz w:val="50"/>
      <w:szCs w:val="20"/>
    </w:rPr>
  </w:style>
  <w:style w:type="paragraph" w:styleId="BalloonText">
    <w:name w:val="Balloon Text"/>
    <w:basedOn w:val="Normal"/>
    <w:link w:val="BalloonTextChar"/>
    <w:uiPriority w:val="99"/>
    <w:semiHidden/>
    <w:unhideWhenUsed/>
    <w:rsid w:val="00FC5CEB"/>
    <w:rPr>
      <w:rFonts w:ascii="Tahoma" w:hAnsi="Tahoma" w:cs="Tahoma"/>
      <w:sz w:val="16"/>
      <w:szCs w:val="16"/>
    </w:rPr>
  </w:style>
  <w:style w:type="character" w:customStyle="1" w:styleId="BalloonTextChar">
    <w:name w:val="Balloon Text Char"/>
    <w:basedOn w:val="DefaultParagraphFont"/>
    <w:link w:val="BalloonText"/>
    <w:uiPriority w:val="99"/>
    <w:semiHidden/>
    <w:rsid w:val="00FC5C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mrteam@beis.gov.u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legislation.gov.uk/uksi/2015/102/pdfs/uksi_20150102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506</Words>
  <Characters>2885</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DECC</Company>
  <LinksUpToDate>false</LinksUpToDate>
  <CharactersWithSpaces>3385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Butterworth Lindsey (Office for Nuclear Development)</dc:creator>
  <cp:lastModifiedBy>Hollingshead Paul (Communications)</cp:lastModifiedBy>
  <cp:revision>2</cp:revision>
  <dcterms:created xsi:type="dcterms:W3CDTF">2017-11-08T08:16:00Z</dcterms:created>
  <dcterms:modified xsi:type="dcterms:W3CDTF">2017-11-08T08:16:00Z</dcterms:modified>
</cp:coreProperties>
</file>