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D0AF3" w14:textId="77777777" w:rsidR="0038420B" w:rsidRDefault="008D5804" w:rsidP="00D032F8">
      <w:pPr>
        <w:jc w:val="left"/>
        <w:rPr>
          <w:bCs/>
        </w:rPr>
      </w:pPr>
      <w:r w:rsidRPr="000A3F99">
        <w:rPr>
          <w:bCs/>
          <w:noProof/>
        </w:rPr>
        <mc:AlternateContent>
          <mc:Choice Requires="wps">
            <w:drawing>
              <wp:inline distT="0" distB="0" distL="0" distR="0" wp14:anchorId="0D950307" wp14:editId="28A1CF3A">
                <wp:extent cx="5977890" cy="1979930"/>
                <wp:effectExtent l="9525" t="7620" r="13335" b="12700"/>
                <wp:docPr id="3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1979930"/>
                        </a:xfrm>
                        <a:prstGeom prst="rect">
                          <a:avLst/>
                        </a:prstGeom>
                        <a:solidFill>
                          <a:srgbClr val="FFFFFF"/>
                        </a:solidFill>
                        <a:ln w="12700">
                          <a:solidFill>
                            <a:srgbClr val="000000"/>
                          </a:solidFill>
                          <a:miter lim="800000"/>
                          <a:headEnd/>
                          <a:tailEnd/>
                        </a:ln>
                      </wps:spPr>
                      <wps:txbx>
                        <w:txbxContent>
                          <w:p w14:paraId="1F827058" w14:textId="77777777" w:rsidR="00494FCF" w:rsidRPr="00690C9D" w:rsidRDefault="00494FCF" w:rsidP="00222CFC">
                            <w:pPr>
                              <w:pStyle w:val="NormalWeb"/>
                              <w:rPr>
                                <w:rFonts w:ascii="Calibri" w:hAnsi="Calibri"/>
                                <w:b/>
                                <w:bCs/>
                                <w:color w:val="000000"/>
                                <w:sz w:val="40"/>
                                <w:szCs w:val="28"/>
                              </w:rPr>
                            </w:pPr>
                            <w:r>
                              <w:rPr>
                                <w:b/>
                                <w:bCs/>
                                <w:color w:val="000000"/>
                                <w:sz w:val="40"/>
                                <w:szCs w:val="28"/>
                              </w:rPr>
                              <w:t>Children’s Social Care in England</w:t>
                            </w:r>
                          </w:p>
                          <w:p w14:paraId="6A1C9218" w14:textId="77777777" w:rsidR="00494FCF" w:rsidRPr="00D04363" w:rsidRDefault="00494FCF" w:rsidP="00222CFC">
                            <w:pPr>
                              <w:pStyle w:val="NormalWeb"/>
                              <w:jc w:val="left"/>
                              <w:rPr>
                                <w:sz w:val="4"/>
                                <w:szCs w:val="4"/>
                              </w:rPr>
                            </w:pPr>
                          </w:p>
                          <w:p w14:paraId="651D9069" w14:textId="77777777" w:rsidR="00494FCF" w:rsidRPr="0038420B" w:rsidRDefault="00494FCF" w:rsidP="00222CFC">
                            <w:pPr>
                              <w:jc w:val="left"/>
                              <w:rPr>
                                <w:rFonts w:ascii="Times New Roman" w:hAnsi="Times New Roman"/>
                                <w:sz w:val="22"/>
                                <w:szCs w:val="22"/>
                              </w:rPr>
                            </w:pPr>
                            <w:r w:rsidRPr="0038420B">
                              <w:rPr>
                                <w:color w:val="000000"/>
                                <w:sz w:val="22"/>
                                <w:szCs w:val="22"/>
                              </w:rPr>
                              <w:t>This</w:t>
                            </w:r>
                            <w:r>
                              <w:rPr>
                                <w:color w:val="000000"/>
                                <w:sz w:val="22"/>
                                <w:szCs w:val="22"/>
                              </w:rPr>
                              <w:t xml:space="preserve"> annual</w:t>
                            </w:r>
                            <w:r w:rsidRPr="0038420B">
                              <w:rPr>
                                <w:color w:val="000000"/>
                                <w:sz w:val="22"/>
                                <w:szCs w:val="22"/>
                              </w:rPr>
                              <w:t xml:space="preserve"> release covers:</w:t>
                            </w:r>
                          </w:p>
                          <w:p w14:paraId="3A3A095A"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 xml:space="preserve">Inspection outcomes for local authority children’s services inspections from November 2013, covering all inspections published by </w:t>
                            </w:r>
                            <w:r>
                              <w:rPr>
                                <w:rFonts w:cs="Tahoma"/>
                                <w:sz w:val="22"/>
                                <w:szCs w:val="22"/>
                              </w:rPr>
                              <w:t xml:space="preserve">30 April </w:t>
                            </w:r>
                            <w:r w:rsidRPr="0038420B">
                              <w:rPr>
                                <w:rFonts w:cs="Tahoma"/>
                                <w:sz w:val="22"/>
                                <w:szCs w:val="22"/>
                              </w:rPr>
                              <w:t>2017</w:t>
                            </w:r>
                            <w:r>
                              <w:rPr>
                                <w:rFonts w:cs="Tahoma"/>
                                <w:sz w:val="22"/>
                                <w:szCs w:val="22"/>
                              </w:rPr>
                              <w:t>;</w:t>
                            </w:r>
                          </w:p>
                          <w:p w14:paraId="5F85892D"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Inspection outcomes for all regulated, and other, children’s social care provision 1 April 2016 to 31 March 2017</w:t>
                            </w:r>
                            <w:r>
                              <w:rPr>
                                <w:rFonts w:cs="Tahoma"/>
                                <w:sz w:val="22"/>
                                <w:szCs w:val="22"/>
                              </w:rPr>
                              <w:t>;</w:t>
                            </w:r>
                          </w:p>
                          <w:p w14:paraId="20EC6821"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Inspection outcome of most recent inspection, for all regulated, and other, children’s social care provisions, as at 31 March 2017</w:t>
                            </w:r>
                            <w:r>
                              <w:rPr>
                                <w:rFonts w:cs="Tahoma"/>
                                <w:sz w:val="22"/>
                                <w:szCs w:val="22"/>
                              </w:rPr>
                              <w:t>;</w:t>
                            </w:r>
                          </w:p>
                          <w:p w14:paraId="2863793B"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Information about the providers of children’s social care, including the numbers of providers and places, as at 31 March 2017</w:t>
                            </w:r>
                            <w:r>
                              <w:rPr>
                                <w:rFonts w:cs="Tahoma"/>
                                <w:sz w:val="22"/>
                                <w:szCs w:val="22"/>
                              </w:rPr>
                              <w:t>.</w:t>
                            </w:r>
                          </w:p>
                        </w:txbxContent>
                      </wps:txbx>
                      <wps:bodyPr rot="0" vert="horz" wrap="square" lIns="91440" tIns="45720" rIns="91440" bIns="45720" anchor="t" anchorCtr="0" upright="1">
                        <a:noAutofit/>
                      </wps:bodyPr>
                    </wps:wsp>
                  </a:graphicData>
                </a:graphic>
              </wp:inline>
            </w:drawing>
          </mc:Choice>
          <mc:Fallback>
            <w:pict>
              <v:shapetype w14:anchorId="0D950307" id="_x0000_t202" coordsize="21600,21600" o:spt="202" path="m,l,21600r21600,l21600,xe">
                <v:stroke joinstyle="miter"/>
                <v:path gradientshapeok="t" o:connecttype="rect"/>
              </v:shapetype>
              <v:shape id="TextBox 1" o:spid="_x0000_s1026" type="#_x0000_t202" style="width:470.7pt;height:1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" strokeweight="1pt">
                <v:textbox>
                  <w:txbxContent>
                    <w:p w14:paraId="1F827058" w14:textId="77777777" w:rsidR="00494FCF" w:rsidRPr="00690C9D" w:rsidRDefault="00494FCF" w:rsidP="00222CFC">
                      <w:pPr>
                        <w:pStyle w:val="NormalWeb"/>
                        <w:rPr>
                          <w:rFonts w:ascii="Calibri" w:hAnsi="Calibri"/>
                          <w:b/>
                          <w:bCs/>
                          <w:color w:val="000000"/>
                          <w:sz w:val="40"/>
                          <w:szCs w:val="28"/>
                        </w:rPr>
                      </w:pPr>
                      <w:r>
                        <w:rPr>
                          <w:b/>
                          <w:bCs/>
                          <w:color w:val="000000"/>
                          <w:sz w:val="40"/>
                          <w:szCs w:val="28"/>
                        </w:rPr>
                        <w:t>Children’s Social Care in England</w:t>
                      </w:r>
                    </w:p>
                    <w:p w14:paraId="6A1C9218" w14:textId="77777777" w:rsidR="00494FCF" w:rsidRPr="00D04363" w:rsidRDefault="00494FCF" w:rsidP="00222CFC">
                      <w:pPr>
                        <w:pStyle w:val="NormalWeb"/>
                        <w:jc w:val="left"/>
                        <w:rPr>
                          <w:sz w:val="4"/>
                          <w:szCs w:val="4"/>
                        </w:rPr>
                      </w:pPr>
                    </w:p>
                    <w:p w14:paraId="651D9069" w14:textId="77777777" w:rsidR="00494FCF" w:rsidRPr="0038420B" w:rsidRDefault="00494FCF" w:rsidP="00222CFC">
                      <w:pPr>
                        <w:jc w:val="left"/>
                        <w:rPr>
                          <w:rFonts w:ascii="Times New Roman" w:hAnsi="Times New Roman"/>
                          <w:sz w:val="22"/>
                          <w:szCs w:val="22"/>
                        </w:rPr>
                      </w:pPr>
                      <w:r w:rsidRPr="0038420B">
                        <w:rPr>
                          <w:color w:val="000000"/>
                          <w:sz w:val="22"/>
                          <w:szCs w:val="22"/>
                        </w:rPr>
                        <w:t>This</w:t>
                      </w:r>
                      <w:r>
                        <w:rPr>
                          <w:color w:val="000000"/>
                          <w:sz w:val="22"/>
                          <w:szCs w:val="22"/>
                        </w:rPr>
                        <w:t xml:space="preserve"> annual</w:t>
                      </w:r>
                      <w:r w:rsidRPr="0038420B">
                        <w:rPr>
                          <w:color w:val="000000"/>
                          <w:sz w:val="22"/>
                          <w:szCs w:val="22"/>
                        </w:rPr>
                        <w:t xml:space="preserve"> release covers:</w:t>
                      </w:r>
                    </w:p>
                    <w:p w14:paraId="3A3A095A"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 xml:space="preserve">Inspection outcomes for local authority children’s services inspections from November 2013, covering all inspections published by </w:t>
                      </w:r>
                      <w:r>
                        <w:rPr>
                          <w:rFonts w:cs="Tahoma"/>
                          <w:sz w:val="22"/>
                          <w:szCs w:val="22"/>
                        </w:rPr>
                        <w:t xml:space="preserve">30 April </w:t>
                      </w:r>
                      <w:r w:rsidRPr="0038420B">
                        <w:rPr>
                          <w:rFonts w:cs="Tahoma"/>
                          <w:sz w:val="22"/>
                          <w:szCs w:val="22"/>
                        </w:rPr>
                        <w:t>2017</w:t>
                      </w:r>
                      <w:r>
                        <w:rPr>
                          <w:rFonts w:cs="Tahoma"/>
                          <w:sz w:val="22"/>
                          <w:szCs w:val="22"/>
                        </w:rPr>
                        <w:t>;</w:t>
                      </w:r>
                    </w:p>
                    <w:p w14:paraId="5F85892D"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Inspection outcomes for all regulated, and other, children’s social care provision 1 April 2016 to 31 March 2017</w:t>
                      </w:r>
                      <w:r>
                        <w:rPr>
                          <w:rFonts w:cs="Tahoma"/>
                          <w:sz w:val="22"/>
                          <w:szCs w:val="22"/>
                        </w:rPr>
                        <w:t>;</w:t>
                      </w:r>
                    </w:p>
                    <w:p w14:paraId="20EC6821"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Inspection outcome of most recent inspection, for all regulated, and other, children’s social care provisions, as at 31 March 2017</w:t>
                      </w:r>
                      <w:r>
                        <w:rPr>
                          <w:rFonts w:cs="Tahoma"/>
                          <w:sz w:val="22"/>
                          <w:szCs w:val="22"/>
                        </w:rPr>
                        <w:t>;</w:t>
                      </w:r>
                    </w:p>
                    <w:p w14:paraId="2863793B" w14:textId="77777777" w:rsidR="00494FCF" w:rsidRPr="0038420B" w:rsidRDefault="00494FCF" w:rsidP="00EA5523">
                      <w:pPr>
                        <w:numPr>
                          <w:ilvl w:val="0"/>
                          <w:numId w:val="3"/>
                        </w:numPr>
                        <w:ind w:left="709" w:hanging="283"/>
                        <w:contextualSpacing/>
                        <w:jc w:val="left"/>
                        <w:rPr>
                          <w:rFonts w:cs="Tahoma"/>
                          <w:sz w:val="22"/>
                          <w:szCs w:val="22"/>
                        </w:rPr>
                      </w:pPr>
                      <w:r w:rsidRPr="0038420B">
                        <w:rPr>
                          <w:rFonts w:cs="Tahoma"/>
                          <w:sz w:val="22"/>
                          <w:szCs w:val="22"/>
                        </w:rPr>
                        <w:t>Information about the providers of children’s social care, including the numbers of providers and places, as at 31 March 2017</w:t>
                      </w:r>
                      <w:r>
                        <w:rPr>
                          <w:rFonts w:cs="Tahoma"/>
                          <w:sz w:val="22"/>
                          <w:szCs w:val="22"/>
                        </w:rPr>
                        <w:t>.</w:t>
                      </w:r>
                    </w:p>
                  </w:txbxContent>
                </v:textbox>
                <w10:anchorlock/>
              </v:shape>
            </w:pict>
          </mc:Fallback>
        </mc:AlternateContent>
      </w:r>
    </w:p>
    <w:p w14:paraId="5959F63A" w14:textId="77777777" w:rsidR="0038420B" w:rsidRDefault="0038420B" w:rsidP="00D032F8">
      <w:pPr>
        <w:jc w:val="left"/>
        <w:rPr>
          <w:bCs/>
        </w:rPr>
      </w:pPr>
    </w:p>
    <w:p w14:paraId="6B47E2EA" w14:textId="77777777" w:rsidR="0038420B" w:rsidRDefault="0038420B" w:rsidP="00D032F8">
      <w:pPr>
        <w:jc w:val="left"/>
        <w:rPr>
          <w:bCs/>
        </w:rPr>
      </w:pPr>
    </w:p>
    <w:p w14:paraId="3FD90EAA" w14:textId="77777777" w:rsidR="006A4F7A" w:rsidRPr="00F308B1" w:rsidRDefault="005A49F9" w:rsidP="00D032F8">
      <w:pPr>
        <w:jc w:val="left"/>
        <w:rPr>
          <w:bCs/>
        </w:rPr>
      </w:pPr>
      <w:r w:rsidRPr="00F308B1">
        <w:rPr>
          <w:b/>
          <w:sz w:val="28"/>
        </w:rPr>
        <w:t>Main</w:t>
      </w:r>
      <w:r w:rsidR="00CE745B" w:rsidRPr="00F308B1">
        <w:rPr>
          <w:b/>
          <w:sz w:val="28"/>
        </w:rPr>
        <w:t xml:space="preserve"> Points</w:t>
      </w:r>
    </w:p>
    <w:p w14:paraId="051459B7" w14:textId="77777777" w:rsidR="006A4F7A" w:rsidRPr="000A3F99" w:rsidRDefault="006A4F7A" w:rsidP="00D032F8">
      <w:pPr>
        <w:jc w:val="left"/>
        <w:rPr>
          <w:color w:val="000000"/>
        </w:rPr>
      </w:pPr>
    </w:p>
    <w:tbl>
      <w:tblPr>
        <w:tblW w:w="9691" w:type="dxa"/>
        <w:tblBorders>
          <w:top w:val="single" w:sz="4" w:space="0" w:color="auto"/>
          <w:bottom w:val="single" w:sz="4" w:space="0" w:color="auto"/>
          <w:insideH w:val="single" w:sz="4" w:space="0" w:color="auto"/>
        </w:tblBorders>
        <w:tblLook w:val="04A0" w:firstRow="1" w:lastRow="0" w:firstColumn="1" w:lastColumn="0" w:noHBand="0" w:noVBand="1"/>
      </w:tblPr>
      <w:tblGrid>
        <w:gridCol w:w="4845"/>
        <w:gridCol w:w="4397"/>
        <w:gridCol w:w="449"/>
      </w:tblGrid>
      <w:tr w:rsidR="0015706E" w:rsidRPr="000A3F99" w14:paraId="5BFB68AD" w14:textId="77777777" w:rsidTr="0015706E">
        <w:tc>
          <w:tcPr>
            <w:tcW w:w="4845" w:type="dxa"/>
            <w:shd w:val="clear" w:color="auto" w:fill="auto"/>
            <w:vAlign w:val="center"/>
          </w:tcPr>
          <w:p w14:paraId="78C27FAB" w14:textId="77777777" w:rsidR="0015706E" w:rsidRPr="000A3F99" w:rsidRDefault="006F7903" w:rsidP="00B44615">
            <w:pPr>
              <w:jc w:val="left"/>
            </w:pPr>
            <w:bookmarkStart w:id="0" w:name="_Toc280878080"/>
            <w:bookmarkStart w:id="1" w:name="_Toc296347484"/>
            <w:bookmarkStart w:id="2" w:name="_Toc327345065"/>
            <w:r>
              <w:t>More of the local authorities</w:t>
            </w:r>
            <w:r w:rsidR="00ED7C96">
              <w:t xml:space="preserve"> (LAs)</w:t>
            </w:r>
            <w:r>
              <w:t xml:space="preserve"> inspected to date were judged good or outstanding than inadequate for the SIF.</w:t>
            </w:r>
            <w:r w:rsidR="00CE6B53">
              <w:rPr>
                <w:rStyle w:val="FootnoteReference"/>
              </w:rPr>
              <w:footnoteReference w:id="1"/>
            </w:r>
          </w:p>
        </w:tc>
        <w:tc>
          <w:tcPr>
            <w:tcW w:w="4846" w:type="dxa"/>
            <w:gridSpan w:val="2"/>
            <w:shd w:val="clear" w:color="auto" w:fill="auto"/>
            <w:vAlign w:val="center"/>
          </w:tcPr>
          <w:p w14:paraId="58A8BA2E" w14:textId="77777777" w:rsidR="0015706E" w:rsidRPr="000A3F99" w:rsidRDefault="006F7903" w:rsidP="00B44615">
            <w:pPr>
              <w:spacing w:before="40" w:after="40"/>
              <w:jc w:val="left"/>
            </w:pPr>
            <w:r>
              <w:t xml:space="preserve">Thirty-seven </w:t>
            </w:r>
            <w:r w:rsidR="00ED7C96">
              <w:t>LAs</w:t>
            </w:r>
            <w:r>
              <w:t xml:space="preserve"> were judged to be good or outstanding, and thirty were judged to be inadequate, of 127 inspected </w:t>
            </w:r>
            <w:r w:rsidR="00ED7C96">
              <w:t>LAs</w:t>
            </w:r>
            <w:r>
              <w:t>.</w:t>
            </w:r>
            <w:r w:rsidR="008306B7">
              <w:t xml:space="preserve"> [p.4]</w:t>
            </w:r>
          </w:p>
        </w:tc>
      </w:tr>
      <w:tr w:rsidR="0015706E" w:rsidRPr="000A3F99" w14:paraId="1F37D7A6" w14:textId="77777777" w:rsidTr="0015706E">
        <w:tc>
          <w:tcPr>
            <w:tcW w:w="4845" w:type="dxa"/>
            <w:shd w:val="clear" w:color="auto" w:fill="auto"/>
            <w:vAlign w:val="center"/>
          </w:tcPr>
          <w:p w14:paraId="56EB9940" w14:textId="77777777" w:rsidR="0015706E" w:rsidRPr="00882616" w:rsidRDefault="00666DC8" w:rsidP="00B44615">
            <w:pPr>
              <w:jc w:val="left"/>
            </w:pPr>
            <w:r w:rsidRPr="00882616">
              <w:t>Only a very small number of LAs were judged inadequate across all three key judgements and overall effectiveness.</w:t>
            </w:r>
          </w:p>
        </w:tc>
        <w:tc>
          <w:tcPr>
            <w:tcW w:w="4846" w:type="dxa"/>
            <w:gridSpan w:val="2"/>
            <w:shd w:val="clear" w:color="auto" w:fill="auto"/>
            <w:vAlign w:val="center"/>
          </w:tcPr>
          <w:p w14:paraId="27631560" w14:textId="77777777" w:rsidR="0015706E" w:rsidRPr="00882616" w:rsidRDefault="009070E8" w:rsidP="00B44615">
            <w:pPr>
              <w:spacing w:before="40" w:after="40"/>
              <w:jc w:val="left"/>
            </w:pPr>
            <w:r w:rsidRPr="00882616">
              <w:t>Only 8% (10 LAs) of inspected LAs were  judged inadequate for overall effectiveness and for all three key judgements</w:t>
            </w:r>
            <w:r w:rsidR="00792798" w:rsidRPr="00882616">
              <w:t xml:space="preserve"> </w:t>
            </w:r>
            <w:r w:rsidR="0006464E" w:rsidRPr="00882616">
              <w:t>as at 31 March 2017.</w:t>
            </w:r>
            <w:r w:rsidR="008306B7">
              <w:t xml:space="preserve"> [p.7]</w:t>
            </w:r>
          </w:p>
        </w:tc>
      </w:tr>
      <w:tr w:rsidR="00B44615" w:rsidRPr="000A3F99" w14:paraId="5E2B27C0" w14:textId="77777777" w:rsidTr="0015706E">
        <w:tc>
          <w:tcPr>
            <w:tcW w:w="4845" w:type="dxa"/>
            <w:shd w:val="clear" w:color="auto" w:fill="auto"/>
            <w:vAlign w:val="center"/>
          </w:tcPr>
          <w:p w14:paraId="3C58B1A1" w14:textId="77777777" w:rsidR="00B44615" w:rsidRPr="00B36422" w:rsidRDefault="00B44615" w:rsidP="00B44615">
            <w:pPr>
              <w:jc w:val="left"/>
            </w:pPr>
            <w:r w:rsidRPr="00B36422">
              <w:t>LAs’ prior grades are not an effective predictor of their SIF grade.</w:t>
            </w:r>
          </w:p>
        </w:tc>
        <w:tc>
          <w:tcPr>
            <w:tcW w:w="4846" w:type="dxa"/>
            <w:gridSpan w:val="2"/>
            <w:shd w:val="clear" w:color="auto" w:fill="auto"/>
            <w:vAlign w:val="center"/>
          </w:tcPr>
          <w:p w14:paraId="31A33B6A" w14:textId="77777777" w:rsidR="00B44615" w:rsidRPr="00B36422" w:rsidRDefault="00B44615" w:rsidP="008306B7">
            <w:pPr>
              <w:spacing w:before="40" w:after="40"/>
              <w:jc w:val="left"/>
            </w:pPr>
            <w:r w:rsidRPr="00B36422">
              <w:t>For example, LAs judged adequate for Safeguarding pre-SIF were as likely to be graded good as to be graded inadequate for Help and protection under the SIF.</w:t>
            </w:r>
            <w:r w:rsidR="008306B7">
              <w:t xml:space="preserve"> [p.13]</w:t>
            </w:r>
          </w:p>
        </w:tc>
      </w:tr>
      <w:tr w:rsidR="008E3BBB" w:rsidRPr="000A3F99" w14:paraId="2EEE929B" w14:textId="77777777" w:rsidTr="0015706E">
        <w:tc>
          <w:tcPr>
            <w:tcW w:w="4845" w:type="dxa"/>
            <w:shd w:val="clear" w:color="auto" w:fill="auto"/>
            <w:vAlign w:val="center"/>
          </w:tcPr>
          <w:p w14:paraId="38A0CD36" w14:textId="77777777" w:rsidR="008E3BBB" w:rsidRPr="000A3F99" w:rsidRDefault="008E3BBB" w:rsidP="00B44615">
            <w:pPr>
              <w:jc w:val="left"/>
            </w:pPr>
            <w:r>
              <w:t>The number of children’s homes increased by a larger amount than at any other time in the last five years.</w:t>
            </w:r>
          </w:p>
        </w:tc>
        <w:tc>
          <w:tcPr>
            <w:tcW w:w="4846" w:type="dxa"/>
            <w:gridSpan w:val="2"/>
            <w:shd w:val="clear" w:color="auto" w:fill="auto"/>
            <w:vAlign w:val="center"/>
          </w:tcPr>
          <w:p w14:paraId="0BED7001" w14:textId="77777777" w:rsidR="008E3BBB" w:rsidRPr="000A3F99" w:rsidRDefault="008E3BBB" w:rsidP="00B44615">
            <w:pPr>
              <w:spacing w:before="40" w:after="40"/>
              <w:jc w:val="left"/>
            </w:pPr>
            <w:r>
              <w:t>As at 31 March 2017, there were 2,145 active children’s homes – an increase of 74 homes compared with 31 March 2016 (2,071).</w:t>
            </w:r>
            <w:r w:rsidR="008306B7">
              <w:t xml:space="preserve"> [p.17]</w:t>
            </w:r>
          </w:p>
        </w:tc>
      </w:tr>
      <w:tr w:rsidR="008E3BBB" w:rsidRPr="000A3F99" w14:paraId="4E9B8C86" w14:textId="77777777" w:rsidTr="00F61F6D">
        <w:trPr>
          <w:gridAfter w:val="1"/>
          <w:wAfter w:w="449" w:type="dxa"/>
        </w:trPr>
        <w:tc>
          <w:tcPr>
            <w:tcW w:w="4845" w:type="dxa"/>
            <w:shd w:val="clear" w:color="auto" w:fill="auto"/>
            <w:vAlign w:val="center"/>
          </w:tcPr>
          <w:p w14:paraId="117B1FA6" w14:textId="77777777" w:rsidR="008E3BBB" w:rsidRDefault="008E3BBB" w:rsidP="00B44615">
            <w:pPr>
              <w:jc w:val="left"/>
            </w:pPr>
            <w:r>
              <w:t>There is a continuing reduction in local authority-run children’s homes.</w:t>
            </w:r>
          </w:p>
        </w:tc>
        <w:tc>
          <w:tcPr>
            <w:tcW w:w="4397" w:type="dxa"/>
            <w:shd w:val="clear" w:color="auto" w:fill="auto"/>
            <w:vAlign w:val="center"/>
          </w:tcPr>
          <w:p w14:paraId="3B79E6E4" w14:textId="77777777" w:rsidR="008E3BBB" w:rsidRDefault="008E3BBB" w:rsidP="008822A3">
            <w:pPr>
              <w:spacing w:before="40" w:after="40"/>
              <w:jc w:val="left"/>
            </w:pPr>
            <w:r>
              <w:t>As at 31 March 2017, LAs ran 20% of children’s homes compared with 22% last year and 26% as at 31 March 2013.</w:t>
            </w:r>
            <w:r w:rsidR="008306B7">
              <w:t xml:space="preserve"> [p.</w:t>
            </w:r>
            <w:r w:rsidR="008822A3">
              <w:t>19</w:t>
            </w:r>
            <w:r w:rsidR="008306B7">
              <w:t>]</w:t>
            </w:r>
          </w:p>
        </w:tc>
      </w:tr>
      <w:tr w:rsidR="008E3BBB" w:rsidRPr="000A3F99" w14:paraId="424C0050" w14:textId="77777777" w:rsidTr="00F61F6D">
        <w:trPr>
          <w:gridAfter w:val="1"/>
          <w:wAfter w:w="449" w:type="dxa"/>
        </w:trPr>
        <w:tc>
          <w:tcPr>
            <w:tcW w:w="4845" w:type="dxa"/>
            <w:shd w:val="clear" w:color="auto" w:fill="auto"/>
            <w:vAlign w:val="center"/>
          </w:tcPr>
          <w:p w14:paraId="406AC666" w14:textId="77777777" w:rsidR="008E3BBB" w:rsidRPr="000A3F99" w:rsidRDefault="00D10872" w:rsidP="00B44615">
            <w:pPr>
              <w:jc w:val="left"/>
            </w:pPr>
            <w:r>
              <w:t>The majority of children’s homes judged to be inadequate at their first inspection in 2016-17 improved during the year.</w:t>
            </w:r>
          </w:p>
        </w:tc>
        <w:tc>
          <w:tcPr>
            <w:tcW w:w="4397" w:type="dxa"/>
            <w:shd w:val="clear" w:color="auto" w:fill="auto"/>
            <w:vAlign w:val="center"/>
          </w:tcPr>
          <w:p w14:paraId="5B4A091A" w14:textId="77777777" w:rsidR="008E3BBB" w:rsidRPr="000A3F99" w:rsidRDefault="00D10872" w:rsidP="00B44615">
            <w:pPr>
              <w:spacing w:before="40" w:after="40"/>
              <w:jc w:val="left"/>
            </w:pPr>
            <w:r>
              <w:t xml:space="preserve">In 2016-17, 85% of children’s homes judged to be inadequate at their first inspection had improved </w:t>
            </w:r>
            <w:r w:rsidR="00792798">
              <w:t xml:space="preserve">to </w:t>
            </w:r>
            <w:r>
              <w:t xml:space="preserve">either </w:t>
            </w:r>
            <w:r w:rsidR="00792798">
              <w:t xml:space="preserve">good or </w:t>
            </w:r>
            <w:r>
              <w:t xml:space="preserve">requires improvement to be good by </w:t>
            </w:r>
            <w:r w:rsidR="0067209D">
              <w:t>31 March 2017, predominantly at their subsequent inspection</w:t>
            </w:r>
            <w:r>
              <w:t>.</w:t>
            </w:r>
            <w:r w:rsidR="008306B7">
              <w:t xml:space="preserve"> [p.25]</w:t>
            </w:r>
          </w:p>
        </w:tc>
      </w:tr>
    </w:tbl>
    <w:p w14:paraId="78B4DD0B" w14:textId="77777777" w:rsidR="00CB55BA" w:rsidRDefault="001C17A1">
      <w:pPr>
        <w:pStyle w:val="TOC2"/>
        <w:rPr>
          <w:b/>
          <w:color w:val="000000"/>
          <w:kern w:val="28"/>
          <w:sz w:val="28"/>
          <w:szCs w:val="28"/>
          <w:lang w:eastAsia="en-US"/>
        </w:rPr>
      </w:pPr>
      <w:r w:rsidRPr="000A3F99">
        <w:rPr>
          <w:b/>
          <w:color w:val="000000"/>
          <w:kern w:val="28"/>
          <w:sz w:val="28"/>
          <w:szCs w:val="28"/>
          <w:lang w:eastAsia="en-US"/>
        </w:rPr>
        <w:br w:type="page"/>
      </w:r>
      <w:r w:rsidR="00CC5FEB" w:rsidRPr="000A3F99">
        <w:rPr>
          <w:b/>
          <w:color w:val="000000"/>
          <w:kern w:val="28"/>
          <w:sz w:val="28"/>
          <w:szCs w:val="28"/>
          <w:lang w:eastAsia="en-US"/>
        </w:rPr>
        <w:lastRenderedPageBreak/>
        <w:t>Contents</w:t>
      </w:r>
    </w:p>
    <w:p w14:paraId="2EC2EEA2" w14:textId="77777777" w:rsidR="00423A9C" w:rsidRPr="00423A9C" w:rsidRDefault="002C192D">
      <w:pPr>
        <w:pStyle w:val="TOC2"/>
        <w:rPr>
          <w:rFonts w:eastAsiaTheme="minorEastAsia"/>
          <w:sz w:val="22"/>
          <w:szCs w:val="22"/>
          <w:lang w:val="en-GB" w:eastAsia="en-GB"/>
        </w:rPr>
      </w:pPr>
      <w:r w:rsidRPr="00423A9C">
        <w:fldChar w:fldCharType="begin"/>
      </w:r>
      <w:r w:rsidRPr="00423A9C">
        <w:instrText xml:space="preserve"> TOC \o "1-3" \h \z \u </w:instrText>
      </w:r>
      <w:r w:rsidRPr="00423A9C">
        <w:fldChar w:fldCharType="separate"/>
      </w:r>
      <w:hyperlink w:anchor="_Toc491090865" w:history="1">
        <w:r w:rsidR="00423A9C" w:rsidRPr="00423A9C">
          <w:rPr>
            <w:rStyle w:val="Hyperlink"/>
          </w:rPr>
          <w:t>Introduction</w:t>
        </w:r>
        <w:r w:rsidR="00423A9C" w:rsidRPr="00423A9C">
          <w:rPr>
            <w:webHidden/>
          </w:rPr>
          <w:tab/>
        </w:r>
        <w:r w:rsidR="00423A9C" w:rsidRPr="00423A9C">
          <w:rPr>
            <w:webHidden/>
          </w:rPr>
          <w:fldChar w:fldCharType="begin"/>
        </w:r>
        <w:r w:rsidR="00423A9C" w:rsidRPr="00423A9C">
          <w:rPr>
            <w:webHidden/>
          </w:rPr>
          <w:instrText xml:space="preserve"> PAGEREF _Toc491090865 \h </w:instrText>
        </w:r>
        <w:r w:rsidR="00423A9C" w:rsidRPr="00423A9C">
          <w:rPr>
            <w:webHidden/>
          </w:rPr>
        </w:r>
        <w:r w:rsidR="00423A9C" w:rsidRPr="00423A9C">
          <w:rPr>
            <w:webHidden/>
          </w:rPr>
          <w:fldChar w:fldCharType="separate"/>
        </w:r>
        <w:r w:rsidR="005F2D43">
          <w:rPr>
            <w:webHidden/>
          </w:rPr>
          <w:t>3</w:t>
        </w:r>
        <w:r w:rsidR="00423A9C" w:rsidRPr="00423A9C">
          <w:rPr>
            <w:webHidden/>
          </w:rPr>
          <w:fldChar w:fldCharType="end"/>
        </w:r>
      </w:hyperlink>
    </w:p>
    <w:p w14:paraId="07498D7A" w14:textId="77777777" w:rsidR="00423A9C" w:rsidRPr="00423A9C" w:rsidRDefault="00494FCF">
      <w:pPr>
        <w:pStyle w:val="TOC2"/>
        <w:rPr>
          <w:rFonts w:eastAsiaTheme="minorEastAsia"/>
          <w:sz w:val="22"/>
          <w:szCs w:val="22"/>
          <w:lang w:val="en-GB" w:eastAsia="en-GB"/>
        </w:rPr>
      </w:pPr>
      <w:hyperlink w:anchor="_Toc491090866" w:history="1">
        <w:r w:rsidR="00423A9C" w:rsidRPr="00423A9C">
          <w:rPr>
            <w:rStyle w:val="Hyperlink"/>
          </w:rPr>
          <w:t>Inspection of local authority children’s services</w:t>
        </w:r>
        <w:r w:rsidR="00423A9C" w:rsidRPr="00423A9C">
          <w:rPr>
            <w:webHidden/>
          </w:rPr>
          <w:tab/>
        </w:r>
        <w:r w:rsidR="00423A9C" w:rsidRPr="00423A9C">
          <w:rPr>
            <w:webHidden/>
          </w:rPr>
          <w:fldChar w:fldCharType="begin"/>
        </w:r>
        <w:r w:rsidR="00423A9C" w:rsidRPr="00423A9C">
          <w:rPr>
            <w:webHidden/>
          </w:rPr>
          <w:instrText xml:space="preserve"> PAGEREF _Toc491090866 \h </w:instrText>
        </w:r>
        <w:r w:rsidR="00423A9C" w:rsidRPr="00423A9C">
          <w:rPr>
            <w:webHidden/>
          </w:rPr>
        </w:r>
        <w:r w:rsidR="00423A9C" w:rsidRPr="00423A9C">
          <w:rPr>
            <w:webHidden/>
          </w:rPr>
          <w:fldChar w:fldCharType="separate"/>
        </w:r>
        <w:r w:rsidR="005F2D43">
          <w:rPr>
            <w:webHidden/>
          </w:rPr>
          <w:t>4</w:t>
        </w:r>
        <w:r w:rsidR="00423A9C" w:rsidRPr="00423A9C">
          <w:rPr>
            <w:webHidden/>
          </w:rPr>
          <w:fldChar w:fldCharType="end"/>
        </w:r>
      </w:hyperlink>
    </w:p>
    <w:p w14:paraId="2BC545E2" w14:textId="77777777" w:rsidR="00423A9C" w:rsidRPr="00423A9C" w:rsidRDefault="00494FCF">
      <w:pPr>
        <w:pStyle w:val="TOC3"/>
        <w:rPr>
          <w:rFonts w:ascii="Tahoma" w:eastAsiaTheme="minorEastAsia" w:hAnsi="Tahoma"/>
          <w:bCs w:val="0"/>
          <w:lang w:val="en-GB" w:eastAsia="en-GB"/>
        </w:rPr>
      </w:pPr>
      <w:hyperlink w:anchor="_Toc491090867" w:history="1">
        <w:r w:rsidR="00423A9C" w:rsidRPr="00423A9C">
          <w:rPr>
            <w:rStyle w:val="Hyperlink"/>
            <w:rFonts w:ascii="Tahoma" w:hAnsi="Tahoma"/>
          </w:rPr>
          <w:t>Overall effectiveness</w:t>
        </w:r>
        <w:r w:rsidR="00423A9C" w:rsidRPr="00423A9C">
          <w:rPr>
            <w:rStyle w:val="Hyperlink"/>
            <w:rFonts w:ascii="Tahoma" w:hAnsi="Tahoma"/>
            <w:caps/>
          </w:rPr>
          <w:t xml:space="preserve"> </w:t>
        </w:r>
        <w:r w:rsidR="00423A9C" w:rsidRPr="00423A9C">
          <w:rPr>
            <w:rStyle w:val="Hyperlink"/>
            <w:rFonts w:ascii="Tahoma" w:hAnsi="Tahoma"/>
          </w:rPr>
          <w:t>from November 2013 to March 2017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_Toc491090867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4</w:t>
        </w:r>
        <w:r w:rsidR="00423A9C" w:rsidRPr="00423A9C">
          <w:rPr>
            <w:rFonts w:ascii="Tahoma" w:hAnsi="Tahoma"/>
            <w:webHidden/>
          </w:rPr>
          <w:fldChar w:fldCharType="end"/>
        </w:r>
      </w:hyperlink>
    </w:p>
    <w:p w14:paraId="4A16AA4B" w14:textId="77777777" w:rsidR="00423A9C" w:rsidRPr="00423A9C" w:rsidRDefault="00494FCF">
      <w:pPr>
        <w:pStyle w:val="TOC3"/>
        <w:rPr>
          <w:rFonts w:ascii="Tahoma" w:eastAsiaTheme="minorEastAsia" w:hAnsi="Tahoma"/>
          <w:bCs w:val="0"/>
          <w:lang w:val="en-GB" w:eastAsia="en-GB"/>
        </w:rPr>
      </w:pPr>
      <w:hyperlink w:anchor="_Toc491090868" w:history="1">
        <w:r w:rsidR="00423A9C" w:rsidRPr="00423A9C">
          <w:rPr>
            <w:rStyle w:val="Hyperlink"/>
            <w:rFonts w:ascii="Tahoma" w:hAnsi="Tahoma"/>
          </w:rPr>
          <w:t>Key judgements from November 2013 to March 2017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_Toc491090868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6</w:t>
        </w:r>
        <w:r w:rsidR="00423A9C" w:rsidRPr="00423A9C">
          <w:rPr>
            <w:rFonts w:ascii="Tahoma" w:hAnsi="Tahoma"/>
            <w:webHidden/>
          </w:rPr>
          <w:fldChar w:fldCharType="end"/>
        </w:r>
      </w:hyperlink>
    </w:p>
    <w:p w14:paraId="628FEC1D" w14:textId="77777777" w:rsidR="00423A9C" w:rsidRPr="00423A9C" w:rsidRDefault="00494FCF">
      <w:pPr>
        <w:pStyle w:val="TOC3"/>
        <w:rPr>
          <w:rFonts w:ascii="Tahoma" w:eastAsiaTheme="minorEastAsia" w:hAnsi="Tahoma"/>
          <w:bCs w:val="0"/>
          <w:lang w:val="en-GB" w:eastAsia="en-GB"/>
        </w:rPr>
      </w:pPr>
      <w:hyperlink w:anchor="_Toc491090869" w:history="1">
        <w:r w:rsidR="00423A9C" w:rsidRPr="00423A9C">
          <w:rPr>
            <w:rStyle w:val="Hyperlink"/>
            <w:rFonts w:ascii="Tahoma" w:hAnsi="Tahoma"/>
          </w:rPr>
          <w:t>Outcomes across all key judgements</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_Toc491090869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7</w:t>
        </w:r>
        <w:r w:rsidR="00423A9C" w:rsidRPr="00423A9C">
          <w:rPr>
            <w:rFonts w:ascii="Tahoma" w:hAnsi="Tahoma"/>
            <w:webHidden/>
          </w:rPr>
          <w:fldChar w:fldCharType="end"/>
        </w:r>
      </w:hyperlink>
    </w:p>
    <w:p w14:paraId="466211D1" w14:textId="77777777" w:rsidR="00423A9C" w:rsidRPr="00423A9C" w:rsidRDefault="00494FCF">
      <w:pPr>
        <w:pStyle w:val="TOC3"/>
        <w:rPr>
          <w:rFonts w:ascii="Tahoma" w:eastAsiaTheme="minorEastAsia" w:hAnsi="Tahoma"/>
          <w:bCs w:val="0"/>
          <w:lang w:val="en-GB" w:eastAsia="en-GB"/>
        </w:rPr>
      </w:pPr>
      <w:hyperlink w:anchor="_Toc491090870" w:history="1">
        <w:r w:rsidR="00423A9C" w:rsidRPr="00423A9C">
          <w:rPr>
            <w:rStyle w:val="Hyperlink"/>
            <w:rFonts w:ascii="Tahoma" w:hAnsi="Tahoma"/>
          </w:rPr>
          <w:t>Children looked after sub-judgements to March 2017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_Toc491090870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8</w:t>
        </w:r>
        <w:r w:rsidR="00423A9C" w:rsidRPr="00423A9C">
          <w:rPr>
            <w:rFonts w:ascii="Tahoma" w:hAnsi="Tahoma"/>
            <w:webHidden/>
          </w:rPr>
          <w:fldChar w:fldCharType="end"/>
        </w:r>
      </w:hyperlink>
    </w:p>
    <w:p w14:paraId="3B524D60" w14:textId="77777777" w:rsidR="00423A9C" w:rsidRPr="00423A9C" w:rsidRDefault="00494FCF">
      <w:pPr>
        <w:pStyle w:val="TOC3"/>
        <w:rPr>
          <w:rFonts w:ascii="Tahoma" w:eastAsiaTheme="minorEastAsia" w:hAnsi="Tahoma"/>
          <w:bCs w:val="0"/>
          <w:lang w:val="en-GB" w:eastAsia="en-GB"/>
        </w:rPr>
      </w:pPr>
      <w:hyperlink w:anchor="_Toc491090871" w:history="1">
        <w:r w:rsidR="00423A9C" w:rsidRPr="00423A9C">
          <w:rPr>
            <w:rStyle w:val="Hyperlink"/>
            <w:rFonts w:ascii="Tahoma" w:hAnsi="Tahoma"/>
          </w:rPr>
          <w:t>Overall effectiveness by LA type and location to March 2017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_Toc491090871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9</w:t>
        </w:r>
        <w:r w:rsidR="00423A9C" w:rsidRPr="00423A9C">
          <w:rPr>
            <w:rFonts w:ascii="Tahoma" w:hAnsi="Tahoma"/>
            <w:webHidden/>
          </w:rPr>
          <w:fldChar w:fldCharType="end"/>
        </w:r>
      </w:hyperlink>
    </w:p>
    <w:p w14:paraId="5F6F3C88" w14:textId="77777777" w:rsidR="00423A9C" w:rsidRPr="00423A9C" w:rsidRDefault="00494FCF">
      <w:pPr>
        <w:pStyle w:val="TOC3"/>
        <w:rPr>
          <w:rFonts w:ascii="Tahoma" w:eastAsiaTheme="minorEastAsia" w:hAnsi="Tahoma"/>
          <w:bCs w:val="0"/>
          <w:lang w:val="en-GB" w:eastAsia="en-GB"/>
        </w:rPr>
      </w:pPr>
      <w:hyperlink w:anchor="_Toc491090872" w:history="1">
        <w:r w:rsidR="00423A9C" w:rsidRPr="00423A9C">
          <w:rPr>
            <w:rStyle w:val="Hyperlink"/>
            <w:rFonts w:ascii="Tahoma" w:hAnsi="Tahoma"/>
          </w:rPr>
          <w:t>Inspections of local authorities: some comparisons</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_Toc491090872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13</w:t>
        </w:r>
        <w:r w:rsidR="00423A9C" w:rsidRPr="00423A9C">
          <w:rPr>
            <w:rFonts w:ascii="Tahoma" w:hAnsi="Tahoma"/>
            <w:webHidden/>
          </w:rPr>
          <w:fldChar w:fldCharType="end"/>
        </w:r>
      </w:hyperlink>
    </w:p>
    <w:p w14:paraId="49721362" w14:textId="77777777" w:rsidR="00423A9C" w:rsidRPr="00423A9C" w:rsidRDefault="00494FCF">
      <w:pPr>
        <w:pStyle w:val="TOC2"/>
        <w:rPr>
          <w:rFonts w:eastAsiaTheme="minorEastAsia"/>
          <w:sz w:val="22"/>
          <w:szCs w:val="22"/>
          <w:lang w:val="en-GB" w:eastAsia="en-GB"/>
        </w:rPr>
      </w:pPr>
      <w:hyperlink w:anchor="_Toc491090873" w:history="1">
        <w:r w:rsidR="00423A9C" w:rsidRPr="00423A9C">
          <w:rPr>
            <w:rStyle w:val="Hyperlink"/>
          </w:rPr>
          <w:t>Reviews of Local Safeguarding Children Boards</w:t>
        </w:r>
        <w:r w:rsidR="00423A9C" w:rsidRPr="00423A9C">
          <w:rPr>
            <w:webHidden/>
          </w:rPr>
          <w:tab/>
        </w:r>
        <w:r w:rsidR="00423A9C" w:rsidRPr="00423A9C">
          <w:rPr>
            <w:webHidden/>
          </w:rPr>
          <w:fldChar w:fldCharType="begin"/>
        </w:r>
        <w:r w:rsidR="00423A9C" w:rsidRPr="00423A9C">
          <w:rPr>
            <w:webHidden/>
          </w:rPr>
          <w:instrText xml:space="preserve"> PAGEREF _Toc491090873 \h </w:instrText>
        </w:r>
        <w:r w:rsidR="00423A9C" w:rsidRPr="00423A9C">
          <w:rPr>
            <w:webHidden/>
          </w:rPr>
        </w:r>
        <w:r w:rsidR="00423A9C" w:rsidRPr="00423A9C">
          <w:rPr>
            <w:webHidden/>
          </w:rPr>
          <w:fldChar w:fldCharType="separate"/>
        </w:r>
        <w:r w:rsidR="005F2D43">
          <w:rPr>
            <w:webHidden/>
          </w:rPr>
          <w:t>15</w:t>
        </w:r>
        <w:r w:rsidR="00423A9C" w:rsidRPr="00423A9C">
          <w:rPr>
            <w:webHidden/>
          </w:rPr>
          <w:fldChar w:fldCharType="end"/>
        </w:r>
      </w:hyperlink>
    </w:p>
    <w:p w14:paraId="385E789C" w14:textId="77777777" w:rsidR="00423A9C" w:rsidRPr="00423A9C" w:rsidRDefault="00494FCF">
      <w:pPr>
        <w:pStyle w:val="TOC2"/>
        <w:rPr>
          <w:rFonts w:eastAsiaTheme="minorEastAsia"/>
          <w:sz w:val="22"/>
          <w:szCs w:val="22"/>
          <w:lang w:val="en-GB" w:eastAsia="en-GB"/>
        </w:rPr>
      </w:pPr>
      <w:hyperlink w:anchor="_Toc491090874" w:history="1">
        <w:r w:rsidR="00423A9C" w:rsidRPr="00423A9C">
          <w:rPr>
            <w:rStyle w:val="Hyperlink"/>
          </w:rPr>
          <w:t>All children’s homes</w:t>
        </w:r>
        <w:r w:rsidR="00423A9C" w:rsidRPr="00423A9C">
          <w:rPr>
            <w:webHidden/>
          </w:rPr>
          <w:tab/>
        </w:r>
        <w:r w:rsidR="00423A9C" w:rsidRPr="00423A9C">
          <w:rPr>
            <w:webHidden/>
          </w:rPr>
          <w:fldChar w:fldCharType="begin"/>
        </w:r>
        <w:r w:rsidR="00423A9C" w:rsidRPr="00423A9C">
          <w:rPr>
            <w:webHidden/>
          </w:rPr>
          <w:instrText xml:space="preserve"> PAGEREF _Toc491090874 \h </w:instrText>
        </w:r>
        <w:r w:rsidR="00423A9C" w:rsidRPr="00423A9C">
          <w:rPr>
            <w:webHidden/>
          </w:rPr>
        </w:r>
        <w:r w:rsidR="00423A9C" w:rsidRPr="00423A9C">
          <w:rPr>
            <w:webHidden/>
          </w:rPr>
          <w:fldChar w:fldCharType="separate"/>
        </w:r>
        <w:r w:rsidR="005F2D43">
          <w:rPr>
            <w:webHidden/>
          </w:rPr>
          <w:t>16</w:t>
        </w:r>
        <w:r w:rsidR="00423A9C" w:rsidRPr="00423A9C">
          <w:rPr>
            <w:webHidden/>
          </w:rPr>
          <w:fldChar w:fldCharType="end"/>
        </w:r>
      </w:hyperlink>
    </w:p>
    <w:p w14:paraId="1B45C2A1" w14:textId="77777777" w:rsidR="00423A9C" w:rsidRPr="00423A9C" w:rsidRDefault="00494FCF">
      <w:pPr>
        <w:pStyle w:val="TOC3"/>
        <w:rPr>
          <w:rFonts w:ascii="Tahoma" w:eastAsiaTheme="minorEastAsia" w:hAnsi="Tahoma"/>
          <w:bCs w:val="0"/>
          <w:lang w:val="en-GB" w:eastAsia="en-GB"/>
        </w:rPr>
      </w:pPr>
      <w:hyperlink w:anchor="_Toc491090875" w:history="1">
        <w:r w:rsidR="00423A9C" w:rsidRPr="00423A9C">
          <w:rPr>
            <w:rStyle w:val="Hyperlink"/>
            <w:rFonts w:ascii="Tahoma" w:hAnsi="Tahoma"/>
          </w:rPr>
          <w:t>Providers and places as at 31 March 2017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_Toc491090875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16</w:t>
        </w:r>
        <w:r w:rsidR="00423A9C" w:rsidRPr="00423A9C">
          <w:rPr>
            <w:rFonts w:ascii="Tahoma" w:hAnsi="Tahoma"/>
            <w:webHidden/>
          </w:rPr>
          <w:fldChar w:fldCharType="end"/>
        </w:r>
      </w:hyperlink>
    </w:p>
    <w:p w14:paraId="5E4858AD" w14:textId="77777777" w:rsidR="00423A9C" w:rsidRPr="00423A9C" w:rsidRDefault="00494FCF">
      <w:pPr>
        <w:pStyle w:val="TOC3"/>
        <w:rPr>
          <w:rFonts w:ascii="Tahoma" w:eastAsiaTheme="minorEastAsia" w:hAnsi="Tahoma"/>
          <w:bCs w:val="0"/>
          <w:lang w:val="en-GB" w:eastAsia="en-GB"/>
        </w:rPr>
      </w:pPr>
      <w:hyperlink w:anchor="_Toc491090876" w:history="1">
        <w:r w:rsidR="00423A9C" w:rsidRPr="00423A9C">
          <w:rPr>
            <w:rStyle w:val="Hyperlink"/>
            <w:rFonts w:ascii="Tahoma" w:hAnsi="Tahoma"/>
          </w:rPr>
          <w:t>Overall effectiveness for all children’s homes</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_Toc491090876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21</w:t>
        </w:r>
        <w:r w:rsidR="00423A9C" w:rsidRPr="00423A9C">
          <w:rPr>
            <w:rFonts w:ascii="Tahoma" w:hAnsi="Tahoma"/>
            <w:webHidden/>
          </w:rPr>
          <w:fldChar w:fldCharType="end"/>
        </w:r>
      </w:hyperlink>
    </w:p>
    <w:p w14:paraId="187EDBE9" w14:textId="77777777" w:rsidR="00423A9C" w:rsidRPr="00423A9C" w:rsidRDefault="00494FCF">
      <w:pPr>
        <w:pStyle w:val="TOC3"/>
        <w:rPr>
          <w:rFonts w:ascii="Tahoma" w:eastAsiaTheme="minorEastAsia" w:hAnsi="Tahoma"/>
          <w:bCs w:val="0"/>
          <w:lang w:val="en-GB" w:eastAsia="en-GB"/>
        </w:rPr>
      </w:pPr>
      <w:hyperlink w:anchor="_Toc491090877" w:history="1">
        <w:r w:rsidR="00423A9C" w:rsidRPr="00423A9C">
          <w:rPr>
            <w:rStyle w:val="Hyperlink"/>
            <w:rFonts w:ascii="Tahoma" w:hAnsi="Tahoma"/>
          </w:rPr>
          <w:t>State of the nation for all children’s homes as at 31 March 2017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_Toc491090877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21</w:t>
        </w:r>
        <w:r w:rsidR="00423A9C" w:rsidRPr="00423A9C">
          <w:rPr>
            <w:rFonts w:ascii="Tahoma" w:hAnsi="Tahoma"/>
            <w:webHidden/>
          </w:rPr>
          <w:fldChar w:fldCharType="end"/>
        </w:r>
      </w:hyperlink>
    </w:p>
    <w:p w14:paraId="55C7452C" w14:textId="77777777" w:rsidR="00423A9C" w:rsidRPr="00423A9C" w:rsidRDefault="00494FCF">
      <w:pPr>
        <w:pStyle w:val="TOC3"/>
        <w:rPr>
          <w:rFonts w:ascii="Tahoma" w:eastAsiaTheme="minorEastAsia" w:hAnsi="Tahoma"/>
          <w:bCs w:val="0"/>
          <w:lang w:val="en-GB" w:eastAsia="en-GB"/>
        </w:rPr>
      </w:pPr>
      <w:hyperlink w:anchor="_Toc491090878" w:history="1">
        <w:r w:rsidR="00423A9C" w:rsidRPr="00423A9C">
          <w:rPr>
            <w:rStyle w:val="Hyperlink"/>
            <w:rFonts w:ascii="Tahoma" w:hAnsi="Tahoma"/>
          </w:rPr>
          <w:t>All children’s homes inspections in year 2016-17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_Toc491090878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24</w:t>
        </w:r>
        <w:r w:rsidR="00423A9C" w:rsidRPr="00423A9C">
          <w:rPr>
            <w:rFonts w:ascii="Tahoma" w:hAnsi="Tahoma"/>
            <w:webHidden/>
          </w:rPr>
          <w:fldChar w:fldCharType="end"/>
        </w:r>
      </w:hyperlink>
    </w:p>
    <w:p w14:paraId="58B5866B" w14:textId="77777777" w:rsidR="00423A9C" w:rsidRPr="00423A9C" w:rsidRDefault="00494FCF">
      <w:pPr>
        <w:pStyle w:val="TOC3"/>
        <w:rPr>
          <w:rFonts w:ascii="Tahoma" w:eastAsiaTheme="minorEastAsia" w:hAnsi="Tahoma"/>
          <w:bCs w:val="0"/>
          <w:lang w:val="en-GB" w:eastAsia="en-GB"/>
        </w:rPr>
      </w:pPr>
      <w:hyperlink w:anchor="_Toc491090879" w:history="1">
        <w:r w:rsidR="00423A9C" w:rsidRPr="00423A9C">
          <w:rPr>
            <w:rStyle w:val="Hyperlink"/>
            <w:rFonts w:ascii="Tahoma" w:hAnsi="Tahoma"/>
          </w:rPr>
          <w:t>Overall effectiveness for all children’s homes inspections – change since last inspection</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_Toc491090879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26</w:t>
        </w:r>
        <w:r w:rsidR="00423A9C" w:rsidRPr="00423A9C">
          <w:rPr>
            <w:rFonts w:ascii="Tahoma" w:hAnsi="Tahoma"/>
            <w:webHidden/>
          </w:rPr>
          <w:fldChar w:fldCharType="end"/>
        </w:r>
      </w:hyperlink>
    </w:p>
    <w:p w14:paraId="46F2A41E" w14:textId="77777777" w:rsidR="00423A9C" w:rsidRPr="00423A9C" w:rsidRDefault="00494FCF">
      <w:pPr>
        <w:pStyle w:val="TOC3"/>
        <w:rPr>
          <w:rFonts w:ascii="Tahoma" w:eastAsiaTheme="minorEastAsia" w:hAnsi="Tahoma"/>
          <w:bCs w:val="0"/>
          <w:lang w:val="en-GB" w:eastAsia="en-GB"/>
        </w:rPr>
      </w:pPr>
      <w:hyperlink w:anchor="_Toc491090880" w:history="1">
        <w:r w:rsidR="00423A9C" w:rsidRPr="00423A9C">
          <w:rPr>
            <w:rStyle w:val="Hyperlink"/>
            <w:rFonts w:ascii="Tahoma" w:hAnsi="Tahoma"/>
          </w:rPr>
          <w:t>Regional outcomes for all children’s homes in year 2016-17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_Toc491090880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27</w:t>
        </w:r>
        <w:r w:rsidR="00423A9C" w:rsidRPr="00423A9C">
          <w:rPr>
            <w:rFonts w:ascii="Tahoma" w:hAnsi="Tahoma"/>
            <w:webHidden/>
          </w:rPr>
          <w:fldChar w:fldCharType="end"/>
        </w:r>
      </w:hyperlink>
    </w:p>
    <w:p w14:paraId="658EE64B" w14:textId="77777777" w:rsidR="00423A9C" w:rsidRPr="00423A9C" w:rsidRDefault="00494FCF">
      <w:pPr>
        <w:pStyle w:val="TOC3"/>
        <w:rPr>
          <w:rFonts w:ascii="Tahoma" w:eastAsiaTheme="minorEastAsia" w:hAnsi="Tahoma"/>
          <w:bCs w:val="0"/>
          <w:lang w:val="en-GB" w:eastAsia="en-GB"/>
        </w:rPr>
      </w:pPr>
      <w:hyperlink w:anchor="_Toc491090881" w:history="1">
        <w:r w:rsidR="00423A9C" w:rsidRPr="00423A9C">
          <w:rPr>
            <w:rStyle w:val="Hyperlink"/>
            <w:rFonts w:ascii="Tahoma" w:hAnsi="Tahoma"/>
          </w:rPr>
          <w:t>Sector data for all children’s homes in year 2016-17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_Toc491090881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28</w:t>
        </w:r>
        <w:r w:rsidR="00423A9C" w:rsidRPr="00423A9C">
          <w:rPr>
            <w:rFonts w:ascii="Tahoma" w:hAnsi="Tahoma"/>
            <w:webHidden/>
          </w:rPr>
          <w:fldChar w:fldCharType="end"/>
        </w:r>
      </w:hyperlink>
    </w:p>
    <w:p w14:paraId="3625AB74" w14:textId="77777777" w:rsidR="00423A9C" w:rsidRPr="00423A9C" w:rsidRDefault="00494FCF">
      <w:pPr>
        <w:pStyle w:val="TOC3"/>
        <w:rPr>
          <w:rFonts w:ascii="Tahoma" w:eastAsiaTheme="minorEastAsia" w:hAnsi="Tahoma"/>
          <w:bCs w:val="0"/>
          <w:lang w:val="en-GB" w:eastAsia="en-GB"/>
        </w:rPr>
      </w:pPr>
      <w:hyperlink w:anchor="_Toc491090882" w:history="1">
        <w:r w:rsidR="00423A9C" w:rsidRPr="00423A9C">
          <w:rPr>
            <w:rStyle w:val="Hyperlink"/>
            <w:rFonts w:ascii="Tahoma" w:hAnsi="Tahoma"/>
          </w:rPr>
          <w:t>Interim inspections for all children’s homes in year 2016-17</w:t>
        </w:r>
        <w:r w:rsidR="00423A9C" w:rsidRPr="00423A9C">
          <w:rPr>
            <w:rFonts w:ascii="Tahoma" w:hAnsi="Tahoma"/>
            <w:webHidden/>
          </w:rPr>
          <w:tab/>
        </w:r>
        <w:r w:rsidR="00423A9C" w:rsidRPr="00423A9C">
          <w:rPr>
            <w:rFonts w:ascii="Tahoma" w:hAnsi="Tahoma"/>
            <w:webHidden/>
          </w:rPr>
          <w:fldChar w:fldCharType="begin"/>
        </w:r>
        <w:r w:rsidR="00423A9C" w:rsidRPr="00423A9C">
          <w:rPr>
            <w:rFonts w:ascii="Tahoma" w:hAnsi="Tahoma"/>
            <w:webHidden/>
          </w:rPr>
          <w:instrText xml:space="preserve"> PAGEREF _Toc491090882 \h </w:instrText>
        </w:r>
        <w:r w:rsidR="00423A9C" w:rsidRPr="00423A9C">
          <w:rPr>
            <w:rFonts w:ascii="Tahoma" w:hAnsi="Tahoma"/>
            <w:webHidden/>
          </w:rPr>
        </w:r>
        <w:r w:rsidR="00423A9C" w:rsidRPr="00423A9C">
          <w:rPr>
            <w:rFonts w:ascii="Tahoma" w:hAnsi="Tahoma"/>
            <w:webHidden/>
          </w:rPr>
          <w:fldChar w:fldCharType="separate"/>
        </w:r>
        <w:r w:rsidR="005F2D43">
          <w:rPr>
            <w:rFonts w:ascii="Tahoma" w:hAnsi="Tahoma"/>
            <w:webHidden/>
          </w:rPr>
          <w:t>31</w:t>
        </w:r>
        <w:r w:rsidR="00423A9C" w:rsidRPr="00423A9C">
          <w:rPr>
            <w:rFonts w:ascii="Tahoma" w:hAnsi="Tahoma"/>
            <w:webHidden/>
          </w:rPr>
          <w:fldChar w:fldCharType="end"/>
        </w:r>
      </w:hyperlink>
    </w:p>
    <w:p w14:paraId="5E2F63AB" w14:textId="77777777" w:rsidR="00423A9C" w:rsidRPr="00423A9C" w:rsidRDefault="00494FCF">
      <w:pPr>
        <w:pStyle w:val="TOC2"/>
        <w:rPr>
          <w:rFonts w:eastAsiaTheme="minorEastAsia"/>
          <w:sz w:val="22"/>
          <w:szCs w:val="22"/>
          <w:lang w:val="en-GB" w:eastAsia="en-GB"/>
        </w:rPr>
      </w:pPr>
      <w:hyperlink w:anchor="_Toc491090883" w:history="1">
        <w:r w:rsidR="00423A9C" w:rsidRPr="00423A9C">
          <w:rPr>
            <w:rStyle w:val="Hyperlink"/>
          </w:rPr>
          <w:t>Other social care providers</w:t>
        </w:r>
        <w:r w:rsidR="00423A9C" w:rsidRPr="00423A9C">
          <w:rPr>
            <w:webHidden/>
          </w:rPr>
          <w:tab/>
        </w:r>
        <w:r w:rsidR="00423A9C" w:rsidRPr="00423A9C">
          <w:rPr>
            <w:webHidden/>
          </w:rPr>
          <w:fldChar w:fldCharType="begin"/>
        </w:r>
        <w:r w:rsidR="00423A9C" w:rsidRPr="00423A9C">
          <w:rPr>
            <w:webHidden/>
          </w:rPr>
          <w:instrText xml:space="preserve"> PAGEREF _Toc491090883 \h </w:instrText>
        </w:r>
        <w:r w:rsidR="00423A9C" w:rsidRPr="00423A9C">
          <w:rPr>
            <w:webHidden/>
          </w:rPr>
        </w:r>
        <w:r w:rsidR="00423A9C" w:rsidRPr="00423A9C">
          <w:rPr>
            <w:webHidden/>
          </w:rPr>
          <w:fldChar w:fldCharType="separate"/>
        </w:r>
        <w:r w:rsidR="005F2D43">
          <w:rPr>
            <w:webHidden/>
          </w:rPr>
          <w:t>33</w:t>
        </w:r>
        <w:r w:rsidR="00423A9C" w:rsidRPr="00423A9C">
          <w:rPr>
            <w:webHidden/>
          </w:rPr>
          <w:fldChar w:fldCharType="end"/>
        </w:r>
      </w:hyperlink>
    </w:p>
    <w:p w14:paraId="5B0F91DA" w14:textId="77777777" w:rsidR="00423A9C" w:rsidRPr="00423A9C" w:rsidRDefault="00494FCF">
      <w:pPr>
        <w:pStyle w:val="TOC2"/>
        <w:rPr>
          <w:rFonts w:eastAsiaTheme="minorEastAsia"/>
          <w:sz w:val="22"/>
          <w:szCs w:val="22"/>
          <w:lang w:val="en-GB" w:eastAsia="en-GB"/>
        </w:rPr>
      </w:pPr>
      <w:hyperlink w:anchor="_Toc491090884" w:history="1">
        <w:r w:rsidR="00423A9C" w:rsidRPr="00423A9C">
          <w:rPr>
            <w:rStyle w:val="Hyperlink"/>
          </w:rPr>
          <w:t>List of Charts</w:t>
        </w:r>
        <w:r w:rsidR="00423A9C" w:rsidRPr="00423A9C">
          <w:rPr>
            <w:webHidden/>
          </w:rPr>
          <w:tab/>
        </w:r>
        <w:r w:rsidR="00423A9C" w:rsidRPr="00423A9C">
          <w:rPr>
            <w:webHidden/>
          </w:rPr>
          <w:fldChar w:fldCharType="begin"/>
        </w:r>
        <w:r w:rsidR="00423A9C" w:rsidRPr="00423A9C">
          <w:rPr>
            <w:webHidden/>
          </w:rPr>
          <w:instrText xml:space="preserve"> PAGEREF _Toc491090884 \h </w:instrText>
        </w:r>
        <w:r w:rsidR="00423A9C" w:rsidRPr="00423A9C">
          <w:rPr>
            <w:webHidden/>
          </w:rPr>
        </w:r>
        <w:r w:rsidR="00423A9C" w:rsidRPr="00423A9C">
          <w:rPr>
            <w:webHidden/>
          </w:rPr>
          <w:fldChar w:fldCharType="separate"/>
        </w:r>
        <w:r w:rsidR="005F2D43">
          <w:rPr>
            <w:webHidden/>
          </w:rPr>
          <w:t>36</w:t>
        </w:r>
        <w:r w:rsidR="00423A9C" w:rsidRPr="00423A9C">
          <w:rPr>
            <w:webHidden/>
          </w:rPr>
          <w:fldChar w:fldCharType="end"/>
        </w:r>
      </w:hyperlink>
    </w:p>
    <w:p w14:paraId="7F5B4643" w14:textId="77777777" w:rsidR="00423A9C" w:rsidRPr="00423A9C" w:rsidRDefault="00494FCF">
      <w:pPr>
        <w:pStyle w:val="TOC2"/>
        <w:rPr>
          <w:rFonts w:eastAsiaTheme="minorEastAsia"/>
          <w:sz w:val="22"/>
          <w:szCs w:val="22"/>
          <w:lang w:val="en-GB" w:eastAsia="en-GB"/>
        </w:rPr>
      </w:pPr>
      <w:hyperlink w:anchor="_Toc491090885" w:history="1">
        <w:r w:rsidR="00423A9C" w:rsidRPr="00423A9C">
          <w:rPr>
            <w:rStyle w:val="Hyperlink"/>
          </w:rPr>
          <w:t>List of Tables</w:t>
        </w:r>
        <w:r w:rsidR="00423A9C" w:rsidRPr="00423A9C">
          <w:rPr>
            <w:webHidden/>
          </w:rPr>
          <w:tab/>
        </w:r>
        <w:r w:rsidR="00423A9C" w:rsidRPr="00423A9C">
          <w:rPr>
            <w:webHidden/>
          </w:rPr>
          <w:fldChar w:fldCharType="begin"/>
        </w:r>
        <w:r w:rsidR="00423A9C" w:rsidRPr="00423A9C">
          <w:rPr>
            <w:webHidden/>
          </w:rPr>
          <w:instrText xml:space="preserve"> PAGEREF _Toc491090885 \h </w:instrText>
        </w:r>
        <w:r w:rsidR="00423A9C" w:rsidRPr="00423A9C">
          <w:rPr>
            <w:webHidden/>
          </w:rPr>
        </w:r>
        <w:r w:rsidR="00423A9C" w:rsidRPr="00423A9C">
          <w:rPr>
            <w:webHidden/>
          </w:rPr>
          <w:fldChar w:fldCharType="separate"/>
        </w:r>
        <w:r w:rsidR="005F2D43">
          <w:rPr>
            <w:webHidden/>
          </w:rPr>
          <w:t>36</w:t>
        </w:r>
        <w:r w:rsidR="00423A9C" w:rsidRPr="00423A9C">
          <w:rPr>
            <w:webHidden/>
          </w:rPr>
          <w:fldChar w:fldCharType="end"/>
        </w:r>
      </w:hyperlink>
    </w:p>
    <w:p w14:paraId="6BA37205" w14:textId="77777777" w:rsidR="00423A9C" w:rsidRPr="00423A9C" w:rsidRDefault="00494FCF">
      <w:pPr>
        <w:pStyle w:val="TOC2"/>
        <w:rPr>
          <w:rFonts w:eastAsiaTheme="minorEastAsia"/>
          <w:sz w:val="22"/>
          <w:szCs w:val="22"/>
          <w:lang w:val="en-GB" w:eastAsia="en-GB"/>
        </w:rPr>
      </w:pPr>
      <w:hyperlink w:anchor="_Toc491090886" w:history="1">
        <w:r w:rsidR="00423A9C" w:rsidRPr="00423A9C">
          <w:rPr>
            <w:rStyle w:val="Hyperlink"/>
          </w:rPr>
          <w:t>List of Maps</w:t>
        </w:r>
        <w:r w:rsidR="00423A9C" w:rsidRPr="00423A9C">
          <w:rPr>
            <w:webHidden/>
          </w:rPr>
          <w:tab/>
        </w:r>
        <w:r w:rsidR="00423A9C" w:rsidRPr="00423A9C">
          <w:rPr>
            <w:webHidden/>
          </w:rPr>
          <w:fldChar w:fldCharType="begin"/>
        </w:r>
        <w:r w:rsidR="00423A9C" w:rsidRPr="00423A9C">
          <w:rPr>
            <w:webHidden/>
          </w:rPr>
          <w:instrText xml:space="preserve"> PAGEREF _Toc491090886 \h </w:instrText>
        </w:r>
        <w:r w:rsidR="00423A9C" w:rsidRPr="00423A9C">
          <w:rPr>
            <w:webHidden/>
          </w:rPr>
        </w:r>
        <w:r w:rsidR="00423A9C" w:rsidRPr="00423A9C">
          <w:rPr>
            <w:webHidden/>
          </w:rPr>
          <w:fldChar w:fldCharType="separate"/>
        </w:r>
        <w:r w:rsidR="005F2D43">
          <w:rPr>
            <w:webHidden/>
          </w:rPr>
          <w:t>36</w:t>
        </w:r>
        <w:r w:rsidR="00423A9C" w:rsidRPr="00423A9C">
          <w:rPr>
            <w:webHidden/>
          </w:rPr>
          <w:fldChar w:fldCharType="end"/>
        </w:r>
      </w:hyperlink>
    </w:p>
    <w:p w14:paraId="785A296B" w14:textId="77777777" w:rsidR="00423A9C" w:rsidRPr="00423A9C" w:rsidRDefault="00494FCF">
      <w:pPr>
        <w:pStyle w:val="TOC1"/>
        <w:rPr>
          <w:rFonts w:eastAsiaTheme="minorEastAsia" w:cs="Tahoma"/>
          <w:noProof/>
          <w:sz w:val="22"/>
          <w:szCs w:val="22"/>
        </w:rPr>
      </w:pPr>
      <w:hyperlink w:anchor="_Toc491090887" w:history="1">
        <w:r w:rsidR="00423A9C" w:rsidRPr="00423A9C">
          <w:rPr>
            <w:rStyle w:val="Hyperlink"/>
            <w:rFonts w:cs="Tahoma"/>
            <w:noProof/>
          </w:rPr>
          <w:t>Revisions to previous release</w:t>
        </w:r>
        <w:r w:rsidR="00423A9C" w:rsidRPr="00423A9C">
          <w:rPr>
            <w:rFonts w:cs="Tahoma"/>
            <w:noProof/>
            <w:webHidden/>
          </w:rPr>
          <w:tab/>
        </w:r>
        <w:r w:rsidR="00423A9C" w:rsidRPr="00423A9C">
          <w:rPr>
            <w:rFonts w:cs="Tahoma"/>
            <w:noProof/>
            <w:webHidden/>
          </w:rPr>
          <w:fldChar w:fldCharType="begin"/>
        </w:r>
        <w:r w:rsidR="00423A9C" w:rsidRPr="00423A9C">
          <w:rPr>
            <w:rFonts w:cs="Tahoma"/>
            <w:noProof/>
            <w:webHidden/>
          </w:rPr>
          <w:instrText xml:space="preserve"> PAGEREF _Toc491090887 \h </w:instrText>
        </w:r>
        <w:r w:rsidR="00423A9C" w:rsidRPr="00423A9C">
          <w:rPr>
            <w:rFonts w:cs="Tahoma"/>
            <w:noProof/>
            <w:webHidden/>
          </w:rPr>
        </w:r>
        <w:r w:rsidR="00423A9C" w:rsidRPr="00423A9C">
          <w:rPr>
            <w:rFonts w:cs="Tahoma"/>
            <w:noProof/>
            <w:webHidden/>
          </w:rPr>
          <w:fldChar w:fldCharType="separate"/>
        </w:r>
        <w:r w:rsidR="005F2D43">
          <w:rPr>
            <w:rFonts w:cs="Tahoma"/>
            <w:noProof/>
            <w:webHidden/>
          </w:rPr>
          <w:t>37</w:t>
        </w:r>
        <w:r w:rsidR="00423A9C" w:rsidRPr="00423A9C">
          <w:rPr>
            <w:rFonts w:cs="Tahoma"/>
            <w:noProof/>
            <w:webHidden/>
          </w:rPr>
          <w:fldChar w:fldCharType="end"/>
        </w:r>
      </w:hyperlink>
    </w:p>
    <w:p w14:paraId="35F3D499" w14:textId="77777777" w:rsidR="00423A9C" w:rsidRPr="00423A9C" w:rsidRDefault="00494FCF">
      <w:pPr>
        <w:pStyle w:val="TOC1"/>
        <w:rPr>
          <w:rFonts w:eastAsiaTheme="minorEastAsia" w:cs="Tahoma"/>
          <w:noProof/>
          <w:sz w:val="22"/>
          <w:szCs w:val="22"/>
        </w:rPr>
      </w:pPr>
      <w:hyperlink w:anchor="_Toc491090888" w:history="1">
        <w:r w:rsidR="00423A9C" w:rsidRPr="00423A9C">
          <w:rPr>
            <w:rStyle w:val="Hyperlink"/>
            <w:rFonts w:cs="Tahoma"/>
            <w:noProof/>
          </w:rPr>
          <w:t>Notes</w:t>
        </w:r>
        <w:r w:rsidR="00423A9C" w:rsidRPr="00423A9C">
          <w:rPr>
            <w:rFonts w:cs="Tahoma"/>
            <w:noProof/>
            <w:webHidden/>
          </w:rPr>
          <w:tab/>
        </w:r>
        <w:r w:rsidR="00423A9C" w:rsidRPr="00423A9C">
          <w:rPr>
            <w:rFonts w:cs="Tahoma"/>
            <w:noProof/>
            <w:webHidden/>
          </w:rPr>
          <w:fldChar w:fldCharType="begin"/>
        </w:r>
        <w:r w:rsidR="00423A9C" w:rsidRPr="00423A9C">
          <w:rPr>
            <w:rFonts w:cs="Tahoma"/>
            <w:noProof/>
            <w:webHidden/>
          </w:rPr>
          <w:instrText xml:space="preserve"> PAGEREF _Toc491090888 \h </w:instrText>
        </w:r>
        <w:r w:rsidR="00423A9C" w:rsidRPr="00423A9C">
          <w:rPr>
            <w:rFonts w:cs="Tahoma"/>
            <w:noProof/>
            <w:webHidden/>
          </w:rPr>
        </w:r>
        <w:r w:rsidR="00423A9C" w:rsidRPr="00423A9C">
          <w:rPr>
            <w:rFonts w:cs="Tahoma"/>
            <w:noProof/>
            <w:webHidden/>
          </w:rPr>
          <w:fldChar w:fldCharType="separate"/>
        </w:r>
        <w:r w:rsidR="005F2D43">
          <w:rPr>
            <w:rFonts w:cs="Tahoma"/>
            <w:noProof/>
            <w:webHidden/>
          </w:rPr>
          <w:t>37</w:t>
        </w:r>
        <w:r w:rsidR="00423A9C" w:rsidRPr="00423A9C">
          <w:rPr>
            <w:rFonts w:cs="Tahoma"/>
            <w:noProof/>
            <w:webHidden/>
          </w:rPr>
          <w:fldChar w:fldCharType="end"/>
        </w:r>
      </w:hyperlink>
    </w:p>
    <w:p w14:paraId="662FCC9E" w14:textId="77777777" w:rsidR="00423A9C" w:rsidRPr="00423A9C" w:rsidRDefault="00494FCF">
      <w:pPr>
        <w:pStyle w:val="TOC1"/>
        <w:rPr>
          <w:rFonts w:eastAsiaTheme="minorEastAsia" w:cs="Tahoma"/>
          <w:noProof/>
          <w:sz w:val="22"/>
          <w:szCs w:val="22"/>
        </w:rPr>
      </w:pPr>
      <w:hyperlink w:anchor="_Toc491090889" w:history="1">
        <w:r w:rsidR="00423A9C" w:rsidRPr="00423A9C">
          <w:rPr>
            <w:rStyle w:val="Hyperlink"/>
            <w:rFonts w:cs="Tahoma"/>
            <w:noProof/>
          </w:rPr>
          <w:t>Glossary</w:t>
        </w:r>
        <w:r w:rsidR="00423A9C" w:rsidRPr="00423A9C">
          <w:rPr>
            <w:rFonts w:cs="Tahoma"/>
            <w:noProof/>
            <w:webHidden/>
          </w:rPr>
          <w:tab/>
        </w:r>
        <w:r w:rsidR="00423A9C" w:rsidRPr="00423A9C">
          <w:rPr>
            <w:rFonts w:cs="Tahoma"/>
            <w:noProof/>
            <w:webHidden/>
          </w:rPr>
          <w:fldChar w:fldCharType="begin"/>
        </w:r>
        <w:r w:rsidR="00423A9C" w:rsidRPr="00423A9C">
          <w:rPr>
            <w:rFonts w:cs="Tahoma"/>
            <w:noProof/>
            <w:webHidden/>
          </w:rPr>
          <w:instrText xml:space="preserve"> PAGEREF _Toc491090889 \h </w:instrText>
        </w:r>
        <w:r w:rsidR="00423A9C" w:rsidRPr="00423A9C">
          <w:rPr>
            <w:rFonts w:cs="Tahoma"/>
            <w:noProof/>
            <w:webHidden/>
          </w:rPr>
        </w:r>
        <w:r w:rsidR="00423A9C" w:rsidRPr="00423A9C">
          <w:rPr>
            <w:rFonts w:cs="Tahoma"/>
            <w:noProof/>
            <w:webHidden/>
          </w:rPr>
          <w:fldChar w:fldCharType="separate"/>
        </w:r>
        <w:r w:rsidR="005F2D43">
          <w:rPr>
            <w:rFonts w:cs="Tahoma"/>
            <w:noProof/>
            <w:webHidden/>
          </w:rPr>
          <w:t>38</w:t>
        </w:r>
        <w:r w:rsidR="00423A9C" w:rsidRPr="00423A9C">
          <w:rPr>
            <w:rFonts w:cs="Tahoma"/>
            <w:noProof/>
            <w:webHidden/>
          </w:rPr>
          <w:fldChar w:fldCharType="end"/>
        </w:r>
      </w:hyperlink>
    </w:p>
    <w:p w14:paraId="72A66F51" w14:textId="77777777" w:rsidR="00724D6B" w:rsidRPr="000A3F99" w:rsidRDefault="002C192D" w:rsidP="00D032F8">
      <w:pPr>
        <w:spacing w:after="120"/>
        <w:jc w:val="left"/>
        <w:rPr>
          <w:noProof/>
        </w:rPr>
      </w:pPr>
      <w:r w:rsidRPr="00423A9C">
        <w:rPr>
          <w:rFonts w:cs="Tahoma"/>
          <w:noProof/>
        </w:rPr>
        <w:fldChar w:fldCharType="end"/>
      </w:r>
      <w:bookmarkStart w:id="3" w:name="Key_findings"/>
      <w:bookmarkEnd w:id="0"/>
      <w:bookmarkEnd w:id="1"/>
      <w:bookmarkEnd w:id="2"/>
    </w:p>
    <w:p w14:paraId="760968D7" w14:textId="77777777" w:rsidR="009A6870" w:rsidRPr="000A3F99" w:rsidRDefault="009A6870" w:rsidP="00D032F8">
      <w:pPr>
        <w:spacing w:after="120"/>
        <w:jc w:val="left"/>
        <w:rPr>
          <w:b/>
          <w:sz w:val="28"/>
        </w:rPr>
      </w:pPr>
      <w:r w:rsidRPr="000A3F99">
        <w:rPr>
          <w:b/>
          <w:sz w:val="28"/>
        </w:rPr>
        <w:t>Acknowledgements</w:t>
      </w:r>
      <w:r w:rsidR="00724D6B" w:rsidRPr="000A3F99">
        <w:rPr>
          <w:b/>
          <w:sz w:val="28"/>
        </w:rPr>
        <w:t xml:space="preserve"> </w:t>
      </w:r>
    </w:p>
    <w:p w14:paraId="6207E807" w14:textId="77777777" w:rsidR="00DA03A9" w:rsidRDefault="009A6870" w:rsidP="00D032F8">
      <w:pPr>
        <w:jc w:val="left"/>
      </w:pPr>
      <w:r w:rsidRPr="000A3F99">
        <w:t xml:space="preserve">Thanks to the following for their contribution to this statistical release: </w:t>
      </w:r>
      <w:r w:rsidR="0051724D" w:rsidRPr="000A3F99">
        <w:t>Jeremy Honeyw</w:t>
      </w:r>
      <w:r w:rsidR="0099489D">
        <w:t>i</w:t>
      </w:r>
      <w:r w:rsidR="0051724D" w:rsidRPr="000A3F99">
        <w:t>ll, Emily Moreton,</w:t>
      </w:r>
      <w:r w:rsidR="00921869">
        <w:t xml:space="preserve"> and</w:t>
      </w:r>
      <w:r w:rsidR="0051724D" w:rsidRPr="000A3F99">
        <w:t xml:space="preserve"> Rich Jones</w:t>
      </w:r>
      <w:r w:rsidR="00D63921" w:rsidRPr="000A3F99">
        <w:t>.</w:t>
      </w:r>
    </w:p>
    <w:p w14:paraId="645D5258" w14:textId="77777777" w:rsidR="00DA03A9" w:rsidRDefault="00DA03A9" w:rsidP="00D032F8">
      <w:pPr>
        <w:jc w:val="left"/>
      </w:pPr>
    </w:p>
    <w:p w14:paraId="6B2CF932" w14:textId="77777777" w:rsidR="005F24F0" w:rsidRPr="000A3F99" w:rsidRDefault="005F24F0" w:rsidP="008C4C84">
      <w:pPr>
        <w:pStyle w:val="Heading2"/>
      </w:pPr>
      <w:bookmarkStart w:id="4" w:name="_Toc491090865"/>
      <w:r w:rsidRPr="000A3F99">
        <w:lastRenderedPageBreak/>
        <w:t>Introduction</w:t>
      </w:r>
      <w:bookmarkEnd w:id="4"/>
    </w:p>
    <w:bookmarkEnd w:id="3"/>
    <w:p w14:paraId="3760DD57" w14:textId="77777777" w:rsidR="00552B3F" w:rsidRDefault="00552B3F" w:rsidP="00552B3F">
      <w:pPr>
        <w:spacing w:after="240"/>
        <w:jc w:val="left"/>
      </w:pPr>
      <w:r>
        <w:t>Ofsted i</w:t>
      </w:r>
      <w:r w:rsidRPr="000A3F99">
        <w:t xml:space="preserve">nspects the 152 local authorities (LAs) responsible for ensuring and overseeing the effective delivery of social care services for children. </w:t>
      </w:r>
    </w:p>
    <w:p w14:paraId="1A1814EB" w14:textId="77777777" w:rsidR="00552B3F" w:rsidRPr="000A3F99" w:rsidRDefault="00552B3F" w:rsidP="00552B3F">
      <w:pPr>
        <w:spacing w:after="240"/>
        <w:jc w:val="left"/>
      </w:pPr>
      <w:r w:rsidRPr="000A3F99">
        <w:t xml:space="preserve">Her Majesty’s Inspectors (HMI) conduct these inspections of </w:t>
      </w:r>
      <w:r w:rsidRPr="000A3F99">
        <w:rPr>
          <w:rFonts w:cs="Tahoma"/>
        </w:rPr>
        <w:t xml:space="preserve">local authority services for children who need help and protection, children looked after, and care leavers, under the single inspection framework (SIF). </w:t>
      </w:r>
      <w:r w:rsidR="003B4E04">
        <w:rPr>
          <w:rFonts w:cs="Tahoma"/>
        </w:rPr>
        <w:t>All LAs will be inspected at least once between</w:t>
      </w:r>
      <w:r w:rsidRPr="000A3F99">
        <w:rPr>
          <w:rFonts w:cs="Tahoma"/>
        </w:rPr>
        <w:t xml:space="preserve"> November 2013 and December 2017.</w:t>
      </w:r>
    </w:p>
    <w:p w14:paraId="28E74BB2" w14:textId="77777777" w:rsidR="00552B3F" w:rsidRDefault="00552B3F" w:rsidP="00552B3F">
      <w:pPr>
        <w:spacing w:after="240"/>
        <w:jc w:val="left"/>
        <w:rPr>
          <w:rFonts w:cs="Tahoma"/>
        </w:rPr>
      </w:pPr>
      <w:r w:rsidRPr="000A3F99">
        <w:rPr>
          <w:rFonts w:cs="Tahoma"/>
        </w:rPr>
        <w:t xml:space="preserve">In addition to the SIF, and conducted at the same time, </w:t>
      </w:r>
      <w:r>
        <w:rPr>
          <w:rFonts w:cs="Tahoma"/>
        </w:rPr>
        <w:t>Her Majesty’s Inspectors (</w:t>
      </w:r>
      <w:r w:rsidRPr="000A3F99">
        <w:rPr>
          <w:rFonts w:cs="Tahoma"/>
        </w:rPr>
        <w:t>HMI</w:t>
      </w:r>
      <w:r>
        <w:rPr>
          <w:rFonts w:cs="Tahoma"/>
        </w:rPr>
        <w:t>)</w:t>
      </w:r>
      <w:r w:rsidRPr="000A3F99">
        <w:rPr>
          <w:rFonts w:cs="Tahoma"/>
        </w:rPr>
        <w:t xml:space="preserve"> conduct reviews of the Local Safeguarding Children Boards (LSCBs) that are responsible for safeguarding, and promoting the welfare of, children.</w:t>
      </w:r>
      <w:r w:rsidRPr="000A3F99">
        <w:rPr>
          <w:rStyle w:val="FootnoteReference"/>
          <w:rFonts w:cs="Tahoma"/>
        </w:rPr>
        <w:footnoteReference w:id="2"/>
      </w:r>
    </w:p>
    <w:p w14:paraId="4C4FBAB7" w14:textId="77777777" w:rsidR="00CE745B" w:rsidRPr="000A3F99" w:rsidRDefault="00CE745B" w:rsidP="00D032F8">
      <w:pPr>
        <w:spacing w:after="240"/>
        <w:jc w:val="left"/>
      </w:pPr>
      <w:r w:rsidRPr="000A3F99">
        <w:t xml:space="preserve">There were </w:t>
      </w:r>
      <w:r w:rsidR="001041C8" w:rsidRPr="000A3F99">
        <w:t>2,</w:t>
      </w:r>
      <w:r w:rsidR="007E123E" w:rsidRPr="000A3F99">
        <w:t>691</w:t>
      </w:r>
      <w:r w:rsidRPr="000A3F99">
        <w:rPr>
          <w:rStyle w:val="FootnoteReference"/>
        </w:rPr>
        <w:footnoteReference w:id="3"/>
      </w:r>
      <w:r w:rsidRPr="000A3F99">
        <w:rPr>
          <w:vertAlign w:val="superscript"/>
        </w:rPr>
        <w:t>,</w:t>
      </w:r>
      <w:r w:rsidRPr="000A3F99">
        <w:rPr>
          <w:rStyle w:val="FootnoteReference"/>
        </w:rPr>
        <w:footnoteReference w:id="4"/>
      </w:r>
      <w:r w:rsidRPr="000A3F99">
        <w:t xml:space="preserve"> providers of children’s social care </w:t>
      </w:r>
      <w:r w:rsidRPr="000A3F99">
        <w:rPr>
          <w:rFonts w:cs="Tahoma"/>
          <w:bCs/>
          <w:color w:val="000000"/>
        </w:rPr>
        <w:t>and providers of residential accommodation for children in boarding schools</w:t>
      </w:r>
      <w:r w:rsidR="00273266" w:rsidRPr="000A3F99">
        <w:rPr>
          <w:rStyle w:val="FootnoteReference"/>
          <w:rFonts w:cs="Tahoma"/>
          <w:bCs/>
          <w:color w:val="000000"/>
        </w:rPr>
        <w:footnoteReference w:id="5"/>
      </w:r>
      <w:r w:rsidRPr="000A3F99">
        <w:rPr>
          <w:rFonts w:cs="Tahoma"/>
          <w:bCs/>
          <w:color w:val="000000"/>
        </w:rPr>
        <w:t xml:space="preserve"> </w:t>
      </w:r>
      <w:r w:rsidR="00350438">
        <w:rPr>
          <w:rFonts w:cs="Tahoma"/>
          <w:bCs/>
          <w:color w:val="000000"/>
        </w:rPr>
        <w:t>and</w:t>
      </w:r>
      <w:r w:rsidR="00350438" w:rsidRPr="000A3F99">
        <w:rPr>
          <w:rFonts w:cs="Tahoma"/>
          <w:bCs/>
          <w:color w:val="000000"/>
        </w:rPr>
        <w:t xml:space="preserve"> </w:t>
      </w:r>
      <w:r w:rsidRPr="000A3F99">
        <w:rPr>
          <w:rFonts w:cs="Tahoma"/>
          <w:bCs/>
          <w:color w:val="000000"/>
        </w:rPr>
        <w:t>further education colleges</w:t>
      </w:r>
      <w:r w:rsidRPr="000A3F99">
        <w:t xml:space="preserve"> in England, as at the end of March 201</w:t>
      </w:r>
      <w:r w:rsidR="007E123E" w:rsidRPr="000A3F99">
        <w:t>7</w:t>
      </w:r>
      <w:r w:rsidRPr="000A3F99">
        <w:t>.</w:t>
      </w:r>
    </w:p>
    <w:p w14:paraId="29BACA29" w14:textId="77777777" w:rsidR="00CE745B" w:rsidRDefault="00CE745B" w:rsidP="00D032F8">
      <w:pPr>
        <w:spacing w:after="240"/>
        <w:jc w:val="left"/>
      </w:pPr>
      <w:r w:rsidRPr="000A3F99">
        <w:t>Most of these providers are registered and regulated by Ofsted, and inspected, in the main, by Regulatory Inspectors.</w:t>
      </w:r>
      <w:r w:rsidR="00DA03A9">
        <w:t xml:space="preserve"> These include children’s homes, independent fostering agencies, and voluntary adoption agencies. Some providers are registered but not regulated, including boarding schools and secure training centres.</w:t>
      </w:r>
      <w:r w:rsidR="00DA03A9">
        <w:rPr>
          <w:rStyle w:val="FootnoteReference"/>
        </w:rPr>
        <w:footnoteReference w:id="6"/>
      </w:r>
    </w:p>
    <w:p w14:paraId="7DEA4BE6" w14:textId="77777777" w:rsidR="00D7039A" w:rsidRPr="000A3F99" w:rsidRDefault="00D7039A" w:rsidP="00D032F8">
      <w:pPr>
        <w:spacing w:after="240"/>
        <w:jc w:val="left"/>
      </w:pPr>
      <w:r>
        <w:t xml:space="preserve">Most </w:t>
      </w:r>
      <w:r w:rsidR="003B4E04">
        <w:t>types of provision</w:t>
      </w:r>
      <w:r>
        <w:t xml:space="preserve"> receive an inspection </w:t>
      </w:r>
      <w:r w:rsidR="00264E2C">
        <w:t>once in a three year period</w:t>
      </w:r>
      <w:r>
        <w:t xml:space="preserve"> and may receive additional concern-driven inspections. The exceptions to this are children’s homes (including secure children’s homes and residential special schools dual registered as children’s homes), residential special schools, secure training centres, and residential holiday schemes for disabled children.</w:t>
      </w:r>
      <w:r w:rsidR="0006201A">
        <w:t xml:space="preserve"> These are inspected annually.</w:t>
      </w:r>
    </w:p>
    <w:p w14:paraId="206EC1EC" w14:textId="77777777" w:rsidR="00D7039A" w:rsidRPr="000A3F99" w:rsidRDefault="00D7039A" w:rsidP="00D032F8">
      <w:pPr>
        <w:spacing w:after="240"/>
        <w:jc w:val="left"/>
        <w:rPr>
          <w:rFonts w:cs="Tahoma"/>
        </w:rPr>
      </w:pPr>
      <w:r w:rsidRPr="00D7039A">
        <w:rPr>
          <w:rFonts w:cs="Tahoma"/>
        </w:rPr>
        <w:t>S</w:t>
      </w:r>
      <w:r w:rsidR="003B4E04">
        <w:rPr>
          <w:rFonts w:cs="Tahoma"/>
        </w:rPr>
        <w:t>ocial care inspection outcomes provide</w:t>
      </w:r>
      <w:r w:rsidRPr="00D7039A">
        <w:rPr>
          <w:rFonts w:cs="Tahoma"/>
        </w:rPr>
        <w:t xml:space="preserve"> important information for policy development, as well as for planning and providing public services, for example by informing </w:t>
      </w:r>
      <w:r w:rsidR="003B4E04">
        <w:rPr>
          <w:rFonts w:cs="Tahoma"/>
        </w:rPr>
        <w:t xml:space="preserve">LAs </w:t>
      </w:r>
      <w:r w:rsidRPr="00D7039A">
        <w:rPr>
          <w:rFonts w:cs="Tahoma"/>
        </w:rPr>
        <w:t>about the quality of social care provisions nationally and by area.</w:t>
      </w:r>
      <w:r>
        <w:rPr>
          <w:rStyle w:val="FootnoteReference"/>
          <w:rFonts w:cs="Tahoma"/>
        </w:rPr>
        <w:footnoteReference w:id="7"/>
      </w:r>
    </w:p>
    <w:p w14:paraId="54124EE1" w14:textId="77777777" w:rsidR="00CE745B" w:rsidRPr="000A3F99" w:rsidRDefault="001508D6" w:rsidP="00D032F8">
      <w:pPr>
        <w:spacing w:after="240"/>
        <w:jc w:val="left"/>
      </w:pPr>
      <w:r>
        <w:t xml:space="preserve"> </w:t>
      </w:r>
    </w:p>
    <w:p w14:paraId="5D68E6E7" w14:textId="77777777" w:rsidR="000A3F99" w:rsidRPr="000A3F99" w:rsidRDefault="00553B60" w:rsidP="00D032F8">
      <w:pPr>
        <w:pStyle w:val="Heading2"/>
        <w:jc w:val="left"/>
        <w:rPr>
          <w:rFonts w:cs="Tahoma"/>
          <w:bCs/>
        </w:rPr>
      </w:pPr>
      <w:r w:rsidRPr="000A3F99">
        <w:rPr>
          <w:rFonts w:cs="Tahoma"/>
          <w:color w:val="000000"/>
        </w:rPr>
        <w:br w:type="page"/>
      </w:r>
      <w:bookmarkStart w:id="5" w:name="_Toc427154547"/>
      <w:bookmarkStart w:id="6" w:name="_Toc482954453"/>
      <w:bookmarkStart w:id="7" w:name="_Toc491090866"/>
      <w:r w:rsidR="000A3F99" w:rsidRPr="000A3F99">
        <w:lastRenderedPageBreak/>
        <w:t>Inspection of local authority children’s services</w:t>
      </w:r>
      <w:bookmarkEnd w:id="5"/>
      <w:bookmarkEnd w:id="6"/>
      <w:bookmarkEnd w:id="7"/>
    </w:p>
    <w:p w14:paraId="1C6F0B9B" w14:textId="77777777" w:rsidR="000A3F99" w:rsidRPr="000A3F99" w:rsidRDefault="000A3F99" w:rsidP="00D032F8">
      <w:pPr>
        <w:spacing w:after="240"/>
        <w:jc w:val="left"/>
        <w:rPr>
          <w:rFonts w:cs="Tahoma"/>
        </w:rPr>
      </w:pPr>
      <w:bookmarkStart w:id="8" w:name="_Toc423648496"/>
      <w:r w:rsidRPr="000A3F99">
        <w:rPr>
          <w:rFonts w:cs="Tahoma"/>
        </w:rPr>
        <w:t xml:space="preserve">There are approximately 12 million children in England, of whom </w:t>
      </w:r>
      <w:r w:rsidR="00432086">
        <w:rPr>
          <w:rFonts w:cs="Tahoma"/>
        </w:rPr>
        <w:t>j</w:t>
      </w:r>
      <w:r w:rsidR="00432086" w:rsidRPr="000A3F99">
        <w:rPr>
          <w:rFonts w:cs="Tahoma"/>
        </w:rPr>
        <w:t xml:space="preserve">ust over 3% are classified </w:t>
      </w:r>
      <w:r w:rsidR="00432086">
        <w:rPr>
          <w:rFonts w:cs="Tahoma"/>
        </w:rPr>
        <w:t xml:space="preserve">at any one time </w:t>
      </w:r>
      <w:r w:rsidR="00432086" w:rsidRPr="000A3F99">
        <w:rPr>
          <w:rFonts w:cs="Tahoma"/>
        </w:rPr>
        <w:t>as children in need (394,000 children)</w:t>
      </w:r>
      <w:r w:rsidRPr="000A3F99">
        <w:rPr>
          <w:rFonts w:cs="Tahoma"/>
        </w:rPr>
        <w:t xml:space="preserve">. </w:t>
      </w:r>
      <w:r w:rsidR="00921869">
        <w:rPr>
          <w:rFonts w:cs="Tahoma"/>
        </w:rPr>
        <w:t>Around</w:t>
      </w:r>
      <w:r w:rsidRPr="000A3F99">
        <w:rPr>
          <w:rFonts w:cs="Tahoma"/>
        </w:rPr>
        <w:t xml:space="preserve"> </w:t>
      </w:r>
      <w:r w:rsidR="001508D6">
        <w:rPr>
          <w:rFonts w:cs="Tahoma"/>
        </w:rPr>
        <w:t>1%</w:t>
      </w:r>
      <w:r w:rsidRPr="000A3F99">
        <w:rPr>
          <w:rFonts w:cs="Tahoma"/>
        </w:rPr>
        <w:t xml:space="preserve"> are children looked after (70,000 children) or on a child protection plan (50,000 children).</w:t>
      </w:r>
      <w:r w:rsidRPr="000A3F99">
        <w:rPr>
          <w:rStyle w:val="FootnoteReference"/>
          <w:rFonts w:cs="Tahoma"/>
        </w:rPr>
        <w:footnoteReference w:id="8"/>
      </w:r>
    </w:p>
    <w:p w14:paraId="6B1CEB0F" w14:textId="77777777" w:rsidR="000A3F99" w:rsidRPr="000A3F99" w:rsidRDefault="000A3F99" w:rsidP="00D032F8">
      <w:pPr>
        <w:pStyle w:val="Heading3"/>
        <w:rPr>
          <w:caps/>
        </w:rPr>
      </w:pPr>
      <w:bookmarkStart w:id="9" w:name="_Toc427154548"/>
      <w:bookmarkStart w:id="10" w:name="_Toc482954454"/>
      <w:bookmarkStart w:id="11" w:name="_Toc491090867"/>
      <w:r w:rsidRPr="000A3F99">
        <w:t>Overall effectiveness</w:t>
      </w:r>
      <w:r w:rsidRPr="000A3F99">
        <w:rPr>
          <w:caps/>
        </w:rPr>
        <w:t xml:space="preserve"> </w:t>
      </w:r>
      <w:bookmarkEnd w:id="8"/>
      <w:r w:rsidRPr="000A3F99">
        <w:t xml:space="preserve">from November 2013 to </w:t>
      </w:r>
      <w:bookmarkEnd w:id="9"/>
      <w:r w:rsidRPr="000A3F99">
        <w:t>March 2017</w:t>
      </w:r>
      <w:bookmarkEnd w:id="10"/>
      <w:bookmarkEnd w:id="11"/>
    </w:p>
    <w:p w14:paraId="4F728FAA" w14:textId="77777777" w:rsidR="00F275B0" w:rsidRDefault="00F275B0" w:rsidP="00494DC1">
      <w:pPr>
        <w:jc w:val="left"/>
        <w:rPr>
          <w:rFonts w:cs="Tahoma"/>
        </w:rPr>
      </w:pPr>
      <w:r w:rsidRPr="000A3F99">
        <w:rPr>
          <w:rFonts w:cs="Tahoma"/>
        </w:rPr>
        <w:t xml:space="preserve">There were 127 SIF inspections published by </w:t>
      </w:r>
      <w:r w:rsidR="001A4766">
        <w:rPr>
          <w:rFonts w:cs="Tahoma"/>
        </w:rPr>
        <w:t>30 April</w:t>
      </w:r>
      <w:r w:rsidRPr="000A3F99">
        <w:rPr>
          <w:rFonts w:cs="Tahoma"/>
        </w:rPr>
        <w:t xml:space="preserve"> 2017.</w:t>
      </w:r>
      <w:r w:rsidR="001508D6">
        <w:rPr>
          <w:rFonts w:cs="Tahoma"/>
        </w:rPr>
        <w:t xml:space="preserve"> </w:t>
      </w:r>
      <w:r w:rsidRPr="000A3F99">
        <w:rPr>
          <w:rFonts w:cs="Tahoma"/>
        </w:rPr>
        <w:t>This makes up 84% of all LAs responsible for children’s social care in England</w:t>
      </w:r>
      <w:r>
        <w:rPr>
          <w:rFonts w:cs="Tahoma"/>
        </w:rPr>
        <w:t xml:space="preserve"> and is quite </w:t>
      </w:r>
      <w:r w:rsidRPr="000A3F99">
        <w:rPr>
          <w:rFonts w:cs="Tahoma"/>
        </w:rPr>
        <w:t>close to being a full picture of all LAs in England.</w:t>
      </w:r>
      <w:r w:rsidR="00844575">
        <w:rPr>
          <w:rFonts w:cs="Tahoma"/>
        </w:rPr>
        <w:t xml:space="preserve"> [Data Tables: LA Inspection]</w:t>
      </w:r>
    </w:p>
    <w:p w14:paraId="78FE5847" w14:textId="77777777" w:rsidR="00F275B0" w:rsidRDefault="00F275B0" w:rsidP="00494DC1">
      <w:pPr>
        <w:jc w:val="left"/>
      </w:pPr>
    </w:p>
    <w:p w14:paraId="508D8EBB" w14:textId="77777777" w:rsidR="000A3F99" w:rsidRPr="00FA570B" w:rsidRDefault="00514804" w:rsidP="00D032F8">
      <w:pPr>
        <w:spacing w:after="240"/>
        <w:jc w:val="left"/>
        <w:rPr>
          <w:rFonts w:cs="Tahoma"/>
        </w:rPr>
      </w:pPr>
      <w:r>
        <w:t>Compared with</w:t>
      </w:r>
      <w:r w:rsidR="009528BD">
        <w:t xml:space="preserve"> </w:t>
      </w:r>
      <w:r w:rsidR="00432086">
        <w:t>31 March 2016</w:t>
      </w:r>
      <w:r w:rsidR="009528BD">
        <w:t xml:space="preserve">, the percentage of LAs judged good increased </w:t>
      </w:r>
      <w:r w:rsidR="00432086">
        <w:t>as at 31 March 20</w:t>
      </w:r>
      <w:r w:rsidR="009528BD">
        <w:t>17, while the percentage judged requires improvement to be good fell. In 2016-17, c</w:t>
      </w:r>
      <w:r w:rsidR="00FA570B">
        <w:t xml:space="preserve">hildren were </w:t>
      </w:r>
      <w:r w:rsidR="00810D3E">
        <w:t>m</w:t>
      </w:r>
      <w:r w:rsidR="00FA570B">
        <w:t>ore likely to be living in LAs judged to be good or outstanding than in those judged</w:t>
      </w:r>
      <w:r w:rsidR="000A3F99" w:rsidRPr="00FA570B">
        <w:t xml:space="preserve"> </w:t>
      </w:r>
      <w:r w:rsidR="00FA570B">
        <w:t>to be inadequate</w:t>
      </w:r>
      <w:r w:rsidR="009528BD">
        <w:t xml:space="preserve">. </w:t>
      </w:r>
      <w:r w:rsidR="006F7903">
        <w:t xml:space="preserve">Children living in the </w:t>
      </w:r>
      <w:r w:rsidR="003B4E04">
        <w:t>east</w:t>
      </w:r>
      <w:r w:rsidR="00D2080A">
        <w:t xml:space="preserve"> of the country were more l</w:t>
      </w:r>
      <w:r w:rsidR="006F7903">
        <w:t xml:space="preserve">ikely than those living in the </w:t>
      </w:r>
      <w:r w:rsidR="003B4E04">
        <w:t>west</w:t>
      </w:r>
      <w:r w:rsidR="00D2080A">
        <w:t xml:space="preserve"> to be in good or outstanding LAs.</w:t>
      </w:r>
    </w:p>
    <w:p w14:paraId="61A98E59" w14:textId="77777777" w:rsidR="000A3F99" w:rsidRPr="000A3F99" w:rsidRDefault="000A3F99" w:rsidP="00075D2A">
      <w:pPr>
        <w:pStyle w:val="Caption"/>
      </w:pPr>
      <w:bookmarkStart w:id="12" w:name="_Toc424885577"/>
      <w:bookmarkStart w:id="13" w:name="_Toc426642895"/>
      <w:bookmarkStart w:id="14" w:name="_Toc427155183"/>
      <w:bookmarkStart w:id="15" w:name="_Toc482799820"/>
      <w:bookmarkStart w:id="16" w:name="_Toc491087621"/>
      <w:r w:rsidRPr="000A3F99">
        <w:t xml:space="preserve">Chart </w:t>
      </w:r>
      <w:r w:rsidRPr="000A3F99">
        <w:fldChar w:fldCharType="begin"/>
      </w:r>
      <w:r w:rsidRPr="000A3F99">
        <w:instrText xml:space="preserve"> SEQ Chart \* ARABIC </w:instrText>
      </w:r>
      <w:r w:rsidRPr="000A3F99">
        <w:fldChar w:fldCharType="separate"/>
      </w:r>
      <w:r w:rsidR="005F2D43">
        <w:t>1</w:t>
      </w:r>
      <w:r w:rsidRPr="000A3F99">
        <w:fldChar w:fldCharType="end"/>
      </w:r>
      <w:r w:rsidRPr="000A3F99">
        <w:t xml:space="preserve">: SIF Overall effectiveness to </w:t>
      </w:r>
      <w:bookmarkEnd w:id="12"/>
      <w:bookmarkEnd w:id="13"/>
      <w:bookmarkEnd w:id="14"/>
      <w:r w:rsidRPr="000A3F99">
        <w:t>March 201</w:t>
      </w:r>
      <w:bookmarkEnd w:id="15"/>
      <w:r w:rsidRPr="000A3F99">
        <w:t>7</w:t>
      </w:r>
      <w:bookmarkEnd w:id="16"/>
      <w:r w:rsidRPr="000A3F99">
        <w:t xml:space="preserve"> </w:t>
      </w:r>
    </w:p>
    <w:p w14:paraId="40C6D42F" w14:textId="77777777" w:rsidR="000A3F99" w:rsidRPr="000A3F99" w:rsidRDefault="00C64195" w:rsidP="00494DC1">
      <w:pPr>
        <w:jc w:val="left"/>
        <w:rPr>
          <w:lang w:eastAsia="en-US"/>
        </w:rPr>
      </w:pPr>
      <w:r>
        <w:rPr>
          <w:noProof/>
        </w:rPr>
        <w:drawing>
          <wp:inline distT="0" distB="0" distL="0" distR="0" wp14:anchorId="6297B9F0" wp14:editId="71C50C2B">
            <wp:extent cx="4168140" cy="26593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JPG"/>
                    <pic:cNvPicPr/>
                  </pic:nvPicPr>
                  <pic:blipFill>
                    <a:blip r:embed="rId12">
                      <a:extLst>
                        <a:ext uri="{28A0092B-C50C-407E-A947-70E740481C1C}">
                          <a14:useLocalDpi xmlns:a14="http://schemas.microsoft.com/office/drawing/2010/main" val="0"/>
                        </a:ext>
                      </a:extLst>
                    </a:blip>
                    <a:stretch>
                      <a:fillRect/>
                    </a:stretch>
                  </pic:blipFill>
                  <pic:spPr>
                    <a:xfrm>
                      <a:off x="0" y="0"/>
                      <a:ext cx="4168140" cy="2659380"/>
                    </a:xfrm>
                    <a:prstGeom prst="rect">
                      <a:avLst/>
                    </a:prstGeom>
                  </pic:spPr>
                </pic:pic>
              </a:graphicData>
            </a:graphic>
          </wp:inline>
        </w:drawing>
      </w:r>
    </w:p>
    <w:p w14:paraId="26C6DF79" w14:textId="77777777" w:rsidR="000A3F99" w:rsidRPr="000A3F99" w:rsidRDefault="000A3F99" w:rsidP="00D032F8">
      <w:pPr>
        <w:jc w:val="left"/>
      </w:pPr>
    </w:p>
    <w:p w14:paraId="3677FAFA" w14:textId="77777777" w:rsidR="000A3F99" w:rsidRPr="000A3F99" w:rsidRDefault="00810D3E" w:rsidP="00D032F8">
      <w:pPr>
        <w:pStyle w:val="Maps"/>
      </w:pPr>
      <w:bookmarkStart w:id="17" w:name="_Toc482799832"/>
      <w:bookmarkStart w:id="18" w:name="_Toc423648497"/>
      <w:bookmarkStart w:id="19" w:name="_Toc427154549"/>
      <w:r>
        <w:br w:type="page"/>
      </w:r>
      <w:bookmarkStart w:id="20" w:name="_Toc491087642"/>
      <w:r w:rsidR="000A3F99" w:rsidRPr="000A3F99">
        <w:lastRenderedPageBreak/>
        <w:t xml:space="preserve">Map 1: SIF inspection Overall effectiveness judgements </w:t>
      </w:r>
      <w:r w:rsidR="009528BD">
        <w:t>t</w:t>
      </w:r>
      <w:r w:rsidR="000A3F99" w:rsidRPr="000A3F99">
        <w:t>o March 201</w:t>
      </w:r>
      <w:bookmarkEnd w:id="17"/>
      <w:r w:rsidR="000A3F99" w:rsidRPr="000A3F99">
        <w:t>7</w:t>
      </w:r>
      <w:bookmarkEnd w:id="20"/>
    </w:p>
    <w:p w14:paraId="33E41061" w14:textId="77777777" w:rsidR="000A3F99" w:rsidRPr="000A3F99" w:rsidRDefault="00EC44AF" w:rsidP="00D032F8">
      <w:pPr>
        <w:spacing w:after="240"/>
        <w:jc w:val="left"/>
        <w:rPr>
          <w:rFonts w:cs="Tahoma"/>
        </w:rPr>
      </w:pPr>
      <w:r w:rsidRPr="00EC44AF">
        <w:rPr>
          <w:noProof/>
        </w:rPr>
        <w:t xml:space="preserve"> </w:t>
      </w:r>
      <w:r>
        <w:rPr>
          <w:rFonts w:cs="Tahoma"/>
          <w:noProof/>
        </w:rPr>
        <w:drawing>
          <wp:inline distT="0" distB="0" distL="0" distR="0" wp14:anchorId="2F70C19D" wp14:editId="13C05E68">
            <wp:extent cx="5955618" cy="587248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5959632" cy="5876438"/>
                    </a:xfrm>
                    <a:prstGeom prst="rect">
                      <a:avLst/>
                    </a:prstGeom>
                  </pic:spPr>
                </pic:pic>
              </a:graphicData>
            </a:graphic>
          </wp:inline>
        </w:drawing>
      </w:r>
    </w:p>
    <w:p w14:paraId="4F551E9F" w14:textId="77777777" w:rsidR="000A3F99" w:rsidRPr="000A3F99" w:rsidRDefault="000A3F99" w:rsidP="00921869">
      <w:pPr>
        <w:pStyle w:val="Heading3"/>
        <w:rPr>
          <w:caps/>
        </w:rPr>
      </w:pPr>
      <w:r w:rsidRPr="000A3F99">
        <w:br w:type="page"/>
      </w:r>
      <w:bookmarkStart w:id="21" w:name="_Toc482954455"/>
      <w:bookmarkStart w:id="22" w:name="_Toc491090868"/>
      <w:r w:rsidRPr="000A3F99">
        <w:lastRenderedPageBreak/>
        <w:t xml:space="preserve">Key judgements </w:t>
      </w:r>
      <w:bookmarkEnd w:id="18"/>
      <w:r w:rsidRPr="000A3F99">
        <w:t xml:space="preserve">from November 2013 to </w:t>
      </w:r>
      <w:bookmarkEnd w:id="19"/>
      <w:r w:rsidRPr="000A3F99">
        <w:t>March 2017</w:t>
      </w:r>
      <w:bookmarkEnd w:id="21"/>
      <w:bookmarkEnd w:id="22"/>
    </w:p>
    <w:p w14:paraId="0F849B3F" w14:textId="77777777" w:rsidR="000A3F99" w:rsidRPr="000A3F99" w:rsidRDefault="000A3F99" w:rsidP="00D032F8">
      <w:pPr>
        <w:spacing w:after="240"/>
        <w:jc w:val="left"/>
        <w:rPr>
          <w:rFonts w:cs="Tahoma"/>
        </w:rPr>
      </w:pPr>
      <w:r w:rsidRPr="000A3F99">
        <w:t>The Overall effectiveness judgement for the SIF is derived from three key judgements</w:t>
      </w:r>
      <w:r w:rsidRPr="000A3F99">
        <w:rPr>
          <w:rFonts w:cs="Tahoma"/>
        </w:rPr>
        <w:t xml:space="preserve">: </w:t>
      </w:r>
    </w:p>
    <w:p w14:paraId="6D447F6C" w14:textId="77777777" w:rsidR="000A3F99" w:rsidRPr="000A3F99" w:rsidRDefault="000A3F99" w:rsidP="00844575">
      <w:pPr>
        <w:numPr>
          <w:ilvl w:val="0"/>
          <w:numId w:val="33"/>
        </w:numPr>
        <w:spacing w:after="240"/>
        <w:jc w:val="left"/>
        <w:rPr>
          <w:rFonts w:cs="Tahoma"/>
        </w:rPr>
      </w:pPr>
      <w:r w:rsidRPr="000A3F99">
        <w:rPr>
          <w:rFonts w:cs="Tahoma"/>
        </w:rPr>
        <w:t xml:space="preserve">the experiences and progress of Children who need help and protection; </w:t>
      </w:r>
    </w:p>
    <w:p w14:paraId="77D953A2" w14:textId="77777777" w:rsidR="000A3F99" w:rsidRPr="000A3F99" w:rsidRDefault="000A3F99" w:rsidP="00844575">
      <w:pPr>
        <w:numPr>
          <w:ilvl w:val="0"/>
          <w:numId w:val="33"/>
        </w:numPr>
        <w:spacing w:after="240"/>
        <w:jc w:val="left"/>
        <w:rPr>
          <w:rFonts w:cs="Tahoma"/>
        </w:rPr>
      </w:pPr>
      <w:r w:rsidRPr="000A3F99">
        <w:rPr>
          <w:rFonts w:cs="Tahoma"/>
        </w:rPr>
        <w:t>the experiences and progress of</w:t>
      </w:r>
      <w:r w:rsidRPr="000A3F99">
        <w:rPr>
          <w:rFonts w:cs="Tahoma"/>
          <w:i/>
        </w:rPr>
        <w:t xml:space="preserve"> </w:t>
      </w:r>
      <w:r w:rsidRPr="000A3F99">
        <w:rPr>
          <w:rFonts w:cs="Tahoma"/>
        </w:rPr>
        <w:t>Children looked after and achieving permanence;</w:t>
      </w:r>
      <w:r w:rsidRPr="000A3F99">
        <w:rPr>
          <w:rStyle w:val="FootnoteReference"/>
          <w:rFonts w:cs="Tahoma"/>
        </w:rPr>
        <w:footnoteReference w:id="9"/>
      </w:r>
      <w:r w:rsidRPr="000A3F99">
        <w:rPr>
          <w:rFonts w:cs="Tahoma"/>
        </w:rPr>
        <w:t xml:space="preserve"> </w:t>
      </w:r>
    </w:p>
    <w:p w14:paraId="676A625D" w14:textId="77777777" w:rsidR="000A3F99" w:rsidRDefault="000A3F99" w:rsidP="00844575">
      <w:pPr>
        <w:numPr>
          <w:ilvl w:val="0"/>
          <w:numId w:val="33"/>
        </w:numPr>
        <w:spacing w:after="240"/>
        <w:jc w:val="left"/>
        <w:rPr>
          <w:rFonts w:cs="Tahoma"/>
        </w:rPr>
      </w:pPr>
      <w:r w:rsidRPr="000A3F99">
        <w:rPr>
          <w:rFonts w:cs="Tahoma"/>
        </w:rPr>
        <w:t xml:space="preserve">Leadership, management and governance. </w:t>
      </w:r>
    </w:p>
    <w:p w14:paraId="774C7501" w14:textId="77777777" w:rsidR="000A3F99" w:rsidRPr="000A3F99" w:rsidRDefault="000A3F99" w:rsidP="00D032F8">
      <w:pPr>
        <w:spacing w:after="240"/>
        <w:jc w:val="left"/>
        <w:rPr>
          <w:rFonts w:cs="Tahoma"/>
        </w:rPr>
      </w:pPr>
      <w:r w:rsidRPr="000A3F99">
        <w:rPr>
          <w:rFonts w:cs="Tahoma"/>
        </w:rPr>
        <w:t xml:space="preserve">There has not been much change in the percentage of </w:t>
      </w:r>
      <w:r w:rsidR="00ED7C96">
        <w:rPr>
          <w:rFonts w:cs="Tahoma"/>
        </w:rPr>
        <w:t>LAs</w:t>
      </w:r>
      <w:r w:rsidRPr="000A3F99">
        <w:rPr>
          <w:rFonts w:cs="Tahoma"/>
        </w:rPr>
        <w:t xml:space="preserve"> judged to be good or outstanding for each key judgement, compared </w:t>
      </w:r>
      <w:r w:rsidR="00264E2C">
        <w:rPr>
          <w:rFonts w:cs="Tahoma"/>
        </w:rPr>
        <w:t>with</w:t>
      </w:r>
      <w:r w:rsidR="00264E2C" w:rsidRPr="000A3F99">
        <w:rPr>
          <w:rFonts w:cs="Tahoma"/>
        </w:rPr>
        <w:t xml:space="preserve"> </w:t>
      </w:r>
      <w:r w:rsidRPr="000A3F99">
        <w:rPr>
          <w:rFonts w:cs="Tahoma"/>
        </w:rPr>
        <w:t>31 March 2016.</w:t>
      </w:r>
      <w:r w:rsidR="00844575">
        <w:rPr>
          <w:rFonts w:cs="Tahoma"/>
        </w:rPr>
        <w:t xml:space="preserve"> [Data Tables: LA level at 31 March 2017]</w:t>
      </w:r>
    </w:p>
    <w:p w14:paraId="4B31A4CB" w14:textId="77777777" w:rsidR="000A3F99" w:rsidRPr="000A3F99" w:rsidRDefault="000A3F99" w:rsidP="00D032F8">
      <w:pPr>
        <w:pStyle w:val="Caption"/>
      </w:pPr>
      <w:bookmarkStart w:id="23" w:name="_Toc491087622"/>
      <w:r w:rsidRPr="000A3F99">
        <w:t>Chart 2: Key judgement grades to March 2017</w:t>
      </w:r>
      <w:bookmarkEnd w:id="23"/>
    </w:p>
    <w:p w14:paraId="4A8BDC48" w14:textId="77777777" w:rsidR="000A3F99" w:rsidRPr="000A3F99" w:rsidRDefault="00C64195" w:rsidP="00BB05A6">
      <w:pPr>
        <w:rPr>
          <w:lang w:eastAsia="en-US"/>
        </w:rPr>
      </w:pPr>
      <w:r>
        <w:rPr>
          <w:noProof/>
        </w:rPr>
        <w:drawing>
          <wp:inline distT="0" distB="0" distL="0" distR="0" wp14:anchorId="55F2825D" wp14:editId="538007AB">
            <wp:extent cx="4472940" cy="20574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JPG"/>
                    <pic:cNvPicPr/>
                  </pic:nvPicPr>
                  <pic:blipFill>
                    <a:blip r:embed="rId14">
                      <a:extLst>
                        <a:ext uri="{28A0092B-C50C-407E-A947-70E740481C1C}">
                          <a14:useLocalDpi xmlns:a14="http://schemas.microsoft.com/office/drawing/2010/main" val="0"/>
                        </a:ext>
                      </a:extLst>
                    </a:blip>
                    <a:stretch>
                      <a:fillRect/>
                    </a:stretch>
                  </pic:blipFill>
                  <pic:spPr>
                    <a:xfrm>
                      <a:off x="0" y="0"/>
                      <a:ext cx="4472940" cy="2057400"/>
                    </a:xfrm>
                    <a:prstGeom prst="rect">
                      <a:avLst/>
                    </a:prstGeom>
                  </pic:spPr>
                </pic:pic>
              </a:graphicData>
            </a:graphic>
          </wp:inline>
        </w:drawing>
      </w:r>
    </w:p>
    <w:p w14:paraId="728E9C81" w14:textId="77777777" w:rsidR="000A3F99" w:rsidRPr="000A3F99" w:rsidRDefault="000A3F99" w:rsidP="00BB05A6">
      <w:pPr>
        <w:jc w:val="left"/>
        <w:rPr>
          <w:lang w:eastAsia="en-US"/>
        </w:rPr>
      </w:pPr>
    </w:p>
    <w:p w14:paraId="641705B6" w14:textId="77777777" w:rsidR="000A3F99" w:rsidRPr="000A3F99" w:rsidRDefault="000A3F99" w:rsidP="00BB05A6">
      <w:pPr>
        <w:jc w:val="left"/>
        <w:rPr>
          <w:lang w:eastAsia="en-US"/>
        </w:rPr>
      </w:pPr>
      <w:r w:rsidRPr="000A3F99">
        <w:rPr>
          <w:lang w:eastAsia="en-US"/>
        </w:rPr>
        <w:t>Help and protection appears to be the key judgement where achieving a good or better grade is most challenging, with only 24% of LAs achieving a good judgement, and none achieving outstanding.</w:t>
      </w:r>
      <w:r w:rsidR="00944D48">
        <w:rPr>
          <w:lang w:eastAsia="en-US"/>
        </w:rPr>
        <w:t xml:space="preserve"> </w:t>
      </w:r>
      <w:r w:rsidR="00944D48" w:rsidRPr="00944D48">
        <w:rPr>
          <w:rFonts w:cs="Tahoma"/>
        </w:rPr>
        <w:t xml:space="preserve"> </w:t>
      </w:r>
      <w:r w:rsidR="00944D48" w:rsidRPr="00882616">
        <w:rPr>
          <w:rFonts w:cs="Tahoma"/>
        </w:rPr>
        <w:t>There are many factors that go into the event</w:t>
      </w:r>
      <w:r w:rsidR="00514804" w:rsidRPr="00882616">
        <w:rPr>
          <w:rFonts w:cs="Tahoma"/>
        </w:rPr>
        <w:t>ual judgement for an LA around H</w:t>
      </w:r>
      <w:r w:rsidR="00944D48" w:rsidRPr="00882616">
        <w:rPr>
          <w:rFonts w:cs="Tahoma"/>
        </w:rPr>
        <w:t>elp and protection</w:t>
      </w:r>
      <w:r w:rsidR="0006464E">
        <w:rPr>
          <w:rFonts w:cs="Tahoma"/>
        </w:rPr>
        <w:t>, and it is not currently possible to draw conclusions about why fewer LAs are being judged good or better in this area than in others</w:t>
      </w:r>
      <w:r w:rsidR="00944D48">
        <w:rPr>
          <w:rFonts w:cs="Tahoma"/>
        </w:rPr>
        <w:t>.</w:t>
      </w:r>
      <w:r w:rsidR="00944D48">
        <w:rPr>
          <w:rStyle w:val="FootnoteReference"/>
          <w:rFonts w:cs="Tahoma"/>
        </w:rPr>
        <w:footnoteReference w:id="10"/>
      </w:r>
    </w:p>
    <w:p w14:paraId="6242F2E7" w14:textId="77777777" w:rsidR="000A3F99" w:rsidRPr="000A3F99" w:rsidRDefault="000A3F99" w:rsidP="00BB05A6">
      <w:pPr>
        <w:jc w:val="left"/>
        <w:rPr>
          <w:lang w:eastAsia="en-US"/>
        </w:rPr>
      </w:pPr>
    </w:p>
    <w:p w14:paraId="3D6D7550" w14:textId="77777777" w:rsidR="000A3F99" w:rsidRDefault="000A3F99" w:rsidP="00BB05A6">
      <w:pPr>
        <w:jc w:val="left"/>
        <w:rPr>
          <w:lang w:eastAsia="en-US"/>
        </w:rPr>
      </w:pPr>
      <w:r w:rsidRPr="000A3F99">
        <w:rPr>
          <w:lang w:eastAsia="en-US"/>
        </w:rPr>
        <w:t xml:space="preserve">Children looked after and achieving permanence </w:t>
      </w:r>
      <w:r w:rsidR="008C4C84">
        <w:rPr>
          <w:lang w:eastAsia="en-US"/>
        </w:rPr>
        <w:t>is</w:t>
      </w:r>
      <w:r w:rsidRPr="000A3F99">
        <w:rPr>
          <w:lang w:eastAsia="en-US"/>
        </w:rPr>
        <w:t xml:space="preserve"> the key judgement where LAs perform most strongly, with the highest percentage of good or </w:t>
      </w:r>
      <w:r w:rsidR="008C4C84">
        <w:rPr>
          <w:lang w:eastAsia="en-US"/>
        </w:rPr>
        <w:t>outstanding</w:t>
      </w:r>
      <w:r w:rsidR="008C4C84" w:rsidRPr="000A3F99">
        <w:rPr>
          <w:lang w:eastAsia="en-US"/>
        </w:rPr>
        <w:t xml:space="preserve"> </w:t>
      </w:r>
      <w:r w:rsidRPr="000A3F99">
        <w:rPr>
          <w:lang w:eastAsia="en-US"/>
        </w:rPr>
        <w:t>judgements (34%) and the lowest percentage of inadequate (10%).</w:t>
      </w:r>
    </w:p>
    <w:p w14:paraId="2B3A5F65" w14:textId="77777777" w:rsidR="00552B3F" w:rsidRDefault="00552B3F" w:rsidP="00BB05A6">
      <w:pPr>
        <w:jc w:val="left"/>
        <w:rPr>
          <w:lang w:eastAsia="en-US"/>
        </w:rPr>
      </w:pPr>
    </w:p>
    <w:p w14:paraId="796A7DA7" w14:textId="77777777" w:rsidR="00552B3F" w:rsidRPr="000A3F99" w:rsidRDefault="00552B3F" w:rsidP="00BB05A6">
      <w:pPr>
        <w:jc w:val="left"/>
        <w:rPr>
          <w:lang w:eastAsia="en-US"/>
        </w:rPr>
      </w:pPr>
      <w:r w:rsidRPr="00882616">
        <w:rPr>
          <w:lang w:eastAsia="en-US"/>
        </w:rPr>
        <w:lastRenderedPageBreak/>
        <w:t>However, Leadership, management and governance is the area where LAs were most likely to be judged outstanding (6%).</w:t>
      </w:r>
    </w:p>
    <w:p w14:paraId="05637951" w14:textId="77777777" w:rsidR="00844575" w:rsidRPr="00844575" w:rsidRDefault="00844575" w:rsidP="00301A4B">
      <w:pPr>
        <w:rPr>
          <w:lang w:eastAsia="en-US"/>
        </w:rPr>
      </w:pPr>
    </w:p>
    <w:p w14:paraId="5431BF76" w14:textId="739F7301" w:rsidR="000A3F99" w:rsidRPr="000A3F99" w:rsidRDefault="000A3F99" w:rsidP="00D032F8">
      <w:pPr>
        <w:pStyle w:val="Heading3"/>
      </w:pPr>
      <w:bookmarkStart w:id="24" w:name="_Toc491090869"/>
      <w:r w:rsidRPr="000A3F99">
        <w:t>Outcomes across all key judgements</w:t>
      </w:r>
      <w:bookmarkEnd w:id="24"/>
    </w:p>
    <w:p w14:paraId="138B0410" w14:textId="77777777" w:rsidR="000A3F99" w:rsidRPr="000A3F99" w:rsidRDefault="00A1646B" w:rsidP="00BB05A6">
      <w:pPr>
        <w:jc w:val="left"/>
      </w:pPr>
      <w:r w:rsidRPr="00882616">
        <w:t>Only a very small number of LAs</w:t>
      </w:r>
      <w:r w:rsidR="00264E2C" w:rsidRPr="00882616">
        <w:t xml:space="preserve"> (10, or 8%)</w:t>
      </w:r>
      <w:r w:rsidRPr="00882616">
        <w:t xml:space="preserve"> were judged inadequate across all three key judgements</w:t>
      </w:r>
      <w:r w:rsidR="000A3F99" w:rsidRPr="00882616">
        <w:t>.</w:t>
      </w:r>
      <w:r>
        <w:t xml:space="preserve"> </w:t>
      </w:r>
      <w:r w:rsidR="000A3F99" w:rsidRPr="000A3F99">
        <w:t xml:space="preserve">Of these 10 LAs, </w:t>
      </w:r>
      <w:r>
        <w:t xml:space="preserve">only </w:t>
      </w:r>
      <w:r w:rsidR="000A3F99" w:rsidRPr="000A3F99">
        <w:t>two (Bromley and Sunderland) were also judged inadequate for both sub-judgements</w:t>
      </w:r>
      <w:r w:rsidR="00D4168B" w:rsidRPr="00D4168B">
        <w:t>.</w:t>
      </w:r>
      <w:r w:rsidRPr="00D4168B">
        <w:t xml:space="preserve"> </w:t>
      </w:r>
      <w:r w:rsidR="00954D8E" w:rsidRPr="00301A4B">
        <w:t>[</w:t>
      </w:r>
      <w:r w:rsidR="00D4168B" w:rsidRPr="00301A4B">
        <w:t>Data Tables: LA level at 31 Mar</w:t>
      </w:r>
      <w:r w:rsidR="00844575">
        <w:t>ch</w:t>
      </w:r>
      <w:r w:rsidR="00D4168B" w:rsidRPr="00301A4B">
        <w:t xml:space="preserve"> 2017</w:t>
      </w:r>
      <w:r w:rsidR="00954D8E" w:rsidRPr="00301A4B">
        <w:t>]</w:t>
      </w:r>
    </w:p>
    <w:p w14:paraId="57278665" w14:textId="77777777" w:rsidR="000A3F99" w:rsidRPr="000A3F99" w:rsidRDefault="000A3F99" w:rsidP="00BB05A6">
      <w:pPr>
        <w:jc w:val="left"/>
      </w:pPr>
    </w:p>
    <w:p w14:paraId="225BAD74" w14:textId="77777777" w:rsidR="000A3F99" w:rsidRPr="000A3F99" w:rsidRDefault="000A3F99" w:rsidP="00D032F8">
      <w:pPr>
        <w:pStyle w:val="Maps"/>
      </w:pPr>
      <w:bookmarkStart w:id="25" w:name="_Toc491087643"/>
      <w:r w:rsidRPr="000A3F99">
        <w:t xml:space="preserve">Map 2: </w:t>
      </w:r>
      <w:r w:rsidR="00D4168B">
        <w:t>LAs</w:t>
      </w:r>
      <w:r w:rsidRPr="000A3F99">
        <w:t xml:space="preserve"> judged inadequate for Help and protection </w:t>
      </w:r>
      <w:r w:rsidR="00284F49">
        <w:t>&amp;</w:t>
      </w:r>
      <w:r w:rsidR="00284F49" w:rsidRPr="000A3F99">
        <w:t xml:space="preserve"> </w:t>
      </w:r>
      <w:r w:rsidRPr="000A3F99">
        <w:t>Leadership and management</w:t>
      </w:r>
      <w:bookmarkEnd w:id="25"/>
    </w:p>
    <w:p w14:paraId="321A1009" w14:textId="77777777" w:rsidR="00CE2A58" w:rsidRDefault="00C64195" w:rsidP="00CE2A58">
      <w:pPr>
        <w:spacing w:after="240"/>
        <w:jc w:val="left"/>
        <w:rPr>
          <w:rFonts w:cs="Tahoma"/>
        </w:rPr>
      </w:pPr>
      <w:r>
        <w:rPr>
          <w:rFonts w:cs="Tahoma"/>
          <w:noProof/>
        </w:rPr>
        <w:drawing>
          <wp:inline distT="0" distB="0" distL="0" distR="0" wp14:anchorId="71B31BCF" wp14:editId="7F3EDB97">
            <wp:extent cx="5372100" cy="537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5372100" cy="5372100"/>
                    </a:xfrm>
                    <a:prstGeom prst="rect">
                      <a:avLst/>
                    </a:prstGeom>
                  </pic:spPr>
                </pic:pic>
              </a:graphicData>
            </a:graphic>
          </wp:inline>
        </w:drawing>
      </w:r>
      <w:r w:rsidR="00CE2A58" w:rsidRPr="00CE2A58">
        <w:rPr>
          <w:rFonts w:cs="Tahoma"/>
        </w:rPr>
        <w:t xml:space="preserve"> </w:t>
      </w:r>
    </w:p>
    <w:p w14:paraId="2CE5FB64" w14:textId="77777777" w:rsidR="00CE2A58" w:rsidRDefault="00CE2A58" w:rsidP="00CE2A58">
      <w:pPr>
        <w:spacing w:after="240"/>
        <w:jc w:val="left"/>
        <w:rPr>
          <w:rFonts w:cs="Tahoma"/>
        </w:rPr>
      </w:pPr>
      <w:r w:rsidRPr="000A3F99">
        <w:rPr>
          <w:rFonts w:cs="Tahoma"/>
        </w:rPr>
        <w:t xml:space="preserve">Twenty-five </w:t>
      </w:r>
      <w:r>
        <w:rPr>
          <w:rFonts w:cs="Tahoma"/>
        </w:rPr>
        <w:t>LAs</w:t>
      </w:r>
      <w:r w:rsidRPr="000A3F99">
        <w:rPr>
          <w:rFonts w:cs="Tahoma"/>
        </w:rPr>
        <w:t xml:space="preserve"> (20%) were judged inadequate for both Help and protection and Leadership and management key judgements</w:t>
      </w:r>
      <w:r>
        <w:rPr>
          <w:rFonts w:cs="Tahoma"/>
        </w:rPr>
        <w:t xml:space="preserve">. This increase was disproportionate to the increase in inspections overall: the number of LAs inspected increased by a third, </w:t>
      </w:r>
      <w:r>
        <w:rPr>
          <w:rFonts w:cs="Tahoma"/>
        </w:rPr>
        <w:lastRenderedPageBreak/>
        <w:t>while the number judged inadequate for these two key judgements doubled. This was despite there being no change in how Ofsted inspected between the years.</w:t>
      </w:r>
    </w:p>
    <w:p w14:paraId="0DEA082B" w14:textId="77777777" w:rsidR="000A3F99" w:rsidRPr="000A3F99" w:rsidRDefault="00CE2A58" w:rsidP="00CE2A58">
      <w:pPr>
        <w:spacing w:after="240"/>
        <w:jc w:val="left"/>
        <w:rPr>
          <w:rFonts w:cs="Tahoma"/>
        </w:rPr>
      </w:pPr>
      <w:r w:rsidRPr="00882616">
        <w:rPr>
          <w:rFonts w:cs="Tahoma"/>
        </w:rPr>
        <w:t>Ten of these LAs (4</w:t>
      </w:r>
      <w:r w:rsidR="0006464E" w:rsidRPr="00882616">
        <w:rPr>
          <w:rFonts w:cs="Tahoma"/>
        </w:rPr>
        <w:t>0</w:t>
      </w:r>
      <w:r w:rsidRPr="00882616">
        <w:rPr>
          <w:rFonts w:cs="Tahoma"/>
        </w:rPr>
        <w:t>%) were in the West Midlands or the North West, despite only 25% of inspected LAs being in those regions.</w:t>
      </w:r>
    </w:p>
    <w:p w14:paraId="66480F1E" w14:textId="77777777" w:rsidR="00514804" w:rsidRDefault="00514804" w:rsidP="00D032F8">
      <w:pPr>
        <w:pStyle w:val="Heading3"/>
      </w:pPr>
      <w:bookmarkStart w:id="26" w:name="_Toc427154550"/>
      <w:bookmarkStart w:id="27" w:name="_Toc482954456"/>
    </w:p>
    <w:p w14:paraId="7578E642" w14:textId="77777777" w:rsidR="000A3F99" w:rsidRPr="000A3F99" w:rsidRDefault="000A3F99" w:rsidP="00D032F8">
      <w:pPr>
        <w:pStyle w:val="Heading3"/>
        <w:rPr>
          <w:caps/>
        </w:rPr>
      </w:pPr>
      <w:bookmarkStart w:id="28" w:name="_Toc491090870"/>
      <w:r w:rsidRPr="000A3F99">
        <w:t xml:space="preserve">Children looked after sub-judgements to </w:t>
      </w:r>
      <w:bookmarkEnd w:id="26"/>
      <w:r w:rsidRPr="000A3F99">
        <w:t>March 201</w:t>
      </w:r>
      <w:bookmarkEnd w:id="27"/>
      <w:r w:rsidRPr="000A3F99">
        <w:t>7</w:t>
      </w:r>
      <w:bookmarkEnd w:id="28"/>
    </w:p>
    <w:p w14:paraId="3A26758D" w14:textId="77777777" w:rsidR="000A3F99" w:rsidRPr="000A3F99" w:rsidRDefault="000A3F99" w:rsidP="00D032F8">
      <w:pPr>
        <w:spacing w:after="240"/>
        <w:jc w:val="left"/>
        <w:rPr>
          <w:rFonts w:cs="Tahoma"/>
        </w:rPr>
      </w:pPr>
      <w:r w:rsidRPr="000A3F99">
        <w:rPr>
          <w:rFonts w:cs="Tahoma"/>
        </w:rPr>
        <w:t>The key judgement area Children looked after has two sub-judgements: Adoption performance and Experiences and progress of care leavers.</w:t>
      </w:r>
    </w:p>
    <w:p w14:paraId="70787A8F" w14:textId="77777777" w:rsidR="000A3F99" w:rsidRDefault="000A3F99" w:rsidP="00D032F8">
      <w:pPr>
        <w:pStyle w:val="Caption"/>
      </w:pPr>
      <w:bookmarkStart w:id="29" w:name="_Toc482799822"/>
      <w:bookmarkStart w:id="30" w:name="_Toc491087623"/>
      <w:r w:rsidRPr="000A3F99">
        <w:t>Chart 3: SIF Adoption performance</w:t>
      </w:r>
      <w:r w:rsidRPr="000A3F99">
        <w:rPr>
          <w:i/>
        </w:rPr>
        <w:t xml:space="preserve"> </w:t>
      </w:r>
      <w:r w:rsidRPr="000A3F99">
        <w:t>sub-judgement to March 201</w:t>
      </w:r>
      <w:bookmarkEnd w:id="29"/>
      <w:r w:rsidRPr="000A3F99">
        <w:t>7</w:t>
      </w:r>
      <w:r w:rsidR="009523AF">
        <w:rPr>
          <w:rStyle w:val="FootnoteReference"/>
        </w:rPr>
        <w:footnoteReference w:id="11"/>
      </w:r>
      <w:bookmarkEnd w:id="30"/>
    </w:p>
    <w:p w14:paraId="5902C612" w14:textId="77777777" w:rsidR="000A3F99" w:rsidRPr="000A3F99" w:rsidRDefault="00C64195" w:rsidP="00D032F8">
      <w:pPr>
        <w:spacing w:after="240"/>
        <w:jc w:val="left"/>
        <w:rPr>
          <w:rFonts w:cs="Tahoma"/>
        </w:rPr>
      </w:pPr>
      <w:r>
        <w:rPr>
          <w:rFonts w:cs="Tahoma"/>
          <w:noProof/>
        </w:rPr>
        <w:drawing>
          <wp:inline distT="0" distB="0" distL="0" distR="0" wp14:anchorId="297B38C0" wp14:editId="773CF231">
            <wp:extent cx="4602480" cy="10210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4602480" cy="1021080"/>
                    </a:xfrm>
                    <a:prstGeom prst="rect">
                      <a:avLst/>
                    </a:prstGeom>
                  </pic:spPr>
                </pic:pic>
              </a:graphicData>
            </a:graphic>
          </wp:inline>
        </w:drawing>
      </w:r>
    </w:p>
    <w:p w14:paraId="5A757FC6" w14:textId="77777777" w:rsidR="00514804" w:rsidRDefault="00514804" w:rsidP="00514804">
      <w:pPr>
        <w:jc w:val="left"/>
        <w:rPr>
          <w:rFonts w:cs="Tahoma"/>
        </w:rPr>
      </w:pPr>
    </w:p>
    <w:p w14:paraId="68B3A399" w14:textId="77777777" w:rsidR="000A3F99" w:rsidRPr="000A3F99" w:rsidRDefault="000A3F99" w:rsidP="00D032F8">
      <w:pPr>
        <w:spacing w:after="240"/>
        <w:jc w:val="left"/>
        <w:rPr>
          <w:rFonts w:cs="Tahoma"/>
        </w:rPr>
      </w:pPr>
      <w:r w:rsidRPr="000A3F99">
        <w:rPr>
          <w:rFonts w:cs="Tahoma"/>
        </w:rPr>
        <w:t xml:space="preserve">The percentage of </w:t>
      </w:r>
      <w:r w:rsidR="00ED7C96">
        <w:rPr>
          <w:rFonts w:cs="Tahoma"/>
        </w:rPr>
        <w:t>LAs</w:t>
      </w:r>
      <w:r w:rsidRPr="000A3F99">
        <w:rPr>
          <w:rFonts w:cs="Tahoma"/>
        </w:rPr>
        <w:t xml:space="preserve"> judged to be good or </w:t>
      </w:r>
      <w:r w:rsidR="008C4C84">
        <w:rPr>
          <w:rFonts w:cs="Tahoma"/>
        </w:rPr>
        <w:t>outstanding</w:t>
      </w:r>
      <w:r w:rsidR="008C4C84" w:rsidRPr="000A3F99">
        <w:rPr>
          <w:rFonts w:cs="Tahoma"/>
        </w:rPr>
        <w:t xml:space="preserve"> </w:t>
      </w:r>
      <w:r w:rsidRPr="000A3F99">
        <w:rPr>
          <w:rFonts w:cs="Tahoma"/>
        </w:rPr>
        <w:t>for Adoption performance remains at 56%.</w:t>
      </w:r>
      <w:r w:rsidR="00844575">
        <w:rPr>
          <w:rFonts w:cs="Tahoma"/>
        </w:rPr>
        <w:t xml:space="preserve"> [Data Tables: LA level at 31 March 2017]</w:t>
      </w:r>
    </w:p>
    <w:p w14:paraId="4E980829" w14:textId="77777777" w:rsidR="000A3F99" w:rsidRDefault="000A3F99" w:rsidP="00D032F8">
      <w:pPr>
        <w:spacing w:after="240"/>
        <w:jc w:val="left"/>
        <w:rPr>
          <w:rFonts w:cs="Tahoma"/>
        </w:rPr>
      </w:pPr>
      <w:r w:rsidRPr="000A3F99">
        <w:rPr>
          <w:rFonts w:cs="Tahoma"/>
        </w:rPr>
        <w:t>Fewer LAs were judged inadequate during 2016-17 for the Adoption performance sub-judgement (four) than for the Care leavers sub-judgement (seven).</w:t>
      </w:r>
    </w:p>
    <w:p w14:paraId="397DF618" w14:textId="77777777" w:rsidR="00514804" w:rsidRDefault="00514804" w:rsidP="00514804">
      <w:pPr>
        <w:jc w:val="left"/>
        <w:rPr>
          <w:rFonts w:cs="Tahoma"/>
        </w:rPr>
      </w:pPr>
    </w:p>
    <w:p w14:paraId="3056D175" w14:textId="77777777" w:rsidR="000A3F99" w:rsidRDefault="000A3F99" w:rsidP="00D032F8">
      <w:pPr>
        <w:pStyle w:val="Caption"/>
      </w:pPr>
      <w:bookmarkStart w:id="31" w:name="_Toc482799823"/>
      <w:bookmarkStart w:id="32" w:name="_Toc491087624"/>
      <w:r w:rsidRPr="000A3F99">
        <w:t>Chart 4: SIF Experiences and progress of care leavers sub-judgement to March 201</w:t>
      </w:r>
      <w:bookmarkEnd w:id="31"/>
      <w:r w:rsidRPr="000A3F99">
        <w:t>7</w:t>
      </w:r>
      <w:r w:rsidR="009523AF">
        <w:rPr>
          <w:rStyle w:val="FootnoteReference"/>
        </w:rPr>
        <w:footnoteReference w:id="12"/>
      </w:r>
      <w:bookmarkEnd w:id="32"/>
    </w:p>
    <w:p w14:paraId="0DAE4E13" w14:textId="77777777" w:rsidR="000A3F99" w:rsidRPr="000A3F99" w:rsidRDefault="00C64195" w:rsidP="00D032F8">
      <w:pPr>
        <w:spacing w:after="240"/>
        <w:jc w:val="left"/>
        <w:rPr>
          <w:rFonts w:cs="Tahoma"/>
        </w:rPr>
      </w:pPr>
      <w:r>
        <w:rPr>
          <w:rFonts w:cs="Tahoma"/>
          <w:noProof/>
        </w:rPr>
        <w:drawing>
          <wp:inline distT="0" distB="0" distL="0" distR="0" wp14:anchorId="782436D6" wp14:editId="2058A575">
            <wp:extent cx="4594860" cy="10210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JPG"/>
                    <pic:cNvPicPr/>
                  </pic:nvPicPr>
                  <pic:blipFill>
                    <a:blip r:embed="rId17">
                      <a:extLst>
                        <a:ext uri="{28A0092B-C50C-407E-A947-70E740481C1C}">
                          <a14:useLocalDpi xmlns:a14="http://schemas.microsoft.com/office/drawing/2010/main" val="0"/>
                        </a:ext>
                      </a:extLst>
                    </a:blip>
                    <a:stretch>
                      <a:fillRect/>
                    </a:stretch>
                  </pic:blipFill>
                  <pic:spPr>
                    <a:xfrm>
                      <a:off x="0" y="0"/>
                      <a:ext cx="4594860" cy="1021080"/>
                    </a:xfrm>
                    <a:prstGeom prst="rect">
                      <a:avLst/>
                    </a:prstGeom>
                  </pic:spPr>
                </pic:pic>
              </a:graphicData>
            </a:graphic>
          </wp:inline>
        </w:drawing>
      </w:r>
    </w:p>
    <w:p w14:paraId="72F5D6D6" w14:textId="77777777" w:rsidR="00514804" w:rsidRDefault="00514804" w:rsidP="00514804">
      <w:pPr>
        <w:jc w:val="left"/>
        <w:rPr>
          <w:rFonts w:cs="Tahoma"/>
        </w:rPr>
      </w:pPr>
    </w:p>
    <w:p w14:paraId="5C3FC8D3" w14:textId="77777777" w:rsidR="000A3F99" w:rsidRPr="000A3F99" w:rsidRDefault="000A3F99" w:rsidP="00D032F8">
      <w:pPr>
        <w:spacing w:after="240"/>
        <w:jc w:val="left"/>
        <w:rPr>
          <w:rFonts w:cs="Tahoma"/>
        </w:rPr>
      </w:pPr>
      <w:r w:rsidRPr="000A3F99">
        <w:rPr>
          <w:rFonts w:cs="Tahoma"/>
        </w:rPr>
        <w:t xml:space="preserve">The percentage of </w:t>
      </w:r>
      <w:r w:rsidR="00ED7C96">
        <w:rPr>
          <w:rFonts w:cs="Tahoma"/>
        </w:rPr>
        <w:t>LAs</w:t>
      </w:r>
      <w:r w:rsidRPr="000A3F99">
        <w:rPr>
          <w:rFonts w:cs="Tahoma"/>
        </w:rPr>
        <w:t xml:space="preserve"> judged to be good or </w:t>
      </w:r>
      <w:r w:rsidR="008C4C84">
        <w:rPr>
          <w:rFonts w:cs="Tahoma"/>
        </w:rPr>
        <w:t>outstanding</w:t>
      </w:r>
      <w:r w:rsidR="008C4C84" w:rsidRPr="000A3F99">
        <w:rPr>
          <w:rFonts w:cs="Tahoma"/>
        </w:rPr>
        <w:t xml:space="preserve"> </w:t>
      </w:r>
      <w:r w:rsidRPr="000A3F99">
        <w:rPr>
          <w:rFonts w:cs="Tahoma"/>
        </w:rPr>
        <w:t>for Experiences and progress of care leavers has increased slightly since March 2016, from 37% to 40%.</w:t>
      </w:r>
      <w:r w:rsidR="00844575">
        <w:rPr>
          <w:rFonts w:cs="Tahoma"/>
        </w:rPr>
        <w:t xml:space="preserve"> [Data Tables: LA level at 31 March 2017]</w:t>
      </w:r>
    </w:p>
    <w:p w14:paraId="160834E0" w14:textId="77777777" w:rsidR="000A3F99" w:rsidRPr="000A3F99" w:rsidRDefault="000A3F99" w:rsidP="00D032F8">
      <w:pPr>
        <w:spacing w:after="240"/>
        <w:jc w:val="left"/>
        <w:rPr>
          <w:rFonts w:cs="Tahoma"/>
        </w:rPr>
      </w:pPr>
      <w:r w:rsidRPr="000A3F99">
        <w:rPr>
          <w:rFonts w:cs="Tahoma"/>
        </w:rPr>
        <w:t xml:space="preserve">Within this, there has also been a larger increase in the number of LAs judged to be outstanding, from two to six. The four LAs judged outstanding </w:t>
      </w:r>
      <w:r w:rsidR="007079EB">
        <w:rPr>
          <w:rFonts w:cs="Tahoma"/>
        </w:rPr>
        <w:t xml:space="preserve">in 2016-17 </w:t>
      </w:r>
      <w:r w:rsidRPr="000A3F99">
        <w:rPr>
          <w:rFonts w:cs="Tahoma"/>
        </w:rPr>
        <w:t xml:space="preserve">for this </w:t>
      </w:r>
      <w:r w:rsidRPr="000A3F99">
        <w:rPr>
          <w:rFonts w:cs="Tahoma"/>
        </w:rPr>
        <w:lastRenderedPageBreak/>
        <w:t>sub-judgement were from London (Ealing and Hackney) and North East, Yorkshire and the Humber regions (East Riding of Yorkshire</w:t>
      </w:r>
      <w:r w:rsidR="007079EB">
        <w:rPr>
          <w:rFonts w:cs="Tahoma"/>
        </w:rPr>
        <w:t xml:space="preserve"> and</w:t>
      </w:r>
      <w:r w:rsidRPr="000A3F99">
        <w:rPr>
          <w:rFonts w:cs="Tahoma"/>
        </w:rPr>
        <w:t xml:space="preserve"> Stockton-on-Tees).</w:t>
      </w:r>
    </w:p>
    <w:p w14:paraId="53E13045" w14:textId="77777777" w:rsidR="000A3F99" w:rsidRPr="000A3F99" w:rsidRDefault="000A3F99" w:rsidP="00D032F8">
      <w:pPr>
        <w:spacing w:after="240"/>
        <w:jc w:val="left"/>
        <w:rPr>
          <w:rFonts w:cs="Tahoma"/>
        </w:rPr>
      </w:pPr>
      <w:r w:rsidRPr="000A3F99">
        <w:rPr>
          <w:rFonts w:cs="Tahoma"/>
        </w:rPr>
        <w:t>One LA (Birmingham) was reinspected during the year, and improved from inadequate to requires improvement to be good</w:t>
      </w:r>
      <w:r w:rsidR="002B0D79">
        <w:rPr>
          <w:rFonts w:cs="Tahoma"/>
        </w:rPr>
        <w:t xml:space="preserve"> </w:t>
      </w:r>
      <w:r w:rsidR="002B0D79" w:rsidRPr="000A3F99">
        <w:rPr>
          <w:rFonts w:cs="Tahoma"/>
        </w:rPr>
        <w:t xml:space="preserve">for </w:t>
      </w:r>
      <w:r w:rsidR="00D4168B">
        <w:rPr>
          <w:rFonts w:cs="Tahoma"/>
        </w:rPr>
        <w:t>this</w:t>
      </w:r>
      <w:r w:rsidR="002B0D79">
        <w:rPr>
          <w:rFonts w:cs="Tahoma"/>
        </w:rPr>
        <w:t xml:space="preserve"> sub-judgement</w:t>
      </w:r>
      <w:r w:rsidRPr="000A3F99">
        <w:rPr>
          <w:rFonts w:cs="Tahoma"/>
        </w:rPr>
        <w:t>. Four newly inspected LAs (Bromley, Havering, Wirral, and Worcestershire) were judged to be inadequate for this sub-judgement. As a result, the number of LAs judged inadequate for this sub-judgement increased from 12 to 15.</w:t>
      </w:r>
    </w:p>
    <w:p w14:paraId="01059811" w14:textId="77777777" w:rsidR="000A3F99" w:rsidRPr="000A3F99" w:rsidRDefault="00A1646B" w:rsidP="00A1646B">
      <w:pPr>
        <w:spacing w:after="240"/>
        <w:jc w:val="left"/>
        <w:rPr>
          <w:rFonts w:cs="Tahoma"/>
        </w:rPr>
      </w:pPr>
      <w:r>
        <w:rPr>
          <w:rFonts w:cs="Tahoma"/>
        </w:rPr>
        <w:t>There are many factors that go into the eventual judgement for an LA around children leaving care. However, one that shows a clear split between LAs judged outstanding for this sub-judgement and those judged inadequate is around appropriate housing for children leaving care.</w:t>
      </w:r>
      <w:r w:rsidR="000A3F99" w:rsidRPr="000A3F99">
        <w:rPr>
          <w:rFonts w:cs="Tahoma"/>
        </w:rPr>
        <w:t xml:space="preserve"> All four LAs judged outstanding for this sub-judgement </w:t>
      </w:r>
      <w:r w:rsidR="00514804">
        <w:rPr>
          <w:rFonts w:cs="Tahoma"/>
        </w:rPr>
        <w:t xml:space="preserve"> in 2016-17 </w:t>
      </w:r>
      <w:r w:rsidR="000A3F99" w:rsidRPr="000A3F99">
        <w:rPr>
          <w:rFonts w:cs="Tahoma"/>
        </w:rPr>
        <w:t>were reported to have very high numbers of care leavers in appropriate accommodation. By comparison, three of the four LAs judged inadequate for this sub-judgement</w:t>
      </w:r>
      <w:r w:rsidR="00514804">
        <w:rPr>
          <w:rFonts w:cs="Tahoma"/>
        </w:rPr>
        <w:t xml:space="preserve"> in 2016-17</w:t>
      </w:r>
      <w:r w:rsidR="000A3F99" w:rsidRPr="000A3F99">
        <w:rPr>
          <w:rFonts w:cs="Tahoma"/>
        </w:rPr>
        <w:t xml:space="preserve"> </w:t>
      </w:r>
      <w:r w:rsidR="002C75BF">
        <w:rPr>
          <w:rFonts w:cs="Tahoma"/>
        </w:rPr>
        <w:t>struggled in this area</w:t>
      </w:r>
      <w:r w:rsidR="000A3F99" w:rsidRPr="000A3F99">
        <w:rPr>
          <w:rFonts w:cs="Tahoma"/>
        </w:rPr>
        <w:t>.</w:t>
      </w:r>
    </w:p>
    <w:p w14:paraId="4EA78537" w14:textId="77777777" w:rsidR="00514804" w:rsidRDefault="00514804" w:rsidP="00D032F8">
      <w:pPr>
        <w:pStyle w:val="Heading3"/>
      </w:pPr>
      <w:bookmarkStart w:id="33" w:name="_Toc423648501"/>
      <w:bookmarkStart w:id="34" w:name="_Toc427154551"/>
      <w:bookmarkStart w:id="35" w:name="_Toc482954457"/>
    </w:p>
    <w:p w14:paraId="0BAE5BF0" w14:textId="77777777" w:rsidR="000A3F99" w:rsidRPr="000A3F99" w:rsidRDefault="001D68D2" w:rsidP="00D032F8">
      <w:pPr>
        <w:pStyle w:val="Heading3"/>
        <w:rPr>
          <w:caps/>
        </w:rPr>
      </w:pPr>
      <w:bookmarkStart w:id="36" w:name="_Toc491090871"/>
      <w:r>
        <w:t>Overall effectiveness</w:t>
      </w:r>
      <w:r w:rsidRPr="000A3F99">
        <w:t xml:space="preserve"> </w:t>
      </w:r>
      <w:r w:rsidR="000A3F99" w:rsidRPr="000A3F99">
        <w:t xml:space="preserve">by </w:t>
      </w:r>
      <w:r w:rsidR="002C75BF">
        <w:t xml:space="preserve">LA </w:t>
      </w:r>
      <w:r w:rsidR="000A3F99" w:rsidRPr="000A3F99">
        <w:t xml:space="preserve">type and location </w:t>
      </w:r>
      <w:bookmarkEnd w:id="33"/>
      <w:r w:rsidR="000A3F99" w:rsidRPr="000A3F99">
        <w:t xml:space="preserve">to </w:t>
      </w:r>
      <w:bookmarkEnd w:id="34"/>
      <w:r w:rsidR="000A3F99" w:rsidRPr="000A3F99">
        <w:t>March 2017</w:t>
      </w:r>
      <w:bookmarkEnd w:id="35"/>
      <w:bookmarkEnd w:id="36"/>
    </w:p>
    <w:p w14:paraId="3B09B3AB" w14:textId="164DF836" w:rsidR="000A3F99" w:rsidRDefault="000A3F99" w:rsidP="00D032F8">
      <w:pPr>
        <w:spacing w:after="240"/>
        <w:jc w:val="left"/>
      </w:pPr>
      <w:r w:rsidRPr="000A3F99">
        <w:t xml:space="preserve">Each region in England varies in terms of geographical size and the number of </w:t>
      </w:r>
      <w:r w:rsidR="00ED7C96">
        <w:t>LAs</w:t>
      </w:r>
      <w:r w:rsidRPr="000A3F99">
        <w:t xml:space="preserve"> within it</w:t>
      </w:r>
      <w:r w:rsidR="001D68D2">
        <w:t>, and no</w:t>
      </w:r>
      <w:r w:rsidRPr="000A3F99">
        <w:t xml:space="preserve">t all regions have </w:t>
      </w:r>
      <w:r w:rsidR="00BB05A6">
        <w:t xml:space="preserve">yet </w:t>
      </w:r>
      <w:r w:rsidRPr="000A3F99">
        <w:t xml:space="preserve">been inspected proportionate to the number of </w:t>
      </w:r>
      <w:r w:rsidR="00ED7C96">
        <w:t>LAs</w:t>
      </w:r>
      <w:r w:rsidR="00ED7C96" w:rsidRPr="000A3F99">
        <w:t xml:space="preserve"> </w:t>
      </w:r>
      <w:r w:rsidRPr="000A3F99">
        <w:t xml:space="preserve">within them. </w:t>
      </w:r>
    </w:p>
    <w:p w14:paraId="7E3E8AC6" w14:textId="77777777" w:rsidR="000A3F99" w:rsidRPr="000A3F99" w:rsidRDefault="000A3F99" w:rsidP="00D032F8">
      <w:pPr>
        <w:jc w:val="left"/>
      </w:pPr>
      <w:r w:rsidRPr="000A3F99">
        <w:t xml:space="preserve">All regions now have at least one </w:t>
      </w:r>
      <w:r w:rsidR="00ED7C96">
        <w:t>LA</w:t>
      </w:r>
      <w:r w:rsidRPr="000A3F99">
        <w:t xml:space="preserve"> judged good or better for </w:t>
      </w:r>
      <w:r w:rsidR="008C4C84">
        <w:t>O</w:t>
      </w:r>
      <w:r w:rsidRPr="000A3F99">
        <w:t>verall effectiveness</w:t>
      </w:r>
      <w:r w:rsidR="001A4766">
        <w:t xml:space="preserve">, </w:t>
      </w:r>
      <w:r w:rsidR="001A4766" w:rsidRPr="00882616">
        <w:t>after the South West had its first two good outcomes in 2016-17 (Cornwall and Isles of Scilly)</w:t>
      </w:r>
      <w:r w:rsidRPr="00882616">
        <w:t>.</w:t>
      </w:r>
      <w:r w:rsidR="00844575">
        <w:t xml:space="preserve"> [Data Tables: LA level at 31 March 2017]</w:t>
      </w:r>
    </w:p>
    <w:p w14:paraId="405EBE19" w14:textId="77777777" w:rsidR="000A3F99" w:rsidRPr="000A3F99" w:rsidRDefault="000A3F99" w:rsidP="00D032F8">
      <w:pPr>
        <w:jc w:val="left"/>
      </w:pPr>
    </w:p>
    <w:p w14:paraId="0DAF9BC7" w14:textId="77777777" w:rsidR="000A3F99" w:rsidRPr="000A3F99" w:rsidRDefault="000A3F99" w:rsidP="00D032F8">
      <w:pPr>
        <w:pStyle w:val="Caption"/>
      </w:pPr>
      <w:bookmarkStart w:id="37" w:name="_Toc491087625"/>
      <w:r w:rsidRPr="000A3F99">
        <w:t xml:space="preserve">Chart 5: Regional </w:t>
      </w:r>
      <w:r w:rsidR="008C4C84">
        <w:t>O</w:t>
      </w:r>
      <w:r w:rsidRPr="000A3F99">
        <w:t>verall effectiveness grades to March 2017</w:t>
      </w:r>
      <w:bookmarkEnd w:id="37"/>
    </w:p>
    <w:p w14:paraId="24F7DAD7" w14:textId="77777777" w:rsidR="000A3F99" w:rsidRPr="000A3F99" w:rsidRDefault="00C64195" w:rsidP="00D032F8">
      <w:pPr>
        <w:jc w:val="left"/>
        <w:rPr>
          <w:lang w:eastAsia="en-US"/>
        </w:rPr>
      </w:pPr>
      <w:r>
        <w:rPr>
          <w:noProof/>
        </w:rPr>
        <w:drawing>
          <wp:inline distT="0" distB="0" distL="0" distR="0" wp14:anchorId="03D03AC5" wp14:editId="666B530F">
            <wp:extent cx="5731510" cy="250126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501265"/>
                    </a:xfrm>
                    <a:prstGeom prst="rect">
                      <a:avLst/>
                    </a:prstGeom>
                  </pic:spPr>
                </pic:pic>
              </a:graphicData>
            </a:graphic>
          </wp:inline>
        </w:drawing>
      </w:r>
    </w:p>
    <w:p w14:paraId="539330C3" w14:textId="77777777" w:rsidR="000A3F99" w:rsidRPr="000A3F99" w:rsidRDefault="000A3F99" w:rsidP="00D032F8">
      <w:pPr>
        <w:jc w:val="left"/>
      </w:pPr>
    </w:p>
    <w:p w14:paraId="15F7D06B" w14:textId="77777777" w:rsidR="007E1E99" w:rsidRDefault="007E1E99">
      <w:pPr>
        <w:jc w:val="left"/>
      </w:pPr>
      <w:r>
        <w:br w:type="page"/>
      </w:r>
    </w:p>
    <w:p w14:paraId="50C28DB1" w14:textId="4837DEE6" w:rsidR="000A3F99" w:rsidRDefault="000A3F99" w:rsidP="00D032F8">
      <w:pPr>
        <w:jc w:val="left"/>
      </w:pPr>
      <w:r w:rsidRPr="000A3F99">
        <w:lastRenderedPageBreak/>
        <w:t xml:space="preserve">The South East has fallen from being the region with the second highest percentage of its LAs judged good or better to </w:t>
      </w:r>
      <w:r w:rsidR="003245FE">
        <w:t>being</w:t>
      </w:r>
      <w:r w:rsidR="003245FE" w:rsidRPr="000A3F99">
        <w:t xml:space="preserve"> </w:t>
      </w:r>
      <w:r w:rsidRPr="000A3F99">
        <w:t xml:space="preserve">the second lowest, since March 2016. This is mainly due to the first three LAs inspected in the region </w:t>
      </w:r>
      <w:r w:rsidR="001A4766">
        <w:t xml:space="preserve">under the SIF </w:t>
      </w:r>
      <w:r w:rsidRPr="000A3F99">
        <w:t>being judged good, and all subsequent</w:t>
      </w:r>
      <w:r w:rsidR="00514804">
        <w:t>ly</w:t>
      </w:r>
      <w:r w:rsidRPr="000A3F99">
        <w:t xml:space="preserve"> inspect</w:t>
      </w:r>
      <w:r w:rsidR="00514804">
        <w:t>ed LAs being judged</w:t>
      </w:r>
      <w:r w:rsidRPr="000A3F99">
        <w:t xml:space="preserve"> requires impro</w:t>
      </w:r>
      <w:r w:rsidR="00514804">
        <w:t>vement to be good or inadequate</w:t>
      </w:r>
      <w:r w:rsidRPr="000A3F99">
        <w:t xml:space="preserve">. This is unlike other regions, where good or </w:t>
      </w:r>
      <w:r w:rsidR="004934AC">
        <w:t>outstanding</w:t>
      </w:r>
      <w:r w:rsidR="004934AC" w:rsidRPr="000A3F99">
        <w:t xml:space="preserve"> </w:t>
      </w:r>
      <w:r w:rsidRPr="000A3F99">
        <w:t xml:space="preserve">outcomes have occurred throughout the inspection period. </w:t>
      </w:r>
    </w:p>
    <w:p w14:paraId="52C2ABDF" w14:textId="77777777" w:rsidR="004C2651" w:rsidRDefault="004C2651" w:rsidP="00D032F8">
      <w:pPr>
        <w:jc w:val="left"/>
      </w:pPr>
    </w:p>
    <w:p w14:paraId="11486B6C" w14:textId="77777777" w:rsidR="004C2651" w:rsidRPr="000A3F99" w:rsidRDefault="004C2651" w:rsidP="00D032F8">
      <w:pPr>
        <w:jc w:val="left"/>
      </w:pPr>
      <w:r w:rsidRPr="000A3F99">
        <w:t xml:space="preserve">The West Midlands continues to have the highest percentage of LAs judged to be inadequate, at 45%, with only three LAs still to be inspected. </w:t>
      </w:r>
      <w:r>
        <w:t>However,</w:t>
      </w:r>
      <w:r w:rsidRPr="000A3F99">
        <w:t xml:space="preserve"> there does not appear to be anything specific to the region that might explain this.</w:t>
      </w:r>
    </w:p>
    <w:p w14:paraId="224DC6CF" w14:textId="77777777" w:rsidR="000A3F99" w:rsidRDefault="000A3F99" w:rsidP="00D032F8">
      <w:pPr>
        <w:jc w:val="left"/>
      </w:pPr>
    </w:p>
    <w:p w14:paraId="1CD0ABFF" w14:textId="77777777" w:rsidR="004C2651" w:rsidRPr="000A3F99" w:rsidRDefault="004C2651" w:rsidP="004C2651">
      <w:pPr>
        <w:pStyle w:val="Maps"/>
      </w:pPr>
      <w:bookmarkStart w:id="38" w:name="_Toc491087644"/>
      <w:r w:rsidRPr="000A3F99">
        <w:t>Map 3: Percentage of inspected LAs judged to be good or outstanding</w:t>
      </w:r>
      <w:r>
        <w:t xml:space="preserve"> </w:t>
      </w:r>
      <w:r w:rsidRPr="000A3F99">
        <w:t>to March 2017</w:t>
      </w:r>
      <w:bookmarkEnd w:id="38"/>
    </w:p>
    <w:p w14:paraId="0C632357" w14:textId="77777777" w:rsidR="004C2651" w:rsidRPr="000A3F99" w:rsidRDefault="008D5804" w:rsidP="004C2651">
      <w:pPr>
        <w:jc w:val="left"/>
        <w:rPr>
          <w:lang w:eastAsia="en-US"/>
        </w:rPr>
      </w:pPr>
      <w:r w:rsidRPr="000A3F99">
        <w:rPr>
          <w:noProof/>
        </w:rPr>
        <w:drawing>
          <wp:inline distT="0" distB="0" distL="0" distR="0" wp14:anchorId="3E5E48D5" wp14:editId="421CD9D0">
            <wp:extent cx="4846320" cy="5814060"/>
            <wp:effectExtent l="0" t="0" r="0" b="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20" cy="5814060"/>
                    </a:xfrm>
                    <a:prstGeom prst="rect">
                      <a:avLst/>
                    </a:prstGeom>
                    <a:noFill/>
                    <a:ln>
                      <a:noFill/>
                    </a:ln>
                  </pic:spPr>
                </pic:pic>
              </a:graphicData>
            </a:graphic>
          </wp:inline>
        </w:drawing>
      </w:r>
    </w:p>
    <w:p w14:paraId="524F81F1" w14:textId="77777777" w:rsidR="004C2651" w:rsidRDefault="004C2651" w:rsidP="004C2651"/>
    <w:p w14:paraId="4F38E360" w14:textId="053EB22B" w:rsidR="004C2651" w:rsidRPr="000A3F99" w:rsidRDefault="004C2651" w:rsidP="004C2651">
      <w:pPr>
        <w:jc w:val="left"/>
      </w:pPr>
      <w:r w:rsidRPr="00FA6B2C">
        <w:lastRenderedPageBreak/>
        <w:t>There</w:t>
      </w:r>
      <w:r>
        <w:t xml:space="preserve"> is a higher percentage of LAs judged to be good or better in regions </w:t>
      </w:r>
      <w:r w:rsidR="00494FCF">
        <w:t>in</w:t>
      </w:r>
      <w:r>
        <w:t xml:space="preserve"> the east of</w:t>
      </w:r>
      <w:r w:rsidR="00494FCF">
        <w:t xml:space="preserve"> the</w:t>
      </w:r>
      <w:bookmarkStart w:id="39" w:name="_GoBack"/>
      <w:bookmarkEnd w:id="39"/>
      <w:r>
        <w:t xml:space="preserve"> country, compared </w:t>
      </w:r>
      <w:r w:rsidR="008C4815">
        <w:t xml:space="preserve">with </w:t>
      </w:r>
      <w:r>
        <w:t>the west of the country</w:t>
      </w:r>
      <w:r w:rsidRPr="00FA6B2C">
        <w:t>. </w:t>
      </w:r>
      <w:r>
        <w:t>Although the reasons for this are unclear, strong leadership is an important factor in achieving a good or better Overall effectiveness grade.</w:t>
      </w:r>
    </w:p>
    <w:p w14:paraId="5477B822" w14:textId="77777777" w:rsidR="00CE2A58" w:rsidRDefault="00CE2A58" w:rsidP="00D032F8">
      <w:pPr>
        <w:jc w:val="left"/>
      </w:pPr>
    </w:p>
    <w:p w14:paraId="0FDFDD86" w14:textId="77777777" w:rsidR="004C2651" w:rsidRPr="00514804" w:rsidRDefault="004C2651" w:rsidP="00D032F8">
      <w:pPr>
        <w:jc w:val="left"/>
        <w:rPr>
          <w:b/>
        </w:rPr>
      </w:pPr>
      <w:r w:rsidRPr="00514804">
        <w:rPr>
          <w:b/>
        </w:rPr>
        <w:t>Other factors:</w:t>
      </w:r>
    </w:p>
    <w:p w14:paraId="1A422A1C" w14:textId="13DF68D8" w:rsidR="001D68D2" w:rsidRDefault="001D68D2" w:rsidP="00D032F8">
      <w:pPr>
        <w:jc w:val="left"/>
      </w:pPr>
      <w:r>
        <w:t xml:space="preserve">It is difficult, without in-depth research, to fully understand the reasons behind some of the changes and variations that are seen in the data relating to SIF inspections. It is also difficult to say in many cases whether a pattern is causation or </w:t>
      </w:r>
      <w:r w:rsidR="00514804">
        <w:t>correlation</w:t>
      </w:r>
      <w:r w:rsidR="004C2651">
        <w:t>. Below, we have included some patterns in the data that are of interest, and may warrant more in-depth investigation to fully understand if, and how, they are related to inspection outcomes.</w:t>
      </w:r>
    </w:p>
    <w:p w14:paraId="77563222" w14:textId="77777777" w:rsidR="001D68D2" w:rsidRDefault="001D68D2" w:rsidP="00D032F8">
      <w:pPr>
        <w:jc w:val="left"/>
      </w:pPr>
    </w:p>
    <w:p w14:paraId="40CE4ADF" w14:textId="77777777" w:rsidR="004C2651" w:rsidRPr="00514804" w:rsidRDefault="004C2651" w:rsidP="00D032F8">
      <w:pPr>
        <w:jc w:val="left"/>
        <w:rPr>
          <w:b/>
        </w:rPr>
      </w:pPr>
      <w:r w:rsidRPr="00514804">
        <w:rPr>
          <w:b/>
        </w:rPr>
        <w:t>LA type:</w:t>
      </w:r>
    </w:p>
    <w:p w14:paraId="451B250D" w14:textId="50BC8CCF" w:rsidR="004C2651" w:rsidRDefault="004C2651" w:rsidP="00D032F8">
      <w:pPr>
        <w:jc w:val="left"/>
        <w:rPr>
          <w:noProof/>
        </w:rPr>
      </w:pPr>
      <w:r w:rsidRPr="000A3F99">
        <w:rPr>
          <w:noProof/>
        </w:rPr>
        <w:t xml:space="preserve">A higher percentage of shire counties were judged good or better (50%) </w:t>
      </w:r>
      <w:r w:rsidR="003245FE" w:rsidRPr="000A3F99">
        <w:rPr>
          <w:noProof/>
        </w:rPr>
        <w:t>than any other type</w:t>
      </w:r>
      <w:r w:rsidR="003245FE">
        <w:rPr>
          <w:noProof/>
        </w:rPr>
        <w:t>.</w:t>
      </w:r>
      <w:r w:rsidR="003245FE" w:rsidRPr="000A3F99">
        <w:rPr>
          <w:noProof/>
        </w:rPr>
        <w:t xml:space="preserve"> </w:t>
      </w:r>
      <w:r w:rsidRPr="000A3F99">
        <w:rPr>
          <w:noProof/>
        </w:rPr>
        <w:t xml:space="preserve">London boroughs </w:t>
      </w:r>
      <w:r w:rsidR="003245FE">
        <w:rPr>
          <w:noProof/>
        </w:rPr>
        <w:t xml:space="preserve">had the next highest percentage, at </w:t>
      </w:r>
      <w:r w:rsidRPr="000A3F99">
        <w:rPr>
          <w:noProof/>
        </w:rPr>
        <w:t xml:space="preserve">46%. However, this does not necessarily mean that regions with higher numbers of </w:t>
      </w:r>
      <w:r>
        <w:rPr>
          <w:noProof/>
        </w:rPr>
        <w:t>shire counties</w:t>
      </w:r>
      <w:r w:rsidRPr="000A3F99">
        <w:rPr>
          <w:noProof/>
        </w:rPr>
        <w:t xml:space="preserve"> also have higher numbers of LAs judged good or better</w:t>
      </w:r>
      <w:r>
        <w:rPr>
          <w:noProof/>
        </w:rPr>
        <w:t xml:space="preserve">. </w:t>
      </w:r>
      <w:r w:rsidRPr="00301A4B">
        <w:rPr>
          <w:noProof/>
        </w:rPr>
        <w:t>[</w:t>
      </w:r>
      <w:r w:rsidR="00844575">
        <w:rPr>
          <w:noProof/>
        </w:rPr>
        <w:t>Data Tables: LA level at 31 Mar 17</w:t>
      </w:r>
      <w:r>
        <w:rPr>
          <w:noProof/>
        </w:rPr>
        <w:t>]</w:t>
      </w:r>
    </w:p>
    <w:p w14:paraId="3D694DF9" w14:textId="77777777" w:rsidR="004C2651" w:rsidRDefault="004C2651" w:rsidP="00D032F8">
      <w:pPr>
        <w:jc w:val="left"/>
        <w:rPr>
          <w:noProof/>
        </w:rPr>
      </w:pPr>
    </w:p>
    <w:p w14:paraId="0BE112AA" w14:textId="77777777" w:rsidR="000A3F99" w:rsidRPr="000A3F99" w:rsidRDefault="004C2651" w:rsidP="004C2651">
      <w:pPr>
        <w:jc w:val="left"/>
        <w:rPr>
          <w:color w:val="FF0000"/>
        </w:rPr>
      </w:pPr>
      <w:r>
        <w:rPr>
          <w:noProof/>
        </w:rPr>
        <w:t>Unitary a</w:t>
      </w:r>
      <w:r w:rsidR="003C1010">
        <w:rPr>
          <w:noProof/>
        </w:rPr>
        <w:t>uthorities were more likely than</w:t>
      </w:r>
      <w:r>
        <w:rPr>
          <w:noProof/>
        </w:rPr>
        <w:t xml:space="preserve"> any other LA type to be </w:t>
      </w:r>
      <w:r w:rsidR="000A3F99" w:rsidRPr="000A3F99">
        <w:t>judged requires improvement to be good (70%)</w:t>
      </w:r>
      <w:r w:rsidR="00BB52AF">
        <w:t>. T</w:t>
      </w:r>
      <w:r w:rsidR="000A3F99" w:rsidRPr="000A3F99">
        <w:t>hese make up the majority (11 of 17) of the South East’s inspected LAs</w:t>
      </w:r>
      <w:r w:rsidR="00BB52AF">
        <w:t>, and so the recent inspections of these LA types in that region may partially explain the fall in the percentage of good or better LAs in the South East over time</w:t>
      </w:r>
      <w:r w:rsidR="000A3F99" w:rsidRPr="000A3F99">
        <w:t xml:space="preserve">. However, </w:t>
      </w:r>
      <w:r w:rsidR="001A4766">
        <w:t>despite research into other factors, such as numbers of children and level of deprivation, no other pattern</w:t>
      </w:r>
      <w:r w:rsidR="00BB52AF">
        <w:t xml:space="preserve"> to explain this</w:t>
      </w:r>
      <w:r w:rsidR="001A4766">
        <w:t xml:space="preserve"> </w:t>
      </w:r>
      <w:r w:rsidR="00BB52AF">
        <w:t xml:space="preserve">has </w:t>
      </w:r>
      <w:r w:rsidR="001A4766">
        <w:t>bec</w:t>
      </w:r>
      <w:r w:rsidR="00BB52AF">
        <w:t>o</w:t>
      </w:r>
      <w:r w:rsidR="001A4766">
        <w:t>me evident</w:t>
      </w:r>
      <w:r w:rsidR="000A3F99" w:rsidRPr="000A3F99">
        <w:t>.</w:t>
      </w:r>
      <w:r w:rsidR="000A3F99" w:rsidRPr="000A3F99">
        <w:rPr>
          <w:color w:val="FF0000"/>
        </w:rPr>
        <w:t xml:space="preserve"> </w:t>
      </w:r>
      <w:r w:rsidR="00844575" w:rsidRPr="00F7167E">
        <w:rPr>
          <w:noProof/>
        </w:rPr>
        <w:t>[</w:t>
      </w:r>
      <w:r w:rsidR="00844575">
        <w:rPr>
          <w:noProof/>
        </w:rPr>
        <w:t>Data Tables: LA level at 31 March 17]</w:t>
      </w:r>
    </w:p>
    <w:p w14:paraId="5495C8FE" w14:textId="77777777" w:rsidR="000A3F99" w:rsidRPr="000A3F99" w:rsidRDefault="000A3F99" w:rsidP="00D032F8">
      <w:pPr>
        <w:jc w:val="left"/>
        <w:rPr>
          <w:color w:val="FF0000"/>
        </w:rPr>
      </w:pPr>
    </w:p>
    <w:p w14:paraId="114C8BD2" w14:textId="77777777" w:rsidR="004C2651" w:rsidRPr="00514804" w:rsidRDefault="00CE2A58" w:rsidP="00301A4B">
      <w:pPr>
        <w:rPr>
          <w:b/>
        </w:rPr>
      </w:pPr>
      <w:r>
        <w:br w:type="page"/>
      </w:r>
      <w:r w:rsidR="004C2651" w:rsidRPr="00514804">
        <w:rPr>
          <w:b/>
        </w:rPr>
        <w:lastRenderedPageBreak/>
        <w:t>Social worker percentage turnover:</w:t>
      </w:r>
    </w:p>
    <w:p w14:paraId="409CBF12" w14:textId="77777777" w:rsidR="00DA0AD9" w:rsidRPr="000A3F99" w:rsidRDefault="00DA0AD9" w:rsidP="00301A4B">
      <w:bookmarkStart w:id="40" w:name="_Toc491087626"/>
      <w:bookmarkStart w:id="41" w:name="_Toc487531698"/>
      <w:r w:rsidRPr="00301A4B">
        <w:rPr>
          <w:rStyle w:val="CaptionChar"/>
          <w:sz w:val="20"/>
          <w:szCs w:val="20"/>
        </w:rPr>
        <w:t xml:space="preserve">Chart 6: </w:t>
      </w:r>
      <w:r w:rsidR="001A4766" w:rsidRPr="00301A4B">
        <w:rPr>
          <w:rStyle w:val="CaptionChar"/>
          <w:sz w:val="20"/>
          <w:szCs w:val="20"/>
        </w:rPr>
        <w:t>Changes in s</w:t>
      </w:r>
      <w:r w:rsidRPr="00301A4B">
        <w:rPr>
          <w:rStyle w:val="CaptionChar"/>
          <w:sz w:val="20"/>
          <w:szCs w:val="20"/>
        </w:rPr>
        <w:t>ocial worker percentage turnover</w:t>
      </w:r>
      <w:r w:rsidR="001A4766" w:rsidRPr="00301A4B">
        <w:rPr>
          <w:rStyle w:val="CaptionChar"/>
          <w:sz w:val="20"/>
          <w:szCs w:val="20"/>
        </w:rPr>
        <w:t xml:space="preserve"> post-SIF,</w:t>
      </w:r>
      <w:r w:rsidRPr="00301A4B">
        <w:rPr>
          <w:rStyle w:val="CaptionChar"/>
          <w:sz w:val="20"/>
          <w:szCs w:val="20"/>
        </w:rPr>
        <w:t xml:space="preserve"> by Overall effectiveness grade</w:t>
      </w:r>
      <w:bookmarkEnd w:id="40"/>
      <w:r>
        <w:rPr>
          <w:rStyle w:val="FootnoteReference"/>
        </w:rPr>
        <w:footnoteReference w:id="13"/>
      </w:r>
      <w:bookmarkEnd w:id="41"/>
    </w:p>
    <w:p w14:paraId="585AEFD4" w14:textId="77777777" w:rsidR="00DA0AD9" w:rsidRDefault="00536927" w:rsidP="00DA0AD9">
      <w:pPr>
        <w:rPr>
          <w:noProof/>
        </w:rPr>
      </w:pPr>
      <w:r>
        <w:rPr>
          <w:noProof/>
        </w:rPr>
        <w:drawing>
          <wp:inline distT="0" distB="0" distL="0" distR="0" wp14:anchorId="67DCD082" wp14:editId="1D38042A">
            <wp:extent cx="3924300" cy="23012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JPG"/>
                    <pic:cNvPicPr/>
                  </pic:nvPicPr>
                  <pic:blipFill>
                    <a:blip r:embed="rId20">
                      <a:extLst>
                        <a:ext uri="{28A0092B-C50C-407E-A947-70E740481C1C}">
                          <a14:useLocalDpi xmlns:a14="http://schemas.microsoft.com/office/drawing/2010/main" val="0"/>
                        </a:ext>
                      </a:extLst>
                    </a:blip>
                    <a:stretch>
                      <a:fillRect/>
                    </a:stretch>
                  </pic:blipFill>
                  <pic:spPr>
                    <a:xfrm>
                      <a:off x="0" y="0"/>
                      <a:ext cx="3924300" cy="2301240"/>
                    </a:xfrm>
                    <a:prstGeom prst="rect">
                      <a:avLst/>
                    </a:prstGeom>
                  </pic:spPr>
                </pic:pic>
              </a:graphicData>
            </a:graphic>
          </wp:inline>
        </w:drawing>
      </w:r>
    </w:p>
    <w:p w14:paraId="33AF6D23" w14:textId="77777777" w:rsidR="00DA0AD9" w:rsidRPr="000A3F99" w:rsidRDefault="00DA0AD9" w:rsidP="00DA0AD9"/>
    <w:p w14:paraId="6BFA9860" w14:textId="77777777" w:rsidR="00BB52AF" w:rsidRDefault="00DA0AD9" w:rsidP="00DA0AD9">
      <w:pPr>
        <w:jc w:val="left"/>
      </w:pPr>
      <w:r w:rsidRPr="00FA6B2C">
        <w:t>For those LAs inspected in 2013-2015, more LAs judged good or better saw increased staff turnover after their SIF than for any other Overall effectiveness judgement.</w:t>
      </w:r>
      <w:r w:rsidR="001A4766">
        <w:rPr>
          <w:rStyle w:val="FootnoteReference"/>
        </w:rPr>
        <w:footnoteReference w:id="14"/>
      </w:r>
      <w:r>
        <w:t xml:space="preserve"> </w:t>
      </w:r>
      <w:r w:rsidRPr="00FA6B2C">
        <w:t xml:space="preserve">This </w:t>
      </w:r>
      <w:r w:rsidR="00BB52AF">
        <w:t>is contrary to the widely held belief that staff turnover is more likely following an inadequate judgement.</w:t>
      </w:r>
    </w:p>
    <w:p w14:paraId="07B491B7" w14:textId="77777777" w:rsidR="000A3F99" w:rsidRPr="000A3F99" w:rsidRDefault="000A3F99" w:rsidP="00D032F8">
      <w:pPr>
        <w:jc w:val="left"/>
      </w:pPr>
    </w:p>
    <w:p w14:paraId="3546D041" w14:textId="77777777" w:rsidR="004C2651" w:rsidRPr="007D6769" w:rsidRDefault="004C2651" w:rsidP="00301A4B">
      <w:pPr>
        <w:rPr>
          <w:b/>
        </w:rPr>
      </w:pPr>
      <w:r w:rsidRPr="007D6769">
        <w:rPr>
          <w:b/>
          <w:noProof/>
        </w:rPr>
        <w:t>Rate of Children in Need (CiN):</w:t>
      </w:r>
    </w:p>
    <w:p w14:paraId="78B01EFB" w14:textId="77777777" w:rsidR="000A3F99" w:rsidRPr="000A3F99" w:rsidRDefault="000A3F99" w:rsidP="00301A4B">
      <w:bookmarkStart w:id="42" w:name="_Toc491087627"/>
      <w:r w:rsidRPr="00301A4B">
        <w:rPr>
          <w:rStyle w:val="CaptionChar"/>
          <w:sz w:val="20"/>
          <w:szCs w:val="20"/>
        </w:rPr>
        <w:t xml:space="preserve">Chart </w:t>
      </w:r>
      <w:r w:rsidR="009528BD" w:rsidRPr="00301A4B">
        <w:rPr>
          <w:rStyle w:val="CaptionChar"/>
          <w:sz w:val="20"/>
          <w:szCs w:val="20"/>
        </w:rPr>
        <w:t>7</w:t>
      </w:r>
      <w:r w:rsidRPr="00301A4B">
        <w:rPr>
          <w:rStyle w:val="CaptionChar"/>
          <w:sz w:val="20"/>
          <w:szCs w:val="20"/>
        </w:rPr>
        <w:t xml:space="preserve">: </w:t>
      </w:r>
      <w:r w:rsidR="007B20D1" w:rsidRPr="00301A4B">
        <w:rPr>
          <w:rStyle w:val="CaptionChar"/>
          <w:sz w:val="20"/>
          <w:szCs w:val="20"/>
        </w:rPr>
        <w:t>Number of LAs judged (a) good or better and (b) inadequate, by rate of</w:t>
      </w:r>
      <w:r w:rsidR="004C2651">
        <w:rPr>
          <w:rStyle w:val="CaptionChar"/>
          <w:sz w:val="20"/>
          <w:szCs w:val="20"/>
        </w:rPr>
        <w:t xml:space="preserve"> </w:t>
      </w:r>
      <w:r w:rsidR="007B20D1" w:rsidRPr="00301A4B">
        <w:rPr>
          <w:rStyle w:val="CaptionChar"/>
          <w:sz w:val="20"/>
          <w:szCs w:val="20"/>
        </w:rPr>
        <w:t>CiN</w:t>
      </w:r>
      <w:bookmarkEnd w:id="42"/>
      <w:r w:rsidRPr="000A3F99">
        <w:rPr>
          <w:rStyle w:val="FootnoteReference"/>
        </w:rPr>
        <w:footnoteReference w:id="15"/>
      </w:r>
    </w:p>
    <w:p w14:paraId="17A18D6E" w14:textId="7F32FE06" w:rsidR="000A3F99" w:rsidRPr="000A3F99" w:rsidRDefault="007B20D1" w:rsidP="003055FC">
      <w:pPr>
        <w:jc w:val="left"/>
        <w:rPr>
          <w:lang w:eastAsia="en-US"/>
        </w:rPr>
      </w:pPr>
      <w:r>
        <w:rPr>
          <w:lang w:eastAsia="en-US"/>
        </w:rPr>
        <w:t>a)</w:t>
      </w:r>
      <w:r w:rsidR="008D5804">
        <w:rPr>
          <w:noProof/>
        </w:rPr>
        <w:drawing>
          <wp:inline distT="0" distB="0" distL="0" distR="0" wp14:anchorId="0904792E" wp14:editId="0BA99CDA">
            <wp:extent cx="2087880" cy="1920240"/>
            <wp:effectExtent l="0" t="0" r="7620" b="3810"/>
            <wp:docPr id="14"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880" cy="1920240"/>
                    </a:xfrm>
                    <a:prstGeom prst="rect">
                      <a:avLst/>
                    </a:prstGeom>
                    <a:noFill/>
                    <a:ln>
                      <a:noFill/>
                    </a:ln>
                  </pic:spPr>
                </pic:pic>
              </a:graphicData>
            </a:graphic>
          </wp:inline>
        </w:drawing>
      </w:r>
      <w:r>
        <w:rPr>
          <w:lang w:eastAsia="en-US"/>
        </w:rPr>
        <w:tab/>
      </w:r>
      <w:r>
        <w:rPr>
          <w:lang w:eastAsia="en-US"/>
        </w:rPr>
        <w:tab/>
        <w:t>b)</w:t>
      </w:r>
      <w:r w:rsidR="00F955A8" w:rsidRPr="00F955A8">
        <w:rPr>
          <w:noProof/>
        </w:rPr>
        <w:t xml:space="preserve"> </w:t>
      </w:r>
      <w:r w:rsidR="00F955A8">
        <w:rPr>
          <w:noProof/>
        </w:rPr>
        <w:drawing>
          <wp:inline distT="0" distB="0" distL="0" distR="0" wp14:anchorId="2084D03E" wp14:editId="608F47C8">
            <wp:extent cx="2030062" cy="19126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5930" cy="1927570"/>
                    </a:xfrm>
                    <a:prstGeom prst="rect">
                      <a:avLst/>
                    </a:prstGeom>
                  </pic:spPr>
                </pic:pic>
              </a:graphicData>
            </a:graphic>
          </wp:inline>
        </w:drawing>
      </w:r>
    </w:p>
    <w:p w14:paraId="2BBB6D62" w14:textId="77777777" w:rsidR="000A3F99" w:rsidRPr="000A3F99" w:rsidRDefault="000A3F99" w:rsidP="003055FC">
      <w:pPr>
        <w:jc w:val="left"/>
        <w:rPr>
          <w:lang w:eastAsia="en-US"/>
        </w:rPr>
      </w:pPr>
    </w:p>
    <w:p w14:paraId="506019D3" w14:textId="77777777" w:rsidR="00105308" w:rsidRDefault="00105308" w:rsidP="003055FC">
      <w:pPr>
        <w:jc w:val="left"/>
        <w:rPr>
          <w:lang w:eastAsia="en-US"/>
        </w:rPr>
      </w:pPr>
      <w:r>
        <w:rPr>
          <w:lang w:eastAsia="en-US"/>
        </w:rPr>
        <w:t xml:space="preserve">More LAs judged good or outstanding fell within Quartile </w:t>
      </w:r>
      <w:r w:rsidR="001508D6">
        <w:rPr>
          <w:lang w:eastAsia="en-US"/>
        </w:rPr>
        <w:t xml:space="preserve">One </w:t>
      </w:r>
      <w:r>
        <w:rPr>
          <w:lang w:eastAsia="en-US"/>
        </w:rPr>
        <w:t xml:space="preserve">for the lowest rate of Children in Need than did LAs judged inadequate. The reverse was true when looking at Quartile </w:t>
      </w:r>
      <w:r w:rsidR="00D64013">
        <w:rPr>
          <w:lang w:eastAsia="en-US"/>
        </w:rPr>
        <w:t>Four</w:t>
      </w:r>
      <w:r>
        <w:rPr>
          <w:lang w:eastAsia="en-US"/>
        </w:rPr>
        <w:t>, for the highest rate of Children in Need.</w:t>
      </w:r>
    </w:p>
    <w:p w14:paraId="11CB8999" w14:textId="77777777" w:rsidR="00105308" w:rsidRDefault="00105308" w:rsidP="003055FC">
      <w:pPr>
        <w:jc w:val="left"/>
        <w:rPr>
          <w:lang w:eastAsia="en-US"/>
        </w:rPr>
      </w:pPr>
    </w:p>
    <w:p w14:paraId="486A732C" w14:textId="77777777" w:rsidR="00CE2A58" w:rsidRDefault="00CE2A58" w:rsidP="00301A4B"/>
    <w:p w14:paraId="36D1287D" w14:textId="77777777" w:rsidR="00CE2A58" w:rsidRDefault="00CE2A58" w:rsidP="00301A4B"/>
    <w:p w14:paraId="110B2485" w14:textId="77777777" w:rsidR="004C2651" w:rsidRPr="007D6769" w:rsidRDefault="004C2651" w:rsidP="00301A4B">
      <w:pPr>
        <w:rPr>
          <w:b/>
        </w:rPr>
      </w:pPr>
      <w:r w:rsidRPr="007D6769">
        <w:rPr>
          <w:b/>
        </w:rPr>
        <w:lastRenderedPageBreak/>
        <w:t>Level of deprivation:</w:t>
      </w:r>
    </w:p>
    <w:p w14:paraId="7384C560" w14:textId="77777777" w:rsidR="000A3F99" w:rsidRPr="000A3F99" w:rsidRDefault="000A3F99" w:rsidP="00D032F8">
      <w:pPr>
        <w:pStyle w:val="Caption"/>
      </w:pPr>
      <w:bookmarkStart w:id="43" w:name="_Toc491087628"/>
      <w:r w:rsidRPr="000A3F99">
        <w:t xml:space="preserve">Chart </w:t>
      </w:r>
      <w:r w:rsidR="007B20D1">
        <w:t>8</w:t>
      </w:r>
      <w:r w:rsidRPr="000A3F99">
        <w:t>: Level of deprivation, by SIF Overall effectiveness</w:t>
      </w:r>
      <w:bookmarkEnd w:id="43"/>
    </w:p>
    <w:p w14:paraId="4794E385" w14:textId="77777777" w:rsidR="000A3F99" w:rsidRPr="000A3F99" w:rsidRDefault="00536927" w:rsidP="00184A72">
      <w:pPr>
        <w:jc w:val="left"/>
        <w:rPr>
          <w:lang w:eastAsia="en-US"/>
        </w:rPr>
      </w:pPr>
      <w:r>
        <w:rPr>
          <w:noProof/>
        </w:rPr>
        <w:drawing>
          <wp:inline distT="0" distB="0" distL="0" distR="0" wp14:anchorId="56A7F7EA" wp14:editId="04DEB716">
            <wp:extent cx="4457700" cy="21564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JPG"/>
                    <pic:cNvPicPr/>
                  </pic:nvPicPr>
                  <pic:blipFill>
                    <a:blip r:embed="rId23">
                      <a:extLst>
                        <a:ext uri="{28A0092B-C50C-407E-A947-70E740481C1C}">
                          <a14:useLocalDpi xmlns:a14="http://schemas.microsoft.com/office/drawing/2010/main" val="0"/>
                        </a:ext>
                      </a:extLst>
                    </a:blip>
                    <a:stretch>
                      <a:fillRect/>
                    </a:stretch>
                  </pic:blipFill>
                  <pic:spPr>
                    <a:xfrm>
                      <a:off x="0" y="0"/>
                      <a:ext cx="4457700" cy="2156460"/>
                    </a:xfrm>
                    <a:prstGeom prst="rect">
                      <a:avLst/>
                    </a:prstGeom>
                  </pic:spPr>
                </pic:pic>
              </a:graphicData>
            </a:graphic>
          </wp:inline>
        </w:drawing>
      </w:r>
    </w:p>
    <w:p w14:paraId="35E931AB" w14:textId="77777777" w:rsidR="000A3F99" w:rsidRPr="000A3F99" w:rsidRDefault="000A3F99" w:rsidP="00184A72">
      <w:pPr>
        <w:jc w:val="left"/>
        <w:rPr>
          <w:lang w:eastAsia="en-US"/>
        </w:rPr>
      </w:pPr>
    </w:p>
    <w:p w14:paraId="4E234A7B" w14:textId="77777777" w:rsidR="000A3F99" w:rsidRPr="000A3F99" w:rsidRDefault="007B20D1" w:rsidP="007B20D1">
      <w:pPr>
        <w:jc w:val="left"/>
        <w:rPr>
          <w:lang w:eastAsia="en-US"/>
        </w:rPr>
      </w:pPr>
      <w:r>
        <w:rPr>
          <w:lang w:eastAsia="en-US"/>
        </w:rPr>
        <w:t>Although there appears to be some relationship between levels of deprivation and good Overall effectiveness outcomes, this is not the case for</w:t>
      </w:r>
      <w:r w:rsidR="001A4766">
        <w:rPr>
          <w:lang w:eastAsia="en-US"/>
        </w:rPr>
        <w:t xml:space="preserve"> LAs with</w:t>
      </w:r>
      <w:r>
        <w:rPr>
          <w:lang w:eastAsia="en-US"/>
        </w:rPr>
        <w:t xml:space="preserve"> inadequate outcomes. LAs with the lowest levels of deprivation were more commonly judged good or outstanding than LAs with the highest levels, and less commonly judged requires improvement to be good. However, </w:t>
      </w:r>
      <w:r w:rsidR="000A3F99" w:rsidRPr="000A3F99">
        <w:rPr>
          <w:lang w:eastAsia="en-US"/>
        </w:rPr>
        <w:t>the numbers of LAs judged to be inadequate were very similar for the highest and lowest levels of deprivation.</w:t>
      </w:r>
    </w:p>
    <w:p w14:paraId="3AED36F6" w14:textId="77777777" w:rsidR="000A3F99" w:rsidRPr="000A3F99" w:rsidRDefault="000A3F99" w:rsidP="00D032F8">
      <w:pPr>
        <w:pStyle w:val="Maps"/>
      </w:pPr>
    </w:p>
    <w:p w14:paraId="396252E2" w14:textId="77777777" w:rsidR="000A3F99" w:rsidRPr="000A3F99" w:rsidRDefault="000A3F99" w:rsidP="00D032F8">
      <w:pPr>
        <w:pStyle w:val="Heading3"/>
        <w:rPr>
          <w:caps/>
        </w:rPr>
      </w:pPr>
      <w:bookmarkStart w:id="44" w:name="_Toc427154552"/>
      <w:bookmarkStart w:id="45" w:name="_Toc482954458"/>
      <w:bookmarkStart w:id="46" w:name="_Toc491090872"/>
      <w:r w:rsidRPr="000A3F99">
        <w:t>Inspections of local authorities: some comparisons</w:t>
      </w:r>
      <w:bookmarkEnd w:id="44"/>
      <w:bookmarkEnd w:id="45"/>
      <w:bookmarkEnd w:id="46"/>
    </w:p>
    <w:p w14:paraId="0C1287F0" w14:textId="6C72CC92" w:rsidR="000A3F99" w:rsidRPr="000A3F99" w:rsidRDefault="000A3F99" w:rsidP="00D032F8">
      <w:pPr>
        <w:spacing w:after="240"/>
        <w:jc w:val="left"/>
      </w:pPr>
      <w:r w:rsidRPr="000A3F99">
        <w:t xml:space="preserve">Because of the different frameworks used to inspect </w:t>
      </w:r>
      <w:r w:rsidR="00ED7C96">
        <w:t>LAs</w:t>
      </w:r>
      <w:r w:rsidRPr="000A3F99">
        <w:t xml:space="preserve"> since 2009, it is difficult to compare the SIF Overall effectiveness judgement with those from previous inspection frameworks.</w:t>
      </w:r>
      <w:r w:rsidR="00184A72">
        <w:rPr>
          <w:rStyle w:val="FootnoteReference"/>
        </w:rPr>
        <w:footnoteReference w:id="16"/>
      </w:r>
      <w:r w:rsidRPr="000A3F99">
        <w:t xml:space="preserve"> </w:t>
      </w:r>
      <w:r w:rsidR="006261B5" w:rsidRPr="00B36422">
        <w:t xml:space="preserve">Generally, LAs were more likely to receive a lower grade under the SIF compared </w:t>
      </w:r>
      <w:r w:rsidR="008C4815">
        <w:t>with</w:t>
      </w:r>
      <w:r w:rsidR="006261B5" w:rsidRPr="00B36422">
        <w:t xml:space="preserve"> previous judgements</w:t>
      </w:r>
      <w:r w:rsidR="00A8507F" w:rsidRPr="00B36422">
        <w:t>; however, this was not true for LAs previously judged adequate, and suggests that previous grade cannot be used as a predictor of an LA’s grade under the SIF for these key judgements</w:t>
      </w:r>
      <w:r w:rsidR="006261B5" w:rsidRPr="00B36422">
        <w:t>.</w:t>
      </w:r>
    </w:p>
    <w:p w14:paraId="3DF5C1E1" w14:textId="77777777" w:rsidR="007D6769" w:rsidRPr="000A3F99" w:rsidRDefault="000A3F99" w:rsidP="00D032F8">
      <w:pPr>
        <w:jc w:val="left"/>
        <w:rPr>
          <w:rFonts w:cs="Tahoma"/>
        </w:rPr>
      </w:pPr>
      <w:r w:rsidRPr="000A3F99">
        <w:rPr>
          <w:rFonts w:cs="Tahoma"/>
        </w:rPr>
        <w:t>There are two key judgements in the SIF inspections, though, where it is possible to draw some comparisons to a previous inspection judgement:</w:t>
      </w:r>
    </w:p>
    <w:p w14:paraId="181B975A" w14:textId="77777777" w:rsidR="000A3F99" w:rsidRDefault="000A3F99" w:rsidP="00D032F8">
      <w:pPr>
        <w:numPr>
          <w:ilvl w:val="0"/>
          <w:numId w:val="34"/>
        </w:numPr>
        <w:jc w:val="left"/>
        <w:rPr>
          <w:rFonts w:cs="Tahoma"/>
        </w:rPr>
      </w:pPr>
      <w:r w:rsidRPr="000A3F99">
        <w:rPr>
          <w:rFonts w:cs="Tahoma"/>
        </w:rPr>
        <w:t xml:space="preserve">Children who need help and protection with the Safeguarding or Child </w:t>
      </w:r>
      <w:r w:rsidR="00D64013">
        <w:rPr>
          <w:rFonts w:cs="Tahoma"/>
        </w:rPr>
        <w:t>p</w:t>
      </w:r>
      <w:r w:rsidRPr="000A3F99">
        <w:rPr>
          <w:rFonts w:cs="Tahoma"/>
        </w:rPr>
        <w:t>rotection inspection outcomes</w:t>
      </w:r>
      <w:r w:rsidR="00A3394E">
        <w:rPr>
          <w:rFonts w:cs="Tahoma"/>
        </w:rPr>
        <w:t>;</w:t>
      </w:r>
      <w:r w:rsidRPr="000A3F99">
        <w:rPr>
          <w:rStyle w:val="FootnoteReference"/>
          <w:rFonts w:cs="Tahoma"/>
        </w:rPr>
        <w:footnoteReference w:id="17"/>
      </w:r>
      <w:r w:rsidRPr="000A3F99">
        <w:rPr>
          <w:rFonts w:cs="Tahoma"/>
        </w:rPr>
        <w:t xml:space="preserve"> </w:t>
      </w:r>
    </w:p>
    <w:p w14:paraId="758A1D87" w14:textId="77777777" w:rsidR="007D6769" w:rsidRPr="000A3F99" w:rsidRDefault="007D6769" w:rsidP="007D6769">
      <w:pPr>
        <w:ind w:left="720"/>
        <w:jc w:val="left"/>
        <w:rPr>
          <w:rFonts w:cs="Tahoma"/>
        </w:rPr>
      </w:pPr>
    </w:p>
    <w:p w14:paraId="4E9BA8F9" w14:textId="77777777" w:rsidR="00DA0AD9" w:rsidRDefault="000A3F99" w:rsidP="00E826A2">
      <w:pPr>
        <w:numPr>
          <w:ilvl w:val="0"/>
          <w:numId w:val="34"/>
        </w:numPr>
        <w:spacing w:after="240"/>
        <w:jc w:val="left"/>
        <w:rPr>
          <w:rFonts w:cs="Tahoma"/>
        </w:rPr>
      </w:pPr>
      <w:r w:rsidRPr="000A3F99">
        <w:t>Children looked after and achieving permanence</w:t>
      </w:r>
      <w:r w:rsidRPr="00DA0AD9">
        <w:rPr>
          <w:rFonts w:cs="Tahoma"/>
        </w:rPr>
        <w:t xml:space="preserve"> with the Looked After Children inspection outcomes</w:t>
      </w:r>
      <w:r w:rsidR="00A3394E">
        <w:rPr>
          <w:rFonts w:cs="Tahoma"/>
        </w:rPr>
        <w:t>.</w:t>
      </w:r>
      <w:r w:rsidRPr="000A3F99">
        <w:rPr>
          <w:rStyle w:val="FootnoteReference"/>
          <w:rFonts w:cs="Tahoma"/>
        </w:rPr>
        <w:footnoteReference w:id="18"/>
      </w:r>
      <w:r w:rsidRPr="00DA0AD9">
        <w:rPr>
          <w:rFonts w:cs="Tahoma"/>
        </w:rPr>
        <w:t xml:space="preserve"> </w:t>
      </w:r>
      <w:bookmarkStart w:id="47" w:name="_Toc426642899"/>
      <w:bookmarkStart w:id="48" w:name="_Toc427155187"/>
      <w:bookmarkStart w:id="49" w:name="_Toc482799825"/>
    </w:p>
    <w:p w14:paraId="44AE25B5" w14:textId="77777777" w:rsidR="000769E7" w:rsidRDefault="00CE2A58" w:rsidP="00F665CE">
      <w:pPr>
        <w:spacing w:after="120"/>
        <w:jc w:val="left"/>
        <w:rPr>
          <w:sz w:val="20"/>
          <w:szCs w:val="20"/>
        </w:rPr>
      </w:pPr>
      <w:bookmarkStart w:id="50" w:name="_Toc489019905"/>
      <w:r>
        <w:rPr>
          <w:rStyle w:val="TableChar"/>
          <w:sz w:val="20"/>
          <w:szCs w:val="20"/>
        </w:rPr>
        <w:br w:type="page"/>
      </w:r>
      <w:r w:rsidR="000A3F99" w:rsidRPr="000769E7">
        <w:rPr>
          <w:rStyle w:val="TableChar"/>
          <w:sz w:val="20"/>
          <w:szCs w:val="20"/>
        </w:rPr>
        <w:lastRenderedPageBreak/>
        <w:t xml:space="preserve">Table 1: Children who need help </w:t>
      </w:r>
      <w:r w:rsidR="000769E7">
        <w:rPr>
          <w:rStyle w:val="TableChar"/>
          <w:sz w:val="20"/>
          <w:szCs w:val="20"/>
        </w:rPr>
        <w:t>&amp;</w:t>
      </w:r>
      <w:r w:rsidR="000A3F99" w:rsidRPr="000769E7">
        <w:rPr>
          <w:rStyle w:val="TableChar"/>
          <w:sz w:val="20"/>
          <w:szCs w:val="20"/>
        </w:rPr>
        <w:t xml:space="preserve"> protection, change from previous</w:t>
      </w:r>
      <w:r w:rsidR="000A3F99" w:rsidRPr="000769E7">
        <w:rPr>
          <w:rStyle w:val="TableChar"/>
        </w:rPr>
        <w:t xml:space="preserve"> </w:t>
      </w:r>
      <w:r w:rsidR="000A3F99" w:rsidRPr="000769E7">
        <w:rPr>
          <w:rStyle w:val="TableChar"/>
          <w:sz w:val="20"/>
          <w:szCs w:val="20"/>
        </w:rPr>
        <w:t>inspection</w:t>
      </w:r>
      <w:bookmarkEnd w:id="47"/>
      <w:bookmarkEnd w:id="48"/>
      <w:bookmarkEnd w:id="49"/>
      <w:bookmarkEnd w:id="50"/>
      <w:r w:rsidR="002B662B" w:rsidRPr="000769E7">
        <w:rPr>
          <w:sz w:val="20"/>
          <w:szCs w:val="20"/>
        </w:rPr>
        <w:t xml:space="preserve"> </w:t>
      </w:r>
    </w:p>
    <w:p w14:paraId="67E97501" w14:textId="77777777" w:rsidR="00D4168B" w:rsidRPr="000A3F99" w:rsidRDefault="008D5804" w:rsidP="000769E7">
      <w:pPr>
        <w:jc w:val="left"/>
        <w:rPr>
          <w:rFonts w:cs="Tahoma"/>
        </w:rPr>
      </w:pPr>
      <w:r w:rsidRPr="00A05E27">
        <w:rPr>
          <w:noProof/>
        </w:rPr>
        <w:drawing>
          <wp:inline distT="0" distB="0" distL="0" distR="0" wp14:anchorId="6F2269C2" wp14:editId="16401C1C">
            <wp:extent cx="6035040" cy="1379220"/>
            <wp:effectExtent l="0" t="0" r="38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5040" cy="1379220"/>
                    </a:xfrm>
                    <a:prstGeom prst="rect">
                      <a:avLst/>
                    </a:prstGeom>
                    <a:noFill/>
                    <a:ln>
                      <a:noFill/>
                    </a:ln>
                  </pic:spPr>
                </pic:pic>
              </a:graphicData>
            </a:graphic>
          </wp:inline>
        </w:drawing>
      </w:r>
    </w:p>
    <w:p w14:paraId="023AA8EB" w14:textId="77777777" w:rsidR="00D4168B" w:rsidRDefault="00D4168B" w:rsidP="00301A4B">
      <w:pPr>
        <w:pStyle w:val="Table"/>
      </w:pPr>
    </w:p>
    <w:p w14:paraId="1F6EF506" w14:textId="0B1EE20C" w:rsidR="00CE2A58" w:rsidRPr="00B36422" w:rsidRDefault="00D64013" w:rsidP="00536927">
      <w:pPr>
        <w:spacing w:after="240"/>
        <w:ind w:right="-472"/>
        <w:jc w:val="left"/>
        <w:rPr>
          <w:noProof/>
        </w:rPr>
      </w:pPr>
      <w:r>
        <w:rPr>
          <w:rFonts w:cs="Tahoma"/>
        </w:rPr>
        <w:t xml:space="preserve">As part of the move to the SIF framework, Ofsted focused more on the experiences of children, including how they are helped and protected. </w:t>
      </w:r>
      <w:r w:rsidRPr="00882616">
        <w:rPr>
          <w:rFonts w:cs="Tahoma"/>
        </w:rPr>
        <w:t>As a result, m</w:t>
      </w:r>
      <w:r w:rsidR="000A3F99" w:rsidRPr="00882616">
        <w:rPr>
          <w:rFonts w:cs="Tahoma"/>
        </w:rPr>
        <w:t xml:space="preserve">ore LAs </w:t>
      </w:r>
      <w:r w:rsidRPr="00882616">
        <w:rPr>
          <w:rFonts w:cs="Tahoma"/>
        </w:rPr>
        <w:t>received a lower</w:t>
      </w:r>
      <w:r w:rsidR="000A3F99" w:rsidRPr="00882616">
        <w:rPr>
          <w:rFonts w:cs="Tahoma"/>
        </w:rPr>
        <w:t xml:space="preserve"> grade for Help and protection</w:t>
      </w:r>
      <w:r w:rsidRPr="00882616">
        <w:rPr>
          <w:rFonts w:cs="Tahoma"/>
        </w:rPr>
        <w:t xml:space="preserve"> (38%)</w:t>
      </w:r>
      <w:r w:rsidR="000A3F99" w:rsidRPr="00882616">
        <w:rPr>
          <w:rFonts w:cs="Tahoma"/>
        </w:rPr>
        <w:t xml:space="preserve"> than </w:t>
      </w:r>
      <w:r w:rsidRPr="00882616">
        <w:rPr>
          <w:rFonts w:cs="Tahoma"/>
        </w:rPr>
        <w:t xml:space="preserve">received a higher one (21%), compared </w:t>
      </w:r>
      <w:r w:rsidR="008C4815">
        <w:rPr>
          <w:rFonts w:cs="Tahoma"/>
        </w:rPr>
        <w:t>with</w:t>
      </w:r>
      <w:r w:rsidRPr="00882616">
        <w:rPr>
          <w:rFonts w:cs="Tahoma"/>
        </w:rPr>
        <w:t xml:space="preserve"> grades for Safeguarding/Child protection</w:t>
      </w:r>
      <w:r w:rsidR="000A3F99" w:rsidRPr="00882616">
        <w:rPr>
          <w:rFonts w:cs="Tahoma"/>
        </w:rPr>
        <w:t>.</w:t>
      </w:r>
      <w:r w:rsidR="00111CC4">
        <w:rPr>
          <w:rFonts w:cs="Tahoma"/>
        </w:rPr>
        <w:t xml:space="preserve"> </w:t>
      </w:r>
      <w:r w:rsidR="00111CC4" w:rsidRPr="00B36422">
        <w:rPr>
          <w:rFonts w:cs="Tahoma"/>
        </w:rPr>
        <w:t>Of those LAs which did receive a higher grade for Help and protection, 60% (16) had their SIF within two years of their previous inspection.</w:t>
      </w:r>
      <w:r w:rsidR="00781CAF" w:rsidRPr="00B36422">
        <w:rPr>
          <w:rStyle w:val="FootnoteReference"/>
          <w:rFonts w:cs="Tahoma"/>
        </w:rPr>
        <w:footnoteReference w:id="19"/>
      </w:r>
      <w:r w:rsidR="00844575" w:rsidRPr="00B36422">
        <w:rPr>
          <w:rFonts w:cs="Tahoma"/>
        </w:rPr>
        <w:t xml:space="preserve"> </w:t>
      </w:r>
      <w:r w:rsidR="00844575" w:rsidRPr="00B36422">
        <w:rPr>
          <w:noProof/>
        </w:rPr>
        <w:t>[Data Tables: LA level at 31 Mar 17]</w:t>
      </w:r>
      <w:bookmarkStart w:id="51" w:name="_Toc489019906"/>
    </w:p>
    <w:p w14:paraId="7EBA9CC1" w14:textId="77777777" w:rsidR="006261B5" w:rsidRDefault="00781CAF" w:rsidP="00536927">
      <w:pPr>
        <w:spacing w:after="240"/>
        <w:ind w:right="-472"/>
        <w:jc w:val="left"/>
        <w:rPr>
          <w:noProof/>
        </w:rPr>
      </w:pPr>
      <w:r w:rsidRPr="00B36422">
        <w:rPr>
          <w:noProof/>
        </w:rPr>
        <w:t>However, the pattern of change was not the same for all previous grades.</w:t>
      </w:r>
      <w:r w:rsidR="00A8507F" w:rsidRPr="00B36422">
        <w:rPr>
          <w:noProof/>
        </w:rPr>
        <w:t xml:space="preserve"> For example, of the 56 </w:t>
      </w:r>
      <w:r w:rsidR="006261B5" w:rsidRPr="00B36422">
        <w:rPr>
          <w:noProof/>
        </w:rPr>
        <w:t>LAs previously judged adequate, broadly the same percentage received a higher grade (21%) as received a lower one (23%)</w:t>
      </w:r>
      <w:r w:rsidR="00DC5996" w:rsidRPr="00B36422">
        <w:rPr>
          <w:noProof/>
        </w:rPr>
        <w:t xml:space="preserve"> under the SIF</w:t>
      </w:r>
      <w:r w:rsidR="006261B5" w:rsidRPr="00B36422">
        <w:rPr>
          <w:noProof/>
        </w:rPr>
        <w:t>.</w:t>
      </w:r>
    </w:p>
    <w:p w14:paraId="581C8415" w14:textId="77777777" w:rsidR="000A3F99" w:rsidRDefault="000A3F99" w:rsidP="00F665CE">
      <w:pPr>
        <w:pStyle w:val="Table"/>
        <w:spacing w:after="120"/>
      </w:pPr>
      <w:r w:rsidRPr="000A3F99">
        <w:t xml:space="preserve">Table 2: Children looked after </w:t>
      </w:r>
      <w:r w:rsidR="00CE2A58">
        <w:t>&amp;</w:t>
      </w:r>
      <w:r w:rsidRPr="000A3F99">
        <w:t xml:space="preserve"> achieving permanence, change from previous inspection</w:t>
      </w:r>
      <w:bookmarkEnd w:id="51"/>
    </w:p>
    <w:p w14:paraId="59041017" w14:textId="77777777" w:rsidR="00DA0AD9" w:rsidRDefault="008D5804" w:rsidP="00DA0AD9">
      <w:pPr>
        <w:jc w:val="left"/>
        <w:rPr>
          <w:noProof/>
        </w:rPr>
      </w:pPr>
      <w:r w:rsidRPr="00A05E27">
        <w:rPr>
          <w:noProof/>
        </w:rPr>
        <w:drawing>
          <wp:inline distT="0" distB="0" distL="0" distR="0" wp14:anchorId="34830F8D" wp14:editId="22F8629A">
            <wp:extent cx="6073140" cy="1478280"/>
            <wp:effectExtent l="0" t="0" r="3810" b="762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3140" cy="1478280"/>
                    </a:xfrm>
                    <a:prstGeom prst="rect">
                      <a:avLst/>
                    </a:prstGeom>
                    <a:noFill/>
                    <a:ln>
                      <a:noFill/>
                    </a:ln>
                  </pic:spPr>
                </pic:pic>
              </a:graphicData>
            </a:graphic>
          </wp:inline>
        </w:drawing>
      </w:r>
    </w:p>
    <w:p w14:paraId="0BEA22DE" w14:textId="77777777" w:rsidR="00DA0AD9" w:rsidRPr="00DA0AD9" w:rsidRDefault="00DA0AD9" w:rsidP="00DA0AD9">
      <w:pPr>
        <w:jc w:val="left"/>
        <w:rPr>
          <w:noProof/>
        </w:rPr>
      </w:pPr>
    </w:p>
    <w:p w14:paraId="30485054" w14:textId="3B8A023E" w:rsidR="000A3F99" w:rsidRPr="00B36422" w:rsidRDefault="00D64013" w:rsidP="00536927">
      <w:pPr>
        <w:spacing w:after="240"/>
        <w:ind w:right="-613"/>
        <w:jc w:val="left"/>
        <w:rPr>
          <w:noProof/>
        </w:rPr>
      </w:pPr>
      <w:r>
        <w:rPr>
          <w:rFonts w:cs="Tahoma"/>
        </w:rPr>
        <w:t>Similar to the shift in focus for</w:t>
      </w:r>
      <w:r w:rsidR="000A3F99" w:rsidRPr="000A3F99">
        <w:rPr>
          <w:rFonts w:cs="Tahoma"/>
        </w:rPr>
        <w:t xml:space="preserve"> Help and protection</w:t>
      </w:r>
      <w:r>
        <w:rPr>
          <w:rFonts w:cs="Tahoma"/>
        </w:rPr>
        <w:t xml:space="preserve">, there was also a move to focus more on children’s experiences around being Looked After. </w:t>
      </w:r>
      <w:r w:rsidRPr="00882616">
        <w:rPr>
          <w:rFonts w:cs="Tahoma"/>
        </w:rPr>
        <w:t>As a result, there were again more LAs receiving a lower grade for this sub-judgement (</w:t>
      </w:r>
      <w:r w:rsidR="0006464E" w:rsidRPr="00882616">
        <w:rPr>
          <w:rFonts w:cs="Tahoma"/>
        </w:rPr>
        <w:t>37</w:t>
      </w:r>
      <w:r w:rsidRPr="00882616">
        <w:rPr>
          <w:rFonts w:cs="Tahoma"/>
        </w:rPr>
        <w:t>%) than a higher grade (</w:t>
      </w:r>
      <w:r w:rsidR="0006464E" w:rsidRPr="00882616">
        <w:rPr>
          <w:rFonts w:cs="Tahoma"/>
        </w:rPr>
        <w:t>17</w:t>
      </w:r>
      <w:r w:rsidRPr="00882616">
        <w:rPr>
          <w:rFonts w:cs="Tahoma"/>
        </w:rPr>
        <w:t xml:space="preserve">%), compared </w:t>
      </w:r>
      <w:r w:rsidR="008C4815">
        <w:rPr>
          <w:rFonts w:cs="Tahoma"/>
        </w:rPr>
        <w:t>with</w:t>
      </w:r>
      <w:r w:rsidRPr="00882616">
        <w:rPr>
          <w:rFonts w:cs="Tahoma"/>
        </w:rPr>
        <w:t xml:space="preserve"> the Looked After Children grade.</w:t>
      </w:r>
      <w:r w:rsidR="00111CC4">
        <w:rPr>
          <w:rFonts w:cs="Tahoma"/>
        </w:rPr>
        <w:t xml:space="preserve"> </w:t>
      </w:r>
      <w:r w:rsidR="00111CC4" w:rsidRPr="00B36422">
        <w:rPr>
          <w:rFonts w:cs="Tahoma"/>
        </w:rPr>
        <w:t xml:space="preserve">However, only 25% (six) of LAs which received a higher grade </w:t>
      </w:r>
      <w:r w:rsidR="008A40ED" w:rsidRPr="00B36422">
        <w:rPr>
          <w:rFonts w:cs="Tahoma"/>
        </w:rPr>
        <w:t>for Children looked after</w:t>
      </w:r>
      <w:r w:rsidR="00111CC4" w:rsidRPr="00B36422">
        <w:rPr>
          <w:rFonts w:cs="Tahoma"/>
        </w:rPr>
        <w:t xml:space="preserve"> had their SIF within two years of their previous inspection.</w:t>
      </w:r>
      <w:r w:rsidRPr="00B36422" w:rsidDel="00D64013">
        <w:rPr>
          <w:rFonts w:cs="Tahoma"/>
        </w:rPr>
        <w:t xml:space="preserve"> </w:t>
      </w:r>
      <w:r w:rsidR="00844575" w:rsidRPr="00B36422">
        <w:rPr>
          <w:noProof/>
        </w:rPr>
        <w:t>[Data Tables: LA level at 31 Mar 17]</w:t>
      </w:r>
    </w:p>
    <w:p w14:paraId="613E6A66" w14:textId="77777777" w:rsidR="00DC5996" w:rsidRPr="000A3F99" w:rsidRDefault="00A8507F" w:rsidP="00536927">
      <w:pPr>
        <w:spacing w:after="240"/>
        <w:ind w:right="-613"/>
        <w:jc w:val="left"/>
        <w:rPr>
          <w:rFonts w:cs="Tahoma"/>
        </w:rPr>
      </w:pPr>
      <w:r w:rsidRPr="00B36422">
        <w:rPr>
          <w:noProof/>
        </w:rPr>
        <w:t xml:space="preserve">Again, as with Help and protection, </w:t>
      </w:r>
      <w:r w:rsidR="00781CAF" w:rsidRPr="00B36422">
        <w:rPr>
          <w:noProof/>
        </w:rPr>
        <w:t>the pattern of change was not the same</w:t>
      </w:r>
      <w:r w:rsidRPr="00B36422">
        <w:rPr>
          <w:noProof/>
        </w:rPr>
        <w:t xml:space="preserve"> for all previous grades. </w:t>
      </w:r>
      <w:r w:rsidR="00DC5996" w:rsidRPr="00B36422">
        <w:rPr>
          <w:noProof/>
        </w:rPr>
        <w:t xml:space="preserve">Of the </w:t>
      </w:r>
      <w:r w:rsidRPr="00B36422">
        <w:rPr>
          <w:noProof/>
        </w:rPr>
        <w:t xml:space="preserve">58 </w:t>
      </w:r>
      <w:r w:rsidR="00DC5996" w:rsidRPr="00B36422">
        <w:rPr>
          <w:noProof/>
        </w:rPr>
        <w:t xml:space="preserve">LAs judged adequate for Looked After Children, </w:t>
      </w:r>
      <w:r w:rsidRPr="00B36422">
        <w:rPr>
          <w:noProof/>
        </w:rPr>
        <w:t>more than twice as many (31%, 18 LAs) received a higher grade under the SIF as received a lower grade (12%, seven LAs).</w:t>
      </w:r>
      <w:r>
        <w:rPr>
          <w:noProof/>
        </w:rPr>
        <w:t xml:space="preserve"> </w:t>
      </w:r>
    </w:p>
    <w:p w14:paraId="3284BAA0" w14:textId="77777777" w:rsidR="000A3F99" w:rsidRPr="000A3F99" w:rsidRDefault="000A3F99" w:rsidP="00D032F8">
      <w:pPr>
        <w:pStyle w:val="Heading2"/>
        <w:jc w:val="left"/>
      </w:pPr>
      <w:r w:rsidRPr="000A3F99">
        <w:br w:type="page"/>
      </w:r>
      <w:bookmarkStart w:id="52" w:name="_Toc427154553"/>
      <w:bookmarkStart w:id="53" w:name="_Toc482954459"/>
      <w:bookmarkStart w:id="54" w:name="_Toc491090873"/>
      <w:r w:rsidRPr="000A3F99">
        <w:lastRenderedPageBreak/>
        <w:t>Reviews of Local Safeguarding Children Boards</w:t>
      </w:r>
      <w:bookmarkEnd w:id="52"/>
      <w:bookmarkEnd w:id="53"/>
      <w:r w:rsidR="00184A72">
        <w:rPr>
          <w:rStyle w:val="FootnoteReference"/>
        </w:rPr>
        <w:footnoteReference w:id="20"/>
      </w:r>
      <w:bookmarkEnd w:id="54"/>
    </w:p>
    <w:p w14:paraId="28F8515C" w14:textId="77777777" w:rsidR="000A3F99" w:rsidRPr="000A3F99" w:rsidRDefault="000A3F99" w:rsidP="00184A72">
      <w:pPr>
        <w:spacing w:after="240"/>
        <w:jc w:val="left"/>
      </w:pPr>
      <w:r w:rsidRPr="000A3F99">
        <w:t>There were 127 reviews of LSCBs up to 31 March 2017.</w:t>
      </w:r>
      <w:r w:rsidR="00844575">
        <w:t xml:space="preserve"> [Data Tables: LA Inspection]</w:t>
      </w:r>
    </w:p>
    <w:p w14:paraId="595609F7" w14:textId="77777777" w:rsidR="000A3F99" w:rsidRDefault="000A3F99" w:rsidP="00D032F8">
      <w:pPr>
        <w:pStyle w:val="Maps"/>
        <w:rPr>
          <w:noProof/>
        </w:rPr>
      </w:pPr>
      <w:bookmarkStart w:id="55" w:name="_Toc482799833"/>
      <w:bookmarkStart w:id="56" w:name="_Toc491087645"/>
      <w:r w:rsidRPr="000A3F99">
        <w:rPr>
          <w:noProof/>
        </w:rPr>
        <w:t xml:space="preserve">Map </w:t>
      </w:r>
      <w:r w:rsidR="006154C0">
        <w:rPr>
          <w:noProof/>
        </w:rPr>
        <w:t>4</w:t>
      </w:r>
      <w:r w:rsidRPr="000A3F99">
        <w:rPr>
          <w:noProof/>
        </w:rPr>
        <w:t xml:space="preserve">: Overall effectiveness judgements for LSCB reviews </w:t>
      </w:r>
      <w:r w:rsidR="007B20D1">
        <w:rPr>
          <w:noProof/>
        </w:rPr>
        <w:t xml:space="preserve">to </w:t>
      </w:r>
      <w:r w:rsidRPr="000A3F99">
        <w:rPr>
          <w:noProof/>
        </w:rPr>
        <w:t>March 201</w:t>
      </w:r>
      <w:bookmarkEnd w:id="55"/>
      <w:r w:rsidRPr="000A3F99">
        <w:rPr>
          <w:noProof/>
        </w:rPr>
        <w:t>7</w:t>
      </w:r>
      <w:bookmarkEnd w:id="56"/>
    </w:p>
    <w:p w14:paraId="54C936E0" w14:textId="77777777" w:rsidR="000A0CFC" w:rsidRPr="00F665CE" w:rsidRDefault="000A0CFC" w:rsidP="00F665CE">
      <w:pPr>
        <w:rPr>
          <w:noProof/>
          <w:sz w:val="16"/>
          <w:szCs w:val="16"/>
        </w:rPr>
      </w:pPr>
    </w:p>
    <w:p w14:paraId="464B09AA" w14:textId="77777777" w:rsidR="00184A72" w:rsidRPr="000A3F99" w:rsidRDefault="000A0CFC" w:rsidP="00F665CE">
      <w:r>
        <w:rPr>
          <w:noProof/>
        </w:rPr>
        <w:drawing>
          <wp:inline distT="0" distB="0" distL="0" distR="0" wp14:anchorId="2DEB6146" wp14:editId="39FF7E2A">
            <wp:extent cx="5132927" cy="5036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JPG"/>
                    <pic:cNvPicPr/>
                  </pic:nvPicPr>
                  <pic:blipFill>
                    <a:blip r:embed="rId26">
                      <a:extLst>
                        <a:ext uri="{28A0092B-C50C-407E-A947-70E740481C1C}">
                          <a14:useLocalDpi xmlns:a14="http://schemas.microsoft.com/office/drawing/2010/main" val="0"/>
                        </a:ext>
                      </a:extLst>
                    </a:blip>
                    <a:stretch>
                      <a:fillRect/>
                    </a:stretch>
                  </pic:blipFill>
                  <pic:spPr>
                    <a:xfrm>
                      <a:off x="0" y="0"/>
                      <a:ext cx="5142840" cy="5046548"/>
                    </a:xfrm>
                    <a:prstGeom prst="rect">
                      <a:avLst/>
                    </a:prstGeom>
                  </pic:spPr>
                </pic:pic>
              </a:graphicData>
            </a:graphic>
          </wp:inline>
        </w:drawing>
      </w:r>
    </w:p>
    <w:p w14:paraId="47BE93E0" w14:textId="77777777" w:rsidR="000A0CFC" w:rsidRDefault="000A0CFC" w:rsidP="00F665CE">
      <w:pPr>
        <w:jc w:val="left"/>
      </w:pPr>
    </w:p>
    <w:p w14:paraId="753BDF66" w14:textId="3884E435" w:rsidR="00184A72" w:rsidRDefault="00184A72" w:rsidP="00D032F8">
      <w:pPr>
        <w:spacing w:after="240"/>
        <w:jc w:val="left"/>
      </w:pPr>
      <w:r>
        <w:t>Three LSCBs have now been judged outstanding; these were all judged good for SIF Overall effectiveness.</w:t>
      </w:r>
      <w:r>
        <w:rPr>
          <w:rStyle w:val="FootnoteReference"/>
        </w:rPr>
        <w:footnoteReference w:id="21"/>
      </w:r>
      <w:r>
        <w:t xml:space="preserve"> </w:t>
      </w:r>
      <w:r w:rsidRPr="00882616">
        <w:t>For the majority of inspected LAs (</w:t>
      </w:r>
      <w:r w:rsidR="00062680" w:rsidRPr="00882616">
        <w:t>65</w:t>
      </w:r>
      <w:r w:rsidRPr="00882616">
        <w:t xml:space="preserve">%, </w:t>
      </w:r>
      <w:r w:rsidR="00062680" w:rsidRPr="00882616">
        <w:t>83</w:t>
      </w:r>
      <w:r w:rsidRPr="00882616">
        <w:t xml:space="preserve">), </w:t>
      </w:r>
      <w:r w:rsidR="00062680" w:rsidRPr="00882616">
        <w:t>Help and protection</w:t>
      </w:r>
      <w:r w:rsidRPr="00882616">
        <w:t xml:space="preserve"> and LSCB grades were the same</w:t>
      </w:r>
      <w:r w:rsidR="00062680" w:rsidRPr="00882616">
        <w:t xml:space="preserve">. Where there was a difference, the LSCB grade was more likely to be higher (25% of LAs compared </w:t>
      </w:r>
      <w:r w:rsidR="008C4815">
        <w:t>with</w:t>
      </w:r>
      <w:r w:rsidR="00062680" w:rsidRPr="00882616">
        <w:t xml:space="preserve"> 9% where it was lower).</w:t>
      </w:r>
      <w:r w:rsidRPr="00882616">
        <w:t xml:space="preserve"> </w:t>
      </w:r>
    </w:p>
    <w:p w14:paraId="14F642E5" w14:textId="77777777" w:rsidR="000D72F3" w:rsidRPr="006C184A" w:rsidRDefault="000A3F99" w:rsidP="000D72F3">
      <w:pPr>
        <w:pStyle w:val="Heading2"/>
        <w:jc w:val="left"/>
      </w:pPr>
      <w:r>
        <w:br w:type="page"/>
      </w:r>
      <w:bookmarkStart w:id="57" w:name="_Toc427154556"/>
      <w:bookmarkStart w:id="58" w:name="_Toc454377339"/>
      <w:bookmarkStart w:id="59" w:name="_Toc486582153"/>
      <w:bookmarkStart w:id="60" w:name="_Toc491090874"/>
      <w:r w:rsidR="000D72F3" w:rsidRPr="006C184A">
        <w:lastRenderedPageBreak/>
        <w:t>All children’s homes</w:t>
      </w:r>
      <w:bookmarkEnd w:id="57"/>
      <w:bookmarkEnd w:id="58"/>
      <w:bookmarkEnd w:id="59"/>
      <w:bookmarkEnd w:id="60"/>
    </w:p>
    <w:p w14:paraId="467101F7" w14:textId="77777777" w:rsidR="000D72F3" w:rsidRPr="006C184A" w:rsidRDefault="000D72F3" w:rsidP="000D72F3">
      <w:pPr>
        <w:pStyle w:val="Heading3"/>
      </w:pPr>
      <w:bookmarkStart w:id="61" w:name="_Toc427154557"/>
      <w:bookmarkStart w:id="62" w:name="_Toc454377340"/>
      <w:bookmarkStart w:id="63" w:name="_Toc486582154"/>
      <w:bookmarkStart w:id="64" w:name="_Toc491090875"/>
      <w:r w:rsidRPr="006C184A">
        <w:t xml:space="preserve">Providers and </w:t>
      </w:r>
      <w:r w:rsidR="001508D6">
        <w:t>p</w:t>
      </w:r>
      <w:r w:rsidRPr="006C184A">
        <w:t xml:space="preserve">laces as at 31 March </w:t>
      </w:r>
      <w:bookmarkEnd w:id="61"/>
      <w:r>
        <w:t>201</w:t>
      </w:r>
      <w:bookmarkEnd w:id="62"/>
      <w:r>
        <w:t>7</w:t>
      </w:r>
      <w:bookmarkEnd w:id="63"/>
      <w:bookmarkEnd w:id="64"/>
    </w:p>
    <w:p w14:paraId="78653219" w14:textId="77777777" w:rsidR="000D72F3" w:rsidRPr="00B455C2" w:rsidRDefault="000D72F3" w:rsidP="000D72F3">
      <w:pPr>
        <w:spacing w:after="240"/>
        <w:jc w:val="left"/>
        <w:rPr>
          <w:rFonts w:cs="Tahoma"/>
          <w:color w:val="A5A5A5"/>
        </w:rPr>
      </w:pPr>
      <w:r>
        <w:t>There has been an increase in the number of children’s homes – a far greater increase than at any other point in the last five years. P</w:t>
      </w:r>
      <w:r w:rsidRPr="0008701C">
        <w:t>rivately run, for-profit, home</w:t>
      </w:r>
      <w:r>
        <w:t>s continue to account for the majority of all homes, whilst</w:t>
      </w:r>
      <w:r w:rsidRPr="0008701C">
        <w:t xml:space="preserve"> </w:t>
      </w:r>
      <w:r>
        <w:t>t</w:t>
      </w:r>
      <w:r w:rsidRPr="0008701C">
        <w:t xml:space="preserve">he number of </w:t>
      </w:r>
      <w:r w:rsidR="00ED7C96">
        <w:t>LA-</w:t>
      </w:r>
      <w:r w:rsidRPr="0008701C">
        <w:t xml:space="preserve">run homes continues to fall. </w:t>
      </w:r>
      <w:r>
        <w:t>If short break only homes</w:t>
      </w:r>
      <w:r w:rsidR="007D6769">
        <w:t xml:space="preserve"> are excluded</w:t>
      </w:r>
      <w:r>
        <w:t xml:space="preserve">, then </w:t>
      </w:r>
      <w:r w:rsidRPr="0008701C">
        <w:t xml:space="preserve">more than one third of LAs </w:t>
      </w:r>
      <w:r w:rsidR="00CF23DC">
        <w:t xml:space="preserve">nationally (and more than two thirds of the LAs in London) </w:t>
      </w:r>
      <w:r w:rsidRPr="0008701C">
        <w:t>do not run any homes. Seven per cent of homes</w:t>
      </w:r>
      <w:r>
        <w:t xml:space="preserve"> active at 31 March 2016</w:t>
      </w:r>
      <w:r w:rsidRPr="0008701C">
        <w:t xml:space="preserve"> either closed or were re-registered in </w:t>
      </w:r>
      <w:r>
        <w:t>2016-17.</w:t>
      </w:r>
      <w:r w:rsidR="00D1312F">
        <w:rPr>
          <w:rStyle w:val="FootnoteReference"/>
        </w:rPr>
        <w:footnoteReference w:id="22"/>
      </w:r>
    </w:p>
    <w:p w14:paraId="5D3FF353" w14:textId="77777777" w:rsidR="000D72F3" w:rsidRPr="006C184A" w:rsidRDefault="000D72F3" w:rsidP="000D72F3">
      <w:pPr>
        <w:spacing w:after="240"/>
        <w:jc w:val="left"/>
        <w:rPr>
          <w:rFonts w:cs="Tahoma"/>
        </w:rPr>
      </w:pPr>
      <w:r w:rsidRPr="006C184A">
        <w:rPr>
          <w:rFonts w:cs="Tahoma"/>
        </w:rPr>
        <w:t>Children’s homes, of all types, accounted for three quarters of all social care providers in England</w:t>
      </w:r>
      <w:r>
        <w:rPr>
          <w:rFonts w:cs="Tahoma"/>
        </w:rPr>
        <w:t xml:space="preserve"> at the end of March 2017</w:t>
      </w:r>
      <w:r w:rsidRPr="006C184A">
        <w:rPr>
          <w:rFonts w:cs="Tahoma"/>
        </w:rPr>
        <w:t>.</w:t>
      </w:r>
    </w:p>
    <w:p w14:paraId="796695EF" w14:textId="77777777" w:rsidR="000A3F99" w:rsidRDefault="000D72F3" w:rsidP="000D72F3">
      <w:pPr>
        <w:rPr>
          <w:bCs/>
          <w:color w:val="000000"/>
        </w:rPr>
      </w:pPr>
      <w:r w:rsidRPr="006C184A">
        <w:t>There were 2,</w:t>
      </w:r>
      <w:r>
        <w:t>145</w:t>
      </w:r>
      <w:r w:rsidRPr="006C184A">
        <w:t xml:space="preserve"> active children’s homes</w:t>
      </w:r>
      <w:r>
        <w:t xml:space="preserve"> at the end of the year</w:t>
      </w:r>
      <w:r w:rsidRPr="006C184A">
        <w:t>, a</w:t>
      </w:r>
      <w:r>
        <w:t xml:space="preserve"> 4% increase f</w:t>
      </w:r>
      <w:r w:rsidRPr="006C184A">
        <w:t>rom the previous year</w:t>
      </w:r>
      <w:r>
        <w:t xml:space="preserve"> (</w:t>
      </w:r>
      <w:r w:rsidRPr="006C184A">
        <w:t>2</w:t>
      </w:r>
      <w:r w:rsidRPr="006C184A">
        <w:rPr>
          <w:bCs/>
          <w:color w:val="000000"/>
        </w:rPr>
        <w:t>,</w:t>
      </w:r>
      <w:r>
        <w:rPr>
          <w:bCs/>
          <w:color w:val="000000"/>
        </w:rPr>
        <w:t>071)</w:t>
      </w:r>
      <w:r w:rsidRPr="006C184A">
        <w:rPr>
          <w:bCs/>
          <w:color w:val="000000"/>
        </w:rPr>
        <w:t>.</w:t>
      </w:r>
      <w:r w:rsidR="000D68DE">
        <w:rPr>
          <w:bCs/>
          <w:color w:val="000000"/>
        </w:rPr>
        <w:t xml:space="preserve"> </w:t>
      </w:r>
      <w:r w:rsidR="00844575">
        <w:rPr>
          <w:bCs/>
          <w:color w:val="000000"/>
        </w:rPr>
        <w:t>[Data Tables: Providers+places at 31 Mar 2017]</w:t>
      </w:r>
    </w:p>
    <w:p w14:paraId="6F92E968" w14:textId="77777777" w:rsidR="000D68DE" w:rsidRDefault="000D68DE" w:rsidP="000D72F3">
      <w:pPr>
        <w:rPr>
          <w:bCs/>
          <w:color w:val="000000"/>
        </w:rPr>
      </w:pPr>
    </w:p>
    <w:p w14:paraId="72113716" w14:textId="77777777" w:rsidR="000D68DE" w:rsidRDefault="000D68DE" w:rsidP="000D72F3">
      <w:pPr>
        <w:rPr>
          <w:bCs/>
          <w:color w:val="000000"/>
        </w:rPr>
      </w:pPr>
      <w:r w:rsidRPr="006C184A">
        <w:rPr>
          <w:rFonts w:cs="Tahoma"/>
        </w:rPr>
        <w:t xml:space="preserve">There were </w:t>
      </w:r>
      <w:r>
        <w:rPr>
          <w:rFonts w:cs="Tahoma"/>
        </w:rPr>
        <w:t xml:space="preserve">11,664 </w:t>
      </w:r>
      <w:r w:rsidRPr="006C184A">
        <w:rPr>
          <w:rFonts w:cs="Tahoma"/>
        </w:rPr>
        <w:t xml:space="preserve">registered places in all children’s homes, </w:t>
      </w:r>
      <w:r>
        <w:rPr>
          <w:rFonts w:cs="Tahoma"/>
        </w:rPr>
        <w:t xml:space="preserve">representing less than a 1% </w:t>
      </w:r>
      <w:r w:rsidRPr="006C184A">
        <w:rPr>
          <w:rFonts w:cs="Tahoma"/>
        </w:rPr>
        <w:t>(</w:t>
      </w:r>
      <w:r>
        <w:rPr>
          <w:rFonts w:cs="Tahoma"/>
        </w:rPr>
        <w:t>25</w:t>
      </w:r>
      <w:r w:rsidRPr="006C184A">
        <w:rPr>
          <w:rFonts w:cs="Tahoma"/>
        </w:rPr>
        <w:t>)</w:t>
      </w:r>
      <w:r>
        <w:rPr>
          <w:rFonts w:cs="Tahoma"/>
        </w:rPr>
        <w:t xml:space="preserve"> increase</w:t>
      </w:r>
      <w:r w:rsidRPr="006C184A">
        <w:rPr>
          <w:rFonts w:cs="Tahoma"/>
        </w:rPr>
        <w:t xml:space="preserve"> from the figure at the same time the previous year </w:t>
      </w:r>
      <w:r>
        <w:rPr>
          <w:rFonts w:cs="Tahoma"/>
        </w:rPr>
        <w:t>(11,639)</w:t>
      </w:r>
      <w:r w:rsidRPr="006C184A">
        <w:rPr>
          <w:rFonts w:cs="Tahoma"/>
        </w:rPr>
        <w:t>.</w:t>
      </w:r>
    </w:p>
    <w:p w14:paraId="197B2E05" w14:textId="77777777" w:rsidR="000D72F3" w:rsidRDefault="000D72F3" w:rsidP="000D72F3">
      <w:pPr>
        <w:pStyle w:val="Caption"/>
      </w:pPr>
      <w:bookmarkStart w:id="65" w:name="_Toc486581667"/>
    </w:p>
    <w:p w14:paraId="25A1465E" w14:textId="77777777" w:rsidR="000D72F3" w:rsidRDefault="000D72F3" w:rsidP="000D72F3">
      <w:pPr>
        <w:pStyle w:val="Caption"/>
      </w:pPr>
      <w:bookmarkStart w:id="66" w:name="_Toc491087629"/>
      <w:r w:rsidRPr="001F4FC2">
        <w:t xml:space="preserve">Chart </w:t>
      </w:r>
      <w:r w:rsidR="006154C0">
        <w:t>9</w:t>
      </w:r>
      <w:r w:rsidRPr="001F4FC2">
        <w:t>: Percentage of children’s homes run by each sector</w:t>
      </w:r>
      <w:bookmarkEnd w:id="65"/>
      <w:r w:rsidR="003820E7">
        <w:rPr>
          <w:rStyle w:val="FootnoteReference"/>
          <w:rFonts w:cs="Tahoma"/>
        </w:rPr>
        <w:footnoteReference w:id="23"/>
      </w:r>
      <w:bookmarkEnd w:id="66"/>
    </w:p>
    <w:p w14:paraId="371541BE" w14:textId="77777777" w:rsidR="000D72F3" w:rsidRDefault="008D5804" w:rsidP="000D72F3">
      <w:pPr>
        <w:jc w:val="left"/>
        <w:rPr>
          <w:noProof/>
        </w:rPr>
      </w:pPr>
      <w:r w:rsidRPr="00D357AD">
        <w:rPr>
          <w:noProof/>
        </w:rPr>
        <w:drawing>
          <wp:inline distT="0" distB="0" distL="0" distR="0" wp14:anchorId="1997F2E4" wp14:editId="754DE24D">
            <wp:extent cx="2476500" cy="24384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438400"/>
                    </a:xfrm>
                    <a:prstGeom prst="rect">
                      <a:avLst/>
                    </a:prstGeom>
                    <a:noFill/>
                    <a:ln>
                      <a:noFill/>
                    </a:ln>
                  </pic:spPr>
                </pic:pic>
              </a:graphicData>
            </a:graphic>
          </wp:inline>
        </w:drawing>
      </w:r>
    </w:p>
    <w:p w14:paraId="4587D556" w14:textId="77777777" w:rsidR="000D72F3" w:rsidRPr="006C184A" w:rsidRDefault="00ED7C96" w:rsidP="000D72F3">
      <w:pPr>
        <w:numPr>
          <w:ilvl w:val="0"/>
          <w:numId w:val="35"/>
        </w:numPr>
        <w:spacing w:after="240"/>
        <w:jc w:val="left"/>
        <w:rPr>
          <w:rFonts w:cs="Tahoma"/>
        </w:rPr>
      </w:pPr>
      <w:r>
        <w:rPr>
          <w:rFonts w:cs="Tahoma"/>
        </w:rPr>
        <w:t>LAs</w:t>
      </w:r>
      <w:r w:rsidR="000D72F3" w:rsidRPr="006C184A">
        <w:rPr>
          <w:rFonts w:cs="Tahoma"/>
        </w:rPr>
        <w:t xml:space="preserve"> r</w:t>
      </w:r>
      <w:r w:rsidR="000D72F3">
        <w:rPr>
          <w:rFonts w:cs="Tahoma"/>
        </w:rPr>
        <w:t>a</w:t>
      </w:r>
      <w:r w:rsidR="000D72F3" w:rsidRPr="006C184A">
        <w:rPr>
          <w:rFonts w:cs="Tahoma"/>
        </w:rPr>
        <w:t xml:space="preserve">n </w:t>
      </w:r>
      <w:r w:rsidR="000D72F3">
        <w:rPr>
          <w:rFonts w:cs="Tahoma"/>
        </w:rPr>
        <w:t>434</w:t>
      </w:r>
      <w:r w:rsidR="000D72F3" w:rsidRPr="006C184A">
        <w:rPr>
          <w:rFonts w:cs="Tahoma"/>
        </w:rPr>
        <w:t>, or 2</w:t>
      </w:r>
      <w:r w:rsidR="000D72F3">
        <w:rPr>
          <w:rFonts w:cs="Tahoma"/>
        </w:rPr>
        <w:t>0</w:t>
      </w:r>
      <w:r w:rsidR="000D72F3" w:rsidRPr="006C184A">
        <w:rPr>
          <w:rFonts w:cs="Tahoma"/>
        </w:rPr>
        <w:t>%, of all homes</w:t>
      </w:r>
      <w:r w:rsidR="000D72F3">
        <w:rPr>
          <w:rFonts w:cs="Tahoma"/>
        </w:rPr>
        <w:t>.</w:t>
      </w:r>
    </w:p>
    <w:p w14:paraId="071030BE" w14:textId="77777777" w:rsidR="000D72F3" w:rsidRPr="006C184A" w:rsidRDefault="000D72F3" w:rsidP="000D72F3">
      <w:pPr>
        <w:numPr>
          <w:ilvl w:val="0"/>
          <w:numId w:val="35"/>
        </w:numPr>
        <w:spacing w:after="240"/>
        <w:jc w:val="left"/>
        <w:rPr>
          <w:rFonts w:cs="Tahoma"/>
        </w:rPr>
      </w:pPr>
      <w:r w:rsidRPr="006C184A">
        <w:rPr>
          <w:rFonts w:cs="Tahoma"/>
        </w:rPr>
        <w:t>Private organisations r</w:t>
      </w:r>
      <w:r>
        <w:rPr>
          <w:rFonts w:cs="Tahoma"/>
        </w:rPr>
        <w:t>a</w:t>
      </w:r>
      <w:r w:rsidRPr="006C184A">
        <w:rPr>
          <w:rFonts w:cs="Tahoma"/>
        </w:rPr>
        <w:t xml:space="preserve">n </w:t>
      </w:r>
      <w:r>
        <w:rPr>
          <w:rFonts w:cs="Tahoma"/>
        </w:rPr>
        <w:t>1,538</w:t>
      </w:r>
      <w:r w:rsidRPr="006C184A">
        <w:rPr>
          <w:rFonts w:cs="Tahoma"/>
        </w:rPr>
        <w:t xml:space="preserve">, or </w:t>
      </w:r>
      <w:r>
        <w:rPr>
          <w:rFonts w:cs="Tahoma"/>
        </w:rPr>
        <w:t>72</w:t>
      </w:r>
      <w:r w:rsidRPr="006C184A">
        <w:rPr>
          <w:rFonts w:cs="Tahoma"/>
        </w:rPr>
        <w:t xml:space="preserve">%, of all homes. These organisations are run for profit. </w:t>
      </w:r>
    </w:p>
    <w:p w14:paraId="132A9D1A" w14:textId="77777777" w:rsidR="000D72F3" w:rsidRPr="006C184A" w:rsidRDefault="000D72F3" w:rsidP="000D72F3">
      <w:pPr>
        <w:numPr>
          <w:ilvl w:val="0"/>
          <w:numId w:val="35"/>
        </w:numPr>
        <w:spacing w:after="240"/>
        <w:jc w:val="left"/>
        <w:rPr>
          <w:rFonts w:cs="Tahoma"/>
        </w:rPr>
      </w:pPr>
      <w:r w:rsidRPr="006C184A">
        <w:rPr>
          <w:rFonts w:cs="Tahoma"/>
        </w:rPr>
        <w:t>Voluntary organisations r</w:t>
      </w:r>
      <w:r>
        <w:rPr>
          <w:rFonts w:cs="Tahoma"/>
        </w:rPr>
        <w:t>a</w:t>
      </w:r>
      <w:r w:rsidRPr="006C184A">
        <w:rPr>
          <w:rFonts w:cs="Tahoma"/>
        </w:rPr>
        <w:t>n 1</w:t>
      </w:r>
      <w:r>
        <w:rPr>
          <w:rFonts w:cs="Tahoma"/>
        </w:rPr>
        <w:t>64</w:t>
      </w:r>
      <w:r w:rsidRPr="006C184A">
        <w:rPr>
          <w:rFonts w:cs="Tahoma"/>
        </w:rPr>
        <w:t>, or 8%, of all homes. These are run as non-profit making organisations.</w:t>
      </w:r>
    </w:p>
    <w:p w14:paraId="64D9AB23" w14:textId="77777777" w:rsidR="000D68DE" w:rsidRPr="006C184A" w:rsidRDefault="000D68DE" w:rsidP="000D68DE">
      <w:pPr>
        <w:spacing w:after="240"/>
        <w:jc w:val="left"/>
        <w:rPr>
          <w:rFonts w:cs="Tahoma"/>
        </w:rPr>
      </w:pPr>
      <w:r>
        <w:rPr>
          <w:rFonts w:cs="Tahoma"/>
        </w:rPr>
        <w:lastRenderedPageBreak/>
        <w:t>As at 31</w:t>
      </w:r>
      <w:r w:rsidRPr="006C184A">
        <w:rPr>
          <w:rFonts w:cs="Tahoma"/>
        </w:rPr>
        <w:t xml:space="preserve"> March 201</w:t>
      </w:r>
      <w:r>
        <w:rPr>
          <w:rFonts w:cs="Tahoma"/>
        </w:rPr>
        <w:t>7</w:t>
      </w:r>
      <w:r w:rsidRPr="006C184A">
        <w:rPr>
          <w:rFonts w:cs="Tahoma"/>
        </w:rPr>
        <w:t>, children’s homes were made up of the following sub-types:</w:t>
      </w:r>
    </w:p>
    <w:p w14:paraId="0D873C81" w14:textId="77777777" w:rsidR="000D68DE" w:rsidRPr="006C184A" w:rsidRDefault="000D68DE" w:rsidP="000D68DE">
      <w:pPr>
        <w:numPr>
          <w:ilvl w:val="0"/>
          <w:numId w:val="36"/>
        </w:numPr>
        <w:spacing w:after="240"/>
        <w:jc w:val="left"/>
        <w:rPr>
          <w:rFonts w:cs="Tahoma"/>
        </w:rPr>
      </w:pPr>
      <w:r>
        <w:rPr>
          <w:rFonts w:cs="Tahoma"/>
        </w:rPr>
        <w:t>2,050</w:t>
      </w:r>
      <w:r w:rsidRPr="006C184A">
        <w:rPr>
          <w:rFonts w:cs="Tahoma"/>
        </w:rPr>
        <w:t xml:space="preserve"> children’s homes, with </w:t>
      </w:r>
      <w:r>
        <w:rPr>
          <w:rFonts w:cs="Tahoma"/>
        </w:rPr>
        <w:t>9,124</w:t>
      </w:r>
      <w:r w:rsidRPr="006C184A">
        <w:rPr>
          <w:rFonts w:cs="Tahoma"/>
        </w:rPr>
        <w:t xml:space="preserve"> places</w:t>
      </w:r>
      <w:r>
        <w:rPr>
          <w:rStyle w:val="FootnoteReference"/>
          <w:rFonts w:cs="Tahoma"/>
        </w:rPr>
        <w:footnoteReference w:id="24"/>
      </w:r>
      <w:r>
        <w:rPr>
          <w:rFonts w:cs="Tahoma"/>
        </w:rPr>
        <w:t xml:space="preserve"> - this was an increase of 78 homes and 247 places from last year.</w:t>
      </w:r>
    </w:p>
    <w:p w14:paraId="1828CBBA" w14:textId="77777777" w:rsidR="000D68DE" w:rsidRDefault="000D68DE" w:rsidP="00301A4B">
      <w:pPr>
        <w:numPr>
          <w:ilvl w:val="0"/>
          <w:numId w:val="36"/>
        </w:numPr>
        <w:spacing w:after="240"/>
        <w:jc w:val="left"/>
        <w:rPr>
          <w:rFonts w:cs="Tahoma"/>
        </w:rPr>
      </w:pPr>
      <w:r>
        <w:rPr>
          <w:rFonts w:cs="Tahoma"/>
        </w:rPr>
        <w:t>81</w:t>
      </w:r>
      <w:r w:rsidRPr="006C184A">
        <w:rPr>
          <w:rFonts w:cs="Tahoma"/>
        </w:rPr>
        <w:t xml:space="preserve"> residential special schools registered as children’s homes, with </w:t>
      </w:r>
      <w:r>
        <w:rPr>
          <w:rFonts w:cs="Tahoma"/>
        </w:rPr>
        <w:t>2,302</w:t>
      </w:r>
      <w:r w:rsidRPr="006C184A">
        <w:rPr>
          <w:rFonts w:cs="Tahoma"/>
        </w:rPr>
        <w:t xml:space="preserve"> places</w:t>
      </w:r>
      <w:r>
        <w:rPr>
          <w:rStyle w:val="FootnoteReference"/>
          <w:rFonts w:cs="Tahoma"/>
        </w:rPr>
        <w:footnoteReference w:id="25"/>
      </w:r>
      <w:r>
        <w:rPr>
          <w:rFonts w:cs="Tahoma"/>
        </w:rPr>
        <w:t xml:space="preserve"> - this was a decrease of four schools and 225 places from last year.</w:t>
      </w:r>
      <w:r w:rsidR="00CF23DC" w:rsidRPr="00CF23DC">
        <w:rPr>
          <w:rFonts w:cs="Tahoma"/>
          <w:vertAlign w:val="superscript"/>
        </w:rPr>
        <w:t xml:space="preserve"> </w:t>
      </w:r>
      <w:r w:rsidR="00CF23DC" w:rsidRPr="006C184A">
        <w:rPr>
          <w:rFonts w:cs="Tahoma"/>
          <w:vertAlign w:val="superscript"/>
        </w:rPr>
        <w:footnoteReference w:id="26"/>
      </w:r>
    </w:p>
    <w:p w14:paraId="701C4E26" w14:textId="77777777" w:rsidR="000D68DE" w:rsidRPr="000D68DE" w:rsidRDefault="000D68DE" w:rsidP="00301A4B">
      <w:pPr>
        <w:numPr>
          <w:ilvl w:val="0"/>
          <w:numId w:val="36"/>
        </w:numPr>
        <w:spacing w:after="240"/>
        <w:jc w:val="left"/>
        <w:rPr>
          <w:rFonts w:cs="Tahoma"/>
        </w:rPr>
      </w:pPr>
      <w:r w:rsidRPr="000D68DE">
        <w:rPr>
          <w:rFonts w:cs="Tahoma"/>
        </w:rPr>
        <w:t>14 secure children’s homes, with 238 places</w:t>
      </w:r>
      <w:r>
        <w:rPr>
          <w:rStyle w:val="FootnoteReference"/>
          <w:rFonts w:cs="Tahoma"/>
        </w:rPr>
        <w:footnoteReference w:id="27"/>
      </w:r>
      <w:r w:rsidRPr="000D68DE">
        <w:rPr>
          <w:rFonts w:cs="Tahoma"/>
        </w:rPr>
        <w:t xml:space="preserve"> - this was no change in the number of homes and an increase of three places from last year.</w:t>
      </w:r>
    </w:p>
    <w:p w14:paraId="08EEEEC3" w14:textId="77777777" w:rsidR="000D72F3" w:rsidRPr="006C184A" w:rsidRDefault="000D72F3" w:rsidP="000D72F3">
      <w:pPr>
        <w:spacing w:after="240"/>
        <w:jc w:val="left"/>
        <w:rPr>
          <w:rFonts w:cs="Tahoma"/>
        </w:rPr>
      </w:pPr>
      <w:r>
        <w:rPr>
          <w:rFonts w:cs="Tahoma"/>
        </w:rPr>
        <w:t>Between 1 April 2016 and 31 March 2017</w:t>
      </w:r>
      <w:r w:rsidRPr="006C184A">
        <w:rPr>
          <w:rFonts w:cs="Tahoma"/>
        </w:rPr>
        <w:t xml:space="preserve">, </w:t>
      </w:r>
      <w:r w:rsidR="007D6769">
        <w:rPr>
          <w:rFonts w:cs="Tahoma"/>
        </w:rPr>
        <w:t xml:space="preserve">a total of </w:t>
      </w:r>
      <w:r>
        <w:rPr>
          <w:rFonts w:cs="Tahoma"/>
        </w:rPr>
        <w:t>228</w:t>
      </w:r>
      <w:r w:rsidRPr="006C184A">
        <w:rPr>
          <w:rFonts w:cs="Tahoma"/>
        </w:rPr>
        <w:t xml:space="preserve"> children’s homes registered and began to operate</w:t>
      </w:r>
      <w:r w:rsidR="007D6769">
        <w:rPr>
          <w:rFonts w:cs="Tahoma"/>
        </w:rPr>
        <w:t>,</w:t>
      </w:r>
      <w:r w:rsidRPr="006C184A">
        <w:rPr>
          <w:rFonts w:cs="Tahoma"/>
        </w:rPr>
        <w:t xml:space="preserve"> and offered </w:t>
      </w:r>
      <w:r>
        <w:rPr>
          <w:rFonts w:cs="Tahoma"/>
        </w:rPr>
        <w:t>1,016</w:t>
      </w:r>
      <w:r w:rsidRPr="006C184A">
        <w:rPr>
          <w:rFonts w:cs="Tahoma"/>
        </w:rPr>
        <w:t xml:space="preserve"> places.</w:t>
      </w:r>
      <w:r>
        <w:rPr>
          <w:rFonts w:cs="Tahoma"/>
        </w:rPr>
        <w:t xml:space="preserve"> </w:t>
      </w:r>
      <w:r w:rsidRPr="000557C5">
        <w:rPr>
          <w:rFonts w:cs="Tahoma"/>
        </w:rPr>
        <w:t xml:space="preserve">Of these, </w:t>
      </w:r>
      <w:r>
        <w:rPr>
          <w:rFonts w:cs="Tahoma"/>
        </w:rPr>
        <w:t>75</w:t>
      </w:r>
      <w:r w:rsidRPr="000557C5">
        <w:rPr>
          <w:rFonts w:cs="Tahoma"/>
        </w:rPr>
        <w:t xml:space="preserve"> were re-registrations.</w:t>
      </w:r>
      <w:r>
        <w:rPr>
          <w:rFonts w:cs="Tahoma"/>
        </w:rPr>
        <w:t xml:space="preserve"> </w:t>
      </w:r>
      <w:r w:rsidRPr="006C184A">
        <w:rPr>
          <w:rFonts w:cs="Tahoma"/>
        </w:rPr>
        <w:t xml:space="preserve">In the same period, </w:t>
      </w:r>
      <w:r>
        <w:rPr>
          <w:rFonts w:cs="Tahoma"/>
        </w:rPr>
        <w:t xml:space="preserve">154 </w:t>
      </w:r>
      <w:r w:rsidRPr="006C184A">
        <w:rPr>
          <w:rFonts w:cs="Tahoma"/>
        </w:rPr>
        <w:t xml:space="preserve">children’s homes with </w:t>
      </w:r>
      <w:r>
        <w:rPr>
          <w:rFonts w:cs="Tahoma"/>
        </w:rPr>
        <w:t xml:space="preserve">834 </w:t>
      </w:r>
      <w:r w:rsidRPr="006C184A">
        <w:rPr>
          <w:rFonts w:cs="Tahoma"/>
        </w:rPr>
        <w:t>places</w:t>
      </w:r>
      <w:r>
        <w:rPr>
          <w:rFonts w:cs="Tahoma"/>
        </w:rPr>
        <w:t xml:space="preserve"> were de-registered, </w:t>
      </w:r>
      <w:r w:rsidRPr="008350FF">
        <w:rPr>
          <w:rFonts w:cs="Tahoma"/>
        </w:rPr>
        <w:t>predominately via resignations</w:t>
      </w:r>
      <w:r w:rsidR="000D68DE">
        <w:rPr>
          <w:rFonts w:cs="Tahoma"/>
        </w:rPr>
        <w:t>/voluntary cancellations</w:t>
      </w:r>
      <w:r w:rsidRPr="008350FF">
        <w:rPr>
          <w:rFonts w:cs="Tahoma"/>
        </w:rPr>
        <w:t>, with three Ofsted-initiated cancellations</w:t>
      </w:r>
      <w:r w:rsidR="001508D6">
        <w:rPr>
          <w:rFonts w:cs="Tahoma"/>
        </w:rPr>
        <w:t>.</w:t>
      </w:r>
      <w:r w:rsidRPr="001508D6">
        <w:rPr>
          <w:rStyle w:val="FootnoteReference"/>
        </w:rPr>
        <w:footnoteReference w:id="28"/>
      </w:r>
    </w:p>
    <w:p w14:paraId="514A5221" w14:textId="77777777" w:rsidR="000D72F3" w:rsidRDefault="000D72F3" w:rsidP="00301A4B">
      <w:pPr>
        <w:spacing w:after="240"/>
        <w:ind w:left="720"/>
        <w:jc w:val="left"/>
        <w:rPr>
          <w:rFonts w:cs="Tahoma"/>
        </w:rPr>
      </w:pPr>
    </w:p>
    <w:p w14:paraId="2B3DAB09" w14:textId="77777777" w:rsidR="000D72F3" w:rsidRPr="00905A52" w:rsidRDefault="000D72F3" w:rsidP="000D72F3">
      <w:pPr>
        <w:pStyle w:val="Heading4"/>
        <w:jc w:val="left"/>
      </w:pPr>
      <w:r>
        <w:rPr>
          <w:rFonts w:cs="Tahoma"/>
        </w:rPr>
        <w:br w:type="page"/>
      </w:r>
      <w:bookmarkStart w:id="67" w:name="_Toc427154558"/>
      <w:r w:rsidRPr="00905A52">
        <w:lastRenderedPageBreak/>
        <w:t>Children’s homes</w:t>
      </w:r>
      <w:bookmarkEnd w:id="67"/>
      <w:r w:rsidRPr="00905A52">
        <w:t xml:space="preserve"> </w:t>
      </w:r>
    </w:p>
    <w:p w14:paraId="77D73316" w14:textId="77777777" w:rsidR="000D72F3" w:rsidRPr="00923ECF" w:rsidRDefault="000D72F3" w:rsidP="000D72F3">
      <w:pPr>
        <w:spacing w:after="240"/>
        <w:jc w:val="left"/>
        <w:rPr>
          <w:rFonts w:cs="Tahoma"/>
        </w:rPr>
      </w:pPr>
      <w:r w:rsidRPr="00923ECF">
        <w:rPr>
          <w:rFonts w:cs="Tahoma"/>
        </w:rPr>
        <w:t xml:space="preserve">Around 11% of children’s homes as at 31 March 2017 registered within the year; two </w:t>
      </w:r>
      <w:r>
        <w:rPr>
          <w:rFonts w:cs="Tahoma"/>
        </w:rPr>
        <w:t xml:space="preserve">homes </w:t>
      </w:r>
      <w:r w:rsidRPr="00923ECF">
        <w:rPr>
          <w:rFonts w:cs="Tahoma"/>
        </w:rPr>
        <w:t>both registered and de-registered within the same year (seven places).</w:t>
      </w:r>
      <w:r>
        <w:rPr>
          <w:rStyle w:val="FootnoteReference"/>
          <w:rFonts w:cs="Tahoma"/>
        </w:rPr>
        <w:footnoteReference w:id="29"/>
      </w:r>
    </w:p>
    <w:p w14:paraId="15CFC363" w14:textId="77777777" w:rsidR="000D68DE" w:rsidRPr="005D1422" w:rsidRDefault="000D68DE" w:rsidP="008568C4">
      <w:pPr>
        <w:jc w:val="left"/>
        <w:rPr>
          <w:rFonts w:cs="Tahoma"/>
          <w:b/>
        </w:rPr>
      </w:pPr>
      <w:r w:rsidRPr="005D1422">
        <w:rPr>
          <w:rFonts w:cs="Tahoma"/>
          <w:b/>
        </w:rPr>
        <w:t>Re-registrations:</w:t>
      </w:r>
    </w:p>
    <w:p w14:paraId="5E87721F" w14:textId="77777777" w:rsidR="000D72F3" w:rsidRPr="000557C5" w:rsidRDefault="000D72F3" w:rsidP="000D72F3">
      <w:pPr>
        <w:spacing w:after="240"/>
        <w:jc w:val="left"/>
        <w:rPr>
          <w:rFonts w:cs="Tahoma"/>
        </w:rPr>
      </w:pPr>
      <w:r w:rsidRPr="00882616">
        <w:rPr>
          <w:rFonts w:cs="Tahoma"/>
        </w:rPr>
        <w:t>Almost all re-registrations, 72 of 75, were children’s homes.</w:t>
      </w:r>
      <w:r w:rsidRPr="00882616">
        <w:rPr>
          <w:rStyle w:val="FootnoteReference"/>
          <w:rFonts w:cs="Tahoma"/>
        </w:rPr>
        <w:footnoteReference w:id="30"/>
      </w:r>
      <w:r w:rsidRPr="00882616">
        <w:rPr>
          <w:rFonts w:cs="Tahoma"/>
        </w:rPr>
        <w:t xml:space="preserve"> Most of the re-registrations (49) were of children’s homes that had de-registered in 2016-17. Of these 49 homes: 36 were the result of a change in ownership, including 13 which left the LA sector; 13 stayed under the same ownership, three of which changed provider type from residential special school to children’s home.</w:t>
      </w:r>
      <w:r w:rsidRPr="000557C5" w:rsidDel="0019651B">
        <w:rPr>
          <w:rStyle w:val="FootnoteReference"/>
          <w:rFonts w:cs="Tahoma"/>
        </w:rPr>
        <w:t xml:space="preserve"> </w:t>
      </w:r>
    </w:p>
    <w:p w14:paraId="0D320235" w14:textId="77777777" w:rsidR="000D72F3" w:rsidRDefault="000D72F3" w:rsidP="000D72F3">
      <w:pPr>
        <w:spacing w:after="240"/>
        <w:jc w:val="left"/>
        <w:rPr>
          <w:rFonts w:cs="Tahoma"/>
        </w:rPr>
      </w:pPr>
      <w:r w:rsidRPr="000557C5">
        <w:rPr>
          <w:rFonts w:cs="Tahoma"/>
        </w:rPr>
        <w:t>Seven children’s homes were re-registrations of homes that had closed in 2015-16 and 16 were re-registrations of children’s homes that had closed prior to April 2015.</w:t>
      </w:r>
    </w:p>
    <w:p w14:paraId="528B50CB" w14:textId="77777777" w:rsidR="000D68DE" w:rsidRPr="007D6769" w:rsidRDefault="000D68DE" w:rsidP="008568C4">
      <w:pPr>
        <w:jc w:val="left"/>
        <w:rPr>
          <w:rFonts w:cs="Tahoma"/>
          <w:b/>
        </w:rPr>
      </w:pPr>
      <w:r w:rsidRPr="007D6769">
        <w:rPr>
          <w:rFonts w:cs="Tahoma"/>
          <w:b/>
        </w:rPr>
        <w:t>Regions:</w:t>
      </w:r>
    </w:p>
    <w:p w14:paraId="45A755A9" w14:textId="77777777" w:rsidR="000D72F3" w:rsidRDefault="000D72F3" w:rsidP="000D72F3">
      <w:pPr>
        <w:pStyle w:val="Caption"/>
      </w:pPr>
      <w:bookmarkStart w:id="68" w:name="_Toc486581668"/>
      <w:bookmarkStart w:id="69" w:name="_Toc491087630"/>
      <w:r w:rsidRPr="007F5605">
        <w:t>Chart 1</w:t>
      </w:r>
      <w:r w:rsidR="006154C0">
        <w:t>0</w:t>
      </w:r>
      <w:r w:rsidRPr="007F5605">
        <w:t xml:space="preserve">: Number of </w:t>
      </w:r>
      <w:r>
        <w:t xml:space="preserve">(a) </w:t>
      </w:r>
      <w:r w:rsidRPr="007F5605">
        <w:t>children’s homes (</w:t>
      </w:r>
      <w:r>
        <w:t>b</w:t>
      </w:r>
      <w:r w:rsidRPr="007F5605">
        <w:t>) places</w:t>
      </w:r>
      <w:r>
        <w:t>,</w:t>
      </w:r>
      <w:r w:rsidRPr="007F5605">
        <w:t xml:space="preserve"> by region</w:t>
      </w:r>
      <w:bookmarkEnd w:id="68"/>
      <w:bookmarkEnd w:id="69"/>
      <w:r w:rsidR="001508D6">
        <w:t xml:space="preserve">            </w:t>
      </w:r>
    </w:p>
    <w:p w14:paraId="3F8E0D09" w14:textId="77777777" w:rsidR="000D72F3" w:rsidRPr="006C184A" w:rsidRDefault="008D5804" w:rsidP="000D72F3">
      <w:pPr>
        <w:spacing w:after="240"/>
        <w:jc w:val="left"/>
        <w:rPr>
          <w:rFonts w:cs="Tahoma"/>
        </w:rPr>
      </w:pPr>
      <w:r w:rsidRPr="00D357AD">
        <w:rPr>
          <w:noProof/>
        </w:rPr>
        <w:drawing>
          <wp:inline distT="0" distB="0" distL="0" distR="0" wp14:anchorId="47EF9D22" wp14:editId="4E6BF040">
            <wp:extent cx="5737860" cy="25908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860" cy="2590800"/>
                    </a:xfrm>
                    <a:prstGeom prst="rect">
                      <a:avLst/>
                    </a:prstGeom>
                    <a:noFill/>
                    <a:ln>
                      <a:noFill/>
                    </a:ln>
                  </pic:spPr>
                </pic:pic>
              </a:graphicData>
            </a:graphic>
          </wp:inline>
        </w:drawing>
      </w:r>
    </w:p>
    <w:p w14:paraId="4796E78A" w14:textId="77777777" w:rsidR="000D72F3" w:rsidRPr="00EE1AAF" w:rsidRDefault="000D72F3" w:rsidP="000D72F3">
      <w:pPr>
        <w:spacing w:after="240"/>
        <w:jc w:val="left"/>
        <w:rPr>
          <w:rFonts w:cs="Tahoma"/>
        </w:rPr>
      </w:pPr>
      <w:r w:rsidRPr="00EE1AAF">
        <w:rPr>
          <w:rFonts w:cs="Tahoma"/>
        </w:rPr>
        <w:t xml:space="preserve">The regional distribution of homes and the regional distribution of places are </w:t>
      </w:r>
      <w:r>
        <w:rPr>
          <w:rFonts w:cs="Tahoma"/>
        </w:rPr>
        <w:t xml:space="preserve">similar but </w:t>
      </w:r>
      <w:r w:rsidRPr="00EE1AAF">
        <w:rPr>
          <w:rFonts w:cs="Tahoma"/>
        </w:rPr>
        <w:t>not identical.</w:t>
      </w:r>
      <w:r w:rsidR="00844575">
        <w:rPr>
          <w:rFonts w:cs="Tahoma"/>
        </w:rPr>
        <w:t xml:space="preserve"> [Data Tables: Providers+places at 31 Mar 2017]</w:t>
      </w:r>
    </w:p>
    <w:p w14:paraId="033D67BD" w14:textId="77777777" w:rsidR="000D72F3" w:rsidRPr="000D72F3" w:rsidRDefault="000D72F3" w:rsidP="000D72F3">
      <w:pPr>
        <w:spacing w:after="240"/>
        <w:jc w:val="left"/>
        <w:rPr>
          <w:rFonts w:cs="Tahoma"/>
        </w:rPr>
      </w:pPr>
      <w:r w:rsidRPr="00EE1AAF">
        <w:rPr>
          <w:rFonts w:cs="Tahoma"/>
        </w:rPr>
        <w:t>The regional picture of where children’s homes are located has remained largely unchanged since March 201</w:t>
      </w:r>
      <w:r w:rsidR="00DD714E">
        <w:rPr>
          <w:rFonts w:cs="Tahoma"/>
        </w:rPr>
        <w:t>6</w:t>
      </w:r>
      <w:r w:rsidRPr="00EE1AAF">
        <w:rPr>
          <w:rFonts w:cs="Tahoma"/>
        </w:rPr>
        <w:t xml:space="preserve">, with </w:t>
      </w:r>
      <w:r>
        <w:rPr>
          <w:rFonts w:cs="Tahoma"/>
        </w:rPr>
        <w:t>no regional proportion c</w:t>
      </w:r>
      <w:r w:rsidRPr="00EE1AAF">
        <w:rPr>
          <w:rFonts w:cs="Tahoma"/>
        </w:rPr>
        <w:t>hangin</w:t>
      </w:r>
      <w:r>
        <w:rPr>
          <w:rFonts w:cs="Tahoma"/>
        </w:rPr>
        <w:t>g</w:t>
      </w:r>
      <w:r w:rsidRPr="00EE1AAF">
        <w:rPr>
          <w:rFonts w:cs="Tahoma"/>
        </w:rPr>
        <w:t xml:space="preserve"> </w:t>
      </w:r>
      <w:r>
        <w:rPr>
          <w:rFonts w:cs="Tahoma"/>
        </w:rPr>
        <w:t>by more than one percentage point</w:t>
      </w:r>
      <w:r w:rsidRPr="00EE1AAF">
        <w:rPr>
          <w:rFonts w:cs="Tahoma"/>
        </w:rPr>
        <w:t xml:space="preserve"> since last year. The North West still has almost one quarter of all homes</w:t>
      </w:r>
      <w:r>
        <w:rPr>
          <w:rFonts w:cs="Tahoma"/>
        </w:rPr>
        <w:t xml:space="preserve"> and only two regions had fewer homes than last year – London (eight fewer) and the East of England (one fewer)</w:t>
      </w:r>
      <w:r w:rsidRPr="00EE1AAF">
        <w:rPr>
          <w:rFonts w:cs="Tahoma"/>
        </w:rPr>
        <w:t>.</w:t>
      </w:r>
    </w:p>
    <w:p w14:paraId="65C15F87" w14:textId="77777777" w:rsidR="000D72F3" w:rsidRDefault="000D72F3" w:rsidP="000D72F3">
      <w:pPr>
        <w:jc w:val="left"/>
        <w:rPr>
          <w:lang w:eastAsia="en-US"/>
        </w:rPr>
      </w:pPr>
      <w:bookmarkStart w:id="70" w:name="_Toc426642904"/>
      <w:bookmarkStart w:id="71" w:name="_Toc427155193"/>
      <w:r w:rsidRPr="001C191E">
        <w:rPr>
          <w:lang w:eastAsia="en-US"/>
        </w:rPr>
        <w:lastRenderedPageBreak/>
        <w:t>The regional picture of where children’s home places were located also remained largely unchanged since last year – again, no regional proportion changed by more than one percentage point. The South West had fewer places to offer despite having five</w:t>
      </w:r>
      <w:r>
        <w:rPr>
          <w:lang w:eastAsia="en-US"/>
        </w:rPr>
        <w:t xml:space="preserve"> more </w:t>
      </w:r>
      <w:r w:rsidRPr="001C191E">
        <w:rPr>
          <w:lang w:eastAsia="en-US"/>
        </w:rPr>
        <w:t>children’s homes than at 31 March 2016.</w:t>
      </w:r>
    </w:p>
    <w:p w14:paraId="467A9BC8" w14:textId="77777777" w:rsidR="002D629E" w:rsidRDefault="002D629E" w:rsidP="000D72F3">
      <w:pPr>
        <w:jc w:val="left"/>
        <w:rPr>
          <w:lang w:eastAsia="en-US"/>
        </w:rPr>
      </w:pPr>
    </w:p>
    <w:p w14:paraId="68B71B0D" w14:textId="77777777" w:rsidR="002D629E" w:rsidRPr="001C191E" w:rsidRDefault="002D629E" w:rsidP="000D72F3">
      <w:pPr>
        <w:jc w:val="left"/>
        <w:rPr>
          <w:lang w:eastAsia="en-US"/>
        </w:rPr>
      </w:pPr>
      <w:r w:rsidRPr="00C65673">
        <w:rPr>
          <w:b/>
          <w:lang w:eastAsia="en-US"/>
        </w:rPr>
        <w:t>Sector:</w:t>
      </w:r>
      <w:r w:rsidR="00CF1984">
        <w:rPr>
          <w:rStyle w:val="FootnoteReference"/>
          <w:lang w:eastAsia="en-US"/>
        </w:rPr>
        <w:footnoteReference w:id="31"/>
      </w:r>
    </w:p>
    <w:bookmarkEnd w:id="70"/>
    <w:bookmarkEnd w:id="71"/>
    <w:p w14:paraId="5395A1EE" w14:textId="77777777" w:rsidR="002D629E" w:rsidRDefault="000D72F3" w:rsidP="000D72F3">
      <w:pPr>
        <w:jc w:val="left"/>
        <w:rPr>
          <w:rFonts w:cs="Tahoma"/>
        </w:rPr>
      </w:pPr>
      <w:r>
        <w:rPr>
          <w:rFonts w:cs="Tahoma"/>
        </w:rPr>
        <w:t>T</w:t>
      </w:r>
      <w:r w:rsidRPr="006C184A">
        <w:rPr>
          <w:rFonts w:cs="Tahoma"/>
        </w:rPr>
        <w:t xml:space="preserve">he majority of children’s homes were run by </w:t>
      </w:r>
      <w:r>
        <w:rPr>
          <w:rFonts w:cs="Tahoma"/>
        </w:rPr>
        <w:t>private providers.</w:t>
      </w:r>
      <w:r w:rsidRPr="006C184A">
        <w:rPr>
          <w:rFonts w:cs="Tahoma"/>
        </w:rPr>
        <w:t xml:space="preserve"> Private providers ran </w:t>
      </w:r>
      <w:r>
        <w:rPr>
          <w:rFonts w:cs="Tahoma"/>
        </w:rPr>
        <w:t>1,481</w:t>
      </w:r>
      <w:r w:rsidRPr="006C184A">
        <w:rPr>
          <w:rFonts w:cs="Tahoma"/>
        </w:rPr>
        <w:t xml:space="preserve"> homes (7</w:t>
      </w:r>
      <w:r>
        <w:rPr>
          <w:rFonts w:cs="Tahoma"/>
        </w:rPr>
        <w:t>2</w:t>
      </w:r>
      <w:r w:rsidRPr="006C184A">
        <w:rPr>
          <w:rFonts w:cs="Tahoma"/>
        </w:rPr>
        <w:t>%)</w:t>
      </w:r>
      <w:r>
        <w:rPr>
          <w:rFonts w:cs="Tahoma"/>
        </w:rPr>
        <w:t>, similar to 2016.</w:t>
      </w:r>
      <w:r w:rsidRPr="006C184A">
        <w:rPr>
          <w:rFonts w:cs="Tahoma"/>
        </w:rPr>
        <w:t xml:space="preserve"> </w:t>
      </w:r>
      <w:r>
        <w:rPr>
          <w:rFonts w:cs="Tahoma"/>
        </w:rPr>
        <w:t xml:space="preserve">Voluntary organisations ran 142 homes (7%), a decrease of two homes from 2016. The remainder (20%) were run by LAs. </w:t>
      </w:r>
      <w:r w:rsidR="00844575">
        <w:rPr>
          <w:rFonts w:cs="Tahoma"/>
        </w:rPr>
        <w:t>[Data Tables: Providers+places at 31 Mar 2017]</w:t>
      </w:r>
    </w:p>
    <w:p w14:paraId="2E7209FE" w14:textId="77777777" w:rsidR="002D629E" w:rsidRDefault="002D629E" w:rsidP="000D72F3">
      <w:pPr>
        <w:jc w:val="left"/>
        <w:rPr>
          <w:rFonts w:cs="Tahoma"/>
        </w:rPr>
      </w:pPr>
    </w:p>
    <w:p w14:paraId="67F629A4" w14:textId="77777777" w:rsidR="000D72F3" w:rsidRPr="006C184A" w:rsidRDefault="000D72F3" w:rsidP="000D72F3">
      <w:pPr>
        <w:jc w:val="left"/>
        <w:rPr>
          <w:rFonts w:cs="Tahoma"/>
        </w:rPr>
      </w:pPr>
      <w:r>
        <w:rPr>
          <w:rFonts w:cs="Tahoma"/>
        </w:rPr>
        <w:t>The number of LA-run homes fell by 4% from 2016, continuing the trend of reducing numbers of LA-run homes:</w:t>
      </w:r>
      <w:r w:rsidRPr="00611949">
        <w:rPr>
          <w:rFonts w:cs="Tahoma"/>
        </w:rPr>
        <w:t xml:space="preserve"> </w:t>
      </w:r>
      <w:r>
        <w:rPr>
          <w:rFonts w:cs="Tahoma"/>
        </w:rPr>
        <w:t xml:space="preserve">a reduction of 5% </w:t>
      </w:r>
      <w:r w:rsidRPr="00611949">
        <w:rPr>
          <w:rFonts w:cs="Tahoma"/>
        </w:rPr>
        <w:t>from 2015 to 2016 and of 8% from 2014 to 2015.</w:t>
      </w:r>
      <w:r w:rsidR="002D629E">
        <w:rPr>
          <w:rFonts w:cs="Tahoma"/>
        </w:rPr>
        <w:t xml:space="preserve"> Despite this, the overall percentage of homes run by LAs decreased by only two percentage points (from 22% to 20%).</w:t>
      </w:r>
    </w:p>
    <w:p w14:paraId="69A866A5" w14:textId="77777777" w:rsidR="000D72F3" w:rsidRDefault="000D72F3" w:rsidP="000D72F3">
      <w:pPr>
        <w:jc w:val="left"/>
        <w:rPr>
          <w:rFonts w:cs="Tahoma"/>
        </w:rPr>
      </w:pPr>
      <w:bookmarkStart w:id="72" w:name="_Toc427155150"/>
    </w:p>
    <w:p w14:paraId="7C76C19F" w14:textId="77777777" w:rsidR="00D64013" w:rsidRDefault="00D64013" w:rsidP="000D72F3">
      <w:pPr>
        <w:jc w:val="left"/>
        <w:rPr>
          <w:rFonts w:cs="Tahoma"/>
        </w:rPr>
      </w:pPr>
      <w:r>
        <w:rPr>
          <w:rFonts w:cs="Tahoma"/>
        </w:rPr>
        <w:t>There are 111 LAs which run some or all of the children’s homes in their area, including short-break only homes. When short-break only homes are not counted, there are 96 LAs running some or all of the homes in their area; one third of LAs do not run any of the homes in their area. These figures represent a decrease of four and six LAs, respectively, from last year.</w:t>
      </w:r>
      <w:r w:rsidR="00216F7A">
        <w:rPr>
          <w:rFonts w:cs="Tahoma"/>
        </w:rPr>
        <w:t xml:space="preserve"> [Data Tables: LA children’s homes map]</w:t>
      </w:r>
    </w:p>
    <w:p w14:paraId="72EEF05D" w14:textId="77777777" w:rsidR="00D64013" w:rsidRDefault="00D64013" w:rsidP="000D72F3">
      <w:pPr>
        <w:jc w:val="left"/>
        <w:rPr>
          <w:rFonts w:cs="Tahoma"/>
        </w:rPr>
      </w:pPr>
    </w:p>
    <w:p w14:paraId="53880683" w14:textId="77777777" w:rsidR="000D72F3" w:rsidRDefault="000D72F3" w:rsidP="000D72F3">
      <w:pPr>
        <w:jc w:val="left"/>
        <w:rPr>
          <w:rFonts w:cs="Tahoma"/>
        </w:rPr>
      </w:pPr>
      <w:r>
        <w:rPr>
          <w:rFonts w:cs="Tahoma"/>
        </w:rPr>
        <w:t>Around 9% of all children’s homes across England are short breaks only homes, accounting for around 12% of all places.</w:t>
      </w:r>
      <w:r>
        <w:rPr>
          <w:rStyle w:val="FootnoteReference"/>
          <w:rFonts w:cs="Tahoma"/>
        </w:rPr>
        <w:footnoteReference w:id="32"/>
      </w:r>
      <w:r>
        <w:rPr>
          <w:rFonts w:cs="Tahoma"/>
        </w:rPr>
        <w:t xml:space="preserve"> This was a small reduction from the previous year (10% and 14% respectively).</w:t>
      </w:r>
    </w:p>
    <w:p w14:paraId="246EAAA1" w14:textId="77777777" w:rsidR="000D72F3" w:rsidRDefault="000D72F3" w:rsidP="000D72F3">
      <w:pPr>
        <w:jc w:val="left"/>
        <w:rPr>
          <w:rFonts w:cs="Tahoma"/>
        </w:rPr>
      </w:pPr>
    </w:p>
    <w:bookmarkEnd w:id="72"/>
    <w:p w14:paraId="4494B090" w14:textId="77777777" w:rsidR="000D72F3" w:rsidRDefault="000D72F3" w:rsidP="000D72F3">
      <w:pPr>
        <w:spacing w:after="240"/>
        <w:jc w:val="left"/>
        <w:rPr>
          <w:rFonts w:cs="Tahoma"/>
        </w:rPr>
      </w:pPr>
      <w:r>
        <w:rPr>
          <w:rFonts w:cs="Tahoma"/>
        </w:rPr>
        <w:t>The regions in which s</w:t>
      </w:r>
      <w:r w:rsidRPr="003A2172">
        <w:rPr>
          <w:rFonts w:cs="Tahoma"/>
        </w:rPr>
        <w:t xml:space="preserve">hort break homes </w:t>
      </w:r>
      <w:r>
        <w:rPr>
          <w:rFonts w:cs="Tahoma"/>
        </w:rPr>
        <w:t>provide the largest</w:t>
      </w:r>
      <w:r w:rsidRPr="003A2172">
        <w:rPr>
          <w:rFonts w:cs="Tahoma"/>
        </w:rPr>
        <w:t xml:space="preserve"> proportions of </w:t>
      </w:r>
      <w:r>
        <w:rPr>
          <w:rFonts w:cs="Tahoma"/>
        </w:rPr>
        <w:t>their places are</w:t>
      </w:r>
      <w:r w:rsidRPr="003A2172">
        <w:rPr>
          <w:rFonts w:cs="Tahoma"/>
        </w:rPr>
        <w:t xml:space="preserve">: </w:t>
      </w:r>
      <w:r>
        <w:rPr>
          <w:rFonts w:cs="Tahoma"/>
        </w:rPr>
        <w:t>London (17</w:t>
      </w:r>
      <w:r w:rsidRPr="003A2172">
        <w:rPr>
          <w:rFonts w:cs="Tahoma"/>
        </w:rPr>
        <w:t>% of the</w:t>
      </w:r>
      <w:r>
        <w:rPr>
          <w:rFonts w:cs="Tahoma"/>
        </w:rPr>
        <w:t>ir</w:t>
      </w:r>
      <w:r w:rsidRPr="003A2172">
        <w:rPr>
          <w:rFonts w:cs="Tahoma"/>
        </w:rPr>
        <w:t xml:space="preserve"> available children’s homes places</w:t>
      </w:r>
      <w:r>
        <w:rPr>
          <w:rFonts w:cs="Tahoma"/>
        </w:rPr>
        <w:t>)</w:t>
      </w:r>
      <w:r w:rsidRPr="003A2172">
        <w:rPr>
          <w:rFonts w:cs="Tahoma"/>
        </w:rPr>
        <w:t xml:space="preserve">, </w:t>
      </w:r>
      <w:r>
        <w:rPr>
          <w:rFonts w:cs="Tahoma"/>
        </w:rPr>
        <w:t xml:space="preserve">the North East </w:t>
      </w:r>
      <w:r w:rsidRPr="003A2172">
        <w:rPr>
          <w:rFonts w:cs="Tahoma"/>
        </w:rPr>
        <w:t xml:space="preserve">and </w:t>
      </w:r>
      <w:r>
        <w:rPr>
          <w:rFonts w:cs="Tahoma"/>
        </w:rPr>
        <w:t>the South West (both 15%).</w:t>
      </w:r>
    </w:p>
    <w:p w14:paraId="1746687F" w14:textId="77777777" w:rsidR="000D72F3" w:rsidRPr="00DD297E" w:rsidRDefault="00B63075" w:rsidP="000D72F3">
      <w:pPr>
        <w:pStyle w:val="Table"/>
      </w:pPr>
      <w:bookmarkStart w:id="73" w:name="_Toc454377038"/>
      <w:bookmarkStart w:id="74" w:name="_Toc486581713"/>
      <w:r>
        <w:br w:type="page"/>
      </w:r>
      <w:bookmarkStart w:id="75" w:name="_Toc489019907"/>
      <w:r w:rsidR="000D72F3">
        <w:lastRenderedPageBreak/>
        <w:t xml:space="preserve">Table </w:t>
      </w:r>
      <w:r w:rsidR="006154C0">
        <w:t>3</w:t>
      </w:r>
      <w:r w:rsidR="000D72F3">
        <w:t>: Children’s homes at 31 March 2017, by number of beds and region</w:t>
      </w:r>
      <w:bookmarkEnd w:id="73"/>
      <w:bookmarkEnd w:id="74"/>
      <w:bookmarkEnd w:id="75"/>
    </w:p>
    <w:p w14:paraId="03237DFF" w14:textId="77777777" w:rsidR="000D72F3" w:rsidRDefault="008D5804" w:rsidP="000D72F3">
      <w:pPr>
        <w:rPr>
          <w:noProof/>
        </w:rPr>
      </w:pPr>
      <w:r w:rsidRPr="009B2AB0">
        <w:rPr>
          <w:noProof/>
        </w:rPr>
        <w:drawing>
          <wp:inline distT="0" distB="0" distL="0" distR="0" wp14:anchorId="1DECAB5B" wp14:editId="1B768F50">
            <wp:extent cx="4229100" cy="2186940"/>
            <wp:effectExtent l="0" t="0" r="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2186940"/>
                    </a:xfrm>
                    <a:prstGeom prst="rect">
                      <a:avLst/>
                    </a:prstGeom>
                    <a:noFill/>
                    <a:ln>
                      <a:noFill/>
                    </a:ln>
                  </pic:spPr>
                </pic:pic>
              </a:graphicData>
            </a:graphic>
          </wp:inline>
        </w:drawing>
      </w:r>
    </w:p>
    <w:p w14:paraId="03A55969" w14:textId="77777777" w:rsidR="00B63075" w:rsidRDefault="00B63075" w:rsidP="000D72F3">
      <w:pPr>
        <w:spacing w:after="240"/>
        <w:jc w:val="left"/>
        <w:rPr>
          <w:rFonts w:cs="Tahoma"/>
        </w:rPr>
      </w:pPr>
    </w:p>
    <w:p w14:paraId="7963C658" w14:textId="77777777" w:rsidR="00E12B97" w:rsidRDefault="000D72F3" w:rsidP="00544AF3">
      <w:pPr>
        <w:spacing w:after="240"/>
        <w:jc w:val="left"/>
        <w:rPr>
          <w:rFonts w:cs="Tahoma"/>
        </w:rPr>
      </w:pPr>
      <w:r>
        <w:rPr>
          <w:rFonts w:cs="Tahoma"/>
        </w:rPr>
        <w:t xml:space="preserve">There are large regional variations in the size of children’s homes. The </w:t>
      </w:r>
      <w:r w:rsidR="00AA6308">
        <w:rPr>
          <w:rFonts w:cs="Tahoma"/>
        </w:rPr>
        <w:t>proportion</w:t>
      </w:r>
      <w:r w:rsidR="00E12479">
        <w:rPr>
          <w:rFonts w:cs="Tahoma"/>
        </w:rPr>
        <w:t>s</w:t>
      </w:r>
      <w:r w:rsidR="00AA6308">
        <w:rPr>
          <w:rFonts w:cs="Tahoma"/>
        </w:rPr>
        <w:t xml:space="preserve"> </w:t>
      </w:r>
      <w:r>
        <w:rPr>
          <w:rFonts w:cs="Tahoma"/>
        </w:rPr>
        <w:t xml:space="preserve">of small homes (one or two beds) range from just </w:t>
      </w:r>
      <w:r w:rsidR="00AA6308">
        <w:rPr>
          <w:rFonts w:cs="Tahoma"/>
        </w:rPr>
        <w:t xml:space="preserve">1% </w:t>
      </w:r>
      <w:r>
        <w:rPr>
          <w:rFonts w:cs="Tahoma"/>
        </w:rPr>
        <w:t>in London</w:t>
      </w:r>
      <w:r w:rsidR="00C65673">
        <w:rPr>
          <w:rFonts w:cs="Tahoma"/>
        </w:rPr>
        <w:t xml:space="preserve"> and 4% </w:t>
      </w:r>
      <w:r w:rsidR="00AA6308">
        <w:rPr>
          <w:rFonts w:cs="Tahoma"/>
        </w:rPr>
        <w:t>in the East of England</w:t>
      </w:r>
      <w:r>
        <w:rPr>
          <w:rFonts w:cs="Tahoma"/>
        </w:rPr>
        <w:t xml:space="preserve"> to </w:t>
      </w:r>
      <w:r w:rsidR="00E12479">
        <w:rPr>
          <w:rFonts w:cs="Tahoma"/>
        </w:rPr>
        <w:t>25% in the West Midl</w:t>
      </w:r>
      <w:r w:rsidR="00C65673">
        <w:rPr>
          <w:rFonts w:cs="Tahoma"/>
        </w:rPr>
        <w:t xml:space="preserve">ands and 28% </w:t>
      </w:r>
      <w:r>
        <w:rPr>
          <w:rFonts w:cs="Tahoma"/>
        </w:rPr>
        <w:t xml:space="preserve">in the North West. As for large homes (10 or more beds), </w:t>
      </w:r>
      <w:r w:rsidR="00E12479">
        <w:rPr>
          <w:rFonts w:cs="Tahoma"/>
        </w:rPr>
        <w:t>proportions</w:t>
      </w:r>
      <w:r>
        <w:rPr>
          <w:rFonts w:cs="Tahoma"/>
        </w:rPr>
        <w:t xml:space="preserve"> range from </w:t>
      </w:r>
      <w:r w:rsidR="00E12479">
        <w:rPr>
          <w:rFonts w:cs="Tahoma"/>
        </w:rPr>
        <w:t xml:space="preserve">1% in both the South West and the North West </w:t>
      </w:r>
      <w:r>
        <w:rPr>
          <w:rFonts w:cs="Tahoma"/>
        </w:rPr>
        <w:t xml:space="preserve">to </w:t>
      </w:r>
      <w:r w:rsidR="00E12479">
        <w:rPr>
          <w:rFonts w:cs="Tahoma"/>
        </w:rPr>
        <w:t xml:space="preserve">7% </w:t>
      </w:r>
      <w:r>
        <w:rPr>
          <w:rFonts w:cs="Tahoma"/>
        </w:rPr>
        <w:t>in the South East</w:t>
      </w:r>
      <w:r w:rsidR="00E12479">
        <w:rPr>
          <w:rFonts w:cs="Tahoma"/>
        </w:rPr>
        <w:t xml:space="preserve"> and 9% in London</w:t>
      </w:r>
      <w:r>
        <w:rPr>
          <w:rFonts w:cs="Tahoma"/>
        </w:rPr>
        <w:t xml:space="preserve">. In terms of the regional size profile, there has been very little change since last year. </w:t>
      </w:r>
      <w:r w:rsidR="00544AF3">
        <w:rPr>
          <w:rFonts w:cs="Tahoma"/>
        </w:rPr>
        <w:t>[Data Tables: Providers+places at 31 Mar 2017]</w:t>
      </w:r>
    </w:p>
    <w:p w14:paraId="03BD0D75" w14:textId="77777777" w:rsidR="000D72F3" w:rsidRDefault="000D72F3" w:rsidP="00544AF3">
      <w:pPr>
        <w:spacing w:after="240"/>
        <w:jc w:val="left"/>
        <w:rPr>
          <w:rFonts w:cs="Tahoma"/>
        </w:rPr>
      </w:pPr>
      <w:r w:rsidRPr="00882616">
        <w:rPr>
          <w:rFonts w:cs="Tahoma"/>
        </w:rPr>
        <w:t>Comparing the latest data with historical data revealed no substantial change in the national size profile. However, there has been a tendency towards smaller homes with the proportion of homes with seven or more beds reducing from 16% at 31 March 2013 to 12% at 31 March 2017, and the proportion of 3-4 bed homes increasing from 38% to 42% in the same period.</w:t>
      </w:r>
    </w:p>
    <w:p w14:paraId="06B9F0A3" w14:textId="77777777" w:rsidR="000D72F3" w:rsidRPr="00905A52" w:rsidRDefault="000D72F3" w:rsidP="000D72F3">
      <w:pPr>
        <w:pStyle w:val="Heading4"/>
        <w:jc w:val="left"/>
      </w:pPr>
      <w:bookmarkStart w:id="76" w:name="_Toc427154559"/>
      <w:r w:rsidRPr="00905A52">
        <w:t>Residential special schools registered as children’s homes</w:t>
      </w:r>
      <w:bookmarkEnd w:id="76"/>
    </w:p>
    <w:p w14:paraId="26515A5C" w14:textId="77777777" w:rsidR="000D72F3" w:rsidRPr="00905A52" w:rsidRDefault="000D72F3" w:rsidP="000D72F3">
      <w:pPr>
        <w:spacing w:after="240"/>
        <w:jc w:val="left"/>
        <w:rPr>
          <w:rFonts w:cs="Tahoma"/>
        </w:rPr>
      </w:pPr>
      <w:r>
        <w:rPr>
          <w:rFonts w:cs="Tahoma"/>
        </w:rPr>
        <w:t>Residential special schools</w:t>
      </w:r>
      <w:r w:rsidRPr="00905A52">
        <w:rPr>
          <w:rFonts w:cs="Tahoma"/>
        </w:rPr>
        <w:t xml:space="preserve">, which </w:t>
      </w:r>
      <w:r>
        <w:rPr>
          <w:rFonts w:cs="Tahoma"/>
        </w:rPr>
        <w:t>are</w:t>
      </w:r>
      <w:r w:rsidRPr="00905A52">
        <w:rPr>
          <w:rFonts w:cs="Tahoma"/>
        </w:rPr>
        <w:t xml:space="preserve"> often large in size, tend to be in more rural areas.</w:t>
      </w:r>
      <w:r w:rsidRPr="008568C4">
        <w:rPr>
          <w:rStyle w:val="FootnoteReference"/>
          <w:rFonts w:cs="Tahoma"/>
        </w:rPr>
        <w:footnoteReference w:id="33"/>
      </w:r>
      <w:r w:rsidRPr="00905A52">
        <w:rPr>
          <w:rFonts w:cs="Tahoma"/>
        </w:rPr>
        <w:t xml:space="preserve"> The region with the highest number of residential special schools registered as children’s homes is the South East (17).</w:t>
      </w:r>
    </w:p>
    <w:p w14:paraId="1A04374B" w14:textId="77777777" w:rsidR="000D72F3" w:rsidRPr="00905A52" w:rsidRDefault="000D72F3" w:rsidP="000D72F3">
      <w:pPr>
        <w:spacing w:after="240"/>
        <w:jc w:val="left"/>
        <w:rPr>
          <w:rFonts w:cs="Tahoma"/>
        </w:rPr>
      </w:pPr>
      <w:r w:rsidRPr="00905A52">
        <w:rPr>
          <w:rFonts w:cs="Tahoma"/>
        </w:rPr>
        <w:t xml:space="preserve">All but three of these homes are private or voluntary-run, with </w:t>
      </w:r>
      <w:r>
        <w:rPr>
          <w:rFonts w:cs="Tahoma"/>
        </w:rPr>
        <w:t>just over</w:t>
      </w:r>
      <w:r w:rsidRPr="00905A52">
        <w:rPr>
          <w:rFonts w:cs="Tahoma"/>
        </w:rPr>
        <w:t xml:space="preserve"> two thirds (5</w:t>
      </w:r>
      <w:r>
        <w:rPr>
          <w:rFonts w:cs="Tahoma"/>
        </w:rPr>
        <w:t>7</w:t>
      </w:r>
      <w:r w:rsidRPr="00905A52">
        <w:rPr>
          <w:rFonts w:cs="Tahoma"/>
        </w:rPr>
        <w:t>) run by the private sector.</w:t>
      </w:r>
    </w:p>
    <w:p w14:paraId="2EC9F0BE" w14:textId="77777777" w:rsidR="000D72F3" w:rsidRPr="00905A52" w:rsidRDefault="000D72F3" w:rsidP="000D72F3">
      <w:pPr>
        <w:pStyle w:val="Heading4"/>
        <w:jc w:val="left"/>
      </w:pPr>
      <w:bookmarkStart w:id="77" w:name="_Toc427154560"/>
      <w:r w:rsidRPr="00905A52">
        <w:t>Secure children’s homes</w:t>
      </w:r>
      <w:bookmarkEnd w:id="77"/>
    </w:p>
    <w:p w14:paraId="14258138" w14:textId="77777777" w:rsidR="000D72F3" w:rsidRDefault="000D72F3" w:rsidP="000D72F3">
      <w:pPr>
        <w:spacing w:after="240"/>
        <w:jc w:val="left"/>
        <w:rPr>
          <w:rFonts w:cs="Tahoma"/>
        </w:rPr>
      </w:pPr>
      <w:r w:rsidRPr="006C184A">
        <w:rPr>
          <w:rFonts w:cs="Tahoma"/>
        </w:rPr>
        <w:t xml:space="preserve">All but one </w:t>
      </w:r>
      <w:r>
        <w:rPr>
          <w:rFonts w:cs="Tahoma"/>
        </w:rPr>
        <w:t xml:space="preserve">secure children’s </w:t>
      </w:r>
      <w:r w:rsidRPr="006C184A">
        <w:rPr>
          <w:rFonts w:cs="Tahoma"/>
        </w:rPr>
        <w:t xml:space="preserve">home are </w:t>
      </w:r>
      <w:r w:rsidR="00ED7C96">
        <w:rPr>
          <w:rFonts w:cs="Tahoma"/>
        </w:rPr>
        <w:t>LA</w:t>
      </w:r>
      <w:r w:rsidRPr="006C184A">
        <w:rPr>
          <w:rFonts w:cs="Tahoma"/>
        </w:rPr>
        <w:t>-run; the sole exception is voluntary-run.</w:t>
      </w:r>
      <w:r>
        <w:rPr>
          <w:rStyle w:val="FootnoteReference"/>
          <w:rFonts w:cs="Tahoma"/>
        </w:rPr>
        <w:footnoteReference w:id="34"/>
      </w:r>
    </w:p>
    <w:p w14:paraId="7DDAECCC" w14:textId="77777777" w:rsidR="006A280E" w:rsidRDefault="00E12B97" w:rsidP="000D72F3">
      <w:pPr>
        <w:jc w:val="left"/>
        <w:rPr>
          <w:rFonts w:cs="Tahoma"/>
        </w:rPr>
      </w:pPr>
      <w:r w:rsidRPr="00882616">
        <w:rPr>
          <w:rFonts w:cs="Tahoma"/>
        </w:rPr>
        <w:lastRenderedPageBreak/>
        <w:t>T</w:t>
      </w:r>
      <w:r w:rsidR="000D72F3" w:rsidRPr="00882616">
        <w:rPr>
          <w:rFonts w:cs="Tahoma"/>
        </w:rPr>
        <w:t>he DfE recently reported that, at 31 March 2017, the 14 secure children’s homes open in England offered 232 approved places (no change from the</w:t>
      </w:r>
      <w:r w:rsidRPr="00882616">
        <w:rPr>
          <w:rFonts w:cs="Tahoma"/>
        </w:rPr>
        <w:t xml:space="preserve">ir reported figures for the </w:t>
      </w:r>
      <w:r w:rsidR="000D72F3" w:rsidRPr="00882616">
        <w:rPr>
          <w:rFonts w:cs="Tahoma"/>
        </w:rPr>
        <w:t>previous year). They also reported occupancy and availability rates, which is data not collected or held by Ofsted. Of the 232 approved places reported by the DfE, 205 (88%) were available</w:t>
      </w:r>
      <w:r w:rsidR="008D4904" w:rsidRPr="00882616">
        <w:rPr>
          <w:rFonts w:cs="Tahoma"/>
        </w:rPr>
        <w:t xml:space="preserve">, of which </w:t>
      </w:r>
      <w:r w:rsidR="000D72F3" w:rsidRPr="00882616">
        <w:rPr>
          <w:rFonts w:cs="Tahoma"/>
        </w:rPr>
        <w:t>184 were occupied.</w:t>
      </w:r>
      <w:r w:rsidR="000D72F3" w:rsidRPr="00882616">
        <w:rPr>
          <w:rStyle w:val="FootnoteReference"/>
          <w:rFonts w:cs="Tahoma"/>
        </w:rPr>
        <w:footnoteReference w:id="35"/>
      </w:r>
    </w:p>
    <w:p w14:paraId="52BB5BCC" w14:textId="77777777" w:rsidR="006A280E" w:rsidRDefault="006A280E" w:rsidP="000D72F3">
      <w:pPr>
        <w:jc w:val="left"/>
        <w:rPr>
          <w:rFonts w:cs="Tahoma"/>
        </w:rPr>
      </w:pPr>
    </w:p>
    <w:p w14:paraId="78BD8D87" w14:textId="77777777" w:rsidR="006A280E" w:rsidRDefault="006A280E" w:rsidP="000D72F3">
      <w:pPr>
        <w:jc w:val="left"/>
        <w:rPr>
          <w:rFonts w:cs="Tahoma"/>
        </w:rPr>
      </w:pPr>
      <w:r w:rsidRPr="008568C4">
        <w:rPr>
          <w:rFonts w:cs="Tahoma"/>
        </w:rPr>
        <w:t>Although there has been some suggestion that the number of secure children’s homes places has fallen over time because of an increase in one-bed non-secure homes, the figures above suggest that this is not the case.</w:t>
      </w:r>
      <w:r w:rsidRPr="008568C4">
        <w:rPr>
          <w:rStyle w:val="FootnoteReference"/>
          <w:rFonts w:cs="Tahoma"/>
        </w:rPr>
        <w:footnoteReference w:id="36"/>
      </w:r>
      <w:r w:rsidRPr="008568C4">
        <w:rPr>
          <w:rFonts w:cs="Tahoma"/>
        </w:rPr>
        <w:t xml:space="preserve"> </w:t>
      </w:r>
      <w:r w:rsidRPr="00882616">
        <w:rPr>
          <w:rFonts w:cs="Tahoma"/>
        </w:rPr>
        <w:t>Of the 151 children’s homes that newly registered in 2016-17, only 4% (six homes) were one-bed homes, and only 23% (34 homes) were one to two-bed homes.</w:t>
      </w:r>
      <w:r w:rsidR="00544AF3">
        <w:rPr>
          <w:rFonts w:cs="Tahoma"/>
        </w:rPr>
        <w:t xml:space="preserve"> [Data Tables: Providers+places at 31 Mar 2017]</w:t>
      </w:r>
    </w:p>
    <w:p w14:paraId="1AEB6DE1" w14:textId="77777777" w:rsidR="00B63075" w:rsidRDefault="00B63075" w:rsidP="00301A4B">
      <w:pPr>
        <w:jc w:val="left"/>
      </w:pPr>
    </w:p>
    <w:p w14:paraId="54E311B3" w14:textId="77777777" w:rsidR="000D72F3" w:rsidRPr="006C184A" w:rsidRDefault="000D72F3" w:rsidP="00301A4B">
      <w:pPr>
        <w:pStyle w:val="Heading3"/>
      </w:pPr>
      <w:bookmarkStart w:id="78" w:name="_Toc491090876"/>
      <w:r w:rsidRPr="007562FF">
        <w:t>Overall effectiveness</w:t>
      </w:r>
      <w:r w:rsidRPr="006C184A" w:rsidDel="001535CF">
        <w:t xml:space="preserve"> </w:t>
      </w:r>
      <w:r w:rsidRPr="006C184A">
        <w:t>for all children’s homes</w:t>
      </w:r>
      <w:bookmarkEnd w:id="78"/>
      <w:r w:rsidRPr="006C184A">
        <w:t xml:space="preserve"> </w:t>
      </w:r>
    </w:p>
    <w:p w14:paraId="262AEC60" w14:textId="77777777" w:rsidR="000D72F3" w:rsidRDefault="000D72F3" w:rsidP="000D72F3">
      <w:pPr>
        <w:spacing w:after="240"/>
        <w:jc w:val="left"/>
        <w:rPr>
          <w:rFonts w:cs="Tahoma"/>
        </w:rPr>
      </w:pPr>
      <w:r>
        <w:rPr>
          <w:rFonts w:cs="Tahoma"/>
        </w:rPr>
        <w:t>There are two way</w:t>
      </w:r>
      <w:r w:rsidR="00C65673">
        <w:rPr>
          <w:rFonts w:cs="Tahoma"/>
        </w:rPr>
        <w:t>s to look at information about O</w:t>
      </w:r>
      <w:r>
        <w:rPr>
          <w:rFonts w:cs="Tahoma"/>
        </w:rPr>
        <w:t>verall effectiveness:</w:t>
      </w:r>
    </w:p>
    <w:p w14:paraId="57BAEB60" w14:textId="5D339D5E" w:rsidR="000D72F3" w:rsidRDefault="000D72F3" w:rsidP="000D72F3">
      <w:pPr>
        <w:numPr>
          <w:ilvl w:val="0"/>
          <w:numId w:val="38"/>
        </w:numPr>
        <w:spacing w:after="240"/>
        <w:jc w:val="left"/>
        <w:rPr>
          <w:rFonts w:cs="Tahoma"/>
        </w:rPr>
      </w:pPr>
      <w:r>
        <w:rPr>
          <w:rFonts w:cs="Tahoma"/>
        </w:rPr>
        <w:t xml:space="preserve">State of the nation: this looks at all providers active on 31 March 2017, and what their most recent inspection judgement was at this date; for each provider, only their most recent full inspection is included. Providers that have not yet had an inspection are </w:t>
      </w:r>
      <w:r w:rsidR="00EC44B4">
        <w:rPr>
          <w:rFonts w:cs="Tahoma"/>
        </w:rPr>
        <w:t>excluded</w:t>
      </w:r>
      <w:r>
        <w:rPr>
          <w:rFonts w:cs="Tahoma"/>
        </w:rPr>
        <w:t>; providers inspected prior to 1 April 2016 but not since will have their pre-2016 judgement included.</w:t>
      </w:r>
      <w:r w:rsidR="00544AF3">
        <w:rPr>
          <w:rFonts w:cs="Tahoma"/>
        </w:rPr>
        <w:t xml:space="preserve"> [Data Tables: Provider level at 31 March 2017]</w:t>
      </w:r>
    </w:p>
    <w:p w14:paraId="38E4AD2C" w14:textId="77777777" w:rsidR="000D72F3" w:rsidRPr="00B25120" w:rsidRDefault="000D72F3" w:rsidP="000D72F3">
      <w:pPr>
        <w:numPr>
          <w:ilvl w:val="0"/>
          <w:numId w:val="38"/>
        </w:numPr>
        <w:spacing w:after="240"/>
        <w:jc w:val="left"/>
        <w:rPr>
          <w:rFonts w:cs="Tahoma"/>
        </w:rPr>
      </w:pPr>
      <w:r>
        <w:rPr>
          <w:rFonts w:cs="Tahoma"/>
        </w:rPr>
        <w:t>In year: this looks at all inspections that took place between 1 April 2016 and 31 March 2017, and what judgement these resulted in; this will include providers that closed before the end of the year, and for some providers will include more than one inspection.</w:t>
      </w:r>
      <w:r>
        <w:rPr>
          <w:rStyle w:val="FootnoteReference"/>
          <w:rFonts w:cs="Tahoma"/>
        </w:rPr>
        <w:footnoteReference w:id="37"/>
      </w:r>
      <w:r>
        <w:rPr>
          <w:rFonts w:cs="Tahoma"/>
        </w:rPr>
        <w:t xml:space="preserve"> Some providers will be excluded as they were not inspected in the year.</w:t>
      </w:r>
      <w:r>
        <w:rPr>
          <w:rStyle w:val="FootnoteReference"/>
          <w:rFonts w:cs="Tahoma"/>
        </w:rPr>
        <w:footnoteReference w:id="38"/>
      </w:r>
      <w:r w:rsidR="00544AF3">
        <w:rPr>
          <w:rFonts w:cs="Tahoma"/>
        </w:rPr>
        <w:t xml:space="preserve"> [Data Tables: Provider level in year]</w:t>
      </w:r>
    </w:p>
    <w:p w14:paraId="37D44F05" w14:textId="77777777" w:rsidR="000D72F3" w:rsidRPr="006C184A" w:rsidRDefault="000D72F3" w:rsidP="000D72F3">
      <w:pPr>
        <w:pStyle w:val="Heading3"/>
      </w:pPr>
      <w:bookmarkStart w:id="79" w:name="_Toc454377345"/>
      <w:bookmarkStart w:id="80" w:name="_Toc486582156"/>
      <w:bookmarkStart w:id="81" w:name="_Toc491090877"/>
      <w:r>
        <w:t>S</w:t>
      </w:r>
      <w:r w:rsidRPr="00476E49">
        <w:t>tate of the nation</w:t>
      </w:r>
      <w:r w:rsidRPr="00763592">
        <w:t xml:space="preserve"> </w:t>
      </w:r>
      <w:r>
        <w:t xml:space="preserve">for </w:t>
      </w:r>
      <w:r w:rsidRPr="006C184A">
        <w:t xml:space="preserve">all children’s homes </w:t>
      </w:r>
      <w:r w:rsidRPr="00763592">
        <w:t>as at 31 March 201</w:t>
      </w:r>
      <w:bookmarkEnd w:id="79"/>
      <w:r>
        <w:t>7</w:t>
      </w:r>
      <w:bookmarkEnd w:id="80"/>
      <w:bookmarkEnd w:id="81"/>
    </w:p>
    <w:p w14:paraId="66E84B14" w14:textId="13087FCF" w:rsidR="00E64F13" w:rsidRDefault="00F05323" w:rsidP="000D72F3">
      <w:pPr>
        <w:spacing w:after="240"/>
        <w:jc w:val="left"/>
      </w:pPr>
      <w:r>
        <w:t xml:space="preserve">The proportion of children’s homes judged to be good or better was at its highest in the last five years. </w:t>
      </w:r>
      <w:r w:rsidR="00002BFF">
        <w:t>H</w:t>
      </w:r>
      <w:r w:rsidR="00E64F13" w:rsidRPr="00905A52">
        <w:t>omes in the North East</w:t>
      </w:r>
      <w:r w:rsidR="00E64F13">
        <w:t>,</w:t>
      </w:r>
      <w:r w:rsidR="0027056F">
        <w:t xml:space="preserve"> the South East, and</w:t>
      </w:r>
      <w:r w:rsidR="00E64F13" w:rsidRPr="00905A52">
        <w:t xml:space="preserve"> Yorkshire and the Humber were most likely to be </w:t>
      </w:r>
      <w:r w:rsidR="00002BFF">
        <w:t>judged</w:t>
      </w:r>
      <w:r w:rsidR="00E64F13" w:rsidRPr="00905A52">
        <w:t xml:space="preserve"> good or better.</w:t>
      </w:r>
      <w:r>
        <w:t xml:space="preserve"> A slightly larger proportion of LA-run homes were judged to be good or better than of private or voluntary-run homes.</w:t>
      </w:r>
    </w:p>
    <w:p w14:paraId="78953D6A" w14:textId="77777777" w:rsidR="000D72F3" w:rsidRDefault="000D72F3" w:rsidP="000D72F3">
      <w:pPr>
        <w:spacing w:after="240"/>
        <w:jc w:val="left"/>
        <w:rPr>
          <w:rFonts w:cs="Tahoma"/>
        </w:rPr>
      </w:pPr>
      <w:r w:rsidRPr="006C184A">
        <w:rPr>
          <w:rFonts w:cs="Tahoma"/>
        </w:rPr>
        <w:lastRenderedPageBreak/>
        <w:t xml:space="preserve">Of the </w:t>
      </w:r>
      <w:r>
        <w:rPr>
          <w:rFonts w:cs="Tahoma"/>
        </w:rPr>
        <w:t xml:space="preserve">2,145 </w:t>
      </w:r>
      <w:r w:rsidRPr="006C184A">
        <w:rPr>
          <w:rFonts w:cs="Tahoma"/>
        </w:rPr>
        <w:t xml:space="preserve">active homes of all types as at 31 March </w:t>
      </w:r>
      <w:r>
        <w:rPr>
          <w:rFonts w:cs="Tahoma"/>
        </w:rPr>
        <w:t>2017</w:t>
      </w:r>
      <w:r w:rsidRPr="006C184A">
        <w:rPr>
          <w:rFonts w:cs="Tahoma"/>
        </w:rPr>
        <w:t xml:space="preserve">, </w:t>
      </w:r>
      <w:r w:rsidR="00C65673">
        <w:rPr>
          <w:rFonts w:cs="Tahoma"/>
        </w:rPr>
        <w:t xml:space="preserve">in total </w:t>
      </w:r>
      <w:r>
        <w:rPr>
          <w:rFonts w:cs="Tahoma"/>
        </w:rPr>
        <w:t xml:space="preserve">2,018 </w:t>
      </w:r>
      <w:r w:rsidRPr="006C184A">
        <w:rPr>
          <w:rFonts w:cs="Tahoma"/>
        </w:rPr>
        <w:t>had received a full inspection</w:t>
      </w:r>
      <w:r>
        <w:rPr>
          <w:rFonts w:cs="Tahoma"/>
        </w:rPr>
        <w:t>.</w:t>
      </w:r>
      <w:r w:rsidRPr="006C184A">
        <w:rPr>
          <w:rFonts w:cs="Tahoma"/>
          <w:vertAlign w:val="superscript"/>
        </w:rPr>
        <w:footnoteReference w:id="39"/>
      </w:r>
      <w:r w:rsidRPr="006C184A">
        <w:rPr>
          <w:rFonts w:cs="Tahoma"/>
        </w:rPr>
        <w:t xml:space="preserve"> </w:t>
      </w:r>
      <w:r w:rsidR="00544AF3">
        <w:rPr>
          <w:rFonts w:cs="Tahoma"/>
        </w:rPr>
        <w:t>[Data Tables: Provider level at 31 Mar 2017]</w:t>
      </w:r>
    </w:p>
    <w:p w14:paraId="10621514" w14:textId="77777777" w:rsidR="000D72F3" w:rsidRPr="006C184A" w:rsidRDefault="000D72F3" w:rsidP="00544AF3">
      <w:pPr>
        <w:pStyle w:val="Caption"/>
      </w:pPr>
      <w:bookmarkStart w:id="82" w:name="_Toc486581669"/>
      <w:bookmarkStart w:id="83" w:name="_Toc491087631"/>
      <w:r w:rsidRPr="000557C5">
        <w:t>Chart 1</w:t>
      </w:r>
      <w:r w:rsidR="006154C0">
        <w:t>1</w:t>
      </w:r>
      <w:r w:rsidRPr="000557C5">
        <w:t>: Children’s homes latest Overall effectiveness judgement, as at 31 March 2017</w:t>
      </w:r>
      <w:bookmarkEnd w:id="82"/>
      <w:bookmarkEnd w:id="83"/>
    </w:p>
    <w:p w14:paraId="1DCF66A0" w14:textId="77777777" w:rsidR="000D72F3" w:rsidRDefault="00185995" w:rsidP="000D72F3">
      <w:pPr>
        <w:rPr>
          <w:noProof/>
        </w:rPr>
      </w:pPr>
      <w:r w:rsidRPr="00185995">
        <w:rPr>
          <w:noProof/>
        </w:rPr>
        <w:t xml:space="preserve"> </w:t>
      </w:r>
      <w:r>
        <w:rPr>
          <w:noProof/>
        </w:rPr>
        <w:drawing>
          <wp:inline distT="0" distB="0" distL="0" distR="0" wp14:anchorId="2E64ADF4" wp14:editId="677244D4">
            <wp:extent cx="5731510" cy="283972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839720"/>
                    </a:xfrm>
                    <a:prstGeom prst="rect">
                      <a:avLst/>
                    </a:prstGeom>
                  </pic:spPr>
                </pic:pic>
              </a:graphicData>
            </a:graphic>
          </wp:inline>
        </w:drawing>
      </w:r>
    </w:p>
    <w:p w14:paraId="38A0D11B" w14:textId="77777777" w:rsidR="00E64F13" w:rsidRDefault="00E64F13" w:rsidP="000D72F3"/>
    <w:p w14:paraId="0C82CF81" w14:textId="6FBBCE09" w:rsidR="00E64F13" w:rsidRDefault="00E64F13" w:rsidP="000D72F3">
      <w:pPr>
        <w:rPr>
          <w:noProof/>
        </w:rPr>
      </w:pPr>
      <w:r>
        <w:t xml:space="preserve">As at 31 March 2017, 82% </w:t>
      </w:r>
      <w:r w:rsidRPr="00905A52">
        <w:t xml:space="preserve">of </w:t>
      </w:r>
      <w:r>
        <w:t xml:space="preserve">all children’s </w:t>
      </w:r>
      <w:r w:rsidRPr="00905A52">
        <w:t>homes were good or better</w:t>
      </w:r>
      <w:r>
        <w:t xml:space="preserve">, compared </w:t>
      </w:r>
      <w:r w:rsidR="008C4815">
        <w:t>with</w:t>
      </w:r>
      <w:r>
        <w:t xml:space="preserve"> 79% the previous year</w:t>
      </w:r>
      <w:r w:rsidRPr="00905A52">
        <w:t xml:space="preserve">. </w:t>
      </w:r>
      <w:r>
        <w:t>This continue</w:t>
      </w:r>
      <w:r w:rsidR="00F05323">
        <w:t>d</w:t>
      </w:r>
      <w:r>
        <w:t xml:space="preserve"> the increase seen last year (from 70% as at 31 March 2015) and surpasse</w:t>
      </w:r>
      <w:r w:rsidR="00F05323">
        <w:t>d</w:t>
      </w:r>
      <w:r>
        <w:t xml:space="preserve"> the previous highest level of 81% good or better as at 31 March 2012.</w:t>
      </w:r>
      <w:r w:rsidR="00D15598">
        <w:t xml:space="preserve"> This ongoing increase is believed to be in part due to the impact of the quality standards on the quality of ca</w:t>
      </w:r>
      <w:r w:rsidR="00C65673">
        <w:t>r</w:t>
      </w:r>
      <w:r w:rsidR="00D15598">
        <w:t>e, as well as swift and firm responses by Ofsted to providers who do not meet these standards, demonstrated in increased enforcement work over time.</w:t>
      </w:r>
      <w:r w:rsidR="00512B34">
        <w:t xml:space="preserve"> [Data Tables: Latest OE 31 Mar Time Series]</w:t>
      </w:r>
    </w:p>
    <w:p w14:paraId="115F4169" w14:textId="77777777" w:rsidR="000D72F3" w:rsidRDefault="000D72F3" w:rsidP="000D72F3">
      <w:pPr>
        <w:rPr>
          <w:noProof/>
        </w:rPr>
      </w:pPr>
    </w:p>
    <w:p w14:paraId="0E5D1FCE" w14:textId="77777777" w:rsidR="000D72F3" w:rsidRPr="006C184A" w:rsidRDefault="000D72F3" w:rsidP="000D72F3">
      <w:pPr>
        <w:spacing w:after="240"/>
        <w:jc w:val="left"/>
        <w:rPr>
          <w:rFonts w:cs="Tahoma"/>
          <w:lang w:val="en"/>
        </w:rPr>
      </w:pPr>
      <w:r w:rsidRPr="006C184A">
        <w:rPr>
          <w:rFonts w:cs="Tahoma"/>
          <w:lang w:val="en"/>
        </w:rPr>
        <w:t>Nationally</w:t>
      </w:r>
      <w:r>
        <w:rPr>
          <w:rFonts w:cs="Tahoma"/>
          <w:lang w:val="en"/>
        </w:rPr>
        <w:t>,</w:t>
      </w:r>
      <w:r w:rsidRPr="006C184A">
        <w:rPr>
          <w:rFonts w:cs="Tahoma"/>
          <w:lang w:val="en"/>
        </w:rPr>
        <w:t xml:space="preserve"> </w:t>
      </w:r>
      <w:r w:rsidR="00ED7C96">
        <w:rPr>
          <w:rFonts w:cs="Tahoma"/>
          <w:lang w:val="en"/>
        </w:rPr>
        <w:t>LA</w:t>
      </w:r>
      <w:r w:rsidRPr="006C184A">
        <w:rPr>
          <w:rFonts w:cs="Tahoma"/>
          <w:lang w:val="en"/>
        </w:rPr>
        <w:t>-run homes</w:t>
      </w:r>
      <w:r>
        <w:rPr>
          <w:rFonts w:cs="Tahoma"/>
          <w:lang w:val="en"/>
        </w:rPr>
        <w:t xml:space="preserve"> (85%)</w:t>
      </w:r>
      <w:r w:rsidRPr="006C184A">
        <w:rPr>
          <w:rFonts w:cs="Tahoma"/>
          <w:lang w:val="en"/>
        </w:rPr>
        <w:t xml:space="preserve"> had </w:t>
      </w:r>
      <w:r>
        <w:rPr>
          <w:rFonts w:cs="Tahoma"/>
          <w:lang w:val="en"/>
        </w:rPr>
        <w:t xml:space="preserve">a slightly higher </w:t>
      </w:r>
      <w:r w:rsidRPr="00D72A2E">
        <w:rPr>
          <w:rFonts w:cs="Tahoma"/>
          <w:lang w:val="en"/>
        </w:rPr>
        <w:t>percentage</w:t>
      </w:r>
      <w:r w:rsidRPr="006C184A">
        <w:rPr>
          <w:rFonts w:cs="Tahoma"/>
          <w:lang w:val="en"/>
        </w:rPr>
        <w:t xml:space="preserve"> of good or better homes </w:t>
      </w:r>
      <w:r>
        <w:rPr>
          <w:rFonts w:cs="Tahoma"/>
          <w:lang w:val="en"/>
        </w:rPr>
        <w:t xml:space="preserve">than both </w:t>
      </w:r>
      <w:r w:rsidRPr="006C184A">
        <w:rPr>
          <w:rFonts w:cs="Tahoma"/>
          <w:lang w:val="en"/>
        </w:rPr>
        <w:t>the voluntary (</w:t>
      </w:r>
      <w:r>
        <w:rPr>
          <w:rFonts w:cs="Tahoma"/>
          <w:lang w:val="en"/>
        </w:rPr>
        <w:t>83</w:t>
      </w:r>
      <w:r w:rsidRPr="006C184A">
        <w:rPr>
          <w:rFonts w:cs="Tahoma"/>
          <w:lang w:val="en"/>
        </w:rPr>
        <w:t>%) and</w:t>
      </w:r>
      <w:r>
        <w:rPr>
          <w:rFonts w:cs="Tahoma"/>
          <w:lang w:val="en"/>
        </w:rPr>
        <w:t xml:space="preserve"> </w:t>
      </w:r>
      <w:r w:rsidRPr="006C184A">
        <w:rPr>
          <w:rFonts w:cs="Tahoma"/>
          <w:lang w:val="en"/>
        </w:rPr>
        <w:t>the private (</w:t>
      </w:r>
      <w:r>
        <w:rPr>
          <w:rFonts w:cs="Tahoma"/>
          <w:lang w:val="en"/>
        </w:rPr>
        <w:t>80</w:t>
      </w:r>
      <w:r w:rsidRPr="006C184A">
        <w:rPr>
          <w:rFonts w:cs="Tahoma"/>
          <w:lang w:val="en"/>
        </w:rPr>
        <w:t>%)</w:t>
      </w:r>
      <w:r>
        <w:rPr>
          <w:rFonts w:cs="Tahoma"/>
          <w:lang w:val="en"/>
        </w:rPr>
        <w:t xml:space="preserve"> sectors</w:t>
      </w:r>
      <w:r w:rsidRPr="006C184A">
        <w:rPr>
          <w:rFonts w:cs="Tahoma"/>
          <w:lang w:val="en"/>
        </w:rPr>
        <w:t xml:space="preserve">. </w:t>
      </w:r>
    </w:p>
    <w:p w14:paraId="2599E054" w14:textId="77777777" w:rsidR="000D72F3" w:rsidRDefault="000D72F3" w:rsidP="000D72F3">
      <w:pPr>
        <w:spacing w:after="240"/>
        <w:jc w:val="left"/>
        <w:rPr>
          <w:rFonts w:cs="Tahoma"/>
          <w:lang w:val="en"/>
        </w:rPr>
      </w:pPr>
      <w:r w:rsidRPr="006C184A">
        <w:rPr>
          <w:rFonts w:cs="Tahoma"/>
          <w:lang w:val="en"/>
        </w:rPr>
        <w:t xml:space="preserve">All </w:t>
      </w:r>
      <w:r>
        <w:rPr>
          <w:rFonts w:cs="Tahoma"/>
          <w:lang w:val="en"/>
        </w:rPr>
        <w:t xml:space="preserve">but one of the eight </w:t>
      </w:r>
      <w:r w:rsidRPr="006C184A">
        <w:rPr>
          <w:rFonts w:cs="Tahoma"/>
          <w:lang w:val="en"/>
        </w:rPr>
        <w:t>health authority-run homes inspected were judged good or better.</w:t>
      </w:r>
    </w:p>
    <w:p w14:paraId="1B3FBCBA" w14:textId="77777777" w:rsidR="00CD52DA" w:rsidRPr="006C184A" w:rsidRDefault="00544AF3" w:rsidP="00F665CE">
      <w:pPr>
        <w:pStyle w:val="Caption"/>
        <w:spacing w:after="120"/>
      </w:pPr>
      <w:bookmarkStart w:id="84" w:name="_Toc454377026"/>
      <w:bookmarkStart w:id="85" w:name="_Toc486581670"/>
      <w:r>
        <w:br w:type="page"/>
      </w:r>
      <w:bookmarkStart w:id="86" w:name="_Toc491087632"/>
      <w:r w:rsidR="000D72F3" w:rsidRPr="006C184A">
        <w:lastRenderedPageBreak/>
        <w:t xml:space="preserve">Chart </w:t>
      </w:r>
      <w:r w:rsidR="000D72F3">
        <w:t>1</w:t>
      </w:r>
      <w:r w:rsidR="006154C0">
        <w:t>2</w:t>
      </w:r>
      <w:r w:rsidR="000D72F3" w:rsidRPr="006C184A">
        <w:t xml:space="preserve">: Children’s homes latest </w:t>
      </w:r>
      <w:r w:rsidR="000D72F3" w:rsidRPr="00F1644C">
        <w:t>Overall effectiveness</w:t>
      </w:r>
      <w:r w:rsidR="000D72F3" w:rsidRPr="006C184A">
        <w:t xml:space="preserve"> inspection judgement, as at 31 March 20</w:t>
      </w:r>
      <w:r w:rsidR="000D72F3">
        <w:t>17</w:t>
      </w:r>
      <w:r w:rsidR="000D72F3" w:rsidRPr="006C184A">
        <w:t>, by region</w:t>
      </w:r>
      <w:bookmarkEnd w:id="84"/>
      <w:bookmarkEnd w:id="85"/>
      <w:bookmarkEnd w:id="86"/>
    </w:p>
    <w:p w14:paraId="7737E69C" w14:textId="77777777" w:rsidR="000D72F3" w:rsidRPr="006C184A" w:rsidRDefault="00CD52DA" w:rsidP="00F665CE">
      <w:pPr>
        <w:rPr>
          <w:rFonts w:cs="Tahoma"/>
          <w:lang w:val="en"/>
        </w:rPr>
      </w:pPr>
      <w:r>
        <w:rPr>
          <w:noProof/>
        </w:rPr>
        <w:drawing>
          <wp:inline distT="0" distB="0" distL="0" distR="0" wp14:anchorId="25C75508" wp14:editId="6B15C97A">
            <wp:extent cx="5731510" cy="229362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293620"/>
                    </a:xfrm>
                    <a:prstGeom prst="rect">
                      <a:avLst/>
                    </a:prstGeom>
                  </pic:spPr>
                </pic:pic>
              </a:graphicData>
            </a:graphic>
          </wp:inline>
        </w:drawing>
      </w:r>
    </w:p>
    <w:p w14:paraId="3696F3F8" w14:textId="77777777" w:rsidR="00CD52DA" w:rsidRDefault="00CD52DA" w:rsidP="000D72F3">
      <w:pPr>
        <w:jc w:val="left"/>
        <w:rPr>
          <w:rFonts w:cs="Tahoma"/>
        </w:rPr>
      </w:pPr>
    </w:p>
    <w:p w14:paraId="581A5054" w14:textId="77777777" w:rsidR="00E64F13" w:rsidRDefault="000D72F3" w:rsidP="000D72F3">
      <w:pPr>
        <w:jc w:val="left"/>
        <w:rPr>
          <w:rFonts w:cs="Tahoma"/>
        </w:rPr>
      </w:pPr>
      <w:r>
        <w:rPr>
          <w:rFonts w:cs="Tahoma"/>
        </w:rPr>
        <w:t>The North East, the South East</w:t>
      </w:r>
      <w:r w:rsidR="00C65673">
        <w:rPr>
          <w:rFonts w:cs="Tahoma"/>
        </w:rPr>
        <w:t>,</w:t>
      </w:r>
      <w:r>
        <w:rPr>
          <w:rFonts w:cs="Tahoma"/>
        </w:rPr>
        <w:t xml:space="preserve"> and the Yorkshire and the Humber regions </w:t>
      </w:r>
      <w:r w:rsidRPr="006C184A">
        <w:rPr>
          <w:rFonts w:cs="Tahoma"/>
        </w:rPr>
        <w:t xml:space="preserve">had the highest </w:t>
      </w:r>
      <w:r>
        <w:rPr>
          <w:rFonts w:cs="Tahoma"/>
        </w:rPr>
        <w:t>percentages</w:t>
      </w:r>
      <w:r w:rsidRPr="006C184A">
        <w:rPr>
          <w:rFonts w:cs="Tahoma"/>
        </w:rPr>
        <w:t xml:space="preserve"> of good or better homes, </w:t>
      </w:r>
      <w:r>
        <w:rPr>
          <w:rFonts w:cs="Tahoma"/>
        </w:rPr>
        <w:t xml:space="preserve">all </w:t>
      </w:r>
      <w:r w:rsidRPr="006C184A">
        <w:rPr>
          <w:rFonts w:cs="Tahoma"/>
        </w:rPr>
        <w:t xml:space="preserve">at </w:t>
      </w:r>
      <w:r>
        <w:rPr>
          <w:rFonts w:cs="Tahoma"/>
        </w:rPr>
        <w:t>89</w:t>
      </w:r>
      <w:r w:rsidRPr="006C184A">
        <w:rPr>
          <w:rFonts w:cs="Tahoma"/>
        </w:rPr>
        <w:t>%.</w:t>
      </w:r>
      <w:r>
        <w:rPr>
          <w:rFonts w:cs="Tahoma"/>
        </w:rPr>
        <w:t xml:space="preserve"> </w:t>
      </w:r>
      <w:r w:rsidRPr="006C184A">
        <w:rPr>
          <w:rFonts w:cs="Tahoma"/>
        </w:rPr>
        <w:t xml:space="preserve">The region with the lowest </w:t>
      </w:r>
      <w:r>
        <w:rPr>
          <w:rFonts w:cs="Tahoma"/>
        </w:rPr>
        <w:t>percentage</w:t>
      </w:r>
      <w:r w:rsidRPr="006C184A">
        <w:rPr>
          <w:rFonts w:cs="Tahoma"/>
        </w:rPr>
        <w:t xml:space="preserve"> of good or better homes was the South West (</w:t>
      </w:r>
      <w:r>
        <w:rPr>
          <w:rFonts w:cs="Tahoma"/>
        </w:rPr>
        <w:t>62</w:t>
      </w:r>
      <w:r w:rsidRPr="006C184A">
        <w:rPr>
          <w:rFonts w:cs="Tahoma"/>
        </w:rPr>
        <w:t>%)</w:t>
      </w:r>
      <w:r>
        <w:rPr>
          <w:rFonts w:cs="Tahoma"/>
        </w:rPr>
        <w:t xml:space="preserve">. </w:t>
      </w:r>
    </w:p>
    <w:p w14:paraId="04887B30" w14:textId="77777777" w:rsidR="00544AF3" w:rsidRDefault="00544AF3" w:rsidP="000D72F3">
      <w:pPr>
        <w:jc w:val="left"/>
        <w:rPr>
          <w:rFonts w:cs="Tahoma"/>
        </w:rPr>
      </w:pPr>
    </w:p>
    <w:p w14:paraId="02EA9DA8" w14:textId="77777777" w:rsidR="000D72F3" w:rsidRDefault="000D72F3" w:rsidP="000D72F3">
      <w:pPr>
        <w:jc w:val="left"/>
        <w:rPr>
          <w:rFonts w:cs="Tahoma"/>
        </w:rPr>
      </w:pPr>
      <w:r>
        <w:rPr>
          <w:rFonts w:cs="Tahoma"/>
        </w:rPr>
        <w:t>Ofsted re-inspects inadequate provision until it either improves or ceases to be registered. For this reason, the number of inadequate homes in the state of the nation is much lower than the number of inspections resulting in an inadequate judgement in 2016-17. Children’s homes inspected more than once in 2016-17 are addressed later in this release.</w:t>
      </w:r>
    </w:p>
    <w:p w14:paraId="7DAEF8DD" w14:textId="77777777" w:rsidR="00E64F13" w:rsidRDefault="00E64F13" w:rsidP="000D72F3">
      <w:pPr>
        <w:pStyle w:val="Heading3"/>
      </w:pPr>
      <w:bookmarkStart w:id="87" w:name="_Toc486582157"/>
    </w:p>
    <w:p w14:paraId="3C8E3764" w14:textId="77777777" w:rsidR="000D72F3" w:rsidRDefault="00544AF3" w:rsidP="000D72F3">
      <w:pPr>
        <w:pStyle w:val="Heading3"/>
      </w:pPr>
      <w:r>
        <w:br w:type="page"/>
      </w:r>
      <w:bookmarkStart w:id="88" w:name="_Toc491090878"/>
      <w:r w:rsidR="00E64F13">
        <w:lastRenderedPageBreak/>
        <w:t>All c</w:t>
      </w:r>
      <w:r w:rsidR="000D72F3">
        <w:t>hildren’s homes inspections in year 2016-17</w:t>
      </w:r>
      <w:bookmarkEnd w:id="87"/>
      <w:bookmarkEnd w:id="88"/>
    </w:p>
    <w:p w14:paraId="36EFC089" w14:textId="20BD6D3F" w:rsidR="00E12B97" w:rsidRDefault="00E12B97" w:rsidP="00301A4B">
      <w:r w:rsidRPr="000557C5">
        <w:t xml:space="preserve">Whilst a similar proportion of inspections in 2016-17 resulted in a good or better outcome compared </w:t>
      </w:r>
      <w:r w:rsidR="008C4815">
        <w:t>with</w:t>
      </w:r>
      <w:r w:rsidRPr="000557C5">
        <w:t xml:space="preserve"> </w:t>
      </w:r>
      <w:r w:rsidR="00C65673">
        <w:t>2015-16</w:t>
      </w:r>
      <w:r w:rsidRPr="000557C5">
        <w:t xml:space="preserve">, proportionally fewer homes this year were judged requires improvement to be good. This meant that proportionally more homes were judged inadequate </w:t>
      </w:r>
      <w:r>
        <w:t xml:space="preserve">this year </w:t>
      </w:r>
      <w:r w:rsidRPr="000557C5">
        <w:t>than in 2015-16.</w:t>
      </w:r>
    </w:p>
    <w:p w14:paraId="26BA0D01" w14:textId="77777777" w:rsidR="00E12B97" w:rsidRPr="00E12B97" w:rsidRDefault="00E12B97" w:rsidP="00301A4B"/>
    <w:p w14:paraId="4A91B2E8" w14:textId="77777777" w:rsidR="000D72F3" w:rsidRDefault="000D72F3" w:rsidP="000D72F3">
      <w:pPr>
        <w:pStyle w:val="Caption"/>
      </w:pPr>
      <w:bookmarkStart w:id="89" w:name="_Toc454377021"/>
      <w:bookmarkStart w:id="90" w:name="_Toc486581671"/>
      <w:bookmarkStart w:id="91" w:name="_Toc491087633"/>
      <w:r w:rsidRPr="006C184A">
        <w:t>Chart 1</w:t>
      </w:r>
      <w:r w:rsidR="006154C0">
        <w:t>3</w:t>
      </w:r>
      <w:r w:rsidRPr="006C184A">
        <w:t xml:space="preserve">: Children’s homes </w:t>
      </w:r>
      <w:r w:rsidRPr="001E78B0">
        <w:t>Overall effectiveness</w:t>
      </w:r>
      <w:r w:rsidRPr="006C184A">
        <w:t xml:space="preserve"> judgements </w:t>
      </w:r>
      <w:r>
        <w:t>2016-1</w:t>
      </w:r>
      <w:bookmarkEnd w:id="89"/>
      <w:r>
        <w:t>7</w:t>
      </w:r>
      <w:bookmarkEnd w:id="90"/>
      <w:bookmarkEnd w:id="91"/>
    </w:p>
    <w:p w14:paraId="52895C6D" w14:textId="77777777" w:rsidR="000D72F3" w:rsidRPr="006C184A" w:rsidRDefault="00CD52DA" w:rsidP="000D72F3">
      <w:pPr>
        <w:spacing w:after="240"/>
        <w:jc w:val="left"/>
        <w:rPr>
          <w:rFonts w:cs="Tahoma"/>
        </w:rPr>
      </w:pPr>
      <w:r>
        <w:rPr>
          <w:rFonts w:cs="Tahoma"/>
          <w:noProof/>
        </w:rPr>
        <w:drawing>
          <wp:inline distT="0" distB="0" distL="0" distR="0" wp14:anchorId="3DDF48A7" wp14:editId="39F307E9">
            <wp:extent cx="4953000" cy="22631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JPG"/>
                    <pic:cNvPicPr/>
                  </pic:nvPicPr>
                  <pic:blipFill>
                    <a:blip r:embed="rId32">
                      <a:extLst>
                        <a:ext uri="{28A0092B-C50C-407E-A947-70E740481C1C}">
                          <a14:useLocalDpi xmlns:a14="http://schemas.microsoft.com/office/drawing/2010/main" val="0"/>
                        </a:ext>
                      </a:extLst>
                    </a:blip>
                    <a:stretch>
                      <a:fillRect/>
                    </a:stretch>
                  </pic:blipFill>
                  <pic:spPr>
                    <a:xfrm>
                      <a:off x="0" y="0"/>
                      <a:ext cx="4953000" cy="2263140"/>
                    </a:xfrm>
                    <a:prstGeom prst="rect">
                      <a:avLst/>
                    </a:prstGeom>
                  </pic:spPr>
                </pic:pic>
              </a:graphicData>
            </a:graphic>
          </wp:inline>
        </w:drawing>
      </w:r>
    </w:p>
    <w:p w14:paraId="7AAB9BE2" w14:textId="77777777" w:rsidR="000D72F3" w:rsidRDefault="000D72F3" w:rsidP="000D72F3">
      <w:pPr>
        <w:spacing w:after="240"/>
        <w:jc w:val="left"/>
        <w:rPr>
          <w:rFonts w:cs="Tahoma"/>
        </w:rPr>
      </w:pPr>
      <w:r w:rsidRPr="006C184A">
        <w:rPr>
          <w:rFonts w:cs="Tahoma"/>
        </w:rPr>
        <w:t xml:space="preserve">There were </w:t>
      </w:r>
      <w:r>
        <w:rPr>
          <w:rFonts w:cs="Tahoma"/>
        </w:rPr>
        <w:t>2,137</w:t>
      </w:r>
      <w:r w:rsidRPr="006C184A">
        <w:rPr>
          <w:rFonts w:cs="Tahoma"/>
        </w:rPr>
        <w:t xml:space="preserve"> full inspections of </w:t>
      </w:r>
      <w:r w:rsidRPr="00905A52">
        <w:rPr>
          <w:rFonts w:cs="Tahoma"/>
        </w:rPr>
        <w:t>all</w:t>
      </w:r>
      <w:r w:rsidRPr="00466449">
        <w:rPr>
          <w:rFonts w:cs="Tahoma"/>
        </w:rPr>
        <w:t xml:space="preserve"> </w:t>
      </w:r>
      <w:r w:rsidRPr="006C184A">
        <w:rPr>
          <w:rFonts w:cs="Tahoma"/>
        </w:rPr>
        <w:t>types of children’s homes between 1 April 201</w:t>
      </w:r>
      <w:r>
        <w:rPr>
          <w:rFonts w:cs="Tahoma"/>
        </w:rPr>
        <w:t>6</w:t>
      </w:r>
      <w:r w:rsidRPr="006C184A">
        <w:rPr>
          <w:rFonts w:cs="Tahoma"/>
        </w:rPr>
        <w:t xml:space="preserve"> and 31 March 201</w:t>
      </w:r>
      <w:r>
        <w:rPr>
          <w:rFonts w:cs="Tahoma"/>
        </w:rPr>
        <w:t>7,</w:t>
      </w:r>
      <w:r w:rsidR="00C65673">
        <w:rPr>
          <w:rFonts w:cs="Tahoma"/>
        </w:rPr>
        <w:t xml:space="preserve"> equating to</w:t>
      </w:r>
      <w:r>
        <w:rPr>
          <w:rFonts w:cs="Tahoma"/>
        </w:rPr>
        <w:t xml:space="preserve"> 77 more than in the previous year.</w:t>
      </w:r>
      <w:r>
        <w:rPr>
          <w:rStyle w:val="FootnoteReference"/>
          <w:rFonts w:cs="Tahoma"/>
        </w:rPr>
        <w:footnoteReference w:id="40"/>
      </w:r>
      <w:r w:rsidR="00544AF3">
        <w:rPr>
          <w:rFonts w:cs="Tahoma"/>
        </w:rPr>
        <w:t xml:space="preserve"> [Data Tables: Provider level in year]</w:t>
      </w:r>
    </w:p>
    <w:p w14:paraId="24882896" w14:textId="77777777" w:rsidR="000D72F3" w:rsidRPr="00BF73D2" w:rsidRDefault="000D72F3" w:rsidP="000D72F3">
      <w:pPr>
        <w:spacing w:after="240"/>
        <w:jc w:val="left"/>
        <w:rPr>
          <w:rFonts w:cs="Tahoma"/>
        </w:rPr>
      </w:pPr>
      <w:r w:rsidRPr="006C184A">
        <w:rPr>
          <w:rFonts w:cs="Tahoma"/>
        </w:rPr>
        <w:t>The</w:t>
      </w:r>
      <w:r>
        <w:rPr>
          <w:rFonts w:cs="Tahoma"/>
        </w:rPr>
        <w:t xml:space="preserve"> </w:t>
      </w:r>
      <w:r w:rsidRPr="006C184A">
        <w:rPr>
          <w:rFonts w:cs="Tahoma"/>
        </w:rPr>
        <w:t xml:space="preserve">pattern of outcome judgements </w:t>
      </w:r>
      <w:r>
        <w:rPr>
          <w:rFonts w:cs="Tahoma"/>
        </w:rPr>
        <w:t xml:space="preserve">was very similar to the previous year. </w:t>
      </w:r>
      <w:r w:rsidR="00E64F13">
        <w:rPr>
          <w:rFonts w:cs="Tahoma"/>
        </w:rPr>
        <w:t>The percentage of children’s homes judged good or better increased by one percentage point</w:t>
      </w:r>
      <w:r w:rsidRPr="006C184A">
        <w:rPr>
          <w:rFonts w:cs="Tahoma"/>
        </w:rPr>
        <w:t xml:space="preserve"> </w:t>
      </w:r>
      <w:r w:rsidR="009B4BFF">
        <w:rPr>
          <w:rFonts w:cs="Tahoma"/>
        </w:rPr>
        <w:t>to 76%</w:t>
      </w:r>
      <w:r w:rsidR="00E64F13">
        <w:rPr>
          <w:rFonts w:cs="Tahoma"/>
        </w:rPr>
        <w:t>; for homes judged inadequate, the increase was two percentage points (</w:t>
      </w:r>
      <w:r w:rsidR="009B4BFF">
        <w:rPr>
          <w:rFonts w:cs="Tahoma"/>
        </w:rPr>
        <w:t>to 7</w:t>
      </w:r>
      <w:r w:rsidR="00E64F13">
        <w:rPr>
          <w:rFonts w:cs="Tahoma"/>
        </w:rPr>
        <w:t>%)</w:t>
      </w:r>
      <w:r>
        <w:rPr>
          <w:rFonts w:cs="Tahoma"/>
        </w:rPr>
        <w:t xml:space="preserve">. </w:t>
      </w:r>
      <w:r w:rsidR="00E64F13">
        <w:rPr>
          <w:rFonts w:cs="Tahoma"/>
        </w:rPr>
        <w:t>In contrast, the percentage</w:t>
      </w:r>
      <w:r>
        <w:rPr>
          <w:rFonts w:cs="Tahoma"/>
        </w:rPr>
        <w:t xml:space="preserve"> of requires improvement to be good outcomes </w:t>
      </w:r>
      <w:r w:rsidR="00E64F13">
        <w:rPr>
          <w:rFonts w:cs="Tahoma"/>
        </w:rPr>
        <w:t xml:space="preserve">decreased </w:t>
      </w:r>
      <w:r>
        <w:rPr>
          <w:rFonts w:cs="Tahoma"/>
        </w:rPr>
        <w:t>by three percentage points (</w:t>
      </w:r>
      <w:r w:rsidR="009B4BFF">
        <w:rPr>
          <w:rFonts w:cs="Tahoma"/>
        </w:rPr>
        <w:t>to 17%</w:t>
      </w:r>
      <w:r>
        <w:rPr>
          <w:rFonts w:cs="Tahoma"/>
        </w:rPr>
        <w:t>).</w:t>
      </w:r>
      <w:r>
        <w:rPr>
          <w:rStyle w:val="FootnoteReference"/>
          <w:rFonts w:cs="Tahoma"/>
        </w:rPr>
        <w:footnoteReference w:id="41"/>
      </w:r>
      <w:r w:rsidR="00D15598">
        <w:rPr>
          <w:rFonts w:cs="Tahoma"/>
        </w:rPr>
        <w:t xml:space="preserve"> These changes are likely to be a result of further embedding of the quality standards since their introduction in 2015, leading both to improved quality of care, and, where homes have not been able to address continued issues in their practice, t</w:t>
      </w:r>
      <w:r w:rsidR="00C65673">
        <w:rPr>
          <w:rFonts w:cs="Tahoma"/>
        </w:rPr>
        <w:t>hose being judged as inadequate.</w:t>
      </w:r>
    </w:p>
    <w:p w14:paraId="1689C328" w14:textId="77777777" w:rsidR="000D72F3" w:rsidRPr="006C184A" w:rsidRDefault="000D72F3" w:rsidP="000D72F3">
      <w:pPr>
        <w:spacing w:after="240"/>
        <w:jc w:val="left"/>
        <w:rPr>
          <w:rFonts w:cs="Tahoma"/>
        </w:rPr>
      </w:pPr>
      <w:r>
        <w:rPr>
          <w:rFonts w:cs="Tahoma"/>
        </w:rPr>
        <w:t>One hundred and twenty eight</w:t>
      </w:r>
      <w:r w:rsidRPr="006C184A">
        <w:rPr>
          <w:rFonts w:cs="Tahoma"/>
        </w:rPr>
        <w:t xml:space="preserve"> homes were judged inadequate at </w:t>
      </w:r>
      <w:r>
        <w:rPr>
          <w:rFonts w:cs="Tahoma"/>
        </w:rPr>
        <w:t xml:space="preserve">least once during </w:t>
      </w:r>
      <w:r w:rsidRPr="006C184A">
        <w:rPr>
          <w:rFonts w:cs="Tahoma"/>
        </w:rPr>
        <w:t>the year</w:t>
      </w:r>
      <w:r w:rsidR="00EF249A">
        <w:rPr>
          <w:rFonts w:cs="Tahoma"/>
        </w:rPr>
        <w:t xml:space="preserve">. </w:t>
      </w:r>
      <w:r w:rsidR="00EF249A" w:rsidRPr="00E8692A">
        <w:rPr>
          <w:rFonts w:cs="Tahoma"/>
        </w:rPr>
        <w:t>All but three of the</w:t>
      </w:r>
      <w:r w:rsidR="00C1017C">
        <w:rPr>
          <w:rFonts w:cs="Tahoma"/>
        </w:rPr>
        <w:t>se</w:t>
      </w:r>
      <w:r w:rsidR="00EF249A" w:rsidRPr="00E8692A">
        <w:rPr>
          <w:rFonts w:cs="Tahoma"/>
        </w:rPr>
        <w:t xml:space="preserve"> homes were judged inadequate at their first full inspection of the 2016-17 inspection cycle.</w:t>
      </w:r>
      <w:r w:rsidR="00EF249A">
        <w:rPr>
          <w:rStyle w:val="FootnoteReference"/>
          <w:rFonts w:cs="Tahoma"/>
        </w:rPr>
        <w:footnoteReference w:id="42"/>
      </w:r>
      <w:r w:rsidR="00EF249A">
        <w:rPr>
          <w:rFonts w:cs="Tahoma"/>
        </w:rPr>
        <w:t xml:space="preserve"> Of the</w:t>
      </w:r>
      <w:r w:rsidR="00C1017C">
        <w:rPr>
          <w:rFonts w:cs="Tahoma"/>
        </w:rPr>
        <w:t xml:space="preserve"> 128 homes in total</w:t>
      </w:r>
      <w:r w:rsidR="00EF249A">
        <w:rPr>
          <w:rFonts w:cs="Tahoma"/>
        </w:rPr>
        <w:t>,</w:t>
      </w:r>
      <w:r>
        <w:rPr>
          <w:rFonts w:cs="Tahoma"/>
        </w:rPr>
        <w:t xml:space="preserve"> 22 </w:t>
      </w:r>
      <w:r w:rsidR="00EF249A">
        <w:rPr>
          <w:rFonts w:cs="Tahoma"/>
        </w:rPr>
        <w:t>were</w:t>
      </w:r>
      <w:r>
        <w:rPr>
          <w:rFonts w:cs="Tahoma"/>
        </w:rPr>
        <w:t xml:space="preserve"> judged inadequate twice and one judged inadequate on three occasions</w:t>
      </w:r>
      <w:r w:rsidRPr="006C184A">
        <w:rPr>
          <w:rFonts w:cs="Tahoma"/>
        </w:rPr>
        <w:t>.</w:t>
      </w:r>
      <w:r w:rsidR="000A11C0">
        <w:rPr>
          <w:rStyle w:val="FootnoteReference"/>
          <w:rFonts w:cs="Tahoma"/>
        </w:rPr>
        <w:footnoteReference w:id="43"/>
      </w:r>
      <w:r w:rsidRPr="006C184A">
        <w:rPr>
          <w:rFonts w:cs="Tahoma"/>
        </w:rPr>
        <w:t xml:space="preserve"> </w:t>
      </w:r>
    </w:p>
    <w:p w14:paraId="3E10A601" w14:textId="77777777" w:rsidR="002F2635" w:rsidRDefault="00C1017C" w:rsidP="00301A4B">
      <w:pPr>
        <w:spacing w:after="240"/>
        <w:jc w:val="left"/>
        <w:rPr>
          <w:rFonts w:cs="Tahoma"/>
        </w:rPr>
      </w:pPr>
      <w:r>
        <w:rPr>
          <w:rFonts w:cs="Tahoma"/>
        </w:rPr>
        <w:lastRenderedPageBreak/>
        <w:t xml:space="preserve">As the above </w:t>
      </w:r>
      <w:r w:rsidR="00FE3AE3">
        <w:rPr>
          <w:rFonts w:cs="Tahoma"/>
        </w:rPr>
        <w:t>indicate</w:t>
      </w:r>
      <w:r>
        <w:rPr>
          <w:rFonts w:cs="Tahoma"/>
        </w:rPr>
        <w:t xml:space="preserve">s, homes inspected on more than one occasion, and judged inadequate, generally improved at their subsequent inspection in year. In total, </w:t>
      </w:r>
      <w:r w:rsidR="000D72F3">
        <w:rPr>
          <w:rFonts w:cs="Tahoma"/>
        </w:rPr>
        <w:t xml:space="preserve">103 children’s homes, of all types, </w:t>
      </w:r>
      <w:r w:rsidR="002F2635">
        <w:rPr>
          <w:rFonts w:cs="Tahoma"/>
        </w:rPr>
        <w:t>received more than one full inspection</w:t>
      </w:r>
      <w:r w:rsidR="000D72F3">
        <w:rPr>
          <w:rFonts w:cs="Tahoma"/>
        </w:rPr>
        <w:t xml:space="preserve"> in 2016-17.</w:t>
      </w:r>
      <w:r w:rsidR="000D72F3">
        <w:rPr>
          <w:rStyle w:val="FootnoteReference"/>
          <w:rFonts w:cs="Tahoma"/>
        </w:rPr>
        <w:footnoteReference w:id="44"/>
      </w:r>
      <w:r w:rsidR="000D72F3">
        <w:rPr>
          <w:rFonts w:cs="Tahoma"/>
        </w:rPr>
        <w:t xml:space="preserve"> </w:t>
      </w:r>
    </w:p>
    <w:p w14:paraId="1FBD515A" w14:textId="77777777" w:rsidR="002F2635" w:rsidRDefault="000D72F3" w:rsidP="002F2635">
      <w:pPr>
        <w:jc w:val="left"/>
        <w:rPr>
          <w:rFonts w:cs="Tahoma"/>
        </w:rPr>
      </w:pPr>
      <w:r>
        <w:rPr>
          <w:rFonts w:cs="Tahoma"/>
        </w:rPr>
        <w:t xml:space="preserve">Of </w:t>
      </w:r>
      <w:r w:rsidR="00FE3AE3">
        <w:rPr>
          <w:rFonts w:cs="Tahoma"/>
        </w:rPr>
        <w:t>these</w:t>
      </w:r>
      <w:r>
        <w:rPr>
          <w:rFonts w:cs="Tahoma"/>
        </w:rPr>
        <w:t>, 100 were judged inadequate at their first inspection in the year</w:t>
      </w:r>
      <w:r w:rsidR="002F2635">
        <w:rPr>
          <w:rFonts w:cs="Tahoma"/>
        </w:rPr>
        <w:t>:</w:t>
      </w:r>
    </w:p>
    <w:p w14:paraId="3CE6AD22" w14:textId="77777777" w:rsidR="002F2635" w:rsidRDefault="000D72F3" w:rsidP="00301A4B">
      <w:pPr>
        <w:numPr>
          <w:ilvl w:val="0"/>
          <w:numId w:val="43"/>
        </w:numPr>
        <w:spacing w:after="240"/>
        <w:jc w:val="left"/>
        <w:rPr>
          <w:rFonts w:cs="Tahoma"/>
        </w:rPr>
      </w:pPr>
      <w:r>
        <w:rPr>
          <w:rFonts w:cs="Tahoma"/>
        </w:rPr>
        <w:t>Seventy-nine improved to either requires improvement to be good (46) or good (33) at their second inspection in the year</w:t>
      </w:r>
      <w:r w:rsidR="00C65673">
        <w:rPr>
          <w:rFonts w:cs="Tahoma"/>
        </w:rPr>
        <w:t>;</w:t>
      </w:r>
      <w:r w:rsidR="00EA0165">
        <w:rPr>
          <w:rFonts w:cs="Tahoma"/>
        </w:rPr>
        <w:t xml:space="preserve"> </w:t>
      </w:r>
    </w:p>
    <w:p w14:paraId="788CB71B" w14:textId="77777777" w:rsidR="002F2635" w:rsidRDefault="002F2635" w:rsidP="00301A4B">
      <w:pPr>
        <w:numPr>
          <w:ilvl w:val="0"/>
          <w:numId w:val="43"/>
        </w:numPr>
        <w:spacing w:after="240"/>
        <w:jc w:val="left"/>
        <w:rPr>
          <w:rFonts w:cs="Tahoma"/>
        </w:rPr>
      </w:pPr>
      <w:r>
        <w:rPr>
          <w:rFonts w:cs="Tahoma"/>
        </w:rPr>
        <w:t xml:space="preserve">Fourteen </w:t>
      </w:r>
      <w:r w:rsidR="00EA0165">
        <w:rPr>
          <w:rFonts w:cs="Tahoma"/>
        </w:rPr>
        <w:t xml:space="preserve">remained </w:t>
      </w:r>
      <w:r w:rsidR="000D72F3">
        <w:rPr>
          <w:rFonts w:cs="Tahoma"/>
        </w:rPr>
        <w:t xml:space="preserve">inadequate at their second inspection and </w:t>
      </w:r>
      <w:r w:rsidR="00EA0165">
        <w:rPr>
          <w:rFonts w:cs="Tahoma"/>
        </w:rPr>
        <w:t xml:space="preserve">were </w:t>
      </w:r>
      <w:r w:rsidR="000D72F3">
        <w:rPr>
          <w:rFonts w:cs="Tahoma"/>
        </w:rPr>
        <w:t>not inspected again within the year (six o</w:t>
      </w:r>
      <w:r w:rsidR="00C65673">
        <w:rPr>
          <w:rFonts w:cs="Tahoma"/>
        </w:rPr>
        <w:t>f which subsequently resigned);</w:t>
      </w:r>
    </w:p>
    <w:p w14:paraId="49598B22" w14:textId="77777777" w:rsidR="002F2635" w:rsidRDefault="00EA0165" w:rsidP="00301A4B">
      <w:pPr>
        <w:numPr>
          <w:ilvl w:val="0"/>
          <w:numId w:val="43"/>
        </w:numPr>
        <w:spacing w:after="240"/>
        <w:jc w:val="left"/>
        <w:rPr>
          <w:rFonts w:cs="Tahoma"/>
        </w:rPr>
      </w:pPr>
      <w:r>
        <w:rPr>
          <w:rFonts w:cs="Tahoma"/>
        </w:rPr>
        <w:t>Six</w:t>
      </w:r>
      <w:r w:rsidR="000D72F3">
        <w:rPr>
          <w:rFonts w:cs="Tahoma"/>
        </w:rPr>
        <w:t>, having already been judged to be inadequate twice in the year, improved to either requires improvement to be good (five) or good (one)</w:t>
      </w:r>
      <w:r w:rsidR="00C65673">
        <w:rPr>
          <w:rFonts w:cs="Tahoma"/>
        </w:rPr>
        <w:t>;</w:t>
      </w:r>
      <w:r w:rsidR="000D72F3">
        <w:rPr>
          <w:rFonts w:cs="Tahoma"/>
        </w:rPr>
        <w:t xml:space="preserve"> </w:t>
      </w:r>
    </w:p>
    <w:p w14:paraId="0B3B68CD" w14:textId="77777777" w:rsidR="000D72F3" w:rsidRDefault="00EA0165" w:rsidP="00301A4B">
      <w:pPr>
        <w:numPr>
          <w:ilvl w:val="0"/>
          <w:numId w:val="43"/>
        </w:numPr>
        <w:spacing w:after="240"/>
        <w:jc w:val="left"/>
        <w:rPr>
          <w:rFonts w:cs="Tahoma"/>
        </w:rPr>
      </w:pPr>
      <w:r>
        <w:rPr>
          <w:rFonts w:cs="Tahoma"/>
        </w:rPr>
        <w:t>O</w:t>
      </w:r>
      <w:r w:rsidR="000D72F3">
        <w:rPr>
          <w:rFonts w:cs="Tahoma"/>
        </w:rPr>
        <w:t>ne was judged inadequate for a third time and remained so as at 31 March 2017.</w:t>
      </w:r>
    </w:p>
    <w:p w14:paraId="013044F6" w14:textId="77777777" w:rsidR="00D10872" w:rsidRDefault="00D10872" w:rsidP="00301A4B">
      <w:pPr>
        <w:spacing w:after="240"/>
        <w:jc w:val="left"/>
        <w:rPr>
          <w:rFonts w:cs="Tahoma"/>
        </w:rPr>
      </w:pPr>
      <w:r>
        <w:rPr>
          <w:rFonts w:cs="Tahoma"/>
        </w:rPr>
        <w:t>Inadequate provision, therefore, improved more quickly than last year. As shown above, 85% of provision</w:t>
      </w:r>
      <w:r w:rsidR="00C65673">
        <w:rPr>
          <w:rFonts w:cs="Tahoma"/>
        </w:rPr>
        <w:t>s</w:t>
      </w:r>
      <w:r>
        <w:rPr>
          <w:rFonts w:cs="Tahoma"/>
        </w:rPr>
        <w:t xml:space="preserve"> judged to be inadequate in 2016-17 improved to either good or requires improvement to be good during the year (79% at the subsequent inspection). This compares with 68% of provision</w:t>
      </w:r>
      <w:r w:rsidR="00C65673">
        <w:rPr>
          <w:rFonts w:cs="Tahoma"/>
        </w:rPr>
        <w:t>s</w:t>
      </w:r>
      <w:r>
        <w:rPr>
          <w:rFonts w:cs="Tahoma"/>
        </w:rPr>
        <w:t xml:space="preserve"> judged to be inadequate in 2015-16 (62% at the subsequent inspection).</w:t>
      </w:r>
    </w:p>
    <w:p w14:paraId="33D24598" w14:textId="77777777" w:rsidR="000D72F3" w:rsidRDefault="000D72F3" w:rsidP="000D72F3">
      <w:pPr>
        <w:pStyle w:val="Heading3"/>
      </w:pPr>
    </w:p>
    <w:p w14:paraId="24C4A2DA" w14:textId="77777777" w:rsidR="000D72F3" w:rsidRPr="006C184A" w:rsidRDefault="002F2635" w:rsidP="000D72F3">
      <w:pPr>
        <w:pStyle w:val="Heading3"/>
      </w:pPr>
      <w:r>
        <w:br w:type="page"/>
      </w:r>
      <w:bookmarkStart w:id="92" w:name="_Toc491090879"/>
      <w:r w:rsidR="000D72F3" w:rsidRPr="007562FF">
        <w:lastRenderedPageBreak/>
        <w:t>Overall effectiveness</w:t>
      </w:r>
      <w:r w:rsidR="000D72F3" w:rsidRPr="006C184A">
        <w:t xml:space="preserve"> for </w:t>
      </w:r>
      <w:r w:rsidR="000D72F3">
        <w:t xml:space="preserve">all </w:t>
      </w:r>
      <w:r w:rsidR="000D72F3" w:rsidRPr="00476E49">
        <w:t>children’s homes inspections</w:t>
      </w:r>
      <w:r w:rsidR="000D72F3" w:rsidRPr="00374337">
        <w:t xml:space="preserve"> </w:t>
      </w:r>
      <w:r w:rsidR="000D72F3" w:rsidRPr="006C184A">
        <w:t>– change since last inspection</w:t>
      </w:r>
      <w:bookmarkEnd w:id="92"/>
      <w:r w:rsidR="000D72F3" w:rsidRPr="006C184A">
        <w:t xml:space="preserve"> </w:t>
      </w:r>
    </w:p>
    <w:p w14:paraId="26A840E1" w14:textId="77777777" w:rsidR="000D72F3" w:rsidRPr="00905A52" w:rsidRDefault="000D72F3" w:rsidP="000D72F3">
      <w:pPr>
        <w:spacing w:after="240"/>
        <w:jc w:val="left"/>
      </w:pPr>
      <w:r w:rsidRPr="00905A52">
        <w:t xml:space="preserve">Most homes achieved the same inspection judgement as the previous year. </w:t>
      </w:r>
      <w:r>
        <w:t>Very similar numbers of</w:t>
      </w:r>
      <w:r w:rsidRPr="00905A52">
        <w:t xml:space="preserve"> homes improved </w:t>
      </w:r>
      <w:r>
        <w:t>as</w:t>
      </w:r>
      <w:r w:rsidRPr="00905A52">
        <w:t xml:space="preserve"> declined.</w:t>
      </w:r>
    </w:p>
    <w:p w14:paraId="1FCDB1FF" w14:textId="1E14C455" w:rsidR="000D72F3" w:rsidRDefault="000D72F3" w:rsidP="000D72F3">
      <w:pPr>
        <w:pStyle w:val="Caption"/>
      </w:pPr>
      <w:bookmarkStart w:id="93" w:name="_Toc454377022"/>
      <w:bookmarkStart w:id="94" w:name="_Toc486581672"/>
      <w:bookmarkStart w:id="95" w:name="_Toc491087634"/>
      <w:r w:rsidRPr="002F2635">
        <w:t>Chart 1</w:t>
      </w:r>
      <w:r w:rsidR="006154C0" w:rsidRPr="002F2635">
        <w:t>4</w:t>
      </w:r>
      <w:r w:rsidRPr="002F2635">
        <w:t>: Change to Overall effectiveness</w:t>
      </w:r>
      <w:r w:rsidRPr="002F2635">
        <w:rPr>
          <w:i/>
        </w:rPr>
        <w:t xml:space="preserve"> </w:t>
      </w:r>
      <w:r w:rsidRPr="002F2635">
        <w:t xml:space="preserve">judgement compared </w:t>
      </w:r>
      <w:r w:rsidR="008C4815">
        <w:t>with</w:t>
      </w:r>
      <w:r w:rsidRPr="002F2635">
        <w:t xml:space="preserve"> previous inspection</w:t>
      </w:r>
      <w:bookmarkEnd w:id="93"/>
      <w:bookmarkEnd w:id="94"/>
      <w:bookmarkEnd w:id="95"/>
    </w:p>
    <w:p w14:paraId="313252F3" w14:textId="77777777" w:rsidR="000D72F3" w:rsidRDefault="008822A3" w:rsidP="000D72F3">
      <w:pPr>
        <w:spacing w:after="240"/>
        <w:jc w:val="left"/>
        <w:rPr>
          <w:rFonts w:cs="Tahoma"/>
        </w:rPr>
      </w:pPr>
      <w:r>
        <w:rPr>
          <w:rFonts w:cs="Tahoma"/>
          <w:noProof/>
        </w:rPr>
        <w:drawing>
          <wp:inline distT="0" distB="0" distL="0" distR="0" wp14:anchorId="3B8335EF" wp14:editId="33B8E5D2">
            <wp:extent cx="5917406" cy="266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33">
                      <a:extLst>
                        <a:ext uri="{28A0092B-C50C-407E-A947-70E740481C1C}">
                          <a14:useLocalDpi xmlns:a14="http://schemas.microsoft.com/office/drawing/2010/main" val="0"/>
                        </a:ext>
                      </a:extLst>
                    </a:blip>
                    <a:stretch>
                      <a:fillRect/>
                    </a:stretch>
                  </pic:blipFill>
                  <pic:spPr>
                    <a:xfrm>
                      <a:off x="0" y="0"/>
                      <a:ext cx="5923149" cy="2669589"/>
                    </a:xfrm>
                    <a:prstGeom prst="rect">
                      <a:avLst/>
                    </a:prstGeom>
                  </pic:spPr>
                </pic:pic>
              </a:graphicData>
            </a:graphic>
          </wp:inline>
        </w:drawing>
      </w:r>
    </w:p>
    <w:p w14:paraId="72A50529" w14:textId="77777777" w:rsidR="000D72F3" w:rsidRDefault="000D72F3" w:rsidP="000D72F3">
      <w:pPr>
        <w:spacing w:after="240"/>
        <w:jc w:val="left"/>
        <w:rPr>
          <w:rFonts w:cs="Tahoma"/>
        </w:rPr>
      </w:pPr>
      <w:r w:rsidRPr="006C184A">
        <w:rPr>
          <w:rFonts w:cs="Tahoma"/>
        </w:rPr>
        <w:t xml:space="preserve">There were </w:t>
      </w:r>
      <w:r>
        <w:rPr>
          <w:rFonts w:cs="Tahoma"/>
        </w:rPr>
        <w:t xml:space="preserve">1,829 </w:t>
      </w:r>
      <w:r w:rsidRPr="006C184A">
        <w:rPr>
          <w:rFonts w:cs="Tahoma"/>
        </w:rPr>
        <w:t>homes inspected in the period 1 April 201</w:t>
      </w:r>
      <w:r>
        <w:rPr>
          <w:rFonts w:cs="Tahoma"/>
        </w:rPr>
        <w:t>6</w:t>
      </w:r>
      <w:r w:rsidRPr="006C184A">
        <w:rPr>
          <w:rFonts w:cs="Tahoma"/>
        </w:rPr>
        <w:t xml:space="preserve"> to 31 March 201</w:t>
      </w:r>
      <w:r>
        <w:rPr>
          <w:rFonts w:cs="Tahoma"/>
        </w:rPr>
        <w:t>7</w:t>
      </w:r>
      <w:r w:rsidRPr="006C184A">
        <w:rPr>
          <w:rFonts w:cs="Tahoma"/>
        </w:rPr>
        <w:t xml:space="preserve"> that had also been inspected in </w:t>
      </w:r>
      <w:r>
        <w:rPr>
          <w:rFonts w:cs="Tahoma"/>
        </w:rPr>
        <w:t xml:space="preserve">2015-16 </w:t>
      </w:r>
      <w:r w:rsidRPr="000A7BD4">
        <w:rPr>
          <w:rFonts w:cs="Tahoma"/>
        </w:rPr>
        <w:t>(</w:t>
      </w:r>
      <w:r>
        <w:rPr>
          <w:rFonts w:cs="Tahoma"/>
        </w:rPr>
        <w:t>90</w:t>
      </w:r>
      <w:r w:rsidRPr="000A7BD4">
        <w:rPr>
          <w:rFonts w:cs="Tahoma"/>
        </w:rPr>
        <w:t>% of all homes inspected in 2016-17)</w:t>
      </w:r>
      <w:r w:rsidRPr="006C184A">
        <w:rPr>
          <w:rFonts w:cs="Tahoma"/>
        </w:rPr>
        <w:t>.</w:t>
      </w:r>
      <w:r>
        <w:rPr>
          <w:rFonts w:cs="Tahoma"/>
        </w:rPr>
        <w:t xml:space="preserve"> </w:t>
      </w:r>
      <w:r w:rsidR="00B0134E">
        <w:rPr>
          <w:rFonts w:cs="Tahoma"/>
        </w:rPr>
        <w:t>Of these, 60%</w:t>
      </w:r>
      <w:r>
        <w:rPr>
          <w:rFonts w:cs="Tahoma"/>
        </w:rPr>
        <w:t xml:space="preserve"> remained unchanged in their judgement (1,099); unlike last year, when more homes improved than declined, this year, when there were changes, homes were just as likely to decline (361) as improve (369)</w:t>
      </w:r>
      <w:r w:rsidRPr="00882616">
        <w:rPr>
          <w:rFonts w:cs="Tahoma"/>
        </w:rPr>
        <w:t>.</w:t>
      </w:r>
      <w:r w:rsidRPr="00882616">
        <w:rPr>
          <w:rStyle w:val="FootnoteReference"/>
          <w:rFonts w:cs="Tahoma"/>
        </w:rPr>
        <w:footnoteReference w:id="45"/>
      </w:r>
    </w:p>
    <w:p w14:paraId="3FC3E606" w14:textId="77777777" w:rsidR="000D72F3" w:rsidRPr="00262F62" w:rsidRDefault="000D72F3" w:rsidP="000D72F3">
      <w:pPr>
        <w:spacing w:after="240"/>
        <w:jc w:val="left"/>
        <w:rPr>
          <w:rFonts w:cs="Tahoma"/>
        </w:rPr>
      </w:pPr>
      <w:r w:rsidRPr="00262F62">
        <w:rPr>
          <w:rFonts w:cs="Tahoma"/>
        </w:rPr>
        <w:t xml:space="preserve">Of the 18 homes still judged inadequate </w:t>
      </w:r>
      <w:r>
        <w:rPr>
          <w:rFonts w:cs="Tahoma"/>
        </w:rPr>
        <w:t xml:space="preserve">as </w:t>
      </w:r>
      <w:r w:rsidRPr="00262F62">
        <w:rPr>
          <w:rFonts w:cs="Tahoma"/>
        </w:rPr>
        <w:t>at 31 March 2016</w:t>
      </w:r>
      <w:r>
        <w:rPr>
          <w:rFonts w:cs="Tahoma"/>
        </w:rPr>
        <w:t>:</w:t>
      </w:r>
      <w:r w:rsidRPr="00262F62">
        <w:rPr>
          <w:rFonts w:cs="Tahoma"/>
        </w:rPr>
        <w:t xml:space="preserve"> eight were judged to be good in 2016-17</w:t>
      </w:r>
      <w:r>
        <w:rPr>
          <w:rFonts w:cs="Tahoma"/>
        </w:rPr>
        <w:t>;</w:t>
      </w:r>
      <w:r w:rsidRPr="00262F62">
        <w:rPr>
          <w:rFonts w:cs="Tahoma"/>
        </w:rPr>
        <w:t xml:space="preserve"> four requires improvement to be good</w:t>
      </w:r>
      <w:r>
        <w:rPr>
          <w:rFonts w:cs="Tahoma"/>
        </w:rPr>
        <w:t>;</w:t>
      </w:r>
      <w:r w:rsidRPr="00262F62">
        <w:rPr>
          <w:rFonts w:cs="Tahoma"/>
        </w:rPr>
        <w:t xml:space="preserve"> one inadequate again</w:t>
      </w:r>
      <w:r>
        <w:rPr>
          <w:rFonts w:cs="Tahoma"/>
        </w:rPr>
        <w:t>;</w:t>
      </w:r>
      <w:r w:rsidRPr="00262F62">
        <w:rPr>
          <w:rFonts w:cs="Tahoma"/>
        </w:rPr>
        <w:t xml:space="preserve"> </w:t>
      </w:r>
      <w:r>
        <w:rPr>
          <w:rFonts w:cs="Tahoma"/>
        </w:rPr>
        <w:t xml:space="preserve">and </w:t>
      </w:r>
      <w:r w:rsidRPr="00262F62">
        <w:rPr>
          <w:rFonts w:cs="Tahoma"/>
        </w:rPr>
        <w:t>three resigned</w:t>
      </w:r>
      <w:r>
        <w:rPr>
          <w:rFonts w:cs="Tahoma"/>
        </w:rPr>
        <w:t>.</w:t>
      </w:r>
      <w:r>
        <w:rPr>
          <w:rStyle w:val="FootnoteReference"/>
          <w:rFonts w:cs="Tahoma"/>
        </w:rPr>
        <w:footnoteReference w:id="46"/>
      </w:r>
      <w:r w:rsidRPr="00301A4B">
        <w:rPr>
          <w:rFonts w:cs="Tahoma"/>
          <w:vertAlign w:val="superscript"/>
        </w:rPr>
        <w:t>,</w:t>
      </w:r>
      <w:r>
        <w:rPr>
          <w:rStyle w:val="FootnoteReference"/>
          <w:rFonts w:cs="Tahoma"/>
        </w:rPr>
        <w:footnoteReference w:id="47"/>
      </w:r>
      <w:r w:rsidDel="00C55417">
        <w:rPr>
          <w:rFonts w:cs="Tahoma"/>
        </w:rPr>
        <w:t xml:space="preserve"> </w:t>
      </w:r>
    </w:p>
    <w:p w14:paraId="595C5A9B" w14:textId="56003FA8" w:rsidR="000D72F3" w:rsidRDefault="000D72F3" w:rsidP="000D72F3">
      <w:pPr>
        <w:jc w:val="left"/>
        <w:rPr>
          <w:rFonts w:cs="Tahoma"/>
        </w:rPr>
      </w:pPr>
      <w:r>
        <w:rPr>
          <w:rFonts w:cs="Tahoma"/>
        </w:rPr>
        <w:t xml:space="preserve">Just over a third of the homes judged outstanding in 2015-16 that were subsequently inspected in 2016-17 declined (112 homes), predominantly to good (93 homes). Homes previously judged to be good were most likely to remain at good. Of the good homes that declined, 60 out of 204 homes (29%) were judged to be inadequate in 2016-17, compared </w:t>
      </w:r>
      <w:r w:rsidR="008C4815">
        <w:rPr>
          <w:rFonts w:cs="Tahoma"/>
        </w:rPr>
        <w:t>with</w:t>
      </w:r>
      <w:r>
        <w:rPr>
          <w:rFonts w:cs="Tahoma"/>
        </w:rPr>
        <w:t xml:space="preserve"> 28 out of 184 homes (15%) in 2015-16.</w:t>
      </w:r>
      <w:r w:rsidR="00FC5A93">
        <w:rPr>
          <w:rStyle w:val="FootnoteReference"/>
          <w:rFonts w:cs="Tahoma"/>
        </w:rPr>
        <w:footnoteReference w:id="48"/>
      </w:r>
      <w:r w:rsidR="00D15598">
        <w:rPr>
          <w:rFonts w:cs="Tahoma"/>
        </w:rPr>
        <w:t xml:space="preserve"> This is likely to be due to the impact that an unexpected change – such as a change </w:t>
      </w:r>
      <w:r w:rsidR="00D15598">
        <w:rPr>
          <w:rFonts w:cs="Tahoma"/>
        </w:rPr>
        <w:lastRenderedPageBreak/>
        <w:t>of manager, admittance of a child with more challenging needs, or even a series of emergency placements – can have on children’s homes. Because many homes are quite small, these factors can have a greater impact than for other provision types, where there are often more children, or children are not all placed together (such as fostering placements).</w:t>
      </w:r>
    </w:p>
    <w:p w14:paraId="470CD1C3" w14:textId="77777777" w:rsidR="000769E7" w:rsidRDefault="000769E7" w:rsidP="000D72F3">
      <w:pPr>
        <w:pStyle w:val="Heading3"/>
      </w:pPr>
      <w:bookmarkStart w:id="96" w:name="_Toc454377344"/>
      <w:bookmarkStart w:id="97" w:name="_Toc486582159"/>
    </w:p>
    <w:p w14:paraId="51D7FD6E" w14:textId="77777777" w:rsidR="000D72F3" w:rsidRPr="006C184A" w:rsidRDefault="000D72F3" w:rsidP="000D72F3">
      <w:pPr>
        <w:pStyle w:val="Heading3"/>
      </w:pPr>
      <w:bookmarkStart w:id="98" w:name="_Toc491090880"/>
      <w:r w:rsidRPr="006C184A">
        <w:t xml:space="preserve">Regional outcomes for all children’s homes </w:t>
      </w:r>
      <w:r>
        <w:t>in year 2016-1</w:t>
      </w:r>
      <w:bookmarkEnd w:id="96"/>
      <w:r>
        <w:t>7</w:t>
      </w:r>
      <w:bookmarkEnd w:id="97"/>
      <w:bookmarkEnd w:id="98"/>
      <w:r w:rsidRPr="006C184A">
        <w:t xml:space="preserve"> </w:t>
      </w:r>
    </w:p>
    <w:p w14:paraId="66224BC3" w14:textId="77777777" w:rsidR="000D72F3" w:rsidRDefault="000D72F3" w:rsidP="000D72F3">
      <w:pPr>
        <w:spacing w:after="240"/>
        <w:jc w:val="left"/>
      </w:pPr>
      <w:r w:rsidRPr="000557C5">
        <w:t xml:space="preserve">There is a regional variation in the Overall effectiveness outcomes for children’s homes. Nationally, homes with a previous inspection judgement of requires improvement to be good or </w:t>
      </w:r>
      <w:r w:rsidR="001E559F">
        <w:t>inadequate</w:t>
      </w:r>
      <w:r w:rsidR="001E559F" w:rsidRPr="000557C5">
        <w:t xml:space="preserve"> </w:t>
      </w:r>
      <w:r w:rsidRPr="000557C5">
        <w:t>were more likely to have improved to good or better than to have stayed the same or declined. However, this was not the ca</w:t>
      </w:r>
      <w:r>
        <w:t>se in London or the South West.</w:t>
      </w:r>
    </w:p>
    <w:p w14:paraId="4CC159C5" w14:textId="77777777" w:rsidR="000D72F3" w:rsidRDefault="000D72F3" w:rsidP="000D72F3">
      <w:pPr>
        <w:pStyle w:val="Caption"/>
      </w:pPr>
      <w:bookmarkStart w:id="99" w:name="_Toc454377023"/>
      <w:bookmarkStart w:id="100" w:name="_Toc486581673"/>
      <w:bookmarkStart w:id="101" w:name="_Toc491087635"/>
      <w:r w:rsidRPr="006C184A">
        <w:t>Chart 1</w:t>
      </w:r>
      <w:r w:rsidR="006154C0">
        <w:t>5</w:t>
      </w:r>
      <w:r w:rsidRPr="006C184A">
        <w:t xml:space="preserve">: Children’s homes </w:t>
      </w:r>
      <w:r w:rsidRPr="007562FF">
        <w:t>Overall effectiveness</w:t>
      </w:r>
      <w:r w:rsidRPr="006C184A">
        <w:t xml:space="preserve"> </w:t>
      </w:r>
      <w:r>
        <w:t>2016-17</w:t>
      </w:r>
      <w:r w:rsidRPr="006C184A">
        <w:t>, by region</w:t>
      </w:r>
      <w:bookmarkEnd w:id="99"/>
      <w:bookmarkEnd w:id="100"/>
      <w:bookmarkEnd w:id="101"/>
    </w:p>
    <w:p w14:paraId="309DC3EB" w14:textId="77777777" w:rsidR="000D72F3" w:rsidRDefault="00CD52DA" w:rsidP="000D72F3">
      <w:pPr>
        <w:jc w:val="left"/>
        <w:rPr>
          <w:lang w:eastAsia="en-US"/>
        </w:rPr>
      </w:pPr>
      <w:r>
        <w:rPr>
          <w:noProof/>
        </w:rPr>
        <w:drawing>
          <wp:inline distT="0" distB="0" distL="0" distR="0" wp14:anchorId="57557484" wp14:editId="0463D3E2">
            <wp:extent cx="5676900" cy="29794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JPG"/>
                    <pic:cNvPicPr/>
                  </pic:nvPicPr>
                  <pic:blipFill>
                    <a:blip r:embed="rId34">
                      <a:extLst>
                        <a:ext uri="{28A0092B-C50C-407E-A947-70E740481C1C}">
                          <a14:useLocalDpi xmlns:a14="http://schemas.microsoft.com/office/drawing/2010/main" val="0"/>
                        </a:ext>
                      </a:extLst>
                    </a:blip>
                    <a:stretch>
                      <a:fillRect/>
                    </a:stretch>
                  </pic:blipFill>
                  <pic:spPr>
                    <a:xfrm>
                      <a:off x="0" y="0"/>
                      <a:ext cx="5676900" cy="2979420"/>
                    </a:xfrm>
                    <a:prstGeom prst="rect">
                      <a:avLst/>
                    </a:prstGeom>
                  </pic:spPr>
                </pic:pic>
              </a:graphicData>
            </a:graphic>
          </wp:inline>
        </w:drawing>
      </w:r>
    </w:p>
    <w:p w14:paraId="2F71D0AF" w14:textId="77777777" w:rsidR="000D72F3" w:rsidRDefault="000D72F3" w:rsidP="000D72F3">
      <w:pPr>
        <w:jc w:val="left"/>
        <w:rPr>
          <w:rFonts w:cs="Tahoma"/>
        </w:rPr>
      </w:pPr>
    </w:p>
    <w:p w14:paraId="3C5F99E6" w14:textId="77777777" w:rsidR="000D72F3" w:rsidRPr="006C184A" w:rsidRDefault="000D72F3" w:rsidP="000D72F3">
      <w:pPr>
        <w:spacing w:after="240"/>
        <w:jc w:val="left"/>
        <w:rPr>
          <w:rFonts w:cs="Tahoma"/>
        </w:rPr>
      </w:pPr>
      <w:r w:rsidRPr="006C184A">
        <w:rPr>
          <w:rFonts w:cs="Tahoma"/>
        </w:rPr>
        <w:t>The regions with the highest percentage</w:t>
      </w:r>
      <w:r>
        <w:rPr>
          <w:rFonts w:cs="Tahoma"/>
        </w:rPr>
        <w:t>s</w:t>
      </w:r>
      <w:r w:rsidRPr="006C184A">
        <w:rPr>
          <w:rFonts w:cs="Tahoma"/>
        </w:rPr>
        <w:t xml:space="preserve"> of good or better </w:t>
      </w:r>
      <w:r>
        <w:rPr>
          <w:rFonts w:cs="Tahoma"/>
        </w:rPr>
        <w:t>inspection judgements</w:t>
      </w:r>
      <w:r w:rsidRPr="006C184A">
        <w:rPr>
          <w:rFonts w:cs="Tahoma"/>
        </w:rPr>
        <w:t xml:space="preserve"> between 1 April 20</w:t>
      </w:r>
      <w:r>
        <w:rPr>
          <w:rFonts w:cs="Tahoma"/>
        </w:rPr>
        <w:t>16</w:t>
      </w:r>
      <w:r w:rsidRPr="006C184A">
        <w:rPr>
          <w:rFonts w:cs="Tahoma"/>
        </w:rPr>
        <w:t xml:space="preserve"> and 31 March 20</w:t>
      </w:r>
      <w:r>
        <w:rPr>
          <w:rFonts w:cs="Tahoma"/>
        </w:rPr>
        <w:t>17</w:t>
      </w:r>
      <w:r w:rsidRPr="006C184A">
        <w:rPr>
          <w:rFonts w:cs="Tahoma"/>
        </w:rPr>
        <w:t xml:space="preserve"> were the North </w:t>
      </w:r>
      <w:r>
        <w:rPr>
          <w:rFonts w:cs="Tahoma"/>
        </w:rPr>
        <w:t>East, the South East</w:t>
      </w:r>
      <w:r w:rsidR="003418BA">
        <w:rPr>
          <w:rFonts w:cs="Tahoma"/>
        </w:rPr>
        <w:t>,</w:t>
      </w:r>
      <w:r>
        <w:rPr>
          <w:rFonts w:cs="Tahoma"/>
        </w:rPr>
        <w:t xml:space="preserve"> and</w:t>
      </w:r>
      <w:r w:rsidRPr="006C184A">
        <w:rPr>
          <w:rFonts w:cs="Tahoma"/>
        </w:rPr>
        <w:t xml:space="preserve"> Yorkshire and the Humber (</w:t>
      </w:r>
      <w:r>
        <w:rPr>
          <w:rFonts w:cs="Tahoma"/>
        </w:rPr>
        <w:t>all 84%).</w:t>
      </w:r>
    </w:p>
    <w:p w14:paraId="3A9FDB9B" w14:textId="77777777" w:rsidR="0082286B" w:rsidRDefault="000D72F3" w:rsidP="000D72F3">
      <w:pPr>
        <w:spacing w:after="240"/>
        <w:jc w:val="left"/>
        <w:rPr>
          <w:rFonts w:cs="Tahoma"/>
        </w:rPr>
      </w:pPr>
      <w:r w:rsidRPr="006C184A">
        <w:rPr>
          <w:rFonts w:cs="Tahoma"/>
        </w:rPr>
        <w:t>The regions with the lowest percentage</w:t>
      </w:r>
      <w:r>
        <w:rPr>
          <w:rFonts w:cs="Tahoma"/>
        </w:rPr>
        <w:t>s</w:t>
      </w:r>
      <w:r w:rsidRPr="006C184A">
        <w:rPr>
          <w:rFonts w:cs="Tahoma"/>
        </w:rPr>
        <w:t xml:space="preserve"> of </w:t>
      </w:r>
      <w:r>
        <w:rPr>
          <w:rFonts w:cs="Tahoma"/>
        </w:rPr>
        <w:t>inspections resulting in</w:t>
      </w:r>
      <w:r w:rsidRPr="006C184A">
        <w:rPr>
          <w:rFonts w:cs="Tahoma"/>
        </w:rPr>
        <w:t xml:space="preserve"> good or better </w:t>
      </w:r>
      <w:r>
        <w:rPr>
          <w:rFonts w:cs="Tahoma"/>
        </w:rPr>
        <w:t xml:space="preserve">judgements </w:t>
      </w:r>
      <w:r w:rsidRPr="006C184A">
        <w:rPr>
          <w:rFonts w:cs="Tahoma"/>
        </w:rPr>
        <w:t>were the South West (</w:t>
      </w:r>
      <w:r>
        <w:rPr>
          <w:rFonts w:cs="Tahoma"/>
        </w:rPr>
        <w:t>52</w:t>
      </w:r>
      <w:r w:rsidRPr="006C184A">
        <w:rPr>
          <w:rFonts w:cs="Tahoma"/>
        </w:rPr>
        <w:t>%)</w:t>
      </w:r>
      <w:r w:rsidR="0082286B">
        <w:rPr>
          <w:rFonts w:cs="Tahoma"/>
        </w:rPr>
        <w:t xml:space="preserve"> and</w:t>
      </w:r>
      <w:r w:rsidRPr="006C184A">
        <w:rPr>
          <w:rFonts w:cs="Tahoma"/>
        </w:rPr>
        <w:t xml:space="preserve"> </w:t>
      </w:r>
      <w:r>
        <w:rPr>
          <w:rFonts w:cs="Tahoma"/>
        </w:rPr>
        <w:t>London (69%).</w:t>
      </w:r>
      <w:r w:rsidRPr="00BF73D2">
        <w:rPr>
          <w:rFonts w:cs="Tahoma"/>
        </w:rPr>
        <w:t xml:space="preserve"> </w:t>
      </w:r>
      <w:r>
        <w:rPr>
          <w:rFonts w:cs="Tahoma"/>
        </w:rPr>
        <w:t>The</w:t>
      </w:r>
      <w:r w:rsidR="003C6D5A">
        <w:rPr>
          <w:rFonts w:cs="Tahoma"/>
        </w:rPr>
        <w:t>se were two of only</w:t>
      </w:r>
      <w:r>
        <w:rPr>
          <w:rFonts w:cs="Tahoma"/>
        </w:rPr>
        <w:t xml:space="preserve"> three regions to have a lower proportion of inspections resulting in good or better judgements in 2016-17 than in 2015-16 – the South West saw the biggest decline (four percentage points) despite already achieving by far the lowest proportion of good or better judgements. </w:t>
      </w:r>
    </w:p>
    <w:p w14:paraId="21B894FD" w14:textId="77777777" w:rsidR="000769E7" w:rsidRDefault="000D72F3" w:rsidP="000769E7">
      <w:pPr>
        <w:spacing w:after="240"/>
        <w:jc w:val="left"/>
        <w:rPr>
          <w:rFonts w:cs="Tahoma"/>
        </w:rPr>
      </w:pPr>
      <w:r w:rsidRPr="00234DC7">
        <w:rPr>
          <w:rFonts w:cs="Tahoma"/>
        </w:rPr>
        <w:lastRenderedPageBreak/>
        <w:t xml:space="preserve">The three regions to have the highest percentages of homes declining in their </w:t>
      </w:r>
      <w:r>
        <w:rPr>
          <w:rFonts w:cs="Tahoma"/>
        </w:rPr>
        <w:t>O</w:t>
      </w:r>
      <w:r w:rsidRPr="00234DC7">
        <w:rPr>
          <w:rFonts w:cs="Tahoma"/>
        </w:rPr>
        <w:t>verall effectiveness judgements were the South West (27%), the North West (23%) and the West Midlands (22%).</w:t>
      </w:r>
      <w:bookmarkStart w:id="102" w:name="_Toc454377024"/>
      <w:bookmarkStart w:id="103" w:name="_Toc486581674"/>
    </w:p>
    <w:p w14:paraId="413872EB" w14:textId="77777777" w:rsidR="000D72F3" w:rsidRPr="006C184A" w:rsidRDefault="000D72F3" w:rsidP="000769E7">
      <w:pPr>
        <w:pStyle w:val="Caption"/>
      </w:pPr>
      <w:bookmarkStart w:id="104" w:name="_Toc491087636"/>
      <w:r w:rsidRPr="006C184A">
        <w:t>Chart 1</w:t>
      </w:r>
      <w:r w:rsidR="006154C0">
        <w:t>6</w:t>
      </w:r>
      <w:r w:rsidRPr="006C184A">
        <w:t xml:space="preserve">: Change for children’s homes previously judged </w:t>
      </w:r>
      <w:r>
        <w:t>requires improvement to be good</w:t>
      </w:r>
      <w:r w:rsidRPr="006C184A">
        <w:t xml:space="preserve"> for </w:t>
      </w:r>
      <w:r w:rsidRPr="007562FF">
        <w:t>Overall effectiveness</w:t>
      </w:r>
      <w:r w:rsidRPr="00E62975">
        <w:t>,</w:t>
      </w:r>
      <w:r w:rsidRPr="006C184A">
        <w:t xml:space="preserve"> by region</w:t>
      </w:r>
      <w:bookmarkEnd w:id="102"/>
      <w:bookmarkEnd w:id="103"/>
      <w:bookmarkEnd w:id="104"/>
    </w:p>
    <w:p w14:paraId="2D9D8660" w14:textId="77777777" w:rsidR="000D72F3" w:rsidRPr="000606BA" w:rsidRDefault="008822A3" w:rsidP="000D72F3">
      <w:pPr>
        <w:spacing w:after="240"/>
        <w:jc w:val="left"/>
        <w:rPr>
          <w:lang w:eastAsia="en-US"/>
        </w:rPr>
      </w:pPr>
      <w:r>
        <w:rPr>
          <w:noProof/>
        </w:rPr>
        <w:drawing>
          <wp:inline distT="0" distB="0" distL="0" distR="0" wp14:anchorId="04C4361C" wp14:editId="765C7BB4">
            <wp:extent cx="6033293" cy="337566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JPG"/>
                    <pic:cNvPicPr/>
                  </pic:nvPicPr>
                  <pic:blipFill>
                    <a:blip r:embed="rId35">
                      <a:extLst>
                        <a:ext uri="{28A0092B-C50C-407E-A947-70E740481C1C}">
                          <a14:useLocalDpi xmlns:a14="http://schemas.microsoft.com/office/drawing/2010/main" val="0"/>
                        </a:ext>
                      </a:extLst>
                    </a:blip>
                    <a:stretch>
                      <a:fillRect/>
                    </a:stretch>
                  </pic:blipFill>
                  <pic:spPr>
                    <a:xfrm>
                      <a:off x="0" y="0"/>
                      <a:ext cx="6044615" cy="3381995"/>
                    </a:xfrm>
                    <a:prstGeom prst="rect">
                      <a:avLst/>
                    </a:prstGeom>
                  </pic:spPr>
                </pic:pic>
              </a:graphicData>
            </a:graphic>
          </wp:inline>
        </w:drawing>
      </w:r>
    </w:p>
    <w:p w14:paraId="0F38E506" w14:textId="77777777" w:rsidR="000D72F3" w:rsidRDefault="000D72F3" w:rsidP="000D72F3">
      <w:pPr>
        <w:jc w:val="left"/>
        <w:rPr>
          <w:rFonts w:cs="Tahoma"/>
        </w:rPr>
      </w:pPr>
      <w:r w:rsidRPr="00882616">
        <w:rPr>
          <w:rFonts w:cs="Tahoma"/>
        </w:rPr>
        <w:t>Of the 360 homes judged requires improvement to be good in 2015-16 and inspected in 2016-17, almost two thirds (226) are now judged good or better.</w:t>
      </w:r>
      <w:r w:rsidRPr="006C184A">
        <w:rPr>
          <w:rFonts w:cs="Tahoma"/>
        </w:rPr>
        <w:t xml:space="preserve"> </w:t>
      </w:r>
      <w:r>
        <w:rPr>
          <w:rFonts w:cs="Tahoma"/>
        </w:rPr>
        <w:t xml:space="preserve">The North East (80%), South East (76%), and Yorkshire and the Humber (75%) </w:t>
      </w:r>
      <w:r w:rsidRPr="006C184A">
        <w:rPr>
          <w:rFonts w:cs="Tahoma"/>
        </w:rPr>
        <w:t xml:space="preserve">showed the most marked improvement. </w:t>
      </w:r>
      <w:r w:rsidR="00FE4813">
        <w:rPr>
          <w:rFonts w:cs="Tahoma"/>
        </w:rPr>
        <w:t>A large</w:t>
      </w:r>
      <w:r w:rsidR="007A4C19">
        <w:rPr>
          <w:rFonts w:cs="Tahoma"/>
        </w:rPr>
        <w:t xml:space="preserve"> number of factors </w:t>
      </w:r>
      <w:r w:rsidR="00FE4813">
        <w:rPr>
          <w:rFonts w:cs="Tahoma"/>
        </w:rPr>
        <w:t xml:space="preserve">can lead to improvement, one of which is </w:t>
      </w:r>
      <w:r w:rsidR="007A4C19">
        <w:rPr>
          <w:rFonts w:cs="Tahoma"/>
        </w:rPr>
        <w:t>strong relationships and partnership working</w:t>
      </w:r>
      <w:r w:rsidR="005F49E3">
        <w:rPr>
          <w:rFonts w:cs="Tahoma"/>
        </w:rPr>
        <w:t>:</w:t>
      </w:r>
      <w:r w:rsidR="007A4C19">
        <w:rPr>
          <w:rFonts w:cs="Tahoma"/>
        </w:rPr>
        <w:t xml:space="preserve"> between </w:t>
      </w:r>
      <w:r w:rsidR="005F49E3">
        <w:rPr>
          <w:rFonts w:cs="Tahoma"/>
        </w:rPr>
        <w:t>providers</w:t>
      </w:r>
      <w:r w:rsidR="007A4C19">
        <w:rPr>
          <w:rFonts w:cs="Tahoma"/>
        </w:rPr>
        <w:t xml:space="preserve"> and </w:t>
      </w:r>
      <w:r w:rsidR="005F49E3">
        <w:rPr>
          <w:rFonts w:cs="Tahoma"/>
        </w:rPr>
        <w:t>outside agencie</w:t>
      </w:r>
      <w:r w:rsidR="007A4C19">
        <w:rPr>
          <w:rFonts w:cs="Tahoma"/>
        </w:rPr>
        <w:t>s</w:t>
      </w:r>
      <w:r w:rsidR="005F49E3">
        <w:rPr>
          <w:rFonts w:cs="Tahoma"/>
        </w:rPr>
        <w:t xml:space="preserve"> (to see what they can offer children looked after);</w:t>
      </w:r>
      <w:r w:rsidR="007A4C19">
        <w:rPr>
          <w:rFonts w:cs="Tahoma"/>
        </w:rPr>
        <w:t xml:space="preserve"> and </w:t>
      </w:r>
      <w:r w:rsidR="005F49E3">
        <w:rPr>
          <w:rFonts w:cs="Tahoma"/>
        </w:rPr>
        <w:t xml:space="preserve">across sectors </w:t>
      </w:r>
      <w:r w:rsidR="007A4C19">
        <w:rPr>
          <w:rFonts w:cs="Tahoma"/>
        </w:rPr>
        <w:t>between providers themselves</w:t>
      </w:r>
      <w:r w:rsidR="00FE4813">
        <w:rPr>
          <w:rFonts w:cs="Tahoma"/>
        </w:rPr>
        <w:t xml:space="preserve">. </w:t>
      </w:r>
      <w:r w:rsidRPr="006C184A">
        <w:rPr>
          <w:rFonts w:cs="Tahoma"/>
        </w:rPr>
        <w:t xml:space="preserve">The </w:t>
      </w:r>
      <w:r>
        <w:rPr>
          <w:rFonts w:cs="Tahoma"/>
        </w:rPr>
        <w:t>regions with the least</w:t>
      </w:r>
      <w:r w:rsidRPr="006C184A">
        <w:rPr>
          <w:rFonts w:cs="Tahoma"/>
        </w:rPr>
        <w:t xml:space="preserve"> improvement were the South West</w:t>
      </w:r>
      <w:r>
        <w:rPr>
          <w:rFonts w:cs="Tahoma"/>
        </w:rPr>
        <w:t xml:space="preserve"> (39%)</w:t>
      </w:r>
      <w:r w:rsidRPr="006C184A">
        <w:rPr>
          <w:rFonts w:cs="Tahoma"/>
        </w:rPr>
        <w:t xml:space="preserve"> and London</w:t>
      </w:r>
      <w:r>
        <w:rPr>
          <w:rFonts w:cs="Tahoma"/>
        </w:rPr>
        <w:t xml:space="preserve"> (50%).</w:t>
      </w:r>
    </w:p>
    <w:p w14:paraId="14B6C9FC" w14:textId="77777777" w:rsidR="000D72F3" w:rsidRDefault="000D72F3" w:rsidP="000D72F3">
      <w:pPr>
        <w:jc w:val="left"/>
        <w:rPr>
          <w:rFonts w:cs="Tahoma"/>
        </w:rPr>
      </w:pPr>
    </w:p>
    <w:p w14:paraId="436F81DE" w14:textId="77777777" w:rsidR="000D72F3" w:rsidRPr="006C184A" w:rsidRDefault="000D72F3" w:rsidP="000D72F3">
      <w:pPr>
        <w:pStyle w:val="Heading3"/>
      </w:pPr>
      <w:bookmarkStart w:id="105" w:name="_Toc427154565"/>
      <w:bookmarkStart w:id="106" w:name="_Toc454377346"/>
      <w:bookmarkStart w:id="107" w:name="_Toc486582160"/>
      <w:bookmarkStart w:id="108" w:name="_Toc491090881"/>
      <w:r w:rsidRPr="006C184A">
        <w:t xml:space="preserve">Sector data for all children’s homes </w:t>
      </w:r>
      <w:bookmarkEnd w:id="105"/>
      <w:r>
        <w:t>in year 2016-1</w:t>
      </w:r>
      <w:bookmarkEnd w:id="106"/>
      <w:r>
        <w:t>7</w:t>
      </w:r>
      <w:bookmarkEnd w:id="107"/>
      <w:bookmarkEnd w:id="108"/>
    </w:p>
    <w:p w14:paraId="27D5F9C4" w14:textId="6296ED04" w:rsidR="000D72F3" w:rsidRDefault="000D72F3" w:rsidP="000D72F3">
      <w:pPr>
        <w:spacing w:after="240"/>
        <w:jc w:val="left"/>
        <w:rPr>
          <w:rFonts w:cs="Tahoma"/>
        </w:rPr>
      </w:pPr>
      <w:r w:rsidRPr="000557C5">
        <w:t>In a change from last year, LA-run homes outperformed both private</w:t>
      </w:r>
      <w:r w:rsidR="003418BA">
        <w:t>-</w:t>
      </w:r>
      <w:r w:rsidRPr="000557C5">
        <w:t xml:space="preserve"> and voluntary</w:t>
      </w:r>
      <w:r w:rsidR="003418BA">
        <w:t>-run</w:t>
      </w:r>
      <w:r w:rsidRPr="000557C5">
        <w:t xml:space="preserve"> homes in 2016-17, with a larger proportion of LA-run homes being judged good or better compared </w:t>
      </w:r>
      <w:r w:rsidR="008C4815">
        <w:t>with</w:t>
      </w:r>
      <w:r w:rsidRPr="000557C5">
        <w:t xml:space="preserve"> private</w:t>
      </w:r>
      <w:r w:rsidR="003418BA">
        <w:t>-</w:t>
      </w:r>
      <w:r w:rsidRPr="000557C5">
        <w:t xml:space="preserve"> or voluntary-run homes.</w:t>
      </w:r>
    </w:p>
    <w:p w14:paraId="56DB9F0E" w14:textId="77777777" w:rsidR="000D72F3" w:rsidRPr="006C184A" w:rsidRDefault="00544AF3" w:rsidP="000D72F3">
      <w:pPr>
        <w:pStyle w:val="Caption"/>
      </w:pPr>
      <w:bookmarkStart w:id="109" w:name="_Toc454377027"/>
      <w:bookmarkStart w:id="110" w:name="_Toc486581675"/>
      <w:r>
        <w:br w:type="page"/>
      </w:r>
      <w:bookmarkStart w:id="111" w:name="_Toc491087637"/>
      <w:r w:rsidR="000D72F3" w:rsidRPr="006C184A">
        <w:lastRenderedPageBreak/>
        <w:t xml:space="preserve">Chart </w:t>
      </w:r>
      <w:r w:rsidR="000D72F3">
        <w:t>1</w:t>
      </w:r>
      <w:r w:rsidR="006154C0">
        <w:t>7</w:t>
      </w:r>
      <w:r w:rsidR="000D72F3" w:rsidRPr="006C184A">
        <w:t xml:space="preserve">: Children’s homes </w:t>
      </w:r>
      <w:r w:rsidR="000D72F3" w:rsidRPr="007562FF">
        <w:t>Overall effectiveness</w:t>
      </w:r>
      <w:r w:rsidR="000D72F3" w:rsidRPr="006C184A">
        <w:t xml:space="preserve"> </w:t>
      </w:r>
      <w:r w:rsidR="000D72F3">
        <w:t>2016-17</w:t>
      </w:r>
      <w:r w:rsidR="000D72F3" w:rsidRPr="006C184A">
        <w:t>, by sector</w:t>
      </w:r>
      <w:bookmarkEnd w:id="109"/>
      <w:bookmarkEnd w:id="110"/>
      <w:r w:rsidR="000D72F3">
        <w:rPr>
          <w:rStyle w:val="FootnoteReference"/>
        </w:rPr>
        <w:footnoteReference w:id="49"/>
      </w:r>
      <w:bookmarkEnd w:id="111"/>
    </w:p>
    <w:p w14:paraId="4271C789" w14:textId="77777777" w:rsidR="000D72F3" w:rsidRPr="000557C5" w:rsidRDefault="00CD52DA" w:rsidP="000D72F3">
      <w:pPr>
        <w:spacing w:after="240"/>
        <w:jc w:val="left"/>
        <w:rPr>
          <w:rFonts w:cs="Tahoma"/>
        </w:rPr>
      </w:pPr>
      <w:r>
        <w:rPr>
          <w:rFonts w:cs="Tahoma"/>
          <w:noProof/>
        </w:rPr>
        <w:drawing>
          <wp:inline distT="0" distB="0" distL="0" distR="0" wp14:anchorId="550296AF" wp14:editId="5F5B9FCC">
            <wp:extent cx="4739640" cy="259842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JPG"/>
                    <pic:cNvPicPr/>
                  </pic:nvPicPr>
                  <pic:blipFill>
                    <a:blip r:embed="rId36">
                      <a:extLst>
                        <a:ext uri="{28A0092B-C50C-407E-A947-70E740481C1C}">
                          <a14:useLocalDpi xmlns:a14="http://schemas.microsoft.com/office/drawing/2010/main" val="0"/>
                        </a:ext>
                      </a:extLst>
                    </a:blip>
                    <a:stretch>
                      <a:fillRect/>
                    </a:stretch>
                  </pic:blipFill>
                  <pic:spPr>
                    <a:xfrm>
                      <a:off x="0" y="0"/>
                      <a:ext cx="4739640" cy="2598420"/>
                    </a:xfrm>
                    <a:prstGeom prst="rect">
                      <a:avLst/>
                    </a:prstGeom>
                  </pic:spPr>
                </pic:pic>
              </a:graphicData>
            </a:graphic>
          </wp:inline>
        </w:drawing>
      </w:r>
    </w:p>
    <w:p w14:paraId="22009861" w14:textId="530F9C40" w:rsidR="000D72F3" w:rsidRPr="006C184A" w:rsidRDefault="000D72F3" w:rsidP="000D72F3">
      <w:pPr>
        <w:spacing w:after="240"/>
        <w:jc w:val="left"/>
        <w:rPr>
          <w:rFonts w:cs="Tahoma"/>
        </w:rPr>
      </w:pPr>
      <w:r>
        <w:rPr>
          <w:rFonts w:cs="Tahoma"/>
        </w:rPr>
        <w:t>LA</w:t>
      </w:r>
      <w:r w:rsidRPr="006C184A">
        <w:rPr>
          <w:rFonts w:cs="Tahoma"/>
        </w:rPr>
        <w:t xml:space="preserve">-run homes, which make up </w:t>
      </w:r>
      <w:r>
        <w:rPr>
          <w:rFonts w:cs="Tahoma"/>
        </w:rPr>
        <w:t>20</w:t>
      </w:r>
      <w:r w:rsidRPr="006C184A">
        <w:rPr>
          <w:rFonts w:cs="Tahoma"/>
        </w:rPr>
        <w:t>% of all children’s homes, ha</w:t>
      </w:r>
      <w:r>
        <w:rPr>
          <w:rFonts w:cs="Tahoma"/>
        </w:rPr>
        <w:t>d</w:t>
      </w:r>
      <w:r w:rsidRPr="006C184A">
        <w:rPr>
          <w:rFonts w:cs="Tahoma"/>
        </w:rPr>
        <w:t xml:space="preserve"> the best performance profile</w:t>
      </w:r>
      <w:r>
        <w:rPr>
          <w:rFonts w:cs="Tahoma"/>
        </w:rPr>
        <w:t>, with a higher percentage of good or better homes</w:t>
      </w:r>
      <w:r w:rsidRPr="006C184A">
        <w:rPr>
          <w:rFonts w:cs="Tahoma"/>
        </w:rPr>
        <w:t xml:space="preserve">, when compared </w:t>
      </w:r>
      <w:r w:rsidR="008C4815">
        <w:rPr>
          <w:rFonts w:cs="Tahoma"/>
        </w:rPr>
        <w:t>with</w:t>
      </w:r>
      <w:r w:rsidRPr="006C184A">
        <w:rPr>
          <w:rFonts w:cs="Tahoma"/>
        </w:rPr>
        <w:t xml:space="preserve"> </w:t>
      </w:r>
      <w:r>
        <w:rPr>
          <w:rFonts w:cs="Tahoma"/>
        </w:rPr>
        <w:t>privately</w:t>
      </w:r>
      <w:r w:rsidRPr="006C184A">
        <w:rPr>
          <w:rFonts w:cs="Tahoma"/>
        </w:rPr>
        <w:t>-run</w:t>
      </w:r>
      <w:r>
        <w:rPr>
          <w:rFonts w:cs="Tahoma"/>
        </w:rPr>
        <w:t xml:space="preserve"> and voluntary-run</w:t>
      </w:r>
      <w:r w:rsidRPr="006C184A">
        <w:rPr>
          <w:rFonts w:cs="Tahoma"/>
        </w:rPr>
        <w:t xml:space="preserve"> homes, which make up </w:t>
      </w:r>
      <w:r>
        <w:rPr>
          <w:rFonts w:cs="Tahoma"/>
        </w:rPr>
        <w:t>72</w:t>
      </w:r>
      <w:r w:rsidRPr="006C184A">
        <w:rPr>
          <w:rFonts w:cs="Tahoma"/>
        </w:rPr>
        <w:t xml:space="preserve">% and </w:t>
      </w:r>
      <w:r>
        <w:rPr>
          <w:rFonts w:cs="Tahoma"/>
        </w:rPr>
        <w:t>8</w:t>
      </w:r>
      <w:r w:rsidRPr="006C184A">
        <w:rPr>
          <w:rFonts w:cs="Tahoma"/>
        </w:rPr>
        <w:t xml:space="preserve">% respectively. </w:t>
      </w:r>
      <w:r>
        <w:rPr>
          <w:rFonts w:cs="Tahoma"/>
        </w:rPr>
        <w:t>This contrasts with 2015-16, when voluntary-run homes had the best performance profile</w:t>
      </w:r>
      <w:r w:rsidR="00173B8F">
        <w:rPr>
          <w:rFonts w:cs="Tahoma"/>
        </w:rPr>
        <w:t>, though the reasons for this shift are unclear</w:t>
      </w:r>
      <w:r>
        <w:rPr>
          <w:rFonts w:cs="Tahoma"/>
        </w:rPr>
        <w:t>.</w:t>
      </w:r>
    </w:p>
    <w:p w14:paraId="0BE29144" w14:textId="77777777" w:rsidR="000D72F3" w:rsidRPr="006C184A" w:rsidRDefault="000D72F3" w:rsidP="000D72F3">
      <w:pPr>
        <w:spacing w:after="240"/>
        <w:jc w:val="left"/>
        <w:rPr>
          <w:rFonts w:cs="Tahoma"/>
        </w:rPr>
      </w:pPr>
      <w:r>
        <w:rPr>
          <w:rFonts w:cs="Tahoma"/>
        </w:rPr>
        <w:t>LA</w:t>
      </w:r>
      <w:r w:rsidRPr="006C184A">
        <w:rPr>
          <w:rFonts w:cs="Tahoma"/>
        </w:rPr>
        <w:t xml:space="preserve">-run homes </w:t>
      </w:r>
      <w:r>
        <w:rPr>
          <w:rFonts w:cs="Tahoma"/>
        </w:rPr>
        <w:t xml:space="preserve">also </w:t>
      </w:r>
      <w:r w:rsidRPr="006C184A">
        <w:rPr>
          <w:rFonts w:cs="Tahoma"/>
        </w:rPr>
        <w:t xml:space="preserve">had </w:t>
      </w:r>
      <w:r>
        <w:rPr>
          <w:rFonts w:cs="Tahoma"/>
        </w:rPr>
        <w:t>the</w:t>
      </w:r>
      <w:r w:rsidRPr="006C184A">
        <w:rPr>
          <w:rFonts w:cs="Tahoma"/>
        </w:rPr>
        <w:t xml:space="preserve"> highe</w:t>
      </w:r>
      <w:r>
        <w:rPr>
          <w:rFonts w:cs="Tahoma"/>
        </w:rPr>
        <w:t>st</w:t>
      </w:r>
      <w:r w:rsidRPr="006C184A">
        <w:rPr>
          <w:rFonts w:cs="Tahoma"/>
        </w:rPr>
        <w:t xml:space="preserve"> </w:t>
      </w:r>
      <w:r>
        <w:rPr>
          <w:rFonts w:cs="Tahoma"/>
        </w:rPr>
        <w:t>percentage</w:t>
      </w:r>
      <w:r w:rsidRPr="006C184A">
        <w:rPr>
          <w:rFonts w:cs="Tahoma"/>
        </w:rPr>
        <w:t xml:space="preserve"> of outstanding </w:t>
      </w:r>
      <w:r w:rsidRPr="007562FF">
        <w:rPr>
          <w:rFonts w:cs="Tahoma"/>
        </w:rPr>
        <w:t>Overall effectiveness</w:t>
      </w:r>
      <w:r w:rsidRPr="00E62975">
        <w:rPr>
          <w:rFonts w:cs="Tahoma"/>
        </w:rPr>
        <w:t xml:space="preserve"> judgements for the period, at 2</w:t>
      </w:r>
      <w:r>
        <w:rPr>
          <w:rFonts w:cs="Tahoma"/>
        </w:rPr>
        <w:t>5</w:t>
      </w:r>
      <w:r w:rsidRPr="00E62975">
        <w:rPr>
          <w:rFonts w:cs="Tahoma"/>
        </w:rPr>
        <w:t>%</w:t>
      </w:r>
      <w:r>
        <w:rPr>
          <w:rFonts w:cs="Tahoma"/>
        </w:rPr>
        <w:t xml:space="preserve">. In comparison, </w:t>
      </w:r>
      <w:r w:rsidRPr="00E62975">
        <w:rPr>
          <w:rFonts w:cs="Tahoma"/>
        </w:rPr>
        <w:t>priv</w:t>
      </w:r>
      <w:r w:rsidRPr="006C184A">
        <w:rPr>
          <w:rFonts w:cs="Tahoma"/>
        </w:rPr>
        <w:t>ate</w:t>
      </w:r>
      <w:r>
        <w:rPr>
          <w:rFonts w:cs="Tahoma"/>
        </w:rPr>
        <w:t>ly-run</w:t>
      </w:r>
      <w:r w:rsidRPr="006C184A">
        <w:rPr>
          <w:rFonts w:cs="Tahoma"/>
        </w:rPr>
        <w:t xml:space="preserve"> and voluntary-run homes</w:t>
      </w:r>
      <w:r>
        <w:rPr>
          <w:rFonts w:cs="Tahoma"/>
        </w:rPr>
        <w:t xml:space="preserve"> had</w:t>
      </w:r>
      <w:r w:rsidRPr="006C184A">
        <w:rPr>
          <w:rFonts w:cs="Tahoma"/>
        </w:rPr>
        <w:t xml:space="preserve"> </w:t>
      </w:r>
      <w:r>
        <w:rPr>
          <w:rFonts w:cs="Tahoma"/>
        </w:rPr>
        <w:t>14</w:t>
      </w:r>
      <w:r w:rsidRPr="006C184A">
        <w:rPr>
          <w:rFonts w:cs="Tahoma"/>
        </w:rPr>
        <w:t xml:space="preserve">% and </w:t>
      </w:r>
      <w:r>
        <w:rPr>
          <w:rFonts w:cs="Tahoma"/>
        </w:rPr>
        <w:t>19%</w:t>
      </w:r>
      <w:r w:rsidRPr="006C184A">
        <w:rPr>
          <w:rFonts w:cs="Tahoma"/>
        </w:rPr>
        <w:t xml:space="preserve"> respectively. </w:t>
      </w:r>
    </w:p>
    <w:p w14:paraId="0DEB90E2" w14:textId="77777777" w:rsidR="000D72F3" w:rsidRDefault="000D72F3" w:rsidP="000D72F3">
      <w:pPr>
        <w:spacing w:after="240"/>
        <w:jc w:val="left"/>
        <w:rPr>
          <w:rFonts w:cs="Tahoma"/>
        </w:rPr>
      </w:pPr>
      <w:r>
        <w:rPr>
          <w:rFonts w:cs="Tahoma"/>
        </w:rPr>
        <w:t>Seven</w:t>
      </w:r>
      <w:r w:rsidRPr="006C184A">
        <w:rPr>
          <w:rFonts w:cs="Tahoma"/>
        </w:rPr>
        <w:t xml:space="preserve"> of the </w:t>
      </w:r>
      <w:r>
        <w:rPr>
          <w:rFonts w:cs="Tahoma"/>
        </w:rPr>
        <w:t>eight</w:t>
      </w:r>
      <w:r w:rsidRPr="006C184A">
        <w:rPr>
          <w:rFonts w:cs="Tahoma"/>
        </w:rPr>
        <w:t xml:space="preserve"> health authority-run homes inspected during </w:t>
      </w:r>
      <w:r>
        <w:rPr>
          <w:rFonts w:cs="Tahoma"/>
        </w:rPr>
        <w:t>2016-17</w:t>
      </w:r>
      <w:r w:rsidRPr="006C184A">
        <w:rPr>
          <w:rFonts w:cs="Tahoma"/>
        </w:rPr>
        <w:t xml:space="preserve"> were judged good</w:t>
      </w:r>
      <w:r>
        <w:rPr>
          <w:rFonts w:cs="Tahoma"/>
        </w:rPr>
        <w:t xml:space="preserve"> and one was judged requires improvement to be good.</w:t>
      </w:r>
    </w:p>
    <w:p w14:paraId="2121E3E7" w14:textId="77777777" w:rsidR="000D72F3" w:rsidRDefault="000D72F3" w:rsidP="000D72F3">
      <w:pPr>
        <w:pStyle w:val="Maps"/>
      </w:pPr>
    </w:p>
    <w:p w14:paraId="2C30D86E" w14:textId="77777777" w:rsidR="000D72F3" w:rsidRDefault="000D72F3" w:rsidP="000D72F3">
      <w:pPr>
        <w:pStyle w:val="Maps"/>
      </w:pPr>
    </w:p>
    <w:p w14:paraId="68EBC0AF" w14:textId="77777777" w:rsidR="000D72F3" w:rsidRDefault="000D72F3" w:rsidP="000D72F3">
      <w:pPr>
        <w:pStyle w:val="Maps"/>
      </w:pPr>
    </w:p>
    <w:p w14:paraId="374BF9C7" w14:textId="77777777" w:rsidR="000D72F3" w:rsidRPr="005106F4" w:rsidRDefault="000D72F3" w:rsidP="000D72F3">
      <w:pPr>
        <w:jc w:val="left"/>
        <w:rPr>
          <w:rFonts w:cs="Tahoma"/>
        </w:rPr>
        <w:sectPr w:rsidR="000D72F3" w:rsidRPr="005106F4" w:rsidSect="007A568F">
          <w:headerReference w:type="even" r:id="rId37"/>
          <w:headerReference w:type="default" r:id="rId38"/>
          <w:footerReference w:type="even" r:id="rId39"/>
          <w:footerReference w:type="default" r:id="rId40"/>
          <w:headerReference w:type="first" r:id="rId41"/>
          <w:footerReference w:type="first" r:id="rId42"/>
          <w:pgSz w:w="11906" w:h="16838" w:code="9"/>
          <w:pgMar w:top="356" w:right="1440" w:bottom="1440" w:left="1440" w:header="284" w:footer="709" w:gutter="0"/>
          <w:cols w:space="708"/>
          <w:docGrid w:linePitch="360"/>
        </w:sectPr>
      </w:pPr>
    </w:p>
    <w:p w14:paraId="78BA18F6" w14:textId="77777777" w:rsidR="000D72F3" w:rsidRDefault="000D72F3" w:rsidP="000D72F3">
      <w:pPr>
        <w:jc w:val="left"/>
        <w:sectPr w:rsidR="000D72F3" w:rsidSect="007A568F">
          <w:headerReference w:type="even" r:id="rId43"/>
          <w:headerReference w:type="default" r:id="rId44"/>
          <w:footerReference w:type="even" r:id="rId45"/>
          <w:footerReference w:type="default" r:id="rId46"/>
          <w:headerReference w:type="first" r:id="rId47"/>
          <w:footerReference w:type="first" r:id="rId48"/>
          <w:pgSz w:w="16838" w:h="11906" w:orient="landscape" w:code="9"/>
          <w:pgMar w:top="1440" w:right="356" w:bottom="1440" w:left="1440" w:header="284" w:footer="709" w:gutter="0"/>
          <w:cols w:space="708"/>
          <w:docGrid w:linePitch="360"/>
        </w:sectPr>
      </w:pPr>
      <w:bookmarkStart w:id="112" w:name="_Toc427155152"/>
      <w:bookmarkStart w:id="113" w:name="_Toc427155200"/>
      <w:r w:rsidRPr="006C184A">
        <w:rPr>
          <w:b/>
          <w:bCs/>
          <w:color w:val="FFFFFF"/>
          <w:sz w:val="12"/>
          <w:szCs w:val="12"/>
        </w:rPr>
        <w:lastRenderedPageBreak/>
        <w:t xml:space="preserve">Map </w:t>
      </w:r>
      <w:r w:rsidRPr="006C184A">
        <w:rPr>
          <w:b/>
          <w:bCs/>
          <w:color w:val="FFFFFF"/>
          <w:sz w:val="12"/>
          <w:szCs w:val="12"/>
        </w:rPr>
        <w:fldChar w:fldCharType="begin"/>
      </w:r>
      <w:r w:rsidRPr="006C184A">
        <w:rPr>
          <w:b/>
          <w:bCs/>
          <w:color w:val="FFFFFF"/>
          <w:sz w:val="12"/>
          <w:szCs w:val="12"/>
        </w:rPr>
        <w:instrText xml:space="preserve"> SEQ Map \* ARABIC </w:instrText>
      </w:r>
      <w:r w:rsidRPr="006C184A">
        <w:rPr>
          <w:b/>
          <w:bCs/>
          <w:color w:val="FFFFFF"/>
          <w:sz w:val="12"/>
          <w:szCs w:val="12"/>
        </w:rPr>
        <w:fldChar w:fldCharType="separate"/>
      </w:r>
      <w:r w:rsidR="005F2D43">
        <w:rPr>
          <w:b/>
          <w:bCs/>
          <w:noProof/>
          <w:color w:val="FFFFFF"/>
          <w:sz w:val="12"/>
          <w:szCs w:val="12"/>
        </w:rPr>
        <w:t>1</w:t>
      </w:r>
      <w:r w:rsidRPr="006C184A">
        <w:rPr>
          <w:b/>
          <w:bCs/>
          <w:color w:val="FFFFFF"/>
          <w:sz w:val="12"/>
          <w:szCs w:val="12"/>
        </w:rPr>
        <w:fldChar w:fldCharType="end"/>
      </w:r>
      <w:r w:rsidRPr="006C184A">
        <w:rPr>
          <w:rFonts w:cs="Tahoma"/>
          <w:b/>
          <w:bCs/>
          <w:color w:val="FFFFFF"/>
          <w:sz w:val="12"/>
          <w:szCs w:val="12"/>
        </w:rPr>
        <w:t xml:space="preserve"> </w:t>
      </w:r>
      <w:bookmarkEnd w:id="112"/>
      <w:bookmarkEnd w:id="113"/>
    </w:p>
    <w:p w14:paraId="165C951F" w14:textId="77777777" w:rsidR="000D72F3" w:rsidRDefault="000D72F3" w:rsidP="000D72F3">
      <w:pPr>
        <w:pStyle w:val="Maps"/>
        <w:rPr>
          <w:noProof/>
        </w:rPr>
      </w:pPr>
      <w:bookmarkStart w:id="114" w:name="_Toc454377044"/>
      <w:bookmarkStart w:id="115" w:name="_Toc486581884"/>
      <w:bookmarkStart w:id="116" w:name="_Toc491087646"/>
      <w:r>
        <w:t xml:space="preserve">Map </w:t>
      </w:r>
      <w:r w:rsidR="006154C0">
        <w:t>5</w:t>
      </w:r>
      <w:r>
        <w:t>: Local authority-run children’s homes receiving a good or better overall effectiveness judgement at full inspection, by region, in 2016-1</w:t>
      </w:r>
      <w:bookmarkEnd w:id="114"/>
      <w:r>
        <w:t>7</w:t>
      </w:r>
      <w:bookmarkEnd w:id="115"/>
      <w:bookmarkEnd w:id="116"/>
    </w:p>
    <w:p w14:paraId="78D1948F" w14:textId="77777777" w:rsidR="000D72F3" w:rsidRDefault="008D5804" w:rsidP="000D72F3">
      <w:pPr>
        <w:jc w:val="left"/>
        <w:rPr>
          <w:noProof/>
        </w:rPr>
      </w:pPr>
      <w:r w:rsidRPr="007B3A9E">
        <w:rPr>
          <w:noProof/>
        </w:rPr>
        <w:drawing>
          <wp:inline distT="0" distB="0" distL="0" distR="0" wp14:anchorId="590E4859" wp14:editId="13FA661C">
            <wp:extent cx="3977640" cy="4373880"/>
            <wp:effectExtent l="0" t="0" r="381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7640" cy="4373880"/>
                    </a:xfrm>
                    <a:prstGeom prst="rect">
                      <a:avLst/>
                    </a:prstGeom>
                    <a:noFill/>
                    <a:ln>
                      <a:noFill/>
                    </a:ln>
                  </pic:spPr>
                </pic:pic>
              </a:graphicData>
            </a:graphic>
          </wp:inline>
        </w:drawing>
      </w:r>
    </w:p>
    <w:p w14:paraId="1B3D2B09" w14:textId="77777777" w:rsidR="000D72F3" w:rsidRDefault="000D72F3" w:rsidP="000D72F3">
      <w:pPr>
        <w:pStyle w:val="Maps"/>
      </w:pPr>
      <w:bookmarkStart w:id="117" w:name="_Toc454377045"/>
      <w:bookmarkStart w:id="118" w:name="_Toc486581885"/>
      <w:bookmarkStart w:id="119" w:name="_Toc491087647"/>
      <w:r>
        <w:t xml:space="preserve">Map </w:t>
      </w:r>
      <w:r w:rsidR="006154C0">
        <w:t>6</w:t>
      </w:r>
      <w:r>
        <w:t>: Private and voluntary-run children’s homes receiving a good or better overall effectiveness judgement at full inspection, by region, in 2016-1</w:t>
      </w:r>
      <w:bookmarkEnd w:id="117"/>
      <w:r>
        <w:t>7</w:t>
      </w:r>
      <w:bookmarkEnd w:id="118"/>
      <w:bookmarkEnd w:id="119"/>
    </w:p>
    <w:p w14:paraId="14A8C021" w14:textId="77777777" w:rsidR="000D72F3" w:rsidRDefault="008D5804" w:rsidP="000D72F3">
      <w:pPr>
        <w:jc w:val="left"/>
      </w:pPr>
      <w:r w:rsidRPr="007B3A9E">
        <w:rPr>
          <w:noProof/>
        </w:rPr>
        <w:drawing>
          <wp:inline distT="0" distB="0" distL="0" distR="0" wp14:anchorId="082C099B" wp14:editId="1C793316">
            <wp:extent cx="3992880" cy="4389120"/>
            <wp:effectExtent l="0" t="0" r="762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2880" cy="4389120"/>
                    </a:xfrm>
                    <a:prstGeom prst="rect">
                      <a:avLst/>
                    </a:prstGeom>
                    <a:noFill/>
                    <a:ln>
                      <a:noFill/>
                    </a:ln>
                  </pic:spPr>
                </pic:pic>
              </a:graphicData>
            </a:graphic>
          </wp:inline>
        </w:drawing>
      </w:r>
    </w:p>
    <w:p w14:paraId="28DF6CE2" w14:textId="77777777" w:rsidR="000D72F3" w:rsidRDefault="000D72F3" w:rsidP="000D72F3">
      <w:pPr>
        <w:pStyle w:val="Maps"/>
        <w:sectPr w:rsidR="000D72F3" w:rsidSect="00622186">
          <w:type w:val="continuous"/>
          <w:pgSz w:w="16838" w:h="11906" w:orient="landscape" w:code="9"/>
          <w:pgMar w:top="1440" w:right="356" w:bottom="1440" w:left="1440" w:header="284" w:footer="709" w:gutter="0"/>
          <w:cols w:num="2" w:space="708"/>
          <w:docGrid w:linePitch="360"/>
        </w:sectPr>
      </w:pPr>
    </w:p>
    <w:p w14:paraId="1E60EB1A" w14:textId="77777777" w:rsidR="000D72F3" w:rsidRPr="006C184A" w:rsidRDefault="000D72F3" w:rsidP="000D72F3">
      <w:pPr>
        <w:jc w:val="left"/>
        <w:rPr>
          <w:rFonts w:cs="Tahoma"/>
        </w:rPr>
        <w:sectPr w:rsidR="000D72F3" w:rsidRPr="006C184A" w:rsidSect="00113411">
          <w:type w:val="continuous"/>
          <w:pgSz w:w="16838" w:h="11906" w:orient="landscape" w:code="9"/>
          <w:pgMar w:top="1440" w:right="356" w:bottom="1440" w:left="1440" w:header="284" w:footer="709" w:gutter="0"/>
          <w:cols w:space="708"/>
          <w:docGrid w:linePitch="360"/>
        </w:sectPr>
      </w:pPr>
    </w:p>
    <w:p w14:paraId="0728057D" w14:textId="77777777" w:rsidR="008B18FE" w:rsidRPr="006C184A" w:rsidRDefault="008B18FE" w:rsidP="008B18FE">
      <w:pPr>
        <w:spacing w:after="240"/>
        <w:jc w:val="left"/>
        <w:rPr>
          <w:rFonts w:cs="Tahoma"/>
        </w:rPr>
      </w:pPr>
      <w:bookmarkStart w:id="120" w:name="_Toc427154566"/>
      <w:bookmarkStart w:id="121" w:name="_Toc454377347"/>
      <w:r w:rsidRPr="006C184A">
        <w:rPr>
          <w:rFonts w:cs="Tahoma"/>
        </w:rPr>
        <w:lastRenderedPageBreak/>
        <w:t xml:space="preserve">In line with the national sectorial picture, </w:t>
      </w:r>
      <w:r>
        <w:rPr>
          <w:rFonts w:cs="Tahoma"/>
        </w:rPr>
        <w:t>LA</w:t>
      </w:r>
      <w:r w:rsidRPr="006C184A">
        <w:rPr>
          <w:rFonts w:cs="Tahoma"/>
        </w:rPr>
        <w:t>-run homes</w:t>
      </w:r>
      <w:r>
        <w:rPr>
          <w:rFonts w:cs="Tahoma"/>
        </w:rPr>
        <w:t>, when compared with privately-run and voluntary-run homes combined,</w:t>
      </w:r>
      <w:r w:rsidRPr="006C184A">
        <w:rPr>
          <w:rFonts w:cs="Tahoma"/>
        </w:rPr>
        <w:t xml:space="preserve"> had a higher </w:t>
      </w:r>
      <w:r>
        <w:rPr>
          <w:rFonts w:cs="Tahoma"/>
        </w:rPr>
        <w:t>percentage</w:t>
      </w:r>
      <w:r w:rsidRPr="006C184A">
        <w:rPr>
          <w:rFonts w:cs="Tahoma"/>
        </w:rPr>
        <w:t xml:space="preserve"> of homes judged good or better in </w:t>
      </w:r>
      <w:r>
        <w:rPr>
          <w:rFonts w:cs="Tahoma"/>
        </w:rPr>
        <w:t>seven of the nine regions. London had the biggest difference between the two groups (90% for LA-run homes compared with 64% for private</w:t>
      </w:r>
      <w:r w:rsidR="003418BA">
        <w:rPr>
          <w:rFonts w:cs="Tahoma"/>
        </w:rPr>
        <w:t>-</w:t>
      </w:r>
      <w:r>
        <w:rPr>
          <w:rFonts w:cs="Tahoma"/>
        </w:rPr>
        <w:t xml:space="preserve"> and voluntary-run homes), followed by the East Midlands (90% compared with 78%)</w:t>
      </w:r>
      <w:r w:rsidR="003418BA">
        <w:rPr>
          <w:rFonts w:cs="Tahoma"/>
        </w:rPr>
        <w:t>,</w:t>
      </w:r>
      <w:r>
        <w:rPr>
          <w:rFonts w:cs="Tahoma"/>
        </w:rPr>
        <w:t xml:space="preserve"> and the East of England (81% compared with 70%).</w:t>
      </w:r>
    </w:p>
    <w:p w14:paraId="25673300" w14:textId="77777777" w:rsidR="008B18FE" w:rsidRPr="00982AA0" w:rsidRDefault="008B18FE" w:rsidP="008B18FE">
      <w:pPr>
        <w:spacing w:after="240"/>
        <w:jc w:val="left"/>
        <w:rPr>
          <w:rFonts w:cs="Tahoma"/>
        </w:rPr>
      </w:pPr>
      <w:r>
        <w:rPr>
          <w:rFonts w:cs="Tahoma"/>
        </w:rPr>
        <w:t>The two regions where voluntary-run and privately-run homes combined outperformed LA-run homes in having a higher percentage of good or better homes were Yorkshire and the Humber (86% for private</w:t>
      </w:r>
      <w:r w:rsidR="003418BA">
        <w:rPr>
          <w:rFonts w:cs="Tahoma"/>
        </w:rPr>
        <w:t>-</w:t>
      </w:r>
      <w:r>
        <w:rPr>
          <w:rFonts w:cs="Tahoma"/>
        </w:rPr>
        <w:t xml:space="preserve"> and voluntary-run homes compared with 81% for LA-run homes)</w:t>
      </w:r>
      <w:r w:rsidR="003418BA">
        <w:rPr>
          <w:rFonts w:cs="Tahoma"/>
        </w:rPr>
        <w:t>,</w:t>
      </w:r>
      <w:r>
        <w:rPr>
          <w:rFonts w:cs="Tahoma"/>
        </w:rPr>
        <w:t xml:space="preserve"> and the South East (85% compared with 82%).</w:t>
      </w:r>
    </w:p>
    <w:p w14:paraId="031C4F63" w14:textId="77777777" w:rsidR="008B18FE" w:rsidRPr="006C184A" w:rsidRDefault="008B18FE" w:rsidP="008B18FE">
      <w:pPr>
        <w:pStyle w:val="Heading3"/>
      </w:pPr>
      <w:bookmarkStart w:id="122" w:name="_Toc486582161"/>
      <w:bookmarkStart w:id="123" w:name="_Toc491090882"/>
      <w:r w:rsidRPr="006C184A">
        <w:t xml:space="preserve">Interim inspections for all children’s homes </w:t>
      </w:r>
      <w:bookmarkEnd w:id="120"/>
      <w:r>
        <w:t>in year 2016-1</w:t>
      </w:r>
      <w:bookmarkEnd w:id="121"/>
      <w:r>
        <w:t>7</w:t>
      </w:r>
      <w:bookmarkEnd w:id="122"/>
      <w:bookmarkEnd w:id="123"/>
    </w:p>
    <w:p w14:paraId="701E27E8" w14:textId="77777777" w:rsidR="008B18FE" w:rsidRDefault="008B18FE" w:rsidP="008B18FE">
      <w:pPr>
        <w:pStyle w:val="Caption"/>
      </w:pPr>
      <w:bookmarkStart w:id="124" w:name="_Toc454377028"/>
      <w:bookmarkStart w:id="125" w:name="_Toc486581676"/>
      <w:bookmarkStart w:id="126" w:name="_Toc491087638"/>
      <w:r>
        <w:t>Chart 1</w:t>
      </w:r>
      <w:r w:rsidR="006154C0">
        <w:t>8</w:t>
      </w:r>
      <w:r>
        <w:t xml:space="preserve">: </w:t>
      </w:r>
      <w:r w:rsidRPr="006C184A">
        <w:t xml:space="preserve">Children’s homes </w:t>
      </w:r>
      <w:r w:rsidRPr="000A0570">
        <w:t>interim inspections</w:t>
      </w:r>
      <w:r w:rsidRPr="006C184A">
        <w:t xml:space="preserve"> judgements </w:t>
      </w:r>
      <w:r>
        <w:t>2016-1</w:t>
      </w:r>
      <w:bookmarkEnd w:id="124"/>
      <w:r>
        <w:t>7</w:t>
      </w:r>
      <w:bookmarkEnd w:id="125"/>
      <w:bookmarkEnd w:id="126"/>
    </w:p>
    <w:p w14:paraId="4FEDF029" w14:textId="77777777" w:rsidR="008B18FE" w:rsidRPr="002868ED" w:rsidRDefault="00FB62FA" w:rsidP="008B18FE">
      <w:pPr>
        <w:jc w:val="left"/>
        <w:rPr>
          <w:lang w:eastAsia="en-US"/>
        </w:rPr>
      </w:pPr>
      <w:r>
        <w:rPr>
          <w:noProof/>
        </w:rPr>
        <w:drawing>
          <wp:inline distT="0" distB="0" distL="0" distR="0" wp14:anchorId="70A99A2C" wp14:editId="358C7941">
            <wp:extent cx="5731510" cy="3821430"/>
            <wp:effectExtent l="0" t="0" r="254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hart 18 Children’s homes interim inspections judgements 2016-17.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76232FA1" w14:textId="77777777" w:rsidR="008B18FE" w:rsidRDefault="008B18FE" w:rsidP="008B18FE">
      <w:pPr>
        <w:spacing w:after="240"/>
        <w:jc w:val="left"/>
        <w:rPr>
          <w:rFonts w:cs="Tahoma"/>
        </w:rPr>
      </w:pPr>
    </w:p>
    <w:p w14:paraId="3EE7326B" w14:textId="77777777" w:rsidR="008B18FE" w:rsidRPr="006C184A" w:rsidRDefault="008B18FE" w:rsidP="008B18FE">
      <w:pPr>
        <w:spacing w:after="240"/>
        <w:jc w:val="left"/>
        <w:rPr>
          <w:rFonts w:cs="Tahoma"/>
        </w:rPr>
      </w:pPr>
      <w:r w:rsidRPr="006C184A">
        <w:rPr>
          <w:rFonts w:cs="Tahoma"/>
        </w:rPr>
        <w:t>Between 1 April 20</w:t>
      </w:r>
      <w:r>
        <w:rPr>
          <w:rFonts w:cs="Tahoma"/>
        </w:rPr>
        <w:t>16</w:t>
      </w:r>
      <w:r w:rsidRPr="006C184A">
        <w:rPr>
          <w:rFonts w:cs="Tahoma"/>
        </w:rPr>
        <w:t xml:space="preserve"> and 31 March 20</w:t>
      </w:r>
      <w:r>
        <w:rPr>
          <w:rFonts w:cs="Tahoma"/>
        </w:rPr>
        <w:t>17</w:t>
      </w:r>
      <w:r w:rsidRPr="006C184A">
        <w:rPr>
          <w:rFonts w:cs="Tahoma"/>
        </w:rPr>
        <w:t xml:space="preserve">, there were </w:t>
      </w:r>
      <w:r>
        <w:rPr>
          <w:rFonts w:cs="Tahoma"/>
        </w:rPr>
        <w:t>1,823</w:t>
      </w:r>
      <w:r w:rsidRPr="006C184A">
        <w:rPr>
          <w:rFonts w:cs="Tahoma"/>
        </w:rPr>
        <w:t xml:space="preserve"> interim inspections of all types of children’s homes. </w:t>
      </w:r>
      <w:r>
        <w:rPr>
          <w:rFonts w:cs="Tahoma"/>
        </w:rPr>
        <w:t xml:space="preserve">Half of these resulted in </w:t>
      </w:r>
      <w:r w:rsidR="008D4904">
        <w:rPr>
          <w:rFonts w:cs="Tahoma"/>
        </w:rPr>
        <w:t>s</w:t>
      </w:r>
      <w:r w:rsidRPr="00AD69EA">
        <w:rPr>
          <w:rFonts w:cs="Tahoma"/>
        </w:rPr>
        <w:t>ustained effectiveness</w:t>
      </w:r>
      <w:r>
        <w:rPr>
          <w:rFonts w:cs="Tahoma"/>
        </w:rPr>
        <w:t xml:space="preserve"> judgements, with a third receiving an </w:t>
      </w:r>
      <w:r w:rsidR="008D4904">
        <w:rPr>
          <w:rFonts w:cs="Tahoma"/>
        </w:rPr>
        <w:t>i</w:t>
      </w:r>
      <w:r w:rsidR="008D4904" w:rsidRPr="00AD69EA">
        <w:rPr>
          <w:rFonts w:cs="Tahoma"/>
        </w:rPr>
        <w:t xml:space="preserve">mproved </w:t>
      </w:r>
      <w:r w:rsidRPr="00AD69EA">
        <w:rPr>
          <w:rFonts w:cs="Tahoma"/>
        </w:rPr>
        <w:t>effectiveness</w:t>
      </w:r>
      <w:r>
        <w:rPr>
          <w:rFonts w:cs="Tahoma"/>
        </w:rPr>
        <w:t xml:space="preserve"> judgement.</w:t>
      </w:r>
      <w:r>
        <w:rPr>
          <w:rStyle w:val="FootnoteReference"/>
          <w:rFonts w:cs="Tahoma"/>
        </w:rPr>
        <w:footnoteReference w:id="50"/>
      </w:r>
    </w:p>
    <w:p w14:paraId="46860152" w14:textId="6B282D78" w:rsidR="008B18FE" w:rsidRDefault="008B18FE" w:rsidP="008B18FE">
      <w:pPr>
        <w:pStyle w:val="Caption"/>
      </w:pPr>
      <w:bookmarkStart w:id="127" w:name="_Toc454377029"/>
      <w:bookmarkStart w:id="128" w:name="_Toc486581677"/>
      <w:r>
        <w:br w:type="page"/>
      </w:r>
      <w:bookmarkStart w:id="129" w:name="_Toc491087639"/>
      <w:r>
        <w:lastRenderedPageBreak/>
        <w:t xml:space="preserve">Chart </w:t>
      </w:r>
      <w:r w:rsidR="006154C0">
        <w:t>19</w:t>
      </w:r>
      <w:r>
        <w:t xml:space="preserve">: Interim inspections judgements compared </w:t>
      </w:r>
      <w:r w:rsidR="008C4815">
        <w:t>with</w:t>
      </w:r>
      <w:r>
        <w:t xml:space="preserve"> subsequent full inspection</w:t>
      </w:r>
      <w:bookmarkEnd w:id="127"/>
      <w:bookmarkEnd w:id="128"/>
      <w:bookmarkEnd w:id="129"/>
    </w:p>
    <w:p w14:paraId="1DED8773" w14:textId="77777777" w:rsidR="008B18FE" w:rsidRPr="00476E49" w:rsidRDefault="001B08B5" w:rsidP="008B18FE">
      <w:pPr>
        <w:jc w:val="left"/>
        <w:rPr>
          <w:lang w:eastAsia="en-US"/>
        </w:rPr>
      </w:pPr>
      <w:r>
        <w:rPr>
          <w:noProof/>
        </w:rPr>
        <w:drawing>
          <wp:inline distT="0" distB="0" distL="0" distR="0" wp14:anchorId="69148269" wp14:editId="52DBE124">
            <wp:extent cx="6144294" cy="271272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JPG"/>
                    <pic:cNvPicPr/>
                  </pic:nvPicPr>
                  <pic:blipFill>
                    <a:blip r:embed="rId52">
                      <a:extLst>
                        <a:ext uri="{28A0092B-C50C-407E-A947-70E740481C1C}">
                          <a14:useLocalDpi xmlns:a14="http://schemas.microsoft.com/office/drawing/2010/main" val="0"/>
                        </a:ext>
                      </a:extLst>
                    </a:blip>
                    <a:stretch>
                      <a:fillRect/>
                    </a:stretch>
                  </pic:blipFill>
                  <pic:spPr>
                    <a:xfrm>
                      <a:off x="0" y="0"/>
                      <a:ext cx="6149631" cy="2715076"/>
                    </a:xfrm>
                    <a:prstGeom prst="rect">
                      <a:avLst/>
                    </a:prstGeom>
                  </pic:spPr>
                </pic:pic>
              </a:graphicData>
            </a:graphic>
          </wp:inline>
        </w:drawing>
      </w:r>
    </w:p>
    <w:p w14:paraId="3C720664" w14:textId="77777777" w:rsidR="008B18FE" w:rsidRDefault="008B18FE" w:rsidP="008B18FE">
      <w:pPr>
        <w:jc w:val="left"/>
        <w:rPr>
          <w:rFonts w:cs="Tahoma"/>
        </w:rPr>
      </w:pPr>
    </w:p>
    <w:p w14:paraId="7D6C0C55" w14:textId="77777777" w:rsidR="008B18FE" w:rsidRDefault="008B18FE" w:rsidP="008B18FE">
      <w:pPr>
        <w:spacing w:after="240"/>
        <w:jc w:val="left"/>
        <w:rPr>
          <w:rFonts w:cs="Tahoma"/>
        </w:rPr>
      </w:pPr>
      <w:r w:rsidRPr="001B1580">
        <w:rPr>
          <w:rFonts w:cs="Tahoma"/>
        </w:rPr>
        <w:t xml:space="preserve">The majority of homes, regardless of their eventual full inspection grade, were judged to have </w:t>
      </w:r>
      <w:r w:rsidR="008D4904">
        <w:rPr>
          <w:rFonts w:cs="Tahoma"/>
        </w:rPr>
        <w:t>s</w:t>
      </w:r>
      <w:r w:rsidRPr="001B1580">
        <w:rPr>
          <w:rFonts w:cs="Tahoma"/>
        </w:rPr>
        <w:t xml:space="preserve">ustained or </w:t>
      </w:r>
      <w:r w:rsidR="008D4904">
        <w:rPr>
          <w:rFonts w:cs="Tahoma"/>
        </w:rPr>
        <w:t>i</w:t>
      </w:r>
      <w:r w:rsidR="008D4904" w:rsidRPr="001B1580">
        <w:rPr>
          <w:rFonts w:cs="Tahoma"/>
        </w:rPr>
        <w:t xml:space="preserve">mproved </w:t>
      </w:r>
      <w:r w:rsidRPr="001B1580">
        <w:rPr>
          <w:rFonts w:cs="Tahoma"/>
        </w:rPr>
        <w:t>effectiveness at the prec</w:t>
      </w:r>
      <w:r>
        <w:rPr>
          <w:rFonts w:cs="Tahoma"/>
        </w:rPr>
        <w:t>eding interim inspection</w:t>
      </w:r>
      <w:r w:rsidRPr="001B1580">
        <w:rPr>
          <w:rFonts w:cs="Tahoma"/>
        </w:rPr>
        <w:t>.</w:t>
      </w:r>
    </w:p>
    <w:p w14:paraId="35220933" w14:textId="77777777" w:rsidR="008B18FE" w:rsidRPr="006C184A" w:rsidRDefault="008B18FE" w:rsidP="008B18FE">
      <w:pPr>
        <w:spacing w:after="240"/>
        <w:jc w:val="left"/>
        <w:rPr>
          <w:rFonts w:cs="Tahoma"/>
        </w:rPr>
      </w:pPr>
      <w:r w:rsidRPr="006C184A">
        <w:rPr>
          <w:rFonts w:cs="Tahoma"/>
        </w:rPr>
        <w:t>The North East (</w:t>
      </w:r>
      <w:r>
        <w:rPr>
          <w:rFonts w:cs="Tahoma"/>
        </w:rPr>
        <w:t>65</w:t>
      </w:r>
      <w:r w:rsidRPr="006C184A">
        <w:rPr>
          <w:rFonts w:cs="Tahoma"/>
        </w:rPr>
        <w:t>%)</w:t>
      </w:r>
      <w:r>
        <w:rPr>
          <w:rFonts w:cs="Tahoma"/>
        </w:rPr>
        <w:t xml:space="preserve"> had by far the highest percentage of interim inspections resulting in </w:t>
      </w:r>
      <w:r w:rsidR="008D4904">
        <w:rPr>
          <w:rFonts w:cs="Tahoma"/>
        </w:rPr>
        <w:t>i</w:t>
      </w:r>
      <w:r>
        <w:rPr>
          <w:rFonts w:cs="Tahoma"/>
        </w:rPr>
        <w:t xml:space="preserve">mproved effectiveness judgements. The region with the next highest percentage </w:t>
      </w:r>
      <w:r w:rsidR="007612DC">
        <w:rPr>
          <w:rFonts w:cs="Tahoma"/>
        </w:rPr>
        <w:t xml:space="preserve">was </w:t>
      </w:r>
      <w:r>
        <w:rPr>
          <w:rFonts w:cs="Tahoma"/>
        </w:rPr>
        <w:t>the</w:t>
      </w:r>
      <w:r w:rsidRPr="006C184A">
        <w:rPr>
          <w:rFonts w:cs="Tahoma"/>
        </w:rPr>
        <w:t xml:space="preserve"> East </w:t>
      </w:r>
      <w:r>
        <w:rPr>
          <w:rFonts w:cs="Tahoma"/>
        </w:rPr>
        <w:t xml:space="preserve">Midlands </w:t>
      </w:r>
      <w:r w:rsidRPr="006C184A">
        <w:rPr>
          <w:rFonts w:cs="Tahoma"/>
        </w:rPr>
        <w:t>(</w:t>
      </w:r>
      <w:r>
        <w:rPr>
          <w:rFonts w:cs="Tahoma"/>
        </w:rPr>
        <w:t>47</w:t>
      </w:r>
      <w:r w:rsidRPr="006C184A">
        <w:rPr>
          <w:rFonts w:cs="Tahoma"/>
        </w:rPr>
        <w:t>%).</w:t>
      </w:r>
    </w:p>
    <w:p w14:paraId="75C7A7CA" w14:textId="77777777" w:rsidR="008B18FE" w:rsidRDefault="008B18FE" w:rsidP="008B18FE">
      <w:pPr>
        <w:spacing w:after="240"/>
        <w:jc w:val="left"/>
        <w:rPr>
          <w:rFonts w:cs="Tahoma"/>
        </w:rPr>
      </w:pPr>
      <w:r>
        <w:rPr>
          <w:rFonts w:cs="Tahoma"/>
        </w:rPr>
        <w:t xml:space="preserve">The South East and the South West (17% each) had the highest percentage of inspections resulting in a </w:t>
      </w:r>
      <w:r w:rsidR="008D4904">
        <w:rPr>
          <w:rFonts w:cs="Tahoma"/>
        </w:rPr>
        <w:t>d</w:t>
      </w:r>
      <w:r>
        <w:rPr>
          <w:rFonts w:cs="Tahoma"/>
        </w:rPr>
        <w:t xml:space="preserve">eclined </w:t>
      </w:r>
      <w:r w:rsidRPr="007562FF">
        <w:rPr>
          <w:rFonts w:cs="Tahoma"/>
        </w:rPr>
        <w:t>effectiveness</w:t>
      </w:r>
      <w:r>
        <w:rPr>
          <w:rFonts w:cs="Tahoma"/>
        </w:rPr>
        <w:t xml:space="preserve"> judgement.</w:t>
      </w:r>
    </w:p>
    <w:p w14:paraId="077CEE6A" w14:textId="77777777" w:rsidR="008B18FE" w:rsidRDefault="008B18FE" w:rsidP="008B18FE">
      <w:pPr>
        <w:jc w:val="left"/>
        <w:rPr>
          <w:rFonts w:cs="Tahoma"/>
        </w:rPr>
      </w:pPr>
      <w:r w:rsidRPr="009272F2">
        <w:rPr>
          <w:rFonts w:cs="Tahoma"/>
        </w:rPr>
        <w:t>The number of interim inspections will be very different in 2017-18</w:t>
      </w:r>
      <w:r>
        <w:rPr>
          <w:rFonts w:cs="Tahoma"/>
        </w:rPr>
        <w:t>, as might be</w:t>
      </w:r>
      <w:r w:rsidRPr="009272F2">
        <w:rPr>
          <w:rFonts w:cs="Tahoma"/>
        </w:rPr>
        <w:t xml:space="preserve"> the judgement profile. </w:t>
      </w:r>
      <w:r w:rsidR="004073DE">
        <w:rPr>
          <w:rFonts w:cs="Tahoma"/>
        </w:rPr>
        <w:t>Following a change in the regulations</w:t>
      </w:r>
      <w:r w:rsidRPr="009272F2">
        <w:rPr>
          <w:rFonts w:cs="Tahoma"/>
        </w:rPr>
        <w:t xml:space="preserve">, </w:t>
      </w:r>
      <w:r>
        <w:rPr>
          <w:rFonts w:cs="Tahoma"/>
        </w:rPr>
        <w:t>good or outstanding children’s homes not identified as high risk will not routinely receive</w:t>
      </w:r>
      <w:r w:rsidRPr="009272F2">
        <w:rPr>
          <w:rFonts w:cs="Tahoma"/>
        </w:rPr>
        <w:t xml:space="preserve"> an interim inspection.</w:t>
      </w:r>
      <w:r>
        <w:rPr>
          <w:rStyle w:val="FootnoteReference"/>
          <w:rFonts w:cs="Tahoma"/>
        </w:rPr>
        <w:footnoteReference w:id="51"/>
      </w:r>
    </w:p>
    <w:p w14:paraId="5ED32010" w14:textId="77777777" w:rsidR="008B18FE" w:rsidRDefault="008B18FE" w:rsidP="008B18FE">
      <w:pPr>
        <w:pStyle w:val="Heading2"/>
        <w:jc w:val="left"/>
      </w:pPr>
      <w:r>
        <w:rPr>
          <w:rFonts w:cs="Tahoma"/>
        </w:rPr>
        <w:br w:type="page"/>
      </w:r>
      <w:bookmarkStart w:id="130" w:name="_Toc454377349"/>
      <w:bookmarkStart w:id="131" w:name="_Toc486582163"/>
      <w:bookmarkStart w:id="132" w:name="_Toc491090883"/>
      <w:bookmarkStart w:id="133" w:name="_Toc427154570"/>
      <w:r>
        <w:lastRenderedPageBreak/>
        <w:t>Other social care providers</w:t>
      </w:r>
      <w:bookmarkEnd w:id="130"/>
      <w:bookmarkEnd w:id="131"/>
      <w:bookmarkEnd w:id="132"/>
    </w:p>
    <w:p w14:paraId="6481F18F" w14:textId="77777777" w:rsidR="008B18FE" w:rsidRPr="00DF14EA" w:rsidRDefault="008B18FE" w:rsidP="008B18FE">
      <w:pPr>
        <w:jc w:val="left"/>
      </w:pPr>
      <w:r w:rsidRPr="00DF14EA">
        <w:t xml:space="preserve">The grade profile of independent fostering agencies as at 31 March 2017 improved from the previous year, with almost nine out of every 10 agencies judged good or better. The grade profile of voluntary adoption agencies remains very high, but in 2016-17 two agencies were judged inadequate when there were previously no inadequate voluntary adoption agencies. LAs continue to run the most residential special schools, but there is a continuing trend of LA-run schools closing and the number of schools with academy status increasing. </w:t>
      </w:r>
    </w:p>
    <w:p w14:paraId="681CDC6E" w14:textId="77777777" w:rsidR="008B18FE" w:rsidRPr="00B43F92" w:rsidRDefault="008B18FE" w:rsidP="008B18FE">
      <w:pPr>
        <w:jc w:val="left"/>
        <w:rPr>
          <w:color w:val="AEAAAA"/>
        </w:rPr>
      </w:pPr>
    </w:p>
    <w:p w14:paraId="36414DDD" w14:textId="77777777" w:rsidR="008B18FE" w:rsidRDefault="008B18FE" w:rsidP="008B18FE">
      <w:pPr>
        <w:jc w:val="left"/>
      </w:pPr>
      <w:r>
        <w:t>The number of providers and places offered by social care providers other than children’s homes as at 31 March 2017 is relatively similar to that offered a year earlier. There were, though, some differences:</w:t>
      </w:r>
      <w:r w:rsidR="00544AF3">
        <w:t xml:space="preserve"> </w:t>
      </w:r>
    </w:p>
    <w:p w14:paraId="0254F254" w14:textId="36EEB743" w:rsidR="008B18FE" w:rsidRDefault="008B18FE" w:rsidP="008B18FE">
      <w:pPr>
        <w:numPr>
          <w:ilvl w:val="0"/>
          <w:numId w:val="42"/>
        </w:numPr>
        <w:jc w:val="left"/>
        <w:rPr>
          <w:rFonts w:cs="Tahoma"/>
        </w:rPr>
      </w:pPr>
      <w:r>
        <w:t>Residential special schools: a decrease of eight</w:t>
      </w:r>
      <w:r w:rsidR="00B82382">
        <w:t xml:space="preserve"> (5%)</w:t>
      </w:r>
      <w:r w:rsidR="00222889">
        <w:t>, to 157,</w:t>
      </w:r>
      <w:r>
        <w:t xml:space="preserve"> compared </w:t>
      </w:r>
      <w:r w:rsidR="008C4815">
        <w:t>with</w:t>
      </w:r>
      <w:r>
        <w:t xml:space="preserve"> last year, </w:t>
      </w:r>
      <w:r w:rsidR="00321876">
        <w:t>and a decrease of 37</w:t>
      </w:r>
      <w:r w:rsidR="00B82382">
        <w:t xml:space="preserve"> (19%)</w:t>
      </w:r>
      <w:r w:rsidR="00321876">
        <w:t xml:space="preserve"> from 31 March 2012.</w:t>
      </w:r>
      <w:r w:rsidRPr="00781D91">
        <w:rPr>
          <w:rFonts w:cs="Tahoma"/>
        </w:rPr>
        <w:t xml:space="preserve"> </w:t>
      </w:r>
      <w:r>
        <w:rPr>
          <w:rFonts w:cs="Tahoma"/>
        </w:rPr>
        <w:t>The number of places</w:t>
      </w:r>
      <w:r w:rsidR="00B82382">
        <w:rPr>
          <w:rFonts w:cs="Tahoma"/>
        </w:rPr>
        <w:t xml:space="preserve"> (5,336)</w:t>
      </w:r>
      <w:r>
        <w:rPr>
          <w:rFonts w:cs="Tahoma"/>
        </w:rPr>
        <w:t xml:space="preserve"> </w:t>
      </w:r>
      <w:r w:rsidR="00B82382">
        <w:rPr>
          <w:rFonts w:cs="Tahoma"/>
        </w:rPr>
        <w:t>decreased</w:t>
      </w:r>
      <w:r>
        <w:rPr>
          <w:rFonts w:cs="Tahoma"/>
        </w:rPr>
        <w:t xml:space="preserve"> by 193 </w:t>
      </w:r>
      <w:r w:rsidR="00B82382">
        <w:rPr>
          <w:rFonts w:cs="Tahoma"/>
        </w:rPr>
        <w:t>(</w:t>
      </w:r>
      <w:r>
        <w:rPr>
          <w:rFonts w:cs="Tahoma"/>
        </w:rPr>
        <w:t>3%</w:t>
      </w:r>
      <w:r w:rsidR="00B82382">
        <w:rPr>
          <w:rFonts w:cs="Tahoma"/>
        </w:rPr>
        <w:t>)</w:t>
      </w:r>
      <w:r w:rsidR="00321876">
        <w:rPr>
          <w:rFonts w:cs="Tahoma"/>
        </w:rPr>
        <w:t xml:space="preserve"> </w:t>
      </w:r>
      <w:r w:rsidR="00B82382">
        <w:rPr>
          <w:rFonts w:cs="Tahoma"/>
        </w:rPr>
        <w:t>from</w:t>
      </w:r>
      <w:r w:rsidR="00321876">
        <w:rPr>
          <w:rFonts w:cs="Tahoma"/>
        </w:rPr>
        <w:t xml:space="preserve"> last year</w:t>
      </w:r>
      <w:r>
        <w:rPr>
          <w:rFonts w:cs="Tahoma"/>
        </w:rPr>
        <w:t xml:space="preserve"> </w:t>
      </w:r>
      <w:r w:rsidR="00321876">
        <w:rPr>
          <w:rFonts w:cs="Tahoma"/>
        </w:rPr>
        <w:t xml:space="preserve">and by 992 </w:t>
      </w:r>
      <w:r w:rsidR="00B82382">
        <w:rPr>
          <w:rFonts w:cs="Tahoma"/>
        </w:rPr>
        <w:t>(</w:t>
      </w:r>
      <w:r w:rsidR="00321876">
        <w:rPr>
          <w:rFonts w:cs="Tahoma"/>
        </w:rPr>
        <w:t>16%</w:t>
      </w:r>
      <w:r w:rsidR="00B82382">
        <w:rPr>
          <w:rFonts w:cs="Tahoma"/>
        </w:rPr>
        <w:t>)</w:t>
      </w:r>
      <w:r w:rsidR="00321876">
        <w:rPr>
          <w:rFonts w:cs="Tahoma"/>
        </w:rPr>
        <w:t xml:space="preserve"> </w:t>
      </w:r>
      <w:r w:rsidR="00B82382">
        <w:rPr>
          <w:rFonts w:cs="Tahoma"/>
        </w:rPr>
        <w:t>from</w:t>
      </w:r>
      <w:r w:rsidR="00321876">
        <w:rPr>
          <w:rFonts w:cs="Tahoma"/>
        </w:rPr>
        <w:t xml:space="preserve"> 31 March 2012</w:t>
      </w:r>
      <w:r>
        <w:rPr>
          <w:rFonts w:cs="Tahoma"/>
        </w:rPr>
        <w:t>.</w:t>
      </w:r>
      <w:r w:rsidRPr="009B7C78">
        <w:rPr>
          <w:rFonts w:cs="Tahoma"/>
          <w:vertAlign w:val="superscript"/>
        </w:rPr>
        <w:footnoteReference w:id="52"/>
      </w:r>
      <w:r w:rsidR="00276B3D">
        <w:rPr>
          <w:rFonts w:cs="Tahoma"/>
        </w:rPr>
        <w:t xml:space="preserve"> Th</w:t>
      </w:r>
      <w:r w:rsidR="00167962">
        <w:rPr>
          <w:rFonts w:cs="Tahoma"/>
        </w:rPr>
        <w:t>is</w:t>
      </w:r>
      <w:r w:rsidR="00276B3D">
        <w:rPr>
          <w:rFonts w:cs="Tahoma"/>
        </w:rPr>
        <w:t xml:space="preserve"> decrease in providers and places</w:t>
      </w:r>
      <w:r w:rsidR="00167962">
        <w:rPr>
          <w:rFonts w:cs="Tahoma"/>
        </w:rPr>
        <w:t xml:space="preserve"> can be partly attributed to re-registrations as children’s homes, although this is not as prevalent as we had thought it might be (</w:t>
      </w:r>
      <w:r w:rsidR="00B06838">
        <w:rPr>
          <w:rFonts w:cs="Tahoma"/>
        </w:rPr>
        <w:t xml:space="preserve">accounting for </w:t>
      </w:r>
      <w:r w:rsidR="00167962">
        <w:rPr>
          <w:rFonts w:cs="Tahoma"/>
        </w:rPr>
        <w:t>less than a quarter of residential special school c</w:t>
      </w:r>
      <w:r w:rsidR="00B06838">
        <w:rPr>
          <w:rFonts w:cs="Tahoma"/>
        </w:rPr>
        <w:t>losures in the last five years);</w:t>
      </w:r>
    </w:p>
    <w:p w14:paraId="0FE1283B" w14:textId="77777777" w:rsidR="00B06838" w:rsidRDefault="00B06838" w:rsidP="00B06838">
      <w:pPr>
        <w:ind w:left="720"/>
        <w:jc w:val="left"/>
        <w:rPr>
          <w:rFonts w:cs="Tahoma"/>
        </w:rPr>
      </w:pPr>
    </w:p>
    <w:p w14:paraId="4BD11D40" w14:textId="77777777" w:rsidR="008B18FE" w:rsidRDefault="008B18FE" w:rsidP="008B18FE">
      <w:pPr>
        <w:numPr>
          <w:ilvl w:val="0"/>
          <w:numId w:val="42"/>
        </w:numPr>
        <w:jc w:val="left"/>
        <w:rPr>
          <w:rFonts w:cs="Tahoma"/>
        </w:rPr>
      </w:pPr>
      <w:r>
        <w:rPr>
          <w:rFonts w:cs="Tahoma"/>
        </w:rPr>
        <w:t>Further education colleges with residential accommodation: an increase of four</w:t>
      </w:r>
      <w:r w:rsidR="00222889">
        <w:rPr>
          <w:rFonts w:cs="Tahoma"/>
        </w:rPr>
        <w:t>, to 42,</w:t>
      </w:r>
      <w:r>
        <w:rPr>
          <w:rFonts w:cs="Tahoma"/>
        </w:rPr>
        <w:t xml:space="preserve"> from the previous year. The increase in places was 28% over the last two years (4,641 in Mar</w:t>
      </w:r>
      <w:r w:rsidR="00B06838">
        <w:rPr>
          <w:rFonts w:cs="Tahoma"/>
        </w:rPr>
        <w:t>ch 2015 to 5,926 in March 2017);</w:t>
      </w:r>
    </w:p>
    <w:p w14:paraId="305C0B79" w14:textId="77777777" w:rsidR="00B06838" w:rsidRDefault="00B06838" w:rsidP="00B06838">
      <w:pPr>
        <w:ind w:left="720"/>
        <w:jc w:val="left"/>
        <w:rPr>
          <w:rFonts w:cs="Tahoma"/>
        </w:rPr>
      </w:pPr>
    </w:p>
    <w:p w14:paraId="5630F806" w14:textId="77777777" w:rsidR="00B06838" w:rsidRDefault="008B18FE" w:rsidP="008B18FE">
      <w:pPr>
        <w:numPr>
          <w:ilvl w:val="0"/>
          <w:numId w:val="42"/>
        </w:numPr>
        <w:jc w:val="left"/>
        <w:rPr>
          <w:rFonts w:cs="Tahoma"/>
        </w:rPr>
      </w:pPr>
      <w:r>
        <w:rPr>
          <w:rFonts w:cs="Tahoma"/>
        </w:rPr>
        <w:t xml:space="preserve">Residential holiday schemes for disabled children: an increase to 15 schemes; </w:t>
      </w:r>
      <w:r w:rsidR="00103346">
        <w:rPr>
          <w:rFonts w:cs="Tahoma"/>
        </w:rPr>
        <w:t xml:space="preserve">more than </w:t>
      </w:r>
      <w:r>
        <w:rPr>
          <w:rFonts w:cs="Tahoma"/>
        </w:rPr>
        <w:t>a doubling of the number of schemes since 31 March 2015.</w:t>
      </w:r>
      <w:r w:rsidR="00103346">
        <w:rPr>
          <w:rFonts w:cs="Tahoma"/>
        </w:rPr>
        <w:t xml:space="preserve"> </w:t>
      </w:r>
    </w:p>
    <w:p w14:paraId="2FA7DA91" w14:textId="77777777" w:rsidR="008B18FE" w:rsidRDefault="00103346" w:rsidP="00B06838">
      <w:pPr>
        <w:ind w:left="720"/>
        <w:jc w:val="left"/>
        <w:rPr>
          <w:rFonts w:cs="Tahoma"/>
        </w:rPr>
      </w:pPr>
      <w:r>
        <w:rPr>
          <w:rFonts w:cs="Tahoma"/>
        </w:rPr>
        <w:t>[Data Tables: Providers + Places six monthly]</w:t>
      </w:r>
    </w:p>
    <w:p w14:paraId="5578C517" w14:textId="77777777" w:rsidR="008B18FE" w:rsidRDefault="008B18FE" w:rsidP="008B18FE">
      <w:pPr>
        <w:jc w:val="left"/>
        <w:rPr>
          <w:rFonts w:cs="Tahoma"/>
        </w:rPr>
      </w:pPr>
    </w:p>
    <w:p w14:paraId="152DEA16" w14:textId="7EF96745" w:rsidR="008B18FE" w:rsidRDefault="008B18FE" w:rsidP="008B18FE">
      <w:pPr>
        <w:jc w:val="left"/>
        <w:rPr>
          <w:rFonts w:cs="Tahoma"/>
        </w:rPr>
      </w:pPr>
      <w:r>
        <w:rPr>
          <w:rFonts w:cs="Tahoma"/>
        </w:rPr>
        <w:t xml:space="preserve">Whilst the overall numbers of providers and/or places has not altered greatly compared </w:t>
      </w:r>
      <w:r w:rsidR="008C4815">
        <w:rPr>
          <w:rFonts w:cs="Tahoma"/>
        </w:rPr>
        <w:t>with</w:t>
      </w:r>
      <w:r>
        <w:rPr>
          <w:rFonts w:cs="Tahoma"/>
        </w:rPr>
        <w:t xml:space="preserve"> the 2016 snapshot, the sector has seen </w:t>
      </w:r>
      <w:r w:rsidR="00B86AF1">
        <w:rPr>
          <w:rFonts w:cs="Tahoma"/>
        </w:rPr>
        <w:t>some change</w:t>
      </w:r>
      <w:r>
        <w:rPr>
          <w:rFonts w:cs="Tahoma"/>
        </w:rPr>
        <w:t xml:space="preserve"> in terms of the actual providers. For instance, the increase</w:t>
      </w:r>
      <w:r w:rsidR="00B06838">
        <w:rPr>
          <w:rFonts w:cs="Tahoma"/>
        </w:rPr>
        <w:t xml:space="preserve"> by seven</w:t>
      </w:r>
      <w:r>
        <w:rPr>
          <w:rFonts w:cs="Tahoma"/>
        </w:rPr>
        <w:t xml:space="preserve"> in independent fostering agencies was brought about by 25 in-year registrations and 18 de-registrations. Similarly, the increase in boarding schools of four was the result of seven in-year registrations and three de-registrations.</w:t>
      </w:r>
    </w:p>
    <w:p w14:paraId="1D7A0298" w14:textId="77777777" w:rsidR="008B18FE" w:rsidRDefault="008B18FE" w:rsidP="008B18FE">
      <w:pPr>
        <w:jc w:val="left"/>
        <w:rPr>
          <w:rFonts w:cs="Tahoma"/>
        </w:rPr>
      </w:pPr>
    </w:p>
    <w:p w14:paraId="6CC24853" w14:textId="77777777" w:rsidR="008B18FE" w:rsidRPr="00781D91" w:rsidRDefault="008B18FE" w:rsidP="008B18FE">
      <w:pPr>
        <w:jc w:val="left"/>
      </w:pPr>
      <w:r>
        <w:rPr>
          <w:rFonts w:cs="Tahoma"/>
        </w:rPr>
        <w:t xml:space="preserve">The sector profile of social care providers other than children’s homes has remained relatively static, with the exception of residential special schools. As at 31 March 2017, just over two fifths </w:t>
      </w:r>
      <w:r w:rsidRPr="009B7C78">
        <w:rPr>
          <w:rFonts w:cs="Tahoma"/>
        </w:rPr>
        <w:t>of all residential special schools</w:t>
      </w:r>
      <w:r>
        <w:rPr>
          <w:rFonts w:cs="Tahoma"/>
        </w:rPr>
        <w:t xml:space="preserve"> we</w:t>
      </w:r>
      <w:r w:rsidRPr="009B7C78">
        <w:rPr>
          <w:rFonts w:cs="Tahoma"/>
        </w:rPr>
        <w:t xml:space="preserve">re run by </w:t>
      </w:r>
      <w:r>
        <w:rPr>
          <w:rFonts w:cs="Tahoma"/>
        </w:rPr>
        <w:t>LAs (64, down from 79) and about a sixth</w:t>
      </w:r>
      <w:r w:rsidRPr="009B7C78">
        <w:rPr>
          <w:rFonts w:cs="Tahoma"/>
        </w:rPr>
        <w:t xml:space="preserve"> </w:t>
      </w:r>
      <w:r>
        <w:rPr>
          <w:rFonts w:cs="Tahoma"/>
        </w:rPr>
        <w:t>were academies (26, up from 16)</w:t>
      </w:r>
      <w:r w:rsidRPr="009B7C78">
        <w:rPr>
          <w:rFonts w:cs="Tahoma"/>
        </w:rPr>
        <w:t>.</w:t>
      </w:r>
      <w:r>
        <w:rPr>
          <w:rFonts w:cs="Tahoma"/>
        </w:rPr>
        <w:t xml:space="preserve"> This continues the </w:t>
      </w:r>
      <w:r>
        <w:rPr>
          <w:rFonts w:cs="Tahoma"/>
        </w:rPr>
        <w:lastRenderedPageBreak/>
        <w:t>trend towards fewer LA-run schools and more academies.</w:t>
      </w:r>
      <w:r w:rsidRPr="009B7C78">
        <w:rPr>
          <w:rFonts w:cs="Tahoma"/>
        </w:rPr>
        <w:t xml:space="preserve"> </w:t>
      </w:r>
      <w:r>
        <w:rPr>
          <w:rFonts w:cs="Tahoma"/>
        </w:rPr>
        <w:t xml:space="preserve">The proportions of residential special schools run by the </w:t>
      </w:r>
      <w:r w:rsidRPr="009B7C78">
        <w:rPr>
          <w:rFonts w:cs="Tahoma"/>
        </w:rPr>
        <w:t>private</w:t>
      </w:r>
      <w:r>
        <w:rPr>
          <w:rFonts w:cs="Tahoma"/>
        </w:rPr>
        <w:t xml:space="preserve"> and voluntary</w:t>
      </w:r>
      <w:r w:rsidRPr="009B7C78">
        <w:rPr>
          <w:rFonts w:cs="Tahoma"/>
        </w:rPr>
        <w:t xml:space="preserve"> sector</w:t>
      </w:r>
      <w:r>
        <w:rPr>
          <w:rFonts w:cs="Tahoma"/>
        </w:rPr>
        <w:t>s</w:t>
      </w:r>
      <w:r w:rsidRPr="009B7C78">
        <w:rPr>
          <w:rFonts w:cs="Tahoma"/>
        </w:rPr>
        <w:t xml:space="preserve"> </w:t>
      </w:r>
      <w:r>
        <w:rPr>
          <w:rFonts w:cs="Tahoma"/>
        </w:rPr>
        <w:t>was consistent with the previous year</w:t>
      </w:r>
      <w:r w:rsidRPr="009B7C78">
        <w:rPr>
          <w:rFonts w:cs="Tahoma"/>
        </w:rPr>
        <w:t>.</w:t>
      </w:r>
    </w:p>
    <w:p w14:paraId="745D8073" w14:textId="77777777" w:rsidR="008B18FE" w:rsidRPr="00B43F92" w:rsidRDefault="008B18FE" w:rsidP="008B18FE">
      <w:pPr>
        <w:jc w:val="left"/>
        <w:rPr>
          <w:color w:val="AEAAAA"/>
        </w:rPr>
      </w:pPr>
    </w:p>
    <w:p w14:paraId="4215B5FC" w14:textId="77777777" w:rsidR="008B18FE" w:rsidRDefault="008B18FE" w:rsidP="008B18FE">
      <w:pPr>
        <w:pStyle w:val="Caption"/>
      </w:pPr>
      <w:bookmarkStart w:id="134" w:name="_Toc486581678"/>
      <w:bookmarkStart w:id="135" w:name="_Toc491087640"/>
      <w:r>
        <w:t>Chart 2</w:t>
      </w:r>
      <w:r w:rsidR="006154C0">
        <w:t>0</w:t>
      </w:r>
      <w:r>
        <w:t>: Other social care providers</w:t>
      </w:r>
      <w:r w:rsidRPr="009B7C78">
        <w:t xml:space="preserve">’ latest </w:t>
      </w:r>
      <w:r w:rsidRPr="007562FF">
        <w:t>Overall effectiveness</w:t>
      </w:r>
      <w:r w:rsidRPr="009B7C78">
        <w:t xml:space="preserve"> judgement, as at 31 March 20</w:t>
      </w:r>
      <w:r>
        <w:t>17</w:t>
      </w:r>
      <w:bookmarkEnd w:id="134"/>
      <w:bookmarkEnd w:id="135"/>
    </w:p>
    <w:p w14:paraId="55F36847" w14:textId="77777777" w:rsidR="008B18FE" w:rsidRDefault="00513A43" w:rsidP="008B18FE">
      <w:pPr>
        <w:jc w:val="left"/>
        <w:rPr>
          <w:noProof/>
        </w:rPr>
      </w:pPr>
      <w:r>
        <w:rPr>
          <w:noProof/>
        </w:rPr>
        <w:drawing>
          <wp:inline distT="0" distB="0" distL="0" distR="0" wp14:anchorId="58590A9A" wp14:editId="6AF89EB1">
            <wp:extent cx="5731510" cy="2798445"/>
            <wp:effectExtent l="0" t="0" r="254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2798445"/>
                    </a:xfrm>
                    <a:prstGeom prst="rect">
                      <a:avLst/>
                    </a:prstGeom>
                  </pic:spPr>
                </pic:pic>
              </a:graphicData>
            </a:graphic>
          </wp:inline>
        </w:drawing>
      </w:r>
    </w:p>
    <w:p w14:paraId="75F43C90" w14:textId="77777777" w:rsidR="008B18FE" w:rsidRDefault="008B18FE" w:rsidP="008B18FE">
      <w:pPr>
        <w:jc w:val="left"/>
        <w:rPr>
          <w:noProof/>
        </w:rPr>
      </w:pPr>
    </w:p>
    <w:p w14:paraId="35C4592C" w14:textId="77777777" w:rsidR="007A7066" w:rsidRDefault="008B18FE" w:rsidP="008B18FE">
      <w:pPr>
        <w:jc w:val="left"/>
      </w:pPr>
      <w:r w:rsidRPr="002C191F">
        <w:t>The state of the nation picture for these providers is generally very positive indeed, with the exception of secure training centres which were judged requires improvement to be good (two) or inadequate (one) in 2016-17</w:t>
      </w:r>
      <w:r>
        <w:t>.</w:t>
      </w:r>
      <w:r w:rsidRPr="009B7C78">
        <w:rPr>
          <w:rFonts w:cs="Tahoma"/>
          <w:vertAlign w:val="superscript"/>
        </w:rPr>
        <w:footnoteReference w:id="53"/>
      </w:r>
      <w:r w:rsidR="00EA3B54">
        <w:t xml:space="preserve"> </w:t>
      </w:r>
      <w:r w:rsidR="00EA3B54" w:rsidRPr="00882616">
        <w:t>The 201</w:t>
      </w:r>
      <w:r w:rsidR="00B06838" w:rsidRPr="00882616">
        <w:t>6-17 Chief Inspector of Prisons</w:t>
      </w:r>
      <w:r w:rsidR="00EA3B54" w:rsidRPr="00882616">
        <w:t xml:space="preserve"> Annual Report also commented on outcomes for secure training centres, highlighting insufficient safety, high levels of violence, and overuse of force to manage children, as well as the impact of staffing shortages and uncertainty about the future.</w:t>
      </w:r>
      <w:r w:rsidR="00EA3B54" w:rsidRPr="00882616">
        <w:rPr>
          <w:rStyle w:val="FootnoteReference"/>
        </w:rPr>
        <w:footnoteReference w:id="54"/>
      </w:r>
      <w:r w:rsidRPr="00882616">
        <w:t xml:space="preserve"> </w:t>
      </w:r>
      <w:r w:rsidR="00856C02" w:rsidRPr="00882616">
        <w:t>By contrast, 7</w:t>
      </w:r>
      <w:r w:rsidR="00B82382" w:rsidRPr="00882616">
        <w:t>9</w:t>
      </w:r>
      <w:r w:rsidR="00856C02" w:rsidRPr="00882616">
        <w:t xml:space="preserve">% of secure children’s homes were judged to be good or better </w:t>
      </w:r>
      <w:r w:rsidR="00661094" w:rsidRPr="00882616">
        <w:t xml:space="preserve">(11) as at 31 March 2017; and </w:t>
      </w:r>
      <w:r w:rsidR="00B82382" w:rsidRPr="00882616">
        <w:t>71</w:t>
      </w:r>
      <w:r w:rsidR="00661094" w:rsidRPr="00882616">
        <w:t>% of secure children’s homes were judged to be good or better (10) for the Help and protection key judgement. [</w:t>
      </w:r>
      <w:r w:rsidR="00544AF3">
        <w:rPr>
          <w:rFonts w:cs="Tahoma"/>
        </w:rPr>
        <w:t>Data Tables: Provider level at 31 March 2017</w:t>
      </w:r>
      <w:r w:rsidR="00661094" w:rsidRPr="00B654FE">
        <w:t>]</w:t>
      </w:r>
    </w:p>
    <w:p w14:paraId="489DC660" w14:textId="77777777" w:rsidR="007A7066" w:rsidRDefault="007A7066" w:rsidP="008B18FE">
      <w:pPr>
        <w:jc w:val="left"/>
      </w:pPr>
    </w:p>
    <w:p w14:paraId="67D01F19" w14:textId="77777777" w:rsidR="007A7066" w:rsidRDefault="008B18FE" w:rsidP="008B18FE">
      <w:pPr>
        <w:jc w:val="left"/>
      </w:pPr>
      <w:r w:rsidRPr="002C191F">
        <w:t>Four provider types have improved their proportion of good or better provision</w:t>
      </w:r>
      <w:r w:rsidR="003D30F7">
        <w:t>s</w:t>
      </w:r>
      <w:r w:rsidRPr="002C191F">
        <w:t xml:space="preserve"> in comparison to the state of the nation as at 31 March 2016: 89% of independent fostering agencies </w:t>
      </w:r>
      <w:r w:rsidR="003D30F7">
        <w:t xml:space="preserve">(IFAs) </w:t>
      </w:r>
      <w:r w:rsidRPr="002C191F">
        <w:t>were good or better as at 31</w:t>
      </w:r>
      <w:r w:rsidR="003D30F7">
        <w:t xml:space="preserve"> March 2017 (85% previously);</w:t>
      </w:r>
      <w:r w:rsidRPr="002C191F">
        <w:t xml:space="preserve"> as were 74% of boarding schools (68% previously)</w:t>
      </w:r>
      <w:r w:rsidR="003D30F7">
        <w:t>;</w:t>
      </w:r>
      <w:r w:rsidRPr="002C191F">
        <w:t xml:space="preserve"> 87% of further </w:t>
      </w:r>
      <w:r w:rsidRPr="002C191F">
        <w:lastRenderedPageBreak/>
        <w:t>education colleges with residential accommodation (82% previously)</w:t>
      </w:r>
      <w:r w:rsidR="003D30F7">
        <w:t>;</w:t>
      </w:r>
      <w:r w:rsidRPr="002C191F">
        <w:t xml:space="preserve"> and 97% of residential family centres (94% previously).</w:t>
      </w:r>
      <w:bookmarkStart w:id="136" w:name="_Toc454377350"/>
      <w:r>
        <w:t xml:space="preserve"> </w:t>
      </w:r>
    </w:p>
    <w:p w14:paraId="3645F433" w14:textId="77777777" w:rsidR="007A7066" w:rsidRDefault="007A7066" w:rsidP="008B18FE">
      <w:pPr>
        <w:jc w:val="left"/>
      </w:pPr>
    </w:p>
    <w:p w14:paraId="34B61481" w14:textId="77777777" w:rsidR="008B18FE" w:rsidRDefault="008B18FE" w:rsidP="008B18FE">
      <w:pPr>
        <w:jc w:val="left"/>
      </w:pPr>
      <w:r>
        <w:t>Whilst still high (93%), voluntary adoption agencies had a lower proportion of good or better provision than as at 31 March 2016 (97%). This is due to the fact that two agencies were judged to be inadequate during 2016-17 whereas previously there were no inadequate voluntary adoption agencies. One of the agencies was judged to be inadequate at its first inspection, whilst the other declined from good.</w:t>
      </w:r>
    </w:p>
    <w:p w14:paraId="483D79BF" w14:textId="77777777" w:rsidR="00544AF3" w:rsidRDefault="00544AF3" w:rsidP="008B18FE">
      <w:pPr>
        <w:pStyle w:val="Caption"/>
      </w:pPr>
      <w:bookmarkStart w:id="137" w:name="_Toc486581679"/>
    </w:p>
    <w:p w14:paraId="797468E7" w14:textId="77777777" w:rsidR="008B18FE" w:rsidRDefault="008B18FE" w:rsidP="008B18FE">
      <w:pPr>
        <w:pStyle w:val="Caption"/>
      </w:pPr>
      <w:bookmarkStart w:id="138" w:name="_Toc491087641"/>
      <w:r>
        <w:t>Chart 2</w:t>
      </w:r>
      <w:r w:rsidR="006154C0">
        <w:t>1</w:t>
      </w:r>
      <w:r>
        <w:t>: Other social care providers</w:t>
      </w:r>
      <w:r w:rsidRPr="009B7C78">
        <w:t xml:space="preserve">’ </w:t>
      </w:r>
      <w:r w:rsidRPr="007562FF">
        <w:t>Overall effectiveness</w:t>
      </w:r>
      <w:r w:rsidRPr="009B7C78">
        <w:t xml:space="preserve"> judgement</w:t>
      </w:r>
      <w:r>
        <w:t>s</w:t>
      </w:r>
      <w:r w:rsidRPr="009B7C78">
        <w:t xml:space="preserve"> </w:t>
      </w:r>
      <w:r>
        <w:t>at inspections which took place in 2016-17</w:t>
      </w:r>
      <w:bookmarkEnd w:id="137"/>
      <w:bookmarkEnd w:id="138"/>
    </w:p>
    <w:p w14:paraId="01E961EE" w14:textId="77777777" w:rsidR="008B18FE" w:rsidRDefault="00513A43" w:rsidP="008B18FE">
      <w:pPr>
        <w:jc w:val="left"/>
        <w:rPr>
          <w:noProof/>
        </w:rPr>
      </w:pPr>
      <w:r>
        <w:rPr>
          <w:noProof/>
        </w:rPr>
        <w:drawing>
          <wp:inline distT="0" distB="0" distL="0" distR="0" wp14:anchorId="5EECE9F4" wp14:editId="41D82702">
            <wp:extent cx="5731510" cy="26670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JPG"/>
                    <pic:cNvPicPr/>
                  </pic:nvPicPr>
                  <pic:blipFill>
                    <a:blip r:embed="rId54">
                      <a:extLst>
                        <a:ext uri="{28A0092B-C50C-407E-A947-70E740481C1C}">
                          <a14:useLocalDpi xmlns:a14="http://schemas.microsoft.com/office/drawing/2010/main" val="0"/>
                        </a:ext>
                      </a:extLst>
                    </a:blip>
                    <a:stretch>
                      <a:fillRect/>
                    </a:stretch>
                  </pic:blipFill>
                  <pic:spPr>
                    <a:xfrm>
                      <a:off x="0" y="0"/>
                      <a:ext cx="5731510" cy="2667000"/>
                    </a:xfrm>
                    <a:prstGeom prst="rect">
                      <a:avLst/>
                    </a:prstGeom>
                  </pic:spPr>
                </pic:pic>
              </a:graphicData>
            </a:graphic>
          </wp:inline>
        </w:drawing>
      </w:r>
    </w:p>
    <w:p w14:paraId="715E8C40" w14:textId="77777777" w:rsidR="008B18FE" w:rsidRDefault="008B18FE" w:rsidP="008B18FE">
      <w:pPr>
        <w:jc w:val="left"/>
      </w:pPr>
    </w:p>
    <w:p w14:paraId="53375435" w14:textId="11EBEA56" w:rsidR="008B18FE" w:rsidRDefault="008B18FE" w:rsidP="008B18FE">
      <w:pPr>
        <w:jc w:val="left"/>
      </w:pPr>
      <w:r>
        <w:t>With regards to inspections in 2016-17, Ofsted carried out 263 inspections of social care providers other than children’s homes, 133 fewer than in 2015-16.</w:t>
      </w:r>
      <w:r w:rsidR="007A7066">
        <w:rPr>
          <w:rStyle w:val="FootnoteReference"/>
        </w:rPr>
        <w:footnoteReference w:id="55"/>
      </w:r>
      <w:r>
        <w:t xml:space="preserve"> This was predominantly as a result of a reduction in </w:t>
      </w:r>
      <w:r w:rsidR="005E7366">
        <w:t xml:space="preserve">independent fostering agency </w:t>
      </w:r>
      <w:r>
        <w:t xml:space="preserve">inspection activity. </w:t>
      </w:r>
    </w:p>
    <w:p w14:paraId="0CA667D3" w14:textId="77777777" w:rsidR="008B18FE" w:rsidRDefault="008B18FE" w:rsidP="008B18FE">
      <w:pPr>
        <w:jc w:val="left"/>
      </w:pPr>
    </w:p>
    <w:p w14:paraId="66E9B2B6" w14:textId="145E34E3" w:rsidR="000D72F3" w:rsidRDefault="008B18FE" w:rsidP="008B18FE">
      <w:pPr>
        <w:jc w:val="left"/>
        <w:rPr>
          <w:noProof/>
        </w:rPr>
      </w:pPr>
      <w:r>
        <w:t xml:space="preserve">Adoption support agencies are inspected </w:t>
      </w:r>
      <w:r w:rsidR="008153BC">
        <w:t xml:space="preserve">once </w:t>
      </w:r>
      <w:r w:rsidR="00426FF2">
        <w:t>in every</w:t>
      </w:r>
      <w:r>
        <w:t xml:space="preserve"> three year </w:t>
      </w:r>
      <w:r w:rsidR="003D30F7">
        <w:t>period</w:t>
      </w:r>
      <w:r>
        <w:t>, of which 2016-17 was the final year. Seven of the nine agencies inspected in 2016-17 had been inspected before and, of those, five (71%) remained at the same grade (four remained good and one was judged requires improvement to be good having previously been judged to be a</w:t>
      </w:r>
      <w:r w:rsidR="00286BE1">
        <w:t>dequat</w:t>
      </w:r>
      <w:r>
        <w:t>e). All but one of the 136 residential special schools inspected in 2016-17 had been inspected before – 91 of these (67%) remained at the same grade, all but six of which were good or better.</w:t>
      </w:r>
      <w:bookmarkEnd w:id="133"/>
      <w:bookmarkEnd w:id="136"/>
      <w:r w:rsidR="00E4757C">
        <w:rPr>
          <w:rStyle w:val="FootnoteReference"/>
        </w:rPr>
        <w:footnoteReference w:id="56"/>
      </w:r>
    </w:p>
    <w:p w14:paraId="2E79DEA3" w14:textId="77777777" w:rsidR="00113411" w:rsidRPr="000A3F99" w:rsidRDefault="000A3F99" w:rsidP="00D032F8">
      <w:pPr>
        <w:pStyle w:val="Heading2"/>
        <w:jc w:val="left"/>
      </w:pPr>
      <w:r>
        <w:br w:type="page"/>
      </w:r>
      <w:bookmarkStart w:id="139" w:name="_Toc491090884"/>
      <w:r w:rsidR="00113411" w:rsidRPr="000A3F99">
        <w:lastRenderedPageBreak/>
        <w:t>List of Charts</w:t>
      </w:r>
      <w:bookmarkEnd w:id="139"/>
    </w:p>
    <w:p w14:paraId="45C0DBC5" w14:textId="77777777" w:rsidR="008C4815" w:rsidRDefault="00553B60">
      <w:pPr>
        <w:pStyle w:val="TableofFigures"/>
        <w:tabs>
          <w:tab w:val="right" w:leader="dot" w:pos="9016"/>
        </w:tabs>
        <w:rPr>
          <w:rFonts w:asciiTheme="minorHAnsi" w:eastAsiaTheme="minorEastAsia" w:hAnsiTheme="minorHAnsi" w:cstheme="minorBidi"/>
          <w:noProof/>
          <w:szCs w:val="22"/>
        </w:rPr>
      </w:pPr>
      <w:r w:rsidRPr="000A3F99">
        <w:fldChar w:fldCharType="begin"/>
      </w:r>
      <w:r w:rsidRPr="000A3F99">
        <w:instrText xml:space="preserve"> TOC \h \z \t "Caption" \c </w:instrText>
      </w:r>
      <w:r w:rsidRPr="000A3F99">
        <w:fldChar w:fldCharType="separate"/>
      </w:r>
      <w:hyperlink w:anchor="_Toc491087621" w:history="1">
        <w:r w:rsidR="008C4815" w:rsidRPr="009A77F0">
          <w:rPr>
            <w:rStyle w:val="Hyperlink"/>
            <w:noProof/>
          </w:rPr>
          <w:t>Chart 1: SIF Overall effectiveness to March 2017</w:t>
        </w:r>
        <w:r w:rsidR="008C4815">
          <w:rPr>
            <w:noProof/>
            <w:webHidden/>
          </w:rPr>
          <w:tab/>
        </w:r>
        <w:r w:rsidR="008C4815">
          <w:rPr>
            <w:noProof/>
            <w:webHidden/>
          </w:rPr>
          <w:fldChar w:fldCharType="begin"/>
        </w:r>
        <w:r w:rsidR="008C4815">
          <w:rPr>
            <w:noProof/>
            <w:webHidden/>
          </w:rPr>
          <w:instrText xml:space="preserve"> PAGEREF _Toc491087621 \h </w:instrText>
        </w:r>
        <w:r w:rsidR="008C4815">
          <w:rPr>
            <w:noProof/>
            <w:webHidden/>
          </w:rPr>
        </w:r>
        <w:r w:rsidR="008C4815">
          <w:rPr>
            <w:noProof/>
            <w:webHidden/>
          </w:rPr>
          <w:fldChar w:fldCharType="separate"/>
        </w:r>
        <w:r w:rsidR="005F2D43">
          <w:rPr>
            <w:noProof/>
            <w:webHidden/>
          </w:rPr>
          <w:t>4</w:t>
        </w:r>
        <w:r w:rsidR="008C4815">
          <w:rPr>
            <w:noProof/>
            <w:webHidden/>
          </w:rPr>
          <w:fldChar w:fldCharType="end"/>
        </w:r>
      </w:hyperlink>
    </w:p>
    <w:p w14:paraId="12BBF0CE"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2" w:history="1">
        <w:r w:rsidR="008C4815" w:rsidRPr="009A77F0">
          <w:rPr>
            <w:rStyle w:val="Hyperlink"/>
            <w:noProof/>
          </w:rPr>
          <w:t>Chart 2: Key judgement grades to March 2017</w:t>
        </w:r>
        <w:r w:rsidR="008C4815">
          <w:rPr>
            <w:noProof/>
            <w:webHidden/>
          </w:rPr>
          <w:tab/>
        </w:r>
        <w:r w:rsidR="008C4815">
          <w:rPr>
            <w:noProof/>
            <w:webHidden/>
          </w:rPr>
          <w:fldChar w:fldCharType="begin"/>
        </w:r>
        <w:r w:rsidR="008C4815">
          <w:rPr>
            <w:noProof/>
            <w:webHidden/>
          </w:rPr>
          <w:instrText xml:space="preserve"> PAGEREF _Toc491087622 \h </w:instrText>
        </w:r>
        <w:r w:rsidR="008C4815">
          <w:rPr>
            <w:noProof/>
            <w:webHidden/>
          </w:rPr>
        </w:r>
        <w:r w:rsidR="008C4815">
          <w:rPr>
            <w:noProof/>
            <w:webHidden/>
          </w:rPr>
          <w:fldChar w:fldCharType="separate"/>
        </w:r>
        <w:r w:rsidR="005F2D43">
          <w:rPr>
            <w:noProof/>
            <w:webHidden/>
          </w:rPr>
          <w:t>6</w:t>
        </w:r>
        <w:r w:rsidR="008C4815">
          <w:rPr>
            <w:noProof/>
            <w:webHidden/>
          </w:rPr>
          <w:fldChar w:fldCharType="end"/>
        </w:r>
      </w:hyperlink>
    </w:p>
    <w:p w14:paraId="4F11D950"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3" w:history="1">
        <w:r w:rsidR="008C4815" w:rsidRPr="009A77F0">
          <w:rPr>
            <w:rStyle w:val="Hyperlink"/>
            <w:noProof/>
          </w:rPr>
          <w:t>Chart 3: SIF Adoption performance</w:t>
        </w:r>
        <w:r w:rsidR="008C4815" w:rsidRPr="009A77F0">
          <w:rPr>
            <w:rStyle w:val="Hyperlink"/>
            <w:i/>
            <w:noProof/>
          </w:rPr>
          <w:t xml:space="preserve"> </w:t>
        </w:r>
        <w:r w:rsidR="008C4815" w:rsidRPr="009A77F0">
          <w:rPr>
            <w:rStyle w:val="Hyperlink"/>
            <w:noProof/>
          </w:rPr>
          <w:t>sub-judgement to March 2017</w:t>
        </w:r>
        <w:r w:rsidR="008C4815">
          <w:rPr>
            <w:noProof/>
            <w:webHidden/>
          </w:rPr>
          <w:tab/>
        </w:r>
        <w:r w:rsidR="008C4815">
          <w:rPr>
            <w:noProof/>
            <w:webHidden/>
          </w:rPr>
          <w:fldChar w:fldCharType="begin"/>
        </w:r>
        <w:r w:rsidR="008C4815">
          <w:rPr>
            <w:noProof/>
            <w:webHidden/>
          </w:rPr>
          <w:instrText xml:space="preserve"> PAGEREF _Toc491087623 \h </w:instrText>
        </w:r>
        <w:r w:rsidR="008C4815">
          <w:rPr>
            <w:noProof/>
            <w:webHidden/>
          </w:rPr>
        </w:r>
        <w:r w:rsidR="008C4815">
          <w:rPr>
            <w:noProof/>
            <w:webHidden/>
          </w:rPr>
          <w:fldChar w:fldCharType="separate"/>
        </w:r>
        <w:r w:rsidR="005F2D43">
          <w:rPr>
            <w:noProof/>
            <w:webHidden/>
          </w:rPr>
          <w:t>8</w:t>
        </w:r>
        <w:r w:rsidR="008C4815">
          <w:rPr>
            <w:noProof/>
            <w:webHidden/>
          </w:rPr>
          <w:fldChar w:fldCharType="end"/>
        </w:r>
      </w:hyperlink>
    </w:p>
    <w:p w14:paraId="7ACAC107"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4" w:history="1">
        <w:r w:rsidR="008C4815" w:rsidRPr="009A77F0">
          <w:rPr>
            <w:rStyle w:val="Hyperlink"/>
            <w:noProof/>
          </w:rPr>
          <w:t>Chart 4: SIF Experiences and progress of care leavers sub-judgement to March 2017</w:t>
        </w:r>
        <w:r w:rsidR="008C4815">
          <w:rPr>
            <w:noProof/>
            <w:webHidden/>
          </w:rPr>
          <w:tab/>
        </w:r>
        <w:r w:rsidR="008C4815">
          <w:rPr>
            <w:noProof/>
            <w:webHidden/>
          </w:rPr>
          <w:fldChar w:fldCharType="begin"/>
        </w:r>
        <w:r w:rsidR="008C4815">
          <w:rPr>
            <w:noProof/>
            <w:webHidden/>
          </w:rPr>
          <w:instrText xml:space="preserve"> PAGEREF _Toc491087624 \h </w:instrText>
        </w:r>
        <w:r w:rsidR="008C4815">
          <w:rPr>
            <w:noProof/>
            <w:webHidden/>
          </w:rPr>
        </w:r>
        <w:r w:rsidR="008C4815">
          <w:rPr>
            <w:noProof/>
            <w:webHidden/>
          </w:rPr>
          <w:fldChar w:fldCharType="separate"/>
        </w:r>
        <w:r w:rsidR="005F2D43">
          <w:rPr>
            <w:noProof/>
            <w:webHidden/>
          </w:rPr>
          <w:t>8</w:t>
        </w:r>
        <w:r w:rsidR="008C4815">
          <w:rPr>
            <w:noProof/>
            <w:webHidden/>
          </w:rPr>
          <w:fldChar w:fldCharType="end"/>
        </w:r>
      </w:hyperlink>
    </w:p>
    <w:p w14:paraId="4F5C2A1F"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5" w:history="1">
        <w:r w:rsidR="008C4815" w:rsidRPr="009A77F0">
          <w:rPr>
            <w:rStyle w:val="Hyperlink"/>
            <w:noProof/>
          </w:rPr>
          <w:t>Chart 5: Regional Overall effectiveness grades to March 2017</w:t>
        </w:r>
        <w:r w:rsidR="008C4815">
          <w:rPr>
            <w:noProof/>
            <w:webHidden/>
          </w:rPr>
          <w:tab/>
        </w:r>
        <w:r w:rsidR="008C4815">
          <w:rPr>
            <w:noProof/>
            <w:webHidden/>
          </w:rPr>
          <w:fldChar w:fldCharType="begin"/>
        </w:r>
        <w:r w:rsidR="008C4815">
          <w:rPr>
            <w:noProof/>
            <w:webHidden/>
          </w:rPr>
          <w:instrText xml:space="preserve"> PAGEREF _Toc491087625 \h </w:instrText>
        </w:r>
        <w:r w:rsidR="008C4815">
          <w:rPr>
            <w:noProof/>
            <w:webHidden/>
          </w:rPr>
        </w:r>
        <w:r w:rsidR="008C4815">
          <w:rPr>
            <w:noProof/>
            <w:webHidden/>
          </w:rPr>
          <w:fldChar w:fldCharType="separate"/>
        </w:r>
        <w:r w:rsidR="005F2D43">
          <w:rPr>
            <w:noProof/>
            <w:webHidden/>
          </w:rPr>
          <w:t>9</w:t>
        </w:r>
        <w:r w:rsidR="008C4815">
          <w:rPr>
            <w:noProof/>
            <w:webHidden/>
          </w:rPr>
          <w:fldChar w:fldCharType="end"/>
        </w:r>
      </w:hyperlink>
    </w:p>
    <w:p w14:paraId="1DC8B56A"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6" w:history="1">
        <w:r w:rsidR="008C4815" w:rsidRPr="009A77F0">
          <w:rPr>
            <w:rStyle w:val="Hyperlink"/>
            <w:noProof/>
          </w:rPr>
          <w:t>Chart 6: Changes in social worker percentage turnover post-SIF, by Overall effectiveness grade</w:t>
        </w:r>
        <w:r w:rsidR="008C4815">
          <w:rPr>
            <w:noProof/>
            <w:webHidden/>
          </w:rPr>
          <w:tab/>
        </w:r>
        <w:r w:rsidR="008C4815">
          <w:rPr>
            <w:noProof/>
            <w:webHidden/>
          </w:rPr>
          <w:fldChar w:fldCharType="begin"/>
        </w:r>
        <w:r w:rsidR="008C4815">
          <w:rPr>
            <w:noProof/>
            <w:webHidden/>
          </w:rPr>
          <w:instrText xml:space="preserve"> PAGEREF _Toc491087626 \h </w:instrText>
        </w:r>
        <w:r w:rsidR="008C4815">
          <w:rPr>
            <w:noProof/>
            <w:webHidden/>
          </w:rPr>
        </w:r>
        <w:r w:rsidR="008C4815">
          <w:rPr>
            <w:noProof/>
            <w:webHidden/>
          </w:rPr>
          <w:fldChar w:fldCharType="separate"/>
        </w:r>
        <w:r w:rsidR="005F2D43">
          <w:rPr>
            <w:noProof/>
            <w:webHidden/>
          </w:rPr>
          <w:t>12</w:t>
        </w:r>
        <w:r w:rsidR="008C4815">
          <w:rPr>
            <w:noProof/>
            <w:webHidden/>
          </w:rPr>
          <w:fldChar w:fldCharType="end"/>
        </w:r>
      </w:hyperlink>
    </w:p>
    <w:p w14:paraId="37E4684B"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7" w:history="1">
        <w:r w:rsidR="008C4815" w:rsidRPr="009A77F0">
          <w:rPr>
            <w:rStyle w:val="Hyperlink"/>
            <w:noProof/>
          </w:rPr>
          <w:t>Chart 7: Number of LAs judged (a) good or better and (b) inadequate, by rate of CiN</w:t>
        </w:r>
        <w:r w:rsidR="008C4815">
          <w:rPr>
            <w:noProof/>
            <w:webHidden/>
          </w:rPr>
          <w:tab/>
        </w:r>
        <w:r w:rsidR="008C4815">
          <w:rPr>
            <w:noProof/>
            <w:webHidden/>
          </w:rPr>
          <w:fldChar w:fldCharType="begin"/>
        </w:r>
        <w:r w:rsidR="008C4815">
          <w:rPr>
            <w:noProof/>
            <w:webHidden/>
          </w:rPr>
          <w:instrText xml:space="preserve"> PAGEREF _Toc491087627 \h </w:instrText>
        </w:r>
        <w:r w:rsidR="008C4815">
          <w:rPr>
            <w:noProof/>
            <w:webHidden/>
          </w:rPr>
        </w:r>
        <w:r w:rsidR="008C4815">
          <w:rPr>
            <w:noProof/>
            <w:webHidden/>
          </w:rPr>
          <w:fldChar w:fldCharType="separate"/>
        </w:r>
        <w:r w:rsidR="005F2D43">
          <w:rPr>
            <w:noProof/>
            <w:webHidden/>
          </w:rPr>
          <w:t>12</w:t>
        </w:r>
        <w:r w:rsidR="008C4815">
          <w:rPr>
            <w:noProof/>
            <w:webHidden/>
          </w:rPr>
          <w:fldChar w:fldCharType="end"/>
        </w:r>
      </w:hyperlink>
    </w:p>
    <w:p w14:paraId="5081D558"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8" w:history="1">
        <w:r w:rsidR="008C4815" w:rsidRPr="009A77F0">
          <w:rPr>
            <w:rStyle w:val="Hyperlink"/>
            <w:noProof/>
          </w:rPr>
          <w:t>Chart 8: Level of deprivation, by SIF Overall effectiveness</w:t>
        </w:r>
        <w:r w:rsidR="008C4815">
          <w:rPr>
            <w:noProof/>
            <w:webHidden/>
          </w:rPr>
          <w:tab/>
        </w:r>
        <w:r w:rsidR="008C4815">
          <w:rPr>
            <w:noProof/>
            <w:webHidden/>
          </w:rPr>
          <w:fldChar w:fldCharType="begin"/>
        </w:r>
        <w:r w:rsidR="008C4815">
          <w:rPr>
            <w:noProof/>
            <w:webHidden/>
          </w:rPr>
          <w:instrText xml:space="preserve"> PAGEREF _Toc491087628 \h </w:instrText>
        </w:r>
        <w:r w:rsidR="008C4815">
          <w:rPr>
            <w:noProof/>
            <w:webHidden/>
          </w:rPr>
        </w:r>
        <w:r w:rsidR="008C4815">
          <w:rPr>
            <w:noProof/>
            <w:webHidden/>
          </w:rPr>
          <w:fldChar w:fldCharType="separate"/>
        </w:r>
        <w:r w:rsidR="005F2D43">
          <w:rPr>
            <w:noProof/>
            <w:webHidden/>
          </w:rPr>
          <w:t>13</w:t>
        </w:r>
        <w:r w:rsidR="008C4815">
          <w:rPr>
            <w:noProof/>
            <w:webHidden/>
          </w:rPr>
          <w:fldChar w:fldCharType="end"/>
        </w:r>
      </w:hyperlink>
    </w:p>
    <w:p w14:paraId="1FE2717B"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29" w:history="1">
        <w:r w:rsidR="008C4815" w:rsidRPr="009A77F0">
          <w:rPr>
            <w:rStyle w:val="Hyperlink"/>
            <w:noProof/>
          </w:rPr>
          <w:t>Chart 9: Percentage of children’s homes run by each sector</w:t>
        </w:r>
        <w:r w:rsidR="008C4815">
          <w:rPr>
            <w:noProof/>
            <w:webHidden/>
          </w:rPr>
          <w:tab/>
        </w:r>
        <w:r w:rsidR="008C4815">
          <w:rPr>
            <w:noProof/>
            <w:webHidden/>
          </w:rPr>
          <w:fldChar w:fldCharType="begin"/>
        </w:r>
        <w:r w:rsidR="008C4815">
          <w:rPr>
            <w:noProof/>
            <w:webHidden/>
          </w:rPr>
          <w:instrText xml:space="preserve"> PAGEREF _Toc491087629 \h </w:instrText>
        </w:r>
        <w:r w:rsidR="008C4815">
          <w:rPr>
            <w:noProof/>
            <w:webHidden/>
          </w:rPr>
        </w:r>
        <w:r w:rsidR="008C4815">
          <w:rPr>
            <w:noProof/>
            <w:webHidden/>
          </w:rPr>
          <w:fldChar w:fldCharType="separate"/>
        </w:r>
        <w:r w:rsidR="005F2D43">
          <w:rPr>
            <w:noProof/>
            <w:webHidden/>
          </w:rPr>
          <w:t>16</w:t>
        </w:r>
        <w:r w:rsidR="008C4815">
          <w:rPr>
            <w:noProof/>
            <w:webHidden/>
          </w:rPr>
          <w:fldChar w:fldCharType="end"/>
        </w:r>
      </w:hyperlink>
    </w:p>
    <w:p w14:paraId="4D282D5C"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0" w:history="1">
        <w:r w:rsidR="008C4815" w:rsidRPr="009A77F0">
          <w:rPr>
            <w:rStyle w:val="Hyperlink"/>
            <w:noProof/>
          </w:rPr>
          <w:t>Chart 10: Number of (a) children’s homes (b) places, by region</w:t>
        </w:r>
        <w:r w:rsidR="008C4815">
          <w:rPr>
            <w:noProof/>
            <w:webHidden/>
          </w:rPr>
          <w:tab/>
        </w:r>
        <w:r w:rsidR="008C4815">
          <w:rPr>
            <w:noProof/>
            <w:webHidden/>
          </w:rPr>
          <w:fldChar w:fldCharType="begin"/>
        </w:r>
        <w:r w:rsidR="008C4815">
          <w:rPr>
            <w:noProof/>
            <w:webHidden/>
          </w:rPr>
          <w:instrText xml:space="preserve"> PAGEREF _Toc491087630 \h </w:instrText>
        </w:r>
        <w:r w:rsidR="008C4815">
          <w:rPr>
            <w:noProof/>
            <w:webHidden/>
          </w:rPr>
        </w:r>
        <w:r w:rsidR="008C4815">
          <w:rPr>
            <w:noProof/>
            <w:webHidden/>
          </w:rPr>
          <w:fldChar w:fldCharType="separate"/>
        </w:r>
        <w:r w:rsidR="005F2D43">
          <w:rPr>
            <w:noProof/>
            <w:webHidden/>
          </w:rPr>
          <w:t>18</w:t>
        </w:r>
        <w:r w:rsidR="008C4815">
          <w:rPr>
            <w:noProof/>
            <w:webHidden/>
          </w:rPr>
          <w:fldChar w:fldCharType="end"/>
        </w:r>
      </w:hyperlink>
    </w:p>
    <w:p w14:paraId="19610CAC"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1" w:history="1">
        <w:r w:rsidR="008C4815" w:rsidRPr="009A77F0">
          <w:rPr>
            <w:rStyle w:val="Hyperlink"/>
            <w:noProof/>
          </w:rPr>
          <w:t>Chart 11: Children’s homes latest Overall effectiveness judgement, as at 31 March 2017</w:t>
        </w:r>
        <w:r w:rsidR="008C4815">
          <w:rPr>
            <w:noProof/>
            <w:webHidden/>
          </w:rPr>
          <w:tab/>
        </w:r>
        <w:r w:rsidR="008C4815">
          <w:rPr>
            <w:noProof/>
            <w:webHidden/>
          </w:rPr>
          <w:fldChar w:fldCharType="begin"/>
        </w:r>
        <w:r w:rsidR="008C4815">
          <w:rPr>
            <w:noProof/>
            <w:webHidden/>
          </w:rPr>
          <w:instrText xml:space="preserve"> PAGEREF _Toc491087631 \h </w:instrText>
        </w:r>
        <w:r w:rsidR="008C4815">
          <w:rPr>
            <w:noProof/>
            <w:webHidden/>
          </w:rPr>
        </w:r>
        <w:r w:rsidR="008C4815">
          <w:rPr>
            <w:noProof/>
            <w:webHidden/>
          </w:rPr>
          <w:fldChar w:fldCharType="separate"/>
        </w:r>
        <w:r w:rsidR="005F2D43">
          <w:rPr>
            <w:noProof/>
            <w:webHidden/>
          </w:rPr>
          <w:t>22</w:t>
        </w:r>
        <w:r w:rsidR="008C4815">
          <w:rPr>
            <w:noProof/>
            <w:webHidden/>
          </w:rPr>
          <w:fldChar w:fldCharType="end"/>
        </w:r>
      </w:hyperlink>
    </w:p>
    <w:p w14:paraId="3B2FEBB1"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2" w:history="1">
        <w:r w:rsidR="008C4815" w:rsidRPr="009A77F0">
          <w:rPr>
            <w:rStyle w:val="Hyperlink"/>
            <w:noProof/>
          </w:rPr>
          <w:t>Chart 12: Children’s homes latest Overall effectiveness inspection judgement, as at 31 March 2017, by region</w:t>
        </w:r>
        <w:r w:rsidR="008C4815">
          <w:rPr>
            <w:noProof/>
            <w:webHidden/>
          </w:rPr>
          <w:tab/>
        </w:r>
        <w:r w:rsidR="008C4815">
          <w:rPr>
            <w:noProof/>
            <w:webHidden/>
          </w:rPr>
          <w:fldChar w:fldCharType="begin"/>
        </w:r>
        <w:r w:rsidR="008C4815">
          <w:rPr>
            <w:noProof/>
            <w:webHidden/>
          </w:rPr>
          <w:instrText xml:space="preserve"> PAGEREF _Toc491087632 \h </w:instrText>
        </w:r>
        <w:r w:rsidR="008C4815">
          <w:rPr>
            <w:noProof/>
            <w:webHidden/>
          </w:rPr>
        </w:r>
        <w:r w:rsidR="008C4815">
          <w:rPr>
            <w:noProof/>
            <w:webHidden/>
          </w:rPr>
          <w:fldChar w:fldCharType="separate"/>
        </w:r>
        <w:r w:rsidR="005F2D43">
          <w:rPr>
            <w:noProof/>
            <w:webHidden/>
          </w:rPr>
          <w:t>23</w:t>
        </w:r>
        <w:r w:rsidR="008C4815">
          <w:rPr>
            <w:noProof/>
            <w:webHidden/>
          </w:rPr>
          <w:fldChar w:fldCharType="end"/>
        </w:r>
      </w:hyperlink>
    </w:p>
    <w:p w14:paraId="3871AA89"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3" w:history="1">
        <w:r w:rsidR="008C4815" w:rsidRPr="009A77F0">
          <w:rPr>
            <w:rStyle w:val="Hyperlink"/>
            <w:noProof/>
          </w:rPr>
          <w:t>Chart 13: Children’s homes Overall effectiveness judgements 2016-17</w:t>
        </w:r>
        <w:r w:rsidR="008C4815">
          <w:rPr>
            <w:noProof/>
            <w:webHidden/>
          </w:rPr>
          <w:tab/>
        </w:r>
        <w:r w:rsidR="008C4815">
          <w:rPr>
            <w:noProof/>
            <w:webHidden/>
          </w:rPr>
          <w:fldChar w:fldCharType="begin"/>
        </w:r>
        <w:r w:rsidR="008C4815">
          <w:rPr>
            <w:noProof/>
            <w:webHidden/>
          </w:rPr>
          <w:instrText xml:space="preserve"> PAGEREF _Toc491087633 \h </w:instrText>
        </w:r>
        <w:r w:rsidR="008C4815">
          <w:rPr>
            <w:noProof/>
            <w:webHidden/>
          </w:rPr>
        </w:r>
        <w:r w:rsidR="008C4815">
          <w:rPr>
            <w:noProof/>
            <w:webHidden/>
          </w:rPr>
          <w:fldChar w:fldCharType="separate"/>
        </w:r>
        <w:r w:rsidR="005F2D43">
          <w:rPr>
            <w:noProof/>
            <w:webHidden/>
          </w:rPr>
          <w:t>24</w:t>
        </w:r>
        <w:r w:rsidR="008C4815">
          <w:rPr>
            <w:noProof/>
            <w:webHidden/>
          </w:rPr>
          <w:fldChar w:fldCharType="end"/>
        </w:r>
      </w:hyperlink>
    </w:p>
    <w:p w14:paraId="7BA81D50"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4" w:history="1">
        <w:r w:rsidR="008C4815" w:rsidRPr="009A77F0">
          <w:rPr>
            <w:rStyle w:val="Hyperlink"/>
            <w:noProof/>
          </w:rPr>
          <w:t>Chart 14: Change to Overall effectiveness</w:t>
        </w:r>
        <w:r w:rsidR="008C4815" w:rsidRPr="009A77F0">
          <w:rPr>
            <w:rStyle w:val="Hyperlink"/>
            <w:i/>
            <w:noProof/>
          </w:rPr>
          <w:t xml:space="preserve"> </w:t>
        </w:r>
        <w:r w:rsidR="008C4815" w:rsidRPr="009A77F0">
          <w:rPr>
            <w:rStyle w:val="Hyperlink"/>
            <w:noProof/>
          </w:rPr>
          <w:t>judgement compared with previous inspection</w:t>
        </w:r>
        <w:r w:rsidR="008C4815">
          <w:rPr>
            <w:noProof/>
            <w:webHidden/>
          </w:rPr>
          <w:tab/>
        </w:r>
        <w:r w:rsidR="008C4815">
          <w:rPr>
            <w:noProof/>
            <w:webHidden/>
          </w:rPr>
          <w:fldChar w:fldCharType="begin"/>
        </w:r>
        <w:r w:rsidR="008C4815">
          <w:rPr>
            <w:noProof/>
            <w:webHidden/>
          </w:rPr>
          <w:instrText xml:space="preserve"> PAGEREF _Toc491087634 \h </w:instrText>
        </w:r>
        <w:r w:rsidR="008C4815">
          <w:rPr>
            <w:noProof/>
            <w:webHidden/>
          </w:rPr>
        </w:r>
        <w:r w:rsidR="008C4815">
          <w:rPr>
            <w:noProof/>
            <w:webHidden/>
          </w:rPr>
          <w:fldChar w:fldCharType="separate"/>
        </w:r>
        <w:r w:rsidR="005F2D43">
          <w:rPr>
            <w:noProof/>
            <w:webHidden/>
          </w:rPr>
          <w:t>26</w:t>
        </w:r>
        <w:r w:rsidR="008C4815">
          <w:rPr>
            <w:noProof/>
            <w:webHidden/>
          </w:rPr>
          <w:fldChar w:fldCharType="end"/>
        </w:r>
      </w:hyperlink>
    </w:p>
    <w:p w14:paraId="7B797434"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5" w:history="1">
        <w:r w:rsidR="008C4815" w:rsidRPr="009A77F0">
          <w:rPr>
            <w:rStyle w:val="Hyperlink"/>
            <w:noProof/>
          </w:rPr>
          <w:t>Chart 15: Children’s homes Overall effectiveness 2016-17, by region</w:t>
        </w:r>
        <w:r w:rsidR="008C4815">
          <w:rPr>
            <w:noProof/>
            <w:webHidden/>
          </w:rPr>
          <w:tab/>
        </w:r>
        <w:r w:rsidR="008C4815">
          <w:rPr>
            <w:noProof/>
            <w:webHidden/>
          </w:rPr>
          <w:fldChar w:fldCharType="begin"/>
        </w:r>
        <w:r w:rsidR="008C4815">
          <w:rPr>
            <w:noProof/>
            <w:webHidden/>
          </w:rPr>
          <w:instrText xml:space="preserve"> PAGEREF _Toc491087635 \h </w:instrText>
        </w:r>
        <w:r w:rsidR="008C4815">
          <w:rPr>
            <w:noProof/>
            <w:webHidden/>
          </w:rPr>
        </w:r>
        <w:r w:rsidR="008C4815">
          <w:rPr>
            <w:noProof/>
            <w:webHidden/>
          </w:rPr>
          <w:fldChar w:fldCharType="separate"/>
        </w:r>
        <w:r w:rsidR="005F2D43">
          <w:rPr>
            <w:noProof/>
            <w:webHidden/>
          </w:rPr>
          <w:t>27</w:t>
        </w:r>
        <w:r w:rsidR="008C4815">
          <w:rPr>
            <w:noProof/>
            <w:webHidden/>
          </w:rPr>
          <w:fldChar w:fldCharType="end"/>
        </w:r>
      </w:hyperlink>
    </w:p>
    <w:p w14:paraId="7D6BEFB0"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6" w:history="1">
        <w:r w:rsidR="008C4815" w:rsidRPr="009A77F0">
          <w:rPr>
            <w:rStyle w:val="Hyperlink"/>
            <w:noProof/>
          </w:rPr>
          <w:t>Chart 16: Change for children’s homes previously judged requires improvement to be good for Overall effectiveness, by region</w:t>
        </w:r>
        <w:r w:rsidR="008C4815">
          <w:rPr>
            <w:noProof/>
            <w:webHidden/>
          </w:rPr>
          <w:tab/>
        </w:r>
        <w:r w:rsidR="008C4815">
          <w:rPr>
            <w:noProof/>
            <w:webHidden/>
          </w:rPr>
          <w:fldChar w:fldCharType="begin"/>
        </w:r>
        <w:r w:rsidR="008C4815">
          <w:rPr>
            <w:noProof/>
            <w:webHidden/>
          </w:rPr>
          <w:instrText xml:space="preserve"> PAGEREF _Toc491087636 \h </w:instrText>
        </w:r>
        <w:r w:rsidR="008C4815">
          <w:rPr>
            <w:noProof/>
            <w:webHidden/>
          </w:rPr>
        </w:r>
        <w:r w:rsidR="008C4815">
          <w:rPr>
            <w:noProof/>
            <w:webHidden/>
          </w:rPr>
          <w:fldChar w:fldCharType="separate"/>
        </w:r>
        <w:r w:rsidR="005F2D43">
          <w:rPr>
            <w:noProof/>
            <w:webHidden/>
          </w:rPr>
          <w:t>28</w:t>
        </w:r>
        <w:r w:rsidR="008C4815">
          <w:rPr>
            <w:noProof/>
            <w:webHidden/>
          </w:rPr>
          <w:fldChar w:fldCharType="end"/>
        </w:r>
      </w:hyperlink>
    </w:p>
    <w:p w14:paraId="30D73C6F"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7" w:history="1">
        <w:r w:rsidR="008C4815" w:rsidRPr="009A77F0">
          <w:rPr>
            <w:rStyle w:val="Hyperlink"/>
            <w:noProof/>
          </w:rPr>
          <w:t>Chart 17: Children’s homes Overall effectiveness 2016-17, by sector</w:t>
        </w:r>
        <w:r w:rsidR="008C4815">
          <w:rPr>
            <w:noProof/>
            <w:webHidden/>
          </w:rPr>
          <w:tab/>
        </w:r>
        <w:r w:rsidR="008C4815">
          <w:rPr>
            <w:noProof/>
            <w:webHidden/>
          </w:rPr>
          <w:fldChar w:fldCharType="begin"/>
        </w:r>
        <w:r w:rsidR="008C4815">
          <w:rPr>
            <w:noProof/>
            <w:webHidden/>
          </w:rPr>
          <w:instrText xml:space="preserve"> PAGEREF _Toc491087637 \h </w:instrText>
        </w:r>
        <w:r w:rsidR="008C4815">
          <w:rPr>
            <w:noProof/>
            <w:webHidden/>
          </w:rPr>
        </w:r>
        <w:r w:rsidR="008C4815">
          <w:rPr>
            <w:noProof/>
            <w:webHidden/>
          </w:rPr>
          <w:fldChar w:fldCharType="separate"/>
        </w:r>
        <w:r w:rsidR="005F2D43">
          <w:rPr>
            <w:noProof/>
            <w:webHidden/>
          </w:rPr>
          <w:t>29</w:t>
        </w:r>
        <w:r w:rsidR="008C4815">
          <w:rPr>
            <w:noProof/>
            <w:webHidden/>
          </w:rPr>
          <w:fldChar w:fldCharType="end"/>
        </w:r>
      </w:hyperlink>
    </w:p>
    <w:p w14:paraId="4C362DCA"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8" w:history="1">
        <w:r w:rsidR="008C4815" w:rsidRPr="009A77F0">
          <w:rPr>
            <w:rStyle w:val="Hyperlink"/>
            <w:noProof/>
          </w:rPr>
          <w:t>Chart 18: Children’s homes interim inspections judgements 2016-17</w:t>
        </w:r>
        <w:r w:rsidR="008C4815">
          <w:rPr>
            <w:noProof/>
            <w:webHidden/>
          </w:rPr>
          <w:tab/>
        </w:r>
        <w:r w:rsidR="008C4815">
          <w:rPr>
            <w:noProof/>
            <w:webHidden/>
          </w:rPr>
          <w:fldChar w:fldCharType="begin"/>
        </w:r>
        <w:r w:rsidR="008C4815">
          <w:rPr>
            <w:noProof/>
            <w:webHidden/>
          </w:rPr>
          <w:instrText xml:space="preserve"> PAGEREF _Toc491087638 \h </w:instrText>
        </w:r>
        <w:r w:rsidR="008C4815">
          <w:rPr>
            <w:noProof/>
            <w:webHidden/>
          </w:rPr>
        </w:r>
        <w:r w:rsidR="008C4815">
          <w:rPr>
            <w:noProof/>
            <w:webHidden/>
          </w:rPr>
          <w:fldChar w:fldCharType="separate"/>
        </w:r>
        <w:r w:rsidR="005F2D43">
          <w:rPr>
            <w:noProof/>
            <w:webHidden/>
          </w:rPr>
          <w:t>31</w:t>
        </w:r>
        <w:r w:rsidR="008C4815">
          <w:rPr>
            <w:noProof/>
            <w:webHidden/>
          </w:rPr>
          <w:fldChar w:fldCharType="end"/>
        </w:r>
      </w:hyperlink>
    </w:p>
    <w:p w14:paraId="55877274"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39" w:history="1">
        <w:r w:rsidR="008C4815" w:rsidRPr="009A77F0">
          <w:rPr>
            <w:rStyle w:val="Hyperlink"/>
            <w:noProof/>
          </w:rPr>
          <w:t>Chart 19: Interim inspections judgements compared with subsequent full inspection</w:t>
        </w:r>
        <w:r w:rsidR="008C4815">
          <w:rPr>
            <w:noProof/>
            <w:webHidden/>
          </w:rPr>
          <w:tab/>
        </w:r>
        <w:r w:rsidR="008C4815">
          <w:rPr>
            <w:noProof/>
            <w:webHidden/>
          </w:rPr>
          <w:fldChar w:fldCharType="begin"/>
        </w:r>
        <w:r w:rsidR="008C4815">
          <w:rPr>
            <w:noProof/>
            <w:webHidden/>
          </w:rPr>
          <w:instrText xml:space="preserve"> PAGEREF _Toc491087639 \h </w:instrText>
        </w:r>
        <w:r w:rsidR="008C4815">
          <w:rPr>
            <w:noProof/>
            <w:webHidden/>
          </w:rPr>
        </w:r>
        <w:r w:rsidR="008C4815">
          <w:rPr>
            <w:noProof/>
            <w:webHidden/>
          </w:rPr>
          <w:fldChar w:fldCharType="separate"/>
        </w:r>
        <w:r w:rsidR="005F2D43">
          <w:rPr>
            <w:noProof/>
            <w:webHidden/>
          </w:rPr>
          <w:t>32</w:t>
        </w:r>
        <w:r w:rsidR="008C4815">
          <w:rPr>
            <w:noProof/>
            <w:webHidden/>
          </w:rPr>
          <w:fldChar w:fldCharType="end"/>
        </w:r>
      </w:hyperlink>
    </w:p>
    <w:p w14:paraId="483E9E56"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40" w:history="1">
        <w:r w:rsidR="008C4815" w:rsidRPr="009A77F0">
          <w:rPr>
            <w:rStyle w:val="Hyperlink"/>
            <w:noProof/>
          </w:rPr>
          <w:t>Chart 20: Other social care providers’ latest Overall effectiveness judgement, as at 31 March 2017</w:t>
        </w:r>
        <w:r w:rsidR="008C4815">
          <w:rPr>
            <w:noProof/>
            <w:webHidden/>
          </w:rPr>
          <w:tab/>
        </w:r>
        <w:r w:rsidR="008C4815">
          <w:rPr>
            <w:noProof/>
            <w:webHidden/>
          </w:rPr>
          <w:fldChar w:fldCharType="begin"/>
        </w:r>
        <w:r w:rsidR="008C4815">
          <w:rPr>
            <w:noProof/>
            <w:webHidden/>
          </w:rPr>
          <w:instrText xml:space="preserve"> PAGEREF _Toc491087640 \h </w:instrText>
        </w:r>
        <w:r w:rsidR="008C4815">
          <w:rPr>
            <w:noProof/>
            <w:webHidden/>
          </w:rPr>
        </w:r>
        <w:r w:rsidR="008C4815">
          <w:rPr>
            <w:noProof/>
            <w:webHidden/>
          </w:rPr>
          <w:fldChar w:fldCharType="separate"/>
        </w:r>
        <w:r w:rsidR="005F2D43">
          <w:rPr>
            <w:noProof/>
            <w:webHidden/>
          </w:rPr>
          <w:t>34</w:t>
        </w:r>
        <w:r w:rsidR="008C4815">
          <w:rPr>
            <w:noProof/>
            <w:webHidden/>
          </w:rPr>
          <w:fldChar w:fldCharType="end"/>
        </w:r>
      </w:hyperlink>
    </w:p>
    <w:p w14:paraId="254D2D0C"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41" w:history="1">
        <w:r w:rsidR="008C4815" w:rsidRPr="009A77F0">
          <w:rPr>
            <w:rStyle w:val="Hyperlink"/>
            <w:noProof/>
          </w:rPr>
          <w:t>Chart 21: Other social care providers’ Overall effectiveness judgements at inspections which took place in 2016-17</w:t>
        </w:r>
        <w:r w:rsidR="008C4815">
          <w:rPr>
            <w:noProof/>
            <w:webHidden/>
          </w:rPr>
          <w:tab/>
        </w:r>
        <w:r w:rsidR="008C4815">
          <w:rPr>
            <w:noProof/>
            <w:webHidden/>
          </w:rPr>
          <w:fldChar w:fldCharType="begin"/>
        </w:r>
        <w:r w:rsidR="008C4815">
          <w:rPr>
            <w:noProof/>
            <w:webHidden/>
          </w:rPr>
          <w:instrText xml:space="preserve"> PAGEREF _Toc491087641 \h </w:instrText>
        </w:r>
        <w:r w:rsidR="008C4815">
          <w:rPr>
            <w:noProof/>
            <w:webHidden/>
          </w:rPr>
        </w:r>
        <w:r w:rsidR="008C4815">
          <w:rPr>
            <w:noProof/>
            <w:webHidden/>
          </w:rPr>
          <w:fldChar w:fldCharType="separate"/>
        </w:r>
        <w:r w:rsidR="005F2D43">
          <w:rPr>
            <w:noProof/>
            <w:webHidden/>
          </w:rPr>
          <w:t>35</w:t>
        </w:r>
        <w:r w:rsidR="008C4815">
          <w:rPr>
            <w:noProof/>
            <w:webHidden/>
          </w:rPr>
          <w:fldChar w:fldCharType="end"/>
        </w:r>
      </w:hyperlink>
    </w:p>
    <w:p w14:paraId="6EAD34C9" w14:textId="77777777" w:rsidR="00553B60" w:rsidRPr="000A3F99" w:rsidRDefault="00553B60" w:rsidP="00D032F8">
      <w:pPr>
        <w:jc w:val="left"/>
      </w:pPr>
      <w:r w:rsidRPr="000A3F99">
        <w:fldChar w:fldCharType="end"/>
      </w:r>
    </w:p>
    <w:p w14:paraId="05CEEC73" w14:textId="77777777" w:rsidR="005F5DA3" w:rsidRPr="000A3F99" w:rsidRDefault="00763592" w:rsidP="00284F49">
      <w:pPr>
        <w:pStyle w:val="Heading2"/>
        <w:jc w:val="left"/>
      </w:pPr>
      <w:bookmarkStart w:id="140" w:name="_Toc491090885"/>
      <w:r w:rsidRPr="000A3F99">
        <w:t xml:space="preserve">List of </w:t>
      </w:r>
      <w:r w:rsidR="005F5DA3" w:rsidRPr="000A3F99">
        <w:t>Tables</w:t>
      </w:r>
      <w:bookmarkEnd w:id="140"/>
    </w:p>
    <w:p w14:paraId="6E519AC4" w14:textId="77777777" w:rsidR="000769E7" w:rsidRPr="00C36A4C" w:rsidRDefault="00763592">
      <w:pPr>
        <w:pStyle w:val="TableofFigures"/>
        <w:tabs>
          <w:tab w:val="right" w:leader="dot" w:pos="9016"/>
        </w:tabs>
        <w:rPr>
          <w:rFonts w:ascii="Calibri" w:hAnsi="Calibri"/>
          <w:noProof/>
          <w:szCs w:val="22"/>
        </w:rPr>
      </w:pPr>
      <w:r w:rsidRPr="000A3F99">
        <w:fldChar w:fldCharType="begin"/>
      </w:r>
      <w:r w:rsidRPr="000A3F99">
        <w:instrText xml:space="preserve"> TOC \h \z \t "Table" \c </w:instrText>
      </w:r>
      <w:r w:rsidRPr="000A3F99">
        <w:fldChar w:fldCharType="separate"/>
      </w:r>
      <w:hyperlink w:anchor="_Toc489019905" w:history="1">
        <w:r w:rsidR="000769E7" w:rsidRPr="007D1AD1">
          <w:rPr>
            <w:rStyle w:val="Hyperlink"/>
            <w:noProof/>
          </w:rPr>
          <w:t>Table 1: Children who need help &amp; protection, change from previous inspection</w:t>
        </w:r>
        <w:r w:rsidR="000769E7">
          <w:rPr>
            <w:noProof/>
            <w:webHidden/>
          </w:rPr>
          <w:tab/>
        </w:r>
        <w:r w:rsidR="000769E7">
          <w:rPr>
            <w:noProof/>
            <w:webHidden/>
          </w:rPr>
          <w:fldChar w:fldCharType="begin"/>
        </w:r>
        <w:r w:rsidR="000769E7">
          <w:rPr>
            <w:noProof/>
            <w:webHidden/>
          </w:rPr>
          <w:instrText xml:space="preserve"> PAGEREF _Toc489019905 \h </w:instrText>
        </w:r>
        <w:r w:rsidR="000769E7">
          <w:rPr>
            <w:noProof/>
            <w:webHidden/>
          </w:rPr>
        </w:r>
        <w:r w:rsidR="000769E7">
          <w:rPr>
            <w:noProof/>
            <w:webHidden/>
          </w:rPr>
          <w:fldChar w:fldCharType="separate"/>
        </w:r>
        <w:r w:rsidR="005F2D43">
          <w:rPr>
            <w:noProof/>
            <w:webHidden/>
          </w:rPr>
          <w:t>14</w:t>
        </w:r>
        <w:r w:rsidR="000769E7">
          <w:rPr>
            <w:noProof/>
            <w:webHidden/>
          </w:rPr>
          <w:fldChar w:fldCharType="end"/>
        </w:r>
      </w:hyperlink>
    </w:p>
    <w:p w14:paraId="4BAB4ABD" w14:textId="77777777" w:rsidR="000769E7" w:rsidRPr="00C36A4C" w:rsidRDefault="00494FCF">
      <w:pPr>
        <w:pStyle w:val="TableofFigures"/>
        <w:tabs>
          <w:tab w:val="right" w:leader="dot" w:pos="9016"/>
        </w:tabs>
        <w:rPr>
          <w:rFonts w:ascii="Calibri" w:hAnsi="Calibri"/>
          <w:noProof/>
          <w:szCs w:val="22"/>
        </w:rPr>
      </w:pPr>
      <w:hyperlink w:anchor="_Toc489019906" w:history="1">
        <w:r w:rsidR="000769E7" w:rsidRPr="007D1AD1">
          <w:rPr>
            <w:rStyle w:val="Hyperlink"/>
            <w:noProof/>
          </w:rPr>
          <w:t>Table 2: Children looked after and achieving permanence judgements, change from previous inspection</w:t>
        </w:r>
        <w:r w:rsidR="000769E7">
          <w:rPr>
            <w:noProof/>
            <w:webHidden/>
          </w:rPr>
          <w:tab/>
        </w:r>
        <w:r w:rsidR="000769E7">
          <w:rPr>
            <w:noProof/>
            <w:webHidden/>
          </w:rPr>
          <w:fldChar w:fldCharType="begin"/>
        </w:r>
        <w:r w:rsidR="000769E7">
          <w:rPr>
            <w:noProof/>
            <w:webHidden/>
          </w:rPr>
          <w:instrText xml:space="preserve"> PAGEREF _Toc489019906 \h </w:instrText>
        </w:r>
        <w:r w:rsidR="000769E7">
          <w:rPr>
            <w:noProof/>
            <w:webHidden/>
          </w:rPr>
        </w:r>
        <w:r w:rsidR="000769E7">
          <w:rPr>
            <w:noProof/>
            <w:webHidden/>
          </w:rPr>
          <w:fldChar w:fldCharType="separate"/>
        </w:r>
        <w:r w:rsidR="005F2D43">
          <w:rPr>
            <w:noProof/>
            <w:webHidden/>
          </w:rPr>
          <w:t>14</w:t>
        </w:r>
        <w:r w:rsidR="000769E7">
          <w:rPr>
            <w:noProof/>
            <w:webHidden/>
          </w:rPr>
          <w:fldChar w:fldCharType="end"/>
        </w:r>
      </w:hyperlink>
    </w:p>
    <w:p w14:paraId="055F001E" w14:textId="77777777" w:rsidR="000769E7" w:rsidRPr="00C36A4C" w:rsidRDefault="00494FCF">
      <w:pPr>
        <w:pStyle w:val="TableofFigures"/>
        <w:tabs>
          <w:tab w:val="right" w:leader="dot" w:pos="9016"/>
        </w:tabs>
        <w:rPr>
          <w:rFonts w:ascii="Calibri" w:hAnsi="Calibri"/>
          <w:noProof/>
          <w:szCs w:val="22"/>
        </w:rPr>
      </w:pPr>
      <w:hyperlink w:anchor="_Toc489019907" w:history="1">
        <w:r w:rsidR="000769E7" w:rsidRPr="007D1AD1">
          <w:rPr>
            <w:rStyle w:val="Hyperlink"/>
            <w:noProof/>
          </w:rPr>
          <w:t>Table 3: Children’s homes at 31 March 2017, by number of beds and region</w:t>
        </w:r>
        <w:r w:rsidR="000769E7">
          <w:rPr>
            <w:noProof/>
            <w:webHidden/>
          </w:rPr>
          <w:tab/>
        </w:r>
        <w:r w:rsidR="000769E7">
          <w:rPr>
            <w:noProof/>
            <w:webHidden/>
          </w:rPr>
          <w:fldChar w:fldCharType="begin"/>
        </w:r>
        <w:r w:rsidR="000769E7">
          <w:rPr>
            <w:noProof/>
            <w:webHidden/>
          </w:rPr>
          <w:instrText xml:space="preserve"> PAGEREF _Toc489019907 \h </w:instrText>
        </w:r>
        <w:r w:rsidR="000769E7">
          <w:rPr>
            <w:noProof/>
            <w:webHidden/>
          </w:rPr>
        </w:r>
        <w:r w:rsidR="000769E7">
          <w:rPr>
            <w:noProof/>
            <w:webHidden/>
          </w:rPr>
          <w:fldChar w:fldCharType="separate"/>
        </w:r>
        <w:r w:rsidR="005F2D43">
          <w:rPr>
            <w:noProof/>
            <w:webHidden/>
          </w:rPr>
          <w:t>20</w:t>
        </w:r>
        <w:r w:rsidR="000769E7">
          <w:rPr>
            <w:noProof/>
            <w:webHidden/>
          </w:rPr>
          <w:fldChar w:fldCharType="end"/>
        </w:r>
      </w:hyperlink>
    </w:p>
    <w:p w14:paraId="28942F01" w14:textId="77777777" w:rsidR="005F5DA3" w:rsidRPr="000A3F99" w:rsidRDefault="00763592" w:rsidP="00284F49">
      <w:pPr>
        <w:jc w:val="left"/>
      </w:pPr>
      <w:r w:rsidRPr="000A3F99">
        <w:fldChar w:fldCharType="end"/>
      </w:r>
    </w:p>
    <w:p w14:paraId="57DC045E" w14:textId="77777777" w:rsidR="00113411" w:rsidRPr="000A3F99" w:rsidRDefault="00113411" w:rsidP="00D032F8">
      <w:pPr>
        <w:pStyle w:val="Heading2"/>
        <w:jc w:val="left"/>
      </w:pPr>
      <w:bookmarkStart w:id="141" w:name="_Toc491090886"/>
      <w:r w:rsidRPr="000A3F99">
        <w:t>List of Maps</w:t>
      </w:r>
      <w:bookmarkEnd w:id="141"/>
    </w:p>
    <w:p w14:paraId="5B4B5391" w14:textId="77777777" w:rsidR="008C4815" w:rsidRDefault="00553B60">
      <w:pPr>
        <w:pStyle w:val="TableofFigures"/>
        <w:tabs>
          <w:tab w:val="right" w:leader="dot" w:pos="9016"/>
        </w:tabs>
        <w:rPr>
          <w:rFonts w:asciiTheme="minorHAnsi" w:eastAsiaTheme="minorEastAsia" w:hAnsiTheme="minorHAnsi" w:cstheme="minorBidi"/>
          <w:noProof/>
          <w:szCs w:val="22"/>
        </w:rPr>
      </w:pPr>
      <w:r w:rsidRPr="00DA0AD9">
        <w:rPr>
          <w:rFonts w:ascii="Tahoma" w:hAnsi="Tahoma" w:cs="Tahoma"/>
          <w:sz w:val="20"/>
          <w:szCs w:val="20"/>
        </w:rPr>
        <w:fldChar w:fldCharType="begin"/>
      </w:r>
      <w:r w:rsidRPr="00DA0AD9">
        <w:rPr>
          <w:rFonts w:ascii="Tahoma" w:hAnsi="Tahoma" w:cs="Tahoma"/>
          <w:sz w:val="20"/>
          <w:szCs w:val="20"/>
        </w:rPr>
        <w:instrText xml:space="preserve"> TOC \h \z \t "Maps" \c </w:instrText>
      </w:r>
      <w:r w:rsidRPr="00DA0AD9">
        <w:rPr>
          <w:rFonts w:ascii="Tahoma" w:hAnsi="Tahoma" w:cs="Tahoma"/>
          <w:sz w:val="20"/>
          <w:szCs w:val="20"/>
        </w:rPr>
        <w:fldChar w:fldCharType="separate"/>
      </w:r>
      <w:hyperlink w:anchor="_Toc491087642" w:history="1">
        <w:r w:rsidR="008C4815" w:rsidRPr="000B741A">
          <w:rPr>
            <w:rStyle w:val="Hyperlink"/>
            <w:noProof/>
          </w:rPr>
          <w:t>Map 1: SIF inspection Overall effectiveness judgements to March 2017</w:t>
        </w:r>
        <w:r w:rsidR="008C4815">
          <w:rPr>
            <w:noProof/>
            <w:webHidden/>
          </w:rPr>
          <w:tab/>
        </w:r>
        <w:r w:rsidR="008C4815">
          <w:rPr>
            <w:noProof/>
            <w:webHidden/>
          </w:rPr>
          <w:fldChar w:fldCharType="begin"/>
        </w:r>
        <w:r w:rsidR="008C4815">
          <w:rPr>
            <w:noProof/>
            <w:webHidden/>
          </w:rPr>
          <w:instrText xml:space="preserve"> PAGEREF _Toc491087642 \h </w:instrText>
        </w:r>
        <w:r w:rsidR="008C4815">
          <w:rPr>
            <w:noProof/>
            <w:webHidden/>
          </w:rPr>
        </w:r>
        <w:r w:rsidR="008C4815">
          <w:rPr>
            <w:noProof/>
            <w:webHidden/>
          </w:rPr>
          <w:fldChar w:fldCharType="separate"/>
        </w:r>
        <w:r w:rsidR="005F2D43">
          <w:rPr>
            <w:noProof/>
            <w:webHidden/>
          </w:rPr>
          <w:t>5</w:t>
        </w:r>
        <w:r w:rsidR="008C4815">
          <w:rPr>
            <w:noProof/>
            <w:webHidden/>
          </w:rPr>
          <w:fldChar w:fldCharType="end"/>
        </w:r>
      </w:hyperlink>
    </w:p>
    <w:p w14:paraId="73D1BCB6"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43" w:history="1">
        <w:r w:rsidR="008C4815" w:rsidRPr="000B741A">
          <w:rPr>
            <w:rStyle w:val="Hyperlink"/>
            <w:noProof/>
          </w:rPr>
          <w:t>Map 2: LAs judged inadequate for Help and protection &amp; Leadership and management</w:t>
        </w:r>
        <w:r w:rsidR="008C4815">
          <w:rPr>
            <w:noProof/>
            <w:webHidden/>
          </w:rPr>
          <w:tab/>
        </w:r>
        <w:r w:rsidR="008C4815">
          <w:rPr>
            <w:noProof/>
            <w:webHidden/>
          </w:rPr>
          <w:fldChar w:fldCharType="begin"/>
        </w:r>
        <w:r w:rsidR="008C4815">
          <w:rPr>
            <w:noProof/>
            <w:webHidden/>
          </w:rPr>
          <w:instrText xml:space="preserve"> PAGEREF _Toc491087643 \h </w:instrText>
        </w:r>
        <w:r w:rsidR="008C4815">
          <w:rPr>
            <w:noProof/>
            <w:webHidden/>
          </w:rPr>
        </w:r>
        <w:r w:rsidR="008C4815">
          <w:rPr>
            <w:noProof/>
            <w:webHidden/>
          </w:rPr>
          <w:fldChar w:fldCharType="separate"/>
        </w:r>
        <w:r w:rsidR="005F2D43">
          <w:rPr>
            <w:noProof/>
            <w:webHidden/>
          </w:rPr>
          <w:t>7</w:t>
        </w:r>
        <w:r w:rsidR="008C4815">
          <w:rPr>
            <w:noProof/>
            <w:webHidden/>
          </w:rPr>
          <w:fldChar w:fldCharType="end"/>
        </w:r>
      </w:hyperlink>
    </w:p>
    <w:p w14:paraId="5041868E"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44" w:history="1">
        <w:r w:rsidR="008C4815" w:rsidRPr="000B741A">
          <w:rPr>
            <w:rStyle w:val="Hyperlink"/>
            <w:noProof/>
          </w:rPr>
          <w:t>Map 3: Percentage of inspected LAs judged to be good or outstanding to March 2017</w:t>
        </w:r>
        <w:r w:rsidR="008C4815">
          <w:rPr>
            <w:noProof/>
            <w:webHidden/>
          </w:rPr>
          <w:tab/>
        </w:r>
        <w:r w:rsidR="008C4815">
          <w:rPr>
            <w:noProof/>
            <w:webHidden/>
          </w:rPr>
          <w:fldChar w:fldCharType="begin"/>
        </w:r>
        <w:r w:rsidR="008C4815">
          <w:rPr>
            <w:noProof/>
            <w:webHidden/>
          </w:rPr>
          <w:instrText xml:space="preserve"> PAGEREF _Toc491087644 \h </w:instrText>
        </w:r>
        <w:r w:rsidR="008C4815">
          <w:rPr>
            <w:noProof/>
            <w:webHidden/>
          </w:rPr>
        </w:r>
        <w:r w:rsidR="008C4815">
          <w:rPr>
            <w:noProof/>
            <w:webHidden/>
          </w:rPr>
          <w:fldChar w:fldCharType="separate"/>
        </w:r>
        <w:r w:rsidR="005F2D43">
          <w:rPr>
            <w:noProof/>
            <w:webHidden/>
          </w:rPr>
          <w:t>10</w:t>
        </w:r>
        <w:r w:rsidR="008C4815">
          <w:rPr>
            <w:noProof/>
            <w:webHidden/>
          </w:rPr>
          <w:fldChar w:fldCharType="end"/>
        </w:r>
      </w:hyperlink>
    </w:p>
    <w:p w14:paraId="7CD3D9E9"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45" w:history="1">
        <w:r w:rsidR="008C4815" w:rsidRPr="000B741A">
          <w:rPr>
            <w:rStyle w:val="Hyperlink"/>
            <w:noProof/>
          </w:rPr>
          <w:t>Map 4: Overall effectiveness judgements for LSCB reviews to March 2017</w:t>
        </w:r>
        <w:r w:rsidR="008C4815">
          <w:rPr>
            <w:noProof/>
            <w:webHidden/>
          </w:rPr>
          <w:tab/>
        </w:r>
        <w:r w:rsidR="008C4815">
          <w:rPr>
            <w:noProof/>
            <w:webHidden/>
          </w:rPr>
          <w:fldChar w:fldCharType="begin"/>
        </w:r>
        <w:r w:rsidR="008C4815">
          <w:rPr>
            <w:noProof/>
            <w:webHidden/>
          </w:rPr>
          <w:instrText xml:space="preserve"> PAGEREF _Toc491087645 \h </w:instrText>
        </w:r>
        <w:r w:rsidR="008C4815">
          <w:rPr>
            <w:noProof/>
            <w:webHidden/>
          </w:rPr>
        </w:r>
        <w:r w:rsidR="008C4815">
          <w:rPr>
            <w:noProof/>
            <w:webHidden/>
          </w:rPr>
          <w:fldChar w:fldCharType="separate"/>
        </w:r>
        <w:r w:rsidR="005F2D43">
          <w:rPr>
            <w:noProof/>
            <w:webHidden/>
          </w:rPr>
          <w:t>15</w:t>
        </w:r>
        <w:r w:rsidR="008C4815">
          <w:rPr>
            <w:noProof/>
            <w:webHidden/>
          </w:rPr>
          <w:fldChar w:fldCharType="end"/>
        </w:r>
      </w:hyperlink>
    </w:p>
    <w:p w14:paraId="665BC829"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46" w:history="1">
        <w:r w:rsidR="008C4815" w:rsidRPr="000B741A">
          <w:rPr>
            <w:rStyle w:val="Hyperlink"/>
            <w:noProof/>
          </w:rPr>
          <w:t>Map 5: Local authority-run children’s homes receiving a good or better overall effectiveness judgement at full inspection, by region, in 2016-17</w:t>
        </w:r>
        <w:r w:rsidR="008C4815">
          <w:rPr>
            <w:noProof/>
            <w:webHidden/>
          </w:rPr>
          <w:tab/>
        </w:r>
        <w:r w:rsidR="008C4815">
          <w:rPr>
            <w:noProof/>
            <w:webHidden/>
          </w:rPr>
          <w:fldChar w:fldCharType="begin"/>
        </w:r>
        <w:r w:rsidR="008C4815">
          <w:rPr>
            <w:noProof/>
            <w:webHidden/>
          </w:rPr>
          <w:instrText xml:space="preserve"> PAGEREF _Toc491087646 \h </w:instrText>
        </w:r>
        <w:r w:rsidR="008C4815">
          <w:rPr>
            <w:noProof/>
            <w:webHidden/>
          </w:rPr>
        </w:r>
        <w:r w:rsidR="008C4815">
          <w:rPr>
            <w:noProof/>
            <w:webHidden/>
          </w:rPr>
          <w:fldChar w:fldCharType="separate"/>
        </w:r>
        <w:r w:rsidR="005F2D43">
          <w:rPr>
            <w:noProof/>
            <w:webHidden/>
          </w:rPr>
          <w:t>30</w:t>
        </w:r>
        <w:r w:rsidR="008C4815">
          <w:rPr>
            <w:noProof/>
            <w:webHidden/>
          </w:rPr>
          <w:fldChar w:fldCharType="end"/>
        </w:r>
      </w:hyperlink>
    </w:p>
    <w:p w14:paraId="6A1ACB4C" w14:textId="77777777" w:rsidR="008C4815" w:rsidRDefault="00494FCF">
      <w:pPr>
        <w:pStyle w:val="TableofFigures"/>
        <w:tabs>
          <w:tab w:val="right" w:leader="dot" w:pos="9016"/>
        </w:tabs>
        <w:rPr>
          <w:rFonts w:asciiTheme="minorHAnsi" w:eastAsiaTheme="minorEastAsia" w:hAnsiTheme="minorHAnsi" w:cstheme="minorBidi"/>
          <w:noProof/>
          <w:szCs w:val="22"/>
        </w:rPr>
      </w:pPr>
      <w:hyperlink w:anchor="_Toc491087647" w:history="1">
        <w:r w:rsidR="008C4815" w:rsidRPr="000B741A">
          <w:rPr>
            <w:rStyle w:val="Hyperlink"/>
            <w:noProof/>
          </w:rPr>
          <w:t>Map 6: Private and voluntary-run children’s homes receiving a good or better overall effectiveness judgement at full inspection, by region, in 2016-17</w:t>
        </w:r>
        <w:r w:rsidR="008C4815">
          <w:rPr>
            <w:noProof/>
            <w:webHidden/>
          </w:rPr>
          <w:tab/>
        </w:r>
        <w:r w:rsidR="008C4815">
          <w:rPr>
            <w:noProof/>
            <w:webHidden/>
          </w:rPr>
          <w:fldChar w:fldCharType="begin"/>
        </w:r>
        <w:r w:rsidR="008C4815">
          <w:rPr>
            <w:noProof/>
            <w:webHidden/>
          </w:rPr>
          <w:instrText xml:space="preserve"> PAGEREF _Toc491087647 \h </w:instrText>
        </w:r>
        <w:r w:rsidR="008C4815">
          <w:rPr>
            <w:noProof/>
            <w:webHidden/>
          </w:rPr>
        </w:r>
        <w:r w:rsidR="008C4815">
          <w:rPr>
            <w:noProof/>
            <w:webHidden/>
          </w:rPr>
          <w:fldChar w:fldCharType="separate"/>
        </w:r>
        <w:r w:rsidR="005F2D43">
          <w:rPr>
            <w:noProof/>
            <w:webHidden/>
          </w:rPr>
          <w:t>30</w:t>
        </w:r>
        <w:r w:rsidR="008C4815">
          <w:rPr>
            <w:noProof/>
            <w:webHidden/>
          </w:rPr>
          <w:fldChar w:fldCharType="end"/>
        </w:r>
      </w:hyperlink>
    </w:p>
    <w:p w14:paraId="58CB0DE5" w14:textId="77777777" w:rsidR="00553B60" w:rsidRDefault="00553B60" w:rsidP="00D032F8">
      <w:pPr>
        <w:jc w:val="left"/>
      </w:pPr>
      <w:r w:rsidRPr="00DA0AD9">
        <w:rPr>
          <w:rFonts w:cs="Tahoma"/>
          <w:sz w:val="20"/>
          <w:szCs w:val="20"/>
        </w:rPr>
        <w:fldChar w:fldCharType="end"/>
      </w:r>
    </w:p>
    <w:p w14:paraId="00E0FC29" w14:textId="77777777" w:rsidR="00EA5523" w:rsidRPr="000A3F99" w:rsidRDefault="00EA5523" w:rsidP="00D032F8">
      <w:pPr>
        <w:pStyle w:val="Heading1"/>
        <w:rPr>
          <w:sz w:val="28"/>
          <w:szCs w:val="28"/>
        </w:rPr>
      </w:pPr>
      <w:bookmarkStart w:id="142" w:name="_Toc445820042"/>
      <w:bookmarkStart w:id="143" w:name="_Toc491090887"/>
      <w:r w:rsidRPr="000A3F99">
        <w:rPr>
          <w:sz w:val="28"/>
          <w:szCs w:val="28"/>
        </w:rPr>
        <w:lastRenderedPageBreak/>
        <w:t>Revisions to previous release</w:t>
      </w:r>
      <w:bookmarkEnd w:id="142"/>
      <w:bookmarkEnd w:id="143"/>
    </w:p>
    <w:p w14:paraId="52366EEF" w14:textId="77777777" w:rsidR="00410BDF" w:rsidRPr="000A3F99" w:rsidRDefault="00410BDF" w:rsidP="00D032F8">
      <w:pPr>
        <w:jc w:val="left"/>
        <w:rPr>
          <w:rStyle w:val="Hyperlink"/>
          <w:rFonts w:cs="Tahoma"/>
          <w:color w:val="auto"/>
          <w:u w:val="none"/>
        </w:rPr>
      </w:pPr>
      <w:r w:rsidRPr="000A3F99">
        <w:rPr>
          <w:rFonts w:cs="Tahoma"/>
        </w:rPr>
        <w:t xml:space="preserve">Revised data covering </w:t>
      </w:r>
      <w:r w:rsidR="007A7066">
        <w:rPr>
          <w:rFonts w:cs="Tahoma"/>
        </w:rPr>
        <w:t xml:space="preserve">children’s homes in </w:t>
      </w:r>
      <w:r w:rsidRPr="000A3F99">
        <w:rPr>
          <w:rFonts w:cs="Tahoma"/>
        </w:rPr>
        <w:t>the period 1 April 201</w:t>
      </w:r>
      <w:r w:rsidR="000A3F99">
        <w:rPr>
          <w:rFonts w:cs="Tahoma"/>
        </w:rPr>
        <w:t>6</w:t>
      </w:r>
      <w:r w:rsidRPr="000A3F99">
        <w:rPr>
          <w:rFonts w:cs="Tahoma"/>
        </w:rPr>
        <w:t xml:space="preserve"> to 30 September 201</w:t>
      </w:r>
      <w:r w:rsidR="000A3F99">
        <w:rPr>
          <w:rFonts w:cs="Tahoma"/>
        </w:rPr>
        <w:t>6</w:t>
      </w:r>
      <w:r w:rsidRPr="000A3F99">
        <w:rPr>
          <w:rFonts w:cs="Tahoma"/>
        </w:rPr>
        <w:t xml:space="preserve"> ha</w:t>
      </w:r>
      <w:r w:rsidR="00D51ECA">
        <w:rPr>
          <w:rFonts w:cs="Tahoma"/>
        </w:rPr>
        <w:t>s</w:t>
      </w:r>
      <w:r w:rsidRPr="000A3F99">
        <w:rPr>
          <w:rFonts w:cs="Tahoma"/>
        </w:rPr>
        <w:t xml:space="preserve"> been released and can be found on the Ofsted website</w:t>
      </w:r>
      <w:r w:rsidR="00CB4B3A" w:rsidRPr="000A3F99">
        <w:rPr>
          <w:rFonts w:cs="Tahoma"/>
        </w:rPr>
        <w:t xml:space="preserve"> as part of this release</w:t>
      </w:r>
      <w:r w:rsidRPr="000A3F99">
        <w:rPr>
          <w:rFonts w:cs="Tahoma"/>
        </w:rPr>
        <w:t>:</w:t>
      </w:r>
      <w:r w:rsidRPr="000A3F99">
        <w:t xml:space="preserve"> </w:t>
      </w:r>
      <w:r w:rsidR="00311FFB" w:rsidRPr="00311FFB">
        <w:rPr>
          <w:rFonts w:cs="Tahoma"/>
          <w:color w:val="0000FF"/>
        </w:rPr>
        <w:t>www.gov.uk/government/collections/childrens-social-care-statistics</w:t>
      </w:r>
      <w:r w:rsidRPr="000A3F99">
        <w:rPr>
          <w:rStyle w:val="Hyperlink"/>
          <w:rFonts w:cs="Tahoma"/>
          <w:color w:val="auto"/>
          <w:u w:val="none"/>
        </w:rPr>
        <w:t>.</w:t>
      </w:r>
    </w:p>
    <w:p w14:paraId="0D4AAFF4" w14:textId="77777777" w:rsidR="00410BDF" w:rsidRPr="000A3F99" w:rsidRDefault="00410BDF" w:rsidP="00D032F8">
      <w:pPr>
        <w:jc w:val="left"/>
        <w:rPr>
          <w:rFonts w:cs="Tahoma"/>
          <w:b/>
          <w:color w:val="00B050"/>
        </w:rPr>
      </w:pPr>
    </w:p>
    <w:p w14:paraId="054CDC84" w14:textId="77777777" w:rsidR="00410BDF" w:rsidRPr="008E5050" w:rsidRDefault="00410BDF" w:rsidP="00D032F8">
      <w:pPr>
        <w:numPr>
          <w:ilvl w:val="0"/>
          <w:numId w:val="21"/>
        </w:numPr>
        <w:jc w:val="left"/>
        <w:rPr>
          <w:rFonts w:cs="Tahoma"/>
        </w:rPr>
      </w:pPr>
      <w:r w:rsidRPr="008E5050">
        <w:rPr>
          <w:rFonts w:cs="Tahoma"/>
        </w:rPr>
        <w:t>The revision of statistics relating to 1 April 201</w:t>
      </w:r>
      <w:r w:rsidR="000A3F99" w:rsidRPr="008E5050">
        <w:rPr>
          <w:rFonts w:cs="Tahoma"/>
        </w:rPr>
        <w:t>6</w:t>
      </w:r>
      <w:r w:rsidRPr="008E5050">
        <w:rPr>
          <w:rFonts w:cs="Tahoma"/>
        </w:rPr>
        <w:t xml:space="preserve"> to 30 September 201</w:t>
      </w:r>
      <w:r w:rsidR="000A3F99" w:rsidRPr="008E5050">
        <w:rPr>
          <w:rFonts w:cs="Tahoma"/>
        </w:rPr>
        <w:t>6</w:t>
      </w:r>
      <w:r w:rsidRPr="008E5050">
        <w:rPr>
          <w:rFonts w:cs="Tahoma"/>
        </w:rPr>
        <w:t xml:space="preserve"> from ‘provisional’ to ‘revised’ status includes outcomes relating to a further </w:t>
      </w:r>
      <w:r w:rsidR="008E5050" w:rsidRPr="008E5050">
        <w:rPr>
          <w:rFonts w:cs="Tahoma"/>
        </w:rPr>
        <w:t>47</w:t>
      </w:r>
      <w:r w:rsidR="00764F1B" w:rsidRPr="008E5050">
        <w:rPr>
          <w:rFonts w:cs="Tahoma"/>
        </w:rPr>
        <w:t xml:space="preserve"> </w:t>
      </w:r>
      <w:r w:rsidRPr="008E5050">
        <w:rPr>
          <w:rFonts w:cs="Tahoma"/>
        </w:rPr>
        <w:t xml:space="preserve">inspections. These consist of an additional </w:t>
      </w:r>
      <w:r w:rsidR="008E5050" w:rsidRPr="008E5050">
        <w:rPr>
          <w:rFonts w:cs="Tahoma"/>
        </w:rPr>
        <w:t>39</w:t>
      </w:r>
      <w:r w:rsidRPr="008E5050">
        <w:rPr>
          <w:rFonts w:cs="Tahoma"/>
        </w:rPr>
        <w:t xml:space="preserve"> full inspections</w:t>
      </w:r>
      <w:r w:rsidR="00D51ECA" w:rsidRPr="008E5050">
        <w:rPr>
          <w:rFonts w:cs="Tahoma"/>
        </w:rPr>
        <w:t xml:space="preserve">, six </w:t>
      </w:r>
      <w:r w:rsidRPr="008E5050">
        <w:rPr>
          <w:rFonts w:cs="Tahoma"/>
        </w:rPr>
        <w:t>interim inspections</w:t>
      </w:r>
      <w:r w:rsidR="00D51ECA" w:rsidRPr="008E5050">
        <w:rPr>
          <w:rFonts w:cs="Tahoma"/>
        </w:rPr>
        <w:t>, and two monitoring inspections</w:t>
      </w:r>
      <w:r w:rsidRPr="008E5050">
        <w:rPr>
          <w:rFonts w:cs="Tahoma"/>
        </w:rPr>
        <w:t xml:space="preserve"> of children’s homes, which took place in this period and have been published since </w:t>
      </w:r>
      <w:r w:rsidR="00D51ECA" w:rsidRPr="008E5050">
        <w:rPr>
          <w:rFonts w:cs="Tahoma"/>
        </w:rPr>
        <w:t>31 October</w:t>
      </w:r>
      <w:r w:rsidRPr="008E5050">
        <w:rPr>
          <w:rFonts w:cs="Tahoma"/>
        </w:rPr>
        <w:t xml:space="preserve"> 201</w:t>
      </w:r>
      <w:r w:rsidR="000A3F99" w:rsidRPr="008E5050">
        <w:rPr>
          <w:rFonts w:cs="Tahoma"/>
        </w:rPr>
        <w:t>6</w:t>
      </w:r>
      <w:r w:rsidRPr="008E5050">
        <w:rPr>
          <w:rFonts w:cs="Tahoma"/>
        </w:rPr>
        <w:t xml:space="preserve">. </w:t>
      </w:r>
    </w:p>
    <w:p w14:paraId="70B46242" w14:textId="77777777" w:rsidR="00410BDF" w:rsidRPr="008E5050" w:rsidRDefault="00410BDF" w:rsidP="00D032F8">
      <w:pPr>
        <w:jc w:val="left"/>
        <w:rPr>
          <w:rFonts w:cs="Tahoma"/>
          <w:color w:val="00B050"/>
        </w:rPr>
      </w:pPr>
    </w:p>
    <w:p w14:paraId="532A618E" w14:textId="77777777" w:rsidR="00D32AC5" w:rsidRPr="008E5050" w:rsidRDefault="00410BDF" w:rsidP="00D032F8">
      <w:pPr>
        <w:numPr>
          <w:ilvl w:val="0"/>
          <w:numId w:val="20"/>
        </w:numPr>
        <w:jc w:val="left"/>
        <w:rPr>
          <w:rFonts w:cs="Tahoma"/>
        </w:rPr>
      </w:pPr>
      <w:r w:rsidRPr="008E5050">
        <w:rPr>
          <w:rFonts w:cs="Tahoma"/>
        </w:rPr>
        <w:t xml:space="preserve">Of the additional </w:t>
      </w:r>
      <w:r w:rsidR="008E5050" w:rsidRPr="008E5050">
        <w:rPr>
          <w:rFonts w:cs="Tahoma"/>
        </w:rPr>
        <w:t>39</w:t>
      </w:r>
      <w:r w:rsidRPr="008E5050">
        <w:rPr>
          <w:rFonts w:cs="Tahoma"/>
        </w:rPr>
        <w:t xml:space="preserve"> full inspections, </w:t>
      </w:r>
      <w:r w:rsidR="00D51ECA" w:rsidRPr="008E5050">
        <w:rPr>
          <w:rFonts w:cs="Tahoma"/>
        </w:rPr>
        <w:t>3</w:t>
      </w:r>
      <w:r w:rsidR="008E5050" w:rsidRPr="008E5050">
        <w:rPr>
          <w:rFonts w:cs="Tahoma"/>
        </w:rPr>
        <w:t>2</w:t>
      </w:r>
      <w:r w:rsidRPr="008E5050">
        <w:rPr>
          <w:rFonts w:cs="Tahoma"/>
        </w:rPr>
        <w:t xml:space="preserve"> children’s homes received good or better Overall effectiveness</w:t>
      </w:r>
      <w:r w:rsidRPr="008E5050">
        <w:rPr>
          <w:rFonts w:cs="Tahoma"/>
          <w:i/>
        </w:rPr>
        <w:t xml:space="preserve"> </w:t>
      </w:r>
      <w:r w:rsidRPr="008E5050">
        <w:rPr>
          <w:rFonts w:cs="Tahoma"/>
        </w:rPr>
        <w:t>judgement</w:t>
      </w:r>
      <w:r w:rsidR="00CB4B3A" w:rsidRPr="008E5050">
        <w:rPr>
          <w:rFonts w:cs="Tahoma"/>
        </w:rPr>
        <w:t>s</w:t>
      </w:r>
      <w:r w:rsidRPr="008E5050">
        <w:rPr>
          <w:rFonts w:cs="Tahoma"/>
        </w:rPr>
        <w:t xml:space="preserve"> and </w:t>
      </w:r>
      <w:r w:rsidR="008E5050" w:rsidRPr="008E5050">
        <w:rPr>
          <w:rFonts w:cs="Tahoma"/>
        </w:rPr>
        <w:t>seven</w:t>
      </w:r>
      <w:r w:rsidRPr="008E5050">
        <w:rPr>
          <w:rFonts w:cs="Tahoma"/>
        </w:rPr>
        <w:t xml:space="preserve"> received </w:t>
      </w:r>
      <w:r w:rsidR="00E62975" w:rsidRPr="008E5050">
        <w:rPr>
          <w:rFonts w:cs="Tahoma"/>
        </w:rPr>
        <w:t>requires improvement to be good</w:t>
      </w:r>
      <w:r w:rsidRPr="008E5050">
        <w:rPr>
          <w:rFonts w:cs="Tahoma"/>
        </w:rPr>
        <w:t xml:space="preserve"> or </w:t>
      </w:r>
      <w:r w:rsidR="001E559F">
        <w:rPr>
          <w:rFonts w:cs="Tahoma"/>
        </w:rPr>
        <w:t>inadequate</w:t>
      </w:r>
      <w:r w:rsidRPr="008E5050">
        <w:rPr>
          <w:rFonts w:cs="Tahoma"/>
        </w:rPr>
        <w:t>.</w:t>
      </w:r>
    </w:p>
    <w:p w14:paraId="1BED6DDD" w14:textId="77777777" w:rsidR="00D32AC5" w:rsidRPr="008E5050" w:rsidRDefault="00D32AC5" w:rsidP="00D032F8">
      <w:pPr>
        <w:ind w:left="720"/>
        <w:jc w:val="left"/>
        <w:rPr>
          <w:rFonts w:cs="Tahoma"/>
        </w:rPr>
      </w:pPr>
    </w:p>
    <w:p w14:paraId="7E9C72A0" w14:textId="77777777" w:rsidR="00410BDF" w:rsidRPr="0029578F" w:rsidRDefault="00D32AC5" w:rsidP="00F665CE">
      <w:pPr>
        <w:numPr>
          <w:ilvl w:val="0"/>
          <w:numId w:val="20"/>
        </w:numPr>
        <w:jc w:val="left"/>
        <w:rPr>
          <w:rFonts w:cs="Tahoma"/>
        </w:rPr>
      </w:pPr>
      <w:r w:rsidRPr="008E5050">
        <w:rPr>
          <w:rFonts w:cs="Tahoma"/>
        </w:rPr>
        <w:t xml:space="preserve">These additional inspections </w:t>
      </w:r>
      <w:r w:rsidR="008E5050" w:rsidRPr="008E5050">
        <w:rPr>
          <w:rFonts w:cs="Tahoma"/>
        </w:rPr>
        <w:t>had no impact on</w:t>
      </w:r>
      <w:r w:rsidRPr="008E5050">
        <w:rPr>
          <w:rFonts w:cs="Tahoma"/>
        </w:rPr>
        <w:t xml:space="preserve"> the grade profile presented in the previous provisional data. The grade profile for the </w:t>
      </w:r>
      <w:r w:rsidR="007A7066">
        <w:rPr>
          <w:rFonts w:cs="Tahoma"/>
        </w:rPr>
        <w:t>six month period</w:t>
      </w:r>
      <w:r w:rsidR="007A7066" w:rsidRPr="008E5050">
        <w:rPr>
          <w:rFonts w:cs="Tahoma"/>
        </w:rPr>
        <w:t xml:space="preserve"> </w:t>
      </w:r>
      <w:r w:rsidRPr="008E5050">
        <w:rPr>
          <w:rFonts w:cs="Tahoma"/>
        </w:rPr>
        <w:t>remained the same.</w:t>
      </w:r>
      <w:r w:rsidR="001508D6">
        <w:rPr>
          <w:rFonts w:cs="Tahoma"/>
        </w:rPr>
        <w:t xml:space="preserve"> </w:t>
      </w:r>
    </w:p>
    <w:p w14:paraId="52E65EEF" w14:textId="77777777" w:rsidR="00EA5523" w:rsidRPr="000A3F99" w:rsidRDefault="00EA5523" w:rsidP="00D032F8">
      <w:pPr>
        <w:jc w:val="left"/>
      </w:pPr>
    </w:p>
    <w:p w14:paraId="6AD4C592" w14:textId="77777777" w:rsidR="00EA5523" w:rsidRPr="000A3F99" w:rsidRDefault="00EA5523" w:rsidP="00D032F8">
      <w:pPr>
        <w:pStyle w:val="Heading1"/>
        <w:rPr>
          <w:sz w:val="28"/>
          <w:szCs w:val="28"/>
        </w:rPr>
      </w:pPr>
      <w:bookmarkStart w:id="144" w:name="_Toc445820043"/>
      <w:bookmarkStart w:id="145" w:name="_Toc491090888"/>
      <w:r w:rsidRPr="000A3F99">
        <w:rPr>
          <w:sz w:val="28"/>
          <w:szCs w:val="28"/>
        </w:rPr>
        <w:t>Notes</w:t>
      </w:r>
      <w:bookmarkEnd w:id="144"/>
      <w:bookmarkEnd w:id="145"/>
    </w:p>
    <w:p w14:paraId="7FAC6E91" w14:textId="77777777" w:rsidR="007A7066" w:rsidRDefault="00640F49" w:rsidP="00D032F8">
      <w:pPr>
        <w:spacing w:after="240"/>
        <w:jc w:val="left"/>
      </w:pPr>
      <w:r>
        <w:t>Ofsted consulted with users in 2014</w:t>
      </w:r>
      <w:r w:rsidR="004C344D">
        <w:t xml:space="preserve"> to seek views on the proposed arrangements for the frequency and content of social care inspection official statistics, which is described in more detail in the accompanying Quality and Methodology report. Ofsted also has representation at relevant meetings and forums to seek feedback about whether o</w:t>
      </w:r>
      <w:r w:rsidR="00286BE1">
        <w:t>ur publications meet user needs,</w:t>
      </w:r>
      <w:r w:rsidR="004C344D">
        <w:t xml:space="preserve"> </w:t>
      </w:r>
      <w:r w:rsidR="00286BE1">
        <w:t>which</w:t>
      </w:r>
      <w:r w:rsidR="004C344D">
        <w:t xml:space="preserve"> include regional meetings of performance leads from LAs. Ofsted’s participation helps inform about user views, and suggested improvements are taken on board. Ofsted also engages with other organisations including the Department for Education (DfE) and representations from the private and voluntary sectors.</w:t>
      </w:r>
    </w:p>
    <w:p w14:paraId="151AACAF" w14:textId="77777777" w:rsidR="00EA5523" w:rsidRPr="000A3F99" w:rsidRDefault="00EA5523" w:rsidP="00D032F8">
      <w:pPr>
        <w:spacing w:after="240"/>
        <w:jc w:val="left"/>
      </w:pPr>
      <w:r w:rsidRPr="000A3F99">
        <w:t>An explanation about key uses of th</w:t>
      </w:r>
      <w:r w:rsidR="00286BE1">
        <w:t>is</w:t>
      </w:r>
      <w:r w:rsidRPr="000A3F99">
        <w:t xml:space="preserve"> data</w:t>
      </w:r>
      <w:r w:rsidR="00286BE1">
        <w:t>,</w:t>
      </w:r>
      <w:r w:rsidRPr="000A3F99">
        <w:t xml:space="preserve"> and further contextual information and the arrangements for quality assurance </w:t>
      </w:r>
      <w:r w:rsidR="00286BE1">
        <w:t>are</w:t>
      </w:r>
      <w:r w:rsidRPr="000A3F99">
        <w:t xml:space="preserve"> provided in the accompanying Quality and Methodology report. </w:t>
      </w:r>
    </w:p>
    <w:p w14:paraId="3B5F80BA" w14:textId="77777777" w:rsidR="00F90F5D" w:rsidRDefault="00EA5523" w:rsidP="00301A4B">
      <w:pPr>
        <w:spacing w:after="240"/>
        <w:jc w:val="left"/>
        <w:rPr>
          <w:szCs w:val="22"/>
        </w:rPr>
      </w:pPr>
      <w:r w:rsidRPr="000A3F99">
        <w:rPr>
          <w:szCs w:val="22"/>
        </w:rPr>
        <w:t xml:space="preserve">The Quality and Methodology report can be found at the following webpage: </w:t>
      </w:r>
      <w:r w:rsidR="00311FFB" w:rsidRPr="00311FFB">
        <w:rPr>
          <w:color w:val="0000FF"/>
          <w:szCs w:val="22"/>
        </w:rPr>
        <w:t>www.gov.uk/government/collections/childrens-social-care-statistics#children-s-social-care-in-england</w:t>
      </w:r>
      <w:r w:rsidR="00CF41C5" w:rsidRPr="000A3F99">
        <w:rPr>
          <w:szCs w:val="22"/>
        </w:rPr>
        <w:t xml:space="preserve"> </w:t>
      </w:r>
      <w:r w:rsidRPr="000A3F99">
        <w:rPr>
          <w:szCs w:val="22"/>
        </w:rPr>
        <w:t>under the heading ‘</w:t>
      </w:r>
      <w:r w:rsidRPr="000A3F99">
        <w:rPr>
          <w:lang w:val="en"/>
        </w:rPr>
        <w:t>Children</w:t>
      </w:r>
      <w:r w:rsidR="00CF41C5" w:rsidRPr="000A3F99">
        <w:rPr>
          <w:lang w:val="en"/>
        </w:rPr>
        <w:t>’s social care in England</w:t>
      </w:r>
      <w:r w:rsidR="00286BE1">
        <w:rPr>
          <w:lang w:val="en"/>
        </w:rPr>
        <w:t>’</w:t>
      </w:r>
      <w:r w:rsidRPr="000A3F99">
        <w:rPr>
          <w:szCs w:val="22"/>
        </w:rPr>
        <w:t>.</w:t>
      </w:r>
    </w:p>
    <w:p w14:paraId="59DA4087" w14:textId="77777777" w:rsidR="0029578F" w:rsidRPr="000A3F99" w:rsidRDefault="0029578F" w:rsidP="00301A4B">
      <w:pPr>
        <w:spacing w:after="240"/>
        <w:jc w:val="left"/>
        <w:rPr>
          <w:rFonts w:cs="Tahoma"/>
        </w:rPr>
      </w:pPr>
      <w:r>
        <w:rPr>
          <w:szCs w:val="22"/>
        </w:rPr>
        <w:t xml:space="preserve">Ofsted also publishes data for all remits, including social care, as part of the annual Data View, available here: </w:t>
      </w:r>
      <w:r w:rsidRPr="0029578F">
        <w:rPr>
          <w:szCs w:val="22"/>
        </w:rPr>
        <w:t>https://public.tableau.com/profile/ofsted#!/vizhome/Dataview/Viewregionalperformanceovertime</w:t>
      </w:r>
    </w:p>
    <w:p w14:paraId="24EA5688" w14:textId="77777777" w:rsidR="00311FFB" w:rsidRDefault="00311FFB" w:rsidP="00D032F8">
      <w:pPr>
        <w:jc w:val="left"/>
        <w:rPr>
          <w:rStyle w:val="Heading1Char"/>
        </w:rPr>
      </w:pPr>
      <w:bookmarkStart w:id="146" w:name="_Toc491090889"/>
      <w:r w:rsidRPr="005F5DA3">
        <w:rPr>
          <w:rStyle w:val="Heading1Char"/>
          <w:sz w:val="28"/>
        </w:rPr>
        <w:lastRenderedPageBreak/>
        <w:t>Glossary</w:t>
      </w:r>
      <w:bookmarkEnd w:id="146"/>
      <w:r w:rsidRPr="005F5DA3">
        <w:rPr>
          <w:rStyle w:val="Heading1Char"/>
        </w:rPr>
        <w:t xml:space="preserve"> </w:t>
      </w:r>
    </w:p>
    <w:p w14:paraId="4D0670EE" w14:textId="77777777" w:rsidR="00311FFB" w:rsidRPr="00BE01DB" w:rsidRDefault="00311FFB" w:rsidP="00284F49">
      <w:pPr>
        <w:rPr>
          <w:rStyle w:val="Heading1Char"/>
          <w:b w:val="0"/>
          <w:sz w:val="24"/>
        </w:rPr>
      </w:pPr>
    </w:p>
    <w:p w14:paraId="0B2725EB" w14:textId="77777777" w:rsidR="00311FFB" w:rsidRPr="00AD7E56" w:rsidRDefault="00311FFB" w:rsidP="00D032F8">
      <w:pPr>
        <w:autoSpaceDE w:val="0"/>
        <w:autoSpaceDN w:val="0"/>
        <w:adjustRightInd w:val="0"/>
        <w:jc w:val="left"/>
        <w:rPr>
          <w:rFonts w:cs="Tahoma"/>
          <w:color w:val="000000"/>
        </w:rPr>
      </w:pPr>
      <w:r w:rsidRPr="00AD7E56">
        <w:rPr>
          <w:rFonts w:cs="Tahoma"/>
          <w:color w:val="000000"/>
        </w:rPr>
        <w:t>For a full definition of the terms below, please see the Glossary tab within the underlying data tables.</w:t>
      </w:r>
    </w:p>
    <w:p w14:paraId="77E65879" w14:textId="77777777" w:rsidR="00311FFB" w:rsidRDefault="00311FFB" w:rsidP="00D032F8">
      <w:pPr>
        <w:autoSpaceDE w:val="0"/>
        <w:autoSpaceDN w:val="0"/>
        <w:adjustRightInd w:val="0"/>
        <w:jc w:val="left"/>
        <w:rPr>
          <w:rFonts w:cs="Tahoma"/>
          <w:b/>
          <w:color w:val="000000"/>
        </w:rPr>
      </w:pPr>
    </w:p>
    <w:p w14:paraId="5ADD0B52" w14:textId="77777777" w:rsidR="00311FFB" w:rsidRPr="001F2D62" w:rsidRDefault="00311FFB" w:rsidP="00D032F8">
      <w:pPr>
        <w:autoSpaceDE w:val="0"/>
        <w:autoSpaceDN w:val="0"/>
        <w:adjustRightInd w:val="0"/>
        <w:jc w:val="left"/>
        <w:rPr>
          <w:rFonts w:cs="Tahoma"/>
          <w:b/>
          <w:color w:val="000000"/>
        </w:rPr>
      </w:pPr>
      <w:r w:rsidRPr="001F2D62">
        <w:rPr>
          <w:rFonts w:cs="Tahoma"/>
          <w:b/>
          <w:color w:val="000000"/>
        </w:rPr>
        <w:t xml:space="preserve">Adoption agencies </w:t>
      </w:r>
    </w:p>
    <w:p w14:paraId="6D08423F" w14:textId="77777777" w:rsidR="00311FFB" w:rsidRDefault="00311FFB" w:rsidP="00D032F8">
      <w:pPr>
        <w:jc w:val="left"/>
        <w:rPr>
          <w:rFonts w:cs="Tahoma"/>
          <w:color w:val="000000"/>
        </w:rPr>
      </w:pPr>
      <w:r>
        <w:rPr>
          <w:rFonts w:cs="Tahoma"/>
          <w:color w:val="000000"/>
        </w:rPr>
        <w:t>Adoption agencies can be voluntary</w:t>
      </w:r>
      <w:r w:rsidR="00286BE1">
        <w:rPr>
          <w:rFonts w:cs="Tahoma"/>
          <w:color w:val="000000"/>
        </w:rPr>
        <w:t>-</w:t>
      </w:r>
      <w:r>
        <w:rPr>
          <w:rFonts w:cs="Tahoma"/>
          <w:color w:val="000000"/>
        </w:rPr>
        <w:t xml:space="preserve"> or </w:t>
      </w:r>
      <w:r w:rsidR="00ED7C96">
        <w:rPr>
          <w:rFonts w:cs="Tahoma"/>
          <w:color w:val="000000"/>
        </w:rPr>
        <w:t>LA-</w:t>
      </w:r>
      <w:r>
        <w:rPr>
          <w:rFonts w:cs="Tahoma"/>
          <w:color w:val="000000"/>
        </w:rPr>
        <w:t>run, and aim to place children successfully into adoptive families recruited and prepared by the service.</w:t>
      </w:r>
    </w:p>
    <w:p w14:paraId="70E25595" w14:textId="77777777" w:rsidR="00311FFB" w:rsidRPr="001F2D62" w:rsidRDefault="00311FFB" w:rsidP="00D032F8">
      <w:pPr>
        <w:jc w:val="left"/>
        <w:rPr>
          <w:rFonts w:cs="Tahoma"/>
          <w:color w:val="000000"/>
        </w:rPr>
      </w:pPr>
    </w:p>
    <w:p w14:paraId="35FA2825" w14:textId="77777777" w:rsidR="00311FFB" w:rsidRPr="001F2D62" w:rsidRDefault="00311FFB" w:rsidP="00D032F8">
      <w:pPr>
        <w:autoSpaceDE w:val="0"/>
        <w:autoSpaceDN w:val="0"/>
        <w:adjustRightInd w:val="0"/>
        <w:jc w:val="left"/>
        <w:rPr>
          <w:rFonts w:cs="Tahoma"/>
          <w:b/>
          <w:color w:val="000000"/>
        </w:rPr>
      </w:pPr>
      <w:r w:rsidRPr="001F2D62">
        <w:rPr>
          <w:rFonts w:cs="Tahoma"/>
          <w:b/>
          <w:color w:val="000000"/>
        </w:rPr>
        <w:t xml:space="preserve">Adoption support agencies </w:t>
      </w:r>
    </w:p>
    <w:p w14:paraId="58E2E663" w14:textId="77777777" w:rsidR="00311FFB" w:rsidRPr="001F2D62" w:rsidRDefault="00311FFB" w:rsidP="00D032F8">
      <w:pPr>
        <w:jc w:val="left"/>
        <w:rPr>
          <w:rFonts w:cs="Tahoma"/>
          <w:color w:val="000000"/>
        </w:rPr>
      </w:pPr>
      <w:r w:rsidRPr="001F2D62">
        <w:rPr>
          <w:rFonts w:cs="Tahoma"/>
          <w:color w:val="000000"/>
        </w:rPr>
        <w:t>Adoption support agencies provide services to anyone touched by adoption</w:t>
      </w:r>
      <w:r>
        <w:rPr>
          <w:rFonts w:cs="Tahoma"/>
          <w:color w:val="000000"/>
        </w:rPr>
        <w:t>, as children and adults</w:t>
      </w:r>
      <w:r w:rsidRPr="001F2D62">
        <w:rPr>
          <w:rFonts w:cs="Tahoma"/>
          <w:color w:val="000000"/>
        </w:rPr>
        <w:t>.</w:t>
      </w:r>
      <w:r>
        <w:rPr>
          <w:rFonts w:cs="Tahoma"/>
          <w:color w:val="000000"/>
        </w:rPr>
        <w:t xml:space="preserve"> </w:t>
      </w:r>
    </w:p>
    <w:p w14:paraId="13AD40BB" w14:textId="77777777" w:rsidR="00311FFB" w:rsidRPr="001F2D62" w:rsidRDefault="00311FFB" w:rsidP="00D032F8">
      <w:pPr>
        <w:jc w:val="left"/>
        <w:rPr>
          <w:rFonts w:cs="Tahoma"/>
          <w:color w:val="000000"/>
        </w:rPr>
      </w:pPr>
    </w:p>
    <w:p w14:paraId="7898F476" w14:textId="77777777" w:rsidR="00311FFB" w:rsidRPr="001F2D62" w:rsidRDefault="00311FFB" w:rsidP="00D032F8">
      <w:pPr>
        <w:autoSpaceDE w:val="0"/>
        <w:autoSpaceDN w:val="0"/>
        <w:adjustRightInd w:val="0"/>
        <w:jc w:val="left"/>
        <w:rPr>
          <w:rFonts w:cs="Tahoma"/>
          <w:b/>
          <w:color w:val="000000"/>
        </w:rPr>
      </w:pPr>
      <w:r w:rsidRPr="001F2D62">
        <w:rPr>
          <w:rFonts w:cs="Tahoma"/>
          <w:b/>
          <w:color w:val="000000"/>
        </w:rPr>
        <w:t xml:space="preserve">Boarding </w:t>
      </w:r>
      <w:r>
        <w:rPr>
          <w:rFonts w:cs="Tahoma"/>
          <w:b/>
          <w:color w:val="000000"/>
        </w:rPr>
        <w:t>s</w:t>
      </w:r>
      <w:r w:rsidRPr="001F2D62">
        <w:rPr>
          <w:rFonts w:cs="Tahoma"/>
          <w:b/>
          <w:color w:val="000000"/>
        </w:rPr>
        <w:t xml:space="preserve">chools </w:t>
      </w:r>
    </w:p>
    <w:p w14:paraId="1EE74B5B" w14:textId="77777777" w:rsidR="00311FFB" w:rsidRDefault="00311FFB" w:rsidP="00D032F8">
      <w:pPr>
        <w:jc w:val="left"/>
        <w:rPr>
          <w:rFonts w:cs="Tahoma"/>
          <w:color w:val="000000"/>
        </w:rPr>
      </w:pPr>
      <w:r>
        <w:rPr>
          <w:rFonts w:cs="Tahoma"/>
          <w:color w:val="000000"/>
        </w:rPr>
        <w:t xml:space="preserve">Although the majority of boarding schools are independent and inspected by other inspectorates, some </w:t>
      </w:r>
      <w:r w:rsidRPr="001F2D62">
        <w:rPr>
          <w:rFonts w:cs="Tahoma"/>
          <w:color w:val="000000"/>
        </w:rPr>
        <w:t>are maintained boarding schools where both education and the welfare of boarders are the subject of Ofsted inspection.</w:t>
      </w:r>
    </w:p>
    <w:p w14:paraId="2A429888" w14:textId="77777777" w:rsidR="00311FFB" w:rsidRDefault="00311FFB" w:rsidP="00D032F8">
      <w:pPr>
        <w:jc w:val="left"/>
        <w:rPr>
          <w:rFonts w:cs="Tahoma"/>
          <w:color w:val="000000"/>
        </w:rPr>
      </w:pPr>
    </w:p>
    <w:p w14:paraId="57E27544" w14:textId="77777777" w:rsidR="00311FFB" w:rsidRPr="001F2D62" w:rsidRDefault="00311FFB" w:rsidP="00D032F8">
      <w:pPr>
        <w:jc w:val="left"/>
        <w:rPr>
          <w:rFonts w:cs="Tahoma"/>
          <w:b/>
          <w:color w:val="000000"/>
        </w:rPr>
      </w:pPr>
      <w:r w:rsidRPr="001F2D62">
        <w:rPr>
          <w:rFonts w:cs="Tahoma"/>
          <w:b/>
          <w:color w:val="000000"/>
        </w:rPr>
        <w:t xml:space="preserve">Children’s homes </w:t>
      </w:r>
    </w:p>
    <w:p w14:paraId="25B9A612" w14:textId="77777777" w:rsidR="00311FFB" w:rsidRDefault="00311FFB" w:rsidP="00D032F8">
      <w:pPr>
        <w:jc w:val="left"/>
        <w:rPr>
          <w:rFonts w:cs="Tahoma"/>
          <w:color w:val="000000"/>
        </w:rPr>
      </w:pPr>
      <w:r w:rsidRPr="001F2D62">
        <w:rPr>
          <w:rFonts w:cs="Tahoma"/>
          <w:color w:val="000000"/>
        </w:rPr>
        <w:t>A children’s home is an establishment that provides care and accommodation wholly or mainly for children.</w:t>
      </w:r>
      <w:r>
        <w:rPr>
          <w:rFonts w:cs="Tahoma"/>
          <w:color w:val="000000"/>
        </w:rPr>
        <w:t xml:space="preserve"> </w:t>
      </w:r>
      <w:r w:rsidRPr="001F2D62">
        <w:rPr>
          <w:rFonts w:cs="Tahoma"/>
          <w:color w:val="000000"/>
        </w:rPr>
        <w:t>Children’s homes vary in size and nature</w:t>
      </w:r>
      <w:r>
        <w:rPr>
          <w:rFonts w:cs="Tahoma"/>
          <w:color w:val="000000"/>
        </w:rPr>
        <w:t>, and fulfil a range of purposes to meet the different needs of children and young people</w:t>
      </w:r>
      <w:r w:rsidRPr="001F2D62">
        <w:rPr>
          <w:rFonts w:cs="Tahoma"/>
          <w:color w:val="000000"/>
        </w:rPr>
        <w:t>.</w:t>
      </w:r>
    </w:p>
    <w:p w14:paraId="5E24B763" w14:textId="77777777" w:rsidR="00311FFB" w:rsidRPr="001F2D62" w:rsidRDefault="00311FFB" w:rsidP="00D032F8">
      <w:pPr>
        <w:jc w:val="left"/>
        <w:rPr>
          <w:rFonts w:cs="Tahoma"/>
          <w:b/>
          <w:color w:val="000000"/>
        </w:rPr>
      </w:pPr>
    </w:p>
    <w:p w14:paraId="419C294E" w14:textId="77777777" w:rsidR="00311FFB" w:rsidRPr="001F2D62" w:rsidRDefault="00311FFB" w:rsidP="00D032F8">
      <w:pPr>
        <w:autoSpaceDE w:val="0"/>
        <w:autoSpaceDN w:val="0"/>
        <w:adjustRightInd w:val="0"/>
        <w:jc w:val="left"/>
        <w:rPr>
          <w:rFonts w:cs="Tahoma"/>
          <w:b/>
          <w:color w:val="000000"/>
        </w:rPr>
      </w:pPr>
      <w:r w:rsidRPr="00AD7E56">
        <w:rPr>
          <w:rFonts w:cs="Tahoma"/>
          <w:b/>
          <w:color w:val="000000"/>
        </w:rPr>
        <w:t>Fostering agencies</w:t>
      </w:r>
      <w:r w:rsidRPr="001F2D62">
        <w:rPr>
          <w:rFonts w:cs="Tahoma"/>
          <w:b/>
          <w:color w:val="000000"/>
        </w:rPr>
        <w:t xml:space="preserve"> </w:t>
      </w:r>
    </w:p>
    <w:p w14:paraId="1EE97519" w14:textId="77777777" w:rsidR="00311FFB" w:rsidRDefault="00311FFB" w:rsidP="00D032F8">
      <w:pPr>
        <w:jc w:val="left"/>
        <w:rPr>
          <w:rFonts w:cs="Tahoma"/>
          <w:color w:val="000000"/>
        </w:rPr>
      </w:pPr>
      <w:r>
        <w:rPr>
          <w:rFonts w:cs="Tahoma"/>
          <w:color w:val="000000"/>
        </w:rPr>
        <w:t xml:space="preserve">Fostering agencies can be independent or </w:t>
      </w:r>
      <w:r w:rsidR="00ED7C96">
        <w:rPr>
          <w:rFonts w:cs="Tahoma"/>
          <w:color w:val="000000"/>
        </w:rPr>
        <w:t>LA-</w:t>
      </w:r>
      <w:r>
        <w:rPr>
          <w:rFonts w:cs="Tahoma"/>
          <w:color w:val="000000"/>
        </w:rPr>
        <w:t>run, and work to</w:t>
      </w:r>
      <w:r w:rsidRPr="001F2D62">
        <w:rPr>
          <w:rFonts w:cs="Tahoma"/>
          <w:color w:val="000000"/>
        </w:rPr>
        <w:t xml:space="preserve"> recruit, prepare, assess, train</w:t>
      </w:r>
      <w:r w:rsidR="00286BE1">
        <w:rPr>
          <w:rFonts w:cs="Tahoma"/>
          <w:color w:val="000000"/>
        </w:rPr>
        <w:t>,</w:t>
      </w:r>
      <w:r w:rsidRPr="001F2D62">
        <w:rPr>
          <w:rFonts w:cs="Tahoma"/>
          <w:color w:val="000000"/>
        </w:rPr>
        <w:t xml:space="preserve"> and support foster carers.</w:t>
      </w:r>
      <w:r>
        <w:rPr>
          <w:rFonts w:cs="Tahoma"/>
          <w:color w:val="000000"/>
        </w:rPr>
        <w:t xml:space="preserve"> </w:t>
      </w:r>
    </w:p>
    <w:p w14:paraId="7D3DF8CD" w14:textId="77777777" w:rsidR="00311FFB" w:rsidRPr="001F2D62" w:rsidRDefault="00311FFB" w:rsidP="00D032F8">
      <w:pPr>
        <w:jc w:val="left"/>
        <w:rPr>
          <w:rFonts w:cs="Tahoma"/>
          <w:color w:val="000000"/>
        </w:rPr>
      </w:pPr>
    </w:p>
    <w:p w14:paraId="4D7EBD91" w14:textId="77777777" w:rsidR="00311FFB" w:rsidRPr="001F2D62" w:rsidRDefault="00311FFB" w:rsidP="00D032F8">
      <w:pPr>
        <w:jc w:val="left"/>
        <w:rPr>
          <w:rFonts w:cs="Tahoma"/>
          <w:b/>
          <w:color w:val="000000"/>
        </w:rPr>
      </w:pPr>
      <w:r>
        <w:rPr>
          <w:rFonts w:cs="Tahoma"/>
          <w:b/>
          <w:color w:val="000000"/>
        </w:rPr>
        <w:t>F</w:t>
      </w:r>
      <w:r w:rsidRPr="001F2D62">
        <w:rPr>
          <w:rFonts w:cs="Tahoma"/>
          <w:b/>
          <w:color w:val="000000"/>
        </w:rPr>
        <w:t xml:space="preserve">urther education colleges </w:t>
      </w:r>
      <w:r>
        <w:rPr>
          <w:rFonts w:cs="Tahoma"/>
          <w:b/>
          <w:color w:val="000000"/>
        </w:rPr>
        <w:t>with residential accommodation</w:t>
      </w:r>
    </w:p>
    <w:p w14:paraId="123B4F80" w14:textId="77777777" w:rsidR="00311FFB" w:rsidRPr="001F2D62" w:rsidRDefault="00311FFB" w:rsidP="00D032F8">
      <w:pPr>
        <w:jc w:val="left"/>
        <w:rPr>
          <w:rFonts w:cs="Tahoma"/>
          <w:b/>
          <w:color w:val="000000"/>
        </w:rPr>
      </w:pPr>
      <w:r w:rsidRPr="001F2D62">
        <w:rPr>
          <w:rFonts w:cs="Tahoma"/>
          <w:color w:val="000000"/>
        </w:rPr>
        <w:t>The care provision of further education colleges that provide, or arrange, residential accommodation for one or more students under the age of 18 years.</w:t>
      </w:r>
      <w:r>
        <w:rPr>
          <w:rFonts w:cs="Tahoma"/>
          <w:color w:val="000000"/>
        </w:rPr>
        <w:t xml:space="preserve"> </w:t>
      </w:r>
    </w:p>
    <w:p w14:paraId="0865A397" w14:textId="77777777" w:rsidR="00311FFB" w:rsidRPr="001F2D62" w:rsidRDefault="00311FFB" w:rsidP="00D032F8">
      <w:pPr>
        <w:jc w:val="left"/>
        <w:rPr>
          <w:rFonts w:cs="Tahoma"/>
          <w:b/>
          <w:color w:val="000000"/>
        </w:rPr>
      </w:pPr>
    </w:p>
    <w:p w14:paraId="3E419346" w14:textId="77777777" w:rsidR="00311FFB" w:rsidRPr="001F2D62" w:rsidRDefault="00311FFB" w:rsidP="00D032F8">
      <w:pPr>
        <w:autoSpaceDE w:val="0"/>
        <w:autoSpaceDN w:val="0"/>
        <w:adjustRightInd w:val="0"/>
        <w:jc w:val="left"/>
        <w:rPr>
          <w:rFonts w:cs="Tahoma"/>
          <w:b/>
          <w:color w:val="000000"/>
        </w:rPr>
      </w:pPr>
      <w:r w:rsidRPr="001F2D62">
        <w:rPr>
          <w:rFonts w:cs="Tahoma"/>
          <w:b/>
          <w:color w:val="000000"/>
        </w:rPr>
        <w:t>Places</w:t>
      </w:r>
      <w:r>
        <w:rPr>
          <w:rFonts w:cs="Tahoma"/>
          <w:b/>
          <w:color w:val="000000"/>
        </w:rPr>
        <w:t xml:space="preserve"> </w:t>
      </w:r>
    </w:p>
    <w:p w14:paraId="74BBBFD7" w14:textId="77777777" w:rsidR="00311FFB" w:rsidRPr="001F2D62" w:rsidRDefault="00311FFB" w:rsidP="00D032F8">
      <w:pPr>
        <w:autoSpaceDE w:val="0"/>
        <w:autoSpaceDN w:val="0"/>
        <w:adjustRightInd w:val="0"/>
        <w:jc w:val="left"/>
        <w:rPr>
          <w:rFonts w:cs="Tahoma"/>
          <w:color w:val="000000"/>
        </w:rPr>
      </w:pPr>
      <w:r w:rsidRPr="001F2D62">
        <w:rPr>
          <w:rFonts w:cs="Tahoma"/>
          <w:color w:val="000000"/>
        </w:rPr>
        <w:t>The term ‘places’ used in this report refers to the number of places for which the social care provider</w:t>
      </w:r>
      <w:r>
        <w:rPr>
          <w:rFonts w:cs="Tahoma"/>
          <w:color w:val="000000"/>
        </w:rPr>
        <w:t xml:space="preserve"> (usually of residential care)</w:t>
      </w:r>
      <w:r w:rsidRPr="001F2D62">
        <w:rPr>
          <w:rFonts w:cs="Tahoma"/>
          <w:color w:val="000000"/>
        </w:rPr>
        <w:t xml:space="preserve"> has capacity</w:t>
      </w:r>
      <w:r>
        <w:rPr>
          <w:rFonts w:cs="Tahoma"/>
          <w:color w:val="000000"/>
        </w:rPr>
        <w:t xml:space="preserve">; this will not usually be the same </w:t>
      </w:r>
      <w:r w:rsidR="00284F49">
        <w:rPr>
          <w:rFonts w:cs="Tahoma"/>
          <w:color w:val="000000"/>
        </w:rPr>
        <w:t xml:space="preserve">as </w:t>
      </w:r>
      <w:r>
        <w:rPr>
          <w:rFonts w:cs="Tahoma"/>
          <w:color w:val="000000"/>
        </w:rPr>
        <w:t>the actual number of children receiving services</w:t>
      </w:r>
      <w:r w:rsidRPr="001F2D62">
        <w:rPr>
          <w:rFonts w:cs="Tahoma"/>
          <w:color w:val="000000"/>
        </w:rPr>
        <w:t>.</w:t>
      </w:r>
      <w:r>
        <w:rPr>
          <w:rFonts w:cs="Tahoma"/>
          <w:color w:val="000000"/>
        </w:rPr>
        <w:t xml:space="preserve"> </w:t>
      </w:r>
    </w:p>
    <w:p w14:paraId="61BB8C05" w14:textId="77777777" w:rsidR="00311FFB" w:rsidRPr="001F2D62" w:rsidRDefault="00311FFB" w:rsidP="00D032F8">
      <w:pPr>
        <w:autoSpaceDE w:val="0"/>
        <w:autoSpaceDN w:val="0"/>
        <w:adjustRightInd w:val="0"/>
        <w:jc w:val="left"/>
        <w:rPr>
          <w:rFonts w:cs="Tahoma"/>
          <w:color w:val="000000"/>
        </w:rPr>
      </w:pPr>
    </w:p>
    <w:p w14:paraId="72F791D3" w14:textId="77777777" w:rsidR="00311FFB" w:rsidRPr="001F2D62" w:rsidRDefault="00311FFB" w:rsidP="00D032F8">
      <w:pPr>
        <w:autoSpaceDE w:val="0"/>
        <w:autoSpaceDN w:val="0"/>
        <w:adjustRightInd w:val="0"/>
        <w:jc w:val="left"/>
        <w:rPr>
          <w:rFonts w:cs="Tahoma"/>
          <w:b/>
          <w:color w:val="000000"/>
        </w:rPr>
      </w:pPr>
      <w:r w:rsidRPr="001F2D62">
        <w:rPr>
          <w:rFonts w:cs="Tahoma"/>
          <w:b/>
          <w:color w:val="000000"/>
        </w:rPr>
        <w:t>Providers</w:t>
      </w:r>
    </w:p>
    <w:p w14:paraId="1EA24F14" w14:textId="77777777" w:rsidR="00311FFB" w:rsidRDefault="00286BE1" w:rsidP="00D032F8">
      <w:pPr>
        <w:jc w:val="left"/>
        <w:rPr>
          <w:rFonts w:cs="Tahoma"/>
          <w:color w:val="000000"/>
        </w:rPr>
      </w:pPr>
      <w:r>
        <w:rPr>
          <w:rFonts w:cs="Tahoma"/>
          <w:color w:val="000000"/>
        </w:rPr>
        <w:t>The institutions,</w:t>
      </w:r>
      <w:r w:rsidR="00311FFB" w:rsidRPr="001F2D62">
        <w:rPr>
          <w:rFonts w:cs="Tahoma"/>
          <w:color w:val="000000"/>
        </w:rPr>
        <w:t xml:space="preserve"> organisations</w:t>
      </w:r>
      <w:r>
        <w:rPr>
          <w:rFonts w:cs="Tahoma"/>
          <w:color w:val="000000"/>
        </w:rPr>
        <w:t>,</w:t>
      </w:r>
      <w:r w:rsidR="00311FFB" w:rsidRPr="001F2D62">
        <w:rPr>
          <w:rFonts w:cs="Tahoma"/>
          <w:color w:val="000000"/>
        </w:rPr>
        <w:t xml:space="preserve"> or agencies that provide services to the relevant children and young people.</w:t>
      </w:r>
      <w:r w:rsidR="00311FFB">
        <w:rPr>
          <w:rFonts w:cs="Tahoma"/>
          <w:color w:val="000000"/>
        </w:rPr>
        <w:t xml:space="preserve"> </w:t>
      </w:r>
    </w:p>
    <w:p w14:paraId="53C07CD2" w14:textId="77777777" w:rsidR="00311FFB" w:rsidRDefault="00311FFB" w:rsidP="00D032F8">
      <w:pPr>
        <w:jc w:val="left"/>
        <w:rPr>
          <w:rFonts w:cs="Tahoma"/>
          <w:color w:val="000000"/>
        </w:rPr>
      </w:pPr>
    </w:p>
    <w:p w14:paraId="1A8153DE" w14:textId="77777777" w:rsidR="00311FFB" w:rsidRPr="001F2D62" w:rsidRDefault="00311FFB" w:rsidP="00D032F8">
      <w:pPr>
        <w:jc w:val="left"/>
        <w:rPr>
          <w:rFonts w:cs="Tahoma"/>
          <w:b/>
          <w:color w:val="000000"/>
        </w:rPr>
      </w:pPr>
      <w:r w:rsidRPr="001F2D62">
        <w:rPr>
          <w:rFonts w:cs="Tahoma"/>
          <w:b/>
          <w:color w:val="000000"/>
        </w:rPr>
        <w:t xml:space="preserve">Residential family centres </w:t>
      </w:r>
    </w:p>
    <w:p w14:paraId="6E7B1B60" w14:textId="77777777" w:rsidR="00311FFB" w:rsidRDefault="00311FFB" w:rsidP="00D032F8">
      <w:pPr>
        <w:jc w:val="left"/>
        <w:rPr>
          <w:rFonts w:cs="Tahoma"/>
          <w:color w:val="000000"/>
        </w:rPr>
      </w:pPr>
      <w:r w:rsidRPr="001F2D62">
        <w:rPr>
          <w:rFonts w:cs="Tahoma"/>
          <w:color w:val="000000"/>
        </w:rPr>
        <w:t xml:space="preserve">Residential family centres </w:t>
      </w:r>
      <w:r>
        <w:rPr>
          <w:rFonts w:cs="Tahoma"/>
          <w:color w:val="000000"/>
        </w:rPr>
        <w:t>provide accommodation, assessment and guidance for children and their parents.</w:t>
      </w:r>
    </w:p>
    <w:p w14:paraId="03D626C4" w14:textId="77777777" w:rsidR="00284F49" w:rsidRDefault="00284F49" w:rsidP="00D032F8">
      <w:pPr>
        <w:jc w:val="left"/>
        <w:rPr>
          <w:rFonts w:cs="Tahoma"/>
          <w:b/>
          <w:color w:val="000000"/>
        </w:rPr>
      </w:pPr>
    </w:p>
    <w:p w14:paraId="4999EE77" w14:textId="77777777" w:rsidR="00311FFB" w:rsidRDefault="00311FFB" w:rsidP="00D032F8">
      <w:pPr>
        <w:jc w:val="left"/>
        <w:rPr>
          <w:rFonts w:cs="Tahoma"/>
          <w:b/>
          <w:color w:val="000000"/>
        </w:rPr>
      </w:pPr>
      <w:r w:rsidRPr="00617959">
        <w:rPr>
          <w:rFonts w:cs="Tahoma"/>
          <w:b/>
          <w:color w:val="000000"/>
        </w:rPr>
        <w:lastRenderedPageBreak/>
        <w:t>Residential holiday schemes for disabled children</w:t>
      </w:r>
    </w:p>
    <w:p w14:paraId="315E2D17" w14:textId="77777777" w:rsidR="00311FFB" w:rsidRDefault="00311FFB" w:rsidP="00D032F8">
      <w:pPr>
        <w:jc w:val="left"/>
        <w:rPr>
          <w:lang w:val="en"/>
        </w:rPr>
      </w:pPr>
      <w:r w:rsidRPr="00E63DA3">
        <w:rPr>
          <w:lang w:val="en"/>
        </w:rPr>
        <w:t xml:space="preserve">A </w:t>
      </w:r>
      <w:r>
        <w:rPr>
          <w:lang w:val="en"/>
        </w:rPr>
        <w:t xml:space="preserve">residential </w:t>
      </w:r>
      <w:r w:rsidRPr="00DE1C74">
        <w:rPr>
          <w:lang w:val="en"/>
        </w:rPr>
        <w:t>holiday scheme for disabled children provides care and accommodation wholly or mainly for disabled children for a specified period for the purposes of a holiday, or for recreational, sporting, cultural or educational purposes</w:t>
      </w:r>
      <w:r>
        <w:rPr>
          <w:lang w:val="en"/>
        </w:rPr>
        <w:t xml:space="preserve">. </w:t>
      </w:r>
    </w:p>
    <w:p w14:paraId="04F48761" w14:textId="77777777" w:rsidR="00311FFB" w:rsidRDefault="00311FFB" w:rsidP="00D032F8">
      <w:pPr>
        <w:jc w:val="left"/>
        <w:rPr>
          <w:lang w:val="en"/>
        </w:rPr>
      </w:pPr>
    </w:p>
    <w:p w14:paraId="33FA344F" w14:textId="77777777" w:rsidR="00311FFB" w:rsidRPr="001F2D62" w:rsidRDefault="00311FFB" w:rsidP="00D032F8">
      <w:pPr>
        <w:jc w:val="left"/>
        <w:rPr>
          <w:rFonts w:cs="Tahoma"/>
          <w:b/>
          <w:bCs/>
          <w:color w:val="000000"/>
        </w:rPr>
      </w:pPr>
      <w:r w:rsidRPr="001F2D62">
        <w:rPr>
          <w:rFonts w:cs="Tahoma"/>
          <w:b/>
          <w:bCs/>
          <w:color w:val="000000"/>
        </w:rPr>
        <w:t xml:space="preserve">Residential special schools </w:t>
      </w:r>
    </w:p>
    <w:p w14:paraId="20B58AA6" w14:textId="77777777" w:rsidR="00311FFB" w:rsidRDefault="00311FFB" w:rsidP="00D032F8">
      <w:pPr>
        <w:jc w:val="left"/>
        <w:rPr>
          <w:rFonts w:cs="Tahoma"/>
          <w:color w:val="000000"/>
        </w:rPr>
      </w:pPr>
      <w:r>
        <w:rPr>
          <w:rFonts w:cs="Tahoma"/>
          <w:color w:val="000000"/>
        </w:rPr>
        <w:t xml:space="preserve">Residential </w:t>
      </w:r>
      <w:r w:rsidR="00286BE1">
        <w:rPr>
          <w:rFonts w:cs="Tahoma"/>
          <w:color w:val="000000"/>
        </w:rPr>
        <w:t xml:space="preserve">special </w:t>
      </w:r>
      <w:r>
        <w:rPr>
          <w:rFonts w:cs="Tahoma"/>
          <w:color w:val="000000"/>
        </w:rPr>
        <w:t>schools provide education and accommodation to both full boarders and children resident only during the week, including children with very specialist needs.</w:t>
      </w:r>
    </w:p>
    <w:p w14:paraId="6F94D4E0" w14:textId="77777777" w:rsidR="00311FFB" w:rsidRDefault="00311FFB" w:rsidP="00D032F8">
      <w:pPr>
        <w:jc w:val="left"/>
        <w:rPr>
          <w:rFonts w:cs="Tahoma"/>
          <w:color w:val="000000"/>
        </w:rPr>
      </w:pPr>
    </w:p>
    <w:p w14:paraId="3BB775A9" w14:textId="77777777" w:rsidR="00311FFB" w:rsidRPr="001F2D62" w:rsidRDefault="00311FFB" w:rsidP="00D032F8">
      <w:pPr>
        <w:jc w:val="left"/>
        <w:rPr>
          <w:rFonts w:cs="Tahoma"/>
          <w:b/>
          <w:bCs/>
          <w:color w:val="000000"/>
        </w:rPr>
      </w:pPr>
      <w:r w:rsidRPr="001F2D62">
        <w:rPr>
          <w:rFonts w:cs="Tahoma"/>
          <w:b/>
          <w:bCs/>
          <w:color w:val="000000"/>
        </w:rPr>
        <w:t>Sector</w:t>
      </w:r>
    </w:p>
    <w:p w14:paraId="0829979C" w14:textId="77777777" w:rsidR="00311FFB" w:rsidRPr="001F2D62" w:rsidRDefault="00286BE1" w:rsidP="00D032F8">
      <w:pPr>
        <w:jc w:val="left"/>
        <w:rPr>
          <w:rFonts w:cs="Tahoma"/>
          <w:bCs/>
          <w:color w:val="000000"/>
        </w:rPr>
      </w:pPr>
      <w:r>
        <w:rPr>
          <w:rFonts w:cs="Tahoma"/>
          <w:bCs/>
          <w:color w:val="000000"/>
        </w:rPr>
        <w:t>‘</w:t>
      </w:r>
      <w:r w:rsidR="00311FFB" w:rsidRPr="001F2D62">
        <w:rPr>
          <w:rFonts w:cs="Tahoma"/>
          <w:bCs/>
          <w:color w:val="000000"/>
        </w:rPr>
        <w:t>Sector</w:t>
      </w:r>
      <w:r>
        <w:rPr>
          <w:rFonts w:cs="Tahoma"/>
          <w:bCs/>
          <w:color w:val="000000"/>
        </w:rPr>
        <w:t>’</w:t>
      </w:r>
      <w:r w:rsidR="00311FFB" w:rsidRPr="001F2D62">
        <w:rPr>
          <w:rFonts w:cs="Tahoma"/>
          <w:bCs/>
          <w:color w:val="000000"/>
        </w:rPr>
        <w:t xml:space="preserve"> refers to the type of provider that owns the </w:t>
      </w:r>
      <w:r w:rsidR="00311FFB">
        <w:rPr>
          <w:rFonts w:cs="Tahoma"/>
          <w:bCs/>
          <w:color w:val="000000"/>
        </w:rPr>
        <w:t>children’s social care provision</w:t>
      </w:r>
      <w:r w:rsidR="00311FFB" w:rsidRPr="001F2D62">
        <w:rPr>
          <w:rFonts w:cs="Tahoma"/>
          <w:bCs/>
          <w:color w:val="000000"/>
        </w:rPr>
        <w:t>.</w:t>
      </w:r>
    </w:p>
    <w:p w14:paraId="3EA9EC87" w14:textId="77777777" w:rsidR="00311FFB" w:rsidRPr="001F2D62" w:rsidRDefault="00311FFB" w:rsidP="00D032F8">
      <w:pPr>
        <w:jc w:val="left"/>
        <w:rPr>
          <w:rFonts w:cs="Tahoma"/>
          <w:bCs/>
          <w:color w:val="000000"/>
        </w:rPr>
      </w:pPr>
      <w:r w:rsidRPr="001F2D62">
        <w:rPr>
          <w:rFonts w:cs="Tahoma"/>
          <w:bCs/>
          <w:color w:val="000000"/>
        </w:rPr>
        <w:t xml:space="preserve"> </w:t>
      </w:r>
    </w:p>
    <w:p w14:paraId="17E3BB01" w14:textId="77777777" w:rsidR="00311FFB" w:rsidRPr="00284F49" w:rsidRDefault="00311FFB" w:rsidP="00D032F8">
      <w:pPr>
        <w:jc w:val="left"/>
        <w:rPr>
          <w:rFonts w:cs="Tahoma"/>
          <w:bCs/>
          <w:color w:val="000000"/>
        </w:rPr>
      </w:pPr>
      <w:r w:rsidRPr="00DA0AD9">
        <w:rPr>
          <w:rFonts w:cs="Tahoma"/>
          <w:bCs/>
          <w:color w:val="000000"/>
        </w:rPr>
        <w:t>Academy</w:t>
      </w:r>
      <w:r w:rsidR="00284F49">
        <w:rPr>
          <w:rFonts w:cs="Tahoma"/>
          <w:bCs/>
          <w:color w:val="000000"/>
        </w:rPr>
        <w:t xml:space="preserve">: </w:t>
      </w:r>
      <w:r w:rsidRPr="00284F49">
        <w:rPr>
          <w:rFonts w:cs="Tahoma"/>
          <w:bCs/>
          <w:color w:val="000000"/>
        </w:rPr>
        <w:t>These are publicly funded independent schools who are run by trusts.</w:t>
      </w:r>
    </w:p>
    <w:p w14:paraId="1689E58A" w14:textId="77777777" w:rsidR="00311FFB" w:rsidRPr="00284F49" w:rsidRDefault="00311FFB" w:rsidP="00D032F8">
      <w:pPr>
        <w:jc w:val="left"/>
        <w:rPr>
          <w:rFonts w:cs="Tahoma"/>
          <w:bCs/>
          <w:color w:val="000000"/>
        </w:rPr>
      </w:pPr>
    </w:p>
    <w:p w14:paraId="4337A03F" w14:textId="77777777" w:rsidR="00311FFB" w:rsidRPr="00284F49" w:rsidRDefault="00311FFB" w:rsidP="00D032F8">
      <w:pPr>
        <w:jc w:val="left"/>
        <w:rPr>
          <w:rFonts w:cs="Tahoma"/>
          <w:bCs/>
          <w:color w:val="000000"/>
        </w:rPr>
      </w:pPr>
      <w:r w:rsidRPr="00DA0AD9">
        <w:rPr>
          <w:rFonts w:cs="Tahoma"/>
          <w:bCs/>
          <w:color w:val="000000"/>
        </w:rPr>
        <w:t>Health Authority</w:t>
      </w:r>
      <w:r w:rsidR="00284F49">
        <w:rPr>
          <w:rFonts w:cs="Tahoma"/>
          <w:bCs/>
          <w:color w:val="000000"/>
        </w:rPr>
        <w:t xml:space="preserve">: </w:t>
      </w:r>
      <w:r w:rsidRPr="00284F49">
        <w:rPr>
          <w:rFonts w:cs="Tahoma"/>
          <w:bCs/>
          <w:color w:val="000000"/>
        </w:rPr>
        <w:t>These are NHS Trust-run.</w:t>
      </w:r>
    </w:p>
    <w:p w14:paraId="480B64CE" w14:textId="77777777" w:rsidR="00311FFB" w:rsidRPr="00284F49" w:rsidRDefault="00311FFB" w:rsidP="00D032F8">
      <w:pPr>
        <w:jc w:val="left"/>
        <w:rPr>
          <w:rFonts w:cs="Tahoma"/>
          <w:bCs/>
          <w:color w:val="000000"/>
        </w:rPr>
      </w:pPr>
    </w:p>
    <w:p w14:paraId="78271D75" w14:textId="77777777" w:rsidR="00311FFB" w:rsidRPr="00284F49" w:rsidRDefault="00311FFB" w:rsidP="00D032F8">
      <w:pPr>
        <w:jc w:val="left"/>
        <w:rPr>
          <w:rFonts w:cs="Tahoma"/>
          <w:bCs/>
          <w:color w:val="000000"/>
        </w:rPr>
      </w:pPr>
      <w:r w:rsidRPr="00DA0AD9">
        <w:rPr>
          <w:rFonts w:cs="Tahoma"/>
          <w:bCs/>
          <w:color w:val="000000"/>
        </w:rPr>
        <w:t>L</w:t>
      </w:r>
      <w:r w:rsidR="00ED7C96">
        <w:rPr>
          <w:rFonts w:cs="Tahoma"/>
          <w:bCs/>
          <w:color w:val="000000"/>
        </w:rPr>
        <w:t>A</w:t>
      </w:r>
      <w:r w:rsidR="00284F49">
        <w:rPr>
          <w:rFonts w:cs="Tahoma"/>
          <w:bCs/>
          <w:color w:val="000000"/>
        </w:rPr>
        <w:t xml:space="preserve">: </w:t>
      </w:r>
      <w:r w:rsidRPr="00284F49">
        <w:rPr>
          <w:rFonts w:cs="Tahoma"/>
          <w:bCs/>
          <w:color w:val="000000"/>
        </w:rPr>
        <w:t xml:space="preserve">These are public bodies responsible for the children’s social care provision. </w:t>
      </w:r>
    </w:p>
    <w:p w14:paraId="0FA1FD8E" w14:textId="77777777" w:rsidR="00311FFB" w:rsidRPr="00284F49" w:rsidRDefault="00311FFB" w:rsidP="00D032F8">
      <w:pPr>
        <w:jc w:val="left"/>
        <w:rPr>
          <w:rFonts w:cs="Tahoma"/>
          <w:bCs/>
          <w:color w:val="000000"/>
        </w:rPr>
      </w:pPr>
    </w:p>
    <w:p w14:paraId="5488E15D" w14:textId="77777777" w:rsidR="00311FFB" w:rsidRPr="00284F49" w:rsidRDefault="00311FFB" w:rsidP="00D032F8">
      <w:pPr>
        <w:jc w:val="left"/>
        <w:rPr>
          <w:rFonts w:cs="Tahoma"/>
          <w:bCs/>
          <w:color w:val="000000"/>
        </w:rPr>
      </w:pPr>
      <w:r w:rsidRPr="00DA0AD9">
        <w:rPr>
          <w:rFonts w:cs="Tahoma"/>
          <w:bCs/>
          <w:color w:val="000000"/>
        </w:rPr>
        <w:t>Private</w:t>
      </w:r>
      <w:r w:rsidR="00284F49">
        <w:rPr>
          <w:rFonts w:cs="Tahoma"/>
          <w:bCs/>
          <w:color w:val="000000"/>
        </w:rPr>
        <w:t xml:space="preserve">: </w:t>
      </w:r>
      <w:r w:rsidRPr="00284F49">
        <w:rPr>
          <w:rFonts w:cs="Tahoma"/>
          <w:bCs/>
          <w:color w:val="000000"/>
        </w:rPr>
        <w:t>These are for-profit organisations mostly with limited company status. These can also be individually owned children’s social care provision</w:t>
      </w:r>
      <w:r w:rsidR="008E4821">
        <w:rPr>
          <w:rFonts w:cs="Tahoma"/>
          <w:bCs/>
          <w:color w:val="000000"/>
        </w:rPr>
        <w:t>s</w:t>
      </w:r>
      <w:r w:rsidRPr="00284F49" w:rsidDel="00AD0088">
        <w:rPr>
          <w:rFonts w:cs="Tahoma"/>
          <w:bCs/>
          <w:color w:val="000000"/>
        </w:rPr>
        <w:t xml:space="preserve"> </w:t>
      </w:r>
      <w:r w:rsidRPr="00284F49">
        <w:rPr>
          <w:rFonts w:cs="Tahoma"/>
          <w:bCs/>
          <w:color w:val="000000"/>
        </w:rPr>
        <w:t>and run for profit.</w:t>
      </w:r>
    </w:p>
    <w:p w14:paraId="223A9024" w14:textId="77777777" w:rsidR="00311FFB" w:rsidRPr="00284F49" w:rsidRDefault="00311FFB" w:rsidP="00D032F8">
      <w:pPr>
        <w:jc w:val="left"/>
        <w:rPr>
          <w:rFonts w:cs="Tahoma"/>
          <w:bCs/>
          <w:color w:val="000000"/>
        </w:rPr>
      </w:pPr>
    </w:p>
    <w:p w14:paraId="3BB8895F" w14:textId="77777777" w:rsidR="00311FFB" w:rsidRPr="001F2D62" w:rsidRDefault="00311FFB" w:rsidP="00D032F8">
      <w:pPr>
        <w:jc w:val="left"/>
        <w:rPr>
          <w:rFonts w:cs="Tahoma"/>
          <w:bCs/>
          <w:color w:val="000000"/>
        </w:rPr>
      </w:pPr>
      <w:r w:rsidRPr="00DA0AD9">
        <w:rPr>
          <w:rFonts w:cs="Tahoma"/>
          <w:bCs/>
          <w:color w:val="000000"/>
        </w:rPr>
        <w:t>Voluntary</w:t>
      </w:r>
      <w:r w:rsidR="00284F49">
        <w:rPr>
          <w:rFonts w:cs="Tahoma"/>
          <w:bCs/>
          <w:color w:val="000000"/>
        </w:rPr>
        <w:t xml:space="preserve">: </w:t>
      </w:r>
      <w:r w:rsidRPr="001F2D62">
        <w:rPr>
          <w:rFonts w:cs="Tahoma"/>
          <w:bCs/>
          <w:color w:val="000000"/>
        </w:rPr>
        <w:t>These are mostly not-for-profit organisations, mainly with charitable status</w:t>
      </w:r>
      <w:r w:rsidR="00284F49">
        <w:rPr>
          <w:rFonts w:cs="Tahoma"/>
          <w:bCs/>
          <w:color w:val="000000"/>
        </w:rPr>
        <w:t>; and individually owned provisions run on</w:t>
      </w:r>
      <w:r w:rsidRPr="001F2D62">
        <w:rPr>
          <w:rFonts w:cs="Tahoma"/>
          <w:bCs/>
          <w:color w:val="000000"/>
        </w:rPr>
        <w:t xml:space="preserve"> a not-for-profit basis.</w:t>
      </w:r>
    </w:p>
    <w:p w14:paraId="317AE89D" w14:textId="77777777" w:rsidR="00311FFB" w:rsidRDefault="00311FFB" w:rsidP="00D032F8">
      <w:pPr>
        <w:jc w:val="left"/>
        <w:rPr>
          <w:rFonts w:cs="Tahoma"/>
          <w:b/>
          <w:color w:val="000000"/>
        </w:rPr>
      </w:pPr>
    </w:p>
    <w:p w14:paraId="533AA67A" w14:textId="77777777" w:rsidR="00311FFB" w:rsidRPr="001F2D62" w:rsidRDefault="00311FFB" w:rsidP="00D032F8">
      <w:pPr>
        <w:jc w:val="left"/>
        <w:rPr>
          <w:rFonts w:cs="Tahoma"/>
          <w:b/>
          <w:color w:val="000000"/>
        </w:rPr>
      </w:pPr>
      <w:r w:rsidRPr="001F2D62">
        <w:rPr>
          <w:rFonts w:cs="Tahoma"/>
          <w:b/>
          <w:color w:val="000000"/>
        </w:rPr>
        <w:t>Secure children’s homes</w:t>
      </w:r>
    </w:p>
    <w:p w14:paraId="0C116F30" w14:textId="77777777" w:rsidR="00311FFB" w:rsidRDefault="00311FFB" w:rsidP="00D032F8">
      <w:pPr>
        <w:jc w:val="left"/>
        <w:rPr>
          <w:rFonts w:cs="Tahoma"/>
          <w:color w:val="000000"/>
        </w:rPr>
      </w:pPr>
      <w:r w:rsidRPr="001F2D62">
        <w:rPr>
          <w:rFonts w:cs="Tahoma"/>
          <w:color w:val="000000"/>
        </w:rPr>
        <w:t>Secure children’s homes accommodate children and young people who are remanded or have been sentenced for committing a criminal offence</w:t>
      </w:r>
      <w:r>
        <w:rPr>
          <w:rFonts w:cs="Tahoma"/>
          <w:color w:val="000000"/>
        </w:rPr>
        <w:t>, or whose behaviour is deemed to present a significant threat to their own and others’ safety</w:t>
      </w:r>
      <w:r w:rsidRPr="001F2D62">
        <w:rPr>
          <w:rFonts w:cs="Tahoma"/>
          <w:color w:val="000000"/>
        </w:rPr>
        <w:t>.</w:t>
      </w:r>
      <w:r>
        <w:rPr>
          <w:rFonts w:cs="Tahoma"/>
          <w:color w:val="000000"/>
        </w:rPr>
        <w:t xml:space="preserve"> </w:t>
      </w:r>
    </w:p>
    <w:p w14:paraId="13E34840" w14:textId="77777777" w:rsidR="00311FFB" w:rsidRDefault="00311FFB" w:rsidP="00D032F8">
      <w:pPr>
        <w:jc w:val="left"/>
        <w:rPr>
          <w:rFonts w:cs="Tahoma"/>
        </w:rPr>
      </w:pPr>
    </w:p>
    <w:p w14:paraId="1157817D" w14:textId="77777777" w:rsidR="00311FFB" w:rsidRPr="001F2D62" w:rsidRDefault="00311FFB" w:rsidP="00D032F8">
      <w:pPr>
        <w:jc w:val="left"/>
        <w:rPr>
          <w:rFonts w:cs="Tahoma"/>
          <w:b/>
          <w:color w:val="000000"/>
        </w:rPr>
      </w:pPr>
      <w:r w:rsidRPr="001F2D62">
        <w:rPr>
          <w:rFonts w:cs="Tahoma"/>
          <w:b/>
          <w:color w:val="000000"/>
        </w:rPr>
        <w:t xml:space="preserve">Secure </w:t>
      </w:r>
      <w:r>
        <w:rPr>
          <w:rFonts w:cs="Tahoma"/>
          <w:b/>
          <w:color w:val="000000"/>
        </w:rPr>
        <w:t>t</w:t>
      </w:r>
      <w:r w:rsidRPr="001F2D62">
        <w:rPr>
          <w:rFonts w:cs="Tahoma"/>
          <w:b/>
          <w:color w:val="000000"/>
        </w:rPr>
        <w:t xml:space="preserve">raining </w:t>
      </w:r>
      <w:r>
        <w:rPr>
          <w:rFonts w:cs="Tahoma"/>
          <w:b/>
          <w:color w:val="000000"/>
        </w:rPr>
        <w:t>c</w:t>
      </w:r>
      <w:r w:rsidRPr="001F2D62">
        <w:rPr>
          <w:rFonts w:cs="Tahoma"/>
          <w:b/>
          <w:color w:val="000000"/>
        </w:rPr>
        <w:t>entres</w:t>
      </w:r>
    </w:p>
    <w:p w14:paraId="650F61C3" w14:textId="77777777" w:rsidR="00202B0E" w:rsidRPr="000A3F99" w:rsidRDefault="00311FFB" w:rsidP="00D032F8">
      <w:pPr>
        <w:jc w:val="left"/>
        <w:rPr>
          <w:rFonts w:cs="Tahoma"/>
        </w:rPr>
      </w:pPr>
      <w:r>
        <w:rPr>
          <w:color w:val="000000"/>
        </w:rPr>
        <w:t xml:space="preserve">Secure training centres </w:t>
      </w:r>
      <w:r w:rsidRPr="001F2D62">
        <w:rPr>
          <w:rFonts w:cs="Tahoma"/>
          <w:color w:val="000000"/>
        </w:rPr>
        <w:t>accommodate young people between the ages of 12 and 17 who have been remanded or sentenced by the courts.</w:t>
      </w:r>
    </w:p>
    <w:p w14:paraId="1A266F60" w14:textId="77777777" w:rsidR="00202B0E" w:rsidRPr="000A3F99" w:rsidRDefault="00202B0E" w:rsidP="00D032F8">
      <w:pPr>
        <w:jc w:val="left"/>
        <w:rPr>
          <w:rFonts w:cs="Tahoma"/>
        </w:rPr>
      </w:pPr>
    </w:p>
    <w:p w14:paraId="4F8B812D" w14:textId="77777777" w:rsidR="00284F49" w:rsidRDefault="00284F49" w:rsidP="00D032F8">
      <w:pPr>
        <w:jc w:val="left"/>
        <w:rPr>
          <w:rFonts w:cs="Tahoma"/>
        </w:rPr>
      </w:pPr>
    </w:p>
    <w:p w14:paraId="35E78A3E" w14:textId="77777777" w:rsidR="00284F49" w:rsidRDefault="00284F49" w:rsidP="00D032F8">
      <w:pPr>
        <w:jc w:val="left"/>
        <w:rPr>
          <w:rFonts w:cs="Tahoma"/>
        </w:rPr>
      </w:pPr>
    </w:p>
    <w:p w14:paraId="0EAF3FC6" w14:textId="77777777" w:rsidR="00994C7A" w:rsidRPr="000A3F99" w:rsidRDefault="00435B07" w:rsidP="00D032F8">
      <w:pPr>
        <w:jc w:val="left"/>
        <w:rPr>
          <w:rFonts w:cs="Tahoma"/>
        </w:rPr>
      </w:pPr>
      <w:r w:rsidRPr="000A3F99">
        <w:rPr>
          <w:rFonts w:cs="Tahoma"/>
        </w:rPr>
        <w:t>If you h</w:t>
      </w:r>
      <w:r w:rsidR="000A543D" w:rsidRPr="000A3F99">
        <w:rPr>
          <w:rFonts w:cs="Tahoma"/>
        </w:rPr>
        <w:t>ave any comments or feedback on</w:t>
      </w:r>
      <w:r w:rsidR="00B74DB3" w:rsidRPr="000A3F99">
        <w:rPr>
          <w:rFonts w:cs="Tahoma"/>
        </w:rPr>
        <w:t xml:space="preserve"> </w:t>
      </w:r>
      <w:r w:rsidRPr="000A3F99">
        <w:rPr>
          <w:rFonts w:cs="Tahoma"/>
        </w:rPr>
        <w:t xml:space="preserve">this publication, please contact </w:t>
      </w:r>
      <w:r w:rsidR="002A48A8" w:rsidRPr="000A3F99">
        <w:rPr>
          <w:rFonts w:cs="Tahoma"/>
        </w:rPr>
        <w:t>the Social Care Data Team</w:t>
      </w:r>
      <w:r w:rsidRPr="000A3F99">
        <w:rPr>
          <w:rFonts w:cs="Tahoma"/>
        </w:rPr>
        <w:t xml:space="preserve"> on 03000 </w:t>
      </w:r>
      <w:r w:rsidR="00A206DE" w:rsidRPr="000A3F99">
        <w:rPr>
          <w:rFonts w:cs="Tahoma"/>
        </w:rPr>
        <w:t>130020</w:t>
      </w:r>
      <w:r w:rsidRPr="000A3F99">
        <w:rPr>
          <w:rFonts w:cs="Tahoma"/>
        </w:rPr>
        <w:t xml:space="preserve"> or </w:t>
      </w:r>
      <w:hyperlink r:id="rId55" w:history="1">
        <w:r w:rsidR="00A206DE" w:rsidRPr="00DA0AD9">
          <w:rPr>
            <w:rStyle w:val="Hyperlink"/>
            <w:rFonts w:cs="Tahoma"/>
            <w:u w:val="none"/>
          </w:rPr>
          <w:t>socialcaredata@ofsted.gov.uk</w:t>
        </w:r>
      </w:hyperlink>
      <w:r w:rsidR="00284F49">
        <w:rPr>
          <w:rFonts w:cs="Tahoma"/>
        </w:rPr>
        <w:t>.</w:t>
      </w:r>
      <w:r w:rsidR="00A206DE" w:rsidRPr="000A3F99">
        <w:rPr>
          <w:rFonts w:cs="Tahoma"/>
        </w:rPr>
        <w:t xml:space="preserve"> </w:t>
      </w:r>
    </w:p>
    <w:p w14:paraId="742E3AD6" w14:textId="77777777" w:rsidR="00994C7A" w:rsidRPr="000A3F99" w:rsidRDefault="00994C7A" w:rsidP="00D032F8">
      <w:pPr>
        <w:jc w:val="left"/>
        <w:rPr>
          <w:rFonts w:cs="Tahoma"/>
        </w:rPr>
      </w:pPr>
    </w:p>
    <w:p w14:paraId="2C940E84" w14:textId="77777777" w:rsidR="00D449F5" w:rsidRPr="000A3F99" w:rsidRDefault="00D449F5" w:rsidP="00D032F8">
      <w:pPr>
        <w:jc w:val="left"/>
        <w:rPr>
          <w:rFonts w:cs="Tahoma"/>
        </w:rPr>
      </w:pPr>
      <w:r w:rsidRPr="000A3F99">
        <w:rPr>
          <w:rFonts w:cs="Tahoma"/>
        </w:rPr>
        <w:t>© Crown copyright</w:t>
      </w:r>
    </w:p>
    <w:p w14:paraId="46FDB1A6" w14:textId="77777777" w:rsidR="00B974BE" w:rsidRDefault="00D449F5" w:rsidP="00D032F8">
      <w:pPr>
        <w:jc w:val="left"/>
        <w:rPr>
          <w:rFonts w:cs="Tahoma"/>
        </w:rPr>
      </w:pPr>
      <w:r w:rsidRPr="000A3F99">
        <w:rPr>
          <w:rFonts w:cs="Tahoma"/>
          <w:sz w:val="20"/>
          <w:szCs w:val="20"/>
        </w:rPr>
        <w:t xml:space="preserve">You may re-use this information (not including logos) free of charge in any format or medium, under the terms of the Open Government Licence. To view this licence, visit </w:t>
      </w:r>
      <w:hyperlink r:id="rId56" w:history="1">
        <w:r w:rsidR="00311FFB" w:rsidRPr="00B36422">
          <w:rPr>
            <w:rStyle w:val="Hyperlink"/>
            <w:rFonts w:cs="Tahoma"/>
            <w:sz w:val="20"/>
            <w:szCs w:val="20"/>
            <w:u w:val="none"/>
          </w:rPr>
          <w:t>www.nationalarchives.gov.uk/doc/open-government-licence/</w:t>
        </w:r>
      </w:hyperlink>
      <w:r w:rsidRPr="000A3F99">
        <w:rPr>
          <w:rFonts w:cs="Tahoma"/>
          <w:sz w:val="20"/>
          <w:szCs w:val="20"/>
        </w:rPr>
        <w:t xml:space="preserve"> or write to the Information Policy Team, The National Archives, Kew, London, TW9 4DU or e-mail: </w:t>
      </w:r>
      <w:hyperlink r:id="rId57" w:history="1">
        <w:r w:rsidR="00B974BE" w:rsidRPr="000769E7">
          <w:rPr>
            <w:rStyle w:val="Hyperlink"/>
            <w:rFonts w:cs="Tahoma"/>
            <w:sz w:val="20"/>
            <w:szCs w:val="20"/>
            <w:u w:val="none"/>
          </w:rPr>
          <w:t>psi@nationalarchives.gsi.gov.uk</w:t>
        </w:r>
      </w:hyperlink>
    </w:p>
    <w:sectPr w:rsidR="00B974BE" w:rsidSect="007E785D">
      <w:headerReference w:type="default" r:id="rId58"/>
      <w:footerReference w:type="default" r:id="rId59"/>
      <w:pgSz w:w="11906" w:h="16838" w:code="9"/>
      <w:pgMar w:top="356" w:right="1440" w:bottom="1440" w:left="144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56F9B" w14:textId="77777777" w:rsidR="00494FCF" w:rsidRDefault="00494FCF">
      <w:r>
        <w:separator/>
      </w:r>
    </w:p>
  </w:endnote>
  <w:endnote w:type="continuationSeparator" w:id="0">
    <w:p w14:paraId="29CBC422" w14:textId="77777777" w:rsidR="00494FCF" w:rsidRDefault="0049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9849F" w14:textId="77777777" w:rsidR="00494FCF" w:rsidRDefault="00494F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3A0BF" w14:textId="77777777" w:rsidR="00494FCF" w:rsidRPr="001460CF" w:rsidRDefault="00494FCF" w:rsidP="007A568F">
    <w:pPr>
      <w:pStyle w:val="Footer-RHSOdd"/>
      <w:tabs>
        <w:tab w:val="right" w:pos="8460"/>
      </w:tabs>
      <w:rPr>
        <w:b w:val="0"/>
        <w:sz w:val="20"/>
      </w:rPr>
    </w:pPr>
    <w:r w:rsidRPr="001460CF">
      <w:rPr>
        <w:b w:val="0"/>
        <w:sz w:val="20"/>
      </w:rPr>
      <w:t xml:space="preserve">Responsible Statistician: </w:t>
    </w:r>
    <w:r>
      <w:rPr>
        <w:b w:val="0"/>
        <w:sz w:val="20"/>
      </w:rPr>
      <w:t>Adam King</w:t>
    </w:r>
    <w:r w:rsidRPr="001460CF">
      <w:rPr>
        <w:b w:val="0"/>
        <w:sz w:val="20"/>
      </w:rPr>
      <w:t xml:space="preserve">, </w:t>
    </w:r>
    <w:hyperlink r:id="rId1" w:history="1">
      <w:r w:rsidRPr="000769E7">
        <w:rPr>
          <w:rStyle w:val="Hyperlink"/>
          <w:b w:val="0"/>
          <w:sz w:val="20"/>
          <w:u w:val="none"/>
        </w:rPr>
        <w:t>socialcaredata@ofsted.gov.uk</w:t>
      </w:r>
    </w:hyperlink>
    <w:r>
      <w:rPr>
        <w:b w:val="0"/>
        <w:sz w:val="20"/>
      </w:rPr>
      <w:t xml:space="preserve"> </w:t>
    </w:r>
  </w:p>
  <w:p w14:paraId="5F4AC056" w14:textId="77777777" w:rsidR="00494FCF" w:rsidRPr="001460CF" w:rsidRDefault="00494FCF" w:rsidP="007A568F">
    <w:pPr>
      <w:pStyle w:val="Footer-RHSOdd"/>
      <w:tabs>
        <w:tab w:val="right" w:pos="8460"/>
      </w:tabs>
      <w:rPr>
        <w:b w:val="0"/>
        <w:sz w:val="20"/>
      </w:rPr>
    </w:pPr>
    <w:r w:rsidRPr="001460CF">
      <w:rPr>
        <w:b w:val="0"/>
        <w:sz w:val="20"/>
      </w:rPr>
      <w:t>Published on:</w:t>
    </w:r>
    <w:r>
      <w:rPr>
        <w:b w:val="0"/>
        <w:sz w:val="20"/>
      </w:rPr>
      <w:t xml:space="preserve"> 31 August 2017. Next publication: July 2018.</w:t>
    </w:r>
    <w:r>
      <w:rPr>
        <w:b w:val="0"/>
        <w:sz w:val="20"/>
      </w:rPr>
      <w:tab/>
    </w:r>
    <w:r w:rsidRPr="00243CDA">
      <w:rPr>
        <w:b w:val="0"/>
        <w:sz w:val="20"/>
      </w:rPr>
      <w:fldChar w:fldCharType="begin"/>
    </w:r>
    <w:r w:rsidRPr="00243CDA">
      <w:rPr>
        <w:b w:val="0"/>
        <w:sz w:val="20"/>
      </w:rPr>
      <w:instrText xml:space="preserve"> PAGE   \* MERGEFORMAT </w:instrText>
    </w:r>
    <w:r w:rsidRPr="00243CDA">
      <w:rPr>
        <w:b w:val="0"/>
        <w:sz w:val="20"/>
      </w:rPr>
      <w:fldChar w:fldCharType="separate"/>
    </w:r>
    <w:r w:rsidR="005F2D43" w:rsidRPr="005F2D43">
      <w:rPr>
        <w:b w:val="0"/>
        <w:bCs/>
        <w:noProof/>
        <w:sz w:val="20"/>
      </w:rPr>
      <w:t>19</w:t>
    </w:r>
    <w:r w:rsidRPr="00243CDA">
      <w:rPr>
        <w:b w:val="0"/>
        <w:bCs/>
        <w:noProof/>
        <w:sz w:val="20"/>
      </w:rPr>
      <w:fldChar w:fldCharType="end"/>
    </w:r>
    <w:r w:rsidRPr="00243CDA">
      <w:rPr>
        <w:b w:val="0"/>
        <w:bCs/>
        <w:sz w:val="20"/>
      </w:rPr>
      <w:t xml:space="preserve"> </w:t>
    </w:r>
    <w:r w:rsidRPr="00243CDA">
      <w:rPr>
        <w:b w:val="0"/>
        <w:sz w:val="20"/>
      </w:rPr>
      <w:t>|</w:t>
    </w:r>
    <w:r w:rsidRPr="00243CDA">
      <w:rPr>
        <w:b w:val="0"/>
        <w:bCs/>
        <w:sz w:val="20"/>
      </w:rPr>
      <w:t xml:space="preserve"> </w:t>
    </w:r>
    <w:r w:rsidRPr="00243CDA">
      <w:rPr>
        <w:b w:val="0"/>
        <w:color w:val="808080"/>
        <w:spacing w:val="60"/>
        <w:sz w:val="20"/>
      </w:rPr>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533DF" w14:textId="77777777" w:rsidR="00494FCF" w:rsidRDefault="00494F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D1CA8" w14:textId="77777777" w:rsidR="00494FCF" w:rsidRDefault="00494F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C5B82" w14:textId="77777777" w:rsidR="00494FCF" w:rsidRPr="001460CF" w:rsidRDefault="00494FCF" w:rsidP="007A568F">
    <w:pPr>
      <w:pStyle w:val="Footer-RHSOdd"/>
      <w:tabs>
        <w:tab w:val="right" w:pos="8460"/>
      </w:tabs>
      <w:rPr>
        <w:b w:val="0"/>
        <w:sz w:val="20"/>
      </w:rPr>
    </w:pPr>
    <w:r w:rsidRPr="001460CF">
      <w:rPr>
        <w:b w:val="0"/>
        <w:sz w:val="20"/>
      </w:rPr>
      <w:t xml:space="preserve">Responsible Statistician: </w:t>
    </w:r>
    <w:r>
      <w:rPr>
        <w:b w:val="0"/>
        <w:sz w:val="20"/>
      </w:rPr>
      <w:t>Adam King</w:t>
    </w:r>
    <w:r w:rsidRPr="001460CF">
      <w:rPr>
        <w:b w:val="0"/>
        <w:sz w:val="20"/>
      </w:rPr>
      <w:t xml:space="preserve">, </w:t>
    </w:r>
    <w:hyperlink r:id="rId1" w:history="1">
      <w:r w:rsidRPr="000769E7">
        <w:rPr>
          <w:rStyle w:val="Hyperlink"/>
          <w:b w:val="0"/>
          <w:sz w:val="20"/>
          <w:u w:val="none"/>
        </w:rPr>
        <w:t>socialcaredata@ofsted.gov.uk</w:t>
      </w:r>
    </w:hyperlink>
    <w:r>
      <w:rPr>
        <w:b w:val="0"/>
        <w:sz w:val="20"/>
      </w:rPr>
      <w:t xml:space="preserve"> </w:t>
    </w:r>
  </w:p>
  <w:p w14:paraId="0F1F7215" w14:textId="77777777" w:rsidR="00494FCF" w:rsidRPr="001460CF" w:rsidRDefault="00494FCF" w:rsidP="007A568F">
    <w:pPr>
      <w:pStyle w:val="Footer-RHSOdd"/>
      <w:tabs>
        <w:tab w:val="right" w:pos="8460"/>
      </w:tabs>
      <w:rPr>
        <w:b w:val="0"/>
        <w:sz w:val="20"/>
      </w:rPr>
    </w:pPr>
    <w:r w:rsidRPr="001460CF">
      <w:rPr>
        <w:b w:val="0"/>
        <w:sz w:val="20"/>
      </w:rPr>
      <w:t>Published on:</w:t>
    </w:r>
    <w:r>
      <w:rPr>
        <w:b w:val="0"/>
        <w:sz w:val="20"/>
      </w:rPr>
      <w:t xml:space="preserve"> 31 August 2017. Next publication: July 2018.</w:t>
    </w:r>
    <w:r>
      <w:rPr>
        <w:b w:val="0"/>
        <w:sz w:val="20"/>
      </w:rPr>
      <w:tab/>
    </w:r>
    <w:r w:rsidRPr="00243CDA">
      <w:rPr>
        <w:b w:val="0"/>
        <w:sz w:val="20"/>
      </w:rPr>
      <w:fldChar w:fldCharType="begin"/>
    </w:r>
    <w:r w:rsidRPr="00243CDA">
      <w:rPr>
        <w:b w:val="0"/>
        <w:sz w:val="20"/>
      </w:rPr>
      <w:instrText xml:space="preserve"> PAGE   \* MERGEFORMAT </w:instrText>
    </w:r>
    <w:r w:rsidRPr="00243CDA">
      <w:rPr>
        <w:b w:val="0"/>
        <w:sz w:val="20"/>
      </w:rPr>
      <w:fldChar w:fldCharType="separate"/>
    </w:r>
    <w:r w:rsidR="005F2D43" w:rsidRPr="005F2D43">
      <w:rPr>
        <w:b w:val="0"/>
        <w:bCs/>
        <w:noProof/>
        <w:sz w:val="20"/>
      </w:rPr>
      <w:t>30</w:t>
    </w:r>
    <w:r w:rsidRPr="00243CDA">
      <w:rPr>
        <w:b w:val="0"/>
        <w:bCs/>
        <w:noProof/>
        <w:sz w:val="20"/>
      </w:rPr>
      <w:fldChar w:fldCharType="end"/>
    </w:r>
    <w:r w:rsidRPr="00243CDA">
      <w:rPr>
        <w:b w:val="0"/>
        <w:bCs/>
        <w:sz w:val="20"/>
      </w:rPr>
      <w:t xml:space="preserve"> </w:t>
    </w:r>
    <w:r w:rsidRPr="00243CDA">
      <w:rPr>
        <w:b w:val="0"/>
        <w:sz w:val="20"/>
      </w:rPr>
      <w:t>|</w:t>
    </w:r>
    <w:r w:rsidRPr="00243CDA">
      <w:rPr>
        <w:b w:val="0"/>
        <w:bCs/>
        <w:sz w:val="20"/>
      </w:rPr>
      <w:t xml:space="preserve"> </w:t>
    </w:r>
    <w:r w:rsidRPr="00243CDA">
      <w:rPr>
        <w:b w:val="0"/>
        <w:color w:val="808080"/>
        <w:spacing w:val="60"/>
        <w:sz w:val="20"/>
      </w:rPr>
      <w:t>Page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529A8" w14:textId="77777777" w:rsidR="00494FCF" w:rsidRDefault="00494FC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CB5C2" w14:textId="77777777" w:rsidR="00494FCF" w:rsidRPr="001460CF" w:rsidRDefault="00494FCF" w:rsidP="00557EC8">
    <w:pPr>
      <w:pStyle w:val="Footer-RHSOdd"/>
      <w:tabs>
        <w:tab w:val="right" w:pos="8460"/>
      </w:tabs>
      <w:rPr>
        <w:b w:val="0"/>
        <w:sz w:val="20"/>
      </w:rPr>
    </w:pPr>
    <w:r w:rsidRPr="001460CF">
      <w:rPr>
        <w:b w:val="0"/>
        <w:sz w:val="20"/>
      </w:rPr>
      <w:t xml:space="preserve">Responsible Statistician: </w:t>
    </w:r>
    <w:r>
      <w:rPr>
        <w:b w:val="0"/>
        <w:sz w:val="20"/>
      </w:rPr>
      <w:t>Adam King</w:t>
    </w:r>
    <w:r w:rsidRPr="001460CF">
      <w:rPr>
        <w:b w:val="0"/>
        <w:sz w:val="20"/>
      </w:rPr>
      <w:t xml:space="preserve">, </w:t>
    </w:r>
    <w:hyperlink r:id="rId1" w:history="1">
      <w:r w:rsidRPr="000769E7">
        <w:rPr>
          <w:rStyle w:val="Hyperlink"/>
          <w:b w:val="0"/>
          <w:sz w:val="20"/>
          <w:u w:val="none"/>
        </w:rPr>
        <w:t>socialcaredata@ofsted.gov.uk</w:t>
      </w:r>
    </w:hyperlink>
    <w:r>
      <w:rPr>
        <w:b w:val="0"/>
        <w:sz w:val="20"/>
      </w:rPr>
      <w:t xml:space="preserve"> </w:t>
    </w:r>
  </w:p>
  <w:p w14:paraId="3B45B5DC" w14:textId="77777777" w:rsidR="00494FCF" w:rsidRPr="001460CF" w:rsidRDefault="00494FCF" w:rsidP="001460CF">
    <w:pPr>
      <w:pStyle w:val="Footer-RHSOdd"/>
      <w:tabs>
        <w:tab w:val="right" w:pos="8460"/>
      </w:tabs>
      <w:rPr>
        <w:b w:val="0"/>
        <w:sz w:val="20"/>
      </w:rPr>
    </w:pPr>
    <w:r w:rsidRPr="001460CF">
      <w:rPr>
        <w:b w:val="0"/>
        <w:sz w:val="20"/>
      </w:rPr>
      <w:t>Published on:</w:t>
    </w:r>
    <w:r>
      <w:rPr>
        <w:b w:val="0"/>
        <w:sz w:val="20"/>
      </w:rPr>
      <w:t xml:space="preserve"> 31 August 2017. Next publication: July 2018.</w:t>
    </w:r>
    <w:r>
      <w:rPr>
        <w:b w:val="0"/>
        <w:sz w:val="20"/>
      </w:rPr>
      <w:tab/>
    </w:r>
    <w:r w:rsidRPr="00243CDA">
      <w:rPr>
        <w:b w:val="0"/>
        <w:sz w:val="20"/>
      </w:rPr>
      <w:fldChar w:fldCharType="begin"/>
    </w:r>
    <w:r w:rsidRPr="00243CDA">
      <w:rPr>
        <w:b w:val="0"/>
        <w:sz w:val="20"/>
      </w:rPr>
      <w:instrText xml:space="preserve"> PAGE   \* MERGEFORMAT </w:instrText>
    </w:r>
    <w:r w:rsidRPr="00243CDA">
      <w:rPr>
        <w:b w:val="0"/>
        <w:sz w:val="20"/>
      </w:rPr>
      <w:fldChar w:fldCharType="separate"/>
    </w:r>
    <w:r w:rsidR="005F2D43" w:rsidRPr="005F2D43">
      <w:rPr>
        <w:b w:val="0"/>
        <w:bCs/>
        <w:noProof/>
        <w:sz w:val="20"/>
      </w:rPr>
      <w:t>36</w:t>
    </w:r>
    <w:r w:rsidRPr="00243CDA">
      <w:rPr>
        <w:b w:val="0"/>
        <w:bCs/>
        <w:noProof/>
        <w:sz w:val="20"/>
      </w:rPr>
      <w:fldChar w:fldCharType="end"/>
    </w:r>
    <w:r w:rsidRPr="00243CDA">
      <w:rPr>
        <w:b w:val="0"/>
        <w:bCs/>
        <w:sz w:val="20"/>
      </w:rPr>
      <w:t xml:space="preserve"> </w:t>
    </w:r>
    <w:r w:rsidRPr="00243CDA">
      <w:rPr>
        <w:b w:val="0"/>
        <w:sz w:val="20"/>
      </w:rPr>
      <w:t>|</w:t>
    </w:r>
    <w:r w:rsidRPr="00243CDA">
      <w:rPr>
        <w:b w:val="0"/>
        <w:bCs/>
        <w:sz w:val="20"/>
      </w:rPr>
      <w:t xml:space="preserve"> </w:t>
    </w:r>
    <w:r w:rsidRPr="00243CDA">
      <w:rPr>
        <w:b w:val="0"/>
        <w:color w:val="808080"/>
        <w:spacing w:val="60"/>
        <w:sz w:val="2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8F9CB" w14:textId="77777777" w:rsidR="00494FCF" w:rsidRDefault="00494FCF">
      <w:r>
        <w:separator/>
      </w:r>
    </w:p>
  </w:footnote>
  <w:footnote w:type="continuationSeparator" w:id="0">
    <w:p w14:paraId="59B17477" w14:textId="77777777" w:rsidR="00494FCF" w:rsidRDefault="00494FCF">
      <w:r>
        <w:continuationSeparator/>
      </w:r>
    </w:p>
  </w:footnote>
  <w:footnote w:id="1">
    <w:p w14:paraId="2A95CE3D" w14:textId="77777777" w:rsidR="00494FCF" w:rsidRPr="00CE6B53" w:rsidRDefault="00494FCF">
      <w:pPr>
        <w:pStyle w:val="FootnoteText"/>
        <w:rPr>
          <w:sz w:val="16"/>
          <w:szCs w:val="16"/>
        </w:rPr>
      </w:pPr>
      <w:r w:rsidRPr="00CE6B53">
        <w:rPr>
          <w:rStyle w:val="FootnoteReference"/>
          <w:sz w:val="16"/>
          <w:szCs w:val="16"/>
        </w:rPr>
        <w:footnoteRef/>
      </w:r>
      <w:r w:rsidRPr="00CE6B53">
        <w:rPr>
          <w:sz w:val="16"/>
          <w:szCs w:val="16"/>
        </w:rPr>
        <w:t xml:space="preserve"> SIF = Single Inspection Framework</w:t>
      </w:r>
    </w:p>
  </w:footnote>
  <w:footnote w:id="2">
    <w:p w14:paraId="5015C2EA" w14:textId="77777777" w:rsidR="00494FCF" w:rsidRPr="00DF2D18" w:rsidRDefault="00494FCF" w:rsidP="00552B3F">
      <w:pPr>
        <w:pStyle w:val="FootnoteText"/>
        <w:jc w:val="left"/>
        <w:rPr>
          <w:sz w:val="16"/>
          <w:szCs w:val="16"/>
        </w:rPr>
      </w:pPr>
      <w:r w:rsidRPr="00DF2D18">
        <w:rPr>
          <w:rStyle w:val="FootnoteReference"/>
          <w:sz w:val="16"/>
          <w:szCs w:val="16"/>
        </w:rPr>
        <w:footnoteRef/>
      </w:r>
      <w:r w:rsidRPr="00DF2D18">
        <w:rPr>
          <w:sz w:val="16"/>
          <w:szCs w:val="16"/>
        </w:rPr>
        <w:t xml:space="preserve"> Department for Education (DfE) guidance, </w:t>
      </w:r>
      <w:r w:rsidRPr="00DF2D18">
        <w:rPr>
          <w:i/>
          <w:sz w:val="16"/>
          <w:szCs w:val="16"/>
        </w:rPr>
        <w:t xml:space="preserve">Working together to safeguard children, </w:t>
      </w:r>
      <w:r w:rsidRPr="00DF2D18">
        <w:rPr>
          <w:sz w:val="16"/>
          <w:szCs w:val="16"/>
        </w:rPr>
        <w:t xml:space="preserve">March 2015 </w:t>
      </w:r>
      <w:r w:rsidRPr="00311FFB">
        <w:rPr>
          <w:color w:val="0000FF"/>
          <w:sz w:val="16"/>
          <w:szCs w:val="16"/>
        </w:rPr>
        <w:t>www.gov.uk/government/publications/working-together-to-safeguard-children--2</w:t>
      </w:r>
      <w:r>
        <w:rPr>
          <w:sz w:val="16"/>
          <w:szCs w:val="16"/>
        </w:rPr>
        <w:t xml:space="preserve">   </w:t>
      </w:r>
    </w:p>
  </w:footnote>
  <w:footnote w:id="3">
    <w:p w14:paraId="6DE37328" w14:textId="77777777" w:rsidR="00494FCF" w:rsidRPr="005E479C" w:rsidRDefault="00494FCF" w:rsidP="005E479C">
      <w:pPr>
        <w:pStyle w:val="FootnoteText"/>
        <w:jc w:val="left"/>
        <w:rPr>
          <w:sz w:val="16"/>
          <w:szCs w:val="16"/>
        </w:rPr>
      </w:pPr>
      <w:r w:rsidRPr="005E479C">
        <w:rPr>
          <w:rStyle w:val="FootnoteReference"/>
          <w:sz w:val="16"/>
          <w:szCs w:val="16"/>
        </w:rPr>
        <w:footnoteRef/>
      </w:r>
      <w:r w:rsidRPr="005E479C">
        <w:rPr>
          <w:sz w:val="16"/>
          <w:szCs w:val="16"/>
        </w:rPr>
        <w:t xml:space="preserve"> This figure includes three secure training centres, which are not included in the </w:t>
      </w:r>
      <w:r>
        <w:rPr>
          <w:sz w:val="16"/>
          <w:szCs w:val="16"/>
        </w:rPr>
        <w:t>interactive</w:t>
      </w:r>
      <w:r w:rsidRPr="005E479C">
        <w:rPr>
          <w:sz w:val="16"/>
          <w:szCs w:val="16"/>
        </w:rPr>
        <w:t xml:space="preserve"> tables in the accompanying Excel document.</w:t>
      </w:r>
      <w:r>
        <w:rPr>
          <w:sz w:val="16"/>
          <w:szCs w:val="16"/>
        </w:rPr>
        <w:t xml:space="preserve">    </w:t>
      </w:r>
    </w:p>
  </w:footnote>
  <w:footnote w:id="4">
    <w:p w14:paraId="49C5B1CD" w14:textId="77777777" w:rsidR="00494FCF" w:rsidRPr="005E479C" w:rsidRDefault="00494FCF" w:rsidP="005E479C">
      <w:pPr>
        <w:pStyle w:val="FootnoteText"/>
        <w:jc w:val="left"/>
        <w:rPr>
          <w:sz w:val="16"/>
          <w:szCs w:val="16"/>
        </w:rPr>
      </w:pPr>
      <w:r w:rsidRPr="005E479C">
        <w:rPr>
          <w:rStyle w:val="FootnoteReference"/>
          <w:sz w:val="16"/>
          <w:szCs w:val="16"/>
        </w:rPr>
        <w:footnoteRef/>
      </w:r>
      <w:r w:rsidRPr="005E479C">
        <w:rPr>
          <w:sz w:val="16"/>
          <w:szCs w:val="16"/>
        </w:rPr>
        <w:t xml:space="preserve"> A table showing the</w:t>
      </w:r>
      <w:r>
        <w:rPr>
          <w:sz w:val="16"/>
          <w:szCs w:val="16"/>
        </w:rPr>
        <w:t xml:space="preserve"> </w:t>
      </w:r>
      <w:r w:rsidRPr="005E479C">
        <w:rPr>
          <w:sz w:val="16"/>
          <w:szCs w:val="16"/>
        </w:rPr>
        <w:t xml:space="preserve">figures for all provider types can be found in the accompanying Excel document. </w:t>
      </w:r>
    </w:p>
  </w:footnote>
  <w:footnote w:id="5">
    <w:p w14:paraId="4042F172" w14:textId="77777777" w:rsidR="00494FCF" w:rsidRPr="003C33A1" w:rsidRDefault="00494FCF" w:rsidP="005E479C">
      <w:pPr>
        <w:pStyle w:val="FootnoteText"/>
        <w:jc w:val="left"/>
        <w:rPr>
          <w:sz w:val="16"/>
          <w:szCs w:val="16"/>
        </w:rPr>
      </w:pPr>
      <w:r w:rsidRPr="005E479C">
        <w:rPr>
          <w:rStyle w:val="FootnoteReference"/>
          <w:sz w:val="16"/>
          <w:szCs w:val="16"/>
        </w:rPr>
        <w:footnoteRef/>
      </w:r>
      <w:r w:rsidRPr="005E479C">
        <w:rPr>
          <w:sz w:val="16"/>
          <w:szCs w:val="16"/>
        </w:rPr>
        <w:t xml:space="preserve"> Ofsted does n</w:t>
      </w:r>
      <w:r>
        <w:rPr>
          <w:sz w:val="16"/>
          <w:szCs w:val="16"/>
        </w:rPr>
        <w:t>ot inspect all boarding schools;</w:t>
      </w:r>
      <w:r w:rsidRPr="005E479C">
        <w:rPr>
          <w:sz w:val="16"/>
          <w:szCs w:val="16"/>
        </w:rPr>
        <w:t xml:space="preserve"> see </w:t>
      </w:r>
      <w:r>
        <w:rPr>
          <w:sz w:val="16"/>
          <w:szCs w:val="16"/>
        </w:rPr>
        <w:t>Glossary</w:t>
      </w:r>
      <w:r w:rsidRPr="005E479C">
        <w:rPr>
          <w:sz w:val="16"/>
          <w:szCs w:val="16"/>
        </w:rPr>
        <w:t xml:space="preserve"> for details.</w:t>
      </w:r>
      <w:r w:rsidRPr="003C33A1">
        <w:rPr>
          <w:sz w:val="16"/>
          <w:szCs w:val="16"/>
        </w:rPr>
        <w:t xml:space="preserve"> </w:t>
      </w:r>
    </w:p>
  </w:footnote>
  <w:footnote w:id="6">
    <w:p w14:paraId="63357270" w14:textId="77777777" w:rsidR="00494FCF" w:rsidRPr="00DA0AD9" w:rsidRDefault="00494FCF">
      <w:pPr>
        <w:pStyle w:val="FootnoteText"/>
        <w:rPr>
          <w:sz w:val="16"/>
          <w:szCs w:val="16"/>
        </w:rPr>
      </w:pPr>
      <w:r w:rsidRPr="00DA0AD9">
        <w:rPr>
          <w:rStyle w:val="FootnoteReference"/>
          <w:sz w:val="16"/>
          <w:szCs w:val="16"/>
        </w:rPr>
        <w:footnoteRef/>
      </w:r>
      <w:r w:rsidRPr="00DA0AD9">
        <w:rPr>
          <w:sz w:val="16"/>
          <w:szCs w:val="16"/>
        </w:rPr>
        <w:t xml:space="preserve"> For full details of all provider types, please refer to the Glossary tab in the data tables, available online.</w:t>
      </w:r>
    </w:p>
  </w:footnote>
  <w:footnote w:id="7">
    <w:p w14:paraId="14740C3B" w14:textId="77777777" w:rsidR="00494FCF" w:rsidRPr="00D7039A" w:rsidRDefault="00494FCF">
      <w:pPr>
        <w:pStyle w:val="FootnoteText"/>
        <w:rPr>
          <w:sz w:val="16"/>
          <w:szCs w:val="16"/>
        </w:rPr>
      </w:pPr>
      <w:r w:rsidRPr="00D7039A">
        <w:rPr>
          <w:rStyle w:val="FootnoteReference"/>
          <w:sz w:val="16"/>
          <w:szCs w:val="16"/>
        </w:rPr>
        <w:footnoteRef/>
      </w:r>
      <w:r w:rsidRPr="00D7039A">
        <w:rPr>
          <w:sz w:val="16"/>
          <w:szCs w:val="16"/>
        </w:rPr>
        <w:t xml:space="preserve"> Further details of the purpose</w:t>
      </w:r>
      <w:r>
        <w:rPr>
          <w:sz w:val="16"/>
          <w:szCs w:val="16"/>
        </w:rPr>
        <w:t xml:space="preserve"> and relevance</w:t>
      </w:r>
      <w:r w:rsidRPr="00D7039A">
        <w:rPr>
          <w:sz w:val="16"/>
          <w:szCs w:val="16"/>
        </w:rPr>
        <w:t xml:space="preserve"> of this report are available in the Quality and Methodology report, available online.</w:t>
      </w:r>
    </w:p>
  </w:footnote>
  <w:footnote w:id="8">
    <w:p w14:paraId="4305E93B" w14:textId="77777777" w:rsidR="00494FCF" w:rsidRPr="00351839" w:rsidRDefault="00494FCF" w:rsidP="000A3F99">
      <w:pPr>
        <w:pStyle w:val="FootnoteText"/>
        <w:jc w:val="left"/>
        <w:rPr>
          <w:sz w:val="16"/>
          <w:szCs w:val="15"/>
        </w:rPr>
      </w:pPr>
      <w:r w:rsidRPr="00351839">
        <w:rPr>
          <w:rStyle w:val="FootnoteReference"/>
          <w:sz w:val="16"/>
          <w:szCs w:val="15"/>
        </w:rPr>
        <w:footnoteRef/>
      </w:r>
      <w:r w:rsidRPr="00351839">
        <w:rPr>
          <w:sz w:val="16"/>
          <w:szCs w:val="15"/>
        </w:rPr>
        <w:t xml:space="preserve"> </w:t>
      </w:r>
      <w:r w:rsidRPr="00C16C22">
        <w:rPr>
          <w:sz w:val="16"/>
          <w:szCs w:val="15"/>
        </w:rPr>
        <w:t xml:space="preserve">Department for Education National Statistics, </w:t>
      </w:r>
      <w:r w:rsidRPr="00C16C22">
        <w:rPr>
          <w:i/>
          <w:sz w:val="16"/>
          <w:szCs w:val="15"/>
        </w:rPr>
        <w:t>Children looked after in England, including adoption</w:t>
      </w:r>
      <w:r w:rsidRPr="00C16C22">
        <w:rPr>
          <w:sz w:val="16"/>
          <w:szCs w:val="15"/>
        </w:rPr>
        <w:t>, September 2016:</w:t>
      </w:r>
      <w:r w:rsidRPr="00C16C22">
        <w:rPr>
          <w:sz w:val="22"/>
        </w:rPr>
        <w:t xml:space="preserve"> </w:t>
      </w:r>
      <w:r w:rsidRPr="00311FFB">
        <w:rPr>
          <w:color w:val="0000FF"/>
          <w:sz w:val="16"/>
          <w:szCs w:val="16"/>
        </w:rPr>
        <w:t>www.gov.uk/government/statistics/children-looked-after-in-england-including-adoption-2015-to-2016</w:t>
      </w:r>
      <w:r w:rsidRPr="00C16C22">
        <w:rPr>
          <w:sz w:val="22"/>
        </w:rPr>
        <w:t xml:space="preserve"> </w:t>
      </w:r>
      <w:r w:rsidRPr="00C16C22">
        <w:rPr>
          <w:sz w:val="16"/>
          <w:szCs w:val="15"/>
        </w:rPr>
        <w:t xml:space="preserve">and DfE National Statistics, </w:t>
      </w:r>
      <w:r w:rsidRPr="00C16C22">
        <w:rPr>
          <w:i/>
          <w:sz w:val="16"/>
          <w:szCs w:val="15"/>
        </w:rPr>
        <w:t>Characteristics of children in need: 2015 to 2016</w:t>
      </w:r>
      <w:r w:rsidRPr="00C16C22">
        <w:rPr>
          <w:sz w:val="16"/>
          <w:szCs w:val="15"/>
        </w:rPr>
        <w:t xml:space="preserve">, November 2016: </w:t>
      </w:r>
      <w:r w:rsidRPr="00311FFB">
        <w:rPr>
          <w:color w:val="0000FF"/>
          <w:sz w:val="16"/>
          <w:szCs w:val="15"/>
        </w:rPr>
        <w:t>www.gov.uk/government/statistics/characteristics-of-children-in-need-2015-to-2016</w:t>
      </w:r>
      <w:r>
        <w:rPr>
          <w:sz w:val="16"/>
          <w:szCs w:val="15"/>
        </w:rPr>
        <w:t xml:space="preserve"> </w:t>
      </w:r>
    </w:p>
  </w:footnote>
  <w:footnote w:id="9">
    <w:p w14:paraId="54D1664E" w14:textId="77777777" w:rsidR="00494FCF" w:rsidRPr="000D0849" w:rsidRDefault="00494FCF" w:rsidP="000A3F99">
      <w:pPr>
        <w:pStyle w:val="FootnoteText"/>
        <w:jc w:val="left"/>
        <w:rPr>
          <w:sz w:val="16"/>
          <w:szCs w:val="15"/>
        </w:rPr>
      </w:pPr>
      <w:r w:rsidRPr="00351839">
        <w:rPr>
          <w:rStyle w:val="FootnoteReference"/>
          <w:sz w:val="16"/>
          <w:szCs w:val="15"/>
        </w:rPr>
        <w:footnoteRef/>
      </w:r>
      <w:r w:rsidRPr="00351839">
        <w:rPr>
          <w:sz w:val="16"/>
          <w:szCs w:val="15"/>
        </w:rPr>
        <w:t xml:space="preserve"> </w:t>
      </w:r>
      <w:r w:rsidRPr="007562FF">
        <w:rPr>
          <w:rFonts w:cs="Tahoma"/>
          <w:sz w:val="16"/>
          <w:szCs w:val="15"/>
        </w:rPr>
        <w:t>Children looked after and achieving permanence</w:t>
      </w:r>
      <w:r w:rsidRPr="000D0849">
        <w:rPr>
          <w:rFonts w:cs="Tahoma"/>
          <w:sz w:val="16"/>
          <w:szCs w:val="15"/>
        </w:rPr>
        <w:t xml:space="preserve"> has two further sub-judgements: </w:t>
      </w:r>
      <w:r w:rsidRPr="007562FF">
        <w:rPr>
          <w:rFonts w:cs="Tahoma"/>
          <w:sz w:val="16"/>
          <w:szCs w:val="15"/>
        </w:rPr>
        <w:t>adoption performance;</w:t>
      </w:r>
      <w:r w:rsidRPr="000D0849">
        <w:rPr>
          <w:rFonts w:cs="Tahoma"/>
          <w:sz w:val="16"/>
          <w:szCs w:val="15"/>
        </w:rPr>
        <w:t xml:space="preserve"> and </w:t>
      </w:r>
      <w:r w:rsidRPr="007562FF">
        <w:rPr>
          <w:rFonts w:cs="Tahoma"/>
          <w:sz w:val="16"/>
          <w:szCs w:val="15"/>
        </w:rPr>
        <w:t>experiences and progress of care leavers</w:t>
      </w:r>
      <w:r w:rsidRPr="000D0849">
        <w:rPr>
          <w:rFonts w:cs="Tahoma"/>
          <w:sz w:val="16"/>
          <w:szCs w:val="15"/>
        </w:rPr>
        <w:t>.</w:t>
      </w:r>
    </w:p>
  </w:footnote>
  <w:footnote w:id="10">
    <w:p w14:paraId="004EB16E" w14:textId="77777777" w:rsidR="00494FCF" w:rsidRPr="00301A4B" w:rsidRDefault="00494FCF">
      <w:pPr>
        <w:pStyle w:val="FootnoteText"/>
        <w:rPr>
          <w:sz w:val="16"/>
          <w:szCs w:val="16"/>
        </w:rPr>
      </w:pPr>
      <w:r w:rsidRPr="00301A4B">
        <w:rPr>
          <w:rStyle w:val="FootnoteReference"/>
          <w:sz w:val="16"/>
          <w:szCs w:val="16"/>
        </w:rPr>
        <w:footnoteRef/>
      </w:r>
      <w:r w:rsidRPr="00301A4B">
        <w:rPr>
          <w:sz w:val="16"/>
          <w:szCs w:val="16"/>
        </w:rPr>
        <w:t xml:space="preserve"> A recently published research study by the University of Manchester also found that more than 50% of children referred to children’s services in 2010-11 were </w:t>
      </w:r>
      <w:r>
        <w:rPr>
          <w:sz w:val="16"/>
          <w:szCs w:val="16"/>
        </w:rPr>
        <w:t>re-</w:t>
      </w:r>
      <w:r w:rsidRPr="00301A4B">
        <w:rPr>
          <w:sz w:val="16"/>
          <w:szCs w:val="16"/>
        </w:rPr>
        <w:t xml:space="preserve">referred within the next five years, and that this was particularly an issue in LAs where social workers held high caseloads (more than 10 children in need). </w:t>
      </w:r>
      <w:r w:rsidRPr="00514804">
        <w:rPr>
          <w:i/>
          <w:sz w:val="16"/>
          <w:szCs w:val="16"/>
          <w:lang w:val="en"/>
        </w:rPr>
        <w:t>Children’s services in England: repeat referrals</w:t>
      </w:r>
      <w:r w:rsidRPr="00301A4B">
        <w:rPr>
          <w:sz w:val="16"/>
          <w:szCs w:val="16"/>
          <w:lang w:val="en"/>
        </w:rPr>
        <w:t xml:space="preserve">, 2017, available here: </w:t>
      </w:r>
      <w:hyperlink r:id="rId1" w:history="1">
        <w:r w:rsidRPr="000769E7">
          <w:rPr>
            <w:rStyle w:val="Hyperlink"/>
            <w:sz w:val="16"/>
            <w:szCs w:val="16"/>
            <w:u w:val="none"/>
            <w:lang w:val="en"/>
          </w:rPr>
          <w:t>www.gov.uk/government/publications/childrens-services-in-england-repeat-referrals</w:t>
        </w:r>
      </w:hyperlink>
      <w:r w:rsidRPr="00301A4B">
        <w:rPr>
          <w:sz w:val="16"/>
          <w:szCs w:val="16"/>
          <w:lang w:val="en"/>
        </w:rPr>
        <w:t xml:space="preserve"> </w:t>
      </w:r>
    </w:p>
  </w:footnote>
  <w:footnote w:id="11">
    <w:p w14:paraId="65F97C6F" w14:textId="77777777" w:rsidR="00494FCF" w:rsidRPr="00DA0AD9" w:rsidRDefault="00494FCF">
      <w:pPr>
        <w:pStyle w:val="FootnoteText"/>
        <w:rPr>
          <w:sz w:val="16"/>
          <w:szCs w:val="16"/>
        </w:rPr>
      </w:pPr>
      <w:r w:rsidRPr="00DA0AD9">
        <w:rPr>
          <w:rStyle w:val="FootnoteReference"/>
          <w:sz w:val="16"/>
          <w:szCs w:val="16"/>
        </w:rPr>
        <w:footnoteRef/>
      </w:r>
      <w:r w:rsidRPr="00DA0AD9">
        <w:rPr>
          <w:sz w:val="16"/>
          <w:szCs w:val="16"/>
        </w:rPr>
        <w:t xml:space="preserve"> City of London and Isles of Scilly were not judged for Adoption performance, as they have no adopted children.</w:t>
      </w:r>
    </w:p>
  </w:footnote>
  <w:footnote w:id="12">
    <w:p w14:paraId="2F27A65D" w14:textId="77777777" w:rsidR="00494FCF" w:rsidRPr="00DA0AD9" w:rsidRDefault="00494FCF">
      <w:pPr>
        <w:pStyle w:val="FootnoteText"/>
        <w:rPr>
          <w:sz w:val="16"/>
          <w:szCs w:val="16"/>
        </w:rPr>
      </w:pPr>
      <w:r w:rsidRPr="00DA0AD9">
        <w:rPr>
          <w:rStyle w:val="FootnoteReference"/>
          <w:sz w:val="16"/>
          <w:szCs w:val="16"/>
        </w:rPr>
        <w:footnoteRef/>
      </w:r>
      <w:r w:rsidRPr="00DA0AD9">
        <w:rPr>
          <w:sz w:val="16"/>
          <w:szCs w:val="16"/>
        </w:rPr>
        <w:t xml:space="preserve"> Isles of Scilly is not judged for Care leavers, as they have no children in care.</w:t>
      </w:r>
    </w:p>
  </w:footnote>
  <w:footnote w:id="13">
    <w:p w14:paraId="1F25FF33" w14:textId="77777777" w:rsidR="00494FCF" w:rsidRPr="00301A4B" w:rsidRDefault="00494FCF" w:rsidP="00DA0AD9">
      <w:pPr>
        <w:pStyle w:val="FootnoteText"/>
        <w:rPr>
          <w:sz w:val="16"/>
          <w:szCs w:val="16"/>
        </w:rPr>
      </w:pPr>
      <w:r w:rsidRPr="001A4766">
        <w:rPr>
          <w:rStyle w:val="FootnoteReference"/>
          <w:sz w:val="16"/>
          <w:szCs w:val="16"/>
        </w:rPr>
        <w:footnoteRef/>
      </w:r>
      <w:r w:rsidRPr="00301A4B">
        <w:rPr>
          <w:sz w:val="16"/>
          <w:szCs w:val="16"/>
        </w:rPr>
        <w:t xml:space="preserve"> Source: DfE Information on Children</w:t>
      </w:r>
      <w:r>
        <w:rPr>
          <w:sz w:val="16"/>
          <w:szCs w:val="16"/>
        </w:rPr>
        <w:t>’</w:t>
      </w:r>
      <w:r w:rsidRPr="00301A4B">
        <w:rPr>
          <w:sz w:val="16"/>
          <w:szCs w:val="16"/>
        </w:rPr>
        <w:t>s Social Care Workforce.</w:t>
      </w:r>
    </w:p>
  </w:footnote>
  <w:footnote w:id="14">
    <w:p w14:paraId="0FBC10F6" w14:textId="77777777" w:rsidR="00494FCF" w:rsidRDefault="00494FCF">
      <w:pPr>
        <w:pStyle w:val="FootnoteText"/>
      </w:pPr>
      <w:r w:rsidRPr="00301A4B">
        <w:rPr>
          <w:rStyle w:val="FootnoteReference"/>
          <w:sz w:val="16"/>
          <w:szCs w:val="16"/>
        </w:rPr>
        <w:footnoteRef/>
      </w:r>
      <w:r w:rsidRPr="00301A4B">
        <w:rPr>
          <w:sz w:val="16"/>
          <w:szCs w:val="16"/>
        </w:rPr>
        <w:t xml:space="preserve"> Because this uses data from the year after the SIF inspection, this is not available for LAs inspected in 2016-17</w:t>
      </w:r>
      <w:r>
        <w:rPr>
          <w:sz w:val="16"/>
          <w:szCs w:val="16"/>
        </w:rPr>
        <w:t>.</w:t>
      </w:r>
    </w:p>
  </w:footnote>
  <w:footnote w:id="15">
    <w:p w14:paraId="3CE36125" w14:textId="77777777" w:rsidR="00494FCF" w:rsidRPr="0009320A" w:rsidRDefault="00494FCF" w:rsidP="000A3F99">
      <w:pPr>
        <w:pStyle w:val="FootnoteText"/>
        <w:rPr>
          <w:sz w:val="16"/>
          <w:szCs w:val="16"/>
        </w:rPr>
      </w:pPr>
      <w:r w:rsidRPr="0009320A">
        <w:rPr>
          <w:rStyle w:val="FootnoteReference"/>
          <w:sz w:val="16"/>
          <w:szCs w:val="16"/>
        </w:rPr>
        <w:footnoteRef/>
      </w:r>
      <w:r w:rsidRPr="0009320A">
        <w:rPr>
          <w:sz w:val="16"/>
          <w:szCs w:val="16"/>
        </w:rPr>
        <w:t xml:space="preserve"> Rate of Children in Need refers to the number of children in need per 10,000 children aged under 18. A higher rate indicates more children in need as a proportion of all children in the LA.</w:t>
      </w:r>
    </w:p>
  </w:footnote>
  <w:footnote w:id="16">
    <w:p w14:paraId="7A128F9F" w14:textId="77777777" w:rsidR="00494FCF" w:rsidRPr="00184A72" w:rsidRDefault="00494FCF">
      <w:pPr>
        <w:pStyle w:val="FootnoteText"/>
        <w:rPr>
          <w:sz w:val="16"/>
          <w:szCs w:val="16"/>
        </w:rPr>
      </w:pPr>
      <w:r w:rsidRPr="00184A72">
        <w:rPr>
          <w:rStyle w:val="FootnoteReference"/>
          <w:sz w:val="16"/>
          <w:szCs w:val="16"/>
        </w:rPr>
        <w:footnoteRef/>
      </w:r>
      <w:r w:rsidRPr="00184A72">
        <w:rPr>
          <w:sz w:val="16"/>
          <w:szCs w:val="16"/>
        </w:rPr>
        <w:t xml:space="preserve"> The terminology changed from </w:t>
      </w:r>
      <w:r>
        <w:rPr>
          <w:sz w:val="16"/>
          <w:szCs w:val="16"/>
        </w:rPr>
        <w:t>“</w:t>
      </w:r>
      <w:r w:rsidRPr="00184A72">
        <w:rPr>
          <w:sz w:val="16"/>
          <w:szCs w:val="16"/>
        </w:rPr>
        <w:t>adequate</w:t>
      </w:r>
      <w:r>
        <w:rPr>
          <w:sz w:val="16"/>
          <w:szCs w:val="16"/>
        </w:rPr>
        <w:t>”</w:t>
      </w:r>
      <w:r w:rsidRPr="00184A72">
        <w:rPr>
          <w:sz w:val="16"/>
          <w:szCs w:val="16"/>
        </w:rPr>
        <w:t xml:space="preserve"> judgements, in LA inspections prior to 2013, to </w:t>
      </w:r>
      <w:r>
        <w:rPr>
          <w:sz w:val="16"/>
          <w:szCs w:val="16"/>
        </w:rPr>
        <w:t>“</w:t>
      </w:r>
      <w:r w:rsidRPr="00184A72">
        <w:rPr>
          <w:sz w:val="16"/>
          <w:szCs w:val="16"/>
        </w:rPr>
        <w:t>requires improvement to be good</w:t>
      </w:r>
      <w:r>
        <w:rPr>
          <w:sz w:val="16"/>
          <w:szCs w:val="16"/>
        </w:rPr>
        <w:t>”</w:t>
      </w:r>
      <w:r w:rsidRPr="00184A72">
        <w:rPr>
          <w:sz w:val="16"/>
          <w:szCs w:val="16"/>
        </w:rPr>
        <w:t xml:space="preserve"> judgements, from 2013 onwards, in the SIF.</w:t>
      </w:r>
    </w:p>
  </w:footnote>
  <w:footnote w:id="17">
    <w:p w14:paraId="351CB608" w14:textId="77777777" w:rsidR="00494FCF" w:rsidRPr="008B65A9" w:rsidRDefault="00494FCF" w:rsidP="000A3F99">
      <w:pPr>
        <w:pStyle w:val="FootnoteText"/>
        <w:jc w:val="left"/>
        <w:rPr>
          <w:sz w:val="22"/>
        </w:rPr>
      </w:pPr>
      <w:r w:rsidRPr="00351839">
        <w:rPr>
          <w:rStyle w:val="FootnoteReference"/>
          <w:sz w:val="16"/>
          <w:szCs w:val="15"/>
        </w:rPr>
        <w:footnoteRef/>
      </w:r>
      <w:r w:rsidRPr="00351839">
        <w:rPr>
          <w:sz w:val="16"/>
          <w:szCs w:val="15"/>
        </w:rPr>
        <w:t xml:space="preserve"> The Safeguarding inspections were from July </w:t>
      </w:r>
      <w:r>
        <w:rPr>
          <w:sz w:val="16"/>
          <w:szCs w:val="15"/>
        </w:rPr>
        <w:t>2009-</w:t>
      </w:r>
      <w:r w:rsidRPr="00351839">
        <w:rPr>
          <w:sz w:val="16"/>
          <w:szCs w:val="15"/>
        </w:rPr>
        <w:t>July 2012, and the Child Protection inspections from Jul</w:t>
      </w:r>
      <w:r>
        <w:rPr>
          <w:sz w:val="16"/>
          <w:szCs w:val="15"/>
        </w:rPr>
        <w:t>y 2012-</w:t>
      </w:r>
      <w:r w:rsidRPr="00351839">
        <w:rPr>
          <w:sz w:val="16"/>
          <w:szCs w:val="15"/>
        </w:rPr>
        <w:t>July 2013.</w:t>
      </w:r>
      <w:r w:rsidRPr="008B65A9">
        <w:rPr>
          <w:sz w:val="22"/>
        </w:rPr>
        <w:t xml:space="preserve"> </w:t>
      </w:r>
    </w:p>
  </w:footnote>
  <w:footnote w:id="18">
    <w:p w14:paraId="298020B5" w14:textId="77777777" w:rsidR="00494FCF" w:rsidRPr="008B65A9" w:rsidRDefault="00494FCF" w:rsidP="000A3F99">
      <w:pPr>
        <w:pStyle w:val="FootnoteText"/>
        <w:jc w:val="left"/>
        <w:rPr>
          <w:sz w:val="22"/>
        </w:rPr>
      </w:pPr>
      <w:r w:rsidRPr="00351839">
        <w:rPr>
          <w:rStyle w:val="FootnoteReference"/>
          <w:sz w:val="16"/>
          <w:szCs w:val="15"/>
        </w:rPr>
        <w:footnoteRef/>
      </w:r>
      <w:r w:rsidRPr="00351839">
        <w:rPr>
          <w:sz w:val="22"/>
        </w:rPr>
        <w:t xml:space="preserve"> </w:t>
      </w:r>
      <w:r w:rsidRPr="00351839">
        <w:rPr>
          <w:sz w:val="16"/>
          <w:szCs w:val="15"/>
        </w:rPr>
        <w:t xml:space="preserve">The Looked After Children inspections were from July 2009 to July 2012. The data </w:t>
      </w:r>
      <w:r>
        <w:rPr>
          <w:sz w:val="16"/>
          <w:szCs w:val="15"/>
        </w:rPr>
        <w:t xml:space="preserve">also </w:t>
      </w:r>
      <w:r w:rsidRPr="00351839">
        <w:rPr>
          <w:sz w:val="16"/>
          <w:szCs w:val="15"/>
        </w:rPr>
        <w:t>include</w:t>
      </w:r>
      <w:r>
        <w:rPr>
          <w:sz w:val="16"/>
          <w:szCs w:val="15"/>
        </w:rPr>
        <w:t>s</w:t>
      </w:r>
      <w:r w:rsidRPr="00351839">
        <w:rPr>
          <w:sz w:val="16"/>
          <w:szCs w:val="15"/>
        </w:rPr>
        <w:t xml:space="preserve"> </w:t>
      </w:r>
      <w:r>
        <w:rPr>
          <w:sz w:val="16"/>
          <w:szCs w:val="15"/>
        </w:rPr>
        <w:t>a</w:t>
      </w:r>
      <w:r w:rsidRPr="00351839">
        <w:rPr>
          <w:sz w:val="16"/>
          <w:szCs w:val="15"/>
        </w:rPr>
        <w:t xml:space="preserve"> handful of Targeted Looked After Children </w:t>
      </w:r>
      <w:r>
        <w:rPr>
          <w:sz w:val="16"/>
          <w:szCs w:val="15"/>
        </w:rPr>
        <w:t>inspections which</w:t>
      </w:r>
      <w:r w:rsidRPr="00351839">
        <w:rPr>
          <w:sz w:val="16"/>
          <w:szCs w:val="15"/>
        </w:rPr>
        <w:t xml:space="preserve"> were conducted in the summer of 2013.</w:t>
      </w:r>
      <w:r w:rsidRPr="00351839" w:rsidDel="00FA0313">
        <w:rPr>
          <w:sz w:val="16"/>
          <w:szCs w:val="15"/>
        </w:rPr>
        <w:t xml:space="preserve"> </w:t>
      </w:r>
    </w:p>
  </w:footnote>
  <w:footnote w:id="19">
    <w:p w14:paraId="33738464" w14:textId="77777777" w:rsidR="00494FCF" w:rsidRPr="00781CAF" w:rsidRDefault="00494FCF">
      <w:pPr>
        <w:pStyle w:val="FootnoteText"/>
        <w:rPr>
          <w:sz w:val="16"/>
          <w:szCs w:val="16"/>
        </w:rPr>
      </w:pPr>
      <w:r w:rsidRPr="00781CAF">
        <w:rPr>
          <w:rStyle w:val="FootnoteReference"/>
          <w:sz w:val="16"/>
          <w:szCs w:val="16"/>
        </w:rPr>
        <w:footnoteRef/>
      </w:r>
      <w:r w:rsidRPr="00781CAF">
        <w:rPr>
          <w:sz w:val="16"/>
          <w:szCs w:val="16"/>
        </w:rPr>
        <w:t xml:space="preserve"> The timing of a SIF inspection is influenced by a number of factors, and so the gap between pre-SIF and SIF inspections varies depending on inspection scheduling.</w:t>
      </w:r>
      <w:r>
        <w:rPr>
          <w:sz w:val="16"/>
          <w:szCs w:val="16"/>
        </w:rPr>
        <w:t xml:space="preserve"> Two LAs have had a second SIF; both of them remained inadequate.</w:t>
      </w:r>
    </w:p>
  </w:footnote>
  <w:footnote w:id="20">
    <w:p w14:paraId="71AAB27D" w14:textId="77777777" w:rsidR="00494FCF" w:rsidRPr="00184A72" w:rsidRDefault="00494FCF">
      <w:pPr>
        <w:pStyle w:val="FootnoteText"/>
        <w:rPr>
          <w:sz w:val="16"/>
          <w:szCs w:val="16"/>
        </w:rPr>
      </w:pPr>
      <w:r w:rsidRPr="00184A72">
        <w:rPr>
          <w:rStyle w:val="FootnoteReference"/>
          <w:sz w:val="16"/>
          <w:szCs w:val="16"/>
        </w:rPr>
        <w:footnoteRef/>
      </w:r>
      <w:r w:rsidRPr="00184A72">
        <w:rPr>
          <w:sz w:val="16"/>
          <w:szCs w:val="16"/>
        </w:rPr>
        <w:t xml:space="preserve"> </w:t>
      </w:r>
      <w:r w:rsidRPr="00184A72">
        <w:rPr>
          <w:rFonts w:cs="Tahoma"/>
          <w:sz w:val="16"/>
          <w:szCs w:val="16"/>
        </w:rPr>
        <w:t xml:space="preserve">Ofsted conducts reviews of Local Safeguarding Children Boards (LSCBs) alongside the SIF inspections of </w:t>
      </w:r>
      <w:r>
        <w:rPr>
          <w:rFonts w:cs="Tahoma"/>
          <w:sz w:val="16"/>
          <w:szCs w:val="16"/>
        </w:rPr>
        <w:t>LA</w:t>
      </w:r>
      <w:r w:rsidRPr="00184A72">
        <w:rPr>
          <w:rFonts w:cs="Tahoma"/>
          <w:sz w:val="16"/>
          <w:szCs w:val="16"/>
        </w:rPr>
        <w:t xml:space="preserve"> children’s services. Their LSCB Overall effectiveness judgement is not, however, directly comparable to the SIF Overall effectiveness judgement. This review arrangement has been in place since November 2013.</w:t>
      </w:r>
    </w:p>
  </w:footnote>
  <w:footnote w:id="21">
    <w:p w14:paraId="3C8E4E29" w14:textId="77777777" w:rsidR="00494FCF" w:rsidRPr="00184A72" w:rsidRDefault="00494FCF">
      <w:pPr>
        <w:pStyle w:val="FootnoteText"/>
        <w:rPr>
          <w:sz w:val="16"/>
          <w:szCs w:val="16"/>
        </w:rPr>
      </w:pPr>
      <w:r w:rsidRPr="00184A72">
        <w:rPr>
          <w:rStyle w:val="FootnoteReference"/>
          <w:sz w:val="16"/>
          <w:szCs w:val="16"/>
        </w:rPr>
        <w:footnoteRef/>
      </w:r>
      <w:r w:rsidRPr="00184A72">
        <w:rPr>
          <w:sz w:val="16"/>
          <w:szCs w:val="16"/>
        </w:rPr>
        <w:t xml:space="preserve"> The three LSCBs (City of London, Hackney, and City of York) were all judged good or better for Children Looked After</w:t>
      </w:r>
      <w:r>
        <w:rPr>
          <w:sz w:val="16"/>
          <w:szCs w:val="16"/>
        </w:rPr>
        <w:t>, and Leadership and m</w:t>
      </w:r>
      <w:r w:rsidRPr="00184A72">
        <w:rPr>
          <w:sz w:val="16"/>
          <w:szCs w:val="16"/>
        </w:rPr>
        <w:t>anagement sub-judgements. Hackney and City of London we</w:t>
      </w:r>
      <w:r>
        <w:rPr>
          <w:sz w:val="16"/>
          <w:szCs w:val="16"/>
        </w:rPr>
        <w:t>re judged good for Children in n</w:t>
      </w:r>
      <w:r w:rsidRPr="00184A72">
        <w:rPr>
          <w:sz w:val="16"/>
          <w:szCs w:val="16"/>
        </w:rPr>
        <w:t xml:space="preserve">eed of </w:t>
      </w:r>
      <w:r>
        <w:rPr>
          <w:sz w:val="16"/>
          <w:szCs w:val="16"/>
        </w:rPr>
        <w:t>h</w:t>
      </w:r>
      <w:r w:rsidRPr="00184A72">
        <w:rPr>
          <w:sz w:val="16"/>
          <w:szCs w:val="16"/>
        </w:rPr>
        <w:t xml:space="preserve">elp and </w:t>
      </w:r>
      <w:r>
        <w:rPr>
          <w:sz w:val="16"/>
          <w:szCs w:val="16"/>
        </w:rPr>
        <w:t>p</w:t>
      </w:r>
      <w:r w:rsidRPr="00184A72">
        <w:rPr>
          <w:sz w:val="16"/>
          <w:szCs w:val="16"/>
        </w:rPr>
        <w:t>rotection; City of York was judged requires improvement to be good.</w:t>
      </w:r>
    </w:p>
  </w:footnote>
  <w:footnote w:id="22">
    <w:p w14:paraId="3A595256" w14:textId="77777777" w:rsidR="00494FCF" w:rsidRDefault="00494FCF">
      <w:pPr>
        <w:pStyle w:val="FootnoteText"/>
      </w:pPr>
      <w:r w:rsidRPr="00301A4B">
        <w:rPr>
          <w:rStyle w:val="FootnoteReference"/>
          <w:sz w:val="16"/>
        </w:rPr>
        <w:footnoteRef/>
      </w:r>
      <w:r w:rsidRPr="00301A4B">
        <w:rPr>
          <w:sz w:val="16"/>
        </w:rPr>
        <w:t xml:space="preserve"> The majority of children’s homes re-registrations (where a children’s home registration ends and a new registration starts on the same premises) are due to a change in ownership.</w:t>
      </w:r>
      <w:r>
        <w:t xml:space="preserve"> </w:t>
      </w:r>
    </w:p>
  </w:footnote>
  <w:footnote w:id="23">
    <w:p w14:paraId="0FB8861C" w14:textId="77777777" w:rsidR="00494FCF" w:rsidRPr="008A7DE8" w:rsidRDefault="00494FCF" w:rsidP="003820E7">
      <w:pPr>
        <w:pStyle w:val="FootnoteText"/>
        <w:jc w:val="left"/>
        <w:rPr>
          <w:sz w:val="16"/>
          <w:szCs w:val="16"/>
        </w:rPr>
      </w:pPr>
      <w:r w:rsidRPr="008A7DE8">
        <w:rPr>
          <w:rStyle w:val="FootnoteReference"/>
          <w:sz w:val="16"/>
          <w:szCs w:val="16"/>
        </w:rPr>
        <w:footnoteRef/>
      </w:r>
      <w:r w:rsidRPr="008A7DE8">
        <w:rPr>
          <w:sz w:val="16"/>
          <w:szCs w:val="16"/>
        </w:rPr>
        <w:t xml:space="preserve"> Nine homes are also run by health authorities</w:t>
      </w:r>
      <w:r>
        <w:rPr>
          <w:sz w:val="16"/>
          <w:szCs w:val="16"/>
        </w:rPr>
        <w:t xml:space="preserve"> and are excluded from this chart</w:t>
      </w:r>
      <w:r w:rsidRPr="008A7DE8">
        <w:rPr>
          <w:sz w:val="16"/>
          <w:szCs w:val="16"/>
        </w:rPr>
        <w:t>.</w:t>
      </w:r>
    </w:p>
  </w:footnote>
  <w:footnote w:id="24">
    <w:p w14:paraId="34FDA3FC" w14:textId="77777777" w:rsidR="00494FCF" w:rsidRPr="005E479C" w:rsidRDefault="00494FCF" w:rsidP="000D68DE">
      <w:pPr>
        <w:pStyle w:val="FootnoteText"/>
        <w:jc w:val="left"/>
        <w:rPr>
          <w:sz w:val="16"/>
          <w:szCs w:val="16"/>
        </w:rPr>
      </w:pPr>
      <w:r w:rsidRPr="005E479C">
        <w:rPr>
          <w:rStyle w:val="FootnoteReference"/>
          <w:sz w:val="16"/>
          <w:szCs w:val="16"/>
        </w:rPr>
        <w:footnoteRef/>
      </w:r>
      <w:r w:rsidRPr="005E479C">
        <w:rPr>
          <w:sz w:val="16"/>
          <w:szCs w:val="16"/>
        </w:rPr>
        <w:t xml:space="preserve"> In this release, this sub-type of children’s home means any home that does not fall within the other two sub types below, that is, is </w:t>
      </w:r>
      <w:r w:rsidRPr="005E479C">
        <w:rPr>
          <w:i/>
          <w:sz w:val="16"/>
          <w:szCs w:val="16"/>
        </w:rPr>
        <w:t>not</w:t>
      </w:r>
      <w:r w:rsidRPr="005E479C">
        <w:rPr>
          <w:sz w:val="16"/>
          <w:szCs w:val="16"/>
        </w:rPr>
        <w:t xml:space="preserve"> a residential special school registered as a children’s home and is </w:t>
      </w:r>
      <w:r w:rsidRPr="005E479C">
        <w:rPr>
          <w:i/>
          <w:sz w:val="16"/>
          <w:szCs w:val="16"/>
        </w:rPr>
        <w:t>not</w:t>
      </w:r>
      <w:r w:rsidRPr="005E479C">
        <w:rPr>
          <w:sz w:val="16"/>
          <w:szCs w:val="16"/>
        </w:rPr>
        <w:t xml:space="preserve"> a secure children’s home. Further details about children’s homes and what they are can be found in the glossary.</w:t>
      </w:r>
    </w:p>
  </w:footnote>
  <w:footnote w:id="25">
    <w:p w14:paraId="0188BCCA" w14:textId="77777777" w:rsidR="00494FCF" w:rsidRPr="005E479C" w:rsidRDefault="00494FCF" w:rsidP="000D68DE">
      <w:pPr>
        <w:pStyle w:val="FootnoteText"/>
        <w:jc w:val="left"/>
        <w:rPr>
          <w:sz w:val="16"/>
          <w:szCs w:val="16"/>
        </w:rPr>
      </w:pPr>
      <w:r w:rsidRPr="005E479C">
        <w:rPr>
          <w:rStyle w:val="FootnoteReference"/>
          <w:sz w:val="16"/>
          <w:szCs w:val="16"/>
        </w:rPr>
        <w:footnoteRef/>
      </w:r>
      <w:r w:rsidRPr="005E479C">
        <w:rPr>
          <w:sz w:val="16"/>
          <w:szCs w:val="16"/>
        </w:rPr>
        <w:t xml:space="preserve"> Schools that provide accommodation for pupils for more than 295 days each year, including specialist and mainstream schools, must register as a children’s home if, within any two-year period, one child or more, who boards at the school or in lodgings arranged by the school, stays for more than 295 days over any 12-month period within those two years.</w:t>
      </w:r>
    </w:p>
  </w:footnote>
  <w:footnote w:id="26">
    <w:p w14:paraId="75BF345F" w14:textId="77777777" w:rsidR="00494FCF" w:rsidRPr="007562FF" w:rsidRDefault="00494FCF" w:rsidP="00CF23DC">
      <w:pPr>
        <w:pStyle w:val="FootnoteText"/>
        <w:jc w:val="left"/>
        <w:rPr>
          <w:sz w:val="16"/>
          <w:szCs w:val="16"/>
        </w:rPr>
      </w:pPr>
      <w:r w:rsidRPr="007562FF">
        <w:rPr>
          <w:rStyle w:val="FootnoteReference"/>
          <w:sz w:val="16"/>
          <w:szCs w:val="16"/>
        </w:rPr>
        <w:footnoteRef/>
      </w:r>
      <w:r w:rsidRPr="007562FF">
        <w:rPr>
          <w:sz w:val="16"/>
          <w:szCs w:val="16"/>
        </w:rPr>
        <w:t xml:space="preserve"> It is not always possible to easily distinguish residential special schools registered as children's homes from children's homes and as such changes in the numbers of these homes are sometimes the result of updated information rather than new registrations or de-registrations.</w:t>
      </w:r>
    </w:p>
  </w:footnote>
  <w:footnote w:id="27">
    <w:p w14:paraId="43491A0C" w14:textId="77777777" w:rsidR="00494FCF" w:rsidRPr="005E479C" w:rsidRDefault="00494FCF" w:rsidP="000D68DE">
      <w:pPr>
        <w:pStyle w:val="FootnoteText"/>
        <w:jc w:val="left"/>
        <w:rPr>
          <w:sz w:val="16"/>
          <w:szCs w:val="16"/>
        </w:rPr>
      </w:pPr>
      <w:r w:rsidRPr="005E479C">
        <w:rPr>
          <w:rStyle w:val="FootnoteReference"/>
          <w:sz w:val="16"/>
          <w:szCs w:val="16"/>
        </w:rPr>
        <w:footnoteRef/>
      </w:r>
      <w:r w:rsidRPr="005E479C">
        <w:rPr>
          <w:sz w:val="16"/>
          <w:szCs w:val="16"/>
        </w:rPr>
        <w:t xml:space="preserve"> Secure children’s homes are defined by section 25 of the Children Act 1989. They accommodate children and young people who are remanded or have been sentenced for committing a criminal offence. They also accommodate children and young people who are placed there by a court because their behaviour is deemed to present a significant and immediate threat to their safety or the safety of others, unless they are placed in a secure environment.</w:t>
      </w:r>
    </w:p>
  </w:footnote>
  <w:footnote w:id="28">
    <w:p w14:paraId="66791533" w14:textId="77777777" w:rsidR="00494FCF" w:rsidRPr="005E479C" w:rsidRDefault="00494FCF" w:rsidP="000D72F3">
      <w:pPr>
        <w:pStyle w:val="FootnoteText"/>
        <w:jc w:val="left"/>
        <w:rPr>
          <w:sz w:val="16"/>
          <w:szCs w:val="16"/>
        </w:rPr>
      </w:pPr>
      <w:r w:rsidRPr="005E479C">
        <w:rPr>
          <w:rStyle w:val="FootnoteReference"/>
          <w:sz w:val="16"/>
          <w:szCs w:val="16"/>
        </w:rPr>
        <w:footnoteRef/>
      </w:r>
      <w:r w:rsidRPr="005E479C">
        <w:rPr>
          <w:sz w:val="16"/>
          <w:szCs w:val="16"/>
        </w:rPr>
        <w:t xml:space="preserve"> The difference in the number of newly registered places (joiners) and de-registered places (leavers) from 31 March 201</w:t>
      </w:r>
      <w:r>
        <w:rPr>
          <w:sz w:val="16"/>
          <w:szCs w:val="16"/>
        </w:rPr>
        <w:t>6</w:t>
      </w:r>
      <w:r w:rsidRPr="005E479C">
        <w:rPr>
          <w:sz w:val="16"/>
          <w:szCs w:val="16"/>
        </w:rPr>
        <w:t xml:space="preserve"> to 31 March 201</w:t>
      </w:r>
      <w:r>
        <w:rPr>
          <w:sz w:val="16"/>
          <w:szCs w:val="16"/>
        </w:rPr>
        <w:t>7</w:t>
      </w:r>
      <w:r w:rsidRPr="005E479C">
        <w:rPr>
          <w:sz w:val="16"/>
          <w:szCs w:val="16"/>
        </w:rPr>
        <w:t xml:space="preserve"> does not always match the actual change in the number of places over the year. It is not always possible to easily distinguish residential special schools registered as children's homes from children's homes and as such changes in the numbers of places are sometimes the result of updated information rather than new registrations or de-registrations. Second</w:t>
      </w:r>
      <w:r>
        <w:rPr>
          <w:sz w:val="16"/>
          <w:szCs w:val="16"/>
        </w:rPr>
        <w:t>ly</w:t>
      </w:r>
      <w:r w:rsidRPr="005E479C">
        <w:rPr>
          <w:sz w:val="16"/>
          <w:szCs w:val="16"/>
        </w:rPr>
        <w:t>, for all provision types in these data, providers who were active at both the start and end period can also change</w:t>
      </w:r>
      <w:r>
        <w:rPr>
          <w:sz w:val="16"/>
          <w:szCs w:val="16"/>
        </w:rPr>
        <w:t xml:space="preserve"> the number of places they have;</w:t>
      </w:r>
      <w:r w:rsidRPr="005E479C">
        <w:rPr>
          <w:sz w:val="16"/>
          <w:szCs w:val="16"/>
        </w:rPr>
        <w:t xml:space="preserve"> these are known as steady state places.</w:t>
      </w:r>
    </w:p>
  </w:footnote>
  <w:footnote w:id="29">
    <w:p w14:paraId="4E2F335F" w14:textId="77777777" w:rsidR="00494FCF" w:rsidRDefault="00494FCF" w:rsidP="000D72F3">
      <w:pPr>
        <w:pStyle w:val="FootnoteText"/>
      </w:pPr>
      <w:r w:rsidRPr="00360100">
        <w:rPr>
          <w:rStyle w:val="FootnoteReference"/>
          <w:sz w:val="16"/>
        </w:rPr>
        <w:footnoteRef/>
      </w:r>
      <w:r w:rsidRPr="00360100">
        <w:rPr>
          <w:sz w:val="16"/>
        </w:rPr>
        <w:t xml:space="preserve"> </w:t>
      </w:r>
      <w:r w:rsidRPr="00360100">
        <w:rPr>
          <w:rFonts w:cs="Tahoma"/>
          <w:sz w:val="16"/>
        </w:rPr>
        <w:t xml:space="preserve">Children’s homes, as distinct from residential special schools registered as children’s homes and secure children’s homes, provide care that meets the various, diverse needs of children looked after. Some specialise in a particular set of needs, such as children on the autistic spectrum or children with behavioural difficulties. They are inspected </w:t>
      </w:r>
      <w:r>
        <w:rPr>
          <w:rFonts w:cs="Tahoma"/>
          <w:sz w:val="16"/>
        </w:rPr>
        <w:t>at least once every year</w:t>
      </w:r>
      <w:r w:rsidRPr="00360100">
        <w:rPr>
          <w:rFonts w:cs="Tahoma"/>
          <w:sz w:val="16"/>
        </w:rPr>
        <w:t>.</w:t>
      </w:r>
    </w:p>
  </w:footnote>
  <w:footnote w:id="30">
    <w:p w14:paraId="03D2A84B" w14:textId="77777777" w:rsidR="00494FCF" w:rsidRPr="005E479C" w:rsidRDefault="00494FCF" w:rsidP="000D72F3">
      <w:pPr>
        <w:pStyle w:val="FootnoteText"/>
        <w:jc w:val="left"/>
        <w:rPr>
          <w:sz w:val="16"/>
          <w:szCs w:val="16"/>
        </w:rPr>
      </w:pPr>
      <w:r w:rsidRPr="005E479C">
        <w:rPr>
          <w:rStyle w:val="FootnoteReference"/>
          <w:sz w:val="16"/>
          <w:szCs w:val="16"/>
        </w:rPr>
        <w:footnoteRef/>
      </w:r>
      <w:r w:rsidRPr="005E479C">
        <w:rPr>
          <w:sz w:val="16"/>
          <w:szCs w:val="16"/>
        </w:rPr>
        <w:t xml:space="preserve"> The other </w:t>
      </w:r>
      <w:r>
        <w:rPr>
          <w:sz w:val="16"/>
          <w:szCs w:val="16"/>
        </w:rPr>
        <w:t xml:space="preserve">three </w:t>
      </w:r>
      <w:r w:rsidRPr="005E479C">
        <w:rPr>
          <w:sz w:val="16"/>
          <w:szCs w:val="16"/>
        </w:rPr>
        <w:t>w</w:t>
      </w:r>
      <w:r>
        <w:rPr>
          <w:sz w:val="16"/>
          <w:szCs w:val="16"/>
        </w:rPr>
        <w:t>ere</w:t>
      </w:r>
      <w:r w:rsidRPr="005E479C">
        <w:rPr>
          <w:sz w:val="16"/>
          <w:szCs w:val="16"/>
        </w:rPr>
        <w:t xml:space="preserve"> re-registration</w:t>
      </w:r>
      <w:r>
        <w:rPr>
          <w:sz w:val="16"/>
          <w:szCs w:val="16"/>
        </w:rPr>
        <w:t>s</w:t>
      </w:r>
      <w:r w:rsidRPr="005E479C">
        <w:rPr>
          <w:sz w:val="16"/>
          <w:szCs w:val="16"/>
        </w:rPr>
        <w:t xml:space="preserve"> of residential special school</w:t>
      </w:r>
      <w:r>
        <w:rPr>
          <w:sz w:val="16"/>
          <w:szCs w:val="16"/>
        </w:rPr>
        <w:t>s</w:t>
      </w:r>
      <w:r w:rsidRPr="005E479C">
        <w:rPr>
          <w:sz w:val="16"/>
          <w:szCs w:val="16"/>
        </w:rPr>
        <w:t xml:space="preserve"> registered as children’s home</w:t>
      </w:r>
      <w:r>
        <w:rPr>
          <w:sz w:val="16"/>
          <w:szCs w:val="16"/>
        </w:rPr>
        <w:t>s</w:t>
      </w:r>
      <w:r w:rsidRPr="005E479C">
        <w:rPr>
          <w:sz w:val="16"/>
          <w:szCs w:val="16"/>
        </w:rPr>
        <w:t>.</w:t>
      </w:r>
      <w:r>
        <w:rPr>
          <w:sz w:val="16"/>
          <w:szCs w:val="16"/>
        </w:rPr>
        <w:t xml:space="preserve"> One was previously registered as residential special schools but re-registered as residential special schools registered as children’s homes, and the two were a re-registrations due to new ownership.</w:t>
      </w:r>
    </w:p>
  </w:footnote>
  <w:footnote w:id="31">
    <w:p w14:paraId="438F047C" w14:textId="77777777" w:rsidR="00494FCF" w:rsidRDefault="00494FCF">
      <w:pPr>
        <w:pStyle w:val="FootnoteText"/>
      </w:pPr>
      <w:r w:rsidRPr="00301A4B">
        <w:rPr>
          <w:rStyle w:val="FootnoteReference"/>
          <w:sz w:val="16"/>
        </w:rPr>
        <w:footnoteRef/>
      </w:r>
      <w:r w:rsidRPr="00301A4B">
        <w:rPr>
          <w:sz w:val="16"/>
        </w:rPr>
        <w:t xml:space="preserve"> </w:t>
      </w:r>
      <w:r w:rsidRPr="00301A4B">
        <w:rPr>
          <w:rFonts w:cs="Tahoma"/>
          <w:bCs/>
          <w:color w:val="000000"/>
          <w:sz w:val="16"/>
        </w:rPr>
        <w:t>Sector refers to the type of provider that owns the children’s social care provision. Definitions of the different types of provider are available in the glossary at the end of this document.</w:t>
      </w:r>
    </w:p>
  </w:footnote>
  <w:footnote w:id="32">
    <w:p w14:paraId="60ABEE93" w14:textId="77777777" w:rsidR="00494FCF" w:rsidRDefault="00494FCF" w:rsidP="000D72F3">
      <w:pPr>
        <w:pStyle w:val="FootnoteText"/>
        <w:jc w:val="left"/>
      </w:pPr>
      <w:r w:rsidRPr="007562FF">
        <w:rPr>
          <w:rStyle w:val="FootnoteReference"/>
          <w:sz w:val="16"/>
          <w:szCs w:val="16"/>
        </w:rPr>
        <w:footnoteRef/>
      </w:r>
      <w:r w:rsidRPr="007562FF">
        <w:rPr>
          <w:sz w:val="16"/>
          <w:szCs w:val="16"/>
        </w:rPr>
        <w:t xml:space="preserve"> </w:t>
      </w:r>
      <w:r w:rsidRPr="007562FF">
        <w:rPr>
          <w:rFonts w:cs="Tahoma"/>
          <w:sz w:val="16"/>
          <w:szCs w:val="16"/>
        </w:rPr>
        <w:t>The childr</w:t>
      </w:r>
      <w:r>
        <w:rPr>
          <w:rFonts w:cs="Tahoma"/>
          <w:sz w:val="16"/>
          <w:szCs w:val="16"/>
        </w:rPr>
        <w:t xml:space="preserve">en that receive short-break care </w:t>
      </w:r>
      <w:r w:rsidRPr="007562FF">
        <w:rPr>
          <w:rFonts w:cs="Tahoma"/>
          <w:sz w:val="16"/>
          <w:szCs w:val="16"/>
        </w:rPr>
        <w:t>only are a discrete group of children whose needs mainly relate to their disabilities. For the most part, they live with their families and are “looked after” only when staying in these short-break homes</w:t>
      </w:r>
      <w:r>
        <w:rPr>
          <w:rFonts w:cs="Tahoma"/>
          <w:sz w:val="16"/>
          <w:szCs w:val="16"/>
        </w:rPr>
        <w:t>.</w:t>
      </w:r>
    </w:p>
  </w:footnote>
  <w:footnote w:id="33">
    <w:p w14:paraId="3EEC5BF6" w14:textId="77777777" w:rsidR="00494FCF" w:rsidRDefault="00494FCF" w:rsidP="000D72F3">
      <w:pPr>
        <w:pStyle w:val="FootnoteText"/>
      </w:pPr>
      <w:r w:rsidRPr="00B25120">
        <w:rPr>
          <w:rStyle w:val="FootnoteReference"/>
          <w:sz w:val="16"/>
        </w:rPr>
        <w:footnoteRef/>
      </w:r>
      <w:r w:rsidRPr="00B25120">
        <w:rPr>
          <w:sz w:val="16"/>
        </w:rPr>
        <w:t xml:space="preserve"> </w:t>
      </w:r>
      <w:r w:rsidRPr="00B25120">
        <w:rPr>
          <w:rFonts w:cs="Tahoma"/>
          <w:sz w:val="16"/>
        </w:rPr>
        <w:t>Residential special schools registered as children’s homes specialise in educational provision for very vulnerable children, some of whom</w:t>
      </w:r>
      <w:r>
        <w:rPr>
          <w:rFonts w:cs="Tahoma"/>
          <w:sz w:val="16"/>
        </w:rPr>
        <w:t xml:space="preserve"> (those who are resident for more than 295 days in a year)</w:t>
      </w:r>
      <w:r w:rsidRPr="00B25120">
        <w:rPr>
          <w:rFonts w:cs="Tahoma"/>
          <w:sz w:val="16"/>
        </w:rPr>
        <w:t xml:space="preserve"> are children looked after.</w:t>
      </w:r>
    </w:p>
  </w:footnote>
  <w:footnote w:id="34">
    <w:p w14:paraId="0C90CF0D" w14:textId="77777777" w:rsidR="00494FCF" w:rsidRDefault="00494FCF" w:rsidP="000D72F3">
      <w:pPr>
        <w:pStyle w:val="FootnoteText"/>
      </w:pPr>
      <w:r w:rsidRPr="00FE7943">
        <w:rPr>
          <w:rStyle w:val="FootnoteReference"/>
          <w:sz w:val="16"/>
        </w:rPr>
        <w:footnoteRef/>
      </w:r>
      <w:r w:rsidRPr="00FE7943">
        <w:rPr>
          <w:sz w:val="16"/>
        </w:rPr>
        <w:t xml:space="preserve"> </w:t>
      </w:r>
      <w:r w:rsidRPr="00FE7943">
        <w:rPr>
          <w:rFonts w:cs="Tahoma"/>
          <w:sz w:val="16"/>
        </w:rPr>
        <w:t>Secure children’s homes provide services to young people who have placed themselves, or others, at risk of harm. These homes meet the young people’s needs within a secure environment, including residential care, educational facilities and healthcare provision.</w:t>
      </w:r>
    </w:p>
  </w:footnote>
  <w:footnote w:id="35">
    <w:p w14:paraId="2A63E1AB" w14:textId="77777777" w:rsidR="00494FCF" w:rsidRDefault="00494FCF" w:rsidP="000D72F3">
      <w:pPr>
        <w:pStyle w:val="FootnoteText"/>
      </w:pPr>
      <w:r w:rsidRPr="000557C5">
        <w:rPr>
          <w:rStyle w:val="FootnoteReference"/>
          <w:sz w:val="16"/>
        </w:rPr>
        <w:footnoteRef/>
      </w:r>
      <w:r w:rsidRPr="000557C5">
        <w:rPr>
          <w:sz w:val="16"/>
        </w:rPr>
        <w:t xml:space="preserve"> </w:t>
      </w:r>
      <w:hyperlink r:id="rId2" w:history="1">
        <w:r w:rsidRPr="000769E7">
          <w:rPr>
            <w:rStyle w:val="Hyperlink"/>
            <w:sz w:val="16"/>
            <w:u w:val="none"/>
          </w:rPr>
          <w:t>www.gov.uk/government/statistics/children-accommodated-in-secure-childrens-homes-31-march-2017</w:t>
        </w:r>
      </w:hyperlink>
    </w:p>
  </w:footnote>
  <w:footnote w:id="36">
    <w:p w14:paraId="54D51C96" w14:textId="77777777" w:rsidR="00494FCF" w:rsidRPr="00301A4B" w:rsidRDefault="00494FCF" w:rsidP="00301A4B">
      <w:pPr>
        <w:pStyle w:val="FootnoteText"/>
        <w:jc w:val="left"/>
        <w:rPr>
          <w:sz w:val="16"/>
          <w:szCs w:val="16"/>
        </w:rPr>
      </w:pPr>
      <w:r w:rsidRPr="00301A4B">
        <w:rPr>
          <w:rStyle w:val="FootnoteReference"/>
          <w:sz w:val="16"/>
          <w:szCs w:val="16"/>
        </w:rPr>
        <w:footnoteRef/>
      </w:r>
      <w:r w:rsidRPr="00301A4B">
        <w:rPr>
          <w:sz w:val="16"/>
          <w:szCs w:val="16"/>
        </w:rPr>
        <w:t xml:space="preserve"> </w:t>
      </w:r>
      <w:r w:rsidRPr="00C65673">
        <w:rPr>
          <w:i/>
          <w:sz w:val="16"/>
          <w:szCs w:val="16"/>
        </w:rPr>
        <w:t>Residential Care in England</w:t>
      </w:r>
      <w:r w:rsidRPr="00301A4B">
        <w:rPr>
          <w:sz w:val="16"/>
          <w:szCs w:val="16"/>
        </w:rPr>
        <w:t xml:space="preserve">, DfE, July 2016, available here: </w:t>
      </w:r>
      <w:hyperlink r:id="rId3" w:history="1">
        <w:r w:rsidRPr="000769E7">
          <w:rPr>
            <w:rStyle w:val="Hyperlink"/>
            <w:sz w:val="16"/>
            <w:szCs w:val="16"/>
            <w:u w:val="none"/>
          </w:rPr>
          <w:t>www.gov.uk/government/publications/childrens-residential-care-in-england</w:t>
        </w:r>
      </w:hyperlink>
      <w:r w:rsidRPr="00301A4B">
        <w:rPr>
          <w:sz w:val="16"/>
          <w:szCs w:val="16"/>
        </w:rPr>
        <w:t xml:space="preserve"> </w:t>
      </w:r>
    </w:p>
  </w:footnote>
  <w:footnote w:id="37">
    <w:p w14:paraId="0EB67A91" w14:textId="77777777" w:rsidR="00494FCF" w:rsidRPr="00476E49" w:rsidRDefault="00494FCF" w:rsidP="000D72F3">
      <w:pPr>
        <w:pStyle w:val="FootnoteText"/>
        <w:jc w:val="left"/>
        <w:rPr>
          <w:sz w:val="16"/>
          <w:szCs w:val="16"/>
        </w:rPr>
      </w:pPr>
      <w:r w:rsidRPr="00476E49">
        <w:rPr>
          <w:rStyle w:val="FootnoteReference"/>
          <w:sz w:val="16"/>
          <w:szCs w:val="16"/>
        </w:rPr>
        <w:footnoteRef/>
      </w:r>
      <w:r w:rsidRPr="00476E49">
        <w:rPr>
          <w:sz w:val="16"/>
          <w:szCs w:val="16"/>
        </w:rPr>
        <w:t xml:space="preserve"> Homes found at some point to be inadequate, or homes for which concerns were raised which required additional inspections.</w:t>
      </w:r>
    </w:p>
  </w:footnote>
  <w:footnote w:id="38">
    <w:p w14:paraId="0988B883" w14:textId="77777777" w:rsidR="00494FCF" w:rsidRPr="00476E49" w:rsidRDefault="00494FCF" w:rsidP="000D72F3">
      <w:pPr>
        <w:pStyle w:val="FootnoteText"/>
        <w:jc w:val="left"/>
        <w:rPr>
          <w:sz w:val="16"/>
          <w:szCs w:val="16"/>
        </w:rPr>
      </w:pPr>
      <w:r w:rsidRPr="00476E49">
        <w:rPr>
          <w:rStyle w:val="FootnoteReference"/>
          <w:sz w:val="16"/>
          <w:szCs w:val="16"/>
        </w:rPr>
        <w:footnoteRef/>
      </w:r>
      <w:r w:rsidRPr="00476E49">
        <w:rPr>
          <w:sz w:val="16"/>
          <w:szCs w:val="16"/>
        </w:rPr>
        <w:t xml:space="preserve"> </w:t>
      </w:r>
      <w:r w:rsidRPr="00476E49">
        <w:rPr>
          <w:rFonts w:cs="Tahoma"/>
          <w:sz w:val="16"/>
          <w:szCs w:val="16"/>
        </w:rPr>
        <w:t>Homes with no children on roll and with no plans to accept children within the following three months after the inspection would have taken place, were not inspected. Additionally, some homes registered too late in the year to receive a full inspection prior to the end of March.</w:t>
      </w:r>
    </w:p>
  </w:footnote>
  <w:footnote w:id="39">
    <w:p w14:paraId="5D1B3708" w14:textId="77777777" w:rsidR="00494FCF" w:rsidRPr="00A21E19" w:rsidRDefault="00494FCF" w:rsidP="000D72F3">
      <w:pPr>
        <w:pStyle w:val="FootnoteText"/>
        <w:jc w:val="left"/>
        <w:rPr>
          <w:sz w:val="16"/>
          <w:szCs w:val="15"/>
        </w:rPr>
      </w:pPr>
      <w:r w:rsidRPr="00A21E19">
        <w:rPr>
          <w:rStyle w:val="FootnoteReference"/>
          <w:sz w:val="16"/>
          <w:szCs w:val="15"/>
        </w:rPr>
        <w:footnoteRef/>
      </w:r>
      <w:r w:rsidRPr="00A21E19">
        <w:rPr>
          <w:sz w:val="16"/>
          <w:szCs w:val="15"/>
        </w:rPr>
        <w:t xml:space="preserve"> The inspection is the most recent full inspection the provision had received and is not necessarily from 201</w:t>
      </w:r>
      <w:r>
        <w:rPr>
          <w:sz w:val="16"/>
          <w:szCs w:val="15"/>
        </w:rPr>
        <w:t>6</w:t>
      </w:r>
      <w:r w:rsidRPr="00A21E19">
        <w:rPr>
          <w:sz w:val="16"/>
          <w:szCs w:val="15"/>
        </w:rPr>
        <w:t>-1</w:t>
      </w:r>
      <w:r>
        <w:rPr>
          <w:sz w:val="16"/>
          <w:szCs w:val="15"/>
        </w:rPr>
        <w:t>7</w:t>
      </w:r>
      <w:r w:rsidRPr="00A21E19">
        <w:rPr>
          <w:sz w:val="16"/>
          <w:szCs w:val="15"/>
        </w:rPr>
        <w:t>.</w:t>
      </w:r>
    </w:p>
  </w:footnote>
  <w:footnote w:id="40">
    <w:p w14:paraId="781B05A5" w14:textId="77777777" w:rsidR="00494FCF" w:rsidRDefault="00494FCF" w:rsidP="000D72F3">
      <w:pPr>
        <w:pStyle w:val="FootnoteText"/>
      </w:pPr>
      <w:r w:rsidRPr="00F1644C">
        <w:rPr>
          <w:rStyle w:val="FootnoteReference"/>
          <w:sz w:val="16"/>
        </w:rPr>
        <w:footnoteRef/>
      </w:r>
      <w:r w:rsidRPr="00F1644C">
        <w:rPr>
          <w:sz w:val="16"/>
        </w:rPr>
        <w:t xml:space="preserve"> </w:t>
      </w:r>
      <w:r w:rsidRPr="00F1644C">
        <w:rPr>
          <w:rFonts w:cs="Tahoma"/>
          <w:sz w:val="16"/>
        </w:rPr>
        <w:t>Most of these (2,028) were inspections of children’s homes, while 4% (94) were inspections of residential special schools registered as children’s homes, and less than 1% (15) were of secure children’s homes.</w:t>
      </w:r>
    </w:p>
  </w:footnote>
  <w:footnote w:id="41">
    <w:p w14:paraId="3FB47FAE" w14:textId="77777777" w:rsidR="00494FCF" w:rsidRPr="00476E49" w:rsidRDefault="00494FCF" w:rsidP="000D72F3">
      <w:pPr>
        <w:pStyle w:val="FootnoteText"/>
        <w:jc w:val="left"/>
        <w:rPr>
          <w:sz w:val="16"/>
          <w:szCs w:val="16"/>
        </w:rPr>
      </w:pPr>
      <w:r w:rsidRPr="00476E49">
        <w:rPr>
          <w:rStyle w:val="FootnoteReference"/>
          <w:sz w:val="16"/>
          <w:szCs w:val="16"/>
        </w:rPr>
        <w:footnoteRef/>
      </w:r>
      <w:r w:rsidRPr="00476E49">
        <w:rPr>
          <w:sz w:val="16"/>
          <w:szCs w:val="16"/>
        </w:rPr>
        <w:t xml:space="preserve"> “Requires improvement to be good” was previously </w:t>
      </w:r>
      <w:r>
        <w:rPr>
          <w:sz w:val="16"/>
          <w:szCs w:val="16"/>
        </w:rPr>
        <w:t>“</w:t>
      </w:r>
      <w:r w:rsidRPr="00476E49">
        <w:rPr>
          <w:sz w:val="16"/>
          <w:szCs w:val="16"/>
        </w:rPr>
        <w:t>adequate</w:t>
      </w:r>
      <w:r>
        <w:rPr>
          <w:sz w:val="16"/>
          <w:szCs w:val="16"/>
        </w:rPr>
        <w:t>”, prior to the change in inspection framework on 1 April 2015.</w:t>
      </w:r>
    </w:p>
  </w:footnote>
  <w:footnote w:id="42">
    <w:p w14:paraId="0A93100E" w14:textId="77777777" w:rsidR="00494FCF" w:rsidRPr="00301A4B" w:rsidRDefault="00494FCF">
      <w:pPr>
        <w:pStyle w:val="FootnoteText"/>
        <w:rPr>
          <w:sz w:val="16"/>
          <w:szCs w:val="16"/>
        </w:rPr>
      </w:pPr>
      <w:r w:rsidRPr="00301A4B">
        <w:rPr>
          <w:rStyle w:val="FootnoteReference"/>
          <w:sz w:val="16"/>
          <w:szCs w:val="16"/>
        </w:rPr>
        <w:footnoteRef/>
      </w:r>
      <w:r w:rsidRPr="00301A4B">
        <w:rPr>
          <w:sz w:val="16"/>
          <w:szCs w:val="16"/>
        </w:rPr>
        <w:t xml:space="preserve"> </w:t>
      </w:r>
      <w:r w:rsidRPr="00301A4B">
        <w:rPr>
          <w:rFonts w:cs="Tahoma"/>
          <w:sz w:val="16"/>
          <w:szCs w:val="16"/>
        </w:rPr>
        <w:t>Two homes were originally found to be requires improvement to be good at their first full inspection of the cycle and one home was originally found to be good at their first full inspection of the cycle.</w:t>
      </w:r>
    </w:p>
  </w:footnote>
  <w:footnote w:id="43">
    <w:p w14:paraId="46DB9465" w14:textId="77777777" w:rsidR="00494FCF" w:rsidRDefault="00494FCF" w:rsidP="000A11C0">
      <w:pPr>
        <w:pStyle w:val="FootnoteText"/>
      </w:pPr>
      <w:r w:rsidRPr="00110D28">
        <w:rPr>
          <w:rStyle w:val="FootnoteReference"/>
          <w:sz w:val="16"/>
        </w:rPr>
        <w:footnoteRef/>
      </w:r>
      <w:r w:rsidRPr="00110D28">
        <w:rPr>
          <w:sz w:val="16"/>
        </w:rPr>
        <w:t xml:space="preserve"> Failures in safeguarding, leadership and management, and restraint and restrictive practices are three common </w:t>
      </w:r>
      <w:r>
        <w:rPr>
          <w:sz w:val="16"/>
        </w:rPr>
        <w:t>factors</w:t>
      </w:r>
      <w:r w:rsidRPr="00110D28">
        <w:rPr>
          <w:sz w:val="16"/>
        </w:rPr>
        <w:t xml:space="preserve"> leading to an inadequate Overall effectiveness judgement</w:t>
      </w:r>
      <w:r w:rsidRPr="007D6E58">
        <w:rPr>
          <w:sz w:val="16"/>
        </w:rPr>
        <w:t>.</w:t>
      </w:r>
    </w:p>
  </w:footnote>
  <w:footnote w:id="44">
    <w:p w14:paraId="70D8C014" w14:textId="77777777" w:rsidR="00494FCF" w:rsidRDefault="00494FCF" w:rsidP="000D72F3">
      <w:pPr>
        <w:pStyle w:val="FootnoteText"/>
      </w:pPr>
      <w:r w:rsidRPr="00110D28">
        <w:rPr>
          <w:rStyle w:val="FootnoteReference"/>
          <w:sz w:val="16"/>
        </w:rPr>
        <w:footnoteRef/>
      </w:r>
      <w:r w:rsidRPr="00110D28">
        <w:rPr>
          <w:sz w:val="16"/>
        </w:rPr>
        <w:t xml:space="preserve"> Ninety four of these were children’s homes, eight were residential special schools registered as children’s homes</w:t>
      </w:r>
      <w:r>
        <w:rPr>
          <w:sz w:val="16"/>
        </w:rPr>
        <w:t>,</w:t>
      </w:r>
      <w:r w:rsidRPr="00110D28">
        <w:rPr>
          <w:sz w:val="16"/>
        </w:rPr>
        <w:t xml:space="preserve"> and one was a secure children’s home.</w:t>
      </w:r>
    </w:p>
  </w:footnote>
  <w:footnote w:id="45">
    <w:p w14:paraId="464DB3DB" w14:textId="77777777" w:rsidR="00494FCF" w:rsidRDefault="00494FCF" w:rsidP="000D72F3">
      <w:pPr>
        <w:pStyle w:val="FootnoteText"/>
        <w:jc w:val="left"/>
      </w:pPr>
      <w:r w:rsidRPr="00476E49">
        <w:rPr>
          <w:rStyle w:val="FootnoteReference"/>
          <w:sz w:val="16"/>
          <w:szCs w:val="16"/>
        </w:rPr>
        <w:footnoteRef/>
      </w:r>
      <w:r w:rsidRPr="00476E49">
        <w:rPr>
          <w:sz w:val="16"/>
          <w:szCs w:val="16"/>
        </w:rPr>
        <w:t xml:space="preserve"> </w:t>
      </w:r>
      <w:r>
        <w:rPr>
          <w:sz w:val="16"/>
          <w:szCs w:val="16"/>
        </w:rPr>
        <w:t>Around ten</w:t>
      </w:r>
      <w:r w:rsidRPr="00476E49">
        <w:rPr>
          <w:sz w:val="16"/>
          <w:szCs w:val="16"/>
        </w:rPr>
        <w:t xml:space="preserve"> per</w:t>
      </w:r>
      <w:r>
        <w:rPr>
          <w:sz w:val="16"/>
          <w:szCs w:val="16"/>
        </w:rPr>
        <w:t xml:space="preserve"> </w:t>
      </w:r>
      <w:r w:rsidRPr="00476E49">
        <w:rPr>
          <w:sz w:val="16"/>
          <w:szCs w:val="16"/>
        </w:rPr>
        <w:t>cent (</w:t>
      </w:r>
      <w:r>
        <w:rPr>
          <w:sz w:val="16"/>
          <w:szCs w:val="16"/>
        </w:rPr>
        <w:t>196</w:t>
      </w:r>
      <w:r w:rsidRPr="00476E49">
        <w:rPr>
          <w:sz w:val="16"/>
          <w:szCs w:val="16"/>
        </w:rPr>
        <w:t xml:space="preserve">) of children’s homes </w:t>
      </w:r>
      <w:r>
        <w:rPr>
          <w:sz w:val="16"/>
          <w:szCs w:val="16"/>
        </w:rPr>
        <w:t xml:space="preserve">inspected in 2016-17 </w:t>
      </w:r>
      <w:r w:rsidRPr="00476E49">
        <w:rPr>
          <w:sz w:val="16"/>
          <w:szCs w:val="16"/>
        </w:rPr>
        <w:t>had no comparable judgement in 201</w:t>
      </w:r>
      <w:r>
        <w:rPr>
          <w:sz w:val="16"/>
          <w:szCs w:val="16"/>
        </w:rPr>
        <w:t>5</w:t>
      </w:r>
      <w:r w:rsidRPr="00476E49">
        <w:rPr>
          <w:sz w:val="16"/>
          <w:szCs w:val="16"/>
        </w:rPr>
        <w:t>-1</w:t>
      </w:r>
      <w:r>
        <w:rPr>
          <w:sz w:val="16"/>
          <w:szCs w:val="16"/>
        </w:rPr>
        <w:t>6</w:t>
      </w:r>
      <w:r w:rsidRPr="00476E49">
        <w:rPr>
          <w:sz w:val="16"/>
          <w:szCs w:val="16"/>
        </w:rPr>
        <w:t>. This is because, for example, a provider was registered late in the year and had not yet received their first inspection by the end of the period.</w:t>
      </w:r>
      <w:r w:rsidRPr="00700C5F">
        <w:t xml:space="preserve"> </w:t>
      </w:r>
    </w:p>
  </w:footnote>
  <w:footnote w:id="46">
    <w:p w14:paraId="2DF9A450" w14:textId="77777777" w:rsidR="00494FCF" w:rsidRDefault="00494FCF" w:rsidP="000D72F3">
      <w:pPr>
        <w:pStyle w:val="FootnoteText"/>
      </w:pPr>
      <w:r w:rsidRPr="00110D28">
        <w:rPr>
          <w:rStyle w:val="FootnoteReference"/>
          <w:sz w:val="16"/>
        </w:rPr>
        <w:footnoteRef/>
      </w:r>
      <w:r w:rsidRPr="00110D28">
        <w:rPr>
          <w:sz w:val="16"/>
        </w:rPr>
        <w:t xml:space="preserve"> One of the eight homes </w:t>
      </w:r>
      <w:r>
        <w:rPr>
          <w:sz w:val="16"/>
        </w:rPr>
        <w:t xml:space="preserve">judged to be good in 2016-17 </w:t>
      </w:r>
      <w:r w:rsidRPr="00110D28">
        <w:rPr>
          <w:sz w:val="16"/>
        </w:rPr>
        <w:t>since resigned and one was subsequently cancelled.</w:t>
      </w:r>
    </w:p>
  </w:footnote>
  <w:footnote w:id="47">
    <w:p w14:paraId="5D215D0A" w14:textId="77777777" w:rsidR="00494FCF" w:rsidRDefault="00494FCF" w:rsidP="000D72F3">
      <w:pPr>
        <w:pStyle w:val="FootnoteText"/>
      </w:pPr>
      <w:r w:rsidRPr="00110D28">
        <w:rPr>
          <w:rStyle w:val="FootnoteReference"/>
          <w:sz w:val="16"/>
        </w:rPr>
        <w:footnoteRef/>
      </w:r>
      <w:r w:rsidRPr="00110D28">
        <w:rPr>
          <w:sz w:val="16"/>
        </w:rPr>
        <w:t xml:space="preserve"> </w:t>
      </w:r>
      <w:r>
        <w:rPr>
          <w:sz w:val="16"/>
        </w:rPr>
        <w:t>A further t</w:t>
      </w:r>
      <w:r w:rsidRPr="00110D28">
        <w:rPr>
          <w:sz w:val="16"/>
        </w:rPr>
        <w:t>wo</w:t>
      </w:r>
      <w:r>
        <w:rPr>
          <w:sz w:val="16"/>
        </w:rPr>
        <w:t xml:space="preserve"> homes</w:t>
      </w:r>
      <w:r w:rsidRPr="00110D28">
        <w:rPr>
          <w:sz w:val="16"/>
        </w:rPr>
        <w:t xml:space="preserve"> did not receive full inspections in 2016-17 due to having no children in placement as a result of having restriction of accommodation notices in place</w:t>
      </w:r>
      <w:r>
        <w:rPr>
          <w:sz w:val="16"/>
        </w:rPr>
        <w:t>, and as such remain inadequate</w:t>
      </w:r>
      <w:r w:rsidRPr="00110D28">
        <w:rPr>
          <w:sz w:val="16"/>
        </w:rPr>
        <w:t>.</w:t>
      </w:r>
    </w:p>
  </w:footnote>
  <w:footnote w:id="48">
    <w:p w14:paraId="63FB2983" w14:textId="77777777" w:rsidR="00494FCF" w:rsidRDefault="00494FCF">
      <w:pPr>
        <w:pStyle w:val="FootnoteText"/>
      </w:pPr>
      <w:r w:rsidRPr="00301A4B">
        <w:rPr>
          <w:rStyle w:val="FootnoteReference"/>
          <w:sz w:val="16"/>
        </w:rPr>
        <w:footnoteRef/>
      </w:r>
      <w:r w:rsidRPr="00301A4B">
        <w:rPr>
          <w:sz w:val="16"/>
        </w:rPr>
        <w:t xml:space="preserve"> Two thirds of the 60 homes judged inadequate in 2016-17 having been judged good in 2015-16</w:t>
      </w:r>
      <w:r>
        <w:rPr>
          <w:sz w:val="16"/>
        </w:rPr>
        <w:t xml:space="preserve"> subsequently</w:t>
      </w:r>
      <w:r w:rsidRPr="00301A4B">
        <w:rPr>
          <w:sz w:val="16"/>
        </w:rPr>
        <w:t xml:space="preserve"> improved to either good or requires improvement to be good during the year. Ten homes remained inadequate (five having been inspected at least once more in 201</w:t>
      </w:r>
      <w:r>
        <w:rPr>
          <w:sz w:val="16"/>
        </w:rPr>
        <w:t>6</w:t>
      </w:r>
      <w:r w:rsidRPr="00301A4B">
        <w:rPr>
          <w:sz w:val="16"/>
        </w:rPr>
        <w:t>-1</w:t>
      </w:r>
      <w:r>
        <w:rPr>
          <w:sz w:val="16"/>
        </w:rPr>
        <w:t>7</w:t>
      </w:r>
      <w:r w:rsidRPr="00301A4B">
        <w:rPr>
          <w:sz w:val="16"/>
        </w:rPr>
        <w:t xml:space="preserve">) and 10 homes closed during the year (one of which </w:t>
      </w:r>
      <w:r>
        <w:rPr>
          <w:sz w:val="16"/>
        </w:rPr>
        <w:t>was</w:t>
      </w:r>
      <w:r w:rsidRPr="00301A4B">
        <w:rPr>
          <w:sz w:val="16"/>
        </w:rPr>
        <w:t xml:space="preserve"> judged inadequate for a second time in 2016-17 before closing).</w:t>
      </w:r>
    </w:p>
  </w:footnote>
  <w:footnote w:id="49">
    <w:p w14:paraId="35748179" w14:textId="77777777" w:rsidR="00494FCF" w:rsidRDefault="00494FCF" w:rsidP="000D72F3">
      <w:pPr>
        <w:pStyle w:val="FootnoteText"/>
      </w:pPr>
      <w:r w:rsidRPr="006C67E8">
        <w:rPr>
          <w:rStyle w:val="FootnoteReference"/>
          <w:sz w:val="16"/>
        </w:rPr>
        <w:footnoteRef/>
      </w:r>
      <w:r w:rsidRPr="006C67E8">
        <w:rPr>
          <w:sz w:val="16"/>
        </w:rPr>
        <w:t xml:space="preserve"> There were also eight inspections of health authority-run children’s homes in 2016-17.</w:t>
      </w:r>
    </w:p>
  </w:footnote>
  <w:footnote w:id="50">
    <w:p w14:paraId="5197D499" w14:textId="77777777" w:rsidR="00494FCF" w:rsidRDefault="00494FCF" w:rsidP="008B18FE">
      <w:pPr>
        <w:pStyle w:val="FootnoteText"/>
      </w:pPr>
      <w:r w:rsidRPr="00E27C47">
        <w:rPr>
          <w:rStyle w:val="FootnoteReference"/>
          <w:sz w:val="16"/>
        </w:rPr>
        <w:footnoteRef/>
      </w:r>
      <w:r w:rsidRPr="00E27C47">
        <w:rPr>
          <w:sz w:val="16"/>
        </w:rPr>
        <w:t xml:space="preserve"> One hundred (5%) interim inspections did not result in an inspection judgement as no children were being cared for at the time of the inspection.</w:t>
      </w:r>
    </w:p>
  </w:footnote>
  <w:footnote w:id="51">
    <w:p w14:paraId="48C3E306" w14:textId="77777777" w:rsidR="00494FCF" w:rsidRDefault="00494FCF" w:rsidP="008B18FE">
      <w:pPr>
        <w:pStyle w:val="FootnoteText"/>
      </w:pPr>
      <w:r w:rsidRPr="00E27C47">
        <w:rPr>
          <w:rStyle w:val="FootnoteReference"/>
          <w:sz w:val="16"/>
        </w:rPr>
        <w:footnoteRef/>
      </w:r>
      <w:r w:rsidRPr="00E27C47">
        <w:rPr>
          <w:sz w:val="16"/>
        </w:rPr>
        <w:t xml:space="preserve"> All secure children’s homes, however, will still receive two inspections in the year, with one of them likely to be an interim inspection, regardless of inspection outcomes.</w:t>
      </w:r>
    </w:p>
  </w:footnote>
  <w:footnote w:id="52">
    <w:p w14:paraId="1DE9372C" w14:textId="77777777" w:rsidR="00494FCF" w:rsidRPr="00A21E19" w:rsidRDefault="00494FCF" w:rsidP="008B18FE">
      <w:pPr>
        <w:pStyle w:val="FootnoteText"/>
        <w:jc w:val="left"/>
        <w:rPr>
          <w:sz w:val="16"/>
          <w:szCs w:val="15"/>
        </w:rPr>
      </w:pPr>
      <w:r w:rsidRPr="00A21E19">
        <w:rPr>
          <w:rStyle w:val="FootnoteReference"/>
          <w:sz w:val="16"/>
          <w:szCs w:val="15"/>
        </w:rPr>
        <w:footnoteRef/>
      </w:r>
      <w:r w:rsidRPr="00A21E19">
        <w:rPr>
          <w:sz w:val="16"/>
          <w:szCs w:val="15"/>
        </w:rPr>
        <w:t xml:space="preserve"> For all provision types in </w:t>
      </w:r>
      <w:r>
        <w:rPr>
          <w:sz w:val="16"/>
          <w:szCs w:val="15"/>
        </w:rPr>
        <w:t>this</w:t>
      </w:r>
      <w:r w:rsidRPr="00A21E19">
        <w:rPr>
          <w:sz w:val="16"/>
          <w:szCs w:val="15"/>
        </w:rPr>
        <w:t xml:space="preserve"> data, the change in overall places from 31 March 201</w:t>
      </w:r>
      <w:r>
        <w:rPr>
          <w:sz w:val="16"/>
          <w:szCs w:val="15"/>
        </w:rPr>
        <w:t>6</w:t>
      </w:r>
      <w:r w:rsidRPr="00A21E19">
        <w:rPr>
          <w:sz w:val="16"/>
          <w:szCs w:val="15"/>
        </w:rPr>
        <w:t xml:space="preserve"> to 31 March 201</w:t>
      </w:r>
      <w:r>
        <w:rPr>
          <w:sz w:val="16"/>
          <w:szCs w:val="15"/>
        </w:rPr>
        <w:t>7</w:t>
      </w:r>
      <w:r w:rsidRPr="00A21E19">
        <w:rPr>
          <w:sz w:val="16"/>
          <w:szCs w:val="15"/>
        </w:rPr>
        <w:t xml:space="preserve"> does not necessarily equal the difference between the number of places in newly registered provisions (joiners) and the number of places in de-registered provisions (leavers). This is because provisions which were active at the start of the period and the end of the period may also have changed the number of places they are registered for/estimated to have.</w:t>
      </w:r>
    </w:p>
  </w:footnote>
  <w:footnote w:id="53">
    <w:p w14:paraId="16F64C3C" w14:textId="77777777" w:rsidR="00494FCF" w:rsidRPr="004D3EA6" w:rsidRDefault="00494FCF" w:rsidP="008B18FE">
      <w:pPr>
        <w:pStyle w:val="FootnoteText"/>
        <w:jc w:val="left"/>
        <w:rPr>
          <w:sz w:val="15"/>
          <w:szCs w:val="15"/>
        </w:rPr>
      </w:pPr>
      <w:r w:rsidRPr="00A21E19">
        <w:rPr>
          <w:rStyle w:val="FootnoteReference"/>
          <w:sz w:val="16"/>
          <w:szCs w:val="15"/>
        </w:rPr>
        <w:footnoteRef/>
      </w:r>
      <w:r w:rsidRPr="00A21E19">
        <w:rPr>
          <w:sz w:val="16"/>
          <w:szCs w:val="15"/>
        </w:rPr>
        <w:t xml:space="preserve"> For residential special schools, boarding schools and further education colleges with residential accommodation, the social care inspection looks at the welfare of the child/young person. The education they receive is </w:t>
      </w:r>
      <w:r w:rsidRPr="00E27C47">
        <w:rPr>
          <w:i/>
          <w:sz w:val="16"/>
          <w:szCs w:val="15"/>
        </w:rPr>
        <w:t>not</w:t>
      </w:r>
      <w:r w:rsidRPr="00A21E19">
        <w:rPr>
          <w:sz w:val="16"/>
          <w:szCs w:val="15"/>
        </w:rPr>
        <w:t xml:space="preserve"> part of the social care inspection. Data on the education inspections of these type</w:t>
      </w:r>
      <w:r>
        <w:rPr>
          <w:sz w:val="16"/>
          <w:szCs w:val="15"/>
        </w:rPr>
        <w:t>s of provisions can be found at:</w:t>
      </w:r>
      <w:r w:rsidRPr="00A21E19">
        <w:rPr>
          <w:sz w:val="16"/>
          <w:szCs w:val="15"/>
        </w:rPr>
        <w:t xml:space="preserve"> </w:t>
      </w:r>
      <w:hyperlink r:id="rId4" w:history="1">
        <w:r w:rsidRPr="000769E7">
          <w:rPr>
            <w:rStyle w:val="Hyperlink"/>
            <w:sz w:val="16"/>
            <w:szCs w:val="15"/>
            <w:u w:val="none"/>
          </w:rPr>
          <w:t>www.gov.uk/government/collections/independent-schools-inspection-and-outcomes</w:t>
        </w:r>
      </w:hyperlink>
      <w:r w:rsidRPr="00A21E19">
        <w:rPr>
          <w:sz w:val="16"/>
          <w:szCs w:val="15"/>
        </w:rPr>
        <w:t xml:space="preserve"> and </w:t>
      </w:r>
      <w:hyperlink r:id="rId5" w:history="1">
        <w:r w:rsidRPr="000769E7">
          <w:rPr>
            <w:rStyle w:val="Hyperlink"/>
            <w:sz w:val="16"/>
            <w:szCs w:val="15"/>
            <w:u w:val="none"/>
          </w:rPr>
          <w:t>www.gov.uk/government/collections/maintained-schools-and-academies-inspections-and-outcomes-official-statistics</w:t>
        </w:r>
      </w:hyperlink>
      <w:r>
        <w:rPr>
          <w:sz w:val="16"/>
          <w:szCs w:val="15"/>
        </w:rPr>
        <w:t xml:space="preserve">  </w:t>
      </w:r>
    </w:p>
  </w:footnote>
  <w:footnote w:id="54">
    <w:p w14:paraId="01D74496" w14:textId="77777777" w:rsidR="00494FCF" w:rsidRPr="00301A4B" w:rsidRDefault="00494FCF" w:rsidP="00301A4B">
      <w:pPr>
        <w:pStyle w:val="FootnoteText"/>
        <w:jc w:val="left"/>
        <w:rPr>
          <w:sz w:val="16"/>
          <w:szCs w:val="16"/>
        </w:rPr>
      </w:pPr>
      <w:r w:rsidRPr="00301A4B">
        <w:rPr>
          <w:rStyle w:val="FootnoteReference"/>
          <w:sz w:val="16"/>
          <w:szCs w:val="16"/>
        </w:rPr>
        <w:footnoteRef/>
      </w:r>
      <w:r w:rsidRPr="00301A4B">
        <w:rPr>
          <w:sz w:val="16"/>
          <w:szCs w:val="16"/>
        </w:rPr>
        <w:t xml:space="preserve"> </w:t>
      </w:r>
      <w:r w:rsidRPr="00B06838">
        <w:rPr>
          <w:i/>
          <w:sz w:val="16"/>
          <w:szCs w:val="16"/>
        </w:rPr>
        <w:t>HM Chief Inspector of Prisons for England and Wales Annual Report</w:t>
      </w:r>
      <w:r w:rsidRPr="00301A4B">
        <w:rPr>
          <w:sz w:val="16"/>
          <w:szCs w:val="16"/>
        </w:rPr>
        <w:t xml:space="preserve">, 2016-17, p.68, available here: </w:t>
      </w:r>
      <w:hyperlink r:id="rId6" w:history="1">
        <w:r w:rsidRPr="000769E7">
          <w:rPr>
            <w:rStyle w:val="Hyperlink"/>
            <w:sz w:val="16"/>
            <w:szCs w:val="16"/>
            <w:u w:val="none"/>
          </w:rPr>
          <w:t>www.gov.uk/government/publications/hm-chief-inspector-of-prisons-annual-report-2016-to-2017</w:t>
        </w:r>
      </w:hyperlink>
      <w:r w:rsidRPr="00301A4B">
        <w:rPr>
          <w:sz w:val="16"/>
          <w:szCs w:val="16"/>
        </w:rPr>
        <w:t xml:space="preserve"> </w:t>
      </w:r>
    </w:p>
  </w:footnote>
  <w:footnote w:id="55">
    <w:p w14:paraId="3A6ED71B" w14:textId="77777777" w:rsidR="00494FCF" w:rsidRDefault="00494FCF" w:rsidP="007A7066">
      <w:pPr>
        <w:pStyle w:val="FootnoteText"/>
      </w:pPr>
      <w:r w:rsidRPr="008A72C5">
        <w:rPr>
          <w:rStyle w:val="FootnoteReference"/>
          <w:sz w:val="16"/>
        </w:rPr>
        <w:footnoteRef/>
      </w:r>
      <w:r>
        <w:t xml:space="preserve"> </w:t>
      </w:r>
      <w:r w:rsidRPr="008A72C5">
        <w:rPr>
          <w:sz w:val="16"/>
        </w:rPr>
        <w:t xml:space="preserve">2016-17 </w:t>
      </w:r>
      <w:r>
        <w:rPr>
          <w:sz w:val="16"/>
        </w:rPr>
        <w:t>was the first year of a three year inspection period for boarding schools and residential family centres, and the final year of a three year inspection period for adoption support agencies, further education colleges with residential accommodation, and voluntary adoption agencies. Independent fostering agencies are inspected under a rolling three year programme of inspection. Residential holiday schemes for disabled children, residential special schools, and secure training centres are inspected on an annual basis.</w:t>
      </w:r>
    </w:p>
  </w:footnote>
  <w:footnote w:id="56">
    <w:p w14:paraId="493EEB85" w14:textId="77777777" w:rsidR="00494FCF" w:rsidRDefault="00494FCF">
      <w:pPr>
        <w:pStyle w:val="FootnoteText"/>
      </w:pPr>
      <w:r w:rsidRPr="00301A4B">
        <w:rPr>
          <w:rStyle w:val="FootnoteReference"/>
          <w:sz w:val="16"/>
        </w:rPr>
        <w:footnoteRef/>
      </w:r>
      <w:r w:rsidRPr="00301A4B">
        <w:rPr>
          <w:sz w:val="16"/>
        </w:rPr>
        <w:t xml:space="preserve"> </w:t>
      </w:r>
      <w:r>
        <w:rPr>
          <w:sz w:val="16"/>
        </w:rPr>
        <w:t>Of the remaining 21</w:t>
      </w:r>
      <w:r w:rsidRPr="00301A4B">
        <w:rPr>
          <w:sz w:val="16"/>
        </w:rPr>
        <w:t xml:space="preserve"> residential special schools</w:t>
      </w:r>
      <w:r>
        <w:rPr>
          <w:sz w:val="16"/>
        </w:rPr>
        <w:t xml:space="preserve"> active as at 31 March 2017, a further 20</w:t>
      </w:r>
      <w:r w:rsidRPr="00301A4B">
        <w:rPr>
          <w:sz w:val="16"/>
        </w:rPr>
        <w:t xml:space="preserve"> were also inspected in 2016-17 but </w:t>
      </w:r>
      <w:r>
        <w:rPr>
          <w:sz w:val="16"/>
        </w:rPr>
        <w:t xml:space="preserve">the reports </w:t>
      </w:r>
      <w:r w:rsidRPr="00301A4B">
        <w:rPr>
          <w:sz w:val="16"/>
        </w:rPr>
        <w:t>were not published by 30 April 2017</w:t>
      </w:r>
      <w:r>
        <w:rPr>
          <w:sz w:val="16"/>
        </w:rPr>
        <w:t>. As such they have not been included in this release.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71BBE" w14:textId="77777777" w:rsidR="00494FCF" w:rsidRDefault="00494F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6549"/>
      <w:gridCol w:w="2477"/>
    </w:tblGrid>
    <w:tr w:rsidR="00494FCF" w14:paraId="17B3F7BF" w14:textId="77777777" w:rsidTr="007A568F">
      <w:trPr>
        <w:trHeight w:val="1986"/>
      </w:trPr>
      <w:tc>
        <w:tcPr>
          <w:tcW w:w="3628" w:type="pct"/>
          <w:shd w:val="clear" w:color="auto" w:fill="auto"/>
        </w:tcPr>
        <w:p w14:paraId="7B80EBDD" w14:textId="77777777" w:rsidR="00494FCF" w:rsidRDefault="00494FCF" w:rsidP="007A568F">
          <w:pPr>
            <w:pStyle w:val="Header"/>
            <w:jc w:val="left"/>
          </w:pPr>
          <w:r>
            <w:rPr>
              <w:noProof/>
            </w:rPr>
            <mc:AlternateContent>
              <mc:Choice Requires="wps">
                <w:drawing>
                  <wp:anchor distT="0" distB="0" distL="114300" distR="114300" simplePos="0" relativeHeight="251658752" behindDoc="0" locked="0" layoutInCell="1" allowOverlap="1" wp14:anchorId="0BAF9D60" wp14:editId="6B352CC3">
                    <wp:simplePos x="0" y="0"/>
                    <wp:positionH relativeFrom="column">
                      <wp:posOffset>-71120</wp:posOffset>
                    </wp:positionH>
                    <wp:positionV relativeFrom="paragraph">
                      <wp:posOffset>114935</wp:posOffset>
                    </wp:positionV>
                    <wp:extent cx="1709420" cy="347980"/>
                    <wp:effectExtent l="14605" t="9525" r="952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7980"/>
                            </a:xfrm>
                            <a:prstGeom prst="rect">
                              <a:avLst/>
                            </a:prstGeom>
                            <a:solidFill>
                              <a:srgbClr val="FFFFFF"/>
                            </a:solidFill>
                            <a:ln w="12700">
                              <a:solidFill>
                                <a:srgbClr val="000000"/>
                              </a:solidFill>
                              <a:miter lim="800000"/>
                              <a:headEnd/>
                              <a:tailEnd/>
                            </a:ln>
                          </wps:spPr>
                          <wps:txbx>
                            <w:txbxContent>
                              <w:p w14:paraId="208586C3" w14:textId="77777777" w:rsidR="00494FCF" w:rsidRPr="00033909" w:rsidRDefault="00494FCF" w:rsidP="007A568F">
                                <w:pPr>
                                  <w:rPr>
                                    <w:sz w:val="32"/>
                                    <w:szCs w:val="32"/>
                                  </w:rPr>
                                </w:pPr>
                                <w:r>
                                  <w:rPr>
                                    <w:sz w:val="32"/>
                                    <w:szCs w:val="32"/>
                                  </w:rPr>
                                  <w:t>Official s</w:t>
                                </w:r>
                                <w:r w:rsidRPr="00033909">
                                  <w:rPr>
                                    <w:sz w:val="32"/>
                                    <w:szCs w:val="32"/>
                                  </w:rPr>
                                  <w:t>tatistic</w:t>
                                </w:r>
                                <w:r>
                                  <w:rPr>
                                    <w:sz w:val="32"/>
                                    <w:szCs w:val="32"/>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AF9D60" id="_x0000_t202" coordsize="21600,21600" o:spt="202" path="m,l,21600r21600,l21600,xe">
                    <v:stroke joinstyle="miter"/>
                    <v:path gradientshapeok="t" o:connecttype="rect"/>
                  </v:shapetype>
                  <v:shape id="Text Box 2" o:spid="_x0000_s1027" type="#_x0000_t202" style="position:absolute;margin-left:-5.6pt;margin-top:9.05pt;width:134.6pt;height:2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" strokeweight="1pt">
                    <v:textbox>
                      <w:txbxContent>
                        <w:p w14:paraId="208586C3" w14:textId="77777777" w:rsidR="00494FCF" w:rsidRPr="00033909" w:rsidRDefault="00494FCF" w:rsidP="007A568F">
                          <w:pPr>
                            <w:rPr>
                              <w:sz w:val="32"/>
                              <w:szCs w:val="32"/>
                            </w:rPr>
                          </w:pPr>
                          <w:r>
                            <w:rPr>
                              <w:sz w:val="32"/>
                              <w:szCs w:val="32"/>
                            </w:rPr>
                            <w:t>Official s</w:t>
                          </w:r>
                          <w:r w:rsidRPr="00033909">
                            <w:rPr>
                              <w:sz w:val="32"/>
                              <w:szCs w:val="32"/>
                            </w:rPr>
                            <w:t>tatistic</w:t>
                          </w:r>
                          <w:r>
                            <w:rPr>
                              <w:sz w:val="32"/>
                              <w:szCs w:val="32"/>
                            </w:rPr>
                            <w:t>s</w:t>
                          </w:r>
                        </w:p>
                      </w:txbxContent>
                    </v:textbox>
                  </v:shape>
                </w:pict>
              </mc:Fallback>
            </mc:AlternateContent>
          </w:r>
        </w:p>
        <w:p w14:paraId="1BE57087" w14:textId="77777777" w:rsidR="00494FCF" w:rsidRDefault="00494FCF" w:rsidP="007A568F">
          <w:pPr>
            <w:pStyle w:val="Header"/>
            <w:jc w:val="right"/>
          </w:pPr>
        </w:p>
      </w:tc>
      <w:tc>
        <w:tcPr>
          <w:tcW w:w="1372" w:type="pct"/>
          <w:shd w:val="clear" w:color="auto" w:fill="auto"/>
        </w:tcPr>
        <w:p w14:paraId="4C1AAC9B" w14:textId="77777777" w:rsidR="00494FCF" w:rsidRDefault="00494FCF" w:rsidP="007A568F">
          <w:pPr>
            <w:pStyle w:val="Header"/>
            <w:jc w:val="right"/>
          </w:pPr>
        </w:p>
        <w:p w14:paraId="365C8DAD" w14:textId="77777777" w:rsidR="00494FCF" w:rsidRDefault="00494FCF" w:rsidP="007A568F">
          <w:pPr>
            <w:pStyle w:val="Header"/>
            <w:jc w:val="right"/>
          </w:pPr>
          <w:r>
            <w:rPr>
              <w:noProof/>
            </w:rPr>
            <w:drawing>
              <wp:inline distT="0" distB="0" distL="0" distR="0" wp14:anchorId="72031A37" wp14:editId="7C11A70A">
                <wp:extent cx="1104900" cy="929640"/>
                <wp:effectExtent l="0" t="0" r="0" b="3810"/>
                <wp:docPr id="51" name="Picture 51" descr="ofste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929640"/>
                        </a:xfrm>
                        <a:prstGeom prst="rect">
                          <a:avLst/>
                        </a:prstGeom>
                        <a:noFill/>
                        <a:ln>
                          <a:noFill/>
                        </a:ln>
                      </pic:spPr>
                    </pic:pic>
                  </a:graphicData>
                </a:graphic>
              </wp:inline>
            </w:drawing>
          </w:r>
        </w:p>
      </w:tc>
    </w:tr>
  </w:tbl>
  <w:p w14:paraId="6E342251" w14:textId="77777777" w:rsidR="00494FCF" w:rsidRPr="007E785D" w:rsidRDefault="00494FCF" w:rsidP="007A568F">
    <w:pPr>
      <w:pStyle w:val="Header"/>
      <w:rPr>
        <w:sz w:val="14"/>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7837" w14:textId="77777777" w:rsidR="00494FCF" w:rsidRDefault="00494F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33272" w14:textId="77777777" w:rsidR="00494FCF" w:rsidRDefault="00494F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0914"/>
      <w:gridCol w:w="4128"/>
    </w:tblGrid>
    <w:tr w:rsidR="00494FCF" w14:paraId="5FD11EBD" w14:textId="77777777" w:rsidTr="007A568F">
      <w:trPr>
        <w:trHeight w:val="1986"/>
      </w:trPr>
      <w:tc>
        <w:tcPr>
          <w:tcW w:w="3628" w:type="pct"/>
          <w:shd w:val="clear" w:color="auto" w:fill="auto"/>
        </w:tcPr>
        <w:p w14:paraId="10E4514B" w14:textId="77777777" w:rsidR="00494FCF" w:rsidRDefault="00494FCF" w:rsidP="007A568F">
          <w:pPr>
            <w:pStyle w:val="Header"/>
            <w:jc w:val="left"/>
          </w:pPr>
          <w:r>
            <w:rPr>
              <w:noProof/>
            </w:rPr>
            <mc:AlternateContent>
              <mc:Choice Requires="wps">
                <w:drawing>
                  <wp:anchor distT="0" distB="0" distL="114300" distR="114300" simplePos="0" relativeHeight="251657728" behindDoc="0" locked="0" layoutInCell="1" allowOverlap="1" wp14:anchorId="4C421C99" wp14:editId="1F4FFE10">
                    <wp:simplePos x="0" y="0"/>
                    <wp:positionH relativeFrom="column">
                      <wp:posOffset>-71120</wp:posOffset>
                    </wp:positionH>
                    <wp:positionV relativeFrom="paragraph">
                      <wp:posOffset>114935</wp:posOffset>
                    </wp:positionV>
                    <wp:extent cx="1709420" cy="347980"/>
                    <wp:effectExtent l="14605" t="9525" r="952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7980"/>
                            </a:xfrm>
                            <a:prstGeom prst="rect">
                              <a:avLst/>
                            </a:prstGeom>
                            <a:solidFill>
                              <a:srgbClr val="FFFFFF"/>
                            </a:solidFill>
                            <a:ln w="12700">
                              <a:solidFill>
                                <a:srgbClr val="000000"/>
                              </a:solidFill>
                              <a:miter lim="800000"/>
                              <a:headEnd/>
                              <a:tailEnd/>
                            </a:ln>
                          </wps:spPr>
                          <wps:txbx>
                            <w:txbxContent>
                              <w:p w14:paraId="4A64B87C" w14:textId="77777777" w:rsidR="00494FCF" w:rsidRPr="00033909" w:rsidRDefault="00494FCF" w:rsidP="007A568F">
                                <w:pPr>
                                  <w:rPr>
                                    <w:sz w:val="32"/>
                                    <w:szCs w:val="32"/>
                                  </w:rPr>
                                </w:pPr>
                                <w:r>
                                  <w:rPr>
                                    <w:sz w:val="32"/>
                                    <w:szCs w:val="32"/>
                                  </w:rPr>
                                  <w:t>Official s</w:t>
                                </w:r>
                                <w:r w:rsidRPr="00033909">
                                  <w:rPr>
                                    <w:sz w:val="32"/>
                                    <w:szCs w:val="32"/>
                                  </w:rPr>
                                  <w:t>tatistic</w:t>
                                </w:r>
                                <w:r>
                                  <w:rPr>
                                    <w:sz w:val="32"/>
                                    <w:szCs w:val="32"/>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421C99" id="_x0000_t202" coordsize="21600,21600" o:spt="202" path="m,l,21600r21600,l21600,xe">
                    <v:stroke joinstyle="miter"/>
                    <v:path gradientshapeok="t" o:connecttype="rect"/>
                  </v:shapetype>
                  <v:shape id="_x0000_s1028" type="#_x0000_t202" style="position:absolute;margin-left:-5.6pt;margin-top:9.05pt;width:134.6pt;height:2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" strokeweight="1pt">
                    <v:textbox>
                      <w:txbxContent>
                        <w:p w14:paraId="4A64B87C" w14:textId="77777777" w:rsidR="00494FCF" w:rsidRPr="00033909" w:rsidRDefault="00494FCF" w:rsidP="007A568F">
                          <w:pPr>
                            <w:rPr>
                              <w:sz w:val="32"/>
                              <w:szCs w:val="32"/>
                            </w:rPr>
                          </w:pPr>
                          <w:r>
                            <w:rPr>
                              <w:sz w:val="32"/>
                              <w:szCs w:val="32"/>
                            </w:rPr>
                            <w:t>Official s</w:t>
                          </w:r>
                          <w:r w:rsidRPr="00033909">
                            <w:rPr>
                              <w:sz w:val="32"/>
                              <w:szCs w:val="32"/>
                            </w:rPr>
                            <w:t>tatistic</w:t>
                          </w:r>
                          <w:r>
                            <w:rPr>
                              <w:sz w:val="32"/>
                              <w:szCs w:val="32"/>
                            </w:rPr>
                            <w:t>s</w:t>
                          </w:r>
                        </w:p>
                      </w:txbxContent>
                    </v:textbox>
                  </v:shape>
                </w:pict>
              </mc:Fallback>
            </mc:AlternateContent>
          </w:r>
        </w:p>
        <w:p w14:paraId="220F6BF6" w14:textId="77777777" w:rsidR="00494FCF" w:rsidRDefault="00494FCF" w:rsidP="007A568F">
          <w:pPr>
            <w:pStyle w:val="Header"/>
            <w:jc w:val="right"/>
          </w:pPr>
        </w:p>
      </w:tc>
      <w:tc>
        <w:tcPr>
          <w:tcW w:w="1372" w:type="pct"/>
          <w:shd w:val="clear" w:color="auto" w:fill="auto"/>
        </w:tcPr>
        <w:p w14:paraId="44AD7B4F" w14:textId="77777777" w:rsidR="00494FCF" w:rsidRDefault="00494FCF" w:rsidP="007A568F">
          <w:pPr>
            <w:pStyle w:val="Header"/>
            <w:jc w:val="right"/>
          </w:pPr>
        </w:p>
        <w:p w14:paraId="4E604F5A" w14:textId="77777777" w:rsidR="00494FCF" w:rsidRDefault="00494FCF" w:rsidP="007A568F">
          <w:pPr>
            <w:pStyle w:val="Header"/>
            <w:jc w:val="right"/>
          </w:pPr>
          <w:r>
            <w:rPr>
              <w:noProof/>
            </w:rPr>
            <w:drawing>
              <wp:inline distT="0" distB="0" distL="0" distR="0" wp14:anchorId="5AD2758A" wp14:editId="56F42525">
                <wp:extent cx="1341120" cy="1135380"/>
                <wp:effectExtent l="0" t="0" r="0" b="7620"/>
                <wp:docPr id="3" name="Picture 3" descr="ofste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1135380"/>
                        </a:xfrm>
                        <a:prstGeom prst="rect">
                          <a:avLst/>
                        </a:prstGeom>
                        <a:noFill/>
                        <a:ln>
                          <a:noFill/>
                        </a:ln>
                      </pic:spPr>
                    </pic:pic>
                  </a:graphicData>
                </a:graphic>
              </wp:inline>
            </w:drawing>
          </w:r>
        </w:p>
      </w:tc>
    </w:tr>
  </w:tbl>
  <w:p w14:paraId="749519D7" w14:textId="77777777" w:rsidR="00494FCF" w:rsidRPr="007E785D" w:rsidRDefault="00494FCF" w:rsidP="007A568F">
    <w:pPr>
      <w:pStyle w:val="Header"/>
      <w:rPr>
        <w:sz w:val="14"/>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904C6" w14:textId="77777777" w:rsidR="00494FCF" w:rsidRDefault="00494F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6549"/>
      <w:gridCol w:w="2477"/>
    </w:tblGrid>
    <w:tr w:rsidR="00494FCF" w14:paraId="0B2E3D1E" w14:textId="77777777" w:rsidTr="007E785D">
      <w:trPr>
        <w:trHeight w:val="1986"/>
      </w:trPr>
      <w:tc>
        <w:tcPr>
          <w:tcW w:w="3628" w:type="pct"/>
          <w:shd w:val="clear" w:color="auto" w:fill="auto"/>
        </w:tcPr>
        <w:p w14:paraId="067564AF" w14:textId="77777777" w:rsidR="00494FCF" w:rsidRDefault="00494FCF" w:rsidP="00F953E2">
          <w:pPr>
            <w:pStyle w:val="Header"/>
            <w:jc w:val="left"/>
          </w:pPr>
          <w:r>
            <w:rPr>
              <w:noProof/>
            </w:rPr>
            <mc:AlternateContent>
              <mc:Choice Requires="wps">
                <w:drawing>
                  <wp:anchor distT="0" distB="0" distL="114300" distR="114300" simplePos="0" relativeHeight="251656704" behindDoc="0" locked="0" layoutInCell="1" allowOverlap="1" wp14:anchorId="6F41D980" wp14:editId="4C41F444">
                    <wp:simplePos x="0" y="0"/>
                    <wp:positionH relativeFrom="column">
                      <wp:posOffset>-71120</wp:posOffset>
                    </wp:positionH>
                    <wp:positionV relativeFrom="paragraph">
                      <wp:posOffset>114935</wp:posOffset>
                    </wp:positionV>
                    <wp:extent cx="1709420" cy="347980"/>
                    <wp:effectExtent l="14605" t="9525" r="952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7980"/>
                            </a:xfrm>
                            <a:prstGeom prst="rect">
                              <a:avLst/>
                            </a:prstGeom>
                            <a:solidFill>
                              <a:srgbClr val="FFFFFF"/>
                            </a:solidFill>
                            <a:ln w="12700">
                              <a:solidFill>
                                <a:srgbClr val="000000"/>
                              </a:solidFill>
                              <a:miter lim="800000"/>
                              <a:headEnd/>
                              <a:tailEnd/>
                            </a:ln>
                          </wps:spPr>
                          <wps:txbx>
                            <w:txbxContent>
                              <w:p w14:paraId="2BFCEE19" w14:textId="77777777" w:rsidR="00494FCF" w:rsidRPr="00033909" w:rsidRDefault="00494FCF" w:rsidP="00F953E2">
                                <w:pPr>
                                  <w:rPr>
                                    <w:sz w:val="32"/>
                                    <w:szCs w:val="32"/>
                                  </w:rPr>
                                </w:pPr>
                                <w:r>
                                  <w:rPr>
                                    <w:sz w:val="32"/>
                                    <w:szCs w:val="32"/>
                                  </w:rPr>
                                  <w:t>Official s</w:t>
                                </w:r>
                                <w:r w:rsidRPr="00033909">
                                  <w:rPr>
                                    <w:sz w:val="32"/>
                                    <w:szCs w:val="32"/>
                                  </w:rPr>
                                  <w:t>tatistic</w:t>
                                </w:r>
                                <w:r>
                                  <w:rPr>
                                    <w:sz w:val="32"/>
                                    <w:szCs w:val="32"/>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41D980" id="_x0000_t202" coordsize="21600,21600" o:spt="202" path="m,l,21600r21600,l21600,xe">
                    <v:stroke joinstyle="miter"/>
                    <v:path gradientshapeok="t" o:connecttype="rect"/>
                  </v:shapetype>
                  <v:shape id="_x0000_s1029" type="#_x0000_t202" style="position:absolute;margin-left:-5.6pt;margin-top:9.05pt;width:134.6pt;height:2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" strokeweight="1pt">
                    <v:textbox>
                      <w:txbxContent>
                        <w:p w14:paraId="2BFCEE19" w14:textId="77777777" w:rsidR="00E871EC" w:rsidRPr="00033909" w:rsidRDefault="00E871EC" w:rsidP="00F953E2">
                          <w:pPr>
                            <w:rPr>
                              <w:sz w:val="32"/>
                              <w:szCs w:val="32"/>
                            </w:rPr>
                          </w:pPr>
                          <w:r>
                            <w:rPr>
                              <w:sz w:val="32"/>
                              <w:szCs w:val="32"/>
                            </w:rPr>
                            <w:t>Official s</w:t>
                          </w:r>
                          <w:r w:rsidRPr="00033909">
                            <w:rPr>
                              <w:sz w:val="32"/>
                              <w:szCs w:val="32"/>
                            </w:rPr>
                            <w:t>tatistic</w:t>
                          </w:r>
                          <w:r>
                            <w:rPr>
                              <w:sz w:val="32"/>
                              <w:szCs w:val="32"/>
                            </w:rPr>
                            <w:t>s</w:t>
                          </w:r>
                        </w:p>
                      </w:txbxContent>
                    </v:textbox>
                  </v:shape>
                </w:pict>
              </mc:Fallback>
            </mc:AlternateContent>
          </w:r>
        </w:p>
        <w:p w14:paraId="60A4429F" w14:textId="77777777" w:rsidR="00494FCF" w:rsidRDefault="00494FCF" w:rsidP="00490F9F">
          <w:pPr>
            <w:pStyle w:val="Header"/>
            <w:jc w:val="right"/>
          </w:pPr>
        </w:p>
      </w:tc>
      <w:tc>
        <w:tcPr>
          <w:tcW w:w="1372" w:type="pct"/>
          <w:shd w:val="clear" w:color="auto" w:fill="auto"/>
        </w:tcPr>
        <w:p w14:paraId="189CBEAE" w14:textId="77777777" w:rsidR="00494FCF" w:rsidRDefault="00494FCF" w:rsidP="00490F9F">
          <w:pPr>
            <w:pStyle w:val="Header"/>
            <w:jc w:val="right"/>
          </w:pPr>
        </w:p>
        <w:p w14:paraId="504BE8C9" w14:textId="77777777" w:rsidR="00494FCF" w:rsidRDefault="00494FCF" w:rsidP="00490F9F">
          <w:pPr>
            <w:pStyle w:val="Header"/>
            <w:jc w:val="right"/>
          </w:pPr>
          <w:r>
            <w:rPr>
              <w:noProof/>
            </w:rPr>
            <w:drawing>
              <wp:inline distT="0" distB="0" distL="0" distR="0" wp14:anchorId="1944BCC8" wp14:editId="7D0B0398">
                <wp:extent cx="1341120" cy="1135380"/>
                <wp:effectExtent l="0" t="0" r="0" b="7620"/>
                <wp:docPr id="4" name="Picture 4" descr="ofste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te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1135380"/>
                        </a:xfrm>
                        <a:prstGeom prst="rect">
                          <a:avLst/>
                        </a:prstGeom>
                        <a:noFill/>
                        <a:ln>
                          <a:noFill/>
                        </a:ln>
                      </pic:spPr>
                    </pic:pic>
                  </a:graphicData>
                </a:graphic>
              </wp:inline>
            </w:drawing>
          </w:r>
        </w:p>
      </w:tc>
    </w:tr>
  </w:tbl>
  <w:p w14:paraId="07EB5010" w14:textId="77777777" w:rsidR="00494FCF" w:rsidRPr="007E785D" w:rsidRDefault="00494FCF" w:rsidP="007E785D">
    <w:pPr>
      <w:pStyle w:val="Header"/>
      <w:rPr>
        <w:sz w:val="14"/>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632"/>
    <w:multiLevelType w:val="hybridMultilevel"/>
    <w:tmpl w:val="3C9456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B7C51"/>
    <w:multiLevelType w:val="hybridMultilevel"/>
    <w:tmpl w:val="014068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47885"/>
    <w:multiLevelType w:val="hybridMultilevel"/>
    <w:tmpl w:val="3B58EBE6"/>
    <w:lvl w:ilvl="0" w:tplc="6EFADFBC">
      <w:start w:val="1"/>
      <w:numFmt w:val="bullet"/>
      <w:pStyle w:val="Bulletsspaced"/>
      <w:lvlText w:val=""/>
      <w:lvlJc w:val="left"/>
      <w:pPr>
        <w:tabs>
          <w:tab w:val="num" w:pos="1386"/>
        </w:tabs>
        <w:ind w:left="1386" w:hanging="360"/>
      </w:pPr>
      <w:rPr>
        <w:rFonts w:ascii="Wingdings" w:hAnsi="Wingdings" w:hint="default"/>
      </w:rPr>
    </w:lvl>
    <w:lvl w:ilvl="1" w:tplc="08090003">
      <w:start w:val="1"/>
      <w:numFmt w:val="bullet"/>
      <w:lvlText w:val="o"/>
      <w:lvlJc w:val="left"/>
      <w:pPr>
        <w:tabs>
          <w:tab w:val="num" w:pos="1899"/>
        </w:tabs>
        <w:ind w:left="1899" w:hanging="360"/>
      </w:pPr>
      <w:rPr>
        <w:rFonts w:ascii="Courier New" w:hAnsi="Courier New" w:cs="Courier New" w:hint="default"/>
      </w:rPr>
    </w:lvl>
    <w:lvl w:ilvl="2" w:tplc="08090005">
      <w:start w:val="1"/>
      <w:numFmt w:val="bullet"/>
      <w:lvlText w:val=""/>
      <w:lvlJc w:val="left"/>
      <w:pPr>
        <w:tabs>
          <w:tab w:val="num" w:pos="2619"/>
        </w:tabs>
        <w:ind w:left="2619" w:hanging="360"/>
      </w:pPr>
      <w:rPr>
        <w:rFonts w:ascii="Wingdings" w:hAnsi="Wingdings" w:hint="default"/>
      </w:rPr>
    </w:lvl>
    <w:lvl w:ilvl="3" w:tplc="08090001">
      <w:start w:val="1"/>
      <w:numFmt w:val="bullet"/>
      <w:lvlText w:val=""/>
      <w:lvlJc w:val="left"/>
      <w:pPr>
        <w:tabs>
          <w:tab w:val="num" w:pos="3339"/>
        </w:tabs>
        <w:ind w:left="3339" w:hanging="360"/>
      </w:pPr>
      <w:rPr>
        <w:rFonts w:ascii="Symbol" w:hAnsi="Symbol" w:hint="default"/>
      </w:rPr>
    </w:lvl>
    <w:lvl w:ilvl="4" w:tplc="08090003" w:tentative="1">
      <w:start w:val="1"/>
      <w:numFmt w:val="bullet"/>
      <w:lvlText w:val="o"/>
      <w:lvlJc w:val="left"/>
      <w:pPr>
        <w:tabs>
          <w:tab w:val="num" w:pos="4059"/>
        </w:tabs>
        <w:ind w:left="4059" w:hanging="360"/>
      </w:pPr>
      <w:rPr>
        <w:rFonts w:ascii="Courier New" w:hAnsi="Courier New" w:cs="Courier New" w:hint="default"/>
      </w:rPr>
    </w:lvl>
    <w:lvl w:ilvl="5" w:tplc="08090005" w:tentative="1">
      <w:start w:val="1"/>
      <w:numFmt w:val="bullet"/>
      <w:lvlText w:val=""/>
      <w:lvlJc w:val="left"/>
      <w:pPr>
        <w:tabs>
          <w:tab w:val="num" w:pos="4779"/>
        </w:tabs>
        <w:ind w:left="4779" w:hanging="360"/>
      </w:pPr>
      <w:rPr>
        <w:rFonts w:ascii="Wingdings" w:hAnsi="Wingdings" w:hint="default"/>
      </w:rPr>
    </w:lvl>
    <w:lvl w:ilvl="6" w:tplc="08090001" w:tentative="1">
      <w:start w:val="1"/>
      <w:numFmt w:val="bullet"/>
      <w:lvlText w:val=""/>
      <w:lvlJc w:val="left"/>
      <w:pPr>
        <w:tabs>
          <w:tab w:val="num" w:pos="5499"/>
        </w:tabs>
        <w:ind w:left="5499" w:hanging="360"/>
      </w:pPr>
      <w:rPr>
        <w:rFonts w:ascii="Symbol" w:hAnsi="Symbol" w:hint="default"/>
      </w:rPr>
    </w:lvl>
    <w:lvl w:ilvl="7" w:tplc="08090003" w:tentative="1">
      <w:start w:val="1"/>
      <w:numFmt w:val="bullet"/>
      <w:lvlText w:val="o"/>
      <w:lvlJc w:val="left"/>
      <w:pPr>
        <w:tabs>
          <w:tab w:val="num" w:pos="6219"/>
        </w:tabs>
        <w:ind w:left="6219" w:hanging="360"/>
      </w:pPr>
      <w:rPr>
        <w:rFonts w:ascii="Courier New" w:hAnsi="Courier New" w:cs="Courier New" w:hint="default"/>
      </w:rPr>
    </w:lvl>
    <w:lvl w:ilvl="8" w:tplc="08090005" w:tentative="1">
      <w:start w:val="1"/>
      <w:numFmt w:val="bullet"/>
      <w:lvlText w:val=""/>
      <w:lvlJc w:val="left"/>
      <w:pPr>
        <w:tabs>
          <w:tab w:val="num" w:pos="6939"/>
        </w:tabs>
        <w:ind w:left="6939" w:hanging="360"/>
      </w:pPr>
      <w:rPr>
        <w:rFonts w:ascii="Wingdings" w:hAnsi="Wingdings" w:hint="default"/>
      </w:rPr>
    </w:lvl>
  </w:abstractNum>
  <w:abstractNum w:abstractNumId="3" w15:restartNumberingAfterBreak="0">
    <w:nsid w:val="0BF56C32"/>
    <w:multiLevelType w:val="hybridMultilevel"/>
    <w:tmpl w:val="2108A3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EA0431"/>
    <w:multiLevelType w:val="hybridMultilevel"/>
    <w:tmpl w:val="16CCD28C"/>
    <w:lvl w:ilvl="0" w:tplc="E822DE34">
      <w:start w:val="1"/>
      <w:numFmt w:val="bullet"/>
      <w:lvlText w:val=""/>
      <w:lvlJc w:val="left"/>
      <w:pPr>
        <w:tabs>
          <w:tab w:val="num" w:pos="-790"/>
        </w:tabs>
        <w:ind w:left="-790" w:hanging="360"/>
      </w:pPr>
      <w:rPr>
        <w:rFonts w:ascii="Symbol" w:hAnsi="Symbol" w:hint="default"/>
      </w:rPr>
    </w:lvl>
    <w:lvl w:ilvl="1" w:tplc="024C9834" w:tentative="1">
      <w:start w:val="1"/>
      <w:numFmt w:val="bullet"/>
      <w:lvlText w:val=""/>
      <w:lvlJc w:val="left"/>
      <w:pPr>
        <w:tabs>
          <w:tab w:val="num" w:pos="-70"/>
        </w:tabs>
        <w:ind w:left="-70" w:hanging="360"/>
      </w:pPr>
      <w:rPr>
        <w:rFonts w:ascii="Symbol" w:hAnsi="Symbol" w:hint="default"/>
      </w:rPr>
    </w:lvl>
    <w:lvl w:ilvl="2" w:tplc="A1B64292" w:tentative="1">
      <w:start w:val="1"/>
      <w:numFmt w:val="bullet"/>
      <w:lvlText w:val=""/>
      <w:lvlJc w:val="left"/>
      <w:pPr>
        <w:tabs>
          <w:tab w:val="num" w:pos="650"/>
        </w:tabs>
        <w:ind w:left="650" w:hanging="360"/>
      </w:pPr>
      <w:rPr>
        <w:rFonts w:ascii="Symbol" w:hAnsi="Symbol" w:hint="default"/>
      </w:rPr>
    </w:lvl>
    <w:lvl w:ilvl="3" w:tplc="55841EB4" w:tentative="1">
      <w:start w:val="1"/>
      <w:numFmt w:val="bullet"/>
      <w:lvlText w:val=""/>
      <w:lvlJc w:val="left"/>
      <w:pPr>
        <w:tabs>
          <w:tab w:val="num" w:pos="1370"/>
        </w:tabs>
        <w:ind w:left="1370" w:hanging="360"/>
      </w:pPr>
      <w:rPr>
        <w:rFonts w:ascii="Symbol" w:hAnsi="Symbol" w:hint="default"/>
      </w:rPr>
    </w:lvl>
    <w:lvl w:ilvl="4" w:tplc="3D625440" w:tentative="1">
      <w:start w:val="1"/>
      <w:numFmt w:val="bullet"/>
      <w:lvlText w:val=""/>
      <w:lvlJc w:val="left"/>
      <w:pPr>
        <w:tabs>
          <w:tab w:val="num" w:pos="2090"/>
        </w:tabs>
        <w:ind w:left="2090" w:hanging="360"/>
      </w:pPr>
      <w:rPr>
        <w:rFonts w:ascii="Symbol" w:hAnsi="Symbol" w:hint="default"/>
      </w:rPr>
    </w:lvl>
    <w:lvl w:ilvl="5" w:tplc="A6FA6E18" w:tentative="1">
      <w:start w:val="1"/>
      <w:numFmt w:val="bullet"/>
      <w:lvlText w:val=""/>
      <w:lvlJc w:val="left"/>
      <w:pPr>
        <w:tabs>
          <w:tab w:val="num" w:pos="2810"/>
        </w:tabs>
        <w:ind w:left="2810" w:hanging="360"/>
      </w:pPr>
      <w:rPr>
        <w:rFonts w:ascii="Symbol" w:hAnsi="Symbol" w:hint="default"/>
      </w:rPr>
    </w:lvl>
    <w:lvl w:ilvl="6" w:tplc="070CD096" w:tentative="1">
      <w:start w:val="1"/>
      <w:numFmt w:val="bullet"/>
      <w:lvlText w:val=""/>
      <w:lvlJc w:val="left"/>
      <w:pPr>
        <w:tabs>
          <w:tab w:val="num" w:pos="3530"/>
        </w:tabs>
        <w:ind w:left="3530" w:hanging="360"/>
      </w:pPr>
      <w:rPr>
        <w:rFonts w:ascii="Symbol" w:hAnsi="Symbol" w:hint="default"/>
      </w:rPr>
    </w:lvl>
    <w:lvl w:ilvl="7" w:tplc="A76E90AA" w:tentative="1">
      <w:start w:val="1"/>
      <w:numFmt w:val="bullet"/>
      <w:lvlText w:val=""/>
      <w:lvlJc w:val="left"/>
      <w:pPr>
        <w:tabs>
          <w:tab w:val="num" w:pos="4250"/>
        </w:tabs>
        <w:ind w:left="4250" w:hanging="360"/>
      </w:pPr>
      <w:rPr>
        <w:rFonts w:ascii="Symbol" w:hAnsi="Symbol" w:hint="default"/>
      </w:rPr>
    </w:lvl>
    <w:lvl w:ilvl="8" w:tplc="6D3ABFBA" w:tentative="1">
      <w:start w:val="1"/>
      <w:numFmt w:val="bullet"/>
      <w:lvlText w:val=""/>
      <w:lvlJc w:val="left"/>
      <w:pPr>
        <w:tabs>
          <w:tab w:val="num" w:pos="4970"/>
        </w:tabs>
        <w:ind w:left="4970" w:hanging="360"/>
      </w:pPr>
      <w:rPr>
        <w:rFonts w:ascii="Symbol" w:hAnsi="Symbol" w:hint="default"/>
      </w:rPr>
    </w:lvl>
  </w:abstractNum>
  <w:abstractNum w:abstractNumId="5" w15:restartNumberingAfterBreak="0">
    <w:nsid w:val="0E7D70FE"/>
    <w:multiLevelType w:val="hybridMultilevel"/>
    <w:tmpl w:val="201C2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8C7"/>
    <w:multiLevelType w:val="hybridMultilevel"/>
    <w:tmpl w:val="2F3EBC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B7F0A"/>
    <w:multiLevelType w:val="hybridMultilevel"/>
    <w:tmpl w:val="F69EC8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63391"/>
    <w:multiLevelType w:val="hybridMultilevel"/>
    <w:tmpl w:val="F24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040D6"/>
    <w:multiLevelType w:val="hybridMultilevel"/>
    <w:tmpl w:val="208E3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0655E"/>
    <w:multiLevelType w:val="hybridMultilevel"/>
    <w:tmpl w:val="28AEE0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C502A"/>
    <w:multiLevelType w:val="hybridMultilevel"/>
    <w:tmpl w:val="79BC91AA"/>
    <w:lvl w:ilvl="0" w:tplc="C5AA9008">
      <w:start w:val="1"/>
      <w:numFmt w:val="decimal"/>
      <w:pStyle w:val="Numberedparagraph"/>
      <w:lvlText w:val="%1."/>
      <w:lvlJc w:val="left"/>
      <w:pPr>
        <w:tabs>
          <w:tab w:val="num" w:pos="1107"/>
        </w:tabs>
        <w:ind w:left="540" w:firstLine="0"/>
      </w:pPr>
      <w:rPr>
        <w:rFonts w:ascii="Tahoma" w:hAnsi="Tahoma" w:hint="default"/>
        <w:b w:val="0"/>
        <w:i w:val="0"/>
        <w:color w:val="auto"/>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6F31E29"/>
    <w:multiLevelType w:val="hybridMultilevel"/>
    <w:tmpl w:val="61F463F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4E2BCC"/>
    <w:multiLevelType w:val="hybridMultilevel"/>
    <w:tmpl w:val="FD5667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712E2"/>
    <w:multiLevelType w:val="hybridMultilevel"/>
    <w:tmpl w:val="55785F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BA7AD3"/>
    <w:multiLevelType w:val="hybridMultilevel"/>
    <w:tmpl w:val="A2504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C050D"/>
    <w:multiLevelType w:val="hybridMultilevel"/>
    <w:tmpl w:val="E9ACF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6733E4"/>
    <w:multiLevelType w:val="hybridMultilevel"/>
    <w:tmpl w:val="65B8B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A71EFD"/>
    <w:multiLevelType w:val="hybridMultilevel"/>
    <w:tmpl w:val="64F2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32E83"/>
    <w:multiLevelType w:val="hybridMultilevel"/>
    <w:tmpl w:val="4CD60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0C1B6B"/>
    <w:multiLevelType w:val="hybridMultilevel"/>
    <w:tmpl w:val="2A8215F6"/>
    <w:lvl w:ilvl="0" w:tplc="E6E2F9C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53301"/>
    <w:multiLevelType w:val="hybridMultilevel"/>
    <w:tmpl w:val="147C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90A47"/>
    <w:multiLevelType w:val="hybridMultilevel"/>
    <w:tmpl w:val="CD9EB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500FE4"/>
    <w:multiLevelType w:val="hybridMultilevel"/>
    <w:tmpl w:val="F24E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4F33F1"/>
    <w:multiLevelType w:val="hybridMultilevel"/>
    <w:tmpl w:val="D65CF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E425A"/>
    <w:multiLevelType w:val="hybridMultilevel"/>
    <w:tmpl w:val="7612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968AD"/>
    <w:multiLevelType w:val="hybridMultilevel"/>
    <w:tmpl w:val="F8BCCA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006F2"/>
    <w:multiLevelType w:val="hybridMultilevel"/>
    <w:tmpl w:val="57C47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353228"/>
    <w:multiLevelType w:val="hybridMultilevel"/>
    <w:tmpl w:val="E370FF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25801"/>
    <w:multiLevelType w:val="hybridMultilevel"/>
    <w:tmpl w:val="ACC0B4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B314A"/>
    <w:multiLevelType w:val="hybridMultilevel"/>
    <w:tmpl w:val="50B0F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530A5F"/>
    <w:multiLevelType w:val="hybridMultilevel"/>
    <w:tmpl w:val="05FE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FB7D21"/>
    <w:multiLevelType w:val="hybridMultilevel"/>
    <w:tmpl w:val="6CC88C5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4BC48B4"/>
    <w:multiLevelType w:val="hybridMultilevel"/>
    <w:tmpl w:val="D890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722620"/>
    <w:multiLevelType w:val="hybridMultilevel"/>
    <w:tmpl w:val="9DBE1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0C08C9"/>
    <w:multiLevelType w:val="hybridMultilevel"/>
    <w:tmpl w:val="7D825A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BF49F5"/>
    <w:multiLevelType w:val="hybridMultilevel"/>
    <w:tmpl w:val="2A766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01665D"/>
    <w:multiLevelType w:val="hybridMultilevel"/>
    <w:tmpl w:val="A4A03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2056A3"/>
    <w:multiLevelType w:val="hybridMultilevel"/>
    <w:tmpl w:val="C290C6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FE5777"/>
    <w:multiLevelType w:val="hybridMultilevel"/>
    <w:tmpl w:val="0D10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7819E3"/>
    <w:multiLevelType w:val="hybridMultilevel"/>
    <w:tmpl w:val="E5EAC0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B778B"/>
    <w:multiLevelType w:val="hybridMultilevel"/>
    <w:tmpl w:val="1FF8C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D284433"/>
    <w:multiLevelType w:val="hybridMultilevel"/>
    <w:tmpl w:val="2B04AD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9"/>
  </w:num>
  <w:num w:numId="5">
    <w:abstractNumId w:val="8"/>
  </w:num>
  <w:num w:numId="6">
    <w:abstractNumId w:val="27"/>
  </w:num>
  <w:num w:numId="7">
    <w:abstractNumId w:val="18"/>
  </w:num>
  <w:num w:numId="8">
    <w:abstractNumId w:val="33"/>
  </w:num>
  <w:num w:numId="9">
    <w:abstractNumId w:val="21"/>
  </w:num>
  <w:num w:numId="10">
    <w:abstractNumId w:val="24"/>
  </w:num>
  <w:num w:numId="11">
    <w:abstractNumId w:val="23"/>
  </w:num>
  <w:num w:numId="12">
    <w:abstractNumId w:val="39"/>
  </w:num>
  <w:num w:numId="13">
    <w:abstractNumId w:val="31"/>
  </w:num>
  <w:num w:numId="14">
    <w:abstractNumId w:val="30"/>
  </w:num>
  <w:num w:numId="15">
    <w:abstractNumId w:val="15"/>
  </w:num>
  <w:num w:numId="16">
    <w:abstractNumId w:val="3"/>
  </w:num>
  <w:num w:numId="17">
    <w:abstractNumId w:val="41"/>
  </w:num>
  <w:num w:numId="18">
    <w:abstractNumId w:val="17"/>
  </w:num>
  <w:num w:numId="19">
    <w:abstractNumId w:val="36"/>
  </w:num>
  <w:num w:numId="20">
    <w:abstractNumId w:val="19"/>
  </w:num>
  <w:num w:numId="21">
    <w:abstractNumId w:val="20"/>
  </w:num>
  <w:num w:numId="22">
    <w:abstractNumId w:val="10"/>
  </w:num>
  <w:num w:numId="23">
    <w:abstractNumId w:val="34"/>
  </w:num>
  <w:num w:numId="24">
    <w:abstractNumId w:val="1"/>
  </w:num>
  <w:num w:numId="25">
    <w:abstractNumId w:val="14"/>
  </w:num>
  <w:num w:numId="26">
    <w:abstractNumId w:val="22"/>
  </w:num>
  <w:num w:numId="27">
    <w:abstractNumId w:val="28"/>
  </w:num>
  <w:num w:numId="28">
    <w:abstractNumId w:val="7"/>
  </w:num>
  <w:num w:numId="29">
    <w:abstractNumId w:val="42"/>
  </w:num>
  <w:num w:numId="30">
    <w:abstractNumId w:val="38"/>
  </w:num>
  <w:num w:numId="31">
    <w:abstractNumId w:val="32"/>
  </w:num>
  <w:num w:numId="32">
    <w:abstractNumId w:val="12"/>
  </w:num>
  <w:num w:numId="33">
    <w:abstractNumId w:val="5"/>
  </w:num>
  <w:num w:numId="34">
    <w:abstractNumId w:val="26"/>
  </w:num>
  <w:num w:numId="35">
    <w:abstractNumId w:val="6"/>
  </w:num>
  <w:num w:numId="36">
    <w:abstractNumId w:val="29"/>
  </w:num>
  <w:num w:numId="37">
    <w:abstractNumId w:val="35"/>
  </w:num>
  <w:num w:numId="38">
    <w:abstractNumId w:val="0"/>
  </w:num>
  <w:num w:numId="39">
    <w:abstractNumId w:val="37"/>
  </w:num>
  <w:num w:numId="40">
    <w:abstractNumId w:val="25"/>
  </w:num>
  <w:num w:numId="41">
    <w:abstractNumId w:val="13"/>
  </w:num>
  <w:num w:numId="42">
    <w:abstractNumId w:val="40"/>
  </w:num>
  <w:num w:numId="4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09C"/>
    <w:rsid w:val="000012CF"/>
    <w:rsid w:val="000019C5"/>
    <w:rsid w:val="00001B2F"/>
    <w:rsid w:val="00002335"/>
    <w:rsid w:val="00002BFF"/>
    <w:rsid w:val="000037E8"/>
    <w:rsid w:val="00003FC8"/>
    <w:rsid w:val="000045BF"/>
    <w:rsid w:val="0000509C"/>
    <w:rsid w:val="000062A2"/>
    <w:rsid w:val="00006BD3"/>
    <w:rsid w:val="00006D0D"/>
    <w:rsid w:val="00007378"/>
    <w:rsid w:val="00007588"/>
    <w:rsid w:val="000100FC"/>
    <w:rsid w:val="000101BB"/>
    <w:rsid w:val="00010456"/>
    <w:rsid w:val="00010F5F"/>
    <w:rsid w:val="0001126C"/>
    <w:rsid w:val="000117BB"/>
    <w:rsid w:val="00011E05"/>
    <w:rsid w:val="00011E4E"/>
    <w:rsid w:val="00012416"/>
    <w:rsid w:val="000124BD"/>
    <w:rsid w:val="0001255B"/>
    <w:rsid w:val="00013403"/>
    <w:rsid w:val="000134CE"/>
    <w:rsid w:val="00013B9E"/>
    <w:rsid w:val="00013BD7"/>
    <w:rsid w:val="00016336"/>
    <w:rsid w:val="00020412"/>
    <w:rsid w:val="000206B1"/>
    <w:rsid w:val="0002189D"/>
    <w:rsid w:val="000228CA"/>
    <w:rsid w:val="00022E6C"/>
    <w:rsid w:val="00022FAA"/>
    <w:rsid w:val="000232F3"/>
    <w:rsid w:val="00023D41"/>
    <w:rsid w:val="0002466F"/>
    <w:rsid w:val="000246BA"/>
    <w:rsid w:val="00024851"/>
    <w:rsid w:val="00026F4E"/>
    <w:rsid w:val="0002770F"/>
    <w:rsid w:val="00032234"/>
    <w:rsid w:val="00032C49"/>
    <w:rsid w:val="00033039"/>
    <w:rsid w:val="000339BC"/>
    <w:rsid w:val="00033E4E"/>
    <w:rsid w:val="00034A89"/>
    <w:rsid w:val="00035B5F"/>
    <w:rsid w:val="00036C7B"/>
    <w:rsid w:val="00036D4B"/>
    <w:rsid w:val="00037A56"/>
    <w:rsid w:val="00040A8F"/>
    <w:rsid w:val="000414E0"/>
    <w:rsid w:val="00042F99"/>
    <w:rsid w:val="000431F4"/>
    <w:rsid w:val="0004366A"/>
    <w:rsid w:val="0004504E"/>
    <w:rsid w:val="0004506C"/>
    <w:rsid w:val="00045B29"/>
    <w:rsid w:val="0004714D"/>
    <w:rsid w:val="00050AB1"/>
    <w:rsid w:val="0005636C"/>
    <w:rsid w:val="000576BF"/>
    <w:rsid w:val="0006021F"/>
    <w:rsid w:val="00060405"/>
    <w:rsid w:val="000606BA"/>
    <w:rsid w:val="00060DBD"/>
    <w:rsid w:val="0006201A"/>
    <w:rsid w:val="000620CB"/>
    <w:rsid w:val="00062188"/>
    <w:rsid w:val="0006261A"/>
    <w:rsid w:val="00062680"/>
    <w:rsid w:val="000635E4"/>
    <w:rsid w:val="00063DE6"/>
    <w:rsid w:val="00064279"/>
    <w:rsid w:val="0006464E"/>
    <w:rsid w:val="00065820"/>
    <w:rsid w:val="0006764D"/>
    <w:rsid w:val="000678F1"/>
    <w:rsid w:val="000704DC"/>
    <w:rsid w:val="000704E8"/>
    <w:rsid w:val="0007232D"/>
    <w:rsid w:val="0007240C"/>
    <w:rsid w:val="00073038"/>
    <w:rsid w:val="0007378C"/>
    <w:rsid w:val="00074C9F"/>
    <w:rsid w:val="00074F2D"/>
    <w:rsid w:val="00075D2A"/>
    <w:rsid w:val="000769E7"/>
    <w:rsid w:val="00076AAF"/>
    <w:rsid w:val="00076E7B"/>
    <w:rsid w:val="000773D9"/>
    <w:rsid w:val="00077CA7"/>
    <w:rsid w:val="00081E8C"/>
    <w:rsid w:val="00082CA3"/>
    <w:rsid w:val="00082E77"/>
    <w:rsid w:val="000830D8"/>
    <w:rsid w:val="00083898"/>
    <w:rsid w:val="00083D53"/>
    <w:rsid w:val="000844E2"/>
    <w:rsid w:val="00085784"/>
    <w:rsid w:val="00085DBB"/>
    <w:rsid w:val="00087CCE"/>
    <w:rsid w:val="0009188C"/>
    <w:rsid w:val="0009192D"/>
    <w:rsid w:val="000930D3"/>
    <w:rsid w:val="00094070"/>
    <w:rsid w:val="00094BA6"/>
    <w:rsid w:val="00096AC8"/>
    <w:rsid w:val="0009754B"/>
    <w:rsid w:val="00097ADE"/>
    <w:rsid w:val="000A00AD"/>
    <w:rsid w:val="000A0570"/>
    <w:rsid w:val="000A0CFC"/>
    <w:rsid w:val="000A11C0"/>
    <w:rsid w:val="000A253D"/>
    <w:rsid w:val="000A288A"/>
    <w:rsid w:val="000A332D"/>
    <w:rsid w:val="000A3654"/>
    <w:rsid w:val="000A3F99"/>
    <w:rsid w:val="000A462B"/>
    <w:rsid w:val="000A4824"/>
    <w:rsid w:val="000A543D"/>
    <w:rsid w:val="000A5A02"/>
    <w:rsid w:val="000A6AA9"/>
    <w:rsid w:val="000A742E"/>
    <w:rsid w:val="000A7EFC"/>
    <w:rsid w:val="000B1E93"/>
    <w:rsid w:val="000B3535"/>
    <w:rsid w:val="000B3DBA"/>
    <w:rsid w:val="000B5DBA"/>
    <w:rsid w:val="000B6B87"/>
    <w:rsid w:val="000B6C5F"/>
    <w:rsid w:val="000B7802"/>
    <w:rsid w:val="000B78BD"/>
    <w:rsid w:val="000C0259"/>
    <w:rsid w:val="000C2291"/>
    <w:rsid w:val="000C2431"/>
    <w:rsid w:val="000C2B36"/>
    <w:rsid w:val="000C35DE"/>
    <w:rsid w:val="000C3C23"/>
    <w:rsid w:val="000C5360"/>
    <w:rsid w:val="000C5FDC"/>
    <w:rsid w:val="000C6379"/>
    <w:rsid w:val="000C65F1"/>
    <w:rsid w:val="000C7E38"/>
    <w:rsid w:val="000C7F62"/>
    <w:rsid w:val="000D0849"/>
    <w:rsid w:val="000D0BC9"/>
    <w:rsid w:val="000D10C5"/>
    <w:rsid w:val="000D1353"/>
    <w:rsid w:val="000D16D5"/>
    <w:rsid w:val="000D3827"/>
    <w:rsid w:val="000D3EEC"/>
    <w:rsid w:val="000D47EB"/>
    <w:rsid w:val="000D605F"/>
    <w:rsid w:val="000D68DE"/>
    <w:rsid w:val="000D69B3"/>
    <w:rsid w:val="000D6FA8"/>
    <w:rsid w:val="000D72F3"/>
    <w:rsid w:val="000D7820"/>
    <w:rsid w:val="000E023A"/>
    <w:rsid w:val="000E06D5"/>
    <w:rsid w:val="000E1171"/>
    <w:rsid w:val="000E131D"/>
    <w:rsid w:val="000E2B30"/>
    <w:rsid w:val="000E2E01"/>
    <w:rsid w:val="000E388B"/>
    <w:rsid w:val="000E3D6F"/>
    <w:rsid w:val="000E3FBC"/>
    <w:rsid w:val="000E4290"/>
    <w:rsid w:val="000E5040"/>
    <w:rsid w:val="000E569E"/>
    <w:rsid w:val="000E5A94"/>
    <w:rsid w:val="000E5D39"/>
    <w:rsid w:val="000E797F"/>
    <w:rsid w:val="000F0A0B"/>
    <w:rsid w:val="000F12C7"/>
    <w:rsid w:val="000F2C7C"/>
    <w:rsid w:val="000F3A06"/>
    <w:rsid w:val="000F3E5C"/>
    <w:rsid w:val="000F4DB2"/>
    <w:rsid w:val="000F5070"/>
    <w:rsid w:val="000F60FF"/>
    <w:rsid w:val="000F6A53"/>
    <w:rsid w:val="000F7D0F"/>
    <w:rsid w:val="000F7F85"/>
    <w:rsid w:val="00100852"/>
    <w:rsid w:val="0010101C"/>
    <w:rsid w:val="0010171F"/>
    <w:rsid w:val="001023CB"/>
    <w:rsid w:val="001029FB"/>
    <w:rsid w:val="00103346"/>
    <w:rsid w:val="00103AB3"/>
    <w:rsid w:val="00103E5B"/>
    <w:rsid w:val="001041C8"/>
    <w:rsid w:val="00105308"/>
    <w:rsid w:val="001056A5"/>
    <w:rsid w:val="00105CB4"/>
    <w:rsid w:val="00106408"/>
    <w:rsid w:val="00106622"/>
    <w:rsid w:val="001072E5"/>
    <w:rsid w:val="001103E0"/>
    <w:rsid w:val="0011080D"/>
    <w:rsid w:val="00110A38"/>
    <w:rsid w:val="00111049"/>
    <w:rsid w:val="001116EF"/>
    <w:rsid w:val="00111CC4"/>
    <w:rsid w:val="00111EC2"/>
    <w:rsid w:val="001123ED"/>
    <w:rsid w:val="00113411"/>
    <w:rsid w:val="00114D9C"/>
    <w:rsid w:val="00114E22"/>
    <w:rsid w:val="00115050"/>
    <w:rsid w:val="00115671"/>
    <w:rsid w:val="00116FD0"/>
    <w:rsid w:val="0012040A"/>
    <w:rsid w:val="00121519"/>
    <w:rsid w:val="001217C8"/>
    <w:rsid w:val="00121926"/>
    <w:rsid w:val="00121C38"/>
    <w:rsid w:val="001245B9"/>
    <w:rsid w:val="00125D2E"/>
    <w:rsid w:val="00126A7B"/>
    <w:rsid w:val="00127679"/>
    <w:rsid w:val="00127728"/>
    <w:rsid w:val="00131897"/>
    <w:rsid w:val="00131A47"/>
    <w:rsid w:val="00133CF9"/>
    <w:rsid w:val="00133EBC"/>
    <w:rsid w:val="00134E76"/>
    <w:rsid w:val="00134FB2"/>
    <w:rsid w:val="0013565B"/>
    <w:rsid w:val="001361F5"/>
    <w:rsid w:val="00136623"/>
    <w:rsid w:val="0013726E"/>
    <w:rsid w:val="001373C1"/>
    <w:rsid w:val="001401C3"/>
    <w:rsid w:val="001405D7"/>
    <w:rsid w:val="00140B9B"/>
    <w:rsid w:val="00142792"/>
    <w:rsid w:val="00145C08"/>
    <w:rsid w:val="001460CF"/>
    <w:rsid w:val="00146CB5"/>
    <w:rsid w:val="00146E20"/>
    <w:rsid w:val="001472BB"/>
    <w:rsid w:val="001474A7"/>
    <w:rsid w:val="00147CE0"/>
    <w:rsid w:val="00147DB8"/>
    <w:rsid w:val="00147F03"/>
    <w:rsid w:val="0015055C"/>
    <w:rsid w:val="00150815"/>
    <w:rsid w:val="001508D6"/>
    <w:rsid w:val="00151BD6"/>
    <w:rsid w:val="001523BE"/>
    <w:rsid w:val="0015345F"/>
    <w:rsid w:val="00153DAC"/>
    <w:rsid w:val="0015706E"/>
    <w:rsid w:val="00157131"/>
    <w:rsid w:val="00157564"/>
    <w:rsid w:val="0016186A"/>
    <w:rsid w:val="0016524B"/>
    <w:rsid w:val="00165B5F"/>
    <w:rsid w:val="00166A60"/>
    <w:rsid w:val="0016772A"/>
    <w:rsid w:val="00167962"/>
    <w:rsid w:val="00170044"/>
    <w:rsid w:val="00171DF2"/>
    <w:rsid w:val="00172C56"/>
    <w:rsid w:val="00173B8F"/>
    <w:rsid w:val="00173C45"/>
    <w:rsid w:val="00174143"/>
    <w:rsid w:val="00174E1B"/>
    <w:rsid w:val="00174F0C"/>
    <w:rsid w:val="001750E1"/>
    <w:rsid w:val="00175D17"/>
    <w:rsid w:val="00176843"/>
    <w:rsid w:val="00177114"/>
    <w:rsid w:val="00177AB6"/>
    <w:rsid w:val="00180218"/>
    <w:rsid w:val="00180CF1"/>
    <w:rsid w:val="00181811"/>
    <w:rsid w:val="001827AC"/>
    <w:rsid w:val="00182A1C"/>
    <w:rsid w:val="00183387"/>
    <w:rsid w:val="00184023"/>
    <w:rsid w:val="00184158"/>
    <w:rsid w:val="00184562"/>
    <w:rsid w:val="00184A72"/>
    <w:rsid w:val="00184B1F"/>
    <w:rsid w:val="00184B5B"/>
    <w:rsid w:val="00184CE2"/>
    <w:rsid w:val="00185995"/>
    <w:rsid w:val="00185DF4"/>
    <w:rsid w:val="00186638"/>
    <w:rsid w:val="00186741"/>
    <w:rsid w:val="00186FD8"/>
    <w:rsid w:val="00187EA8"/>
    <w:rsid w:val="00190931"/>
    <w:rsid w:val="001919C6"/>
    <w:rsid w:val="001929B2"/>
    <w:rsid w:val="001949D7"/>
    <w:rsid w:val="00194D27"/>
    <w:rsid w:val="00194EDD"/>
    <w:rsid w:val="0019565E"/>
    <w:rsid w:val="00197915"/>
    <w:rsid w:val="001A0F7E"/>
    <w:rsid w:val="001A1074"/>
    <w:rsid w:val="001A1D68"/>
    <w:rsid w:val="001A4766"/>
    <w:rsid w:val="001A4C55"/>
    <w:rsid w:val="001A5174"/>
    <w:rsid w:val="001A5A43"/>
    <w:rsid w:val="001A74CA"/>
    <w:rsid w:val="001A7A1E"/>
    <w:rsid w:val="001A7FEB"/>
    <w:rsid w:val="001B08B5"/>
    <w:rsid w:val="001B0D18"/>
    <w:rsid w:val="001B2156"/>
    <w:rsid w:val="001B2C55"/>
    <w:rsid w:val="001B2EF8"/>
    <w:rsid w:val="001B315F"/>
    <w:rsid w:val="001B3A03"/>
    <w:rsid w:val="001B3DD8"/>
    <w:rsid w:val="001B3F8F"/>
    <w:rsid w:val="001B4E65"/>
    <w:rsid w:val="001B566E"/>
    <w:rsid w:val="001B5791"/>
    <w:rsid w:val="001B599A"/>
    <w:rsid w:val="001B6802"/>
    <w:rsid w:val="001B6F28"/>
    <w:rsid w:val="001C17A1"/>
    <w:rsid w:val="001C1D56"/>
    <w:rsid w:val="001C3B27"/>
    <w:rsid w:val="001C3C2F"/>
    <w:rsid w:val="001C4109"/>
    <w:rsid w:val="001C4CAB"/>
    <w:rsid w:val="001C5127"/>
    <w:rsid w:val="001C5A46"/>
    <w:rsid w:val="001C5FE4"/>
    <w:rsid w:val="001D158C"/>
    <w:rsid w:val="001D19C8"/>
    <w:rsid w:val="001D22E5"/>
    <w:rsid w:val="001D269C"/>
    <w:rsid w:val="001D2ECF"/>
    <w:rsid w:val="001D4093"/>
    <w:rsid w:val="001D5791"/>
    <w:rsid w:val="001D68D2"/>
    <w:rsid w:val="001D6D03"/>
    <w:rsid w:val="001D6D90"/>
    <w:rsid w:val="001E0617"/>
    <w:rsid w:val="001E3361"/>
    <w:rsid w:val="001E500B"/>
    <w:rsid w:val="001E51EE"/>
    <w:rsid w:val="001E559F"/>
    <w:rsid w:val="001E5D6B"/>
    <w:rsid w:val="001E6390"/>
    <w:rsid w:val="001F0F18"/>
    <w:rsid w:val="001F2390"/>
    <w:rsid w:val="001F3130"/>
    <w:rsid w:val="001F3175"/>
    <w:rsid w:val="001F31DF"/>
    <w:rsid w:val="001F33E2"/>
    <w:rsid w:val="001F364D"/>
    <w:rsid w:val="001F37D1"/>
    <w:rsid w:val="001F433B"/>
    <w:rsid w:val="001F56A8"/>
    <w:rsid w:val="001F6922"/>
    <w:rsid w:val="00200B9E"/>
    <w:rsid w:val="00202B0E"/>
    <w:rsid w:val="00203EB5"/>
    <w:rsid w:val="0020413B"/>
    <w:rsid w:val="00204609"/>
    <w:rsid w:val="00204997"/>
    <w:rsid w:val="002049F0"/>
    <w:rsid w:val="00205FB5"/>
    <w:rsid w:val="002062D3"/>
    <w:rsid w:val="00206FF7"/>
    <w:rsid w:val="002079DD"/>
    <w:rsid w:val="00207B0C"/>
    <w:rsid w:val="00210AF8"/>
    <w:rsid w:val="00211793"/>
    <w:rsid w:val="00212A16"/>
    <w:rsid w:val="002131E4"/>
    <w:rsid w:val="0021438C"/>
    <w:rsid w:val="00215509"/>
    <w:rsid w:val="00216C14"/>
    <w:rsid w:val="00216F7A"/>
    <w:rsid w:val="00217203"/>
    <w:rsid w:val="002176AF"/>
    <w:rsid w:val="00220982"/>
    <w:rsid w:val="00220B25"/>
    <w:rsid w:val="002210C3"/>
    <w:rsid w:val="0022170C"/>
    <w:rsid w:val="00221D16"/>
    <w:rsid w:val="00222889"/>
    <w:rsid w:val="00222CFC"/>
    <w:rsid w:val="00223F0C"/>
    <w:rsid w:val="00225A91"/>
    <w:rsid w:val="00225B4D"/>
    <w:rsid w:val="00225BB1"/>
    <w:rsid w:val="00227A33"/>
    <w:rsid w:val="002314EB"/>
    <w:rsid w:val="00231CC7"/>
    <w:rsid w:val="002324DF"/>
    <w:rsid w:val="00234E46"/>
    <w:rsid w:val="00234E8F"/>
    <w:rsid w:val="00235C76"/>
    <w:rsid w:val="00236F6A"/>
    <w:rsid w:val="00237AF7"/>
    <w:rsid w:val="00240EC2"/>
    <w:rsid w:val="002415A2"/>
    <w:rsid w:val="00242A1E"/>
    <w:rsid w:val="00243709"/>
    <w:rsid w:val="00243CDA"/>
    <w:rsid w:val="00244BC8"/>
    <w:rsid w:val="00244D4F"/>
    <w:rsid w:val="00245FE3"/>
    <w:rsid w:val="00246612"/>
    <w:rsid w:val="00246C22"/>
    <w:rsid w:val="00246CCB"/>
    <w:rsid w:val="00247A8E"/>
    <w:rsid w:val="00247AE3"/>
    <w:rsid w:val="00250C3C"/>
    <w:rsid w:val="00251062"/>
    <w:rsid w:val="00251BB5"/>
    <w:rsid w:val="00252421"/>
    <w:rsid w:val="00252D8E"/>
    <w:rsid w:val="00253D98"/>
    <w:rsid w:val="00253F9A"/>
    <w:rsid w:val="00254A64"/>
    <w:rsid w:val="00254D1B"/>
    <w:rsid w:val="00254E34"/>
    <w:rsid w:val="0025609B"/>
    <w:rsid w:val="00256A42"/>
    <w:rsid w:val="00256F63"/>
    <w:rsid w:val="00257DD6"/>
    <w:rsid w:val="002603E0"/>
    <w:rsid w:val="0026196E"/>
    <w:rsid w:val="00261A86"/>
    <w:rsid w:val="0026297B"/>
    <w:rsid w:val="002629E8"/>
    <w:rsid w:val="00262B5A"/>
    <w:rsid w:val="00263D0B"/>
    <w:rsid w:val="0026425B"/>
    <w:rsid w:val="00264832"/>
    <w:rsid w:val="00264E2C"/>
    <w:rsid w:val="00266AB8"/>
    <w:rsid w:val="00266CB1"/>
    <w:rsid w:val="00267AAE"/>
    <w:rsid w:val="0027056F"/>
    <w:rsid w:val="00270E85"/>
    <w:rsid w:val="0027116D"/>
    <w:rsid w:val="00271BE7"/>
    <w:rsid w:val="00272AC7"/>
    <w:rsid w:val="00273266"/>
    <w:rsid w:val="00273B53"/>
    <w:rsid w:val="00274DF6"/>
    <w:rsid w:val="0027523F"/>
    <w:rsid w:val="0027593C"/>
    <w:rsid w:val="00275EC6"/>
    <w:rsid w:val="00276895"/>
    <w:rsid w:val="00276B3D"/>
    <w:rsid w:val="0028013D"/>
    <w:rsid w:val="002801CF"/>
    <w:rsid w:val="00280C2E"/>
    <w:rsid w:val="002817B1"/>
    <w:rsid w:val="00282AD7"/>
    <w:rsid w:val="00282E8F"/>
    <w:rsid w:val="00283F3A"/>
    <w:rsid w:val="00284848"/>
    <w:rsid w:val="00284F49"/>
    <w:rsid w:val="00285976"/>
    <w:rsid w:val="00285C51"/>
    <w:rsid w:val="0028646B"/>
    <w:rsid w:val="002868ED"/>
    <w:rsid w:val="00286BE1"/>
    <w:rsid w:val="00286E47"/>
    <w:rsid w:val="00290F2B"/>
    <w:rsid w:val="002913EB"/>
    <w:rsid w:val="00291D70"/>
    <w:rsid w:val="00291D8A"/>
    <w:rsid w:val="0029399E"/>
    <w:rsid w:val="00294047"/>
    <w:rsid w:val="002947B7"/>
    <w:rsid w:val="00294F11"/>
    <w:rsid w:val="0029514E"/>
    <w:rsid w:val="00295233"/>
    <w:rsid w:val="0029578F"/>
    <w:rsid w:val="002978A6"/>
    <w:rsid w:val="00297FAB"/>
    <w:rsid w:val="002A092C"/>
    <w:rsid w:val="002A1F22"/>
    <w:rsid w:val="002A2129"/>
    <w:rsid w:val="002A2941"/>
    <w:rsid w:val="002A2E83"/>
    <w:rsid w:val="002A33E7"/>
    <w:rsid w:val="002A3C45"/>
    <w:rsid w:val="002A48A8"/>
    <w:rsid w:val="002A5021"/>
    <w:rsid w:val="002A57E8"/>
    <w:rsid w:val="002A5AAF"/>
    <w:rsid w:val="002A6D1E"/>
    <w:rsid w:val="002B0D79"/>
    <w:rsid w:val="002B0E60"/>
    <w:rsid w:val="002B2E10"/>
    <w:rsid w:val="002B318F"/>
    <w:rsid w:val="002B343A"/>
    <w:rsid w:val="002B358D"/>
    <w:rsid w:val="002B3783"/>
    <w:rsid w:val="002B472F"/>
    <w:rsid w:val="002B48A0"/>
    <w:rsid w:val="002B662B"/>
    <w:rsid w:val="002B685C"/>
    <w:rsid w:val="002B6E60"/>
    <w:rsid w:val="002B6EA1"/>
    <w:rsid w:val="002C02C1"/>
    <w:rsid w:val="002C05CF"/>
    <w:rsid w:val="002C13D9"/>
    <w:rsid w:val="002C192D"/>
    <w:rsid w:val="002C3210"/>
    <w:rsid w:val="002C3534"/>
    <w:rsid w:val="002C36B5"/>
    <w:rsid w:val="002C44C4"/>
    <w:rsid w:val="002C4A9F"/>
    <w:rsid w:val="002C5989"/>
    <w:rsid w:val="002C716F"/>
    <w:rsid w:val="002C75BF"/>
    <w:rsid w:val="002C79E2"/>
    <w:rsid w:val="002C7E75"/>
    <w:rsid w:val="002D229D"/>
    <w:rsid w:val="002D2911"/>
    <w:rsid w:val="002D2C4C"/>
    <w:rsid w:val="002D2CC6"/>
    <w:rsid w:val="002D3253"/>
    <w:rsid w:val="002D629E"/>
    <w:rsid w:val="002D6748"/>
    <w:rsid w:val="002D6886"/>
    <w:rsid w:val="002D7238"/>
    <w:rsid w:val="002D7495"/>
    <w:rsid w:val="002E032E"/>
    <w:rsid w:val="002E0506"/>
    <w:rsid w:val="002E0928"/>
    <w:rsid w:val="002E247A"/>
    <w:rsid w:val="002E31C7"/>
    <w:rsid w:val="002E3357"/>
    <w:rsid w:val="002E36DA"/>
    <w:rsid w:val="002E3925"/>
    <w:rsid w:val="002E3AC4"/>
    <w:rsid w:val="002E530F"/>
    <w:rsid w:val="002E5F2A"/>
    <w:rsid w:val="002E69C2"/>
    <w:rsid w:val="002F0CD2"/>
    <w:rsid w:val="002F0D25"/>
    <w:rsid w:val="002F1240"/>
    <w:rsid w:val="002F1622"/>
    <w:rsid w:val="002F1871"/>
    <w:rsid w:val="002F2371"/>
    <w:rsid w:val="002F2635"/>
    <w:rsid w:val="002F2D93"/>
    <w:rsid w:val="002F32C5"/>
    <w:rsid w:val="002F379E"/>
    <w:rsid w:val="002F4945"/>
    <w:rsid w:val="002F50D7"/>
    <w:rsid w:val="002F55AE"/>
    <w:rsid w:val="002F55E0"/>
    <w:rsid w:val="002F6CFF"/>
    <w:rsid w:val="002F6F16"/>
    <w:rsid w:val="002F7BBC"/>
    <w:rsid w:val="003004E6"/>
    <w:rsid w:val="00300F12"/>
    <w:rsid w:val="00301A4B"/>
    <w:rsid w:val="00302780"/>
    <w:rsid w:val="00302DA3"/>
    <w:rsid w:val="00302F1B"/>
    <w:rsid w:val="0030329B"/>
    <w:rsid w:val="003032DC"/>
    <w:rsid w:val="003033C9"/>
    <w:rsid w:val="0030398E"/>
    <w:rsid w:val="003042DA"/>
    <w:rsid w:val="003055FC"/>
    <w:rsid w:val="003068F4"/>
    <w:rsid w:val="00310257"/>
    <w:rsid w:val="003113C0"/>
    <w:rsid w:val="00311C80"/>
    <w:rsid w:val="00311FFB"/>
    <w:rsid w:val="00313644"/>
    <w:rsid w:val="00313D1B"/>
    <w:rsid w:val="00314E0E"/>
    <w:rsid w:val="00314FF6"/>
    <w:rsid w:val="0031561B"/>
    <w:rsid w:val="003164EF"/>
    <w:rsid w:val="003173C6"/>
    <w:rsid w:val="00321876"/>
    <w:rsid w:val="00322350"/>
    <w:rsid w:val="003225DA"/>
    <w:rsid w:val="00322A08"/>
    <w:rsid w:val="00322CC2"/>
    <w:rsid w:val="003245FE"/>
    <w:rsid w:val="00325C6F"/>
    <w:rsid w:val="00326678"/>
    <w:rsid w:val="0032720F"/>
    <w:rsid w:val="00327517"/>
    <w:rsid w:val="00327717"/>
    <w:rsid w:val="003304E1"/>
    <w:rsid w:val="00330FD6"/>
    <w:rsid w:val="00331C35"/>
    <w:rsid w:val="00332E10"/>
    <w:rsid w:val="00332F3B"/>
    <w:rsid w:val="00334859"/>
    <w:rsid w:val="003359EC"/>
    <w:rsid w:val="00335DBD"/>
    <w:rsid w:val="003364FF"/>
    <w:rsid w:val="00340AD1"/>
    <w:rsid w:val="00341410"/>
    <w:rsid w:val="003418BA"/>
    <w:rsid w:val="00342603"/>
    <w:rsid w:val="00342CD0"/>
    <w:rsid w:val="00342E46"/>
    <w:rsid w:val="00342FA0"/>
    <w:rsid w:val="00343E72"/>
    <w:rsid w:val="00344E78"/>
    <w:rsid w:val="00347676"/>
    <w:rsid w:val="00350438"/>
    <w:rsid w:val="0035098B"/>
    <w:rsid w:val="0035115B"/>
    <w:rsid w:val="00351690"/>
    <w:rsid w:val="00351839"/>
    <w:rsid w:val="003524E9"/>
    <w:rsid w:val="003526EC"/>
    <w:rsid w:val="00353BED"/>
    <w:rsid w:val="00353D96"/>
    <w:rsid w:val="003542A5"/>
    <w:rsid w:val="0035544D"/>
    <w:rsid w:val="003559FA"/>
    <w:rsid w:val="00356B62"/>
    <w:rsid w:val="00356C3D"/>
    <w:rsid w:val="00356CB8"/>
    <w:rsid w:val="00360C9A"/>
    <w:rsid w:val="00360E66"/>
    <w:rsid w:val="00362B4A"/>
    <w:rsid w:val="0036371C"/>
    <w:rsid w:val="00363E91"/>
    <w:rsid w:val="00365276"/>
    <w:rsid w:val="0036632F"/>
    <w:rsid w:val="003668C1"/>
    <w:rsid w:val="00366F95"/>
    <w:rsid w:val="0036704B"/>
    <w:rsid w:val="00367AC5"/>
    <w:rsid w:val="003705AC"/>
    <w:rsid w:val="0037094D"/>
    <w:rsid w:val="00371365"/>
    <w:rsid w:val="00371B1F"/>
    <w:rsid w:val="00371DD3"/>
    <w:rsid w:val="00373349"/>
    <w:rsid w:val="003736F1"/>
    <w:rsid w:val="00373A01"/>
    <w:rsid w:val="003750DD"/>
    <w:rsid w:val="003756AE"/>
    <w:rsid w:val="00376E24"/>
    <w:rsid w:val="00376E7C"/>
    <w:rsid w:val="00377032"/>
    <w:rsid w:val="00377872"/>
    <w:rsid w:val="00381A18"/>
    <w:rsid w:val="003820E7"/>
    <w:rsid w:val="0038214B"/>
    <w:rsid w:val="00382389"/>
    <w:rsid w:val="0038420B"/>
    <w:rsid w:val="003846CB"/>
    <w:rsid w:val="00384F73"/>
    <w:rsid w:val="00385A09"/>
    <w:rsid w:val="00385BA5"/>
    <w:rsid w:val="00386898"/>
    <w:rsid w:val="00386F0C"/>
    <w:rsid w:val="003875C5"/>
    <w:rsid w:val="00387F6C"/>
    <w:rsid w:val="00390ED8"/>
    <w:rsid w:val="0039108E"/>
    <w:rsid w:val="0039246C"/>
    <w:rsid w:val="00392BBF"/>
    <w:rsid w:val="00393494"/>
    <w:rsid w:val="003939DC"/>
    <w:rsid w:val="00393CE6"/>
    <w:rsid w:val="00394EAC"/>
    <w:rsid w:val="00395794"/>
    <w:rsid w:val="00395A74"/>
    <w:rsid w:val="00395AA4"/>
    <w:rsid w:val="00395FD5"/>
    <w:rsid w:val="00396E73"/>
    <w:rsid w:val="00397807"/>
    <w:rsid w:val="0039789F"/>
    <w:rsid w:val="003978C9"/>
    <w:rsid w:val="003A03C1"/>
    <w:rsid w:val="003A2D76"/>
    <w:rsid w:val="003A454F"/>
    <w:rsid w:val="003A548D"/>
    <w:rsid w:val="003A56E2"/>
    <w:rsid w:val="003A5743"/>
    <w:rsid w:val="003A6623"/>
    <w:rsid w:val="003A6923"/>
    <w:rsid w:val="003A6A50"/>
    <w:rsid w:val="003A6D78"/>
    <w:rsid w:val="003A7F04"/>
    <w:rsid w:val="003B0A82"/>
    <w:rsid w:val="003B32DF"/>
    <w:rsid w:val="003B3526"/>
    <w:rsid w:val="003B353B"/>
    <w:rsid w:val="003B3E99"/>
    <w:rsid w:val="003B44F5"/>
    <w:rsid w:val="003B472D"/>
    <w:rsid w:val="003B4E04"/>
    <w:rsid w:val="003B528A"/>
    <w:rsid w:val="003B5D6A"/>
    <w:rsid w:val="003C0B0A"/>
    <w:rsid w:val="003C1010"/>
    <w:rsid w:val="003C16A0"/>
    <w:rsid w:val="003C1E3C"/>
    <w:rsid w:val="003C2154"/>
    <w:rsid w:val="003C2939"/>
    <w:rsid w:val="003C2BA8"/>
    <w:rsid w:val="003C41EE"/>
    <w:rsid w:val="003C42B5"/>
    <w:rsid w:val="003C5DA3"/>
    <w:rsid w:val="003C620B"/>
    <w:rsid w:val="003C6D5A"/>
    <w:rsid w:val="003C75D8"/>
    <w:rsid w:val="003C7B7C"/>
    <w:rsid w:val="003D1653"/>
    <w:rsid w:val="003D1743"/>
    <w:rsid w:val="003D207C"/>
    <w:rsid w:val="003D30F7"/>
    <w:rsid w:val="003D3405"/>
    <w:rsid w:val="003D4403"/>
    <w:rsid w:val="003D4AEF"/>
    <w:rsid w:val="003E0B75"/>
    <w:rsid w:val="003E186F"/>
    <w:rsid w:val="003E18D5"/>
    <w:rsid w:val="003E198F"/>
    <w:rsid w:val="003E1D72"/>
    <w:rsid w:val="003E34BF"/>
    <w:rsid w:val="003E3E70"/>
    <w:rsid w:val="003E4731"/>
    <w:rsid w:val="003E4982"/>
    <w:rsid w:val="003E576B"/>
    <w:rsid w:val="003E5DE8"/>
    <w:rsid w:val="003E5F86"/>
    <w:rsid w:val="003E6950"/>
    <w:rsid w:val="003E6BB4"/>
    <w:rsid w:val="003E7013"/>
    <w:rsid w:val="003F0043"/>
    <w:rsid w:val="003F0892"/>
    <w:rsid w:val="003F14A0"/>
    <w:rsid w:val="003F1BFA"/>
    <w:rsid w:val="003F2737"/>
    <w:rsid w:val="003F3C0E"/>
    <w:rsid w:val="003F4E20"/>
    <w:rsid w:val="003F56A6"/>
    <w:rsid w:val="003F5F4A"/>
    <w:rsid w:val="003F6B65"/>
    <w:rsid w:val="003F6D7D"/>
    <w:rsid w:val="003F6F13"/>
    <w:rsid w:val="003F704F"/>
    <w:rsid w:val="00400012"/>
    <w:rsid w:val="004009F2"/>
    <w:rsid w:val="004010C6"/>
    <w:rsid w:val="00402E62"/>
    <w:rsid w:val="004043CE"/>
    <w:rsid w:val="00404E1B"/>
    <w:rsid w:val="00405382"/>
    <w:rsid w:val="00406D07"/>
    <w:rsid w:val="00407386"/>
    <w:rsid w:val="004073DE"/>
    <w:rsid w:val="00410386"/>
    <w:rsid w:val="00410BDF"/>
    <w:rsid w:val="00410C0B"/>
    <w:rsid w:val="00411DFF"/>
    <w:rsid w:val="0041316F"/>
    <w:rsid w:val="004143DB"/>
    <w:rsid w:val="0041459B"/>
    <w:rsid w:val="004154DE"/>
    <w:rsid w:val="00415EC4"/>
    <w:rsid w:val="00415ECA"/>
    <w:rsid w:val="00416733"/>
    <w:rsid w:val="004167AC"/>
    <w:rsid w:val="00416C01"/>
    <w:rsid w:val="00416DE7"/>
    <w:rsid w:val="00417D99"/>
    <w:rsid w:val="00422DA1"/>
    <w:rsid w:val="00423A9C"/>
    <w:rsid w:val="00423E30"/>
    <w:rsid w:val="004244EA"/>
    <w:rsid w:val="00424615"/>
    <w:rsid w:val="00424FCF"/>
    <w:rsid w:val="00425B25"/>
    <w:rsid w:val="00425B46"/>
    <w:rsid w:val="00425CAE"/>
    <w:rsid w:val="00426FF2"/>
    <w:rsid w:val="0042733D"/>
    <w:rsid w:val="004279D6"/>
    <w:rsid w:val="004307DE"/>
    <w:rsid w:val="00432031"/>
    <w:rsid w:val="00432086"/>
    <w:rsid w:val="004326F0"/>
    <w:rsid w:val="00432B4F"/>
    <w:rsid w:val="004336D5"/>
    <w:rsid w:val="00435B07"/>
    <w:rsid w:val="0043683B"/>
    <w:rsid w:val="00437192"/>
    <w:rsid w:val="004373E6"/>
    <w:rsid w:val="004400DB"/>
    <w:rsid w:val="00440604"/>
    <w:rsid w:val="00441087"/>
    <w:rsid w:val="0044350F"/>
    <w:rsid w:val="00443696"/>
    <w:rsid w:val="00443B8E"/>
    <w:rsid w:val="00444D3F"/>
    <w:rsid w:val="004469AA"/>
    <w:rsid w:val="004472FD"/>
    <w:rsid w:val="0044746B"/>
    <w:rsid w:val="00447F2C"/>
    <w:rsid w:val="0045047C"/>
    <w:rsid w:val="00451D65"/>
    <w:rsid w:val="004520FF"/>
    <w:rsid w:val="00452AF8"/>
    <w:rsid w:val="00452D8E"/>
    <w:rsid w:val="00453023"/>
    <w:rsid w:val="00453403"/>
    <w:rsid w:val="0045384D"/>
    <w:rsid w:val="004549E0"/>
    <w:rsid w:val="00456736"/>
    <w:rsid w:val="004570FA"/>
    <w:rsid w:val="00457687"/>
    <w:rsid w:val="00457D76"/>
    <w:rsid w:val="004629C0"/>
    <w:rsid w:val="004632F4"/>
    <w:rsid w:val="004639F7"/>
    <w:rsid w:val="00463B81"/>
    <w:rsid w:val="004647C6"/>
    <w:rsid w:val="00465A7E"/>
    <w:rsid w:val="00466449"/>
    <w:rsid w:val="00467B2F"/>
    <w:rsid w:val="00467EC4"/>
    <w:rsid w:val="00470674"/>
    <w:rsid w:val="00471BC2"/>
    <w:rsid w:val="0047236D"/>
    <w:rsid w:val="00472FC3"/>
    <w:rsid w:val="0047347C"/>
    <w:rsid w:val="00473F4E"/>
    <w:rsid w:val="00474C84"/>
    <w:rsid w:val="00474D2E"/>
    <w:rsid w:val="0047544D"/>
    <w:rsid w:val="00475C7E"/>
    <w:rsid w:val="0047797E"/>
    <w:rsid w:val="004800B4"/>
    <w:rsid w:val="00481807"/>
    <w:rsid w:val="00481827"/>
    <w:rsid w:val="00481E1E"/>
    <w:rsid w:val="00482720"/>
    <w:rsid w:val="00482DAF"/>
    <w:rsid w:val="004830B8"/>
    <w:rsid w:val="00483746"/>
    <w:rsid w:val="00483B3E"/>
    <w:rsid w:val="00484F22"/>
    <w:rsid w:val="004857FD"/>
    <w:rsid w:val="00485F2A"/>
    <w:rsid w:val="00485FB1"/>
    <w:rsid w:val="00487CDD"/>
    <w:rsid w:val="00490F9F"/>
    <w:rsid w:val="0049266F"/>
    <w:rsid w:val="004934AC"/>
    <w:rsid w:val="00494DC1"/>
    <w:rsid w:val="00494FCF"/>
    <w:rsid w:val="00495258"/>
    <w:rsid w:val="00495B4E"/>
    <w:rsid w:val="00495D21"/>
    <w:rsid w:val="00496E9B"/>
    <w:rsid w:val="004970A8"/>
    <w:rsid w:val="00497819"/>
    <w:rsid w:val="004A00C2"/>
    <w:rsid w:val="004A0CCF"/>
    <w:rsid w:val="004A0DE2"/>
    <w:rsid w:val="004A1543"/>
    <w:rsid w:val="004A1577"/>
    <w:rsid w:val="004A28E3"/>
    <w:rsid w:val="004A2BC9"/>
    <w:rsid w:val="004A3875"/>
    <w:rsid w:val="004A3B89"/>
    <w:rsid w:val="004A4E9F"/>
    <w:rsid w:val="004A5E5F"/>
    <w:rsid w:val="004A670B"/>
    <w:rsid w:val="004A6C99"/>
    <w:rsid w:val="004A794B"/>
    <w:rsid w:val="004B14AF"/>
    <w:rsid w:val="004B2983"/>
    <w:rsid w:val="004B2F3E"/>
    <w:rsid w:val="004B360B"/>
    <w:rsid w:val="004B3FB5"/>
    <w:rsid w:val="004B4861"/>
    <w:rsid w:val="004B4E17"/>
    <w:rsid w:val="004B51E1"/>
    <w:rsid w:val="004B5BB9"/>
    <w:rsid w:val="004B711C"/>
    <w:rsid w:val="004B755D"/>
    <w:rsid w:val="004B7EB4"/>
    <w:rsid w:val="004B7F5C"/>
    <w:rsid w:val="004B7FF2"/>
    <w:rsid w:val="004C0A95"/>
    <w:rsid w:val="004C18C9"/>
    <w:rsid w:val="004C237D"/>
    <w:rsid w:val="004C2651"/>
    <w:rsid w:val="004C2B28"/>
    <w:rsid w:val="004C2E83"/>
    <w:rsid w:val="004C344D"/>
    <w:rsid w:val="004C3694"/>
    <w:rsid w:val="004C52C0"/>
    <w:rsid w:val="004C55FB"/>
    <w:rsid w:val="004C5D93"/>
    <w:rsid w:val="004C5EAA"/>
    <w:rsid w:val="004C64B9"/>
    <w:rsid w:val="004C6A05"/>
    <w:rsid w:val="004C6D79"/>
    <w:rsid w:val="004C6F32"/>
    <w:rsid w:val="004C6FA0"/>
    <w:rsid w:val="004C7B8A"/>
    <w:rsid w:val="004C7D8C"/>
    <w:rsid w:val="004D0224"/>
    <w:rsid w:val="004D0821"/>
    <w:rsid w:val="004D25C0"/>
    <w:rsid w:val="004D2853"/>
    <w:rsid w:val="004D2DBA"/>
    <w:rsid w:val="004D403D"/>
    <w:rsid w:val="004D4E9D"/>
    <w:rsid w:val="004D513C"/>
    <w:rsid w:val="004D5D82"/>
    <w:rsid w:val="004D6195"/>
    <w:rsid w:val="004D76A1"/>
    <w:rsid w:val="004D785F"/>
    <w:rsid w:val="004E048A"/>
    <w:rsid w:val="004E066E"/>
    <w:rsid w:val="004E0B53"/>
    <w:rsid w:val="004E1B55"/>
    <w:rsid w:val="004E1FAF"/>
    <w:rsid w:val="004E201B"/>
    <w:rsid w:val="004E2E2D"/>
    <w:rsid w:val="004E441B"/>
    <w:rsid w:val="004E447A"/>
    <w:rsid w:val="004E48C7"/>
    <w:rsid w:val="004E4B81"/>
    <w:rsid w:val="004E5C80"/>
    <w:rsid w:val="004E5DA5"/>
    <w:rsid w:val="004E6F29"/>
    <w:rsid w:val="004F001B"/>
    <w:rsid w:val="004F00E8"/>
    <w:rsid w:val="004F074E"/>
    <w:rsid w:val="004F083A"/>
    <w:rsid w:val="004F1A79"/>
    <w:rsid w:val="004F3E1A"/>
    <w:rsid w:val="004F4942"/>
    <w:rsid w:val="004F5846"/>
    <w:rsid w:val="004F648B"/>
    <w:rsid w:val="004F7098"/>
    <w:rsid w:val="004F7876"/>
    <w:rsid w:val="005002A3"/>
    <w:rsid w:val="00500601"/>
    <w:rsid w:val="005025B6"/>
    <w:rsid w:val="0050337D"/>
    <w:rsid w:val="00503E09"/>
    <w:rsid w:val="005052F1"/>
    <w:rsid w:val="005052FD"/>
    <w:rsid w:val="00505389"/>
    <w:rsid w:val="00505C59"/>
    <w:rsid w:val="005060A2"/>
    <w:rsid w:val="005069A1"/>
    <w:rsid w:val="005070BA"/>
    <w:rsid w:val="00507908"/>
    <w:rsid w:val="00510E00"/>
    <w:rsid w:val="00512197"/>
    <w:rsid w:val="005124B5"/>
    <w:rsid w:val="00512643"/>
    <w:rsid w:val="005126FE"/>
    <w:rsid w:val="00512A25"/>
    <w:rsid w:val="00512B34"/>
    <w:rsid w:val="00512E51"/>
    <w:rsid w:val="00513A43"/>
    <w:rsid w:val="00513C1E"/>
    <w:rsid w:val="00514804"/>
    <w:rsid w:val="00516975"/>
    <w:rsid w:val="00516A3B"/>
    <w:rsid w:val="0051724D"/>
    <w:rsid w:val="005178F7"/>
    <w:rsid w:val="00520EF8"/>
    <w:rsid w:val="00520F13"/>
    <w:rsid w:val="0052162C"/>
    <w:rsid w:val="00521A76"/>
    <w:rsid w:val="00521B38"/>
    <w:rsid w:val="00522454"/>
    <w:rsid w:val="005224D3"/>
    <w:rsid w:val="00525A65"/>
    <w:rsid w:val="00525D1D"/>
    <w:rsid w:val="00530E00"/>
    <w:rsid w:val="005310D8"/>
    <w:rsid w:val="00532819"/>
    <w:rsid w:val="005328AE"/>
    <w:rsid w:val="0053336C"/>
    <w:rsid w:val="00533647"/>
    <w:rsid w:val="005347B8"/>
    <w:rsid w:val="00535C7E"/>
    <w:rsid w:val="00536559"/>
    <w:rsid w:val="00536927"/>
    <w:rsid w:val="00536FE8"/>
    <w:rsid w:val="0053700F"/>
    <w:rsid w:val="005374F0"/>
    <w:rsid w:val="00537872"/>
    <w:rsid w:val="00540A93"/>
    <w:rsid w:val="00541074"/>
    <w:rsid w:val="00541383"/>
    <w:rsid w:val="00542EDF"/>
    <w:rsid w:val="00542F7F"/>
    <w:rsid w:val="005437C7"/>
    <w:rsid w:val="00544234"/>
    <w:rsid w:val="00544AF3"/>
    <w:rsid w:val="0054520D"/>
    <w:rsid w:val="00545689"/>
    <w:rsid w:val="00547442"/>
    <w:rsid w:val="0054774F"/>
    <w:rsid w:val="005500D2"/>
    <w:rsid w:val="005515CB"/>
    <w:rsid w:val="00552234"/>
    <w:rsid w:val="005524C7"/>
    <w:rsid w:val="00552957"/>
    <w:rsid w:val="00552A96"/>
    <w:rsid w:val="00552B3F"/>
    <w:rsid w:val="005532D1"/>
    <w:rsid w:val="00553B60"/>
    <w:rsid w:val="00554985"/>
    <w:rsid w:val="00554AED"/>
    <w:rsid w:val="00555249"/>
    <w:rsid w:val="00555BF0"/>
    <w:rsid w:val="0055612F"/>
    <w:rsid w:val="005577D2"/>
    <w:rsid w:val="00557BD0"/>
    <w:rsid w:val="00557EC8"/>
    <w:rsid w:val="00561737"/>
    <w:rsid w:val="00561A20"/>
    <w:rsid w:val="005626A2"/>
    <w:rsid w:val="00562BB4"/>
    <w:rsid w:val="005630E9"/>
    <w:rsid w:val="005637EF"/>
    <w:rsid w:val="00564B76"/>
    <w:rsid w:val="005655A1"/>
    <w:rsid w:val="00565F47"/>
    <w:rsid w:val="00566A95"/>
    <w:rsid w:val="005707C5"/>
    <w:rsid w:val="005714D7"/>
    <w:rsid w:val="00573E4E"/>
    <w:rsid w:val="0057449B"/>
    <w:rsid w:val="00575757"/>
    <w:rsid w:val="005757BA"/>
    <w:rsid w:val="00577040"/>
    <w:rsid w:val="00577E41"/>
    <w:rsid w:val="00580BF9"/>
    <w:rsid w:val="00581441"/>
    <w:rsid w:val="0058182F"/>
    <w:rsid w:val="00581849"/>
    <w:rsid w:val="00581898"/>
    <w:rsid w:val="00581D6D"/>
    <w:rsid w:val="00583980"/>
    <w:rsid w:val="00584261"/>
    <w:rsid w:val="00584292"/>
    <w:rsid w:val="005879F7"/>
    <w:rsid w:val="00590436"/>
    <w:rsid w:val="005904B9"/>
    <w:rsid w:val="0059582F"/>
    <w:rsid w:val="00595C4E"/>
    <w:rsid w:val="005960CB"/>
    <w:rsid w:val="0059662E"/>
    <w:rsid w:val="00596687"/>
    <w:rsid w:val="005A081D"/>
    <w:rsid w:val="005A119E"/>
    <w:rsid w:val="005A382B"/>
    <w:rsid w:val="005A3B90"/>
    <w:rsid w:val="005A49F9"/>
    <w:rsid w:val="005A50F5"/>
    <w:rsid w:val="005A5C17"/>
    <w:rsid w:val="005A5C72"/>
    <w:rsid w:val="005A663D"/>
    <w:rsid w:val="005A6FC4"/>
    <w:rsid w:val="005A7185"/>
    <w:rsid w:val="005A78E5"/>
    <w:rsid w:val="005B1ED3"/>
    <w:rsid w:val="005B1F2C"/>
    <w:rsid w:val="005B2E76"/>
    <w:rsid w:val="005B2F65"/>
    <w:rsid w:val="005B362D"/>
    <w:rsid w:val="005B36CF"/>
    <w:rsid w:val="005B3A71"/>
    <w:rsid w:val="005B61B2"/>
    <w:rsid w:val="005B6BBA"/>
    <w:rsid w:val="005B7350"/>
    <w:rsid w:val="005B7DF8"/>
    <w:rsid w:val="005C1268"/>
    <w:rsid w:val="005C2D27"/>
    <w:rsid w:val="005C2E4C"/>
    <w:rsid w:val="005C6C62"/>
    <w:rsid w:val="005D0DD8"/>
    <w:rsid w:val="005D0F7E"/>
    <w:rsid w:val="005D1422"/>
    <w:rsid w:val="005D1966"/>
    <w:rsid w:val="005D2461"/>
    <w:rsid w:val="005D31B7"/>
    <w:rsid w:val="005D3F81"/>
    <w:rsid w:val="005D4395"/>
    <w:rsid w:val="005D559F"/>
    <w:rsid w:val="005D62F4"/>
    <w:rsid w:val="005D7036"/>
    <w:rsid w:val="005D7322"/>
    <w:rsid w:val="005D7B09"/>
    <w:rsid w:val="005D7FFE"/>
    <w:rsid w:val="005E16A3"/>
    <w:rsid w:val="005E18A9"/>
    <w:rsid w:val="005E1D11"/>
    <w:rsid w:val="005E1FDD"/>
    <w:rsid w:val="005E2BE4"/>
    <w:rsid w:val="005E3FB2"/>
    <w:rsid w:val="005E44EB"/>
    <w:rsid w:val="005E479C"/>
    <w:rsid w:val="005E4AA8"/>
    <w:rsid w:val="005E4D08"/>
    <w:rsid w:val="005E65AB"/>
    <w:rsid w:val="005E66ED"/>
    <w:rsid w:val="005E6AA8"/>
    <w:rsid w:val="005E71EE"/>
    <w:rsid w:val="005E7366"/>
    <w:rsid w:val="005F0D41"/>
    <w:rsid w:val="005F1461"/>
    <w:rsid w:val="005F24F0"/>
    <w:rsid w:val="005F2D43"/>
    <w:rsid w:val="005F2DE3"/>
    <w:rsid w:val="005F3821"/>
    <w:rsid w:val="005F49E3"/>
    <w:rsid w:val="005F4ADE"/>
    <w:rsid w:val="005F515D"/>
    <w:rsid w:val="005F5DA3"/>
    <w:rsid w:val="005F600A"/>
    <w:rsid w:val="005F6B3D"/>
    <w:rsid w:val="005F6E1E"/>
    <w:rsid w:val="005F6FCA"/>
    <w:rsid w:val="005F7F36"/>
    <w:rsid w:val="005F7F5A"/>
    <w:rsid w:val="00602D25"/>
    <w:rsid w:val="00605851"/>
    <w:rsid w:val="00606F80"/>
    <w:rsid w:val="006073B3"/>
    <w:rsid w:val="006104EA"/>
    <w:rsid w:val="00610ACD"/>
    <w:rsid w:val="00610BEB"/>
    <w:rsid w:val="00612187"/>
    <w:rsid w:val="0061232C"/>
    <w:rsid w:val="00614DFB"/>
    <w:rsid w:val="00614FE9"/>
    <w:rsid w:val="00615107"/>
    <w:rsid w:val="006154C0"/>
    <w:rsid w:val="006162F6"/>
    <w:rsid w:val="0061764E"/>
    <w:rsid w:val="00620132"/>
    <w:rsid w:val="00620960"/>
    <w:rsid w:val="00622186"/>
    <w:rsid w:val="00622F2A"/>
    <w:rsid w:val="0062336C"/>
    <w:rsid w:val="00624041"/>
    <w:rsid w:val="00624F5D"/>
    <w:rsid w:val="0062509D"/>
    <w:rsid w:val="006261B5"/>
    <w:rsid w:val="006267BF"/>
    <w:rsid w:val="00626FB0"/>
    <w:rsid w:val="00627184"/>
    <w:rsid w:val="00627B79"/>
    <w:rsid w:val="00630B20"/>
    <w:rsid w:val="00631AAB"/>
    <w:rsid w:val="00631DF7"/>
    <w:rsid w:val="006326A1"/>
    <w:rsid w:val="00632760"/>
    <w:rsid w:val="00632A02"/>
    <w:rsid w:val="00632C37"/>
    <w:rsid w:val="00632CBB"/>
    <w:rsid w:val="006336B7"/>
    <w:rsid w:val="00633F2D"/>
    <w:rsid w:val="006352E6"/>
    <w:rsid w:val="006357CD"/>
    <w:rsid w:val="00636115"/>
    <w:rsid w:val="00636CC5"/>
    <w:rsid w:val="00640F49"/>
    <w:rsid w:val="00641C2A"/>
    <w:rsid w:val="006423E1"/>
    <w:rsid w:val="006424BF"/>
    <w:rsid w:val="006428E7"/>
    <w:rsid w:val="00642F2D"/>
    <w:rsid w:val="00643083"/>
    <w:rsid w:val="00644F04"/>
    <w:rsid w:val="00645559"/>
    <w:rsid w:val="006463F0"/>
    <w:rsid w:val="006467BF"/>
    <w:rsid w:val="0064717D"/>
    <w:rsid w:val="006471CC"/>
    <w:rsid w:val="0064736D"/>
    <w:rsid w:val="0064748F"/>
    <w:rsid w:val="006477A1"/>
    <w:rsid w:val="006515C5"/>
    <w:rsid w:val="00651B5C"/>
    <w:rsid w:val="00652231"/>
    <w:rsid w:val="006526E0"/>
    <w:rsid w:val="00652845"/>
    <w:rsid w:val="00652898"/>
    <w:rsid w:val="00654ECA"/>
    <w:rsid w:val="006551CC"/>
    <w:rsid w:val="006568A3"/>
    <w:rsid w:val="00656CAF"/>
    <w:rsid w:val="006574E6"/>
    <w:rsid w:val="00660A4F"/>
    <w:rsid w:val="00661094"/>
    <w:rsid w:val="0066322E"/>
    <w:rsid w:val="0066436B"/>
    <w:rsid w:val="006653A5"/>
    <w:rsid w:val="00665833"/>
    <w:rsid w:val="00665CC4"/>
    <w:rsid w:val="00666440"/>
    <w:rsid w:val="00666DC8"/>
    <w:rsid w:val="00670BF8"/>
    <w:rsid w:val="00671A97"/>
    <w:rsid w:val="00671F4D"/>
    <w:rsid w:val="0067209D"/>
    <w:rsid w:val="00673132"/>
    <w:rsid w:val="00674304"/>
    <w:rsid w:val="00674323"/>
    <w:rsid w:val="00675C42"/>
    <w:rsid w:val="0067654E"/>
    <w:rsid w:val="00676FBD"/>
    <w:rsid w:val="006776B2"/>
    <w:rsid w:val="00680006"/>
    <w:rsid w:val="00680748"/>
    <w:rsid w:val="00681244"/>
    <w:rsid w:val="006848F2"/>
    <w:rsid w:val="0068529E"/>
    <w:rsid w:val="00685355"/>
    <w:rsid w:val="00685EFC"/>
    <w:rsid w:val="006869E8"/>
    <w:rsid w:val="006871A2"/>
    <w:rsid w:val="00690C9D"/>
    <w:rsid w:val="00691127"/>
    <w:rsid w:val="00691658"/>
    <w:rsid w:val="00691C8B"/>
    <w:rsid w:val="00691E2B"/>
    <w:rsid w:val="0069206C"/>
    <w:rsid w:val="00692591"/>
    <w:rsid w:val="006927D0"/>
    <w:rsid w:val="00693610"/>
    <w:rsid w:val="006937D4"/>
    <w:rsid w:val="00693812"/>
    <w:rsid w:val="00693AA1"/>
    <w:rsid w:val="00695181"/>
    <w:rsid w:val="006972CA"/>
    <w:rsid w:val="00697681"/>
    <w:rsid w:val="0069785B"/>
    <w:rsid w:val="006A1265"/>
    <w:rsid w:val="006A1805"/>
    <w:rsid w:val="006A280E"/>
    <w:rsid w:val="006A2939"/>
    <w:rsid w:val="006A2B7B"/>
    <w:rsid w:val="006A3E73"/>
    <w:rsid w:val="006A4F7A"/>
    <w:rsid w:val="006A55EA"/>
    <w:rsid w:val="006A77AE"/>
    <w:rsid w:val="006A78D7"/>
    <w:rsid w:val="006B4AB2"/>
    <w:rsid w:val="006B4D10"/>
    <w:rsid w:val="006B5561"/>
    <w:rsid w:val="006B5630"/>
    <w:rsid w:val="006B61D1"/>
    <w:rsid w:val="006B6FD6"/>
    <w:rsid w:val="006C0232"/>
    <w:rsid w:val="006C21D9"/>
    <w:rsid w:val="006C3BE6"/>
    <w:rsid w:val="006C555E"/>
    <w:rsid w:val="006C6608"/>
    <w:rsid w:val="006C6C3A"/>
    <w:rsid w:val="006C7620"/>
    <w:rsid w:val="006C79C2"/>
    <w:rsid w:val="006C7A94"/>
    <w:rsid w:val="006C7AB2"/>
    <w:rsid w:val="006D0C13"/>
    <w:rsid w:val="006D1752"/>
    <w:rsid w:val="006D1BBF"/>
    <w:rsid w:val="006D1D12"/>
    <w:rsid w:val="006D23A6"/>
    <w:rsid w:val="006D3088"/>
    <w:rsid w:val="006D4F90"/>
    <w:rsid w:val="006D5B18"/>
    <w:rsid w:val="006D5C6E"/>
    <w:rsid w:val="006D665A"/>
    <w:rsid w:val="006D67CC"/>
    <w:rsid w:val="006D739D"/>
    <w:rsid w:val="006E05D6"/>
    <w:rsid w:val="006E0ED2"/>
    <w:rsid w:val="006E3A59"/>
    <w:rsid w:val="006E40FB"/>
    <w:rsid w:val="006E4756"/>
    <w:rsid w:val="006E53F3"/>
    <w:rsid w:val="006E699C"/>
    <w:rsid w:val="006E79C6"/>
    <w:rsid w:val="006F0AEE"/>
    <w:rsid w:val="006F18B4"/>
    <w:rsid w:val="006F1DF6"/>
    <w:rsid w:val="006F23FB"/>
    <w:rsid w:val="006F27B7"/>
    <w:rsid w:val="006F2973"/>
    <w:rsid w:val="006F30C7"/>
    <w:rsid w:val="006F3779"/>
    <w:rsid w:val="006F3B6D"/>
    <w:rsid w:val="006F45C9"/>
    <w:rsid w:val="006F51D0"/>
    <w:rsid w:val="006F7641"/>
    <w:rsid w:val="006F76ED"/>
    <w:rsid w:val="006F7903"/>
    <w:rsid w:val="006F7AA8"/>
    <w:rsid w:val="006F7B15"/>
    <w:rsid w:val="007005C8"/>
    <w:rsid w:val="0070082A"/>
    <w:rsid w:val="00700E3F"/>
    <w:rsid w:val="00702379"/>
    <w:rsid w:val="0070258A"/>
    <w:rsid w:val="00702ACA"/>
    <w:rsid w:val="00703007"/>
    <w:rsid w:val="00703E3E"/>
    <w:rsid w:val="007045C1"/>
    <w:rsid w:val="00705F74"/>
    <w:rsid w:val="00706452"/>
    <w:rsid w:val="007064D6"/>
    <w:rsid w:val="007067E3"/>
    <w:rsid w:val="007070E4"/>
    <w:rsid w:val="007079EB"/>
    <w:rsid w:val="007103AA"/>
    <w:rsid w:val="00710A77"/>
    <w:rsid w:val="007117C7"/>
    <w:rsid w:val="0071215A"/>
    <w:rsid w:val="007136DA"/>
    <w:rsid w:val="00713B61"/>
    <w:rsid w:val="00714CB8"/>
    <w:rsid w:val="00717A4A"/>
    <w:rsid w:val="007215AA"/>
    <w:rsid w:val="00724519"/>
    <w:rsid w:val="00724CAB"/>
    <w:rsid w:val="00724D6B"/>
    <w:rsid w:val="007257D6"/>
    <w:rsid w:val="00725D24"/>
    <w:rsid w:val="00726708"/>
    <w:rsid w:val="00726912"/>
    <w:rsid w:val="00730187"/>
    <w:rsid w:val="00730743"/>
    <w:rsid w:val="00731221"/>
    <w:rsid w:val="00731CBD"/>
    <w:rsid w:val="00732267"/>
    <w:rsid w:val="00732A79"/>
    <w:rsid w:val="007333C8"/>
    <w:rsid w:val="007346E3"/>
    <w:rsid w:val="0073487C"/>
    <w:rsid w:val="00734BE1"/>
    <w:rsid w:val="00734DE5"/>
    <w:rsid w:val="00734F11"/>
    <w:rsid w:val="0073565A"/>
    <w:rsid w:val="007358F1"/>
    <w:rsid w:val="007374AD"/>
    <w:rsid w:val="007419A8"/>
    <w:rsid w:val="00741FE3"/>
    <w:rsid w:val="0074291B"/>
    <w:rsid w:val="007441CE"/>
    <w:rsid w:val="007446F2"/>
    <w:rsid w:val="00745825"/>
    <w:rsid w:val="0074669A"/>
    <w:rsid w:val="00750A3B"/>
    <w:rsid w:val="0075157B"/>
    <w:rsid w:val="00751881"/>
    <w:rsid w:val="00751A37"/>
    <w:rsid w:val="00751E8B"/>
    <w:rsid w:val="00752502"/>
    <w:rsid w:val="00754AEC"/>
    <w:rsid w:val="007562FF"/>
    <w:rsid w:val="0075695E"/>
    <w:rsid w:val="0076052E"/>
    <w:rsid w:val="007612DC"/>
    <w:rsid w:val="0076158D"/>
    <w:rsid w:val="00762941"/>
    <w:rsid w:val="00762E33"/>
    <w:rsid w:val="00762ED2"/>
    <w:rsid w:val="00763592"/>
    <w:rsid w:val="00764F1B"/>
    <w:rsid w:val="0076510C"/>
    <w:rsid w:val="00766422"/>
    <w:rsid w:val="007665EC"/>
    <w:rsid w:val="0076792C"/>
    <w:rsid w:val="007702F1"/>
    <w:rsid w:val="00770D25"/>
    <w:rsid w:val="00771A3A"/>
    <w:rsid w:val="00771CE6"/>
    <w:rsid w:val="00771E6A"/>
    <w:rsid w:val="0077251E"/>
    <w:rsid w:val="007728DF"/>
    <w:rsid w:val="00772CB9"/>
    <w:rsid w:val="00772FCF"/>
    <w:rsid w:val="00773089"/>
    <w:rsid w:val="00773095"/>
    <w:rsid w:val="007733C6"/>
    <w:rsid w:val="007741D8"/>
    <w:rsid w:val="0077483D"/>
    <w:rsid w:val="00775700"/>
    <w:rsid w:val="00775812"/>
    <w:rsid w:val="00776932"/>
    <w:rsid w:val="00777701"/>
    <w:rsid w:val="00777815"/>
    <w:rsid w:val="00777854"/>
    <w:rsid w:val="00780435"/>
    <w:rsid w:val="00780DAD"/>
    <w:rsid w:val="00781776"/>
    <w:rsid w:val="00781CAF"/>
    <w:rsid w:val="00781F86"/>
    <w:rsid w:val="00782A21"/>
    <w:rsid w:val="00783D42"/>
    <w:rsid w:val="00783FBE"/>
    <w:rsid w:val="0078407A"/>
    <w:rsid w:val="0078420C"/>
    <w:rsid w:val="007851D2"/>
    <w:rsid w:val="007851FC"/>
    <w:rsid w:val="0078569A"/>
    <w:rsid w:val="0078678C"/>
    <w:rsid w:val="00787CFC"/>
    <w:rsid w:val="00790BD4"/>
    <w:rsid w:val="00791299"/>
    <w:rsid w:val="00791575"/>
    <w:rsid w:val="007919A2"/>
    <w:rsid w:val="007926F7"/>
    <w:rsid w:val="00792798"/>
    <w:rsid w:val="00792F17"/>
    <w:rsid w:val="0079430F"/>
    <w:rsid w:val="00794C4A"/>
    <w:rsid w:val="007977B6"/>
    <w:rsid w:val="007A0034"/>
    <w:rsid w:val="007A102E"/>
    <w:rsid w:val="007A492E"/>
    <w:rsid w:val="007A4C19"/>
    <w:rsid w:val="007A54D2"/>
    <w:rsid w:val="007A568F"/>
    <w:rsid w:val="007A6344"/>
    <w:rsid w:val="007A6507"/>
    <w:rsid w:val="007A69E0"/>
    <w:rsid w:val="007A6C5D"/>
    <w:rsid w:val="007A7066"/>
    <w:rsid w:val="007A7707"/>
    <w:rsid w:val="007B002C"/>
    <w:rsid w:val="007B0B83"/>
    <w:rsid w:val="007B152A"/>
    <w:rsid w:val="007B1A1F"/>
    <w:rsid w:val="007B20D1"/>
    <w:rsid w:val="007B26FA"/>
    <w:rsid w:val="007B33DD"/>
    <w:rsid w:val="007B3BFE"/>
    <w:rsid w:val="007B42A8"/>
    <w:rsid w:val="007B4B1B"/>
    <w:rsid w:val="007B4FFE"/>
    <w:rsid w:val="007B76F7"/>
    <w:rsid w:val="007B7C13"/>
    <w:rsid w:val="007C01EA"/>
    <w:rsid w:val="007C2A22"/>
    <w:rsid w:val="007C3391"/>
    <w:rsid w:val="007C3735"/>
    <w:rsid w:val="007C5075"/>
    <w:rsid w:val="007C6692"/>
    <w:rsid w:val="007C7494"/>
    <w:rsid w:val="007D0A7D"/>
    <w:rsid w:val="007D0B46"/>
    <w:rsid w:val="007D0F38"/>
    <w:rsid w:val="007D2FF8"/>
    <w:rsid w:val="007D3046"/>
    <w:rsid w:val="007D39EB"/>
    <w:rsid w:val="007D49E8"/>
    <w:rsid w:val="007D4B7E"/>
    <w:rsid w:val="007D572A"/>
    <w:rsid w:val="007D6401"/>
    <w:rsid w:val="007D65D2"/>
    <w:rsid w:val="007D6769"/>
    <w:rsid w:val="007D768D"/>
    <w:rsid w:val="007E11CD"/>
    <w:rsid w:val="007E123E"/>
    <w:rsid w:val="007E1E99"/>
    <w:rsid w:val="007E239E"/>
    <w:rsid w:val="007E4068"/>
    <w:rsid w:val="007E4402"/>
    <w:rsid w:val="007E4EFA"/>
    <w:rsid w:val="007E4F49"/>
    <w:rsid w:val="007E6F05"/>
    <w:rsid w:val="007E785D"/>
    <w:rsid w:val="007F1B7E"/>
    <w:rsid w:val="007F2B8B"/>
    <w:rsid w:val="007F3530"/>
    <w:rsid w:val="007F3651"/>
    <w:rsid w:val="007F486B"/>
    <w:rsid w:val="007F54F3"/>
    <w:rsid w:val="007F756B"/>
    <w:rsid w:val="00800A8C"/>
    <w:rsid w:val="00801B1E"/>
    <w:rsid w:val="00802E80"/>
    <w:rsid w:val="008031C1"/>
    <w:rsid w:val="00803CA7"/>
    <w:rsid w:val="008056ED"/>
    <w:rsid w:val="00805C0B"/>
    <w:rsid w:val="0080651A"/>
    <w:rsid w:val="00806C05"/>
    <w:rsid w:val="008071CA"/>
    <w:rsid w:val="00807D3D"/>
    <w:rsid w:val="008103C9"/>
    <w:rsid w:val="00810AB4"/>
    <w:rsid w:val="00810D3E"/>
    <w:rsid w:val="00812948"/>
    <w:rsid w:val="008134F5"/>
    <w:rsid w:val="008153BC"/>
    <w:rsid w:val="008154B9"/>
    <w:rsid w:val="00816124"/>
    <w:rsid w:val="008173A4"/>
    <w:rsid w:val="008174B0"/>
    <w:rsid w:val="00817680"/>
    <w:rsid w:val="00817730"/>
    <w:rsid w:val="00821E8F"/>
    <w:rsid w:val="0082227C"/>
    <w:rsid w:val="0082286B"/>
    <w:rsid w:val="008238AC"/>
    <w:rsid w:val="008239A6"/>
    <w:rsid w:val="00823DF0"/>
    <w:rsid w:val="00825769"/>
    <w:rsid w:val="00825C48"/>
    <w:rsid w:val="00825DC2"/>
    <w:rsid w:val="00826611"/>
    <w:rsid w:val="00827653"/>
    <w:rsid w:val="00830565"/>
    <w:rsid w:val="008306B7"/>
    <w:rsid w:val="00832099"/>
    <w:rsid w:val="00832E0A"/>
    <w:rsid w:val="00833BB7"/>
    <w:rsid w:val="008356F7"/>
    <w:rsid w:val="00835B13"/>
    <w:rsid w:val="00835F0A"/>
    <w:rsid w:val="00836627"/>
    <w:rsid w:val="00836778"/>
    <w:rsid w:val="008377D3"/>
    <w:rsid w:val="00837E1A"/>
    <w:rsid w:val="008414CE"/>
    <w:rsid w:val="00841804"/>
    <w:rsid w:val="0084225B"/>
    <w:rsid w:val="008429BE"/>
    <w:rsid w:val="00842CD2"/>
    <w:rsid w:val="00843F01"/>
    <w:rsid w:val="00844575"/>
    <w:rsid w:val="00844CA9"/>
    <w:rsid w:val="00844E5F"/>
    <w:rsid w:val="00845750"/>
    <w:rsid w:val="008461B8"/>
    <w:rsid w:val="00846660"/>
    <w:rsid w:val="00847AA4"/>
    <w:rsid w:val="00847CAC"/>
    <w:rsid w:val="008501FF"/>
    <w:rsid w:val="00851441"/>
    <w:rsid w:val="00851EBC"/>
    <w:rsid w:val="00851FA3"/>
    <w:rsid w:val="00852E3E"/>
    <w:rsid w:val="008538AB"/>
    <w:rsid w:val="008566FE"/>
    <w:rsid w:val="008568C4"/>
    <w:rsid w:val="00856C02"/>
    <w:rsid w:val="00856DC9"/>
    <w:rsid w:val="00857965"/>
    <w:rsid w:val="0086024F"/>
    <w:rsid w:val="00860289"/>
    <w:rsid w:val="00861330"/>
    <w:rsid w:val="0086166B"/>
    <w:rsid w:val="00862454"/>
    <w:rsid w:val="008626BF"/>
    <w:rsid w:val="00864842"/>
    <w:rsid w:val="00865BAE"/>
    <w:rsid w:val="0086719C"/>
    <w:rsid w:val="00867C4B"/>
    <w:rsid w:val="00867D2D"/>
    <w:rsid w:val="008715E1"/>
    <w:rsid w:val="00871DA7"/>
    <w:rsid w:val="00871E22"/>
    <w:rsid w:val="00872459"/>
    <w:rsid w:val="008729C4"/>
    <w:rsid w:val="00873330"/>
    <w:rsid w:val="00874D9F"/>
    <w:rsid w:val="00874F95"/>
    <w:rsid w:val="00874FA6"/>
    <w:rsid w:val="008760B6"/>
    <w:rsid w:val="00876290"/>
    <w:rsid w:val="00876AAD"/>
    <w:rsid w:val="00876DF6"/>
    <w:rsid w:val="00880D85"/>
    <w:rsid w:val="008822A3"/>
    <w:rsid w:val="00882616"/>
    <w:rsid w:val="008828D2"/>
    <w:rsid w:val="00883D10"/>
    <w:rsid w:val="00884AF0"/>
    <w:rsid w:val="00891255"/>
    <w:rsid w:val="008916D5"/>
    <w:rsid w:val="00891840"/>
    <w:rsid w:val="00892019"/>
    <w:rsid w:val="00892C78"/>
    <w:rsid w:val="00895882"/>
    <w:rsid w:val="008960CD"/>
    <w:rsid w:val="00896932"/>
    <w:rsid w:val="00897608"/>
    <w:rsid w:val="008A40ED"/>
    <w:rsid w:val="008A5950"/>
    <w:rsid w:val="008A5D0B"/>
    <w:rsid w:val="008A6861"/>
    <w:rsid w:val="008A74DB"/>
    <w:rsid w:val="008A7DE8"/>
    <w:rsid w:val="008A7E63"/>
    <w:rsid w:val="008B18FE"/>
    <w:rsid w:val="008B2D70"/>
    <w:rsid w:val="008B2DD7"/>
    <w:rsid w:val="008B2F00"/>
    <w:rsid w:val="008B3829"/>
    <w:rsid w:val="008B60E9"/>
    <w:rsid w:val="008B6403"/>
    <w:rsid w:val="008B65A9"/>
    <w:rsid w:val="008B6A94"/>
    <w:rsid w:val="008B7234"/>
    <w:rsid w:val="008B7534"/>
    <w:rsid w:val="008B7872"/>
    <w:rsid w:val="008B7CD9"/>
    <w:rsid w:val="008C076F"/>
    <w:rsid w:val="008C109D"/>
    <w:rsid w:val="008C12E4"/>
    <w:rsid w:val="008C15F3"/>
    <w:rsid w:val="008C27EE"/>
    <w:rsid w:val="008C3327"/>
    <w:rsid w:val="008C40C4"/>
    <w:rsid w:val="008C4132"/>
    <w:rsid w:val="008C4815"/>
    <w:rsid w:val="008C4C84"/>
    <w:rsid w:val="008C4DB0"/>
    <w:rsid w:val="008C7274"/>
    <w:rsid w:val="008C73BC"/>
    <w:rsid w:val="008C7454"/>
    <w:rsid w:val="008C77C2"/>
    <w:rsid w:val="008D014D"/>
    <w:rsid w:val="008D0657"/>
    <w:rsid w:val="008D0672"/>
    <w:rsid w:val="008D0BFB"/>
    <w:rsid w:val="008D2DFC"/>
    <w:rsid w:val="008D38EF"/>
    <w:rsid w:val="008D4484"/>
    <w:rsid w:val="008D4904"/>
    <w:rsid w:val="008D4B21"/>
    <w:rsid w:val="008D5116"/>
    <w:rsid w:val="008D51D3"/>
    <w:rsid w:val="008D5489"/>
    <w:rsid w:val="008D5804"/>
    <w:rsid w:val="008D64EB"/>
    <w:rsid w:val="008D66C0"/>
    <w:rsid w:val="008E16EA"/>
    <w:rsid w:val="008E1C8C"/>
    <w:rsid w:val="008E24F6"/>
    <w:rsid w:val="008E3BBB"/>
    <w:rsid w:val="008E4821"/>
    <w:rsid w:val="008E5050"/>
    <w:rsid w:val="008E58D5"/>
    <w:rsid w:val="008E5D72"/>
    <w:rsid w:val="008E645F"/>
    <w:rsid w:val="008E7A68"/>
    <w:rsid w:val="008E7DDA"/>
    <w:rsid w:val="008F090F"/>
    <w:rsid w:val="008F1079"/>
    <w:rsid w:val="008F2833"/>
    <w:rsid w:val="008F5090"/>
    <w:rsid w:val="00903A9D"/>
    <w:rsid w:val="00904101"/>
    <w:rsid w:val="0090529C"/>
    <w:rsid w:val="00905A52"/>
    <w:rsid w:val="009070E8"/>
    <w:rsid w:val="00907178"/>
    <w:rsid w:val="009073CC"/>
    <w:rsid w:val="00907826"/>
    <w:rsid w:val="00910D2E"/>
    <w:rsid w:val="00910ECA"/>
    <w:rsid w:val="00911305"/>
    <w:rsid w:val="0091157C"/>
    <w:rsid w:val="00911676"/>
    <w:rsid w:val="009118E4"/>
    <w:rsid w:val="00912934"/>
    <w:rsid w:val="00914301"/>
    <w:rsid w:val="0091473D"/>
    <w:rsid w:val="00916E97"/>
    <w:rsid w:val="009204AC"/>
    <w:rsid w:val="009205FF"/>
    <w:rsid w:val="0092126C"/>
    <w:rsid w:val="00921869"/>
    <w:rsid w:val="00923560"/>
    <w:rsid w:val="00924057"/>
    <w:rsid w:val="00924393"/>
    <w:rsid w:val="009252F2"/>
    <w:rsid w:val="0092552C"/>
    <w:rsid w:val="00926DBD"/>
    <w:rsid w:val="00930EA9"/>
    <w:rsid w:val="009310B3"/>
    <w:rsid w:val="009312F7"/>
    <w:rsid w:val="00931913"/>
    <w:rsid w:val="009331A4"/>
    <w:rsid w:val="00933251"/>
    <w:rsid w:val="0093332D"/>
    <w:rsid w:val="00934303"/>
    <w:rsid w:val="0093463E"/>
    <w:rsid w:val="009353E3"/>
    <w:rsid w:val="00935ABA"/>
    <w:rsid w:val="00935C35"/>
    <w:rsid w:val="0093763A"/>
    <w:rsid w:val="00937C0D"/>
    <w:rsid w:val="00937F79"/>
    <w:rsid w:val="00940854"/>
    <w:rsid w:val="00940DA0"/>
    <w:rsid w:val="00941AAC"/>
    <w:rsid w:val="00941D13"/>
    <w:rsid w:val="00941D37"/>
    <w:rsid w:val="00943248"/>
    <w:rsid w:val="009432F7"/>
    <w:rsid w:val="00943770"/>
    <w:rsid w:val="00943B6B"/>
    <w:rsid w:val="00943E45"/>
    <w:rsid w:val="00944D48"/>
    <w:rsid w:val="00945ADB"/>
    <w:rsid w:val="00945E01"/>
    <w:rsid w:val="009467C9"/>
    <w:rsid w:val="009474C3"/>
    <w:rsid w:val="00947B90"/>
    <w:rsid w:val="009502EE"/>
    <w:rsid w:val="00951450"/>
    <w:rsid w:val="009521ED"/>
    <w:rsid w:val="009523AF"/>
    <w:rsid w:val="0095259B"/>
    <w:rsid w:val="00952754"/>
    <w:rsid w:val="009528BD"/>
    <w:rsid w:val="00953C52"/>
    <w:rsid w:val="0095456A"/>
    <w:rsid w:val="009547B0"/>
    <w:rsid w:val="00954D8E"/>
    <w:rsid w:val="0095538C"/>
    <w:rsid w:val="00955D0D"/>
    <w:rsid w:val="009577E0"/>
    <w:rsid w:val="00957DED"/>
    <w:rsid w:val="009607BA"/>
    <w:rsid w:val="009608B7"/>
    <w:rsid w:val="00960B96"/>
    <w:rsid w:val="00961A42"/>
    <w:rsid w:val="00962420"/>
    <w:rsid w:val="009643A7"/>
    <w:rsid w:val="00964CB1"/>
    <w:rsid w:val="0096654F"/>
    <w:rsid w:val="00966FD6"/>
    <w:rsid w:val="009671F0"/>
    <w:rsid w:val="0097215C"/>
    <w:rsid w:val="00972F33"/>
    <w:rsid w:val="00975C28"/>
    <w:rsid w:val="00976FC1"/>
    <w:rsid w:val="0097764C"/>
    <w:rsid w:val="0098031A"/>
    <w:rsid w:val="0098137A"/>
    <w:rsid w:val="00982AA0"/>
    <w:rsid w:val="009834D1"/>
    <w:rsid w:val="00984C52"/>
    <w:rsid w:val="00985A2C"/>
    <w:rsid w:val="0098689D"/>
    <w:rsid w:val="00986DD1"/>
    <w:rsid w:val="00987F15"/>
    <w:rsid w:val="009906BD"/>
    <w:rsid w:val="00992663"/>
    <w:rsid w:val="009937EA"/>
    <w:rsid w:val="00993899"/>
    <w:rsid w:val="00994646"/>
    <w:rsid w:val="00994711"/>
    <w:rsid w:val="0099489D"/>
    <w:rsid w:val="00994C2C"/>
    <w:rsid w:val="00994C7A"/>
    <w:rsid w:val="00997E37"/>
    <w:rsid w:val="009A0128"/>
    <w:rsid w:val="009A0C27"/>
    <w:rsid w:val="009A0DD3"/>
    <w:rsid w:val="009A1321"/>
    <w:rsid w:val="009A208E"/>
    <w:rsid w:val="009A23F6"/>
    <w:rsid w:val="009A26F2"/>
    <w:rsid w:val="009A29ED"/>
    <w:rsid w:val="009A4000"/>
    <w:rsid w:val="009A4512"/>
    <w:rsid w:val="009A4590"/>
    <w:rsid w:val="009A4E9F"/>
    <w:rsid w:val="009A6708"/>
    <w:rsid w:val="009A6870"/>
    <w:rsid w:val="009B0037"/>
    <w:rsid w:val="009B0284"/>
    <w:rsid w:val="009B055C"/>
    <w:rsid w:val="009B0E55"/>
    <w:rsid w:val="009B1AD4"/>
    <w:rsid w:val="009B2435"/>
    <w:rsid w:val="009B291A"/>
    <w:rsid w:val="009B4BFF"/>
    <w:rsid w:val="009B53ED"/>
    <w:rsid w:val="009C00D0"/>
    <w:rsid w:val="009C0238"/>
    <w:rsid w:val="009C0A83"/>
    <w:rsid w:val="009C1770"/>
    <w:rsid w:val="009C18CC"/>
    <w:rsid w:val="009C2042"/>
    <w:rsid w:val="009C2323"/>
    <w:rsid w:val="009C5BDF"/>
    <w:rsid w:val="009C5C9C"/>
    <w:rsid w:val="009C602D"/>
    <w:rsid w:val="009C678A"/>
    <w:rsid w:val="009C67A3"/>
    <w:rsid w:val="009C67C0"/>
    <w:rsid w:val="009C6E86"/>
    <w:rsid w:val="009D0533"/>
    <w:rsid w:val="009D1413"/>
    <w:rsid w:val="009D1445"/>
    <w:rsid w:val="009D18CC"/>
    <w:rsid w:val="009D1A2E"/>
    <w:rsid w:val="009D1F2D"/>
    <w:rsid w:val="009D43EF"/>
    <w:rsid w:val="009D60F3"/>
    <w:rsid w:val="009D6172"/>
    <w:rsid w:val="009D6DDE"/>
    <w:rsid w:val="009E11B8"/>
    <w:rsid w:val="009E1CF4"/>
    <w:rsid w:val="009E2368"/>
    <w:rsid w:val="009E3299"/>
    <w:rsid w:val="009E3979"/>
    <w:rsid w:val="009E412F"/>
    <w:rsid w:val="009E4A75"/>
    <w:rsid w:val="009E50FE"/>
    <w:rsid w:val="009E5674"/>
    <w:rsid w:val="009E60E4"/>
    <w:rsid w:val="009E628C"/>
    <w:rsid w:val="009E6893"/>
    <w:rsid w:val="009E6F79"/>
    <w:rsid w:val="009E7825"/>
    <w:rsid w:val="009E7B5A"/>
    <w:rsid w:val="009F0D2C"/>
    <w:rsid w:val="009F130C"/>
    <w:rsid w:val="009F17E0"/>
    <w:rsid w:val="009F24F5"/>
    <w:rsid w:val="009F3E6A"/>
    <w:rsid w:val="009F66D4"/>
    <w:rsid w:val="009F74B1"/>
    <w:rsid w:val="00A00BB9"/>
    <w:rsid w:val="00A01941"/>
    <w:rsid w:val="00A021A7"/>
    <w:rsid w:val="00A0303C"/>
    <w:rsid w:val="00A04A3E"/>
    <w:rsid w:val="00A05039"/>
    <w:rsid w:val="00A0522A"/>
    <w:rsid w:val="00A06807"/>
    <w:rsid w:val="00A06B33"/>
    <w:rsid w:val="00A07972"/>
    <w:rsid w:val="00A10434"/>
    <w:rsid w:val="00A10FFB"/>
    <w:rsid w:val="00A11415"/>
    <w:rsid w:val="00A117FA"/>
    <w:rsid w:val="00A11E27"/>
    <w:rsid w:val="00A1203F"/>
    <w:rsid w:val="00A1646B"/>
    <w:rsid w:val="00A17310"/>
    <w:rsid w:val="00A17710"/>
    <w:rsid w:val="00A177B8"/>
    <w:rsid w:val="00A17971"/>
    <w:rsid w:val="00A20498"/>
    <w:rsid w:val="00A20534"/>
    <w:rsid w:val="00A206DE"/>
    <w:rsid w:val="00A20780"/>
    <w:rsid w:val="00A21E19"/>
    <w:rsid w:val="00A2346A"/>
    <w:rsid w:val="00A23A35"/>
    <w:rsid w:val="00A2566A"/>
    <w:rsid w:val="00A26669"/>
    <w:rsid w:val="00A26ECD"/>
    <w:rsid w:val="00A26F99"/>
    <w:rsid w:val="00A27167"/>
    <w:rsid w:val="00A27CE6"/>
    <w:rsid w:val="00A30828"/>
    <w:rsid w:val="00A30A4F"/>
    <w:rsid w:val="00A30EDC"/>
    <w:rsid w:val="00A31B57"/>
    <w:rsid w:val="00A324CA"/>
    <w:rsid w:val="00A32CEF"/>
    <w:rsid w:val="00A3394E"/>
    <w:rsid w:val="00A33E71"/>
    <w:rsid w:val="00A3400B"/>
    <w:rsid w:val="00A3425C"/>
    <w:rsid w:val="00A34576"/>
    <w:rsid w:val="00A35B81"/>
    <w:rsid w:val="00A371ED"/>
    <w:rsid w:val="00A416B9"/>
    <w:rsid w:val="00A41CDA"/>
    <w:rsid w:val="00A42291"/>
    <w:rsid w:val="00A43351"/>
    <w:rsid w:val="00A43A70"/>
    <w:rsid w:val="00A44469"/>
    <w:rsid w:val="00A44BFB"/>
    <w:rsid w:val="00A46AB8"/>
    <w:rsid w:val="00A50470"/>
    <w:rsid w:val="00A5059B"/>
    <w:rsid w:val="00A51694"/>
    <w:rsid w:val="00A52494"/>
    <w:rsid w:val="00A529BF"/>
    <w:rsid w:val="00A54368"/>
    <w:rsid w:val="00A546DB"/>
    <w:rsid w:val="00A551C0"/>
    <w:rsid w:val="00A554F8"/>
    <w:rsid w:val="00A566D6"/>
    <w:rsid w:val="00A56DA3"/>
    <w:rsid w:val="00A56E19"/>
    <w:rsid w:val="00A573AE"/>
    <w:rsid w:val="00A57DED"/>
    <w:rsid w:val="00A6125B"/>
    <w:rsid w:val="00A613AB"/>
    <w:rsid w:val="00A61622"/>
    <w:rsid w:val="00A634B1"/>
    <w:rsid w:val="00A65020"/>
    <w:rsid w:val="00A65127"/>
    <w:rsid w:val="00A6549C"/>
    <w:rsid w:val="00A657C4"/>
    <w:rsid w:val="00A6591F"/>
    <w:rsid w:val="00A65F5A"/>
    <w:rsid w:val="00A66441"/>
    <w:rsid w:val="00A66CA6"/>
    <w:rsid w:val="00A67425"/>
    <w:rsid w:val="00A706FB"/>
    <w:rsid w:val="00A70DB1"/>
    <w:rsid w:val="00A724B7"/>
    <w:rsid w:val="00A725C2"/>
    <w:rsid w:val="00A73FDB"/>
    <w:rsid w:val="00A74CD5"/>
    <w:rsid w:val="00A74F0A"/>
    <w:rsid w:val="00A74FD6"/>
    <w:rsid w:val="00A753F1"/>
    <w:rsid w:val="00A75537"/>
    <w:rsid w:val="00A778BC"/>
    <w:rsid w:val="00A81920"/>
    <w:rsid w:val="00A81BA6"/>
    <w:rsid w:val="00A81EDE"/>
    <w:rsid w:val="00A82B1B"/>
    <w:rsid w:val="00A82FE7"/>
    <w:rsid w:val="00A8400B"/>
    <w:rsid w:val="00A847E2"/>
    <w:rsid w:val="00A84EA8"/>
    <w:rsid w:val="00A8507F"/>
    <w:rsid w:val="00A85490"/>
    <w:rsid w:val="00A868E4"/>
    <w:rsid w:val="00A86AFA"/>
    <w:rsid w:val="00A86EB7"/>
    <w:rsid w:val="00A90098"/>
    <w:rsid w:val="00A90112"/>
    <w:rsid w:val="00A90E67"/>
    <w:rsid w:val="00A90EA0"/>
    <w:rsid w:val="00A92293"/>
    <w:rsid w:val="00A926A7"/>
    <w:rsid w:val="00A93D27"/>
    <w:rsid w:val="00A94A89"/>
    <w:rsid w:val="00A94AB4"/>
    <w:rsid w:val="00A94BF4"/>
    <w:rsid w:val="00A95B09"/>
    <w:rsid w:val="00A96549"/>
    <w:rsid w:val="00A96900"/>
    <w:rsid w:val="00A96E13"/>
    <w:rsid w:val="00A97664"/>
    <w:rsid w:val="00A978C2"/>
    <w:rsid w:val="00AA05C2"/>
    <w:rsid w:val="00AA21D4"/>
    <w:rsid w:val="00AA59B7"/>
    <w:rsid w:val="00AA6308"/>
    <w:rsid w:val="00AA6CD8"/>
    <w:rsid w:val="00AA7B1F"/>
    <w:rsid w:val="00AB0572"/>
    <w:rsid w:val="00AB1190"/>
    <w:rsid w:val="00AB2090"/>
    <w:rsid w:val="00AB315F"/>
    <w:rsid w:val="00AB31C5"/>
    <w:rsid w:val="00AB4A1A"/>
    <w:rsid w:val="00AB4B27"/>
    <w:rsid w:val="00AB507F"/>
    <w:rsid w:val="00AB5ECB"/>
    <w:rsid w:val="00AB7FCC"/>
    <w:rsid w:val="00AC1D8A"/>
    <w:rsid w:val="00AC22CB"/>
    <w:rsid w:val="00AC2B49"/>
    <w:rsid w:val="00AC2C10"/>
    <w:rsid w:val="00AC2CBF"/>
    <w:rsid w:val="00AC2E94"/>
    <w:rsid w:val="00AC2EA8"/>
    <w:rsid w:val="00AC3770"/>
    <w:rsid w:val="00AC4091"/>
    <w:rsid w:val="00AC4C46"/>
    <w:rsid w:val="00AC5171"/>
    <w:rsid w:val="00AC57F9"/>
    <w:rsid w:val="00AC7BD8"/>
    <w:rsid w:val="00AD0250"/>
    <w:rsid w:val="00AD10E3"/>
    <w:rsid w:val="00AD1DC3"/>
    <w:rsid w:val="00AD2499"/>
    <w:rsid w:val="00AD3A62"/>
    <w:rsid w:val="00AD5427"/>
    <w:rsid w:val="00AD55D3"/>
    <w:rsid w:val="00AD6640"/>
    <w:rsid w:val="00AD69EA"/>
    <w:rsid w:val="00AD7F64"/>
    <w:rsid w:val="00AE0EA8"/>
    <w:rsid w:val="00AE14E2"/>
    <w:rsid w:val="00AE2912"/>
    <w:rsid w:val="00AE2E8D"/>
    <w:rsid w:val="00AE2EB4"/>
    <w:rsid w:val="00AE30AA"/>
    <w:rsid w:val="00AE3260"/>
    <w:rsid w:val="00AE39D8"/>
    <w:rsid w:val="00AE3A96"/>
    <w:rsid w:val="00AE5077"/>
    <w:rsid w:val="00AE5581"/>
    <w:rsid w:val="00AE58B6"/>
    <w:rsid w:val="00AE64D8"/>
    <w:rsid w:val="00AF0293"/>
    <w:rsid w:val="00AF03FC"/>
    <w:rsid w:val="00AF0C19"/>
    <w:rsid w:val="00AF0C6A"/>
    <w:rsid w:val="00AF0E67"/>
    <w:rsid w:val="00AF0E6E"/>
    <w:rsid w:val="00AF1810"/>
    <w:rsid w:val="00AF18EA"/>
    <w:rsid w:val="00AF205E"/>
    <w:rsid w:val="00AF25AA"/>
    <w:rsid w:val="00AF27A4"/>
    <w:rsid w:val="00AF3F2C"/>
    <w:rsid w:val="00AF5235"/>
    <w:rsid w:val="00AF5707"/>
    <w:rsid w:val="00AF5AAE"/>
    <w:rsid w:val="00AF74C0"/>
    <w:rsid w:val="00B00BAD"/>
    <w:rsid w:val="00B0134E"/>
    <w:rsid w:val="00B02298"/>
    <w:rsid w:val="00B0334B"/>
    <w:rsid w:val="00B034F3"/>
    <w:rsid w:val="00B03F46"/>
    <w:rsid w:val="00B03F5E"/>
    <w:rsid w:val="00B0420E"/>
    <w:rsid w:val="00B04B44"/>
    <w:rsid w:val="00B057D2"/>
    <w:rsid w:val="00B06838"/>
    <w:rsid w:val="00B0728F"/>
    <w:rsid w:val="00B07683"/>
    <w:rsid w:val="00B104A2"/>
    <w:rsid w:val="00B108CC"/>
    <w:rsid w:val="00B109E2"/>
    <w:rsid w:val="00B1101C"/>
    <w:rsid w:val="00B12D63"/>
    <w:rsid w:val="00B173E7"/>
    <w:rsid w:val="00B177D5"/>
    <w:rsid w:val="00B1786A"/>
    <w:rsid w:val="00B20695"/>
    <w:rsid w:val="00B20861"/>
    <w:rsid w:val="00B20CC7"/>
    <w:rsid w:val="00B211F3"/>
    <w:rsid w:val="00B21294"/>
    <w:rsid w:val="00B22A96"/>
    <w:rsid w:val="00B22BA9"/>
    <w:rsid w:val="00B243D9"/>
    <w:rsid w:val="00B248B4"/>
    <w:rsid w:val="00B25DF5"/>
    <w:rsid w:val="00B270D2"/>
    <w:rsid w:val="00B30CDD"/>
    <w:rsid w:val="00B311D1"/>
    <w:rsid w:val="00B326E5"/>
    <w:rsid w:val="00B32C8C"/>
    <w:rsid w:val="00B32E41"/>
    <w:rsid w:val="00B33291"/>
    <w:rsid w:val="00B334AC"/>
    <w:rsid w:val="00B345C2"/>
    <w:rsid w:val="00B36422"/>
    <w:rsid w:val="00B36BFA"/>
    <w:rsid w:val="00B36EE7"/>
    <w:rsid w:val="00B40282"/>
    <w:rsid w:val="00B4271E"/>
    <w:rsid w:val="00B42A5E"/>
    <w:rsid w:val="00B42D18"/>
    <w:rsid w:val="00B44615"/>
    <w:rsid w:val="00B451AF"/>
    <w:rsid w:val="00B453E8"/>
    <w:rsid w:val="00B46327"/>
    <w:rsid w:val="00B46442"/>
    <w:rsid w:val="00B501E4"/>
    <w:rsid w:val="00B502FF"/>
    <w:rsid w:val="00B5064F"/>
    <w:rsid w:val="00B51ACD"/>
    <w:rsid w:val="00B525D5"/>
    <w:rsid w:val="00B52637"/>
    <w:rsid w:val="00B53040"/>
    <w:rsid w:val="00B538C1"/>
    <w:rsid w:val="00B53CDE"/>
    <w:rsid w:val="00B54332"/>
    <w:rsid w:val="00B54763"/>
    <w:rsid w:val="00B5542F"/>
    <w:rsid w:val="00B56A3B"/>
    <w:rsid w:val="00B56C4D"/>
    <w:rsid w:val="00B56F6A"/>
    <w:rsid w:val="00B57DB8"/>
    <w:rsid w:val="00B602AC"/>
    <w:rsid w:val="00B604A2"/>
    <w:rsid w:val="00B61403"/>
    <w:rsid w:val="00B61FFD"/>
    <w:rsid w:val="00B62AD0"/>
    <w:rsid w:val="00B63075"/>
    <w:rsid w:val="00B63213"/>
    <w:rsid w:val="00B633D1"/>
    <w:rsid w:val="00B63986"/>
    <w:rsid w:val="00B6399A"/>
    <w:rsid w:val="00B63D8C"/>
    <w:rsid w:val="00B6472F"/>
    <w:rsid w:val="00B648BE"/>
    <w:rsid w:val="00B65164"/>
    <w:rsid w:val="00B654FE"/>
    <w:rsid w:val="00B656C0"/>
    <w:rsid w:val="00B656F5"/>
    <w:rsid w:val="00B666A8"/>
    <w:rsid w:val="00B666FF"/>
    <w:rsid w:val="00B67D7F"/>
    <w:rsid w:val="00B70196"/>
    <w:rsid w:val="00B71D01"/>
    <w:rsid w:val="00B71D3F"/>
    <w:rsid w:val="00B7213F"/>
    <w:rsid w:val="00B727A6"/>
    <w:rsid w:val="00B747BA"/>
    <w:rsid w:val="00B74DB3"/>
    <w:rsid w:val="00B75556"/>
    <w:rsid w:val="00B757B4"/>
    <w:rsid w:val="00B75F3D"/>
    <w:rsid w:val="00B76E00"/>
    <w:rsid w:val="00B7730A"/>
    <w:rsid w:val="00B77A46"/>
    <w:rsid w:val="00B8097D"/>
    <w:rsid w:val="00B81030"/>
    <w:rsid w:val="00B81E56"/>
    <w:rsid w:val="00B82382"/>
    <w:rsid w:val="00B83B48"/>
    <w:rsid w:val="00B83D38"/>
    <w:rsid w:val="00B843DB"/>
    <w:rsid w:val="00B844DE"/>
    <w:rsid w:val="00B8468E"/>
    <w:rsid w:val="00B84ABA"/>
    <w:rsid w:val="00B86AF1"/>
    <w:rsid w:val="00B871FD"/>
    <w:rsid w:val="00B90546"/>
    <w:rsid w:val="00B912F8"/>
    <w:rsid w:val="00B914A1"/>
    <w:rsid w:val="00B929FC"/>
    <w:rsid w:val="00B939D5"/>
    <w:rsid w:val="00B9567A"/>
    <w:rsid w:val="00B9738E"/>
    <w:rsid w:val="00B974BE"/>
    <w:rsid w:val="00BA0C1A"/>
    <w:rsid w:val="00BA1041"/>
    <w:rsid w:val="00BA1796"/>
    <w:rsid w:val="00BA2429"/>
    <w:rsid w:val="00BA26C7"/>
    <w:rsid w:val="00BA2767"/>
    <w:rsid w:val="00BA283F"/>
    <w:rsid w:val="00BA4C92"/>
    <w:rsid w:val="00BA4CAF"/>
    <w:rsid w:val="00BA628A"/>
    <w:rsid w:val="00BA672F"/>
    <w:rsid w:val="00BA7D2F"/>
    <w:rsid w:val="00BB05A2"/>
    <w:rsid w:val="00BB05A6"/>
    <w:rsid w:val="00BB06ED"/>
    <w:rsid w:val="00BB09CD"/>
    <w:rsid w:val="00BB1CE8"/>
    <w:rsid w:val="00BB2400"/>
    <w:rsid w:val="00BB244F"/>
    <w:rsid w:val="00BB2904"/>
    <w:rsid w:val="00BB3E06"/>
    <w:rsid w:val="00BB4251"/>
    <w:rsid w:val="00BB427D"/>
    <w:rsid w:val="00BB4AFD"/>
    <w:rsid w:val="00BB52AF"/>
    <w:rsid w:val="00BB548C"/>
    <w:rsid w:val="00BB5710"/>
    <w:rsid w:val="00BB6EED"/>
    <w:rsid w:val="00BB7452"/>
    <w:rsid w:val="00BB7E81"/>
    <w:rsid w:val="00BB7F6B"/>
    <w:rsid w:val="00BC075F"/>
    <w:rsid w:val="00BC0DFD"/>
    <w:rsid w:val="00BC1047"/>
    <w:rsid w:val="00BC2390"/>
    <w:rsid w:val="00BC23E8"/>
    <w:rsid w:val="00BC274B"/>
    <w:rsid w:val="00BC299B"/>
    <w:rsid w:val="00BC370A"/>
    <w:rsid w:val="00BC453A"/>
    <w:rsid w:val="00BC4F01"/>
    <w:rsid w:val="00BC5B1D"/>
    <w:rsid w:val="00BC5E73"/>
    <w:rsid w:val="00BC7CAC"/>
    <w:rsid w:val="00BD0C49"/>
    <w:rsid w:val="00BD1DB3"/>
    <w:rsid w:val="00BD29E2"/>
    <w:rsid w:val="00BD40D9"/>
    <w:rsid w:val="00BD4332"/>
    <w:rsid w:val="00BD4DAE"/>
    <w:rsid w:val="00BD5754"/>
    <w:rsid w:val="00BD660A"/>
    <w:rsid w:val="00BD6C6C"/>
    <w:rsid w:val="00BE01DB"/>
    <w:rsid w:val="00BE1168"/>
    <w:rsid w:val="00BE1C8B"/>
    <w:rsid w:val="00BE2021"/>
    <w:rsid w:val="00BE42D0"/>
    <w:rsid w:val="00BE56E3"/>
    <w:rsid w:val="00BE7FF2"/>
    <w:rsid w:val="00BF02BC"/>
    <w:rsid w:val="00BF2403"/>
    <w:rsid w:val="00BF26E3"/>
    <w:rsid w:val="00BF2B1C"/>
    <w:rsid w:val="00BF3E43"/>
    <w:rsid w:val="00BF452A"/>
    <w:rsid w:val="00BF4825"/>
    <w:rsid w:val="00BF5865"/>
    <w:rsid w:val="00BF5FA7"/>
    <w:rsid w:val="00BF73D2"/>
    <w:rsid w:val="00C009EB"/>
    <w:rsid w:val="00C00FCB"/>
    <w:rsid w:val="00C019E2"/>
    <w:rsid w:val="00C020EF"/>
    <w:rsid w:val="00C048BC"/>
    <w:rsid w:val="00C04C7D"/>
    <w:rsid w:val="00C06748"/>
    <w:rsid w:val="00C1017C"/>
    <w:rsid w:val="00C108E0"/>
    <w:rsid w:val="00C10C10"/>
    <w:rsid w:val="00C10F55"/>
    <w:rsid w:val="00C12608"/>
    <w:rsid w:val="00C126FE"/>
    <w:rsid w:val="00C12F7B"/>
    <w:rsid w:val="00C133A4"/>
    <w:rsid w:val="00C16FD9"/>
    <w:rsid w:val="00C179F3"/>
    <w:rsid w:val="00C17A54"/>
    <w:rsid w:val="00C17C32"/>
    <w:rsid w:val="00C17CE1"/>
    <w:rsid w:val="00C2029A"/>
    <w:rsid w:val="00C20594"/>
    <w:rsid w:val="00C20896"/>
    <w:rsid w:val="00C20FA0"/>
    <w:rsid w:val="00C21211"/>
    <w:rsid w:val="00C22375"/>
    <w:rsid w:val="00C23765"/>
    <w:rsid w:val="00C24294"/>
    <w:rsid w:val="00C243D5"/>
    <w:rsid w:val="00C24718"/>
    <w:rsid w:val="00C25C0D"/>
    <w:rsid w:val="00C278FE"/>
    <w:rsid w:val="00C27A6E"/>
    <w:rsid w:val="00C30E37"/>
    <w:rsid w:val="00C31064"/>
    <w:rsid w:val="00C31F17"/>
    <w:rsid w:val="00C32705"/>
    <w:rsid w:val="00C32919"/>
    <w:rsid w:val="00C330BD"/>
    <w:rsid w:val="00C344FF"/>
    <w:rsid w:val="00C345D5"/>
    <w:rsid w:val="00C361E1"/>
    <w:rsid w:val="00C3630B"/>
    <w:rsid w:val="00C36858"/>
    <w:rsid w:val="00C36A4C"/>
    <w:rsid w:val="00C36C4F"/>
    <w:rsid w:val="00C37322"/>
    <w:rsid w:val="00C37796"/>
    <w:rsid w:val="00C40840"/>
    <w:rsid w:val="00C41091"/>
    <w:rsid w:val="00C411F5"/>
    <w:rsid w:val="00C4149D"/>
    <w:rsid w:val="00C41EBE"/>
    <w:rsid w:val="00C41F05"/>
    <w:rsid w:val="00C429E5"/>
    <w:rsid w:val="00C42D95"/>
    <w:rsid w:val="00C430B7"/>
    <w:rsid w:val="00C45682"/>
    <w:rsid w:val="00C45757"/>
    <w:rsid w:val="00C45CEC"/>
    <w:rsid w:val="00C4628A"/>
    <w:rsid w:val="00C468F9"/>
    <w:rsid w:val="00C47920"/>
    <w:rsid w:val="00C502E7"/>
    <w:rsid w:val="00C503C2"/>
    <w:rsid w:val="00C5061A"/>
    <w:rsid w:val="00C515D2"/>
    <w:rsid w:val="00C52243"/>
    <w:rsid w:val="00C52321"/>
    <w:rsid w:val="00C53079"/>
    <w:rsid w:val="00C5509E"/>
    <w:rsid w:val="00C55E33"/>
    <w:rsid w:val="00C5624C"/>
    <w:rsid w:val="00C60078"/>
    <w:rsid w:val="00C60AD6"/>
    <w:rsid w:val="00C64195"/>
    <w:rsid w:val="00C646CA"/>
    <w:rsid w:val="00C652B4"/>
    <w:rsid w:val="00C65673"/>
    <w:rsid w:val="00C659E9"/>
    <w:rsid w:val="00C661DE"/>
    <w:rsid w:val="00C66CCE"/>
    <w:rsid w:val="00C67436"/>
    <w:rsid w:val="00C67C40"/>
    <w:rsid w:val="00C70E18"/>
    <w:rsid w:val="00C70F5A"/>
    <w:rsid w:val="00C71AAC"/>
    <w:rsid w:val="00C71B99"/>
    <w:rsid w:val="00C71DAF"/>
    <w:rsid w:val="00C724AC"/>
    <w:rsid w:val="00C72EEE"/>
    <w:rsid w:val="00C74033"/>
    <w:rsid w:val="00C741D6"/>
    <w:rsid w:val="00C74212"/>
    <w:rsid w:val="00C76073"/>
    <w:rsid w:val="00C776E2"/>
    <w:rsid w:val="00C80481"/>
    <w:rsid w:val="00C80A23"/>
    <w:rsid w:val="00C810BC"/>
    <w:rsid w:val="00C81434"/>
    <w:rsid w:val="00C8148F"/>
    <w:rsid w:val="00C821C1"/>
    <w:rsid w:val="00C82F80"/>
    <w:rsid w:val="00C83FA6"/>
    <w:rsid w:val="00C86799"/>
    <w:rsid w:val="00C8733B"/>
    <w:rsid w:val="00C87593"/>
    <w:rsid w:val="00C91CDF"/>
    <w:rsid w:val="00C9320B"/>
    <w:rsid w:val="00C9392A"/>
    <w:rsid w:val="00C94795"/>
    <w:rsid w:val="00C9498D"/>
    <w:rsid w:val="00C955E8"/>
    <w:rsid w:val="00C95DDD"/>
    <w:rsid w:val="00C96603"/>
    <w:rsid w:val="00C971F6"/>
    <w:rsid w:val="00C9776A"/>
    <w:rsid w:val="00CA122D"/>
    <w:rsid w:val="00CA20F0"/>
    <w:rsid w:val="00CA2701"/>
    <w:rsid w:val="00CA2987"/>
    <w:rsid w:val="00CA329A"/>
    <w:rsid w:val="00CA3A59"/>
    <w:rsid w:val="00CA3F22"/>
    <w:rsid w:val="00CA4D72"/>
    <w:rsid w:val="00CA528B"/>
    <w:rsid w:val="00CA5D73"/>
    <w:rsid w:val="00CA5F65"/>
    <w:rsid w:val="00CA6BC0"/>
    <w:rsid w:val="00CA70E1"/>
    <w:rsid w:val="00CB011B"/>
    <w:rsid w:val="00CB0352"/>
    <w:rsid w:val="00CB0618"/>
    <w:rsid w:val="00CB1A55"/>
    <w:rsid w:val="00CB1CEA"/>
    <w:rsid w:val="00CB2C78"/>
    <w:rsid w:val="00CB3E0A"/>
    <w:rsid w:val="00CB3E2E"/>
    <w:rsid w:val="00CB4B19"/>
    <w:rsid w:val="00CB4B3A"/>
    <w:rsid w:val="00CB55BA"/>
    <w:rsid w:val="00CB5BD0"/>
    <w:rsid w:val="00CB70D5"/>
    <w:rsid w:val="00CB7249"/>
    <w:rsid w:val="00CB79C3"/>
    <w:rsid w:val="00CB7AE1"/>
    <w:rsid w:val="00CB7D65"/>
    <w:rsid w:val="00CC051A"/>
    <w:rsid w:val="00CC18FC"/>
    <w:rsid w:val="00CC1999"/>
    <w:rsid w:val="00CC1B00"/>
    <w:rsid w:val="00CC2F61"/>
    <w:rsid w:val="00CC3CAF"/>
    <w:rsid w:val="00CC531A"/>
    <w:rsid w:val="00CC5569"/>
    <w:rsid w:val="00CC5FEB"/>
    <w:rsid w:val="00CC6154"/>
    <w:rsid w:val="00CC7F28"/>
    <w:rsid w:val="00CD03FA"/>
    <w:rsid w:val="00CD045F"/>
    <w:rsid w:val="00CD055D"/>
    <w:rsid w:val="00CD0AA4"/>
    <w:rsid w:val="00CD26CA"/>
    <w:rsid w:val="00CD3F24"/>
    <w:rsid w:val="00CD4B14"/>
    <w:rsid w:val="00CD52DA"/>
    <w:rsid w:val="00CD53F8"/>
    <w:rsid w:val="00CD72BC"/>
    <w:rsid w:val="00CE082B"/>
    <w:rsid w:val="00CE2A58"/>
    <w:rsid w:val="00CE39D2"/>
    <w:rsid w:val="00CE40A4"/>
    <w:rsid w:val="00CE416D"/>
    <w:rsid w:val="00CE431B"/>
    <w:rsid w:val="00CE4BF7"/>
    <w:rsid w:val="00CE6459"/>
    <w:rsid w:val="00CE6B53"/>
    <w:rsid w:val="00CE7328"/>
    <w:rsid w:val="00CE745B"/>
    <w:rsid w:val="00CF05BD"/>
    <w:rsid w:val="00CF139D"/>
    <w:rsid w:val="00CF1984"/>
    <w:rsid w:val="00CF23DC"/>
    <w:rsid w:val="00CF2910"/>
    <w:rsid w:val="00CF33F4"/>
    <w:rsid w:val="00CF33F7"/>
    <w:rsid w:val="00CF409F"/>
    <w:rsid w:val="00CF41C5"/>
    <w:rsid w:val="00CF447B"/>
    <w:rsid w:val="00CF5E37"/>
    <w:rsid w:val="00CF65FF"/>
    <w:rsid w:val="00CF669C"/>
    <w:rsid w:val="00CF795B"/>
    <w:rsid w:val="00CF7D67"/>
    <w:rsid w:val="00CF7E3E"/>
    <w:rsid w:val="00D00EDD"/>
    <w:rsid w:val="00D032F8"/>
    <w:rsid w:val="00D04363"/>
    <w:rsid w:val="00D045D2"/>
    <w:rsid w:val="00D053E1"/>
    <w:rsid w:val="00D056B3"/>
    <w:rsid w:val="00D05B41"/>
    <w:rsid w:val="00D060D1"/>
    <w:rsid w:val="00D0661F"/>
    <w:rsid w:val="00D06CF6"/>
    <w:rsid w:val="00D07515"/>
    <w:rsid w:val="00D076F0"/>
    <w:rsid w:val="00D07737"/>
    <w:rsid w:val="00D10872"/>
    <w:rsid w:val="00D1089B"/>
    <w:rsid w:val="00D109B2"/>
    <w:rsid w:val="00D11E41"/>
    <w:rsid w:val="00D1312F"/>
    <w:rsid w:val="00D132AB"/>
    <w:rsid w:val="00D15472"/>
    <w:rsid w:val="00D15598"/>
    <w:rsid w:val="00D15979"/>
    <w:rsid w:val="00D16D9B"/>
    <w:rsid w:val="00D16F5C"/>
    <w:rsid w:val="00D2080A"/>
    <w:rsid w:val="00D20FDA"/>
    <w:rsid w:val="00D214B1"/>
    <w:rsid w:val="00D215E7"/>
    <w:rsid w:val="00D223B8"/>
    <w:rsid w:val="00D22936"/>
    <w:rsid w:val="00D23A1B"/>
    <w:rsid w:val="00D23F2C"/>
    <w:rsid w:val="00D24880"/>
    <w:rsid w:val="00D24C0E"/>
    <w:rsid w:val="00D258E2"/>
    <w:rsid w:val="00D25CAC"/>
    <w:rsid w:val="00D25EF9"/>
    <w:rsid w:val="00D261F5"/>
    <w:rsid w:val="00D2638E"/>
    <w:rsid w:val="00D264E9"/>
    <w:rsid w:val="00D2720C"/>
    <w:rsid w:val="00D278B5"/>
    <w:rsid w:val="00D2792F"/>
    <w:rsid w:val="00D312CB"/>
    <w:rsid w:val="00D31586"/>
    <w:rsid w:val="00D32673"/>
    <w:rsid w:val="00D32AC5"/>
    <w:rsid w:val="00D333D5"/>
    <w:rsid w:val="00D34402"/>
    <w:rsid w:val="00D36F92"/>
    <w:rsid w:val="00D402CC"/>
    <w:rsid w:val="00D41060"/>
    <w:rsid w:val="00D4168B"/>
    <w:rsid w:val="00D41E7B"/>
    <w:rsid w:val="00D428C6"/>
    <w:rsid w:val="00D42BD9"/>
    <w:rsid w:val="00D4354F"/>
    <w:rsid w:val="00D44071"/>
    <w:rsid w:val="00D444E3"/>
    <w:rsid w:val="00D44711"/>
    <w:rsid w:val="00D449F5"/>
    <w:rsid w:val="00D44CBC"/>
    <w:rsid w:val="00D44F6C"/>
    <w:rsid w:val="00D46071"/>
    <w:rsid w:val="00D463B3"/>
    <w:rsid w:val="00D46C14"/>
    <w:rsid w:val="00D47381"/>
    <w:rsid w:val="00D502C6"/>
    <w:rsid w:val="00D507AB"/>
    <w:rsid w:val="00D51CCB"/>
    <w:rsid w:val="00D51ECA"/>
    <w:rsid w:val="00D521BE"/>
    <w:rsid w:val="00D522D7"/>
    <w:rsid w:val="00D53C91"/>
    <w:rsid w:val="00D541ED"/>
    <w:rsid w:val="00D54B53"/>
    <w:rsid w:val="00D55ED8"/>
    <w:rsid w:val="00D56FFB"/>
    <w:rsid w:val="00D604F1"/>
    <w:rsid w:val="00D60D3A"/>
    <w:rsid w:val="00D615EF"/>
    <w:rsid w:val="00D61BD4"/>
    <w:rsid w:val="00D62DB6"/>
    <w:rsid w:val="00D63921"/>
    <w:rsid w:val="00D63D80"/>
    <w:rsid w:val="00D64013"/>
    <w:rsid w:val="00D64ABF"/>
    <w:rsid w:val="00D65CBA"/>
    <w:rsid w:val="00D662FF"/>
    <w:rsid w:val="00D66906"/>
    <w:rsid w:val="00D66AB1"/>
    <w:rsid w:val="00D66B40"/>
    <w:rsid w:val="00D676DD"/>
    <w:rsid w:val="00D7039A"/>
    <w:rsid w:val="00D71C11"/>
    <w:rsid w:val="00D72A2E"/>
    <w:rsid w:val="00D72BA5"/>
    <w:rsid w:val="00D736CC"/>
    <w:rsid w:val="00D73848"/>
    <w:rsid w:val="00D74128"/>
    <w:rsid w:val="00D74CA6"/>
    <w:rsid w:val="00D75C61"/>
    <w:rsid w:val="00D76908"/>
    <w:rsid w:val="00D8053C"/>
    <w:rsid w:val="00D81720"/>
    <w:rsid w:val="00D825A3"/>
    <w:rsid w:val="00D839F1"/>
    <w:rsid w:val="00D83A99"/>
    <w:rsid w:val="00D84949"/>
    <w:rsid w:val="00D853C3"/>
    <w:rsid w:val="00D87169"/>
    <w:rsid w:val="00D87C50"/>
    <w:rsid w:val="00D87EE7"/>
    <w:rsid w:val="00D900DE"/>
    <w:rsid w:val="00D90D85"/>
    <w:rsid w:val="00D91D47"/>
    <w:rsid w:val="00D92C43"/>
    <w:rsid w:val="00D94108"/>
    <w:rsid w:val="00D94552"/>
    <w:rsid w:val="00D94E62"/>
    <w:rsid w:val="00D957AC"/>
    <w:rsid w:val="00D95D9D"/>
    <w:rsid w:val="00D96325"/>
    <w:rsid w:val="00D965F8"/>
    <w:rsid w:val="00DA03A9"/>
    <w:rsid w:val="00DA0AD9"/>
    <w:rsid w:val="00DA17A8"/>
    <w:rsid w:val="00DA1EA2"/>
    <w:rsid w:val="00DA214D"/>
    <w:rsid w:val="00DA252A"/>
    <w:rsid w:val="00DA28A9"/>
    <w:rsid w:val="00DA3CEB"/>
    <w:rsid w:val="00DA47F5"/>
    <w:rsid w:val="00DA4899"/>
    <w:rsid w:val="00DA58CD"/>
    <w:rsid w:val="00DA6143"/>
    <w:rsid w:val="00DA6BFD"/>
    <w:rsid w:val="00DA7F7F"/>
    <w:rsid w:val="00DB0F23"/>
    <w:rsid w:val="00DB1BBF"/>
    <w:rsid w:val="00DB2BE2"/>
    <w:rsid w:val="00DB2D35"/>
    <w:rsid w:val="00DB30E2"/>
    <w:rsid w:val="00DB37BF"/>
    <w:rsid w:val="00DB42C3"/>
    <w:rsid w:val="00DB48B3"/>
    <w:rsid w:val="00DB4B20"/>
    <w:rsid w:val="00DB6404"/>
    <w:rsid w:val="00DB6FD1"/>
    <w:rsid w:val="00DC0C08"/>
    <w:rsid w:val="00DC161D"/>
    <w:rsid w:val="00DC2D0E"/>
    <w:rsid w:val="00DC2F39"/>
    <w:rsid w:val="00DC3215"/>
    <w:rsid w:val="00DC45A4"/>
    <w:rsid w:val="00DC576F"/>
    <w:rsid w:val="00DC5996"/>
    <w:rsid w:val="00DD297E"/>
    <w:rsid w:val="00DD341D"/>
    <w:rsid w:val="00DD3669"/>
    <w:rsid w:val="00DD3DCD"/>
    <w:rsid w:val="00DD6358"/>
    <w:rsid w:val="00DD63F0"/>
    <w:rsid w:val="00DD6724"/>
    <w:rsid w:val="00DD67EC"/>
    <w:rsid w:val="00DD714E"/>
    <w:rsid w:val="00DD7383"/>
    <w:rsid w:val="00DD7564"/>
    <w:rsid w:val="00DD7AC6"/>
    <w:rsid w:val="00DE09D2"/>
    <w:rsid w:val="00DE123A"/>
    <w:rsid w:val="00DE1F0B"/>
    <w:rsid w:val="00DE20D5"/>
    <w:rsid w:val="00DE31FC"/>
    <w:rsid w:val="00DE44C2"/>
    <w:rsid w:val="00DE502B"/>
    <w:rsid w:val="00DE598F"/>
    <w:rsid w:val="00DE633E"/>
    <w:rsid w:val="00DE7C99"/>
    <w:rsid w:val="00DF0A66"/>
    <w:rsid w:val="00DF0B58"/>
    <w:rsid w:val="00DF1304"/>
    <w:rsid w:val="00DF276A"/>
    <w:rsid w:val="00DF297D"/>
    <w:rsid w:val="00DF2C2C"/>
    <w:rsid w:val="00DF2D18"/>
    <w:rsid w:val="00DF3180"/>
    <w:rsid w:val="00DF3314"/>
    <w:rsid w:val="00DF33D4"/>
    <w:rsid w:val="00DF510B"/>
    <w:rsid w:val="00DF7DB2"/>
    <w:rsid w:val="00DF7DD9"/>
    <w:rsid w:val="00E004D4"/>
    <w:rsid w:val="00E00FEC"/>
    <w:rsid w:val="00E02E2E"/>
    <w:rsid w:val="00E04E72"/>
    <w:rsid w:val="00E05993"/>
    <w:rsid w:val="00E05E03"/>
    <w:rsid w:val="00E064F9"/>
    <w:rsid w:val="00E104B0"/>
    <w:rsid w:val="00E10971"/>
    <w:rsid w:val="00E11B0C"/>
    <w:rsid w:val="00E12479"/>
    <w:rsid w:val="00E12A65"/>
    <w:rsid w:val="00E12B97"/>
    <w:rsid w:val="00E12D98"/>
    <w:rsid w:val="00E12FA9"/>
    <w:rsid w:val="00E138DB"/>
    <w:rsid w:val="00E14055"/>
    <w:rsid w:val="00E14430"/>
    <w:rsid w:val="00E14BC3"/>
    <w:rsid w:val="00E15B8C"/>
    <w:rsid w:val="00E15D04"/>
    <w:rsid w:val="00E15F98"/>
    <w:rsid w:val="00E15FCD"/>
    <w:rsid w:val="00E16D86"/>
    <w:rsid w:val="00E16EAD"/>
    <w:rsid w:val="00E208FF"/>
    <w:rsid w:val="00E23B58"/>
    <w:rsid w:val="00E240A6"/>
    <w:rsid w:val="00E24321"/>
    <w:rsid w:val="00E252A2"/>
    <w:rsid w:val="00E30D9A"/>
    <w:rsid w:val="00E318B7"/>
    <w:rsid w:val="00E32365"/>
    <w:rsid w:val="00E32921"/>
    <w:rsid w:val="00E33126"/>
    <w:rsid w:val="00E336C4"/>
    <w:rsid w:val="00E34882"/>
    <w:rsid w:val="00E34AC8"/>
    <w:rsid w:val="00E34CE1"/>
    <w:rsid w:val="00E37881"/>
    <w:rsid w:val="00E40747"/>
    <w:rsid w:val="00E41374"/>
    <w:rsid w:val="00E41EBF"/>
    <w:rsid w:val="00E42AED"/>
    <w:rsid w:val="00E443AB"/>
    <w:rsid w:val="00E44D84"/>
    <w:rsid w:val="00E45451"/>
    <w:rsid w:val="00E462A6"/>
    <w:rsid w:val="00E46748"/>
    <w:rsid w:val="00E46BCA"/>
    <w:rsid w:val="00E473C3"/>
    <w:rsid w:val="00E4757C"/>
    <w:rsid w:val="00E4788A"/>
    <w:rsid w:val="00E50124"/>
    <w:rsid w:val="00E50292"/>
    <w:rsid w:val="00E502B1"/>
    <w:rsid w:val="00E50973"/>
    <w:rsid w:val="00E516FC"/>
    <w:rsid w:val="00E51997"/>
    <w:rsid w:val="00E52497"/>
    <w:rsid w:val="00E524A6"/>
    <w:rsid w:val="00E52E8D"/>
    <w:rsid w:val="00E54284"/>
    <w:rsid w:val="00E54E12"/>
    <w:rsid w:val="00E556AE"/>
    <w:rsid w:val="00E55C10"/>
    <w:rsid w:val="00E56087"/>
    <w:rsid w:val="00E561B3"/>
    <w:rsid w:val="00E56BA1"/>
    <w:rsid w:val="00E57127"/>
    <w:rsid w:val="00E5748F"/>
    <w:rsid w:val="00E5778D"/>
    <w:rsid w:val="00E57E36"/>
    <w:rsid w:val="00E60097"/>
    <w:rsid w:val="00E62975"/>
    <w:rsid w:val="00E63218"/>
    <w:rsid w:val="00E64065"/>
    <w:rsid w:val="00E6436B"/>
    <w:rsid w:val="00E64501"/>
    <w:rsid w:val="00E64F13"/>
    <w:rsid w:val="00E6615A"/>
    <w:rsid w:val="00E66561"/>
    <w:rsid w:val="00E665F3"/>
    <w:rsid w:val="00E66F6A"/>
    <w:rsid w:val="00E67F1C"/>
    <w:rsid w:val="00E7016C"/>
    <w:rsid w:val="00E704F7"/>
    <w:rsid w:val="00E70745"/>
    <w:rsid w:val="00E71319"/>
    <w:rsid w:val="00E7281B"/>
    <w:rsid w:val="00E72BA8"/>
    <w:rsid w:val="00E73399"/>
    <w:rsid w:val="00E74939"/>
    <w:rsid w:val="00E74A78"/>
    <w:rsid w:val="00E75858"/>
    <w:rsid w:val="00E80BF6"/>
    <w:rsid w:val="00E80E6D"/>
    <w:rsid w:val="00E81486"/>
    <w:rsid w:val="00E81588"/>
    <w:rsid w:val="00E81FA3"/>
    <w:rsid w:val="00E823C1"/>
    <w:rsid w:val="00E826A2"/>
    <w:rsid w:val="00E82F22"/>
    <w:rsid w:val="00E83CDF"/>
    <w:rsid w:val="00E85108"/>
    <w:rsid w:val="00E8636D"/>
    <w:rsid w:val="00E871EC"/>
    <w:rsid w:val="00E87A52"/>
    <w:rsid w:val="00E90452"/>
    <w:rsid w:val="00E909A6"/>
    <w:rsid w:val="00E90C9F"/>
    <w:rsid w:val="00E911D9"/>
    <w:rsid w:val="00E9125E"/>
    <w:rsid w:val="00E91580"/>
    <w:rsid w:val="00E91A73"/>
    <w:rsid w:val="00E927A4"/>
    <w:rsid w:val="00E927FF"/>
    <w:rsid w:val="00E92BF0"/>
    <w:rsid w:val="00E92C48"/>
    <w:rsid w:val="00E93247"/>
    <w:rsid w:val="00E938C0"/>
    <w:rsid w:val="00E94091"/>
    <w:rsid w:val="00E941AE"/>
    <w:rsid w:val="00E95F43"/>
    <w:rsid w:val="00E968BE"/>
    <w:rsid w:val="00E97586"/>
    <w:rsid w:val="00E97D64"/>
    <w:rsid w:val="00EA0165"/>
    <w:rsid w:val="00EA037C"/>
    <w:rsid w:val="00EA3B54"/>
    <w:rsid w:val="00EA4840"/>
    <w:rsid w:val="00EA551E"/>
    <w:rsid w:val="00EA5523"/>
    <w:rsid w:val="00EA6FD3"/>
    <w:rsid w:val="00EA761D"/>
    <w:rsid w:val="00EA7677"/>
    <w:rsid w:val="00EB0D26"/>
    <w:rsid w:val="00EB2A87"/>
    <w:rsid w:val="00EB31E8"/>
    <w:rsid w:val="00EB568C"/>
    <w:rsid w:val="00EB6336"/>
    <w:rsid w:val="00EB700B"/>
    <w:rsid w:val="00EB7FD4"/>
    <w:rsid w:val="00EC0484"/>
    <w:rsid w:val="00EC0549"/>
    <w:rsid w:val="00EC0AD2"/>
    <w:rsid w:val="00EC1956"/>
    <w:rsid w:val="00EC1B4F"/>
    <w:rsid w:val="00EC3425"/>
    <w:rsid w:val="00EC39F4"/>
    <w:rsid w:val="00EC44AF"/>
    <w:rsid w:val="00EC44B4"/>
    <w:rsid w:val="00EC4C46"/>
    <w:rsid w:val="00EC4FB6"/>
    <w:rsid w:val="00EC6243"/>
    <w:rsid w:val="00EC6311"/>
    <w:rsid w:val="00EC773B"/>
    <w:rsid w:val="00EC77E9"/>
    <w:rsid w:val="00ED13A1"/>
    <w:rsid w:val="00ED14A9"/>
    <w:rsid w:val="00ED1CCF"/>
    <w:rsid w:val="00ED20D9"/>
    <w:rsid w:val="00ED28ED"/>
    <w:rsid w:val="00ED2F24"/>
    <w:rsid w:val="00ED418B"/>
    <w:rsid w:val="00ED595B"/>
    <w:rsid w:val="00ED5E89"/>
    <w:rsid w:val="00ED62B5"/>
    <w:rsid w:val="00ED65B5"/>
    <w:rsid w:val="00ED68BC"/>
    <w:rsid w:val="00ED75A7"/>
    <w:rsid w:val="00ED7C96"/>
    <w:rsid w:val="00ED7D7E"/>
    <w:rsid w:val="00EE15B4"/>
    <w:rsid w:val="00EE1CCE"/>
    <w:rsid w:val="00EE207F"/>
    <w:rsid w:val="00EE2B45"/>
    <w:rsid w:val="00EE2B9A"/>
    <w:rsid w:val="00EE2E4E"/>
    <w:rsid w:val="00EE3860"/>
    <w:rsid w:val="00EE4A84"/>
    <w:rsid w:val="00EE5ABE"/>
    <w:rsid w:val="00EE5D89"/>
    <w:rsid w:val="00EE5F06"/>
    <w:rsid w:val="00EE66FC"/>
    <w:rsid w:val="00EE6D11"/>
    <w:rsid w:val="00EF1F55"/>
    <w:rsid w:val="00EF1FF1"/>
    <w:rsid w:val="00EF20EA"/>
    <w:rsid w:val="00EF249A"/>
    <w:rsid w:val="00EF351B"/>
    <w:rsid w:val="00EF4710"/>
    <w:rsid w:val="00EF57E1"/>
    <w:rsid w:val="00EF64DD"/>
    <w:rsid w:val="00EF65DF"/>
    <w:rsid w:val="00EF6C3E"/>
    <w:rsid w:val="00EF7C9A"/>
    <w:rsid w:val="00F0392D"/>
    <w:rsid w:val="00F03940"/>
    <w:rsid w:val="00F05323"/>
    <w:rsid w:val="00F05610"/>
    <w:rsid w:val="00F0598C"/>
    <w:rsid w:val="00F05B36"/>
    <w:rsid w:val="00F05C00"/>
    <w:rsid w:val="00F10985"/>
    <w:rsid w:val="00F10B44"/>
    <w:rsid w:val="00F10B7E"/>
    <w:rsid w:val="00F12510"/>
    <w:rsid w:val="00F143C1"/>
    <w:rsid w:val="00F158AC"/>
    <w:rsid w:val="00F168D1"/>
    <w:rsid w:val="00F1766B"/>
    <w:rsid w:val="00F2020F"/>
    <w:rsid w:val="00F2142E"/>
    <w:rsid w:val="00F21980"/>
    <w:rsid w:val="00F21C82"/>
    <w:rsid w:val="00F21E30"/>
    <w:rsid w:val="00F2486D"/>
    <w:rsid w:val="00F26EC4"/>
    <w:rsid w:val="00F270BF"/>
    <w:rsid w:val="00F275B0"/>
    <w:rsid w:val="00F27609"/>
    <w:rsid w:val="00F27BF1"/>
    <w:rsid w:val="00F30027"/>
    <w:rsid w:val="00F302C2"/>
    <w:rsid w:val="00F308B1"/>
    <w:rsid w:val="00F313DD"/>
    <w:rsid w:val="00F31734"/>
    <w:rsid w:val="00F321F6"/>
    <w:rsid w:val="00F330B2"/>
    <w:rsid w:val="00F3349C"/>
    <w:rsid w:val="00F34538"/>
    <w:rsid w:val="00F34DE2"/>
    <w:rsid w:val="00F36269"/>
    <w:rsid w:val="00F37244"/>
    <w:rsid w:val="00F416F5"/>
    <w:rsid w:val="00F43FD4"/>
    <w:rsid w:val="00F4511D"/>
    <w:rsid w:val="00F45275"/>
    <w:rsid w:val="00F457C7"/>
    <w:rsid w:val="00F46298"/>
    <w:rsid w:val="00F463EC"/>
    <w:rsid w:val="00F46C77"/>
    <w:rsid w:val="00F506F3"/>
    <w:rsid w:val="00F50C3D"/>
    <w:rsid w:val="00F50D66"/>
    <w:rsid w:val="00F52E1E"/>
    <w:rsid w:val="00F532B3"/>
    <w:rsid w:val="00F53873"/>
    <w:rsid w:val="00F5388A"/>
    <w:rsid w:val="00F53D08"/>
    <w:rsid w:val="00F54241"/>
    <w:rsid w:val="00F54D4A"/>
    <w:rsid w:val="00F551CE"/>
    <w:rsid w:val="00F55B4E"/>
    <w:rsid w:val="00F57228"/>
    <w:rsid w:val="00F57254"/>
    <w:rsid w:val="00F572C0"/>
    <w:rsid w:val="00F5791C"/>
    <w:rsid w:val="00F61F6D"/>
    <w:rsid w:val="00F62911"/>
    <w:rsid w:val="00F6489C"/>
    <w:rsid w:val="00F649E5"/>
    <w:rsid w:val="00F649FB"/>
    <w:rsid w:val="00F65CC4"/>
    <w:rsid w:val="00F65CCB"/>
    <w:rsid w:val="00F661F4"/>
    <w:rsid w:val="00F665CE"/>
    <w:rsid w:val="00F674D3"/>
    <w:rsid w:val="00F67784"/>
    <w:rsid w:val="00F67B08"/>
    <w:rsid w:val="00F67D9F"/>
    <w:rsid w:val="00F67F46"/>
    <w:rsid w:val="00F70E71"/>
    <w:rsid w:val="00F71D3C"/>
    <w:rsid w:val="00F72C44"/>
    <w:rsid w:val="00F73237"/>
    <w:rsid w:val="00F73A5A"/>
    <w:rsid w:val="00F73E9A"/>
    <w:rsid w:val="00F73FE4"/>
    <w:rsid w:val="00F747E6"/>
    <w:rsid w:val="00F7546E"/>
    <w:rsid w:val="00F75B3F"/>
    <w:rsid w:val="00F763AB"/>
    <w:rsid w:val="00F76F7D"/>
    <w:rsid w:val="00F770F8"/>
    <w:rsid w:val="00F770FA"/>
    <w:rsid w:val="00F779A5"/>
    <w:rsid w:val="00F8028A"/>
    <w:rsid w:val="00F8109E"/>
    <w:rsid w:val="00F81A5C"/>
    <w:rsid w:val="00F825ED"/>
    <w:rsid w:val="00F82E43"/>
    <w:rsid w:val="00F83151"/>
    <w:rsid w:val="00F833D0"/>
    <w:rsid w:val="00F83897"/>
    <w:rsid w:val="00F84A31"/>
    <w:rsid w:val="00F8501C"/>
    <w:rsid w:val="00F854B3"/>
    <w:rsid w:val="00F85C94"/>
    <w:rsid w:val="00F8683E"/>
    <w:rsid w:val="00F869E3"/>
    <w:rsid w:val="00F8736C"/>
    <w:rsid w:val="00F8749C"/>
    <w:rsid w:val="00F87983"/>
    <w:rsid w:val="00F90BF1"/>
    <w:rsid w:val="00F90F48"/>
    <w:rsid w:val="00F90F5D"/>
    <w:rsid w:val="00F916BB"/>
    <w:rsid w:val="00F91AFF"/>
    <w:rsid w:val="00F92362"/>
    <w:rsid w:val="00F92A65"/>
    <w:rsid w:val="00F937DF"/>
    <w:rsid w:val="00F93B8D"/>
    <w:rsid w:val="00F948AE"/>
    <w:rsid w:val="00F94DC1"/>
    <w:rsid w:val="00F953E2"/>
    <w:rsid w:val="00F955A8"/>
    <w:rsid w:val="00F955EE"/>
    <w:rsid w:val="00F9571D"/>
    <w:rsid w:val="00F957D0"/>
    <w:rsid w:val="00F9617E"/>
    <w:rsid w:val="00F964E6"/>
    <w:rsid w:val="00F96E5F"/>
    <w:rsid w:val="00F97890"/>
    <w:rsid w:val="00FA14AC"/>
    <w:rsid w:val="00FA2727"/>
    <w:rsid w:val="00FA2C80"/>
    <w:rsid w:val="00FA2CB9"/>
    <w:rsid w:val="00FA2CEC"/>
    <w:rsid w:val="00FA3A01"/>
    <w:rsid w:val="00FA43E7"/>
    <w:rsid w:val="00FA52C0"/>
    <w:rsid w:val="00FA52FB"/>
    <w:rsid w:val="00FA532D"/>
    <w:rsid w:val="00FA55B8"/>
    <w:rsid w:val="00FA570B"/>
    <w:rsid w:val="00FA6AE5"/>
    <w:rsid w:val="00FA6E34"/>
    <w:rsid w:val="00FA7641"/>
    <w:rsid w:val="00FA77C4"/>
    <w:rsid w:val="00FA7AAC"/>
    <w:rsid w:val="00FB06F9"/>
    <w:rsid w:val="00FB1150"/>
    <w:rsid w:val="00FB12F1"/>
    <w:rsid w:val="00FB3A02"/>
    <w:rsid w:val="00FB5CF8"/>
    <w:rsid w:val="00FB62FA"/>
    <w:rsid w:val="00FC0815"/>
    <w:rsid w:val="00FC0B63"/>
    <w:rsid w:val="00FC0CB7"/>
    <w:rsid w:val="00FC12F6"/>
    <w:rsid w:val="00FC1F87"/>
    <w:rsid w:val="00FC4238"/>
    <w:rsid w:val="00FC49B8"/>
    <w:rsid w:val="00FC4BF2"/>
    <w:rsid w:val="00FC5157"/>
    <w:rsid w:val="00FC5A93"/>
    <w:rsid w:val="00FC6369"/>
    <w:rsid w:val="00FC6E0F"/>
    <w:rsid w:val="00FC7CA3"/>
    <w:rsid w:val="00FD03D2"/>
    <w:rsid w:val="00FD0EB4"/>
    <w:rsid w:val="00FD16C6"/>
    <w:rsid w:val="00FD3DB5"/>
    <w:rsid w:val="00FD49D5"/>
    <w:rsid w:val="00FD788F"/>
    <w:rsid w:val="00FD7DCC"/>
    <w:rsid w:val="00FE029A"/>
    <w:rsid w:val="00FE03F0"/>
    <w:rsid w:val="00FE088E"/>
    <w:rsid w:val="00FE12D2"/>
    <w:rsid w:val="00FE1504"/>
    <w:rsid w:val="00FE1CBF"/>
    <w:rsid w:val="00FE2AA4"/>
    <w:rsid w:val="00FE3AE3"/>
    <w:rsid w:val="00FE4813"/>
    <w:rsid w:val="00FE4B22"/>
    <w:rsid w:val="00FE63A6"/>
    <w:rsid w:val="00FE67F3"/>
    <w:rsid w:val="00FE7595"/>
    <w:rsid w:val="00FE76B6"/>
    <w:rsid w:val="00FE7EBF"/>
    <w:rsid w:val="00FF01BA"/>
    <w:rsid w:val="00FF07D4"/>
    <w:rsid w:val="00FF0FCD"/>
    <w:rsid w:val="00FF14E4"/>
    <w:rsid w:val="00FF3A1B"/>
    <w:rsid w:val="00FF4900"/>
    <w:rsid w:val="00FF5034"/>
    <w:rsid w:val="00FF60C9"/>
    <w:rsid w:val="00FF7053"/>
    <w:rsid w:val="00FF7119"/>
    <w:rsid w:val="00FF76F1"/>
    <w:rsid w:val="00FF7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7AC2295C"/>
  <w15:chartTrackingRefBased/>
  <w15:docId w15:val="{EF83BCA0-A901-4A3C-8413-33110D44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9D5"/>
    <w:pPr>
      <w:jc w:val="both"/>
    </w:pPr>
    <w:rPr>
      <w:rFonts w:ascii="Tahoma" w:hAnsi="Tahoma"/>
      <w:sz w:val="24"/>
      <w:szCs w:val="24"/>
    </w:rPr>
  </w:style>
  <w:style w:type="paragraph" w:styleId="Heading1">
    <w:name w:val="heading 1"/>
    <w:basedOn w:val="Normal"/>
    <w:next w:val="Normal"/>
    <w:link w:val="Heading1Char"/>
    <w:qFormat/>
    <w:rsid w:val="007B26FA"/>
    <w:pPr>
      <w:keepNext/>
      <w:spacing w:after="240"/>
      <w:jc w:val="left"/>
      <w:outlineLvl w:val="0"/>
    </w:pPr>
    <w:rPr>
      <w:b/>
      <w:kern w:val="28"/>
      <w:sz w:val="32"/>
    </w:rPr>
  </w:style>
  <w:style w:type="paragraph" w:styleId="Heading2">
    <w:name w:val="heading 2"/>
    <w:basedOn w:val="Normal"/>
    <w:next w:val="Normal"/>
    <w:link w:val="Heading2Char"/>
    <w:qFormat/>
    <w:rsid w:val="002C192D"/>
    <w:pPr>
      <w:keepNext/>
      <w:spacing w:after="240"/>
      <w:outlineLvl w:val="1"/>
    </w:pPr>
    <w:rPr>
      <w:b/>
      <w:sz w:val="28"/>
    </w:rPr>
  </w:style>
  <w:style w:type="paragraph" w:styleId="Heading3">
    <w:name w:val="heading 3"/>
    <w:basedOn w:val="Heading2"/>
    <w:next w:val="Normal"/>
    <w:link w:val="Heading3Char"/>
    <w:qFormat/>
    <w:rsid w:val="00E6436B"/>
    <w:pPr>
      <w:spacing w:after="120"/>
      <w:jc w:val="left"/>
      <w:outlineLvl w:val="2"/>
    </w:pPr>
    <w:rPr>
      <w:rFonts w:cs="Tahoma"/>
      <w:bCs/>
      <w:sz w:val="24"/>
    </w:rPr>
  </w:style>
  <w:style w:type="paragraph" w:styleId="Heading4">
    <w:name w:val="heading 4"/>
    <w:basedOn w:val="Normal"/>
    <w:next w:val="Normal"/>
    <w:link w:val="Heading4Char"/>
    <w:qFormat/>
    <w:rsid w:val="00B0728F"/>
    <w:pPr>
      <w:keepNext/>
      <w:spacing w:after="240"/>
      <w:outlineLvl w:val="3"/>
    </w:pPr>
    <w:rPr>
      <w:b/>
    </w:rPr>
  </w:style>
  <w:style w:type="paragraph" w:styleId="Heading5">
    <w:name w:val="heading 5"/>
    <w:basedOn w:val="Normal"/>
    <w:next w:val="Normal"/>
    <w:link w:val="Heading5Char"/>
    <w:qFormat/>
    <w:rsid w:val="00B0728F"/>
    <w:pPr>
      <w:keepNext/>
      <w:spacing w:after="240"/>
      <w:ind w:left="72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0728F"/>
    <w:pPr>
      <w:tabs>
        <w:tab w:val="center" w:pos="4320"/>
        <w:tab w:val="right" w:pos="8640"/>
      </w:tabs>
    </w:pPr>
  </w:style>
  <w:style w:type="paragraph" w:styleId="Footer">
    <w:name w:val="footer"/>
    <w:basedOn w:val="Normal"/>
    <w:link w:val="FooterChar"/>
    <w:uiPriority w:val="99"/>
    <w:rsid w:val="00B0728F"/>
    <w:pPr>
      <w:tabs>
        <w:tab w:val="center" w:pos="4320"/>
        <w:tab w:val="right" w:pos="8640"/>
      </w:tabs>
    </w:pPr>
  </w:style>
  <w:style w:type="table" w:styleId="TableGrid">
    <w:name w:val="Table Grid"/>
    <w:basedOn w:val="TableNormal"/>
    <w:rsid w:val="00005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0509C"/>
    <w:rPr>
      <w:color w:val="0000FF"/>
      <w:u w:val="single"/>
    </w:rPr>
  </w:style>
  <w:style w:type="paragraph" w:customStyle="1" w:styleId="Heading1SFR">
    <w:name w:val="Heading 1 SFR"/>
    <w:basedOn w:val="Heading3"/>
    <w:next w:val="Heading1"/>
    <w:link w:val="Heading1SFRChar"/>
    <w:rsid w:val="0000509C"/>
    <w:pPr>
      <w:outlineLvl w:val="0"/>
    </w:pPr>
    <w:rPr>
      <w:bCs w:val="0"/>
    </w:rPr>
  </w:style>
  <w:style w:type="paragraph" w:styleId="TOC1">
    <w:name w:val="toc 1"/>
    <w:basedOn w:val="Normal"/>
    <w:next w:val="Normal"/>
    <w:autoRedefine/>
    <w:uiPriority w:val="39"/>
    <w:qFormat/>
    <w:rsid w:val="0078569A"/>
    <w:pPr>
      <w:tabs>
        <w:tab w:val="right" w:pos="9016"/>
      </w:tabs>
    </w:pPr>
  </w:style>
  <w:style w:type="paragraph" w:styleId="Caption">
    <w:name w:val="caption"/>
    <w:basedOn w:val="Normal"/>
    <w:next w:val="Normal"/>
    <w:link w:val="CaptionChar"/>
    <w:qFormat/>
    <w:rsid w:val="006B6FD6"/>
    <w:pPr>
      <w:jc w:val="left"/>
    </w:pPr>
    <w:rPr>
      <w:b/>
      <w:bCs/>
      <w:noProof/>
      <w:sz w:val="20"/>
      <w:szCs w:val="20"/>
      <w:lang w:eastAsia="en-US"/>
    </w:rPr>
  </w:style>
  <w:style w:type="character" w:styleId="FollowedHyperlink">
    <w:name w:val="FollowedHyperlink"/>
    <w:rsid w:val="00F779A5"/>
    <w:rPr>
      <w:color w:val="800080"/>
      <w:u w:val="single"/>
    </w:rPr>
  </w:style>
  <w:style w:type="character" w:styleId="CommentReference">
    <w:name w:val="annotation reference"/>
    <w:rsid w:val="00C87593"/>
    <w:rPr>
      <w:sz w:val="16"/>
      <w:szCs w:val="16"/>
    </w:rPr>
  </w:style>
  <w:style w:type="paragraph" w:styleId="CommentText">
    <w:name w:val="annotation text"/>
    <w:basedOn w:val="Normal"/>
    <w:link w:val="CommentTextChar"/>
    <w:rsid w:val="00C87593"/>
    <w:rPr>
      <w:sz w:val="20"/>
      <w:szCs w:val="20"/>
    </w:rPr>
  </w:style>
  <w:style w:type="paragraph" w:styleId="CommentSubject">
    <w:name w:val="annotation subject"/>
    <w:basedOn w:val="CommentText"/>
    <w:next w:val="CommentText"/>
    <w:link w:val="CommentSubjectChar"/>
    <w:rsid w:val="00C87593"/>
    <w:rPr>
      <w:b/>
      <w:bCs/>
    </w:rPr>
  </w:style>
  <w:style w:type="paragraph" w:styleId="BalloonText">
    <w:name w:val="Balloon Text"/>
    <w:basedOn w:val="Normal"/>
    <w:link w:val="BalloonTextChar"/>
    <w:rsid w:val="00C87593"/>
    <w:rPr>
      <w:rFonts w:cs="Tahoma"/>
      <w:sz w:val="16"/>
      <w:szCs w:val="16"/>
    </w:rPr>
  </w:style>
  <w:style w:type="paragraph" w:styleId="NormalWeb">
    <w:name w:val="Normal (Web)"/>
    <w:basedOn w:val="Normal"/>
    <w:uiPriority w:val="99"/>
    <w:rsid w:val="00512A25"/>
  </w:style>
  <w:style w:type="paragraph" w:styleId="Title">
    <w:name w:val="Title"/>
    <w:basedOn w:val="Normal"/>
    <w:qFormat/>
    <w:rsid w:val="002C3210"/>
    <w:pPr>
      <w:spacing w:before="240" w:after="60"/>
      <w:jc w:val="center"/>
      <w:outlineLvl w:val="0"/>
    </w:pPr>
    <w:rPr>
      <w:rFonts w:ascii="Arial" w:hAnsi="Arial" w:cs="Arial"/>
      <w:b/>
      <w:bCs/>
      <w:kern w:val="28"/>
      <w:sz w:val="32"/>
      <w:szCs w:val="32"/>
    </w:rPr>
  </w:style>
  <w:style w:type="character" w:styleId="FootnoteReference">
    <w:name w:val="footnote reference"/>
    <w:rsid w:val="002C3210"/>
    <w:rPr>
      <w:vertAlign w:val="superscript"/>
    </w:rPr>
  </w:style>
  <w:style w:type="paragraph" w:styleId="FootnoteText">
    <w:name w:val="footnote text"/>
    <w:basedOn w:val="Normal"/>
    <w:link w:val="FootnoteTextChar"/>
    <w:rsid w:val="007B42A8"/>
    <w:rPr>
      <w:sz w:val="20"/>
      <w:szCs w:val="20"/>
    </w:rPr>
  </w:style>
  <w:style w:type="character" w:customStyle="1" w:styleId="NumberedparagraphChar">
    <w:name w:val="Numbered paragraph Char"/>
    <w:link w:val="Numberedparagraph"/>
    <w:locked/>
    <w:rsid w:val="007B42A8"/>
    <w:rPr>
      <w:rFonts w:ascii="Tahoma" w:hAnsi="Tahoma"/>
      <w:color w:val="000000"/>
      <w:sz w:val="24"/>
      <w:szCs w:val="24"/>
      <w:lang w:eastAsia="en-US"/>
    </w:rPr>
  </w:style>
  <w:style w:type="paragraph" w:customStyle="1" w:styleId="Bulletsspaced">
    <w:name w:val="Bullets (spaced)"/>
    <w:basedOn w:val="Normal"/>
    <w:link w:val="BulletsspacedChar"/>
    <w:autoRedefine/>
    <w:rsid w:val="00231CC7"/>
    <w:pPr>
      <w:numPr>
        <w:numId w:val="2"/>
      </w:numPr>
      <w:tabs>
        <w:tab w:val="clear" w:pos="1386"/>
        <w:tab w:val="left" w:pos="709"/>
        <w:tab w:val="num" w:pos="993"/>
      </w:tabs>
      <w:spacing w:after="120"/>
      <w:ind w:left="993" w:hanging="284"/>
      <w:jc w:val="left"/>
    </w:pPr>
    <w:rPr>
      <w:color w:val="000000"/>
      <w:lang w:eastAsia="en-US"/>
    </w:rPr>
  </w:style>
  <w:style w:type="paragraph" w:customStyle="1" w:styleId="Bulletsspaced-lastbullet">
    <w:name w:val="Bullets (spaced) - last bullet"/>
    <w:basedOn w:val="Bulletsspaced"/>
    <w:next w:val="Numberedparagraph"/>
    <w:link w:val="Bulletsspaced-lastbulletChar"/>
    <w:rsid w:val="007B42A8"/>
    <w:pPr>
      <w:spacing w:after="240"/>
    </w:pPr>
  </w:style>
  <w:style w:type="paragraph" w:customStyle="1" w:styleId="Numberedparagraph">
    <w:name w:val="Numbered paragraph"/>
    <w:basedOn w:val="Normal"/>
    <w:link w:val="NumberedparagraphChar"/>
    <w:rsid w:val="007B42A8"/>
    <w:pPr>
      <w:numPr>
        <w:numId w:val="1"/>
      </w:numPr>
      <w:spacing w:after="240"/>
    </w:pPr>
    <w:rPr>
      <w:color w:val="000000"/>
      <w:lang w:eastAsia="en-US"/>
    </w:rPr>
  </w:style>
  <w:style w:type="character" w:customStyle="1" w:styleId="BulletsspacedChar">
    <w:name w:val="Bullets (spaced) Char"/>
    <w:link w:val="Bulletsspaced"/>
    <w:rsid w:val="00231CC7"/>
    <w:rPr>
      <w:rFonts w:ascii="Tahoma" w:hAnsi="Tahoma"/>
      <w:color w:val="000000"/>
      <w:sz w:val="24"/>
      <w:szCs w:val="24"/>
      <w:lang w:eastAsia="en-US"/>
    </w:rPr>
  </w:style>
  <w:style w:type="character" w:customStyle="1" w:styleId="Bulletsspaced-lastbulletChar">
    <w:name w:val="Bullets (spaced) - last bullet Char"/>
    <w:basedOn w:val="BulletsspacedChar"/>
    <w:link w:val="Bulletsspaced-lastbullet"/>
    <w:rsid w:val="007B42A8"/>
    <w:rPr>
      <w:rFonts w:ascii="Tahoma" w:hAnsi="Tahoma"/>
      <w:color w:val="000000"/>
      <w:sz w:val="24"/>
      <w:szCs w:val="24"/>
      <w:lang w:eastAsia="en-US"/>
    </w:rPr>
  </w:style>
  <w:style w:type="paragraph" w:styleId="BodyText">
    <w:name w:val="Body Text"/>
    <w:basedOn w:val="Normal"/>
    <w:link w:val="BodyTextChar"/>
    <w:rsid w:val="00B0728F"/>
    <w:pPr>
      <w:spacing w:after="120"/>
    </w:pPr>
  </w:style>
  <w:style w:type="paragraph" w:styleId="TOC9">
    <w:name w:val="toc 9"/>
    <w:basedOn w:val="Normal"/>
    <w:next w:val="Normal"/>
    <w:autoRedefine/>
    <w:semiHidden/>
    <w:rsid w:val="004336D5"/>
    <w:pPr>
      <w:ind w:left="1920"/>
    </w:pPr>
  </w:style>
  <w:style w:type="paragraph" w:customStyle="1" w:styleId="LetterBodyText">
    <w:name w:val="Letter Body Text"/>
    <w:basedOn w:val="LetterText"/>
    <w:rsid w:val="00B0728F"/>
    <w:pPr>
      <w:spacing w:after="120"/>
    </w:pPr>
  </w:style>
  <w:style w:type="paragraph" w:customStyle="1" w:styleId="LetterText">
    <w:name w:val="Letter Text"/>
    <w:basedOn w:val="Normal"/>
    <w:rsid w:val="00B0728F"/>
  </w:style>
  <w:style w:type="paragraph" w:styleId="PlainText">
    <w:name w:val="Plain Text"/>
    <w:basedOn w:val="Normal"/>
    <w:link w:val="PlainTextChar"/>
    <w:rsid w:val="00B0728F"/>
    <w:rPr>
      <w:rFonts w:ascii="Courier New" w:hAnsi="Courier New"/>
    </w:rPr>
  </w:style>
  <w:style w:type="paragraph" w:customStyle="1" w:styleId="Unnumberedparagraph">
    <w:name w:val="Unnumbered paragraph"/>
    <w:basedOn w:val="Normal"/>
    <w:link w:val="UnnumberedparagraphChar"/>
    <w:rsid w:val="00F10985"/>
    <w:pPr>
      <w:spacing w:after="240"/>
      <w:jc w:val="left"/>
    </w:pPr>
    <w:rPr>
      <w:color w:val="000000"/>
      <w:lang w:eastAsia="en-US"/>
    </w:rPr>
  </w:style>
  <w:style w:type="character" w:customStyle="1" w:styleId="UnnumberedparagraphChar">
    <w:name w:val="Unnumbered paragraph Char"/>
    <w:link w:val="Unnumberedparagraph"/>
    <w:rsid w:val="00F10985"/>
    <w:rPr>
      <w:rFonts w:ascii="Tahoma" w:hAnsi="Tahoma"/>
      <w:color w:val="000000"/>
      <w:sz w:val="24"/>
      <w:szCs w:val="24"/>
      <w:lang w:val="en-GB" w:eastAsia="en-US" w:bidi="ar-SA"/>
    </w:rPr>
  </w:style>
  <w:style w:type="character" w:styleId="PageNumber">
    <w:name w:val="page number"/>
    <w:basedOn w:val="DefaultParagraphFont"/>
    <w:rsid w:val="00CB7D65"/>
  </w:style>
  <w:style w:type="character" w:customStyle="1" w:styleId="Heading1SFRChar">
    <w:name w:val="Heading 1 SFR Char"/>
    <w:link w:val="Heading1SFR"/>
    <w:rsid w:val="00F43FD4"/>
    <w:rPr>
      <w:rFonts w:ascii="Tahoma" w:hAnsi="Tahoma"/>
      <w:b/>
      <w:bCs/>
      <w:caps/>
      <w:sz w:val="24"/>
      <w:szCs w:val="24"/>
      <w:lang w:val="en-GB" w:eastAsia="en-GB" w:bidi="ar-SA"/>
    </w:rPr>
  </w:style>
  <w:style w:type="paragraph" w:customStyle="1" w:styleId="Default">
    <w:name w:val="Default"/>
    <w:rsid w:val="003526EC"/>
    <w:pPr>
      <w:autoSpaceDE w:val="0"/>
      <w:autoSpaceDN w:val="0"/>
      <w:adjustRightInd w:val="0"/>
    </w:pPr>
    <w:rPr>
      <w:rFonts w:ascii="Tahoma" w:hAnsi="Tahoma" w:cs="Tahoma"/>
      <w:color w:val="000000"/>
      <w:sz w:val="24"/>
      <w:szCs w:val="24"/>
    </w:rPr>
  </w:style>
  <w:style w:type="paragraph" w:customStyle="1" w:styleId="xmsonormal">
    <w:name w:val="x_msonormal"/>
    <w:basedOn w:val="Normal"/>
    <w:rsid w:val="009F66D4"/>
    <w:pPr>
      <w:spacing w:before="100" w:beforeAutospacing="1" w:after="100" w:afterAutospacing="1"/>
      <w:jc w:val="left"/>
    </w:pPr>
    <w:rPr>
      <w:rFonts w:ascii="Times New Roman" w:hAnsi="Times New Roman"/>
    </w:rPr>
  </w:style>
  <w:style w:type="paragraph" w:customStyle="1" w:styleId="xbulletsspaced">
    <w:name w:val="x_bulletsspaced"/>
    <w:basedOn w:val="Normal"/>
    <w:rsid w:val="009F66D4"/>
    <w:pPr>
      <w:spacing w:before="100" w:beforeAutospacing="1" w:after="100" w:afterAutospacing="1"/>
      <w:jc w:val="left"/>
    </w:pPr>
    <w:rPr>
      <w:rFonts w:ascii="Times New Roman" w:hAnsi="Times New Roman"/>
    </w:rPr>
  </w:style>
  <w:style w:type="character" w:styleId="Emphasis">
    <w:name w:val="Emphasis"/>
    <w:qFormat/>
    <w:rsid w:val="009F66D4"/>
    <w:rPr>
      <w:i/>
      <w:iCs/>
    </w:rPr>
  </w:style>
  <w:style w:type="paragraph" w:styleId="ListParagraph">
    <w:name w:val="List Paragraph"/>
    <w:basedOn w:val="Normal"/>
    <w:uiPriority w:val="34"/>
    <w:qFormat/>
    <w:rsid w:val="00F8749C"/>
    <w:pPr>
      <w:ind w:left="720"/>
    </w:pPr>
  </w:style>
  <w:style w:type="character" w:customStyle="1" w:styleId="FootnoteTextChar">
    <w:name w:val="Footnote Text Char"/>
    <w:link w:val="FootnoteText"/>
    <w:rsid w:val="008538AB"/>
    <w:rPr>
      <w:rFonts w:ascii="Tahoma" w:hAnsi="Tahoma"/>
    </w:rPr>
  </w:style>
  <w:style w:type="paragraph" w:styleId="Revision">
    <w:name w:val="Revision"/>
    <w:hidden/>
    <w:uiPriority w:val="99"/>
    <w:semiHidden/>
    <w:rsid w:val="00545689"/>
    <w:rPr>
      <w:rFonts w:ascii="Tahoma" w:hAnsi="Tahoma"/>
      <w:sz w:val="24"/>
      <w:szCs w:val="24"/>
    </w:rPr>
  </w:style>
  <w:style w:type="paragraph" w:styleId="NoSpacing">
    <w:name w:val="No Spacing"/>
    <w:uiPriority w:val="1"/>
    <w:qFormat/>
    <w:rsid w:val="00690C9D"/>
    <w:pPr>
      <w:jc w:val="both"/>
    </w:pPr>
    <w:rPr>
      <w:rFonts w:ascii="Tahoma" w:hAnsi="Tahoma"/>
      <w:sz w:val="24"/>
      <w:szCs w:val="24"/>
    </w:rPr>
  </w:style>
  <w:style w:type="paragraph" w:customStyle="1" w:styleId="Footer-RHSOdd">
    <w:name w:val="Footer - RHS Odd"/>
    <w:basedOn w:val="Normal"/>
    <w:rsid w:val="001460CF"/>
    <w:pPr>
      <w:pBdr>
        <w:top w:val="single" w:sz="4" w:space="6" w:color="auto"/>
      </w:pBdr>
      <w:tabs>
        <w:tab w:val="left" w:pos="567"/>
      </w:tabs>
      <w:jc w:val="left"/>
    </w:pPr>
    <w:rPr>
      <w:b/>
      <w:color w:val="000000"/>
      <w:sz w:val="16"/>
      <w:szCs w:val="20"/>
      <w:lang w:eastAsia="en-US"/>
    </w:rPr>
  </w:style>
  <w:style w:type="character" w:customStyle="1" w:styleId="FooterChar">
    <w:name w:val="Footer Char"/>
    <w:link w:val="Footer"/>
    <w:uiPriority w:val="99"/>
    <w:rsid w:val="00243CDA"/>
    <w:rPr>
      <w:rFonts w:ascii="Tahoma" w:hAnsi="Tahoma"/>
      <w:sz w:val="24"/>
      <w:szCs w:val="24"/>
    </w:rPr>
  </w:style>
  <w:style w:type="paragraph" w:styleId="TOCHeading">
    <w:name w:val="TOC Heading"/>
    <w:basedOn w:val="Heading1"/>
    <w:next w:val="Normal"/>
    <w:uiPriority w:val="39"/>
    <w:semiHidden/>
    <w:unhideWhenUsed/>
    <w:qFormat/>
    <w:rsid w:val="00B109E2"/>
    <w:pPr>
      <w:keepLines/>
      <w:spacing w:before="480" w:after="0" w:line="276" w:lineRule="auto"/>
      <w:outlineLvl w:val="9"/>
    </w:pPr>
    <w:rPr>
      <w:rFonts w:ascii="Cambria" w:eastAsia="MS Gothic" w:hAnsi="Cambria"/>
      <w:bCs/>
      <w:color w:val="365F91"/>
      <w:kern w:val="0"/>
      <w:sz w:val="28"/>
      <w:szCs w:val="28"/>
      <w:lang w:val="en-US" w:eastAsia="ja-JP"/>
    </w:rPr>
  </w:style>
  <w:style w:type="paragraph" w:styleId="TOC2">
    <w:name w:val="toc 2"/>
    <w:basedOn w:val="Normal"/>
    <w:next w:val="Normal"/>
    <w:autoRedefine/>
    <w:uiPriority w:val="39"/>
    <w:unhideWhenUsed/>
    <w:qFormat/>
    <w:rsid w:val="00912934"/>
    <w:pPr>
      <w:tabs>
        <w:tab w:val="right" w:leader="dot" w:pos="9016"/>
      </w:tabs>
      <w:spacing w:after="100" w:line="276" w:lineRule="auto"/>
      <w:jc w:val="left"/>
    </w:pPr>
    <w:rPr>
      <w:rFonts w:eastAsia="MS Mincho" w:cs="Tahoma"/>
      <w:noProof/>
      <w:lang w:val="en-US" w:eastAsia="ja-JP"/>
    </w:rPr>
  </w:style>
  <w:style w:type="paragraph" w:styleId="TOC3">
    <w:name w:val="toc 3"/>
    <w:basedOn w:val="Normal"/>
    <w:next w:val="Normal"/>
    <w:autoRedefine/>
    <w:uiPriority w:val="39"/>
    <w:unhideWhenUsed/>
    <w:qFormat/>
    <w:rsid w:val="00763592"/>
    <w:pPr>
      <w:tabs>
        <w:tab w:val="right" w:leader="dot" w:pos="9016"/>
      </w:tabs>
      <w:spacing w:after="100" w:line="276" w:lineRule="auto"/>
      <w:ind w:left="440"/>
      <w:jc w:val="left"/>
    </w:pPr>
    <w:rPr>
      <w:rFonts w:ascii="Calibri" w:eastAsia="MS Mincho" w:hAnsi="Calibri" w:cs="Tahoma"/>
      <w:bCs/>
      <w:noProof/>
      <w:sz w:val="22"/>
      <w:szCs w:val="22"/>
      <w:lang w:val="en-US" w:eastAsia="ja-JP"/>
    </w:rPr>
  </w:style>
  <w:style w:type="character" w:customStyle="1" w:styleId="Heading4Char">
    <w:name w:val="Heading 4 Char"/>
    <w:link w:val="Heading4"/>
    <w:rsid w:val="00A206DE"/>
    <w:rPr>
      <w:rFonts w:ascii="Tahoma" w:hAnsi="Tahoma"/>
      <w:b/>
      <w:sz w:val="24"/>
      <w:szCs w:val="24"/>
    </w:rPr>
  </w:style>
  <w:style w:type="character" w:customStyle="1" w:styleId="CommentTextChar">
    <w:name w:val="Comment Text Char"/>
    <w:link w:val="CommentText"/>
    <w:rsid w:val="00A206DE"/>
    <w:rPr>
      <w:rFonts w:ascii="Tahoma" w:hAnsi="Tahoma"/>
    </w:rPr>
  </w:style>
  <w:style w:type="paragraph" w:styleId="Subtitle">
    <w:name w:val="Subtitle"/>
    <w:basedOn w:val="Normal"/>
    <w:next w:val="Normal"/>
    <w:link w:val="SubtitleChar"/>
    <w:qFormat/>
    <w:rsid w:val="00FB3A02"/>
    <w:pPr>
      <w:spacing w:after="60"/>
      <w:jc w:val="center"/>
      <w:outlineLvl w:val="1"/>
    </w:pPr>
    <w:rPr>
      <w:rFonts w:ascii="Cambria" w:hAnsi="Cambria"/>
    </w:rPr>
  </w:style>
  <w:style w:type="paragraph" w:styleId="TableofFigures">
    <w:name w:val="table of figures"/>
    <w:basedOn w:val="Normal"/>
    <w:next w:val="Normal"/>
    <w:uiPriority w:val="99"/>
    <w:rsid w:val="00CF65FF"/>
    <w:rPr>
      <w:rFonts w:ascii="Arial" w:hAnsi="Arial"/>
      <w:sz w:val="22"/>
    </w:rPr>
  </w:style>
  <w:style w:type="character" w:customStyle="1" w:styleId="SubtitleChar">
    <w:name w:val="Subtitle Char"/>
    <w:link w:val="Subtitle"/>
    <w:rsid w:val="00FB3A02"/>
    <w:rPr>
      <w:rFonts w:ascii="Cambria" w:eastAsia="Times New Roman" w:hAnsi="Cambria" w:cs="Times New Roman"/>
      <w:sz w:val="24"/>
      <w:szCs w:val="24"/>
    </w:rPr>
  </w:style>
  <w:style w:type="paragraph" w:customStyle="1" w:styleId="Table">
    <w:name w:val="Table"/>
    <w:basedOn w:val="Caption"/>
    <w:link w:val="TableChar"/>
    <w:qFormat/>
    <w:rsid w:val="00211793"/>
  </w:style>
  <w:style w:type="character" w:customStyle="1" w:styleId="FootnoteCharacters">
    <w:name w:val="Footnote Characters"/>
    <w:rsid w:val="00C23765"/>
    <w:rPr>
      <w:vertAlign w:val="superscript"/>
    </w:rPr>
  </w:style>
  <w:style w:type="character" w:customStyle="1" w:styleId="CaptionChar">
    <w:name w:val="Caption Char"/>
    <w:link w:val="Caption"/>
    <w:rsid w:val="00211793"/>
    <w:rPr>
      <w:rFonts w:ascii="Tahoma" w:hAnsi="Tahoma"/>
      <w:b/>
      <w:bCs/>
      <w:noProof/>
      <w:lang w:eastAsia="en-US"/>
    </w:rPr>
  </w:style>
  <w:style w:type="character" w:customStyle="1" w:styleId="TableChar">
    <w:name w:val="Table Char"/>
    <w:basedOn w:val="CaptionChar"/>
    <w:link w:val="Table"/>
    <w:rsid w:val="00211793"/>
    <w:rPr>
      <w:rFonts w:ascii="Tahoma" w:hAnsi="Tahoma"/>
      <w:b/>
      <w:bCs/>
      <w:noProof/>
      <w:lang w:eastAsia="en-US"/>
    </w:rPr>
  </w:style>
  <w:style w:type="character" w:customStyle="1" w:styleId="Heading2Char">
    <w:name w:val="Heading 2 Char"/>
    <w:link w:val="Heading2"/>
    <w:rsid w:val="00553B60"/>
    <w:rPr>
      <w:rFonts w:ascii="Tahoma" w:hAnsi="Tahoma"/>
      <w:b/>
      <w:sz w:val="28"/>
      <w:szCs w:val="24"/>
    </w:rPr>
  </w:style>
  <w:style w:type="paragraph" w:customStyle="1" w:styleId="Maps">
    <w:name w:val="Maps"/>
    <w:basedOn w:val="Caption"/>
    <w:link w:val="MapsChar"/>
    <w:qFormat/>
    <w:rsid w:val="00553B60"/>
    <w:rPr>
      <w:noProof w:val="0"/>
      <w:lang w:eastAsia="en-GB"/>
    </w:rPr>
  </w:style>
  <w:style w:type="character" w:customStyle="1" w:styleId="MapsChar">
    <w:name w:val="Maps Char"/>
    <w:link w:val="Maps"/>
    <w:rsid w:val="00553B60"/>
    <w:rPr>
      <w:rFonts w:ascii="Tahoma" w:hAnsi="Tahoma"/>
      <w:b/>
      <w:bCs/>
    </w:rPr>
  </w:style>
  <w:style w:type="character" w:customStyle="1" w:styleId="Heading1Char">
    <w:name w:val="Heading 1 Char"/>
    <w:link w:val="Heading1"/>
    <w:rsid w:val="00222CFC"/>
    <w:rPr>
      <w:rFonts w:ascii="Tahoma" w:hAnsi="Tahoma"/>
      <w:b/>
      <w:kern w:val="28"/>
      <w:sz w:val="32"/>
      <w:szCs w:val="24"/>
    </w:rPr>
  </w:style>
  <w:style w:type="character" w:customStyle="1" w:styleId="Heading3Char">
    <w:name w:val="Heading 3 Char"/>
    <w:link w:val="Heading3"/>
    <w:rsid w:val="00222CFC"/>
    <w:rPr>
      <w:rFonts w:ascii="Tahoma" w:hAnsi="Tahoma" w:cs="Tahoma"/>
      <w:b/>
      <w:bCs/>
      <w:sz w:val="24"/>
      <w:szCs w:val="24"/>
    </w:rPr>
  </w:style>
  <w:style w:type="character" w:customStyle="1" w:styleId="Heading5Char">
    <w:name w:val="Heading 5 Char"/>
    <w:link w:val="Heading5"/>
    <w:rsid w:val="00222CFC"/>
    <w:rPr>
      <w:rFonts w:ascii="Tahoma" w:hAnsi="Tahoma"/>
      <w:i/>
      <w:sz w:val="24"/>
      <w:szCs w:val="24"/>
    </w:rPr>
  </w:style>
  <w:style w:type="character" w:customStyle="1" w:styleId="BodyTextChar">
    <w:name w:val="Body Text Char"/>
    <w:link w:val="BodyText"/>
    <w:rsid w:val="00222CFC"/>
    <w:rPr>
      <w:rFonts w:ascii="Tahoma" w:hAnsi="Tahoma"/>
      <w:sz w:val="24"/>
      <w:szCs w:val="24"/>
    </w:rPr>
  </w:style>
  <w:style w:type="character" w:customStyle="1" w:styleId="HeaderChar">
    <w:name w:val="Header Char"/>
    <w:link w:val="Header"/>
    <w:rsid w:val="00222CFC"/>
    <w:rPr>
      <w:rFonts w:ascii="Tahoma" w:hAnsi="Tahoma"/>
      <w:sz w:val="24"/>
      <w:szCs w:val="24"/>
    </w:rPr>
  </w:style>
  <w:style w:type="character" w:customStyle="1" w:styleId="PlainTextChar">
    <w:name w:val="Plain Text Char"/>
    <w:link w:val="PlainText"/>
    <w:rsid w:val="00222CFC"/>
    <w:rPr>
      <w:rFonts w:ascii="Courier New" w:hAnsi="Courier New"/>
      <w:sz w:val="24"/>
      <w:szCs w:val="24"/>
    </w:rPr>
  </w:style>
  <w:style w:type="character" w:customStyle="1" w:styleId="CommentSubjectChar">
    <w:name w:val="Comment Subject Char"/>
    <w:link w:val="CommentSubject"/>
    <w:rsid w:val="00222CFC"/>
    <w:rPr>
      <w:rFonts w:ascii="Tahoma" w:hAnsi="Tahoma"/>
      <w:b/>
      <w:bCs/>
    </w:rPr>
  </w:style>
  <w:style w:type="character" w:customStyle="1" w:styleId="BalloonTextChar">
    <w:name w:val="Balloon Text Char"/>
    <w:link w:val="BalloonText"/>
    <w:rsid w:val="00222CFC"/>
    <w:rPr>
      <w:rFonts w:ascii="Tahoma" w:hAnsi="Tahoma" w:cs="Tahoma"/>
      <w:sz w:val="16"/>
      <w:szCs w:val="16"/>
    </w:rPr>
  </w:style>
  <w:style w:type="paragraph" w:styleId="EndnoteText">
    <w:name w:val="endnote text"/>
    <w:basedOn w:val="Normal"/>
    <w:link w:val="EndnoteTextChar"/>
    <w:rsid w:val="007A6C5D"/>
    <w:rPr>
      <w:sz w:val="20"/>
      <w:szCs w:val="20"/>
    </w:rPr>
  </w:style>
  <w:style w:type="character" w:customStyle="1" w:styleId="EndnoteTextChar">
    <w:name w:val="Endnote Text Char"/>
    <w:link w:val="EndnoteText"/>
    <w:rsid w:val="007A6C5D"/>
    <w:rPr>
      <w:rFonts w:ascii="Tahoma" w:hAnsi="Tahoma"/>
    </w:rPr>
  </w:style>
  <w:style w:type="character" w:styleId="EndnoteReference">
    <w:name w:val="endnote reference"/>
    <w:rsid w:val="007A6C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4849">
      <w:bodyDiv w:val="1"/>
      <w:marLeft w:val="0"/>
      <w:marRight w:val="0"/>
      <w:marTop w:val="0"/>
      <w:marBottom w:val="0"/>
      <w:divBdr>
        <w:top w:val="none" w:sz="0" w:space="0" w:color="auto"/>
        <w:left w:val="none" w:sz="0" w:space="0" w:color="auto"/>
        <w:bottom w:val="none" w:sz="0" w:space="0" w:color="auto"/>
        <w:right w:val="none" w:sz="0" w:space="0" w:color="auto"/>
      </w:divBdr>
    </w:div>
    <w:div w:id="18825559">
      <w:bodyDiv w:val="1"/>
      <w:marLeft w:val="0"/>
      <w:marRight w:val="0"/>
      <w:marTop w:val="0"/>
      <w:marBottom w:val="0"/>
      <w:divBdr>
        <w:top w:val="none" w:sz="0" w:space="0" w:color="auto"/>
        <w:left w:val="none" w:sz="0" w:space="0" w:color="auto"/>
        <w:bottom w:val="none" w:sz="0" w:space="0" w:color="auto"/>
        <w:right w:val="none" w:sz="0" w:space="0" w:color="auto"/>
      </w:divBdr>
    </w:div>
    <w:div w:id="30543941">
      <w:bodyDiv w:val="1"/>
      <w:marLeft w:val="0"/>
      <w:marRight w:val="0"/>
      <w:marTop w:val="0"/>
      <w:marBottom w:val="0"/>
      <w:divBdr>
        <w:top w:val="none" w:sz="0" w:space="0" w:color="auto"/>
        <w:left w:val="none" w:sz="0" w:space="0" w:color="auto"/>
        <w:bottom w:val="none" w:sz="0" w:space="0" w:color="auto"/>
        <w:right w:val="none" w:sz="0" w:space="0" w:color="auto"/>
      </w:divBdr>
    </w:div>
    <w:div w:id="60711335">
      <w:bodyDiv w:val="1"/>
      <w:marLeft w:val="0"/>
      <w:marRight w:val="0"/>
      <w:marTop w:val="0"/>
      <w:marBottom w:val="0"/>
      <w:divBdr>
        <w:top w:val="none" w:sz="0" w:space="0" w:color="auto"/>
        <w:left w:val="none" w:sz="0" w:space="0" w:color="auto"/>
        <w:bottom w:val="none" w:sz="0" w:space="0" w:color="auto"/>
        <w:right w:val="none" w:sz="0" w:space="0" w:color="auto"/>
      </w:divBdr>
    </w:div>
    <w:div w:id="82535264">
      <w:bodyDiv w:val="1"/>
      <w:marLeft w:val="0"/>
      <w:marRight w:val="0"/>
      <w:marTop w:val="0"/>
      <w:marBottom w:val="0"/>
      <w:divBdr>
        <w:top w:val="none" w:sz="0" w:space="0" w:color="auto"/>
        <w:left w:val="none" w:sz="0" w:space="0" w:color="auto"/>
        <w:bottom w:val="none" w:sz="0" w:space="0" w:color="auto"/>
        <w:right w:val="none" w:sz="0" w:space="0" w:color="auto"/>
      </w:divBdr>
    </w:div>
    <w:div w:id="88817126">
      <w:bodyDiv w:val="1"/>
      <w:marLeft w:val="0"/>
      <w:marRight w:val="0"/>
      <w:marTop w:val="0"/>
      <w:marBottom w:val="0"/>
      <w:divBdr>
        <w:top w:val="none" w:sz="0" w:space="0" w:color="auto"/>
        <w:left w:val="none" w:sz="0" w:space="0" w:color="auto"/>
        <w:bottom w:val="none" w:sz="0" w:space="0" w:color="auto"/>
        <w:right w:val="none" w:sz="0" w:space="0" w:color="auto"/>
      </w:divBdr>
    </w:div>
    <w:div w:id="100734219">
      <w:bodyDiv w:val="1"/>
      <w:marLeft w:val="0"/>
      <w:marRight w:val="0"/>
      <w:marTop w:val="0"/>
      <w:marBottom w:val="0"/>
      <w:divBdr>
        <w:top w:val="none" w:sz="0" w:space="0" w:color="auto"/>
        <w:left w:val="none" w:sz="0" w:space="0" w:color="auto"/>
        <w:bottom w:val="none" w:sz="0" w:space="0" w:color="auto"/>
        <w:right w:val="none" w:sz="0" w:space="0" w:color="auto"/>
      </w:divBdr>
    </w:div>
    <w:div w:id="127018654">
      <w:bodyDiv w:val="1"/>
      <w:marLeft w:val="0"/>
      <w:marRight w:val="0"/>
      <w:marTop w:val="0"/>
      <w:marBottom w:val="0"/>
      <w:divBdr>
        <w:top w:val="none" w:sz="0" w:space="0" w:color="auto"/>
        <w:left w:val="none" w:sz="0" w:space="0" w:color="auto"/>
        <w:bottom w:val="none" w:sz="0" w:space="0" w:color="auto"/>
        <w:right w:val="none" w:sz="0" w:space="0" w:color="auto"/>
      </w:divBdr>
    </w:div>
    <w:div w:id="146361949">
      <w:bodyDiv w:val="1"/>
      <w:marLeft w:val="0"/>
      <w:marRight w:val="0"/>
      <w:marTop w:val="0"/>
      <w:marBottom w:val="0"/>
      <w:divBdr>
        <w:top w:val="none" w:sz="0" w:space="0" w:color="auto"/>
        <w:left w:val="none" w:sz="0" w:space="0" w:color="auto"/>
        <w:bottom w:val="none" w:sz="0" w:space="0" w:color="auto"/>
        <w:right w:val="none" w:sz="0" w:space="0" w:color="auto"/>
      </w:divBdr>
    </w:div>
    <w:div w:id="219749313">
      <w:bodyDiv w:val="1"/>
      <w:marLeft w:val="0"/>
      <w:marRight w:val="0"/>
      <w:marTop w:val="0"/>
      <w:marBottom w:val="0"/>
      <w:divBdr>
        <w:top w:val="none" w:sz="0" w:space="0" w:color="auto"/>
        <w:left w:val="none" w:sz="0" w:space="0" w:color="auto"/>
        <w:bottom w:val="none" w:sz="0" w:space="0" w:color="auto"/>
        <w:right w:val="none" w:sz="0" w:space="0" w:color="auto"/>
      </w:divBdr>
    </w:div>
    <w:div w:id="248200340">
      <w:bodyDiv w:val="1"/>
      <w:marLeft w:val="0"/>
      <w:marRight w:val="0"/>
      <w:marTop w:val="0"/>
      <w:marBottom w:val="0"/>
      <w:divBdr>
        <w:top w:val="none" w:sz="0" w:space="0" w:color="auto"/>
        <w:left w:val="none" w:sz="0" w:space="0" w:color="auto"/>
        <w:bottom w:val="none" w:sz="0" w:space="0" w:color="auto"/>
        <w:right w:val="none" w:sz="0" w:space="0" w:color="auto"/>
      </w:divBdr>
    </w:div>
    <w:div w:id="256184175">
      <w:bodyDiv w:val="1"/>
      <w:marLeft w:val="0"/>
      <w:marRight w:val="0"/>
      <w:marTop w:val="0"/>
      <w:marBottom w:val="0"/>
      <w:divBdr>
        <w:top w:val="none" w:sz="0" w:space="0" w:color="auto"/>
        <w:left w:val="none" w:sz="0" w:space="0" w:color="auto"/>
        <w:bottom w:val="none" w:sz="0" w:space="0" w:color="auto"/>
        <w:right w:val="none" w:sz="0" w:space="0" w:color="auto"/>
      </w:divBdr>
    </w:div>
    <w:div w:id="274168492">
      <w:bodyDiv w:val="1"/>
      <w:marLeft w:val="0"/>
      <w:marRight w:val="0"/>
      <w:marTop w:val="0"/>
      <w:marBottom w:val="0"/>
      <w:divBdr>
        <w:top w:val="none" w:sz="0" w:space="0" w:color="auto"/>
        <w:left w:val="none" w:sz="0" w:space="0" w:color="auto"/>
        <w:bottom w:val="none" w:sz="0" w:space="0" w:color="auto"/>
        <w:right w:val="none" w:sz="0" w:space="0" w:color="auto"/>
      </w:divBdr>
    </w:div>
    <w:div w:id="283272970">
      <w:bodyDiv w:val="1"/>
      <w:marLeft w:val="0"/>
      <w:marRight w:val="0"/>
      <w:marTop w:val="0"/>
      <w:marBottom w:val="0"/>
      <w:divBdr>
        <w:top w:val="none" w:sz="0" w:space="0" w:color="auto"/>
        <w:left w:val="none" w:sz="0" w:space="0" w:color="auto"/>
        <w:bottom w:val="none" w:sz="0" w:space="0" w:color="auto"/>
        <w:right w:val="none" w:sz="0" w:space="0" w:color="auto"/>
      </w:divBdr>
    </w:div>
    <w:div w:id="300886813">
      <w:bodyDiv w:val="1"/>
      <w:marLeft w:val="0"/>
      <w:marRight w:val="0"/>
      <w:marTop w:val="0"/>
      <w:marBottom w:val="0"/>
      <w:divBdr>
        <w:top w:val="none" w:sz="0" w:space="0" w:color="auto"/>
        <w:left w:val="none" w:sz="0" w:space="0" w:color="auto"/>
        <w:bottom w:val="none" w:sz="0" w:space="0" w:color="auto"/>
        <w:right w:val="none" w:sz="0" w:space="0" w:color="auto"/>
      </w:divBdr>
    </w:div>
    <w:div w:id="310788621">
      <w:bodyDiv w:val="1"/>
      <w:marLeft w:val="0"/>
      <w:marRight w:val="0"/>
      <w:marTop w:val="0"/>
      <w:marBottom w:val="0"/>
      <w:divBdr>
        <w:top w:val="none" w:sz="0" w:space="0" w:color="auto"/>
        <w:left w:val="none" w:sz="0" w:space="0" w:color="auto"/>
        <w:bottom w:val="none" w:sz="0" w:space="0" w:color="auto"/>
        <w:right w:val="none" w:sz="0" w:space="0" w:color="auto"/>
      </w:divBdr>
    </w:div>
    <w:div w:id="314991378">
      <w:bodyDiv w:val="1"/>
      <w:marLeft w:val="0"/>
      <w:marRight w:val="0"/>
      <w:marTop w:val="0"/>
      <w:marBottom w:val="0"/>
      <w:divBdr>
        <w:top w:val="none" w:sz="0" w:space="0" w:color="auto"/>
        <w:left w:val="none" w:sz="0" w:space="0" w:color="auto"/>
        <w:bottom w:val="none" w:sz="0" w:space="0" w:color="auto"/>
        <w:right w:val="none" w:sz="0" w:space="0" w:color="auto"/>
      </w:divBdr>
    </w:div>
    <w:div w:id="315842134">
      <w:bodyDiv w:val="1"/>
      <w:marLeft w:val="0"/>
      <w:marRight w:val="0"/>
      <w:marTop w:val="0"/>
      <w:marBottom w:val="0"/>
      <w:divBdr>
        <w:top w:val="none" w:sz="0" w:space="0" w:color="auto"/>
        <w:left w:val="none" w:sz="0" w:space="0" w:color="auto"/>
        <w:bottom w:val="none" w:sz="0" w:space="0" w:color="auto"/>
        <w:right w:val="none" w:sz="0" w:space="0" w:color="auto"/>
      </w:divBdr>
    </w:div>
    <w:div w:id="326330372">
      <w:bodyDiv w:val="1"/>
      <w:marLeft w:val="0"/>
      <w:marRight w:val="0"/>
      <w:marTop w:val="0"/>
      <w:marBottom w:val="0"/>
      <w:divBdr>
        <w:top w:val="none" w:sz="0" w:space="0" w:color="auto"/>
        <w:left w:val="none" w:sz="0" w:space="0" w:color="auto"/>
        <w:bottom w:val="none" w:sz="0" w:space="0" w:color="auto"/>
        <w:right w:val="none" w:sz="0" w:space="0" w:color="auto"/>
      </w:divBdr>
    </w:div>
    <w:div w:id="340620846">
      <w:bodyDiv w:val="1"/>
      <w:marLeft w:val="0"/>
      <w:marRight w:val="0"/>
      <w:marTop w:val="0"/>
      <w:marBottom w:val="0"/>
      <w:divBdr>
        <w:top w:val="none" w:sz="0" w:space="0" w:color="auto"/>
        <w:left w:val="none" w:sz="0" w:space="0" w:color="auto"/>
        <w:bottom w:val="none" w:sz="0" w:space="0" w:color="auto"/>
        <w:right w:val="none" w:sz="0" w:space="0" w:color="auto"/>
      </w:divBdr>
    </w:div>
    <w:div w:id="387997311">
      <w:bodyDiv w:val="1"/>
      <w:marLeft w:val="0"/>
      <w:marRight w:val="0"/>
      <w:marTop w:val="0"/>
      <w:marBottom w:val="0"/>
      <w:divBdr>
        <w:top w:val="none" w:sz="0" w:space="0" w:color="auto"/>
        <w:left w:val="none" w:sz="0" w:space="0" w:color="auto"/>
        <w:bottom w:val="none" w:sz="0" w:space="0" w:color="auto"/>
        <w:right w:val="none" w:sz="0" w:space="0" w:color="auto"/>
      </w:divBdr>
    </w:div>
    <w:div w:id="391004890">
      <w:bodyDiv w:val="1"/>
      <w:marLeft w:val="0"/>
      <w:marRight w:val="0"/>
      <w:marTop w:val="0"/>
      <w:marBottom w:val="0"/>
      <w:divBdr>
        <w:top w:val="none" w:sz="0" w:space="0" w:color="auto"/>
        <w:left w:val="none" w:sz="0" w:space="0" w:color="auto"/>
        <w:bottom w:val="none" w:sz="0" w:space="0" w:color="auto"/>
        <w:right w:val="none" w:sz="0" w:space="0" w:color="auto"/>
      </w:divBdr>
    </w:div>
    <w:div w:id="418864901">
      <w:bodyDiv w:val="1"/>
      <w:marLeft w:val="0"/>
      <w:marRight w:val="0"/>
      <w:marTop w:val="0"/>
      <w:marBottom w:val="0"/>
      <w:divBdr>
        <w:top w:val="none" w:sz="0" w:space="0" w:color="auto"/>
        <w:left w:val="none" w:sz="0" w:space="0" w:color="auto"/>
        <w:bottom w:val="none" w:sz="0" w:space="0" w:color="auto"/>
        <w:right w:val="none" w:sz="0" w:space="0" w:color="auto"/>
      </w:divBdr>
    </w:div>
    <w:div w:id="446004394">
      <w:bodyDiv w:val="1"/>
      <w:marLeft w:val="0"/>
      <w:marRight w:val="0"/>
      <w:marTop w:val="0"/>
      <w:marBottom w:val="0"/>
      <w:divBdr>
        <w:top w:val="none" w:sz="0" w:space="0" w:color="auto"/>
        <w:left w:val="none" w:sz="0" w:space="0" w:color="auto"/>
        <w:bottom w:val="none" w:sz="0" w:space="0" w:color="auto"/>
        <w:right w:val="none" w:sz="0" w:space="0" w:color="auto"/>
      </w:divBdr>
    </w:div>
    <w:div w:id="446042314">
      <w:bodyDiv w:val="1"/>
      <w:marLeft w:val="0"/>
      <w:marRight w:val="0"/>
      <w:marTop w:val="0"/>
      <w:marBottom w:val="0"/>
      <w:divBdr>
        <w:top w:val="none" w:sz="0" w:space="0" w:color="auto"/>
        <w:left w:val="none" w:sz="0" w:space="0" w:color="auto"/>
        <w:bottom w:val="none" w:sz="0" w:space="0" w:color="auto"/>
        <w:right w:val="none" w:sz="0" w:space="0" w:color="auto"/>
      </w:divBdr>
    </w:div>
    <w:div w:id="453259616">
      <w:bodyDiv w:val="1"/>
      <w:marLeft w:val="0"/>
      <w:marRight w:val="0"/>
      <w:marTop w:val="0"/>
      <w:marBottom w:val="0"/>
      <w:divBdr>
        <w:top w:val="none" w:sz="0" w:space="0" w:color="auto"/>
        <w:left w:val="none" w:sz="0" w:space="0" w:color="auto"/>
        <w:bottom w:val="none" w:sz="0" w:space="0" w:color="auto"/>
        <w:right w:val="none" w:sz="0" w:space="0" w:color="auto"/>
      </w:divBdr>
    </w:div>
    <w:div w:id="490685099">
      <w:bodyDiv w:val="1"/>
      <w:marLeft w:val="0"/>
      <w:marRight w:val="0"/>
      <w:marTop w:val="0"/>
      <w:marBottom w:val="0"/>
      <w:divBdr>
        <w:top w:val="none" w:sz="0" w:space="0" w:color="auto"/>
        <w:left w:val="none" w:sz="0" w:space="0" w:color="auto"/>
        <w:bottom w:val="none" w:sz="0" w:space="0" w:color="auto"/>
        <w:right w:val="none" w:sz="0" w:space="0" w:color="auto"/>
      </w:divBdr>
    </w:div>
    <w:div w:id="506335059">
      <w:bodyDiv w:val="1"/>
      <w:marLeft w:val="0"/>
      <w:marRight w:val="0"/>
      <w:marTop w:val="0"/>
      <w:marBottom w:val="0"/>
      <w:divBdr>
        <w:top w:val="none" w:sz="0" w:space="0" w:color="auto"/>
        <w:left w:val="none" w:sz="0" w:space="0" w:color="auto"/>
        <w:bottom w:val="none" w:sz="0" w:space="0" w:color="auto"/>
        <w:right w:val="none" w:sz="0" w:space="0" w:color="auto"/>
      </w:divBdr>
    </w:div>
    <w:div w:id="522206620">
      <w:bodyDiv w:val="1"/>
      <w:marLeft w:val="0"/>
      <w:marRight w:val="0"/>
      <w:marTop w:val="0"/>
      <w:marBottom w:val="0"/>
      <w:divBdr>
        <w:top w:val="none" w:sz="0" w:space="0" w:color="auto"/>
        <w:left w:val="none" w:sz="0" w:space="0" w:color="auto"/>
        <w:bottom w:val="none" w:sz="0" w:space="0" w:color="auto"/>
        <w:right w:val="none" w:sz="0" w:space="0" w:color="auto"/>
      </w:divBdr>
    </w:div>
    <w:div w:id="531115818">
      <w:bodyDiv w:val="1"/>
      <w:marLeft w:val="0"/>
      <w:marRight w:val="0"/>
      <w:marTop w:val="0"/>
      <w:marBottom w:val="0"/>
      <w:divBdr>
        <w:top w:val="none" w:sz="0" w:space="0" w:color="auto"/>
        <w:left w:val="none" w:sz="0" w:space="0" w:color="auto"/>
        <w:bottom w:val="none" w:sz="0" w:space="0" w:color="auto"/>
        <w:right w:val="none" w:sz="0" w:space="0" w:color="auto"/>
      </w:divBdr>
    </w:div>
    <w:div w:id="543446553">
      <w:bodyDiv w:val="1"/>
      <w:marLeft w:val="0"/>
      <w:marRight w:val="0"/>
      <w:marTop w:val="0"/>
      <w:marBottom w:val="0"/>
      <w:divBdr>
        <w:top w:val="none" w:sz="0" w:space="0" w:color="auto"/>
        <w:left w:val="none" w:sz="0" w:space="0" w:color="auto"/>
        <w:bottom w:val="none" w:sz="0" w:space="0" w:color="auto"/>
        <w:right w:val="none" w:sz="0" w:space="0" w:color="auto"/>
      </w:divBdr>
    </w:div>
    <w:div w:id="587233708">
      <w:bodyDiv w:val="1"/>
      <w:marLeft w:val="0"/>
      <w:marRight w:val="0"/>
      <w:marTop w:val="0"/>
      <w:marBottom w:val="0"/>
      <w:divBdr>
        <w:top w:val="none" w:sz="0" w:space="0" w:color="auto"/>
        <w:left w:val="none" w:sz="0" w:space="0" w:color="auto"/>
        <w:bottom w:val="none" w:sz="0" w:space="0" w:color="auto"/>
        <w:right w:val="none" w:sz="0" w:space="0" w:color="auto"/>
      </w:divBdr>
    </w:div>
    <w:div w:id="629634967">
      <w:bodyDiv w:val="1"/>
      <w:marLeft w:val="0"/>
      <w:marRight w:val="0"/>
      <w:marTop w:val="0"/>
      <w:marBottom w:val="0"/>
      <w:divBdr>
        <w:top w:val="none" w:sz="0" w:space="0" w:color="auto"/>
        <w:left w:val="none" w:sz="0" w:space="0" w:color="auto"/>
        <w:bottom w:val="none" w:sz="0" w:space="0" w:color="auto"/>
        <w:right w:val="none" w:sz="0" w:space="0" w:color="auto"/>
      </w:divBdr>
    </w:div>
    <w:div w:id="644159306">
      <w:bodyDiv w:val="1"/>
      <w:marLeft w:val="0"/>
      <w:marRight w:val="0"/>
      <w:marTop w:val="0"/>
      <w:marBottom w:val="0"/>
      <w:divBdr>
        <w:top w:val="none" w:sz="0" w:space="0" w:color="auto"/>
        <w:left w:val="none" w:sz="0" w:space="0" w:color="auto"/>
        <w:bottom w:val="none" w:sz="0" w:space="0" w:color="auto"/>
        <w:right w:val="none" w:sz="0" w:space="0" w:color="auto"/>
      </w:divBdr>
    </w:div>
    <w:div w:id="671493627">
      <w:bodyDiv w:val="1"/>
      <w:marLeft w:val="0"/>
      <w:marRight w:val="0"/>
      <w:marTop w:val="0"/>
      <w:marBottom w:val="0"/>
      <w:divBdr>
        <w:top w:val="none" w:sz="0" w:space="0" w:color="auto"/>
        <w:left w:val="none" w:sz="0" w:space="0" w:color="auto"/>
        <w:bottom w:val="none" w:sz="0" w:space="0" w:color="auto"/>
        <w:right w:val="none" w:sz="0" w:space="0" w:color="auto"/>
      </w:divBdr>
    </w:div>
    <w:div w:id="675109712">
      <w:bodyDiv w:val="1"/>
      <w:marLeft w:val="0"/>
      <w:marRight w:val="0"/>
      <w:marTop w:val="0"/>
      <w:marBottom w:val="0"/>
      <w:divBdr>
        <w:top w:val="none" w:sz="0" w:space="0" w:color="auto"/>
        <w:left w:val="none" w:sz="0" w:space="0" w:color="auto"/>
        <w:bottom w:val="none" w:sz="0" w:space="0" w:color="auto"/>
        <w:right w:val="none" w:sz="0" w:space="0" w:color="auto"/>
      </w:divBdr>
    </w:div>
    <w:div w:id="679087218">
      <w:bodyDiv w:val="1"/>
      <w:marLeft w:val="0"/>
      <w:marRight w:val="0"/>
      <w:marTop w:val="0"/>
      <w:marBottom w:val="0"/>
      <w:divBdr>
        <w:top w:val="none" w:sz="0" w:space="0" w:color="auto"/>
        <w:left w:val="none" w:sz="0" w:space="0" w:color="auto"/>
        <w:bottom w:val="none" w:sz="0" w:space="0" w:color="auto"/>
        <w:right w:val="none" w:sz="0" w:space="0" w:color="auto"/>
      </w:divBdr>
    </w:div>
    <w:div w:id="682171733">
      <w:bodyDiv w:val="1"/>
      <w:marLeft w:val="0"/>
      <w:marRight w:val="0"/>
      <w:marTop w:val="0"/>
      <w:marBottom w:val="0"/>
      <w:divBdr>
        <w:top w:val="none" w:sz="0" w:space="0" w:color="auto"/>
        <w:left w:val="none" w:sz="0" w:space="0" w:color="auto"/>
        <w:bottom w:val="none" w:sz="0" w:space="0" w:color="auto"/>
        <w:right w:val="none" w:sz="0" w:space="0" w:color="auto"/>
      </w:divBdr>
    </w:div>
    <w:div w:id="682518674">
      <w:bodyDiv w:val="1"/>
      <w:marLeft w:val="0"/>
      <w:marRight w:val="0"/>
      <w:marTop w:val="0"/>
      <w:marBottom w:val="0"/>
      <w:divBdr>
        <w:top w:val="none" w:sz="0" w:space="0" w:color="auto"/>
        <w:left w:val="none" w:sz="0" w:space="0" w:color="auto"/>
        <w:bottom w:val="none" w:sz="0" w:space="0" w:color="auto"/>
        <w:right w:val="none" w:sz="0" w:space="0" w:color="auto"/>
      </w:divBdr>
    </w:div>
    <w:div w:id="697000497">
      <w:bodyDiv w:val="1"/>
      <w:marLeft w:val="0"/>
      <w:marRight w:val="0"/>
      <w:marTop w:val="0"/>
      <w:marBottom w:val="0"/>
      <w:divBdr>
        <w:top w:val="none" w:sz="0" w:space="0" w:color="auto"/>
        <w:left w:val="none" w:sz="0" w:space="0" w:color="auto"/>
        <w:bottom w:val="none" w:sz="0" w:space="0" w:color="auto"/>
        <w:right w:val="none" w:sz="0" w:space="0" w:color="auto"/>
      </w:divBdr>
    </w:div>
    <w:div w:id="698356553">
      <w:bodyDiv w:val="1"/>
      <w:marLeft w:val="0"/>
      <w:marRight w:val="0"/>
      <w:marTop w:val="0"/>
      <w:marBottom w:val="0"/>
      <w:divBdr>
        <w:top w:val="none" w:sz="0" w:space="0" w:color="auto"/>
        <w:left w:val="none" w:sz="0" w:space="0" w:color="auto"/>
        <w:bottom w:val="none" w:sz="0" w:space="0" w:color="auto"/>
        <w:right w:val="none" w:sz="0" w:space="0" w:color="auto"/>
      </w:divBdr>
    </w:div>
    <w:div w:id="710500951">
      <w:bodyDiv w:val="1"/>
      <w:marLeft w:val="0"/>
      <w:marRight w:val="0"/>
      <w:marTop w:val="0"/>
      <w:marBottom w:val="0"/>
      <w:divBdr>
        <w:top w:val="none" w:sz="0" w:space="0" w:color="auto"/>
        <w:left w:val="none" w:sz="0" w:space="0" w:color="auto"/>
        <w:bottom w:val="none" w:sz="0" w:space="0" w:color="auto"/>
        <w:right w:val="none" w:sz="0" w:space="0" w:color="auto"/>
      </w:divBdr>
    </w:div>
    <w:div w:id="742945761">
      <w:bodyDiv w:val="1"/>
      <w:marLeft w:val="0"/>
      <w:marRight w:val="0"/>
      <w:marTop w:val="0"/>
      <w:marBottom w:val="0"/>
      <w:divBdr>
        <w:top w:val="none" w:sz="0" w:space="0" w:color="auto"/>
        <w:left w:val="none" w:sz="0" w:space="0" w:color="auto"/>
        <w:bottom w:val="none" w:sz="0" w:space="0" w:color="auto"/>
        <w:right w:val="none" w:sz="0" w:space="0" w:color="auto"/>
      </w:divBdr>
    </w:div>
    <w:div w:id="753284088">
      <w:bodyDiv w:val="1"/>
      <w:marLeft w:val="0"/>
      <w:marRight w:val="0"/>
      <w:marTop w:val="0"/>
      <w:marBottom w:val="0"/>
      <w:divBdr>
        <w:top w:val="none" w:sz="0" w:space="0" w:color="auto"/>
        <w:left w:val="none" w:sz="0" w:space="0" w:color="auto"/>
        <w:bottom w:val="none" w:sz="0" w:space="0" w:color="auto"/>
        <w:right w:val="none" w:sz="0" w:space="0" w:color="auto"/>
      </w:divBdr>
    </w:div>
    <w:div w:id="767966479">
      <w:bodyDiv w:val="1"/>
      <w:marLeft w:val="0"/>
      <w:marRight w:val="0"/>
      <w:marTop w:val="0"/>
      <w:marBottom w:val="0"/>
      <w:divBdr>
        <w:top w:val="none" w:sz="0" w:space="0" w:color="auto"/>
        <w:left w:val="none" w:sz="0" w:space="0" w:color="auto"/>
        <w:bottom w:val="none" w:sz="0" w:space="0" w:color="auto"/>
        <w:right w:val="none" w:sz="0" w:space="0" w:color="auto"/>
      </w:divBdr>
    </w:div>
    <w:div w:id="815099890">
      <w:bodyDiv w:val="1"/>
      <w:marLeft w:val="0"/>
      <w:marRight w:val="0"/>
      <w:marTop w:val="0"/>
      <w:marBottom w:val="0"/>
      <w:divBdr>
        <w:top w:val="none" w:sz="0" w:space="0" w:color="auto"/>
        <w:left w:val="none" w:sz="0" w:space="0" w:color="auto"/>
        <w:bottom w:val="none" w:sz="0" w:space="0" w:color="auto"/>
        <w:right w:val="none" w:sz="0" w:space="0" w:color="auto"/>
      </w:divBdr>
    </w:div>
    <w:div w:id="840588518">
      <w:bodyDiv w:val="1"/>
      <w:marLeft w:val="0"/>
      <w:marRight w:val="0"/>
      <w:marTop w:val="0"/>
      <w:marBottom w:val="0"/>
      <w:divBdr>
        <w:top w:val="none" w:sz="0" w:space="0" w:color="auto"/>
        <w:left w:val="none" w:sz="0" w:space="0" w:color="auto"/>
        <w:bottom w:val="none" w:sz="0" w:space="0" w:color="auto"/>
        <w:right w:val="none" w:sz="0" w:space="0" w:color="auto"/>
      </w:divBdr>
    </w:div>
    <w:div w:id="845094289">
      <w:bodyDiv w:val="1"/>
      <w:marLeft w:val="0"/>
      <w:marRight w:val="0"/>
      <w:marTop w:val="0"/>
      <w:marBottom w:val="0"/>
      <w:divBdr>
        <w:top w:val="none" w:sz="0" w:space="0" w:color="auto"/>
        <w:left w:val="none" w:sz="0" w:space="0" w:color="auto"/>
        <w:bottom w:val="none" w:sz="0" w:space="0" w:color="auto"/>
        <w:right w:val="none" w:sz="0" w:space="0" w:color="auto"/>
      </w:divBdr>
    </w:div>
    <w:div w:id="876743931">
      <w:bodyDiv w:val="1"/>
      <w:marLeft w:val="0"/>
      <w:marRight w:val="0"/>
      <w:marTop w:val="0"/>
      <w:marBottom w:val="0"/>
      <w:divBdr>
        <w:top w:val="none" w:sz="0" w:space="0" w:color="auto"/>
        <w:left w:val="none" w:sz="0" w:space="0" w:color="auto"/>
        <w:bottom w:val="none" w:sz="0" w:space="0" w:color="auto"/>
        <w:right w:val="none" w:sz="0" w:space="0" w:color="auto"/>
      </w:divBdr>
    </w:div>
    <w:div w:id="897322513">
      <w:bodyDiv w:val="1"/>
      <w:marLeft w:val="0"/>
      <w:marRight w:val="0"/>
      <w:marTop w:val="0"/>
      <w:marBottom w:val="0"/>
      <w:divBdr>
        <w:top w:val="none" w:sz="0" w:space="0" w:color="auto"/>
        <w:left w:val="none" w:sz="0" w:space="0" w:color="auto"/>
        <w:bottom w:val="none" w:sz="0" w:space="0" w:color="auto"/>
        <w:right w:val="none" w:sz="0" w:space="0" w:color="auto"/>
      </w:divBdr>
    </w:div>
    <w:div w:id="929971280">
      <w:bodyDiv w:val="1"/>
      <w:marLeft w:val="0"/>
      <w:marRight w:val="0"/>
      <w:marTop w:val="0"/>
      <w:marBottom w:val="0"/>
      <w:divBdr>
        <w:top w:val="none" w:sz="0" w:space="0" w:color="auto"/>
        <w:left w:val="none" w:sz="0" w:space="0" w:color="auto"/>
        <w:bottom w:val="none" w:sz="0" w:space="0" w:color="auto"/>
        <w:right w:val="none" w:sz="0" w:space="0" w:color="auto"/>
      </w:divBdr>
    </w:div>
    <w:div w:id="962539678">
      <w:bodyDiv w:val="1"/>
      <w:marLeft w:val="0"/>
      <w:marRight w:val="0"/>
      <w:marTop w:val="0"/>
      <w:marBottom w:val="0"/>
      <w:divBdr>
        <w:top w:val="none" w:sz="0" w:space="0" w:color="auto"/>
        <w:left w:val="none" w:sz="0" w:space="0" w:color="auto"/>
        <w:bottom w:val="none" w:sz="0" w:space="0" w:color="auto"/>
        <w:right w:val="none" w:sz="0" w:space="0" w:color="auto"/>
      </w:divBdr>
    </w:div>
    <w:div w:id="971135273">
      <w:bodyDiv w:val="1"/>
      <w:marLeft w:val="0"/>
      <w:marRight w:val="0"/>
      <w:marTop w:val="0"/>
      <w:marBottom w:val="0"/>
      <w:divBdr>
        <w:top w:val="none" w:sz="0" w:space="0" w:color="auto"/>
        <w:left w:val="none" w:sz="0" w:space="0" w:color="auto"/>
        <w:bottom w:val="none" w:sz="0" w:space="0" w:color="auto"/>
        <w:right w:val="none" w:sz="0" w:space="0" w:color="auto"/>
      </w:divBdr>
    </w:div>
    <w:div w:id="983120263">
      <w:bodyDiv w:val="1"/>
      <w:marLeft w:val="0"/>
      <w:marRight w:val="0"/>
      <w:marTop w:val="0"/>
      <w:marBottom w:val="0"/>
      <w:divBdr>
        <w:top w:val="none" w:sz="0" w:space="0" w:color="auto"/>
        <w:left w:val="none" w:sz="0" w:space="0" w:color="auto"/>
        <w:bottom w:val="none" w:sz="0" w:space="0" w:color="auto"/>
        <w:right w:val="none" w:sz="0" w:space="0" w:color="auto"/>
      </w:divBdr>
    </w:div>
    <w:div w:id="983924011">
      <w:bodyDiv w:val="1"/>
      <w:marLeft w:val="0"/>
      <w:marRight w:val="0"/>
      <w:marTop w:val="0"/>
      <w:marBottom w:val="0"/>
      <w:divBdr>
        <w:top w:val="none" w:sz="0" w:space="0" w:color="auto"/>
        <w:left w:val="none" w:sz="0" w:space="0" w:color="auto"/>
        <w:bottom w:val="none" w:sz="0" w:space="0" w:color="auto"/>
        <w:right w:val="none" w:sz="0" w:space="0" w:color="auto"/>
      </w:divBdr>
    </w:div>
    <w:div w:id="1001084795">
      <w:bodyDiv w:val="1"/>
      <w:marLeft w:val="0"/>
      <w:marRight w:val="0"/>
      <w:marTop w:val="0"/>
      <w:marBottom w:val="0"/>
      <w:divBdr>
        <w:top w:val="none" w:sz="0" w:space="0" w:color="auto"/>
        <w:left w:val="none" w:sz="0" w:space="0" w:color="auto"/>
        <w:bottom w:val="none" w:sz="0" w:space="0" w:color="auto"/>
        <w:right w:val="none" w:sz="0" w:space="0" w:color="auto"/>
      </w:divBdr>
    </w:div>
    <w:div w:id="1027146149">
      <w:bodyDiv w:val="1"/>
      <w:marLeft w:val="0"/>
      <w:marRight w:val="0"/>
      <w:marTop w:val="0"/>
      <w:marBottom w:val="0"/>
      <w:divBdr>
        <w:top w:val="none" w:sz="0" w:space="0" w:color="auto"/>
        <w:left w:val="none" w:sz="0" w:space="0" w:color="auto"/>
        <w:bottom w:val="none" w:sz="0" w:space="0" w:color="auto"/>
        <w:right w:val="none" w:sz="0" w:space="0" w:color="auto"/>
      </w:divBdr>
    </w:div>
    <w:div w:id="1030758711">
      <w:bodyDiv w:val="1"/>
      <w:marLeft w:val="0"/>
      <w:marRight w:val="0"/>
      <w:marTop w:val="0"/>
      <w:marBottom w:val="0"/>
      <w:divBdr>
        <w:top w:val="none" w:sz="0" w:space="0" w:color="auto"/>
        <w:left w:val="none" w:sz="0" w:space="0" w:color="auto"/>
        <w:bottom w:val="none" w:sz="0" w:space="0" w:color="auto"/>
        <w:right w:val="none" w:sz="0" w:space="0" w:color="auto"/>
      </w:divBdr>
    </w:div>
    <w:div w:id="1037782650">
      <w:bodyDiv w:val="1"/>
      <w:marLeft w:val="0"/>
      <w:marRight w:val="0"/>
      <w:marTop w:val="0"/>
      <w:marBottom w:val="0"/>
      <w:divBdr>
        <w:top w:val="none" w:sz="0" w:space="0" w:color="auto"/>
        <w:left w:val="none" w:sz="0" w:space="0" w:color="auto"/>
        <w:bottom w:val="none" w:sz="0" w:space="0" w:color="auto"/>
        <w:right w:val="none" w:sz="0" w:space="0" w:color="auto"/>
      </w:divBdr>
    </w:div>
    <w:div w:id="1075787770">
      <w:bodyDiv w:val="1"/>
      <w:marLeft w:val="0"/>
      <w:marRight w:val="0"/>
      <w:marTop w:val="0"/>
      <w:marBottom w:val="0"/>
      <w:divBdr>
        <w:top w:val="none" w:sz="0" w:space="0" w:color="auto"/>
        <w:left w:val="none" w:sz="0" w:space="0" w:color="auto"/>
        <w:bottom w:val="none" w:sz="0" w:space="0" w:color="auto"/>
        <w:right w:val="none" w:sz="0" w:space="0" w:color="auto"/>
      </w:divBdr>
    </w:div>
    <w:div w:id="1101222890">
      <w:bodyDiv w:val="1"/>
      <w:marLeft w:val="0"/>
      <w:marRight w:val="0"/>
      <w:marTop w:val="0"/>
      <w:marBottom w:val="0"/>
      <w:divBdr>
        <w:top w:val="none" w:sz="0" w:space="0" w:color="auto"/>
        <w:left w:val="none" w:sz="0" w:space="0" w:color="auto"/>
        <w:bottom w:val="none" w:sz="0" w:space="0" w:color="auto"/>
        <w:right w:val="none" w:sz="0" w:space="0" w:color="auto"/>
      </w:divBdr>
    </w:div>
    <w:div w:id="1105033807">
      <w:bodyDiv w:val="1"/>
      <w:marLeft w:val="0"/>
      <w:marRight w:val="0"/>
      <w:marTop w:val="0"/>
      <w:marBottom w:val="0"/>
      <w:divBdr>
        <w:top w:val="none" w:sz="0" w:space="0" w:color="auto"/>
        <w:left w:val="none" w:sz="0" w:space="0" w:color="auto"/>
        <w:bottom w:val="none" w:sz="0" w:space="0" w:color="auto"/>
        <w:right w:val="none" w:sz="0" w:space="0" w:color="auto"/>
      </w:divBdr>
    </w:div>
    <w:div w:id="1107848673">
      <w:bodyDiv w:val="1"/>
      <w:marLeft w:val="0"/>
      <w:marRight w:val="0"/>
      <w:marTop w:val="0"/>
      <w:marBottom w:val="0"/>
      <w:divBdr>
        <w:top w:val="none" w:sz="0" w:space="0" w:color="auto"/>
        <w:left w:val="none" w:sz="0" w:space="0" w:color="auto"/>
        <w:bottom w:val="none" w:sz="0" w:space="0" w:color="auto"/>
        <w:right w:val="none" w:sz="0" w:space="0" w:color="auto"/>
      </w:divBdr>
    </w:div>
    <w:div w:id="1123690090">
      <w:bodyDiv w:val="1"/>
      <w:marLeft w:val="0"/>
      <w:marRight w:val="0"/>
      <w:marTop w:val="0"/>
      <w:marBottom w:val="0"/>
      <w:divBdr>
        <w:top w:val="none" w:sz="0" w:space="0" w:color="auto"/>
        <w:left w:val="none" w:sz="0" w:space="0" w:color="auto"/>
        <w:bottom w:val="none" w:sz="0" w:space="0" w:color="auto"/>
        <w:right w:val="none" w:sz="0" w:space="0" w:color="auto"/>
      </w:divBdr>
    </w:div>
    <w:div w:id="1127821390">
      <w:bodyDiv w:val="1"/>
      <w:marLeft w:val="0"/>
      <w:marRight w:val="0"/>
      <w:marTop w:val="0"/>
      <w:marBottom w:val="0"/>
      <w:divBdr>
        <w:top w:val="none" w:sz="0" w:space="0" w:color="auto"/>
        <w:left w:val="none" w:sz="0" w:space="0" w:color="auto"/>
        <w:bottom w:val="none" w:sz="0" w:space="0" w:color="auto"/>
        <w:right w:val="none" w:sz="0" w:space="0" w:color="auto"/>
      </w:divBdr>
    </w:div>
    <w:div w:id="1131902339">
      <w:bodyDiv w:val="1"/>
      <w:marLeft w:val="0"/>
      <w:marRight w:val="0"/>
      <w:marTop w:val="0"/>
      <w:marBottom w:val="0"/>
      <w:divBdr>
        <w:top w:val="none" w:sz="0" w:space="0" w:color="auto"/>
        <w:left w:val="none" w:sz="0" w:space="0" w:color="auto"/>
        <w:bottom w:val="none" w:sz="0" w:space="0" w:color="auto"/>
        <w:right w:val="none" w:sz="0" w:space="0" w:color="auto"/>
      </w:divBdr>
    </w:div>
    <w:div w:id="1132864241">
      <w:bodyDiv w:val="1"/>
      <w:marLeft w:val="0"/>
      <w:marRight w:val="0"/>
      <w:marTop w:val="0"/>
      <w:marBottom w:val="0"/>
      <w:divBdr>
        <w:top w:val="none" w:sz="0" w:space="0" w:color="auto"/>
        <w:left w:val="none" w:sz="0" w:space="0" w:color="auto"/>
        <w:bottom w:val="none" w:sz="0" w:space="0" w:color="auto"/>
        <w:right w:val="none" w:sz="0" w:space="0" w:color="auto"/>
      </w:divBdr>
    </w:div>
    <w:div w:id="1153446285">
      <w:bodyDiv w:val="1"/>
      <w:marLeft w:val="0"/>
      <w:marRight w:val="0"/>
      <w:marTop w:val="0"/>
      <w:marBottom w:val="0"/>
      <w:divBdr>
        <w:top w:val="none" w:sz="0" w:space="0" w:color="auto"/>
        <w:left w:val="none" w:sz="0" w:space="0" w:color="auto"/>
        <w:bottom w:val="none" w:sz="0" w:space="0" w:color="auto"/>
        <w:right w:val="none" w:sz="0" w:space="0" w:color="auto"/>
      </w:divBdr>
    </w:div>
    <w:div w:id="1155880794">
      <w:bodyDiv w:val="1"/>
      <w:marLeft w:val="0"/>
      <w:marRight w:val="0"/>
      <w:marTop w:val="0"/>
      <w:marBottom w:val="0"/>
      <w:divBdr>
        <w:top w:val="none" w:sz="0" w:space="0" w:color="auto"/>
        <w:left w:val="none" w:sz="0" w:space="0" w:color="auto"/>
        <w:bottom w:val="none" w:sz="0" w:space="0" w:color="auto"/>
        <w:right w:val="none" w:sz="0" w:space="0" w:color="auto"/>
      </w:divBdr>
    </w:div>
    <w:div w:id="1171263282">
      <w:bodyDiv w:val="1"/>
      <w:marLeft w:val="0"/>
      <w:marRight w:val="0"/>
      <w:marTop w:val="0"/>
      <w:marBottom w:val="0"/>
      <w:divBdr>
        <w:top w:val="none" w:sz="0" w:space="0" w:color="auto"/>
        <w:left w:val="none" w:sz="0" w:space="0" w:color="auto"/>
        <w:bottom w:val="none" w:sz="0" w:space="0" w:color="auto"/>
        <w:right w:val="none" w:sz="0" w:space="0" w:color="auto"/>
      </w:divBdr>
    </w:div>
    <w:div w:id="1185053841">
      <w:bodyDiv w:val="1"/>
      <w:marLeft w:val="0"/>
      <w:marRight w:val="0"/>
      <w:marTop w:val="0"/>
      <w:marBottom w:val="0"/>
      <w:divBdr>
        <w:top w:val="none" w:sz="0" w:space="0" w:color="auto"/>
        <w:left w:val="none" w:sz="0" w:space="0" w:color="auto"/>
        <w:bottom w:val="none" w:sz="0" w:space="0" w:color="auto"/>
        <w:right w:val="none" w:sz="0" w:space="0" w:color="auto"/>
      </w:divBdr>
    </w:div>
    <w:div w:id="1223516602">
      <w:bodyDiv w:val="1"/>
      <w:marLeft w:val="0"/>
      <w:marRight w:val="0"/>
      <w:marTop w:val="0"/>
      <w:marBottom w:val="0"/>
      <w:divBdr>
        <w:top w:val="none" w:sz="0" w:space="0" w:color="auto"/>
        <w:left w:val="none" w:sz="0" w:space="0" w:color="auto"/>
        <w:bottom w:val="none" w:sz="0" w:space="0" w:color="auto"/>
        <w:right w:val="none" w:sz="0" w:space="0" w:color="auto"/>
      </w:divBdr>
    </w:div>
    <w:div w:id="1225531361">
      <w:bodyDiv w:val="1"/>
      <w:marLeft w:val="0"/>
      <w:marRight w:val="0"/>
      <w:marTop w:val="0"/>
      <w:marBottom w:val="0"/>
      <w:divBdr>
        <w:top w:val="none" w:sz="0" w:space="0" w:color="auto"/>
        <w:left w:val="none" w:sz="0" w:space="0" w:color="auto"/>
        <w:bottom w:val="none" w:sz="0" w:space="0" w:color="auto"/>
        <w:right w:val="none" w:sz="0" w:space="0" w:color="auto"/>
      </w:divBdr>
    </w:div>
    <w:div w:id="1236815921">
      <w:bodyDiv w:val="1"/>
      <w:marLeft w:val="0"/>
      <w:marRight w:val="0"/>
      <w:marTop w:val="0"/>
      <w:marBottom w:val="0"/>
      <w:divBdr>
        <w:top w:val="none" w:sz="0" w:space="0" w:color="auto"/>
        <w:left w:val="none" w:sz="0" w:space="0" w:color="auto"/>
        <w:bottom w:val="none" w:sz="0" w:space="0" w:color="auto"/>
        <w:right w:val="none" w:sz="0" w:space="0" w:color="auto"/>
      </w:divBdr>
    </w:div>
    <w:div w:id="1258096695">
      <w:bodyDiv w:val="1"/>
      <w:marLeft w:val="0"/>
      <w:marRight w:val="0"/>
      <w:marTop w:val="0"/>
      <w:marBottom w:val="0"/>
      <w:divBdr>
        <w:top w:val="none" w:sz="0" w:space="0" w:color="auto"/>
        <w:left w:val="none" w:sz="0" w:space="0" w:color="auto"/>
        <w:bottom w:val="none" w:sz="0" w:space="0" w:color="auto"/>
        <w:right w:val="none" w:sz="0" w:space="0" w:color="auto"/>
      </w:divBdr>
    </w:div>
    <w:div w:id="1279406613">
      <w:bodyDiv w:val="1"/>
      <w:marLeft w:val="0"/>
      <w:marRight w:val="0"/>
      <w:marTop w:val="0"/>
      <w:marBottom w:val="0"/>
      <w:divBdr>
        <w:top w:val="none" w:sz="0" w:space="0" w:color="auto"/>
        <w:left w:val="none" w:sz="0" w:space="0" w:color="auto"/>
        <w:bottom w:val="none" w:sz="0" w:space="0" w:color="auto"/>
        <w:right w:val="none" w:sz="0" w:space="0" w:color="auto"/>
      </w:divBdr>
    </w:div>
    <w:div w:id="1296714149">
      <w:bodyDiv w:val="1"/>
      <w:marLeft w:val="0"/>
      <w:marRight w:val="0"/>
      <w:marTop w:val="0"/>
      <w:marBottom w:val="0"/>
      <w:divBdr>
        <w:top w:val="none" w:sz="0" w:space="0" w:color="auto"/>
        <w:left w:val="none" w:sz="0" w:space="0" w:color="auto"/>
        <w:bottom w:val="none" w:sz="0" w:space="0" w:color="auto"/>
        <w:right w:val="none" w:sz="0" w:space="0" w:color="auto"/>
      </w:divBdr>
    </w:div>
    <w:div w:id="1320160316">
      <w:bodyDiv w:val="1"/>
      <w:marLeft w:val="0"/>
      <w:marRight w:val="0"/>
      <w:marTop w:val="0"/>
      <w:marBottom w:val="0"/>
      <w:divBdr>
        <w:top w:val="none" w:sz="0" w:space="0" w:color="auto"/>
        <w:left w:val="none" w:sz="0" w:space="0" w:color="auto"/>
        <w:bottom w:val="none" w:sz="0" w:space="0" w:color="auto"/>
        <w:right w:val="none" w:sz="0" w:space="0" w:color="auto"/>
      </w:divBdr>
    </w:div>
    <w:div w:id="1381707409">
      <w:bodyDiv w:val="1"/>
      <w:marLeft w:val="0"/>
      <w:marRight w:val="0"/>
      <w:marTop w:val="0"/>
      <w:marBottom w:val="0"/>
      <w:divBdr>
        <w:top w:val="none" w:sz="0" w:space="0" w:color="auto"/>
        <w:left w:val="none" w:sz="0" w:space="0" w:color="auto"/>
        <w:bottom w:val="none" w:sz="0" w:space="0" w:color="auto"/>
        <w:right w:val="none" w:sz="0" w:space="0" w:color="auto"/>
      </w:divBdr>
    </w:div>
    <w:div w:id="1401517820">
      <w:bodyDiv w:val="1"/>
      <w:marLeft w:val="0"/>
      <w:marRight w:val="0"/>
      <w:marTop w:val="0"/>
      <w:marBottom w:val="0"/>
      <w:divBdr>
        <w:top w:val="none" w:sz="0" w:space="0" w:color="auto"/>
        <w:left w:val="none" w:sz="0" w:space="0" w:color="auto"/>
        <w:bottom w:val="none" w:sz="0" w:space="0" w:color="auto"/>
        <w:right w:val="none" w:sz="0" w:space="0" w:color="auto"/>
      </w:divBdr>
    </w:div>
    <w:div w:id="1434086872">
      <w:bodyDiv w:val="1"/>
      <w:marLeft w:val="0"/>
      <w:marRight w:val="0"/>
      <w:marTop w:val="0"/>
      <w:marBottom w:val="0"/>
      <w:divBdr>
        <w:top w:val="none" w:sz="0" w:space="0" w:color="auto"/>
        <w:left w:val="none" w:sz="0" w:space="0" w:color="auto"/>
        <w:bottom w:val="none" w:sz="0" w:space="0" w:color="auto"/>
        <w:right w:val="none" w:sz="0" w:space="0" w:color="auto"/>
      </w:divBdr>
    </w:div>
    <w:div w:id="1442608445">
      <w:bodyDiv w:val="1"/>
      <w:marLeft w:val="0"/>
      <w:marRight w:val="0"/>
      <w:marTop w:val="0"/>
      <w:marBottom w:val="0"/>
      <w:divBdr>
        <w:top w:val="none" w:sz="0" w:space="0" w:color="auto"/>
        <w:left w:val="none" w:sz="0" w:space="0" w:color="auto"/>
        <w:bottom w:val="none" w:sz="0" w:space="0" w:color="auto"/>
        <w:right w:val="none" w:sz="0" w:space="0" w:color="auto"/>
      </w:divBdr>
    </w:div>
    <w:div w:id="1458254180">
      <w:bodyDiv w:val="1"/>
      <w:marLeft w:val="0"/>
      <w:marRight w:val="0"/>
      <w:marTop w:val="0"/>
      <w:marBottom w:val="0"/>
      <w:divBdr>
        <w:top w:val="none" w:sz="0" w:space="0" w:color="auto"/>
        <w:left w:val="none" w:sz="0" w:space="0" w:color="auto"/>
        <w:bottom w:val="none" w:sz="0" w:space="0" w:color="auto"/>
        <w:right w:val="none" w:sz="0" w:space="0" w:color="auto"/>
      </w:divBdr>
    </w:div>
    <w:div w:id="1509055880">
      <w:bodyDiv w:val="1"/>
      <w:marLeft w:val="0"/>
      <w:marRight w:val="0"/>
      <w:marTop w:val="0"/>
      <w:marBottom w:val="0"/>
      <w:divBdr>
        <w:top w:val="none" w:sz="0" w:space="0" w:color="auto"/>
        <w:left w:val="none" w:sz="0" w:space="0" w:color="auto"/>
        <w:bottom w:val="none" w:sz="0" w:space="0" w:color="auto"/>
        <w:right w:val="none" w:sz="0" w:space="0" w:color="auto"/>
      </w:divBdr>
    </w:div>
    <w:div w:id="1554776092">
      <w:bodyDiv w:val="1"/>
      <w:marLeft w:val="0"/>
      <w:marRight w:val="0"/>
      <w:marTop w:val="0"/>
      <w:marBottom w:val="0"/>
      <w:divBdr>
        <w:top w:val="none" w:sz="0" w:space="0" w:color="auto"/>
        <w:left w:val="none" w:sz="0" w:space="0" w:color="auto"/>
        <w:bottom w:val="none" w:sz="0" w:space="0" w:color="auto"/>
        <w:right w:val="none" w:sz="0" w:space="0" w:color="auto"/>
      </w:divBdr>
    </w:div>
    <w:div w:id="1571887699">
      <w:bodyDiv w:val="1"/>
      <w:marLeft w:val="0"/>
      <w:marRight w:val="0"/>
      <w:marTop w:val="0"/>
      <w:marBottom w:val="0"/>
      <w:divBdr>
        <w:top w:val="none" w:sz="0" w:space="0" w:color="auto"/>
        <w:left w:val="none" w:sz="0" w:space="0" w:color="auto"/>
        <w:bottom w:val="none" w:sz="0" w:space="0" w:color="auto"/>
        <w:right w:val="none" w:sz="0" w:space="0" w:color="auto"/>
      </w:divBdr>
    </w:div>
    <w:div w:id="1575511891">
      <w:bodyDiv w:val="1"/>
      <w:marLeft w:val="0"/>
      <w:marRight w:val="0"/>
      <w:marTop w:val="0"/>
      <w:marBottom w:val="0"/>
      <w:divBdr>
        <w:top w:val="none" w:sz="0" w:space="0" w:color="auto"/>
        <w:left w:val="none" w:sz="0" w:space="0" w:color="auto"/>
        <w:bottom w:val="none" w:sz="0" w:space="0" w:color="auto"/>
        <w:right w:val="none" w:sz="0" w:space="0" w:color="auto"/>
      </w:divBdr>
    </w:div>
    <w:div w:id="1577200739">
      <w:bodyDiv w:val="1"/>
      <w:marLeft w:val="0"/>
      <w:marRight w:val="0"/>
      <w:marTop w:val="0"/>
      <w:marBottom w:val="0"/>
      <w:divBdr>
        <w:top w:val="none" w:sz="0" w:space="0" w:color="auto"/>
        <w:left w:val="none" w:sz="0" w:space="0" w:color="auto"/>
        <w:bottom w:val="none" w:sz="0" w:space="0" w:color="auto"/>
        <w:right w:val="none" w:sz="0" w:space="0" w:color="auto"/>
      </w:divBdr>
    </w:div>
    <w:div w:id="1583292870">
      <w:bodyDiv w:val="1"/>
      <w:marLeft w:val="0"/>
      <w:marRight w:val="0"/>
      <w:marTop w:val="0"/>
      <w:marBottom w:val="0"/>
      <w:divBdr>
        <w:top w:val="none" w:sz="0" w:space="0" w:color="auto"/>
        <w:left w:val="none" w:sz="0" w:space="0" w:color="auto"/>
        <w:bottom w:val="none" w:sz="0" w:space="0" w:color="auto"/>
        <w:right w:val="none" w:sz="0" w:space="0" w:color="auto"/>
      </w:divBdr>
    </w:div>
    <w:div w:id="1593397649">
      <w:bodyDiv w:val="1"/>
      <w:marLeft w:val="0"/>
      <w:marRight w:val="0"/>
      <w:marTop w:val="0"/>
      <w:marBottom w:val="0"/>
      <w:divBdr>
        <w:top w:val="none" w:sz="0" w:space="0" w:color="auto"/>
        <w:left w:val="none" w:sz="0" w:space="0" w:color="auto"/>
        <w:bottom w:val="none" w:sz="0" w:space="0" w:color="auto"/>
        <w:right w:val="none" w:sz="0" w:space="0" w:color="auto"/>
      </w:divBdr>
    </w:div>
    <w:div w:id="1615138947">
      <w:bodyDiv w:val="1"/>
      <w:marLeft w:val="0"/>
      <w:marRight w:val="0"/>
      <w:marTop w:val="0"/>
      <w:marBottom w:val="0"/>
      <w:divBdr>
        <w:top w:val="none" w:sz="0" w:space="0" w:color="auto"/>
        <w:left w:val="none" w:sz="0" w:space="0" w:color="auto"/>
        <w:bottom w:val="none" w:sz="0" w:space="0" w:color="auto"/>
        <w:right w:val="none" w:sz="0" w:space="0" w:color="auto"/>
      </w:divBdr>
    </w:div>
    <w:div w:id="1620650435">
      <w:bodyDiv w:val="1"/>
      <w:marLeft w:val="0"/>
      <w:marRight w:val="0"/>
      <w:marTop w:val="0"/>
      <w:marBottom w:val="0"/>
      <w:divBdr>
        <w:top w:val="none" w:sz="0" w:space="0" w:color="auto"/>
        <w:left w:val="none" w:sz="0" w:space="0" w:color="auto"/>
        <w:bottom w:val="none" w:sz="0" w:space="0" w:color="auto"/>
        <w:right w:val="none" w:sz="0" w:space="0" w:color="auto"/>
      </w:divBdr>
    </w:div>
    <w:div w:id="1629898123">
      <w:bodyDiv w:val="1"/>
      <w:marLeft w:val="0"/>
      <w:marRight w:val="0"/>
      <w:marTop w:val="0"/>
      <w:marBottom w:val="0"/>
      <w:divBdr>
        <w:top w:val="none" w:sz="0" w:space="0" w:color="auto"/>
        <w:left w:val="none" w:sz="0" w:space="0" w:color="auto"/>
        <w:bottom w:val="none" w:sz="0" w:space="0" w:color="auto"/>
        <w:right w:val="none" w:sz="0" w:space="0" w:color="auto"/>
      </w:divBdr>
    </w:div>
    <w:div w:id="1630011631">
      <w:bodyDiv w:val="1"/>
      <w:marLeft w:val="0"/>
      <w:marRight w:val="0"/>
      <w:marTop w:val="0"/>
      <w:marBottom w:val="0"/>
      <w:divBdr>
        <w:top w:val="none" w:sz="0" w:space="0" w:color="auto"/>
        <w:left w:val="none" w:sz="0" w:space="0" w:color="auto"/>
        <w:bottom w:val="none" w:sz="0" w:space="0" w:color="auto"/>
        <w:right w:val="none" w:sz="0" w:space="0" w:color="auto"/>
      </w:divBdr>
    </w:div>
    <w:div w:id="1654406951">
      <w:bodyDiv w:val="1"/>
      <w:marLeft w:val="0"/>
      <w:marRight w:val="0"/>
      <w:marTop w:val="0"/>
      <w:marBottom w:val="0"/>
      <w:divBdr>
        <w:top w:val="none" w:sz="0" w:space="0" w:color="auto"/>
        <w:left w:val="none" w:sz="0" w:space="0" w:color="auto"/>
        <w:bottom w:val="none" w:sz="0" w:space="0" w:color="auto"/>
        <w:right w:val="none" w:sz="0" w:space="0" w:color="auto"/>
      </w:divBdr>
    </w:div>
    <w:div w:id="1661736571">
      <w:bodyDiv w:val="1"/>
      <w:marLeft w:val="0"/>
      <w:marRight w:val="0"/>
      <w:marTop w:val="0"/>
      <w:marBottom w:val="0"/>
      <w:divBdr>
        <w:top w:val="none" w:sz="0" w:space="0" w:color="auto"/>
        <w:left w:val="none" w:sz="0" w:space="0" w:color="auto"/>
        <w:bottom w:val="none" w:sz="0" w:space="0" w:color="auto"/>
        <w:right w:val="none" w:sz="0" w:space="0" w:color="auto"/>
      </w:divBdr>
    </w:div>
    <w:div w:id="1676151716">
      <w:bodyDiv w:val="1"/>
      <w:marLeft w:val="0"/>
      <w:marRight w:val="0"/>
      <w:marTop w:val="0"/>
      <w:marBottom w:val="0"/>
      <w:divBdr>
        <w:top w:val="none" w:sz="0" w:space="0" w:color="auto"/>
        <w:left w:val="none" w:sz="0" w:space="0" w:color="auto"/>
        <w:bottom w:val="none" w:sz="0" w:space="0" w:color="auto"/>
        <w:right w:val="none" w:sz="0" w:space="0" w:color="auto"/>
      </w:divBdr>
    </w:div>
    <w:div w:id="1721975846">
      <w:bodyDiv w:val="1"/>
      <w:marLeft w:val="0"/>
      <w:marRight w:val="0"/>
      <w:marTop w:val="0"/>
      <w:marBottom w:val="0"/>
      <w:divBdr>
        <w:top w:val="none" w:sz="0" w:space="0" w:color="auto"/>
        <w:left w:val="none" w:sz="0" w:space="0" w:color="auto"/>
        <w:bottom w:val="none" w:sz="0" w:space="0" w:color="auto"/>
        <w:right w:val="none" w:sz="0" w:space="0" w:color="auto"/>
      </w:divBdr>
    </w:div>
    <w:div w:id="1750805336">
      <w:bodyDiv w:val="1"/>
      <w:marLeft w:val="0"/>
      <w:marRight w:val="0"/>
      <w:marTop w:val="0"/>
      <w:marBottom w:val="0"/>
      <w:divBdr>
        <w:top w:val="none" w:sz="0" w:space="0" w:color="auto"/>
        <w:left w:val="none" w:sz="0" w:space="0" w:color="auto"/>
        <w:bottom w:val="none" w:sz="0" w:space="0" w:color="auto"/>
        <w:right w:val="none" w:sz="0" w:space="0" w:color="auto"/>
      </w:divBdr>
      <w:divsChild>
        <w:div w:id="557865873">
          <w:marLeft w:val="0"/>
          <w:marRight w:val="0"/>
          <w:marTop w:val="0"/>
          <w:marBottom w:val="0"/>
          <w:divBdr>
            <w:top w:val="none" w:sz="0" w:space="0" w:color="auto"/>
            <w:left w:val="none" w:sz="0" w:space="0" w:color="auto"/>
            <w:bottom w:val="none" w:sz="0" w:space="0" w:color="auto"/>
            <w:right w:val="none" w:sz="0" w:space="0" w:color="auto"/>
          </w:divBdr>
          <w:divsChild>
            <w:div w:id="7756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6895">
      <w:bodyDiv w:val="1"/>
      <w:marLeft w:val="0"/>
      <w:marRight w:val="0"/>
      <w:marTop w:val="0"/>
      <w:marBottom w:val="0"/>
      <w:divBdr>
        <w:top w:val="none" w:sz="0" w:space="0" w:color="auto"/>
        <w:left w:val="none" w:sz="0" w:space="0" w:color="auto"/>
        <w:bottom w:val="none" w:sz="0" w:space="0" w:color="auto"/>
        <w:right w:val="none" w:sz="0" w:space="0" w:color="auto"/>
      </w:divBdr>
      <w:divsChild>
        <w:div w:id="700864364">
          <w:marLeft w:val="0"/>
          <w:marRight w:val="0"/>
          <w:marTop w:val="0"/>
          <w:marBottom w:val="0"/>
          <w:divBdr>
            <w:top w:val="none" w:sz="0" w:space="0" w:color="auto"/>
            <w:left w:val="none" w:sz="0" w:space="0" w:color="auto"/>
            <w:bottom w:val="none" w:sz="0" w:space="0" w:color="auto"/>
            <w:right w:val="none" w:sz="0" w:space="0" w:color="auto"/>
          </w:divBdr>
          <w:divsChild>
            <w:div w:id="75321184">
              <w:marLeft w:val="0"/>
              <w:marRight w:val="0"/>
              <w:marTop w:val="0"/>
              <w:marBottom w:val="0"/>
              <w:divBdr>
                <w:top w:val="none" w:sz="0" w:space="0" w:color="auto"/>
                <w:left w:val="none" w:sz="0" w:space="0" w:color="auto"/>
                <w:bottom w:val="none" w:sz="0" w:space="0" w:color="auto"/>
                <w:right w:val="none" w:sz="0" w:space="0" w:color="auto"/>
              </w:divBdr>
              <w:divsChild>
                <w:div w:id="1589462141">
                  <w:marLeft w:val="0"/>
                  <w:marRight w:val="0"/>
                  <w:marTop w:val="0"/>
                  <w:marBottom w:val="300"/>
                  <w:divBdr>
                    <w:top w:val="none" w:sz="0" w:space="0" w:color="auto"/>
                    <w:left w:val="none" w:sz="0" w:space="0" w:color="auto"/>
                    <w:bottom w:val="none" w:sz="0" w:space="0" w:color="auto"/>
                    <w:right w:val="none" w:sz="0" w:space="0" w:color="auto"/>
                  </w:divBdr>
                  <w:divsChild>
                    <w:div w:id="7863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35559">
      <w:bodyDiv w:val="1"/>
      <w:marLeft w:val="0"/>
      <w:marRight w:val="0"/>
      <w:marTop w:val="0"/>
      <w:marBottom w:val="0"/>
      <w:divBdr>
        <w:top w:val="none" w:sz="0" w:space="0" w:color="auto"/>
        <w:left w:val="none" w:sz="0" w:space="0" w:color="auto"/>
        <w:bottom w:val="none" w:sz="0" w:space="0" w:color="auto"/>
        <w:right w:val="none" w:sz="0" w:space="0" w:color="auto"/>
      </w:divBdr>
    </w:div>
    <w:div w:id="1770003221">
      <w:bodyDiv w:val="1"/>
      <w:marLeft w:val="0"/>
      <w:marRight w:val="0"/>
      <w:marTop w:val="0"/>
      <w:marBottom w:val="0"/>
      <w:divBdr>
        <w:top w:val="none" w:sz="0" w:space="0" w:color="auto"/>
        <w:left w:val="none" w:sz="0" w:space="0" w:color="auto"/>
        <w:bottom w:val="none" w:sz="0" w:space="0" w:color="auto"/>
        <w:right w:val="none" w:sz="0" w:space="0" w:color="auto"/>
      </w:divBdr>
    </w:div>
    <w:div w:id="1772621712">
      <w:bodyDiv w:val="1"/>
      <w:marLeft w:val="0"/>
      <w:marRight w:val="0"/>
      <w:marTop w:val="0"/>
      <w:marBottom w:val="0"/>
      <w:divBdr>
        <w:top w:val="none" w:sz="0" w:space="0" w:color="auto"/>
        <w:left w:val="none" w:sz="0" w:space="0" w:color="auto"/>
        <w:bottom w:val="none" w:sz="0" w:space="0" w:color="auto"/>
        <w:right w:val="none" w:sz="0" w:space="0" w:color="auto"/>
      </w:divBdr>
    </w:div>
    <w:div w:id="1791782574">
      <w:bodyDiv w:val="1"/>
      <w:marLeft w:val="0"/>
      <w:marRight w:val="0"/>
      <w:marTop w:val="0"/>
      <w:marBottom w:val="0"/>
      <w:divBdr>
        <w:top w:val="none" w:sz="0" w:space="0" w:color="auto"/>
        <w:left w:val="none" w:sz="0" w:space="0" w:color="auto"/>
        <w:bottom w:val="none" w:sz="0" w:space="0" w:color="auto"/>
        <w:right w:val="none" w:sz="0" w:space="0" w:color="auto"/>
      </w:divBdr>
    </w:div>
    <w:div w:id="1803301560">
      <w:bodyDiv w:val="1"/>
      <w:marLeft w:val="0"/>
      <w:marRight w:val="0"/>
      <w:marTop w:val="0"/>
      <w:marBottom w:val="0"/>
      <w:divBdr>
        <w:top w:val="none" w:sz="0" w:space="0" w:color="auto"/>
        <w:left w:val="none" w:sz="0" w:space="0" w:color="auto"/>
        <w:bottom w:val="none" w:sz="0" w:space="0" w:color="auto"/>
        <w:right w:val="none" w:sz="0" w:space="0" w:color="auto"/>
      </w:divBdr>
    </w:div>
    <w:div w:id="1870677011">
      <w:bodyDiv w:val="1"/>
      <w:marLeft w:val="0"/>
      <w:marRight w:val="0"/>
      <w:marTop w:val="0"/>
      <w:marBottom w:val="0"/>
      <w:divBdr>
        <w:top w:val="none" w:sz="0" w:space="0" w:color="auto"/>
        <w:left w:val="none" w:sz="0" w:space="0" w:color="auto"/>
        <w:bottom w:val="none" w:sz="0" w:space="0" w:color="auto"/>
        <w:right w:val="none" w:sz="0" w:space="0" w:color="auto"/>
      </w:divBdr>
    </w:div>
    <w:div w:id="1877236617">
      <w:bodyDiv w:val="1"/>
      <w:marLeft w:val="0"/>
      <w:marRight w:val="0"/>
      <w:marTop w:val="0"/>
      <w:marBottom w:val="0"/>
      <w:divBdr>
        <w:top w:val="none" w:sz="0" w:space="0" w:color="auto"/>
        <w:left w:val="none" w:sz="0" w:space="0" w:color="auto"/>
        <w:bottom w:val="none" w:sz="0" w:space="0" w:color="auto"/>
        <w:right w:val="none" w:sz="0" w:space="0" w:color="auto"/>
      </w:divBdr>
    </w:div>
    <w:div w:id="1879732433">
      <w:bodyDiv w:val="1"/>
      <w:marLeft w:val="0"/>
      <w:marRight w:val="0"/>
      <w:marTop w:val="0"/>
      <w:marBottom w:val="0"/>
      <w:divBdr>
        <w:top w:val="none" w:sz="0" w:space="0" w:color="auto"/>
        <w:left w:val="none" w:sz="0" w:space="0" w:color="auto"/>
        <w:bottom w:val="none" w:sz="0" w:space="0" w:color="auto"/>
        <w:right w:val="none" w:sz="0" w:space="0" w:color="auto"/>
      </w:divBdr>
    </w:div>
    <w:div w:id="1880702920">
      <w:bodyDiv w:val="1"/>
      <w:marLeft w:val="0"/>
      <w:marRight w:val="0"/>
      <w:marTop w:val="0"/>
      <w:marBottom w:val="0"/>
      <w:divBdr>
        <w:top w:val="none" w:sz="0" w:space="0" w:color="auto"/>
        <w:left w:val="none" w:sz="0" w:space="0" w:color="auto"/>
        <w:bottom w:val="none" w:sz="0" w:space="0" w:color="auto"/>
        <w:right w:val="none" w:sz="0" w:space="0" w:color="auto"/>
      </w:divBdr>
    </w:div>
    <w:div w:id="1886136587">
      <w:bodyDiv w:val="1"/>
      <w:marLeft w:val="0"/>
      <w:marRight w:val="0"/>
      <w:marTop w:val="0"/>
      <w:marBottom w:val="0"/>
      <w:divBdr>
        <w:top w:val="none" w:sz="0" w:space="0" w:color="auto"/>
        <w:left w:val="none" w:sz="0" w:space="0" w:color="auto"/>
        <w:bottom w:val="none" w:sz="0" w:space="0" w:color="auto"/>
        <w:right w:val="none" w:sz="0" w:space="0" w:color="auto"/>
      </w:divBdr>
      <w:divsChild>
        <w:div w:id="646669712">
          <w:marLeft w:val="547"/>
          <w:marRight w:val="0"/>
          <w:marTop w:val="0"/>
          <w:marBottom w:val="0"/>
          <w:divBdr>
            <w:top w:val="none" w:sz="0" w:space="0" w:color="auto"/>
            <w:left w:val="none" w:sz="0" w:space="0" w:color="auto"/>
            <w:bottom w:val="none" w:sz="0" w:space="0" w:color="auto"/>
            <w:right w:val="none" w:sz="0" w:space="0" w:color="auto"/>
          </w:divBdr>
        </w:div>
        <w:div w:id="829054688">
          <w:marLeft w:val="547"/>
          <w:marRight w:val="0"/>
          <w:marTop w:val="0"/>
          <w:marBottom w:val="0"/>
          <w:divBdr>
            <w:top w:val="none" w:sz="0" w:space="0" w:color="auto"/>
            <w:left w:val="none" w:sz="0" w:space="0" w:color="auto"/>
            <w:bottom w:val="none" w:sz="0" w:space="0" w:color="auto"/>
            <w:right w:val="none" w:sz="0" w:space="0" w:color="auto"/>
          </w:divBdr>
        </w:div>
        <w:div w:id="1239897844">
          <w:marLeft w:val="547"/>
          <w:marRight w:val="0"/>
          <w:marTop w:val="0"/>
          <w:marBottom w:val="0"/>
          <w:divBdr>
            <w:top w:val="none" w:sz="0" w:space="0" w:color="auto"/>
            <w:left w:val="none" w:sz="0" w:space="0" w:color="auto"/>
            <w:bottom w:val="none" w:sz="0" w:space="0" w:color="auto"/>
            <w:right w:val="none" w:sz="0" w:space="0" w:color="auto"/>
          </w:divBdr>
        </w:div>
      </w:divsChild>
    </w:div>
    <w:div w:id="1904487882">
      <w:bodyDiv w:val="1"/>
      <w:marLeft w:val="0"/>
      <w:marRight w:val="0"/>
      <w:marTop w:val="0"/>
      <w:marBottom w:val="0"/>
      <w:divBdr>
        <w:top w:val="none" w:sz="0" w:space="0" w:color="auto"/>
        <w:left w:val="none" w:sz="0" w:space="0" w:color="auto"/>
        <w:bottom w:val="none" w:sz="0" w:space="0" w:color="auto"/>
        <w:right w:val="none" w:sz="0" w:space="0" w:color="auto"/>
      </w:divBdr>
    </w:div>
    <w:div w:id="1915818021">
      <w:bodyDiv w:val="1"/>
      <w:marLeft w:val="0"/>
      <w:marRight w:val="0"/>
      <w:marTop w:val="0"/>
      <w:marBottom w:val="0"/>
      <w:divBdr>
        <w:top w:val="none" w:sz="0" w:space="0" w:color="auto"/>
        <w:left w:val="none" w:sz="0" w:space="0" w:color="auto"/>
        <w:bottom w:val="none" w:sz="0" w:space="0" w:color="auto"/>
        <w:right w:val="none" w:sz="0" w:space="0" w:color="auto"/>
      </w:divBdr>
    </w:div>
    <w:div w:id="1926262016">
      <w:bodyDiv w:val="1"/>
      <w:marLeft w:val="0"/>
      <w:marRight w:val="0"/>
      <w:marTop w:val="0"/>
      <w:marBottom w:val="0"/>
      <w:divBdr>
        <w:top w:val="none" w:sz="0" w:space="0" w:color="auto"/>
        <w:left w:val="none" w:sz="0" w:space="0" w:color="auto"/>
        <w:bottom w:val="none" w:sz="0" w:space="0" w:color="auto"/>
        <w:right w:val="none" w:sz="0" w:space="0" w:color="auto"/>
      </w:divBdr>
    </w:div>
    <w:div w:id="2008483306">
      <w:bodyDiv w:val="1"/>
      <w:marLeft w:val="0"/>
      <w:marRight w:val="0"/>
      <w:marTop w:val="0"/>
      <w:marBottom w:val="0"/>
      <w:divBdr>
        <w:top w:val="none" w:sz="0" w:space="0" w:color="auto"/>
        <w:left w:val="none" w:sz="0" w:space="0" w:color="auto"/>
        <w:bottom w:val="none" w:sz="0" w:space="0" w:color="auto"/>
        <w:right w:val="none" w:sz="0" w:space="0" w:color="auto"/>
      </w:divBdr>
    </w:div>
    <w:div w:id="2010207492">
      <w:bodyDiv w:val="1"/>
      <w:marLeft w:val="0"/>
      <w:marRight w:val="0"/>
      <w:marTop w:val="0"/>
      <w:marBottom w:val="0"/>
      <w:divBdr>
        <w:top w:val="none" w:sz="0" w:space="0" w:color="auto"/>
        <w:left w:val="none" w:sz="0" w:space="0" w:color="auto"/>
        <w:bottom w:val="none" w:sz="0" w:space="0" w:color="auto"/>
        <w:right w:val="none" w:sz="0" w:space="0" w:color="auto"/>
      </w:divBdr>
    </w:div>
    <w:div w:id="2011635278">
      <w:bodyDiv w:val="1"/>
      <w:marLeft w:val="0"/>
      <w:marRight w:val="0"/>
      <w:marTop w:val="0"/>
      <w:marBottom w:val="0"/>
      <w:divBdr>
        <w:top w:val="none" w:sz="0" w:space="0" w:color="auto"/>
        <w:left w:val="none" w:sz="0" w:space="0" w:color="auto"/>
        <w:bottom w:val="none" w:sz="0" w:space="0" w:color="auto"/>
        <w:right w:val="none" w:sz="0" w:space="0" w:color="auto"/>
      </w:divBdr>
    </w:div>
    <w:div w:id="2023706041">
      <w:bodyDiv w:val="1"/>
      <w:marLeft w:val="0"/>
      <w:marRight w:val="0"/>
      <w:marTop w:val="0"/>
      <w:marBottom w:val="0"/>
      <w:divBdr>
        <w:top w:val="none" w:sz="0" w:space="0" w:color="auto"/>
        <w:left w:val="none" w:sz="0" w:space="0" w:color="auto"/>
        <w:bottom w:val="none" w:sz="0" w:space="0" w:color="auto"/>
        <w:right w:val="none" w:sz="0" w:space="0" w:color="auto"/>
      </w:divBdr>
      <w:divsChild>
        <w:div w:id="332268327">
          <w:marLeft w:val="0"/>
          <w:marRight w:val="0"/>
          <w:marTop w:val="0"/>
          <w:marBottom w:val="0"/>
          <w:divBdr>
            <w:top w:val="none" w:sz="0" w:space="0" w:color="auto"/>
            <w:left w:val="none" w:sz="0" w:space="0" w:color="auto"/>
            <w:bottom w:val="none" w:sz="0" w:space="0" w:color="auto"/>
            <w:right w:val="none" w:sz="0" w:space="0" w:color="auto"/>
          </w:divBdr>
          <w:divsChild>
            <w:div w:id="8447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5882">
      <w:bodyDiv w:val="1"/>
      <w:marLeft w:val="0"/>
      <w:marRight w:val="0"/>
      <w:marTop w:val="0"/>
      <w:marBottom w:val="0"/>
      <w:divBdr>
        <w:top w:val="none" w:sz="0" w:space="0" w:color="auto"/>
        <w:left w:val="none" w:sz="0" w:space="0" w:color="auto"/>
        <w:bottom w:val="none" w:sz="0" w:space="0" w:color="auto"/>
        <w:right w:val="none" w:sz="0" w:space="0" w:color="auto"/>
      </w:divBdr>
    </w:div>
    <w:div w:id="2026201144">
      <w:bodyDiv w:val="1"/>
      <w:marLeft w:val="0"/>
      <w:marRight w:val="0"/>
      <w:marTop w:val="0"/>
      <w:marBottom w:val="0"/>
      <w:divBdr>
        <w:top w:val="none" w:sz="0" w:space="0" w:color="auto"/>
        <w:left w:val="none" w:sz="0" w:space="0" w:color="auto"/>
        <w:bottom w:val="none" w:sz="0" w:space="0" w:color="auto"/>
        <w:right w:val="none" w:sz="0" w:space="0" w:color="auto"/>
      </w:divBdr>
    </w:div>
    <w:div w:id="2034068946">
      <w:bodyDiv w:val="1"/>
      <w:marLeft w:val="0"/>
      <w:marRight w:val="0"/>
      <w:marTop w:val="0"/>
      <w:marBottom w:val="0"/>
      <w:divBdr>
        <w:top w:val="none" w:sz="0" w:space="0" w:color="auto"/>
        <w:left w:val="none" w:sz="0" w:space="0" w:color="auto"/>
        <w:bottom w:val="none" w:sz="0" w:space="0" w:color="auto"/>
        <w:right w:val="none" w:sz="0" w:space="0" w:color="auto"/>
      </w:divBdr>
    </w:div>
    <w:div w:id="2058624414">
      <w:bodyDiv w:val="1"/>
      <w:marLeft w:val="0"/>
      <w:marRight w:val="0"/>
      <w:marTop w:val="0"/>
      <w:marBottom w:val="0"/>
      <w:divBdr>
        <w:top w:val="none" w:sz="0" w:space="0" w:color="auto"/>
        <w:left w:val="none" w:sz="0" w:space="0" w:color="auto"/>
        <w:bottom w:val="none" w:sz="0" w:space="0" w:color="auto"/>
        <w:right w:val="none" w:sz="0" w:space="0" w:color="auto"/>
      </w:divBdr>
    </w:div>
    <w:div w:id="2059815377">
      <w:bodyDiv w:val="1"/>
      <w:marLeft w:val="0"/>
      <w:marRight w:val="0"/>
      <w:marTop w:val="0"/>
      <w:marBottom w:val="0"/>
      <w:divBdr>
        <w:top w:val="none" w:sz="0" w:space="0" w:color="auto"/>
        <w:left w:val="none" w:sz="0" w:space="0" w:color="auto"/>
        <w:bottom w:val="none" w:sz="0" w:space="0" w:color="auto"/>
        <w:right w:val="none" w:sz="0" w:space="0" w:color="auto"/>
      </w:divBdr>
    </w:div>
    <w:div w:id="2077362707">
      <w:bodyDiv w:val="1"/>
      <w:marLeft w:val="0"/>
      <w:marRight w:val="0"/>
      <w:marTop w:val="0"/>
      <w:marBottom w:val="0"/>
      <w:divBdr>
        <w:top w:val="none" w:sz="0" w:space="0" w:color="auto"/>
        <w:left w:val="none" w:sz="0" w:space="0" w:color="auto"/>
        <w:bottom w:val="none" w:sz="0" w:space="0" w:color="auto"/>
        <w:right w:val="none" w:sz="0" w:space="0" w:color="auto"/>
      </w:divBdr>
    </w:div>
    <w:div w:id="2079277795">
      <w:bodyDiv w:val="1"/>
      <w:marLeft w:val="0"/>
      <w:marRight w:val="0"/>
      <w:marTop w:val="0"/>
      <w:marBottom w:val="0"/>
      <w:divBdr>
        <w:top w:val="none" w:sz="0" w:space="0" w:color="auto"/>
        <w:left w:val="none" w:sz="0" w:space="0" w:color="auto"/>
        <w:bottom w:val="none" w:sz="0" w:space="0" w:color="auto"/>
        <w:right w:val="none" w:sz="0" w:space="0" w:color="auto"/>
      </w:divBdr>
    </w:div>
    <w:div w:id="2101634344">
      <w:bodyDiv w:val="1"/>
      <w:marLeft w:val="0"/>
      <w:marRight w:val="0"/>
      <w:marTop w:val="0"/>
      <w:marBottom w:val="0"/>
      <w:divBdr>
        <w:top w:val="none" w:sz="0" w:space="0" w:color="auto"/>
        <w:left w:val="none" w:sz="0" w:space="0" w:color="auto"/>
        <w:bottom w:val="none" w:sz="0" w:space="0" w:color="auto"/>
        <w:right w:val="none" w:sz="0" w:space="0" w:color="auto"/>
      </w:divBdr>
    </w:div>
    <w:div w:id="2103404601">
      <w:bodyDiv w:val="1"/>
      <w:marLeft w:val="0"/>
      <w:marRight w:val="0"/>
      <w:marTop w:val="0"/>
      <w:marBottom w:val="0"/>
      <w:divBdr>
        <w:top w:val="none" w:sz="0" w:space="0" w:color="auto"/>
        <w:left w:val="none" w:sz="0" w:space="0" w:color="auto"/>
        <w:bottom w:val="none" w:sz="0" w:space="0" w:color="auto"/>
        <w:right w:val="none" w:sz="0" w:space="0" w:color="auto"/>
      </w:divBdr>
    </w:div>
    <w:div w:id="2117869220">
      <w:bodyDiv w:val="1"/>
      <w:marLeft w:val="0"/>
      <w:marRight w:val="0"/>
      <w:marTop w:val="0"/>
      <w:marBottom w:val="0"/>
      <w:divBdr>
        <w:top w:val="none" w:sz="0" w:space="0" w:color="auto"/>
        <w:left w:val="none" w:sz="0" w:space="0" w:color="auto"/>
        <w:bottom w:val="none" w:sz="0" w:space="0" w:color="auto"/>
        <w:right w:val="none" w:sz="0" w:space="0" w:color="auto"/>
      </w:divBdr>
    </w:div>
    <w:div w:id="2129160174">
      <w:bodyDiv w:val="1"/>
      <w:marLeft w:val="0"/>
      <w:marRight w:val="0"/>
      <w:marTop w:val="0"/>
      <w:marBottom w:val="0"/>
      <w:divBdr>
        <w:top w:val="none" w:sz="0" w:space="0" w:color="auto"/>
        <w:left w:val="none" w:sz="0" w:space="0" w:color="auto"/>
        <w:bottom w:val="none" w:sz="0" w:space="0" w:color="auto"/>
        <w:right w:val="none" w:sz="0" w:space="0" w:color="auto"/>
      </w:divBdr>
    </w:div>
    <w:div w:id="2141192321">
      <w:bodyDiv w:val="1"/>
      <w:marLeft w:val="0"/>
      <w:marRight w:val="0"/>
      <w:marTop w:val="0"/>
      <w:marBottom w:val="0"/>
      <w:divBdr>
        <w:top w:val="none" w:sz="0" w:space="0" w:color="auto"/>
        <w:left w:val="none" w:sz="0" w:space="0" w:color="auto"/>
        <w:bottom w:val="none" w:sz="0" w:space="0" w:color="auto"/>
        <w:right w:val="none" w:sz="0" w:space="0" w:color="auto"/>
      </w:divBdr>
    </w:div>
    <w:div w:id="214584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image" Target="media/image28.png"/><Relationship Id="rId55" Type="http://schemas.openxmlformats.org/officeDocument/2006/relationships/hyperlink" Target="mailto:socialcaredata@ofsted.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header" Target="header3.xml"/><Relationship Id="rId54"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4.xml"/><Relationship Id="rId53" Type="http://schemas.openxmlformats.org/officeDocument/2006/relationships/image" Target="media/image31.JPG"/><Relationship Id="rId58"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27.png"/><Relationship Id="rId57" Type="http://schemas.openxmlformats.org/officeDocument/2006/relationships/hyperlink" Target="mailto:psi@nationalarchives.gsi.gov.uk"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eader" Target="header5.xml"/><Relationship Id="rId52" Type="http://schemas.openxmlformats.org/officeDocument/2006/relationships/image" Target="media/image30.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hyperlink" Target="http://www.nationalarchives.gov.uk/doc/open-government-licence/" TargetMode="Externa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header" Target="header2.xml"/><Relationship Id="rId46" Type="http://schemas.openxmlformats.org/officeDocument/2006/relationships/footer" Target="footer5.xml"/><Relationship Id="rId59"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hyperlink" Target="mailto:socialcaredata@ofsted.gov.u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socialcaredata@ofsted.gov.uk"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socialcaredata@ofsted.gov.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ov.uk/government/publications/childrens-residential-care-in-england" TargetMode="External"/><Relationship Id="rId2" Type="http://schemas.openxmlformats.org/officeDocument/2006/relationships/hyperlink" Target="file:///\\FP5HQ\RestrictedSocialCare$\SFRs%20and%20published%20MI\Childrens%20Social%20Care%20in%20England\2017\www.gov.uk\government\statistics\children-accommodated-in-secure-childrens-homes-31-march-2017" TargetMode="External"/><Relationship Id="rId1" Type="http://schemas.openxmlformats.org/officeDocument/2006/relationships/hyperlink" Target="http://www.gov.uk/government/publications/childrens-services-in-england-repeat-referrals" TargetMode="External"/><Relationship Id="rId6" Type="http://schemas.openxmlformats.org/officeDocument/2006/relationships/hyperlink" Target="http://www.gov.uk/government/publications/hm-chief-inspector-of-prisons-annual-report-2016-to-2017" TargetMode="External"/><Relationship Id="rId5" Type="http://schemas.openxmlformats.org/officeDocument/2006/relationships/hyperlink" Target="file:///\\FP5HQ\RestrictedSocialCare$\SFRs%20and%20published%20MI\Childrens%20Social%20Care%20in%20England\2017\www.gov.uk\government\collections\maintained-schools-and-academies-inspections-and-outcomes-official-statistics" TargetMode="External"/><Relationship Id="rId4" Type="http://schemas.openxmlformats.org/officeDocument/2006/relationships/hyperlink" Target="file:///\\FP5HQ\RestrictedSocialCare$\SFRs%20and%20published%20MI\Childrens%20Social%20Care%20in%20England\2017\www.gov.uk\government\collections\independent-schools-inspection-and-outcom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5.xml.rels><?xml version="1.0" encoding="UTF-8" standalone="yes"?>
<Relationships xmlns="http://schemas.openxmlformats.org/package/2006/relationships"><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82e30443-e738-45d7-be93-4e56ed5da66c">PLEASE SELECT</Section>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4A3CE4FBE6E640B97C2EF975045949" ma:contentTypeVersion="1" ma:contentTypeDescription="Create a new document." ma:contentTypeScope="" ma:versionID="28b7fd17e8afe378b6fa854b24d5e079">
  <xsd:schema xmlns:xsd="http://www.w3.org/2001/XMLSchema" xmlns:p="http://schemas.microsoft.com/office/2006/metadata/properties" xmlns:ns2="82e30443-e738-45d7-be93-4e56ed5da66c" targetNamespace="http://schemas.microsoft.com/office/2006/metadata/properties" ma:root="true" ma:fieldsID="54c4cf72048c4f0fe38a457cb648c94b" ns2:_="">
    <xsd:import namespace="82e30443-e738-45d7-be93-4e56ed5da66c"/>
    <xsd:element name="properties">
      <xsd:complexType>
        <xsd:sequence>
          <xsd:element name="documentManagement">
            <xsd:complexType>
              <xsd:all>
                <xsd:element ref="ns2:Section" minOccurs="0"/>
              </xsd:all>
            </xsd:complexType>
          </xsd:element>
        </xsd:sequence>
      </xsd:complexType>
    </xsd:element>
  </xsd:schema>
  <xsd:schema xmlns:xsd="http://www.w3.org/2001/XMLSchema" xmlns:dms="http://schemas.microsoft.com/office/2006/documentManagement/types" targetNamespace="82e30443-e738-45d7-be93-4e56ed5da66c" elementFormDefault="qualified">
    <xsd:import namespace="http://schemas.microsoft.com/office/2006/documentManagement/types"/>
    <xsd:element name="Section" ma:index="8" nillable="true" ma:displayName="Section" ma:default="PLEASE SELECT" ma:format="Dropdown" ma:internalName="Section">
      <xsd:simpleType>
        <xsd:restriction base="dms:Choice">
          <xsd:enumeration value="PLEASE SELECT"/>
          <xsd:enumeration value="Desk Instructions and Checklists"/>
          <xsd:enumeration value="Project Templates"/>
          <xsd:enumeration value="Document Control Frontpage"/>
          <xsd:enumeration value="Sign- Off templates"/>
          <xsd:enumeration value="Customer Questionnaires"/>
          <xsd:enumeration value="Error Report"/>
          <xsd:enumeration value="StatisticsAuthority Code of Practice"/>
          <xsd:enumeration value="European Statistical system of Quality"/>
          <xsd:enumeration value="FOI,PQ,Lilac Cover QA Checklist"/>
          <xsd:enumeration value="Annual Report"/>
          <xsd:enumeration value="Briefing Note"/>
          <xsd:enumeration value="Service Level Agreement"/>
          <xsd:enumeration value="Data Sharing request form"/>
          <xsd:enumeration value="Terms of Reference"/>
          <xsd:enumeration value="Defect Log"/>
          <xsd:enumeration value="Official statistics"/>
          <xsd:enumeration value="Engaging with users"/>
          <xsd:enumeration value="Configuration manage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99229-B9EC-4B65-8825-EF4126496AE6}">
  <ds:schemaRefs>
    <ds:schemaRef ds:uri="http://schemas.microsoft.com/office/2006/metadata/properties"/>
    <ds:schemaRef ds:uri="http://schemas.microsoft.com/office/infopath/2007/PartnerControls"/>
    <ds:schemaRef ds:uri="82e30443-e738-45d7-be93-4e56ed5da66c"/>
  </ds:schemaRefs>
</ds:datastoreItem>
</file>

<file path=customXml/itemProps2.xml><?xml version="1.0" encoding="utf-8"?>
<ds:datastoreItem xmlns:ds="http://schemas.openxmlformats.org/officeDocument/2006/customXml" ds:itemID="{09AD6E5F-F098-4143-8D80-1590E9B2014B}">
  <ds:schemaRefs>
    <ds:schemaRef ds:uri="http://schemas.microsoft.com/office/2006/metadata/longProperties"/>
  </ds:schemaRefs>
</ds:datastoreItem>
</file>

<file path=customXml/itemProps3.xml><?xml version="1.0" encoding="utf-8"?>
<ds:datastoreItem xmlns:ds="http://schemas.openxmlformats.org/officeDocument/2006/customXml" ds:itemID="{B530257B-9BFE-4DE9-8564-BC6E3EDA0F12}">
  <ds:schemaRefs>
    <ds:schemaRef ds:uri="http://schemas.microsoft.com/sharepoint/v3/contenttype/forms"/>
  </ds:schemaRefs>
</ds:datastoreItem>
</file>

<file path=customXml/itemProps4.xml><?xml version="1.0" encoding="utf-8"?>
<ds:datastoreItem xmlns:ds="http://schemas.openxmlformats.org/officeDocument/2006/customXml" ds:itemID="{58C52C01-9954-4C30-B23C-9CBCEC116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30443-e738-45d7-be93-4e56ed5da66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EE15F76D-2FCA-42D9-BFD6-0C0663FE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8282</Words>
  <Characters>47276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Official statistics - SFR release template</vt:lpstr>
    </vt:vector>
  </TitlesOfParts>
  <Company>Ofsted</Company>
  <LinksUpToDate>false</LinksUpToDate>
  <CharactersWithSpaces>55448</CharactersWithSpaces>
  <SharedDoc>false</SharedDoc>
  <HLinks>
    <vt:vector size="402" baseType="variant">
      <vt:variant>
        <vt:i4>3670022</vt:i4>
      </vt:variant>
      <vt:variant>
        <vt:i4>357</vt:i4>
      </vt:variant>
      <vt:variant>
        <vt:i4>0</vt:i4>
      </vt:variant>
      <vt:variant>
        <vt:i4>5</vt:i4>
      </vt:variant>
      <vt:variant>
        <vt:lpwstr>mailto:psi@nationalarchives.gsi.gov.uk</vt:lpwstr>
      </vt:variant>
      <vt:variant>
        <vt:lpwstr/>
      </vt:variant>
      <vt:variant>
        <vt:i4>6553714</vt:i4>
      </vt:variant>
      <vt:variant>
        <vt:i4>354</vt:i4>
      </vt:variant>
      <vt:variant>
        <vt:i4>0</vt:i4>
      </vt:variant>
      <vt:variant>
        <vt:i4>5</vt:i4>
      </vt:variant>
      <vt:variant>
        <vt:lpwstr>http://www.nationalarchives.gov.uk/doc/open-government-licence/</vt:lpwstr>
      </vt:variant>
      <vt:variant>
        <vt:lpwstr/>
      </vt:variant>
      <vt:variant>
        <vt:i4>4194354</vt:i4>
      </vt:variant>
      <vt:variant>
        <vt:i4>351</vt:i4>
      </vt:variant>
      <vt:variant>
        <vt:i4>0</vt:i4>
      </vt:variant>
      <vt:variant>
        <vt:i4>5</vt:i4>
      </vt:variant>
      <vt:variant>
        <vt:lpwstr>mailto:socialcaredata@ofsted.gov.uk</vt:lpwstr>
      </vt:variant>
      <vt:variant>
        <vt:lpwstr/>
      </vt:variant>
      <vt:variant>
        <vt:i4>1507381</vt:i4>
      </vt:variant>
      <vt:variant>
        <vt:i4>344</vt:i4>
      </vt:variant>
      <vt:variant>
        <vt:i4>0</vt:i4>
      </vt:variant>
      <vt:variant>
        <vt:i4>5</vt:i4>
      </vt:variant>
      <vt:variant>
        <vt:lpwstr/>
      </vt:variant>
      <vt:variant>
        <vt:lpwstr>_Toc489019913</vt:lpwstr>
      </vt:variant>
      <vt:variant>
        <vt:i4>1507381</vt:i4>
      </vt:variant>
      <vt:variant>
        <vt:i4>338</vt:i4>
      </vt:variant>
      <vt:variant>
        <vt:i4>0</vt:i4>
      </vt:variant>
      <vt:variant>
        <vt:i4>5</vt:i4>
      </vt:variant>
      <vt:variant>
        <vt:lpwstr/>
      </vt:variant>
      <vt:variant>
        <vt:lpwstr>_Toc489019912</vt:lpwstr>
      </vt:variant>
      <vt:variant>
        <vt:i4>1507381</vt:i4>
      </vt:variant>
      <vt:variant>
        <vt:i4>332</vt:i4>
      </vt:variant>
      <vt:variant>
        <vt:i4>0</vt:i4>
      </vt:variant>
      <vt:variant>
        <vt:i4>5</vt:i4>
      </vt:variant>
      <vt:variant>
        <vt:lpwstr/>
      </vt:variant>
      <vt:variant>
        <vt:lpwstr>_Toc489019911</vt:lpwstr>
      </vt:variant>
      <vt:variant>
        <vt:i4>1507381</vt:i4>
      </vt:variant>
      <vt:variant>
        <vt:i4>326</vt:i4>
      </vt:variant>
      <vt:variant>
        <vt:i4>0</vt:i4>
      </vt:variant>
      <vt:variant>
        <vt:i4>5</vt:i4>
      </vt:variant>
      <vt:variant>
        <vt:lpwstr/>
      </vt:variant>
      <vt:variant>
        <vt:lpwstr>_Toc489019910</vt:lpwstr>
      </vt:variant>
      <vt:variant>
        <vt:i4>1441845</vt:i4>
      </vt:variant>
      <vt:variant>
        <vt:i4>320</vt:i4>
      </vt:variant>
      <vt:variant>
        <vt:i4>0</vt:i4>
      </vt:variant>
      <vt:variant>
        <vt:i4>5</vt:i4>
      </vt:variant>
      <vt:variant>
        <vt:lpwstr/>
      </vt:variant>
      <vt:variant>
        <vt:lpwstr>_Toc489019909</vt:lpwstr>
      </vt:variant>
      <vt:variant>
        <vt:i4>1441845</vt:i4>
      </vt:variant>
      <vt:variant>
        <vt:i4>314</vt:i4>
      </vt:variant>
      <vt:variant>
        <vt:i4>0</vt:i4>
      </vt:variant>
      <vt:variant>
        <vt:i4>5</vt:i4>
      </vt:variant>
      <vt:variant>
        <vt:lpwstr/>
      </vt:variant>
      <vt:variant>
        <vt:lpwstr>_Toc489019908</vt:lpwstr>
      </vt:variant>
      <vt:variant>
        <vt:i4>1441845</vt:i4>
      </vt:variant>
      <vt:variant>
        <vt:i4>305</vt:i4>
      </vt:variant>
      <vt:variant>
        <vt:i4>0</vt:i4>
      </vt:variant>
      <vt:variant>
        <vt:i4>5</vt:i4>
      </vt:variant>
      <vt:variant>
        <vt:lpwstr/>
      </vt:variant>
      <vt:variant>
        <vt:lpwstr>_Toc489019907</vt:lpwstr>
      </vt:variant>
      <vt:variant>
        <vt:i4>1441845</vt:i4>
      </vt:variant>
      <vt:variant>
        <vt:i4>299</vt:i4>
      </vt:variant>
      <vt:variant>
        <vt:i4>0</vt:i4>
      </vt:variant>
      <vt:variant>
        <vt:i4>5</vt:i4>
      </vt:variant>
      <vt:variant>
        <vt:lpwstr/>
      </vt:variant>
      <vt:variant>
        <vt:lpwstr>_Toc489019906</vt:lpwstr>
      </vt:variant>
      <vt:variant>
        <vt:i4>1441845</vt:i4>
      </vt:variant>
      <vt:variant>
        <vt:i4>293</vt:i4>
      </vt:variant>
      <vt:variant>
        <vt:i4>0</vt:i4>
      </vt:variant>
      <vt:variant>
        <vt:i4>5</vt:i4>
      </vt:variant>
      <vt:variant>
        <vt:lpwstr/>
      </vt:variant>
      <vt:variant>
        <vt:lpwstr>_Toc489019905</vt:lpwstr>
      </vt:variant>
      <vt:variant>
        <vt:i4>1048628</vt:i4>
      </vt:variant>
      <vt:variant>
        <vt:i4>284</vt:i4>
      </vt:variant>
      <vt:variant>
        <vt:i4>0</vt:i4>
      </vt:variant>
      <vt:variant>
        <vt:i4>5</vt:i4>
      </vt:variant>
      <vt:variant>
        <vt:lpwstr/>
      </vt:variant>
      <vt:variant>
        <vt:lpwstr>_Toc489019861</vt:lpwstr>
      </vt:variant>
      <vt:variant>
        <vt:i4>1048628</vt:i4>
      </vt:variant>
      <vt:variant>
        <vt:i4>278</vt:i4>
      </vt:variant>
      <vt:variant>
        <vt:i4>0</vt:i4>
      </vt:variant>
      <vt:variant>
        <vt:i4>5</vt:i4>
      </vt:variant>
      <vt:variant>
        <vt:lpwstr/>
      </vt:variant>
      <vt:variant>
        <vt:lpwstr>_Toc489019860</vt:lpwstr>
      </vt:variant>
      <vt:variant>
        <vt:i4>1245236</vt:i4>
      </vt:variant>
      <vt:variant>
        <vt:i4>272</vt:i4>
      </vt:variant>
      <vt:variant>
        <vt:i4>0</vt:i4>
      </vt:variant>
      <vt:variant>
        <vt:i4>5</vt:i4>
      </vt:variant>
      <vt:variant>
        <vt:lpwstr/>
      </vt:variant>
      <vt:variant>
        <vt:lpwstr>_Toc489019859</vt:lpwstr>
      </vt:variant>
      <vt:variant>
        <vt:i4>1245236</vt:i4>
      </vt:variant>
      <vt:variant>
        <vt:i4>266</vt:i4>
      </vt:variant>
      <vt:variant>
        <vt:i4>0</vt:i4>
      </vt:variant>
      <vt:variant>
        <vt:i4>5</vt:i4>
      </vt:variant>
      <vt:variant>
        <vt:lpwstr/>
      </vt:variant>
      <vt:variant>
        <vt:lpwstr>_Toc489019858</vt:lpwstr>
      </vt:variant>
      <vt:variant>
        <vt:i4>1245236</vt:i4>
      </vt:variant>
      <vt:variant>
        <vt:i4>260</vt:i4>
      </vt:variant>
      <vt:variant>
        <vt:i4>0</vt:i4>
      </vt:variant>
      <vt:variant>
        <vt:i4>5</vt:i4>
      </vt:variant>
      <vt:variant>
        <vt:lpwstr/>
      </vt:variant>
      <vt:variant>
        <vt:lpwstr>_Toc489019857</vt:lpwstr>
      </vt:variant>
      <vt:variant>
        <vt:i4>1245236</vt:i4>
      </vt:variant>
      <vt:variant>
        <vt:i4>254</vt:i4>
      </vt:variant>
      <vt:variant>
        <vt:i4>0</vt:i4>
      </vt:variant>
      <vt:variant>
        <vt:i4>5</vt:i4>
      </vt:variant>
      <vt:variant>
        <vt:lpwstr/>
      </vt:variant>
      <vt:variant>
        <vt:lpwstr>_Toc489019856</vt:lpwstr>
      </vt:variant>
      <vt:variant>
        <vt:i4>1245236</vt:i4>
      </vt:variant>
      <vt:variant>
        <vt:i4>248</vt:i4>
      </vt:variant>
      <vt:variant>
        <vt:i4>0</vt:i4>
      </vt:variant>
      <vt:variant>
        <vt:i4>5</vt:i4>
      </vt:variant>
      <vt:variant>
        <vt:lpwstr/>
      </vt:variant>
      <vt:variant>
        <vt:lpwstr>_Toc489019855</vt:lpwstr>
      </vt:variant>
      <vt:variant>
        <vt:i4>1245236</vt:i4>
      </vt:variant>
      <vt:variant>
        <vt:i4>242</vt:i4>
      </vt:variant>
      <vt:variant>
        <vt:i4>0</vt:i4>
      </vt:variant>
      <vt:variant>
        <vt:i4>5</vt:i4>
      </vt:variant>
      <vt:variant>
        <vt:lpwstr/>
      </vt:variant>
      <vt:variant>
        <vt:lpwstr>_Toc489019854</vt:lpwstr>
      </vt:variant>
      <vt:variant>
        <vt:i4>1245236</vt:i4>
      </vt:variant>
      <vt:variant>
        <vt:i4>236</vt:i4>
      </vt:variant>
      <vt:variant>
        <vt:i4>0</vt:i4>
      </vt:variant>
      <vt:variant>
        <vt:i4>5</vt:i4>
      </vt:variant>
      <vt:variant>
        <vt:lpwstr/>
      </vt:variant>
      <vt:variant>
        <vt:lpwstr>_Toc489019853</vt:lpwstr>
      </vt:variant>
      <vt:variant>
        <vt:i4>1245236</vt:i4>
      </vt:variant>
      <vt:variant>
        <vt:i4>230</vt:i4>
      </vt:variant>
      <vt:variant>
        <vt:i4>0</vt:i4>
      </vt:variant>
      <vt:variant>
        <vt:i4>5</vt:i4>
      </vt:variant>
      <vt:variant>
        <vt:lpwstr/>
      </vt:variant>
      <vt:variant>
        <vt:lpwstr>_Toc489019852</vt:lpwstr>
      </vt:variant>
      <vt:variant>
        <vt:i4>1245236</vt:i4>
      </vt:variant>
      <vt:variant>
        <vt:i4>224</vt:i4>
      </vt:variant>
      <vt:variant>
        <vt:i4>0</vt:i4>
      </vt:variant>
      <vt:variant>
        <vt:i4>5</vt:i4>
      </vt:variant>
      <vt:variant>
        <vt:lpwstr/>
      </vt:variant>
      <vt:variant>
        <vt:lpwstr>_Toc489019851</vt:lpwstr>
      </vt:variant>
      <vt:variant>
        <vt:i4>1245236</vt:i4>
      </vt:variant>
      <vt:variant>
        <vt:i4>218</vt:i4>
      </vt:variant>
      <vt:variant>
        <vt:i4>0</vt:i4>
      </vt:variant>
      <vt:variant>
        <vt:i4>5</vt:i4>
      </vt:variant>
      <vt:variant>
        <vt:lpwstr/>
      </vt:variant>
      <vt:variant>
        <vt:lpwstr>_Toc489019850</vt:lpwstr>
      </vt:variant>
      <vt:variant>
        <vt:i4>1179700</vt:i4>
      </vt:variant>
      <vt:variant>
        <vt:i4>212</vt:i4>
      </vt:variant>
      <vt:variant>
        <vt:i4>0</vt:i4>
      </vt:variant>
      <vt:variant>
        <vt:i4>5</vt:i4>
      </vt:variant>
      <vt:variant>
        <vt:lpwstr/>
      </vt:variant>
      <vt:variant>
        <vt:lpwstr>_Toc489019849</vt:lpwstr>
      </vt:variant>
      <vt:variant>
        <vt:i4>1179700</vt:i4>
      </vt:variant>
      <vt:variant>
        <vt:i4>206</vt:i4>
      </vt:variant>
      <vt:variant>
        <vt:i4>0</vt:i4>
      </vt:variant>
      <vt:variant>
        <vt:i4>5</vt:i4>
      </vt:variant>
      <vt:variant>
        <vt:lpwstr/>
      </vt:variant>
      <vt:variant>
        <vt:lpwstr>_Toc489019848</vt:lpwstr>
      </vt:variant>
      <vt:variant>
        <vt:i4>1179700</vt:i4>
      </vt:variant>
      <vt:variant>
        <vt:i4>200</vt:i4>
      </vt:variant>
      <vt:variant>
        <vt:i4>0</vt:i4>
      </vt:variant>
      <vt:variant>
        <vt:i4>5</vt:i4>
      </vt:variant>
      <vt:variant>
        <vt:lpwstr/>
      </vt:variant>
      <vt:variant>
        <vt:lpwstr>_Toc489019847</vt:lpwstr>
      </vt:variant>
      <vt:variant>
        <vt:i4>1179700</vt:i4>
      </vt:variant>
      <vt:variant>
        <vt:i4>194</vt:i4>
      </vt:variant>
      <vt:variant>
        <vt:i4>0</vt:i4>
      </vt:variant>
      <vt:variant>
        <vt:i4>5</vt:i4>
      </vt:variant>
      <vt:variant>
        <vt:lpwstr/>
      </vt:variant>
      <vt:variant>
        <vt:lpwstr>_Toc489019846</vt:lpwstr>
      </vt:variant>
      <vt:variant>
        <vt:i4>1179700</vt:i4>
      </vt:variant>
      <vt:variant>
        <vt:i4>188</vt:i4>
      </vt:variant>
      <vt:variant>
        <vt:i4>0</vt:i4>
      </vt:variant>
      <vt:variant>
        <vt:i4>5</vt:i4>
      </vt:variant>
      <vt:variant>
        <vt:lpwstr/>
      </vt:variant>
      <vt:variant>
        <vt:lpwstr>_Toc489019845</vt:lpwstr>
      </vt:variant>
      <vt:variant>
        <vt:i4>1179700</vt:i4>
      </vt:variant>
      <vt:variant>
        <vt:i4>182</vt:i4>
      </vt:variant>
      <vt:variant>
        <vt:i4>0</vt:i4>
      </vt:variant>
      <vt:variant>
        <vt:i4>5</vt:i4>
      </vt:variant>
      <vt:variant>
        <vt:lpwstr/>
      </vt:variant>
      <vt:variant>
        <vt:lpwstr>_Toc489019844</vt:lpwstr>
      </vt:variant>
      <vt:variant>
        <vt:i4>1179700</vt:i4>
      </vt:variant>
      <vt:variant>
        <vt:i4>176</vt:i4>
      </vt:variant>
      <vt:variant>
        <vt:i4>0</vt:i4>
      </vt:variant>
      <vt:variant>
        <vt:i4>5</vt:i4>
      </vt:variant>
      <vt:variant>
        <vt:lpwstr/>
      </vt:variant>
      <vt:variant>
        <vt:lpwstr>_Toc489019843</vt:lpwstr>
      </vt:variant>
      <vt:variant>
        <vt:i4>1179700</vt:i4>
      </vt:variant>
      <vt:variant>
        <vt:i4>170</vt:i4>
      </vt:variant>
      <vt:variant>
        <vt:i4>0</vt:i4>
      </vt:variant>
      <vt:variant>
        <vt:i4>5</vt:i4>
      </vt:variant>
      <vt:variant>
        <vt:lpwstr/>
      </vt:variant>
      <vt:variant>
        <vt:lpwstr>_Toc489019842</vt:lpwstr>
      </vt:variant>
      <vt:variant>
        <vt:i4>1179700</vt:i4>
      </vt:variant>
      <vt:variant>
        <vt:i4>164</vt:i4>
      </vt:variant>
      <vt:variant>
        <vt:i4>0</vt:i4>
      </vt:variant>
      <vt:variant>
        <vt:i4>5</vt:i4>
      </vt:variant>
      <vt:variant>
        <vt:lpwstr/>
      </vt:variant>
      <vt:variant>
        <vt:lpwstr>_Toc489019841</vt:lpwstr>
      </vt:variant>
      <vt:variant>
        <vt:i4>1245242</vt:i4>
      </vt:variant>
      <vt:variant>
        <vt:i4>149</vt:i4>
      </vt:variant>
      <vt:variant>
        <vt:i4>0</vt:i4>
      </vt:variant>
      <vt:variant>
        <vt:i4>5</vt:i4>
      </vt:variant>
      <vt:variant>
        <vt:lpwstr/>
      </vt:variant>
      <vt:variant>
        <vt:lpwstr>_Toc489019658</vt:lpwstr>
      </vt:variant>
      <vt:variant>
        <vt:i4>1245242</vt:i4>
      </vt:variant>
      <vt:variant>
        <vt:i4>143</vt:i4>
      </vt:variant>
      <vt:variant>
        <vt:i4>0</vt:i4>
      </vt:variant>
      <vt:variant>
        <vt:i4>5</vt:i4>
      </vt:variant>
      <vt:variant>
        <vt:lpwstr/>
      </vt:variant>
      <vt:variant>
        <vt:lpwstr>_Toc489019657</vt:lpwstr>
      </vt:variant>
      <vt:variant>
        <vt:i4>1245242</vt:i4>
      </vt:variant>
      <vt:variant>
        <vt:i4>137</vt:i4>
      </vt:variant>
      <vt:variant>
        <vt:i4>0</vt:i4>
      </vt:variant>
      <vt:variant>
        <vt:i4>5</vt:i4>
      </vt:variant>
      <vt:variant>
        <vt:lpwstr/>
      </vt:variant>
      <vt:variant>
        <vt:lpwstr>_Toc489019656</vt:lpwstr>
      </vt:variant>
      <vt:variant>
        <vt:i4>1245242</vt:i4>
      </vt:variant>
      <vt:variant>
        <vt:i4>131</vt:i4>
      </vt:variant>
      <vt:variant>
        <vt:i4>0</vt:i4>
      </vt:variant>
      <vt:variant>
        <vt:i4>5</vt:i4>
      </vt:variant>
      <vt:variant>
        <vt:lpwstr/>
      </vt:variant>
      <vt:variant>
        <vt:lpwstr>_Toc489019655</vt:lpwstr>
      </vt:variant>
      <vt:variant>
        <vt:i4>1245242</vt:i4>
      </vt:variant>
      <vt:variant>
        <vt:i4>125</vt:i4>
      </vt:variant>
      <vt:variant>
        <vt:i4>0</vt:i4>
      </vt:variant>
      <vt:variant>
        <vt:i4>5</vt:i4>
      </vt:variant>
      <vt:variant>
        <vt:lpwstr/>
      </vt:variant>
      <vt:variant>
        <vt:lpwstr>_Toc489019654</vt:lpwstr>
      </vt:variant>
      <vt:variant>
        <vt:i4>1245242</vt:i4>
      </vt:variant>
      <vt:variant>
        <vt:i4>119</vt:i4>
      </vt:variant>
      <vt:variant>
        <vt:i4>0</vt:i4>
      </vt:variant>
      <vt:variant>
        <vt:i4>5</vt:i4>
      </vt:variant>
      <vt:variant>
        <vt:lpwstr/>
      </vt:variant>
      <vt:variant>
        <vt:lpwstr>_Toc489019653</vt:lpwstr>
      </vt:variant>
      <vt:variant>
        <vt:i4>1245242</vt:i4>
      </vt:variant>
      <vt:variant>
        <vt:i4>113</vt:i4>
      </vt:variant>
      <vt:variant>
        <vt:i4>0</vt:i4>
      </vt:variant>
      <vt:variant>
        <vt:i4>5</vt:i4>
      </vt:variant>
      <vt:variant>
        <vt:lpwstr/>
      </vt:variant>
      <vt:variant>
        <vt:lpwstr>_Toc489019652</vt:lpwstr>
      </vt:variant>
      <vt:variant>
        <vt:i4>1245242</vt:i4>
      </vt:variant>
      <vt:variant>
        <vt:i4>107</vt:i4>
      </vt:variant>
      <vt:variant>
        <vt:i4>0</vt:i4>
      </vt:variant>
      <vt:variant>
        <vt:i4>5</vt:i4>
      </vt:variant>
      <vt:variant>
        <vt:lpwstr/>
      </vt:variant>
      <vt:variant>
        <vt:lpwstr>_Toc489019651</vt:lpwstr>
      </vt:variant>
      <vt:variant>
        <vt:i4>1245242</vt:i4>
      </vt:variant>
      <vt:variant>
        <vt:i4>101</vt:i4>
      </vt:variant>
      <vt:variant>
        <vt:i4>0</vt:i4>
      </vt:variant>
      <vt:variant>
        <vt:i4>5</vt:i4>
      </vt:variant>
      <vt:variant>
        <vt:lpwstr/>
      </vt:variant>
      <vt:variant>
        <vt:lpwstr>_Toc489019650</vt:lpwstr>
      </vt:variant>
      <vt:variant>
        <vt:i4>1179706</vt:i4>
      </vt:variant>
      <vt:variant>
        <vt:i4>95</vt:i4>
      </vt:variant>
      <vt:variant>
        <vt:i4>0</vt:i4>
      </vt:variant>
      <vt:variant>
        <vt:i4>5</vt:i4>
      </vt:variant>
      <vt:variant>
        <vt:lpwstr/>
      </vt:variant>
      <vt:variant>
        <vt:lpwstr>_Toc489019649</vt:lpwstr>
      </vt:variant>
      <vt:variant>
        <vt:i4>1179706</vt:i4>
      </vt:variant>
      <vt:variant>
        <vt:i4>89</vt:i4>
      </vt:variant>
      <vt:variant>
        <vt:i4>0</vt:i4>
      </vt:variant>
      <vt:variant>
        <vt:i4>5</vt:i4>
      </vt:variant>
      <vt:variant>
        <vt:lpwstr/>
      </vt:variant>
      <vt:variant>
        <vt:lpwstr>_Toc489019648</vt:lpwstr>
      </vt:variant>
      <vt:variant>
        <vt:i4>1179706</vt:i4>
      </vt:variant>
      <vt:variant>
        <vt:i4>83</vt:i4>
      </vt:variant>
      <vt:variant>
        <vt:i4>0</vt:i4>
      </vt:variant>
      <vt:variant>
        <vt:i4>5</vt:i4>
      </vt:variant>
      <vt:variant>
        <vt:lpwstr/>
      </vt:variant>
      <vt:variant>
        <vt:lpwstr>_Toc489019647</vt:lpwstr>
      </vt:variant>
      <vt:variant>
        <vt:i4>1179706</vt:i4>
      </vt:variant>
      <vt:variant>
        <vt:i4>77</vt:i4>
      </vt:variant>
      <vt:variant>
        <vt:i4>0</vt:i4>
      </vt:variant>
      <vt:variant>
        <vt:i4>5</vt:i4>
      </vt:variant>
      <vt:variant>
        <vt:lpwstr/>
      </vt:variant>
      <vt:variant>
        <vt:lpwstr>_Toc489019646</vt:lpwstr>
      </vt:variant>
      <vt:variant>
        <vt:i4>1179706</vt:i4>
      </vt:variant>
      <vt:variant>
        <vt:i4>71</vt:i4>
      </vt:variant>
      <vt:variant>
        <vt:i4>0</vt:i4>
      </vt:variant>
      <vt:variant>
        <vt:i4>5</vt:i4>
      </vt:variant>
      <vt:variant>
        <vt:lpwstr/>
      </vt:variant>
      <vt:variant>
        <vt:lpwstr>_Toc489019645</vt:lpwstr>
      </vt:variant>
      <vt:variant>
        <vt:i4>1179706</vt:i4>
      </vt:variant>
      <vt:variant>
        <vt:i4>65</vt:i4>
      </vt:variant>
      <vt:variant>
        <vt:i4>0</vt:i4>
      </vt:variant>
      <vt:variant>
        <vt:i4>5</vt:i4>
      </vt:variant>
      <vt:variant>
        <vt:lpwstr/>
      </vt:variant>
      <vt:variant>
        <vt:lpwstr>_Toc489019644</vt:lpwstr>
      </vt:variant>
      <vt:variant>
        <vt:i4>1179706</vt:i4>
      </vt:variant>
      <vt:variant>
        <vt:i4>59</vt:i4>
      </vt:variant>
      <vt:variant>
        <vt:i4>0</vt:i4>
      </vt:variant>
      <vt:variant>
        <vt:i4>5</vt:i4>
      </vt:variant>
      <vt:variant>
        <vt:lpwstr/>
      </vt:variant>
      <vt:variant>
        <vt:lpwstr>_Toc489019643</vt:lpwstr>
      </vt:variant>
      <vt:variant>
        <vt:i4>1179706</vt:i4>
      </vt:variant>
      <vt:variant>
        <vt:i4>53</vt:i4>
      </vt:variant>
      <vt:variant>
        <vt:i4>0</vt:i4>
      </vt:variant>
      <vt:variant>
        <vt:i4>5</vt:i4>
      </vt:variant>
      <vt:variant>
        <vt:lpwstr/>
      </vt:variant>
      <vt:variant>
        <vt:lpwstr>_Toc489019642</vt:lpwstr>
      </vt:variant>
      <vt:variant>
        <vt:i4>1179706</vt:i4>
      </vt:variant>
      <vt:variant>
        <vt:i4>47</vt:i4>
      </vt:variant>
      <vt:variant>
        <vt:i4>0</vt:i4>
      </vt:variant>
      <vt:variant>
        <vt:i4>5</vt:i4>
      </vt:variant>
      <vt:variant>
        <vt:lpwstr/>
      </vt:variant>
      <vt:variant>
        <vt:lpwstr>_Toc489019641</vt:lpwstr>
      </vt:variant>
      <vt:variant>
        <vt:i4>1179706</vt:i4>
      </vt:variant>
      <vt:variant>
        <vt:i4>41</vt:i4>
      </vt:variant>
      <vt:variant>
        <vt:i4>0</vt:i4>
      </vt:variant>
      <vt:variant>
        <vt:i4>5</vt:i4>
      </vt:variant>
      <vt:variant>
        <vt:lpwstr/>
      </vt:variant>
      <vt:variant>
        <vt:lpwstr>_Toc489019640</vt:lpwstr>
      </vt:variant>
      <vt:variant>
        <vt:i4>1376314</vt:i4>
      </vt:variant>
      <vt:variant>
        <vt:i4>35</vt:i4>
      </vt:variant>
      <vt:variant>
        <vt:i4>0</vt:i4>
      </vt:variant>
      <vt:variant>
        <vt:i4>5</vt:i4>
      </vt:variant>
      <vt:variant>
        <vt:lpwstr/>
      </vt:variant>
      <vt:variant>
        <vt:lpwstr>_Toc489019639</vt:lpwstr>
      </vt:variant>
      <vt:variant>
        <vt:i4>1376314</vt:i4>
      </vt:variant>
      <vt:variant>
        <vt:i4>29</vt:i4>
      </vt:variant>
      <vt:variant>
        <vt:i4>0</vt:i4>
      </vt:variant>
      <vt:variant>
        <vt:i4>5</vt:i4>
      </vt:variant>
      <vt:variant>
        <vt:lpwstr/>
      </vt:variant>
      <vt:variant>
        <vt:lpwstr>_Toc489019638</vt:lpwstr>
      </vt:variant>
      <vt:variant>
        <vt:i4>1376314</vt:i4>
      </vt:variant>
      <vt:variant>
        <vt:i4>23</vt:i4>
      </vt:variant>
      <vt:variant>
        <vt:i4>0</vt:i4>
      </vt:variant>
      <vt:variant>
        <vt:i4>5</vt:i4>
      </vt:variant>
      <vt:variant>
        <vt:lpwstr/>
      </vt:variant>
      <vt:variant>
        <vt:lpwstr>_Toc489019637</vt:lpwstr>
      </vt:variant>
      <vt:variant>
        <vt:i4>1376314</vt:i4>
      </vt:variant>
      <vt:variant>
        <vt:i4>17</vt:i4>
      </vt:variant>
      <vt:variant>
        <vt:i4>0</vt:i4>
      </vt:variant>
      <vt:variant>
        <vt:i4>5</vt:i4>
      </vt:variant>
      <vt:variant>
        <vt:lpwstr/>
      </vt:variant>
      <vt:variant>
        <vt:lpwstr>_Toc489019636</vt:lpwstr>
      </vt:variant>
      <vt:variant>
        <vt:i4>1376314</vt:i4>
      </vt:variant>
      <vt:variant>
        <vt:i4>11</vt:i4>
      </vt:variant>
      <vt:variant>
        <vt:i4>0</vt:i4>
      </vt:variant>
      <vt:variant>
        <vt:i4>5</vt:i4>
      </vt:variant>
      <vt:variant>
        <vt:lpwstr/>
      </vt:variant>
      <vt:variant>
        <vt:lpwstr>_Toc489019635</vt:lpwstr>
      </vt:variant>
      <vt:variant>
        <vt:i4>1376314</vt:i4>
      </vt:variant>
      <vt:variant>
        <vt:i4>5</vt:i4>
      </vt:variant>
      <vt:variant>
        <vt:i4>0</vt:i4>
      </vt:variant>
      <vt:variant>
        <vt:i4>5</vt:i4>
      </vt:variant>
      <vt:variant>
        <vt:lpwstr/>
      </vt:variant>
      <vt:variant>
        <vt:lpwstr>_Toc489019634</vt:lpwstr>
      </vt:variant>
      <vt:variant>
        <vt:i4>2949217</vt:i4>
      </vt:variant>
      <vt:variant>
        <vt:i4>15</vt:i4>
      </vt:variant>
      <vt:variant>
        <vt:i4>0</vt:i4>
      </vt:variant>
      <vt:variant>
        <vt:i4>5</vt:i4>
      </vt:variant>
      <vt:variant>
        <vt:lpwstr>http://www.gov.uk/government/publications/hm-chief-inspector-of-prisons-annual-report-2016-to-2017</vt:lpwstr>
      </vt:variant>
      <vt:variant>
        <vt:lpwstr/>
      </vt:variant>
      <vt:variant>
        <vt:i4>2424929</vt:i4>
      </vt:variant>
      <vt:variant>
        <vt:i4>12</vt:i4>
      </vt:variant>
      <vt:variant>
        <vt:i4>0</vt:i4>
      </vt:variant>
      <vt:variant>
        <vt:i4>5</vt:i4>
      </vt:variant>
      <vt:variant>
        <vt:lpwstr>www.gov.uk/government/collections/maintained-schools-and-academies-inspections-and-outcomes-official-statistics</vt:lpwstr>
      </vt:variant>
      <vt:variant>
        <vt:lpwstr/>
      </vt:variant>
      <vt:variant>
        <vt:i4>1966152</vt:i4>
      </vt:variant>
      <vt:variant>
        <vt:i4>9</vt:i4>
      </vt:variant>
      <vt:variant>
        <vt:i4>0</vt:i4>
      </vt:variant>
      <vt:variant>
        <vt:i4>5</vt:i4>
      </vt:variant>
      <vt:variant>
        <vt:lpwstr>www.gov.uk/government/collections/independent-schools-inspection-and-outcomes</vt:lpwstr>
      </vt:variant>
      <vt:variant>
        <vt:lpwstr/>
      </vt:variant>
      <vt:variant>
        <vt:i4>7274592</vt:i4>
      </vt:variant>
      <vt:variant>
        <vt:i4>6</vt:i4>
      </vt:variant>
      <vt:variant>
        <vt:i4>0</vt:i4>
      </vt:variant>
      <vt:variant>
        <vt:i4>5</vt:i4>
      </vt:variant>
      <vt:variant>
        <vt:lpwstr>http://www.gov.uk/government/publications/childrens-residential-care-in-england</vt:lpwstr>
      </vt:variant>
      <vt:variant>
        <vt:lpwstr/>
      </vt:variant>
      <vt:variant>
        <vt:i4>7274554</vt:i4>
      </vt:variant>
      <vt:variant>
        <vt:i4>3</vt:i4>
      </vt:variant>
      <vt:variant>
        <vt:i4>0</vt:i4>
      </vt:variant>
      <vt:variant>
        <vt:i4>5</vt:i4>
      </vt:variant>
      <vt:variant>
        <vt:lpwstr>www.gov.uk/government/statistics/children-accommodated-in-secure-childrens-homes-31-march-2017</vt:lpwstr>
      </vt:variant>
      <vt:variant>
        <vt:lpwstr/>
      </vt:variant>
      <vt:variant>
        <vt:i4>1310790</vt:i4>
      </vt:variant>
      <vt:variant>
        <vt:i4>0</vt:i4>
      </vt:variant>
      <vt:variant>
        <vt:i4>0</vt:i4>
      </vt:variant>
      <vt:variant>
        <vt:i4>5</vt:i4>
      </vt:variant>
      <vt:variant>
        <vt:lpwstr>http://www.gov.uk/government/publications/childrens-services-in-england-repeat-referrals</vt:lpwstr>
      </vt:variant>
      <vt:variant>
        <vt:lpwstr/>
      </vt:variant>
      <vt:variant>
        <vt:i4>4194354</vt:i4>
      </vt:variant>
      <vt:variant>
        <vt:i4>12</vt:i4>
      </vt:variant>
      <vt:variant>
        <vt:i4>0</vt:i4>
      </vt:variant>
      <vt:variant>
        <vt:i4>5</vt:i4>
      </vt:variant>
      <vt:variant>
        <vt:lpwstr>mailto:socialcaredata@ofsted.gov.uk</vt:lpwstr>
      </vt:variant>
      <vt:variant>
        <vt:lpwstr/>
      </vt:variant>
      <vt:variant>
        <vt:i4>4194354</vt:i4>
      </vt:variant>
      <vt:variant>
        <vt:i4>6</vt:i4>
      </vt:variant>
      <vt:variant>
        <vt:i4>0</vt:i4>
      </vt:variant>
      <vt:variant>
        <vt:i4>5</vt:i4>
      </vt:variant>
      <vt:variant>
        <vt:lpwstr>mailto:socialcaredata@ofsted.gov.uk</vt:lpwstr>
      </vt:variant>
      <vt:variant>
        <vt:lpwstr/>
      </vt:variant>
      <vt:variant>
        <vt:i4>4194354</vt:i4>
      </vt:variant>
      <vt:variant>
        <vt:i4>0</vt:i4>
      </vt:variant>
      <vt:variant>
        <vt:i4>0</vt:i4>
      </vt:variant>
      <vt:variant>
        <vt:i4>5</vt:i4>
      </vt:variant>
      <vt:variant>
        <vt:lpwstr>mailto:socialcaredata@ofsted.gov.uk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statistics - SFR release template</dc:title>
  <dc:subject/>
  <dc:creator>Alison Edwards (London)</dc:creator>
  <cp:keywords/>
  <dc:description/>
  <cp:lastModifiedBy>Emily Moreton</cp:lastModifiedBy>
  <cp:revision>5</cp:revision>
  <cp:lastPrinted>2017-08-25T14:17:00Z</cp:lastPrinted>
  <dcterms:created xsi:type="dcterms:W3CDTF">2017-08-22T10:45:00Z</dcterms:created>
  <dcterms:modified xsi:type="dcterms:W3CDTF">2017-08-25T14:17:00Z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
  </property>
  <property fmtid="{D5CDD505-2E9C-101B-9397-08002B2CF9AE}" pid="3" name="OfstedESD">
    <vt:lpwstr/>
  </property>
  <property fmtid="{D5CDD505-2E9C-101B-9397-08002B2CF9AE}" pid="4" name="ContentType">
    <vt:lpwstr>Document</vt:lpwstr>
  </property>
  <property fmtid="{D5CDD505-2E9C-101B-9397-08002B2CF9AE}" pid="5" name="DatePublished">
    <vt:lpwstr>2012-06-01T18:00:00Z</vt:lpwstr>
  </property>
  <property fmtid="{D5CDD505-2E9C-101B-9397-08002B2CF9AE}" pid="6" name="RetentionPolicy">
    <vt:lpwstr>3</vt:lpwstr>
  </property>
  <property fmtid="{D5CDD505-2E9C-101B-9397-08002B2CF9AE}" pid="7" name="RightsManagementText">
    <vt:lpwstr>NOT PROTECTIVELY MARKED</vt:lpwstr>
  </property>
  <property fmtid="{D5CDD505-2E9C-101B-9397-08002B2CF9AE}" pid="8" name="Language">
    <vt:lpwstr>English</vt:lpwstr>
  </property>
  <property fmtid="{D5CDD505-2E9C-101B-9397-08002B2CF9AE}" pid="9" name="Subject">
    <vt:lpwstr/>
  </property>
  <property fmtid="{D5CDD505-2E9C-101B-9397-08002B2CF9AE}" pid="10" name="Keywords">
    <vt:lpwstr/>
  </property>
  <property fmtid="{D5CDD505-2E9C-101B-9397-08002B2CF9AE}" pid="11" name="_Author">
    <vt:lpwstr>opapps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Statistical content">
    <vt:lpwstr>Children's centres</vt:lpwstr>
  </property>
  <property fmtid="{D5CDD505-2E9C-101B-9397-08002B2CF9AE}" pid="18" name="Quarter">
    <vt:lpwstr>31 March 2012</vt:lpwstr>
  </property>
  <property fmtid="{D5CDD505-2E9C-101B-9397-08002B2CF9AE}" pid="19" name="Document type">
    <vt:lpwstr>Pre-release data</vt:lpwstr>
  </property>
  <property fmtid="{D5CDD505-2E9C-101B-9397-08002B2CF9AE}" pid="20" name="_DCDateModified">
    <vt:lpwstr/>
  </property>
  <property fmtid="{D5CDD505-2E9C-101B-9397-08002B2CF9AE}" pid="21" name="_DCDateCreated">
    <vt:lpwstr/>
  </property>
  <property fmtid="{D5CDD505-2E9C-101B-9397-08002B2CF9AE}" pid="22" name="_DocHome">
    <vt:lpwstr/>
  </property>
</Properties>
</file>