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Default="00AF6F11" w:rsidP="00CF776B">
            <w:pPr>
              <w:rPr>
                <w:rFonts w:ascii="Arial" w:hAnsi="Arial"/>
                <w:sz w:val="22"/>
                <w:szCs w:val="22"/>
              </w:rPr>
            </w:pPr>
            <w:r w:rsidRPr="00657BE7">
              <w:rPr>
                <w:rFonts w:ascii="Arial" w:hAnsi="Arial"/>
                <w:color w:val="000000"/>
                <w:sz w:val="22"/>
                <w:szCs w:val="22"/>
              </w:rPr>
              <w:t xml:space="preserve">   </w:t>
            </w:r>
            <w:r w:rsidR="00F951F1" w:rsidRPr="00657BE7">
              <w:rPr>
                <w:rFonts w:ascii="Arial" w:hAnsi="Arial"/>
                <w:noProof/>
                <w:sz w:val="22"/>
                <w:szCs w:val="22"/>
              </w:rPr>
              <w:drawing>
                <wp:inline distT="0" distB="0" distL="0" distR="0">
                  <wp:extent cx="1975485" cy="612775"/>
                  <wp:effectExtent l="0" t="0" r="571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485" cy="612775"/>
                          </a:xfrm>
                          <a:prstGeom prst="rect">
                            <a:avLst/>
                          </a:prstGeom>
                          <a:noFill/>
                          <a:ln>
                            <a:noFill/>
                          </a:ln>
                        </pic:spPr>
                      </pic:pic>
                    </a:graphicData>
                  </a:graphic>
                </wp:inline>
              </w:drawing>
            </w:r>
          </w:p>
          <w:p w:rsidR="00DD229C" w:rsidRDefault="00DD229C" w:rsidP="00CF776B">
            <w:pPr>
              <w:rPr>
                <w:rFonts w:ascii="Arial" w:hAnsi="Arial"/>
                <w:sz w:val="22"/>
                <w:szCs w:val="22"/>
              </w:rPr>
            </w:pPr>
          </w:p>
          <w:p w:rsidR="00F951F1" w:rsidRDefault="00DD229C" w:rsidP="00F951F1">
            <w:r>
              <w:rPr>
                <w:rFonts w:ascii="Arial" w:hAnsi="Arial"/>
                <w:color w:val="000000"/>
                <w:sz w:val="22"/>
                <w:szCs w:val="22"/>
              </w:rPr>
              <w:t xml:space="preserve">                    </w:t>
            </w:r>
          </w:p>
          <w:p w:rsidR="00DD229C" w:rsidRPr="00657BE7" w:rsidRDefault="00DD229C" w:rsidP="00417717">
            <w:pPr>
              <w:rPr>
                <w:rFonts w:ascii="Arial" w:hAnsi="Arial"/>
                <w:color w:val="000000"/>
                <w:sz w:val="22"/>
                <w:szCs w:val="22"/>
              </w:rPr>
            </w:pPr>
          </w:p>
        </w:tc>
        <w:tc>
          <w:tcPr>
            <w:tcW w:w="180" w:type="dxa"/>
          </w:tcPr>
          <w:p w:rsidR="00AF6F11" w:rsidRPr="00657BE7" w:rsidRDefault="00AF6F11" w:rsidP="00CF776B">
            <w:pPr>
              <w:pStyle w:val="MOJnormal"/>
              <w:rPr>
                <w:color w:val="000000"/>
                <w:sz w:val="22"/>
                <w:szCs w:val="22"/>
              </w:rPr>
            </w:pPr>
          </w:p>
        </w:tc>
        <w:tc>
          <w:tcPr>
            <w:tcW w:w="3865" w:type="dxa"/>
            <w:vMerge w:val="restart"/>
            <w:tcBorders>
              <w:top w:val="nil"/>
            </w:tcBorders>
          </w:tcPr>
          <w:p w:rsidR="00C76F14" w:rsidRPr="00C76F14" w:rsidRDefault="00C76F14" w:rsidP="00C76F14">
            <w:pPr>
              <w:spacing w:line="200" w:lineRule="atLeast"/>
              <w:ind w:left="284"/>
              <w:rPr>
                <w:rFonts w:ascii="Arial" w:hAnsi="Arial"/>
                <w:color w:val="0000CC"/>
                <w:sz w:val="22"/>
                <w:szCs w:val="22"/>
              </w:rPr>
            </w:pPr>
          </w:p>
          <w:p w:rsidR="007364F9" w:rsidRPr="000759CA" w:rsidRDefault="00EF6436" w:rsidP="00894F95">
            <w:pPr>
              <w:tabs>
                <w:tab w:val="left" w:pos="170"/>
              </w:tabs>
              <w:rPr>
                <w:rFonts w:ascii="Arial" w:hAnsi="Arial"/>
                <w:sz w:val="22"/>
                <w:szCs w:val="22"/>
              </w:rPr>
            </w:pPr>
            <w:r>
              <w:rPr>
                <w:rFonts w:ascii="Arial" w:hAnsi="Arial"/>
                <w:sz w:val="22"/>
                <w:szCs w:val="22"/>
              </w:rPr>
              <w:t>June</w:t>
            </w:r>
            <w:r w:rsidR="000759CA" w:rsidRPr="000759CA">
              <w:rPr>
                <w:rFonts w:ascii="Arial" w:hAnsi="Arial"/>
                <w:sz w:val="22"/>
                <w:szCs w:val="22"/>
              </w:rPr>
              <w:t xml:space="preserve"> 2017</w:t>
            </w:r>
          </w:p>
        </w:tc>
      </w:tr>
      <w:tr w:rsidR="00AF6F11" w:rsidTr="00657BE7">
        <w:tblPrEx>
          <w:tblCellMar>
            <w:top w:w="0" w:type="dxa"/>
            <w:left w:w="0" w:type="dxa"/>
            <w:bottom w:w="0" w:type="dxa"/>
            <w:right w:w="0" w:type="dxa"/>
          </w:tblCellMar>
        </w:tblPrEx>
        <w:trPr>
          <w:cantSplit/>
          <w:trHeight w:val="1259"/>
        </w:trPr>
        <w:tc>
          <w:tcPr>
            <w:tcW w:w="1214" w:type="dxa"/>
          </w:tcPr>
          <w:p w:rsidR="00AF6F11" w:rsidRDefault="00AF6F11" w:rsidP="00CF776B">
            <w:pPr>
              <w:pStyle w:val="MOJtext-otheraddress"/>
              <w:rPr>
                <w:color w:val="000000"/>
                <w:sz w:val="22"/>
                <w:szCs w:val="22"/>
              </w:rPr>
            </w:pPr>
          </w:p>
          <w:p w:rsidR="00DD229C" w:rsidRDefault="00DD229C" w:rsidP="00DD229C">
            <w:pPr>
              <w:rPr>
                <w:lang w:eastAsia="en-US"/>
              </w:rPr>
            </w:pPr>
          </w:p>
          <w:p w:rsidR="00DD229C" w:rsidRPr="00DD229C" w:rsidRDefault="00DD229C" w:rsidP="00DD229C">
            <w:pPr>
              <w:rPr>
                <w:lang w:eastAsia="en-US"/>
              </w:rPr>
            </w:pPr>
          </w:p>
        </w:tc>
        <w:tc>
          <w:tcPr>
            <w:tcW w:w="5400" w:type="dxa"/>
          </w:tcPr>
          <w:p w:rsidR="00417717" w:rsidRPr="00D75BFD" w:rsidRDefault="00417717" w:rsidP="00417717">
            <w:pPr>
              <w:spacing w:line="200" w:lineRule="atLeast"/>
              <w:rPr>
                <w:rFonts w:ascii="Arial" w:hAnsi="Arial"/>
                <w:color w:val="0000FF"/>
                <w:sz w:val="22"/>
                <w:szCs w:val="22"/>
              </w:rPr>
            </w:pPr>
            <w:bookmarkStart w:id="0" w:name="OLE_LINK1"/>
            <w:bookmarkStart w:id="1" w:name="OLE_LINK2"/>
          </w:p>
          <w:p w:rsidR="006753BE" w:rsidRDefault="006753BE" w:rsidP="0083092D">
            <w:pPr>
              <w:spacing w:line="280" w:lineRule="atLeast"/>
              <w:rPr>
                <w:rFonts w:ascii="Arial" w:hAnsi="Arial" w:cs="Arial"/>
                <w:sz w:val="22"/>
                <w:szCs w:val="22"/>
              </w:rPr>
            </w:pPr>
          </w:p>
          <w:bookmarkEnd w:id="0"/>
          <w:bookmarkEnd w:id="1"/>
          <w:p w:rsidR="00417717" w:rsidRPr="00417717" w:rsidRDefault="00417717" w:rsidP="00417717">
            <w:pPr>
              <w:spacing w:line="280" w:lineRule="atLeast"/>
              <w:rPr>
                <w:rFonts w:ascii="Arial" w:hAnsi="Arial" w:cs="Arial"/>
                <w:sz w:val="22"/>
                <w:szCs w:val="22"/>
              </w:rPr>
            </w:pPr>
          </w:p>
          <w:p w:rsidR="000B7073" w:rsidRPr="00657BE7" w:rsidRDefault="000B7073" w:rsidP="000759CA">
            <w:pPr>
              <w:spacing w:line="280" w:lineRule="atLeast"/>
              <w:rPr>
                <w:rFonts w:ascii="Arial" w:hAnsi="Arial" w:cs="Arial"/>
                <w:sz w:val="22"/>
                <w:szCs w:val="22"/>
              </w:rPr>
            </w:pPr>
          </w:p>
        </w:tc>
        <w:tc>
          <w:tcPr>
            <w:tcW w:w="180" w:type="dxa"/>
          </w:tcPr>
          <w:p w:rsidR="00AF6F11" w:rsidRPr="00657BE7" w:rsidRDefault="00AF6F11" w:rsidP="00CF776B">
            <w:pPr>
              <w:pStyle w:val="MOJnormal"/>
              <w:rPr>
                <w:color w:val="000000"/>
                <w:sz w:val="22"/>
                <w:szCs w:val="22"/>
              </w:rPr>
            </w:pPr>
          </w:p>
        </w:tc>
        <w:tc>
          <w:tcPr>
            <w:tcW w:w="3865" w:type="dxa"/>
            <w:vMerge/>
          </w:tcPr>
          <w:p w:rsidR="00AF6F11" w:rsidRPr="004115FD" w:rsidRDefault="00AF6F11" w:rsidP="00CF776B">
            <w:pPr>
              <w:pStyle w:val="MOJtext-otheraddress"/>
              <w:rPr>
                <w:color w:val="000000"/>
                <w:sz w:val="22"/>
                <w:szCs w:val="22"/>
              </w:rPr>
            </w:pPr>
          </w:p>
        </w:tc>
      </w:tr>
    </w:tbl>
    <w:p w:rsidR="000759CA" w:rsidRDefault="000759CA" w:rsidP="000759CA">
      <w:pPr>
        <w:spacing w:line="280" w:lineRule="atLeast"/>
        <w:rPr>
          <w:rFonts w:ascii="Arial" w:hAnsi="Arial" w:cs="Arial"/>
          <w:b/>
          <w:sz w:val="22"/>
          <w:szCs w:val="22"/>
        </w:rPr>
      </w:pPr>
      <w:r w:rsidRPr="000759CA">
        <w:rPr>
          <w:rFonts w:ascii="Arial" w:hAnsi="Arial" w:cs="Arial"/>
          <w:b/>
          <w:sz w:val="22"/>
          <w:szCs w:val="22"/>
        </w:rPr>
        <w:t xml:space="preserve">Freedom of Information Act (FOIA) Request – </w:t>
      </w:r>
      <w:r>
        <w:rPr>
          <w:rFonts w:ascii="Arial" w:hAnsi="Arial" w:cs="Arial"/>
          <w:b/>
          <w:sz w:val="22"/>
          <w:szCs w:val="22"/>
        </w:rPr>
        <w:t xml:space="preserve">   </w:t>
      </w:r>
      <w:r w:rsidRPr="000759CA">
        <w:rPr>
          <w:rFonts w:ascii="Arial" w:hAnsi="Arial" w:cs="Arial"/>
          <w:b/>
          <w:sz w:val="22"/>
          <w:szCs w:val="22"/>
        </w:rPr>
        <w:t>1</w:t>
      </w:r>
      <w:r w:rsidR="001B0175">
        <w:rPr>
          <w:rFonts w:ascii="Arial" w:hAnsi="Arial" w:cs="Arial"/>
          <w:b/>
          <w:sz w:val="22"/>
          <w:szCs w:val="22"/>
        </w:rPr>
        <w:t>12413</w:t>
      </w:r>
    </w:p>
    <w:p w:rsidR="000759CA" w:rsidRPr="000759CA" w:rsidRDefault="000759CA" w:rsidP="000759CA">
      <w:pPr>
        <w:spacing w:line="280" w:lineRule="atLeast"/>
        <w:rPr>
          <w:rFonts w:ascii="Arial" w:hAnsi="Arial" w:cs="Arial"/>
          <w:b/>
          <w:sz w:val="22"/>
          <w:szCs w:val="22"/>
        </w:rPr>
      </w:pPr>
    </w:p>
    <w:p w:rsidR="0081625B" w:rsidRDefault="0081625B" w:rsidP="0081625B">
      <w:pPr>
        <w:rPr>
          <w:rFonts w:ascii="Arial" w:hAnsi="Arial" w:cs="Arial"/>
          <w:sz w:val="22"/>
          <w:szCs w:val="22"/>
        </w:rPr>
      </w:pPr>
    </w:p>
    <w:p w:rsidR="00B02E2B" w:rsidRDefault="00F951F1" w:rsidP="00E20B05">
      <w:pPr>
        <w:rPr>
          <w:rFonts w:ascii="Arial" w:hAnsi="Arial" w:cs="Arial"/>
          <w:sz w:val="22"/>
          <w:szCs w:val="22"/>
        </w:rPr>
      </w:pPr>
      <w:r>
        <w:rPr>
          <w:rFonts w:ascii="Arial" w:hAnsi="Arial" w:cs="Arial"/>
          <w:sz w:val="22"/>
          <w:szCs w:val="22"/>
        </w:rPr>
        <w:t>Y</w:t>
      </w:r>
      <w:r w:rsidR="00B02E2B" w:rsidRPr="00DD229C">
        <w:rPr>
          <w:rFonts w:ascii="Arial" w:hAnsi="Arial" w:cs="Arial"/>
          <w:sz w:val="22"/>
          <w:szCs w:val="22"/>
        </w:rPr>
        <w:t>ou asked for the following information from the Ministry of Justice:</w:t>
      </w:r>
    </w:p>
    <w:p w:rsidR="009B7FD5" w:rsidRDefault="009B7FD5" w:rsidP="00E20B05">
      <w:pPr>
        <w:rPr>
          <w:rFonts w:ascii="Arial" w:hAnsi="Arial" w:cs="Arial"/>
          <w:sz w:val="22"/>
          <w:szCs w:val="22"/>
        </w:rPr>
      </w:pPr>
    </w:p>
    <w:p w:rsidR="007210B3" w:rsidRPr="007210B3" w:rsidRDefault="007210B3" w:rsidP="007210B3">
      <w:pPr>
        <w:spacing w:line="280" w:lineRule="exact"/>
        <w:rPr>
          <w:rFonts w:ascii="Arial" w:hAnsi="Arial" w:cs="Arial"/>
          <w:b/>
          <w:sz w:val="22"/>
          <w:szCs w:val="22"/>
        </w:rPr>
      </w:pPr>
      <w:r w:rsidRPr="007210B3">
        <w:rPr>
          <w:rFonts w:ascii="Arial" w:hAnsi="Arial" w:cs="Arial"/>
          <w:b/>
          <w:sz w:val="22"/>
          <w:szCs w:val="22"/>
        </w:rPr>
        <w:t>I email to enquire about accessing historical sentencing statistics. I am a research fellow at King’s College London and would like to access statistics dating back to the 1970’s on sentencing in England and Wales, in particular in relation to ‘mentally disordered’ offenders. Though lo</w:t>
      </w:r>
      <w:bookmarkStart w:id="2" w:name="_GoBack"/>
      <w:bookmarkEnd w:id="2"/>
      <w:r w:rsidRPr="007210B3">
        <w:rPr>
          <w:rFonts w:ascii="Arial" w:hAnsi="Arial" w:cs="Arial"/>
          <w:b/>
          <w:sz w:val="22"/>
          <w:szCs w:val="22"/>
        </w:rPr>
        <w:t>oking at the online records on the Government, Ministry of Justice and National Archives websites, records don’t seem to back this far.</w:t>
      </w:r>
    </w:p>
    <w:p w:rsidR="00F171EF" w:rsidRDefault="00F171EF" w:rsidP="00E20B05">
      <w:pPr>
        <w:rPr>
          <w:rFonts w:ascii="Arial" w:hAnsi="Arial" w:cs="Arial"/>
          <w:sz w:val="22"/>
          <w:szCs w:val="22"/>
        </w:rPr>
      </w:pPr>
    </w:p>
    <w:p w:rsidR="009B7FD5" w:rsidRDefault="00F171EF" w:rsidP="00E20B05">
      <w:pPr>
        <w:rPr>
          <w:rFonts w:ascii="Arial" w:hAnsi="Arial" w:cs="Arial"/>
          <w:sz w:val="22"/>
          <w:szCs w:val="22"/>
        </w:rPr>
      </w:pPr>
      <w:r w:rsidRPr="00F171EF">
        <w:rPr>
          <w:rFonts w:ascii="Arial" w:hAnsi="Arial" w:cs="Arial"/>
          <w:sz w:val="22"/>
          <w:szCs w:val="22"/>
        </w:rPr>
        <w:t xml:space="preserve">I can confirm that the MoJ holds </w:t>
      </w:r>
      <w:r w:rsidR="001D3BD5">
        <w:rPr>
          <w:rFonts w:ascii="Arial" w:hAnsi="Arial" w:cs="Arial"/>
          <w:sz w:val="22"/>
          <w:szCs w:val="22"/>
        </w:rPr>
        <w:t xml:space="preserve">some </w:t>
      </w:r>
      <w:r w:rsidR="002B0C87">
        <w:rPr>
          <w:rFonts w:ascii="Arial" w:hAnsi="Arial" w:cs="Arial"/>
          <w:sz w:val="22"/>
          <w:szCs w:val="22"/>
        </w:rPr>
        <w:t>of</w:t>
      </w:r>
      <w:r w:rsidRPr="00F171EF">
        <w:rPr>
          <w:rFonts w:ascii="Arial" w:hAnsi="Arial" w:cs="Arial"/>
          <w:sz w:val="22"/>
          <w:szCs w:val="22"/>
        </w:rPr>
        <w:t xml:space="preserve"> the information that you have requested, and it is provided in the attached annex.</w:t>
      </w:r>
    </w:p>
    <w:p w:rsidR="00D311B8" w:rsidRDefault="00D311B8" w:rsidP="005923A0">
      <w:pPr>
        <w:rPr>
          <w:rFonts w:ascii="Arial" w:hAnsi="Arial" w:cs="Arial"/>
          <w:sz w:val="22"/>
          <w:szCs w:val="22"/>
        </w:rPr>
      </w:pPr>
    </w:p>
    <w:p w:rsidR="00D311B8" w:rsidRPr="00D767AB" w:rsidRDefault="0050413A" w:rsidP="0050413A">
      <w:pPr>
        <w:numPr>
          <w:ilvl w:val="0"/>
          <w:numId w:val="11"/>
        </w:numPr>
        <w:spacing w:line="280" w:lineRule="exact"/>
        <w:rPr>
          <w:rFonts w:ascii="Arial" w:hAnsi="Arial" w:cs="Arial"/>
          <w:sz w:val="22"/>
          <w:szCs w:val="22"/>
        </w:rPr>
      </w:pPr>
      <w:r w:rsidRPr="0050413A">
        <w:rPr>
          <w:rFonts w:ascii="Arial" w:hAnsi="Arial" w:cs="Arial"/>
          <w:bCs/>
          <w:sz w:val="22"/>
          <w:szCs w:val="22"/>
        </w:rPr>
        <w:t>Offenders sentenced to a Restriction Order, Hospital Order or Guardianship Order in England and Wales from 1984 to 2005</w:t>
      </w:r>
      <w:r w:rsidR="00D754CC">
        <w:rPr>
          <w:rFonts w:ascii="Arial" w:hAnsi="Arial" w:cs="Arial"/>
          <w:bCs/>
          <w:sz w:val="22"/>
          <w:szCs w:val="22"/>
        </w:rPr>
        <w:t>.</w:t>
      </w:r>
    </w:p>
    <w:p w:rsidR="005923A0" w:rsidRDefault="005923A0" w:rsidP="005923A0">
      <w:pPr>
        <w:rPr>
          <w:rFonts w:ascii="Arial" w:hAnsi="Arial" w:cs="Arial"/>
          <w:sz w:val="22"/>
          <w:szCs w:val="22"/>
        </w:rPr>
      </w:pPr>
      <w:r w:rsidRPr="00D767AB">
        <w:rPr>
          <w:rFonts w:ascii="Arial" w:hAnsi="Arial" w:cs="Arial"/>
          <w:sz w:val="22"/>
          <w:szCs w:val="22"/>
        </w:rPr>
        <w:t xml:space="preserve"> </w:t>
      </w:r>
    </w:p>
    <w:p w:rsidR="00692CB2" w:rsidRPr="00692CB2" w:rsidRDefault="002D099C" w:rsidP="00692CB2">
      <w:pPr>
        <w:rPr>
          <w:rFonts w:ascii="Arial" w:hAnsi="Arial" w:cs="Arial"/>
          <w:color w:val="0000CC"/>
          <w:sz w:val="22"/>
          <w:szCs w:val="22"/>
        </w:rPr>
      </w:pPr>
      <w:r>
        <w:rPr>
          <w:rFonts w:ascii="Arial" w:hAnsi="Arial" w:cs="Arial"/>
          <w:sz w:val="22"/>
          <w:szCs w:val="22"/>
        </w:rPr>
        <w:t>Data from 2006</w:t>
      </w:r>
      <w:r w:rsidR="00124B98">
        <w:rPr>
          <w:rFonts w:ascii="Arial" w:hAnsi="Arial" w:cs="Arial"/>
          <w:sz w:val="22"/>
          <w:szCs w:val="22"/>
        </w:rPr>
        <w:t xml:space="preserve"> to 2016 </w:t>
      </w:r>
      <w:r w:rsidR="00692CB2" w:rsidRPr="00692CB2">
        <w:rPr>
          <w:rFonts w:ascii="Arial" w:hAnsi="Arial" w:cs="Arial"/>
          <w:sz w:val="22"/>
          <w:szCs w:val="22"/>
        </w:rPr>
        <w:t>is exempt from disclosure under section 21 of the FOIA, because it is reasonably accessible to you. Sentencing information for England and Wales, from 200</w:t>
      </w:r>
      <w:r>
        <w:rPr>
          <w:rFonts w:ascii="Arial" w:hAnsi="Arial" w:cs="Arial"/>
          <w:sz w:val="22"/>
          <w:szCs w:val="22"/>
        </w:rPr>
        <w:t>6</w:t>
      </w:r>
      <w:r w:rsidR="00692CB2" w:rsidRPr="00692CB2">
        <w:rPr>
          <w:rFonts w:ascii="Arial" w:hAnsi="Arial" w:cs="Arial"/>
          <w:sz w:val="22"/>
          <w:szCs w:val="22"/>
        </w:rPr>
        <w:t xml:space="preserve"> to 201</w:t>
      </w:r>
      <w:r w:rsidR="008A2255">
        <w:rPr>
          <w:rFonts w:ascii="Arial" w:hAnsi="Arial" w:cs="Arial"/>
          <w:sz w:val="22"/>
          <w:szCs w:val="22"/>
        </w:rPr>
        <w:t>6</w:t>
      </w:r>
      <w:r w:rsidR="00692CB2" w:rsidRPr="00692CB2">
        <w:rPr>
          <w:rFonts w:ascii="Arial" w:hAnsi="Arial" w:cs="Arial"/>
          <w:sz w:val="22"/>
          <w:szCs w:val="22"/>
        </w:rPr>
        <w:t xml:space="preserve"> can be accessed from the </w:t>
      </w:r>
      <w:r w:rsidR="00C0354C" w:rsidRPr="001C3BF8">
        <w:rPr>
          <w:rFonts w:ascii="Arial" w:hAnsi="Arial" w:cs="Arial"/>
          <w:b/>
          <w:sz w:val="22"/>
          <w:szCs w:val="22"/>
        </w:rPr>
        <w:t>“</w:t>
      </w:r>
      <w:r w:rsidR="00692CB2" w:rsidRPr="00692CB2">
        <w:rPr>
          <w:rFonts w:ascii="Arial" w:hAnsi="Arial" w:cs="Arial"/>
          <w:b/>
          <w:sz w:val="22"/>
          <w:szCs w:val="22"/>
        </w:rPr>
        <w:t>sentencing data tool</w:t>
      </w:r>
      <w:r w:rsidR="00C0354C">
        <w:rPr>
          <w:rFonts w:ascii="Arial" w:hAnsi="Arial" w:cs="Arial"/>
          <w:b/>
          <w:sz w:val="22"/>
          <w:szCs w:val="22"/>
        </w:rPr>
        <w:t>”</w:t>
      </w:r>
      <w:r w:rsidR="00692CB2" w:rsidRPr="00692CB2">
        <w:rPr>
          <w:rFonts w:ascii="Arial" w:hAnsi="Arial" w:cs="Arial"/>
          <w:sz w:val="22"/>
          <w:szCs w:val="22"/>
        </w:rPr>
        <w:t xml:space="preserve"> within the below link:-</w:t>
      </w:r>
      <w:r w:rsidR="00692CB2" w:rsidRPr="00692CB2">
        <w:rPr>
          <w:rFonts w:ascii="Arial" w:hAnsi="Arial" w:cs="Arial"/>
          <w:color w:val="0000CC"/>
          <w:sz w:val="22"/>
          <w:szCs w:val="22"/>
        </w:rPr>
        <w:t xml:space="preserve"> </w:t>
      </w:r>
    </w:p>
    <w:p w:rsidR="00692CB2" w:rsidRDefault="00692CB2" w:rsidP="00692CB2">
      <w:pPr>
        <w:rPr>
          <w:rFonts w:ascii="Arial" w:hAnsi="Arial" w:cs="Arial"/>
          <w:color w:val="0000CC"/>
          <w:sz w:val="22"/>
          <w:szCs w:val="22"/>
        </w:rPr>
      </w:pPr>
    </w:p>
    <w:p w:rsidR="006C1CB7" w:rsidRPr="006C1CB7" w:rsidRDefault="006C1CB7" w:rsidP="006C1CB7">
      <w:pPr>
        <w:rPr>
          <w:rFonts w:ascii="Arial" w:hAnsi="Arial" w:cs="Arial"/>
          <w:sz w:val="22"/>
          <w:szCs w:val="22"/>
        </w:rPr>
      </w:pPr>
      <w:hyperlink r:id="rId8" w:history="1">
        <w:r w:rsidRPr="006C1CB7">
          <w:rPr>
            <w:rFonts w:ascii="Arial" w:hAnsi="Arial" w:cs="Arial"/>
            <w:sz w:val="22"/>
            <w:szCs w:val="22"/>
            <w:u w:val="single"/>
          </w:rPr>
          <w:t>https://www.gov.uk/government/statistics/criminal-justice-sy</w:t>
        </w:r>
        <w:r w:rsidRPr="006C1CB7">
          <w:rPr>
            <w:rFonts w:ascii="Arial" w:hAnsi="Arial" w:cs="Arial"/>
            <w:sz w:val="22"/>
            <w:szCs w:val="22"/>
            <w:u w:val="single"/>
          </w:rPr>
          <w:t>s</w:t>
        </w:r>
        <w:r w:rsidRPr="006C1CB7">
          <w:rPr>
            <w:rFonts w:ascii="Arial" w:hAnsi="Arial" w:cs="Arial"/>
            <w:sz w:val="22"/>
            <w:szCs w:val="22"/>
            <w:u w:val="single"/>
          </w:rPr>
          <w:t>tem-statistics-quarterly-december-2016</w:t>
        </w:r>
      </w:hyperlink>
      <w:r w:rsidRPr="006C1CB7">
        <w:rPr>
          <w:rFonts w:ascii="Arial" w:hAnsi="Arial" w:cs="Arial"/>
          <w:sz w:val="22"/>
          <w:szCs w:val="22"/>
        </w:rPr>
        <w:t xml:space="preserve">  </w:t>
      </w:r>
    </w:p>
    <w:p w:rsidR="006C1CB7" w:rsidRPr="00692CB2" w:rsidRDefault="006C1CB7" w:rsidP="00692CB2">
      <w:pPr>
        <w:rPr>
          <w:rFonts w:ascii="Arial" w:hAnsi="Arial" w:cs="Arial"/>
          <w:color w:val="0000CC"/>
          <w:sz w:val="22"/>
          <w:szCs w:val="22"/>
        </w:rPr>
      </w:pPr>
    </w:p>
    <w:p w:rsidR="00692CB2" w:rsidRDefault="00692CB2" w:rsidP="005923A0">
      <w:pPr>
        <w:rPr>
          <w:rFonts w:ascii="Arial" w:hAnsi="Arial" w:cs="Arial"/>
          <w:sz w:val="22"/>
          <w:szCs w:val="22"/>
        </w:rPr>
      </w:pPr>
      <w:r w:rsidRPr="00692CB2">
        <w:rPr>
          <w:rFonts w:ascii="Arial" w:hAnsi="Arial"/>
          <w:color w:val="000000"/>
          <w:sz w:val="22"/>
          <w:szCs w:val="22"/>
        </w:rPr>
        <w:t xml:space="preserve">This tool includes information on those offenders sentenced to hospital orders, restriction orders and guardianship orders under the Mental Health Act 1983.  </w:t>
      </w:r>
    </w:p>
    <w:p w:rsidR="00692CB2" w:rsidRPr="00D767AB" w:rsidRDefault="00692CB2" w:rsidP="005923A0">
      <w:pPr>
        <w:rPr>
          <w:rFonts w:ascii="Arial" w:hAnsi="Arial" w:cs="Arial"/>
          <w:sz w:val="22"/>
          <w:szCs w:val="22"/>
        </w:rPr>
      </w:pPr>
    </w:p>
    <w:p w:rsidR="005623B9" w:rsidRDefault="005623B9" w:rsidP="005623B9">
      <w:pPr>
        <w:autoSpaceDE w:val="0"/>
        <w:autoSpaceDN w:val="0"/>
        <w:adjustRightInd w:val="0"/>
        <w:rPr>
          <w:rStyle w:val="Hyperlink"/>
          <w:rFonts w:ascii="Arial" w:hAnsi="Arial" w:cs="Arial"/>
          <w:sz w:val="22"/>
          <w:szCs w:val="22"/>
        </w:rPr>
      </w:pPr>
      <w:r>
        <w:rPr>
          <w:rFonts w:ascii="Arial" w:hAnsi="Arial" w:cs="Arial"/>
          <w:sz w:val="22"/>
          <w:szCs w:val="22"/>
        </w:rPr>
        <w:t>C</w:t>
      </w:r>
      <w:r w:rsidRPr="00FE00C0">
        <w:rPr>
          <w:rFonts w:ascii="Arial" w:hAnsi="Arial" w:cs="Arial"/>
          <w:sz w:val="22"/>
          <w:szCs w:val="22"/>
        </w:rPr>
        <w:t>ourt proceedings statistics</w:t>
      </w:r>
      <w:r>
        <w:rPr>
          <w:rFonts w:ascii="Arial" w:hAnsi="Arial" w:cs="Arial"/>
          <w:sz w:val="22"/>
          <w:szCs w:val="22"/>
        </w:rPr>
        <w:t xml:space="preserve"> </w:t>
      </w:r>
      <w:r w:rsidR="006C2980">
        <w:rPr>
          <w:rFonts w:ascii="Arial" w:hAnsi="Arial" w:cs="Arial"/>
          <w:sz w:val="22"/>
          <w:szCs w:val="22"/>
        </w:rPr>
        <w:t>from 1885 to 1983</w:t>
      </w:r>
      <w:r>
        <w:rPr>
          <w:rFonts w:ascii="Arial" w:hAnsi="Arial" w:cs="Arial"/>
          <w:sz w:val="22"/>
          <w:szCs w:val="22"/>
        </w:rPr>
        <w:t>,</w:t>
      </w:r>
      <w:r w:rsidRPr="00FE00C0">
        <w:rPr>
          <w:rFonts w:ascii="Arial" w:hAnsi="Arial" w:cs="Arial"/>
          <w:sz w:val="22"/>
          <w:szCs w:val="22"/>
        </w:rPr>
        <w:t xml:space="preserve"> </w:t>
      </w:r>
      <w:r>
        <w:rPr>
          <w:rFonts w:ascii="Arial" w:hAnsi="Arial" w:cs="Arial"/>
          <w:sz w:val="22"/>
          <w:szCs w:val="22"/>
        </w:rPr>
        <w:t>which would include defendants prosecuted at magistrates’ courts and offenders found guilty at all courts</w:t>
      </w:r>
      <w:r w:rsidR="00E53B1D">
        <w:rPr>
          <w:rFonts w:ascii="Arial" w:hAnsi="Arial" w:cs="Arial"/>
          <w:sz w:val="22"/>
          <w:szCs w:val="22"/>
        </w:rPr>
        <w:t xml:space="preserve"> </w:t>
      </w:r>
      <w:r>
        <w:rPr>
          <w:rFonts w:ascii="Arial" w:hAnsi="Arial" w:cs="Arial"/>
          <w:sz w:val="22"/>
          <w:szCs w:val="22"/>
        </w:rPr>
        <w:t>in England and Wales</w:t>
      </w:r>
      <w:r w:rsidR="006C2980">
        <w:rPr>
          <w:rFonts w:ascii="Arial" w:hAnsi="Arial" w:cs="Arial"/>
          <w:sz w:val="22"/>
          <w:szCs w:val="22"/>
        </w:rPr>
        <w:t>,</w:t>
      </w:r>
      <w:r>
        <w:rPr>
          <w:rFonts w:ascii="Arial" w:hAnsi="Arial" w:cs="Arial"/>
          <w:sz w:val="22"/>
          <w:szCs w:val="22"/>
        </w:rPr>
        <w:t xml:space="preserve"> </w:t>
      </w:r>
      <w:r w:rsidR="006C2980">
        <w:rPr>
          <w:rFonts w:ascii="Arial" w:hAnsi="Arial" w:cs="Arial"/>
          <w:sz w:val="22"/>
          <w:szCs w:val="22"/>
        </w:rPr>
        <w:t>including those given a hospital order or restriction order for certain offences,</w:t>
      </w:r>
      <w:r w:rsidR="006C2980" w:rsidRPr="00FE00C0">
        <w:rPr>
          <w:rFonts w:ascii="Arial" w:hAnsi="Arial" w:cs="Arial"/>
          <w:sz w:val="22"/>
          <w:szCs w:val="22"/>
        </w:rPr>
        <w:t xml:space="preserve"> </w:t>
      </w:r>
      <w:r w:rsidRPr="00FE00C0">
        <w:rPr>
          <w:rFonts w:ascii="Arial" w:hAnsi="Arial" w:cs="Arial"/>
          <w:sz w:val="22"/>
          <w:szCs w:val="22"/>
        </w:rPr>
        <w:t>can be obtained at</w:t>
      </w:r>
      <w:r>
        <w:rPr>
          <w:rFonts w:ascii="Arial" w:hAnsi="Arial" w:cs="Arial"/>
          <w:sz w:val="22"/>
          <w:szCs w:val="22"/>
        </w:rPr>
        <w:t xml:space="preserve"> this link</w:t>
      </w:r>
      <w:r w:rsidRPr="00FE00C0">
        <w:rPr>
          <w:rFonts w:ascii="Arial" w:hAnsi="Arial" w:cs="Arial"/>
          <w:sz w:val="22"/>
          <w:szCs w:val="22"/>
        </w:rPr>
        <w:t xml:space="preserve"> </w:t>
      </w:r>
      <w:hyperlink r:id="rId9" w:history="1">
        <w:r w:rsidRPr="00565854">
          <w:rPr>
            <w:rStyle w:val="Hyperlink"/>
            <w:rFonts w:ascii="Arial" w:hAnsi="Arial" w:cs="Arial"/>
            <w:sz w:val="22"/>
            <w:szCs w:val="22"/>
          </w:rPr>
          <w:t>http://tinyurl</w:t>
        </w:r>
        <w:r w:rsidRPr="00565854">
          <w:rPr>
            <w:rStyle w:val="Hyperlink"/>
            <w:rFonts w:ascii="Arial" w:hAnsi="Arial" w:cs="Arial"/>
            <w:sz w:val="22"/>
            <w:szCs w:val="22"/>
          </w:rPr>
          <w:t>.</w:t>
        </w:r>
        <w:r w:rsidRPr="00565854">
          <w:rPr>
            <w:rStyle w:val="Hyperlink"/>
            <w:rFonts w:ascii="Arial" w:hAnsi="Arial" w:cs="Arial"/>
            <w:sz w:val="22"/>
            <w:szCs w:val="22"/>
          </w:rPr>
          <w:t>c</w:t>
        </w:r>
        <w:r w:rsidRPr="00565854">
          <w:rPr>
            <w:rStyle w:val="Hyperlink"/>
            <w:rFonts w:ascii="Arial" w:hAnsi="Arial" w:cs="Arial"/>
            <w:sz w:val="22"/>
            <w:szCs w:val="22"/>
          </w:rPr>
          <w:t>o</w:t>
        </w:r>
        <w:r w:rsidRPr="00565854">
          <w:rPr>
            <w:rStyle w:val="Hyperlink"/>
            <w:rFonts w:ascii="Arial" w:hAnsi="Arial" w:cs="Arial"/>
            <w:sz w:val="22"/>
            <w:szCs w:val="22"/>
          </w:rPr>
          <w:t>m/gmf68ny</w:t>
        </w:r>
      </w:hyperlink>
    </w:p>
    <w:p w:rsidR="005923A0" w:rsidRDefault="005923A0" w:rsidP="002057D0">
      <w:pPr>
        <w:autoSpaceDE w:val="0"/>
        <w:autoSpaceDN w:val="0"/>
        <w:adjustRightInd w:val="0"/>
        <w:rPr>
          <w:rFonts w:ascii="Arial" w:hAnsi="Arial" w:cs="Arial"/>
          <w:color w:val="000000"/>
          <w:sz w:val="22"/>
          <w:szCs w:val="22"/>
        </w:rPr>
      </w:pPr>
    </w:p>
    <w:p w:rsidR="00F60EE9" w:rsidRPr="00F60EE9" w:rsidRDefault="00F60EE9" w:rsidP="00F60EE9">
      <w:pPr>
        <w:spacing w:line="280" w:lineRule="exact"/>
        <w:rPr>
          <w:rFonts w:ascii="Arial" w:hAnsi="Arial" w:cs="Arial"/>
          <w:sz w:val="22"/>
          <w:szCs w:val="22"/>
        </w:rPr>
      </w:pPr>
      <w:r w:rsidRPr="00F60EE9">
        <w:rPr>
          <w:rFonts w:ascii="Arial" w:hAnsi="Arial" w:cs="Arial"/>
          <w:sz w:val="22"/>
          <w:szCs w:val="22"/>
        </w:rPr>
        <w:t xml:space="preserve">Some of the information, which covers 2017, is exempt from disclosure under section 44(1)(a) of the FOIA, which refers to prohibitions on disclosure ‘by or under any enactment’ of the FOIA.  In this case, the information you are seeking is prohibited by </w:t>
      </w:r>
      <w:r w:rsidRPr="00F60EE9">
        <w:rPr>
          <w:rFonts w:ascii="Arial" w:hAnsi="Arial" w:cs="Arial"/>
          <w:sz w:val="22"/>
          <w:szCs w:val="22"/>
        </w:rPr>
        <w:lastRenderedPageBreak/>
        <w:t xml:space="preserve">the Statistics and Registration Services (SRS) Act 2007 and the Pre-release Access to Official Statistics Order 2008. </w:t>
      </w:r>
    </w:p>
    <w:p w:rsidR="00F60EE9" w:rsidRPr="00F60EE9" w:rsidRDefault="00F60EE9" w:rsidP="00F60EE9">
      <w:pPr>
        <w:spacing w:line="280" w:lineRule="exact"/>
        <w:rPr>
          <w:rFonts w:ascii="Arial" w:hAnsi="Arial" w:cs="Arial"/>
          <w:sz w:val="22"/>
          <w:szCs w:val="22"/>
        </w:rPr>
      </w:pPr>
    </w:p>
    <w:p w:rsidR="00F60EE9" w:rsidRPr="00F60EE9" w:rsidRDefault="00F60EE9" w:rsidP="00F60EE9">
      <w:pPr>
        <w:spacing w:line="280" w:lineRule="exact"/>
        <w:rPr>
          <w:rFonts w:ascii="Arial" w:hAnsi="Arial" w:cs="Arial"/>
          <w:sz w:val="22"/>
          <w:szCs w:val="22"/>
        </w:rPr>
      </w:pPr>
      <w:r w:rsidRPr="00F60EE9">
        <w:rPr>
          <w:rFonts w:ascii="Arial" w:hAnsi="Arial" w:cs="Arial"/>
          <w:sz w:val="22"/>
          <w:szCs w:val="22"/>
        </w:rPr>
        <w:t xml:space="preserve">The information you have requested is a subset of the Criminal Justice Statistics data held in its final form which we routinely publish. As such we are required to consider your request in a manner compliant with the Pre-release Access to Official Statistics Order 2008 further to sections 11 and 13 of the (SRS Act 2007. </w:t>
      </w:r>
    </w:p>
    <w:p w:rsidR="00F60EE9" w:rsidRPr="00F60EE9" w:rsidRDefault="00F60EE9" w:rsidP="00F60EE9">
      <w:pPr>
        <w:spacing w:line="280" w:lineRule="exact"/>
        <w:rPr>
          <w:rFonts w:ascii="Arial" w:hAnsi="Arial" w:cs="Arial"/>
          <w:sz w:val="22"/>
          <w:szCs w:val="22"/>
        </w:rPr>
      </w:pPr>
    </w:p>
    <w:p w:rsidR="00F60EE9" w:rsidRPr="00F60EE9" w:rsidRDefault="00F60EE9" w:rsidP="00F60EE9">
      <w:pPr>
        <w:spacing w:line="280" w:lineRule="exact"/>
        <w:rPr>
          <w:rFonts w:ascii="Arial" w:hAnsi="Arial" w:cs="Arial"/>
          <w:sz w:val="22"/>
          <w:szCs w:val="22"/>
        </w:rPr>
      </w:pPr>
      <w:r w:rsidRPr="00F60EE9">
        <w:rPr>
          <w:rFonts w:ascii="Arial" w:hAnsi="Arial" w:cs="Arial"/>
          <w:sz w:val="22"/>
          <w:szCs w:val="22"/>
        </w:rPr>
        <w:t>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Therefore, to now disclose as part of your FOI request, will violate the provisions of section 13 of the SRS Act and the Pre-Release Access Order to Official Statistics 2008 and as such engages the exemption under section 44(1)(a) of the FOIA.</w:t>
      </w:r>
    </w:p>
    <w:p w:rsidR="00F60EE9" w:rsidRPr="00F60EE9" w:rsidRDefault="00F60EE9" w:rsidP="00F60EE9">
      <w:pPr>
        <w:spacing w:line="280" w:lineRule="exact"/>
        <w:rPr>
          <w:rFonts w:ascii="Arial" w:hAnsi="Arial" w:cs="Arial"/>
          <w:sz w:val="22"/>
          <w:szCs w:val="22"/>
        </w:rPr>
      </w:pPr>
    </w:p>
    <w:p w:rsidR="00F60EE9" w:rsidRPr="00F60EE9" w:rsidRDefault="00F60EE9" w:rsidP="00F60EE9">
      <w:pPr>
        <w:spacing w:line="280" w:lineRule="exact"/>
        <w:rPr>
          <w:rFonts w:ascii="Arial" w:hAnsi="Arial" w:cs="Arial"/>
          <w:sz w:val="22"/>
          <w:szCs w:val="22"/>
        </w:rPr>
      </w:pPr>
      <w:r w:rsidRPr="00F60EE9">
        <w:rPr>
          <w:rFonts w:ascii="Arial" w:hAnsi="Arial" w:cs="Arial"/>
          <w:sz w:val="22"/>
          <w:szCs w:val="22"/>
        </w:rPr>
        <w:t>Please also be aware that Section 44 is an absolute exemption and does not require a public interest test.</w:t>
      </w:r>
    </w:p>
    <w:p w:rsidR="00F60EE9" w:rsidRPr="00F60EE9" w:rsidRDefault="00F60EE9" w:rsidP="00F60EE9">
      <w:pPr>
        <w:spacing w:line="280" w:lineRule="exact"/>
        <w:rPr>
          <w:rFonts w:ascii="Arial" w:hAnsi="Arial" w:cs="Arial"/>
          <w:sz w:val="22"/>
          <w:szCs w:val="22"/>
        </w:rPr>
      </w:pPr>
    </w:p>
    <w:p w:rsidR="00F60EE9" w:rsidRPr="00F60EE9" w:rsidRDefault="00F60EE9" w:rsidP="00F60EE9">
      <w:pPr>
        <w:spacing w:line="280" w:lineRule="exact"/>
        <w:rPr>
          <w:rFonts w:ascii="Arial" w:hAnsi="Arial" w:cs="Arial"/>
          <w:sz w:val="22"/>
          <w:szCs w:val="22"/>
        </w:rPr>
      </w:pPr>
      <w:r w:rsidRPr="00F60EE9">
        <w:rPr>
          <w:rFonts w:ascii="Arial" w:hAnsi="Arial" w:cs="Arial"/>
          <w:sz w:val="22"/>
          <w:szCs w:val="22"/>
        </w:rPr>
        <w:t>The information for 2017 is also exempt from disclosure under section 22(1) of the FOIA, because it is intended for future publication and data are not available until the annual criminal statistics publication is published on 17 May 2018.</w:t>
      </w:r>
    </w:p>
    <w:p w:rsidR="00F60EE9" w:rsidRPr="00F60EE9" w:rsidRDefault="00F60EE9" w:rsidP="00F60EE9">
      <w:pPr>
        <w:spacing w:line="280" w:lineRule="exact"/>
        <w:rPr>
          <w:rFonts w:ascii="Arial" w:hAnsi="Arial" w:cs="Arial"/>
          <w:sz w:val="22"/>
          <w:szCs w:val="22"/>
        </w:rPr>
      </w:pPr>
    </w:p>
    <w:sectPr w:rsidR="00F60EE9" w:rsidRPr="00F60EE9"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EA" w:rsidRDefault="004010EA">
      <w:r>
        <w:separator/>
      </w:r>
    </w:p>
  </w:endnote>
  <w:endnote w:type="continuationSeparator" w:id="0">
    <w:p w:rsidR="004010EA" w:rsidRDefault="004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EA" w:rsidRDefault="004010EA">
      <w:r>
        <w:separator/>
      </w:r>
    </w:p>
  </w:footnote>
  <w:footnote w:type="continuationSeparator" w:id="0">
    <w:p w:rsidR="004010EA" w:rsidRDefault="00401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F2E6F"/>
    <w:multiLevelType w:val="hybridMultilevel"/>
    <w:tmpl w:val="1790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0"/>
  </w:num>
  <w:num w:numId="6">
    <w:abstractNumId w:val="2"/>
  </w:num>
  <w:num w:numId="7">
    <w:abstractNumId w:val="9"/>
  </w:num>
  <w:num w:numId="8">
    <w:abstractNumId w:val="10"/>
  </w:num>
  <w:num w:numId="9">
    <w:abstractNumId w:val="4"/>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273FD"/>
    <w:rsid w:val="0003103F"/>
    <w:rsid w:val="00035D1C"/>
    <w:rsid w:val="00043C1B"/>
    <w:rsid w:val="00047F6D"/>
    <w:rsid w:val="0005086E"/>
    <w:rsid w:val="0005486F"/>
    <w:rsid w:val="00055BD8"/>
    <w:rsid w:val="00064447"/>
    <w:rsid w:val="00071655"/>
    <w:rsid w:val="00073F3F"/>
    <w:rsid w:val="000759CA"/>
    <w:rsid w:val="00083884"/>
    <w:rsid w:val="00083CE9"/>
    <w:rsid w:val="00085D37"/>
    <w:rsid w:val="00085F55"/>
    <w:rsid w:val="00092267"/>
    <w:rsid w:val="00093D3C"/>
    <w:rsid w:val="000A0FFE"/>
    <w:rsid w:val="000A1F23"/>
    <w:rsid w:val="000A221F"/>
    <w:rsid w:val="000A2BCA"/>
    <w:rsid w:val="000A4DBF"/>
    <w:rsid w:val="000A6F7A"/>
    <w:rsid w:val="000B5A99"/>
    <w:rsid w:val="000B7073"/>
    <w:rsid w:val="000B7E6B"/>
    <w:rsid w:val="000C20F6"/>
    <w:rsid w:val="000C2D71"/>
    <w:rsid w:val="000D2E07"/>
    <w:rsid w:val="000E4F55"/>
    <w:rsid w:val="000F5C85"/>
    <w:rsid w:val="000F6014"/>
    <w:rsid w:val="00110EBD"/>
    <w:rsid w:val="00120291"/>
    <w:rsid w:val="00124B98"/>
    <w:rsid w:val="00133D1E"/>
    <w:rsid w:val="00135A3F"/>
    <w:rsid w:val="001407E6"/>
    <w:rsid w:val="0014223E"/>
    <w:rsid w:val="00150A41"/>
    <w:rsid w:val="00160620"/>
    <w:rsid w:val="00161A44"/>
    <w:rsid w:val="001670F6"/>
    <w:rsid w:val="0017725D"/>
    <w:rsid w:val="00177F85"/>
    <w:rsid w:val="00180043"/>
    <w:rsid w:val="001A6C9B"/>
    <w:rsid w:val="001B0175"/>
    <w:rsid w:val="001B2AC7"/>
    <w:rsid w:val="001B5B4D"/>
    <w:rsid w:val="001B7D73"/>
    <w:rsid w:val="001C15CD"/>
    <w:rsid w:val="001C27E9"/>
    <w:rsid w:val="001C3BF8"/>
    <w:rsid w:val="001C4CA5"/>
    <w:rsid w:val="001C667B"/>
    <w:rsid w:val="001D1E30"/>
    <w:rsid w:val="001D2ADD"/>
    <w:rsid w:val="001D3BD5"/>
    <w:rsid w:val="002010E9"/>
    <w:rsid w:val="0020568B"/>
    <w:rsid w:val="00205760"/>
    <w:rsid w:val="002057D0"/>
    <w:rsid w:val="0021415F"/>
    <w:rsid w:val="002179DD"/>
    <w:rsid w:val="002470A2"/>
    <w:rsid w:val="0025606E"/>
    <w:rsid w:val="002624C5"/>
    <w:rsid w:val="00284268"/>
    <w:rsid w:val="00286B7B"/>
    <w:rsid w:val="0029178A"/>
    <w:rsid w:val="0029597E"/>
    <w:rsid w:val="002A17F0"/>
    <w:rsid w:val="002A53EB"/>
    <w:rsid w:val="002A69A5"/>
    <w:rsid w:val="002A6BB6"/>
    <w:rsid w:val="002A7A01"/>
    <w:rsid w:val="002B0C87"/>
    <w:rsid w:val="002B7F78"/>
    <w:rsid w:val="002D029D"/>
    <w:rsid w:val="002D0810"/>
    <w:rsid w:val="002D099C"/>
    <w:rsid w:val="002D5D1E"/>
    <w:rsid w:val="002E1CB9"/>
    <w:rsid w:val="002E5E00"/>
    <w:rsid w:val="002E641B"/>
    <w:rsid w:val="003052C5"/>
    <w:rsid w:val="00313D9B"/>
    <w:rsid w:val="00314249"/>
    <w:rsid w:val="00317710"/>
    <w:rsid w:val="003217F1"/>
    <w:rsid w:val="003223B6"/>
    <w:rsid w:val="00330B6D"/>
    <w:rsid w:val="00343883"/>
    <w:rsid w:val="00345326"/>
    <w:rsid w:val="00353B9B"/>
    <w:rsid w:val="003574A1"/>
    <w:rsid w:val="00360270"/>
    <w:rsid w:val="00363547"/>
    <w:rsid w:val="0036540C"/>
    <w:rsid w:val="003711EB"/>
    <w:rsid w:val="00386FA6"/>
    <w:rsid w:val="00395FF9"/>
    <w:rsid w:val="00396F7C"/>
    <w:rsid w:val="003B1EB7"/>
    <w:rsid w:val="003C39BE"/>
    <w:rsid w:val="003D1932"/>
    <w:rsid w:val="003D3641"/>
    <w:rsid w:val="003D488A"/>
    <w:rsid w:val="003D74BF"/>
    <w:rsid w:val="003F3AB2"/>
    <w:rsid w:val="003F5271"/>
    <w:rsid w:val="003F6C63"/>
    <w:rsid w:val="003F6CF4"/>
    <w:rsid w:val="004010EA"/>
    <w:rsid w:val="00403DAF"/>
    <w:rsid w:val="00410829"/>
    <w:rsid w:val="004115FD"/>
    <w:rsid w:val="00414CD3"/>
    <w:rsid w:val="004172B7"/>
    <w:rsid w:val="00417717"/>
    <w:rsid w:val="004220C6"/>
    <w:rsid w:val="004253BB"/>
    <w:rsid w:val="00426AD1"/>
    <w:rsid w:val="0043030D"/>
    <w:rsid w:val="00440DE1"/>
    <w:rsid w:val="00447DFF"/>
    <w:rsid w:val="00472257"/>
    <w:rsid w:val="0047763D"/>
    <w:rsid w:val="00493E12"/>
    <w:rsid w:val="004B4A1A"/>
    <w:rsid w:val="004B4CAE"/>
    <w:rsid w:val="004C0BAC"/>
    <w:rsid w:val="004C12E9"/>
    <w:rsid w:val="004C457F"/>
    <w:rsid w:val="004D700C"/>
    <w:rsid w:val="004E1E12"/>
    <w:rsid w:val="004F702C"/>
    <w:rsid w:val="005021CB"/>
    <w:rsid w:val="00502953"/>
    <w:rsid w:val="0050413A"/>
    <w:rsid w:val="00504598"/>
    <w:rsid w:val="00507063"/>
    <w:rsid w:val="005202DD"/>
    <w:rsid w:val="005203B0"/>
    <w:rsid w:val="00521176"/>
    <w:rsid w:val="00522F32"/>
    <w:rsid w:val="005407E5"/>
    <w:rsid w:val="00547F59"/>
    <w:rsid w:val="005623B9"/>
    <w:rsid w:val="00572929"/>
    <w:rsid w:val="00581975"/>
    <w:rsid w:val="005923A0"/>
    <w:rsid w:val="005939B8"/>
    <w:rsid w:val="00597941"/>
    <w:rsid w:val="005A2C5A"/>
    <w:rsid w:val="005A56DD"/>
    <w:rsid w:val="005A768A"/>
    <w:rsid w:val="005B7296"/>
    <w:rsid w:val="005C2AFE"/>
    <w:rsid w:val="005C2E45"/>
    <w:rsid w:val="005C3B5F"/>
    <w:rsid w:val="005D0A14"/>
    <w:rsid w:val="005D30B3"/>
    <w:rsid w:val="005F1FE0"/>
    <w:rsid w:val="005F6EB6"/>
    <w:rsid w:val="00600152"/>
    <w:rsid w:val="00602A68"/>
    <w:rsid w:val="00605080"/>
    <w:rsid w:val="006050C2"/>
    <w:rsid w:val="0060676F"/>
    <w:rsid w:val="00607F16"/>
    <w:rsid w:val="00613077"/>
    <w:rsid w:val="00616EDC"/>
    <w:rsid w:val="00632DB6"/>
    <w:rsid w:val="006358B8"/>
    <w:rsid w:val="006363DA"/>
    <w:rsid w:val="006370D6"/>
    <w:rsid w:val="00656791"/>
    <w:rsid w:val="00657BE7"/>
    <w:rsid w:val="00672B9C"/>
    <w:rsid w:val="00672C95"/>
    <w:rsid w:val="006753BE"/>
    <w:rsid w:val="006817AB"/>
    <w:rsid w:val="00682ED5"/>
    <w:rsid w:val="00683D81"/>
    <w:rsid w:val="00685E02"/>
    <w:rsid w:val="00686515"/>
    <w:rsid w:val="00686CF6"/>
    <w:rsid w:val="00687C17"/>
    <w:rsid w:val="00691434"/>
    <w:rsid w:val="00692CB2"/>
    <w:rsid w:val="0069630C"/>
    <w:rsid w:val="006B06B0"/>
    <w:rsid w:val="006B26A9"/>
    <w:rsid w:val="006C1CB7"/>
    <w:rsid w:val="006C2980"/>
    <w:rsid w:val="006C4DFE"/>
    <w:rsid w:val="006D02ED"/>
    <w:rsid w:val="006D2BB3"/>
    <w:rsid w:val="006D7851"/>
    <w:rsid w:val="00701C33"/>
    <w:rsid w:val="00707F63"/>
    <w:rsid w:val="00712DBD"/>
    <w:rsid w:val="00716C99"/>
    <w:rsid w:val="00717943"/>
    <w:rsid w:val="00720F00"/>
    <w:rsid w:val="007210B3"/>
    <w:rsid w:val="00721FF6"/>
    <w:rsid w:val="0072601E"/>
    <w:rsid w:val="00732427"/>
    <w:rsid w:val="007349B0"/>
    <w:rsid w:val="007364F9"/>
    <w:rsid w:val="0074268C"/>
    <w:rsid w:val="00745DE9"/>
    <w:rsid w:val="0075037A"/>
    <w:rsid w:val="00751F04"/>
    <w:rsid w:val="00757C4F"/>
    <w:rsid w:val="00764F8A"/>
    <w:rsid w:val="00766207"/>
    <w:rsid w:val="007703DA"/>
    <w:rsid w:val="0077587F"/>
    <w:rsid w:val="00787278"/>
    <w:rsid w:val="00795C49"/>
    <w:rsid w:val="007960EE"/>
    <w:rsid w:val="007A4F47"/>
    <w:rsid w:val="007A550A"/>
    <w:rsid w:val="007B3C39"/>
    <w:rsid w:val="007B3FD5"/>
    <w:rsid w:val="007C158D"/>
    <w:rsid w:val="007C22F2"/>
    <w:rsid w:val="007C52BB"/>
    <w:rsid w:val="007C6011"/>
    <w:rsid w:val="007D290C"/>
    <w:rsid w:val="007D43F0"/>
    <w:rsid w:val="007D4597"/>
    <w:rsid w:val="007E4242"/>
    <w:rsid w:val="007F2CB3"/>
    <w:rsid w:val="007F35D1"/>
    <w:rsid w:val="007F5A11"/>
    <w:rsid w:val="008149AE"/>
    <w:rsid w:val="0081625B"/>
    <w:rsid w:val="00821C2A"/>
    <w:rsid w:val="00826F7D"/>
    <w:rsid w:val="0083092D"/>
    <w:rsid w:val="00837883"/>
    <w:rsid w:val="00850414"/>
    <w:rsid w:val="00870FE2"/>
    <w:rsid w:val="00876289"/>
    <w:rsid w:val="008905BA"/>
    <w:rsid w:val="00894F95"/>
    <w:rsid w:val="008A0E59"/>
    <w:rsid w:val="008A2255"/>
    <w:rsid w:val="008A47C2"/>
    <w:rsid w:val="008D0238"/>
    <w:rsid w:val="008E2953"/>
    <w:rsid w:val="008E780C"/>
    <w:rsid w:val="008F38ED"/>
    <w:rsid w:val="008F63E3"/>
    <w:rsid w:val="00903FA5"/>
    <w:rsid w:val="00912F2E"/>
    <w:rsid w:val="00927420"/>
    <w:rsid w:val="009330D9"/>
    <w:rsid w:val="00943F10"/>
    <w:rsid w:val="00952719"/>
    <w:rsid w:val="009555FE"/>
    <w:rsid w:val="009641D2"/>
    <w:rsid w:val="00981B1F"/>
    <w:rsid w:val="0099435D"/>
    <w:rsid w:val="009A01D8"/>
    <w:rsid w:val="009B15A5"/>
    <w:rsid w:val="009B1A70"/>
    <w:rsid w:val="009B30A4"/>
    <w:rsid w:val="009B5C64"/>
    <w:rsid w:val="009B624A"/>
    <w:rsid w:val="009B7FD5"/>
    <w:rsid w:val="009C10EC"/>
    <w:rsid w:val="009C3671"/>
    <w:rsid w:val="009C7E3A"/>
    <w:rsid w:val="009E501C"/>
    <w:rsid w:val="009E6E64"/>
    <w:rsid w:val="009E76BF"/>
    <w:rsid w:val="00A0015F"/>
    <w:rsid w:val="00A05278"/>
    <w:rsid w:val="00A140CB"/>
    <w:rsid w:val="00A4070B"/>
    <w:rsid w:val="00A44CEB"/>
    <w:rsid w:val="00A540CD"/>
    <w:rsid w:val="00A61142"/>
    <w:rsid w:val="00A654A8"/>
    <w:rsid w:val="00A65FB8"/>
    <w:rsid w:val="00A73FA3"/>
    <w:rsid w:val="00A75D5B"/>
    <w:rsid w:val="00A80A7A"/>
    <w:rsid w:val="00A80C43"/>
    <w:rsid w:val="00A90CF1"/>
    <w:rsid w:val="00A92F8C"/>
    <w:rsid w:val="00A93A66"/>
    <w:rsid w:val="00AA7121"/>
    <w:rsid w:val="00AB3DC4"/>
    <w:rsid w:val="00AB607F"/>
    <w:rsid w:val="00AB7AFD"/>
    <w:rsid w:val="00AC66F0"/>
    <w:rsid w:val="00AC6B10"/>
    <w:rsid w:val="00AD407D"/>
    <w:rsid w:val="00AE648C"/>
    <w:rsid w:val="00AE6516"/>
    <w:rsid w:val="00AF323D"/>
    <w:rsid w:val="00AF6F11"/>
    <w:rsid w:val="00AF7CD9"/>
    <w:rsid w:val="00B02D4D"/>
    <w:rsid w:val="00B02E2B"/>
    <w:rsid w:val="00B06E96"/>
    <w:rsid w:val="00B14598"/>
    <w:rsid w:val="00B16AEB"/>
    <w:rsid w:val="00B20CB4"/>
    <w:rsid w:val="00B20CC1"/>
    <w:rsid w:val="00B212C3"/>
    <w:rsid w:val="00B21AE2"/>
    <w:rsid w:val="00B2271D"/>
    <w:rsid w:val="00B27CC9"/>
    <w:rsid w:val="00B3083B"/>
    <w:rsid w:val="00B35E25"/>
    <w:rsid w:val="00B429DA"/>
    <w:rsid w:val="00B76CB4"/>
    <w:rsid w:val="00B973C8"/>
    <w:rsid w:val="00BA63BE"/>
    <w:rsid w:val="00BB0B99"/>
    <w:rsid w:val="00BC5C0D"/>
    <w:rsid w:val="00BD2C9D"/>
    <w:rsid w:val="00BD579B"/>
    <w:rsid w:val="00BD5C61"/>
    <w:rsid w:val="00BD6709"/>
    <w:rsid w:val="00BD79C4"/>
    <w:rsid w:val="00BE1E9B"/>
    <w:rsid w:val="00BF1CBD"/>
    <w:rsid w:val="00BF247F"/>
    <w:rsid w:val="00BF360C"/>
    <w:rsid w:val="00BF71B9"/>
    <w:rsid w:val="00C0354C"/>
    <w:rsid w:val="00C04B5F"/>
    <w:rsid w:val="00C05F2C"/>
    <w:rsid w:val="00C077F3"/>
    <w:rsid w:val="00C15159"/>
    <w:rsid w:val="00C160EC"/>
    <w:rsid w:val="00C177CC"/>
    <w:rsid w:val="00C17A91"/>
    <w:rsid w:val="00C25A39"/>
    <w:rsid w:val="00C445E0"/>
    <w:rsid w:val="00C52329"/>
    <w:rsid w:val="00C57478"/>
    <w:rsid w:val="00C62C3D"/>
    <w:rsid w:val="00C63054"/>
    <w:rsid w:val="00C6380A"/>
    <w:rsid w:val="00C76F14"/>
    <w:rsid w:val="00C841B5"/>
    <w:rsid w:val="00C97F31"/>
    <w:rsid w:val="00CA62DD"/>
    <w:rsid w:val="00CB1902"/>
    <w:rsid w:val="00CB1AA4"/>
    <w:rsid w:val="00CE4B74"/>
    <w:rsid w:val="00CE5EF7"/>
    <w:rsid w:val="00CF4A6A"/>
    <w:rsid w:val="00CF776B"/>
    <w:rsid w:val="00D05A9D"/>
    <w:rsid w:val="00D1077D"/>
    <w:rsid w:val="00D15B3B"/>
    <w:rsid w:val="00D225F4"/>
    <w:rsid w:val="00D264E1"/>
    <w:rsid w:val="00D30180"/>
    <w:rsid w:val="00D30525"/>
    <w:rsid w:val="00D311B8"/>
    <w:rsid w:val="00D31A00"/>
    <w:rsid w:val="00D34027"/>
    <w:rsid w:val="00D34CA0"/>
    <w:rsid w:val="00D47510"/>
    <w:rsid w:val="00D52084"/>
    <w:rsid w:val="00D52AD5"/>
    <w:rsid w:val="00D5560F"/>
    <w:rsid w:val="00D70704"/>
    <w:rsid w:val="00D71F9D"/>
    <w:rsid w:val="00D754CC"/>
    <w:rsid w:val="00D767AB"/>
    <w:rsid w:val="00D91EA6"/>
    <w:rsid w:val="00D93C1D"/>
    <w:rsid w:val="00DA056D"/>
    <w:rsid w:val="00DA5FD3"/>
    <w:rsid w:val="00DA7762"/>
    <w:rsid w:val="00DA797A"/>
    <w:rsid w:val="00DA7B55"/>
    <w:rsid w:val="00DB1EAA"/>
    <w:rsid w:val="00DC75CA"/>
    <w:rsid w:val="00DD229C"/>
    <w:rsid w:val="00DD6C91"/>
    <w:rsid w:val="00DD7DAA"/>
    <w:rsid w:val="00DE649B"/>
    <w:rsid w:val="00DF4FFE"/>
    <w:rsid w:val="00E050B5"/>
    <w:rsid w:val="00E0591C"/>
    <w:rsid w:val="00E1006A"/>
    <w:rsid w:val="00E1729C"/>
    <w:rsid w:val="00E20B05"/>
    <w:rsid w:val="00E3043D"/>
    <w:rsid w:val="00E306A8"/>
    <w:rsid w:val="00E320CE"/>
    <w:rsid w:val="00E32EC0"/>
    <w:rsid w:val="00E36BAC"/>
    <w:rsid w:val="00E378C2"/>
    <w:rsid w:val="00E44A1D"/>
    <w:rsid w:val="00E44F5D"/>
    <w:rsid w:val="00E53B1D"/>
    <w:rsid w:val="00E629B1"/>
    <w:rsid w:val="00E7489D"/>
    <w:rsid w:val="00E74D8A"/>
    <w:rsid w:val="00E83F7F"/>
    <w:rsid w:val="00EC1507"/>
    <w:rsid w:val="00EC4310"/>
    <w:rsid w:val="00ED20F9"/>
    <w:rsid w:val="00ED2FCA"/>
    <w:rsid w:val="00ED7C29"/>
    <w:rsid w:val="00EE079D"/>
    <w:rsid w:val="00EE71C8"/>
    <w:rsid w:val="00EF0A65"/>
    <w:rsid w:val="00EF6436"/>
    <w:rsid w:val="00F02437"/>
    <w:rsid w:val="00F039E7"/>
    <w:rsid w:val="00F15593"/>
    <w:rsid w:val="00F171EF"/>
    <w:rsid w:val="00F209DD"/>
    <w:rsid w:val="00F20DD2"/>
    <w:rsid w:val="00F22D6A"/>
    <w:rsid w:val="00F26ED6"/>
    <w:rsid w:val="00F304E3"/>
    <w:rsid w:val="00F31240"/>
    <w:rsid w:val="00F34027"/>
    <w:rsid w:val="00F347A4"/>
    <w:rsid w:val="00F35B4A"/>
    <w:rsid w:val="00F45B13"/>
    <w:rsid w:val="00F4790F"/>
    <w:rsid w:val="00F54E78"/>
    <w:rsid w:val="00F5538D"/>
    <w:rsid w:val="00F60EE9"/>
    <w:rsid w:val="00F61CA9"/>
    <w:rsid w:val="00F65300"/>
    <w:rsid w:val="00F70725"/>
    <w:rsid w:val="00F756FC"/>
    <w:rsid w:val="00F91B9B"/>
    <w:rsid w:val="00F951F1"/>
    <w:rsid w:val="00FA200D"/>
    <w:rsid w:val="00FA4C8B"/>
    <w:rsid w:val="00FA6C6A"/>
    <w:rsid w:val="00FB582D"/>
    <w:rsid w:val="00FB60BE"/>
    <w:rsid w:val="00FB6D2E"/>
    <w:rsid w:val="00FC5112"/>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A5E66F3-1A43-4817-9694-2BA2E542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paragraph" w:styleId="ListParagraph">
    <w:name w:val="List Paragraph"/>
    <w:basedOn w:val="Normal"/>
    <w:uiPriority w:val="34"/>
    <w:qFormat/>
    <w:rsid w:val="006753BE"/>
    <w:pPr>
      <w:ind w:left="720"/>
    </w:pPr>
    <w:rPr>
      <w:rFonts w:ascii="Calibri" w:eastAsia="Calibri" w:hAnsi="Calibri"/>
      <w:sz w:val="22"/>
      <w:szCs w:val="22"/>
      <w:lang w:eastAsia="en-US"/>
    </w:rPr>
  </w:style>
  <w:style w:type="character" w:customStyle="1" w:styleId="Heading2Char">
    <w:name w:val="Heading 2 Char"/>
    <w:link w:val="Heading2"/>
    <w:rsid w:val="005923A0"/>
    <w:rPr>
      <w:b/>
      <w:bCs/>
      <w:sz w:val="36"/>
      <w:szCs w:val="36"/>
    </w:rPr>
  </w:style>
  <w:style w:type="paragraph" w:customStyle="1" w:styleId="MOJaddress">
    <w:name w:val="MOJ address"/>
    <w:rsid w:val="00C76F14"/>
    <w:pPr>
      <w:spacing w:line="200" w:lineRule="atLeast"/>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416">
      <w:bodyDiv w:val="1"/>
      <w:marLeft w:val="0"/>
      <w:marRight w:val="0"/>
      <w:marTop w:val="0"/>
      <w:marBottom w:val="0"/>
      <w:divBdr>
        <w:top w:val="none" w:sz="0" w:space="0" w:color="auto"/>
        <w:left w:val="none" w:sz="0" w:space="0" w:color="auto"/>
        <w:bottom w:val="none" w:sz="0" w:space="0" w:color="auto"/>
        <w:right w:val="none" w:sz="0" w:space="0" w:color="auto"/>
      </w:divBdr>
    </w:div>
    <w:div w:id="469790431">
      <w:bodyDiv w:val="1"/>
      <w:marLeft w:val="0"/>
      <w:marRight w:val="0"/>
      <w:marTop w:val="0"/>
      <w:marBottom w:val="0"/>
      <w:divBdr>
        <w:top w:val="none" w:sz="0" w:space="0" w:color="auto"/>
        <w:left w:val="none" w:sz="0" w:space="0" w:color="auto"/>
        <w:bottom w:val="none" w:sz="0" w:space="0" w:color="auto"/>
        <w:right w:val="none" w:sz="0" w:space="0" w:color="auto"/>
      </w:divBdr>
    </w:div>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criminal-justice-system-statistics-quarterly-december-20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inyurl.com/gmf68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FOI 112413 Sentencing for Mentally Disordered Offenders</vt:lpstr>
    </vt:vector>
  </TitlesOfParts>
  <Company>Ministry of Justice</Company>
  <LinksUpToDate>false</LinksUpToDate>
  <CharactersWithSpaces>3777</CharactersWithSpaces>
  <SharedDoc>false</SharedDoc>
  <HLinks>
    <vt:vector size="30" baseType="variant">
      <vt:variant>
        <vt:i4>5636139</vt:i4>
      </vt:variant>
      <vt:variant>
        <vt:i4>12</vt:i4>
      </vt:variant>
      <vt:variant>
        <vt:i4>0</vt:i4>
      </vt:variant>
      <vt:variant>
        <vt:i4>5</vt:i4>
      </vt:variant>
      <vt:variant>
        <vt:lpwstr>mailto:data.access@justice.gsi.gov.uk</vt:lpwstr>
      </vt:variant>
      <vt:variant>
        <vt:lpwstr/>
      </vt:variant>
      <vt:variant>
        <vt:i4>6684720</vt:i4>
      </vt:variant>
      <vt:variant>
        <vt:i4>9</vt:i4>
      </vt:variant>
      <vt:variant>
        <vt:i4>0</vt:i4>
      </vt:variant>
      <vt:variant>
        <vt:i4>5</vt:i4>
      </vt:variant>
      <vt:variant>
        <vt:lpwstr>http://tinyurl.com/gmf68ny</vt:lpwstr>
      </vt:variant>
      <vt:variant>
        <vt:lpwstr/>
      </vt:variant>
      <vt:variant>
        <vt:i4>3473513</vt:i4>
      </vt:variant>
      <vt:variant>
        <vt:i4>6</vt:i4>
      </vt:variant>
      <vt:variant>
        <vt:i4>0</vt:i4>
      </vt:variant>
      <vt:variant>
        <vt:i4>5</vt:i4>
      </vt:variant>
      <vt:variant>
        <vt:lpwstr>https://www.gov.uk/government/statistics/criminal-justice-system-statistics-quarterly-december-2016</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2293784</vt:i4>
      </vt:variant>
      <vt:variant>
        <vt:i4>0</vt:i4>
      </vt:variant>
      <vt:variant>
        <vt:i4>0</vt:i4>
      </vt:variant>
      <vt:variant>
        <vt:i4>5</vt:i4>
      </vt:variant>
      <vt:variant>
        <vt:lpwstr>mailto:victoria.gregory@kcl.ac.uk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112413 Sentencing for Mentally Disordered Offenders</dc:title>
  <dc:subject>FOI Release</dc:subject>
  <dc:creator>MoJ</dc:creator>
  <cp:keywords/>
  <dc:description/>
  <cp:lastModifiedBy>Cox, Allan</cp:lastModifiedBy>
  <cp:revision>2</cp:revision>
  <cp:lastPrinted>2013-07-23T12:57:00Z</cp:lastPrinted>
  <dcterms:created xsi:type="dcterms:W3CDTF">2017-08-18T13:15:00Z</dcterms:created>
  <dcterms:modified xsi:type="dcterms:W3CDTF">2017-08-18T13:15:00Z</dcterms:modified>
</cp:coreProperties>
</file>