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7E2BCA" w:rsidTr="002F33ED">
        <w:trPr>
          <w:trHeight w:val="2977"/>
        </w:trPr>
        <w:tc>
          <w:tcPr>
            <w:tcW w:w="6379" w:type="dxa"/>
          </w:tcPr>
          <w:p w:rsidR="007E2BCA" w:rsidRDefault="0096167E" w:rsidP="002F33ED">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7E2BCA" w:rsidRDefault="007E2BCA" w:rsidP="002F33ED">
            <w:pPr>
              <w:pStyle w:val="MOJaddress"/>
              <w:rPr>
                <w:color w:val="0000CC"/>
                <w:sz w:val="22"/>
                <w:szCs w:val="22"/>
              </w:rPr>
            </w:pPr>
          </w:p>
          <w:p w:rsidR="007E2BCA" w:rsidRDefault="007E2BCA" w:rsidP="002F33ED">
            <w:pPr>
              <w:pStyle w:val="MOJaddress"/>
              <w:rPr>
                <w:color w:val="0000CC"/>
                <w:sz w:val="22"/>
                <w:szCs w:val="22"/>
              </w:rPr>
            </w:pPr>
          </w:p>
          <w:p w:rsidR="007E2BCA" w:rsidRPr="009C4B46" w:rsidRDefault="007E2BCA" w:rsidP="002F33ED">
            <w:pPr>
              <w:pStyle w:val="MOJaddress"/>
              <w:rPr>
                <w:color w:val="0000CC"/>
                <w:sz w:val="22"/>
                <w:szCs w:val="22"/>
              </w:rPr>
            </w:pPr>
          </w:p>
          <w:p w:rsidR="007E2BCA" w:rsidRDefault="007E2BCA" w:rsidP="002F33ED">
            <w:pPr>
              <w:pStyle w:val="MOJaddress"/>
            </w:pPr>
          </w:p>
        </w:tc>
        <w:tc>
          <w:tcPr>
            <w:tcW w:w="3261" w:type="dxa"/>
          </w:tcPr>
          <w:p w:rsidR="007E2BCA" w:rsidRPr="00D5584F" w:rsidRDefault="007E2BCA" w:rsidP="002F33ED">
            <w:pPr>
              <w:spacing w:after="40" w:line="200" w:lineRule="atLeast"/>
            </w:pPr>
            <w:r w:rsidRPr="00D5584F">
              <w:t>Data Access &amp; Compliance</w:t>
            </w:r>
            <w:r>
              <w:t xml:space="preserve"> </w:t>
            </w:r>
            <w:r w:rsidRPr="00D5584F">
              <w:t>Unit</w:t>
            </w:r>
          </w:p>
          <w:p w:rsidR="007E2BCA" w:rsidRPr="00D5584F" w:rsidRDefault="007E2BCA" w:rsidP="002F33ED">
            <w:pPr>
              <w:spacing w:after="40" w:line="200" w:lineRule="atLeast"/>
            </w:pPr>
            <w:r w:rsidRPr="00D5584F">
              <w:t>Ministry of Justice</w:t>
            </w:r>
          </w:p>
          <w:p w:rsidR="007E2BCA" w:rsidRPr="00D5584F" w:rsidRDefault="007E2BCA" w:rsidP="002F33ED">
            <w:pPr>
              <w:spacing w:after="40" w:line="200" w:lineRule="atLeast"/>
            </w:pPr>
            <w:r w:rsidRPr="00D5584F">
              <w:t xml:space="preserve">102 Petty France </w:t>
            </w:r>
          </w:p>
          <w:p w:rsidR="007E2BCA" w:rsidRPr="00D5584F" w:rsidRDefault="007E2BCA" w:rsidP="002F33ED">
            <w:pPr>
              <w:spacing w:after="40" w:line="200" w:lineRule="atLeast"/>
            </w:pPr>
            <w:r w:rsidRPr="00D5584F">
              <w:t>London</w:t>
            </w:r>
          </w:p>
          <w:p w:rsidR="007E2BCA" w:rsidRDefault="007E2BCA" w:rsidP="002F33ED">
            <w:pPr>
              <w:pStyle w:val="MOJaddress"/>
              <w:rPr>
                <w:sz w:val="22"/>
                <w:szCs w:val="22"/>
              </w:rPr>
            </w:pPr>
            <w:r w:rsidRPr="00D5584F">
              <w:rPr>
                <w:sz w:val="22"/>
                <w:szCs w:val="22"/>
              </w:rPr>
              <w:t>SW1H 9AJ</w:t>
            </w:r>
          </w:p>
          <w:p w:rsidR="007E2BCA" w:rsidRDefault="007E2BCA" w:rsidP="002F33ED">
            <w:pPr>
              <w:pStyle w:val="MOJaddress"/>
              <w:rPr>
                <w:sz w:val="22"/>
                <w:szCs w:val="22"/>
              </w:rPr>
            </w:pPr>
          </w:p>
          <w:p w:rsidR="007E2BCA" w:rsidRDefault="007E2BCA" w:rsidP="002F33ED">
            <w:pPr>
              <w:pStyle w:val="MOJaddress"/>
            </w:pPr>
            <w:hyperlink r:id="rId9" w:history="1">
              <w:r w:rsidRPr="00CC4A4F">
                <w:rPr>
                  <w:rStyle w:val="Hyperlink"/>
                  <w:sz w:val="22"/>
                  <w:szCs w:val="22"/>
                </w:rPr>
                <w:t>data.access@justice.gsi.gov.uk</w:t>
              </w:r>
            </w:hyperlink>
          </w:p>
          <w:p w:rsidR="007E2BCA" w:rsidRPr="009C4B46" w:rsidRDefault="007E2BCA" w:rsidP="002F33ED">
            <w:pPr>
              <w:pStyle w:val="MOJaddress"/>
              <w:ind w:left="284"/>
              <w:rPr>
                <w:color w:val="0000CC"/>
                <w:sz w:val="22"/>
                <w:szCs w:val="22"/>
              </w:rPr>
            </w:pPr>
          </w:p>
          <w:p w:rsidR="007E2BCA" w:rsidRPr="00B10BE1" w:rsidRDefault="002C169F" w:rsidP="002F33ED">
            <w:pPr>
              <w:pStyle w:val="MOJaddress"/>
            </w:pPr>
            <w:r>
              <w:rPr>
                <w:sz w:val="22"/>
                <w:szCs w:val="22"/>
              </w:rPr>
              <w:t>July</w:t>
            </w:r>
            <w:r w:rsidR="007E2BCA" w:rsidRPr="00B10BE1">
              <w:rPr>
                <w:sz w:val="22"/>
                <w:szCs w:val="22"/>
              </w:rPr>
              <w:t xml:space="preserve"> 2017</w:t>
            </w:r>
          </w:p>
        </w:tc>
      </w:tr>
    </w:tbl>
    <w:p w:rsidR="007E2BCA" w:rsidRPr="007E2BCA" w:rsidRDefault="007E2BCA" w:rsidP="007E2BCA">
      <w:pPr>
        <w:spacing w:after="0"/>
        <w:rPr>
          <w:rFonts w:ascii="Arial" w:hAnsi="Arial" w:cs="Arial"/>
          <w:b/>
        </w:rPr>
      </w:pPr>
    </w:p>
    <w:p w:rsidR="007E2BCA" w:rsidRPr="007E2BCA" w:rsidRDefault="007E2BCA" w:rsidP="007E2BCA">
      <w:pPr>
        <w:spacing w:after="0"/>
        <w:rPr>
          <w:rFonts w:ascii="Arial" w:hAnsi="Arial" w:cs="Arial"/>
          <w:b/>
        </w:rPr>
      </w:pPr>
    </w:p>
    <w:p w:rsidR="007E2BCA" w:rsidRPr="007E2BCA" w:rsidRDefault="007E2BCA" w:rsidP="007E2BCA">
      <w:pPr>
        <w:spacing w:after="0"/>
        <w:rPr>
          <w:rFonts w:ascii="Arial" w:hAnsi="Arial" w:cs="Arial"/>
          <w:b/>
          <w:color w:val="0000CC"/>
        </w:rPr>
      </w:pPr>
      <w:r w:rsidRPr="007E2BCA">
        <w:rPr>
          <w:rFonts w:ascii="Arial" w:hAnsi="Arial" w:cs="Arial"/>
          <w:b/>
        </w:rPr>
        <w:t xml:space="preserve">Freedom of Information Act (FOIA) Request – </w:t>
      </w:r>
      <w:r w:rsidRPr="007E2BCA">
        <w:rPr>
          <w:rFonts w:ascii="Arial" w:hAnsi="Arial" w:cs="Arial"/>
        </w:rPr>
        <w:t>110993</w:t>
      </w:r>
    </w:p>
    <w:p w:rsidR="007E2BCA" w:rsidRPr="007E2BCA" w:rsidRDefault="007E2BCA" w:rsidP="007E2BCA">
      <w:pPr>
        <w:spacing w:after="0"/>
        <w:rPr>
          <w:rFonts w:ascii="Arial" w:hAnsi="Arial" w:cs="Arial"/>
          <w:b/>
          <w:color w:val="0000CC"/>
        </w:rPr>
      </w:pPr>
    </w:p>
    <w:p w:rsidR="007E2BCA" w:rsidRPr="007E2BCA" w:rsidRDefault="007E2BCA" w:rsidP="007E2BCA">
      <w:pPr>
        <w:spacing w:after="0"/>
        <w:rPr>
          <w:rFonts w:ascii="Arial" w:hAnsi="Arial" w:cs="Arial"/>
          <w:b/>
          <w:color w:val="0000CC"/>
        </w:rPr>
      </w:pPr>
      <w:r w:rsidRPr="007E2BCA">
        <w:rPr>
          <w:rFonts w:ascii="Arial" w:hAnsi="Arial" w:cs="Arial"/>
        </w:rPr>
        <w:t xml:space="preserve">Thank you for your request in which you asked for the following information from the Ministry of Justice (MoJ):  </w:t>
      </w:r>
    </w:p>
    <w:p w:rsidR="007E2BCA" w:rsidRPr="007E2BCA" w:rsidRDefault="007E2BCA" w:rsidP="007E2BCA">
      <w:pPr>
        <w:spacing w:after="0"/>
        <w:rPr>
          <w:rFonts w:ascii="Arial" w:hAnsi="Arial" w:cs="Arial"/>
          <w:b/>
          <w:color w:val="0000CC"/>
        </w:rPr>
      </w:pPr>
    </w:p>
    <w:p w:rsidR="007E2BCA" w:rsidRPr="002C169F" w:rsidRDefault="007E2BCA" w:rsidP="007E2BCA">
      <w:pPr>
        <w:spacing w:after="0"/>
        <w:rPr>
          <w:rFonts w:ascii="Arial" w:hAnsi="Arial" w:cs="Arial"/>
          <w:b/>
        </w:rPr>
      </w:pPr>
      <w:r w:rsidRPr="002C169F">
        <w:rPr>
          <w:rFonts w:ascii="Arial" w:hAnsi="Arial" w:cs="Arial"/>
          <w:b/>
        </w:rPr>
        <w:t xml:space="preserve">Can you provide the following, from 2011 to 2017, broken down by each financial year? </w:t>
      </w:r>
    </w:p>
    <w:p w:rsidR="007E2BCA" w:rsidRPr="002C169F" w:rsidRDefault="007E2BCA" w:rsidP="007E2BCA">
      <w:pPr>
        <w:spacing w:after="0"/>
        <w:rPr>
          <w:rFonts w:ascii="Arial" w:hAnsi="Arial" w:cs="Arial"/>
          <w:b/>
        </w:rPr>
      </w:pPr>
      <w:r w:rsidRPr="002C169F">
        <w:rPr>
          <w:rFonts w:ascii="Arial" w:hAnsi="Arial" w:cs="Arial"/>
          <w:b/>
        </w:rPr>
        <w:t>1.</w:t>
      </w:r>
      <w:r w:rsidRPr="002C169F">
        <w:rPr>
          <w:rFonts w:ascii="Arial" w:hAnsi="Arial" w:cs="Arial"/>
          <w:b/>
        </w:rPr>
        <w:tab/>
        <w:t xml:space="preserve">How many people, convicted of rape in each of the last six years, had at least one previous conviction of rape?  </w:t>
      </w:r>
    </w:p>
    <w:p w:rsidR="007E2BCA" w:rsidRPr="002C169F" w:rsidRDefault="007E2BCA" w:rsidP="007E2BCA">
      <w:pPr>
        <w:spacing w:after="0"/>
        <w:rPr>
          <w:rFonts w:ascii="Arial" w:hAnsi="Arial" w:cs="Arial"/>
          <w:b/>
        </w:rPr>
      </w:pPr>
      <w:r w:rsidRPr="002C169F">
        <w:rPr>
          <w:rFonts w:ascii="Arial" w:hAnsi="Arial" w:cs="Arial"/>
          <w:b/>
        </w:rPr>
        <w:t>2.</w:t>
      </w:r>
      <w:r w:rsidRPr="002C169F">
        <w:rPr>
          <w:rFonts w:ascii="Arial" w:hAnsi="Arial" w:cs="Arial"/>
          <w:b/>
        </w:rPr>
        <w:tab/>
        <w:t xml:space="preserve">How many people, convicted of rape in each of the last six years, had at least one previous conviction of a sexual assault? </w:t>
      </w:r>
    </w:p>
    <w:p w:rsidR="007E2BCA" w:rsidRPr="002C169F" w:rsidRDefault="007E2BCA" w:rsidP="007E2BCA">
      <w:pPr>
        <w:spacing w:after="0"/>
        <w:rPr>
          <w:rFonts w:ascii="Arial" w:hAnsi="Arial" w:cs="Arial"/>
          <w:b/>
        </w:rPr>
      </w:pPr>
    </w:p>
    <w:p w:rsidR="007E2BCA" w:rsidRPr="002C169F" w:rsidRDefault="007E2BCA" w:rsidP="007E2BCA">
      <w:pPr>
        <w:spacing w:after="0"/>
        <w:rPr>
          <w:rFonts w:ascii="Arial" w:hAnsi="Arial" w:cs="Arial"/>
          <w:b/>
        </w:rPr>
      </w:pPr>
      <w:r w:rsidRPr="002C169F">
        <w:rPr>
          <w:rFonts w:ascii="Arial" w:hAnsi="Arial" w:cs="Arial"/>
          <w:b/>
        </w:rPr>
        <w:t xml:space="preserve">I wish to be informed in writing whether you have such information and, if so, I seek the disclosure of that information. If the information is covered by any exemptions, please disclose such information as is not covered by the exemptions. </w:t>
      </w:r>
    </w:p>
    <w:p w:rsidR="007E2BCA" w:rsidRPr="007E2BCA" w:rsidRDefault="007E2BCA" w:rsidP="007E2BCA">
      <w:pPr>
        <w:spacing w:after="0"/>
        <w:rPr>
          <w:rFonts w:ascii="Arial" w:hAnsi="Arial" w:cs="Arial"/>
        </w:rPr>
      </w:pPr>
    </w:p>
    <w:p w:rsidR="007E2BCA" w:rsidRPr="007E2BCA" w:rsidRDefault="007E2BCA" w:rsidP="007E2BCA">
      <w:pPr>
        <w:spacing w:after="0"/>
        <w:rPr>
          <w:rFonts w:ascii="Arial" w:hAnsi="Arial" w:cs="Arial"/>
        </w:rPr>
      </w:pPr>
      <w:r w:rsidRPr="007E2BCA">
        <w:rPr>
          <w:rFonts w:ascii="Arial" w:hAnsi="Arial" w:cs="Arial"/>
        </w:rPr>
        <w:t>Your request has been handled under the FOIA.</w:t>
      </w:r>
    </w:p>
    <w:p w:rsidR="007E2BCA" w:rsidRPr="007E2BCA" w:rsidRDefault="007E2BCA" w:rsidP="007E2BCA">
      <w:pPr>
        <w:spacing w:after="0"/>
        <w:rPr>
          <w:rFonts w:ascii="Arial" w:hAnsi="Arial" w:cs="Arial"/>
        </w:rPr>
      </w:pPr>
    </w:p>
    <w:p w:rsidR="00FF4173" w:rsidRDefault="007E2BCA" w:rsidP="00D30E8E">
      <w:pPr>
        <w:spacing w:after="0"/>
        <w:rPr>
          <w:rFonts w:ascii="Arial" w:hAnsi="Arial" w:cs="Arial"/>
          <w:color w:val="0000CC"/>
        </w:rPr>
      </w:pPr>
      <w:r w:rsidRPr="007E2BCA">
        <w:rPr>
          <w:rFonts w:ascii="Arial" w:hAnsi="Arial" w:cs="Arial"/>
        </w:rPr>
        <w:t>I can confirm that the MoJ holds the information that you have requested and I have provided it below.</w:t>
      </w:r>
      <w:r w:rsidR="00F24F37">
        <w:rPr>
          <w:rFonts w:ascii="Arial" w:hAnsi="Arial" w:cs="Arial"/>
        </w:rPr>
        <w:t xml:space="preserve"> Please note that the data for October 2016 to March 2017 is not yet available. The figures provided in the</w:t>
      </w:r>
      <w:bookmarkStart w:id="0" w:name="_GoBack"/>
      <w:bookmarkEnd w:id="0"/>
      <w:r w:rsidR="00F24F37">
        <w:rPr>
          <w:rFonts w:ascii="Arial" w:hAnsi="Arial" w:cs="Arial"/>
        </w:rPr>
        <w:t xml:space="preserve"> table are for the last six complete financial years for which data is available.</w:t>
      </w: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30E8E" w:rsidRDefault="00D30E8E" w:rsidP="00D30E8E">
      <w:pPr>
        <w:spacing w:after="0"/>
        <w:rPr>
          <w:rFonts w:ascii="Arial" w:hAnsi="Arial" w:cs="Arial"/>
          <w:color w:val="0000CC"/>
        </w:rPr>
      </w:pPr>
    </w:p>
    <w:p w:rsidR="00D65146" w:rsidRDefault="00D65146">
      <w:pPr>
        <w:rPr>
          <w:rFonts w:ascii="Arial" w:hAnsi="Arial" w:cs="Arial"/>
          <w:color w:val="0000CC"/>
        </w:rPr>
      </w:pPr>
    </w:p>
    <w:p w:rsidR="007E2BCA" w:rsidRPr="007E2BCA" w:rsidRDefault="004C4543">
      <w:pPr>
        <w:rPr>
          <w:rFonts w:ascii="Arial" w:hAnsi="Arial" w:cs="Arial"/>
          <w:b/>
        </w:rPr>
      </w:pPr>
      <w:r>
        <w:rPr>
          <w:rFonts w:ascii="Arial" w:hAnsi="Arial" w:cs="Arial"/>
          <w:b/>
        </w:rPr>
        <w:lastRenderedPageBreak/>
        <w:t>Table 1</w:t>
      </w:r>
      <w:r w:rsidR="002F3688">
        <w:rPr>
          <w:rFonts w:ascii="Arial" w:hAnsi="Arial" w:cs="Arial"/>
          <w:b/>
        </w:rPr>
        <w:t>: Number of o</w:t>
      </w:r>
      <w:r w:rsidR="007E2BCA" w:rsidRPr="007E2BCA">
        <w:rPr>
          <w:rFonts w:ascii="Arial" w:hAnsi="Arial" w:cs="Arial"/>
          <w:b/>
        </w:rPr>
        <w:t>ffenders convicted</w:t>
      </w:r>
      <w:r w:rsidR="007E2BCA" w:rsidRPr="007E2BCA">
        <w:rPr>
          <w:rFonts w:ascii="Arial" w:hAnsi="Arial" w:cs="Arial"/>
          <w:b/>
          <w:vertAlign w:val="superscript"/>
        </w:rPr>
        <w:t>1</w:t>
      </w:r>
      <w:r w:rsidR="003F6EB4">
        <w:rPr>
          <w:rFonts w:ascii="Arial" w:hAnsi="Arial" w:cs="Arial"/>
          <w:b/>
        </w:rPr>
        <w:t xml:space="preserve"> of</w:t>
      </w:r>
      <w:r w:rsidR="007E2BCA" w:rsidRPr="007E2BCA">
        <w:rPr>
          <w:rFonts w:ascii="Arial" w:hAnsi="Arial" w:cs="Arial"/>
          <w:b/>
        </w:rPr>
        <w:t xml:space="preserve"> rape</w:t>
      </w:r>
      <w:r w:rsidR="007E2BCA" w:rsidRPr="007E2BCA">
        <w:rPr>
          <w:rFonts w:ascii="Arial" w:hAnsi="Arial" w:cs="Arial"/>
          <w:b/>
          <w:vertAlign w:val="superscript"/>
        </w:rPr>
        <w:t>2</w:t>
      </w:r>
      <w:r w:rsidR="00B727E2">
        <w:rPr>
          <w:rFonts w:ascii="Arial" w:hAnsi="Arial" w:cs="Arial"/>
          <w:b/>
        </w:rPr>
        <w:t xml:space="preserve"> by financial year</w:t>
      </w:r>
      <w:r w:rsidR="003F6EB4">
        <w:rPr>
          <w:rFonts w:ascii="Arial" w:hAnsi="Arial" w:cs="Arial"/>
          <w:b/>
        </w:rPr>
        <w:t>,</w:t>
      </w:r>
      <w:r w:rsidR="007E2BCA" w:rsidRPr="007E2BCA">
        <w:rPr>
          <w:rFonts w:ascii="Arial" w:hAnsi="Arial" w:cs="Arial"/>
          <w:b/>
        </w:rPr>
        <w:t xml:space="preserve"> England and Wales</w:t>
      </w:r>
      <w:r w:rsidR="007E2BCA" w:rsidRPr="007E2BCA">
        <w:rPr>
          <w:rFonts w:ascii="Arial" w:hAnsi="Arial" w:cs="Arial"/>
          <w:b/>
          <w:vertAlign w:val="superscript"/>
        </w:rPr>
        <w:t>3</w:t>
      </w:r>
      <w:r w:rsidR="007E2BCA" w:rsidRPr="007E2BCA">
        <w:rPr>
          <w:rFonts w:ascii="Arial" w:hAnsi="Arial" w:cs="Arial"/>
          <w:b/>
        </w:rPr>
        <w:t>, 1 April 2010 to 31 March 2016</w:t>
      </w:r>
    </w:p>
    <w:p w:rsidR="007E2BCA" w:rsidRDefault="0096167E">
      <w:r w:rsidRPr="002C169F">
        <w:rPr>
          <w:rFonts w:ascii="Arial" w:hAnsi="Arial" w:cs="Arial"/>
          <w:noProof/>
          <w:lang w:eastAsia="en-GB"/>
        </w:rPr>
        <w:drawing>
          <wp:inline distT="0" distB="0" distL="0" distR="0">
            <wp:extent cx="5724525" cy="470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705350"/>
                    </a:xfrm>
                    <a:prstGeom prst="rect">
                      <a:avLst/>
                    </a:prstGeom>
                    <a:noFill/>
                    <a:ln>
                      <a:noFill/>
                    </a:ln>
                  </pic:spPr>
                </pic:pic>
              </a:graphicData>
            </a:graphic>
          </wp:inline>
        </w:drawing>
      </w:r>
    </w:p>
    <w:p w:rsidR="00D30E8E" w:rsidRDefault="00D30E8E" w:rsidP="00D30E8E">
      <w:pPr>
        <w:rPr>
          <w:rFonts w:ascii="Arial" w:hAnsi="Arial" w:cs="Arial"/>
          <w:b/>
        </w:rPr>
      </w:pPr>
    </w:p>
    <w:p w:rsidR="00022605" w:rsidRDefault="00D30E8E" w:rsidP="00022605">
      <w:pPr>
        <w:spacing w:line="240" w:lineRule="auto"/>
        <w:rPr>
          <w:rFonts w:cs="Arial"/>
          <w:lang w:eastAsia="en-GB"/>
        </w:rPr>
      </w:pPr>
      <w:r>
        <w:rPr>
          <w:rFonts w:ascii="Arial" w:hAnsi="Arial" w:cs="Arial"/>
        </w:rPr>
        <w:t xml:space="preserve">Data for October 2016 to March 2017 is </w:t>
      </w:r>
      <w:r w:rsidRPr="00F24F37">
        <w:rPr>
          <w:rFonts w:ascii="Arial" w:hAnsi="Arial" w:cs="Arial"/>
        </w:rPr>
        <w:t>exempt from disclosure under section 22(1) of the FOIA, because it is intended for future publication. This is a qualified exemption which means that the decision to disclose the information is subject to the public interest test.</w:t>
      </w:r>
      <w:r>
        <w:rPr>
          <w:rFonts w:ascii="Arial" w:hAnsi="Arial" w:cs="Arial"/>
        </w:rPr>
        <w:t xml:space="preserve"> </w:t>
      </w:r>
      <w:r w:rsidR="00022605" w:rsidRPr="00022605">
        <w:rPr>
          <w:rFonts w:ascii="Arial" w:hAnsi="Arial" w:cs="Arial"/>
        </w:rPr>
        <w:t>When assessing whether or not it was in the public interest to disclose the information to you, we took into account the following factors:</w:t>
      </w:r>
    </w:p>
    <w:p w:rsidR="00022605" w:rsidRPr="00022605" w:rsidRDefault="00022605" w:rsidP="00022605">
      <w:pPr>
        <w:spacing w:line="240" w:lineRule="auto"/>
        <w:rPr>
          <w:rFonts w:cs="Arial"/>
          <w:lang w:eastAsia="en-GB"/>
        </w:rPr>
      </w:pPr>
    </w:p>
    <w:p w:rsidR="00022605" w:rsidRPr="00022605" w:rsidRDefault="00022605" w:rsidP="00022605">
      <w:pPr>
        <w:autoSpaceDE w:val="0"/>
        <w:autoSpaceDN w:val="0"/>
        <w:adjustRightInd w:val="0"/>
        <w:spacing w:line="240" w:lineRule="auto"/>
        <w:rPr>
          <w:rFonts w:ascii="Arial" w:hAnsi="Arial" w:cs="Arial"/>
          <w:b/>
        </w:rPr>
      </w:pPr>
      <w:r w:rsidRPr="00022605">
        <w:rPr>
          <w:rFonts w:ascii="Arial" w:hAnsi="Arial" w:cs="Arial"/>
          <w:b/>
        </w:rPr>
        <w:t>Public interest considerations favouring disclosure</w:t>
      </w:r>
    </w:p>
    <w:p w:rsidR="00022605" w:rsidRPr="00022605" w:rsidRDefault="00022605" w:rsidP="00022605">
      <w:pPr>
        <w:numPr>
          <w:ilvl w:val="0"/>
          <w:numId w:val="1"/>
        </w:numPr>
        <w:autoSpaceDE w:val="0"/>
        <w:autoSpaceDN w:val="0"/>
        <w:adjustRightInd w:val="0"/>
        <w:spacing w:after="0" w:line="240" w:lineRule="auto"/>
        <w:rPr>
          <w:rFonts w:ascii="Arial" w:hAnsi="Arial" w:cs="Arial"/>
        </w:rPr>
      </w:pPr>
      <w:r w:rsidRPr="00022605">
        <w:rPr>
          <w:rFonts w:ascii="Arial" w:hAnsi="Arial" w:cs="Arial"/>
        </w:rPr>
        <w:t xml:space="preserve">The principles of openness and transparency </w:t>
      </w:r>
      <w:r>
        <w:rPr>
          <w:rFonts w:ascii="Arial" w:hAnsi="Arial" w:cs="Arial"/>
        </w:rPr>
        <w:t xml:space="preserve">encourage departments to make </w:t>
      </w:r>
      <w:r w:rsidR="008D397A">
        <w:rPr>
          <w:rFonts w:ascii="Arial" w:hAnsi="Arial" w:cs="Arial"/>
        </w:rPr>
        <w:t xml:space="preserve">as much </w:t>
      </w:r>
      <w:r>
        <w:rPr>
          <w:rFonts w:ascii="Arial" w:hAnsi="Arial" w:cs="Arial"/>
        </w:rPr>
        <w:t xml:space="preserve">information </w:t>
      </w:r>
      <w:r w:rsidR="008D397A">
        <w:rPr>
          <w:rFonts w:ascii="Arial" w:hAnsi="Arial" w:cs="Arial"/>
        </w:rPr>
        <w:t xml:space="preserve">as possible </w:t>
      </w:r>
      <w:r>
        <w:rPr>
          <w:rFonts w:ascii="Arial" w:hAnsi="Arial" w:cs="Arial"/>
        </w:rPr>
        <w:t xml:space="preserve">available to keep the public informed and ensure that government is held accountable for its decisions. </w:t>
      </w:r>
    </w:p>
    <w:p w:rsidR="00022605" w:rsidRPr="00022605" w:rsidRDefault="00022605" w:rsidP="00022605">
      <w:pPr>
        <w:autoSpaceDE w:val="0"/>
        <w:autoSpaceDN w:val="0"/>
        <w:adjustRightInd w:val="0"/>
        <w:spacing w:after="0" w:line="240" w:lineRule="auto"/>
        <w:ind w:left="720"/>
        <w:rPr>
          <w:rFonts w:ascii="Arial" w:hAnsi="Arial" w:cs="Arial"/>
          <w:color w:val="0000CC"/>
        </w:rPr>
      </w:pPr>
    </w:p>
    <w:p w:rsidR="00022605" w:rsidRPr="00022605" w:rsidRDefault="00022605" w:rsidP="00022605">
      <w:pPr>
        <w:autoSpaceDE w:val="0"/>
        <w:autoSpaceDN w:val="0"/>
        <w:adjustRightInd w:val="0"/>
        <w:spacing w:line="240" w:lineRule="auto"/>
        <w:rPr>
          <w:rFonts w:ascii="Arial" w:hAnsi="Arial" w:cs="Arial"/>
          <w:b/>
        </w:rPr>
      </w:pPr>
      <w:r w:rsidRPr="00022605">
        <w:rPr>
          <w:rFonts w:ascii="Arial" w:hAnsi="Arial" w:cs="Arial"/>
          <w:b/>
        </w:rPr>
        <w:t>Public interest considerations favouring withholding the information</w:t>
      </w:r>
    </w:p>
    <w:p w:rsidR="00022605" w:rsidRDefault="00022605" w:rsidP="00022605">
      <w:pPr>
        <w:numPr>
          <w:ilvl w:val="0"/>
          <w:numId w:val="1"/>
        </w:numPr>
        <w:autoSpaceDE w:val="0"/>
        <w:autoSpaceDN w:val="0"/>
        <w:adjustRightInd w:val="0"/>
        <w:spacing w:after="0" w:line="240" w:lineRule="auto"/>
        <w:rPr>
          <w:rFonts w:ascii="Arial" w:hAnsi="Arial" w:cs="Arial"/>
        </w:rPr>
      </w:pPr>
      <w:r>
        <w:rPr>
          <w:rFonts w:ascii="Arial" w:hAnsi="Arial" w:cs="Arial"/>
        </w:rPr>
        <w:t xml:space="preserve">It is important to allow sufficient time to process and check the data before it is released. If </w:t>
      </w:r>
      <w:r w:rsidR="008D397A">
        <w:rPr>
          <w:rFonts w:ascii="Arial" w:hAnsi="Arial" w:cs="Arial"/>
        </w:rPr>
        <w:t>the figures are inaccurate</w:t>
      </w:r>
      <w:r>
        <w:rPr>
          <w:rFonts w:ascii="Arial" w:hAnsi="Arial" w:cs="Arial"/>
        </w:rPr>
        <w:t xml:space="preserve"> releasing them would spread misleading information and reduce </w:t>
      </w:r>
      <w:r w:rsidR="008D397A">
        <w:rPr>
          <w:rFonts w:ascii="Arial" w:hAnsi="Arial" w:cs="Arial"/>
        </w:rPr>
        <w:t xml:space="preserve">public </w:t>
      </w:r>
      <w:r>
        <w:rPr>
          <w:rFonts w:ascii="Arial" w:hAnsi="Arial" w:cs="Arial"/>
        </w:rPr>
        <w:t>trust in statistics released by the department.</w:t>
      </w:r>
    </w:p>
    <w:p w:rsidR="008D397A" w:rsidRPr="00022605" w:rsidRDefault="008D397A" w:rsidP="00022605">
      <w:pPr>
        <w:numPr>
          <w:ilvl w:val="0"/>
          <w:numId w:val="1"/>
        </w:numPr>
        <w:autoSpaceDE w:val="0"/>
        <w:autoSpaceDN w:val="0"/>
        <w:adjustRightInd w:val="0"/>
        <w:spacing w:after="0" w:line="240" w:lineRule="auto"/>
        <w:rPr>
          <w:rFonts w:ascii="Arial" w:hAnsi="Arial" w:cs="Arial"/>
        </w:rPr>
      </w:pPr>
      <w:r>
        <w:rPr>
          <w:rFonts w:ascii="Arial" w:hAnsi="Arial" w:cs="Arial"/>
        </w:rPr>
        <w:t>It is also important to adhere to the existing publication process which ensures that the data is made available to everyone at the same time. Releasing the information early undermines the principle of fair access.</w:t>
      </w:r>
    </w:p>
    <w:p w:rsidR="00424062" w:rsidRPr="00022605" w:rsidRDefault="00424062" w:rsidP="00D30E8E">
      <w:pPr>
        <w:rPr>
          <w:rFonts w:ascii="Arial" w:hAnsi="Arial" w:cs="Arial"/>
        </w:rPr>
      </w:pPr>
    </w:p>
    <w:p w:rsidR="00D30E8E" w:rsidRPr="00F24F37" w:rsidRDefault="00D30E8E" w:rsidP="00D30E8E">
      <w:pPr>
        <w:rPr>
          <w:rFonts w:ascii="Arial" w:hAnsi="Arial" w:cs="Arial"/>
        </w:rPr>
      </w:pPr>
      <w:r w:rsidRPr="00022605">
        <w:rPr>
          <w:rFonts w:ascii="Arial" w:hAnsi="Arial" w:cs="Arial"/>
        </w:rPr>
        <w:t>On</w:t>
      </w:r>
      <w:r>
        <w:rPr>
          <w:rFonts w:ascii="Arial" w:hAnsi="Arial" w:cs="Arial"/>
        </w:rPr>
        <w:t xml:space="preserve"> balance the public interest test favours withholding the data at this time.</w:t>
      </w:r>
    </w:p>
    <w:p w:rsidR="00A17AC6" w:rsidRDefault="00D30E8E" w:rsidP="007E2BCA">
      <w:pPr>
        <w:rPr>
          <w:rFonts w:ascii="Arial" w:hAnsi="Arial" w:cs="Arial"/>
        </w:rPr>
      </w:pPr>
      <w:r>
        <w:rPr>
          <w:rFonts w:ascii="Arial" w:hAnsi="Arial" w:cs="Arial"/>
        </w:rPr>
        <w:t>Data on the criminal history of offenders convicted between October and December 2016 is due to be published in May 2017. Similar data for offenders convicted between January and March 2017 is due to be published in August 2017.</w:t>
      </w:r>
    </w:p>
    <w:p w:rsidR="00A17AC6" w:rsidRPr="00A17AC6" w:rsidRDefault="00A17AC6" w:rsidP="00A17AC6">
      <w:pPr>
        <w:rPr>
          <w:rFonts w:ascii="Arial" w:hAnsi="Arial" w:cs="Arial"/>
        </w:rPr>
      </w:pPr>
      <w:r w:rsidRPr="00A17AC6">
        <w:rPr>
          <w:rFonts w:ascii="Arial" w:hAnsi="Arial" w:cs="Arial"/>
        </w:rPr>
        <w:t>Public protection is our priority and we take the management and treatment of prisoners convicted of sexual offences very seriously.</w:t>
      </w:r>
    </w:p>
    <w:p w:rsidR="00A17AC6" w:rsidRPr="00A17AC6" w:rsidRDefault="00A17AC6" w:rsidP="00A17AC6">
      <w:pPr>
        <w:rPr>
          <w:rFonts w:ascii="Arial" w:hAnsi="Arial" w:cs="Arial"/>
        </w:rPr>
      </w:pPr>
      <w:r w:rsidRPr="00A17AC6">
        <w:rPr>
          <w:rFonts w:ascii="Arial" w:hAnsi="Arial" w:cs="Arial"/>
        </w:rPr>
        <w:t>When serious further offences occur a full review is carried out to identify any lessons for the better management of future cases.</w:t>
      </w:r>
    </w:p>
    <w:p w:rsidR="007E2BCA" w:rsidRDefault="00A17AC6" w:rsidP="007E2BCA">
      <w:pPr>
        <w:rPr>
          <w:rFonts w:ascii="Arial" w:hAnsi="Arial" w:cs="Arial"/>
        </w:rPr>
      </w:pPr>
      <w:r w:rsidRPr="00A17AC6">
        <w:rPr>
          <w:rFonts w:ascii="Arial" w:hAnsi="Arial" w:cs="Arial"/>
        </w:rPr>
        <w:t>Our wholescale reforms will lay the groundwork to transform our prisons, reduce reoffending</w:t>
      </w:r>
      <w:r w:rsidR="00F8269A">
        <w:rPr>
          <w:rFonts w:ascii="Arial" w:hAnsi="Arial" w:cs="Arial"/>
        </w:rPr>
        <w:t xml:space="preserve"> and make our communities safer.</w:t>
      </w:r>
    </w:p>
    <w:p w:rsidR="00F8269A" w:rsidRPr="007E2BCA" w:rsidRDefault="00F8269A" w:rsidP="007E2BCA">
      <w:pPr>
        <w:rPr>
          <w:rFonts w:ascii="Arial" w:hAnsi="Arial" w:cs="Arial"/>
        </w:rPr>
      </w:pPr>
    </w:p>
    <w:p w:rsidR="007E2BCA" w:rsidRPr="007E2BCA" w:rsidRDefault="007E2BCA" w:rsidP="007E2BCA">
      <w:pPr>
        <w:rPr>
          <w:rFonts w:ascii="Arial" w:hAnsi="Arial" w:cs="Arial"/>
        </w:rPr>
      </w:pPr>
      <w:r w:rsidRPr="007E2BCA">
        <w:rPr>
          <w:rFonts w:ascii="Arial" w:hAnsi="Arial" w:cs="Arial"/>
        </w:rPr>
        <w:t xml:space="preserve">Yours sincerely </w:t>
      </w:r>
    </w:p>
    <w:p w:rsidR="007E2BCA" w:rsidRPr="007E2BCA" w:rsidRDefault="007E2BCA" w:rsidP="007E2BCA">
      <w:pPr>
        <w:rPr>
          <w:rFonts w:ascii="Arial" w:hAnsi="Arial" w:cs="Arial"/>
          <w:color w:val="0033CC"/>
        </w:rPr>
      </w:pPr>
    </w:p>
    <w:p w:rsidR="007E2BCA" w:rsidRPr="007E2BCA" w:rsidRDefault="007E2BCA" w:rsidP="007E2BCA">
      <w:pPr>
        <w:rPr>
          <w:rFonts w:ascii="Arial" w:hAnsi="Arial" w:cs="Arial"/>
        </w:rPr>
      </w:pPr>
      <w:r w:rsidRPr="007E2BCA">
        <w:rPr>
          <w:rFonts w:ascii="Arial" w:hAnsi="Arial" w:cs="Arial"/>
        </w:rPr>
        <w:t>Justice Statistics Analytical Services</w:t>
      </w:r>
    </w:p>
    <w:p w:rsidR="007E2BCA" w:rsidRDefault="007E2BCA" w:rsidP="007E2BCA">
      <w:pPr>
        <w:rPr>
          <w:color w:val="0000CC"/>
        </w:rPr>
      </w:pPr>
    </w:p>
    <w:p w:rsidR="007E2BCA" w:rsidRDefault="007E2BCA"/>
    <w:sectPr w:rsidR="007E2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3A" w:rsidRDefault="00483F3A" w:rsidP="007E2BCA">
      <w:pPr>
        <w:spacing w:after="0" w:line="240" w:lineRule="auto"/>
      </w:pPr>
      <w:r>
        <w:separator/>
      </w:r>
    </w:p>
  </w:endnote>
  <w:endnote w:type="continuationSeparator" w:id="0">
    <w:p w:rsidR="00483F3A" w:rsidRDefault="00483F3A" w:rsidP="007E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3A" w:rsidRDefault="00483F3A" w:rsidP="007E2BCA">
      <w:pPr>
        <w:spacing w:after="0" w:line="240" w:lineRule="auto"/>
      </w:pPr>
      <w:r>
        <w:separator/>
      </w:r>
    </w:p>
  </w:footnote>
  <w:footnote w:type="continuationSeparator" w:id="0">
    <w:p w:rsidR="00483F3A" w:rsidRDefault="00483F3A" w:rsidP="007E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CA"/>
    <w:rsid w:val="00022605"/>
    <w:rsid w:val="00114A22"/>
    <w:rsid w:val="001A70F9"/>
    <w:rsid w:val="00235D8F"/>
    <w:rsid w:val="002C169F"/>
    <w:rsid w:val="002F33ED"/>
    <w:rsid w:val="002F3688"/>
    <w:rsid w:val="0031778B"/>
    <w:rsid w:val="0033559A"/>
    <w:rsid w:val="003F6EB4"/>
    <w:rsid w:val="00424062"/>
    <w:rsid w:val="00483F3A"/>
    <w:rsid w:val="004C4543"/>
    <w:rsid w:val="007870F7"/>
    <w:rsid w:val="007E2BCA"/>
    <w:rsid w:val="008D397A"/>
    <w:rsid w:val="0096167E"/>
    <w:rsid w:val="00A17AC6"/>
    <w:rsid w:val="00A5333F"/>
    <w:rsid w:val="00B10855"/>
    <w:rsid w:val="00B727E2"/>
    <w:rsid w:val="00C443E4"/>
    <w:rsid w:val="00C77AF0"/>
    <w:rsid w:val="00D30E8E"/>
    <w:rsid w:val="00D65146"/>
    <w:rsid w:val="00F24F37"/>
    <w:rsid w:val="00F8269A"/>
    <w:rsid w:val="00FF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DB0C79-6B06-4391-BA99-054A6F2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CA"/>
    <w:pPr>
      <w:tabs>
        <w:tab w:val="center" w:pos="4513"/>
        <w:tab w:val="right" w:pos="9026"/>
      </w:tabs>
    </w:pPr>
  </w:style>
  <w:style w:type="character" w:customStyle="1" w:styleId="HeaderChar">
    <w:name w:val="Header Char"/>
    <w:link w:val="Header"/>
    <w:uiPriority w:val="99"/>
    <w:rsid w:val="007E2BCA"/>
    <w:rPr>
      <w:sz w:val="22"/>
      <w:szCs w:val="22"/>
      <w:lang w:eastAsia="en-US"/>
    </w:rPr>
  </w:style>
  <w:style w:type="paragraph" w:styleId="Footer">
    <w:name w:val="footer"/>
    <w:basedOn w:val="Normal"/>
    <w:link w:val="FooterChar"/>
    <w:uiPriority w:val="99"/>
    <w:unhideWhenUsed/>
    <w:rsid w:val="007E2BCA"/>
    <w:pPr>
      <w:tabs>
        <w:tab w:val="center" w:pos="4513"/>
        <w:tab w:val="right" w:pos="9026"/>
      </w:tabs>
    </w:pPr>
  </w:style>
  <w:style w:type="character" w:customStyle="1" w:styleId="FooterChar">
    <w:name w:val="Footer Char"/>
    <w:link w:val="Footer"/>
    <w:uiPriority w:val="99"/>
    <w:rsid w:val="007E2BCA"/>
    <w:rPr>
      <w:sz w:val="22"/>
      <w:szCs w:val="22"/>
      <w:lang w:eastAsia="en-US"/>
    </w:rPr>
  </w:style>
  <w:style w:type="paragraph" w:customStyle="1" w:styleId="MOJaddress">
    <w:name w:val="MOJ address"/>
    <w:rsid w:val="007E2BCA"/>
    <w:pPr>
      <w:spacing w:line="200" w:lineRule="atLeast"/>
    </w:pPr>
    <w:rPr>
      <w:rFonts w:ascii="Arial" w:eastAsia="Times New Roman" w:hAnsi="Arial"/>
      <w:szCs w:val="24"/>
    </w:rPr>
  </w:style>
  <w:style w:type="character" w:styleId="Hyperlink">
    <w:name w:val="Hyperlink"/>
    <w:rsid w:val="007E2BCA"/>
    <w:rPr>
      <w:color w:val="auto"/>
      <w:u w:val="none"/>
    </w:rPr>
  </w:style>
  <w:style w:type="character" w:styleId="CommentReference">
    <w:name w:val="annotation reference"/>
    <w:uiPriority w:val="99"/>
    <w:semiHidden/>
    <w:unhideWhenUsed/>
    <w:rsid w:val="00424062"/>
    <w:rPr>
      <w:sz w:val="16"/>
      <w:szCs w:val="16"/>
    </w:rPr>
  </w:style>
  <w:style w:type="paragraph" w:styleId="CommentText">
    <w:name w:val="annotation text"/>
    <w:basedOn w:val="Normal"/>
    <w:link w:val="CommentTextChar"/>
    <w:uiPriority w:val="99"/>
    <w:semiHidden/>
    <w:unhideWhenUsed/>
    <w:rsid w:val="00424062"/>
    <w:rPr>
      <w:sz w:val="20"/>
      <w:szCs w:val="20"/>
    </w:rPr>
  </w:style>
  <w:style w:type="character" w:customStyle="1" w:styleId="CommentTextChar">
    <w:name w:val="Comment Text Char"/>
    <w:link w:val="CommentText"/>
    <w:uiPriority w:val="99"/>
    <w:semiHidden/>
    <w:rsid w:val="00424062"/>
    <w:rPr>
      <w:lang w:eastAsia="en-US"/>
    </w:rPr>
  </w:style>
  <w:style w:type="paragraph" w:styleId="CommentSubject">
    <w:name w:val="annotation subject"/>
    <w:basedOn w:val="CommentText"/>
    <w:next w:val="CommentText"/>
    <w:link w:val="CommentSubjectChar"/>
    <w:uiPriority w:val="99"/>
    <w:semiHidden/>
    <w:unhideWhenUsed/>
    <w:rsid w:val="00424062"/>
    <w:rPr>
      <w:b/>
      <w:bCs/>
    </w:rPr>
  </w:style>
  <w:style w:type="character" w:customStyle="1" w:styleId="CommentSubjectChar">
    <w:name w:val="Comment Subject Char"/>
    <w:link w:val="CommentSubject"/>
    <w:uiPriority w:val="99"/>
    <w:semiHidden/>
    <w:rsid w:val="00424062"/>
    <w:rPr>
      <w:b/>
      <w:bCs/>
      <w:lang w:eastAsia="en-US"/>
    </w:rPr>
  </w:style>
  <w:style w:type="paragraph" w:styleId="BalloonText">
    <w:name w:val="Balloon Text"/>
    <w:basedOn w:val="Normal"/>
    <w:link w:val="BalloonTextChar"/>
    <w:uiPriority w:val="99"/>
    <w:semiHidden/>
    <w:unhideWhenUsed/>
    <w:rsid w:val="004240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40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40250">
      <w:bodyDiv w:val="1"/>
      <w:marLeft w:val="0"/>
      <w:marRight w:val="0"/>
      <w:marTop w:val="0"/>
      <w:marBottom w:val="0"/>
      <w:divBdr>
        <w:top w:val="none" w:sz="0" w:space="0" w:color="auto"/>
        <w:left w:val="none" w:sz="0" w:space="0" w:color="auto"/>
        <w:bottom w:val="none" w:sz="0" w:space="0" w:color="auto"/>
        <w:right w:val="none" w:sz="0" w:space="0" w:color="auto"/>
      </w:divBdr>
    </w:div>
    <w:div w:id="17862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C89D-CA77-4F06-9153-71BC0CFE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FOI 110993 - Number of those convicted of rape with previous rape or previous sexual assault convictions</vt:lpstr>
    </vt:vector>
  </TitlesOfParts>
  <Company>MOJ</Company>
  <LinksUpToDate>false</LinksUpToDate>
  <CharactersWithSpaces>3360</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110993 - Number of those convicted of rape with previous rape or previous sexual assault convictions</dc:title>
  <dc:subject>FOI Release</dc:subject>
  <dc:creator>Ministry of Justice</dc:creator>
  <cp:keywords/>
  <dc:description/>
  <cp:lastModifiedBy>Cox, Allan</cp:lastModifiedBy>
  <cp:revision>2</cp:revision>
  <dcterms:created xsi:type="dcterms:W3CDTF">2017-07-18T13:26:00Z</dcterms:created>
  <dcterms:modified xsi:type="dcterms:W3CDTF">2017-07-18T13:26:00Z</dcterms:modified>
</cp:coreProperties>
</file>