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C8" w:rsidRPr="00B96BC8" w:rsidRDefault="00B96BC8" w:rsidP="00B96BC8">
      <w:pPr>
        <w:pStyle w:val="Heading1"/>
        <w:spacing w:before="480"/>
      </w:pPr>
      <w:bookmarkStart w:id="0" w:name="_Toc440620737"/>
      <w:bookmarkStart w:id="1" w:name="OLE_LINK2"/>
      <w:bookmarkStart w:id="2" w:name="OLE_LINK3"/>
      <w:bookmarkStart w:id="3" w:name="_Toc488051667"/>
      <w:r w:rsidRPr="00B96BC8">
        <w:t>Consultation on hallmarking by UK Assay Offices at overseas sub-offices</w:t>
      </w:r>
      <w:bookmarkEnd w:id="3"/>
      <w:r w:rsidRPr="00B96BC8">
        <w:t xml:space="preserve"> - response form</w:t>
      </w:r>
      <w:bookmarkEnd w:id="0"/>
    </w:p>
    <w:p w:rsidR="00D31FBE" w:rsidRPr="00D31FBE" w:rsidRDefault="00D31FBE" w:rsidP="00B96BC8">
      <w:pPr>
        <w:pStyle w:val="Heading2"/>
      </w:pPr>
      <w:r w:rsidRPr="00B96BC8">
        <w:t>Purpose of this consultation</w:t>
      </w:r>
    </w:p>
    <w:p w:rsidR="00D31FBE" w:rsidRDefault="00D31FBE" w:rsidP="00D31FBE">
      <w:r>
        <w:t>This consultation is issued by the British Hallmarking Council (BHC) to understand whether stakeholders would wish articles of precious metals which are hallmarked by United Kingdom Assay Offices in their overseas sub-offices should carry a hallmark which is different from the hallmark applied in the United Kingdom.</w:t>
      </w:r>
    </w:p>
    <w:p w:rsidR="001F4F63" w:rsidRDefault="001F4F63" w:rsidP="001F4F63">
      <w:r w:rsidRPr="001F4F63">
        <w:t xml:space="preserve">The </w:t>
      </w:r>
      <w:r w:rsidR="00D31FBE">
        <w:t xml:space="preserve">full </w:t>
      </w:r>
      <w:r w:rsidRPr="001F4F63">
        <w:t xml:space="preserve">consultation is available </w:t>
      </w:r>
      <w:r w:rsidR="00D31FBE">
        <w:t>from</w:t>
      </w:r>
      <w:r w:rsidRPr="001F4F63">
        <w:t xml:space="preserve">: </w:t>
      </w:r>
      <w:r w:rsidR="00D31FBE">
        <w:br/>
      </w:r>
      <w:hyperlink r:id="rId9" w:history="1">
        <w:r w:rsidR="00D31FBE" w:rsidRPr="000806C7">
          <w:rPr>
            <w:rStyle w:val="Hyperlink"/>
          </w:rPr>
          <w:t>www.gov.uk/government/consultations/hallmarking-by-uk-assay-offices-overseas</w:t>
        </w:r>
      </w:hyperlink>
      <w:r w:rsidR="00D31FBE">
        <w:t xml:space="preserve"> </w:t>
      </w:r>
    </w:p>
    <w:p w:rsidR="00D31FBE" w:rsidRPr="00D31FBE" w:rsidRDefault="00D31FBE" w:rsidP="00B96BC8">
      <w:pPr>
        <w:pStyle w:val="Heading2"/>
      </w:pPr>
      <w:bookmarkStart w:id="4" w:name="_Toc487556905"/>
      <w:r w:rsidRPr="00D31FBE">
        <w:t>How to respond</w:t>
      </w:r>
      <w:bookmarkEnd w:id="4"/>
    </w:p>
    <w:p w:rsidR="00D31FBE" w:rsidRPr="00D31FBE" w:rsidRDefault="00D31FBE" w:rsidP="00D31FBE">
      <w:pPr>
        <w:spacing w:after="0"/>
        <w:rPr>
          <w:rFonts w:eastAsia="Calibri" w:cs="Arial"/>
          <w:szCs w:val="22"/>
        </w:rPr>
      </w:pPr>
      <w:r w:rsidRPr="00D31FBE">
        <w:rPr>
          <w:rFonts w:eastAsia="Calibri" w:cs="Arial"/>
          <w:szCs w:val="22"/>
        </w:rPr>
        <w:t>Your response will be most useful if it is framed in direct response to the questions posed, although further comments and evidence are also welcome.</w:t>
      </w:r>
    </w:p>
    <w:p w:rsidR="00B96BC8" w:rsidRDefault="00D31FBE" w:rsidP="00D31FBE">
      <w:pPr>
        <w:spacing w:after="0"/>
        <w:rPr>
          <w:rFonts w:eastAsia="Calibri" w:cs="Arial"/>
          <w:szCs w:val="22"/>
        </w:rPr>
      </w:pPr>
      <w:r w:rsidRPr="00D31FBE">
        <w:rPr>
          <w:rFonts w:eastAsia="Calibri" w:cs="Arial"/>
          <w:szCs w:val="22"/>
        </w:rPr>
        <w:br/>
        <w:t xml:space="preserve">Please add your responses to the questions below and respond by </w:t>
      </w:r>
      <w:r w:rsidRPr="00D31FBE">
        <w:rPr>
          <w:rFonts w:eastAsia="Calibri" w:cs="Arial"/>
          <w:b/>
          <w:szCs w:val="22"/>
        </w:rPr>
        <w:t>Friday 22</w:t>
      </w:r>
      <w:r w:rsidRPr="00D31FBE">
        <w:rPr>
          <w:rFonts w:eastAsia="Calibri" w:cs="Arial"/>
          <w:b/>
          <w:szCs w:val="22"/>
          <w:vertAlign w:val="superscript"/>
        </w:rPr>
        <w:t>nd</w:t>
      </w:r>
      <w:r w:rsidRPr="00D31FBE">
        <w:rPr>
          <w:rFonts w:eastAsia="Calibri" w:cs="Arial"/>
          <w:b/>
          <w:szCs w:val="22"/>
        </w:rPr>
        <w:t xml:space="preserve"> September 2017</w:t>
      </w:r>
      <w:r w:rsidR="00B96BC8">
        <w:rPr>
          <w:rFonts w:eastAsia="Calibri" w:cs="Arial"/>
          <w:szCs w:val="22"/>
        </w:rPr>
        <w:t xml:space="preserve">. </w:t>
      </w:r>
    </w:p>
    <w:p w:rsidR="00B96BC8" w:rsidRDefault="00B96BC8" w:rsidP="00D31FBE">
      <w:pPr>
        <w:spacing w:after="0"/>
        <w:rPr>
          <w:rFonts w:eastAsia="Calibri" w:cs="Arial"/>
          <w:szCs w:val="22"/>
        </w:rPr>
      </w:pPr>
    </w:p>
    <w:p w:rsidR="00B96BC8" w:rsidRDefault="00D31FBE" w:rsidP="00D31FBE">
      <w:pPr>
        <w:spacing w:after="0"/>
        <w:rPr>
          <w:rFonts w:eastAsia="Calibri" w:cs="Arial"/>
          <w:szCs w:val="22"/>
        </w:rPr>
      </w:pPr>
      <w:r w:rsidRPr="00D31FBE">
        <w:rPr>
          <w:rFonts w:eastAsia="Calibri" w:cs="Arial"/>
          <w:szCs w:val="22"/>
        </w:rPr>
        <w:t>E-mail to</w:t>
      </w:r>
      <w:r w:rsidR="00B96BC8">
        <w:rPr>
          <w:rFonts w:eastAsia="Calibri" w:cs="Arial"/>
          <w:szCs w:val="22"/>
        </w:rPr>
        <w:t>:</w:t>
      </w:r>
      <w:r w:rsidRPr="00D31FBE">
        <w:rPr>
          <w:rFonts w:eastAsia="Calibri" w:cs="Arial"/>
          <w:szCs w:val="22"/>
        </w:rPr>
        <w:t xml:space="preserve"> </w:t>
      </w:r>
      <w:hyperlink r:id="rId10" w:history="1">
        <w:r w:rsidRPr="00D31FBE">
          <w:rPr>
            <w:rFonts w:eastAsia="Calibri" w:cs="Arial"/>
            <w:color w:val="0000FF"/>
            <w:szCs w:val="22"/>
            <w:u w:val="single"/>
          </w:rPr>
          <w:t>bhcconsultation17@gmail.com</w:t>
        </w:r>
      </w:hyperlink>
      <w:r w:rsidRPr="00D31FBE">
        <w:rPr>
          <w:rFonts w:eastAsia="Calibri" w:cs="Arial"/>
          <w:szCs w:val="22"/>
        </w:rPr>
        <w:t xml:space="preserve"> </w:t>
      </w:r>
    </w:p>
    <w:p w:rsidR="00B96BC8" w:rsidRDefault="00B96BC8" w:rsidP="00D31FBE">
      <w:pPr>
        <w:spacing w:after="0"/>
        <w:rPr>
          <w:rFonts w:eastAsia="Calibri" w:cs="Arial"/>
          <w:szCs w:val="22"/>
        </w:rPr>
      </w:pPr>
    </w:p>
    <w:p w:rsidR="00D31FBE" w:rsidRPr="00D31FBE" w:rsidRDefault="00B96BC8" w:rsidP="00D31FBE">
      <w:pPr>
        <w:spacing w:after="0"/>
        <w:rPr>
          <w:rFonts w:eastAsia="Calibri" w:cs="Arial"/>
          <w:szCs w:val="22"/>
        </w:rPr>
      </w:pPr>
      <w:r>
        <w:rPr>
          <w:rFonts w:eastAsia="Calibri" w:cs="Arial"/>
          <w:szCs w:val="22"/>
        </w:rPr>
        <w:t>O</w:t>
      </w:r>
      <w:r w:rsidR="00D31FBE" w:rsidRPr="00D31FBE">
        <w:rPr>
          <w:rFonts w:eastAsia="Calibri" w:cs="Arial"/>
          <w:szCs w:val="22"/>
        </w:rPr>
        <w:t>r send by post to:</w:t>
      </w:r>
    </w:p>
    <w:p w:rsidR="00D31FBE" w:rsidRPr="00D31FBE" w:rsidRDefault="00D31FBE" w:rsidP="00D31FBE">
      <w:pPr>
        <w:spacing w:after="0"/>
        <w:rPr>
          <w:rFonts w:eastAsia="Calibri" w:cs="Arial"/>
          <w:szCs w:val="22"/>
        </w:rPr>
      </w:pPr>
    </w:p>
    <w:p w:rsidR="00D31FBE" w:rsidRPr="00D31FBE" w:rsidRDefault="00D31FBE" w:rsidP="00D31FBE">
      <w:pPr>
        <w:spacing w:after="0"/>
        <w:rPr>
          <w:rFonts w:eastAsia="Calibri" w:cs="Arial"/>
          <w:szCs w:val="22"/>
        </w:rPr>
      </w:pPr>
      <w:r w:rsidRPr="00D31FBE">
        <w:rPr>
          <w:rFonts w:eastAsia="Calibri" w:cs="Arial"/>
          <w:szCs w:val="22"/>
        </w:rPr>
        <w:t>British Hallmarking Council - Consultation</w:t>
      </w:r>
    </w:p>
    <w:p w:rsidR="00D31FBE" w:rsidRPr="00D31FBE" w:rsidRDefault="00D31FBE" w:rsidP="00D31FBE">
      <w:pPr>
        <w:spacing w:after="0"/>
        <w:rPr>
          <w:rFonts w:eastAsia="Calibri" w:cs="Arial"/>
          <w:szCs w:val="22"/>
        </w:rPr>
      </w:pPr>
      <w:r w:rsidRPr="00D31FBE">
        <w:rPr>
          <w:rFonts w:eastAsia="Calibri" w:cs="Arial"/>
          <w:szCs w:val="22"/>
        </w:rPr>
        <w:t xml:space="preserve">Shakespeare Martineau </w:t>
      </w:r>
    </w:p>
    <w:p w:rsidR="00D31FBE" w:rsidRPr="00D31FBE" w:rsidRDefault="00D31FBE" w:rsidP="00D31FBE">
      <w:pPr>
        <w:spacing w:after="0"/>
        <w:rPr>
          <w:rFonts w:eastAsia="Calibri" w:cs="Arial"/>
          <w:szCs w:val="22"/>
        </w:rPr>
      </w:pPr>
      <w:r w:rsidRPr="00D31FBE">
        <w:rPr>
          <w:rFonts w:eastAsia="Calibri" w:cs="Arial"/>
          <w:szCs w:val="22"/>
        </w:rPr>
        <w:t xml:space="preserve">60 </w:t>
      </w:r>
      <w:proofErr w:type="spellStart"/>
      <w:r w:rsidRPr="00D31FBE">
        <w:rPr>
          <w:rFonts w:eastAsia="Calibri" w:cs="Arial"/>
          <w:szCs w:val="22"/>
        </w:rPr>
        <w:t>Gracechurch</w:t>
      </w:r>
      <w:proofErr w:type="spellEnd"/>
      <w:r w:rsidRPr="00D31FBE">
        <w:rPr>
          <w:rFonts w:eastAsia="Calibri" w:cs="Arial"/>
          <w:szCs w:val="22"/>
        </w:rPr>
        <w:t xml:space="preserve"> St</w:t>
      </w:r>
    </w:p>
    <w:p w:rsidR="00D31FBE" w:rsidRPr="00D31FBE" w:rsidRDefault="00D31FBE" w:rsidP="00D31FBE">
      <w:pPr>
        <w:spacing w:after="480" w:line="320" w:lineRule="atLeast"/>
        <w:rPr>
          <w:rFonts w:eastAsia="Calibri" w:cs="Arial"/>
          <w:szCs w:val="22"/>
        </w:rPr>
      </w:pPr>
      <w:r w:rsidRPr="00D31FBE">
        <w:rPr>
          <w:rFonts w:eastAsia="Calibri" w:cs="Arial"/>
          <w:szCs w:val="22"/>
        </w:rPr>
        <w:t>London EC3V OHR</w:t>
      </w:r>
    </w:p>
    <w:p w:rsidR="00D31FBE" w:rsidRPr="00D31FBE" w:rsidRDefault="00D31FBE" w:rsidP="00D31FBE">
      <w:pPr>
        <w:spacing w:after="240" w:line="320" w:lineRule="atLeast"/>
        <w:rPr>
          <w:rFonts w:eastAsia="Calibri" w:cs="Arial"/>
          <w:b/>
          <w:szCs w:val="22"/>
        </w:rPr>
      </w:pPr>
      <w:r w:rsidRPr="00D31FBE">
        <w:rPr>
          <w:rFonts w:eastAsia="Calibri" w:cs="Arial"/>
          <w:b/>
          <w:szCs w:val="22"/>
        </w:rPr>
        <w:t>Please give details:</w:t>
      </w:r>
    </w:p>
    <w:p w:rsidR="00D31FBE" w:rsidRPr="00D31FBE" w:rsidRDefault="00D31FBE" w:rsidP="00D31FBE">
      <w:pPr>
        <w:spacing w:after="360" w:line="320" w:lineRule="atLeast"/>
        <w:rPr>
          <w:rFonts w:eastAsia="Calibri" w:cs="Arial"/>
          <w:b/>
          <w:szCs w:val="22"/>
        </w:rPr>
      </w:pPr>
      <w:r w:rsidRPr="00D31FBE">
        <w:rPr>
          <w:rFonts w:eastAsia="Calibri" w:cs="Arial"/>
          <w:b/>
          <w:szCs w:val="22"/>
        </w:rPr>
        <w:t>Your name/ email</w:t>
      </w:r>
      <w:proofErr w:type="gramStart"/>
      <w:r w:rsidRPr="00D31FBE">
        <w:rPr>
          <w:rFonts w:eastAsia="Calibri" w:cs="Arial"/>
          <w:b/>
          <w:szCs w:val="22"/>
        </w:rPr>
        <w:t>:</w:t>
      </w:r>
      <w:r w:rsidRPr="00D31FBE">
        <w:rPr>
          <w:rFonts w:eastAsia="Calibri" w:cs="Arial"/>
          <w:b/>
          <w:szCs w:val="22"/>
        </w:rPr>
        <w:tab/>
      </w:r>
      <w:r w:rsidRPr="00D31FBE">
        <w:rPr>
          <w:rFonts w:eastAsia="Calibri" w:cs="Arial"/>
          <w:b/>
          <w:szCs w:val="22"/>
        </w:rPr>
        <w:tab/>
        <w:t>………………………………………………………………….</w:t>
      </w:r>
      <w:proofErr w:type="gramEnd"/>
    </w:p>
    <w:p w:rsidR="00D31FBE" w:rsidRPr="00D31FBE" w:rsidRDefault="00D31FBE" w:rsidP="00D31FBE">
      <w:pPr>
        <w:spacing w:after="360" w:line="320" w:lineRule="atLeast"/>
        <w:rPr>
          <w:rFonts w:eastAsia="Calibri" w:cs="Arial"/>
          <w:b/>
          <w:szCs w:val="22"/>
        </w:rPr>
      </w:pPr>
      <w:r w:rsidRPr="00D31FBE">
        <w:rPr>
          <w:rFonts w:eastAsia="Calibri" w:cs="Arial"/>
          <w:b/>
          <w:szCs w:val="22"/>
        </w:rPr>
        <w:t>Your organisation</w:t>
      </w:r>
      <w:proofErr w:type="gramStart"/>
      <w:r w:rsidRPr="00D31FBE">
        <w:rPr>
          <w:rFonts w:eastAsia="Calibri" w:cs="Arial"/>
          <w:b/>
          <w:szCs w:val="22"/>
        </w:rPr>
        <w:t>:</w:t>
      </w:r>
      <w:r w:rsidRPr="00D31FBE">
        <w:rPr>
          <w:rFonts w:eastAsia="Calibri" w:cs="Arial"/>
          <w:b/>
          <w:szCs w:val="22"/>
        </w:rPr>
        <w:tab/>
      </w:r>
      <w:r w:rsidRPr="00D31FBE">
        <w:rPr>
          <w:rFonts w:eastAsia="Calibri" w:cs="Arial"/>
          <w:b/>
          <w:szCs w:val="22"/>
        </w:rPr>
        <w:tab/>
        <w:t>………………………………………………………………….</w:t>
      </w:r>
      <w:proofErr w:type="gramEnd"/>
    </w:p>
    <w:p w:rsidR="00D31FBE" w:rsidRPr="00D31FBE" w:rsidRDefault="00D31FBE" w:rsidP="00D31FBE">
      <w:pPr>
        <w:spacing w:after="360" w:line="320" w:lineRule="atLeast"/>
        <w:rPr>
          <w:rFonts w:eastAsia="Calibri" w:cs="Arial"/>
          <w:b/>
          <w:szCs w:val="22"/>
        </w:rPr>
      </w:pPr>
      <w:r w:rsidRPr="00D31FBE">
        <w:rPr>
          <w:rFonts w:eastAsia="Calibri" w:cs="Arial"/>
          <w:b/>
          <w:szCs w:val="22"/>
        </w:rPr>
        <w:t>Nature and details of organisation (numbers of members/ staff represented):</w:t>
      </w:r>
    </w:p>
    <w:p w:rsidR="00D31FBE" w:rsidRPr="00D31FBE" w:rsidRDefault="00D31FBE" w:rsidP="00D31FBE">
      <w:pPr>
        <w:spacing w:after="240" w:line="320" w:lineRule="atLeast"/>
        <w:rPr>
          <w:rFonts w:eastAsia="Calibri" w:cs="Arial"/>
          <w:b/>
          <w:szCs w:val="22"/>
        </w:rPr>
      </w:pPr>
      <w:r w:rsidRPr="00D31FBE">
        <w:rPr>
          <w:rFonts w:eastAsia="Calibri" w:cs="Arial"/>
          <w:b/>
          <w:szCs w:val="22"/>
        </w:rPr>
        <w:t>………………………………………………….………………………………………………….</w:t>
      </w:r>
    </w:p>
    <w:p w:rsidR="00EA47A6" w:rsidRDefault="00EA47A6" w:rsidP="001F4F63"/>
    <w:p w:rsidR="00D31FBE" w:rsidRPr="00B96BC8" w:rsidRDefault="00EA47A6" w:rsidP="00B96BC8">
      <w:pPr>
        <w:pStyle w:val="Heading2"/>
        <w:rPr>
          <w:b/>
          <w:bCs/>
          <w:iCs/>
          <w:color w:val="003478"/>
          <w:sz w:val="28"/>
          <w:szCs w:val="28"/>
        </w:rPr>
      </w:pPr>
      <w:r>
        <w:br w:type="page"/>
      </w:r>
      <w:r w:rsidR="00D31FBE">
        <w:lastRenderedPageBreak/>
        <w:t>Questions</w:t>
      </w:r>
    </w:p>
    <w:p w:rsidR="00D31FBE" w:rsidRDefault="00D31FBE" w:rsidP="00D31FBE">
      <w:pPr>
        <w:rPr>
          <w:rStyle w:val="Strong"/>
        </w:rPr>
      </w:pPr>
      <w:r w:rsidRPr="00DA64DB">
        <w:rPr>
          <w:rStyle w:val="Strong"/>
        </w:rPr>
        <w:t xml:space="preserve">A:  The Government has been clear that in enabling UK Assay Offices to conduct hallmarking operations at overseas sub-offices, there will be no diminution of reputation </w:t>
      </w:r>
      <w:proofErr w:type="spellStart"/>
      <w:r w:rsidRPr="00DA64DB">
        <w:rPr>
          <w:rStyle w:val="Strong"/>
        </w:rPr>
        <w:t>or</w:t>
      </w:r>
      <w:proofErr w:type="spellEnd"/>
      <w:r w:rsidRPr="00DA64DB">
        <w:rPr>
          <w:rStyle w:val="Strong"/>
        </w:rPr>
        <w:t xml:space="preserve"> quality.  As the BHC is responsible for approving overseas hallmarks, we are keen to understand what factors our stakeholders believe should be considered by the BHC when approving an overseas marks.</w:t>
      </w:r>
    </w:p>
    <w:p w:rsidR="00D31FBE" w:rsidRDefault="00D31FBE" w:rsidP="00D31FBE">
      <w:pPr>
        <w:pStyle w:val="ListParagraph"/>
        <w:numPr>
          <w:ilvl w:val="0"/>
          <w:numId w:val="22"/>
        </w:numPr>
        <w:ind w:left="567" w:hanging="567"/>
        <w:contextualSpacing w:val="0"/>
      </w:pPr>
      <w:r w:rsidRPr="00DA64DB">
        <w:t>Should UK-struck and offshore-struck marks be distinguished?</w:t>
      </w:r>
    </w:p>
    <w:p w:rsidR="00D31FBE" w:rsidRPr="00DA64DB" w:rsidRDefault="00D31FBE" w:rsidP="00D31FBE">
      <w:pPr>
        <w:pStyle w:val="ListParagraph"/>
        <w:numPr>
          <w:ilvl w:val="0"/>
          <w:numId w:val="22"/>
        </w:numPr>
        <w:ind w:left="567" w:hanging="567"/>
        <w:contextualSpacing w:val="0"/>
      </w:pPr>
      <w:r w:rsidRPr="00DA64DB">
        <w:t>What factors should the BHC take into account when approving hallmarks for use by UK Assay Offices at overseas sub-offices? Factors that may be relevant include:</w:t>
      </w:r>
    </w:p>
    <w:p w:rsidR="00D31FBE" w:rsidRDefault="00D31FBE" w:rsidP="00D31FBE">
      <w:pPr>
        <w:pStyle w:val="ListParagraph"/>
        <w:numPr>
          <w:ilvl w:val="0"/>
          <w:numId w:val="23"/>
        </w:numPr>
        <w:ind w:left="993"/>
      </w:pPr>
      <w:r w:rsidRPr="00DA64DB">
        <w:t>How extensive will the overseas operations be in comparison to the operation of the main UK-based Assay Office?</w:t>
      </w:r>
    </w:p>
    <w:p w:rsidR="00D31FBE" w:rsidRDefault="00D31FBE" w:rsidP="00D31FBE">
      <w:pPr>
        <w:pStyle w:val="ListParagraph"/>
        <w:numPr>
          <w:ilvl w:val="0"/>
          <w:numId w:val="23"/>
        </w:numPr>
        <w:ind w:left="993"/>
      </w:pPr>
      <w:r w:rsidRPr="00DA64DB">
        <w:t xml:space="preserve">If precious-metal items manufactured overseas carry different marks depending on whether the Assay Office applied the mark in the UK or in its </w:t>
      </w:r>
      <w:proofErr w:type="gramStart"/>
      <w:r w:rsidRPr="00DA64DB">
        <w:t>overseas  sub</w:t>
      </w:r>
      <w:proofErr w:type="gramEnd"/>
      <w:r w:rsidRPr="00DA64DB">
        <w:t xml:space="preserve">-office, could it mislead or confuse  consumers? </w:t>
      </w:r>
    </w:p>
    <w:p w:rsidR="00D31FBE" w:rsidRDefault="00D31FBE" w:rsidP="00D31FBE">
      <w:pPr>
        <w:pStyle w:val="ListParagraph"/>
        <w:numPr>
          <w:ilvl w:val="0"/>
          <w:numId w:val="23"/>
        </w:numPr>
        <w:ind w:left="993"/>
      </w:pPr>
      <w:r w:rsidRPr="00DA64DB">
        <w:t>Could a different, overseas mark be confused with an existing hallmark?</w:t>
      </w:r>
    </w:p>
    <w:p w:rsidR="00D31FBE" w:rsidRDefault="00D31FBE" w:rsidP="00D31FBE">
      <w:pPr>
        <w:pStyle w:val="ListParagraph"/>
        <w:numPr>
          <w:ilvl w:val="0"/>
          <w:numId w:val="23"/>
        </w:numPr>
        <w:ind w:left="993"/>
      </w:pPr>
      <w:r w:rsidRPr="00DA64DB">
        <w:t>What quality assurance processes will ensure hallmarking that occurs overseas is as robust as hallmarking that occurs in the UK?</w:t>
      </w:r>
    </w:p>
    <w:p w:rsidR="00D31FBE" w:rsidRDefault="00D31FBE" w:rsidP="00D31FBE">
      <w:pPr>
        <w:pStyle w:val="ListParagraph"/>
        <w:numPr>
          <w:ilvl w:val="0"/>
          <w:numId w:val="23"/>
        </w:numPr>
        <w:ind w:left="993"/>
      </w:pPr>
      <w:r w:rsidRPr="00DA64DB">
        <w:t xml:space="preserve">How distinct would a different hallmark need to be? </w:t>
      </w:r>
    </w:p>
    <w:p w:rsidR="00D31FBE" w:rsidRPr="00DA64DB" w:rsidRDefault="00D31FBE" w:rsidP="00D31FBE">
      <w:pPr>
        <w:pStyle w:val="ListParagraph"/>
        <w:numPr>
          <w:ilvl w:val="0"/>
          <w:numId w:val="23"/>
        </w:numPr>
        <w:ind w:left="992" w:hanging="357"/>
        <w:contextualSpacing w:val="0"/>
      </w:pPr>
      <w:r w:rsidRPr="00DA64DB">
        <w:t>Are there additional factors t</w:t>
      </w:r>
      <w:bookmarkStart w:id="5" w:name="_GoBack"/>
      <w:bookmarkEnd w:id="5"/>
      <w:r w:rsidRPr="00DA64DB">
        <w:t xml:space="preserve">hat you believe should be considered? </w:t>
      </w:r>
    </w:p>
    <w:p w:rsidR="00D31FBE" w:rsidRDefault="00D31FBE" w:rsidP="00D31FBE">
      <w:pPr>
        <w:pStyle w:val="ListParagraph"/>
        <w:numPr>
          <w:ilvl w:val="0"/>
          <w:numId w:val="22"/>
        </w:numPr>
        <w:spacing w:after="360"/>
        <w:ind w:left="567" w:hanging="567"/>
      </w:pPr>
      <w:r w:rsidRPr="00DA64DB">
        <w:t>UK accreditation marks (e.g. CE mark and UKAS) are the same regardless of whether they are applied in the UK or overseas.  Should hallmarks be treated in the same way or is there a case for treating them differently?</w:t>
      </w:r>
    </w:p>
    <w:p w:rsidR="00D31FBE" w:rsidRDefault="00D31FBE" w:rsidP="00D31FBE">
      <w:pPr>
        <w:rPr>
          <w:rStyle w:val="Strong"/>
        </w:rPr>
      </w:pPr>
      <w:r w:rsidRPr="00DA64DB">
        <w:rPr>
          <w:rStyle w:val="Strong"/>
        </w:rPr>
        <w:t xml:space="preserve">B:  Businesses are currently required by the Hallmarking Act 1973 to display notices in the form approved by the BHC describing approved hallmarks (a “Dealer’s Notice”).  In issuing guidance about overseas hallmarking operations, the BHC will inform businesses of the process for approving offshore hallmarks and if a distinguishable mark is used, set out their responsibilities when selling items that have been hallmarked in an overseas sub-office. We are keen to ensure that our guidance does not impose unnecessary burdens on businesses in meeting their responsibilities and therefore we want to understand </w:t>
      </w:r>
      <w:proofErr w:type="gramStart"/>
      <w:r w:rsidRPr="00DA64DB">
        <w:rPr>
          <w:rStyle w:val="Strong"/>
        </w:rPr>
        <w:t>better  the</w:t>
      </w:r>
      <w:proofErr w:type="gramEnd"/>
      <w:r w:rsidRPr="00DA64DB">
        <w:rPr>
          <w:rStyle w:val="Strong"/>
        </w:rPr>
        <w:t xml:space="preserve"> views of business in this regard and to ensure that misleading information is not provided to consumers.</w:t>
      </w:r>
    </w:p>
    <w:p w:rsidR="00D31FBE" w:rsidRDefault="00D31FBE" w:rsidP="00D31FBE">
      <w:pPr>
        <w:pStyle w:val="ListParagraph"/>
        <w:numPr>
          <w:ilvl w:val="0"/>
          <w:numId w:val="24"/>
        </w:numPr>
        <w:ind w:left="993"/>
      </w:pPr>
      <w:r w:rsidRPr="00DA64DB">
        <w:t>Should additional information be provided by the BHC to provide clarity to businesses supplying items that have been hallmarked at an overseas sub-office if a distinguishable hallmark is required?</w:t>
      </w:r>
    </w:p>
    <w:p w:rsidR="00D31FBE" w:rsidRDefault="00D31FBE" w:rsidP="00D31FBE">
      <w:pPr>
        <w:pStyle w:val="ListParagraph"/>
        <w:numPr>
          <w:ilvl w:val="0"/>
          <w:numId w:val="24"/>
        </w:numPr>
        <w:ind w:left="993"/>
      </w:pPr>
      <w:r w:rsidRPr="00DA64DB">
        <w:t>If so, should this be by means of the Dealer’s Notice alone?</w:t>
      </w:r>
    </w:p>
    <w:p w:rsidR="00D31FBE" w:rsidRDefault="00D31FBE" w:rsidP="00D31FBE">
      <w:pPr>
        <w:pStyle w:val="ListParagraph"/>
        <w:numPr>
          <w:ilvl w:val="0"/>
          <w:numId w:val="24"/>
        </w:numPr>
        <w:ind w:left="993"/>
      </w:pPr>
      <w:r w:rsidRPr="00DA64DB">
        <w:t>If not, by what other means should this be done e.g. guidance on the BHC’s website?</w:t>
      </w:r>
    </w:p>
    <w:p w:rsidR="00D31FBE" w:rsidRDefault="00D31FBE" w:rsidP="00D31FBE">
      <w:pPr>
        <w:pStyle w:val="ListParagraph"/>
        <w:numPr>
          <w:ilvl w:val="0"/>
          <w:numId w:val="24"/>
        </w:numPr>
        <w:ind w:left="993"/>
      </w:pPr>
      <w:r w:rsidRPr="00DA64DB">
        <w:t>Should the BHC provide guidance to businesses about steps they can take to avoid providing misleading information to consumers and therefore reduce the risk of breaching consumer protection and fair trading legislation?</w:t>
      </w:r>
    </w:p>
    <w:p w:rsidR="00D31FBE" w:rsidRDefault="00D31FBE" w:rsidP="00D31FBE">
      <w:pPr>
        <w:rPr>
          <w:rStyle w:val="Strong"/>
        </w:rPr>
      </w:pPr>
      <w:r w:rsidRPr="00DA64DB">
        <w:rPr>
          <w:rStyle w:val="Strong"/>
        </w:rPr>
        <w:lastRenderedPageBreak/>
        <w:t>C: The BHC aims to provide information to assist consumers in understanding hallmarking, including hallmarking at overseas sub-offices, when purchasing precious metals in the UK. In order to achieve this, the BHC is keen to understand how this information can best be provided to consumers in particular if a distinguishable hallmark is used overseas.</w:t>
      </w:r>
    </w:p>
    <w:p w:rsidR="00D31FBE" w:rsidRPr="00DA64DB" w:rsidRDefault="00D31FBE" w:rsidP="00D31FBE">
      <w:r w:rsidRPr="00DA64DB">
        <w:t>How can the BHC ensure consumers have access to clear information prior to making a purchase of precious metals? We have considered the following factors and we are keen to understand from our stakeholders whether these are appropriate or whether there are additional factors that we should consider:</w:t>
      </w:r>
    </w:p>
    <w:p w:rsidR="00D31FBE" w:rsidRDefault="00D31FBE" w:rsidP="00D31FBE">
      <w:pPr>
        <w:pStyle w:val="ListParagraph"/>
        <w:numPr>
          <w:ilvl w:val="0"/>
          <w:numId w:val="25"/>
        </w:numPr>
        <w:ind w:left="993" w:hanging="426"/>
      </w:pPr>
      <w:r w:rsidRPr="00DA64DB">
        <w:t>Is point-of-sale information (i.e. the Dealer’s Notice) sufficient?</w:t>
      </w:r>
    </w:p>
    <w:p w:rsidR="00D31FBE" w:rsidRDefault="00D31FBE" w:rsidP="00D31FBE">
      <w:pPr>
        <w:pStyle w:val="ListParagraph"/>
        <w:numPr>
          <w:ilvl w:val="0"/>
          <w:numId w:val="25"/>
        </w:numPr>
        <w:ind w:left="993" w:hanging="426"/>
      </w:pPr>
      <w:r w:rsidRPr="00DA64DB">
        <w:t>Would it help to provide information on the GOV.UK website?</w:t>
      </w:r>
    </w:p>
    <w:p w:rsidR="00D31FBE" w:rsidRDefault="00D31FBE" w:rsidP="00D31FBE">
      <w:pPr>
        <w:pStyle w:val="ListParagraph"/>
        <w:numPr>
          <w:ilvl w:val="0"/>
          <w:numId w:val="25"/>
        </w:numPr>
        <w:ind w:left="993" w:hanging="426"/>
      </w:pPr>
      <w:r w:rsidRPr="00DA64DB">
        <w:t>Would a short communications programme, raising awareness be effective? For example, coverage in social media, press notices and articles in trade press.</w:t>
      </w:r>
    </w:p>
    <w:p w:rsidR="00D31FBE" w:rsidRDefault="00D31FBE" w:rsidP="00D31FBE">
      <w:pPr>
        <w:pStyle w:val="ListParagraph"/>
        <w:numPr>
          <w:ilvl w:val="0"/>
          <w:numId w:val="25"/>
        </w:numPr>
        <w:ind w:left="993" w:hanging="426"/>
      </w:pPr>
      <w:r w:rsidRPr="00DA64DB">
        <w:t>Should the statutory information that must be displayed in retail premises selling hallmarked items be changed?</w:t>
      </w:r>
    </w:p>
    <w:p w:rsidR="00D31FBE" w:rsidRDefault="00D31FBE" w:rsidP="00D31FBE">
      <w:pPr>
        <w:pStyle w:val="ListParagraph"/>
        <w:numPr>
          <w:ilvl w:val="0"/>
          <w:numId w:val="25"/>
        </w:numPr>
        <w:ind w:left="993" w:hanging="426"/>
      </w:pPr>
      <w:r w:rsidRPr="00DA64DB">
        <w:t>What benefit if any would it be to consumers to have an additional mark to denote hallmarking overseas by a UK Assay Office?</w:t>
      </w:r>
    </w:p>
    <w:p w:rsidR="00D31FBE" w:rsidRPr="00D31FBE" w:rsidRDefault="00D31FBE" w:rsidP="00D31FBE">
      <w:r w:rsidRPr="00DA64DB">
        <w:t>Is there anything else that needs to be done to enable consumers to make informed choices?</w:t>
      </w:r>
    </w:p>
    <w:bookmarkEnd w:id="1"/>
    <w:bookmarkEnd w:id="2"/>
    <w:sectPr w:rsidR="00D31FBE" w:rsidRPr="00D31FBE" w:rsidSect="00FE1D94">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BE" w:rsidRDefault="00D31FBE">
      <w:r>
        <w:separator/>
      </w:r>
    </w:p>
  </w:endnote>
  <w:endnote w:type="continuationSeparator" w:id="0">
    <w:p w:rsidR="00D31FBE" w:rsidRDefault="00D3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EE" w:rsidRDefault="00736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EE" w:rsidRDefault="00736E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EE" w:rsidRDefault="00736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BE" w:rsidRDefault="00D31FBE">
      <w:r>
        <w:separator/>
      </w:r>
    </w:p>
  </w:footnote>
  <w:footnote w:type="continuationSeparator" w:id="0">
    <w:p w:rsidR="00D31FBE" w:rsidRDefault="00D31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EE" w:rsidRDefault="00736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EE" w:rsidRDefault="00736E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DA" w:rsidRPr="00015C4E" w:rsidRDefault="00B96BC8" w:rsidP="00FE1D94">
    <w:pPr>
      <w:spacing w:after="0"/>
    </w:pPr>
    <w:r>
      <w:rPr>
        <w:noProof/>
        <w:lang w:eastAsia="en-GB"/>
      </w:rPr>
      <w:drawing>
        <wp:inline distT="0" distB="0" distL="0" distR="0" wp14:anchorId="33B0BCB1" wp14:editId="1E43B057">
          <wp:extent cx="2390775" cy="885825"/>
          <wp:effectExtent l="0" t="0" r="9525" b="9525"/>
          <wp:docPr id="2" name="Picture 2" descr="British Hallmarking Council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Hallmarking-Council.png"/>
                  <pic:cNvPicPr/>
                </pic:nvPicPr>
                <pic:blipFill>
                  <a:blip r:embed="rId1">
                    <a:extLst>
                      <a:ext uri="{28A0092B-C50C-407E-A947-70E740481C1C}">
                        <a14:useLocalDpi xmlns:a14="http://schemas.microsoft.com/office/drawing/2010/main" val="0"/>
                      </a:ext>
                    </a:extLst>
                  </a:blip>
                  <a:stretch>
                    <a:fillRect/>
                  </a:stretch>
                </pic:blipFill>
                <pic:spPr>
                  <a:xfrm>
                    <a:off x="0" y="0"/>
                    <a:ext cx="2390775" cy="885825"/>
                  </a:xfrm>
                  <a:prstGeom prst="rect">
                    <a:avLst/>
                  </a:prstGeom>
                </pic:spPr>
              </pic:pic>
            </a:graphicData>
          </a:graphic>
        </wp:inline>
      </w:drawing>
    </w:r>
    <w:r w:rsidR="00406CDA">
      <w:rPr>
        <w:noProof/>
        <w:lang w:eastAsia="en-GB"/>
      </w:rPr>
      <mc:AlternateContent>
        <mc:Choice Requires="wps">
          <w:drawing>
            <wp:anchor distT="0" distB="0" distL="114300" distR="114300" simplePos="0" relativeHeight="251658240" behindDoc="1" locked="0" layoutInCell="1" allowOverlap="1" wp14:anchorId="51507304" wp14:editId="165943A9">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4">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nsid w:val="33DC4D13"/>
    <w:multiLevelType w:val="hybridMultilevel"/>
    <w:tmpl w:val="4830AF16"/>
    <w:lvl w:ilvl="0" w:tplc="6B9CDA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373E77"/>
    <w:multiLevelType w:val="hybridMultilevel"/>
    <w:tmpl w:val="21EA98AC"/>
    <w:lvl w:ilvl="0" w:tplc="6B9CDA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E95994"/>
    <w:multiLevelType w:val="hybridMultilevel"/>
    <w:tmpl w:val="80CCB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68B35C6"/>
    <w:multiLevelType w:val="hybridMultilevel"/>
    <w:tmpl w:val="6B40D90C"/>
    <w:lvl w:ilvl="0" w:tplc="6B9CDA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23"/>
  </w:num>
  <w:num w:numId="3">
    <w:abstractNumId w:val="12"/>
  </w:num>
  <w:num w:numId="4">
    <w:abstractNumId w:val="13"/>
  </w:num>
  <w:num w:numId="5">
    <w:abstractNumId w:val="24"/>
  </w:num>
  <w:num w:numId="6">
    <w:abstractNumId w:val="21"/>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22"/>
  </w:num>
  <w:num w:numId="19">
    <w:abstractNumId w:val="14"/>
  </w:num>
  <w:num w:numId="20">
    <w:abstractNumId w:val="15"/>
  </w:num>
  <w:num w:numId="21">
    <w:abstractNumId w:val="10"/>
  </w:num>
  <w:num w:numId="22">
    <w:abstractNumId w:val="18"/>
  </w:num>
  <w:num w:numId="23">
    <w:abstractNumId w:val="16"/>
  </w:num>
  <w:num w:numId="24">
    <w:abstractNumId w:val="17"/>
  </w:num>
  <w:num w:numId="2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BE"/>
    <w:rsid w:val="00006159"/>
    <w:rsid w:val="000132C2"/>
    <w:rsid w:val="00015C4E"/>
    <w:rsid w:val="00032087"/>
    <w:rsid w:val="00034384"/>
    <w:rsid w:val="00045601"/>
    <w:rsid w:val="00053C78"/>
    <w:rsid w:val="0005717F"/>
    <w:rsid w:val="000604AF"/>
    <w:rsid w:val="00062617"/>
    <w:rsid w:val="00072613"/>
    <w:rsid w:val="00086288"/>
    <w:rsid w:val="00091DE9"/>
    <w:rsid w:val="0009521D"/>
    <w:rsid w:val="00096FAD"/>
    <w:rsid w:val="000A01D3"/>
    <w:rsid w:val="000B6352"/>
    <w:rsid w:val="000B7B04"/>
    <w:rsid w:val="000C26E1"/>
    <w:rsid w:val="000C2C1D"/>
    <w:rsid w:val="000D2FDE"/>
    <w:rsid w:val="000D42C5"/>
    <w:rsid w:val="000E01D6"/>
    <w:rsid w:val="000E1F17"/>
    <w:rsid w:val="000E50CC"/>
    <w:rsid w:val="000E7333"/>
    <w:rsid w:val="000F5F3C"/>
    <w:rsid w:val="00103A79"/>
    <w:rsid w:val="00103F41"/>
    <w:rsid w:val="0010466E"/>
    <w:rsid w:val="001100D6"/>
    <w:rsid w:val="00126F3C"/>
    <w:rsid w:val="0014731E"/>
    <w:rsid w:val="00155A9C"/>
    <w:rsid w:val="00162142"/>
    <w:rsid w:val="001634C8"/>
    <w:rsid w:val="001700BE"/>
    <w:rsid w:val="001705EB"/>
    <w:rsid w:val="001726DF"/>
    <w:rsid w:val="0018767B"/>
    <w:rsid w:val="00191B54"/>
    <w:rsid w:val="00193033"/>
    <w:rsid w:val="001A3ADE"/>
    <w:rsid w:val="001A3FE6"/>
    <w:rsid w:val="001C1FE5"/>
    <w:rsid w:val="001C78F8"/>
    <w:rsid w:val="001D610C"/>
    <w:rsid w:val="001D6D05"/>
    <w:rsid w:val="001E41A0"/>
    <w:rsid w:val="001E554A"/>
    <w:rsid w:val="001E79E8"/>
    <w:rsid w:val="001F0FF2"/>
    <w:rsid w:val="001F11B0"/>
    <w:rsid w:val="001F2C2F"/>
    <w:rsid w:val="001F4F63"/>
    <w:rsid w:val="00201B9C"/>
    <w:rsid w:val="002032DA"/>
    <w:rsid w:val="002127EF"/>
    <w:rsid w:val="00224C7F"/>
    <w:rsid w:val="0022504C"/>
    <w:rsid w:val="00226F71"/>
    <w:rsid w:val="00232B67"/>
    <w:rsid w:val="0023304D"/>
    <w:rsid w:val="00234815"/>
    <w:rsid w:val="00244FC1"/>
    <w:rsid w:val="002451F0"/>
    <w:rsid w:val="00246F54"/>
    <w:rsid w:val="0025397C"/>
    <w:rsid w:val="00263094"/>
    <w:rsid w:val="002670F6"/>
    <w:rsid w:val="00272572"/>
    <w:rsid w:val="00273593"/>
    <w:rsid w:val="002747CA"/>
    <w:rsid w:val="0028755F"/>
    <w:rsid w:val="00290372"/>
    <w:rsid w:val="00294C50"/>
    <w:rsid w:val="002A0605"/>
    <w:rsid w:val="002A31DF"/>
    <w:rsid w:val="002B5C80"/>
    <w:rsid w:val="002C3AFC"/>
    <w:rsid w:val="002D12B5"/>
    <w:rsid w:val="002D7C4C"/>
    <w:rsid w:val="002E70DB"/>
    <w:rsid w:val="002F1CC6"/>
    <w:rsid w:val="002F1FF4"/>
    <w:rsid w:val="00300710"/>
    <w:rsid w:val="00307095"/>
    <w:rsid w:val="0031038D"/>
    <w:rsid w:val="003213B0"/>
    <w:rsid w:val="00324D1E"/>
    <w:rsid w:val="003318CE"/>
    <w:rsid w:val="00331FF7"/>
    <w:rsid w:val="00336FC1"/>
    <w:rsid w:val="0033791A"/>
    <w:rsid w:val="00341FA9"/>
    <w:rsid w:val="003451FB"/>
    <w:rsid w:val="00345BCB"/>
    <w:rsid w:val="0035223F"/>
    <w:rsid w:val="00352686"/>
    <w:rsid w:val="003654E6"/>
    <w:rsid w:val="00371895"/>
    <w:rsid w:val="00373222"/>
    <w:rsid w:val="00377603"/>
    <w:rsid w:val="00390385"/>
    <w:rsid w:val="003921D2"/>
    <w:rsid w:val="00396504"/>
    <w:rsid w:val="003966DE"/>
    <w:rsid w:val="003A3330"/>
    <w:rsid w:val="003B321A"/>
    <w:rsid w:val="003C2743"/>
    <w:rsid w:val="003D57B6"/>
    <w:rsid w:val="003E26A0"/>
    <w:rsid w:val="003E6E7C"/>
    <w:rsid w:val="003F180F"/>
    <w:rsid w:val="003F35D6"/>
    <w:rsid w:val="003F6FD2"/>
    <w:rsid w:val="00404759"/>
    <w:rsid w:val="00406CDA"/>
    <w:rsid w:val="004304A6"/>
    <w:rsid w:val="00430D7B"/>
    <w:rsid w:val="0043287E"/>
    <w:rsid w:val="004367F6"/>
    <w:rsid w:val="00442169"/>
    <w:rsid w:val="0044797C"/>
    <w:rsid w:val="00452858"/>
    <w:rsid w:val="00466610"/>
    <w:rsid w:val="00467B49"/>
    <w:rsid w:val="00472AF2"/>
    <w:rsid w:val="004805D2"/>
    <w:rsid w:val="00484140"/>
    <w:rsid w:val="00484B18"/>
    <w:rsid w:val="004A7500"/>
    <w:rsid w:val="004B10B7"/>
    <w:rsid w:val="004B1D44"/>
    <w:rsid w:val="004B45CA"/>
    <w:rsid w:val="004B68DA"/>
    <w:rsid w:val="004C44C7"/>
    <w:rsid w:val="004D53B4"/>
    <w:rsid w:val="004D6DE1"/>
    <w:rsid w:val="004E6E64"/>
    <w:rsid w:val="004F05C1"/>
    <w:rsid w:val="004F2A57"/>
    <w:rsid w:val="004F4F6E"/>
    <w:rsid w:val="004F5C6B"/>
    <w:rsid w:val="00523821"/>
    <w:rsid w:val="00533C58"/>
    <w:rsid w:val="0053548E"/>
    <w:rsid w:val="00545FB2"/>
    <w:rsid w:val="00546612"/>
    <w:rsid w:val="005729C4"/>
    <w:rsid w:val="00576565"/>
    <w:rsid w:val="005873F3"/>
    <w:rsid w:val="005917D7"/>
    <w:rsid w:val="005937E6"/>
    <w:rsid w:val="00595F47"/>
    <w:rsid w:val="005A169D"/>
    <w:rsid w:val="005A5354"/>
    <w:rsid w:val="005A6936"/>
    <w:rsid w:val="005B402C"/>
    <w:rsid w:val="005B5EA4"/>
    <w:rsid w:val="005B7AB9"/>
    <w:rsid w:val="005C11C2"/>
    <w:rsid w:val="005C13C4"/>
    <w:rsid w:val="005D1574"/>
    <w:rsid w:val="005D1862"/>
    <w:rsid w:val="005D361A"/>
    <w:rsid w:val="005D58CC"/>
    <w:rsid w:val="005D6632"/>
    <w:rsid w:val="005D7CA8"/>
    <w:rsid w:val="005E3265"/>
    <w:rsid w:val="005F064A"/>
    <w:rsid w:val="00615012"/>
    <w:rsid w:val="00615567"/>
    <w:rsid w:val="006234E0"/>
    <w:rsid w:val="00623D8F"/>
    <w:rsid w:val="00624791"/>
    <w:rsid w:val="00627DE3"/>
    <w:rsid w:val="006304BD"/>
    <w:rsid w:val="00632B1E"/>
    <w:rsid w:val="006437C0"/>
    <w:rsid w:val="00646737"/>
    <w:rsid w:val="00654138"/>
    <w:rsid w:val="00654A57"/>
    <w:rsid w:val="00660C9A"/>
    <w:rsid w:val="00661A05"/>
    <w:rsid w:val="006645DC"/>
    <w:rsid w:val="00671B8D"/>
    <w:rsid w:val="0068134A"/>
    <w:rsid w:val="0068185E"/>
    <w:rsid w:val="006824FB"/>
    <w:rsid w:val="00685868"/>
    <w:rsid w:val="00687DE2"/>
    <w:rsid w:val="00692FB1"/>
    <w:rsid w:val="006A08AA"/>
    <w:rsid w:val="006A0F10"/>
    <w:rsid w:val="006A1178"/>
    <w:rsid w:val="006A640A"/>
    <w:rsid w:val="006B26BB"/>
    <w:rsid w:val="006C1E05"/>
    <w:rsid w:val="006C2034"/>
    <w:rsid w:val="006D56FD"/>
    <w:rsid w:val="006D5937"/>
    <w:rsid w:val="006D7AAD"/>
    <w:rsid w:val="007073CE"/>
    <w:rsid w:val="00720608"/>
    <w:rsid w:val="00724BD4"/>
    <w:rsid w:val="007263F1"/>
    <w:rsid w:val="007311E3"/>
    <w:rsid w:val="00736EEE"/>
    <w:rsid w:val="00742E83"/>
    <w:rsid w:val="00743574"/>
    <w:rsid w:val="007464B0"/>
    <w:rsid w:val="007559C1"/>
    <w:rsid w:val="0076324E"/>
    <w:rsid w:val="007633BF"/>
    <w:rsid w:val="00765338"/>
    <w:rsid w:val="007771C1"/>
    <w:rsid w:val="007A4BA2"/>
    <w:rsid w:val="007B0F36"/>
    <w:rsid w:val="007C3A0F"/>
    <w:rsid w:val="007D0048"/>
    <w:rsid w:val="007E5104"/>
    <w:rsid w:val="0082011F"/>
    <w:rsid w:val="00827FB8"/>
    <w:rsid w:val="00834D3E"/>
    <w:rsid w:val="008421F6"/>
    <w:rsid w:val="00845AC9"/>
    <w:rsid w:val="008564C2"/>
    <w:rsid w:val="008571A1"/>
    <w:rsid w:val="00861EEE"/>
    <w:rsid w:val="008637EB"/>
    <w:rsid w:val="00867CDB"/>
    <w:rsid w:val="00870986"/>
    <w:rsid w:val="0087154A"/>
    <w:rsid w:val="008724AD"/>
    <w:rsid w:val="00885FD3"/>
    <w:rsid w:val="008870C2"/>
    <w:rsid w:val="00887C02"/>
    <w:rsid w:val="008A0703"/>
    <w:rsid w:val="008A3E99"/>
    <w:rsid w:val="008A7BD8"/>
    <w:rsid w:val="008B49B1"/>
    <w:rsid w:val="008B723C"/>
    <w:rsid w:val="008C6170"/>
    <w:rsid w:val="008D33F4"/>
    <w:rsid w:val="008E215E"/>
    <w:rsid w:val="008E2B56"/>
    <w:rsid w:val="008E2CFD"/>
    <w:rsid w:val="008E38E7"/>
    <w:rsid w:val="008E6C2D"/>
    <w:rsid w:val="008F5ED4"/>
    <w:rsid w:val="008F5F95"/>
    <w:rsid w:val="008F7183"/>
    <w:rsid w:val="00900791"/>
    <w:rsid w:val="00902FB0"/>
    <w:rsid w:val="0091120E"/>
    <w:rsid w:val="00913BC7"/>
    <w:rsid w:val="00923859"/>
    <w:rsid w:val="009259CF"/>
    <w:rsid w:val="00950A73"/>
    <w:rsid w:val="00954CE8"/>
    <w:rsid w:val="0095546B"/>
    <w:rsid w:val="0095568B"/>
    <w:rsid w:val="00955D2A"/>
    <w:rsid w:val="009637E7"/>
    <w:rsid w:val="009654EF"/>
    <w:rsid w:val="00965A03"/>
    <w:rsid w:val="00972CE4"/>
    <w:rsid w:val="00973E65"/>
    <w:rsid w:val="0097566E"/>
    <w:rsid w:val="009946FA"/>
    <w:rsid w:val="00994AA4"/>
    <w:rsid w:val="009A29B6"/>
    <w:rsid w:val="009C1373"/>
    <w:rsid w:val="009C1761"/>
    <w:rsid w:val="009C2C1A"/>
    <w:rsid w:val="009C7346"/>
    <w:rsid w:val="009D2469"/>
    <w:rsid w:val="009E06E1"/>
    <w:rsid w:val="009E46D2"/>
    <w:rsid w:val="009E4C3C"/>
    <w:rsid w:val="009E6F74"/>
    <w:rsid w:val="009F34E9"/>
    <w:rsid w:val="009F4751"/>
    <w:rsid w:val="00A14146"/>
    <w:rsid w:val="00A148A4"/>
    <w:rsid w:val="00A15456"/>
    <w:rsid w:val="00A229D9"/>
    <w:rsid w:val="00A23E43"/>
    <w:rsid w:val="00A31C9E"/>
    <w:rsid w:val="00A35141"/>
    <w:rsid w:val="00A36704"/>
    <w:rsid w:val="00A44650"/>
    <w:rsid w:val="00A512AA"/>
    <w:rsid w:val="00A60F98"/>
    <w:rsid w:val="00A6286F"/>
    <w:rsid w:val="00A74691"/>
    <w:rsid w:val="00A7638C"/>
    <w:rsid w:val="00A769B9"/>
    <w:rsid w:val="00A77434"/>
    <w:rsid w:val="00A85D49"/>
    <w:rsid w:val="00A91CB7"/>
    <w:rsid w:val="00A95640"/>
    <w:rsid w:val="00A95C77"/>
    <w:rsid w:val="00AA1947"/>
    <w:rsid w:val="00AA4BE3"/>
    <w:rsid w:val="00AA4C61"/>
    <w:rsid w:val="00AA7649"/>
    <w:rsid w:val="00AB3869"/>
    <w:rsid w:val="00AC4780"/>
    <w:rsid w:val="00AD1AFC"/>
    <w:rsid w:val="00AD6715"/>
    <w:rsid w:val="00AF60A5"/>
    <w:rsid w:val="00B00F0F"/>
    <w:rsid w:val="00B04938"/>
    <w:rsid w:val="00B06A1C"/>
    <w:rsid w:val="00B10922"/>
    <w:rsid w:val="00B161E4"/>
    <w:rsid w:val="00B20914"/>
    <w:rsid w:val="00B328AD"/>
    <w:rsid w:val="00B41124"/>
    <w:rsid w:val="00B4442F"/>
    <w:rsid w:val="00B468B7"/>
    <w:rsid w:val="00B5752E"/>
    <w:rsid w:val="00B60C67"/>
    <w:rsid w:val="00B7595E"/>
    <w:rsid w:val="00B80A46"/>
    <w:rsid w:val="00B80BC9"/>
    <w:rsid w:val="00B932AD"/>
    <w:rsid w:val="00B96B63"/>
    <w:rsid w:val="00B96BC8"/>
    <w:rsid w:val="00BA54CC"/>
    <w:rsid w:val="00BA758C"/>
    <w:rsid w:val="00BA7D46"/>
    <w:rsid w:val="00BB18FE"/>
    <w:rsid w:val="00BC1F9D"/>
    <w:rsid w:val="00BC5059"/>
    <w:rsid w:val="00BD57BE"/>
    <w:rsid w:val="00BD7D17"/>
    <w:rsid w:val="00BE4DA9"/>
    <w:rsid w:val="00BE71F8"/>
    <w:rsid w:val="00BF2B52"/>
    <w:rsid w:val="00BF7695"/>
    <w:rsid w:val="00BF7CC3"/>
    <w:rsid w:val="00C0163C"/>
    <w:rsid w:val="00C041B2"/>
    <w:rsid w:val="00C05C97"/>
    <w:rsid w:val="00C20F5A"/>
    <w:rsid w:val="00C378B1"/>
    <w:rsid w:val="00C404B2"/>
    <w:rsid w:val="00C50E53"/>
    <w:rsid w:val="00C51D4E"/>
    <w:rsid w:val="00C56DD0"/>
    <w:rsid w:val="00C57D6B"/>
    <w:rsid w:val="00C60585"/>
    <w:rsid w:val="00C620FA"/>
    <w:rsid w:val="00C74967"/>
    <w:rsid w:val="00C81B52"/>
    <w:rsid w:val="00C910F8"/>
    <w:rsid w:val="00C913EC"/>
    <w:rsid w:val="00CB1BC4"/>
    <w:rsid w:val="00CC08BD"/>
    <w:rsid w:val="00CC2842"/>
    <w:rsid w:val="00CD3BAA"/>
    <w:rsid w:val="00CD5818"/>
    <w:rsid w:val="00CE50B7"/>
    <w:rsid w:val="00CF24D9"/>
    <w:rsid w:val="00CF6874"/>
    <w:rsid w:val="00CF692C"/>
    <w:rsid w:val="00CF6A23"/>
    <w:rsid w:val="00D01A0B"/>
    <w:rsid w:val="00D16544"/>
    <w:rsid w:val="00D211FC"/>
    <w:rsid w:val="00D23089"/>
    <w:rsid w:val="00D31FBE"/>
    <w:rsid w:val="00D3374C"/>
    <w:rsid w:val="00D41359"/>
    <w:rsid w:val="00D44A1B"/>
    <w:rsid w:val="00D55A44"/>
    <w:rsid w:val="00D5710C"/>
    <w:rsid w:val="00D62329"/>
    <w:rsid w:val="00D845C5"/>
    <w:rsid w:val="00D90412"/>
    <w:rsid w:val="00D93310"/>
    <w:rsid w:val="00D96ECF"/>
    <w:rsid w:val="00D971BD"/>
    <w:rsid w:val="00D97EB6"/>
    <w:rsid w:val="00DA0915"/>
    <w:rsid w:val="00DA1919"/>
    <w:rsid w:val="00DA453C"/>
    <w:rsid w:val="00DB3212"/>
    <w:rsid w:val="00DB52ED"/>
    <w:rsid w:val="00DB5BD0"/>
    <w:rsid w:val="00DC3198"/>
    <w:rsid w:val="00DD2CEF"/>
    <w:rsid w:val="00DE143B"/>
    <w:rsid w:val="00DE1E27"/>
    <w:rsid w:val="00E05591"/>
    <w:rsid w:val="00E07842"/>
    <w:rsid w:val="00E1051A"/>
    <w:rsid w:val="00E17803"/>
    <w:rsid w:val="00E230AB"/>
    <w:rsid w:val="00E244D9"/>
    <w:rsid w:val="00E30C7E"/>
    <w:rsid w:val="00E32ED5"/>
    <w:rsid w:val="00E56420"/>
    <w:rsid w:val="00E63582"/>
    <w:rsid w:val="00E66320"/>
    <w:rsid w:val="00E73FEF"/>
    <w:rsid w:val="00E74DD7"/>
    <w:rsid w:val="00E814F8"/>
    <w:rsid w:val="00E82D1F"/>
    <w:rsid w:val="00E84B66"/>
    <w:rsid w:val="00E86B6E"/>
    <w:rsid w:val="00E949FD"/>
    <w:rsid w:val="00EA0149"/>
    <w:rsid w:val="00EA47A6"/>
    <w:rsid w:val="00EA7FED"/>
    <w:rsid w:val="00EB0AA8"/>
    <w:rsid w:val="00EC44C5"/>
    <w:rsid w:val="00ED47D3"/>
    <w:rsid w:val="00ED70E8"/>
    <w:rsid w:val="00EE2C68"/>
    <w:rsid w:val="00EE3C4C"/>
    <w:rsid w:val="00EF70C0"/>
    <w:rsid w:val="00F03601"/>
    <w:rsid w:val="00F0612D"/>
    <w:rsid w:val="00F1019D"/>
    <w:rsid w:val="00F22B4B"/>
    <w:rsid w:val="00F23570"/>
    <w:rsid w:val="00F25ED1"/>
    <w:rsid w:val="00F31909"/>
    <w:rsid w:val="00F332F9"/>
    <w:rsid w:val="00F33FD1"/>
    <w:rsid w:val="00F47950"/>
    <w:rsid w:val="00F51A8E"/>
    <w:rsid w:val="00F524ED"/>
    <w:rsid w:val="00F54377"/>
    <w:rsid w:val="00F55F5A"/>
    <w:rsid w:val="00F77082"/>
    <w:rsid w:val="00F86663"/>
    <w:rsid w:val="00F90D09"/>
    <w:rsid w:val="00F93625"/>
    <w:rsid w:val="00F947B1"/>
    <w:rsid w:val="00F9543B"/>
    <w:rsid w:val="00F96BAB"/>
    <w:rsid w:val="00F978F6"/>
    <w:rsid w:val="00FA0EE3"/>
    <w:rsid w:val="00FA43A2"/>
    <w:rsid w:val="00FA4471"/>
    <w:rsid w:val="00FB1EB0"/>
    <w:rsid w:val="00FB2ED2"/>
    <w:rsid w:val="00FB3AFE"/>
    <w:rsid w:val="00FB4904"/>
    <w:rsid w:val="00FB71C3"/>
    <w:rsid w:val="00FC3779"/>
    <w:rsid w:val="00FC3FB2"/>
    <w:rsid w:val="00FC508A"/>
    <w:rsid w:val="00FD19FD"/>
    <w:rsid w:val="00FD1AA8"/>
    <w:rsid w:val="00FE1D94"/>
    <w:rsid w:val="00FE6DDD"/>
    <w:rsid w:val="00FF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iPriority="59"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B96BC8"/>
    <w:pPr>
      <w:spacing w:after="680"/>
      <w:outlineLvl w:val="0"/>
    </w:pPr>
    <w:rPr>
      <w:rFonts w:cs="Arial"/>
      <w:bCs/>
      <w:kern w:val="28"/>
      <w:sz w:val="46"/>
      <w:szCs w:val="46"/>
      <w:lang w:eastAsia="en-GB"/>
    </w:rPr>
  </w:style>
  <w:style w:type="paragraph" w:styleId="Heading2">
    <w:name w:val="heading 2"/>
    <w:basedOn w:val="Normal"/>
    <w:next w:val="Normal"/>
    <w:link w:val="Heading2Char1"/>
    <w:uiPriority w:val="99"/>
    <w:qFormat/>
    <w:rsid w:val="00B96BC8"/>
    <w:pPr>
      <w:spacing w:after="240"/>
      <w:outlineLvl w:val="1"/>
    </w:pPr>
    <w:rPr>
      <w:sz w:val="32"/>
      <w:szCs w:val="26"/>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6BC8"/>
    <w:rPr>
      <w:rFonts w:ascii="Arial" w:hAnsi="Arial" w:cs="Arial"/>
      <w:bCs/>
      <w:kern w:val="28"/>
      <w:sz w:val="46"/>
      <w:szCs w:val="46"/>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B96BC8"/>
    <w:rPr>
      <w:rFonts w:ascii="Arial" w:hAnsi="Arial"/>
      <w:sz w:val="32"/>
      <w:szCs w:val="26"/>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iPriority="59"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B96BC8"/>
    <w:pPr>
      <w:spacing w:after="680"/>
      <w:outlineLvl w:val="0"/>
    </w:pPr>
    <w:rPr>
      <w:rFonts w:cs="Arial"/>
      <w:bCs/>
      <w:kern w:val="28"/>
      <w:sz w:val="46"/>
      <w:szCs w:val="46"/>
      <w:lang w:eastAsia="en-GB"/>
    </w:rPr>
  </w:style>
  <w:style w:type="paragraph" w:styleId="Heading2">
    <w:name w:val="heading 2"/>
    <w:basedOn w:val="Normal"/>
    <w:next w:val="Normal"/>
    <w:link w:val="Heading2Char1"/>
    <w:uiPriority w:val="99"/>
    <w:qFormat/>
    <w:rsid w:val="00B96BC8"/>
    <w:pPr>
      <w:spacing w:after="240"/>
      <w:outlineLvl w:val="1"/>
    </w:pPr>
    <w:rPr>
      <w:sz w:val="32"/>
      <w:szCs w:val="26"/>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6BC8"/>
    <w:rPr>
      <w:rFonts w:ascii="Arial" w:hAnsi="Arial" w:cs="Arial"/>
      <w:bCs/>
      <w:kern w:val="28"/>
      <w:sz w:val="46"/>
      <w:szCs w:val="46"/>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B96BC8"/>
    <w:rPr>
      <w:rFonts w:ascii="Arial" w:hAnsi="Arial"/>
      <w:sz w:val="32"/>
      <w:szCs w:val="26"/>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hcconsultation17@gmail.com" TargetMode="External"/><Relationship Id="rId4" Type="http://schemas.microsoft.com/office/2007/relationships/stylesWithEffects" Target="stylesWithEffects.xml"/><Relationship Id="rId9" Type="http://schemas.openxmlformats.org/officeDocument/2006/relationships/hyperlink" Target="http://www.gov.uk/government/consultations/hallmarking-by-uk-assay-offices-oversea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DCDDAF6-55B3-4788-8403-D987D5AC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4576</Characters>
  <Application>Microsoft Office Word</Application>
  <DocSecurity>0</DocSecurity>
  <Lines>93</Lines>
  <Paragraphs>51</Paragraphs>
  <ScaleCrop>false</ScaleCrop>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2017-07-17T16:02:00Z</dcterms:created>
  <dcterms:modified xsi:type="dcterms:W3CDTF">2017-07-17T16:02:00Z</dcterms:modified>
</cp:coreProperties>
</file>