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RPr="003F5D59" w:rsidTr="00657BE7">
        <w:tblPrEx>
          <w:tblCellMar>
            <w:top w:w="0" w:type="dxa"/>
            <w:left w:w="0" w:type="dxa"/>
            <w:bottom w:w="0" w:type="dxa"/>
            <w:right w:w="0" w:type="dxa"/>
          </w:tblCellMar>
        </w:tblPrEx>
        <w:trPr>
          <w:cantSplit/>
          <w:trHeight w:val="73"/>
        </w:trPr>
        <w:tc>
          <w:tcPr>
            <w:tcW w:w="1214" w:type="dxa"/>
          </w:tcPr>
          <w:p w:rsidR="00AF6F11" w:rsidRPr="003F5D59" w:rsidRDefault="00AF6F11" w:rsidP="00CF776B">
            <w:pPr>
              <w:pStyle w:val="MOJnormal"/>
              <w:rPr>
                <w:rFonts w:cs="Arial"/>
                <w:color w:val="000000"/>
                <w:sz w:val="22"/>
                <w:szCs w:val="22"/>
              </w:rPr>
            </w:pPr>
          </w:p>
        </w:tc>
        <w:tc>
          <w:tcPr>
            <w:tcW w:w="5400" w:type="dxa"/>
          </w:tcPr>
          <w:p w:rsidR="00AF6F11" w:rsidRPr="003F5D59" w:rsidRDefault="00AF6F11" w:rsidP="00161A44">
            <w:pPr>
              <w:spacing w:line="280" w:lineRule="atLeast"/>
              <w:rPr>
                <w:rFonts w:ascii="Arial" w:hAnsi="Arial" w:cs="Arial"/>
                <w:color w:val="000000"/>
                <w:sz w:val="22"/>
                <w:szCs w:val="22"/>
              </w:rPr>
            </w:pPr>
          </w:p>
        </w:tc>
        <w:tc>
          <w:tcPr>
            <w:tcW w:w="180" w:type="dxa"/>
          </w:tcPr>
          <w:p w:rsidR="00AF6F11" w:rsidRPr="003F5D59" w:rsidRDefault="00AF6F11" w:rsidP="00CF776B">
            <w:pPr>
              <w:spacing w:line="280" w:lineRule="atLeast"/>
              <w:rPr>
                <w:rFonts w:ascii="Arial" w:hAnsi="Arial" w:cs="Arial"/>
                <w:sz w:val="22"/>
                <w:szCs w:val="22"/>
              </w:rPr>
            </w:pPr>
          </w:p>
        </w:tc>
        <w:tc>
          <w:tcPr>
            <w:tcW w:w="3865" w:type="dxa"/>
          </w:tcPr>
          <w:p w:rsidR="00AF6F11" w:rsidRPr="003F5D59" w:rsidRDefault="00AF6F11" w:rsidP="00CF4A6A">
            <w:pPr>
              <w:pStyle w:val="MOJnormal"/>
              <w:rPr>
                <w:rFonts w:cs="Arial"/>
                <w:sz w:val="22"/>
                <w:szCs w:val="22"/>
              </w:rPr>
            </w:pPr>
          </w:p>
        </w:tc>
      </w:tr>
    </w:tbl>
    <w:p w:rsidR="00E36BAC" w:rsidRPr="003F5D59" w:rsidRDefault="00E36BAC">
      <w:pPr>
        <w:rPr>
          <w:rFonts w:ascii="Arial" w:hAnsi="Arial" w:cs="Arial"/>
          <w:sz w:val="22"/>
          <w:szCs w:val="22"/>
        </w:rPr>
      </w:pPr>
    </w:p>
    <w:tbl>
      <w:tblPr>
        <w:tblW w:w="9356" w:type="dxa"/>
        <w:tblLayout w:type="fixed"/>
        <w:tblCellMar>
          <w:left w:w="0" w:type="dxa"/>
          <w:right w:w="0" w:type="dxa"/>
        </w:tblCellMar>
        <w:tblLook w:val="01E0" w:firstRow="1" w:lastRow="1" w:firstColumn="1" w:lastColumn="1" w:noHBand="0" w:noVBand="0"/>
      </w:tblPr>
      <w:tblGrid>
        <w:gridCol w:w="6237"/>
        <w:gridCol w:w="3119"/>
      </w:tblGrid>
      <w:tr w:rsidR="00B46219" w:rsidRPr="00B46219" w:rsidTr="00143F48">
        <w:trPr>
          <w:trHeight w:val="2965"/>
        </w:trPr>
        <w:tc>
          <w:tcPr>
            <w:tcW w:w="6237" w:type="dxa"/>
          </w:tcPr>
          <w:p w:rsidR="00B46219" w:rsidRPr="00B46219" w:rsidRDefault="00A47A73" w:rsidP="00B46219">
            <w:pPr>
              <w:spacing w:line="200" w:lineRule="atLeast"/>
              <w:rPr>
                <w:rFonts w:ascii="Arial" w:hAnsi="Arial" w:cs="Arial"/>
                <w:sz w:val="22"/>
                <w:szCs w:val="22"/>
              </w:rPr>
            </w:pPr>
            <w:r w:rsidRPr="00B46219">
              <w:rPr>
                <w:rFonts w:ascii="Arial" w:hAnsi="Arial" w:cs="Arial"/>
                <w:noProof/>
                <w:sz w:val="22"/>
                <w:szCs w:val="22"/>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B46219" w:rsidRPr="00B46219" w:rsidRDefault="00B46219" w:rsidP="00B46219">
            <w:pPr>
              <w:spacing w:line="200" w:lineRule="atLeast"/>
              <w:rPr>
                <w:rFonts w:ascii="Arial" w:hAnsi="Arial" w:cs="Arial"/>
                <w:sz w:val="22"/>
                <w:szCs w:val="22"/>
              </w:rPr>
            </w:pPr>
          </w:p>
          <w:p w:rsidR="00B46219" w:rsidRPr="00B46219" w:rsidRDefault="00B46219" w:rsidP="00B46219">
            <w:pPr>
              <w:spacing w:line="200" w:lineRule="atLeast"/>
              <w:rPr>
                <w:rFonts w:ascii="Arial" w:hAnsi="Arial" w:cs="Arial"/>
                <w:sz w:val="22"/>
                <w:szCs w:val="22"/>
              </w:rPr>
            </w:pPr>
          </w:p>
          <w:p w:rsidR="00B46219" w:rsidRPr="00B46219" w:rsidRDefault="00B46219" w:rsidP="00B46219">
            <w:pPr>
              <w:spacing w:line="200" w:lineRule="atLeast"/>
              <w:rPr>
                <w:rFonts w:ascii="Arial" w:hAnsi="Arial" w:cs="Arial"/>
                <w:sz w:val="22"/>
                <w:szCs w:val="22"/>
              </w:rPr>
            </w:pPr>
          </w:p>
          <w:p w:rsidR="00B46219" w:rsidRPr="00B46219" w:rsidRDefault="00B46219" w:rsidP="00B46219">
            <w:pPr>
              <w:spacing w:line="200" w:lineRule="atLeast"/>
              <w:rPr>
                <w:rFonts w:ascii="Arial" w:hAnsi="Arial" w:cs="Arial"/>
                <w:sz w:val="22"/>
                <w:szCs w:val="22"/>
              </w:rPr>
            </w:pPr>
          </w:p>
        </w:tc>
        <w:tc>
          <w:tcPr>
            <w:tcW w:w="3119" w:type="dxa"/>
          </w:tcPr>
          <w:p w:rsidR="00B46219" w:rsidRPr="00B46219" w:rsidRDefault="00B46219" w:rsidP="00B46219">
            <w:pPr>
              <w:rPr>
                <w:rFonts w:ascii="Arial" w:hAnsi="Arial" w:cs="Arial"/>
                <w:sz w:val="22"/>
                <w:szCs w:val="22"/>
              </w:rPr>
            </w:pPr>
          </w:p>
          <w:p w:rsidR="00B46219" w:rsidRPr="00B46219" w:rsidRDefault="00B46219" w:rsidP="00B46219">
            <w:pPr>
              <w:rPr>
                <w:rFonts w:ascii="Arial" w:hAnsi="Arial" w:cs="Arial"/>
                <w:sz w:val="22"/>
                <w:szCs w:val="22"/>
              </w:rPr>
            </w:pPr>
          </w:p>
          <w:p w:rsidR="00B46219" w:rsidRPr="00B46219" w:rsidRDefault="005152B9" w:rsidP="001170F4">
            <w:pPr>
              <w:spacing w:line="200" w:lineRule="atLeast"/>
              <w:rPr>
                <w:rFonts w:ascii="Arial" w:hAnsi="Arial" w:cs="Arial"/>
                <w:sz w:val="22"/>
                <w:szCs w:val="22"/>
              </w:rPr>
            </w:pPr>
            <w:r>
              <w:rPr>
                <w:rFonts w:ascii="Arial" w:hAnsi="Arial" w:cs="Arial"/>
                <w:sz w:val="22"/>
                <w:szCs w:val="22"/>
              </w:rPr>
              <w:t>A</w:t>
            </w:r>
            <w:r w:rsidR="001170F4">
              <w:rPr>
                <w:rFonts w:ascii="Arial" w:hAnsi="Arial" w:cs="Arial"/>
                <w:sz w:val="22"/>
                <w:szCs w:val="22"/>
              </w:rPr>
              <w:t>pril</w:t>
            </w:r>
            <w:r w:rsidR="00B46219" w:rsidRPr="00B46219">
              <w:rPr>
                <w:rFonts w:ascii="Arial" w:hAnsi="Arial" w:cs="Arial"/>
                <w:sz w:val="22"/>
                <w:szCs w:val="22"/>
              </w:rPr>
              <w:t xml:space="preserve"> 2017</w:t>
            </w:r>
          </w:p>
        </w:tc>
      </w:tr>
    </w:tbl>
    <w:p w:rsidR="00461929" w:rsidRPr="003F5D59" w:rsidRDefault="00461929">
      <w:pPr>
        <w:rPr>
          <w:rFonts w:ascii="Arial" w:hAnsi="Arial" w:cs="Arial"/>
          <w:sz w:val="22"/>
          <w:szCs w:val="22"/>
        </w:rPr>
      </w:pPr>
    </w:p>
    <w:p w:rsidR="00461929" w:rsidRPr="003F5D59" w:rsidRDefault="00461929" w:rsidP="00461929">
      <w:pPr>
        <w:rPr>
          <w:rFonts w:ascii="Arial" w:hAnsi="Arial" w:cs="Arial"/>
          <w:b/>
          <w:sz w:val="22"/>
          <w:szCs w:val="22"/>
        </w:rPr>
      </w:pPr>
      <w:r w:rsidRPr="003F5D59">
        <w:rPr>
          <w:rFonts w:ascii="Arial" w:hAnsi="Arial" w:cs="Arial"/>
          <w:b/>
          <w:sz w:val="22"/>
          <w:szCs w:val="22"/>
        </w:rPr>
        <w:t>Freedom of Information Act (FOIA) Request –    1</w:t>
      </w:r>
      <w:r w:rsidR="005152B9">
        <w:rPr>
          <w:rFonts w:ascii="Arial" w:hAnsi="Arial" w:cs="Arial"/>
          <w:b/>
          <w:sz w:val="22"/>
          <w:szCs w:val="22"/>
        </w:rPr>
        <w:t>10877</w:t>
      </w:r>
    </w:p>
    <w:p w:rsidR="00461929" w:rsidRPr="003F5D59" w:rsidRDefault="00461929">
      <w:pPr>
        <w:rPr>
          <w:rFonts w:ascii="Arial" w:hAnsi="Arial" w:cs="Arial"/>
          <w:b/>
          <w:sz w:val="22"/>
          <w:szCs w:val="22"/>
        </w:rPr>
      </w:pPr>
    </w:p>
    <w:p w:rsidR="00B02E2B" w:rsidRPr="003F5D59" w:rsidRDefault="00A47A73" w:rsidP="00E20B05">
      <w:pPr>
        <w:rPr>
          <w:rFonts w:ascii="Arial" w:hAnsi="Arial" w:cs="Arial"/>
          <w:sz w:val="22"/>
          <w:szCs w:val="22"/>
        </w:rPr>
      </w:pPr>
      <w:r>
        <w:rPr>
          <w:rFonts w:ascii="Arial" w:hAnsi="Arial" w:cs="Arial"/>
          <w:sz w:val="22"/>
          <w:szCs w:val="22"/>
        </w:rPr>
        <w:t>Y</w:t>
      </w:r>
      <w:r w:rsidR="00B02E2B" w:rsidRPr="003F5D59">
        <w:rPr>
          <w:rFonts w:ascii="Arial" w:hAnsi="Arial" w:cs="Arial"/>
          <w:sz w:val="22"/>
          <w:szCs w:val="22"/>
        </w:rPr>
        <w:t>ou asked for the following information from the Ministry of Justice</w:t>
      </w:r>
      <w:r w:rsidR="009B5672">
        <w:rPr>
          <w:rFonts w:ascii="Arial" w:hAnsi="Arial" w:cs="Arial"/>
          <w:sz w:val="22"/>
          <w:szCs w:val="22"/>
        </w:rPr>
        <w:t xml:space="preserve"> (MoJ)</w:t>
      </w:r>
      <w:r w:rsidR="00B02E2B" w:rsidRPr="003F5D59">
        <w:rPr>
          <w:rFonts w:ascii="Arial" w:hAnsi="Arial" w:cs="Arial"/>
          <w:sz w:val="22"/>
          <w:szCs w:val="22"/>
        </w:rPr>
        <w:t>:</w:t>
      </w:r>
    </w:p>
    <w:p w:rsidR="006753BE" w:rsidRDefault="006753BE" w:rsidP="00B02E2B">
      <w:pPr>
        <w:jc w:val="both"/>
        <w:rPr>
          <w:rFonts w:ascii="Arial" w:hAnsi="Arial" w:cs="Arial"/>
          <w:sz w:val="22"/>
          <w:szCs w:val="22"/>
        </w:rPr>
      </w:pPr>
    </w:p>
    <w:p w:rsidR="00204F29" w:rsidRPr="0020702A" w:rsidRDefault="00204F29" w:rsidP="00204F29">
      <w:pPr>
        <w:rPr>
          <w:rFonts w:ascii="Arial" w:hAnsi="Arial" w:cs="Arial"/>
          <w:b/>
          <w:sz w:val="22"/>
          <w:szCs w:val="22"/>
        </w:rPr>
      </w:pPr>
      <w:r w:rsidRPr="0020702A">
        <w:rPr>
          <w:rFonts w:ascii="Arial" w:hAnsi="Arial" w:cs="Arial"/>
          <w:b/>
          <w:sz w:val="22"/>
          <w:szCs w:val="22"/>
        </w:rPr>
        <w:t>A list of all the cases in which prosecutions took place (successfully or unsuccessfully) between 1967-</w:t>
      </w:r>
      <w:r w:rsidR="006232AC" w:rsidRPr="0020702A">
        <w:rPr>
          <w:rFonts w:ascii="Arial" w:hAnsi="Arial" w:cs="Arial"/>
          <w:b/>
          <w:sz w:val="22"/>
          <w:szCs w:val="22"/>
        </w:rPr>
        <w:t xml:space="preserve"> </w:t>
      </w:r>
      <w:r w:rsidR="005C2F49" w:rsidRPr="0020702A">
        <w:rPr>
          <w:rFonts w:ascii="Arial" w:hAnsi="Arial" w:cs="Arial"/>
          <w:b/>
          <w:sz w:val="22"/>
          <w:szCs w:val="22"/>
        </w:rPr>
        <w:t>2</w:t>
      </w:r>
      <w:r w:rsidRPr="0020702A">
        <w:rPr>
          <w:rFonts w:ascii="Arial" w:hAnsi="Arial" w:cs="Arial"/>
          <w:b/>
          <w:sz w:val="22"/>
          <w:szCs w:val="22"/>
        </w:rPr>
        <w:t>017 under:</w:t>
      </w:r>
    </w:p>
    <w:p w:rsidR="00204F29" w:rsidRPr="0020702A" w:rsidRDefault="00204F29" w:rsidP="00204F29">
      <w:pPr>
        <w:rPr>
          <w:rFonts w:ascii="Arial" w:hAnsi="Arial" w:cs="Arial"/>
          <w:b/>
          <w:sz w:val="22"/>
          <w:szCs w:val="22"/>
        </w:rPr>
      </w:pPr>
    </w:p>
    <w:p w:rsidR="00204F29" w:rsidRPr="0020702A" w:rsidRDefault="00204F29" w:rsidP="00204F29">
      <w:pPr>
        <w:rPr>
          <w:rFonts w:ascii="Arial" w:hAnsi="Arial" w:cs="Arial"/>
          <w:b/>
          <w:sz w:val="22"/>
          <w:szCs w:val="22"/>
        </w:rPr>
      </w:pPr>
      <w:r w:rsidRPr="0020702A">
        <w:rPr>
          <w:rFonts w:ascii="Arial" w:hAnsi="Arial" w:cs="Arial"/>
          <w:b/>
          <w:sz w:val="22"/>
          <w:szCs w:val="22"/>
        </w:rPr>
        <w:t xml:space="preserve">Section 58 of the Offences against </w:t>
      </w:r>
      <w:r w:rsidR="00406D63" w:rsidRPr="0020702A">
        <w:rPr>
          <w:rFonts w:ascii="Arial" w:hAnsi="Arial" w:cs="Arial"/>
          <w:b/>
          <w:sz w:val="22"/>
          <w:szCs w:val="22"/>
        </w:rPr>
        <w:t>t</w:t>
      </w:r>
      <w:r w:rsidRPr="0020702A">
        <w:rPr>
          <w:rFonts w:ascii="Arial" w:hAnsi="Arial" w:cs="Arial"/>
          <w:b/>
          <w:sz w:val="22"/>
          <w:szCs w:val="22"/>
        </w:rPr>
        <w:t>he Person Act 1861</w:t>
      </w:r>
      <w:bookmarkStart w:id="0" w:name="_GoBack"/>
      <w:bookmarkEnd w:id="0"/>
    </w:p>
    <w:p w:rsidR="00204F29" w:rsidRPr="0020702A" w:rsidRDefault="00204F29" w:rsidP="00204F29">
      <w:pPr>
        <w:rPr>
          <w:rFonts w:ascii="Arial" w:hAnsi="Arial" w:cs="Arial"/>
          <w:b/>
          <w:sz w:val="22"/>
          <w:szCs w:val="22"/>
        </w:rPr>
      </w:pPr>
      <w:r w:rsidRPr="0020702A">
        <w:rPr>
          <w:rFonts w:ascii="Arial" w:hAnsi="Arial" w:cs="Arial"/>
          <w:b/>
          <w:sz w:val="22"/>
          <w:szCs w:val="22"/>
        </w:rPr>
        <w:t xml:space="preserve">Section 59 of the Offences against </w:t>
      </w:r>
      <w:r w:rsidR="00406D63" w:rsidRPr="0020702A">
        <w:rPr>
          <w:rFonts w:ascii="Arial" w:hAnsi="Arial" w:cs="Arial"/>
          <w:b/>
          <w:sz w:val="22"/>
          <w:szCs w:val="22"/>
        </w:rPr>
        <w:t>t</w:t>
      </w:r>
      <w:r w:rsidRPr="0020702A">
        <w:rPr>
          <w:rFonts w:ascii="Arial" w:hAnsi="Arial" w:cs="Arial"/>
          <w:b/>
          <w:sz w:val="22"/>
          <w:szCs w:val="22"/>
        </w:rPr>
        <w:t>he Person Act 1861</w:t>
      </w:r>
    </w:p>
    <w:p w:rsidR="00204F29" w:rsidRPr="0020702A" w:rsidRDefault="00204F29" w:rsidP="00204F29">
      <w:pPr>
        <w:rPr>
          <w:rFonts w:ascii="Arial" w:hAnsi="Arial" w:cs="Arial"/>
          <w:b/>
          <w:sz w:val="22"/>
          <w:szCs w:val="22"/>
        </w:rPr>
      </w:pPr>
      <w:r w:rsidRPr="0020702A">
        <w:rPr>
          <w:rFonts w:ascii="Arial" w:hAnsi="Arial" w:cs="Arial"/>
          <w:b/>
          <w:sz w:val="22"/>
          <w:szCs w:val="22"/>
        </w:rPr>
        <w:t>The Infant Life (Preservation) Act 1929.</w:t>
      </w:r>
    </w:p>
    <w:p w:rsidR="00204F29" w:rsidRPr="0020702A" w:rsidRDefault="00204F29" w:rsidP="00204F29">
      <w:pPr>
        <w:rPr>
          <w:rFonts w:ascii="Arial" w:hAnsi="Arial" w:cs="Arial"/>
          <w:b/>
          <w:sz w:val="22"/>
          <w:szCs w:val="22"/>
        </w:rPr>
      </w:pPr>
    </w:p>
    <w:p w:rsidR="00204F29" w:rsidRPr="0020702A" w:rsidRDefault="00204F29" w:rsidP="00204F29">
      <w:pPr>
        <w:rPr>
          <w:rFonts w:ascii="Arial" w:hAnsi="Arial" w:cs="Arial"/>
          <w:b/>
          <w:sz w:val="22"/>
          <w:szCs w:val="22"/>
        </w:rPr>
      </w:pPr>
      <w:r w:rsidRPr="0020702A">
        <w:rPr>
          <w:rFonts w:ascii="Arial" w:hAnsi="Arial" w:cs="Arial"/>
          <w:b/>
          <w:sz w:val="22"/>
          <w:szCs w:val="22"/>
        </w:rPr>
        <w:t>Electronic (PDF) copies of all the judgements in the above cases, preferably in separate .zip files according to the statute under which prosecution took place. </w:t>
      </w:r>
    </w:p>
    <w:p w:rsidR="00204F29" w:rsidRPr="003F5D59" w:rsidRDefault="00204F29" w:rsidP="00B02E2B">
      <w:pPr>
        <w:jc w:val="both"/>
        <w:rPr>
          <w:rFonts w:ascii="Arial" w:hAnsi="Arial" w:cs="Arial"/>
          <w:sz w:val="22"/>
          <w:szCs w:val="22"/>
        </w:rPr>
      </w:pPr>
    </w:p>
    <w:p w:rsidR="005923A0" w:rsidRPr="003F5D59" w:rsidRDefault="005923A0" w:rsidP="005923A0">
      <w:pPr>
        <w:rPr>
          <w:rFonts w:ascii="Arial" w:hAnsi="Arial" w:cs="Arial"/>
          <w:sz w:val="22"/>
          <w:szCs w:val="22"/>
        </w:rPr>
      </w:pPr>
      <w:r w:rsidRPr="003F5D59">
        <w:rPr>
          <w:rFonts w:ascii="Arial" w:hAnsi="Arial" w:cs="Arial"/>
          <w:sz w:val="22"/>
          <w:szCs w:val="22"/>
        </w:rPr>
        <w:t>I can confirm that the department holds the infor</w:t>
      </w:r>
      <w:r w:rsidR="00E20B05" w:rsidRPr="003F5D59">
        <w:rPr>
          <w:rFonts w:ascii="Arial" w:hAnsi="Arial" w:cs="Arial"/>
          <w:sz w:val="22"/>
          <w:szCs w:val="22"/>
        </w:rPr>
        <w:t xml:space="preserve">mation that you have asked for, however </w:t>
      </w:r>
      <w:r w:rsidRPr="003F5D59">
        <w:rPr>
          <w:rFonts w:ascii="Arial" w:hAnsi="Arial" w:cs="Arial"/>
          <w:sz w:val="22"/>
          <w:szCs w:val="22"/>
        </w:rPr>
        <w:t xml:space="preserve">some </w:t>
      </w:r>
      <w:r w:rsidR="00E20B05" w:rsidRPr="003F5D59">
        <w:rPr>
          <w:rFonts w:ascii="Arial" w:hAnsi="Arial" w:cs="Arial"/>
          <w:sz w:val="22"/>
          <w:szCs w:val="22"/>
        </w:rPr>
        <w:t>of it is exempt from disclosure</w:t>
      </w:r>
      <w:r w:rsidRPr="003F5D59">
        <w:rPr>
          <w:rFonts w:ascii="Arial" w:hAnsi="Arial" w:cs="Arial"/>
          <w:sz w:val="22"/>
          <w:szCs w:val="22"/>
        </w:rPr>
        <w:t xml:space="preserve">. </w:t>
      </w:r>
    </w:p>
    <w:p w:rsidR="005923A0" w:rsidRPr="003F5D59" w:rsidRDefault="005923A0" w:rsidP="005923A0">
      <w:pPr>
        <w:rPr>
          <w:rFonts w:ascii="Arial" w:hAnsi="Arial" w:cs="Arial"/>
          <w:sz w:val="22"/>
          <w:szCs w:val="22"/>
        </w:rPr>
      </w:pPr>
    </w:p>
    <w:p w:rsidR="00870FE2" w:rsidRPr="003F5D59" w:rsidRDefault="005923A0" w:rsidP="008D0238">
      <w:pPr>
        <w:autoSpaceDE w:val="0"/>
        <w:autoSpaceDN w:val="0"/>
        <w:adjustRightInd w:val="0"/>
        <w:rPr>
          <w:rFonts w:ascii="Arial" w:hAnsi="Arial" w:cs="Arial"/>
          <w:color w:val="000000"/>
          <w:sz w:val="22"/>
          <w:szCs w:val="22"/>
        </w:rPr>
      </w:pPr>
      <w:r w:rsidRPr="003F5D59">
        <w:rPr>
          <w:rFonts w:ascii="Arial" w:hAnsi="Arial" w:cs="Arial"/>
          <w:color w:val="000000"/>
          <w:sz w:val="22"/>
          <w:szCs w:val="22"/>
        </w:rPr>
        <w:t xml:space="preserve">Please find attached a table showing the number of </w:t>
      </w:r>
      <w:r w:rsidR="00386ABE">
        <w:rPr>
          <w:rFonts w:ascii="Arial" w:hAnsi="Arial" w:cs="Arial"/>
          <w:color w:val="000000"/>
          <w:sz w:val="22"/>
          <w:szCs w:val="22"/>
        </w:rPr>
        <w:t xml:space="preserve">defendants prosecuted at magistrates’ courts and </w:t>
      </w:r>
      <w:r w:rsidRPr="003F5D59">
        <w:rPr>
          <w:rFonts w:ascii="Arial" w:hAnsi="Arial" w:cs="Arial"/>
          <w:color w:val="000000"/>
          <w:sz w:val="22"/>
          <w:szCs w:val="22"/>
        </w:rPr>
        <w:t>offenders found guilty</w:t>
      </w:r>
      <w:r w:rsidR="00BD4BA7">
        <w:rPr>
          <w:rFonts w:ascii="Arial" w:hAnsi="Arial" w:cs="Arial"/>
          <w:color w:val="000000"/>
          <w:sz w:val="22"/>
          <w:szCs w:val="22"/>
        </w:rPr>
        <w:t xml:space="preserve"> at all courts</w:t>
      </w:r>
      <w:r w:rsidRPr="003F5D59">
        <w:rPr>
          <w:rFonts w:ascii="Arial" w:hAnsi="Arial" w:cs="Arial"/>
          <w:color w:val="000000"/>
          <w:sz w:val="22"/>
          <w:szCs w:val="22"/>
        </w:rPr>
        <w:t xml:space="preserve"> </w:t>
      </w:r>
      <w:r w:rsidR="00314215">
        <w:rPr>
          <w:rFonts w:ascii="Arial" w:hAnsi="Arial" w:cs="Arial"/>
          <w:color w:val="000000"/>
          <w:sz w:val="22"/>
          <w:szCs w:val="22"/>
        </w:rPr>
        <w:t>of selected</w:t>
      </w:r>
      <w:r w:rsidR="00386ABE">
        <w:rPr>
          <w:rFonts w:ascii="Arial" w:hAnsi="Arial" w:cs="Arial"/>
          <w:color w:val="000000"/>
          <w:sz w:val="22"/>
          <w:szCs w:val="22"/>
        </w:rPr>
        <w:t xml:space="preserve"> </w:t>
      </w:r>
      <w:r w:rsidR="002057D0" w:rsidRPr="003F5D59">
        <w:rPr>
          <w:rFonts w:ascii="Arial" w:hAnsi="Arial" w:cs="Arial"/>
          <w:color w:val="000000"/>
          <w:sz w:val="22"/>
          <w:szCs w:val="22"/>
        </w:rPr>
        <w:t>offences</w:t>
      </w:r>
      <w:r w:rsidR="00EC472D" w:rsidRPr="003F5D59">
        <w:rPr>
          <w:rFonts w:ascii="Arial" w:hAnsi="Arial" w:cs="Arial"/>
          <w:color w:val="000000"/>
          <w:sz w:val="22"/>
          <w:szCs w:val="22"/>
        </w:rPr>
        <w:t xml:space="preserve"> </w:t>
      </w:r>
      <w:r w:rsidRPr="003F5D59">
        <w:rPr>
          <w:rFonts w:ascii="Arial" w:hAnsi="Arial" w:cs="Arial"/>
          <w:color w:val="000000"/>
          <w:sz w:val="22"/>
          <w:szCs w:val="22"/>
        </w:rPr>
        <w:t xml:space="preserve">in England and Wales from </w:t>
      </w:r>
      <w:r w:rsidR="004343FE">
        <w:rPr>
          <w:rFonts w:ascii="Arial" w:hAnsi="Arial" w:cs="Arial"/>
          <w:color w:val="000000"/>
          <w:sz w:val="22"/>
          <w:szCs w:val="22"/>
        </w:rPr>
        <w:t>1984</w:t>
      </w:r>
      <w:r w:rsidRPr="003F5D59">
        <w:rPr>
          <w:rFonts w:ascii="Arial" w:hAnsi="Arial" w:cs="Arial"/>
          <w:color w:val="000000"/>
          <w:sz w:val="22"/>
          <w:szCs w:val="22"/>
        </w:rPr>
        <w:t xml:space="preserve"> to 20</w:t>
      </w:r>
      <w:r w:rsidR="00386ABE">
        <w:rPr>
          <w:rFonts w:ascii="Arial" w:hAnsi="Arial" w:cs="Arial"/>
          <w:color w:val="000000"/>
          <w:sz w:val="22"/>
          <w:szCs w:val="22"/>
        </w:rPr>
        <w:t>15</w:t>
      </w:r>
      <w:r w:rsidR="008D0238" w:rsidRPr="003F5D59">
        <w:rPr>
          <w:rFonts w:ascii="Arial" w:hAnsi="Arial" w:cs="Arial"/>
          <w:color w:val="000000"/>
          <w:sz w:val="22"/>
          <w:szCs w:val="22"/>
        </w:rPr>
        <w:t>.</w:t>
      </w:r>
      <w:r w:rsidR="00133D1E" w:rsidRPr="003F5D59">
        <w:rPr>
          <w:rFonts w:ascii="Arial" w:hAnsi="Arial" w:cs="Arial"/>
          <w:color w:val="000000"/>
          <w:sz w:val="22"/>
          <w:szCs w:val="22"/>
        </w:rPr>
        <w:t xml:space="preserve"> </w:t>
      </w:r>
    </w:p>
    <w:p w:rsidR="00A9218F" w:rsidRDefault="00A9218F" w:rsidP="008D0238">
      <w:pPr>
        <w:autoSpaceDE w:val="0"/>
        <w:autoSpaceDN w:val="0"/>
        <w:adjustRightInd w:val="0"/>
        <w:rPr>
          <w:rFonts w:ascii="Arial" w:hAnsi="Arial" w:cs="Arial"/>
          <w:color w:val="000000"/>
          <w:sz w:val="22"/>
          <w:szCs w:val="22"/>
        </w:rPr>
      </w:pPr>
    </w:p>
    <w:p w:rsidR="003A5336" w:rsidRDefault="00104B8F" w:rsidP="00104B8F">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Pr>
          <w:rFonts w:ascii="Arial" w:hAnsi="Arial" w:cs="Arial"/>
          <w:color w:val="000000"/>
          <w:sz w:val="22"/>
          <w:szCs w:val="22"/>
        </w:rPr>
        <w:t>S</w:t>
      </w:r>
      <w:r w:rsidR="003A5336" w:rsidRPr="00314249">
        <w:rPr>
          <w:rFonts w:ascii="Arial" w:hAnsi="Arial" w:cs="Arial"/>
          <w:color w:val="000000"/>
          <w:sz w:val="22"/>
          <w:szCs w:val="22"/>
        </w:rPr>
        <w:t xml:space="preserve">ome of the information </w:t>
      </w:r>
      <w:r>
        <w:rPr>
          <w:rFonts w:ascii="Arial" w:hAnsi="Arial" w:cs="Arial"/>
          <w:color w:val="000000"/>
          <w:sz w:val="22"/>
          <w:szCs w:val="22"/>
        </w:rPr>
        <w:t xml:space="preserve">you have requested </w:t>
      </w:r>
      <w:r w:rsidR="003A5336" w:rsidRPr="00314249">
        <w:rPr>
          <w:rFonts w:ascii="Arial" w:hAnsi="Arial" w:cs="Arial"/>
          <w:color w:val="000000"/>
          <w:sz w:val="22"/>
          <w:szCs w:val="22"/>
        </w:rPr>
        <w:t xml:space="preserve">is exempt from disclosure under section 21 of the FOIA, because it is reasonably accessible to you. </w:t>
      </w:r>
    </w:p>
    <w:p w:rsidR="003A5336" w:rsidRDefault="003A5336" w:rsidP="003A5336">
      <w:pPr>
        <w:autoSpaceDE w:val="0"/>
        <w:autoSpaceDN w:val="0"/>
        <w:adjustRightInd w:val="0"/>
        <w:rPr>
          <w:rFonts w:ascii="Arial" w:hAnsi="Arial" w:cs="Arial"/>
          <w:sz w:val="22"/>
          <w:szCs w:val="22"/>
        </w:rPr>
      </w:pPr>
    </w:p>
    <w:p w:rsidR="003A5336" w:rsidRDefault="003A5336" w:rsidP="003A5336">
      <w:pPr>
        <w:autoSpaceDE w:val="0"/>
        <w:autoSpaceDN w:val="0"/>
        <w:adjustRightInd w:val="0"/>
        <w:rPr>
          <w:rStyle w:val="Hyperlink"/>
          <w:rFonts w:ascii="Arial" w:hAnsi="Arial" w:cs="Arial"/>
          <w:sz w:val="22"/>
          <w:szCs w:val="22"/>
        </w:rPr>
      </w:pPr>
      <w:r>
        <w:rPr>
          <w:rFonts w:ascii="Arial" w:hAnsi="Arial" w:cs="Arial"/>
          <w:sz w:val="22"/>
          <w:szCs w:val="22"/>
        </w:rPr>
        <w:t>C</w:t>
      </w:r>
      <w:r w:rsidRPr="00FE00C0">
        <w:rPr>
          <w:rFonts w:ascii="Arial" w:hAnsi="Arial" w:cs="Arial"/>
          <w:sz w:val="22"/>
          <w:szCs w:val="22"/>
        </w:rPr>
        <w:t>ourt proceedings statistics</w:t>
      </w:r>
      <w:r>
        <w:rPr>
          <w:rFonts w:ascii="Arial" w:hAnsi="Arial" w:cs="Arial"/>
          <w:sz w:val="22"/>
          <w:szCs w:val="22"/>
        </w:rPr>
        <w:t xml:space="preserve"> </w:t>
      </w:r>
      <w:r w:rsidRPr="00FE00C0">
        <w:rPr>
          <w:rFonts w:ascii="Arial" w:hAnsi="Arial" w:cs="Arial"/>
          <w:sz w:val="22"/>
          <w:szCs w:val="22"/>
        </w:rPr>
        <w:t xml:space="preserve">prior to </w:t>
      </w:r>
      <w:r>
        <w:rPr>
          <w:rFonts w:ascii="Arial" w:hAnsi="Arial" w:cs="Arial"/>
          <w:sz w:val="22"/>
          <w:szCs w:val="22"/>
        </w:rPr>
        <w:t>1984,</w:t>
      </w:r>
      <w:r w:rsidRPr="00FE00C0">
        <w:rPr>
          <w:rFonts w:ascii="Arial" w:hAnsi="Arial" w:cs="Arial"/>
          <w:sz w:val="22"/>
          <w:szCs w:val="22"/>
        </w:rPr>
        <w:t xml:space="preserve"> </w:t>
      </w:r>
      <w:r>
        <w:rPr>
          <w:rFonts w:ascii="Arial" w:hAnsi="Arial" w:cs="Arial"/>
          <w:sz w:val="22"/>
          <w:szCs w:val="22"/>
        </w:rPr>
        <w:t xml:space="preserve">which would include </w:t>
      </w:r>
      <w:r w:rsidR="00E5670D">
        <w:rPr>
          <w:rFonts w:ascii="Arial" w:hAnsi="Arial" w:cs="Arial"/>
          <w:sz w:val="22"/>
          <w:szCs w:val="22"/>
        </w:rPr>
        <w:t xml:space="preserve">defendants prosecuted at magistrates’ courts and </w:t>
      </w:r>
      <w:r>
        <w:rPr>
          <w:rFonts w:ascii="Arial" w:hAnsi="Arial" w:cs="Arial"/>
          <w:sz w:val="22"/>
          <w:szCs w:val="22"/>
        </w:rPr>
        <w:t xml:space="preserve">offenders found guilty </w:t>
      </w:r>
      <w:r w:rsidR="00BD4BA7">
        <w:rPr>
          <w:rFonts w:ascii="Arial" w:hAnsi="Arial" w:cs="Arial"/>
          <w:sz w:val="22"/>
          <w:szCs w:val="22"/>
        </w:rPr>
        <w:t xml:space="preserve">at all courts </w:t>
      </w:r>
      <w:r>
        <w:rPr>
          <w:rFonts w:ascii="Arial" w:hAnsi="Arial" w:cs="Arial"/>
          <w:sz w:val="22"/>
          <w:szCs w:val="22"/>
        </w:rPr>
        <w:t xml:space="preserve">of </w:t>
      </w:r>
      <w:r w:rsidR="00E5670D">
        <w:rPr>
          <w:rFonts w:ascii="Arial" w:hAnsi="Arial" w:cs="Arial"/>
          <w:sz w:val="22"/>
          <w:szCs w:val="22"/>
        </w:rPr>
        <w:t xml:space="preserve">selected </w:t>
      </w:r>
      <w:r>
        <w:rPr>
          <w:rFonts w:ascii="Arial" w:hAnsi="Arial" w:cs="Arial"/>
          <w:sz w:val="22"/>
          <w:szCs w:val="22"/>
        </w:rPr>
        <w:t xml:space="preserve">offences in England and Wales, from 1885 to 1983, </w:t>
      </w:r>
      <w:r w:rsidRPr="00FE00C0">
        <w:rPr>
          <w:rFonts w:ascii="Arial" w:hAnsi="Arial" w:cs="Arial"/>
          <w:sz w:val="22"/>
          <w:szCs w:val="22"/>
        </w:rPr>
        <w:t>can be obtained at</w:t>
      </w:r>
      <w:r>
        <w:rPr>
          <w:rFonts w:ascii="Arial" w:hAnsi="Arial" w:cs="Arial"/>
          <w:sz w:val="22"/>
          <w:szCs w:val="22"/>
        </w:rPr>
        <w:t xml:space="preserve"> this link</w:t>
      </w:r>
      <w:r w:rsidRPr="00FE00C0">
        <w:rPr>
          <w:rFonts w:ascii="Arial" w:hAnsi="Arial" w:cs="Arial"/>
          <w:sz w:val="22"/>
          <w:szCs w:val="22"/>
        </w:rPr>
        <w:t xml:space="preserve"> </w:t>
      </w:r>
      <w:hyperlink r:id="rId8" w:history="1">
        <w:r w:rsidRPr="00565854">
          <w:rPr>
            <w:rStyle w:val="Hyperlink"/>
            <w:rFonts w:ascii="Arial" w:hAnsi="Arial" w:cs="Arial"/>
            <w:sz w:val="22"/>
            <w:szCs w:val="22"/>
          </w:rPr>
          <w:t>http://tinyurl.com/gmf68ny</w:t>
        </w:r>
      </w:hyperlink>
      <w:r w:rsidR="00CC0B26">
        <w:rPr>
          <w:rStyle w:val="Hyperlink"/>
          <w:rFonts w:ascii="Arial" w:hAnsi="Arial" w:cs="Arial"/>
          <w:sz w:val="22"/>
          <w:szCs w:val="22"/>
        </w:rPr>
        <w:t>.</w:t>
      </w:r>
    </w:p>
    <w:p w:rsidR="00CC0B26" w:rsidRDefault="00CC0B26" w:rsidP="003A5336">
      <w:pPr>
        <w:autoSpaceDE w:val="0"/>
        <w:autoSpaceDN w:val="0"/>
        <w:adjustRightInd w:val="0"/>
        <w:rPr>
          <w:rStyle w:val="Hyperlink"/>
          <w:rFonts w:ascii="Arial" w:hAnsi="Arial" w:cs="Arial"/>
          <w:sz w:val="22"/>
          <w:szCs w:val="22"/>
        </w:rPr>
      </w:pPr>
    </w:p>
    <w:p w:rsidR="00CC0B26" w:rsidRDefault="00CC0B26" w:rsidP="003A5336">
      <w:pPr>
        <w:autoSpaceDE w:val="0"/>
        <w:autoSpaceDN w:val="0"/>
        <w:adjustRightInd w:val="0"/>
        <w:rPr>
          <w:rStyle w:val="Hyperlink"/>
          <w:rFonts w:ascii="Arial" w:hAnsi="Arial" w:cs="Arial"/>
          <w:color w:val="auto"/>
          <w:sz w:val="22"/>
          <w:szCs w:val="22"/>
          <w:u w:val="none"/>
        </w:rPr>
      </w:pPr>
      <w:r w:rsidRPr="00CC0B26">
        <w:rPr>
          <w:rStyle w:val="Hyperlink"/>
          <w:rFonts w:ascii="Arial" w:hAnsi="Arial" w:cs="Arial"/>
          <w:color w:val="auto"/>
          <w:sz w:val="22"/>
          <w:szCs w:val="22"/>
          <w:u w:val="none"/>
        </w:rPr>
        <w:t xml:space="preserve">Regarding </w:t>
      </w:r>
      <w:r>
        <w:rPr>
          <w:rStyle w:val="Hyperlink"/>
          <w:rFonts w:ascii="Arial" w:hAnsi="Arial" w:cs="Arial"/>
          <w:color w:val="auto"/>
          <w:sz w:val="22"/>
          <w:szCs w:val="22"/>
          <w:u w:val="none"/>
        </w:rPr>
        <w:t>the copies of all the judgements in the above cases</w:t>
      </w:r>
      <w:r w:rsidR="00105719">
        <w:rPr>
          <w:rStyle w:val="Hyperlink"/>
          <w:rFonts w:ascii="Arial" w:hAnsi="Arial" w:cs="Arial"/>
          <w:color w:val="auto"/>
          <w:sz w:val="22"/>
          <w:szCs w:val="22"/>
          <w:u w:val="none"/>
        </w:rPr>
        <w:t>, the information</w:t>
      </w:r>
    </w:p>
    <w:p w:rsidR="00733459" w:rsidRPr="00733459" w:rsidRDefault="00F34BD2" w:rsidP="00733459">
      <w:pPr>
        <w:spacing w:after="160"/>
        <w:rPr>
          <w:rFonts w:ascii="Arial" w:eastAsia="Calibri" w:hAnsi="Arial" w:cs="Arial"/>
          <w:sz w:val="22"/>
          <w:szCs w:val="22"/>
          <w:lang w:eastAsia="en-US"/>
        </w:rPr>
      </w:pPr>
      <w:r>
        <w:rPr>
          <w:rFonts w:ascii="Arial" w:hAnsi="Arial" w:cs="Arial"/>
          <w:sz w:val="22"/>
          <w:szCs w:val="22"/>
        </w:rPr>
        <w:t>i</w:t>
      </w:r>
      <w:r w:rsidR="00733459" w:rsidRPr="00733459">
        <w:rPr>
          <w:rFonts w:ascii="Arial" w:hAnsi="Arial" w:cs="Arial"/>
          <w:sz w:val="22"/>
          <w:szCs w:val="22"/>
        </w:rPr>
        <w:t>s exempt from disclosure under section</w:t>
      </w:r>
      <w:r w:rsidR="00733459" w:rsidRPr="00733459">
        <w:rPr>
          <w:rFonts w:ascii="Arial" w:eastAsia="Calibri" w:hAnsi="Arial" w:cs="Arial"/>
          <w:sz w:val="22"/>
          <w:szCs w:val="22"/>
          <w:lang w:eastAsia="en-US"/>
        </w:rPr>
        <w:t xml:space="preserve"> 32 of the FOIA because it is held in a court record.</w:t>
      </w:r>
      <w:r w:rsidR="00733459" w:rsidRPr="00733459">
        <w:rPr>
          <w:rFonts w:ascii="Arial" w:eastAsia="Calibri" w:hAnsi="Arial" w:cs="Arial"/>
          <w:sz w:val="22"/>
          <w:szCs w:val="22"/>
          <w:lang w:eastAsia="en-US"/>
        </w:rPr>
        <w:br/>
      </w:r>
      <w:r w:rsidR="00733459" w:rsidRPr="00733459">
        <w:rPr>
          <w:rFonts w:ascii="Arial" w:eastAsia="Calibri" w:hAnsi="Arial" w:cs="Arial"/>
          <w:sz w:val="22"/>
          <w:szCs w:val="22"/>
          <w:lang w:eastAsia="en-US"/>
        </w:rPr>
        <w:br/>
        <w:t>Under section 32(1)(c) information is exempt if it is a document created by a court</w:t>
      </w:r>
      <w:r w:rsidR="00733459" w:rsidRPr="00733459">
        <w:rPr>
          <w:rFonts w:ascii="Arial" w:eastAsia="Calibri" w:hAnsi="Arial" w:cs="Arial"/>
          <w:color w:val="0000FF"/>
          <w:sz w:val="22"/>
          <w:szCs w:val="22"/>
          <w:lang w:eastAsia="en-US"/>
        </w:rPr>
        <w:t xml:space="preserve">  </w:t>
      </w:r>
      <w:r w:rsidR="00733459" w:rsidRPr="00733459">
        <w:rPr>
          <w:rFonts w:ascii="Arial" w:eastAsia="Calibri" w:hAnsi="Arial" w:cs="Arial"/>
          <w:color w:val="4472C4"/>
          <w:sz w:val="22"/>
          <w:szCs w:val="22"/>
          <w:lang w:eastAsia="en-US"/>
        </w:rPr>
        <w:t xml:space="preserve"> </w:t>
      </w:r>
      <w:r w:rsidR="00733459" w:rsidRPr="00733459">
        <w:rPr>
          <w:rFonts w:ascii="Arial" w:eastAsia="Calibri" w:hAnsi="Arial" w:cs="Arial"/>
          <w:sz w:val="22"/>
          <w:szCs w:val="22"/>
          <w:lang w:eastAsia="en-US"/>
        </w:rPr>
        <w:t>for the purposes of proceedings in a particular cause or matter.</w:t>
      </w:r>
    </w:p>
    <w:p w:rsidR="00733459" w:rsidRPr="00733459" w:rsidRDefault="00733459" w:rsidP="00733459">
      <w:pPr>
        <w:spacing w:after="160"/>
        <w:rPr>
          <w:rFonts w:ascii="Arial" w:eastAsia="Calibri" w:hAnsi="Arial" w:cs="Arial"/>
          <w:sz w:val="22"/>
          <w:szCs w:val="22"/>
          <w:lang w:eastAsia="en-US"/>
        </w:rPr>
      </w:pPr>
    </w:p>
    <w:p w:rsidR="00733459" w:rsidRPr="00733459" w:rsidRDefault="00733459" w:rsidP="00733459">
      <w:pPr>
        <w:spacing w:after="160"/>
        <w:rPr>
          <w:rFonts w:ascii="Arial" w:eastAsia="Calibri" w:hAnsi="Arial" w:cs="Arial"/>
          <w:sz w:val="22"/>
          <w:szCs w:val="22"/>
          <w:lang w:eastAsia="en-US"/>
        </w:rPr>
      </w:pPr>
    </w:p>
    <w:p w:rsidR="00733459" w:rsidRPr="00733459" w:rsidRDefault="00733459" w:rsidP="00733459">
      <w:pPr>
        <w:rPr>
          <w:rFonts w:ascii="Arial" w:eastAsia="Calibri" w:hAnsi="Arial" w:cs="Arial"/>
          <w:sz w:val="22"/>
          <w:szCs w:val="22"/>
          <w:lang w:eastAsia="en-US"/>
        </w:rPr>
      </w:pPr>
      <w:r w:rsidRPr="00733459">
        <w:rPr>
          <w:rFonts w:ascii="Arial" w:hAnsi="Arial"/>
          <w:sz w:val="22"/>
        </w:rPr>
        <w:lastRenderedPageBreak/>
        <w:t>The reason for section 32 is not to do with the issue of whether information is a public record or not, it is to preserve the courts control over court records. Even if a document may have been made public at the hearing it ceases to be a public record after the hearing and then becomes protected by virtue of section 32. It was not the intention that the FOIA should provide indirect access to court records; the greater public interest was considered to lie in the preservation of the courts' own procedures for considering disclosure.</w:t>
      </w:r>
      <w:r w:rsidRPr="00733459">
        <w:rPr>
          <w:rFonts w:ascii="Arial" w:hAnsi="Arial"/>
          <w:sz w:val="22"/>
        </w:rPr>
        <w:br/>
      </w:r>
    </w:p>
    <w:p w:rsidR="00733459" w:rsidRPr="00733459" w:rsidRDefault="00733459" w:rsidP="00733459">
      <w:pPr>
        <w:rPr>
          <w:rFonts w:ascii="Arial" w:eastAsia="Arial" w:hAnsi="Arial" w:cs="Arial"/>
          <w:sz w:val="22"/>
          <w:szCs w:val="22"/>
          <w:lang w:eastAsia="en-US"/>
        </w:rPr>
      </w:pPr>
      <w:r w:rsidRPr="00733459">
        <w:rPr>
          <w:rFonts w:ascii="Arial" w:eastAsia="Calibri" w:hAnsi="Arial" w:cs="Arial"/>
          <w:sz w:val="22"/>
          <w:szCs w:val="22"/>
          <w:lang w:eastAsia="en-US"/>
        </w:rPr>
        <w:t>Section 32 is an absolute exemption and there is no duty to consider the public interest in disclosure.</w:t>
      </w:r>
      <w:r w:rsidRPr="00733459">
        <w:rPr>
          <w:rFonts w:ascii="Arial" w:eastAsia="Calibri" w:hAnsi="Arial" w:cs="Arial"/>
          <w:sz w:val="22"/>
          <w:szCs w:val="22"/>
          <w:lang w:eastAsia="en-US"/>
        </w:rPr>
        <w:br/>
      </w:r>
    </w:p>
    <w:p w:rsidR="00733459" w:rsidRPr="00CC0B26" w:rsidRDefault="00733459" w:rsidP="00733459">
      <w:pPr>
        <w:autoSpaceDE w:val="0"/>
        <w:autoSpaceDN w:val="0"/>
        <w:adjustRightInd w:val="0"/>
        <w:rPr>
          <w:rStyle w:val="Hyperlink"/>
          <w:rFonts w:ascii="Arial" w:hAnsi="Arial" w:cs="Arial"/>
          <w:color w:val="auto"/>
          <w:sz w:val="22"/>
          <w:szCs w:val="22"/>
          <w:u w:val="none"/>
        </w:rPr>
      </w:pPr>
      <w:r w:rsidRPr="00733459">
        <w:rPr>
          <w:rFonts w:ascii="Arial" w:eastAsia="Arial" w:hAnsi="Arial" w:cs="Arial"/>
          <w:sz w:val="22"/>
          <w:szCs w:val="22"/>
          <w:lang w:eastAsia="en-US"/>
        </w:rPr>
        <w:t xml:space="preserve">You may wish to contact the court directly to apply for access to court documents under the </w:t>
      </w:r>
      <w:r w:rsidRPr="00677571">
        <w:rPr>
          <w:rFonts w:ascii="Arial" w:eastAsia="Arial" w:hAnsi="Arial" w:cs="Arial"/>
          <w:sz w:val="22"/>
          <w:szCs w:val="22"/>
          <w:lang w:eastAsia="en-US"/>
        </w:rPr>
        <w:t>Criminal Procedure Rules.</w:t>
      </w:r>
      <w:r w:rsidRPr="00733459">
        <w:rPr>
          <w:rFonts w:ascii="Arial" w:eastAsia="Arial" w:hAnsi="Arial" w:cs="Arial"/>
          <w:color w:val="0000FF"/>
          <w:sz w:val="22"/>
          <w:szCs w:val="22"/>
          <w:lang w:eastAsia="en-US"/>
        </w:rPr>
        <w:t xml:space="preserve"> </w:t>
      </w:r>
      <w:r w:rsidRPr="00733459">
        <w:rPr>
          <w:rFonts w:ascii="Arial" w:eastAsia="Arial" w:hAnsi="Arial" w:cs="Arial"/>
          <w:sz w:val="22"/>
          <w:szCs w:val="22"/>
          <w:lang w:eastAsia="en-US"/>
        </w:rPr>
        <w:t>These are separate and specific regimes for access to information held by courts, designed to give those bodies themselves a measure of control over that information. Rules of court already provide a comprehensive code governing the disclosure of court records and documents served in the course of proceedings. Please note that you will be required to pay a fee as advised by the court</w:t>
      </w:r>
    </w:p>
    <w:p w:rsidR="00DD2B70" w:rsidRDefault="00DD2B70" w:rsidP="003A5336">
      <w:pPr>
        <w:autoSpaceDE w:val="0"/>
        <w:autoSpaceDN w:val="0"/>
        <w:adjustRightInd w:val="0"/>
        <w:rPr>
          <w:rStyle w:val="Hyperlink"/>
          <w:rFonts w:ascii="Arial" w:hAnsi="Arial" w:cs="Arial"/>
          <w:sz w:val="22"/>
          <w:szCs w:val="22"/>
        </w:rPr>
      </w:pPr>
    </w:p>
    <w:p w:rsidR="00DD2B70" w:rsidRPr="00DD2B70" w:rsidRDefault="00DD2B70" w:rsidP="00DD2B70">
      <w:pPr>
        <w:rPr>
          <w:rFonts w:ascii="Arial" w:hAnsi="Arial"/>
          <w:color w:val="000000"/>
          <w:sz w:val="22"/>
          <w:szCs w:val="22"/>
        </w:rPr>
      </w:pPr>
      <w:r w:rsidRPr="00DD2B70">
        <w:rPr>
          <w:rFonts w:ascii="Arial" w:hAnsi="Arial"/>
          <w:color w:val="000000"/>
          <w:sz w:val="22"/>
          <w:szCs w:val="22"/>
        </w:rPr>
        <w:t>Some of the information, which covers 2016</w:t>
      </w:r>
      <w:r>
        <w:rPr>
          <w:rFonts w:ascii="Arial" w:hAnsi="Arial"/>
          <w:color w:val="000000"/>
          <w:sz w:val="22"/>
          <w:szCs w:val="22"/>
        </w:rPr>
        <w:t xml:space="preserve"> and 2017</w:t>
      </w:r>
      <w:r w:rsidRPr="00DD2B70">
        <w:rPr>
          <w:rFonts w:ascii="Arial" w:hAnsi="Arial"/>
          <w:color w:val="000000"/>
          <w:sz w:val="22"/>
          <w:szCs w:val="22"/>
        </w:rPr>
        <w:t xml:space="preserve">,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DD2B70" w:rsidRPr="00DD2B70" w:rsidRDefault="00DD2B70" w:rsidP="00DD2B70">
      <w:pPr>
        <w:rPr>
          <w:rFonts w:ascii="Arial" w:hAnsi="Arial"/>
          <w:color w:val="000000"/>
          <w:sz w:val="22"/>
          <w:szCs w:val="22"/>
        </w:rPr>
      </w:pPr>
    </w:p>
    <w:p w:rsidR="00DD2B70" w:rsidRPr="00DD2B70" w:rsidRDefault="00DD2B70" w:rsidP="00DD2B70">
      <w:pPr>
        <w:rPr>
          <w:rFonts w:ascii="Arial" w:hAnsi="Arial"/>
          <w:color w:val="000000"/>
          <w:sz w:val="22"/>
          <w:szCs w:val="22"/>
        </w:rPr>
      </w:pPr>
      <w:r w:rsidRPr="00DD2B70">
        <w:rPr>
          <w:rFonts w:ascii="Arial" w:hAnsi="Arial"/>
          <w:color w:val="000000"/>
          <w:sz w:val="22"/>
          <w:szCs w:val="22"/>
        </w:rPr>
        <w:t>The information you have requested is a subset of the Criminal Justice Statistics data held in its final form which we routinely publish. It is intended for publication in May 2017</w:t>
      </w:r>
      <w:r>
        <w:rPr>
          <w:rFonts w:ascii="Arial" w:hAnsi="Arial"/>
          <w:color w:val="000000"/>
          <w:sz w:val="22"/>
          <w:szCs w:val="22"/>
        </w:rPr>
        <w:t xml:space="preserve"> and May 2018 </w:t>
      </w:r>
      <w:r w:rsidR="00701741">
        <w:rPr>
          <w:rFonts w:ascii="Arial" w:hAnsi="Arial"/>
          <w:color w:val="000000"/>
          <w:sz w:val="22"/>
          <w:szCs w:val="22"/>
        </w:rPr>
        <w:t>respectively</w:t>
      </w:r>
      <w:r>
        <w:rPr>
          <w:rFonts w:ascii="Arial" w:hAnsi="Arial"/>
          <w:color w:val="000000"/>
          <w:sz w:val="22"/>
          <w:szCs w:val="22"/>
        </w:rPr>
        <w:t>.</w:t>
      </w:r>
      <w:r w:rsidRPr="00DD2B70">
        <w:rPr>
          <w:rFonts w:ascii="Arial" w:hAnsi="Arial"/>
          <w:color w:val="000000"/>
          <w:sz w:val="22"/>
          <w:szCs w:val="22"/>
        </w:rPr>
        <w:t xml:space="preserve"> As such we are required to consider your request in a manner compliant with the Pre-release Access to Official Statistics Order 2008 further to sections 11 and 13 of the (SRS Act 2007</w:t>
      </w:r>
      <w:r w:rsidR="00FA176D">
        <w:rPr>
          <w:rFonts w:ascii="Arial" w:hAnsi="Arial"/>
          <w:color w:val="000000"/>
          <w:sz w:val="22"/>
          <w:szCs w:val="22"/>
        </w:rPr>
        <w:t>)</w:t>
      </w:r>
      <w:r w:rsidRPr="00DD2B70">
        <w:rPr>
          <w:rFonts w:ascii="Arial" w:hAnsi="Arial"/>
          <w:color w:val="000000"/>
          <w:sz w:val="22"/>
          <w:szCs w:val="22"/>
        </w:rPr>
        <w:t xml:space="preserve">. </w:t>
      </w:r>
    </w:p>
    <w:p w:rsidR="00DD2B70" w:rsidRPr="00DD2B70" w:rsidRDefault="00DD2B70" w:rsidP="00DD2B70">
      <w:pPr>
        <w:rPr>
          <w:rFonts w:ascii="Arial" w:hAnsi="Arial"/>
          <w:color w:val="000000"/>
          <w:sz w:val="22"/>
          <w:szCs w:val="22"/>
        </w:rPr>
      </w:pPr>
    </w:p>
    <w:p w:rsidR="00DD2B70" w:rsidRPr="00DD2B70" w:rsidRDefault="00DD2B70" w:rsidP="00DD2B70">
      <w:pPr>
        <w:rPr>
          <w:rFonts w:ascii="Arial" w:hAnsi="Arial"/>
          <w:color w:val="000000"/>
          <w:sz w:val="22"/>
          <w:szCs w:val="22"/>
        </w:rPr>
      </w:pPr>
      <w:r w:rsidRPr="00DD2B70">
        <w:rPr>
          <w:rFonts w:ascii="Arial" w:hAnsi="Arial"/>
          <w:color w:val="000000"/>
          <w:sz w:val="22"/>
          <w:szCs w:val="22"/>
        </w:rPr>
        <w:t>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offences of coercive control,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DD2B70" w:rsidRPr="00DD2B70" w:rsidRDefault="00DD2B70" w:rsidP="00DD2B70">
      <w:pPr>
        <w:rPr>
          <w:rFonts w:ascii="Arial" w:hAnsi="Arial"/>
          <w:color w:val="000000"/>
          <w:sz w:val="22"/>
          <w:szCs w:val="22"/>
        </w:rPr>
      </w:pPr>
    </w:p>
    <w:p w:rsidR="00DD2B70" w:rsidRPr="00DD2B70" w:rsidRDefault="00DD2B70" w:rsidP="00DD2B70">
      <w:pPr>
        <w:rPr>
          <w:rFonts w:ascii="Arial" w:hAnsi="Arial"/>
          <w:color w:val="000000"/>
          <w:sz w:val="22"/>
          <w:szCs w:val="22"/>
        </w:rPr>
      </w:pPr>
      <w:r w:rsidRPr="00DD2B70">
        <w:rPr>
          <w:rFonts w:ascii="Arial" w:hAnsi="Arial"/>
          <w:color w:val="000000"/>
          <w:sz w:val="22"/>
          <w:szCs w:val="22"/>
        </w:rPr>
        <w:t>Please also be aware that Section 44 is an absolute exemption and does not require a public interest test.</w:t>
      </w:r>
    </w:p>
    <w:p w:rsidR="00DD2B70" w:rsidRPr="00DD2B70" w:rsidRDefault="00DD2B70" w:rsidP="00DD2B70">
      <w:pPr>
        <w:rPr>
          <w:rFonts w:ascii="Arial" w:hAnsi="Arial"/>
          <w:color w:val="000000"/>
          <w:sz w:val="22"/>
          <w:szCs w:val="22"/>
        </w:rPr>
      </w:pPr>
    </w:p>
    <w:p w:rsidR="00DD2B70" w:rsidRPr="00003AFC" w:rsidRDefault="00DD2B70" w:rsidP="00DD2B70">
      <w:pPr>
        <w:rPr>
          <w:rFonts w:ascii="Arial" w:hAnsi="Arial"/>
          <w:sz w:val="22"/>
          <w:szCs w:val="22"/>
        </w:rPr>
      </w:pPr>
      <w:r w:rsidRPr="00DD2B70">
        <w:rPr>
          <w:rFonts w:ascii="Arial" w:hAnsi="Arial"/>
          <w:color w:val="000000"/>
          <w:sz w:val="22"/>
          <w:szCs w:val="22"/>
        </w:rPr>
        <w:t xml:space="preserve">The information for 2016 is also exempt from disclosure under section 22(1) of the FOIA, because it is intended for future publication. Please note that whilst quarterly court proceedings and convictions headline data are published and are currently available up to </w:t>
      </w:r>
      <w:r w:rsidRPr="00003AFC">
        <w:rPr>
          <w:rFonts w:ascii="Arial" w:hAnsi="Arial"/>
          <w:sz w:val="22"/>
          <w:szCs w:val="22"/>
        </w:rPr>
        <w:t>end S</w:t>
      </w:r>
      <w:r w:rsidR="00003AFC">
        <w:rPr>
          <w:rFonts w:ascii="Arial" w:hAnsi="Arial"/>
          <w:sz w:val="22"/>
          <w:szCs w:val="22"/>
        </w:rPr>
        <w:t>e</w:t>
      </w:r>
      <w:r w:rsidRPr="00003AFC">
        <w:rPr>
          <w:rFonts w:ascii="Arial" w:hAnsi="Arial"/>
          <w:sz w:val="22"/>
          <w:szCs w:val="22"/>
        </w:rPr>
        <w:t>ptember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to 3 (January to September) data are not available until the annual criminal statistics publication</w:t>
      </w:r>
      <w:r w:rsidR="0020702A">
        <w:rPr>
          <w:rFonts w:ascii="Arial" w:hAnsi="Arial"/>
          <w:sz w:val="22"/>
          <w:szCs w:val="22"/>
        </w:rPr>
        <w:t>s</w:t>
      </w:r>
      <w:r w:rsidRPr="00003AFC">
        <w:rPr>
          <w:rFonts w:ascii="Arial" w:hAnsi="Arial"/>
          <w:sz w:val="22"/>
          <w:szCs w:val="22"/>
        </w:rPr>
        <w:t xml:space="preserve"> </w:t>
      </w:r>
      <w:r w:rsidR="0020702A">
        <w:rPr>
          <w:rFonts w:ascii="Arial" w:hAnsi="Arial"/>
          <w:sz w:val="22"/>
          <w:szCs w:val="22"/>
        </w:rPr>
        <w:t>are</w:t>
      </w:r>
      <w:r w:rsidRPr="00003AFC">
        <w:rPr>
          <w:rFonts w:ascii="Arial" w:hAnsi="Arial"/>
          <w:sz w:val="22"/>
          <w:szCs w:val="22"/>
        </w:rPr>
        <w:t xml:space="preserve"> published in May 2017</w:t>
      </w:r>
      <w:r w:rsidR="00A7567E">
        <w:rPr>
          <w:rFonts w:ascii="Arial" w:hAnsi="Arial"/>
          <w:sz w:val="22"/>
          <w:szCs w:val="22"/>
        </w:rPr>
        <w:t xml:space="preserve"> and </w:t>
      </w:r>
      <w:r w:rsidR="003F1BCF">
        <w:rPr>
          <w:rFonts w:ascii="Arial" w:hAnsi="Arial"/>
          <w:sz w:val="22"/>
          <w:szCs w:val="22"/>
        </w:rPr>
        <w:t xml:space="preserve">May </w:t>
      </w:r>
      <w:r w:rsidR="00A7567E">
        <w:rPr>
          <w:rFonts w:ascii="Arial" w:hAnsi="Arial"/>
          <w:sz w:val="22"/>
          <w:szCs w:val="22"/>
        </w:rPr>
        <w:t>2018 respectively.</w:t>
      </w:r>
    </w:p>
    <w:p w:rsidR="00DD2B70" w:rsidRPr="00003AFC" w:rsidRDefault="00DD2B70" w:rsidP="00DD2B70">
      <w:pPr>
        <w:rPr>
          <w:rFonts w:ascii="Arial" w:hAnsi="Arial"/>
          <w:sz w:val="22"/>
          <w:szCs w:val="22"/>
        </w:rPr>
      </w:pPr>
    </w:p>
    <w:p w:rsidR="00DD2B70" w:rsidRPr="00DD2B70" w:rsidRDefault="00DD2B70" w:rsidP="00DD2B70">
      <w:pPr>
        <w:rPr>
          <w:rFonts w:ascii="Arial" w:hAnsi="Arial"/>
          <w:color w:val="000000"/>
          <w:sz w:val="22"/>
          <w:szCs w:val="22"/>
        </w:rPr>
      </w:pPr>
      <w:r w:rsidRPr="00DD2B70">
        <w:rPr>
          <w:rFonts w:ascii="Arial" w:hAnsi="Arial"/>
          <w:color w:val="000000"/>
          <w:sz w:val="22"/>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DD2B70" w:rsidRPr="00DD2B70" w:rsidRDefault="00DD2B70" w:rsidP="00DD2B70">
      <w:pPr>
        <w:rPr>
          <w:rFonts w:ascii="Arial" w:hAnsi="Arial"/>
          <w:color w:val="000000"/>
          <w:sz w:val="22"/>
          <w:szCs w:val="22"/>
        </w:rPr>
      </w:pPr>
    </w:p>
    <w:p w:rsidR="00DD2B70" w:rsidRPr="00DD2B70" w:rsidRDefault="00DD2B70" w:rsidP="00DD2B70">
      <w:pPr>
        <w:rPr>
          <w:rFonts w:ascii="Arial" w:hAnsi="Arial"/>
          <w:b/>
          <w:color w:val="000000"/>
          <w:sz w:val="22"/>
          <w:szCs w:val="22"/>
        </w:rPr>
      </w:pPr>
      <w:r w:rsidRPr="00DD2B70">
        <w:rPr>
          <w:rFonts w:ascii="Arial" w:hAnsi="Arial"/>
          <w:b/>
          <w:color w:val="000000"/>
          <w:sz w:val="22"/>
          <w:szCs w:val="22"/>
        </w:rPr>
        <w:t>Public interest considerations favouring disclosure</w:t>
      </w:r>
    </w:p>
    <w:p w:rsidR="00DD2B70" w:rsidRPr="00DD2B70" w:rsidRDefault="00DD2B70" w:rsidP="00DD2B70">
      <w:pPr>
        <w:rPr>
          <w:rFonts w:ascii="Arial" w:hAnsi="Arial"/>
          <w:color w:val="000000"/>
          <w:sz w:val="22"/>
          <w:szCs w:val="22"/>
        </w:rPr>
      </w:pPr>
    </w:p>
    <w:p w:rsidR="00DD2B70" w:rsidRPr="00DD2B70" w:rsidRDefault="00DD2B70" w:rsidP="00DD2B70">
      <w:pPr>
        <w:numPr>
          <w:ilvl w:val="0"/>
          <w:numId w:val="11"/>
        </w:numPr>
        <w:spacing w:line="280" w:lineRule="exact"/>
        <w:rPr>
          <w:rFonts w:ascii="Arial" w:hAnsi="Arial"/>
          <w:color w:val="000000"/>
          <w:sz w:val="22"/>
          <w:szCs w:val="22"/>
        </w:rPr>
      </w:pPr>
      <w:r w:rsidRPr="00DD2B70">
        <w:rPr>
          <w:rFonts w:ascii="Arial" w:hAnsi="Arial"/>
          <w:color w:val="000000"/>
          <w:sz w:val="22"/>
          <w:szCs w:val="22"/>
        </w:rPr>
        <w:t>Disclosure would improve transparency in the operations of Government, and of the justice system in particular.</w:t>
      </w:r>
    </w:p>
    <w:p w:rsidR="00DD2B70" w:rsidRPr="00DD2B70" w:rsidRDefault="00DD2B70" w:rsidP="00DD2B70">
      <w:pPr>
        <w:rPr>
          <w:rFonts w:ascii="Arial" w:hAnsi="Arial"/>
          <w:color w:val="000000"/>
          <w:sz w:val="22"/>
          <w:szCs w:val="22"/>
        </w:rPr>
      </w:pPr>
    </w:p>
    <w:p w:rsidR="00DD2B70" w:rsidRPr="00DD2B70" w:rsidRDefault="00DD2B70" w:rsidP="00DD2B70">
      <w:pPr>
        <w:rPr>
          <w:rFonts w:ascii="Arial" w:hAnsi="Arial"/>
          <w:b/>
          <w:color w:val="000000"/>
          <w:sz w:val="22"/>
          <w:szCs w:val="22"/>
        </w:rPr>
      </w:pPr>
      <w:r w:rsidRPr="00DD2B70">
        <w:rPr>
          <w:rFonts w:ascii="Arial" w:hAnsi="Arial"/>
          <w:b/>
          <w:color w:val="000000"/>
          <w:sz w:val="22"/>
          <w:szCs w:val="22"/>
        </w:rPr>
        <w:t>Public interest considerations favouring withholding the information</w:t>
      </w:r>
    </w:p>
    <w:p w:rsidR="00DD2B70" w:rsidRPr="00DD2B70" w:rsidRDefault="00DD2B70" w:rsidP="00DD2B70">
      <w:pPr>
        <w:rPr>
          <w:rFonts w:ascii="Arial" w:hAnsi="Arial"/>
          <w:color w:val="000000"/>
          <w:sz w:val="22"/>
          <w:szCs w:val="22"/>
        </w:rPr>
      </w:pPr>
    </w:p>
    <w:p w:rsidR="00DD2B70" w:rsidRPr="00DD2B70" w:rsidRDefault="00DD2B70" w:rsidP="00DD2B70">
      <w:pPr>
        <w:numPr>
          <w:ilvl w:val="0"/>
          <w:numId w:val="11"/>
        </w:numPr>
        <w:spacing w:line="280" w:lineRule="exact"/>
        <w:rPr>
          <w:rFonts w:ascii="Arial" w:hAnsi="Arial"/>
          <w:color w:val="000000"/>
          <w:sz w:val="22"/>
          <w:szCs w:val="22"/>
        </w:rPr>
      </w:pPr>
      <w:r w:rsidRPr="00DD2B70">
        <w:rPr>
          <w:rFonts w:ascii="Arial" w:hAnsi="Arial"/>
          <w:color w:val="000000"/>
          <w:sz w:val="22"/>
          <w:szCs w:val="22"/>
        </w:rPr>
        <w:t>It is in the public interest to adhere to the existing publication process for official statistics, which includes time for the data to be collated and properly verified.</w:t>
      </w:r>
    </w:p>
    <w:p w:rsidR="00DD2B70" w:rsidRPr="00DD2B70" w:rsidRDefault="00DD2B70" w:rsidP="00DD2B70">
      <w:pPr>
        <w:rPr>
          <w:rFonts w:ascii="Arial" w:hAnsi="Arial"/>
          <w:color w:val="000000"/>
          <w:sz w:val="22"/>
          <w:szCs w:val="22"/>
        </w:rPr>
      </w:pPr>
    </w:p>
    <w:p w:rsidR="00DD2B70" w:rsidRPr="00DD2B70" w:rsidRDefault="00DD2B70" w:rsidP="00DD2B70">
      <w:pPr>
        <w:numPr>
          <w:ilvl w:val="0"/>
          <w:numId w:val="11"/>
        </w:numPr>
        <w:spacing w:line="280" w:lineRule="exact"/>
        <w:rPr>
          <w:rFonts w:ascii="Arial" w:hAnsi="Arial"/>
          <w:color w:val="000000"/>
          <w:sz w:val="22"/>
          <w:szCs w:val="22"/>
        </w:rPr>
      </w:pPr>
      <w:r w:rsidRPr="00DD2B70">
        <w:rPr>
          <w:rFonts w:ascii="Arial" w:hAnsi="Arial"/>
          <w:color w:val="000000"/>
          <w:sz w:val="22"/>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DD2B70" w:rsidRPr="00DD2B70" w:rsidRDefault="00DD2B70" w:rsidP="00DD2B70">
      <w:pPr>
        <w:rPr>
          <w:rFonts w:ascii="Arial" w:hAnsi="Arial"/>
          <w:color w:val="000000"/>
          <w:sz w:val="22"/>
          <w:szCs w:val="22"/>
        </w:rPr>
      </w:pPr>
    </w:p>
    <w:p w:rsidR="00DD2B70" w:rsidRPr="00DD2B70" w:rsidRDefault="00DD2B70" w:rsidP="00DD2B70">
      <w:pPr>
        <w:rPr>
          <w:rFonts w:ascii="Arial" w:hAnsi="Arial"/>
          <w:color w:val="000000"/>
          <w:sz w:val="22"/>
          <w:szCs w:val="22"/>
        </w:rPr>
      </w:pPr>
      <w:r w:rsidRPr="00DD2B70">
        <w:rPr>
          <w:rFonts w:ascii="Arial" w:hAnsi="Arial"/>
          <w:color w:val="000000"/>
          <w:sz w:val="22"/>
          <w:szCs w:val="22"/>
        </w:rPr>
        <w:t>We reached the view that, on balance, the public interest is better served by withholding this information under section 22 of the FOIA at this time.</w:t>
      </w:r>
    </w:p>
    <w:p w:rsidR="00DD2B70" w:rsidRDefault="00DD2B70" w:rsidP="003A5336">
      <w:pPr>
        <w:autoSpaceDE w:val="0"/>
        <w:autoSpaceDN w:val="0"/>
        <w:adjustRightInd w:val="0"/>
        <w:rPr>
          <w:rStyle w:val="Hyperlink"/>
          <w:rFonts w:ascii="Arial" w:hAnsi="Arial" w:cs="Arial"/>
        </w:rPr>
      </w:pPr>
    </w:p>
    <w:sectPr w:rsidR="00DD2B70"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07" w:rsidRDefault="00652007">
      <w:r>
        <w:separator/>
      </w:r>
    </w:p>
  </w:endnote>
  <w:endnote w:type="continuationSeparator" w:id="0">
    <w:p w:rsidR="00652007" w:rsidRDefault="0065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07" w:rsidRDefault="00652007">
      <w:r>
        <w:separator/>
      </w:r>
    </w:p>
  </w:footnote>
  <w:footnote w:type="continuationSeparator" w:id="0">
    <w:p w:rsidR="00652007" w:rsidRDefault="0065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3"/>
  </w:num>
  <w:num w:numId="5">
    <w:abstractNumId w:val="0"/>
  </w:num>
  <w:num w:numId="6">
    <w:abstractNumId w:val="2"/>
  </w:num>
  <w:num w:numId="7">
    <w:abstractNumId w:val="9"/>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AFC"/>
    <w:rsid w:val="00003E34"/>
    <w:rsid w:val="0000640B"/>
    <w:rsid w:val="00007775"/>
    <w:rsid w:val="0002134D"/>
    <w:rsid w:val="0002477B"/>
    <w:rsid w:val="0003103F"/>
    <w:rsid w:val="00043C1B"/>
    <w:rsid w:val="00044110"/>
    <w:rsid w:val="00047F6D"/>
    <w:rsid w:val="0005486F"/>
    <w:rsid w:val="00055349"/>
    <w:rsid w:val="00055BD8"/>
    <w:rsid w:val="00064447"/>
    <w:rsid w:val="00071655"/>
    <w:rsid w:val="00073F3F"/>
    <w:rsid w:val="00075BEC"/>
    <w:rsid w:val="00083884"/>
    <w:rsid w:val="00085D37"/>
    <w:rsid w:val="00085F55"/>
    <w:rsid w:val="00087D02"/>
    <w:rsid w:val="00092267"/>
    <w:rsid w:val="00093D3C"/>
    <w:rsid w:val="00094007"/>
    <w:rsid w:val="000A0FFE"/>
    <w:rsid w:val="000A1F23"/>
    <w:rsid w:val="000A2BCA"/>
    <w:rsid w:val="000B5A99"/>
    <w:rsid w:val="000B7073"/>
    <w:rsid w:val="000B7E6B"/>
    <w:rsid w:val="000C20F6"/>
    <w:rsid w:val="000C2D71"/>
    <w:rsid w:val="000F5C85"/>
    <w:rsid w:val="000F6014"/>
    <w:rsid w:val="00103127"/>
    <w:rsid w:val="00104B8F"/>
    <w:rsid w:val="00105719"/>
    <w:rsid w:val="00110EBD"/>
    <w:rsid w:val="001170F4"/>
    <w:rsid w:val="00120291"/>
    <w:rsid w:val="00133D1E"/>
    <w:rsid w:val="00135A3F"/>
    <w:rsid w:val="001407E6"/>
    <w:rsid w:val="0014223E"/>
    <w:rsid w:val="00143F48"/>
    <w:rsid w:val="00150A41"/>
    <w:rsid w:val="00160620"/>
    <w:rsid w:val="00161A44"/>
    <w:rsid w:val="001670F6"/>
    <w:rsid w:val="00170166"/>
    <w:rsid w:val="0017725D"/>
    <w:rsid w:val="00177F85"/>
    <w:rsid w:val="00180043"/>
    <w:rsid w:val="001A6C9B"/>
    <w:rsid w:val="001B2AC7"/>
    <w:rsid w:val="001B5B4D"/>
    <w:rsid w:val="001B7D73"/>
    <w:rsid w:val="001C15CD"/>
    <w:rsid w:val="001C27E9"/>
    <w:rsid w:val="001C4CA5"/>
    <w:rsid w:val="001C667B"/>
    <w:rsid w:val="001D1E30"/>
    <w:rsid w:val="001D2ADD"/>
    <w:rsid w:val="002010E9"/>
    <w:rsid w:val="00204F29"/>
    <w:rsid w:val="0020568B"/>
    <w:rsid w:val="002057D0"/>
    <w:rsid w:val="0020702A"/>
    <w:rsid w:val="0021415F"/>
    <w:rsid w:val="002179DD"/>
    <w:rsid w:val="002470A2"/>
    <w:rsid w:val="0025606E"/>
    <w:rsid w:val="00284268"/>
    <w:rsid w:val="00286B7B"/>
    <w:rsid w:val="0029178A"/>
    <w:rsid w:val="0029597E"/>
    <w:rsid w:val="002A53EB"/>
    <w:rsid w:val="002A69A5"/>
    <w:rsid w:val="002A7A01"/>
    <w:rsid w:val="002B7F78"/>
    <w:rsid w:val="002D029D"/>
    <w:rsid w:val="002D0810"/>
    <w:rsid w:val="002D43CB"/>
    <w:rsid w:val="002D5D1E"/>
    <w:rsid w:val="002E1CB9"/>
    <w:rsid w:val="002E5E00"/>
    <w:rsid w:val="002E641B"/>
    <w:rsid w:val="003052C5"/>
    <w:rsid w:val="00312B96"/>
    <w:rsid w:val="00313D9B"/>
    <w:rsid w:val="00314215"/>
    <w:rsid w:val="003156BA"/>
    <w:rsid w:val="00317710"/>
    <w:rsid w:val="003217F1"/>
    <w:rsid w:val="003223B6"/>
    <w:rsid w:val="00330B6D"/>
    <w:rsid w:val="00343883"/>
    <w:rsid w:val="00345326"/>
    <w:rsid w:val="00353B9B"/>
    <w:rsid w:val="003574A1"/>
    <w:rsid w:val="00360270"/>
    <w:rsid w:val="00363547"/>
    <w:rsid w:val="00386ABE"/>
    <w:rsid w:val="00386FA6"/>
    <w:rsid w:val="00395FF9"/>
    <w:rsid w:val="00396F7C"/>
    <w:rsid w:val="003A5336"/>
    <w:rsid w:val="003C39BE"/>
    <w:rsid w:val="003D2E5F"/>
    <w:rsid w:val="003D3641"/>
    <w:rsid w:val="003D488A"/>
    <w:rsid w:val="003D74BF"/>
    <w:rsid w:val="003E27C0"/>
    <w:rsid w:val="003F1BCF"/>
    <w:rsid w:val="003F5D59"/>
    <w:rsid w:val="003F6C63"/>
    <w:rsid w:val="003F6CF4"/>
    <w:rsid w:val="00403DAF"/>
    <w:rsid w:val="00406D63"/>
    <w:rsid w:val="004115FD"/>
    <w:rsid w:val="004172B7"/>
    <w:rsid w:val="004220C6"/>
    <w:rsid w:val="004253BB"/>
    <w:rsid w:val="00426AD1"/>
    <w:rsid w:val="0043030D"/>
    <w:rsid w:val="004343FE"/>
    <w:rsid w:val="00440DE1"/>
    <w:rsid w:val="00447DFF"/>
    <w:rsid w:val="00461929"/>
    <w:rsid w:val="00472257"/>
    <w:rsid w:val="0047763D"/>
    <w:rsid w:val="0049263B"/>
    <w:rsid w:val="00493E12"/>
    <w:rsid w:val="004B4A1A"/>
    <w:rsid w:val="004B4CAE"/>
    <w:rsid w:val="004C0BAC"/>
    <w:rsid w:val="004C12E9"/>
    <w:rsid w:val="004C457F"/>
    <w:rsid w:val="004E15CC"/>
    <w:rsid w:val="004E1E12"/>
    <w:rsid w:val="004F702C"/>
    <w:rsid w:val="005021CB"/>
    <w:rsid w:val="00502953"/>
    <w:rsid w:val="00504598"/>
    <w:rsid w:val="00507063"/>
    <w:rsid w:val="00514DEE"/>
    <w:rsid w:val="005152B9"/>
    <w:rsid w:val="005202DD"/>
    <w:rsid w:val="00521176"/>
    <w:rsid w:val="00522F32"/>
    <w:rsid w:val="005407E5"/>
    <w:rsid w:val="00547F59"/>
    <w:rsid w:val="005651D3"/>
    <w:rsid w:val="00565854"/>
    <w:rsid w:val="00572929"/>
    <w:rsid w:val="00581975"/>
    <w:rsid w:val="005923A0"/>
    <w:rsid w:val="005939B8"/>
    <w:rsid w:val="00597941"/>
    <w:rsid w:val="005A2C5A"/>
    <w:rsid w:val="005A56DD"/>
    <w:rsid w:val="005A58F3"/>
    <w:rsid w:val="005A768A"/>
    <w:rsid w:val="005B7296"/>
    <w:rsid w:val="005C2AFE"/>
    <w:rsid w:val="005C2E45"/>
    <w:rsid w:val="005C2F49"/>
    <w:rsid w:val="005C3B5F"/>
    <w:rsid w:val="005C75FA"/>
    <w:rsid w:val="005D0A14"/>
    <w:rsid w:val="005D1D22"/>
    <w:rsid w:val="005D30B3"/>
    <w:rsid w:val="005F1FE0"/>
    <w:rsid w:val="005F6EB6"/>
    <w:rsid w:val="005F7E29"/>
    <w:rsid w:val="00605080"/>
    <w:rsid w:val="006050C2"/>
    <w:rsid w:val="0060676F"/>
    <w:rsid w:val="00607F16"/>
    <w:rsid w:val="00613077"/>
    <w:rsid w:val="00616EDC"/>
    <w:rsid w:val="00622002"/>
    <w:rsid w:val="006232AC"/>
    <w:rsid w:val="00632DB6"/>
    <w:rsid w:val="006358B8"/>
    <w:rsid w:val="006363DA"/>
    <w:rsid w:val="006370D6"/>
    <w:rsid w:val="00652007"/>
    <w:rsid w:val="00656791"/>
    <w:rsid w:val="00657BE7"/>
    <w:rsid w:val="00672B9C"/>
    <w:rsid w:val="00672C95"/>
    <w:rsid w:val="006753BE"/>
    <w:rsid w:val="00677571"/>
    <w:rsid w:val="00682ED5"/>
    <w:rsid w:val="00683D81"/>
    <w:rsid w:val="00685E02"/>
    <w:rsid w:val="00686515"/>
    <w:rsid w:val="00686CF6"/>
    <w:rsid w:val="00687C17"/>
    <w:rsid w:val="00691434"/>
    <w:rsid w:val="0069630C"/>
    <w:rsid w:val="006B26A9"/>
    <w:rsid w:val="006C4DFE"/>
    <w:rsid w:val="006D2BB3"/>
    <w:rsid w:val="006D7851"/>
    <w:rsid w:val="006F0FDF"/>
    <w:rsid w:val="00701741"/>
    <w:rsid w:val="00701C33"/>
    <w:rsid w:val="00707F63"/>
    <w:rsid w:val="00712DBD"/>
    <w:rsid w:val="00716C99"/>
    <w:rsid w:val="00717943"/>
    <w:rsid w:val="00720F00"/>
    <w:rsid w:val="00721FF6"/>
    <w:rsid w:val="00732427"/>
    <w:rsid w:val="00733459"/>
    <w:rsid w:val="007349B0"/>
    <w:rsid w:val="007364F9"/>
    <w:rsid w:val="0074268C"/>
    <w:rsid w:val="00745DE9"/>
    <w:rsid w:val="0075037A"/>
    <w:rsid w:val="00751F04"/>
    <w:rsid w:val="00757C4F"/>
    <w:rsid w:val="00764F8A"/>
    <w:rsid w:val="00766207"/>
    <w:rsid w:val="007960EE"/>
    <w:rsid w:val="007A4F47"/>
    <w:rsid w:val="007B3C39"/>
    <w:rsid w:val="007B3FD5"/>
    <w:rsid w:val="007C158D"/>
    <w:rsid w:val="007C52BB"/>
    <w:rsid w:val="007D290C"/>
    <w:rsid w:val="007D43F0"/>
    <w:rsid w:val="007D4597"/>
    <w:rsid w:val="007E4242"/>
    <w:rsid w:val="007F294F"/>
    <w:rsid w:val="007F2CB3"/>
    <w:rsid w:val="007F35D1"/>
    <w:rsid w:val="007F594C"/>
    <w:rsid w:val="007F5A11"/>
    <w:rsid w:val="007F60F4"/>
    <w:rsid w:val="008149AE"/>
    <w:rsid w:val="0081625B"/>
    <w:rsid w:val="00821C2A"/>
    <w:rsid w:val="00826F7D"/>
    <w:rsid w:val="0083092D"/>
    <w:rsid w:val="00837883"/>
    <w:rsid w:val="00841FA8"/>
    <w:rsid w:val="00850414"/>
    <w:rsid w:val="00866355"/>
    <w:rsid w:val="00870FE2"/>
    <w:rsid w:val="00876289"/>
    <w:rsid w:val="008905BA"/>
    <w:rsid w:val="00894F95"/>
    <w:rsid w:val="008A0E59"/>
    <w:rsid w:val="008A47C2"/>
    <w:rsid w:val="008D0238"/>
    <w:rsid w:val="008E2953"/>
    <w:rsid w:val="008E780C"/>
    <w:rsid w:val="008F38ED"/>
    <w:rsid w:val="008F63E3"/>
    <w:rsid w:val="00903FA5"/>
    <w:rsid w:val="00912F2E"/>
    <w:rsid w:val="00927420"/>
    <w:rsid w:val="009330D9"/>
    <w:rsid w:val="00943F10"/>
    <w:rsid w:val="00952719"/>
    <w:rsid w:val="009641D2"/>
    <w:rsid w:val="00981B1F"/>
    <w:rsid w:val="0099435D"/>
    <w:rsid w:val="009A01D8"/>
    <w:rsid w:val="009B15A5"/>
    <w:rsid w:val="009B1A70"/>
    <w:rsid w:val="009B30A4"/>
    <w:rsid w:val="009B5672"/>
    <w:rsid w:val="009B5C64"/>
    <w:rsid w:val="009B624A"/>
    <w:rsid w:val="009C10EC"/>
    <w:rsid w:val="009C293B"/>
    <w:rsid w:val="009C3671"/>
    <w:rsid w:val="009C7E3A"/>
    <w:rsid w:val="009E501C"/>
    <w:rsid w:val="009E76BF"/>
    <w:rsid w:val="00A0514A"/>
    <w:rsid w:val="00A05278"/>
    <w:rsid w:val="00A140CB"/>
    <w:rsid w:val="00A4070B"/>
    <w:rsid w:val="00A44CEB"/>
    <w:rsid w:val="00A47A73"/>
    <w:rsid w:val="00A540CD"/>
    <w:rsid w:val="00A61142"/>
    <w:rsid w:val="00A654A8"/>
    <w:rsid w:val="00A65FB8"/>
    <w:rsid w:val="00A7567E"/>
    <w:rsid w:val="00A75D5B"/>
    <w:rsid w:val="00A80A7A"/>
    <w:rsid w:val="00A80C43"/>
    <w:rsid w:val="00A90CF1"/>
    <w:rsid w:val="00A9218F"/>
    <w:rsid w:val="00A93A66"/>
    <w:rsid w:val="00AA7121"/>
    <w:rsid w:val="00AB3278"/>
    <w:rsid w:val="00AB3DC4"/>
    <w:rsid w:val="00AB607F"/>
    <w:rsid w:val="00AB7AFD"/>
    <w:rsid w:val="00AC66F0"/>
    <w:rsid w:val="00AC6B10"/>
    <w:rsid w:val="00AD407D"/>
    <w:rsid w:val="00AE648C"/>
    <w:rsid w:val="00AE6516"/>
    <w:rsid w:val="00AF323D"/>
    <w:rsid w:val="00AF6F11"/>
    <w:rsid w:val="00AF7912"/>
    <w:rsid w:val="00AF7CD9"/>
    <w:rsid w:val="00B02D4D"/>
    <w:rsid w:val="00B02E2B"/>
    <w:rsid w:val="00B14598"/>
    <w:rsid w:val="00B20CC1"/>
    <w:rsid w:val="00B212C3"/>
    <w:rsid w:val="00B21AE2"/>
    <w:rsid w:val="00B2271D"/>
    <w:rsid w:val="00B27CC9"/>
    <w:rsid w:val="00B3083B"/>
    <w:rsid w:val="00B35E25"/>
    <w:rsid w:val="00B429DA"/>
    <w:rsid w:val="00B46219"/>
    <w:rsid w:val="00B76CB4"/>
    <w:rsid w:val="00B94877"/>
    <w:rsid w:val="00B973C8"/>
    <w:rsid w:val="00BA63BE"/>
    <w:rsid w:val="00BB0B99"/>
    <w:rsid w:val="00BD2C9D"/>
    <w:rsid w:val="00BD4BA7"/>
    <w:rsid w:val="00BD579B"/>
    <w:rsid w:val="00BD5C61"/>
    <w:rsid w:val="00BD6709"/>
    <w:rsid w:val="00BD79C4"/>
    <w:rsid w:val="00BE1E9B"/>
    <w:rsid w:val="00BE49BA"/>
    <w:rsid w:val="00BF1CBD"/>
    <w:rsid w:val="00BF247F"/>
    <w:rsid w:val="00BF360C"/>
    <w:rsid w:val="00BF71B9"/>
    <w:rsid w:val="00C01FB8"/>
    <w:rsid w:val="00C04B5F"/>
    <w:rsid w:val="00C05F2C"/>
    <w:rsid w:val="00C15159"/>
    <w:rsid w:val="00C160EC"/>
    <w:rsid w:val="00C168A4"/>
    <w:rsid w:val="00C177CC"/>
    <w:rsid w:val="00C17A91"/>
    <w:rsid w:val="00C25A39"/>
    <w:rsid w:val="00C2627A"/>
    <w:rsid w:val="00C445E0"/>
    <w:rsid w:val="00C62C3D"/>
    <w:rsid w:val="00C63054"/>
    <w:rsid w:val="00C6380A"/>
    <w:rsid w:val="00C841B5"/>
    <w:rsid w:val="00C97F31"/>
    <w:rsid w:val="00CA62DD"/>
    <w:rsid w:val="00CB1902"/>
    <w:rsid w:val="00CB1AA4"/>
    <w:rsid w:val="00CC0B26"/>
    <w:rsid w:val="00CC7955"/>
    <w:rsid w:val="00CE4B74"/>
    <w:rsid w:val="00CE5EF7"/>
    <w:rsid w:val="00CF4A6A"/>
    <w:rsid w:val="00CF776B"/>
    <w:rsid w:val="00D05A9D"/>
    <w:rsid w:val="00D1077D"/>
    <w:rsid w:val="00D15B3B"/>
    <w:rsid w:val="00D17094"/>
    <w:rsid w:val="00D264E1"/>
    <w:rsid w:val="00D27DB1"/>
    <w:rsid w:val="00D30180"/>
    <w:rsid w:val="00D30525"/>
    <w:rsid w:val="00D31A00"/>
    <w:rsid w:val="00D34027"/>
    <w:rsid w:val="00D34CA0"/>
    <w:rsid w:val="00D47510"/>
    <w:rsid w:val="00D51F2C"/>
    <w:rsid w:val="00D52AD5"/>
    <w:rsid w:val="00D5560F"/>
    <w:rsid w:val="00D6622B"/>
    <w:rsid w:val="00D70704"/>
    <w:rsid w:val="00D71F9D"/>
    <w:rsid w:val="00D91EA6"/>
    <w:rsid w:val="00D93C1D"/>
    <w:rsid w:val="00DA056D"/>
    <w:rsid w:val="00DA1B90"/>
    <w:rsid w:val="00DA5FD3"/>
    <w:rsid w:val="00DA7762"/>
    <w:rsid w:val="00DA797A"/>
    <w:rsid w:val="00DB1EAA"/>
    <w:rsid w:val="00DC75CA"/>
    <w:rsid w:val="00DD2B70"/>
    <w:rsid w:val="00DD6C91"/>
    <w:rsid w:val="00DD7DAA"/>
    <w:rsid w:val="00DE649B"/>
    <w:rsid w:val="00DF4FFE"/>
    <w:rsid w:val="00E0591C"/>
    <w:rsid w:val="00E1006A"/>
    <w:rsid w:val="00E20B05"/>
    <w:rsid w:val="00E3043D"/>
    <w:rsid w:val="00E306A8"/>
    <w:rsid w:val="00E32EC0"/>
    <w:rsid w:val="00E36BAC"/>
    <w:rsid w:val="00E378C2"/>
    <w:rsid w:val="00E4065B"/>
    <w:rsid w:val="00E44A1D"/>
    <w:rsid w:val="00E5670D"/>
    <w:rsid w:val="00E629B1"/>
    <w:rsid w:val="00E7489D"/>
    <w:rsid w:val="00EC472D"/>
    <w:rsid w:val="00ED20F9"/>
    <w:rsid w:val="00ED2FCA"/>
    <w:rsid w:val="00ED7C29"/>
    <w:rsid w:val="00EE079D"/>
    <w:rsid w:val="00EF0A65"/>
    <w:rsid w:val="00EF1AA6"/>
    <w:rsid w:val="00F02437"/>
    <w:rsid w:val="00F03500"/>
    <w:rsid w:val="00F039E7"/>
    <w:rsid w:val="00F07301"/>
    <w:rsid w:val="00F15593"/>
    <w:rsid w:val="00F209DD"/>
    <w:rsid w:val="00F20DD2"/>
    <w:rsid w:val="00F22D6A"/>
    <w:rsid w:val="00F26D5B"/>
    <w:rsid w:val="00F304E3"/>
    <w:rsid w:val="00F31240"/>
    <w:rsid w:val="00F34027"/>
    <w:rsid w:val="00F347A4"/>
    <w:rsid w:val="00F34BD2"/>
    <w:rsid w:val="00F35B4A"/>
    <w:rsid w:val="00F4205F"/>
    <w:rsid w:val="00F45B13"/>
    <w:rsid w:val="00F4790F"/>
    <w:rsid w:val="00F5538D"/>
    <w:rsid w:val="00F61CA9"/>
    <w:rsid w:val="00F65300"/>
    <w:rsid w:val="00F70725"/>
    <w:rsid w:val="00F756FC"/>
    <w:rsid w:val="00F8225D"/>
    <w:rsid w:val="00FA176D"/>
    <w:rsid w:val="00FA200D"/>
    <w:rsid w:val="00FA4C8B"/>
    <w:rsid w:val="00FA6C6A"/>
    <w:rsid w:val="00FB582D"/>
    <w:rsid w:val="00FB60BE"/>
    <w:rsid w:val="00FB6D2E"/>
    <w:rsid w:val="00FC5112"/>
    <w:rsid w:val="00FD4F08"/>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ABAE4F-C020-4541-ABED-AAC9C11F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515729978">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48116132">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nyurl.com/gmf68n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FOI 110877 Offences against the Person Act 1861 Prosecutions</vt:lpstr>
    </vt:vector>
  </TitlesOfParts>
  <Company>Ministry of Justice</Company>
  <LinksUpToDate>false</LinksUpToDate>
  <CharactersWithSpaces>6912</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6684720</vt:i4>
      </vt:variant>
      <vt:variant>
        <vt:i4>6</vt:i4>
      </vt:variant>
      <vt:variant>
        <vt:i4>0</vt:i4>
      </vt:variant>
      <vt:variant>
        <vt:i4>5</vt:i4>
      </vt:variant>
      <vt:variant>
        <vt:lpwstr>http://tinyurl.com/gmf68ny</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1572988</vt:i4>
      </vt:variant>
      <vt:variant>
        <vt:i4>0</vt:i4>
      </vt:variant>
      <vt:variant>
        <vt:i4>0</vt:i4>
      </vt:variant>
      <vt:variant>
        <vt:i4>5</vt:i4>
      </vt:variant>
      <vt:variant>
        <vt:lpwstr>mailto:foi4pd@gmail.com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110877 Offences against the Person Act 1861 Prosecutions</dc:title>
  <dc:subject>FOI Release</dc:subject>
  <dc:creator>MoJ</dc:creator>
  <cp:keywords/>
  <dc:description/>
  <cp:lastModifiedBy>Cox, Allan</cp:lastModifiedBy>
  <cp:revision>2</cp:revision>
  <cp:lastPrinted>2013-07-23T12:57:00Z</cp:lastPrinted>
  <dcterms:created xsi:type="dcterms:W3CDTF">2017-06-16T11:04:00Z</dcterms:created>
  <dcterms:modified xsi:type="dcterms:W3CDTF">2017-06-16T11:04:00Z</dcterms:modified>
</cp:coreProperties>
</file>