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RPr="0060648D" w:rsidTr="00886775">
        <w:trPr>
          <w:trHeight w:val="2977"/>
        </w:trPr>
        <w:tc>
          <w:tcPr>
            <w:tcW w:w="6379" w:type="dxa"/>
          </w:tcPr>
          <w:p w:rsidR="00C016D5" w:rsidRPr="0060648D" w:rsidRDefault="00EA3081" w:rsidP="002C5025">
            <w:pPr>
              <w:pStyle w:val="MOJaddress"/>
              <w:rPr>
                <w:rFonts w:cs="Arial"/>
                <w:sz w:val="22"/>
                <w:szCs w:val="22"/>
              </w:rPr>
            </w:pPr>
            <w:r w:rsidRPr="0060648D">
              <w:rPr>
                <w:rFonts w:cs="Arial"/>
                <w:noProof/>
                <w:sz w:val="22"/>
                <w:szCs w:val="22"/>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Pr="0060648D" w:rsidRDefault="00C016D5" w:rsidP="002C5025">
            <w:pPr>
              <w:pStyle w:val="MOJaddress"/>
              <w:rPr>
                <w:rFonts w:cs="Arial"/>
                <w:color w:val="0000CC"/>
                <w:sz w:val="22"/>
                <w:szCs w:val="22"/>
              </w:rPr>
            </w:pPr>
          </w:p>
          <w:p w:rsidR="00C016D5" w:rsidRPr="0060648D" w:rsidRDefault="00C016D5" w:rsidP="002C5025">
            <w:pPr>
              <w:pStyle w:val="MOJaddress"/>
              <w:rPr>
                <w:rFonts w:cs="Arial"/>
                <w:color w:val="0000CC"/>
                <w:sz w:val="22"/>
                <w:szCs w:val="22"/>
              </w:rPr>
            </w:pPr>
          </w:p>
          <w:p w:rsidR="0005548F" w:rsidRPr="0060648D" w:rsidRDefault="0005548F" w:rsidP="009C4B46">
            <w:pPr>
              <w:pStyle w:val="MOJaddress"/>
              <w:rPr>
                <w:rFonts w:cs="Arial"/>
                <w:color w:val="000000"/>
                <w:sz w:val="22"/>
                <w:szCs w:val="22"/>
                <w:lang w:val="en-US"/>
              </w:rPr>
            </w:pPr>
          </w:p>
          <w:p w:rsidR="005C346A" w:rsidRPr="0060648D" w:rsidRDefault="005C346A" w:rsidP="009C4B46">
            <w:pPr>
              <w:pStyle w:val="MOJaddress"/>
              <w:rPr>
                <w:rFonts w:cs="Arial"/>
                <w:color w:val="0000CC"/>
                <w:sz w:val="22"/>
                <w:szCs w:val="22"/>
              </w:rPr>
            </w:pPr>
          </w:p>
          <w:p w:rsidR="00C016D5" w:rsidRPr="0060648D" w:rsidRDefault="00C016D5" w:rsidP="009853E8">
            <w:pPr>
              <w:pStyle w:val="MOJaddress"/>
              <w:rPr>
                <w:rFonts w:cs="Arial"/>
                <w:sz w:val="22"/>
                <w:szCs w:val="22"/>
              </w:rPr>
            </w:pPr>
          </w:p>
        </w:tc>
        <w:tc>
          <w:tcPr>
            <w:tcW w:w="3261" w:type="dxa"/>
          </w:tcPr>
          <w:p w:rsidR="00C016D5" w:rsidRPr="0060648D" w:rsidRDefault="00C016D5" w:rsidP="00D11624">
            <w:pPr>
              <w:pStyle w:val="MOJaddress"/>
              <w:ind w:left="284"/>
              <w:rPr>
                <w:rFonts w:cs="Arial"/>
                <w:color w:val="0000CC"/>
                <w:sz w:val="22"/>
                <w:szCs w:val="22"/>
              </w:rPr>
            </w:pPr>
          </w:p>
          <w:p w:rsidR="00C016D5" w:rsidRPr="0060648D" w:rsidRDefault="00FA69B5" w:rsidP="00FA69B5">
            <w:pPr>
              <w:pStyle w:val="MOJaddress"/>
              <w:rPr>
                <w:rFonts w:cs="Arial"/>
                <w:color w:val="000000"/>
                <w:sz w:val="22"/>
                <w:szCs w:val="22"/>
              </w:rPr>
            </w:pPr>
            <w:r>
              <w:rPr>
                <w:rFonts w:cs="Arial"/>
                <w:color w:val="000000"/>
                <w:sz w:val="22"/>
                <w:szCs w:val="22"/>
              </w:rPr>
              <w:t xml:space="preserve">April </w:t>
            </w:r>
            <w:r w:rsidR="005C346A" w:rsidRPr="0060648D">
              <w:rPr>
                <w:rFonts w:cs="Arial"/>
                <w:color w:val="000000"/>
                <w:sz w:val="22"/>
                <w:szCs w:val="22"/>
              </w:rPr>
              <w:t>2017</w:t>
            </w:r>
          </w:p>
        </w:tc>
      </w:tr>
    </w:tbl>
    <w:p w:rsidR="00D11624" w:rsidRPr="0060648D" w:rsidRDefault="00D11624" w:rsidP="007A3DF8">
      <w:pPr>
        <w:rPr>
          <w:rFonts w:cs="Arial"/>
          <w:szCs w:val="22"/>
        </w:rPr>
      </w:pPr>
    </w:p>
    <w:p w:rsidR="009853E8" w:rsidRPr="0060648D" w:rsidRDefault="009853E8" w:rsidP="007A3DF8">
      <w:pPr>
        <w:rPr>
          <w:rFonts w:cs="Arial"/>
          <w:b/>
          <w:color w:val="000000"/>
          <w:szCs w:val="22"/>
        </w:rPr>
      </w:pPr>
    </w:p>
    <w:p w:rsidR="009853E8" w:rsidRPr="0060648D" w:rsidRDefault="007A3DF8" w:rsidP="009853E8">
      <w:pPr>
        <w:rPr>
          <w:rFonts w:cs="Arial"/>
          <w:b/>
          <w:color w:val="000000"/>
          <w:szCs w:val="22"/>
        </w:rPr>
      </w:pPr>
      <w:r w:rsidRPr="0060648D">
        <w:rPr>
          <w:rFonts w:cs="Arial"/>
          <w:b/>
          <w:color w:val="000000"/>
          <w:szCs w:val="22"/>
        </w:rPr>
        <w:t xml:space="preserve">Freedom of Information Act (FOIA) Request – </w:t>
      </w:r>
      <w:r w:rsidR="00AD5036" w:rsidRPr="0060648D">
        <w:rPr>
          <w:rFonts w:cs="Arial"/>
          <w:color w:val="000000"/>
          <w:szCs w:val="22"/>
        </w:rPr>
        <w:t>1</w:t>
      </w:r>
      <w:r w:rsidR="0060648D">
        <w:rPr>
          <w:rFonts w:cs="Arial"/>
          <w:color w:val="000000"/>
          <w:szCs w:val="22"/>
        </w:rPr>
        <w:t>10784</w:t>
      </w:r>
    </w:p>
    <w:p w:rsidR="009853E8" w:rsidRPr="0060648D" w:rsidRDefault="009853E8" w:rsidP="009853E8">
      <w:pPr>
        <w:rPr>
          <w:rFonts w:cs="Arial"/>
          <w:b/>
          <w:color w:val="000000"/>
          <w:szCs w:val="22"/>
        </w:rPr>
      </w:pPr>
    </w:p>
    <w:p w:rsidR="00CA5194" w:rsidRDefault="00EA3081" w:rsidP="00CA5194">
      <w:pPr>
        <w:rPr>
          <w:rFonts w:cs="Arial"/>
          <w:color w:val="000000"/>
          <w:szCs w:val="22"/>
        </w:rPr>
      </w:pPr>
      <w:r>
        <w:rPr>
          <w:rFonts w:cs="Arial"/>
          <w:color w:val="000000"/>
          <w:szCs w:val="22"/>
        </w:rPr>
        <w:t xml:space="preserve">You </w:t>
      </w:r>
      <w:r w:rsidR="00CA5194" w:rsidRPr="0060648D">
        <w:rPr>
          <w:rFonts w:cs="Arial"/>
          <w:color w:val="000000"/>
          <w:szCs w:val="22"/>
        </w:rPr>
        <w:t xml:space="preserve">asked for the following information from the Ministry of Justice (MoJ):  </w:t>
      </w:r>
    </w:p>
    <w:p w:rsidR="00BD1087" w:rsidRDefault="00BD1087" w:rsidP="00CA5194">
      <w:pPr>
        <w:rPr>
          <w:rFonts w:cs="Arial"/>
          <w:color w:val="000000"/>
          <w:szCs w:val="22"/>
        </w:rPr>
      </w:pPr>
    </w:p>
    <w:p w:rsidR="00BD1087" w:rsidRPr="00BD1087" w:rsidRDefault="00BD1087" w:rsidP="00CA5194">
      <w:pPr>
        <w:rPr>
          <w:rFonts w:cs="Arial"/>
          <w:b/>
          <w:color w:val="000000"/>
          <w:szCs w:val="22"/>
        </w:rPr>
      </w:pPr>
      <w:r w:rsidRPr="00BD1087">
        <w:rPr>
          <w:rFonts w:cs="Arial"/>
          <w:b/>
          <w:color w:val="000000"/>
          <w:szCs w:val="22"/>
        </w:rPr>
        <w:t xml:space="preserve">By year, from 2006 onwards, what has been the </w:t>
      </w:r>
      <w:bookmarkStart w:id="0" w:name="_GoBack"/>
      <w:r w:rsidRPr="00BD1087">
        <w:rPr>
          <w:rFonts w:cs="Arial"/>
          <w:b/>
          <w:color w:val="000000"/>
          <w:szCs w:val="22"/>
        </w:rPr>
        <w:t>average tariff length for a murder conviction</w:t>
      </w:r>
      <w:bookmarkEnd w:id="0"/>
      <w:r w:rsidRPr="00BD1087">
        <w:rPr>
          <w:rFonts w:cs="Arial"/>
          <w:b/>
          <w:color w:val="000000"/>
          <w:szCs w:val="22"/>
        </w:rPr>
        <w:t xml:space="preserve"> in England and </w:t>
      </w:r>
      <w:r w:rsidR="00CE68A5">
        <w:rPr>
          <w:rFonts w:cs="Arial"/>
          <w:b/>
          <w:color w:val="000000"/>
          <w:szCs w:val="22"/>
        </w:rPr>
        <w:t>W</w:t>
      </w:r>
      <w:r w:rsidRPr="00BD1087">
        <w:rPr>
          <w:rFonts w:cs="Arial"/>
          <w:b/>
          <w:color w:val="000000"/>
          <w:szCs w:val="22"/>
        </w:rPr>
        <w:t>ales</w:t>
      </w:r>
    </w:p>
    <w:p w:rsidR="00CA5194" w:rsidRPr="0060648D" w:rsidRDefault="00CA5194" w:rsidP="00CA5194">
      <w:pPr>
        <w:rPr>
          <w:rFonts w:cs="Arial"/>
          <w:color w:val="000000"/>
          <w:szCs w:val="22"/>
        </w:rPr>
      </w:pPr>
    </w:p>
    <w:p w:rsidR="00D11624" w:rsidRPr="0060648D" w:rsidRDefault="00D11624" w:rsidP="00CA5194">
      <w:pPr>
        <w:rPr>
          <w:rFonts w:cs="Arial"/>
          <w:szCs w:val="22"/>
        </w:rPr>
      </w:pPr>
      <w:r w:rsidRPr="0060648D">
        <w:rPr>
          <w:rFonts w:cs="Arial"/>
          <w:szCs w:val="22"/>
        </w:rPr>
        <w:t>Your request has been handled under the FOIA.</w:t>
      </w:r>
    </w:p>
    <w:p w:rsidR="00D11624" w:rsidRPr="0060648D" w:rsidRDefault="00D11624" w:rsidP="00CA5194">
      <w:pPr>
        <w:rPr>
          <w:rFonts w:cs="Arial"/>
          <w:szCs w:val="22"/>
        </w:rPr>
      </w:pPr>
    </w:p>
    <w:p w:rsidR="005C346A" w:rsidRPr="0060648D" w:rsidRDefault="005C346A" w:rsidP="005C346A">
      <w:pPr>
        <w:rPr>
          <w:rFonts w:cs="Arial"/>
          <w:szCs w:val="22"/>
        </w:rPr>
      </w:pPr>
      <w:r w:rsidRPr="0060648D">
        <w:rPr>
          <w:rFonts w:cs="Arial"/>
          <w:szCs w:val="22"/>
        </w:rPr>
        <w:t xml:space="preserve">I can confirm that the MoJ holds </w:t>
      </w:r>
      <w:r w:rsidR="00AD5036" w:rsidRPr="0060648D">
        <w:rPr>
          <w:rFonts w:cs="Arial"/>
          <w:szCs w:val="22"/>
        </w:rPr>
        <w:t>some</w:t>
      </w:r>
      <w:r w:rsidRPr="0060648D">
        <w:rPr>
          <w:rFonts w:cs="Arial"/>
          <w:szCs w:val="22"/>
        </w:rPr>
        <w:t xml:space="preserve"> of the information that you have requested.</w:t>
      </w:r>
    </w:p>
    <w:p w:rsidR="007B4514" w:rsidRDefault="007B4514" w:rsidP="005C346A">
      <w:pPr>
        <w:rPr>
          <w:rFonts w:cs="Arial"/>
          <w:szCs w:val="22"/>
        </w:rPr>
      </w:pPr>
    </w:p>
    <w:p w:rsidR="00AF21DF" w:rsidRPr="00114DD1" w:rsidRDefault="003435D1" w:rsidP="00043F59">
      <w:pPr>
        <w:numPr>
          <w:ilvl w:val="0"/>
          <w:numId w:val="7"/>
        </w:numPr>
        <w:rPr>
          <w:rFonts w:cs="Arial"/>
          <w:szCs w:val="22"/>
        </w:rPr>
      </w:pPr>
      <w:r>
        <w:rPr>
          <w:rFonts w:cs="Arial"/>
          <w:szCs w:val="22"/>
        </w:rPr>
        <w:t>The a</w:t>
      </w:r>
      <w:r w:rsidR="00F40557">
        <w:rPr>
          <w:rFonts w:cs="Arial"/>
          <w:szCs w:val="22"/>
        </w:rPr>
        <w:t>ttached table shows the</w:t>
      </w:r>
      <w:r w:rsidR="00AF21DF" w:rsidRPr="00114DD1">
        <w:rPr>
          <w:rFonts w:cs="Arial"/>
          <w:szCs w:val="22"/>
        </w:rPr>
        <w:t xml:space="preserve"> average tariff given to offenders receiving life sentences for murder</w:t>
      </w:r>
      <w:r w:rsidR="009B31E5" w:rsidRPr="00114DD1">
        <w:rPr>
          <w:rFonts w:cs="Arial"/>
          <w:szCs w:val="22"/>
        </w:rPr>
        <w:t xml:space="preserve"> conviction</w:t>
      </w:r>
      <w:r>
        <w:rPr>
          <w:rFonts w:cs="Arial"/>
          <w:szCs w:val="22"/>
        </w:rPr>
        <w:t>s in</w:t>
      </w:r>
      <w:r w:rsidR="00AF21DF" w:rsidRPr="00114DD1">
        <w:rPr>
          <w:rFonts w:cs="Arial"/>
          <w:szCs w:val="22"/>
        </w:rPr>
        <w:t xml:space="preserve"> England and Wales, 200</w:t>
      </w:r>
      <w:r w:rsidR="00480ED9">
        <w:rPr>
          <w:rFonts w:cs="Arial"/>
          <w:szCs w:val="22"/>
        </w:rPr>
        <w:t>6</w:t>
      </w:r>
      <w:r>
        <w:rPr>
          <w:rFonts w:cs="Arial"/>
          <w:szCs w:val="22"/>
        </w:rPr>
        <w:t xml:space="preserve"> to 2015</w:t>
      </w:r>
      <w:r w:rsidR="00AF21DF" w:rsidRPr="00114DD1">
        <w:rPr>
          <w:rFonts w:cs="Arial"/>
          <w:szCs w:val="22"/>
        </w:rPr>
        <w:t>.</w:t>
      </w:r>
    </w:p>
    <w:p w:rsidR="00AF21DF" w:rsidRPr="00114DD1" w:rsidRDefault="00AF21DF" w:rsidP="00AF21DF">
      <w:pPr>
        <w:rPr>
          <w:rFonts w:cs="Arial"/>
          <w:szCs w:val="22"/>
        </w:rPr>
      </w:pPr>
    </w:p>
    <w:p w:rsidR="00A21268" w:rsidRPr="0060648D" w:rsidRDefault="00A21268" w:rsidP="00A21268">
      <w:pPr>
        <w:rPr>
          <w:rFonts w:cs="Arial"/>
          <w:szCs w:val="22"/>
        </w:rPr>
      </w:pPr>
      <w:r w:rsidRPr="0060648D">
        <w:rPr>
          <w:rFonts w:cs="Arial"/>
          <w:szCs w:val="22"/>
        </w:rPr>
        <w:t>Some</w:t>
      </w:r>
      <w:r w:rsidR="005C346A" w:rsidRPr="0060648D">
        <w:rPr>
          <w:rFonts w:cs="Arial"/>
          <w:szCs w:val="22"/>
        </w:rPr>
        <w:t xml:space="preserve"> of the information</w:t>
      </w:r>
      <w:r w:rsidRPr="0060648D">
        <w:rPr>
          <w:rFonts w:cs="Arial"/>
          <w:szCs w:val="22"/>
        </w:rPr>
        <w:t>, which covers 2016,</w:t>
      </w:r>
      <w:r w:rsidR="005C346A" w:rsidRPr="0060648D">
        <w:rPr>
          <w:rFonts w:cs="Arial"/>
          <w:szCs w:val="22"/>
        </w:rPr>
        <w:t xml:space="preserve"> is exempt from disclosure under section</w:t>
      </w:r>
      <w:r w:rsidRPr="0060648D">
        <w:rPr>
          <w:rFonts w:cs="Arial"/>
          <w:szCs w:val="22"/>
        </w:rPr>
        <w:t xml:space="preserve"> 44(1)</w:t>
      </w:r>
      <w:r w:rsidR="001D3EB0">
        <w:rPr>
          <w:rFonts w:cs="Arial"/>
          <w:szCs w:val="22"/>
        </w:rPr>
        <w:t xml:space="preserve"> </w:t>
      </w:r>
      <w:r w:rsidRPr="0060648D">
        <w:rPr>
          <w:rFonts w:cs="Arial"/>
          <w:szCs w:val="22"/>
        </w:rPr>
        <w:t xml:space="preserve">(a)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rsidR="00A21268" w:rsidRPr="0060648D" w:rsidRDefault="00A21268" w:rsidP="00A21268">
      <w:pPr>
        <w:rPr>
          <w:rFonts w:cs="Arial"/>
          <w:szCs w:val="22"/>
        </w:rPr>
      </w:pPr>
    </w:p>
    <w:p w:rsidR="00A21268" w:rsidRPr="0060648D" w:rsidRDefault="00A21268" w:rsidP="00A21268">
      <w:pPr>
        <w:rPr>
          <w:rFonts w:cs="Arial"/>
          <w:szCs w:val="22"/>
        </w:rPr>
      </w:pPr>
      <w:r w:rsidRPr="0060648D">
        <w:rPr>
          <w:rFonts w:cs="Arial"/>
          <w:szCs w:val="22"/>
        </w:rPr>
        <w:t xml:space="preserve">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 </w:t>
      </w:r>
    </w:p>
    <w:p w:rsidR="00A21268" w:rsidRPr="0060648D" w:rsidRDefault="00A21268" w:rsidP="00A21268">
      <w:pPr>
        <w:rPr>
          <w:rFonts w:cs="Arial"/>
          <w:szCs w:val="22"/>
        </w:rPr>
      </w:pPr>
    </w:p>
    <w:p w:rsidR="00A21268" w:rsidRPr="0060648D" w:rsidRDefault="00A21268" w:rsidP="00A21268">
      <w:pPr>
        <w:rPr>
          <w:rFonts w:cs="Arial"/>
          <w:szCs w:val="22"/>
        </w:rPr>
      </w:pPr>
      <w:r w:rsidRPr="0060648D">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for offences of </w:t>
      </w:r>
      <w:r w:rsidR="00AD5036" w:rsidRPr="0060648D">
        <w:rPr>
          <w:rFonts w:cs="Arial"/>
          <w:szCs w:val="22"/>
        </w:rPr>
        <w:t>pe</w:t>
      </w:r>
      <w:r w:rsidR="00174017" w:rsidRPr="0060648D">
        <w:rPr>
          <w:rFonts w:cs="Arial"/>
          <w:szCs w:val="22"/>
        </w:rPr>
        <w:t>r</w:t>
      </w:r>
      <w:r w:rsidR="00AD5036" w:rsidRPr="0060648D">
        <w:rPr>
          <w:rFonts w:cs="Arial"/>
          <w:szCs w:val="22"/>
        </w:rPr>
        <w:t>sonation</w:t>
      </w:r>
      <w:r w:rsidRPr="0060648D">
        <w:rPr>
          <w:rFonts w:cs="Arial"/>
          <w:szCs w:val="22"/>
        </w:rPr>
        <w:t>, for 2016, as part of National Statistics. Therefore, to now disclose as part of your FOI request, will violate the provisions of section 13 of the SRS Act and the Pre-</w:t>
      </w:r>
      <w:r w:rsidRPr="0060648D">
        <w:rPr>
          <w:rFonts w:cs="Arial"/>
          <w:szCs w:val="22"/>
        </w:rPr>
        <w:lastRenderedPageBreak/>
        <w:t>Release Access Order to Official Statistics 2008 and as such engages the exemption under section 44(1)(a) of the FOIA.</w:t>
      </w:r>
    </w:p>
    <w:p w:rsidR="005C346A" w:rsidRPr="0060648D" w:rsidRDefault="005C346A" w:rsidP="005C346A">
      <w:pPr>
        <w:rPr>
          <w:rFonts w:cs="Arial"/>
          <w:szCs w:val="22"/>
        </w:rPr>
      </w:pPr>
    </w:p>
    <w:p w:rsidR="005C346A" w:rsidRPr="0060648D" w:rsidRDefault="00A21268" w:rsidP="005C346A">
      <w:pPr>
        <w:rPr>
          <w:rFonts w:cs="Arial"/>
          <w:szCs w:val="22"/>
        </w:rPr>
      </w:pPr>
      <w:r w:rsidRPr="0060648D">
        <w:rPr>
          <w:rFonts w:cs="Arial"/>
          <w:szCs w:val="22"/>
        </w:rPr>
        <w:t xml:space="preserve">Please also be aware that </w:t>
      </w:r>
      <w:r w:rsidR="005C346A" w:rsidRPr="0060648D">
        <w:rPr>
          <w:rFonts w:cs="Arial"/>
          <w:szCs w:val="22"/>
        </w:rPr>
        <w:t>Section 44 is an absolute exemption and does not require a public interest test.</w:t>
      </w:r>
    </w:p>
    <w:p w:rsidR="005C346A" w:rsidRPr="0060648D" w:rsidRDefault="005C346A" w:rsidP="005C346A">
      <w:pPr>
        <w:rPr>
          <w:rFonts w:cs="Arial"/>
          <w:szCs w:val="22"/>
        </w:rPr>
      </w:pPr>
    </w:p>
    <w:p w:rsidR="00ED65DE" w:rsidRPr="00032BE9" w:rsidRDefault="00ED65DE" w:rsidP="00ED65DE">
      <w:pPr>
        <w:rPr>
          <w:rFonts w:cs="Arial"/>
          <w:szCs w:val="22"/>
        </w:rPr>
      </w:pPr>
      <w:r w:rsidRPr="00032BE9">
        <w:rPr>
          <w:rFonts w:cs="Arial"/>
          <w:szCs w:val="22"/>
        </w:rPr>
        <w:t xml:space="preserve">The information for 2016 is also exempt from disclosure under section 22(1) of the FOIA, because it is intended for future publication. </w:t>
      </w:r>
      <w:r w:rsidR="007B4514" w:rsidRPr="00032BE9">
        <w:rPr>
          <w:rFonts w:cs="Arial"/>
          <w:szCs w:val="22"/>
        </w:rPr>
        <w:t xml:space="preserve">Please note that whilst quarterly court proceedings and convictions headline data are published and are currently available up to end </w:t>
      </w:r>
      <w:r w:rsidR="00BA42E9" w:rsidRPr="00032BE9">
        <w:rPr>
          <w:rFonts w:cs="Arial"/>
          <w:szCs w:val="22"/>
        </w:rPr>
        <w:t>September</w:t>
      </w:r>
      <w:r w:rsidR="007B4514" w:rsidRPr="00032BE9">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Quarters 1 </w:t>
      </w:r>
      <w:r w:rsidR="00BA42E9" w:rsidRPr="00032BE9">
        <w:rPr>
          <w:rFonts w:cs="Arial"/>
          <w:szCs w:val="22"/>
        </w:rPr>
        <w:t>to</w:t>
      </w:r>
      <w:r w:rsidR="007B4514" w:rsidRPr="00032BE9">
        <w:rPr>
          <w:rFonts w:cs="Arial"/>
          <w:szCs w:val="22"/>
        </w:rPr>
        <w:t xml:space="preserve"> </w:t>
      </w:r>
      <w:r w:rsidR="00BA42E9" w:rsidRPr="00032BE9">
        <w:rPr>
          <w:rFonts w:cs="Arial"/>
          <w:szCs w:val="22"/>
        </w:rPr>
        <w:t xml:space="preserve">3 </w:t>
      </w:r>
      <w:r w:rsidR="007B4514" w:rsidRPr="00032BE9">
        <w:rPr>
          <w:rFonts w:cs="Arial"/>
          <w:szCs w:val="22"/>
        </w:rPr>
        <w:t xml:space="preserve">(January to </w:t>
      </w:r>
      <w:r w:rsidR="00BA42E9" w:rsidRPr="00032BE9">
        <w:rPr>
          <w:rFonts w:cs="Arial"/>
          <w:szCs w:val="22"/>
        </w:rPr>
        <w:t>September</w:t>
      </w:r>
      <w:r w:rsidR="007B4514" w:rsidRPr="00032BE9">
        <w:rPr>
          <w:rFonts w:cs="Arial"/>
          <w:szCs w:val="22"/>
        </w:rPr>
        <w:t>) data are not available until the annual criminal statistics publication is published in May 2017.</w:t>
      </w:r>
    </w:p>
    <w:p w:rsidR="00ED65DE" w:rsidRPr="0060648D" w:rsidRDefault="00ED65DE" w:rsidP="00ED65DE">
      <w:pPr>
        <w:rPr>
          <w:rFonts w:cs="Arial"/>
          <w:szCs w:val="22"/>
        </w:rPr>
      </w:pPr>
    </w:p>
    <w:p w:rsidR="00ED65DE" w:rsidRPr="0060648D" w:rsidRDefault="00ED65DE" w:rsidP="00ED65DE">
      <w:pPr>
        <w:rPr>
          <w:rFonts w:cs="Arial"/>
          <w:szCs w:val="22"/>
        </w:rPr>
      </w:pPr>
      <w:r w:rsidRPr="0060648D">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Pr="0060648D" w:rsidRDefault="00ED65DE" w:rsidP="00ED65DE">
      <w:pPr>
        <w:rPr>
          <w:rFonts w:cs="Arial"/>
          <w:szCs w:val="22"/>
        </w:rPr>
      </w:pPr>
    </w:p>
    <w:p w:rsidR="00ED65DE" w:rsidRPr="0060648D" w:rsidRDefault="00ED65DE" w:rsidP="00ED65DE">
      <w:pPr>
        <w:rPr>
          <w:rFonts w:cs="Arial"/>
          <w:b/>
          <w:szCs w:val="22"/>
        </w:rPr>
      </w:pPr>
      <w:r w:rsidRPr="0060648D">
        <w:rPr>
          <w:rFonts w:cs="Arial"/>
          <w:b/>
          <w:szCs w:val="22"/>
        </w:rPr>
        <w:t>Public interest considerations favouring disclosure</w:t>
      </w:r>
    </w:p>
    <w:p w:rsidR="00ED65DE" w:rsidRPr="0060648D" w:rsidRDefault="00ED65DE" w:rsidP="00ED65DE">
      <w:pPr>
        <w:rPr>
          <w:rFonts w:cs="Arial"/>
          <w:szCs w:val="22"/>
        </w:rPr>
      </w:pPr>
    </w:p>
    <w:p w:rsidR="00ED65DE" w:rsidRPr="0060648D" w:rsidRDefault="00ED65DE" w:rsidP="00ED65DE">
      <w:pPr>
        <w:numPr>
          <w:ilvl w:val="0"/>
          <w:numId w:val="4"/>
        </w:numPr>
        <w:rPr>
          <w:rFonts w:cs="Arial"/>
          <w:szCs w:val="22"/>
        </w:rPr>
      </w:pPr>
      <w:r w:rsidRPr="0060648D">
        <w:rPr>
          <w:rFonts w:cs="Arial"/>
          <w:szCs w:val="22"/>
        </w:rPr>
        <w:t>Disclosure would improve transparency in the operations of Government, and of the justice system in particular.</w:t>
      </w:r>
    </w:p>
    <w:p w:rsidR="00ED65DE" w:rsidRPr="0060648D" w:rsidRDefault="00ED65DE" w:rsidP="00ED65DE">
      <w:pPr>
        <w:rPr>
          <w:rFonts w:cs="Arial"/>
          <w:szCs w:val="22"/>
        </w:rPr>
      </w:pPr>
    </w:p>
    <w:p w:rsidR="00ED65DE" w:rsidRPr="0060648D" w:rsidRDefault="00ED65DE" w:rsidP="00ED65DE">
      <w:pPr>
        <w:rPr>
          <w:rFonts w:cs="Arial"/>
          <w:b/>
          <w:szCs w:val="22"/>
        </w:rPr>
      </w:pPr>
      <w:r w:rsidRPr="0060648D">
        <w:rPr>
          <w:rFonts w:cs="Arial"/>
          <w:b/>
          <w:szCs w:val="22"/>
        </w:rPr>
        <w:t>Public interest considerations favouring withholding the information</w:t>
      </w:r>
    </w:p>
    <w:p w:rsidR="00ED65DE" w:rsidRPr="0060648D" w:rsidRDefault="00ED65DE" w:rsidP="00ED65DE">
      <w:pPr>
        <w:rPr>
          <w:rFonts w:cs="Arial"/>
          <w:szCs w:val="22"/>
        </w:rPr>
      </w:pPr>
    </w:p>
    <w:p w:rsidR="00ED65DE" w:rsidRPr="0060648D" w:rsidRDefault="00ED65DE" w:rsidP="00ED65DE">
      <w:pPr>
        <w:numPr>
          <w:ilvl w:val="0"/>
          <w:numId w:val="4"/>
        </w:numPr>
        <w:rPr>
          <w:rFonts w:cs="Arial"/>
          <w:szCs w:val="22"/>
        </w:rPr>
      </w:pPr>
      <w:r w:rsidRPr="0060648D">
        <w:rPr>
          <w:rFonts w:cs="Arial"/>
          <w:szCs w:val="22"/>
        </w:rPr>
        <w:t>It is in the public interest to adhere to the existing publication process for official statistics, which includes time for the data to be collated and properly verified.</w:t>
      </w:r>
    </w:p>
    <w:p w:rsidR="00ED65DE" w:rsidRPr="0060648D" w:rsidRDefault="00ED65DE" w:rsidP="00ED65DE">
      <w:pPr>
        <w:rPr>
          <w:rFonts w:cs="Arial"/>
          <w:szCs w:val="22"/>
        </w:rPr>
      </w:pPr>
    </w:p>
    <w:p w:rsidR="00ED65DE" w:rsidRPr="0060648D" w:rsidRDefault="00ED65DE" w:rsidP="00ED65DE">
      <w:pPr>
        <w:numPr>
          <w:ilvl w:val="0"/>
          <w:numId w:val="4"/>
        </w:numPr>
        <w:rPr>
          <w:rFonts w:cs="Arial"/>
          <w:szCs w:val="22"/>
        </w:rPr>
      </w:pPr>
      <w:r w:rsidRPr="0060648D">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60648D" w:rsidRDefault="00ED65DE" w:rsidP="00ED65DE">
      <w:pPr>
        <w:rPr>
          <w:rFonts w:cs="Arial"/>
          <w:szCs w:val="22"/>
        </w:rPr>
      </w:pPr>
    </w:p>
    <w:p w:rsidR="00CA5194" w:rsidRPr="0060648D" w:rsidRDefault="00ED65DE" w:rsidP="00CA5194">
      <w:pPr>
        <w:rPr>
          <w:rFonts w:cs="Arial"/>
          <w:szCs w:val="22"/>
        </w:rPr>
      </w:pPr>
      <w:r w:rsidRPr="0060648D">
        <w:rPr>
          <w:rFonts w:cs="Arial"/>
          <w:szCs w:val="22"/>
        </w:rPr>
        <w:t>We reached the view that, on balance, the public interest is better served by withholding this information under section 22 of the FOIA at this time.</w:t>
      </w:r>
    </w:p>
    <w:p w:rsidR="00116E30" w:rsidRPr="0060648D" w:rsidRDefault="00116E30" w:rsidP="00CA5194">
      <w:pPr>
        <w:rPr>
          <w:rFonts w:cs="Arial"/>
          <w:szCs w:val="22"/>
        </w:rPr>
      </w:pPr>
    </w:p>
    <w:sectPr w:rsidR="00116E30" w:rsidRPr="0060648D" w:rsidSect="0016100D">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71" w:rsidRDefault="00922E71">
      <w:r>
        <w:separator/>
      </w:r>
    </w:p>
  </w:endnote>
  <w:endnote w:type="continuationSeparator" w:id="0">
    <w:p w:rsidR="00922E71" w:rsidRDefault="0092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A308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71" w:rsidRDefault="00922E71">
      <w:r>
        <w:separator/>
      </w:r>
    </w:p>
  </w:footnote>
  <w:footnote w:type="continuationSeparator" w:id="0">
    <w:p w:rsidR="00922E71" w:rsidRDefault="0092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977FE"/>
    <w:multiLevelType w:val="hybridMultilevel"/>
    <w:tmpl w:val="227E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F2E6F"/>
    <w:multiLevelType w:val="hybridMultilevel"/>
    <w:tmpl w:val="17905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08B8"/>
    <w:rsid w:val="00017054"/>
    <w:rsid w:val="000222E7"/>
    <w:rsid w:val="000222F6"/>
    <w:rsid w:val="00026D9A"/>
    <w:rsid w:val="00032200"/>
    <w:rsid w:val="00032BE9"/>
    <w:rsid w:val="00037330"/>
    <w:rsid w:val="00043F59"/>
    <w:rsid w:val="0005548F"/>
    <w:rsid w:val="0007380F"/>
    <w:rsid w:val="0008457A"/>
    <w:rsid w:val="0009138F"/>
    <w:rsid w:val="0009754B"/>
    <w:rsid w:val="000A3195"/>
    <w:rsid w:val="000B4EE6"/>
    <w:rsid w:val="00106DEE"/>
    <w:rsid w:val="00114DD1"/>
    <w:rsid w:val="00116E30"/>
    <w:rsid w:val="00134A2E"/>
    <w:rsid w:val="00140E82"/>
    <w:rsid w:val="00146154"/>
    <w:rsid w:val="00152F0C"/>
    <w:rsid w:val="00153E76"/>
    <w:rsid w:val="00154D2E"/>
    <w:rsid w:val="0016100D"/>
    <w:rsid w:val="00174017"/>
    <w:rsid w:val="0017541D"/>
    <w:rsid w:val="001A3A7E"/>
    <w:rsid w:val="001A47E5"/>
    <w:rsid w:val="001A4EE1"/>
    <w:rsid w:val="001B6FB2"/>
    <w:rsid w:val="001C54E1"/>
    <w:rsid w:val="001C779E"/>
    <w:rsid w:val="001D3EB0"/>
    <w:rsid w:val="001E0568"/>
    <w:rsid w:val="001E1665"/>
    <w:rsid w:val="001F33F4"/>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435D1"/>
    <w:rsid w:val="00375DDC"/>
    <w:rsid w:val="00376A97"/>
    <w:rsid w:val="00377D6F"/>
    <w:rsid w:val="0038642F"/>
    <w:rsid w:val="003A633E"/>
    <w:rsid w:val="003B13CA"/>
    <w:rsid w:val="003E2480"/>
    <w:rsid w:val="003E3E27"/>
    <w:rsid w:val="00401CAB"/>
    <w:rsid w:val="004269FC"/>
    <w:rsid w:val="00435D53"/>
    <w:rsid w:val="00444869"/>
    <w:rsid w:val="00445AB5"/>
    <w:rsid w:val="00453104"/>
    <w:rsid w:val="00457840"/>
    <w:rsid w:val="00471E48"/>
    <w:rsid w:val="00480ED9"/>
    <w:rsid w:val="0048558F"/>
    <w:rsid w:val="00495241"/>
    <w:rsid w:val="00496E7B"/>
    <w:rsid w:val="004D58C1"/>
    <w:rsid w:val="004E03C7"/>
    <w:rsid w:val="004E5205"/>
    <w:rsid w:val="004E5CF9"/>
    <w:rsid w:val="004E7F05"/>
    <w:rsid w:val="004F2456"/>
    <w:rsid w:val="004F3A38"/>
    <w:rsid w:val="004F5467"/>
    <w:rsid w:val="0050006A"/>
    <w:rsid w:val="00511973"/>
    <w:rsid w:val="00524313"/>
    <w:rsid w:val="005315B9"/>
    <w:rsid w:val="00535B60"/>
    <w:rsid w:val="005361B4"/>
    <w:rsid w:val="00561341"/>
    <w:rsid w:val="0056296A"/>
    <w:rsid w:val="00566964"/>
    <w:rsid w:val="005765D4"/>
    <w:rsid w:val="005774F0"/>
    <w:rsid w:val="0059501B"/>
    <w:rsid w:val="005A196C"/>
    <w:rsid w:val="005A1FB5"/>
    <w:rsid w:val="005A63A7"/>
    <w:rsid w:val="005B1E5F"/>
    <w:rsid w:val="005B27C5"/>
    <w:rsid w:val="005B28FC"/>
    <w:rsid w:val="005C1749"/>
    <w:rsid w:val="005C346A"/>
    <w:rsid w:val="005D21E1"/>
    <w:rsid w:val="005E17C7"/>
    <w:rsid w:val="006045AB"/>
    <w:rsid w:val="0060648D"/>
    <w:rsid w:val="00644B57"/>
    <w:rsid w:val="00652228"/>
    <w:rsid w:val="0065370B"/>
    <w:rsid w:val="006647E4"/>
    <w:rsid w:val="00673F9E"/>
    <w:rsid w:val="00674BC9"/>
    <w:rsid w:val="0067514B"/>
    <w:rsid w:val="0067585E"/>
    <w:rsid w:val="00680513"/>
    <w:rsid w:val="00680B3A"/>
    <w:rsid w:val="00684760"/>
    <w:rsid w:val="006848EE"/>
    <w:rsid w:val="00687093"/>
    <w:rsid w:val="00687276"/>
    <w:rsid w:val="006878E8"/>
    <w:rsid w:val="006C72DE"/>
    <w:rsid w:val="006D3D33"/>
    <w:rsid w:val="006E32CA"/>
    <w:rsid w:val="006F32D9"/>
    <w:rsid w:val="006F41B2"/>
    <w:rsid w:val="0074259E"/>
    <w:rsid w:val="0075513B"/>
    <w:rsid w:val="007756FD"/>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428D"/>
    <w:rsid w:val="00886775"/>
    <w:rsid w:val="00892055"/>
    <w:rsid w:val="008970E9"/>
    <w:rsid w:val="008B21BB"/>
    <w:rsid w:val="008B36D2"/>
    <w:rsid w:val="008D45DA"/>
    <w:rsid w:val="008D564C"/>
    <w:rsid w:val="008E4773"/>
    <w:rsid w:val="00917EC7"/>
    <w:rsid w:val="00922E71"/>
    <w:rsid w:val="009827DD"/>
    <w:rsid w:val="009853E8"/>
    <w:rsid w:val="00985CB8"/>
    <w:rsid w:val="00990F1F"/>
    <w:rsid w:val="009B31E5"/>
    <w:rsid w:val="009C4B46"/>
    <w:rsid w:val="009D5879"/>
    <w:rsid w:val="009E3F91"/>
    <w:rsid w:val="009E69FE"/>
    <w:rsid w:val="00A144A3"/>
    <w:rsid w:val="00A173AB"/>
    <w:rsid w:val="00A20BCD"/>
    <w:rsid w:val="00A21268"/>
    <w:rsid w:val="00A349B1"/>
    <w:rsid w:val="00A40D87"/>
    <w:rsid w:val="00A459D4"/>
    <w:rsid w:val="00A4792D"/>
    <w:rsid w:val="00A520AC"/>
    <w:rsid w:val="00A76AFC"/>
    <w:rsid w:val="00A809DF"/>
    <w:rsid w:val="00AA51E8"/>
    <w:rsid w:val="00AD5036"/>
    <w:rsid w:val="00AD7505"/>
    <w:rsid w:val="00AE7402"/>
    <w:rsid w:val="00AF21DF"/>
    <w:rsid w:val="00AF2FD9"/>
    <w:rsid w:val="00B01B28"/>
    <w:rsid w:val="00B47082"/>
    <w:rsid w:val="00B8050D"/>
    <w:rsid w:val="00B81EF9"/>
    <w:rsid w:val="00B9009F"/>
    <w:rsid w:val="00B95043"/>
    <w:rsid w:val="00BA42E9"/>
    <w:rsid w:val="00BB4B4B"/>
    <w:rsid w:val="00BD1087"/>
    <w:rsid w:val="00C016D5"/>
    <w:rsid w:val="00C32A36"/>
    <w:rsid w:val="00C56E27"/>
    <w:rsid w:val="00C66BE0"/>
    <w:rsid w:val="00C72245"/>
    <w:rsid w:val="00CA1F04"/>
    <w:rsid w:val="00CA5194"/>
    <w:rsid w:val="00CB54AB"/>
    <w:rsid w:val="00CB65BF"/>
    <w:rsid w:val="00CC0B65"/>
    <w:rsid w:val="00CC1F67"/>
    <w:rsid w:val="00CC54F9"/>
    <w:rsid w:val="00CE1BFE"/>
    <w:rsid w:val="00CE68A5"/>
    <w:rsid w:val="00CF03AD"/>
    <w:rsid w:val="00CF0E52"/>
    <w:rsid w:val="00D010B0"/>
    <w:rsid w:val="00D04F64"/>
    <w:rsid w:val="00D062B9"/>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48C5"/>
    <w:rsid w:val="00DD5704"/>
    <w:rsid w:val="00DE65A5"/>
    <w:rsid w:val="00DE71AB"/>
    <w:rsid w:val="00E07BB4"/>
    <w:rsid w:val="00E104BA"/>
    <w:rsid w:val="00E21CA7"/>
    <w:rsid w:val="00E4338B"/>
    <w:rsid w:val="00E51801"/>
    <w:rsid w:val="00E53522"/>
    <w:rsid w:val="00E615BD"/>
    <w:rsid w:val="00E910E7"/>
    <w:rsid w:val="00E92C99"/>
    <w:rsid w:val="00EA1E9A"/>
    <w:rsid w:val="00EA3081"/>
    <w:rsid w:val="00EB050F"/>
    <w:rsid w:val="00EB72DE"/>
    <w:rsid w:val="00ED3B30"/>
    <w:rsid w:val="00ED65DE"/>
    <w:rsid w:val="00ED782D"/>
    <w:rsid w:val="00EE2AA6"/>
    <w:rsid w:val="00F012C4"/>
    <w:rsid w:val="00F24423"/>
    <w:rsid w:val="00F40557"/>
    <w:rsid w:val="00F61AFC"/>
    <w:rsid w:val="00F72EF4"/>
    <w:rsid w:val="00F74765"/>
    <w:rsid w:val="00F779B2"/>
    <w:rsid w:val="00F81AD5"/>
    <w:rsid w:val="00F82DB8"/>
    <w:rsid w:val="00F92115"/>
    <w:rsid w:val="00FA69B5"/>
    <w:rsid w:val="00FB0124"/>
    <w:rsid w:val="00FB2D55"/>
    <w:rsid w:val="00FB3ED1"/>
    <w:rsid w:val="00FC5E0E"/>
    <w:rsid w:val="00FD6D06"/>
    <w:rsid w:val="00FE0700"/>
    <w:rsid w:val="00FF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C8EAB6D-68EF-4941-B3F0-4B1EB556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95241"/>
    <w:rPr>
      <w:sz w:val="16"/>
      <w:szCs w:val="16"/>
    </w:rPr>
  </w:style>
  <w:style w:type="paragraph" w:styleId="CommentSubject">
    <w:name w:val="annotation subject"/>
    <w:basedOn w:val="CommentText"/>
    <w:next w:val="CommentText"/>
    <w:link w:val="CommentSubjectChar"/>
    <w:rsid w:val="00495241"/>
    <w:rPr>
      <w:b/>
      <w:bCs/>
      <w:sz w:val="20"/>
    </w:rPr>
  </w:style>
  <w:style w:type="character" w:customStyle="1" w:styleId="CommentTextChar">
    <w:name w:val="Comment Text Char"/>
    <w:link w:val="CommentText"/>
    <w:semiHidden/>
    <w:rsid w:val="00495241"/>
    <w:rPr>
      <w:rFonts w:ascii="Arial" w:hAnsi="Arial"/>
      <w:sz w:val="22"/>
    </w:rPr>
  </w:style>
  <w:style w:type="character" w:customStyle="1" w:styleId="CommentSubjectChar">
    <w:name w:val="Comment Subject Char"/>
    <w:link w:val="CommentSubject"/>
    <w:rsid w:val="00495241"/>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211652342">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139A-0AED-4FDC-9CD5-F001C340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FOI 110784 Average Tariff Length for Murder Convictions</vt:lpstr>
    </vt:vector>
  </TitlesOfParts>
  <Manager/>
  <Company>Ministry of Justice</Company>
  <LinksUpToDate>false</LinksUpToDate>
  <CharactersWithSpaces>4523</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6226025</vt:i4>
      </vt:variant>
      <vt:variant>
        <vt:i4>0</vt:i4>
      </vt:variant>
      <vt:variant>
        <vt:i4>0</vt:i4>
      </vt:variant>
      <vt:variant>
        <vt:i4>5</vt:i4>
      </vt:variant>
      <vt:variant>
        <vt:lpwstr>mailto:M.Pettigrew@leedsbeckett.ac.uk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110784 Average Tariff Length for Murder Convictions</dc:title>
  <dc:subject>FOI Release</dc:subject>
  <dc:creator>MoJ</dc:creator>
  <cp:keywords/>
  <dc:description/>
  <cp:lastModifiedBy>Cox, Allan</cp:lastModifiedBy>
  <cp:revision>2</cp:revision>
  <cp:lastPrinted>2015-07-06T10:35:00Z</cp:lastPrinted>
  <dcterms:created xsi:type="dcterms:W3CDTF">2017-06-16T10:55:00Z</dcterms:created>
  <dcterms:modified xsi:type="dcterms:W3CDTF">2017-06-16T10:55:00Z</dcterms:modified>
  <cp:category/>
</cp:coreProperties>
</file>