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B5087" w14:textId="77777777" w:rsidR="006D627D" w:rsidRPr="00380274" w:rsidRDefault="006D627D" w:rsidP="006D627D">
      <w:pPr>
        <w:rPr>
          <w:color w:val="000000"/>
        </w:rPr>
      </w:pPr>
      <w:r w:rsidRPr="00380274">
        <w:rPr>
          <w:bCs/>
          <w:noProof/>
          <w:lang w:eastAsia="en-GB"/>
        </w:rPr>
        <mc:AlternateContent>
          <mc:Choice Requires="wps">
            <w:drawing>
              <wp:inline distT="0" distB="0" distL="0" distR="0" wp14:anchorId="555A1DE9" wp14:editId="7D3A4FBA">
                <wp:extent cx="6042991" cy="978010"/>
                <wp:effectExtent l="0" t="0" r="15240" b="12700"/>
                <wp:docPr id="1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1" cy="978010"/>
                        </a:xfrm>
                        <a:prstGeom prst="rect">
                          <a:avLst/>
                        </a:prstGeom>
                        <a:solidFill>
                          <a:srgbClr val="FFFFFF"/>
                        </a:solidFill>
                        <a:ln w="12700">
                          <a:solidFill>
                            <a:srgbClr val="000000"/>
                          </a:solidFill>
                          <a:miter lim="800000"/>
                          <a:headEnd/>
                          <a:tailEnd/>
                        </a:ln>
                      </wps:spPr>
                      <wps:txbx>
                        <w:txbxContent>
                          <w:p w14:paraId="12CC766E" w14:textId="77777777" w:rsidR="00F3466F" w:rsidRPr="002E54B8" w:rsidRDefault="00F3466F" w:rsidP="006D627D">
                            <w:pPr>
                              <w:pStyle w:val="NormalWeb"/>
                              <w:rPr>
                                <w:sz w:val="32"/>
                                <w:szCs w:val="32"/>
                              </w:rPr>
                            </w:pPr>
                            <w:r w:rsidRPr="002E54B8">
                              <w:rPr>
                                <w:b/>
                                <w:bCs/>
                                <w:color w:val="000000"/>
                                <w:sz w:val="32"/>
                                <w:szCs w:val="32"/>
                              </w:rPr>
                              <w:t>Further education and skills inspections and outcomes</w:t>
                            </w:r>
                            <w:r w:rsidRPr="002E54B8">
                              <w:rPr>
                                <w:sz w:val="32"/>
                                <w:szCs w:val="32"/>
                              </w:rPr>
                              <w:t xml:space="preserve"> </w:t>
                            </w:r>
                          </w:p>
                          <w:p w14:paraId="48E823FD" w14:textId="77777777" w:rsidR="00F3466F" w:rsidRPr="005055AF" w:rsidRDefault="00F3466F" w:rsidP="006D627D">
                            <w:pPr>
                              <w:rPr>
                                <w:color w:val="000000"/>
                                <w:sz w:val="16"/>
                                <w:szCs w:val="16"/>
                              </w:rPr>
                            </w:pPr>
                          </w:p>
                          <w:p w14:paraId="0CB98C70" w14:textId="77777777" w:rsidR="00F3466F" w:rsidRPr="005055AF" w:rsidRDefault="00F3466F" w:rsidP="006D627D">
                            <w:pPr>
                              <w:rPr>
                                <w:sz w:val="20"/>
                                <w:szCs w:val="20"/>
                              </w:rPr>
                            </w:pPr>
                            <w:r w:rsidRPr="005055AF">
                              <w:rPr>
                                <w:color w:val="000000"/>
                                <w:sz w:val="20"/>
                                <w:szCs w:val="20"/>
                              </w:rPr>
                              <w:t>This release contains:</w:t>
                            </w:r>
                          </w:p>
                          <w:p w14:paraId="454D4AE7" w14:textId="00365B26" w:rsidR="00F3466F" w:rsidRPr="00D82BAA" w:rsidRDefault="00F3466F" w:rsidP="006D627D">
                            <w:pPr>
                              <w:pStyle w:val="NormalWeb"/>
                              <w:numPr>
                                <w:ilvl w:val="0"/>
                                <w:numId w:val="3"/>
                              </w:numPr>
                              <w:jc w:val="left"/>
                              <w:rPr>
                                <w:rFonts w:eastAsia="Tahoma" w:cs="Tahoma"/>
                                <w:color w:val="000000"/>
                                <w:sz w:val="20"/>
                                <w:szCs w:val="20"/>
                              </w:rPr>
                            </w:pPr>
                            <w:r w:rsidRPr="00D82BAA">
                              <w:rPr>
                                <w:rFonts w:eastAsia="Tahoma" w:cs="Tahoma"/>
                                <w:color w:val="000000"/>
                                <w:sz w:val="20"/>
                                <w:szCs w:val="20"/>
                              </w:rPr>
                              <w:t>provisional data for the most recent inspection outcomes as at 28 February 2017</w:t>
                            </w:r>
                          </w:p>
                          <w:p w14:paraId="413F4BD2" w14:textId="5C3C245B" w:rsidR="00F3466F" w:rsidRPr="005055AF" w:rsidRDefault="00F3466F" w:rsidP="006D627D">
                            <w:pPr>
                              <w:pStyle w:val="NormalWeb"/>
                              <w:numPr>
                                <w:ilvl w:val="0"/>
                                <w:numId w:val="3"/>
                              </w:numPr>
                              <w:jc w:val="left"/>
                              <w:rPr>
                                <w:rFonts w:eastAsia="Tahoma" w:cs="Tahoma"/>
                                <w:color w:val="000000"/>
                                <w:sz w:val="20"/>
                                <w:szCs w:val="20"/>
                              </w:rPr>
                            </w:pPr>
                            <w:r w:rsidRPr="00D82BAA">
                              <w:rPr>
                                <w:rFonts w:eastAsia="Tahoma" w:cs="Tahoma"/>
                                <w:color w:val="000000"/>
                                <w:sz w:val="20"/>
                                <w:szCs w:val="20"/>
                              </w:rPr>
                              <w:t>provisional data for inspections</w:t>
                            </w:r>
                            <w:r w:rsidRPr="005055AF">
                              <w:rPr>
                                <w:rFonts w:eastAsia="Tahoma" w:cs="Tahoma"/>
                                <w:color w:val="000000"/>
                                <w:sz w:val="20"/>
                                <w:szCs w:val="20"/>
                              </w:rPr>
                              <w:t xml:space="preserve"> conducted between 1 September 2016 and 28 February 2017</w:t>
                            </w:r>
                          </w:p>
                        </w:txbxContent>
                      </wps:txbx>
                      <wps:bodyPr rot="0" vert="horz" wrap="square" lIns="91440" tIns="45720" rIns="91440" bIns="45720" anchor="t" anchorCtr="0" upright="1">
                        <a:noAutofit/>
                      </wps:bodyPr>
                    </wps:wsp>
                  </a:graphicData>
                </a:graphic>
              </wp:inline>
            </w:drawing>
          </mc:Choice>
          <mc:Fallback>
            <w:pict>
              <v:shapetype w14:anchorId="555A1DE9" id="_x0000_t202" coordsize="21600,21600" o:spt="202" path="m,l,21600r21600,l21600,xe">
                <v:stroke joinstyle="miter"/>
                <v:path gradientshapeok="t" o:connecttype="rect"/>
              </v:shapetype>
              <v:shape id="TextBox 1" o:spid="_x0000_s1026" type="#_x0000_t202" style="width:475.8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1UKQIAAFEEAAAOAAAAZHJzL2Uyb0RvYy54bWysVNuO0zAQfUfiHyy/06RV6SVqulq6FCEt&#10;C9IuH+A4TmJhe4ztNilfz9jplnJ7QeTB8njGxzPnzGRzM2hFjsJ5Caak00lOiTAcamnakn5+2r9a&#10;UeIDMzVTYERJT8LTm+3LF5veFmIGHahaOIIgxhe9LWkXgi2yzPNOaOYnYIVBZwNOs4Cma7PasR7R&#10;tcpmeb7IenC1dcCF93h6NzrpNuE3jeDhY9N4EYgqKeYW0urSWsU1225Y0TpmO8nPabB/yEIzafDR&#10;C9QdC4wcnPwNSkvuwEMTJhx0Bk0juUg1YDXT/JdqHjtmRaoFyfH2QpP/f7D84fjJEVmjdgtKDNOo&#10;0ZMYwhsYyDSy01tfYNCjxbAw4DFGpkq9vQf+xRMDu46ZVtw6B30nWI3ZpZvZ1dURx0eQqv8ANb7C&#10;DgES0NA4HalDMgiio0qnizKYCeF4uMjns/V6SglH33q5Qq5ichkrnm9b58M7AZrETUkdKp/Q2fHe&#10;hzH0OSQ+5kHJei+VSoZrq51y5MiwS/bpO6P/FKYM6bG22TLPRwb+ipGn708YWgbsdyV1SVeXIFZE&#10;3t6aOnVjYFKNeyxPGawyEhm5G1kMQzWchamgPiGlDsa+xjnETQfuGyU99nRJ/dcDc4IS9d6gLOvp&#10;fB6HIBnz18sZGu7aU117mOEIVdJAybjdhXFwDtbJtsOXxkYwcItSNjKxHFMdszrnjX2bdDrPWByM&#10;aztF/fgTbL8DAAD//wMAUEsDBBQABgAIAAAAIQC5mlNf3wAAAAUBAAAPAAAAZHJzL2Rvd25yZXYu&#10;eG1sTI9BS8NAEIXvgv9hGcGLtLsVqzVmU0RbpJeCbUG8bbPTJDQ7G7ObNP33jl708mB4j/e+SeeD&#10;q0WPbag8aZiMFQik3NuKCg277XI0AxGiIWtqT6jhjAHm2eVFahLrT/SO/SYWgksoJEZDGWOTSBny&#10;Ep0JY98gsXfwrTORz7aQtjUnLne1vFXqXjpTES+UpsGXEvPjpnMa1ucP+nrr1KFfNbPP3XG9eF3e&#10;LLS+vhqen0BEHOJfGH7wGR0yZtr7jmwQtQZ+JP4qe4/TyQOIPYemdwpklsr/9Nk3AAAA//8DAFBL&#10;AQItABQABgAIAAAAIQC2gziS/gAAAOEBAAATAAAAAAAAAAAAAAAAAAAAAABbQ29udGVudF9UeXBl&#10;c10ueG1sUEsBAi0AFAAGAAgAAAAhADj9If/WAAAAlAEAAAsAAAAAAAAAAAAAAAAALwEAAF9yZWxz&#10;Ly5yZWxzUEsBAi0AFAAGAAgAAAAhAAl/PVQpAgAAUQQAAA4AAAAAAAAAAAAAAAAALgIAAGRycy9l&#10;Mm9Eb2MueG1sUEsBAi0AFAAGAAgAAAAhALmaU1/fAAAABQEAAA8AAAAAAAAAAAAAAAAAgwQAAGRy&#10;cy9kb3ducmV2LnhtbFBLBQYAAAAABAAEAPMAAACPBQAAAAA=&#10;" strokeweight="1pt">
                <v:textbox>
                  <w:txbxContent>
                    <w:p w14:paraId="12CC766E" w14:textId="77777777" w:rsidR="00F3466F" w:rsidRPr="002E54B8" w:rsidRDefault="00F3466F" w:rsidP="006D627D">
                      <w:pPr>
                        <w:pStyle w:val="NormalWeb"/>
                        <w:rPr>
                          <w:sz w:val="32"/>
                          <w:szCs w:val="32"/>
                        </w:rPr>
                      </w:pPr>
                      <w:r w:rsidRPr="002E54B8">
                        <w:rPr>
                          <w:b/>
                          <w:bCs/>
                          <w:color w:val="000000"/>
                          <w:sz w:val="32"/>
                          <w:szCs w:val="32"/>
                        </w:rPr>
                        <w:t>Further education and skills inspections and outcomes</w:t>
                      </w:r>
                      <w:r w:rsidRPr="002E54B8">
                        <w:rPr>
                          <w:sz w:val="32"/>
                          <w:szCs w:val="32"/>
                        </w:rPr>
                        <w:t xml:space="preserve"> </w:t>
                      </w:r>
                    </w:p>
                    <w:p w14:paraId="48E823FD" w14:textId="77777777" w:rsidR="00F3466F" w:rsidRPr="005055AF" w:rsidRDefault="00F3466F" w:rsidP="006D627D">
                      <w:pPr>
                        <w:rPr>
                          <w:color w:val="000000"/>
                          <w:sz w:val="16"/>
                          <w:szCs w:val="16"/>
                        </w:rPr>
                      </w:pPr>
                    </w:p>
                    <w:p w14:paraId="0CB98C70" w14:textId="77777777" w:rsidR="00F3466F" w:rsidRPr="005055AF" w:rsidRDefault="00F3466F" w:rsidP="006D627D">
                      <w:pPr>
                        <w:rPr>
                          <w:sz w:val="20"/>
                          <w:szCs w:val="20"/>
                        </w:rPr>
                      </w:pPr>
                      <w:r w:rsidRPr="005055AF">
                        <w:rPr>
                          <w:color w:val="000000"/>
                          <w:sz w:val="20"/>
                          <w:szCs w:val="20"/>
                        </w:rPr>
                        <w:t>This release contains:</w:t>
                      </w:r>
                    </w:p>
                    <w:p w14:paraId="454D4AE7" w14:textId="00365B26" w:rsidR="00F3466F" w:rsidRPr="00D82BAA" w:rsidRDefault="00F3466F" w:rsidP="006D627D">
                      <w:pPr>
                        <w:pStyle w:val="NormalWeb"/>
                        <w:numPr>
                          <w:ilvl w:val="0"/>
                          <w:numId w:val="3"/>
                        </w:numPr>
                        <w:jc w:val="left"/>
                        <w:rPr>
                          <w:rFonts w:eastAsia="Tahoma" w:cs="Tahoma"/>
                          <w:color w:val="000000"/>
                          <w:sz w:val="20"/>
                          <w:szCs w:val="20"/>
                        </w:rPr>
                      </w:pPr>
                      <w:r w:rsidRPr="00D82BAA">
                        <w:rPr>
                          <w:rFonts w:eastAsia="Tahoma" w:cs="Tahoma"/>
                          <w:color w:val="000000"/>
                          <w:sz w:val="20"/>
                          <w:szCs w:val="20"/>
                        </w:rPr>
                        <w:t>provisional data for the most recent inspection outcomes as at 28 February 2017</w:t>
                      </w:r>
                    </w:p>
                    <w:p w14:paraId="413F4BD2" w14:textId="5C3C245B" w:rsidR="00F3466F" w:rsidRPr="005055AF" w:rsidRDefault="00F3466F" w:rsidP="006D627D">
                      <w:pPr>
                        <w:pStyle w:val="NormalWeb"/>
                        <w:numPr>
                          <w:ilvl w:val="0"/>
                          <w:numId w:val="3"/>
                        </w:numPr>
                        <w:jc w:val="left"/>
                        <w:rPr>
                          <w:rFonts w:eastAsia="Tahoma" w:cs="Tahoma"/>
                          <w:color w:val="000000"/>
                          <w:sz w:val="20"/>
                          <w:szCs w:val="20"/>
                        </w:rPr>
                      </w:pPr>
                      <w:r w:rsidRPr="00D82BAA">
                        <w:rPr>
                          <w:rFonts w:eastAsia="Tahoma" w:cs="Tahoma"/>
                          <w:color w:val="000000"/>
                          <w:sz w:val="20"/>
                          <w:szCs w:val="20"/>
                        </w:rPr>
                        <w:t>provisional data for inspections</w:t>
                      </w:r>
                      <w:r w:rsidRPr="005055AF">
                        <w:rPr>
                          <w:rFonts w:eastAsia="Tahoma" w:cs="Tahoma"/>
                          <w:color w:val="000000"/>
                          <w:sz w:val="20"/>
                          <w:szCs w:val="20"/>
                        </w:rPr>
                        <w:t xml:space="preserve"> conducted between 1 September 2016 and 28 February 2017</w:t>
                      </w:r>
                    </w:p>
                  </w:txbxContent>
                </v:textbox>
                <w10:anchorlock/>
              </v:shape>
            </w:pict>
          </mc:Fallback>
        </mc:AlternateContent>
      </w:r>
    </w:p>
    <w:p w14:paraId="47FD46AD" w14:textId="77777777" w:rsidR="006D627D" w:rsidRPr="00380274" w:rsidRDefault="006D627D" w:rsidP="006D627D">
      <w:pPr>
        <w:rPr>
          <w:color w:val="000000"/>
          <w:sz w:val="8"/>
          <w:szCs w:val="8"/>
        </w:rPr>
      </w:pPr>
    </w:p>
    <w:p w14:paraId="5A8D2999" w14:textId="77777777" w:rsidR="006D627D" w:rsidRPr="00380274" w:rsidRDefault="006D627D" w:rsidP="006D627D">
      <w:pPr>
        <w:rPr>
          <w:color w:val="000000"/>
          <w:sz w:val="8"/>
          <w:szCs w:val="8"/>
        </w:rPr>
      </w:pPr>
      <w:bookmarkStart w:id="0" w:name="_GoBack"/>
      <w:bookmarkEnd w:id="0"/>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0"/>
        <w:gridCol w:w="5666"/>
      </w:tblGrid>
      <w:tr w:rsidR="006D627D" w:rsidRPr="00380274" w14:paraId="045B8E8B" w14:textId="77777777" w:rsidTr="006D627D">
        <w:trPr>
          <w:trHeight w:val="1723"/>
        </w:trPr>
        <w:tc>
          <w:tcPr>
            <w:tcW w:w="4330" w:type="dxa"/>
            <w:tcBorders>
              <w:top w:val="single" w:sz="12" w:space="0" w:color="A6A6A6"/>
              <w:left w:val="single" w:sz="12" w:space="0" w:color="FFFFFF"/>
              <w:bottom w:val="single" w:sz="12" w:space="0" w:color="A6A6A6"/>
              <w:right w:val="single" w:sz="12" w:space="0" w:color="FFFFFF"/>
            </w:tcBorders>
            <w:shd w:val="clear" w:color="auto" w:fill="auto"/>
          </w:tcPr>
          <w:p w14:paraId="2D33A33F" w14:textId="77777777" w:rsidR="006D627D" w:rsidRPr="00380274" w:rsidRDefault="006D627D" w:rsidP="006D627D">
            <w:pPr>
              <w:rPr>
                <w:sz w:val="8"/>
                <w:szCs w:val="8"/>
              </w:rPr>
            </w:pPr>
          </w:p>
          <w:p w14:paraId="310A651B" w14:textId="20FC1F5E" w:rsidR="006D627D" w:rsidRPr="00380274" w:rsidRDefault="00AF1E7E" w:rsidP="00BE5B43">
            <w:r w:rsidRPr="00380274">
              <w:t xml:space="preserve">The proportion </w:t>
            </w:r>
            <w:r w:rsidR="002E69E4" w:rsidRPr="00380274">
              <w:t xml:space="preserve">of providers </w:t>
            </w:r>
            <w:r w:rsidRPr="00380274">
              <w:t xml:space="preserve">judged good or outstanding </w:t>
            </w:r>
            <w:r w:rsidR="00C84D7A" w:rsidRPr="00380274">
              <w:t xml:space="preserve">at their most recent inspection </w:t>
            </w:r>
            <w:r w:rsidR="002E69E4" w:rsidRPr="00380274">
              <w:t xml:space="preserve">has </w:t>
            </w:r>
            <w:r w:rsidR="00C84D7A" w:rsidRPr="00380274">
              <w:t>declined in three out of the four biggest provider groups</w:t>
            </w:r>
          </w:p>
        </w:tc>
        <w:tc>
          <w:tcPr>
            <w:tcW w:w="5666" w:type="dxa"/>
            <w:tcBorders>
              <w:top w:val="single" w:sz="12" w:space="0" w:color="A6A6A6"/>
              <w:left w:val="single" w:sz="12" w:space="0" w:color="FFFFFF"/>
              <w:bottom w:val="single" w:sz="12" w:space="0" w:color="A6A6A6"/>
              <w:right w:val="single" w:sz="12" w:space="0" w:color="FFFFFF"/>
            </w:tcBorders>
            <w:shd w:val="clear" w:color="auto" w:fill="auto"/>
          </w:tcPr>
          <w:p w14:paraId="76D57FA4" w14:textId="77777777" w:rsidR="006D627D" w:rsidRPr="00380274" w:rsidRDefault="006D627D" w:rsidP="006D627D">
            <w:pPr>
              <w:rPr>
                <w:sz w:val="8"/>
                <w:szCs w:val="8"/>
              </w:rPr>
            </w:pPr>
          </w:p>
          <w:p w14:paraId="20DC2D84" w14:textId="38BF871F" w:rsidR="006D627D" w:rsidRPr="00380274" w:rsidRDefault="00AD074F" w:rsidP="006D627D">
            <w:pPr>
              <w:pStyle w:val="NoSpacing"/>
              <w:jc w:val="left"/>
              <w:rPr>
                <w:rFonts w:cs="Tahoma"/>
                <w:bCs/>
              </w:rPr>
            </w:pPr>
            <w:r w:rsidRPr="00380274">
              <w:rPr>
                <w:rFonts w:cs="Tahoma"/>
                <w:bCs/>
              </w:rPr>
              <w:t>The proportion of g</w:t>
            </w:r>
            <w:r w:rsidR="00C84D7A" w:rsidRPr="00380274">
              <w:rPr>
                <w:rFonts w:cs="Tahoma"/>
                <w:bCs/>
              </w:rPr>
              <w:t>eneral further education colleges, sixth form colleges and independent learning providers (including employer providers)</w:t>
            </w:r>
            <w:r w:rsidRPr="00380274">
              <w:rPr>
                <w:rFonts w:cs="Tahoma"/>
                <w:bCs/>
              </w:rPr>
              <w:t xml:space="preserve"> judged good or outstanding</w:t>
            </w:r>
            <w:r w:rsidR="00C84D7A" w:rsidRPr="00380274">
              <w:rPr>
                <w:rFonts w:cs="Tahoma"/>
                <w:bCs/>
              </w:rPr>
              <w:t xml:space="preserve"> </w:t>
            </w:r>
            <w:r w:rsidR="002E69E4" w:rsidRPr="00380274">
              <w:rPr>
                <w:rFonts w:cs="Tahoma"/>
                <w:bCs/>
              </w:rPr>
              <w:t xml:space="preserve">has </w:t>
            </w:r>
            <w:r w:rsidR="00C84D7A" w:rsidRPr="00380274">
              <w:rPr>
                <w:rFonts w:cs="Tahoma"/>
                <w:bCs/>
              </w:rPr>
              <w:t xml:space="preserve">declined </w:t>
            </w:r>
            <w:r w:rsidR="002E69E4" w:rsidRPr="00380274">
              <w:rPr>
                <w:rFonts w:cs="Tahoma"/>
                <w:bCs/>
              </w:rPr>
              <w:t>since</w:t>
            </w:r>
            <w:r w:rsidR="00C84D7A" w:rsidRPr="00380274">
              <w:rPr>
                <w:rFonts w:cs="Tahoma"/>
                <w:bCs/>
              </w:rPr>
              <w:t xml:space="preserve"> 31 August 2016.</w:t>
            </w:r>
          </w:p>
          <w:p w14:paraId="392966DA" w14:textId="27311415" w:rsidR="006D627D" w:rsidRPr="00380274" w:rsidRDefault="006D627D" w:rsidP="006D627D">
            <w:pPr>
              <w:pStyle w:val="NoSpacing"/>
              <w:jc w:val="left"/>
              <w:rPr>
                <w:rFonts w:cs="Tahoma"/>
                <w:bCs/>
                <w:sz w:val="8"/>
                <w:szCs w:val="8"/>
              </w:rPr>
            </w:pPr>
          </w:p>
        </w:tc>
      </w:tr>
      <w:tr w:rsidR="006D627D" w:rsidRPr="00380274" w14:paraId="788A8C08" w14:textId="77777777" w:rsidTr="006D627D">
        <w:trPr>
          <w:trHeight w:val="5660"/>
        </w:trPr>
        <w:tc>
          <w:tcPr>
            <w:tcW w:w="9996" w:type="dxa"/>
            <w:gridSpan w:val="2"/>
            <w:tcBorders>
              <w:top w:val="single" w:sz="12" w:space="0" w:color="FFFFFF"/>
              <w:left w:val="nil"/>
              <w:bottom w:val="nil"/>
              <w:right w:val="nil"/>
            </w:tcBorders>
            <w:shd w:val="clear" w:color="auto" w:fill="auto"/>
          </w:tcPr>
          <w:p w14:paraId="6F0CF936" w14:textId="77777777" w:rsidR="006D627D" w:rsidRPr="00380274" w:rsidRDefault="006D627D" w:rsidP="006D627D">
            <w:pPr>
              <w:pStyle w:val="NoSpacing"/>
              <w:jc w:val="left"/>
              <w:rPr>
                <w:rFonts w:cs="Tahoma"/>
                <w:b/>
                <w:bCs/>
                <w:sz w:val="8"/>
                <w:szCs w:val="8"/>
              </w:rPr>
            </w:pPr>
          </w:p>
          <w:p w14:paraId="5FC18B8B" w14:textId="77777777" w:rsidR="006D627D" w:rsidRPr="00380274" w:rsidRDefault="006D627D" w:rsidP="006D627D">
            <w:pPr>
              <w:rPr>
                <w:b/>
                <w:bCs/>
              </w:rPr>
            </w:pPr>
            <w:r w:rsidRPr="00380274">
              <w:rPr>
                <w:b/>
                <w:bCs/>
              </w:rPr>
              <w:t>Figure 1: Proportion of providers judged good or outstanding for overall effectiveness at their most recent inspection, by provider type</w:t>
            </w:r>
          </w:p>
          <w:p w14:paraId="41C9DF5B" w14:textId="480D0194" w:rsidR="006D627D" w:rsidRPr="00380274" w:rsidRDefault="001D27B3" w:rsidP="006D627D">
            <w:r>
              <w:rPr>
                <w:noProof/>
                <w:lang w:eastAsia="en-GB"/>
              </w:rPr>
              <w:drawing>
                <wp:inline distT="0" distB="0" distL="0" distR="0" wp14:anchorId="32A9DE8B" wp14:editId="3E4539A3">
                  <wp:extent cx="6195974" cy="33280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7447" cy="3344940"/>
                          </a:xfrm>
                          <a:prstGeom prst="rect">
                            <a:avLst/>
                          </a:prstGeom>
                          <a:noFill/>
                        </pic:spPr>
                      </pic:pic>
                    </a:graphicData>
                  </a:graphic>
                </wp:inline>
              </w:drawing>
            </w:r>
          </w:p>
        </w:tc>
      </w:tr>
      <w:tr w:rsidR="006D627D" w:rsidRPr="00380274" w14:paraId="6E28C8BF" w14:textId="77777777" w:rsidTr="00A204F3">
        <w:trPr>
          <w:trHeight w:val="397"/>
        </w:trPr>
        <w:tc>
          <w:tcPr>
            <w:tcW w:w="9996" w:type="dxa"/>
            <w:gridSpan w:val="2"/>
            <w:tcBorders>
              <w:top w:val="single" w:sz="12" w:space="0" w:color="FFFFFF"/>
              <w:left w:val="nil"/>
              <w:bottom w:val="nil"/>
              <w:right w:val="nil"/>
            </w:tcBorders>
            <w:shd w:val="clear" w:color="auto" w:fill="auto"/>
          </w:tcPr>
          <w:p w14:paraId="762B1746" w14:textId="77777777" w:rsidR="006D627D" w:rsidRPr="00380274" w:rsidRDefault="006D627D" w:rsidP="006D627D">
            <w:pPr>
              <w:pStyle w:val="NoSpacing"/>
              <w:rPr>
                <w:rFonts w:cs="Tahoma"/>
                <w:sz w:val="16"/>
                <w:szCs w:val="16"/>
              </w:rPr>
            </w:pPr>
            <w:r w:rsidRPr="00380274">
              <w:rPr>
                <w:rFonts w:cs="Tahoma"/>
                <w:bCs/>
                <w:sz w:val="16"/>
                <w:szCs w:val="16"/>
              </w:rPr>
              <w:t xml:space="preserve">1. Figures for 2015 onwards are not comparable to previous years. A different methodology has been used to calculate the percentage of providers judged good or outstanding, with providers that ceased to be funded or closed during the year no longer included. </w:t>
            </w:r>
          </w:p>
        </w:tc>
      </w:tr>
      <w:tr w:rsidR="00C84D7A" w:rsidRPr="00380274" w14:paraId="55AB9124" w14:textId="77777777" w:rsidTr="0099088E">
        <w:trPr>
          <w:trHeight w:val="1296"/>
        </w:trPr>
        <w:tc>
          <w:tcPr>
            <w:tcW w:w="4330" w:type="dxa"/>
            <w:tcBorders>
              <w:top w:val="single" w:sz="12" w:space="0" w:color="A6A6A6"/>
              <w:left w:val="single" w:sz="12" w:space="0" w:color="FFFFFF"/>
              <w:bottom w:val="single" w:sz="12" w:space="0" w:color="A6A6A6"/>
              <w:right w:val="single" w:sz="12" w:space="0" w:color="FFFFFF"/>
            </w:tcBorders>
            <w:shd w:val="clear" w:color="auto" w:fill="auto"/>
          </w:tcPr>
          <w:p w14:paraId="234D3793" w14:textId="77777777" w:rsidR="00C84D7A" w:rsidRPr="00380274" w:rsidRDefault="00C84D7A" w:rsidP="0099088E">
            <w:pPr>
              <w:rPr>
                <w:sz w:val="8"/>
                <w:szCs w:val="8"/>
              </w:rPr>
            </w:pPr>
          </w:p>
          <w:p w14:paraId="6459D6D8" w14:textId="23978B7D" w:rsidR="00C84D7A" w:rsidRPr="00380274" w:rsidRDefault="00AD074F" w:rsidP="0099088E">
            <w:r w:rsidRPr="00380274">
              <w:t>All of the previously inadequate general further education colleges inspected this year improved</w:t>
            </w:r>
            <w:r w:rsidR="00AB780F" w:rsidRPr="00380274">
              <w:t xml:space="preserve"> </w:t>
            </w:r>
          </w:p>
          <w:p w14:paraId="65941181" w14:textId="77777777" w:rsidR="00C84D7A" w:rsidRPr="00380274" w:rsidRDefault="00C84D7A" w:rsidP="0099088E">
            <w:pPr>
              <w:rPr>
                <w:sz w:val="8"/>
                <w:szCs w:val="8"/>
              </w:rPr>
            </w:pPr>
          </w:p>
        </w:tc>
        <w:tc>
          <w:tcPr>
            <w:tcW w:w="5666" w:type="dxa"/>
            <w:tcBorders>
              <w:top w:val="single" w:sz="12" w:space="0" w:color="A6A6A6"/>
              <w:left w:val="single" w:sz="12" w:space="0" w:color="FFFFFF"/>
              <w:bottom w:val="single" w:sz="12" w:space="0" w:color="A6A6A6"/>
              <w:right w:val="single" w:sz="12" w:space="0" w:color="FFFFFF"/>
            </w:tcBorders>
            <w:shd w:val="clear" w:color="auto" w:fill="auto"/>
          </w:tcPr>
          <w:p w14:paraId="7C70776C" w14:textId="77777777" w:rsidR="00C84D7A" w:rsidRPr="00380274" w:rsidRDefault="00C84D7A" w:rsidP="0099088E">
            <w:pPr>
              <w:rPr>
                <w:sz w:val="8"/>
                <w:szCs w:val="8"/>
              </w:rPr>
            </w:pPr>
          </w:p>
          <w:p w14:paraId="01A26A37" w14:textId="4BC060F0" w:rsidR="00C84D7A" w:rsidRPr="00380274" w:rsidRDefault="00AD074F" w:rsidP="0099088E">
            <w:r w:rsidRPr="00380274">
              <w:t xml:space="preserve">Over the first six months of 2016/17, the </w:t>
            </w:r>
            <w:r w:rsidR="007F73BF" w:rsidRPr="00380274">
              <w:t>three</w:t>
            </w:r>
            <w:r w:rsidRPr="00380274">
              <w:t xml:space="preserve"> previously inadequate general further education colleges inspected improved, </w:t>
            </w:r>
            <w:r w:rsidR="007F73BF" w:rsidRPr="00380274">
              <w:t>two</w:t>
            </w:r>
            <w:r w:rsidRPr="00380274">
              <w:t xml:space="preserve"> to requires improvement and one to good.</w:t>
            </w:r>
          </w:p>
          <w:p w14:paraId="4ED17CBF" w14:textId="77777777" w:rsidR="00C84D7A" w:rsidRPr="00380274" w:rsidRDefault="00C84D7A" w:rsidP="0099088E">
            <w:pPr>
              <w:rPr>
                <w:sz w:val="8"/>
                <w:szCs w:val="8"/>
              </w:rPr>
            </w:pPr>
          </w:p>
        </w:tc>
      </w:tr>
      <w:tr w:rsidR="006D627D" w:rsidRPr="00380274" w14:paraId="414D80FC" w14:textId="77777777" w:rsidTr="00A70E85">
        <w:trPr>
          <w:trHeight w:val="61"/>
        </w:trPr>
        <w:tc>
          <w:tcPr>
            <w:tcW w:w="4330" w:type="dxa"/>
            <w:tcBorders>
              <w:top w:val="single" w:sz="12" w:space="0" w:color="A6A6A6"/>
              <w:left w:val="single" w:sz="12" w:space="0" w:color="FFFFFF"/>
              <w:bottom w:val="single" w:sz="12" w:space="0" w:color="FFFFFF"/>
              <w:right w:val="single" w:sz="12" w:space="0" w:color="FFFFFF"/>
            </w:tcBorders>
            <w:shd w:val="clear" w:color="auto" w:fill="auto"/>
          </w:tcPr>
          <w:p w14:paraId="3ED4E58A" w14:textId="77777777" w:rsidR="006D627D" w:rsidRPr="00380274" w:rsidRDefault="006D627D" w:rsidP="006D627D">
            <w:pPr>
              <w:rPr>
                <w:sz w:val="8"/>
                <w:szCs w:val="8"/>
              </w:rPr>
            </w:pPr>
            <w:r w:rsidRPr="00380274">
              <w:t xml:space="preserve"> </w:t>
            </w:r>
          </w:p>
          <w:p w14:paraId="0876B8FA" w14:textId="59E5AD8B" w:rsidR="006D627D" w:rsidRPr="00380274" w:rsidRDefault="00E96079" w:rsidP="00E96079">
            <w:r w:rsidRPr="00380274">
              <w:t xml:space="preserve">The proportion of good or outstanding community learning and skills providers has increased by one percentage point </w:t>
            </w:r>
            <w:r w:rsidR="00E90E1C" w:rsidRPr="00380274">
              <w:t xml:space="preserve"> </w:t>
            </w:r>
          </w:p>
        </w:tc>
        <w:tc>
          <w:tcPr>
            <w:tcW w:w="5666" w:type="dxa"/>
            <w:tcBorders>
              <w:top w:val="single" w:sz="12" w:space="0" w:color="A6A6A6"/>
              <w:left w:val="single" w:sz="12" w:space="0" w:color="FFFFFF"/>
              <w:bottom w:val="single" w:sz="12" w:space="0" w:color="FFFFFF"/>
              <w:right w:val="single" w:sz="12" w:space="0" w:color="FFFFFF"/>
            </w:tcBorders>
            <w:shd w:val="clear" w:color="auto" w:fill="auto"/>
          </w:tcPr>
          <w:p w14:paraId="4DA2FA21" w14:textId="77777777" w:rsidR="006D627D" w:rsidRPr="00380274" w:rsidRDefault="006D627D" w:rsidP="006D627D">
            <w:pPr>
              <w:rPr>
                <w:sz w:val="8"/>
                <w:szCs w:val="8"/>
              </w:rPr>
            </w:pPr>
          </w:p>
          <w:p w14:paraId="623C6076" w14:textId="5E65E108" w:rsidR="006D627D" w:rsidRPr="00380274" w:rsidRDefault="00E96079" w:rsidP="00E96079">
            <w:r w:rsidRPr="00380274">
              <w:t xml:space="preserve">This was driven by improvement, with eight out of the 11 providers that previously required improvement or were inadequate, improving to be judged good for overall effectiveness. </w:t>
            </w:r>
          </w:p>
        </w:tc>
      </w:tr>
    </w:tbl>
    <w:sdt>
      <w:sdtPr>
        <w:rPr>
          <w:rFonts w:ascii="Tahoma" w:eastAsia="Times New Roman" w:hAnsi="Tahoma" w:cstheme="minorBidi"/>
          <w:b w:val="0"/>
          <w:bCs w:val="0"/>
          <w:color w:val="auto"/>
          <w:sz w:val="24"/>
          <w:szCs w:val="24"/>
          <w:lang w:val="en-GB" w:eastAsia="en-GB"/>
        </w:rPr>
        <w:id w:val="-1418473717"/>
        <w:docPartObj>
          <w:docPartGallery w:val="Table of Contents"/>
          <w:docPartUnique/>
        </w:docPartObj>
      </w:sdtPr>
      <w:sdtEndPr>
        <w:rPr>
          <w:rFonts w:eastAsiaTheme="minorHAnsi" w:cs="Tahoma"/>
          <w:noProof/>
          <w:lang w:eastAsia="en-US"/>
        </w:rPr>
      </w:sdtEndPr>
      <w:sdtContent>
        <w:p w14:paraId="4B32E3E1" w14:textId="77777777" w:rsidR="00A70E85" w:rsidRPr="00380274" w:rsidRDefault="00A70E85" w:rsidP="00A70E85">
          <w:pPr>
            <w:pStyle w:val="TOCHeading"/>
            <w:rPr>
              <w:rFonts w:ascii="Tahoma" w:hAnsi="Tahoma" w:cs="Tahoma"/>
              <w:color w:val="auto"/>
              <w:sz w:val="32"/>
              <w:szCs w:val="32"/>
            </w:rPr>
          </w:pPr>
          <w:r w:rsidRPr="00380274">
            <w:rPr>
              <w:rFonts w:ascii="Tahoma" w:hAnsi="Tahoma" w:cs="Tahoma"/>
              <w:color w:val="auto"/>
              <w:sz w:val="32"/>
              <w:szCs w:val="32"/>
            </w:rPr>
            <w:t>Contents</w:t>
          </w:r>
        </w:p>
        <w:p w14:paraId="0CBC2BF9" w14:textId="77777777" w:rsidR="00A54343" w:rsidRPr="00A54343" w:rsidRDefault="00A70E85">
          <w:pPr>
            <w:pStyle w:val="TOC1"/>
            <w:rPr>
              <w:rFonts w:asciiTheme="minorHAnsi" w:eastAsiaTheme="minorEastAsia" w:hAnsiTheme="minorHAnsi" w:cstheme="minorBidi"/>
              <w:b w:val="0"/>
              <w:bCs w:val="0"/>
              <w:noProof/>
              <w:sz w:val="24"/>
              <w:szCs w:val="24"/>
            </w:rPr>
          </w:pPr>
          <w:r w:rsidRPr="00A54343">
            <w:rPr>
              <w:rFonts w:cs="Tahoma"/>
              <w:b w:val="0"/>
              <w:sz w:val="24"/>
              <w:szCs w:val="24"/>
            </w:rPr>
            <w:fldChar w:fldCharType="begin"/>
          </w:r>
          <w:r w:rsidRPr="00A54343">
            <w:rPr>
              <w:rFonts w:cs="Tahoma"/>
              <w:b w:val="0"/>
              <w:sz w:val="24"/>
              <w:szCs w:val="24"/>
            </w:rPr>
            <w:instrText xml:space="preserve"> TOC \o "1-3" \h \z \u </w:instrText>
          </w:r>
          <w:r w:rsidRPr="00A54343">
            <w:rPr>
              <w:rFonts w:cs="Tahoma"/>
              <w:b w:val="0"/>
              <w:noProof/>
              <w:sz w:val="24"/>
              <w:szCs w:val="24"/>
            </w:rPr>
            <w:fldChar w:fldCharType="separate"/>
          </w:r>
          <w:hyperlink w:anchor="_Toc485646772" w:history="1">
            <w:r w:rsidR="00A54343" w:rsidRPr="00A54343">
              <w:rPr>
                <w:rStyle w:val="Hyperlink"/>
                <w:rFonts w:cs="Tahoma"/>
                <w:b w:val="0"/>
                <w:noProof/>
                <w:sz w:val="24"/>
                <w:szCs w:val="24"/>
              </w:rPr>
              <w:t>Introduction</w:t>
            </w:r>
            <w:r w:rsidR="00A54343" w:rsidRPr="00A54343">
              <w:rPr>
                <w:b w:val="0"/>
                <w:noProof/>
                <w:webHidden/>
                <w:sz w:val="24"/>
                <w:szCs w:val="24"/>
              </w:rPr>
              <w:tab/>
            </w:r>
            <w:r w:rsidR="00A54343" w:rsidRPr="00A54343">
              <w:rPr>
                <w:b w:val="0"/>
                <w:noProof/>
                <w:webHidden/>
                <w:sz w:val="24"/>
                <w:szCs w:val="24"/>
              </w:rPr>
              <w:fldChar w:fldCharType="begin"/>
            </w:r>
            <w:r w:rsidR="00A54343" w:rsidRPr="00A54343">
              <w:rPr>
                <w:b w:val="0"/>
                <w:noProof/>
                <w:webHidden/>
                <w:sz w:val="24"/>
                <w:szCs w:val="24"/>
              </w:rPr>
              <w:instrText xml:space="preserve"> PAGEREF _Toc485646772 \h </w:instrText>
            </w:r>
            <w:r w:rsidR="00A54343" w:rsidRPr="00A54343">
              <w:rPr>
                <w:b w:val="0"/>
                <w:noProof/>
                <w:webHidden/>
                <w:sz w:val="24"/>
                <w:szCs w:val="24"/>
              </w:rPr>
            </w:r>
            <w:r w:rsidR="00A54343" w:rsidRPr="00A54343">
              <w:rPr>
                <w:b w:val="0"/>
                <w:noProof/>
                <w:webHidden/>
                <w:sz w:val="24"/>
                <w:szCs w:val="24"/>
              </w:rPr>
              <w:fldChar w:fldCharType="separate"/>
            </w:r>
            <w:r w:rsidR="00A54343" w:rsidRPr="00A54343">
              <w:rPr>
                <w:b w:val="0"/>
                <w:noProof/>
                <w:webHidden/>
                <w:sz w:val="24"/>
                <w:szCs w:val="24"/>
              </w:rPr>
              <w:t>3</w:t>
            </w:r>
            <w:r w:rsidR="00A54343" w:rsidRPr="00A54343">
              <w:rPr>
                <w:b w:val="0"/>
                <w:noProof/>
                <w:webHidden/>
                <w:sz w:val="24"/>
                <w:szCs w:val="24"/>
              </w:rPr>
              <w:fldChar w:fldCharType="end"/>
            </w:r>
          </w:hyperlink>
        </w:p>
        <w:p w14:paraId="29EFA58F" w14:textId="77777777" w:rsidR="00A54343" w:rsidRPr="00A54343" w:rsidRDefault="00AE12C0">
          <w:pPr>
            <w:pStyle w:val="TOC2"/>
            <w:tabs>
              <w:tab w:val="right" w:leader="dot" w:pos="9628"/>
            </w:tabs>
            <w:rPr>
              <w:rFonts w:asciiTheme="minorHAnsi" w:eastAsiaTheme="minorEastAsia" w:hAnsiTheme="minorHAnsi" w:cstheme="minorBidi"/>
              <w:i w:val="0"/>
              <w:iCs w:val="0"/>
              <w:noProof/>
              <w:sz w:val="24"/>
              <w:szCs w:val="24"/>
            </w:rPr>
          </w:pPr>
          <w:hyperlink w:anchor="_Toc485646773" w:history="1">
            <w:r w:rsidR="00A54343" w:rsidRPr="00A54343">
              <w:rPr>
                <w:rStyle w:val="Hyperlink"/>
                <w:rFonts w:cs="Tahoma"/>
                <w:i w:val="0"/>
                <w:noProof/>
                <w:sz w:val="24"/>
                <w:szCs w:val="24"/>
              </w:rPr>
              <w:t>In-year inspection outcomes</w:t>
            </w:r>
            <w:r w:rsidR="00A54343" w:rsidRPr="00A54343">
              <w:rPr>
                <w:i w:val="0"/>
                <w:noProof/>
                <w:webHidden/>
                <w:sz w:val="24"/>
                <w:szCs w:val="24"/>
              </w:rPr>
              <w:tab/>
            </w:r>
            <w:r w:rsidR="00A54343" w:rsidRPr="00A54343">
              <w:rPr>
                <w:i w:val="0"/>
                <w:noProof/>
                <w:webHidden/>
                <w:sz w:val="24"/>
                <w:szCs w:val="24"/>
              </w:rPr>
              <w:fldChar w:fldCharType="begin"/>
            </w:r>
            <w:r w:rsidR="00A54343" w:rsidRPr="00A54343">
              <w:rPr>
                <w:i w:val="0"/>
                <w:noProof/>
                <w:webHidden/>
                <w:sz w:val="24"/>
                <w:szCs w:val="24"/>
              </w:rPr>
              <w:instrText xml:space="preserve"> PAGEREF _Toc485646773 \h </w:instrText>
            </w:r>
            <w:r w:rsidR="00A54343" w:rsidRPr="00A54343">
              <w:rPr>
                <w:i w:val="0"/>
                <w:noProof/>
                <w:webHidden/>
                <w:sz w:val="24"/>
                <w:szCs w:val="24"/>
              </w:rPr>
            </w:r>
            <w:r w:rsidR="00A54343" w:rsidRPr="00A54343">
              <w:rPr>
                <w:i w:val="0"/>
                <w:noProof/>
                <w:webHidden/>
                <w:sz w:val="24"/>
                <w:szCs w:val="24"/>
              </w:rPr>
              <w:fldChar w:fldCharType="separate"/>
            </w:r>
            <w:r w:rsidR="00A54343" w:rsidRPr="00A54343">
              <w:rPr>
                <w:i w:val="0"/>
                <w:noProof/>
                <w:webHidden/>
                <w:sz w:val="24"/>
                <w:szCs w:val="24"/>
              </w:rPr>
              <w:t>3</w:t>
            </w:r>
            <w:r w:rsidR="00A54343" w:rsidRPr="00A54343">
              <w:rPr>
                <w:i w:val="0"/>
                <w:noProof/>
                <w:webHidden/>
                <w:sz w:val="24"/>
                <w:szCs w:val="24"/>
              </w:rPr>
              <w:fldChar w:fldCharType="end"/>
            </w:r>
          </w:hyperlink>
        </w:p>
        <w:p w14:paraId="69AF17F8" w14:textId="77777777" w:rsidR="00A54343" w:rsidRPr="00A54343" w:rsidRDefault="00AE12C0">
          <w:pPr>
            <w:pStyle w:val="TOC2"/>
            <w:tabs>
              <w:tab w:val="right" w:leader="dot" w:pos="9628"/>
            </w:tabs>
            <w:rPr>
              <w:rFonts w:asciiTheme="minorHAnsi" w:eastAsiaTheme="minorEastAsia" w:hAnsiTheme="minorHAnsi" w:cstheme="minorBidi"/>
              <w:i w:val="0"/>
              <w:iCs w:val="0"/>
              <w:noProof/>
              <w:sz w:val="24"/>
              <w:szCs w:val="24"/>
            </w:rPr>
          </w:pPr>
          <w:hyperlink w:anchor="_Toc485646774" w:history="1">
            <w:r w:rsidR="00A54343" w:rsidRPr="00A54343">
              <w:rPr>
                <w:rStyle w:val="Hyperlink"/>
                <w:rFonts w:cs="Tahoma"/>
                <w:i w:val="0"/>
                <w:noProof/>
                <w:sz w:val="24"/>
                <w:szCs w:val="24"/>
              </w:rPr>
              <w:t>Most recent inspection outcomes</w:t>
            </w:r>
            <w:r w:rsidR="00A54343" w:rsidRPr="00A54343">
              <w:rPr>
                <w:i w:val="0"/>
                <w:noProof/>
                <w:webHidden/>
                <w:sz w:val="24"/>
                <w:szCs w:val="24"/>
              </w:rPr>
              <w:tab/>
            </w:r>
            <w:r w:rsidR="00A54343" w:rsidRPr="00A54343">
              <w:rPr>
                <w:i w:val="0"/>
                <w:noProof/>
                <w:webHidden/>
                <w:sz w:val="24"/>
                <w:szCs w:val="24"/>
              </w:rPr>
              <w:fldChar w:fldCharType="begin"/>
            </w:r>
            <w:r w:rsidR="00A54343" w:rsidRPr="00A54343">
              <w:rPr>
                <w:i w:val="0"/>
                <w:noProof/>
                <w:webHidden/>
                <w:sz w:val="24"/>
                <w:szCs w:val="24"/>
              </w:rPr>
              <w:instrText xml:space="preserve"> PAGEREF _Toc485646774 \h </w:instrText>
            </w:r>
            <w:r w:rsidR="00A54343" w:rsidRPr="00A54343">
              <w:rPr>
                <w:i w:val="0"/>
                <w:noProof/>
                <w:webHidden/>
                <w:sz w:val="24"/>
                <w:szCs w:val="24"/>
              </w:rPr>
            </w:r>
            <w:r w:rsidR="00A54343" w:rsidRPr="00A54343">
              <w:rPr>
                <w:i w:val="0"/>
                <w:noProof/>
                <w:webHidden/>
                <w:sz w:val="24"/>
                <w:szCs w:val="24"/>
              </w:rPr>
              <w:fldChar w:fldCharType="separate"/>
            </w:r>
            <w:r w:rsidR="00A54343" w:rsidRPr="00A54343">
              <w:rPr>
                <w:i w:val="0"/>
                <w:noProof/>
                <w:webHidden/>
                <w:sz w:val="24"/>
                <w:szCs w:val="24"/>
              </w:rPr>
              <w:t>3</w:t>
            </w:r>
            <w:r w:rsidR="00A54343" w:rsidRPr="00A54343">
              <w:rPr>
                <w:i w:val="0"/>
                <w:noProof/>
                <w:webHidden/>
                <w:sz w:val="24"/>
                <w:szCs w:val="24"/>
              </w:rPr>
              <w:fldChar w:fldCharType="end"/>
            </w:r>
          </w:hyperlink>
        </w:p>
        <w:p w14:paraId="7D3767B2" w14:textId="77777777" w:rsidR="00A54343" w:rsidRPr="00A54343" w:rsidRDefault="00AE12C0">
          <w:pPr>
            <w:pStyle w:val="TOC1"/>
            <w:rPr>
              <w:rFonts w:asciiTheme="minorHAnsi" w:eastAsiaTheme="minorEastAsia" w:hAnsiTheme="minorHAnsi" w:cstheme="minorBidi"/>
              <w:b w:val="0"/>
              <w:bCs w:val="0"/>
              <w:noProof/>
              <w:sz w:val="24"/>
              <w:szCs w:val="24"/>
            </w:rPr>
          </w:pPr>
          <w:hyperlink w:anchor="_Toc485646775" w:history="1">
            <w:r w:rsidR="00A54343" w:rsidRPr="00A54343">
              <w:rPr>
                <w:rStyle w:val="Hyperlink"/>
                <w:rFonts w:cs="Tahoma"/>
                <w:b w:val="0"/>
                <w:noProof/>
                <w:sz w:val="24"/>
                <w:szCs w:val="24"/>
              </w:rPr>
              <w:t>Main findings</w:t>
            </w:r>
            <w:r w:rsidR="00A54343" w:rsidRPr="00A54343">
              <w:rPr>
                <w:b w:val="0"/>
                <w:noProof/>
                <w:webHidden/>
                <w:sz w:val="24"/>
                <w:szCs w:val="24"/>
              </w:rPr>
              <w:tab/>
            </w:r>
            <w:r w:rsidR="00A54343" w:rsidRPr="00A54343">
              <w:rPr>
                <w:b w:val="0"/>
                <w:noProof/>
                <w:webHidden/>
                <w:sz w:val="24"/>
                <w:szCs w:val="24"/>
              </w:rPr>
              <w:fldChar w:fldCharType="begin"/>
            </w:r>
            <w:r w:rsidR="00A54343" w:rsidRPr="00A54343">
              <w:rPr>
                <w:b w:val="0"/>
                <w:noProof/>
                <w:webHidden/>
                <w:sz w:val="24"/>
                <w:szCs w:val="24"/>
              </w:rPr>
              <w:instrText xml:space="preserve"> PAGEREF _Toc485646775 \h </w:instrText>
            </w:r>
            <w:r w:rsidR="00A54343" w:rsidRPr="00A54343">
              <w:rPr>
                <w:b w:val="0"/>
                <w:noProof/>
                <w:webHidden/>
                <w:sz w:val="24"/>
                <w:szCs w:val="24"/>
              </w:rPr>
            </w:r>
            <w:r w:rsidR="00A54343" w:rsidRPr="00A54343">
              <w:rPr>
                <w:b w:val="0"/>
                <w:noProof/>
                <w:webHidden/>
                <w:sz w:val="24"/>
                <w:szCs w:val="24"/>
              </w:rPr>
              <w:fldChar w:fldCharType="separate"/>
            </w:r>
            <w:r w:rsidR="00A54343" w:rsidRPr="00A54343">
              <w:rPr>
                <w:b w:val="0"/>
                <w:noProof/>
                <w:webHidden/>
                <w:sz w:val="24"/>
                <w:szCs w:val="24"/>
              </w:rPr>
              <w:t>5</w:t>
            </w:r>
            <w:r w:rsidR="00A54343" w:rsidRPr="00A54343">
              <w:rPr>
                <w:b w:val="0"/>
                <w:noProof/>
                <w:webHidden/>
                <w:sz w:val="24"/>
                <w:szCs w:val="24"/>
              </w:rPr>
              <w:fldChar w:fldCharType="end"/>
            </w:r>
          </w:hyperlink>
        </w:p>
        <w:p w14:paraId="5192195D" w14:textId="77777777" w:rsidR="00A54343" w:rsidRPr="00A54343" w:rsidRDefault="00AE12C0">
          <w:pPr>
            <w:pStyle w:val="TOC2"/>
            <w:tabs>
              <w:tab w:val="right" w:leader="dot" w:pos="9628"/>
            </w:tabs>
            <w:rPr>
              <w:rFonts w:asciiTheme="minorHAnsi" w:eastAsiaTheme="minorEastAsia" w:hAnsiTheme="minorHAnsi" w:cstheme="minorBidi"/>
              <w:i w:val="0"/>
              <w:iCs w:val="0"/>
              <w:noProof/>
              <w:sz w:val="24"/>
              <w:szCs w:val="24"/>
            </w:rPr>
          </w:pPr>
          <w:hyperlink w:anchor="_Toc485646776" w:history="1">
            <w:r w:rsidR="00A54343" w:rsidRPr="00A54343">
              <w:rPr>
                <w:rStyle w:val="Hyperlink"/>
                <w:rFonts w:cs="Tahoma"/>
                <w:i w:val="0"/>
                <w:noProof/>
                <w:sz w:val="24"/>
                <w:szCs w:val="24"/>
              </w:rPr>
              <w:t>General further education colleges</w:t>
            </w:r>
            <w:r w:rsidR="00A54343" w:rsidRPr="00A54343">
              <w:rPr>
                <w:i w:val="0"/>
                <w:noProof/>
                <w:webHidden/>
                <w:sz w:val="24"/>
                <w:szCs w:val="24"/>
              </w:rPr>
              <w:tab/>
            </w:r>
            <w:r w:rsidR="00A54343" w:rsidRPr="00A54343">
              <w:rPr>
                <w:i w:val="0"/>
                <w:noProof/>
                <w:webHidden/>
                <w:sz w:val="24"/>
                <w:szCs w:val="24"/>
              </w:rPr>
              <w:fldChar w:fldCharType="begin"/>
            </w:r>
            <w:r w:rsidR="00A54343" w:rsidRPr="00A54343">
              <w:rPr>
                <w:i w:val="0"/>
                <w:noProof/>
                <w:webHidden/>
                <w:sz w:val="24"/>
                <w:szCs w:val="24"/>
              </w:rPr>
              <w:instrText xml:space="preserve"> PAGEREF _Toc485646776 \h </w:instrText>
            </w:r>
            <w:r w:rsidR="00A54343" w:rsidRPr="00A54343">
              <w:rPr>
                <w:i w:val="0"/>
                <w:noProof/>
                <w:webHidden/>
                <w:sz w:val="24"/>
                <w:szCs w:val="24"/>
              </w:rPr>
            </w:r>
            <w:r w:rsidR="00A54343" w:rsidRPr="00A54343">
              <w:rPr>
                <w:i w:val="0"/>
                <w:noProof/>
                <w:webHidden/>
                <w:sz w:val="24"/>
                <w:szCs w:val="24"/>
              </w:rPr>
              <w:fldChar w:fldCharType="separate"/>
            </w:r>
            <w:r w:rsidR="00A54343" w:rsidRPr="00A54343">
              <w:rPr>
                <w:i w:val="0"/>
                <w:noProof/>
                <w:webHidden/>
                <w:sz w:val="24"/>
                <w:szCs w:val="24"/>
              </w:rPr>
              <w:t>5</w:t>
            </w:r>
            <w:r w:rsidR="00A54343" w:rsidRPr="00A54343">
              <w:rPr>
                <w:i w:val="0"/>
                <w:noProof/>
                <w:webHidden/>
                <w:sz w:val="24"/>
                <w:szCs w:val="24"/>
              </w:rPr>
              <w:fldChar w:fldCharType="end"/>
            </w:r>
          </w:hyperlink>
        </w:p>
        <w:p w14:paraId="6CE3EECE" w14:textId="77777777" w:rsidR="00A54343" w:rsidRPr="00A54343" w:rsidRDefault="00AE12C0">
          <w:pPr>
            <w:pStyle w:val="TOC2"/>
            <w:tabs>
              <w:tab w:val="right" w:leader="dot" w:pos="9628"/>
            </w:tabs>
            <w:rPr>
              <w:rFonts w:asciiTheme="minorHAnsi" w:eastAsiaTheme="minorEastAsia" w:hAnsiTheme="minorHAnsi" w:cstheme="minorBidi"/>
              <w:i w:val="0"/>
              <w:iCs w:val="0"/>
              <w:noProof/>
              <w:sz w:val="24"/>
              <w:szCs w:val="24"/>
            </w:rPr>
          </w:pPr>
          <w:hyperlink w:anchor="_Toc485646777" w:history="1">
            <w:r w:rsidR="00A54343" w:rsidRPr="00A54343">
              <w:rPr>
                <w:rStyle w:val="Hyperlink"/>
                <w:rFonts w:cs="Tahoma"/>
                <w:i w:val="0"/>
                <w:noProof/>
                <w:sz w:val="24"/>
                <w:szCs w:val="24"/>
              </w:rPr>
              <w:t>Sixth form colleges</w:t>
            </w:r>
            <w:r w:rsidR="00A54343" w:rsidRPr="00A54343">
              <w:rPr>
                <w:i w:val="0"/>
                <w:noProof/>
                <w:webHidden/>
                <w:sz w:val="24"/>
                <w:szCs w:val="24"/>
              </w:rPr>
              <w:tab/>
            </w:r>
            <w:r w:rsidR="00A54343" w:rsidRPr="00A54343">
              <w:rPr>
                <w:i w:val="0"/>
                <w:noProof/>
                <w:webHidden/>
                <w:sz w:val="24"/>
                <w:szCs w:val="24"/>
              </w:rPr>
              <w:fldChar w:fldCharType="begin"/>
            </w:r>
            <w:r w:rsidR="00A54343" w:rsidRPr="00A54343">
              <w:rPr>
                <w:i w:val="0"/>
                <w:noProof/>
                <w:webHidden/>
                <w:sz w:val="24"/>
                <w:szCs w:val="24"/>
              </w:rPr>
              <w:instrText xml:space="preserve"> PAGEREF _Toc485646777 \h </w:instrText>
            </w:r>
            <w:r w:rsidR="00A54343" w:rsidRPr="00A54343">
              <w:rPr>
                <w:i w:val="0"/>
                <w:noProof/>
                <w:webHidden/>
                <w:sz w:val="24"/>
                <w:szCs w:val="24"/>
              </w:rPr>
            </w:r>
            <w:r w:rsidR="00A54343" w:rsidRPr="00A54343">
              <w:rPr>
                <w:i w:val="0"/>
                <w:noProof/>
                <w:webHidden/>
                <w:sz w:val="24"/>
                <w:szCs w:val="24"/>
              </w:rPr>
              <w:fldChar w:fldCharType="separate"/>
            </w:r>
            <w:r w:rsidR="00A54343" w:rsidRPr="00A54343">
              <w:rPr>
                <w:i w:val="0"/>
                <w:noProof/>
                <w:webHidden/>
                <w:sz w:val="24"/>
                <w:szCs w:val="24"/>
              </w:rPr>
              <w:t>7</w:t>
            </w:r>
            <w:r w:rsidR="00A54343" w:rsidRPr="00A54343">
              <w:rPr>
                <w:i w:val="0"/>
                <w:noProof/>
                <w:webHidden/>
                <w:sz w:val="24"/>
                <w:szCs w:val="24"/>
              </w:rPr>
              <w:fldChar w:fldCharType="end"/>
            </w:r>
          </w:hyperlink>
        </w:p>
        <w:p w14:paraId="7F4D55DC" w14:textId="77777777" w:rsidR="00A54343" w:rsidRPr="00A54343" w:rsidRDefault="00AE12C0">
          <w:pPr>
            <w:pStyle w:val="TOC2"/>
            <w:tabs>
              <w:tab w:val="right" w:leader="dot" w:pos="9628"/>
            </w:tabs>
            <w:rPr>
              <w:rFonts w:asciiTheme="minorHAnsi" w:eastAsiaTheme="minorEastAsia" w:hAnsiTheme="minorHAnsi" w:cstheme="minorBidi"/>
              <w:i w:val="0"/>
              <w:iCs w:val="0"/>
              <w:noProof/>
              <w:sz w:val="24"/>
              <w:szCs w:val="24"/>
            </w:rPr>
          </w:pPr>
          <w:hyperlink w:anchor="_Toc485646778" w:history="1">
            <w:r w:rsidR="00A54343" w:rsidRPr="00A54343">
              <w:rPr>
                <w:rStyle w:val="Hyperlink"/>
                <w:rFonts w:cs="Tahoma"/>
                <w:i w:val="0"/>
                <w:noProof/>
                <w:sz w:val="24"/>
                <w:szCs w:val="24"/>
              </w:rPr>
              <w:t>Independent learning providers (including employer providers)</w:t>
            </w:r>
            <w:r w:rsidR="00A54343" w:rsidRPr="00A54343">
              <w:rPr>
                <w:i w:val="0"/>
                <w:noProof/>
                <w:webHidden/>
                <w:sz w:val="24"/>
                <w:szCs w:val="24"/>
              </w:rPr>
              <w:tab/>
            </w:r>
            <w:r w:rsidR="00A54343" w:rsidRPr="00A54343">
              <w:rPr>
                <w:i w:val="0"/>
                <w:noProof/>
                <w:webHidden/>
                <w:sz w:val="24"/>
                <w:szCs w:val="24"/>
              </w:rPr>
              <w:fldChar w:fldCharType="begin"/>
            </w:r>
            <w:r w:rsidR="00A54343" w:rsidRPr="00A54343">
              <w:rPr>
                <w:i w:val="0"/>
                <w:noProof/>
                <w:webHidden/>
                <w:sz w:val="24"/>
                <w:szCs w:val="24"/>
              </w:rPr>
              <w:instrText xml:space="preserve"> PAGEREF _Toc485646778 \h </w:instrText>
            </w:r>
            <w:r w:rsidR="00A54343" w:rsidRPr="00A54343">
              <w:rPr>
                <w:i w:val="0"/>
                <w:noProof/>
                <w:webHidden/>
                <w:sz w:val="24"/>
                <w:szCs w:val="24"/>
              </w:rPr>
            </w:r>
            <w:r w:rsidR="00A54343" w:rsidRPr="00A54343">
              <w:rPr>
                <w:i w:val="0"/>
                <w:noProof/>
                <w:webHidden/>
                <w:sz w:val="24"/>
                <w:szCs w:val="24"/>
              </w:rPr>
              <w:fldChar w:fldCharType="separate"/>
            </w:r>
            <w:r w:rsidR="00A54343" w:rsidRPr="00A54343">
              <w:rPr>
                <w:i w:val="0"/>
                <w:noProof/>
                <w:webHidden/>
                <w:sz w:val="24"/>
                <w:szCs w:val="24"/>
              </w:rPr>
              <w:t>8</w:t>
            </w:r>
            <w:r w:rsidR="00A54343" w:rsidRPr="00A54343">
              <w:rPr>
                <w:i w:val="0"/>
                <w:noProof/>
                <w:webHidden/>
                <w:sz w:val="24"/>
                <w:szCs w:val="24"/>
              </w:rPr>
              <w:fldChar w:fldCharType="end"/>
            </w:r>
          </w:hyperlink>
        </w:p>
        <w:p w14:paraId="54E3D108" w14:textId="77777777" w:rsidR="00A54343" w:rsidRPr="00A54343" w:rsidRDefault="00AE12C0">
          <w:pPr>
            <w:pStyle w:val="TOC2"/>
            <w:tabs>
              <w:tab w:val="right" w:leader="dot" w:pos="9628"/>
            </w:tabs>
            <w:rPr>
              <w:rFonts w:asciiTheme="minorHAnsi" w:eastAsiaTheme="minorEastAsia" w:hAnsiTheme="minorHAnsi" w:cstheme="minorBidi"/>
              <w:i w:val="0"/>
              <w:iCs w:val="0"/>
              <w:noProof/>
              <w:sz w:val="24"/>
              <w:szCs w:val="24"/>
            </w:rPr>
          </w:pPr>
          <w:hyperlink w:anchor="_Toc485646779" w:history="1">
            <w:r w:rsidR="00A54343" w:rsidRPr="00A54343">
              <w:rPr>
                <w:rStyle w:val="Hyperlink"/>
                <w:rFonts w:cs="Tahoma"/>
                <w:i w:val="0"/>
                <w:noProof/>
                <w:sz w:val="24"/>
                <w:szCs w:val="24"/>
              </w:rPr>
              <w:t>Community learning and skills providers</w:t>
            </w:r>
            <w:r w:rsidR="00A54343" w:rsidRPr="00A54343">
              <w:rPr>
                <w:i w:val="0"/>
                <w:noProof/>
                <w:webHidden/>
                <w:sz w:val="24"/>
                <w:szCs w:val="24"/>
              </w:rPr>
              <w:tab/>
            </w:r>
            <w:r w:rsidR="00A54343" w:rsidRPr="00A54343">
              <w:rPr>
                <w:i w:val="0"/>
                <w:noProof/>
                <w:webHidden/>
                <w:sz w:val="24"/>
                <w:szCs w:val="24"/>
              </w:rPr>
              <w:fldChar w:fldCharType="begin"/>
            </w:r>
            <w:r w:rsidR="00A54343" w:rsidRPr="00A54343">
              <w:rPr>
                <w:i w:val="0"/>
                <w:noProof/>
                <w:webHidden/>
                <w:sz w:val="24"/>
                <w:szCs w:val="24"/>
              </w:rPr>
              <w:instrText xml:space="preserve"> PAGEREF _Toc485646779 \h </w:instrText>
            </w:r>
            <w:r w:rsidR="00A54343" w:rsidRPr="00A54343">
              <w:rPr>
                <w:i w:val="0"/>
                <w:noProof/>
                <w:webHidden/>
                <w:sz w:val="24"/>
                <w:szCs w:val="24"/>
              </w:rPr>
            </w:r>
            <w:r w:rsidR="00A54343" w:rsidRPr="00A54343">
              <w:rPr>
                <w:i w:val="0"/>
                <w:noProof/>
                <w:webHidden/>
                <w:sz w:val="24"/>
                <w:szCs w:val="24"/>
              </w:rPr>
              <w:fldChar w:fldCharType="separate"/>
            </w:r>
            <w:r w:rsidR="00A54343" w:rsidRPr="00A54343">
              <w:rPr>
                <w:i w:val="0"/>
                <w:noProof/>
                <w:webHidden/>
                <w:sz w:val="24"/>
                <w:szCs w:val="24"/>
              </w:rPr>
              <w:t>9</w:t>
            </w:r>
            <w:r w:rsidR="00A54343" w:rsidRPr="00A54343">
              <w:rPr>
                <w:i w:val="0"/>
                <w:noProof/>
                <w:webHidden/>
                <w:sz w:val="24"/>
                <w:szCs w:val="24"/>
              </w:rPr>
              <w:fldChar w:fldCharType="end"/>
            </w:r>
          </w:hyperlink>
        </w:p>
        <w:p w14:paraId="42D70057" w14:textId="77777777" w:rsidR="00A54343" w:rsidRPr="00A54343" w:rsidRDefault="00AE12C0">
          <w:pPr>
            <w:pStyle w:val="TOC2"/>
            <w:tabs>
              <w:tab w:val="right" w:leader="dot" w:pos="9628"/>
            </w:tabs>
            <w:rPr>
              <w:rFonts w:asciiTheme="minorHAnsi" w:eastAsiaTheme="minorEastAsia" w:hAnsiTheme="minorHAnsi" w:cstheme="minorBidi"/>
              <w:i w:val="0"/>
              <w:iCs w:val="0"/>
              <w:noProof/>
              <w:sz w:val="24"/>
              <w:szCs w:val="24"/>
            </w:rPr>
          </w:pPr>
          <w:hyperlink w:anchor="_Toc485646780" w:history="1">
            <w:r w:rsidR="00A54343" w:rsidRPr="00A54343">
              <w:rPr>
                <w:rStyle w:val="Hyperlink"/>
                <w:rFonts w:cs="Tahoma"/>
                <w:i w:val="0"/>
                <w:noProof/>
                <w:sz w:val="24"/>
                <w:szCs w:val="24"/>
              </w:rPr>
              <w:t>Prisons and young offender institutions</w:t>
            </w:r>
            <w:r w:rsidR="00A54343" w:rsidRPr="00A54343">
              <w:rPr>
                <w:i w:val="0"/>
                <w:noProof/>
                <w:webHidden/>
                <w:sz w:val="24"/>
                <w:szCs w:val="24"/>
              </w:rPr>
              <w:tab/>
            </w:r>
            <w:r w:rsidR="00A54343" w:rsidRPr="00A54343">
              <w:rPr>
                <w:i w:val="0"/>
                <w:noProof/>
                <w:webHidden/>
                <w:sz w:val="24"/>
                <w:szCs w:val="24"/>
              </w:rPr>
              <w:fldChar w:fldCharType="begin"/>
            </w:r>
            <w:r w:rsidR="00A54343" w:rsidRPr="00A54343">
              <w:rPr>
                <w:i w:val="0"/>
                <w:noProof/>
                <w:webHidden/>
                <w:sz w:val="24"/>
                <w:szCs w:val="24"/>
              </w:rPr>
              <w:instrText xml:space="preserve"> PAGEREF _Toc485646780 \h </w:instrText>
            </w:r>
            <w:r w:rsidR="00A54343" w:rsidRPr="00A54343">
              <w:rPr>
                <w:i w:val="0"/>
                <w:noProof/>
                <w:webHidden/>
                <w:sz w:val="24"/>
                <w:szCs w:val="24"/>
              </w:rPr>
            </w:r>
            <w:r w:rsidR="00A54343" w:rsidRPr="00A54343">
              <w:rPr>
                <w:i w:val="0"/>
                <w:noProof/>
                <w:webHidden/>
                <w:sz w:val="24"/>
                <w:szCs w:val="24"/>
              </w:rPr>
              <w:fldChar w:fldCharType="separate"/>
            </w:r>
            <w:r w:rsidR="00A54343" w:rsidRPr="00A54343">
              <w:rPr>
                <w:i w:val="0"/>
                <w:noProof/>
                <w:webHidden/>
                <w:sz w:val="24"/>
                <w:szCs w:val="24"/>
              </w:rPr>
              <w:t>10</w:t>
            </w:r>
            <w:r w:rsidR="00A54343" w:rsidRPr="00A54343">
              <w:rPr>
                <w:i w:val="0"/>
                <w:noProof/>
                <w:webHidden/>
                <w:sz w:val="24"/>
                <w:szCs w:val="24"/>
              </w:rPr>
              <w:fldChar w:fldCharType="end"/>
            </w:r>
          </w:hyperlink>
        </w:p>
        <w:p w14:paraId="4D34DAAD" w14:textId="77777777" w:rsidR="00A54343" w:rsidRPr="00A54343" w:rsidRDefault="00AE12C0">
          <w:pPr>
            <w:pStyle w:val="TOC1"/>
            <w:rPr>
              <w:rFonts w:asciiTheme="minorHAnsi" w:eastAsiaTheme="minorEastAsia" w:hAnsiTheme="minorHAnsi" w:cstheme="minorBidi"/>
              <w:b w:val="0"/>
              <w:bCs w:val="0"/>
              <w:noProof/>
              <w:sz w:val="24"/>
              <w:szCs w:val="24"/>
            </w:rPr>
          </w:pPr>
          <w:hyperlink w:anchor="_Toc485646781" w:history="1">
            <w:r w:rsidR="00A54343" w:rsidRPr="00A54343">
              <w:rPr>
                <w:rStyle w:val="Hyperlink"/>
                <w:rFonts w:cs="Tahoma"/>
                <w:b w:val="0"/>
                <w:noProof/>
                <w:sz w:val="24"/>
                <w:szCs w:val="24"/>
              </w:rPr>
              <w:t>Revisions</w:t>
            </w:r>
            <w:r w:rsidR="00A54343" w:rsidRPr="00A54343">
              <w:rPr>
                <w:b w:val="0"/>
                <w:noProof/>
                <w:webHidden/>
                <w:sz w:val="24"/>
                <w:szCs w:val="24"/>
              </w:rPr>
              <w:tab/>
            </w:r>
            <w:r w:rsidR="00A54343" w:rsidRPr="00A54343">
              <w:rPr>
                <w:b w:val="0"/>
                <w:noProof/>
                <w:webHidden/>
                <w:sz w:val="24"/>
                <w:szCs w:val="24"/>
              </w:rPr>
              <w:fldChar w:fldCharType="begin"/>
            </w:r>
            <w:r w:rsidR="00A54343" w:rsidRPr="00A54343">
              <w:rPr>
                <w:b w:val="0"/>
                <w:noProof/>
                <w:webHidden/>
                <w:sz w:val="24"/>
                <w:szCs w:val="24"/>
              </w:rPr>
              <w:instrText xml:space="preserve"> PAGEREF _Toc485646781 \h </w:instrText>
            </w:r>
            <w:r w:rsidR="00A54343" w:rsidRPr="00A54343">
              <w:rPr>
                <w:b w:val="0"/>
                <w:noProof/>
                <w:webHidden/>
                <w:sz w:val="24"/>
                <w:szCs w:val="24"/>
              </w:rPr>
            </w:r>
            <w:r w:rsidR="00A54343" w:rsidRPr="00A54343">
              <w:rPr>
                <w:b w:val="0"/>
                <w:noProof/>
                <w:webHidden/>
                <w:sz w:val="24"/>
                <w:szCs w:val="24"/>
              </w:rPr>
              <w:fldChar w:fldCharType="separate"/>
            </w:r>
            <w:r w:rsidR="00A54343" w:rsidRPr="00A54343">
              <w:rPr>
                <w:b w:val="0"/>
                <w:noProof/>
                <w:webHidden/>
                <w:sz w:val="24"/>
                <w:szCs w:val="24"/>
              </w:rPr>
              <w:t>12</w:t>
            </w:r>
            <w:r w:rsidR="00A54343" w:rsidRPr="00A54343">
              <w:rPr>
                <w:b w:val="0"/>
                <w:noProof/>
                <w:webHidden/>
                <w:sz w:val="24"/>
                <w:szCs w:val="24"/>
              </w:rPr>
              <w:fldChar w:fldCharType="end"/>
            </w:r>
          </w:hyperlink>
        </w:p>
        <w:p w14:paraId="7FB60D37" w14:textId="77777777" w:rsidR="00A54343" w:rsidRPr="00A54343" w:rsidRDefault="00AE12C0">
          <w:pPr>
            <w:pStyle w:val="TOC1"/>
            <w:rPr>
              <w:rFonts w:asciiTheme="minorHAnsi" w:eastAsiaTheme="minorEastAsia" w:hAnsiTheme="minorHAnsi" w:cstheme="minorBidi"/>
              <w:b w:val="0"/>
              <w:bCs w:val="0"/>
              <w:noProof/>
              <w:sz w:val="24"/>
              <w:szCs w:val="24"/>
            </w:rPr>
          </w:pPr>
          <w:hyperlink w:anchor="_Toc485646782" w:history="1">
            <w:r w:rsidR="00A54343" w:rsidRPr="00A54343">
              <w:rPr>
                <w:rStyle w:val="Hyperlink"/>
                <w:rFonts w:cs="Tahoma"/>
                <w:b w:val="0"/>
                <w:noProof/>
                <w:sz w:val="24"/>
                <w:szCs w:val="24"/>
              </w:rPr>
              <w:t>Notes</w:t>
            </w:r>
            <w:r w:rsidR="00A54343" w:rsidRPr="00A54343">
              <w:rPr>
                <w:b w:val="0"/>
                <w:noProof/>
                <w:webHidden/>
                <w:sz w:val="24"/>
                <w:szCs w:val="24"/>
              </w:rPr>
              <w:tab/>
            </w:r>
            <w:r w:rsidR="00A54343" w:rsidRPr="00A54343">
              <w:rPr>
                <w:b w:val="0"/>
                <w:noProof/>
                <w:webHidden/>
                <w:sz w:val="24"/>
                <w:szCs w:val="24"/>
              </w:rPr>
              <w:fldChar w:fldCharType="begin"/>
            </w:r>
            <w:r w:rsidR="00A54343" w:rsidRPr="00A54343">
              <w:rPr>
                <w:b w:val="0"/>
                <w:noProof/>
                <w:webHidden/>
                <w:sz w:val="24"/>
                <w:szCs w:val="24"/>
              </w:rPr>
              <w:instrText xml:space="preserve"> PAGEREF _Toc485646782 \h </w:instrText>
            </w:r>
            <w:r w:rsidR="00A54343" w:rsidRPr="00A54343">
              <w:rPr>
                <w:b w:val="0"/>
                <w:noProof/>
                <w:webHidden/>
                <w:sz w:val="24"/>
                <w:szCs w:val="24"/>
              </w:rPr>
            </w:r>
            <w:r w:rsidR="00A54343" w:rsidRPr="00A54343">
              <w:rPr>
                <w:b w:val="0"/>
                <w:noProof/>
                <w:webHidden/>
                <w:sz w:val="24"/>
                <w:szCs w:val="24"/>
              </w:rPr>
              <w:fldChar w:fldCharType="separate"/>
            </w:r>
            <w:r w:rsidR="00A54343" w:rsidRPr="00A54343">
              <w:rPr>
                <w:b w:val="0"/>
                <w:noProof/>
                <w:webHidden/>
                <w:sz w:val="24"/>
                <w:szCs w:val="24"/>
              </w:rPr>
              <w:t>13</w:t>
            </w:r>
            <w:r w:rsidR="00A54343" w:rsidRPr="00A54343">
              <w:rPr>
                <w:b w:val="0"/>
                <w:noProof/>
                <w:webHidden/>
                <w:sz w:val="24"/>
                <w:szCs w:val="24"/>
              </w:rPr>
              <w:fldChar w:fldCharType="end"/>
            </w:r>
          </w:hyperlink>
        </w:p>
        <w:p w14:paraId="7900502D" w14:textId="77777777" w:rsidR="00A70E85" w:rsidRPr="00380274" w:rsidRDefault="00A70E85" w:rsidP="00A70E85">
          <w:r w:rsidRPr="00A54343">
            <w:rPr>
              <w:bCs/>
              <w:noProof/>
            </w:rPr>
            <w:fldChar w:fldCharType="end"/>
          </w:r>
        </w:p>
      </w:sdtContent>
    </w:sdt>
    <w:p w14:paraId="1C10CF9A" w14:textId="77777777" w:rsidR="00A70E85" w:rsidRPr="00380274" w:rsidRDefault="00A70E85" w:rsidP="00A70E85"/>
    <w:p w14:paraId="2FA3996E" w14:textId="77777777" w:rsidR="001F57B7" w:rsidRPr="00380274" w:rsidRDefault="001F57B7" w:rsidP="00A70E85"/>
    <w:p w14:paraId="4F829A03" w14:textId="77777777" w:rsidR="00BF53D5" w:rsidRPr="00380274" w:rsidRDefault="00BF53D5" w:rsidP="00A70E85"/>
    <w:p w14:paraId="605B47EB" w14:textId="77777777" w:rsidR="00BF53D5" w:rsidRPr="00380274" w:rsidRDefault="00BF53D5" w:rsidP="00A70E85"/>
    <w:p w14:paraId="286FEA1B" w14:textId="77777777" w:rsidR="0096678C" w:rsidRPr="00380274" w:rsidRDefault="0096678C" w:rsidP="00A70E85"/>
    <w:p w14:paraId="6874D80F" w14:textId="77777777" w:rsidR="0096678C" w:rsidRPr="00380274" w:rsidRDefault="0096678C" w:rsidP="00A70E85"/>
    <w:p w14:paraId="6591B7E0" w14:textId="77777777" w:rsidR="0096678C" w:rsidRPr="00380274" w:rsidRDefault="0096678C" w:rsidP="00A70E85"/>
    <w:p w14:paraId="2247F2F4" w14:textId="77777777" w:rsidR="0096678C" w:rsidRPr="00380274" w:rsidRDefault="0096678C" w:rsidP="00A70E85"/>
    <w:p w14:paraId="3D4047AB" w14:textId="77777777" w:rsidR="0096678C" w:rsidRPr="00380274" w:rsidRDefault="0096678C" w:rsidP="00A70E85"/>
    <w:p w14:paraId="4BF90729" w14:textId="77777777" w:rsidR="00A70E85" w:rsidRPr="00380274" w:rsidRDefault="00A70E85" w:rsidP="00A70E85"/>
    <w:p w14:paraId="2B947CEC" w14:textId="77777777" w:rsidR="00A70E85" w:rsidRPr="00380274" w:rsidRDefault="00A70E85" w:rsidP="00BF53D5">
      <w:pPr>
        <w:rPr>
          <w:b/>
          <w:sz w:val="32"/>
          <w:szCs w:val="32"/>
        </w:rPr>
      </w:pPr>
      <w:r w:rsidRPr="00380274">
        <w:rPr>
          <w:b/>
          <w:sz w:val="32"/>
          <w:szCs w:val="32"/>
        </w:rPr>
        <w:t>Acknowledgements</w:t>
      </w:r>
    </w:p>
    <w:p w14:paraId="7A893915" w14:textId="77777777" w:rsidR="00A70E85" w:rsidRPr="00380274" w:rsidRDefault="00A70E85" w:rsidP="00A70E85"/>
    <w:p w14:paraId="7D5FC22D" w14:textId="61CD1DFF" w:rsidR="00A70E85" w:rsidRPr="00380274" w:rsidRDefault="00A70E85" w:rsidP="00A70E85">
      <w:r w:rsidRPr="00380274">
        <w:t xml:space="preserve">Thanks to the following for their contribution to this statistical release: Stuart Lloyd, Marc McGreavy and Paul Grainger. </w:t>
      </w:r>
    </w:p>
    <w:p w14:paraId="43FCABA7" w14:textId="77777777" w:rsidR="00ED12A2" w:rsidRPr="00380274" w:rsidRDefault="00ED12A2">
      <w:pPr>
        <w:rPr>
          <w:b/>
        </w:rPr>
      </w:pPr>
    </w:p>
    <w:p w14:paraId="4F520221" w14:textId="77777777" w:rsidR="00ED12A2" w:rsidRPr="00380274" w:rsidRDefault="00ED12A2">
      <w:pPr>
        <w:rPr>
          <w:b/>
        </w:rPr>
      </w:pPr>
    </w:p>
    <w:p w14:paraId="66779E1E" w14:textId="77777777" w:rsidR="00ED12A2" w:rsidRPr="00380274" w:rsidRDefault="00ED12A2">
      <w:pPr>
        <w:rPr>
          <w:b/>
        </w:rPr>
      </w:pPr>
      <w:r w:rsidRPr="00380274">
        <w:rPr>
          <w:b/>
        </w:rPr>
        <w:br w:type="page"/>
      </w:r>
    </w:p>
    <w:p w14:paraId="5DD8958B" w14:textId="3A56D874" w:rsidR="00D87C19" w:rsidRPr="00380274" w:rsidRDefault="00D87C19" w:rsidP="00ED12A2">
      <w:pPr>
        <w:pStyle w:val="Heading1"/>
        <w:spacing w:before="0"/>
        <w:rPr>
          <w:rFonts w:ascii="Tahoma" w:hAnsi="Tahoma" w:cs="Tahoma"/>
          <w:b/>
          <w:color w:val="auto"/>
        </w:rPr>
      </w:pPr>
      <w:bookmarkStart w:id="1" w:name="_Toc485646772"/>
      <w:r w:rsidRPr="00380274">
        <w:rPr>
          <w:rFonts w:ascii="Tahoma" w:hAnsi="Tahoma" w:cs="Tahoma"/>
          <w:b/>
          <w:color w:val="auto"/>
        </w:rPr>
        <w:lastRenderedPageBreak/>
        <w:t>Introduction</w:t>
      </w:r>
      <w:bookmarkEnd w:id="1"/>
    </w:p>
    <w:p w14:paraId="031672B3" w14:textId="77777777" w:rsidR="00D87C19" w:rsidRPr="00380274" w:rsidRDefault="00D87C19" w:rsidP="00D87C19"/>
    <w:p w14:paraId="2D4E0C4F" w14:textId="77777777" w:rsidR="00B55B2F" w:rsidRPr="00380274" w:rsidRDefault="00B55B2F" w:rsidP="0099088E">
      <w:pPr>
        <w:pStyle w:val="Heading2"/>
        <w:rPr>
          <w:rFonts w:ascii="Tahoma" w:hAnsi="Tahoma" w:cs="Tahoma"/>
          <w:b/>
          <w:color w:val="auto"/>
          <w:sz w:val="28"/>
          <w:szCs w:val="28"/>
        </w:rPr>
      </w:pPr>
      <w:bookmarkStart w:id="2" w:name="_Toc485646773"/>
      <w:r w:rsidRPr="00380274">
        <w:rPr>
          <w:rFonts w:ascii="Tahoma" w:hAnsi="Tahoma" w:cs="Tahoma"/>
          <w:b/>
          <w:color w:val="auto"/>
          <w:sz w:val="28"/>
          <w:szCs w:val="28"/>
        </w:rPr>
        <w:t>In-year inspection outcomes</w:t>
      </w:r>
      <w:bookmarkEnd w:id="2"/>
      <w:r w:rsidRPr="00380274">
        <w:rPr>
          <w:rFonts w:ascii="Tahoma" w:hAnsi="Tahoma" w:cs="Tahoma"/>
          <w:b/>
          <w:color w:val="auto"/>
          <w:sz w:val="28"/>
          <w:szCs w:val="28"/>
        </w:rPr>
        <w:t xml:space="preserve"> </w:t>
      </w:r>
    </w:p>
    <w:p w14:paraId="263AF995" w14:textId="77777777" w:rsidR="00B55B2F" w:rsidRPr="00380274" w:rsidRDefault="00B55B2F" w:rsidP="00B55B2F">
      <w:pPr>
        <w:rPr>
          <w:b/>
        </w:rPr>
      </w:pPr>
    </w:p>
    <w:p w14:paraId="502F3EDC" w14:textId="31B19681" w:rsidR="005F19FE" w:rsidRPr="00380274" w:rsidRDefault="005F19FE" w:rsidP="005F19FE">
      <w:pPr>
        <w:pStyle w:val="NoSpacing"/>
        <w:jc w:val="left"/>
        <w:rPr>
          <w:rFonts w:cs="Tahoma"/>
          <w:bCs/>
        </w:rPr>
      </w:pPr>
      <w:r w:rsidRPr="00380274">
        <w:rPr>
          <w:rFonts w:cs="Tahoma"/>
          <w:bCs/>
        </w:rPr>
        <w:t xml:space="preserve">Between </w:t>
      </w:r>
      <w:r w:rsidRPr="00380274">
        <w:t>1 September 2016 and 28 February 2017</w:t>
      </w:r>
      <w:r w:rsidRPr="00380274">
        <w:rPr>
          <w:rFonts w:cs="Tahoma"/>
          <w:bCs/>
        </w:rPr>
        <w:t>, 20</w:t>
      </w:r>
      <w:r w:rsidR="002F5B54" w:rsidRPr="00380274">
        <w:rPr>
          <w:rFonts w:cs="Tahoma"/>
          <w:bCs/>
        </w:rPr>
        <w:t>1</w:t>
      </w:r>
      <w:r w:rsidRPr="00380274">
        <w:rPr>
          <w:rFonts w:cs="Tahoma"/>
          <w:bCs/>
        </w:rPr>
        <w:t xml:space="preserve"> further education and skills providers were inspected. </w:t>
      </w:r>
      <w:r w:rsidR="007A03A5" w:rsidRPr="00380274">
        <w:rPr>
          <w:rFonts w:cs="Tahoma"/>
          <w:bCs/>
        </w:rPr>
        <w:t>This included</w:t>
      </w:r>
      <w:r w:rsidR="002F5B54" w:rsidRPr="00380274">
        <w:rPr>
          <w:rFonts w:cs="Tahoma"/>
          <w:bCs/>
        </w:rPr>
        <w:t xml:space="preserve"> 62</w:t>
      </w:r>
      <w:r w:rsidRPr="00380274">
        <w:rPr>
          <w:rFonts w:cs="Tahoma"/>
          <w:bCs/>
        </w:rPr>
        <w:t xml:space="preserve"> colleges, 7</w:t>
      </w:r>
      <w:r w:rsidR="002F5B54" w:rsidRPr="00380274">
        <w:rPr>
          <w:rFonts w:cs="Tahoma"/>
          <w:bCs/>
        </w:rPr>
        <w:t>0</w:t>
      </w:r>
      <w:r w:rsidRPr="00380274">
        <w:t xml:space="preserve"> </w:t>
      </w:r>
      <w:r w:rsidRPr="00380274">
        <w:rPr>
          <w:rFonts w:cs="Tahoma"/>
          <w:bCs/>
        </w:rPr>
        <w:t xml:space="preserve">independent learning providers (including employer providers) and </w:t>
      </w:r>
      <w:r w:rsidR="002F5B54" w:rsidRPr="00380274">
        <w:rPr>
          <w:rFonts w:cs="Tahoma"/>
          <w:bCs/>
        </w:rPr>
        <w:t>39</w:t>
      </w:r>
      <w:r w:rsidRPr="00380274">
        <w:rPr>
          <w:rFonts w:cs="Tahoma"/>
          <w:bCs/>
        </w:rPr>
        <w:t xml:space="preserve"> community learning and skills</w:t>
      </w:r>
      <w:r w:rsidR="00BB67B7" w:rsidRPr="00380274">
        <w:rPr>
          <w:rFonts w:cs="Tahoma"/>
          <w:bCs/>
        </w:rPr>
        <w:t xml:space="preserve"> providers</w:t>
      </w:r>
      <w:r w:rsidRPr="00380274">
        <w:rPr>
          <w:rFonts w:cs="Tahoma"/>
          <w:bCs/>
        </w:rPr>
        <w:t xml:space="preserve">. Ofsted also contributed to the inspections of </w:t>
      </w:r>
      <w:r w:rsidR="007A03A5" w:rsidRPr="00380274">
        <w:rPr>
          <w:rFonts w:cs="Tahoma"/>
          <w:bCs/>
        </w:rPr>
        <w:t>2</w:t>
      </w:r>
      <w:r w:rsidR="000F07B5" w:rsidRPr="00380274">
        <w:rPr>
          <w:rFonts w:cs="Tahoma"/>
          <w:bCs/>
        </w:rPr>
        <w:t>1</w:t>
      </w:r>
      <w:r w:rsidRPr="00380274">
        <w:rPr>
          <w:rFonts w:cs="Tahoma"/>
          <w:bCs/>
        </w:rPr>
        <w:t xml:space="preserve"> prisons and young offender institutions, where the reports were published between 1 September 2016 and </w:t>
      </w:r>
      <w:r w:rsidRPr="00380274">
        <w:t>28 February 2017</w:t>
      </w:r>
      <w:r w:rsidRPr="00380274">
        <w:rPr>
          <w:rFonts w:cs="Tahoma"/>
          <w:bCs/>
        </w:rPr>
        <w:t>.</w:t>
      </w:r>
    </w:p>
    <w:p w14:paraId="3F8B54EA" w14:textId="77777777" w:rsidR="005F19FE" w:rsidRPr="00380274" w:rsidRDefault="005F19FE" w:rsidP="005F19FE">
      <w:pPr>
        <w:pStyle w:val="NoSpacing"/>
        <w:jc w:val="left"/>
        <w:rPr>
          <w:rFonts w:cs="Tahoma"/>
          <w:bCs/>
        </w:rPr>
      </w:pPr>
    </w:p>
    <w:p w14:paraId="3EA6C3BC" w14:textId="5C4A1EBD" w:rsidR="00280643" w:rsidRDefault="00AD2E03" w:rsidP="005F19FE">
      <w:pPr>
        <w:pStyle w:val="NoSpacing"/>
        <w:jc w:val="left"/>
        <w:rPr>
          <w:rFonts w:cs="Tahoma"/>
          <w:bCs/>
        </w:rPr>
      </w:pPr>
      <w:r w:rsidRPr="00380274">
        <w:rPr>
          <w:rFonts w:cs="Tahoma"/>
          <w:bCs/>
        </w:rPr>
        <w:t xml:space="preserve">The 201 inspections consisted of </w:t>
      </w:r>
      <w:r w:rsidR="005F19FE" w:rsidRPr="00380274">
        <w:rPr>
          <w:rFonts w:cs="Tahoma"/>
          <w:bCs/>
        </w:rPr>
        <w:t>15</w:t>
      </w:r>
      <w:r w:rsidR="002F5B54" w:rsidRPr="00380274">
        <w:rPr>
          <w:rFonts w:cs="Tahoma"/>
          <w:bCs/>
        </w:rPr>
        <w:t>1</w:t>
      </w:r>
      <w:r w:rsidR="005F19FE" w:rsidRPr="00380274">
        <w:rPr>
          <w:rFonts w:cs="Tahoma"/>
          <w:bCs/>
        </w:rPr>
        <w:t xml:space="preserve"> </w:t>
      </w:r>
      <w:r w:rsidR="002F5B54" w:rsidRPr="00380274">
        <w:rPr>
          <w:rFonts w:cs="Tahoma"/>
          <w:bCs/>
        </w:rPr>
        <w:t>full inspection</w:t>
      </w:r>
      <w:r w:rsidR="00280643" w:rsidRPr="00380274">
        <w:rPr>
          <w:rFonts w:cs="Tahoma"/>
          <w:bCs/>
        </w:rPr>
        <w:t>s</w:t>
      </w:r>
      <w:r w:rsidRPr="00380274">
        <w:rPr>
          <w:rFonts w:cs="Tahoma"/>
          <w:bCs/>
        </w:rPr>
        <w:t xml:space="preserve"> and 50 short inspections (including conversions). These inspections can be broken down in to the following categories:</w:t>
      </w:r>
    </w:p>
    <w:p w14:paraId="2D6EE028" w14:textId="77777777" w:rsidR="0067204B" w:rsidRPr="00380274" w:rsidRDefault="0067204B" w:rsidP="005F19FE">
      <w:pPr>
        <w:pStyle w:val="NoSpacing"/>
        <w:jc w:val="left"/>
        <w:rPr>
          <w:rFonts w:cs="Tahoma"/>
          <w:bCs/>
        </w:rPr>
      </w:pPr>
    </w:p>
    <w:p w14:paraId="0A2515AE" w14:textId="4A9ED0F7" w:rsidR="00280643" w:rsidRPr="00380274" w:rsidRDefault="00AE32F5" w:rsidP="00DB4739">
      <w:pPr>
        <w:pStyle w:val="NoSpacing"/>
        <w:numPr>
          <w:ilvl w:val="0"/>
          <w:numId w:val="33"/>
        </w:numPr>
        <w:jc w:val="left"/>
        <w:rPr>
          <w:rFonts w:eastAsiaTheme="minorHAnsi" w:cs="Tahoma"/>
          <w:lang w:eastAsia="en-US"/>
        </w:rPr>
      </w:pPr>
      <w:r w:rsidRPr="00380274">
        <w:rPr>
          <w:rFonts w:eastAsiaTheme="minorHAnsi" w:cs="Tahoma"/>
          <w:lang w:eastAsia="en-US"/>
        </w:rPr>
        <w:t>71</w:t>
      </w:r>
      <w:r w:rsidR="00280643" w:rsidRPr="00380274">
        <w:rPr>
          <w:rFonts w:eastAsiaTheme="minorHAnsi" w:cs="Tahoma"/>
          <w:lang w:eastAsia="en-US"/>
        </w:rPr>
        <w:t xml:space="preserve"> risk assessed </w:t>
      </w:r>
      <w:r w:rsidR="00BA0D56" w:rsidRPr="00380274">
        <w:rPr>
          <w:rFonts w:eastAsiaTheme="minorHAnsi" w:cs="Tahoma"/>
          <w:lang w:eastAsia="en-US"/>
        </w:rPr>
        <w:t xml:space="preserve">full </w:t>
      </w:r>
      <w:r w:rsidR="00280643" w:rsidRPr="00380274">
        <w:rPr>
          <w:rFonts w:eastAsiaTheme="minorHAnsi" w:cs="Tahoma"/>
          <w:lang w:eastAsia="en-US"/>
        </w:rPr>
        <w:t>inspections of previously good or outstanding providers</w:t>
      </w:r>
    </w:p>
    <w:p w14:paraId="5429691A" w14:textId="6D54B944" w:rsidR="00AD2E03" w:rsidRPr="00380274" w:rsidRDefault="00AD2E03" w:rsidP="00AD2E03">
      <w:pPr>
        <w:pStyle w:val="NoSpacing"/>
        <w:numPr>
          <w:ilvl w:val="0"/>
          <w:numId w:val="33"/>
        </w:numPr>
        <w:jc w:val="left"/>
        <w:rPr>
          <w:rFonts w:eastAsiaTheme="minorHAnsi" w:cs="Tahoma"/>
          <w:lang w:eastAsia="en-US"/>
        </w:rPr>
      </w:pPr>
      <w:r w:rsidRPr="00380274">
        <w:rPr>
          <w:rFonts w:eastAsiaTheme="minorHAnsi" w:cs="Tahoma"/>
          <w:lang w:eastAsia="en-US"/>
        </w:rPr>
        <w:t xml:space="preserve">50 short inspections of previously good </w:t>
      </w:r>
      <w:r w:rsidR="00823114" w:rsidRPr="00380274">
        <w:rPr>
          <w:rFonts w:eastAsiaTheme="minorHAnsi" w:cs="Tahoma"/>
          <w:lang w:eastAsia="en-US"/>
        </w:rPr>
        <w:t>providers</w:t>
      </w:r>
    </w:p>
    <w:p w14:paraId="59D05DB2" w14:textId="0F72AF0D" w:rsidR="00280643" w:rsidRPr="00380274" w:rsidRDefault="0067204B" w:rsidP="00DB4739">
      <w:pPr>
        <w:pStyle w:val="NoSpacing"/>
        <w:numPr>
          <w:ilvl w:val="0"/>
          <w:numId w:val="33"/>
        </w:numPr>
        <w:jc w:val="left"/>
        <w:rPr>
          <w:rFonts w:eastAsiaTheme="minorHAnsi" w:cs="Tahoma"/>
          <w:lang w:eastAsia="en-US"/>
        </w:rPr>
      </w:pPr>
      <w:r>
        <w:rPr>
          <w:rFonts w:eastAsiaTheme="minorHAnsi" w:cs="Tahoma"/>
          <w:lang w:eastAsia="en-US"/>
        </w:rPr>
        <w:t>54</w:t>
      </w:r>
      <w:r w:rsidR="00280643" w:rsidRPr="00380274">
        <w:rPr>
          <w:rFonts w:eastAsiaTheme="minorHAnsi" w:cs="Tahoma"/>
          <w:lang w:eastAsia="en-US"/>
        </w:rPr>
        <w:t xml:space="preserve"> </w:t>
      </w:r>
      <w:r w:rsidR="00BA0D56" w:rsidRPr="00380274">
        <w:rPr>
          <w:rFonts w:eastAsiaTheme="minorHAnsi" w:cs="Tahoma"/>
          <w:lang w:eastAsia="en-US"/>
        </w:rPr>
        <w:t xml:space="preserve">full </w:t>
      </w:r>
      <w:r>
        <w:rPr>
          <w:rFonts w:eastAsiaTheme="minorHAnsi" w:cs="Tahoma"/>
          <w:lang w:eastAsia="en-US"/>
        </w:rPr>
        <w:t>re-</w:t>
      </w:r>
      <w:r w:rsidR="00280643" w:rsidRPr="00380274">
        <w:rPr>
          <w:rFonts w:eastAsiaTheme="minorHAnsi" w:cs="Tahoma"/>
          <w:lang w:eastAsia="en-US"/>
        </w:rPr>
        <w:t>inspections of previously requires improvement or inadequate providers</w:t>
      </w:r>
    </w:p>
    <w:p w14:paraId="52B4F0F7" w14:textId="1CA3D7E8" w:rsidR="00AD2E03" w:rsidRPr="00380274" w:rsidRDefault="00280643" w:rsidP="00DB4739">
      <w:pPr>
        <w:pStyle w:val="NoSpacing"/>
        <w:numPr>
          <w:ilvl w:val="0"/>
          <w:numId w:val="33"/>
        </w:numPr>
        <w:jc w:val="left"/>
        <w:rPr>
          <w:rFonts w:eastAsiaTheme="minorHAnsi" w:cs="Tahoma"/>
          <w:lang w:eastAsia="en-US"/>
        </w:rPr>
      </w:pPr>
      <w:r w:rsidRPr="00380274">
        <w:rPr>
          <w:rFonts w:eastAsiaTheme="minorHAnsi" w:cs="Tahoma"/>
          <w:lang w:eastAsia="en-US"/>
        </w:rPr>
        <w:t xml:space="preserve">26 </w:t>
      </w:r>
      <w:r w:rsidR="00BA0D56" w:rsidRPr="00380274">
        <w:rPr>
          <w:rFonts w:eastAsiaTheme="minorHAnsi" w:cs="Tahoma"/>
          <w:lang w:eastAsia="en-US"/>
        </w:rPr>
        <w:t xml:space="preserve">full </w:t>
      </w:r>
      <w:r w:rsidRPr="00380274">
        <w:rPr>
          <w:rFonts w:eastAsiaTheme="minorHAnsi" w:cs="Tahoma"/>
          <w:lang w:eastAsia="en-US"/>
        </w:rPr>
        <w:t xml:space="preserve">inspections of </w:t>
      </w:r>
      <w:r w:rsidR="00DB4739" w:rsidRPr="00380274">
        <w:rPr>
          <w:rFonts w:eastAsiaTheme="minorHAnsi" w:cs="Tahoma"/>
          <w:lang w:eastAsia="en-US"/>
        </w:rPr>
        <w:t>new providers (those that were inspected for the first time)</w:t>
      </w:r>
      <w:r w:rsidR="00AD2E03" w:rsidRPr="00380274">
        <w:rPr>
          <w:rFonts w:eastAsiaTheme="minorHAnsi" w:cs="Tahoma"/>
          <w:lang w:eastAsia="en-US"/>
        </w:rPr>
        <w:t>.</w:t>
      </w:r>
    </w:p>
    <w:p w14:paraId="3D39B15C" w14:textId="77777777" w:rsidR="00280643" w:rsidRPr="00380274" w:rsidRDefault="00280643" w:rsidP="005F19FE">
      <w:pPr>
        <w:pStyle w:val="NoSpacing"/>
        <w:jc w:val="left"/>
        <w:rPr>
          <w:rFonts w:cs="Tahoma"/>
          <w:bCs/>
        </w:rPr>
      </w:pPr>
    </w:p>
    <w:p w14:paraId="5F456A6D" w14:textId="47E65493" w:rsidR="005F19FE" w:rsidRPr="00380274" w:rsidRDefault="005F19FE" w:rsidP="005F19FE">
      <w:pPr>
        <w:pStyle w:val="NoSpacing"/>
        <w:jc w:val="left"/>
        <w:rPr>
          <w:rFonts w:cs="Tahoma"/>
          <w:bCs/>
        </w:rPr>
      </w:pPr>
      <w:r w:rsidRPr="00380274">
        <w:rPr>
          <w:rFonts w:cs="Tahoma"/>
          <w:bCs/>
        </w:rPr>
        <w:t xml:space="preserve">The short inspections resulted in </w:t>
      </w:r>
      <w:r w:rsidR="002F5B54" w:rsidRPr="00380274">
        <w:rPr>
          <w:rFonts w:cs="Tahoma"/>
          <w:bCs/>
        </w:rPr>
        <w:t>39</w:t>
      </w:r>
      <w:r w:rsidRPr="00380274">
        <w:rPr>
          <w:rFonts w:cs="Tahoma"/>
          <w:bCs/>
        </w:rPr>
        <w:t xml:space="preserve"> providers remaining good, with 11 short inspections converting to a full inspection. From these converted inspections five providers improved to outstanding, three remained good and three declined to requires improvement.</w:t>
      </w:r>
    </w:p>
    <w:p w14:paraId="0510B423" w14:textId="4AA3B579" w:rsidR="005F19FE" w:rsidRPr="00380274" w:rsidRDefault="004561CF" w:rsidP="005F19FE">
      <w:pPr>
        <w:pStyle w:val="NoSpacing"/>
        <w:jc w:val="left"/>
        <w:rPr>
          <w:rFonts w:cs="Tahoma"/>
          <w:bCs/>
          <w:sz w:val="12"/>
          <w:szCs w:val="12"/>
        </w:rPr>
      </w:pPr>
      <w:r w:rsidRPr="00380274">
        <w:rPr>
          <w:rFonts w:cs="Tahoma"/>
          <w:bCs/>
          <w:noProof/>
          <w:sz w:val="12"/>
          <w:szCs w:val="12"/>
        </w:rPr>
        <mc:AlternateContent>
          <mc:Choice Requires="wps">
            <w:drawing>
              <wp:anchor distT="0" distB="0" distL="114300" distR="114300" simplePos="0" relativeHeight="251683840" behindDoc="0" locked="0" layoutInCell="1" allowOverlap="1" wp14:anchorId="76E64C36" wp14:editId="755EA318">
                <wp:simplePos x="0" y="0"/>
                <wp:positionH relativeFrom="column">
                  <wp:posOffset>-62865</wp:posOffset>
                </wp:positionH>
                <wp:positionV relativeFrom="paragraph">
                  <wp:posOffset>113030</wp:posOffset>
                </wp:positionV>
                <wp:extent cx="5991225" cy="1847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991225" cy="1847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EEE66" id="Rectangle 5" o:spid="_x0000_s1026" style="position:absolute;margin-left:-4.95pt;margin-top:8.9pt;width:471.75pt;height:1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nkmwIAAI8FAAAOAAAAZHJzL2Uyb0RvYy54bWysVEtv2zAMvg/YfxB0X/1AsjZBnSJo0WFA&#10;0RZth55VWYoFyKImKXGyXz9KfiToih2G+SCLIvlR/ETy8mrfarITziswFS3OckqE4VArs6noj5fb&#10;LxeU+MBMzTQYUdGD8PRq9fnTZWeXooQGdC0cQRDjl52taBOCXWaZ541omT8DKwwqJbiWBRTdJqsd&#10;6xC91VmZ51+zDlxtHXDhPZ7e9Eq6SvhSCh4epPQiEF1RvFtIq0vrW1yz1SVbbhyzjeLDNdg/3KJl&#10;ymDQCeqGBUa2Tv0B1SruwIMMZxzaDKRUXKQcMJsif5fNc8OsSLkgOd5ONPn/B8vvd4+OqLqic0oM&#10;a/GJnpA0ZjZakHmkp7N+iVbP9tENksdtzHUvXRv/mAXZJ0oPE6ViHwjHw/liUZQlYnPUFRez84t5&#10;Ij07ulvnwzcBLYmbijoMn6hkuzsfMCSajiYxmoFbpXV6N21Ih6jleZ4nDw9a1VEb7VIJiWvtyI7h&#10;44d9EbNBsBMrlLTBw5hjn1XahYMWEUKbJyGRHMyj7APEsjxiMs6FCUWvalgt+lDzHL8x2OiRQifA&#10;iCzxkhP2ADBa9iAjdn/nwT66ilTVk/OQ+d+cJ48UGUyYnFtlwH2Umcashsi9/UhST01k6Q3qA5aO&#10;g76nvOW3Ch/wjvnwyBw2EbYbDobwgIvUgA8Fw46SBtyvj86jPdY2ainpsCkr6n9umROU6O8Gq35R&#10;zGaxi5Mwm5+XKLhTzdupxmzba8CnL3AEWZ620T7ocSsdtK84P9YxKqqY4Ri7ojy4UbgO/bDACcTF&#10;ep3MsHMtC3fm2fIIHlmNBfqyf2XODlUcsAHuYWxgtnxXzL1t9DSw3gaQKlX6kdeBb+z6VDjDhIpj&#10;5VROVsc5uvoNAAD//wMAUEsDBBQABgAIAAAAIQCyCdeS4QAAAAkBAAAPAAAAZHJzL2Rvd25yZXYu&#10;eG1sTI/BTsMwEETvSPyDtUhcqtYpkUqSxqkQCNQDQqLAoTcnXuLQeB3Fbhv+nuUEx50Zzb4pN5Pr&#10;xQnH0HlSsFwkIJAabzpqFby/Pc4zECFqMrr3hAq+McCmurwodWH8mV7xtIut4BIKhVZgYxwKKUNj&#10;0emw8AMSe59+dDryObbSjPrM5a6XN0mykk53xB+sHvDeYnPYHZ2C/XaK7dfyKT4f9OxjtrV18/JQ&#10;K3V9Nd2tQUSc4l8YfvEZHSpmqv2RTBC9gnmec5L1W17Afp6mKxC1gjTJMpBVKf8vqH4AAAD//wMA&#10;UEsBAi0AFAAGAAgAAAAhALaDOJL+AAAA4QEAABMAAAAAAAAAAAAAAAAAAAAAAFtDb250ZW50X1R5&#10;cGVzXS54bWxQSwECLQAUAAYACAAAACEAOP0h/9YAAACUAQAACwAAAAAAAAAAAAAAAAAvAQAAX3Jl&#10;bHMvLnJlbHNQSwECLQAUAAYACAAAACEATJXZ5JsCAACPBQAADgAAAAAAAAAAAAAAAAAuAgAAZHJz&#10;L2Uyb0RvYy54bWxQSwECLQAUAAYACAAAACEAsgnXkuEAAAAJAQAADwAAAAAAAAAAAAAAAAD1BAAA&#10;ZHJzL2Rvd25yZXYueG1sUEsFBgAAAAAEAAQA8wAAAAMGAAAAAA==&#10;" filled="f" strokecolor="black [3213]" strokeweight="1pt"/>
            </w:pict>
          </mc:Fallback>
        </mc:AlternateContent>
      </w:r>
    </w:p>
    <w:p w14:paraId="6CDB62B4" w14:textId="0E90EAC8" w:rsidR="005F19FE" w:rsidRPr="00380274" w:rsidRDefault="005F19FE" w:rsidP="005F19FE">
      <w:pPr>
        <w:pStyle w:val="NoSpacing"/>
        <w:jc w:val="left"/>
        <w:rPr>
          <w:rFonts w:cs="Tahoma"/>
          <w:bCs/>
          <w:sz w:val="12"/>
          <w:szCs w:val="12"/>
        </w:rPr>
      </w:pPr>
    </w:p>
    <w:p w14:paraId="376671E0" w14:textId="77777777" w:rsidR="005F19FE" w:rsidRPr="00380274" w:rsidRDefault="005F19FE" w:rsidP="005F19FE">
      <w:pPr>
        <w:pStyle w:val="NoSpacing"/>
        <w:jc w:val="left"/>
        <w:rPr>
          <w:rFonts w:cs="Tahoma"/>
          <w:b/>
          <w:bCs/>
          <w:sz w:val="22"/>
          <w:szCs w:val="22"/>
        </w:rPr>
      </w:pPr>
      <w:r w:rsidRPr="00380274">
        <w:rPr>
          <w:rFonts w:cs="Tahoma"/>
          <w:b/>
          <w:bCs/>
          <w:sz w:val="22"/>
          <w:szCs w:val="22"/>
        </w:rPr>
        <w:t>Figure 2: The number of short inspections and their outcomes</w:t>
      </w:r>
    </w:p>
    <w:p w14:paraId="702B7A29" w14:textId="64A10C4E" w:rsidR="005F19FE" w:rsidRPr="00380274" w:rsidRDefault="00024E49" w:rsidP="005F19FE">
      <w:pPr>
        <w:pStyle w:val="NoSpacing"/>
        <w:jc w:val="left"/>
        <w:rPr>
          <w:rFonts w:cs="Tahoma"/>
          <w:bCs/>
        </w:rPr>
      </w:pPr>
      <w:r>
        <w:rPr>
          <w:noProof/>
        </w:rPr>
        <w:drawing>
          <wp:inline distT="0" distB="0" distL="0" distR="0" wp14:anchorId="1161ECE2" wp14:editId="74C9627B">
            <wp:extent cx="5838825" cy="1600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8825" cy="1600200"/>
                    </a:xfrm>
                    <a:prstGeom prst="rect">
                      <a:avLst/>
                    </a:prstGeom>
                  </pic:spPr>
                </pic:pic>
              </a:graphicData>
            </a:graphic>
          </wp:inline>
        </w:drawing>
      </w:r>
    </w:p>
    <w:p w14:paraId="4EFA644A" w14:textId="77777777" w:rsidR="005F19FE" w:rsidRPr="00380274" w:rsidRDefault="005F19FE" w:rsidP="005F19FE">
      <w:pPr>
        <w:pStyle w:val="NoSpacing"/>
        <w:jc w:val="left"/>
        <w:rPr>
          <w:rFonts w:cs="Tahoma"/>
          <w:bCs/>
          <w:sz w:val="8"/>
        </w:rPr>
      </w:pPr>
    </w:p>
    <w:p w14:paraId="51E03901" w14:textId="069094FB" w:rsidR="00B55B2F" w:rsidRPr="00380274" w:rsidRDefault="00BB67B7" w:rsidP="00FD441E">
      <w:pPr>
        <w:pStyle w:val="NoSpacing"/>
        <w:jc w:val="left"/>
        <w:rPr>
          <w:rFonts w:cs="Tahoma"/>
          <w:bCs/>
        </w:rPr>
      </w:pPr>
      <w:r w:rsidRPr="00380274">
        <w:rPr>
          <w:rFonts w:cs="Tahoma"/>
          <w:bCs/>
        </w:rPr>
        <w:t>Overall,</w:t>
      </w:r>
      <w:r w:rsidR="00556218" w:rsidRPr="00380274">
        <w:rPr>
          <w:rFonts w:cs="Tahoma"/>
          <w:bCs/>
        </w:rPr>
        <w:t xml:space="preserve"> 6% of the providers were judged to be outstanding</w:t>
      </w:r>
      <w:r w:rsidR="000F1058" w:rsidRPr="00380274">
        <w:rPr>
          <w:rFonts w:cs="Tahoma"/>
          <w:bCs/>
        </w:rPr>
        <w:t>, 56</w:t>
      </w:r>
      <w:r w:rsidR="004561CF" w:rsidRPr="00380274">
        <w:rPr>
          <w:rFonts w:cs="Tahoma"/>
          <w:bCs/>
        </w:rPr>
        <w:t>% good</w:t>
      </w:r>
      <w:r w:rsidR="000F1058" w:rsidRPr="00380274">
        <w:rPr>
          <w:rFonts w:cs="Tahoma"/>
          <w:bCs/>
        </w:rPr>
        <w:t>, 29% require</w:t>
      </w:r>
      <w:r w:rsidR="003A5791" w:rsidRPr="00380274">
        <w:rPr>
          <w:rFonts w:cs="Tahoma"/>
          <w:bCs/>
        </w:rPr>
        <w:t>s</w:t>
      </w:r>
      <w:r w:rsidR="000F1058" w:rsidRPr="00380274">
        <w:rPr>
          <w:rFonts w:cs="Tahoma"/>
          <w:bCs/>
        </w:rPr>
        <w:t xml:space="preserve"> improvement and 8</w:t>
      </w:r>
      <w:r w:rsidR="004561CF" w:rsidRPr="00380274">
        <w:rPr>
          <w:rFonts w:cs="Tahoma"/>
          <w:bCs/>
        </w:rPr>
        <w:t>% inadequate</w:t>
      </w:r>
      <w:r w:rsidR="00556218" w:rsidRPr="00380274">
        <w:rPr>
          <w:rFonts w:cs="Tahoma"/>
          <w:bCs/>
        </w:rPr>
        <w:t>.</w:t>
      </w:r>
      <w:r w:rsidR="00D97867" w:rsidRPr="00380274">
        <w:rPr>
          <w:rFonts w:cs="Tahoma"/>
          <w:bCs/>
        </w:rPr>
        <w:t xml:space="preserve"> </w:t>
      </w:r>
    </w:p>
    <w:p w14:paraId="104962AF" w14:textId="77777777" w:rsidR="00FD441E" w:rsidRPr="00380274" w:rsidRDefault="00FD441E" w:rsidP="00FD441E">
      <w:pPr>
        <w:pStyle w:val="NoSpacing"/>
        <w:jc w:val="left"/>
        <w:rPr>
          <w:rFonts w:cs="Tahoma"/>
          <w:bCs/>
        </w:rPr>
      </w:pPr>
    </w:p>
    <w:p w14:paraId="21F7C96F" w14:textId="77777777" w:rsidR="00B55B2F" w:rsidRPr="00380274" w:rsidRDefault="00B55B2F" w:rsidP="0099088E">
      <w:pPr>
        <w:pStyle w:val="Heading2"/>
        <w:rPr>
          <w:rFonts w:ascii="Tahoma" w:hAnsi="Tahoma" w:cs="Tahoma"/>
          <w:b/>
          <w:color w:val="auto"/>
          <w:sz w:val="28"/>
          <w:szCs w:val="28"/>
        </w:rPr>
      </w:pPr>
      <w:bookmarkStart w:id="3" w:name="_Toc485646774"/>
      <w:r w:rsidRPr="00380274">
        <w:rPr>
          <w:rFonts w:ascii="Tahoma" w:hAnsi="Tahoma" w:cs="Tahoma"/>
          <w:b/>
          <w:color w:val="auto"/>
          <w:sz w:val="28"/>
          <w:szCs w:val="28"/>
        </w:rPr>
        <w:t>Most recent inspection outcomes</w:t>
      </w:r>
      <w:bookmarkEnd w:id="3"/>
    </w:p>
    <w:p w14:paraId="39F77AA5" w14:textId="77777777" w:rsidR="00B55B2F" w:rsidRPr="00380274" w:rsidRDefault="00B55B2F" w:rsidP="00B55B2F"/>
    <w:p w14:paraId="616ECA65" w14:textId="729B1877" w:rsidR="00D97867" w:rsidRPr="00380274" w:rsidRDefault="00B55B2F" w:rsidP="00B55B2F">
      <w:r w:rsidRPr="00380274">
        <w:t xml:space="preserve">As at 28 February 2017, </w:t>
      </w:r>
      <w:r w:rsidR="00D97867" w:rsidRPr="00380274">
        <w:t xml:space="preserve">there were </w:t>
      </w:r>
      <w:r w:rsidR="00AC398B" w:rsidRPr="00380274">
        <w:t>1,198</w:t>
      </w:r>
      <w:r w:rsidR="00D97867" w:rsidRPr="00380274">
        <w:t xml:space="preserve"> open and fun</w:t>
      </w:r>
      <w:r w:rsidR="00A26C30" w:rsidRPr="00380274">
        <w:t xml:space="preserve">ded further education </w:t>
      </w:r>
      <w:r w:rsidR="0014567F" w:rsidRPr="00380274">
        <w:t xml:space="preserve">and skills </w:t>
      </w:r>
      <w:r w:rsidR="00A26C30" w:rsidRPr="00380274">
        <w:t>providers</w:t>
      </w:r>
      <w:r w:rsidR="0014567F" w:rsidRPr="00380274">
        <w:t>,</w:t>
      </w:r>
      <w:r w:rsidR="00A26C30" w:rsidRPr="00380274">
        <w:t xml:space="preserve"> of which 89% had been inspected.</w:t>
      </w:r>
      <w:r w:rsidR="0014567F" w:rsidRPr="00380274">
        <w:t xml:space="preserve"> This is down from 91% as at 31 August </w:t>
      </w:r>
      <w:r w:rsidR="0014567F" w:rsidRPr="00380274">
        <w:lastRenderedPageBreak/>
        <w:t>2016, largely due to the increase in new independent learning providers</w:t>
      </w:r>
      <w:r w:rsidR="00B132D9" w:rsidRPr="00380274">
        <w:t xml:space="preserve"> that have yet to be inspected</w:t>
      </w:r>
      <w:r w:rsidR="00CF69DF" w:rsidRPr="00380274">
        <w:rPr>
          <w:rStyle w:val="FootnoteReference"/>
        </w:rPr>
        <w:footnoteReference w:id="1"/>
      </w:r>
      <w:r w:rsidR="0014567F" w:rsidRPr="00380274">
        <w:t>.</w:t>
      </w:r>
    </w:p>
    <w:p w14:paraId="1D25B555" w14:textId="77777777" w:rsidR="00D97867" w:rsidRPr="00380274" w:rsidRDefault="00D97867" w:rsidP="00B55B2F"/>
    <w:p w14:paraId="1A873DB7" w14:textId="07CFD351" w:rsidR="0068630B" w:rsidRPr="00380274" w:rsidRDefault="0014567F">
      <w:r w:rsidRPr="00380274">
        <w:t xml:space="preserve">The proportion of all further education and skills providers judged to be good or outstanding at their most recent inspection was </w:t>
      </w:r>
      <w:r w:rsidR="00B55B2F" w:rsidRPr="00380274">
        <w:t>80%</w:t>
      </w:r>
      <w:r w:rsidRPr="00380274">
        <w:t xml:space="preserve"> as at 28 February 2017. This is </w:t>
      </w:r>
      <w:r w:rsidR="00B55B2F" w:rsidRPr="00380274">
        <w:t>a decline of one percentage point compared with the position as at 31 August 2016.</w:t>
      </w:r>
      <w:r w:rsidR="0068630B" w:rsidRPr="00380274">
        <w:t xml:space="preserve"> </w:t>
      </w:r>
      <w:r w:rsidRPr="00380274">
        <w:t xml:space="preserve">Three of the four biggest provider groups saw the proportion </w:t>
      </w:r>
      <w:r w:rsidR="00AF4CFF" w:rsidRPr="00380274">
        <w:t xml:space="preserve">of providers </w:t>
      </w:r>
      <w:r w:rsidRPr="00380274">
        <w:t>judged good or outstanding decline between 31 August 2016 and 28 February 2017</w:t>
      </w:r>
      <w:r w:rsidR="0068630B" w:rsidRPr="00380274">
        <w:t xml:space="preserve"> (see Figure 3)</w:t>
      </w:r>
      <w:r w:rsidRPr="00380274">
        <w:t xml:space="preserve">. </w:t>
      </w:r>
    </w:p>
    <w:p w14:paraId="1D8825D1" w14:textId="77777777" w:rsidR="0068630B" w:rsidRPr="00380274" w:rsidRDefault="0068630B"/>
    <w:p w14:paraId="6CC9DE44" w14:textId="51574F40" w:rsidR="0068630B" w:rsidRPr="00380274" w:rsidRDefault="00107D32">
      <w:r w:rsidRPr="00380274">
        <w:t>Independent learning providers (including employer providers) had the largest number of previously good or outstanding providers decline over the first six months of 2016/17. However, as they are the group with the largest number of providers, the number declining had a small effect on the proportion judged good or outstanding</w:t>
      </w:r>
      <w:r w:rsidR="00960289" w:rsidRPr="00380274">
        <w:t xml:space="preserve">, which dropped by one percentage point. </w:t>
      </w:r>
    </w:p>
    <w:p w14:paraId="78A2D9B7" w14:textId="77777777" w:rsidR="0068630B" w:rsidRPr="00380274" w:rsidRDefault="0068630B"/>
    <w:p w14:paraId="6717901B" w14:textId="430232EC" w:rsidR="00ED12A2" w:rsidRPr="00380274" w:rsidRDefault="00960289">
      <w:r w:rsidRPr="00380274">
        <w:t xml:space="preserve">Conversely sixth form colleges </w:t>
      </w:r>
      <w:r w:rsidR="00132F02" w:rsidRPr="00380274">
        <w:t xml:space="preserve">had a smaller number of colleges decline, but as they </w:t>
      </w:r>
      <w:r w:rsidR="00D23E9F" w:rsidRPr="00380274">
        <w:t xml:space="preserve">are a much </w:t>
      </w:r>
      <w:r w:rsidR="00132F02" w:rsidRPr="00380274">
        <w:t>smaller</w:t>
      </w:r>
      <w:r w:rsidR="00D23E9F" w:rsidRPr="00380274">
        <w:t xml:space="preserve"> group of providers, this had a bigger effect on the proportion judged good or outstanding, which declined by four percentage points.</w:t>
      </w:r>
      <w:r w:rsidR="00B47649" w:rsidRPr="00380274">
        <w:t xml:space="preserve"> Despite having the largest percentage point decline, sixth form colleges had the highest proportion of providers judged good or outstanding</w:t>
      </w:r>
      <w:r w:rsidR="00A21E96" w:rsidRPr="00380274">
        <w:t>,</w:t>
      </w:r>
      <w:r w:rsidR="00B132D9" w:rsidRPr="00380274">
        <w:t xml:space="preserve"> </w:t>
      </w:r>
      <w:r w:rsidR="00767AA8" w:rsidRPr="00380274">
        <w:t xml:space="preserve">out of the </w:t>
      </w:r>
      <w:r w:rsidR="000D4F34" w:rsidRPr="00380274">
        <w:t xml:space="preserve">four </w:t>
      </w:r>
      <w:r w:rsidR="00767AA8" w:rsidRPr="00380274">
        <w:t>biggest provider groups</w:t>
      </w:r>
      <w:r w:rsidR="00A21E96" w:rsidRPr="00380274">
        <w:t>,</w:t>
      </w:r>
      <w:r w:rsidR="00767AA8" w:rsidRPr="00380274">
        <w:t xml:space="preserve"> </w:t>
      </w:r>
      <w:r w:rsidR="00B132D9" w:rsidRPr="00380274">
        <w:t>as at 28 February 2017</w:t>
      </w:r>
      <w:r w:rsidR="00B47649" w:rsidRPr="00380274">
        <w:t>.</w:t>
      </w:r>
      <w:r w:rsidR="00132F02" w:rsidRPr="00380274">
        <w:t xml:space="preserve"> </w:t>
      </w:r>
      <w:r w:rsidRPr="00380274">
        <w:t xml:space="preserve"> </w:t>
      </w:r>
      <w:r w:rsidR="00107D32" w:rsidRPr="00380274">
        <w:t xml:space="preserve"> </w:t>
      </w:r>
    </w:p>
    <w:p w14:paraId="39F127D9" w14:textId="3DE322D0" w:rsidR="005F19FE" w:rsidRPr="00380274" w:rsidRDefault="0014567F">
      <w:pPr>
        <w:rPr>
          <w:b/>
        </w:rPr>
      </w:pPr>
      <w:r w:rsidRPr="00380274">
        <w:rPr>
          <w:bCs/>
          <w:noProof/>
          <w:lang w:eastAsia="en-GB"/>
        </w:rPr>
        <mc:AlternateContent>
          <mc:Choice Requires="wps">
            <w:drawing>
              <wp:anchor distT="0" distB="0" distL="114300" distR="114300" simplePos="0" relativeHeight="251685888" behindDoc="0" locked="0" layoutInCell="1" allowOverlap="1" wp14:anchorId="4DBB5CB4" wp14:editId="6BBA984D">
                <wp:simplePos x="0" y="0"/>
                <wp:positionH relativeFrom="margin">
                  <wp:posOffset>-62865</wp:posOffset>
                </wp:positionH>
                <wp:positionV relativeFrom="paragraph">
                  <wp:posOffset>129539</wp:posOffset>
                </wp:positionV>
                <wp:extent cx="6219825" cy="38576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219825" cy="3857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31501" id="Rectangle 7" o:spid="_x0000_s1026" style="position:absolute;margin-left:-4.95pt;margin-top:10.2pt;width:489.75pt;height:30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T9mgIAAI4FAAAOAAAAZHJzL2Uyb0RvYy54bWysVMFu2zAMvQ/YPwi6r46zpmmMOEXQosOA&#10;oi3aDj2rshQbkEVNUuJkXz9Kst20K3YYloMimuQj+URyebFvFdkJ6xrQJc1PJpQIzaFq9KakP56u&#10;v5xT4jzTFVOgRUkPwtGL1edPy84UYgo1qEpYgiDaFZ0pae29KbLM8Vq0zJ2AERqVEmzLPIp2k1WW&#10;dYjeqmw6mZxlHdjKWODCOfx6lZR0FfGlFNzfSemEJ6qkmJuPp43nSziz1ZIVG8tM3fA+DfYPWbSs&#10;0Rh0hLpinpGtbf6AahtuwYH0JxzaDKRsuIg1YDX55F01jzUzItaC5Dgz0uT+Hyy/3d1b0lQlnVOi&#10;WYtP9ICkMb1RgswDPZ1xBVo9mnvbSw6voda9tG34xyrIPlJ6GCkVe084fjyb5ovz6YwSjrqv57P5&#10;GQqIk726G+v8NwEtCZeSWgwfqWS7G+eT6WASomm4bpTC76xQmnQlXcwQMogOVFMFZRRCB4lLZcmO&#10;4dv7fd6HPbLCJJTGXEKJqah48wclEvyDkMgNljFNAd5iMs6F9nlS1awSKdRsgr8h2OARK1YaAQOy&#10;xCRH7B5gsEwgA3aqv7cPriI29eg8+VtiyXn0iJFB+9G5bTTYjwAUVtVHTvYDSYmawNILVAfsHAtp&#10;pJzh1w2+3w1z/p5ZnCGcNtwL/g4PqQDfCfobJTXYXx99D/bY2qilpMOZLKn7uWVWUKK+a2z6RX56&#10;GoY4Cqez+RQFe6x5OdbobXsJ+PQ5biDD4zXYezVcpYX2GdfHOkRFFdMcY5eUezsIlz7tClxAXKzX&#10;0QwH1zB/ox8ND+CB1dCfT/tnZk3fxB77/xaG+WXFu15OtsFTw3rrQTax0V957fnGoY+N0y+osFWO&#10;5Wj1ukZXvwEAAP//AwBQSwMEFAAGAAgAAAAhAF+M/zvdAAAACQEAAA8AAABkcnMvZG93bnJldi54&#10;bWxMj81OwzAQhO9IvIO1SFxQ6xBQqEM2FULiGCRaHsCNlziq/xo7bXh7zAmOoxnNfNNsF2vYmaY4&#10;eodwvy6Akeu9Gt2A8Ll/W22AxSSdksY7QvimCNv2+qqRtfIX90HnXRpYLnGxlgg6pVBzHntNVsa1&#10;D+Sy9+UnK1OW08DVJC+53BpeFkXFrRxdXtAy0Kum/ribLcIyb06nbj5aTQ+duStTeO9CQLy9WV6e&#10;gSVa0l8YfvEzOrSZ6eBnpyIzCCshchKhLB6BZV9UogJ2QKjKJwG8bfj/B+0PAAAA//8DAFBLAQIt&#10;ABQABgAIAAAAIQC2gziS/gAAAOEBAAATAAAAAAAAAAAAAAAAAAAAAABbQ29udGVudF9UeXBlc10u&#10;eG1sUEsBAi0AFAAGAAgAAAAhADj9If/WAAAAlAEAAAsAAAAAAAAAAAAAAAAALwEAAF9yZWxzLy5y&#10;ZWxzUEsBAi0AFAAGAAgAAAAhABsA5P2aAgAAjgUAAA4AAAAAAAAAAAAAAAAALgIAAGRycy9lMm9E&#10;b2MueG1sUEsBAi0AFAAGAAgAAAAhAF+M/zvdAAAACQEAAA8AAAAAAAAAAAAAAAAA9AQAAGRycy9k&#10;b3ducmV2LnhtbFBLBQYAAAAABAAEAPMAAAD+BQAAAAA=&#10;" filled="f" strokecolor="black [3213]">
                <w10:wrap anchorx="margin"/>
              </v:rect>
            </w:pict>
          </mc:Fallback>
        </mc:AlternateContent>
      </w:r>
    </w:p>
    <w:p w14:paraId="0E003BF2" w14:textId="44E9F461" w:rsidR="00ED12A2" w:rsidRPr="00380274" w:rsidRDefault="005D274F">
      <w:pPr>
        <w:rPr>
          <w:b/>
        </w:rPr>
      </w:pPr>
      <w:r w:rsidRPr="00380274">
        <w:rPr>
          <w:b/>
        </w:rPr>
        <w:t xml:space="preserve">Figure </w:t>
      </w:r>
      <w:r w:rsidR="00B132D9" w:rsidRPr="00380274">
        <w:rPr>
          <w:b/>
        </w:rPr>
        <w:t>3</w:t>
      </w:r>
      <w:r w:rsidRPr="00380274">
        <w:rPr>
          <w:b/>
        </w:rPr>
        <w:t xml:space="preserve">: </w:t>
      </w:r>
      <w:r w:rsidR="005B3311" w:rsidRPr="00380274">
        <w:rPr>
          <w:b/>
        </w:rPr>
        <w:t xml:space="preserve">Change in the proportion </w:t>
      </w:r>
      <w:r w:rsidR="003A5791" w:rsidRPr="00380274">
        <w:rPr>
          <w:b/>
        </w:rPr>
        <w:t xml:space="preserve">of providers </w:t>
      </w:r>
      <w:r w:rsidR="005B3311" w:rsidRPr="00380274">
        <w:rPr>
          <w:b/>
        </w:rPr>
        <w:t>judged good or outstanding at the most recent inspection</w:t>
      </w:r>
      <w:r w:rsidRPr="00380274">
        <w:rPr>
          <w:b/>
        </w:rPr>
        <w:t>, by provider type</w:t>
      </w:r>
    </w:p>
    <w:p w14:paraId="0D520A69" w14:textId="77777777" w:rsidR="005B3311" w:rsidRPr="00380274" w:rsidRDefault="005B3311">
      <w:pPr>
        <w:rPr>
          <w:b/>
          <w:sz w:val="8"/>
          <w:szCs w:val="8"/>
        </w:rPr>
      </w:pPr>
    </w:p>
    <w:tbl>
      <w:tblPr>
        <w:tblStyle w:val="TableGrid"/>
        <w:tblW w:w="0" w:type="auto"/>
        <w:tblLook w:val="04A0" w:firstRow="1" w:lastRow="0" w:firstColumn="1" w:lastColumn="0" w:noHBand="0" w:noVBand="1"/>
      </w:tblPr>
      <w:tblGrid>
        <w:gridCol w:w="2025"/>
        <w:gridCol w:w="1997"/>
        <w:gridCol w:w="1373"/>
        <w:gridCol w:w="1114"/>
        <w:gridCol w:w="1644"/>
        <w:gridCol w:w="1485"/>
      </w:tblGrid>
      <w:tr w:rsidR="00107D32" w:rsidRPr="00380274" w14:paraId="3AA8C964" w14:textId="77777777" w:rsidTr="00963B77">
        <w:tc>
          <w:tcPr>
            <w:tcW w:w="4207" w:type="dxa"/>
            <w:gridSpan w:val="2"/>
            <w:tcBorders>
              <w:top w:val="nil"/>
              <w:left w:val="nil"/>
              <w:bottom w:val="single" w:sz="4" w:space="0" w:color="auto"/>
              <w:right w:val="nil"/>
            </w:tcBorders>
            <w:shd w:val="clear" w:color="auto" w:fill="auto"/>
          </w:tcPr>
          <w:p w14:paraId="21644E98" w14:textId="77777777" w:rsidR="00B97207" w:rsidRPr="00380274" w:rsidRDefault="00B97207">
            <w:pPr>
              <w:rPr>
                <w:sz w:val="22"/>
                <w:szCs w:val="22"/>
              </w:rPr>
            </w:pPr>
          </w:p>
        </w:tc>
        <w:tc>
          <w:tcPr>
            <w:tcW w:w="1380" w:type="dxa"/>
            <w:tcBorders>
              <w:left w:val="nil"/>
              <w:bottom w:val="single" w:sz="4" w:space="0" w:color="auto"/>
              <w:right w:val="nil"/>
            </w:tcBorders>
            <w:shd w:val="clear" w:color="auto" w:fill="auto"/>
            <w:vAlign w:val="bottom"/>
          </w:tcPr>
          <w:p w14:paraId="2027ECCB" w14:textId="413CDA16" w:rsidR="00B97207" w:rsidRPr="00380274" w:rsidRDefault="00107D32" w:rsidP="00963B77">
            <w:pPr>
              <w:jc w:val="center"/>
              <w:rPr>
                <w:b/>
                <w:sz w:val="22"/>
                <w:szCs w:val="22"/>
              </w:rPr>
            </w:pPr>
            <w:r w:rsidRPr="00380274">
              <w:rPr>
                <w:b/>
                <w:sz w:val="22"/>
                <w:szCs w:val="22"/>
              </w:rPr>
              <w:t>General further education colleges</w:t>
            </w:r>
          </w:p>
        </w:tc>
        <w:tc>
          <w:tcPr>
            <w:tcW w:w="1060" w:type="dxa"/>
            <w:tcBorders>
              <w:left w:val="nil"/>
              <w:bottom w:val="single" w:sz="4" w:space="0" w:color="auto"/>
              <w:right w:val="nil"/>
            </w:tcBorders>
            <w:shd w:val="clear" w:color="auto" w:fill="auto"/>
            <w:vAlign w:val="bottom"/>
          </w:tcPr>
          <w:p w14:paraId="36B3FDD7" w14:textId="3D4CA53B" w:rsidR="00B97207" w:rsidRPr="00380274" w:rsidRDefault="00107D32" w:rsidP="00963B77">
            <w:pPr>
              <w:jc w:val="center"/>
              <w:rPr>
                <w:b/>
                <w:sz w:val="22"/>
                <w:szCs w:val="22"/>
              </w:rPr>
            </w:pPr>
            <w:r w:rsidRPr="00380274">
              <w:rPr>
                <w:b/>
                <w:sz w:val="22"/>
                <w:szCs w:val="22"/>
              </w:rPr>
              <w:t>Sixth form colleges</w:t>
            </w:r>
          </w:p>
        </w:tc>
        <w:tc>
          <w:tcPr>
            <w:tcW w:w="1565" w:type="dxa"/>
            <w:tcBorders>
              <w:left w:val="nil"/>
              <w:bottom w:val="single" w:sz="4" w:space="0" w:color="auto"/>
              <w:right w:val="nil"/>
            </w:tcBorders>
            <w:shd w:val="clear" w:color="auto" w:fill="auto"/>
            <w:vAlign w:val="bottom"/>
          </w:tcPr>
          <w:p w14:paraId="321DEFA2" w14:textId="567AC941" w:rsidR="00B97207" w:rsidRPr="00380274" w:rsidRDefault="00B97207" w:rsidP="00963B77">
            <w:pPr>
              <w:jc w:val="center"/>
              <w:rPr>
                <w:b/>
                <w:sz w:val="22"/>
                <w:szCs w:val="22"/>
              </w:rPr>
            </w:pPr>
            <w:r w:rsidRPr="00380274">
              <w:rPr>
                <w:b/>
                <w:sz w:val="22"/>
                <w:szCs w:val="22"/>
              </w:rPr>
              <w:t>I</w:t>
            </w:r>
            <w:r w:rsidR="00107D32" w:rsidRPr="00380274">
              <w:rPr>
                <w:b/>
                <w:sz w:val="22"/>
                <w:szCs w:val="22"/>
              </w:rPr>
              <w:t>ndependent learning providers (including employer providers)</w:t>
            </w:r>
          </w:p>
        </w:tc>
        <w:tc>
          <w:tcPr>
            <w:tcW w:w="1416" w:type="dxa"/>
            <w:tcBorders>
              <w:left w:val="nil"/>
              <w:bottom w:val="single" w:sz="4" w:space="0" w:color="auto"/>
              <w:right w:val="nil"/>
            </w:tcBorders>
            <w:shd w:val="clear" w:color="auto" w:fill="auto"/>
            <w:vAlign w:val="bottom"/>
          </w:tcPr>
          <w:p w14:paraId="417EDB1D" w14:textId="50DD3C10" w:rsidR="00B97207" w:rsidRPr="00380274" w:rsidRDefault="00083150" w:rsidP="00963B77">
            <w:pPr>
              <w:jc w:val="center"/>
              <w:rPr>
                <w:b/>
                <w:sz w:val="22"/>
                <w:szCs w:val="22"/>
              </w:rPr>
            </w:pPr>
            <w:r w:rsidRPr="00380274">
              <w:rPr>
                <w:b/>
                <w:sz w:val="22"/>
                <w:szCs w:val="22"/>
              </w:rPr>
              <w:t>C</w:t>
            </w:r>
            <w:r w:rsidR="00107D32" w:rsidRPr="00380274">
              <w:rPr>
                <w:b/>
                <w:sz w:val="22"/>
                <w:szCs w:val="22"/>
              </w:rPr>
              <w:t>ommunity learning and skills providers</w:t>
            </w:r>
          </w:p>
        </w:tc>
      </w:tr>
      <w:tr w:rsidR="00107D32" w:rsidRPr="00380274" w14:paraId="6BF83B25" w14:textId="77777777" w:rsidTr="00963B77">
        <w:tc>
          <w:tcPr>
            <w:tcW w:w="4207" w:type="dxa"/>
            <w:gridSpan w:val="2"/>
            <w:tcBorders>
              <w:left w:val="nil"/>
              <w:bottom w:val="single" w:sz="4" w:space="0" w:color="auto"/>
              <w:right w:val="nil"/>
            </w:tcBorders>
            <w:vAlign w:val="center"/>
          </w:tcPr>
          <w:p w14:paraId="7842E3B5" w14:textId="6919D717" w:rsidR="00B97207" w:rsidRPr="00380274" w:rsidRDefault="00B97207" w:rsidP="00604B38">
            <w:pPr>
              <w:rPr>
                <w:sz w:val="22"/>
                <w:szCs w:val="22"/>
              </w:rPr>
            </w:pPr>
            <w:r w:rsidRPr="00380274">
              <w:rPr>
                <w:sz w:val="22"/>
                <w:szCs w:val="22"/>
              </w:rPr>
              <w:t>Number of providers that declined from good or outstanding</w:t>
            </w:r>
            <w:r w:rsidR="00604B38" w:rsidRPr="00380274">
              <w:rPr>
                <w:sz w:val="22"/>
                <w:szCs w:val="22"/>
              </w:rPr>
              <w:t xml:space="preserve"> as at 31 August 2016</w:t>
            </w:r>
            <w:r w:rsidR="005D274F" w:rsidRPr="00380274">
              <w:rPr>
                <w:sz w:val="22"/>
                <w:szCs w:val="22"/>
              </w:rPr>
              <w:t xml:space="preserve"> </w:t>
            </w:r>
            <w:r w:rsidR="00837C4B" w:rsidRPr="00380274">
              <w:rPr>
                <w:sz w:val="22"/>
                <w:szCs w:val="22"/>
              </w:rPr>
              <w:t xml:space="preserve">to requires improvement or inadequate </w:t>
            </w:r>
            <w:r w:rsidR="00604B38" w:rsidRPr="00380274">
              <w:rPr>
                <w:sz w:val="22"/>
                <w:szCs w:val="22"/>
              </w:rPr>
              <w:t>as at</w:t>
            </w:r>
            <w:r w:rsidR="005D274F" w:rsidRPr="00380274">
              <w:rPr>
                <w:sz w:val="22"/>
                <w:szCs w:val="22"/>
              </w:rPr>
              <w:t xml:space="preserve"> 28 February 2017</w:t>
            </w:r>
          </w:p>
        </w:tc>
        <w:tc>
          <w:tcPr>
            <w:tcW w:w="1380" w:type="dxa"/>
            <w:tcBorders>
              <w:left w:val="nil"/>
              <w:bottom w:val="single" w:sz="4" w:space="0" w:color="auto"/>
              <w:right w:val="nil"/>
            </w:tcBorders>
            <w:vAlign w:val="center"/>
          </w:tcPr>
          <w:p w14:paraId="3926838D" w14:textId="75BDBE5D" w:rsidR="00B97207" w:rsidRPr="00380274" w:rsidRDefault="00083150" w:rsidP="00963B77">
            <w:pPr>
              <w:jc w:val="center"/>
              <w:rPr>
                <w:sz w:val="22"/>
                <w:szCs w:val="22"/>
              </w:rPr>
            </w:pPr>
            <w:r w:rsidRPr="00380274">
              <w:rPr>
                <w:sz w:val="22"/>
                <w:szCs w:val="22"/>
              </w:rPr>
              <w:t>10</w:t>
            </w:r>
          </w:p>
        </w:tc>
        <w:tc>
          <w:tcPr>
            <w:tcW w:w="1060" w:type="dxa"/>
            <w:tcBorders>
              <w:left w:val="nil"/>
              <w:bottom w:val="single" w:sz="4" w:space="0" w:color="auto"/>
              <w:right w:val="nil"/>
            </w:tcBorders>
            <w:vAlign w:val="center"/>
          </w:tcPr>
          <w:p w14:paraId="1591882D" w14:textId="525606C8" w:rsidR="00B97207" w:rsidRPr="00380274" w:rsidRDefault="00107D32" w:rsidP="00963B77">
            <w:pPr>
              <w:jc w:val="center"/>
              <w:rPr>
                <w:sz w:val="22"/>
                <w:szCs w:val="22"/>
              </w:rPr>
            </w:pPr>
            <w:r w:rsidRPr="00380274">
              <w:rPr>
                <w:sz w:val="22"/>
                <w:szCs w:val="22"/>
              </w:rPr>
              <w:t>6</w:t>
            </w:r>
          </w:p>
        </w:tc>
        <w:tc>
          <w:tcPr>
            <w:tcW w:w="1565" w:type="dxa"/>
            <w:tcBorders>
              <w:left w:val="nil"/>
              <w:bottom w:val="single" w:sz="4" w:space="0" w:color="auto"/>
              <w:right w:val="nil"/>
            </w:tcBorders>
            <w:vAlign w:val="center"/>
          </w:tcPr>
          <w:p w14:paraId="0B21D28F" w14:textId="5C4C9A89" w:rsidR="00B97207" w:rsidRPr="00380274" w:rsidRDefault="00604B38" w:rsidP="00963B77">
            <w:pPr>
              <w:jc w:val="center"/>
              <w:rPr>
                <w:sz w:val="22"/>
                <w:szCs w:val="22"/>
              </w:rPr>
            </w:pPr>
            <w:r w:rsidRPr="00380274">
              <w:rPr>
                <w:sz w:val="22"/>
                <w:szCs w:val="22"/>
              </w:rPr>
              <w:t>19</w:t>
            </w:r>
          </w:p>
        </w:tc>
        <w:tc>
          <w:tcPr>
            <w:tcW w:w="1416" w:type="dxa"/>
            <w:tcBorders>
              <w:left w:val="nil"/>
              <w:bottom w:val="single" w:sz="4" w:space="0" w:color="auto"/>
              <w:right w:val="nil"/>
            </w:tcBorders>
            <w:vAlign w:val="center"/>
          </w:tcPr>
          <w:p w14:paraId="2B9771DF" w14:textId="38214590" w:rsidR="00B97207" w:rsidRPr="00380274" w:rsidRDefault="00107D32" w:rsidP="00963B77">
            <w:pPr>
              <w:jc w:val="center"/>
              <w:rPr>
                <w:sz w:val="22"/>
                <w:szCs w:val="22"/>
              </w:rPr>
            </w:pPr>
            <w:r w:rsidRPr="00380274">
              <w:rPr>
                <w:sz w:val="22"/>
                <w:szCs w:val="22"/>
              </w:rPr>
              <w:t>6</w:t>
            </w:r>
          </w:p>
        </w:tc>
      </w:tr>
      <w:tr w:rsidR="00107D32" w:rsidRPr="00380274" w14:paraId="10E78F1B" w14:textId="77777777" w:rsidTr="00963B77">
        <w:tc>
          <w:tcPr>
            <w:tcW w:w="4207" w:type="dxa"/>
            <w:gridSpan w:val="2"/>
            <w:tcBorders>
              <w:top w:val="single" w:sz="4" w:space="0" w:color="auto"/>
              <w:left w:val="nil"/>
              <w:bottom w:val="single" w:sz="4" w:space="0" w:color="auto"/>
              <w:right w:val="nil"/>
            </w:tcBorders>
            <w:vAlign w:val="center"/>
          </w:tcPr>
          <w:p w14:paraId="2D01F10E" w14:textId="45D3E22A" w:rsidR="00B97207" w:rsidRPr="00380274" w:rsidRDefault="00B97207" w:rsidP="00B47649">
            <w:pPr>
              <w:rPr>
                <w:sz w:val="22"/>
                <w:szCs w:val="22"/>
              </w:rPr>
            </w:pPr>
            <w:r w:rsidRPr="00380274">
              <w:rPr>
                <w:sz w:val="22"/>
                <w:szCs w:val="22"/>
              </w:rPr>
              <w:t>Number of providers</w:t>
            </w:r>
            <w:r w:rsidR="005D274F" w:rsidRPr="00380274">
              <w:rPr>
                <w:sz w:val="22"/>
                <w:szCs w:val="22"/>
              </w:rPr>
              <w:t xml:space="preserve"> as at 28 February 2017</w:t>
            </w:r>
          </w:p>
        </w:tc>
        <w:tc>
          <w:tcPr>
            <w:tcW w:w="1380" w:type="dxa"/>
            <w:tcBorders>
              <w:top w:val="single" w:sz="4" w:space="0" w:color="auto"/>
              <w:left w:val="nil"/>
              <w:bottom w:val="single" w:sz="4" w:space="0" w:color="auto"/>
              <w:right w:val="nil"/>
            </w:tcBorders>
            <w:vAlign w:val="center"/>
          </w:tcPr>
          <w:p w14:paraId="3E896E3E" w14:textId="0B3CDE50" w:rsidR="00B97207" w:rsidRPr="00380274" w:rsidRDefault="00083150" w:rsidP="00963B77">
            <w:pPr>
              <w:jc w:val="center"/>
              <w:rPr>
                <w:sz w:val="22"/>
                <w:szCs w:val="22"/>
              </w:rPr>
            </w:pPr>
            <w:r w:rsidRPr="00380274">
              <w:rPr>
                <w:sz w:val="22"/>
                <w:szCs w:val="22"/>
              </w:rPr>
              <w:t>206</w:t>
            </w:r>
          </w:p>
        </w:tc>
        <w:tc>
          <w:tcPr>
            <w:tcW w:w="1060" w:type="dxa"/>
            <w:tcBorders>
              <w:top w:val="single" w:sz="4" w:space="0" w:color="auto"/>
              <w:left w:val="nil"/>
              <w:bottom w:val="single" w:sz="4" w:space="0" w:color="auto"/>
              <w:right w:val="nil"/>
            </w:tcBorders>
            <w:vAlign w:val="center"/>
          </w:tcPr>
          <w:p w14:paraId="3957174B" w14:textId="76B61B19" w:rsidR="00B97207" w:rsidRPr="00380274" w:rsidRDefault="00107D32" w:rsidP="00963B77">
            <w:pPr>
              <w:jc w:val="center"/>
              <w:rPr>
                <w:sz w:val="22"/>
                <w:szCs w:val="22"/>
              </w:rPr>
            </w:pPr>
            <w:r w:rsidRPr="00380274">
              <w:rPr>
                <w:sz w:val="22"/>
                <w:szCs w:val="22"/>
              </w:rPr>
              <w:t>90</w:t>
            </w:r>
          </w:p>
        </w:tc>
        <w:tc>
          <w:tcPr>
            <w:tcW w:w="1565" w:type="dxa"/>
            <w:tcBorders>
              <w:top w:val="single" w:sz="4" w:space="0" w:color="auto"/>
              <w:left w:val="nil"/>
              <w:bottom w:val="single" w:sz="4" w:space="0" w:color="auto"/>
              <w:right w:val="nil"/>
            </w:tcBorders>
            <w:vAlign w:val="center"/>
          </w:tcPr>
          <w:p w14:paraId="5D2558C2" w14:textId="1A85EB1D" w:rsidR="00B97207" w:rsidRPr="00380274" w:rsidRDefault="00B97207" w:rsidP="00963B77">
            <w:pPr>
              <w:jc w:val="center"/>
              <w:rPr>
                <w:sz w:val="22"/>
                <w:szCs w:val="22"/>
              </w:rPr>
            </w:pPr>
            <w:r w:rsidRPr="00380274">
              <w:rPr>
                <w:sz w:val="22"/>
                <w:szCs w:val="22"/>
              </w:rPr>
              <w:t>506</w:t>
            </w:r>
          </w:p>
        </w:tc>
        <w:tc>
          <w:tcPr>
            <w:tcW w:w="1416" w:type="dxa"/>
            <w:tcBorders>
              <w:top w:val="single" w:sz="4" w:space="0" w:color="auto"/>
              <w:left w:val="nil"/>
              <w:bottom w:val="single" w:sz="4" w:space="0" w:color="auto"/>
              <w:right w:val="nil"/>
            </w:tcBorders>
            <w:vAlign w:val="center"/>
          </w:tcPr>
          <w:p w14:paraId="7CCAF35F" w14:textId="433A90AF" w:rsidR="00B97207" w:rsidRPr="00380274" w:rsidRDefault="00107D32" w:rsidP="00963B77">
            <w:pPr>
              <w:jc w:val="center"/>
              <w:rPr>
                <w:sz w:val="22"/>
                <w:szCs w:val="22"/>
              </w:rPr>
            </w:pPr>
            <w:r w:rsidRPr="00380274">
              <w:rPr>
                <w:sz w:val="22"/>
                <w:szCs w:val="22"/>
              </w:rPr>
              <w:t>228</w:t>
            </w:r>
          </w:p>
        </w:tc>
      </w:tr>
      <w:tr w:rsidR="00107D32" w:rsidRPr="00380274" w14:paraId="1A638D64" w14:textId="77777777" w:rsidTr="00963B77">
        <w:tc>
          <w:tcPr>
            <w:tcW w:w="2103" w:type="dxa"/>
            <w:vMerge w:val="restart"/>
            <w:tcBorders>
              <w:top w:val="single" w:sz="4" w:space="0" w:color="auto"/>
              <w:left w:val="nil"/>
              <w:bottom w:val="single" w:sz="4" w:space="0" w:color="auto"/>
              <w:right w:val="nil"/>
            </w:tcBorders>
          </w:tcPr>
          <w:p w14:paraId="71397063" w14:textId="6C98313C" w:rsidR="00107D32" w:rsidRPr="00380274" w:rsidRDefault="00107D32" w:rsidP="00107D32">
            <w:pPr>
              <w:rPr>
                <w:sz w:val="22"/>
                <w:szCs w:val="22"/>
              </w:rPr>
            </w:pPr>
            <w:r w:rsidRPr="00380274">
              <w:rPr>
                <w:sz w:val="22"/>
                <w:szCs w:val="22"/>
              </w:rPr>
              <w:t xml:space="preserve">Proportion </w:t>
            </w:r>
            <w:r w:rsidR="005D274F" w:rsidRPr="00380274">
              <w:rPr>
                <w:sz w:val="22"/>
                <w:szCs w:val="22"/>
              </w:rPr>
              <w:t xml:space="preserve">judged </w:t>
            </w:r>
            <w:r w:rsidRPr="00380274">
              <w:rPr>
                <w:sz w:val="22"/>
                <w:szCs w:val="22"/>
              </w:rPr>
              <w:t>good or outstanding</w:t>
            </w:r>
          </w:p>
        </w:tc>
        <w:tc>
          <w:tcPr>
            <w:tcW w:w="2104" w:type="dxa"/>
            <w:tcBorders>
              <w:top w:val="single" w:sz="4" w:space="0" w:color="auto"/>
              <w:left w:val="nil"/>
              <w:bottom w:val="single" w:sz="4" w:space="0" w:color="auto"/>
              <w:right w:val="nil"/>
            </w:tcBorders>
            <w:vAlign w:val="center"/>
          </w:tcPr>
          <w:p w14:paraId="3D3994D6" w14:textId="75ADA7BB" w:rsidR="00107D32" w:rsidRPr="00380274" w:rsidRDefault="005D274F" w:rsidP="00B47649">
            <w:pPr>
              <w:rPr>
                <w:sz w:val="22"/>
                <w:szCs w:val="22"/>
              </w:rPr>
            </w:pPr>
            <w:r w:rsidRPr="00380274">
              <w:rPr>
                <w:sz w:val="22"/>
                <w:szCs w:val="22"/>
              </w:rPr>
              <w:t xml:space="preserve">As at </w:t>
            </w:r>
            <w:r w:rsidR="00107D32" w:rsidRPr="00380274">
              <w:rPr>
                <w:sz w:val="22"/>
                <w:szCs w:val="22"/>
              </w:rPr>
              <w:t>31 August 2016</w:t>
            </w:r>
          </w:p>
        </w:tc>
        <w:tc>
          <w:tcPr>
            <w:tcW w:w="1380" w:type="dxa"/>
            <w:tcBorders>
              <w:top w:val="single" w:sz="4" w:space="0" w:color="auto"/>
              <w:left w:val="nil"/>
              <w:bottom w:val="single" w:sz="4" w:space="0" w:color="auto"/>
              <w:right w:val="nil"/>
            </w:tcBorders>
            <w:vAlign w:val="center"/>
          </w:tcPr>
          <w:p w14:paraId="650FA0F8" w14:textId="5FC51EE3" w:rsidR="00107D32" w:rsidRPr="00380274" w:rsidRDefault="00107D32" w:rsidP="00963B77">
            <w:pPr>
              <w:jc w:val="center"/>
              <w:rPr>
                <w:sz w:val="22"/>
                <w:szCs w:val="22"/>
              </w:rPr>
            </w:pPr>
            <w:r w:rsidRPr="00380274">
              <w:rPr>
                <w:sz w:val="22"/>
                <w:szCs w:val="22"/>
              </w:rPr>
              <w:t>71%</w:t>
            </w:r>
          </w:p>
        </w:tc>
        <w:tc>
          <w:tcPr>
            <w:tcW w:w="1060" w:type="dxa"/>
            <w:tcBorders>
              <w:top w:val="single" w:sz="4" w:space="0" w:color="auto"/>
              <w:left w:val="nil"/>
              <w:bottom w:val="single" w:sz="4" w:space="0" w:color="auto"/>
              <w:right w:val="nil"/>
            </w:tcBorders>
            <w:vAlign w:val="center"/>
          </w:tcPr>
          <w:p w14:paraId="239F3205" w14:textId="7F5DD0E4" w:rsidR="00107D32" w:rsidRPr="00380274" w:rsidRDefault="00D932E4" w:rsidP="00963B77">
            <w:pPr>
              <w:jc w:val="center"/>
              <w:rPr>
                <w:sz w:val="22"/>
                <w:szCs w:val="22"/>
              </w:rPr>
            </w:pPr>
            <w:r w:rsidRPr="00380274">
              <w:rPr>
                <w:sz w:val="22"/>
                <w:szCs w:val="22"/>
              </w:rPr>
              <w:t>89%</w:t>
            </w:r>
          </w:p>
        </w:tc>
        <w:tc>
          <w:tcPr>
            <w:tcW w:w="1565" w:type="dxa"/>
            <w:tcBorders>
              <w:top w:val="single" w:sz="4" w:space="0" w:color="auto"/>
              <w:left w:val="nil"/>
              <w:bottom w:val="single" w:sz="4" w:space="0" w:color="auto"/>
              <w:right w:val="nil"/>
            </w:tcBorders>
            <w:vAlign w:val="center"/>
          </w:tcPr>
          <w:p w14:paraId="2D4EC12F" w14:textId="37AF3B61" w:rsidR="00107D32" w:rsidRPr="00380274" w:rsidRDefault="00D932E4" w:rsidP="00963B77">
            <w:pPr>
              <w:jc w:val="center"/>
              <w:rPr>
                <w:sz w:val="22"/>
                <w:szCs w:val="22"/>
              </w:rPr>
            </w:pPr>
            <w:r w:rsidRPr="00380274">
              <w:rPr>
                <w:sz w:val="22"/>
                <w:szCs w:val="22"/>
              </w:rPr>
              <w:t>83%</w:t>
            </w:r>
            <w:r w:rsidR="007F10B2" w:rsidRPr="00380274">
              <w:rPr>
                <w:sz w:val="22"/>
                <w:szCs w:val="22"/>
                <w:vertAlign w:val="superscript"/>
              </w:rPr>
              <w:t>1</w:t>
            </w:r>
          </w:p>
        </w:tc>
        <w:tc>
          <w:tcPr>
            <w:tcW w:w="1416" w:type="dxa"/>
            <w:tcBorders>
              <w:top w:val="single" w:sz="4" w:space="0" w:color="auto"/>
              <w:left w:val="nil"/>
              <w:bottom w:val="single" w:sz="4" w:space="0" w:color="auto"/>
              <w:right w:val="nil"/>
            </w:tcBorders>
            <w:vAlign w:val="center"/>
          </w:tcPr>
          <w:p w14:paraId="4155F9F9" w14:textId="355BAD2B" w:rsidR="00107D32" w:rsidRPr="00380274" w:rsidRDefault="00D932E4" w:rsidP="00963B77">
            <w:pPr>
              <w:jc w:val="center"/>
              <w:rPr>
                <w:sz w:val="22"/>
                <w:szCs w:val="22"/>
              </w:rPr>
            </w:pPr>
            <w:r w:rsidRPr="00380274">
              <w:rPr>
                <w:sz w:val="22"/>
                <w:szCs w:val="22"/>
              </w:rPr>
              <w:t>82%</w:t>
            </w:r>
          </w:p>
        </w:tc>
      </w:tr>
      <w:tr w:rsidR="00107D32" w:rsidRPr="00380274" w14:paraId="4B7DDB70" w14:textId="77777777" w:rsidTr="00963B77">
        <w:tc>
          <w:tcPr>
            <w:tcW w:w="2103" w:type="dxa"/>
            <w:vMerge/>
            <w:tcBorders>
              <w:top w:val="single" w:sz="4" w:space="0" w:color="auto"/>
              <w:left w:val="nil"/>
              <w:bottom w:val="single" w:sz="4" w:space="0" w:color="auto"/>
              <w:right w:val="nil"/>
            </w:tcBorders>
          </w:tcPr>
          <w:p w14:paraId="5D1C2469" w14:textId="77777777" w:rsidR="00107D32" w:rsidRPr="00380274" w:rsidRDefault="00107D32">
            <w:pPr>
              <w:rPr>
                <w:sz w:val="22"/>
                <w:szCs w:val="22"/>
              </w:rPr>
            </w:pPr>
          </w:p>
        </w:tc>
        <w:tc>
          <w:tcPr>
            <w:tcW w:w="2104" w:type="dxa"/>
            <w:tcBorders>
              <w:top w:val="single" w:sz="4" w:space="0" w:color="auto"/>
              <w:left w:val="nil"/>
              <w:bottom w:val="single" w:sz="4" w:space="0" w:color="auto"/>
              <w:right w:val="nil"/>
            </w:tcBorders>
            <w:vAlign w:val="center"/>
          </w:tcPr>
          <w:p w14:paraId="3E384ECF" w14:textId="2208B1AA" w:rsidR="00107D32" w:rsidRPr="00380274" w:rsidRDefault="005D274F" w:rsidP="00B47649">
            <w:pPr>
              <w:rPr>
                <w:sz w:val="22"/>
                <w:szCs w:val="22"/>
              </w:rPr>
            </w:pPr>
            <w:r w:rsidRPr="00380274">
              <w:rPr>
                <w:sz w:val="22"/>
                <w:szCs w:val="22"/>
              </w:rPr>
              <w:t xml:space="preserve">As at </w:t>
            </w:r>
            <w:r w:rsidR="00107D32" w:rsidRPr="00380274">
              <w:rPr>
                <w:sz w:val="22"/>
                <w:szCs w:val="22"/>
              </w:rPr>
              <w:t>28 February 2017</w:t>
            </w:r>
          </w:p>
        </w:tc>
        <w:tc>
          <w:tcPr>
            <w:tcW w:w="1380" w:type="dxa"/>
            <w:tcBorders>
              <w:top w:val="single" w:sz="4" w:space="0" w:color="auto"/>
              <w:left w:val="nil"/>
              <w:bottom w:val="single" w:sz="4" w:space="0" w:color="auto"/>
              <w:right w:val="nil"/>
            </w:tcBorders>
            <w:vAlign w:val="center"/>
          </w:tcPr>
          <w:p w14:paraId="11344227" w14:textId="28135428" w:rsidR="00107D32" w:rsidRPr="00380274" w:rsidRDefault="00107D32" w:rsidP="00963B77">
            <w:pPr>
              <w:jc w:val="center"/>
              <w:rPr>
                <w:sz w:val="22"/>
                <w:szCs w:val="22"/>
              </w:rPr>
            </w:pPr>
            <w:r w:rsidRPr="00380274">
              <w:rPr>
                <w:sz w:val="22"/>
                <w:szCs w:val="22"/>
              </w:rPr>
              <w:t>6</w:t>
            </w:r>
            <w:r w:rsidR="00647C15" w:rsidRPr="00380274">
              <w:rPr>
                <w:sz w:val="22"/>
                <w:szCs w:val="22"/>
              </w:rPr>
              <w:t>8</w:t>
            </w:r>
            <w:r w:rsidRPr="00380274">
              <w:rPr>
                <w:sz w:val="22"/>
                <w:szCs w:val="22"/>
              </w:rPr>
              <w:t>%</w:t>
            </w:r>
          </w:p>
        </w:tc>
        <w:tc>
          <w:tcPr>
            <w:tcW w:w="1060" w:type="dxa"/>
            <w:tcBorders>
              <w:top w:val="single" w:sz="4" w:space="0" w:color="auto"/>
              <w:left w:val="nil"/>
              <w:bottom w:val="single" w:sz="4" w:space="0" w:color="auto"/>
              <w:right w:val="nil"/>
            </w:tcBorders>
            <w:vAlign w:val="center"/>
          </w:tcPr>
          <w:p w14:paraId="1CDA9BAD" w14:textId="4D23AF57" w:rsidR="00107D32" w:rsidRPr="00380274" w:rsidRDefault="00D932E4" w:rsidP="00963B77">
            <w:pPr>
              <w:jc w:val="center"/>
              <w:rPr>
                <w:sz w:val="22"/>
                <w:szCs w:val="22"/>
              </w:rPr>
            </w:pPr>
            <w:r w:rsidRPr="00380274">
              <w:rPr>
                <w:sz w:val="22"/>
                <w:szCs w:val="22"/>
              </w:rPr>
              <w:t>84%</w:t>
            </w:r>
          </w:p>
        </w:tc>
        <w:tc>
          <w:tcPr>
            <w:tcW w:w="1565" w:type="dxa"/>
            <w:tcBorders>
              <w:top w:val="single" w:sz="4" w:space="0" w:color="auto"/>
              <w:left w:val="nil"/>
              <w:bottom w:val="single" w:sz="4" w:space="0" w:color="auto"/>
              <w:right w:val="nil"/>
            </w:tcBorders>
            <w:vAlign w:val="center"/>
          </w:tcPr>
          <w:p w14:paraId="0992F698" w14:textId="4809A715" w:rsidR="00107D32" w:rsidRPr="00380274" w:rsidRDefault="00D932E4" w:rsidP="00963B77">
            <w:pPr>
              <w:jc w:val="center"/>
              <w:rPr>
                <w:sz w:val="22"/>
                <w:szCs w:val="22"/>
              </w:rPr>
            </w:pPr>
            <w:r w:rsidRPr="00380274">
              <w:rPr>
                <w:sz w:val="22"/>
                <w:szCs w:val="22"/>
              </w:rPr>
              <w:t>82%</w:t>
            </w:r>
          </w:p>
        </w:tc>
        <w:tc>
          <w:tcPr>
            <w:tcW w:w="1416" w:type="dxa"/>
            <w:tcBorders>
              <w:top w:val="single" w:sz="4" w:space="0" w:color="auto"/>
              <w:left w:val="nil"/>
              <w:bottom w:val="single" w:sz="4" w:space="0" w:color="auto"/>
              <w:right w:val="nil"/>
            </w:tcBorders>
            <w:vAlign w:val="center"/>
          </w:tcPr>
          <w:p w14:paraId="660AE847" w14:textId="190F0A9D" w:rsidR="00107D32" w:rsidRPr="00380274" w:rsidRDefault="00D932E4" w:rsidP="00963B77">
            <w:pPr>
              <w:jc w:val="center"/>
              <w:rPr>
                <w:sz w:val="22"/>
                <w:szCs w:val="22"/>
              </w:rPr>
            </w:pPr>
            <w:r w:rsidRPr="00380274">
              <w:rPr>
                <w:sz w:val="22"/>
                <w:szCs w:val="22"/>
              </w:rPr>
              <w:t>83%</w:t>
            </w:r>
          </w:p>
        </w:tc>
      </w:tr>
      <w:tr w:rsidR="00107D32" w:rsidRPr="00380274" w14:paraId="32D0771F" w14:textId="77777777" w:rsidTr="00963B77">
        <w:trPr>
          <w:trHeight w:val="388"/>
        </w:trPr>
        <w:tc>
          <w:tcPr>
            <w:tcW w:w="4207" w:type="dxa"/>
            <w:gridSpan w:val="2"/>
            <w:tcBorders>
              <w:top w:val="single" w:sz="4" w:space="0" w:color="auto"/>
              <w:left w:val="nil"/>
              <w:right w:val="nil"/>
            </w:tcBorders>
            <w:vAlign w:val="center"/>
          </w:tcPr>
          <w:p w14:paraId="745C4285" w14:textId="1FBF679D" w:rsidR="00B97207" w:rsidRPr="00380274" w:rsidRDefault="00107D32" w:rsidP="00B47649">
            <w:pPr>
              <w:rPr>
                <w:sz w:val="22"/>
                <w:szCs w:val="22"/>
              </w:rPr>
            </w:pPr>
            <w:r w:rsidRPr="00380274">
              <w:rPr>
                <w:sz w:val="22"/>
                <w:szCs w:val="22"/>
              </w:rPr>
              <w:t>Effect on the most recent outcomes</w:t>
            </w:r>
            <w:r w:rsidR="007F10B2" w:rsidRPr="00380274">
              <w:rPr>
                <w:sz w:val="22"/>
                <w:szCs w:val="22"/>
                <w:vertAlign w:val="superscript"/>
              </w:rPr>
              <w:t>2</w:t>
            </w:r>
          </w:p>
        </w:tc>
        <w:tc>
          <w:tcPr>
            <w:tcW w:w="1380" w:type="dxa"/>
            <w:tcBorders>
              <w:top w:val="single" w:sz="4" w:space="0" w:color="auto"/>
              <w:left w:val="nil"/>
              <w:right w:val="nil"/>
            </w:tcBorders>
            <w:vAlign w:val="center"/>
          </w:tcPr>
          <w:p w14:paraId="1270CDD9" w14:textId="234EB00B" w:rsidR="00B97207" w:rsidRPr="00380274" w:rsidRDefault="00107D32" w:rsidP="00963B77">
            <w:pPr>
              <w:jc w:val="center"/>
              <w:rPr>
                <w:sz w:val="22"/>
                <w:szCs w:val="22"/>
              </w:rPr>
            </w:pPr>
            <w:r w:rsidRPr="00380274">
              <w:rPr>
                <w:sz w:val="22"/>
                <w:szCs w:val="22"/>
              </w:rPr>
              <w:t>-</w:t>
            </w:r>
            <w:r w:rsidR="00647C15" w:rsidRPr="00380274">
              <w:rPr>
                <w:sz w:val="22"/>
                <w:szCs w:val="22"/>
              </w:rPr>
              <w:t>3</w:t>
            </w:r>
            <w:r w:rsidR="00083150" w:rsidRPr="00380274">
              <w:rPr>
                <w:sz w:val="22"/>
                <w:szCs w:val="22"/>
              </w:rPr>
              <w:t>pp</w:t>
            </w:r>
          </w:p>
        </w:tc>
        <w:tc>
          <w:tcPr>
            <w:tcW w:w="1060" w:type="dxa"/>
            <w:tcBorders>
              <w:top w:val="single" w:sz="4" w:space="0" w:color="auto"/>
              <w:left w:val="nil"/>
              <w:right w:val="nil"/>
            </w:tcBorders>
            <w:vAlign w:val="center"/>
          </w:tcPr>
          <w:p w14:paraId="0C95B61B" w14:textId="2F69134F" w:rsidR="00B97207" w:rsidRPr="00380274" w:rsidRDefault="00107D32" w:rsidP="00963B77">
            <w:pPr>
              <w:jc w:val="center"/>
              <w:rPr>
                <w:sz w:val="22"/>
                <w:szCs w:val="22"/>
              </w:rPr>
            </w:pPr>
            <w:r w:rsidRPr="00380274">
              <w:rPr>
                <w:sz w:val="22"/>
                <w:szCs w:val="22"/>
              </w:rPr>
              <w:t>-4pp</w:t>
            </w:r>
          </w:p>
        </w:tc>
        <w:tc>
          <w:tcPr>
            <w:tcW w:w="1565" w:type="dxa"/>
            <w:tcBorders>
              <w:top w:val="single" w:sz="4" w:space="0" w:color="auto"/>
              <w:left w:val="nil"/>
              <w:right w:val="nil"/>
            </w:tcBorders>
            <w:vAlign w:val="center"/>
          </w:tcPr>
          <w:p w14:paraId="6677ED18" w14:textId="6D167EF6" w:rsidR="00B97207" w:rsidRPr="00380274" w:rsidRDefault="00107D32" w:rsidP="00963B77">
            <w:pPr>
              <w:jc w:val="center"/>
              <w:rPr>
                <w:sz w:val="22"/>
                <w:szCs w:val="22"/>
              </w:rPr>
            </w:pPr>
            <w:r w:rsidRPr="00380274">
              <w:rPr>
                <w:sz w:val="22"/>
                <w:szCs w:val="22"/>
              </w:rPr>
              <w:t>-</w:t>
            </w:r>
            <w:r w:rsidR="00B97207" w:rsidRPr="00380274">
              <w:rPr>
                <w:sz w:val="22"/>
                <w:szCs w:val="22"/>
              </w:rPr>
              <w:t>1pp</w:t>
            </w:r>
          </w:p>
        </w:tc>
        <w:tc>
          <w:tcPr>
            <w:tcW w:w="1416" w:type="dxa"/>
            <w:tcBorders>
              <w:top w:val="single" w:sz="4" w:space="0" w:color="auto"/>
              <w:left w:val="nil"/>
              <w:right w:val="nil"/>
            </w:tcBorders>
            <w:vAlign w:val="center"/>
          </w:tcPr>
          <w:p w14:paraId="21CF8FE8" w14:textId="2230BE3D" w:rsidR="00B97207" w:rsidRPr="00380274" w:rsidRDefault="00107D32" w:rsidP="00963B77">
            <w:pPr>
              <w:jc w:val="center"/>
              <w:rPr>
                <w:sz w:val="22"/>
                <w:szCs w:val="22"/>
              </w:rPr>
            </w:pPr>
            <w:r w:rsidRPr="00380274">
              <w:rPr>
                <w:sz w:val="22"/>
                <w:szCs w:val="22"/>
              </w:rPr>
              <w:t>+1pp</w:t>
            </w:r>
          </w:p>
        </w:tc>
      </w:tr>
    </w:tbl>
    <w:p w14:paraId="66519398" w14:textId="61532F0C" w:rsidR="00B97207" w:rsidRPr="00380274" w:rsidRDefault="00B97207">
      <w:pPr>
        <w:rPr>
          <w:sz w:val="12"/>
          <w:szCs w:val="12"/>
        </w:rPr>
      </w:pPr>
    </w:p>
    <w:p w14:paraId="0CF6B94C" w14:textId="08C15F07" w:rsidR="007F10B2" w:rsidRPr="00380274" w:rsidRDefault="002932AE" w:rsidP="002932AE">
      <w:pPr>
        <w:pStyle w:val="ListParagraph"/>
        <w:numPr>
          <w:ilvl w:val="0"/>
          <w:numId w:val="34"/>
        </w:numPr>
        <w:rPr>
          <w:sz w:val="16"/>
          <w:szCs w:val="16"/>
        </w:rPr>
      </w:pPr>
      <w:r w:rsidRPr="00380274">
        <w:rPr>
          <w:sz w:val="16"/>
          <w:szCs w:val="16"/>
        </w:rPr>
        <w:t>This figure has been revised since the last Official Statistics were published. See the ‘Revisions’ section for further details.</w:t>
      </w:r>
    </w:p>
    <w:p w14:paraId="2826877D" w14:textId="68192B75" w:rsidR="008F068E" w:rsidRPr="00380274" w:rsidRDefault="008F068E" w:rsidP="00C476C4">
      <w:pPr>
        <w:pStyle w:val="ListParagraph"/>
        <w:numPr>
          <w:ilvl w:val="0"/>
          <w:numId w:val="34"/>
        </w:numPr>
        <w:rPr>
          <w:sz w:val="16"/>
          <w:szCs w:val="16"/>
        </w:rPr>
      </w:pPr>
      <w:r w:rsidRPr="00380274">
        <w:rPr>
          <w:sz w:val="16"/>
          <w:szCs w:val="16"/>
        </w:rPr>
        <w:t>The percentage point (pp) difference has been calculated using unrounded numbers.</w:t>
      </w:r>
    </w:p>
    <w:p w14:paraId="23C97146" w14:textId="30F2E134" w:rsidR="008C32AC" w:rsidRPr="00380274" w:rsidRDefault="00D43F85">
      <w:r w:rsidRPr="00380274">
        <w:lastRenderedPageBreak/>
        <w:t xml:space="preserve">Within each of the four largest provider groups there were also a number of providers that improved from requires improvement or inadequate to good: four general further education (FE) colleges, two sixth form colleges, 12 independent learning providers (including employer providers) and eight community learning and skills providers. </w:t>
      </w:r>
      <w:r w:rsidR="00A54343">
        <w:t>O</w:t>
      </w:r>
      <w:r w:rsidRPr="00380274">
        <w:t>ut of the four biggest provider groups, community learning and skills providers were the only group to have</w:t>
      </w:r>
      <w:r w:rsidR="00A54343">
        <w:t xml:space="preserve"> more providers improve</w:t>
      </w:r>
      <w:r w:rsidRPr="00380274">
        <w:t xml:space="preserve"> than declin</w:t>
      </w:r>
      <w:r w:rsidR="00A54343">
        <w:t>e over the first six months of 2016/17</w:t>
      </w:r>
      <w:r w:rsidRPr="00380274">
        <w:t xml:space="preserve">. </w:t>
      </w:r>
    </w:p>
    <w:p w14:paraId="173C115E" w14:textId="3DB847E1" w:rsidR="00523B89" w:rsidRPr="00380274" w:rsidRDefault="00523B89" w:rsidP="00D43F85"/>
    <w:p w14:paraId="30090555" w14:textId="77777777" w:rsidR="009E4462" w:rsidRPr="00380274" w:rsidRDefault="00390A99">
      <w:r w:rsidRPr="00380274">
        <w:t>As at 28 February 2017, 15% of further education and skills providers were judged to be outstanding at their most recent inspection (160 providers). Since the Education Act 2011 came in to force, most of the providers judged to be outstanding have been exempt from routine inspection</w:t>
      </w:r>
      <w:r w:rsidRPr="00380274">
        <w:rPr>
          <w:rStyle w:val="FootnoteReference"/>
        </w:rPr>
        <w:footnoteReference w:id="2"/>
      </w:r>
      <w:r w:rsidRPr="00380274">
        <w:t xml:space="preserve"> and are only inspected if there is a cause for concern</w:t>
      </w:r>
      <w:r w:rsidRPr="00380274">
        <w:rPr>
          <w:rStyle w:val="FootnoteReference"/>
        </w:rPr>
        <w:footnoteReference w:id="3"/>
      </w:r>
      <w:r w:rsidRPr="00380274">
        <w:t xml:space="preserve">. </w:t>
      </w:r>
    </w:p>
    <w:p w14:paraId="6028239A" w14:textId="65500FC7" w:rsidR="00A70E85" w:rsidRPr="00380274" w:rsidRDefault="00A70E85">
      <w:pPr>
        <w:rPr>
          <w:rFonts w:eastAsiaTheme="majorEastAsia"/>
          <w:b/>
        </w:rPr>
      </w:pPr>
    </w:p>
    <w:p w14:paraId="4B7A4558" w14:textId="77777777" w:rsidR="009E4462" w:rsidRPr="00380274" w:rsidRDefault="009E4462">
      <w:pPr>
        <w:rPr>
          <w:rFonts w:eastAsiaTheme="majorEastAsia"/>
          <w:b/>
        </w:rPr>
      </w:pPr>
    </w:p>
    <w:p w14:paraId="0A428EEF" w14:textId="642FB5F9" w:rsidR="004E0341" w:rsidRPr="00380274" w:rsidRDefault="0081128F" w:rsidP="00884D82">
      <w:pPr>
        <w:pStyle w:val="Heading1"/>
        <w:spacing w:before="0"/>
        <w:rPr>
          <w:rFonts w:ascii="Tahoma" w:hAnsi="Tahoma" w:cs="Tahoma"/>
          <w:b/>
          <w:color w:val="auto"/>
        </w:rPr>
      </w:pPr>
      <w:bookmarkStart w:id="4" w:name="_Toc485646775"/>
      <w:r w:rsidRPr="00380274">
        <w:rPr>
          <w:rFonts w:ascii="Tahoma" w:hAnsi="Tahoma" w:cs="Tahoma"/>
          <w:b/>
          <w:color w:val="auto"/>
        </w:rPr>
        <w:t>Main</w:t>
      </w:r>
      <w:r w:rsidR="004E0341" w:rsidRPr="00380274">
        <w:rPr>
          <w:rFonts w:ascii="Tahoma" w:hAnsi="Tahoma" w:cs="Tahoma"/>
          <w:b/>
          <w:color w:val="auto"/>
        </w:rPr>
        <w:t xml:space="preserve"> findings</w:t>
      </w:r>
      <w:bookmarkEnd w:id="4"/>
    </w:p>
    <w:p w14:paraId="169BB6A4" w14:textId="77777777" w:rsidR="004E0341" w:rsidRPr="00380274" w:rsidRDefault="004E0341" w:rsidP="004E0341"/>
    <w:p w14:paraId="2CC32B12" w14:textId="77777777" w:rsidR="009E4462" w:rsidRPr="00380274" w:rsidRDefault="009E4462" w:rsidP="004E0341"/>
    <w:p w14:paraId="7BEA801A" w14:textId="77777777" w:rsidR="00E85DC8" w:rsidRPr="00380274" w:rsidRDefault="00884D82" w:rsidP="00884D82">
      <w:pPr>
        <w:pStyle w:val="Heading2"/>
        <w:rPr>
          <w:rFonts w:ascii="Tahoma" w:hAnsi="Tahoma" w:cs="Tahoma"/>
          <w:b/>
          <w:color w:val="auto"/>
          <w:sz w:val="28"/>
          <w:szCs w:val="28"/>
        </w:rPr>
      </w:pPr>
      <w:bookmarkStart w:id="5" w:name="_Toc485646776"/>
      <w:r w:rsidRPr="00380274">
        <w:rPr>
          <w:rFonts w:ascii="Tahoma" w:hAnsi="Tahoma" w:cs="Tahoma"/>
          <w:b/>
          <w:color w:val="auto"/>
          <w:sz w:val="28"/>
          <w:szCs w:val="28"/>
        </w:rPr>
        <w:t>General further education colleges</w:t>
      </w:r>
      <w:bookmarkEnd w:id="5"/>
    </w:p>
    <w:p w14:paraId="6E41590F" w14:textId="77777777" w:rsidR="00884D82" w:rsidRPr="00380274" w:rsidRDefault="00884D82"/>
    <w:p w14:paraId="61513D98" w14:textId="71697558" w:rsidR="00511BF7" w:rsidRPr="00380274" w:rsidRDefault="00516ECE" w:rsidP="00BB7F66">
      <w:r w:rsidRPr="00380274">
        <w:t xml:space="preserve">Since the 31 August 2016, </w:t>
      </w:r>
      <w:r w:rsidR="009457AE" w:rsidRPr="00380274">
        <w:t>there</w:t>
      </w:r>
      <w:r w:rsidRPr="00380274">
        <w:t xml:space="preserve"> have been two mergers</w:t>
      </w:r>
      <w:r w:rsidR="00F4566B" w:rsidRPr="00380274">
        <w:t xml:space="preserve"> (</w:t>
      </w:r>
      <w:r w:rsidR="007A5DDB" w:rsidRPr="00380274">
        <w:t>affecting four colleges</w:t>
      </w:r>
      <w:r w:rsidR="00F4566B" w:rsidRPr="00380274">
        <w:t>)</w:t>
      </w:r>
      <w:r w:rsidR="00B56374" w:rsidRPr="00380274">
        <w:t xml:space="preserve"> and </w:t>
      </w:r>
      <w:r w:rsidR="007A5DDB" w:rsidRPr="00380274">
        <w:t xml:space="preserve">the addition of one new college in London, giving a total of 206 </w:t>
      </w:r>
      <w:r w:rsidR="009457AE" w:rsidRPr="00380274">
        <w:t xml:space="preserve">general FE colleges </w:t>
      </w:r>
      <w:r w:rsidR="0051211A" w:rsidRPr="00380274">
        <w:t>as at 28 February 2017.</w:t>
      </w:r>
      <w:r w:rsidR="00511BF7" w:rsidRPr="00380274">
        <w:t xml:space="preserve"> </w:t>
      </w:r>
      <w:r w:rsidR="00672CF6" w:rsidRPr="00380274">
        <w:t>All of the general FE colleges have been inspected, with the exception of the new college</w:t>
      </w:r>
      <w:r w:rsidR="00280643" w:rsidRPr="00380274">
        <w:rPr>
          <w:rStyle w:val="FootnoteReference"/>
        </w:rPr>
        <w:footnoteReference w:id="4"/>
      </w:r>
      <w:r w:rsidR="00672CF6" w:rsidRPr="00380274">
        <w:t>.</w:t>
      </w:r>
    </w:p>
    <w:p w14:paraId="29BAD077" w14:textId="77777777" w:rsidR="00511BF7" w:rsidRPr="00380274" w:rsidRDefault="00511BF7" w:rsidP="00BB7F66"/>
    <w:p w14:paraId="09C2520E" w14:textId="42FB2354" w:rsidR="00285E02" w:rsidRPr="00380274" w:rsidRDefault="00C93ED5" w:rsidP="00C93ED5">
      <w:r w:rsidRPr="00380274">
        <w:t>Over the first six months of the reporting year</w:t>
      </w:r>
      <w:r w:rsidR="00B56374" w:rsidRPr="00380274">
        <w:t>, between 1 September 2016 and 28 February 2017,</w:t>
      </w:r>
      <w:r w:rsidRPr="00380274">
        <w:t xml:space="preserve"> </w:t>
      </w:r>
      <w:r w:rsidR="00144CFF" w:rsidRPr="00380274">
        <w:t>40</w:t>
      </w:r>
      <w:r w:rsidRPr="00380274">
        <w:t xml:space="preserve"> general FE colleges were inspected. There were 3</w:t>
      </w:r>
      <w:r w:rsidR="00144CFF" w:rsidRPr="00380274">
        <w:t>3</w:t>
      </w:r>
      <w:r w:rsidRPr="00380274">
        <w:t xml:space="preserve"> full inspections and seven short inspections.</w:t>
      </w:r>
      <w:r w:rsidR="00560700" w:rsidRPr="00380274">
        <w:t xml:space="preserve"> </w:t>
      </w:r>
      <w:r w:rsidR="00D87C19" w:rsidRPr="00380274">
        <w:t xml:space="preserve">The proportion judged to be good </w:t>
      </w:r>
      <w:r w:rsidR="003B3951" w:rsidRPr="00380274">
        <w:t xml:space="preserve">or outstanding </w:t>
      </w:r>
      <w:r w:rsidR="00D87C19" w:rsidRPr="00380274">
        <w:t xml:space="preserve">was </w:t>
      </w:r>
      <w:r w:rsidR="00144CFF" w:rsidRPr="00380274">
        <w:t>40</w:t>
      </w:r>
      <w:r w:rsidR="00560700" w:rsidRPr="00380274">
        <w:t>%</w:t>
      </w:r>
      <w:r w:rsidR="00D87C19" w:rsidRPr="00380274">
        <w:t xml:space="preserve">, </w:t>
      </w:r>
      <w:r w:rsidR="00144CFF" w:rsidRPr="00380274">
        <w:t>11</w:t>
      </w:r>
      <w:r w:rsidR="00D87C19" w:rsidRPr="00380274">
        <w:t xml:space="preserve"> percentage points lower than </w:t>
      </w:r>
      <w:r w:rsidR="007F57AC" w:rsidRPr="00380274">
        <w:t>2015/16</w:t>
      </w:r>
      <w:r w:rsidR="00285E02" w:rsidRPr="00380274">
        <w:t>.</w:t>
      </w:r>
      <w:r w:rsidR="00D87C19" w:rsidRPr="00380274">
        <w:t xml:space="preserve"> </w:t>
      </w:r>
      <w:r w:rsidR="006D6BE0" w:rsidRPr="00380274">
        <w:t>N</w:t>
      </w:r>
      <w:r w:rsidR="00D87C19" w:rsidRPr="00380274">
        <w:t>o</w:t>
      </w:r>
      <w:r w:rsidR="006D6BE0" w:rsidRPr="00380274">
        <w:t xml:space="preserve">ne of the </w:t>
      </w:r>
      <w:r w:rsidR="00D87C19" w:rsidRPr="00380274">
        <w:t>colleges</w:t>
      </w:r>
      <w:r w:rsidR="006D6BE0" w:rsidRPr="00380274">
        <w:t xml:space="preserve"> were judged to be outstanding</w:t>
      </w:r>
      <w:r w:rsidR="00044B24" w:rsidRPr="00380274">
        <w:t xml:space="preserve"> </w:t>
      </w:r>
      <w:r w:rsidR="00A21E96" w:rsidRPr="00380274">
        <w:t>during</w:t>
      </w:r>
      <w:r w:rsidR="00044B24" w:rsidRPr="00380274">
        <w:t xml:space="preserve"> this period</w:t>
      </w:r>
      <w:r w:rsidR="006D6BE0" w:rsidRPr="00380274">
        <w:t>.</w:t>
      </w:r>
    </w:p>
    <w:p w14:paraId="48F5A897" w14:textId="0AD2DD09" w:rsidR="00560700" w:rsidRPr="00380274" w:rsidRDefault="00560700" w:rsidP="00C93ED5">
      <w:r w:rsidRPr="00380274">
        <w:rPr>
          <w:bCs/>
          <w:noProof/>
          <w:lang w:eastAsia="en-GB"/>
        </w:rPr>
        <mc:AlternateContent>
          <mc:Choice Requires="wps">
            <w:drawing>
              <wp:anchor distT="0" distB="0" distL="114300" distR="114300" simplePos="0" relativeHeight="251663360" behindDoc="0" locked="0" layoutInCell="1" allowOverlap="1" wp14:anchorId="567660FC" wp14:editId="240DD7AB">
                <wp:simplePos x="0" y="0"/>
                <wp:positionH relativeFrom="margin">
                  <wp:posOffset>-53340</wp:posOffset>
                </wp:positionH>
                <wp:positionV relativeFrom="paragraph">
                  <wp:posOffset>131445</wp:posOffset>
                </wp:positionV>
                <wp:extent cx="6219825" cy="1819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219825" cy="1819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1A9C8" id="Rectangle 6" o:spid="_x0000_s1026" style="position:absolute;margin-left:-4.2pt;margin-top:10.35pt;width:489.75pt;height:14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0wmgIAAI4FAAAOAAAAZHJzL2Uyb0RvYy54bWysVMFu2zAMvQ/YPwi6r46NJm2MOkXQosOA&#10;oi3aDj2rshQbkEVNUuJkXz9Kst2sK3YYloMimuQj+UTy4nLfKbIT1rWgK5qfzCgRmkPd6k1Fvz/f&#10;fDmnxHmma6ZAi4oehKOXq8+fLnpTigIaULWwBEG0K3tT0cZ7U2aZ443omDsBIzQqJdiOeRTtJqst&#10;6xG9U1kxmy2yHmxtLHDhHH69Tkq6ivhSCu7vpXTCE1VRzM3H08bzNZzZ6oKVG8tM0/IhDfYPWXSs&#10;1Rh0grpmnpGtbf+A6lpuwYH0Jxy6DKRsuYg1YDX57F01Tw0zItaC5Dgz0eT+Hyy/2z1Y0tYVXVCi&#10;WYdP9IikMb1RgiwCPb1xJVo9mQc7SA6voda9tF34xyrIPlJ6mCgVe084flwU+fK8mFPCUZef58vi&#10;bB5Qszd3Y53/KqAj4VJRi+EjlWx363wyHU1CNA03rVL4nZVKk76iyzniB9GBauugjELoIHGlLNkx&#10;fHu/z4ewR1aYhNKYSygxFRVv/qBEgn8UErnBMooU4HdMxrnQPk+qhtUihZrP8DcGGz1ixUojYECW&#10;mOSEPQCMlglkxE71D/bBVcSmnpxnf0ssOU8eMTJoPzl3rQb7EYDCqobIyX4kKVETWHqF+oCdYyGN&#10;lDP8psX3u2XOPzCLM4TThnvB3+MhFeA7wXCjpAH786PvwR5bG7WU9DiTFXU/tswKStQ3jU2/zE9P&#10;wxBH4XR+VqBgjzWvxxq97a4Anz7HDWR4vAZ7r8artNC94PpYh6ioYppj7Ipyb0fhyqddgQuIi/U6&#10;muHgGuZv9ZPhATywGvrzef/CrBma2GP/38E4v6x818vJNnhqWG89yDY2+huvA9849LFxhgUVtsqx&#10;HK3e1ujqFwAAAP//AwBQSwMEFAAGAAgAAAAhANxC49HdAAAACQEAAA8AAABkcnMvZG93bnJldi54&#10;bWxMj8FOwzAQRO9I/IO1SFxQ6yRFJKRxKoTEMUgUPsCNt3FUe+3GThv+HnOC42hGM2+a3WINu+AU&#10;RkcC8nUGDKl3aqRBwNfn26oCFqIkJY0jFPCNAXbt7U0ja+Wu9IGXfRxYKqFQSwE6Rl9zHnqNVoa1&#10;80jJO7rJypjkNHA1yWsqt4YXWfbErRwpLWjp8VVjf9rPVsAyV+dzN5+sxk1nHoro3zvvhbi/W162&#10;wCIu8S8Mv/gJHdrEdHAzqcCMgFX1mJICiqwElvznMs+BHQRssrIA3jb8/4P2BwAA//8DAFBLAQIt&#10;ABQABgAIAAAAIQC2gziS/gAAAOEBAAATAAAAAAAAAAAAAAAAAAAAAABbQ29udGVudF9UeXBlc10u&#10;eG1sUEsBAi0AFAAGAAgAAAAhADj9If/WAAAAlAEAAAsAAAAAAAAAAAAAAAAALwEAAF9yZWxzLy5y&#10;ZWxzUEsBAi0AFAAGAAgAAAAhABW8zTCaAgAAjgUAAA4AAAAAAAAAAAAAAAAALgIAAGRycy9lMm9E&#10;b2MueG1sUEsBAi0AFAAGAAgAAAAhANxC49HdAAAACQEAAA8AAAAAAAAAAAAAAAAA9AQAAGRycy9k&#10;b3ducmV2LnhtbFBLBQYAAAAABAAEAPMAAAD+BQAAAAA=&#10;" filled="f" strokecolor="black [3213]">
                <w10:wrap anchorx="margin"/>
              </v:rect>
            </w:pict>
          </mc:Fallback>
        </mc:AlternateContent>
      </w:r>
    </w:p>
    <w:p w14:paraId="1C6838F3" w14:textId="765A18BD" w:rsidR="00560700" w:rsidRPr="00380274" w:rsidRDefault="0099088E" w:rsidP="00560700">
      <w:pPr>
        <w:rPr>
          <w:b/>
        </w:rPr>
      </w:pPr>
      <w:r w:rsidRPr="00380274">
        <w:rPr>
          <w:b/>
        </w:rPr>
        <w:t xml:space="preserve">Figure </w:t>
      </w:r>
      <w:r w:rsidR="00B132D9" w:rsidRPr="00380274">
        <w:rPr>
          <w:b/>
        </w:rPr>
        <w:t>4</w:t>
      </w:r>
      <w:r w:rsidR="00560700" w:rsidRPr="00380274">
        <w:rPr>
          <w:b/>
        </w:rPr>
        <w:t xml:space="preserve">: </w:t>
      </w:r>
      <w:r w:rsidR="00FD6964" w:rsidRPr="00380274">
        <w:rPr>
          <w:b/>
        </w:rPr>
        <w:t>G</w:t>
      </w:r>
      <w:r w:rsidR="00560700" w:rsidRPr="00380274">
        <w:rPr>
          <w:b/>
        </w:rPr>
        <w:t>eneral further education college full and short inspection outcomes, by reporting year</w:t>
      </w:r>
    </w:p>
    <w:p w14:paraId="655D7AC5" w14:textId="77777777" w:rsidR="00560700" w:rsidRPr="00380274" w:rsidRDefault="00560700" w:rsidP="00044B24">
      <w:pPr>
        <w:spacing w:before="80"/>
        <w:rPr>
          <w:sz w:val="20"/>
          <w:szCs w:val="20"/>
        </w:rPr>
      </w:pPr>
      <w:r w:rsidRPr="00380274">
        <w:rPr>
          <w:sz w:val="20"/>
          <w:szCs w:val="20"/>
        </w:rPr>
        <w:t>Number of inspections in brackets</w:t>
      </w:r>
    </w:p>
    <w:p w14:paraId="4E3BD61F" w14:textId="2DBE3ACD" w:rsidR="00560700" w:rsidRPr="00380274" w:rsidRDefault="00144CFF" w:rsidP="00560700">
      <w:r w:rsidRPr="00380274">
        <w:rPr>
          <w:noProof/>
          <w:lang w:eastAsia="en-GB"/>
        </w:rPr>
        <w:drawing>
          <wp:inline distT="0" distB="0" distL="0" distR="0" wp14:anchorId="75E2A848" wp14:editId="0E0BA476">
            <wp:extent cx="6120130" cy="11601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1160145"/>
                    </a:xfrm>
                    <a:prstGeom prst="rect">
                      <a:avLst/>
                    </a:prstGeom>
                  </pic:spPr>
                </pic:pic>
              </a:graphicData>
            </a:graphic>
          </wp:inline>
        </w:drawing>
      </w:r>
    </w:p>
    <w:p w14:paraId="29E3E723" w14:textId="1CF2F9F0" w:rsidR="00A725C9" w:rsidRDefault="007F57AC" w:rsidP="00560700">
      <w:r w:rsidRPr="00380274">
        <w:lastRenderedPageBreak/>
        <w:t>A</w:t>
      </w:r>
      <w:r w:rsidR="00A725C9" w:rsidRPr="00380274">
        <w:t xml:space="preserve"> higher proportion of </w:t>
      </w:r>
      <w:r w:rsidR="0067204B">
        <w:t>re-</w:t>
      </w:r>
      <w:r w:rsidR="00A725C9" w:rsidRPr="00380274">
        <w:t>inspections of colleges previously judged requires improvement or inadequate</w:t>
      </w:r>
      <w:r w:rsidR="00174D23" w:rsidRPr="00380274">
        <w:t xml:space="preserve"> were carried out </w:t>
      </w:r>
      <w:r w:rsidR="00A725C9" w:rsidRPr="00380274">
        <w:t xml:space="preserve">compared </w:t>
      </w:r>
      <w:r w:rsidR="00CC02AE" w:rsidRPr="00380274">
        <w:t>with 2015/16</w:t>
      </w:r>
      <w:r w:rsidR="00A725C9" w:rsidRPr="00380274">
        <w:t xml:space="preserve">. </w:t>
      </w:r>
      <w:r w:rsidR="00CC02AE" w:rsidRPr="00380274">
        <w:t xml:space="preserve">So far this year more </w:t>
      </w:r>
      <w:r w:rsidR="00A725C9" w:rsidRPr="00380274">
        <w:t>of the colleges that previously requir</w:t>
      </w:r>
      <w:r w:rsidR="00174D23" w:rsidRPr="00380274">
        <w:t>ed</w:t>
      </w:r>
      <w:r w:rsidR="00A725C9" w:rsidRPr="00380274">
        <w:t xml:space="preserve"> improvement </w:t>
      </w:r>
      <w:r w:rsidR="00A54343">
        <w:t xml:space="preserve">have </w:t>
      </w:r>
      <w:r w:rsidR="00A725C9" w:rsidRPr="00380274">
        <w:t>remain</w:t>
      </w:r>
      <w:r w:rsidRPr="00380274">
        <w:t>ed</w:t>
      </w:r>
      <w:r w:rsidR="00A725C9" w:rsidRPr="00380274">
        <w:t xml:space="preserve"> requires improvement at inspection.   </w:t>
      </w:r>
    </w:p>
    <w:p w14:paraId="13FE2C76" w14:textId="794C3220" w:rsidR="00380274" w:rsidRPr="00380274" w:rsidRDefault="00380274" w:rsidP="00560700">
      <w:pPr>
        <w:rPr>
          <w:sz w:val="8"/>
          <w:szCs w:val="8"/>
        </w:rPr>
      </w:pPr>
    </w:p>
    <w:p w14:paraId="24E185F6" w14:textId="77777777" w:rsidR="00380274" w:rsidRPr="00380274" w:rsidRDefault="00380274" w:rsidP="00560700"/>
    <w:p w14:paraId="112D6CC6" w14:textId="3E91D805" w:rsidR="00B8613C" w:rsidRPr="00380274" w:rsidRDefault="00B8613C" w:rsidP="00B8613C">
      <w:pPr>
        <w:spacing w:after="120"/>
        <w:rPr>
          <w:b/>
        </w:rPr>
      </w:pPr>
      <w:r w:rsidRPr="00380274">
        <w:rPr>
          <w:bCs/>
          <w:noProof/>
          <w:lang w:eastAsia="en-GB"/>
        </w:rPr>
        <mc:AlternateContent>
          <mc:Choice Requires="wps">
            <w:drawing>
              <wp:anchor distT="0" distB="0" distL="114300" distR="114300" simplePos="0" relativeHeight="251693056" behindDoc="0" locked="0" layoutInCell="1" allowOverlap="1" wp14:anchorId="07EC15CB" wp14:editId="070CC6BF">
                <wp:simplePos x="0" y="0"/>
                <wp:positionH relativeFrom="margin">
                  <wp:posOffset>-107615</wp:posOffset>
                </wp:positionH>
                <wp:positionV relativeFrom="paragraph">
                  <wp:posOffset>-59020</wp:posOffset>
                </wp:positionV>
                <wp:extent cx="6334125" cy="4002657"/>
                <wp:effectExtent l="0" t="0" r="28575" b="17145"/>
                <wp:wrapNone/>
                <wp:docPr id="14" name="Rectangle 14"/>
                <wp:cNvGraphicFramePr/>
                <a:graphic xmlns:a="http://schemas.openxmlformats.org/drawingml/2006/main">
                  <a:graphicData uri="http://schemas.microsoft.com/office/word/2010/wordprocessingShape">
                    <wps:wsp>
                      <wps:cNvSpPr/>
                      <wps:spPr>
                        <a:xfrm>
                          <a:off x="0" y="0"/>
                          <a:ext cx="6334125" cy="400265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AD029" id="Rectangle 14" o:spid="_x0000_s1026" style="position:absolute;margin-left:-8.45pt;margin-top:-4.65pt;width:498.75pt;height:315.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tdmwIAAJAFAAAOAAAAZHJzL2Uyb0RvYy54bWysVE1v2zAMvQ/YfxB0X22nST+MOkXQosOA&#10;oi3aDj2rshQbkEVNUuJkv36UZLtZV+wwLAdHFMlH8onkxeWuU2QrrGtBV7Q4yikRmkPd6nVFvz/f&#10;fDmjxHmma6ZAi4ruhaOXy8+fLnpTihk0oGphCYJoV/amoo33pswyxxvRMXcERmhUSrAd8yjadVZb&#10;1iN6p7JZnp9kPdjaWODCOby9Tkq6jPhSCu7vpXTCE1VRzM3Hr43f1/DNlhesXFtmmpYPabB/yKJj&#10;rcagE9Q184xsbPsHVNdyCw6kP+LQZSBly0WsAasp8nfVPDXMiFgLkuPMRJP7f7D8bvtgSVvj280p&#10;0azDN3pE1pheK0HwDgnqjSvR7sk82EFyeAzV7qTtwj/WQXaR1P1Eqth5wvHy5Ph4XswWlHDUzfN8&#10;drI4DajZm7uxzn8V0JFwqKjF+JFMtr11PpmOJiGahptWKbxnpdKkr+j5AvGD6EC1dVBGIfSQuFKW&#10;bBm+vt8VQ9gDK0xCacwllJiKiie/VyLBPwqJ7GAZsxTgd0zGudC+SKqG1SKFWuT4G4ONHrFipREw&#10;IEtMcsIeAEbLBDJip/oH++AqYltPzvnfEkvOk0eMDNpPzl2rwX4EoLCqIXKyH0lK1ASWXqHeY+9Y&#10;SEPlDL9p8f1umfMPzOIU4bzhZvD3+JEK8J1gOFHSgP350X2wx+ZGLSU9TmVF3Y8Ns4IS9U1j258X&#10;83kY4yjMF6czFOyh5vVQozfdFeDTF7iDDI/HYO/VeJQWuhdcIKsQFVVMc4xdUe7tKFz5tC1wBXGx&#10;WkUzHF3D/K1+MjyAB1ZDfz7vXpg1QxN77P87GCeYle96OdkGTw2rjQfZxkZ/43XgG8c+Ns6wosJe&#10;OZSj1dsiXf4CAAD//wMAUEsDBBQABgAIAAAAIQAboVY53gAAAAoBAAAPAAAAZHJzL2Rvd25yZXYu&#10;eG1sTI/dSsNAEEbvBd9hGcEbaTdJISQxmyKClxGsfYBtdsyG7l+zmza+veOV3s0wh2/O1+5Xa9gV&#10;5zh5JyDfZsDQDV5NbhRw/HzbVMBikk5J4x0K+MYI++7+rpWN8jf3gddDGhmFuNhIATql0HAeB41W&#10;xq0P6Oj25WcrE63zyNUsbxRuDS+yrORWTo4+aBnwVeNwPixWwLpUl0u/nK3GXW+eihTe+xCEeHxY&#10;X56BJVzTHwy/+qQOHTmd/OJUZEbAJi9rQmmod8AIqKusBHYSUBZ5Brxr+f8K3Q8AAAD//wMAUEsB&#10;Ai0AFAAGAAgAAAAhALaDOJL+AAAA4QEAABMAAAAAAAAAAAAAAAAAAAAAAFtDb250ZW50X1R5cGVz&#10;XS54bWxQSwECLQAUAAYACAAAACEAOP0h/9YAAACUAQAACwAAAAAAAAAAAAAAAAAvAQAAX3JlbHMv&#10;LnJlbHNQSwECLQAUAAYACAAAACEABdU7XZsCAACQBQAADgAAAAAAAAAAAAAAAAAuAgAAZHJzL2Uy&#10;b0RvYy54bWxQSwECLQAUAAYACAAAACEAG6FWOd4AAAAKAQAADwAAAAAAAAAAAAAAAAD1BAAAZHJz&#10;L2Rvd25yZXYueG1sUEsFBgAAAAAEAAQA8wAAAAAGAAAAAA==&#10;" filled="f" strokecolor="black [3213]">
                <w10:wrap anchorx="margin"/>
              </v:rect>
            </w:pict>
          </mc:Fallback>
        </mc:AlternateContent>
      </w:r>
      <w:r w:rsidRPr="00380274">
        <w:rPr>
          <w:b/>
        </w:rPr>
        <w:t xml:space="preserve">Figure </w:t>
      </w:r>
      <w:r w:rsidR="00FE5C38" w:rsidRPr="00380274">
        <w:rPr>
          <w:b/>
        </w:rPr>
        <w:t>5</w:t>
      </w:r>
      <w:r w:rsidRPr="00380274">
        <w:rPr>
          <w:b/>
        </w:rPr>
        <w:t>: General further education college inspection outcomes between 1 September 2016 and 28 February 2017, by previous overall effectiveness and type of inspection</w:t>
      </w:r>
    </w:p>
    <w:tbl>
      <w:tblPr>
        <w:tblStyle w:val="TableGrid"/>
        <w:tblW w:w="9421" w:type="dxa"/>
        <w:tblCellMar>
          <w:left w:w="57" w:type="dxa"/>
          <w:right w:w="57" w:type="dxa"/>
        </w:tblCellMar>
        <w:tblLook w:val="04A0" w:firstRow="1" w:lastRow="0" w:firstColumn="1" w:lastColumn="0" w:noHBand="0" w:noVBand="1"/>
      </w:tblPr>
      <w:tblGrid>
        <w:gridCol w:w="1643"/>
        <w:gridCol w:w="1336"/>
        <w:gridCol w:w="1368"/>
        <w:gridCol w:w="1397"/>
        <w:gridCol w:w="850"/>
        <w:gridCol w:w="1559"/>
        <w:gridCol w:w="1323"/>
      </w:tblGrid>
      <w:tr w:rsidR="00B8613C" w:rsidRPr="00380274" w14:paraId="7F4DCD46" w14:textId="77777777" w:rsidTr="00D261B2">
        <w:trPr>
          <w:trHeight w:val="398"/>
        </w:trPr>
        <w:tc>
          <w:tcPr>
            <w:tcW w:w="1643" w:type="dxa"/>
            <w:vMerge w:val="restart"/>
            <w:tcBorders>
              <w:left w:val="nil"/>
              <w:right w:val="nil"/>
            </w:tcBorders>
            <w:shd w:val="clear" w:color="auto" w:fill="FFFFFF" w:themeFill="background1"/>
            <w:noWrap/>
            <w:vAlign w:val="bottom"/>
            <w:hideMark/>
          </w:tcPr>
          <w:p w14:paraId="16B29304" w14:textId="77777777" w:rsidR="00B8613C" w:rsidRPr="00380274" w:rsidRDefault="00B8613C" w:rsidP="00B60762">
            <w:pPr>
              <w:rPr>
                <w:b/>
                <w:sz w:val="22"/>
                <w:szCs w:val="22"/>
              </w:rPr>
            </w:pPr>
            <w:r w:rsidRPr="00380274">
              <w:rPr>
                <w:b/>
                <w:sz w:val="22"/>
                <w:szCs w:val="22"/>
              </w:rPr>
              <w:t>Previous overall effectiveness</w:t>
            </w:r>
          </w:p>
        </w:tc>
        <w:tc>
          <w:tcPr>
            <w:tcW w:w="1358" w:type="dxa"/>
            <w:vMerge w:val="restart"/>
            <w:tcBorders>
              <w:left w:val="nil"/>
              <w:right w:val="nil"/>
            </w:tcBorders>
            <w:shd w:val="clear" w:color="auto" w:fill="FFFFFF" w:themeFill="background1"/>
            <w:vAlign w:val="bottom"/>
          </w:tcPr>
          <w:p w14:paraId="5BBEC4F0" w14:textId="77777777" w:rsidR="00B8613C" w:rsidRPr="00380274" w:rsidRDefault="00B8613C" w:rsidP="00B60762">
            <w:pPr>
              <w:rPr>
                <w:b/>
                <w:sz w:val="22"/>
                <w:szCs w:val="22"/>
              </w:rPr>
            </w:pPr>
            <w:r w:rsidRPr="00380274">
              <w:rPr>
                <w:b/>
                <w:sz w:val="22"/>
                <w:szCs w:val="22"/>
              </w:rPr>
              <w:t>Type of inspection</w:t>
            </w:r>
          </w:p>
        </w:tc>
        <w:tc>
          <w:tcPr>
            <w:tcW w:w="1291" w:type="dxa"/>
            <w:vMerge w:val="restart"/>
            <w:tcBorders>
              <w:left w:val="nil"/>
              <w:right w:val="nil"/>
            </w:tcBorders>
            <w:shd w:val="clear" w:color="auto" w:fill="FFFFFF" w:themeFill="background1"/>
            <w:vAlign w:val="bottom"/>
            <w:hideMark/>
          </w:tcPr>
          <w:p w14:paraId="409605C7" w14:textId="77777777" w:rsidR="00B8613C" w:rsidRPr="00380274" w:rsidRDefault="00B8613C" w:rsidP="00C476C4">
            <w:pPr>
              <w:jc w:val="center"/>
              <w:rPr>
                <w:b/>
                <w:sz w:val="22"/>
                <w:szCs w:val="22"/>
              </w:rPr>
            </w:pPr>
            <w:r w:rsidRPr="00380274">
              <w:rPr>
                <w:b/>
                <w:sz w:val="22"/>
                <w:szCs w:val="22"/>
              </w:rPr>
              <w:t>Total number of inspections</w:t>
            </w:r>
          </w:p>
        </w:tc>
        <w:tc>
          <w:tcPr>
            <w:tcW w:w="5129" w:type="dxa"/>
            <w:gridSpan w:val="4"/>
            <w:tcBorders>
              <w:left w:val="nil"/>
              <w:right w:val="nil"/>
            </w:tcBorders>
            <w:shd w:val="clear" w:color="auto" w:fill="FFFFFF" w:themeFill="background1"/>
            <w:noWrap/>
            <w:vAlign w:val="center"/>
            <w:hideMark/>
          </w:tcPr>
          <w:p w14:paraId="56686DEC" w14:textId="77777777" w:rsidR="00B8613C" w:rsidRPr="00380274" w:rsidRDefault="00B8613C" w:rsidP="00C476C4">
            <w:pPr>
              <w:jc w:val="center"/>
              <w:rPr>
                <w:b/>
                <w:sz w:val="22"/>
                <w:szCs w:val="22"/>
              </w:rPr>
            </w:pPr>
            <w:r w:rsidRPr="00380274">
              <w:rPr>
                <w:b/>
                <w:sz w:val="22"/>
                <w:szCs w:val="22"/>
              </w:rPr>
              <w:t>Overall effectiveness (number)</w:t>
            </w:r>
          </w:p>
        </w:tc>
      </w:tr>
      <w:tr w:rsidR="00B8613C" w:rsidRPr="00380274" w14:paraId="3C43FA14" w14:textId="77777777" w:rsidTr="00D261B2">
        <w:trPr>
          <w:trHeight w:val="264"/>
        </w:trPr>
        <w:tc>
          <w:tcPr>
            <w:tcW w:w="1643" w:type="dxa"/>
            <w:vMerge/>
            <w:tcBorders>
              <w:left w:val="nil"/>
              <w:bottom w:val="single" w:sz="4" w:space="0" w:color="auto"/>
              <w:right w:val="nil"/>
            </w:tcBorders>
            <w:shd w:val="clear" w:color="auto" w:fill="FFFFFF" w:themeFill="background1"/>
            <w:vAlign w:val="bottom"/>
            <w:hideMark/>
          </w:tcPr>
          <w:p w14:paraId="66C8EEC3" w14:textId="77777777" w:rsidR="00B8613C" w:rsidRPr="00380274" w:rsidRDefault="00B8613C" w:rsidP="00B60762">
            <w:pPr>
              <w:rPr>
                <w:sz w:val="22"/>
                <w:szCs w:val="22"/>
              </w:rPr>
            </w:pPr>
          </w:p>
        </w:tc>
        <w:tc>
          <w:tcPr>
            <w:tcW w:w="1358" w:type="dxa"/>
            <w:vMerge/>
            <w:tcBorders>
              <w:left w:val="nil"/>
              <w:bottom w:val="single" w:sz="4" w:space="0" w:color="auto"/>
              <w:right w:val="nil"/>
            </w:tcBorders>
            <w:shd w:val="clear" w:color="auto" w:fill="FFFFFF" w:themeFill="background1"/>
          </w:tcPr>
          <w:p w14:paraId="457CA441" w14:textId="77777777" w:rsidR="00B8613C" w:rsidRPr="00380274" w:rsidRDefault="00B8613C" w:rsidP="00B60762">
            <w:pPr>
              <w:rPr>
                <w:sz w:val="22"/>
                <w:szCs w:val="22"/>
              </w:rPr>
            </w:pPr>
          </w:p>
        </w:tc>
        <w:tc>
          <w:tcPr>
            <w:tcW w:w="1291" w:type="dxa"/>
            <w:vMerge/>
            <w:tcBorders>
              <w:left w:val="nil"/>
              <w:bottom w:val="single" w:sz="4" w:space="0" w:color="auto"/>
              <w:right w:val="nil"/>
            </w:tcBorders>
            <w:shd w:val="clear" w:color="auto" w:fill="FFFFFF" w:themeFill="background1"/>
            <w:vAlign w:val="bottom"/>
            <w:hideMark/>
          </w:tcPr>
          <w:p w14:paraId="59B61D4A" w14:textId="77777777" w:rsidR="00B8613C" w:rsidRPr="00380274" w:rsidRDefault="00B8613C" w:rsidP="00C476C4">
            <w:pPr>
              <w:rPr>
                <w:sz w:val="22"/>
                <w:szCs w:val="22"/>
              </w:rPr>
            </w:pPr>
          </w:p>
        </w:tc>
        <w:tc>
          <w:tcPr>
            <w:tcW w:w="1397" w:type="dxa"/>
            <w:tcBorders>
              <w:left w:val="nil"/>
              <w:bottom w:val="single" w:sz="4" w:space="0" w:color="auto"/>
              <w:right w:val="nil"/>
            </w:tcBorders>
            <w:shd w:val="clear" w:color="auto" w:fill="FFFFFF" w:themeFill="background1"/>
            <w:noWrap/>
            <w:vAlign w:val="bottom"/>
            <w:hideMark/>
          </w:tcPr>
          <w:p w14:paraId="3A8E8B41" w14:textId="77777777" w:rsidR="00B8613C" w:rsidRPr="00380274" w:rsidRDefault="00B8613C" w:rsidP="00C476C4">
            <w:pPr>
              <w:jc w:val="center"/>
              <w:rPr>
                <w:sz w:val="22"/>
                <w:szCs w:val="22"/>
              </w:rPr>
            </w:pPr>
            <w:r w:rsidRPr="00380274">
              <w:rPr>
                <w:sz w:val="22"/>
                <w:szCs w:val="22"/>
              </w:rPr>
              <w:t>Outstanding</w:t>
            </w:r>
          </w:p>
        </w:tc>
        <w:tc>
          <w:tcPr>
            <w:tcW w:w="850" w:type="dxa"/>
            <w:tcBorders>
              <w:left w:val="nil"/>
              <w:bottom w:val="single" w:sz="4" w:space="0" w:color="auto"/>
              <w:right w:val="nil"/>
            </w:tcBorders>
            <w:shd w:val="clear" w:color="auto" w:fill="FFFFFF" w:themeFill="background1"/>
            <w:noWrap/>
            <w:vAlign w:val="bottom"/>
            <w:hideMark/>
          </w:tcPr>
          <w:p w14:paraId="0981219F" w14:textId="77777777" w:rsidR="00B8613C" w:rsidRPr="00380274" w:rsidRDefault="00B8613C" w:rsidP="00C476C4">
            <w:pPr>
              <w:jc w:val="center"/>
              <w:rPr>
                <w:sz w:val="22"/>
                <w:szCs w:val="22"/>
              </w:rPr>
            </w:pPr>
            <w:r w:rsidRPr="00380274">
              <w:rPr>
                <w:sz w:val="22"/>
                <w:szCs w:val="22"/>
              </w:rPr>
              <w:t>Good</w:t>
            </w:r>
            <w:r w:rsidRPr="00380274">
              <w:rPr>
                <w:sz w:val="22"/>
                <w:szCs w:val="22"/>
                <w:vertAlign w:val="superscript"/>
              </w:rPr>
              <w:t>1</w:t>
            </w:r>
          </w:p>
        </w:tc>
        <w:tc>
          <w:tcPr>
            <w:tcW w:w="1559" w:type="dxa"/>
            <w:tcBorders>
              <w:left w:val="nil"/>
              <w:bottom w:val="single" w:sz="4" w:space="0" w:color="auto"/>
              <w:right w:val="nil"/>
            </w:tcBorders>
            <w:shd w:val="clear" w:color="auto" w:fill="FFFFFF" w:themeFill="background1"/>
            <w:noWrap/>
            <w:vAlign w:val="bottom"/>
            <w:hideMark/>
          </w:tcPr>
          <w:p w14:paraId="39F37E8B" w14:textId="77777777" w:rsidR="00B8613C" w:rsidRPr="00380274" w:rsidRDefault="00B8613C" w:rsidP="00C476C4">
            <w:pPr>
              <w:jc w:val="center"/>
              <w:rPr>
                <w:sz w:val="22"/>
                <w:szCs w:val="22"/>
              </w:rPr>
            </w:pPr>
            <w:r w:rsidRPr="00380274">
              <w:rPr>
                <w:sz w:val="22"/>
                <w:szCs w:val="22"/>
              </w:rPr>
              <w:t>Requires improvement</w:t>
            </w:r>
          </w:p>
        </w:tc>
        <w:tc>
          <w:tcPr>
            <w:tcW w:w="1323" w:type="dxa"/>
            <w:tcBorders>
              <w:left w:val="nil"/>
              <w:bottom w:val="single" w:sz="4" w:space="0" w:color="auto"/>
              <w:right w:val="nil"/>
            </w:tcBorders>
            <w:shd w:val="clear" w:color="auto" w:fill="FFFFFF" w:themeFill="background1"/>
            <w:noWrap/>
            <w:vAlign w:val="bottom"/>
            <w:hideMark/>
          </w:tcPr>
          <w:p w14:paraId="4D4A73A9" w14:textId="77777777" w:rsidR="00B8613C" w:rsidRPr="00380274" w:rsidRDefault="00B8613C" w:rsidP="00C476C4">
            <w:pPr>
              <w:jc w:val="center"/>
              <w:rPr>
                <w:sz w:val="22"/>
                <w:szCs w:val="22"/>
              </w:rPr>
            </w:pPr>
            <w:r w:rsidRPr="00380274">
              <w:rPr>
                <w:sz w:val="22"/>
                <w:szCs w:val="22"/>
              </w:rPr>
              <w:t>Inadequate</w:t>
            </w:r>
          </w:p>
        </w:tc>
      </w:tr>
      <w:tr w:rsidR="00B8613C" w:rsidRPr="00380274" w14:paraId="4404028A" w14:textId="77777777" w:rsidTr="00E15ACE">
        <w:trPr>
          <w:trHeight w:val="264"/>
        </w:trPr>
        <w:tc>
          <w:tcPr>
            <w:tcW w:w="1643" w:type="dxa"/>
            <w:tcBorders>
              <w:left w:val="nil"/>
              <w:bottom w:val="single" w:sz="4" w:space="0" w:color="auto"/>
              <w:right w:val="nil"/>
            </w:tcBorders>
            <w:noWrap/>
            <w:vAlign w:val="center"/>
            <w:hideMark/>
          </w:tcPr>
          <w:p w14:paraId="16DDA962" w14:textId="77777777" w:rsidR="00B8613C" w:rsidRPr="00380274" w:rsidRDefault="00B8613C" w:rsidP="00B60762">
            <w:pPr>
              <w:rPr>
                <w:sz w:val="22"/>
                <w:szCs w:val="22"/>
              </w:rPr>
            </w:pPr>
            <w:r w:rsidRPr="00380274">
              <w:rPr>
                <w:sz w:val="22"/>
                <w:szCs w:val="22"/>
              </w:rPr>
              <w:t>Outstanding</w:t>
            </w:r>
          </w:p>
        </w:tc>
        <w:tc>
          <w:tcPr>
            <w:tcW w:w="1358" w:type="dxa"/>
            <w:tcBorders>
              <w:left w:val="nil"/>
              <w:bottom w:val="single" w:sz="4" w:space="0" w:color="auto"/>
              <w:right w:val="nil"/>
            </w:tcBorders>
            <w:vAlign w:val="center"/>
          </w:tcPr>
          <w:p w14:paraId="50B7DF74" w14:textId="77777777" w:rsidR="00B8613C" w:rsidRPr="00380274" w:rsidRDefault="00B8613C" w:rsidP="00B60762">
            <w:pPr>
              <w:rPr>
                <w:sz w:val="22"/>
                <w:szCs w:val="22"/>
              </w:rPr>
            </w:pPr>
            <w:r w:rsidRPr="00380274">
              <w:rPr>
                <w:sz w:val="22"/>
                <w:szCs w:val="22"/>
              </w:rPr>
              <w:t>Full</w:t>
            </w:r>
          </w:p>
        </w:tc>
        <w:tc>
          <w:tcPr>
            <w:tcW w:w="1291" w:type="dxa"/>
            <w:tcBorders>
              <w:left w:val="nil"/>
              <w:bottom w:val="single" w:sz="4" w:space="0" w:color="auto"/>
              <w:right w:val="nil"/>
            </w:tcBorders>
            <w:noWrap/>
            <w:vAlign w:val="center"/>
            <w:hideMark/>
          </w:tcPr>
          <w:p w14:paraId="39045097" w14:textId="77777777" w:rsidR="00B8613C" w:rsidRPr="00380274" w:rsidRDefault="00B8613C" w:rsidP="00D261B2">
            <w:pPr>
              <w:jc w:val="center"/>
              <w:rPr>
                <w:sz w:val="22"/>
                <w:szCs w:val="22"/>
              </w:rPr>
            </w:pPr>
            <w:r w:rsidRPr="00380274">
              <w:rPr>
                <w:sz w:val="22"/>
                <w:szCs w:val="22"/>
              </w:rPr>
              <w:t>2</w:t>
            </w:r>
          </w:p>
        </w:tc>
        <w:tc>
          <w:tcPr>
            <w:tcW w:w="1397" w:type="dxa"/>
            <w:tcBorders>
              <w:left w:val="nil"/>
              <w:bottom w:val="single" w:sz="4" w:space="0" w:color="auto"/>
              <w:right w:val="nil"/>
            </w:tcBorders>
            <w:noWrap/>
            <w:vAlign w:val="center"/>
            <w:hideMark/>
          </w:tcPr>
          <w:p w14:paraId="75947676" w14:textId="77777777" w:rsidR="00B8613C" w:rsidRPr="00380274" w:rsidRDefault="00B8613C" w:rsidP="00D261B2">
            <w:pPr>
              <w:jc w:val="center"/>
              <w:rPr>
                <w:sz w:val="22"/>
                <w:szCs w:val="22"/>
              </w:rPr>
            </w:pPr>
            <w:r w:rsidRPr="00380274">
              <w:rPr>
                <w:sz w:val="22"/>
                <w:szCs w:val="22"/>
              </w:rPr>
              <w:t>0</w:t>
            </w:r>
          </w:p>
        </w:tc>
        <w:tc>
          <w:tcPr>
            <w:tcW w:w="850" w:type="dxa"/>
            <w:tcBorders>
              <w:left w:val="nil"/>
              <w:bottom w:val="single" w:sz="4" w:space="0" w:color="auto"/>
              <w:right w:val="nil"/>
            </w:tcBorders>
            <w:noWrap/>
            <w:vAlign w:val="center"/>
            <w:hideMark/>
          </w:tcPr>
          <w:p w14:paraId="5B918341" w14:textId="77777777" w:rsidR="00B8613C" w:rsidRPr="00380274" w:rsidRDefault="00B8613C" w:rsidP="00D261B2">
            <w:pPr>
              <w:jc w:val="center"/>
              <w:rPr>
                <w:sz w:val="22"/>
                <w:szCs w:val="22"/>
              </w:rPr>
            </w:pPr>
            <w:r w:rsidRPr="00380274">
              <w:rPr>
                <w:sz w:val="22"/>
                <w:szCs w:val="22"/>
              </w:rPr>
              <w:t>1</w:t>
            </w:r>
          </w:p>
        </w:tc>
        <w:tc>
          <w:tcPr>
            <w:tcW w:w="1559" w:type="dxa"/>
            <w:tcBorders>
              <w:left w:val="nil"/>
              <w:bottom w:val="single" w:sz="4" w:space="0" w:color="auto"/>
              <w:right w:val="nil"/>
            </w:tcBorders>
            <w:shd w:val="clear" w:color="auto" w:fill="604A7B"/>
            <w:noWrap/>
            <w:vAlign w:val="center"/>
            <w:hideMark/>
          </w:tcPr>
          <w:p w14:paraId="78652E26" w14:textId="77777777" w:rsidR="00B8613C" w:rsidRPr="00AE12C0" w:rsidRDefault="00B8613C" w:rsidP="00D261B2">
            <w:pPr>
              <w:jc w:val="center"/>
              <w:rPr>
                <w:color w:val="FFFFFF" w:themeColor="background1"/>
                <w:sz w:val="22"/>
                <w:szCs w:val="22"/>
              </w:rPr>
            </w:pPr>
            <w:r w:rsidRPr="00AE12C0">
              <w:rPr>
                <w:color w:val="FFFFFF" w:themeColor="background1"/>
                <w:sz w:val="22"/>
                <w:szCs w:val="22"/>
              </w:rPr>
              <w:t>1</w:t>
            </w:r>
          </w:p>
        </w:tc>
        <w:tc>
          <w:tcPr>
            <w:tcW w:w="1323" w:type="dxa"/>
            <w:tcBorders>
              <w:left w:val="nil"/>
              <w:bottom w:val="single" w:sz="4" w:space="0" w:color="auto"/>
              <w:right w:val="nil"/>
            </w:tcBorders>
            <w:shd w:val="clear" w:color="auto" w:fill="604A7B"/>
            <w:noWrap/>
            <w:vAlign w:val="center"/>
            <w:hideMark/>
          </w:tcPr>
          <w:p w14:paraId="5CA86A54" w14:textId="77777777" w:rsidR="00B8613C" w:rsidRPr="00AE12C0" w:rsidRDefault="00B8613C" w:rsidP="00D261B2">
            <w:pPr>
              <w:jc w:val="center"/>
              <w:rPr>
                <w:color w:val="FFFFFF" w:themeColor="background1"/>
                <w:sz w:val="22"/>
                <w:szCs w:val="22"/>
              </w:rPr>
            </w:pPr>
            <w:r w:rsidRPr="00AE12C0">
              <w:rPr>
                <w:color w:val="FFFFFF" w:themeColor="background1"/>
                <w:sz w:val="22"/>
                <w:szCs w:val="22"/>
              </w:rPr>
              <w:t>0</w:t>
            </w:r>
          </w:p>
        </w:tc>
      </w:tr>
      <w:tr w:rsidR="00B8613C" w:rsidRPr="00380274" w14:paraId="5E07DBFC" w14:textId="77777777" w:rsidTr="00E15ACE">
        <w:trPr>
          <w:trHeight w:val="264"/>
        </w:trPr>
        <w:tc>
          <w:tcPr>
            <w:tcW w:w="1643" w:type="dxa"/>
            <w:tcBorders>
              <w:top w:val="single" w:sz="4" w:space="0" w:color="auto"/>
              <w:left w:val="nil"/>
              <w:bottom w:val="single" w:sz="4" w:space="0" w:color="auto"/>
              <w:right w:val="nil"/>
            </w:tcBorders>
            <w:noWrap/>
            <w:vAlign w:val="center"/>
            <w:hideMark/>
          </w:tcPr>
          <w:p w14:paraId="68E242CB" w14:textId="77777777" w:rsidR="00B8613C" w:rsidRPr="00380274" w:rsidRDefault="00B8613C" w:rsidP="00B60762">
            <w:pPr>
              <w:rPr>
                <w:sz w:val="22"/>
                <w:szCs w:val="22"/>
              </w:rPr>
            </w:pPr>
            <w:r w:rsidRPr="00380274">
              <w:rPr>
                <w:sz w:val="22"/>
                <w:szCs w:val="22"/>
              </w:rPr>
              <w:t>Good</w:t>
            </w:r>
          </w:p>
        </w:tc>
        <w:tc>
          <w:tcPr>
            <w:tcW w:w="1358" w:type="dxa"/>
            <w:tcBorders>
              <w:top w:val="single" w:sz="4" w:space="0" w:color="auto"/>
              <w:left w:val="nil"/>
              <w:bottom w:val="single" w:sz="4" w:space="0" w:color="auto"/>
              <w:right w:val="nil"/>
            </w:tcBorders>
            <w:vAlign w:val="center"/>
          </w:tcPr>
          <w:p w14:paraId="4B295DB5" w14:textId="77777777" w:rsidR="00B8613C" w:rsidRPr="00380274" w:rsidRDefault="00B8613C" w:rsidP="00B60762">
            <w:pPr>
              <w:rPr>
                <w:sz w:val="22"/>
                <w:szCs w:val="22"/>
              </w:rPr>
            </w:pPr>
            <w:r w:rsidRPr="00380274">
              <w:rPr>
                <w:sz w:val="22"/>
                <w:szCs w:val="22"/>
              </w:rPr>
              <w:t>Full</w:t>
            </w:r>
          </w:p>
        </w:tc>
        <w:tc>
          <w:tcPr>
            <w:tcW w:w="1291" w:type="dxa"/>
            <w:tcBorders>
              <w:top w:val="single" w:sz="4" w:space="0" w:color="auto"/>
              <w:left w:val="nil"/>
              <w:bottom w:val="single" w:sz="4" w:space="0" w:color="auto"/>
              <w:right w:val="nil"/>
            </w:tcBorders>
            <w:noWrap/>
            <w:vAlign w:val="center"/>
            <w:hideMark/>
          </w:tcPr>
          <w:p w14:paraId="0CFCBB2E" w14:textId="77777777" w:rsidR="00B8613C" w:rsidRPr="00380274" w:rsidRDefault="00B8613C" w:rsidP="00D261B2">
            <w:pPr>
              <w:jc w:val="center"/>
              <w:rPr>
                <w:sz w:val="22"/>
                <w:szCs w:val="22"/>
              </w:rPr>
            </w:pPr>
            <w:r w:rsidRPr="00380274">
              <w:rPr>
                <w:sz w:val="22"/>
                <w:szCs w:val="22"/>
              </w:rPr>
              <w:t>12</w:t>
            </w:r>
          </w:p>
        </w:tc>
        <w:tc>
          <w:tcPr>
            <w:tcW w:w="1397" w:type="dxa"/>
            <w:tcBorders>
              <w:top w:val="single" w:sz="4" w:space="0" w:color="auto"/>
              <w:left w:val="nil"/>
              <w:bottom w:val="single" w:sz="4" w:space="0" w:color="auto"/>
              <w:right w:val="nil"/>
            </w:tcBorders>
            <w:noWrap/>
            <w:vAlign w:val="center"/>
            <w:hideMark/>
          </w:tcPr>
          <w:p w14:paraId="56A57FB1" w14:textId="77777777" w:rsidR="00B8613C" w:rsidRPr="00380274" w:rsidRDefault="00B8613C" w:rsidP="00D261B2">
            <w:pPr>
              <w:jc w:val="center"/>
              <w:rPr>
                <w:sz w:val="22"/>
                <w:szCs w:val="22"/>
              </w:rPr>
            </w:pPr>
            <w:r w:rsidRPr="00380274">
              <w:rPr>
                <w:sz w:val="22"/>
                <w:szCs w:val="22"/>
              </w:rPr>
              <w:t>0</w:t>
            </w:r>
          </w:p>
        </w:tc>
        <w:tc>
          <w:tcPr>
            <w:tcW w:w="850" w:type="dxa"/>
            <w:tcBorders>
              <w:top w:val="single" w:sz="4" w:space="0" w:color="auto"/>
              <w:left w:val="nil"/>
              <w:bottom w:val="single" w:sz="4" w:space="0" w:color="auto"/>
              <w:right w:val="nil"/>
            </w:tcBorders>
            <w:noWrap/>
            <w:vAlign w:val="center"/>
            <w:hideMark/>
          </w:tcPr>
          <w:p w14:paraId="26209B0B" w14:textId="77777777" w:rsidR="00B8613C" w:rsidRPr="00380274" w:rsidRDefault="00B8613C" w:rsidP="00D261B2">
            <w:pPr>
              <w:jc w:val="center"/>
              <w:rPr>
                <w:sz w:val="22"/>
                <w:szCs w:val="22"/>
              </w:rPr>
            </w:pPr>
            <w:r w:rsidRPr="00380274">
              <w:rPr>
                <w:sz w:val="22"/>
                <w:szCs w:val="22"/>
              </w:rPr>
              <w:t>4</w:t>
            </w:r>
          </w:p>
        </w:tc>
        <w:tc>
          <w:tcPr>
            <w:tcW w:w="1559" w:type="dxa"/>
            <w:tcBorders>
              <w:top w:val="single" w:sz="4" w:space="0" w:color="auto"/>
              <w:left w:val="nil"/>
              <w:bottom w:val="single" w:sz="4" w:space="0" w:color="auto"/>
              <w:right w:val="nil"/>
            </w:tcBorders>
            <w:shd w:val="clear" w:color="auto" w:fill="604A7B"/>
            <w:noWrap/>
            <w:vAlign w:val="center"/>
            <w:hideMark/>
          </w:tcPr>
          <w:p w14:paraId="4BE8C47F" w14:textId="77777777" w:rsidR="00B8613C" w:rsidRPr="00AE12C0" w:rsidRDefault="00B8613C" w:rsidP="00D261B2">
            <w:pPr>
              <w:jc w:val="center"/>
              <w:rPr>
                <w:color w:val="FFFFFF" w:themeColor="background1"/>
                <w:sz w:val="22"/>
                <w:szCs w:val="22"/>
              </w:rPr>
            </w:pPr>
            <w:r w:rsidRPr="00AE12C0">
              <w:rPr>
                <w:color w:val="FFFFFF" w:themeColor="background1"/>
                <w:sz w:val="22"/>
                <w:szCs w:val="22"/>
              </w:rPr>
              <w:t>7</w:t>
            </w:r>
          </w:p>
        </w:tc>
        <w:tc>
          <w:tcPr>
            <w:tcW w:w="1323" w:type="dxa"/>
            <w:tcBorders>
              <w:top w:val="single" w:sz="4" w:space="0" w:color="auto"/>
              <w:left w:val="nil"/>
              <w:bottom w:val="single" w:sz="4" w:space="0" w:color="auto"/>
              <w:right w:val="nil"/>
            </w:tcBorders>
            <w:shd w:val="clear" w:color="auto" w:fill="604A7B"/>
            <w:noWrap/>
            <w:vAlign w:val="center"/>
            <w:hideMark/>
          </w:tcPr>
          <w:p w14:paraId="3BC70B43" w14:textId="77777777" w:rsidR="00B8613C" w:rsidRPr="00AE12C0" w:rsidRDefault="00B8613C" w:rsidP="00D261B2">
            <w:pPr>
              <w:jc w:val="center"/>
              <w:rPr>
                <w:color w:val="FFFFFF" w:themeColor="background1"/>
                <w:sz w:val="22"/>
                <w:szCs w:val="22"/>
              </w:rPr>
            </w:pPr>
            <w:r w:rsidRPr="00AE12C0">
              <w:rPr>
                <w:color w:val="FFFFFF" w:themeColor="background1"/>
                <w:sz w:val="22"/>
                <w:szCs w:val="22"/>
              </w:rPr>
              <w:t>1</w:t>
            </w:r>
          </w:p>
        </w:tc>
      </w:tr>
      <w:tr w:rsidR="00B8613C" w:rsidRPr="00380274" w14:paraId="200CF5AE" w14:textId="77777777" w:rsidTr="00E15ACE">
        <w:trPr>
          <w:trHeight w:val="264"/>
        </w:trPr>
        <w:tc>
          <w:tcPr>
            <w:tcW w:w="1643" w:type="dxa"/>
            <w:tcBorders>
              <w:top w:val="single" w:sz="4" w:space="0" w:color="auto"/>
              <w:left w:val="nil"/>
              <w:bottom w:val="single" w:sz="4" w:space="0" w:color="auto"/>
              <w:right w:val="nil"/>
            </w:tcBorders>
            <w:noWrap/>
            <w:vAlign w:val="center"/>
          </w:tcPr>
          <w:p w14:paraId="6E8F39CC" w14:textId="77777777" w:rsidR="00B8613C" w:rsidRPr="00380274" w:rsidRDefault="00B8613C" w:rsidP="00B60762">
            <w:pPr>
              <w:rPr>
                <w:sz w:val="22"/>
                <w:szCs w:val="22"/>
              </w:rPr>
            </w:pPr>
            <w:r w:rsidRPr="00380274">
              <w:rPr>
                <w:sz w:val="22"/>
                <w:szCs w:val="22"/>
              </w:rPr>
              <w:t>Good</w:t>
            </w:r>
          </w:p>
        </w:tc>
        <w:tc>
          <w:tcPr>
            <w:tcW w:w="1358" w:type="dxa"/>
            <w:tcBorders>
              <w:top w:val="single" w:sz="4" w:space="0" w:color="auto"/>
              <w:left w:val="nil"/>
              <w:bottom w:val="single" w:sz="4" w:space="0" w:color="auto"/>
              <w:right w:val="nil"/>
            </w:tcBorders>
            <w:vAlign w:val="center"/>
          </w:tcPr>
          <w:p w14:paraId="07A92C7E" w14:textId="77777777" w:rsidR="00B8613C" w:rsidRPr="00380274" w:rsidRDefault="00B8613C" w:rsidP="00B60762">
            <w:pPr>
              <w:rPr>
                <w:sz w:val="22"/>
                <w:szCs w:val="22"/>
              </w:rPr>
            </w:pPr>
            <w:r w:rsidRPr="00380274">
              <w:rPr>
                <w:sz w:val="22"/>
                <w:szCs w:val="22"/>
              </w:rPr>
              <w:t>Short (including conversions)</w:t>
            </w:r>
          </w:p>
        </w:tc>
        <w:tc>
          <w:tcPr>
            <w:tcW w:w="1291" w:type="dxa"/>
            <w:tcBorders>
              <w:top w:val="single" w:sz="4" w:space="0" w:color="auto"/>
              <w:left w:val="nil"/>
              <w:bottom w:val="single" w:sz="4" w:space="0" w:color="auto"/>
              <w:right w:val="nil"/>
            </w:tcBorders>
            <w:noWrap/>
            <w:vAlign w:val="center"/>
          </w:tcPr>
          <w:p w14:paraId="001C881D" w14:textId="77777777" w:rsidR="00B8613C" w:rsidRPr="00380274" w:rsidRDefault="00B8613C" w:rsidP="00D261B2">
            <w:pPr>
              <w:jc w:val="center"/>
              <w:rPr>
                <w:sz w:val="22"/>
                <w:szCs w:val="22"/>
              </w:rPr>
            </w:pPr>
            <w:r w:rsidRPr="00380274">
              <w:rPr>
                <w:sz w:val="22"/>
                <w:szCs w:val="22"/>
              </w:rPr>
              <w:t>7</w:t>
            </w:r>
          </w:p>
        </w:tc>
        <w:tc>
          <w:tcPr>
            <w:tcW w:w="1397" w:type="dxa"/>
            <w:tcBorders>
              <w:top w:val="single" w:sz="4" w:space="0" w:color="auto"/>
              <w:left w:val="nil"/>
              <w:bottom w:val="single" w:sz="4" w:space="0" w:color="auto"/>
              <w:right w:val="nil"/>
            </w:tcBorders>
            <w:noWrap/>
            <w:vAlign w:val="center"/>
          </w:tcPr>
          <w:p w14:paraId="619E65B3" w14:textId="77777777" w:rsidR="00B8613C" w:rsidRPr="00380274" w:rsidRDefault="00B8613C" w:rsidP="00D261B2">
            <w:pPr>
              <w:jc w:val="center"/>
              <w:rPr>
                <w:sz w:val="22"/>
                <w:szCs w:val="22"/>
              </w:rPr>
            </w:pPr>
            <w:r w:rsidRPr="00380274">
              <w:rPr>
                <w:sz w:val="22"/>
                <w:szCs w:val="22"/>
              </w:rPr>
              <w:t>0</w:t>
            </w:r>
          </w:p>
        </w:tc>
        <w:tc>
          <w:tcPr>
            <w:tcW w:w="850" w:type="dxa"/>
            <w:tcBorders>
              <w:top w:val="single" w:sz="4" w:space="0" w:color="auto"/>
              <w:left w:val="nil"/>
              <w:bottom w:val="single" w:sz="4" w:space="0" w:color="auto"/>
              <w:right w:val="nil"/>
            </w:tcBorders>
            <w:noWrap/>
            <w:vAlign w:val="center"/>
          </w:tcPr>
          <w:p w14:paraId="14B06178" w14:textId="77777777" w:rsidR="00B8613C" w:rsidRPr="00380274" w:rsidRDefault="00B8613C" w:rsidP="00D261B2">
            <w:pPr>
              <w:jc w:val="center"/>
              <w:rPr>
                <w:sz w:val="22"/>
                <w:szCs w:val="22"/>
              </w:rPr>
            </w:pPr>
            <w:r w:rsidRPr="00380274">
              <w:rPr>
                <w:sz w:val="22"/>
                <w:szCs w:val="22"/>
              </w:rPr>
              <w:t>6</w:t>
            </w:r>
          </w:p>
        </w:tc>
        <w:tc>
          <w:tcPr>
            <w:tcW w:w="1559" w:type="dxa"/>
            <w:tcBorders>
              <w:top w:val="single" w:sz="4" w:space="0" w:color="auto"/>
              <w:left w:val="nil"/>
              <w:bottom w:val="single" w:sz="4" w:space="0" w:color="auto"/>
              <w:right w:val="nil"/>
            </w:tcBorders>
            <w:shd w:val="clear" w:color="auto" w:fill="604A7B"/>
            <w:noWrap/>
            <w:vAlign w:val="center"/>
          </w:tcPr>
          <w:p w14:paraId="4D97E780" w14:textId="77777777" w:rsidR="00B8613C" w:rsidRPr="00AE12C0" w:rsidRDefault="00B8613C" w:rsidP="00D261B2">
            <w:pPr>
              <w:jc w:val="center"/>
              <w:rPr>
                <w:color w:val="FFFFFF" w:themeColor="background1"/>
                <w:sz w:val="22"/>
                <w:szCs w:val="22"/>
              </w:rPr>
            </w:pPr>
            <w:r w:rsidRPr="00AE12C0">
              <w:rPr>
                <w:color w:val="FFFFFF" w:themeColor="background1"/>
                <w:sz w:val="22"/>
                <w:szCs w:val="22"/>
              </w:rPr>
              <w:t>1</w:t>
            </w:r>
          </w:p>
        </w:tc>
        <w:tc>
          <w:tcPr>
            <w:tcW w:w="1323" w:type="dxa"/>
            <w:tcBorders>
              <w:top w:val="single" w:sz="4" w:space="0" w:color="auto"/>
              <w:left w:val="nil"/>
              <w:bottom w:val="single" w:sz="4" w:space="0" w:color="auto"/>
              <w:right w:val="nil"/>
            </w:tcBorders>
            <w:shd w:val="clear" w:color="auto" w:fill="604A7B"/>
            <w:noWrap/>
            <w:vAlign w:val="center"/>
          </w:tcPr>
          <w:p w14:paraId="5798E819" w14:textId="77777777" w:rsidR="00B8613C" w:rsidRPr="00AE12C0" w:rsidRDefault="00B8613C" w:rsidP="00D261B2">
            <w:pPr>
              <w:jc w:val="center"/>
              <w:rPr>
                <w:color w:val="FFFFFF" w:themeColor="background1"/>
                <w:sz w:val="22"/>
                <w:szCs w:val="22"/>
              </w:rPr>
            </w:pPr>
            <w:r w:rsidRPr="00AE12C0">
              <w:rPr>
                <w:color w:val="FFFFFF" w:themeColor="background1"/>
                <w:sz w:val="22"/>
                <w:szCs w:val="22"/>
              </w:rPr>
              <w:t>0</w:t>
            </w:r>
          </w:p>
        </w:tc>
      </w:tr>
      <w:tr w:rsidR="00B8613C" w:rsidRPr="00380274" w14:paraId="167BFED9" w14:textId="77777777" w:rsidTr="00E15ACE">
        <w:trPr>
          <w:trHeight w:val="264"/>
        </w:trPr>
        <w:tc>
          <w:tcPr>
            <w:tcW w:w="1643" w:type="dxa"/>
            <w:tcBorders>
              <w:top w:val="single" w:sz="4" w:space="0" w:color="auto"/>
              <w:left w:val="nil"/>
              <w:bottom w:val="single" w:sz="4" w:space="0" w:color="auto"/>
              <w:right w:val="nil"/>
            </w:tcBorders>
            <w:noWrap/>
            <w:vAlign w:val="center"/>
            <w:hideMark/>
          </w:tcPr>
          <w:p w14:paraId="2C39CB96" w14:textId="77777777" w:rsidR="00B8613C" w:rsidRPr="00380274" w:rsidRDefault="00B8613C" w:rsidP="00B60762">
            <w:pPr>
              <w:rPr>
                <w:sz w:val="22"/>
                <w:szCs w:val="22"/>
              </w:rPr>
            </w:pPr>
            <w:r w:rsidRPr="00380274">
              <w:rPr>
                <w:sz w:val="22"/>
                <w:szCs w:val="22"/>
              </w:rPr>
              <w:t>Requires improvement</w:t>
            </w:r>
          </w:p>
        </w:tc>
        <w:tc>
          <w:tcPr>
            <w:tcW w:w="1358" w:type="dxa"/>
            <w:tcBorders>
              <w:top w:val="single" w:sz="4" w:space="0" w:color="auto"/>
              <w:left w:val="nil"/>
              <w:bottom w:val="single" w:sz="4" w:space="0" w:color="auto"/>
              <w:right w:val="nil"/>
            </w:tcBorders>
            <w:vAlign w:val="center"/>
          </w:tcPr>
          <w:p w14:paraId="4043F5E2" w14:textId="77777777" w:rsidR="00B8613C" w:rsidRPr="00380274" w:rsidRDefault="00B8613C" w:rsidP="00B60762">
            <w:pPr>
              <w:rPr>
                <w:sz w:val="22"/>
                <w:szCs w:val="22"/>
              </w:rPr>
            </w:pPr>
            <w:r w:rsidRPr="00380274">
              <w:rPr>
                <w:sz w:val="22"/>
                <w:szCs w:val="22"/>
              </w:rPr>
              <w:t>Full</w:t>
            </w:r>
          </w:p>
        </w:tc>
        <w:tc>
          <w:tcPr>
            <w:tcW w:w="1291" w:type="dxa"/>
            <w:tcBorders>
              <w:top w:val="single" w:sz="4" w:space="0" w:color="auto"/>
              <w:left w:val="nil"/>
              <w:bottom w:val="single" w:sz="4" w:space="0" w:color="auto"/>
              <w:right w:val="nil"/>
            </w:tcBorders>
            <w:noWrap/>
            <w:vAlign w:val="center"/>
            <w:hideMark/>
          </w:tcPr>
          <w:p w14:paraId="0A3CC861" w14:textId="77777777" w:rsidR="00B8613C" w:rsidRPr="00380274" w:rsidRDefault="00B8613C" w:rsidP="00D261B2">
            <w:pPr>
              <w:jc w:val="center"/>
              <w:rPr>
                <w:sz w:val="22"/>
                <w:szCs w:val="22"/>
              </w:rPr>
            </w:pPr>
            <w:r w:rsidRPr="00380274">
              <w:rPr>
                <w:sz w:val="22"/>
                <w:szCs w:val="22"/>
              </w:rPr>
              <w:t>15</w:t>
            </w:r>
          </w:p>
        </w:tc>
        <w:tc>
          <w:tcPr>
            <w:tcW w:w="1397" w:type="dxa"/>
            <w:tcBorders>
              <w:top w:val="single" w:sz="4" w:space="0" w:color="auto"/>
              <w:left w:val="nil"/>
              <w:bottom w:val="single" w:sz="4" w:space="0" w:color="auto"/>
              <w:right w:val="nil"/>
            </w:tcBorders>
            <w:shd w:val="clear" w:color="auto" w:fill="8AB23E"/>
            <w:noWrap/>
            <w:vAlign w:val="center"/>
            <w:hideMark/>
          </w:tcPr>
          <w:p w14:paraId="58DFEC95" w14:textId="77777777" w:rsidR="00B8613C" w:rsidRPr="00AE12C0" w:rsidRDefault="00B8613C" w:rsidP="00D261B2">
            <w:pPr>
              <w:jc w:val="center"/>
              <w:rPr>
                <w:color w:val="FFFFFF" w:themeColor="background1"/>
                <w:sz w:val="22"/>
                <w:szCs w:val="22"/>
              </w:rPr>
            </w:pPr>
            <w:r w:rsidRPr="00AE12C0">
              <w:rPr>
                <w:color w:val="FFFFFF" w:themeColor="background1"/>
                <w:sz w:val="22"/>
                <w:szCs w:val="22"/>
              </w:rPr>
              <w:t>0</w:t>
            </w:r>
          </w:p>
        </w:tc>
        <w:tc>
          <w:tcPr>
            <w:tcW w:w="850" w:type="dxa"/>
            <w:tcBorders>
              <w:top w:val="single" w:sz="4" w:space="0" w:color="auto"/>
              <w:left w:val="nil"/>
              <w:bottom w:val="single" w:sz="4" w:space="0" w:color="auto"/>
              <w:right w:val="nil"/>
            </w:tcBorders>
            <w:shd w:val="clear" w:color="auto" w:fill="8AB23E"/>
            <w:noWrap/>
            <w:vAlign w:val="center"/>
            <w:hideMark/>
          </w:tcPr>
          <w:p w14:paraId="2183E493" w14:textId="77777777" w:rsidR="00B8613C" w:rsidRPr="00AE12C0" w:rsidRDefault="00B8613C" w:rsidP="00D261B2">
            <w:pPr>
              <w:jc w:val="center"/>
              <w:rPr>
                <w:color w:val="FFFFFF" w:themeColor="background1"/>
                <w:sz w:val="22"/>
                <w:szCs w:val="22"/>
              </w:rPr>
            </w:pPr>
            <w:r w:rsidRPr="00AE12C0">
              <w:rPr>
                <w:color w:val="FFFFFF" w:themeColor="background1"/>
                <w:sz w:val="22"/>
                <w:szCs w:val="22"/>
              </w:rPr>
              <w:t>3</w:t>
            </w:r>
          </w:p>
        </w:tc>
        <w:tc>
          <w:tcPr>
            <w:tcW w:w="1559" w:type="dxa"/>
            <w:tcBorders>
              <w:top w:val="single" w:sz="4" w:space="0" w:color="auto"/>
              <w:left w:val="nil"/>
              <w:bottom w:val="single" w:sz="4" w:space="0" w:color="auto"/>
              <w:right w:val="nil"/>
            </w:tcBorders>
            <w:noWrap/>
            <w:vAlign w:val="center"/>
            <w:hideMark/>
          </w:tcPr>
          <w:p w14:paraId="5BE4AA13" w14:textId="77777777" w:rsidR="00B8613C" w:rsidRPr="00380274" w:rsidRDefault="00B8613C" w:rsidP="00D261B2">
            <w:pPr>
              <w:jc w:val="center"/>
              <w:rPr>
                <w:sz w:val="22"/>
                <w:szCs w:val="22"/>
              </w:rPr>
            </w:pPr>
            <w:r w:rsidRPr="00380274">
              <w:rPr>
                <w:sz w:val="22"/>
                <w:szCs w:val="22"/>
              </w:rPr>
              <w:t>9</w:t>
            </w:r>
          </w:p>
        </w:tc>
        <w:tc>
          <w:tcPr>
            <w:tcW w:w="1323" w:type="dxa"/>
            <w:tcBorders>
              <w:top w:val="single" w:sz="4" w:space="0" w:color="auto"/>
              <w:left w:val="nil"/>
              <w:bottom w:val="single" w:sz="4" w:space="0" w:color="auto"/>
              <w:right w:val="nil"/>
            </w:tcBorders>
            <w:noWrap/>
            <w:vAlign w:val="center"/>
            <w:hideMark/>
          </w:tcPr>
          <w:p w14:paraId="6E5D9076" w14:textId="77777777" w:rsidR="00B8613C" w:rsidRPr="00380274" w:rsidRDefault="00B8613C" w:rsidP="00D261B2">
            <w:pPr>
              <w:jc w:val="center"/>
              <w:rPr>
                <w:sz w:val="22"/>
                <w:szCs w:val="22"/>
              </w:rPr>
            </w:pPr>
            <w:r w:rsidRPr="00380274">
              <w:rPr>
                <w:sz w:val="22"/>
                <w:szCs w:val="22"/>
              </w:rPr>
              <w:t>3</w:t>
            </w:r>
          </w:p>
        </w:tc>
      </w:tr>
      <w:tr w:rsidR="00B8613C" w:rsidRPr="00380274" w14:paraId="4368AD5A" w14:textId="77777777" w:rsidTr="00E15ACE">
        <w:trPr>
          <w:trHeight w:val="264"/>
        </w:trPr>
        <w:tc>
          <w:tcPr>
            <w:tcW w:w="1643" w:type="dxa"/>
            <w:tcBorders>
              <w:top w:val="single" w:sz="4" w:space="0" w:color="auto"/>
              <w:left w:val="nil"/>
              <w:bottom w:val="single" w:sz="4" w:space="0" w:color="auto"/>
              <w:right w:val="nil"/>
            </w:tcBorders>
            <w:noWrap/>
            <w:vAlign w:val="center"/>
            <w:hideMark/>
          </w:tcPr>
          <w:p w14:paraId="2DEC879A" w14:textId="77777777" w:rsidR="00B8613C" w:rsidRPr="00380274" w:rsidRDefault="00B8613C" w:rsidP="00B60762">
            <w:pPr>
              <w:rPr>
                <w:sz w:val="22"/>
                <w:szCs w:val="22"/>
              </w:rPr>
            </w:pPr>
            <w:r w:rsidRPr="00380274">
              <w:rPr>
                <w:sz w:val="22"/>
                <w:szCs w:val="22"/>
              </w:rPr>
              <w:t>Inadequate</w:t>
            </w:r>
          </w:p>
        </w:tc>
        <w:tc>
          <w:tcPr>
            <w:tcW w:w="1358" w:type="dxa"/>
            <w:tcBorders>
              <w:top w:val="single" w:sz="4" w:space="0" w:color="auto"/>
              <w:left w:val="nil"/>
              <w:bottom w:val="single" w:sz="4" w:space="0" w:color="auto"/>
              <w:right w:val="nil"/>
            </w:tcBorders>
            <w:vAlign w:val="center"/>
          </w:tcPr>
          <w:p w14:paraId="661ADE55" w14:textId="77777777" w:rsidR="00B8613C" w:rsidRPr="00380274" w:rsidRDefault="00B8613C" w:rsidP="00B60762">
            <w:pPr>
              <w:rPr>
                <w:sz w:val="22"/>
                <w:szCs w:val="22"/>
              </w:rPr>
            </w:pPr>
            <w:r w:rsidRPr="00380274">
              <w:rPr>
                <w:sz w:val="22"/>
                <w:szCs w:val="22"/>
              </w:rPr>
              <w:t>Full</w:t>
            </w:r>
          </w:p>
        </w:tc>
        <w:tc>
          <w:tcPr>
            <w:tcW w:w="1291" w:type="dxa"/>
            <w:tcBorders>
              <w:top w:val="single" w:sz="4" w:space="0" w:color="auto"/>
              <w:left w:val="nil"/>
              <w:bottom w:val="single" w:sz="4" w:space="0" w:color="auto"/>
              <w:right w:val="nil"/>
            </w:tcBorders>
            <w:noWrap/>
            <w:vAlign w:val="center"/>
            <w:hideMark/>
          </w:tcPr>
          <w:p w14:paraId="2FD05658" w14:textId="77777777" w:rsidR="00B8613C" w:rsidRPr="00380274" w:rsidRDefault="00B8613C" w:rsidP="00D261B2">
            <w:pPr>
              <w:jc w:val="center"/>
              <w:rPr>
                <w:sz w:val="22"/>
                <w:szCs w:val="22"/>
              </w:rPr>
            </w:pPr>
            <w:r w:rsidRPr="00380274">
              <w:rPr>
                <w:sz w:val="22"/>
                <w:szCs w:val="22"/>
              </w:rPr>
              <w:t>3</w:t>
            </w:r>
          </w:p>
        </w:tc>
        <w:tc>
          <w:tcPr>
            <w:tcW w:w="1397" w:type="dxa"/>
            <w:tcBorders>
              <w:top w:val="single" w:sz="4" w:space="0" w:color="auto"/>
              <w:left w:val="nil"/>
              <w:bottom w:val="single" w:sz="4" w:space="0" w:color="auto"/>
              <w:right w:val="nil"/>
            </w:tcBorders>
            <w:shd w:val="clear" w:color="auto" w:fill="8AB23E"/>
            <w:noWrap/>
            <w:vAlign w:val="center"/>
            <w:hideMark/>
          </w:tcPr>
          <w:p w14:paraId="668D4449" w14:textId="77777777" w:rsidR="00B8613C" w:rsidRPr="00AE12C0" w:rsidRDefault="00B8613C" w:rsidP="00D261B2">
            <w:pPr>
              <w:jc w:val="center"/>
              <w:rPr>
                <w:color w:val="FFFFFF" w:themeColor="background1"/>
                <w:sz w:val="22"/>
                <w:szCs w:val="22"/>
              </w:rPr>
            </w:pPr>
            <w:r w:rsidRPr="00AE12C0">
              <w:rPr>
                <w:color w:val="FFFFFF" w:themeColor="background1"/>
                <w:sz w:val="22"/>
                <w:szCs w:val="22"/>
              </w:rPr>
              <w:t>0</w:t>
            </w:r>
          </w:p>
        </w:tc>
        <w:tc>
          <w:tcPr>
            <w:tcW w:w="850" w:type="dxa"/>
            <w:tcBorders>
              <w:top w:val="single" w:sz="4" w:space="0" w:color="auto"/>
              <w:left w:val="nil"/>
              <w:bottom w:val="single" w:sz="4" w:space="0" w:color="auto"/>
              <w:right w:val="nil"/>
            </w:tcBorders>
            <w:shd w:val="clear" w:color="auto" w:fill="8AB23E"/>
            <w:noWrap/>
            <w:vAlign w:val="center"/>
            <w:hideMark/>
          </w:tcPr>
          <w:p w14:paraId="548187F3" w14:textId="77777777" w:rsidR="00B8613C" w:rsidRPr="00AE12C0" w:rsidRDefault="00B8613C" w:rsidP="00D261B2">
            <w:pPr>
              <w:jc w:val="center"/>
              <w:rPr>
                <w:color w:val="FFFFFF" w:themeColor="background1"/>
                <w:sz w:val="22"/>
                <w:szCs w:val="22"/>
              </w:rPr>
            </w:pPr>
            <w:r w:rsidRPr="00AE12C0">
              <w:rPr>
                <w:color w:val="FFFFFF" w:themeColor="background1"/>
                <w:sz w:val="22"/>
                <w:szCs w:val="22"/>
              </w:rPr>
              <w:t>1</w:t>
            </w:r>
          </w:p>
        </w:tc>
        <w:tc>
          <w:tcPr>
            <w:tcW w:w="1559" w:type="dxa"/>
            <w:tcBorders>
              <w:top w:val="single" w:sz="4" w:space="0" w:color="auto"/>
              <w:left w:val="nil"/>
              <w:bottom w:val="single" w:sz="4" w:space="0" w:color="auto"/>
              <w:right w:val="nil"/>
            </w:tcBorders>
            <w:noWrap/>
            <w:vAlign w:val="center"/>
            <w:hideMark/>
          </w:tcPr>
          <w:p w14:paraId="0849508B" w14:textId="77777777" w:rsidR="00B8613C" w:rsidRPr="00380274" w:rsidRDefault="00B8613C" w:rsidP="00D261B2">
            <w:pPr>
              <w:jc w:val="center"/>
              <w:rPr>
                <w:sz w:val="22"/>
                <w:szCs w:val="22"/>
              </w:rPr>
            </w:pPr>
            <w:r w:rsidRPr="00380274">
              <w:rPr>
                <w:sz w:val="22"/>
                <w:szCs w:val="22"/>
              </w:rPr>
              <w:t>2</w:t>
            </w:r>
          </w:p>
        </w:tc>
        <w:tc>
          <w:tcPr>
            <w:tcW w:w="1323" w:type="dxa"/>
            <w:tcBorders>
              <w:top w:val="single" w:sz="4" w:space="0" w:color="auto"/>
              <w:left w:val="nil"/>
              <w:bottom w:val="single" w:sz="4" w:space="0" w:color="auto"/>
              <w:right w:val="nil"/>
            </w:tcBorders>
            <w:noWrap/>
            <w:vAlign w:val="center"/>
            <w:hideMark/>
          </w:tcPr>
          <w:p w14:paraId="7FA3A11C" w14:textId="77777777" w:rsidR="00B8613C" w:rsidRPr="00380274" w:rsidRDefault="00B8613C" w:rsidP="00D261B2">
            <w:pPr>
              <w:jc w:val="center"/>
              <w:rPr>
                <w:sz w:val="22"/>
                <w:szCs w:val="22"/>
              </w:rPr>
            </w:pPr>
            <w:r w:rsidRPr="00380274">
              <w:rPr>
                <w:sz w:val="22"/>
                <w:szCs w:val="22"/>
              </w:rPr>
              <w:t>0</w:t>
            </w:r>
          </w:p>
        </w:tc>
      </w:tr>
      <w:tr w:rsidR="00B8613C" w:rsidRPr="00380274" w14:paraId="2D6DD356" w14:textId="77777777" w:rsidTr="00D261B2">
        <w:trPr>
          <w:trHeight w:val="264"/>
        </w:trPr>
        <w:tc>
          <w:tcPr>
            <w:tcW w:w="1643" w:type="dxa"/>
            <w:tcBorders>
              <w:top w:val="single" w:sz="4" w:space="0" w:color="auto"/>
              <w:left w:val="nil"/>
              <w:bottom w:val="single" w:sz="4" w:space="0" w:color="auto"/>
              <w:right w:val="nil"/>
            </w:tcBorders>
            <w:noWrap/>
            <w:vAlign w:val="center"/>
            <w:hideMark/>
          </w:tcPr>
          <w:p w14:paraId="21CF2B0A" w14:textId="77777777" w:rsidR="00B8613C" w:rsidRPr="00380274" w:rsidRDefault="00B8613C" w:rsidP="00B60762">
            <w:pPr>
              <w:rPr>
                <w:sz w:val="22"/>
                <w:szCs w:val="22"/>
              </w:rPr>
            </w:pPr>
            <w:r w:rsidRPr="00380274">
              <w:rPr>
                <w:sz w:val="22"/>
                <w:szCs w:val="22"/>
              </w:rPr>
              <w:t>Not previously inspected</w:t>
            </w:r>
          </w:p>
        </w:tc>
        <w:tc>
          <w:tcPr>
            <w:tcW w:w="1358" w:type="dxa"/>
            <w:tcBorders>
              <w:top w:val="single" w:sz="4" w:space="0" w:color="auto"/>
              <w:left w:val="nil"/>
              <w:bottom w:val="single" w:sz="4" w:space="0" w:color="auto"/>
              <w:right w:val="nil"/>
            </w:tcBorders>
            <w:vAlign w:val="center"/>
          </w:tcPr>
          <w:p w14:paraId="23B2F434" w14:textId="77777777" w:rsidR="00B8613C" w:rsidRPr="00380274" w:rsidRDefault="00B8613C" w:rsidP="00B60762">
            <w:pPr>
              <w:rPr>
                <w:sz w:val="22"/>
                <w:szCs w:val="22"/>
              </w:rPr>
            </w:pPr>
            <w:r w:rsidRPr="00380274">
              <w:rPr>
                <w:sz w:val="22"/>
                <w:szCs w:val="22"/>
              </w:rPr>
              <w:t>Full</w:t>
            </w:r>
          </w:p>
        </w:tc>
        <w:tc>
          <w:tcPr>
            <w:tcW w:w="1291" w:type="dxa"/>
            <w:tcBorders>
              <w:top w:val="single" w:sz="4" w:space="0" w:color="auto"/>
              <w:left w:val="nil"/>
              <w:bottom w:val="single" w:sz="4" w:space="0" w:color="auto"/>
              <w:right w:val="nil"/>
            </w:tcBorders>
            <w:noWrap/>
            <w:vAlign w:val="center"/>
            <w:hideMark/>
          </w:tcPr>
          <w:p w14:paraId="234F3301" w14:textId="77777777" w:rsidR="00B8613C" w:rsidRPr="00380274" w:rsidRDefault="00B8613C" w:rsidP="00D261B2">
            <w:pPr>
              <w:jc w:val="center"/>
              <w:rPr>
                <w:sz w:val="22"/>
                <w:szCs w:val="22"/>
              </w:rPr>
            </w:pPr>
            <w:r w:rsidRPr="00380274">
              <w:rPr>
                <w:sz w:val="22"/>
                <w:szCs w:val="22"/>
              </w:rPr>
              <w:t>1</w:t>
            </w:r>
          </w:p>
        </w:tc>
        <w:tc>
          <w:tcPr>
            <w:tcW w:w="1397" w:type="dxa"/>
            <w:tcBorders>
              <w:top w:val="single" w:sz="4" w:space="0" w:color="auto"/>
              <w:left w:val="nil"/>
              <w:bottom w:val="single" w:sz="4" w:space="0" w:color="auto"/>
              <w:right w:val="nil"/>
            </w:tcBorders>
            <w:noWrap/>
            <w:vAlign w:val="center"/>
            <w:hideMark/>
          </w:tcPr>
          <w:p w14:paraId="3064651C" w14:textId="77777777" w:rsidR="00B8613C" w:rsidRPr="00380274" w:rsidRDefault="00B8613C" w:rsidP="00D261B2">
            <w:pPr>
              <w:jc w:val="center"/>
              <w:rPr>
                <w:sz w:val="22"/>
                <w:szCs w:val="22"/>
              </w:rPr>
            </w:pPr>
            <w:r w:rsidRPr="00380274">
              <w:rPr>
                <w:sz w:val="22"/>
                <w:szCs w:val="22"/>
              </w:rPr>
              <w:t>0</w:t>
            </w:r>
          </w:p>
        </w:tc>
        <w:tc>
          <w:tcPr>
            <w:tcW w:w="850" w:type="dxa"/>
            <w:tcBorders>
              <w:top w:val="single" w:sz="4" w:space="0" w:color="auto"/>
              <w:left w:val="nil"/>
              <w:bottom w:val="single" w:sz="4" w:space="0" w:color="auto"/>
              <w:right w:val="nil"/>
            </w:tcBorders>
            <w:noWrap/>
            <w:vAlign w:val="center"/>
            <w:hideMark/>
          </w:tcPr>
          <w:p w14:paraId="1687C269" w14:textId="77777777" w:rsidR="00B8613C" w:rsidRPr="00380274" w:rsidRDefault="00B8613C" w:rsidP="00D261B2">
            <w:pPr>
              <w:jc w:val="center"/>
              <w:rPr>
                <w:sz w:val="22"/>
                <w:szCs w:val="22"/>
              </w:rPr>
            </w:pPr>
            <w:r w:rsidRPr="00380274">
              <w:rPr>
                <w:sz w:val="22"/>
                <w:szCs w:val="22"/>
              </w:rPr>
              <w:t>1</w:t>
            </w:r>
          </w:p>
        </w:tc>
        <w:tc>
          <w:tcPr>
            <w:tcW w:w="1559" w:type="dxa"/>
            <w:tcBorders>
              <w:top w:val="single" w:sz="4" w:space="0" w:color="auto"/>
              <w:left w:val="nil"/>
              <w:bottom w:val="single" w:sz="4" w:space="0" w:color="auto"/>
              <w:right w:val="nil"/>
            </w:tcBorders>
            <w:noWrap/>
            <w:vAlign w:val="center"/>
            <w:hideMark/>
          </w:tcPr>
          <w:p w14:paraId="7139E473" w14:textId="77777777" w:rsidR="00B8613C" w:rsidRPr="00380274" w:rsidRDefault="00B8613C" w:rsidP="00D261B2">
            <w:pPr>
              <w:jc w:val="center"/>
              <w:rPr>
                <w:sz w:val="22"/>
                <w:szCs w:val="22"/>
              </w:rPr>
            </w:pPr>
            <w:r w:rsidRPr="00380274">
              <w:rPr>
                <w:sz w:val="22"/>
                <w:szCs w:val="22"/>
              </w:rPr>
              <w:t>0</w:t>
            </w:r>
          </w:p>
        </w:tc>
        <w:tc>
          <w:tcPr>
            <w:tcW w:w="1323" w:type="dxa"/>
            <w:tcBorders>
              <w:top w:val="single" w:sz="4" w:space="0" w:color="auto"/>
              <w:left w:val="nil"/>
              <w:bottom w:val="single" w:sz="4" w:space="0" w:color="auto"/>
              <w:right w:val="nil"/>
            </w:tcBorders>
            <w:noWrap/>
            <w:vAlign w:val="center"/>
            <w:hideMark/>
          </w:tcPr>
          <w:p w14:paraId="54FDF35B" w14:textId="77777777" w:rsidR="00B8613C" w:rsidRPr="00380274" w:rsidRDefault="00B8613C" w:rsidP="00D261B2">
            <w:pPr>
              <w:jc w:val="center"/>
              <w:rPr>
                <w:sz w:val="22"/>
                <w:szCs w:val="22"/>
              </w:rPr>
            </w:pPr>
            <w:r w:rsidRPr="00380274">
              <w:rPr>
                <w:sz w:val="22"/>
                <w:szCs w:val="22"/>
              </w:rPr>
              <w:t>0</w:t>
            </w:r>
          </w:p>
        </w:tc>
      </w:tr>
      <w:tr w:rsidR="00B8613C" w:rsidRPr="00380274" w14:paraId="3A55A12A" w14:textId="77777777" w:rsidTr="00D261B2">
        <w:trPr>
          <w:trHeight w:val="264"/>
        </w:trPr>
        <w:tc>
          <w:tcPr>
            <w:tcW w:w="1643" w:type="dxa"/>
            <w:tcBorders>
              <w:top w:val="single" w:sz="4" w:space="0" w:color="auto"/>
              <w:left w:val="nil"/>
              <w:bottom w:val="single" w:sz="4" w:space="0" w:color="auto"/>
              <w:right w:val="nil"/>
            </w:tcBorders>
            <w:noWrap/>
            <w:vAlign w:val="center"/>
          </w:tcPr>
          <w:p w14:paraId="69514595" w14:textId="77777777" w:rsidR="00B8613C" w:rsidRPr="00380274" w:rsidRDefault="00B8613C" w:rsidP="00B60762">
            <w:pPr>
              <w:rPr>
                <w:sz w:val="22"/>
                <w:szCs w:val="22"/>
              </w:rPr>
            </w:pPr>
            <w:r w:rsidRPr="00380274">
              <w:rPr>
                <w:sz w:val="22"/>
                <w:szCs w:val="22"/>
              </w:rPr>
              <w:t>Total</w:t>
            </w:r>
          </w:p>
        </w:tc>
        <w:tc>
          <w:tcPr>
            <w:tcW w:w="1358" w:type="dxa"/>
            <w:tcBorders>
              <w:top w:val="single" w:sz="4" w:space="0" w:color="auto"/>
              <w:left w:val="nil"/>
              <w:bottom w:val="single" w:sz="4" w:space="0" w:color="auto"/>
              <w:right w:val="nil"/>
            </w:tcBorders>
            <w:vAlign w:val="center"/>
          </w:tcPr>
          <w:p w14:paraId="6DE75FEF" w14:textId="77777777" w:rsidR="00B8613C" w:rsidRPr="00380274" w:rsidRDefault="00B8613C" w:rsidP="00B60762">
            <w:pPr>
              <w:rPr>
                <w:sz w:val="22"/>
                <w:szCs w:val="22"/>
              </w:rPr>
            </w:pPr>
          </w:p>
        </w:tc>
        <w:tc>
          <w:tcPr>
            <w:tcW w:w="1291" w:type="dxa"/>
            <w:tcBorders>
              <w:top w:val="single" w:sz="4" w:space="0" w:color="auto"/>
              <w:left w:val="nil"/>
              <w:bottom w:val="single" w:sz="4" w:space="0" w:color="auto"/>
              <w:right w:val="nil"/>
            </w:tcBorders>
            <w:noWrap/>
            <w:vAlign w:val="center"/>
          </w:tcPr>
          <w:p w14:paraId="605848DC" w14:textId="77777777" w:rsidR="00B8613C" w:rsidRPr="00380274" w:rsidRDefault="00B8613C" w:rsidP="00D261B2">
            <w:pPr>
              <w:jc w:val="center"/>
              <w:rPr>
                <w:sz w:val="22"/>
                <w:szCs w:val="22"/>
              </w:rPr>
            </w:pPr>
            <w:r w:rsidRPr="00380274">
              <w:rPr>
                <w:sz w:val="22"/>
                <w:szCs w:val="22"/>
              </w:rPr>
              <w:t>40</w:t>
            </w:r>
          </w:p>
        </w:tc>
        <w:tc>
          <w:tcPr>
            <w:tcW w:w="1397" w:type="dxa"/>
            <w:tcBorders>
              <w:top w:val="single" w:sz="4" w:space="0" w:color="auto"/>
              <w:left w:val="nil"/>
              <w:bottom w:val="single" w:sz="4" w:space="0" w:color="auto"/>
              <w:right w:val="nil"/>
            </w:tcBorders>
            <w:noWrap/>
            <w:vAlign w:val="center"/>
          </w:tcPr>
          <w:p w14:paraId="35F015A3" w14:textId="77777777" w:rsidR="00B8613C" w:rsidRPr="00380274" w:rsidRDefault="00B8613C" w:rsidP="00D261B2">
            <w:pPr>
              <w:jc w:val="center"/>
              <w:rPr>
                <w:sz w:val="22"/>
                <w:szCs w:val="22"/>
              </w:rPr>
            </w:pPr>
            <w:r w:rsidRPr="00380274">
              <w:rPr>
                <w:sz w:val="22"/>
                <w:szCs w:val="22"/>
              </w:rPr>
              <w:t>0</w:t>
            </w:r>
          </w:p>
        </w:tc>
        <w:tc>
          <w:tcPr>
            <w:tcW w:w="850" w:type="dxa"/>
            <w:tcBorders>
              <w:top w:val="single" w:sz="4" w:space="0" w:color="auto"/>
              <w:left w:val="nil"/>
              <w:bottom w:val="single" w:sz="4" w:space="0" w:color="auto"/>
              <w:right w:val="nil"/>
            </w:tcBorders>
            <w:noWrap/>
            <w:vAlign w:val="center"/>
          </w:tcPr>
          <w:p w14:paraId="567ACF67" w14:textId="77777777" w:rsidR="00B8613C" w:rsidRPr="00380274" w:rsidRDefault="00B8613C" w:rsidP="00D261B2">
            <w:pPr>
              <w:jc w:val="center"/>
              <w:rPr>
                <w:sz w:val="22"/>
                <w:szCs w:val="22"/>
              </w:rPr>
            </w:pPr>
            <w:r w:rsidRPr="00380274">
              <w:rPr>
                <w:sz w:val="22"/>
                <w:szCs w:val="22"/>
              </w:rPr>
              <w:t>16</w:t>
            </w:r>
          </w:p>
        </w:tc>
        <w:tc>
          <w:tcPr>
            <w:tcW w:w="1559" w:type="dxa"/>
            <w:tcBorders>
              <w:top w:val="single" w:sz="4" w:space="0" w:color="auto"/>
              <w:left w:val="nil"/>
              <w:bottom w:val="single" w:sz="4" w:space="0" w:color="auto"/>
              <w:right w:val="nil"/>
            </w:tcBorders>
            <w:noWrap/>
            <w:vAlign w:val="center"/>
          </w:tcPr>
          <w:p w14:paraId="40737D4E" w14:textId="77777777" w:rsidR="00B8613C" w:rsidRPr="00380274" w:rsidRDefault="00B8613C" w:rsidP="00D261B2">
            <w:pPr>
              <w:jc w:val="center"/>
              <w:rPr>
                <w:sz w:val="22"/>
                <w:szCs w:val="22"/>
              </w:rPr>
            </w:pPr>
            <w:r w:rsidRPr="00380274">
              <w:rPr>
                <w:sz w:val="22"/>
                <w:szCs w:val="22"/>
              </w:rPr>
              <w:t>20</w:t>
            </w:r>
          </w:p>
        </w:tc>
        <w:tc>
          <w:tcPr>
            <w:tcW w:w="1323" w:type="dxa"/>
            <w:tcBorders>
              <w:top w:val="single" w:sz="4" w:space="0" w:color="auto"/>
              <w:left w:val="nil"/>
              <w:bottom w:val="single" w:sz="4" w:space="0" w:color="auto"/>
              <w:right w:val="nil"/>
            </w:tcBorders>
            <w:noWrap/>
            <w:vAlign w:val="center"/>
          </w:tcPr>
          <w:p w14:paraId="299AFFD7" w14:textId="77777777" w:rsidR="00B8613C" w:rsidRPr="00380274" w:rsidRDefault="00B8613C" w:rsidP="00D261B2">
            <w:pPr>
              <w:jc w:val="center"/>
              <w:rPr>
                <w:sz w:val="22"/>
                <w:szCs w:val="22"/>
              </w:rPr>
            </w:pPr>
            <w:r w:rsidRPr="00380274">
              <w:rPr>
                <w:sz w:val="22"/>
                <w:szCs w:val="22"/>
              </w:rPr>
              <w:t>4</w:t>
            </w:r>
          </w:p>
        </w:tc>
      </w:tr>
      <w:tr w:rsidR="00B8613C" w:rsidRPr="00380274" w14:paraId="7E75E3A4" w14:textId="77777777" w:rsidTr="00D261B2">
        <w:trPr>
          <w:trHeight w:val="149"/>
        </w:trPr>
        <w:tc>
          <w:tcPr>
            <w:tcW w:w="1643" w:type="dxa"/>
            <w:tcBorders>
              <w:top w:val="single" w:sz="4" w:space="0" w:color="auto"/>
              <w:left w:val="nil"/>
              <w:bottom w:val="single" w:sz="4" w:space="0" w:color="auto"/>
              <w:right w:val="nil"/>
            </w:tcBorders>
            <w:noWrap/>
            <w:vAlign w:val="center"/>
          </w:tcPr>
          <w:p w14:paraId="02149BBB" w14:textId="77777777" w:rsidR="00B8613C" w:rsidRPr="00380274" w:rsidRDefault="00B8613C" w:rsidP="00C476C4">
            <w:pPr>
              <w:rPr>
                <w:sz w:val="12"/>
                <w:szCs w:val="12"/>
              </w:rPr>
            </w:pPr>
          </w:p>
        </w:tc>
        <w:tc>
          <w:tcPr>
            <w:tcW w:w="1358" w:type="dxa"/>
            <w:tcBorders>
              <w:top w:val="single" w:sz="4" w:space="0" w:color="auto"/>
              <w:left w:val="nil"/>
              <w:bottom w:val="nil"/>
              <w:right w:val="nil"/>
            </w:tcBorders>
            <w:vAlign w:val="center"/>
          </w:tcPr>
          <w:p w14:paraId="6BA715BF" w14:textId="77777777" w:rsidR="00B8613C" w:rsidRPr="00380274" w:rsidRDefault="00B8613C" w:rsidP="00C476C4">
            <w:pPr>
              <w:jc w:val="center"/>
              <w:rPr>
                <w:sz w:val="12"/>
                <w:szCs w:val="12"/>
              </w:rPr>
            </w:pPr>
          </w:p>
        </w:tc>
        <w:tc>
          <w:tcPr>
            <w:tcW w:w="1291" w:type="dxa"/>
            <w:tcBorders>
              <w:top w:val="single" w:sz="4" w:space="0" w:color="auto"/>
              <w:left w:val="nil"/>
              <w:bottom w:val="nil"/>
              <w:right w:val="nil"/>
            </w:tcBorders>
            <w:noWrap/>
            <w:vAlign w:val="center"/>
          </w:tcPr>
          <w:p w14:paraId="03FA1ECD" w14:textId="77777777" w:rsidR="00B8613C" w:rsidRPr="00380274" w:rsidRDefault="00B8613C" w:rsidP="00C476C4">
            <w:pPr>
              <w:jc w:val="center"/>
              <w:rPr>
                <w:sz w:val="12"/>
                <w:szCs w:val="12"/>
              </w:rPr>
            </w:pPr>
          </w:p>
        </w:tc>
        <w:tc>
          <w:tcPr>
            <w:tcW w:w="1397" w:type="dxa"/>
            <w:tcBorders>
              <w:top w:val="single" w:sz="4" w:space="0" w:color="auto"/>
              <w:left w:val="nil"/>
              <w:bottom w:val="nil"/>
              <w:right w:val="nil"/>
            </w:tcBorders>
            <w:noWrap/>
            <w:vAlign w:val="center"/>
          </w:tcPr>
          <w:p w14:paraId="2D7C63EF" w14:textId="77777777" w:rsidR="00B8613C" w:rsidRPr="00380274" w:rsidRDefault="00B8613C" w:rsidP="00C476C4">
            <w:pPr>
              <w:jc w:val="center"/>
              <w:rPr>
                <w:sz w:val="12"/>
                <w:szCs w:val="12"/>
              </w:rPr>
            </w:pPr>
          </w:p>
        </w:tc>
        <w:tc>
          <w:tcPr>
            <w:tcW w:w="850" w:type="dxa"/>
            <w:tcBorders>
              <w:top w:val="single" w:sz="4" w:space="0" w:color="auto"/>
              <w:left w:val="nil"/>
              <w:bottom w:val="nil"/>
              <w:right w:val="nil"/>
            </w:tcBorders>
            <w:noWrap/>
            <w:vAlign w:val="center"/>
          </w:tcPr>
          <w:p w14:paraId="181289EA" w14:textId="77777777" w:rsidR="00B8613C" w:rsidRPr="00380274" w:rsidRDefault="00B8613C" w:rsidP="00C476C4">
            <w:pPr>
              <w:jc w:val="center"/>
              <w:rPr>
                <w:sz w:val="12"/>
                <w:szCs w:val="12"/>
              </w:rPr>
            </w:pPr>
          </w:p>
        </w:tc>
        <w:tc>
          <w:tcPr>
            <w:tcW w:w="1559" w:type="dxa"/>
            <w:tcBorders>
              <w:top w:val="single" w:sz="4" w:space="0" w:color="auto"/>
              <w:left w:val="nil"/>
              <w:bottom w:val="nil"/>
              <w:right w:val="nil"/>
            </w:tcBorders>
            <w:noWrap/>
            <w:vAlign w:val="center"/>
          </w:tcPr>
          <w:p w14:paraId="1A41916E" w14:textId="77777777" w:rsidR="00B8613C" w:rsidRPr="00380274" w:rsidRDefault="00B8613C" w:rsidP="00C476C4">
            <w:pPr>
              <w:jc w:val="center"/>
              <w:rPr>
                <w:sz w:val="12"/>
                <w:szCs w:val="12"/>
              </w:rPr>
            </w:pPr>
          </w:p>
        </w:tc>
        <w:tc>
          <w:tcPr>
            <w:tcW w:w="1323" w:type="dxa"/>
            <w:tcBorders>
              <w:top w:val="single" w:sz="4" w:space="0" w:color="auto"/>
              <w:left w:val="nil"/>
              <w:bottom w:val="nil"/>
              <w:right w:val="nil"/>
            </w:tcBorders>
            <w:noWrap/>
            <w:vAlign w:val="center"/>
          </w:tcPr>
          <w:p w14:paraId="6074DE02" w14:textId="77777777" w:rsidR="00B8613C" w:rsidRPr="00380274" w:rsidRDefault="00B8613C" w:rsidP="00C476C4">
            <w:pPr>
              <w:jc w:val="center"/>
              <w:rPr>
                <w:sz w:val="12"/>
                <w:szCs w:val="12"/>
              </w:rPr>
            </w:pPr>
          </w:p>
        </w:tc>
      </w:tr>
      <w:tr w:rsidR="00B8613C" w:rsidRPr="00380274" w14:paraId="35A4C0A0" w14:textId="77777777" w:rsidTr="00E15ACE">
        <w:trPr>
          <w:trHeight w:val="264"/>
        </w:trPr>
        <w:tc>
          <w:tcPr>
            <w:tcW w:w="1643" w:type="dxa"/>
            <w:tcBorders>
              <w:top w:val="single" w:sz="4" w:space="0" w:color="auto"/>
              <w:right w:val="single" w:sz="4" w:space="0" w:color="auto"/>
            </w:tcBorders>
            <w:shd w:val="clear" w:color="auto" w:fill="8AB23E"/>
            <w:noWrap/>
            <w:vAlign w:val="center"/>
          </w:tcPr>
          <w:p w14:paraId="0BAB0085" w14:textId="77777777" w:rsidR="00B8613C" w:rsidRPr="00380274" w:rsidRDefault="00B8613C" w:rsidP="00C476C4">
            <w:pPr>
              <w:rPr>
                <w:sz w:val="22"/>
                <w:szCs w:val="22"/>
              </w:rPr>
            </w:pPr>
          </w:p>
        </w:tc>
        <w:tc>
          <w:tcPr>
            <w:tcW w:w="7778" w:type="dxa"/>
            <w:gridSpan w:val="6"/>
            <w:tcBorders>
              <w:top w:val="nil"/>
              <w:left w:val="single" w:sz="4" w:space="0" w:color="auto"/>
              <w:bottom w:val="nil"/>
              <w:right w:val="nil"/>
            </w:tcBorders>
            <w:vAlign w:val="center"/>
          </w:tcPr>
          <w:p w14:paraId="3A3F9E32" w14:textId="77777777" w:rsidR="00B8613C" w:rsidRPr="00380274" w:rsidRDefault="00B8613C" w:rsidP="00C476C4">
            <w:pPr>
              <w:rPr>
                <w:sz w:val="22"/>
                <w:szCs w:val="22"/>
              </w:rPr>
            </w:pPr>
            <w:r w:rsidRPr="00380274">
              <w:rPr>
                <w:sz w:val="22"/>
                <w:szCs w:val="22"/>
              </w:rPr>
              <w:t>Improved to good or outstanding</w:t>
            </w:r>
          </w:p>
        </w:tc>
      </w:tr>
      <w:tr w:rsidR="00B8613C" w:rsidRPr="00380274" w14:paraId="3117B0B8" w14:textId="77777777" w:rsidTr="00E15ACE">
        <w:trPr>
          <w:trHeight w:val="264"/>
        </w:trPr>
        <w:tc>
          <w:tcPr>
            <w:tcW w:w="1643" w:type="dxa"/>
            <w:tcBorders>
              <w:right w:val="single" w:sz="4" w:space="0" w:color="auto"/>
            </w:tcBorders>
            <w:shd w:val="clear" w:color="auto" w:fill="604A7B"/>
            <w:noWrap/>
            <w:vAlign w:val="center"/>
          </w:tcPr>
          <w:p w14:paraId="0C7E9983" w14:textId="77777777" w:rsidR="00B8613C" w:rsidRPr="00380274" w:rsidRDefault="00B8613C" w:rsidP="00C476C4">
            <w:pPr>
              <w:rPr>
                <w:sz w:val="22"/>
                <w:szCs w:val="22"/>
              </w:rPr>
            </w:pPr>
          </w:p>
        </w:tc>
        <w:tc>
          <w:tcPr>
            <w:tcW w:w="7778" w:type="dxa"/>
            <w:gridSpan w:val="6"/>
            <w:tcBorders>
              <w:top w:val="nil"/>
              <w:left w:val="single" w:sz="4" w:space="0" w:color="auto"/>
              <w:bottom w:val="nil"/>
              <w:right w:val="nil"/>
            </w:tcBorders>
            <w:vAlign w:val="center"/>
          </w:tcPr>
          <w:p w14:paraId="6FD3F2D4" w14:textId="77777777" w:rsidR="00B8613C" w:rsidRPr="00380274" w:rsidRDefault="00B8613C" w:rsidP="00C476C4">
            <w:pPr>
              <w:rPr>
                <w:sz w:val="22"/>
                <w:szCs w:val="22"/>
              </w:rPr>
            </w:pPr>
            <w:r w:rsidRPr="00380274">
              <w:rPr>
                <w:sz w:val="22"/>
                <w:szCs w:val="22"/>
              </w:rPr>
              <w:t>Declined to requires improvement or inadequate</w:t>
            </w:r>
          </w:p>
        </w:tc>
      </w:tr>
    </w:tbl>
    <w:p w14:paraId="74E34680" w14:textId="77777777" w:rsidR="00B8613C" w:rsidRPr="00380274" w:rsidRDefault="00B8613C" w:rsidP="00B8613C">
      <w:pPr>
        <w:rPr>
          <w:sz w:val="12"/>
          <w:szCs w:val="12"/>
        </w:rPr>
      </w:pPr>
    </w:p>
    <w:p w14:paraId="4E149D87" w14:textId="77777777" w:rsidR="00B8613C" w:rsidRPr="00380274" w:rsidRDefault="00B8613C" w:rsidP="00B8613C">
      <w:pPr>
        <w:pStyle w:val="ListParagraph"/>
        <w:numPr>
          <w:ilvl w:val="0"/>
          <w:numId w:val="28"/>
        </w:numPr>
        <w:rPr>
          <w:sz w:val="16"/>
          <w:szCs w:val="16"/>
        </w:rPr>
      </w:pPr>
      <w:r w:rsidRPr="00380274">
        <w:rPr>
          <w:sz w:val="16"/>
          <w:szCs w:val="16"/>
        </w:rPr>
        <w:t>Includes the overall effectiveness judgement from full inspections and those that remained good after a short inspection that did not convert.</w:t>
      </w:r>
    </w:p>
    <w:p w14:paraId="4E57748F" w14:textId="77777777" w:rsidR="00B8613C" w:rsidRPr="00380274" w:rsidRDefault="00B8613C" w:rsidP="009E4462"/>
    <w:p w14:paraId="3F00F0AC" w14:textId="66F1C9CC" w:rsidR="0024059D" w:rsidRPr="00380274" w:rsidRDefault="00B8613C" w:rsidP="0024059D">
      <w:r w:rsidRPr="00380274">
        <w:t>O</w:t>
      </w:r>
      <w:r w:rsidR="00703733" w:rsidRPr="00380274">
        <w:t>verall m</w:t>
      </w:r>
      <w:r w:rsidR="000B66BC" w:rsidRPr="00380274">
        <w:t xml:space="preserve">ore </w:t>
      </w:r>
      <w:r w:rsidR="00703733" w:rsidRPr="00380274">
        <w:t xml:space="preserve">general FE </w:t>
      </w:r>
      <w:r w:rsidR="000B66BC" w:rsidRPr="00380274">
        <w:t>colleges declined to requires improvement or inadequate (10), than improve</w:t>
      </w:r>
      <w:r w:rsidR="00FF26B4" w:rsidRPr="00380274">
        <w:t>d</w:t>
      </w:r>
      <w:r w:rsidR="000B66BC" w:rsidRPr="00380274">
        <w:t xml:space="preserve"> to </w:t>
      </w:r>
      <w:r w:rsidR="00703733" w:rsidRPr="00380274">
        <w:t xml:space="preserve">be </w:t>
      </w:r>
      <w:r w:rsidR="000B66BC" w:rsidRPr="00380274">
        <w:t>good or outstanding</w:t>
      </w:r>
      <w:r w:rsidR="008200D2" w:rsidRPr="00380274">
        <w:t xml:space="preserve"> (</w:t>
      </w:r>
      <w:r w:rsidR="00827F16" w:rsidRPr="00380274">
        <w:t>four</w:t>
      </w:r>
      <w:r w:rsidR="000B66BC" w:rsidRPr="00380274">
        <w:t>)</w:t>
      </w:r>
      <w:r w:rsidR="00AB40AE" w:rsidRPr="00380274">
        <w:t xml:space="preserve"> </w:t>
      </w:r>
      <w:r w:rsidRPr="00380274">
        <w:t>over the first six months of the year</w:t>
      </w:r>
      <w:r w:rsidR="000B66BC" w:rsidRPr="00380274">
        <w:t>.</w:t>
      </w:r>
      <w:r w:rsidR="0024059D" w:rsidRPr="00380274">
        <w:t xml:space="preserve"> This had a negative effect on the proportion of general FE colleges judged to be good or outstanding at their most recent inspection.</w:t>
      </w:r>
    </w:p>
    <w:p w14:paraId="66013BC6" w14:textId="77777777" w:rsidR="00703733" w:rsidRPr="00380274" w:rsidRDefault="00703733" w:rsidP="00DF3D4E"/>
    <w:p w14:paraId="708B729D" w14:textId="6C422D7E" w:rsidR="005055AF" w:rsidRPr="00380274" w:rsidRDefault="00703733" w:rsidP="00DF3D4E">
      <w:r w:rsidRPr="00380274">
        <w:t xml:space="preserve">As at 28 February 2017, the proportion of general </w:t>
      </w:r>
      <w:r w:rsidR="001F57B7" w:rsidRPr="00380274">
        <w:t>FE</w:t>
      </w:r>
      <w:r w:rsidRPr="00380274">
        <w:t xml:space="preserve"> colleges judged to be good or outstanding was </w:t>
      </w:r>
      <w:r w:rsidR="00E5366C" w:rsidRPr="00380274">
        <w:t>68</w:t>
      </w:r>
      <w:r w:rsidRPr="00380274">
        <w:t>%. Th</w:t>
      </w:r>
      <w:r w:rsidR="003708D4" w:rsidRPr="00380274">
        <w:t>is</w:t>
      </w:r>
      <w:r w:rsidRPr="00380274">
        <w:t xml:space="preserve"> is down from 71% as at 31 August 2016, continuing the downward </w:t>
      </w:r>
      <w:r w:rsidR="003708D4" w:rsidRPr="00380274">
        <w:t>trend reported over the last two years</w:t>
      </w:r>
      <w:r w:rsidR="00C67F11" w:rsidRPr="00380274">
        <w:t xml:space="preserve"> (see Figure 1)</w:t>
      </w:r>
      <w:r w:rsidR="003708D4" w:rsidRPr="00380274">
        <w:t>.</w:t>
      </w:r>
      <w:r w:rsidR="00C67F11" w:rsidRPr="00380274">
        <w:t xml:space="preserve"> </w:t>
      </w:r>
      <w:r w:rsidR="00B56374" w:rsidRPr="00380274">
        <w:t>The</w:t>
      </w:r>
      <w:r w:rsidR="00914A0F" w:rsidRPr="00380274">
        <w:t xml:space="preserve"> mergers and addition of a new college, mentioned at the start of this section, had a negligible effect on the percentage change.  </w:t>
      </w:r>
      <w:r w:rsidR="00B56374" w:rsidRPr="00380274">
        <w:t xml:space="preserve"> </w:t>
      </w:r>
      <w:r w:rsidR="002D0C54" w:rsidRPr="00380274">
        <w:t xml:space="preserve"> </w:t>
      </w:r>
      <w:r w:rsidR="00A05538" w:rsidRPr="00380274">
        <w:t xml:space="preserve"> </w:t>
      </w:r>
    </w:p>
    <w:p w14:paraId="558CFA34" w14:textId="77777777" w:rsidR="005F2B53" w:rsidRPr="00380274" w:rsidRDefault="005F2B53" w:rsidP="001B2CCD"/>
    <w:p w14:paraId="5F229105" w14:textId="77777777" w:rsidR="009E4462" w:rsidRPr="00380274" w:rsidRDefault="009E4462" w:rsidP="001B2CCD"/>
    <w:p w14:paraId="5ED92AE7" w14:textId="77777777" w:rsidR="00380274" w:rsidRDefault="00380274">
      <w:pPr>
        <w:rPr>
          <w:rFonts w:eastAsiaTheme="majorEastAsia"/>
          <w:b/>
          <w:sz w:val="28"/>
          <w:szCs w:val="28"/>
        </w:rPr>
      </w:pPr>
      <w:r>
        <w:rPr>
          <w:b/>
          <w:sz w:val="28"/>
          <w:szCs w:val="28"/>
        </w:rPr>
        <w:br w:type="page"/>
      </w:r>
    </w:p>
    <w:p w14:paraId="4437E9A8" w14:textId="7B2BEABC" w:rsidR="00884D82" w:rsidRPr="00380274" w:rsidRDefault="00884D82" w:rsidP="00884D82">
      <w:pPr>
        <w:pStyle w:val="Heading2"/>
        <w:rPr>
          <w:rFonts w:ascii="Tahoma" w:hAnsi="Tahoma" w:cs="Tahoma"/>
          <w:b/>
          <w:color w:val="auto"/>
          <w:sz w:val="28"/>
          <w:szCs w:val="28"/>
        </w:rPr>
      </w:pPr>
      <w:bookmarkStart w:id="6" w:name="_Toc485646777"/>
      <w:r w:rsidRPr="00380274">
        <w:rPr>
          <w:rFonts w:ascii="Tahoma" w:hAnsi="Tahoma" w:cs="Tahoma"/>
          <w:b/>
          <w:color w:val="auto"/>
          <w:sz w:val="28"/>
          <w:szCs w:val="28"/>
        </w:rPr>
        <w:lastRenderedPageBreak/>
        <w:t>Sixth form colleges</w:t>
      </w:r>
      <w:bookmarkEnd w:id="6"/>
      <w:r w:rsidRPr="00380274">
        <w:rPr>
          <w:rFonts w:ascii="Tahoma" w:hAnsi="Tahoma" w:cs="Tahoma"/>
          <w:b/>
          <w:color w:val="auto"/>
          <w:sz w:val="28"/>
          <w:szCs w:val="28"/>
        </w:rPr>
        <w:t xml:space="preserve"> </w:t>
      </w:r>
    </w:p>
    <w:p w14:paraId="300BB709" w14:textId="77777777" w:rsidR="00884D82" w:rsidRPr="00380274" w:rsidRDefault="00884D82"/>
    <w:p w14:paraId="4C79A86A" w14:textId="137B565A" w:rsidR="00884D82" w:rsidRPr="00380274" w:rsidRDefault="00C21971">
      <w:r w:rsidRPr="00380274">
        <w:t xml:space="preserve">As at the 28 February 2017, there were 90 sixth form colleges. These are the same </w:t>
      </w:r>
      <w:r w:rsidR="00030CBD" w:rsidRPr="00380274">
        <w:t xml:space="preserve">90 </w:t>
      </w:r>
      <w:r w:rsidRPr="00380274">
        <w:t>colleges that appeared in the last set of Official Statistics, as at 31 August 2016.</w:t>
      </w:r>
      <w:r w:rsidR="00030CBD" w:rsidRPr="00380274">
        <w:t xml:space="preserve"> All except one sixth form college has been inspected.</w:t>
      </w:r>
      <w:r w:rsidRPr="00380274">
        <w:t xml:space="preserve"> </w:t>
      </w:r>
    </w:p>
    <w:p w14:paraId="723EC3AB" w14:textId="77777777" w:rsidR="00884D82" w:rsidRPr="00380274" w:rsidRDefault="00884D82"/>
    <w:p w14:paraId="6CE57D2A" w14:textId="29FD947F" w:rsidR="00884D82" w:rsidRPr="00380274" w:rsidRDefault="00C21971">
      <w:r w:rsidRPr="00380274">
        <w:t>Over the first six months of the reporting year, between 1 September 2016 and 28 February 2017, 19 sixth form colleges were inspected. There were 11 full inspections and eight short inspections</w:t>
      </w:r>
      <w:r w:rsidR="0024059D" w:rsidRPr="00380274">
        <w:t>.</w:t>
      </w:r>
      <w:r w:rsidRPr="00380274">
        <w:t xml:space="preserve"> Overall, 63% of the colleges were judged to be good or outstanding</w:t>
      </w:r>
      <w:r w:rsidR="00E95E52" w:rsidRPr="00380274">
        <w:t xml:space="preserve">, which was six percentage points lower than </w:t>
      </w:r>
      <w:r w:rsidR="00EF0467" w:rsidRPr="00380274">
        <w:t>2015/16</w:t>
      </w:r>
      <w:r w:rsidR="00E95E52" w:rsidRPr="00380274">
        <w:t>.</w:t>
      </w:r>
    </w:p>
    <w:p w14:paraId="4D9F5D12" w14:textId="77777777" w:rsidR="00E10197" w:rsidRPr="00380274" w:rsidRDefault="00E10197"/>
    <w:p w14:paraId="0C40A4BA" w14:textId="12EE7278" w:rsidR="00343C55" w:rsidRPr="00380274" w:rsidRDefault="00343C55">
      <w:r w:rsidRPr="00380274">
        <w:t>All of the sixth form colleges that received a short inspection either remained good (six</w:t>
      </w:r>
      <w:r w:rsidRPr="00380274">
        <w:rPr>
          <w:rStyle w:val="FootnoteReference"/>
        </w:rPr>
        <w:footnoteReference w:id="5"/>
      </w:r>
      <w:r w:rsidRPr="00380274">
        <w:t xml:space="preserve"> out of eight) or improved to be outstanding (two out of eight).</w:t>
      </w:r>
      <w:r w:rsidR="00AE5205" w:rsidRPr="00380274">
        <w:t xml:space="preserve"> </w:t>
      </w:r>
      <w:r w:rsidR="001D488A" w:rsidRPr="00380274">
        <w:t>Th</w:t>
      </w:r>
      <w:r w:rsidR="00AE5205" w:rsidRPr="00380274">
        <w:t>r</w:t>
      </w:r>
      <w:r w:rsidR="001D488A" w:rsidRPr="00380274">
        <w:t>ee quarters</w:t>
      </w:r>
      <w:r w:rsidR="00AE5205" w:rsidRPr="00380274">
        <w:t xml:space="preserve"> of the colleges </w:t>
      </w:r>
      <w:r w:rsidR="007D0F96" w:rsidRPr="00380274">
        <w:t>that were risk assessed to receive a full inspection</w:t>
      </w:r>
      <w:r w:rsidR="008200D2" w:rsidRPr="00380274">
        <w:t xml:space="preserve"> declined (six</w:t>
      </w:r>
      <w:r w:rsidR="001D488A" w:rsidRPr="00380274">
        <w:t xml:space="preserve"> out of eight</w:t>
      </w:r>
      <w:r w:rsidR="00AE5205" w:rsidRPr="00380274">
        <w:t>).</w:t>
      </w:r>
    </w:p>
    <w:p w14:paraId="546BE595" w14:textId="71BFF97E" w:rsidR="000538CE" w:rsidRPr="00380274" w:rsidRDefault="000538CE"/>
    <w:p w14:paraId="346D8DBF" w14:textId="695441F3" w:rsidR="000538CE" w:rsidRPr="00380274" w:rsidRDefault="000538CE" w:rsidP="000538CE">
      <w:r w:rsidRPr="00380274">
        <w:t>Over the first six months of 2016/17 more sixth form colleges declined to requires improvement or inadequate (six), than improve</w:t>
      </w:r>
      <w:r w:rsidR="0093552C" w:rsidRPr="00380274">
        <w:t>d</w:t>
      </w:r>
      <w:r w:rsidRPr="00380274">
        <w:t xml:space="preserve"> to be good or outstanding (two). </w:t>
      </w:r>
      <w:r w:rsidR="005F2B53" w:rsidRPr="00380274">
        <w:t>This had a negative effect on the most recent inspection outcomes for the 90 sixth form colleges.</w:t>
      </w:r>
    </w:p>
    <w:p w14:paraId="2FDA5EED" w14:textId="77777777" w:rsidR="005F2B53" w:rsidRPr="00380274" w:rsidRDefault="005F2B53" w:rsidP="000538CE"/>
    <w:p w14:paraId="3C3E74E6" w14:textId="4FD0E1F2" w:rsidR="003D70BA" w:rsidRPr="00380274" w:rsidRDefault="00B46D5A">
      <w:pPr>
        <w:rPr>
          <w:sz w:val="12"/>
          <w:szCs w:val="12"/>
        </w:rPr>
      </w:pPr>
      <w:r w:rsidRPr="00380274">
        <w:rPr>
          <w:bCs/>
          <w:noProof/>
          <w:lang w:eastAsia="en-GB"/>
        </w:rPr>
        <mc:AlternateContent>
          <mc:Choice Requires="wps">
            <w:drawing>
              <wp:anchor distT="0" distB="0" distL="114300" distR="114300" simplePos="0" relativeHeight="251671552" behindDoc="0" locked="0" layoutInCell="1" allowOverlap="1" wp14:anchorId="25FEF72E" wp14:editId="10857A14">
                <wp:simplePos x="0" y="0"/>
                <wp:positionH relativeFrom="margin">
                  <wp:posOffset>-62865</wp:posOffset>
                </wp:positionH>
                <wp:positionV relativeFrom="paragraph">
                  <wp:posOffset>35560</wp:posOffset>
                </wp:positionV>
                <wp:extent cx="6172200" cy="3162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172200" cy="3162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6C45E" id="Rectangle 4" o:spid="_x0000_s1026" style="position:absolute;margin-left:-4.95pt;margin-top:2.8pt;width:486pt;height:24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FCmwIAAI4FAAAOAAAAZHJzL2Uyb0RvYy54bWysVMFu2zAMvQ/YPwi6r47dpF2NOkXQosOA&#10;oi3aDj2rshQbkEVNUuJkXz9Ksp2gK3YYloMimuQj+UTy8mrXKbIV1rWgK5qfzCgRmkPd6nVFf7zc&#10;fvlKifNM10yBFhXdC0evlp8/XfamFAU0oGphCYJoV/amoo33pswyxxvRMXcCRmhUSrAd8yjadVZb&#10;1iN6p7JiNjvLerC1scCFc/j1JinpMuJLKbh/kNIJT1RFMTcfTxvPt3Bmy0tWri0zTcuHNNg/ZNGx&#10;VmPQCeqGeUY2tv0Dqmu5BQfSn3DoMpCy5SLWgNXks3fVPDfMiFgLkuPMRJP7f7D8fvtoSVtXdE6J&#10;Zh0+0ROSxvRaCTIP9PTGlWj1bB7tIDm8hlp30nbhH6sgu0jpfqJU7Dzh+PEsPy/wnSjhqDvNz4pT&#10;FBAnO7gb6/w3AR0Jl4paDB+pZNs755PpaBKiabhtlcLvrFSa9BW9WBSL6OBAtXVQBl3sIHGtLNky&#10;fHu/y4ewR1aYhNKYSygxFRVvfq9Egn8SErnBMooUIHTlAZNxLrTPk6phtUihFjP8jcFGj1ix0ggY&#10;kCUmOWEPAKNlAhmxU/2DfXAVsakn59nfEkvOk0eMDNpPzl2rwX4EoLCqIXKyH0lK1ASW3qDeY+dY&#10;SCPlDL9t8f3umPOPzOIM4ZvjXvAPeEgF+E4w3ChpwP766Huwx9ZGLSU9zmRF3c8Ns4IS9V1j01/k&#10;83kY4ijMF+cFCvZY83as0ZvuGvDpc9xAhsdrsPdqvEoL3Suuj1WIiiqmOcauKPd2FK592hW4gLhY&#10;raIZDq5h/k4/Gx7AA6uhP192r8yaoYk99v89jPPLyne9nGyDp4bVxoNsY6MfeB34xqGPjTMsqLBV&#10;juVodVijy98AAAD//wMAUEsDBBQABgAIAAAAIQDKQYbX3AAAAAgBAAAPAAAAZHJzL2Rvd25yZXYu&#10;eG1sTI/BTsMwEETvSPyDtUhcUOs0FVET4lQIiWOQKHyAmyxxVHvtxk4b/p7lBMfRjGbe1PvFWXHB&#10;KY6eFGzWGQikzvcjDQo+P15XOxAxaeq19YQKvjHCvrm9qXXV+yu94+WQBsElFCutwKQUKiljZ9Dp&#10;uPYBib0vPzmdWE6D7Cd95XJnZZ5lhXR6JF4wOuCLwe50mJ2CZd6dz+18cga3rX3IU3hrQ1Dq/m55&#10;fgKRcEl/YfjFZ3RomOnoZ+qjsApWZclJBY8FCLbLIt+AOLLOtgXIppb/DzQ/AAAA//8DAFBLAQIt&#10;ABQABgAIAAAAIQC2gziS/gAAAOEBAAATAAAAAAAAAAAAAAAAAAAAAABbQ29udGVudF9UeXBlc10u&#10;eG1sUEsBAi0AFAAGAAgAAAAhADj9If/WAAAAlAEAAAsAAAAAAAAAAAAAAAAALwEAAF9yZWxzLy5y&#10;ZWxzUEsBAi0AFAAGAAgAAAAhAMZZYUKbAgAAjgUAAA4AAAAAAAAAAAAAAAAALgIAAGRycy9lMm9E&#10;b2MueG1sUEsBAi0AFAAGAAgAAAAhAMpBhtfcAAAACAEAAA8AAAAAAAAAAAAAAAAA9QQAAGRycy9k&#10;b3ducmV2LnhtbFBLBQYAAAAABAAEAPMAAAD+BQAAAAA=&#10;" filled="f" strokecolor="black [3213]">
                <w10:wrap anchorx="margin"/>
              </v:rect>
            </w:pict>
          </mc:Fallback>
        </mc:AlternateContent>
      </w:r>
    </w:p>
    <w:p w14:paraId="3AAA503E" w14:textId="685430E0" w:rsidR="00BB6DCD" w:rsidRPr="00380274" w:rsidRDefault="00BB6DCD" w:rsidP="00B46D5A">
      <w:pPr>
        <w:spacing w:after="80"/>
        <w:rPr>
          <w:b/>
        </w:rPr>
      </w:pPr>
      <w:r w:rsidRPr="00380274">
        <w:rPr>
          <w:b/>
        </w:rPr>
        <w:t xml:space="preserve">Figure </w:t>
      </w:r>
      <w:r w:rsidR="00FE5C38" w:rsidRPr="00380274">
        <w:rPr>
          <w:b/>
        </w:rPr>
        <w:t>6</w:t>
      </w:r>
      <w:r w:rsidRPr="00380274">
        <w:rPr>
          <w:b/>
        </w:rPr>
        <w:t>: Sixth form college inspection outcomes between 1 September 2016 and 28 February 2017, by previous overall effectiveness and type of inspection</w:t>
      </w:r>
    </w:p>
    <w:tbl>
      <w:tblPr>
        <w:tblW w:w="9403" w:type="dxa"/>
        <w:tblCellMar>
          <w:left w:w="57" w:type="dxa"/>
          <w:right w:w="57" w:type="dxa"/>
        </w:tblCellMar>
        <w:tblLook w:val="04A0" w:firstRow="1" w:lastRow="0" w:firstColumn="1" w:lastColumn="0" w:noHBand="0" w:noVBand="1"/>
      </w:tblPr>
      <w:tblGrid>
        <w:gridCol w:w="1574"/>
        <w:gridCol w:w="1392"/>
        <w:gridCol w:w="1398"/>
        <w:gridCol w:w="1469"/>
        <w:gridCol w:w="776"/>
        <w:gridCol w:w="1551"/>
        <w:gridCol w:w="1323"/>
      </w:tblGrid>
      <w:tr w:rsidR="003D70BA" w:rsidRPr="00380274" w14:paraId="06A6BA25" w14:textId="77777777" w:rsidTr="00D261B2">
        <w:trPr>
          <w:trHeight w:val="255"/>
        </w:trPr>
        <w:tc>
          <w:tcPr>
            <w:tcW w:w="1494" w:type="dxa"/>
            <w:vMerge w:val="restart"/>
            <w:tcBorders>
              <w:top w:val="single" w:sz="4" w:space="0" w:color="auto"/>
              <w:bottom w:val="single" w:sz="4" w:space="0" w:color="000000"/>
            </w:tcBorders>
            <w:shd w:val="clear" w:color="auto" w:fill="FFFFFF" w:themeFill="background1"/>
            <w:noWrap/>
            <w:vAlign w:val="bottom"/>
            <w:hideMark/>
          </w:tcPr>
          <w:p w14:paraId="16E78CF2" w14:textId="77777777" w:rsidR="003D70BA" w:rsidRPr="00380274" w:rsidRDefault="003D70BA" w:rsidP="00D261B2">
            <w:pPr>
              <w:rPr>
                <w:rFonts w:eastAsia="Times New Roman"/>
                <w:b/>
                <w:color w:val="000000"/>
                <w:sz w:val="22"/>
                <w:szCs w:val="22"/>
                <w:lang w:eastAsia="en-GB"/>
              </w:rPr>
            </w:pPr>
            <w:r w:rsidRPr="00380274">
              <w:rPr>
                <w:rFonts w:eastAsia="Times New Roman"/>
                <w:b/>
                <w:color w:val="000000"/>
                <w:sz w:val="22"/>
                <w:szCs w:val="22"/>
                <w:lang w:eastAsia="en-GB"/>
              </w:rPr>
              <w:t>Previous overall effectiveness</w:t>
            </w:r>
          </w:p>
        </w:tc>
        <w:tc>
          <w:tcPr>
            <w:tcW w:w="1392" w:type="dxa"/>
            <w:vMerge w:val="restart"/>
            <w:tcBorders>
              <w:top w:val="single" w:sz="4" w:space="0" w:color="auto"/>
              <w:bottom w:val="single" w:sz="4" w:space="0" w:color="000000"/>
            </w:tcBorders>
            <w:shd w:val="clear" w:color="auto" w:fill="FFFFFF" w:themeFill="background1"/>
            <w:vAlign w:val="bottom"/>
            <w:hideMark/>
          </w:tcPr>
          <w:p w14:paraId="4C16D9C2" w14:textId="77777777" w:rsidR="003D70BA" w:rsidRPr="00380274" w:rsidRDefault="003D70BA" w:rsidP="00D261B2">
            <w:pPr>
              <w:rPr>
                <w:rFonts w:eastAsia="Times New Roman"/>
                <w:b/>
                <w:color w:val="000000"/>
                <w:sz w:val="22"/>
                <w:szCs w:val="22"/>
                <w:lang w:eastAsia="en-GB"/>
              </w:rPr>
            </w:pPr>
            <w:r w:rsidRPr="00380274">
              <w:rPr>
                <w:rFonts w:eastAsia="Times New Roman"/>
                <w:b/>
                <w:color w:val="000000"/>
                <w:sz w:val="22"/>
                <w:szCs w:val="22"/>
                <w:lang w:eastAsia="en-GB"/>
              </w:rPr>
              <w:t>Type of inspection</w:t>
            </w:r>
          </w:p>
        </w:tc>
        <w:tc>
          <w:tcPr>
            <w:tcW w:w="1398" w:type="dxa"/>
            <w:vMerge w:val="restart"/>
            <w:tcBorders>
              <w:top w:val="single" w:sz="4" w:space="0" w:color="auto"/>
              <w:bottom w:val="single" w:sz="4" w:space="0" w:color="000000"/>
            </w:tcBorders>
            <w:shd w:val="clear" w:color="auto" w:fill="FFFFFF" w:themeFill="background1"/>
            <w:vAlign w:val="bottom"/>
            <w:hideMark/>
          </w:tcPr>
          <w:p w14:paraId="23ACCA02" w14:textId="3A5D8944" w:rsidR="003D70BA" w:rsidRPr="00380274" w:rsidRDefault="003D70BA" w:rsidP="003D70BA">
            <w:pPr>
              <w:jc w:val="center"/>
              <w:rPr>
                <w:rFonts w:eastAsia="Times New Roman"/>
                <w:b/>
                <w:color w:val="000000"/>
                <w:sz w:val="22"/>
                <w:szCs w:val="22"/>
                <w:lang w:eastAsia="en-GB"/>
              </w:rPr>
            </w:pPr>
            <w:r w:rsidRPr="00380274">
              <w:rPr>
                <w:rFonts w:eastAsia="Times New Roman"/>
                <w:b/>
                <w:color w:val="000000"/>
                <w:sz w:val="22"/>
                <w:szCs w:val="22"/>
                <w:lang w:eastAsia="en-GB"/>
              </w:rPr>
              <w:t>Total number of inspections</w:t>
            </w:r>
          </w:p>
        </w:tc>
        <w:tc>
          <w:tcPr>
            <w:tcW w:w="5119" w:type="dxa"/>
            <w:gridSpan w:val="4"/>
            <w:tcBorders>
              <w:top w:val="single" w:sz="4" w:space="0" w:color="auto"/>
              <w:bottom w:val="single" w:sz="4" w:space="0" w:color="auto"/>
            </w:tcBorders>
            <w:shd w:val="clear" w:color="auto" w:fill="FFFFFF" w:themeFill="background1"/>
            <w:noWrap/>
            <w:vAlign w:val="center"/>
            <w:hideMark/>
          </w:tcPr>
          <w:p w14:paraId="2DA74FA2" w14:textId="7D604C38" w:rsidR="003D70BA" w:rsidRPr="00380274" w:rsidRDefault="003D70BA" w:rsidP="003D70BA">
            <w:pPr>
              <w:jc w:val="center"/>
              <w:rPr>
                <w:rFonts w:eastAsia="Times New Roman"/>
                <w:b/>
                <w:color w:val="000000"/>
                <w:sz w:val="22"/>
                <w:szCs w:val="22"/>
                <w:lang w:eastAsia="en-GB"/>
              </w:rPr>
            </w:pPr>
            <w:r w:rsidRPr="00380274">
              <w:rPr>
                <w:rFonts w:eastAsia="Times New Roman"/>
                <w:b/>
                <w:color w:val="000000"/>
                <w:sz w:val="22"/>
                <w:szCs w:val="22"/>
                <w:lang w:eastAsia="en-GB"/>
              </w:rPr>
              <w:t>Overall effectiveness (number)</w:t>
            </w:r>
          </w:p>
        </w:tc>
      </w:tr>
      <w:tr w:rsidR="003D70BA" w:rsidRPr="00380274" w14:paraId="735E25C1" w14:textId="77777777" w:rsidTr="00D261B2">
        <w:trPr>
          <w:trHeight w:val="255"/>
        </w:trPr>
        <w:tc>
          <w:tcPr>
            <w:tcW w:w="1494" w:type="dxa"/>
            <w:vMerge/>
            <w:tcBorders>
              <w:top w:val="single" w:sz="4" w:space="0" w:color="auto"/>
              <w:bottom w:val="single" w:sz="4" w:space="0" w:color="000000"/>
            </w:tcBorders>
            <w:shd w:val="clear" w:color="auto" w:fill="FFFFFF" w:themeFill="background1"/>
            <w:vAlign w:val="center"/>
            <w:hideMark/>
          </w:tcPr>
          <w:p w14:paraId="453FCB13" w14:textId="77777777" w:rsidR="003D70BA" w:rsidRPr="00380274" w:rsidRDefault="003D70BA" w:rsidP="00D261B2">
            <w:pPr>
              <w:rPr>
                <w:rFonts w:eastAsia="Times New Roman"/>
                <w:color w:val="000000"/>
                <w:sz w:val="22"/>
                <w:szCs w:val="22"/>
                <w:lang w:eastAsia="en-GB"/>
              </w:rPr>
            </w:pPr>
          </w:p>
        </w:tc>
        <w:tc>
          <w:tcPr>
            <w:tcW w:w="1392" w:type="dxa"/>
            <w:vMerge/>
            <w:tcBorders>
              <w:top w:val="single" w:sz="4" w:space="0" w:color="auto"/>
              <w:bottom w:val="single" w:sz="4" w:space="0" w:color="000000"/>
            </w:tcBorders>
            <w:shd w:val="clear" w:color="auto" w:fill="FFFFFF" w:themeFill="background1"/>
            <w:vAlign w:val="center"/>
            <w:hideMark/>
          </w:tcPr>
          <w:p w14:paraId="3B5E6322" w14:textId="77777777" w:rsidR="003D70BA" w:rsidRPr="00380274" w:rsidRDefault="003D70BA" w:rsidP="00D261B2">
            <w:pPr>
              <w:rPr>
                <w:rFonts w:eastAsia="Times New Roman"/>
                <w:color w:val="000000"/>
                <w:sz w:val="22"/>
                <w:szCs w:val="22"/>
                <w:lang w:eastAsia="en-GB"/>
              </w:rPr>
            </w:pPr>
          </w:p>
        </w:tc>
        <w:tc>
          <w:tcPr>
            <w:tcW w:w="1398" w:type="dxa"/>
            <w:vMerge/>
            <w:tcBorders>
              <w:top w:val="single" w:sz="4" w:space="0" w:color="auto"/>
              <w:bottom w:val="single" w:sz="4" w:space="0" w:color="000000"/>
            </w:tcBorders>
            <w:shd w:val="clear" w:color="auto" w:fill="FFFFFF" w:themeFill="background1"/>
            <w:vAlign w:val="center"/>
            <w:hideMark/>
          </w:tcPr>
          <w:p w14:paraId="2F0DD0EA" w14:textId="77777777" w:rsidR="003D70BA" w:rsidRPr="00380274" w:rsidRDefault="003D70BA" w:rsidP="003D70BA">
            <w:pPr>
              <w:rPr>
                <w:rFonts w:eastAsia="Times New Roman"/>
                <w:color w:val="000000"/>
                <w:sz w:val="22"/>
                <w:szCs w:val="22"/>
                <w:lang w:eastAsia="en-GB"/>
              </w:rPr>
            </w:pPr>
          </w:p>
        </w:tc>
        <w:tc>
          <w:tcPr>
            <w:tcW w:w="1469" w:type="dxa"/>
            <w:tcBorders>
              <w:top w:val="nil"/>
              <w:bottom w:val="single" w:sz="4" w:space="0" w:color="auto"/>
            </w:tcBorders>
            <w:shd w:val="clear" w:color="auto" w:fill="FFFFFF" w:themeFill="background1"/>
            <w:noWrap/>
            <w:vAlign w:val="bottom"/>
            <w:hideMark/>
          </w:tcPr>
          <w:p w14:paraId="40147860" w14:textId="77777777"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Outstanding</w:t>
            </w:r>
          </w:p>
        </w:tc>
        <w:tc>
          <w:tcPr>
            <w:tcW w:w="776" w:type="dxa"/>
            <w:tcBorders>
              <w:top w:val="nil"/>
              <w:bottom w:val="single" w:sz="4" w:space="0" w:color="auto"/>
            </w:tcBorders>
            <w:shd w:val="clear" w:color="auto" w:fill="FFFFFF" w:themeFill="background1"/>
            <w:noWrap/>
            <w:vAlign w:val="bottom"/>
            <w:hideMark/>
          </w:tcPr>
          <w:p w14:paraId="6C5ACCC5" w14:textId="325042D8"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Good</w:t>
            </w:r>
            <w:r w:rsidR="00B46D5A" w:rsidRPr="00380274">
              <w:rPr>
                <w:rFonts w:eastAsia="Times New Roman"/>
                <w:color w:val="000000"/>
                <w:sz w:val="22"/>
                <w:szCs w:val="22"/>
                <w:vertAlign w:val="superscript"/>
                <w:lang w:eastAsia="en-GB"/>
              </w:rPr>
              <w:t>1</w:t>
            </w:r>
          </w:p>
        </w:tc>
        <w:tc>
          <w:tcPr>
            <w:tcW w:w="1551" w:type="dxa"/>
            <w:tcBorders>
              <w:top w:val="nil"/>
              <w:bottom w:val="single" w:sz="4" w:space="0" w:color="auto"/>
            </w:tcBorders>
            <w:shd w:val="clear" w:color="auto" w:fill="FFFFFF" w:themeFill="background1"/>
            <w:noWrap/>
            <w:vAlign w:val="bottom"/>
            <w:hideMark/>
          </w:tcPr>
          <w:p w14:paraId="726E8FDC" w14:textId="77777777"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Requires improvement</w:t>
            </w:r>
          </w:p>
        </w:tc>
        <w:tc>
          <w:tcPr>
            <w:tcW w:w="1323" w:type="dxa"/>
            <w:tcBorders>
              <w:top w:val="nil"/>
              <w:bottom w:val="single" w:sz="4" w:space="0" w:color="auto"/>
            </w:tcBorders>
            <w:shd w:val="clear" w:color="auto" w:fill="FFFFFF" w:themeFill="background1"/>
            <w:noWrap/>
            <w:vAlign w:val="bottom"/>
            <w:hideMark/>
          </w:tcPr>
          <w:p w14:paraId="1691D326" w14:textId="77777777"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Inadequate</w:t>
            </w:r>
          </w:p>
        </w:tc>
      </w:tr>
      <w:tr w:rsidR="003D70BA" w:rsidRPr="00380274" w14:paraId="74249454" w14:textId="77777777" w:rsidTr="00E15ACE">
        <w:trPr>
          <w:trHeight w:val="255"/>
        </w:trPr>
        <w:tc>
          <w:tcPr>
            <w:tcW w:w="1494" w:type="dxa"/>
            <w:tcBorders>
              <w:top w:val="nil"/>
              <w:bottom w:val="single" w:sz="4" w:space="0" w:color="auto"/>
            </w:tcBorders>
            <w:shd w:val="clear" w:color="auto" w:fill="auto"/>
            <w:noWrap/>
            <w:vAlign w:val="center"/>
            <w:hideMark/>
          </w:tcPr>
          <w:p w14:paraId="7DDB4BDB" w14:textId="77777777" w:rsidR="003D70BA" w:rsidRPr="00380274" w:rsidRDefault="003D70BA" w:rsidP="00D261B2">
            <w:pPr>
              <w:rPr>
                <w:rFonts w:eastAsia="Times New Roman"/>
                <w:color w:val="000000"/>
                <w:sz w:val="22"/>
                <w:szCs w:val="22"/>
                <w:lang w:eastAsia="en-GB"/>
              </w:rPr>
            </w:pPr>
            <w:r w:rsidRPr="00380274">
              <w:rPr>
                <w:rFonts w:eastAsia="Times New Roman"/>
                <w:color w:val="000000"/>
                <w:sz w:val="22"/>
                <w:szCs w:val="22"/>
                <w:lang w:eastAsia="en-GB"/>
              </w:rPr>
              <w:t>Outstanding</w:t>
            </w:r>
          </w:p>
        </w:tc>
        <w:tc>
          <w:tcPr>
            <w:tcW w:w="1392" w:type="dxa"/>
            <w:tcBorders>
              <w:top w:val="nil"/>
              <w:bottom w:val="single" w:sz="4" w:space="0" w:color="auto"/>
            </w:tcBorders>
            <w:shd w:val="clear" w:color="auto" w:fill="auto"/>
            <w:noWrap/>
            <w:vAlign w:val="center"/>
            <w:hideMark/>
          </w:tcPr>
          <w:p w14:paraId="60F9FC61" w14:textId="77777777" w:rsidR="003D70BA" w:rsidRPr="00380274" w:rsidRDefault="003D70BA" w:rsidP="00D261B2">
            <w:pPr>
              <w:rPr>
                <w:rFonts w:eastAsia="Times New Roman"/>
                <w:color w:val="000000"/>
                <w:sz w:val="22"/>
                <w:szCs w:val="22"/>
                <w:lang w:eastAsia="en-GB"/>
              </w:rPr>
            </w:pPr>
            <w:r w:rsidRPr="00380274">
              <w:rPr>
                <w:rFonts w:eastAsia="Times New Roman"/>
                <w:color w:val="000000"/>
                <w:sz w:val="22"/>
                <w:szCs w:val="22"/>
                <w:lang w:eastAsia="en-GB"/>
              </w:rPr>
              <w:t>Full</w:t>
            </w:r>
          </w:p>
        </w:tc>
        <w:tc>
          <w:tcPr>
            <w:tcW w:w="1398" w:type="dxa"/>
            <w:tcBorders>
              <w:top w:val="nil"/>
              <w:bottom w:val="single" w:sz="4" w:space="0" w:color="auto"/>
            </w:tcBorders>
            <w:shd w:val="clear" w:color="auto" w:fill="auto"/>
            <w:noWrap/>
            <w:vAlign w:val="center"/>
            <w:hideMark/>
          </w:tcPr>
          <w:p w14:paraId="7153FDC3" w14:textId="2BEBFF36"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1</w:t>
            </w:r>
          </w:p>
        </w:tc>
        <w:tc>
          <w:tcPr>
            <w:tcW w:w="1469" w:type="dxa"/>
            <w:tcBorders>
              <w:top w:val="nil"/>
              <w:bottom w:val="single" w:sz="4" w:space="0" w:color="auto"/>
            </w:tcBorders>
            <w:shd w:val="clear" w:color="auto" w:fill="auto"/>
            <w:noWrap/>
            <w:vAlign w:val="center"/>
            <w:hideMark/>
          </w:tcPr>
          <w:p w14:paraId="3E3B0A97" w14:textId="77777777"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0</w:t>
            </w:r>
          </w:p>
        </w:tc>
        <w:tc>
          <w:tcPr>
            <w:tcW w:w="776" w:type="dxa"/>
            <w:tcBorders>
              <w:top w:val="nil"/>
              <w:bottom w:val="single" w:sz="4" w:space="0" w:color="auto"/>
            </w:tcBorders>
            <w:shd w:val="clear" w:color="auto" w:fill="auto"/>
            <w:noWrap/>
            <w:vAlign w:val="center"/>
            <w:hideMark/>
          </w:tcPr>
          <w:p w14:paraId="7A121A4B" w14:textId="77777777"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0</w:t>
            </w:r>
          </w:p>
        </w:tc>
        <w:tc>
          <w:tcPr>
            <w:tcW w:w="1551" w:type="dxa"/>
            <w:tcBorders>
              <w:top w:val="nil"/>
              <w:bottom w:val="single" w:sz="4" w:space="0" w:color="auto"/>
            </w:tcBorders>
            <w:shd w:val="clear" w:color="auto" w:fill="604A7B"/>
            <w:noWrap/>
            <w:vAlign w:val="center"/>
            <w:hideMark/>
          </w:tcPr>
          <w:p w14:paraId="2387AE7A" w14:textId="77777777" w:rsidR="003D70BA" w:rsidRPr="00AE12C0" w:rsidRDefault="003D70BA" w:rsidP="003D70BA">
            <w:pPr>
              <w:jc w:val="center"/>
              <w:rPr>
                <w:rFonts w:eastAsia="Times New Roman"/>
                <w:color w:val="FFFFFF" w:themeColor="background1"/>
                <w:sz w:val="22"/>
                <w:szCs w:val="22"/>
                <w:lang w:eastAsia="en-GB"/>
              </w:rPr>
            </w:pPr>
            <w:r w:rsidRPr="00AE12C0">
              <w:rPr>
                <w:rFonts w:eastAsia="Times New Roman"/>
                <w:color w:val="FFFFFF" w:themeColor="background1"/>
                <w:sz w:val="22"/>
                <w:szCs w:val="22"/>
                <w:lang w:eastAsia="en-GB"/>
              </w:rPr>
              <w:t>1</w:t>
            </w:r>
          </w:p>
        </w:tc>
        <w:tc>
          <w:tcPr>
            <w:tcW w:w="1323" w:type="dxa"/>
            <w:tcBorders>
              <w:top w:val="nil"/>
              <w:bottom w:val="single" w:sz="4" w:space="0" w:color="auto"/>
            </w:tcBorders>
            <w:shd w:val="clear" w:color="auto" w:fill="604A7B"/>
            <w:noWrap/>
            <w:vAlign w:val="center"/>
            <w:hideMark/>
          </w:tcPr>
          <w:p w14:paraId="273D4248" w14:textId="77777777" w:rsidR="003D70BA" w:rsidRPr="00AE12C0" w:rsidRDefault="003D70BA" w:rsidP="003D70BA">
            <w:pPr>
              <w:jc w:val="center"/>
              <w:rPr>
                <w:rFonts w:eastAsia="Times New Roman"/>
                <w:color w:val="FFFFFF" w:themeColor="background1"/>
                <w:sz w:val="22"/>
                <w:szCs w:val="22"/>
                <w:lang w:eastAsia="en-GB"/>
              </w:rPr>
            </w:pPr>
            <w:r w:rsidRPr="00AE12C0">
              <w:rPr>
                <w:rFonts w:eastAsia="Times New Roman"/>
                <w:color w:val="FFFFFF" w:themeColor="background1"/>
                <w:sz w:val="22"/>
                <w:szCs w:val="22"/>
                <w:lang w:eastAsia="en-GB"/>
              </w:rPr>
              <w:t>0</w:t>
            </w:r>
          </w:p>
        </w:tc>
      </w:tr>
      <w:tr w:rsidR="003D70BA" w:rsidRPr="00380274" w14:paraId="3DDCF1AF" w14:textId="77777777" w:rsidTr="00E15ACE">
        <w:trPr>
          <w:trHeight w:val="255"/>
        </w:trPr>
        <w:tc>
          <w:tcPr>
            <w:tcW w:w="1494" w:type="dxa"/>
            <w:tcBorders>
              <w:top w:val="nil"/>
              <w:bottom w:val="single" w:sz="4" w:space="0" w:color="auto"/>
            </w:tcBorders>
            <w:shd w:val="clear" w:color="auto" w:fill="auto"/>
            <w:noWrap/>
            <w:vAlign w:val="center"/>
            <w:hideMark/>
          </w:tcPr>
          <w:p w14:paraId="3A5B41FE" w14:textId="77777777" w:rsidR="003D70BA" w:rsidRPr="00380274" w:rsidRDefault="003D70BA" w:rsidP="00D261B2">
            <w:pPr>
              <w:rPr>
                <w:rFonts w:eastAsia="Times New Roman"/>
                <w:color w:val="000000"/>
                <w:sz w:val="22"/>
                <w:szCs w:val="22"/>
                <w:lang w:eastAsia="en-GB"/>
              </w:rPr>
            </w:pPr>
            <w:r w:rsidRPr="00380274">
              <w:rPr>
                <w:rFonts w:eastAsia="Times New Roman"/>
                <w:color w:val="000000"/>
                <w:sz w:val="22"/>
                <w:szCs w:val="22"/>
                <w:lang w:eastAsia="en-GB"/>
              </w:rPr>
              <w:t>Good</w:t>
            </w:r>
          </w:p>
        </w:tc>
        <w:tc>
          <w:tcPr>
            <w:tcW w:w="1392" w:type="dxa"/>
            <w:tcBorders>
              <w:top w:val="nil"/>
              <w:bottom w:val="single" w:sz="4" w:space="0" w:color="auto"/>
            </w:tcBorders>
            <w:shd w:val="clear" w:color="auto" w:fill="auto"/>
            <w:noWrap/>
            <w:vAlign w:val="center"/>
            <w:hideMark/>
          </w:tcPr>
          <w:p w14:paraId="59FF8144" w14:textId="77777777" w:rsidR="003D70BA" w:rsidRPr="00380274" w:rsidRDefault="003D70BA" w:rsidP="00D261B2">
            <w:pPr>
              <w:rPr>
                <w:rFonts w:eastAsia="Times New Roman"/>
                <w:color w:val="000000"/>
                <w:sz w:val="22"/>
                <w:szCs w:val="22"/>
                <w:lang w:eastAsia="en-GB"/>
              </w:rPr>
            </w:pPr>
            <w:r w:rsidRPr="00380274">
              <w:rPr>
                <w:rFonts w:eastAsia="Times New Roman"/>
                <w:color w:val="000000"/>
                <w:sz w:val="22"/>
                <w:szCs w:val="22"/>
                <w:lang w:eastAsia="en-GB"/>
              </w:rPr>
              <w:t>Full</w:t>
            </w:r>
          </w:p>
        </w:tc>
        <w:tc>
          <w:tcPr>
            <w:tcW w:w="1398" w:type="dxa"/>
            <w:tcBorders>
              <w:top w:val="nil"/>
              <w:bottom w:val="single" w:sz="4" w:space="0" w:color="auto"/>
            </w:tcBorders>
            <w:shd w:val="clear" w:color="auto" w:fill="auto"/>
            <w:noWrap/>
            <w:vAlign w:val="center"/>
            <w:hideMark/>
          </w:tcPr>
          <w:p w14:paraId="3A0EFF4C" w14:textId="77777777"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7</w:t>
            </w:r>
          </w:p>
        </w:tc>
        <w:tc>
          <w:tcPr>
            <w:tcW w:w="1469" w:type="dxa"/>
            <w:tcBorders>
              <w:top w:val="nil"/>
              <w:bottom w:val="single" w:sz="4" w:space="0" w:color="auto"/>
            </w:tcBorders>
            <w:shd w:val="clear" w:color="auto" w:fill="auto"/>
            <w:noWrap/>
            <w:vAlign w:val="center"/>
            <w:hideMark/>
          </w:tcPr>
          <w:p w14:paraId="6C64C82B" w14:textId="77777777"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0</w:t>
            </w:r>
          </w:p>
        </w:tc>
        <w:tc>
          <w:tcPr>
            <w:tcW w:w="776" w:type="dxa"/>
            <w:tcBorders>
              <w:top w:val="nil"/>
              <w:bottom w:val="single" w:sz="4" w:space="0" w:color="auto"/>
            </w:tcBorders>
            <w:shd w:val="clear" w:color="auto" w:fill="auto"/>
            <w:noWrap/>
            <w:vAlign w:val="center"/>
            <w:hideMark/>
          </w:tcPr>
          <w:p w14:paraId="71601759" w14:textId="77777777"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2</w:t>
            </w:r>
          </w:p>
        </w:tc>
        <w:tc>
          <w:tcPr>
            <w:tcW w:w="1551" w:type="dxa"/>
            <w:tcBorders>
              <w:top w:val="nil"/>
              <w:bottom w:val="single" w:sz="4" w:space="0" w:color="auto"/>
            </w:tcBorders>
            <w:shd w:val="clear" w:color="auto" w:fill="604A7B"/>
            <w:noWrap/>
            <w:vAlign w:val="center"/>
            <w:hideMark/>
          </w:tcPr>
          <w:p w14:paraId="0E6CA9BF" w14:textId="77777777" w:rsidR="003D70BA" w:rsidRPr="00AE12C0" w:rsidRDefault="003D70BA" w:rsidP="003D70BA">
            <w:pPr>
              <w:jc w:val="center"/>
              <w:rPr>
                <w:rFonts w:eastAsia="Times New Roman"/>
                <w:color w:val="FFFFFF" w:themeColor="background1"/>
                <w:sz w:val="22"/>
                <w:szCs w:val="22"/>
                <w:lang w:eastAsia="en-GB"/>
              </w:rPr>
            </w:pPr>
            <w:r w:rsidRPr="00AE12C0">
              <w:rPr>
                <w:rFonts w:eastAsia="Times New Roman"/>
                <w:color w:val="FFFFFF" w:themeColor="background1"/>
                <w:sz w:val="22"/>
                <w:szCs w:val="22"/>
                <w:lang w:eastAsia="en-GB"/>
              </w:rPr>
              <w:t>4</w:t>
            </w:r>
          </w:p>
        </w:tc>
        <w:tc>
          <w:tcPr>
            <w:tcW w:w="1323" w:type="dxa"/>
            <w:tcBorders>
              <w:top w:val="nil"/>
              <w:bottom w:val="single" w:sz="4" w:space="0" w:color="auto"/>
            </w:tcBorders>
            <w:shd w:val="clear" w:color="auto" w:fill="604A7B"/>
            <w:noWrap/>
            <w:vAlign w:val="center"/>
            <w:hideMark/>
          </w:tcPr>
          <w:p w14:paraId="79B8B3F7" w14:textId="77777777" w:rsidR="003D70BA" w:rsidRPr="00AE12C0" w:rsidRDefault="003D70BA" w:rsidP="003D70BA">
            <w:pPr>
              <w:jc w:val="center"/>
              <w:rPr>
                <w:rFonts w:eastAsia="Times New Roman"/>
                <w:color w:val="FFFFFF" w:themeColor="background1"/>
                <w:sz w:val="22"/>
                <w:szCs w:val="22"/>
                <w:lang w:eastAsia="en-GB"/>
              </w:rPr>
            </w:pPr>
            <w:r w:rsidRPr="00AE12C0">
              <w:rPr>
                <w:rFonts w:eastAsia="Times New Roman"/>
                <w:color w:val="FFFFFF" w:themeColor="background1"/>
                <w:sz w:val="22"/>
                <w:szCs w:val="22"/>
                <w:lang w:eastAsia="en-GB"/>
              </w:rPr>
              <w:t>1</w:t>
            </w:r>
          </w:p>
        </w:tc>
      </w:tr>
      <w:tr w:rsidR="003D70BA" w:rsidRPr="00380274" w14:paraId="193424CA" w14:textId="77777777" w:rsidTr="00E15ACE">
        <w:trPr>
          <w:trHeight w:val="255"/>
        </w:trPr>
        <w:tc>
          <w:tcPr>
            <w:tcW w:w="1494" w:type="dxa"/>
            <w:tcBorders>
              <w:top w:val="nil"/>
              <w:bottom w:val="single" w:sz="4" w:space="0" w:color="auto"/>
            </w:tcBorders>
            <w:shd w:val="clear" w:color="auto" w:fill="auto"/>
            <w:noWrap/>
            <w:vAlign w:val="center"/>
            <w:hideMark/>
          </w:tcPr>
          <w:p w14:paraId="6030903A" w14:textId="77777777" w:rsidR="003D70BA" w:rsidRPr="00380274" w:rsidRDefault="003D70BA" w:rsidP="00D261B2">
            <w:pPr>
              <w:rPr>
                <w:rFonts w:eastAsia="Times New Roman"/>
                <w:color w:val="000000"/>
                <w:sz w:val="22"/>
                <w:szCs w:val="22"/>
                <w:lang w:eastAsia="en-GB"/>
              </w:rPr>
            </w:pPr>
            <w:r w:rsidRPr="00380274">
              <w:rPr>
                <w:rFonts w:eastAsia="Times New Roman"/>
                <w:color w:val="000000"/>
                <w:sz w:val="22"/>
                <w:szCs w:val="22"/>
                <w:lang w:eastAsia="en-GB"/>
              </w:rPr>
              <w:t>Good</w:t>
            </w:r>
          </w:p>
        </w:tc>
        <w:tc>
          <w:tcPr>
            <w:tcW w:w="1392" w:type="dxa"/>
            <w:tcBorders>
              <w:top w:val="nil"/>
              <w:bottom w:val="single" w:sz="4" w:space="0" w:color="auto"/>
            </w:tcBorders>
            <w:shd w:val="clear" w:color="auto" w:fill="auto"/>
            <w:noWrap/>
            <w:vAlign w:val="center"/>
            <w:hideMark/>
          </w:tcPr>
          <w:p w14:paraId="4219F01D" w14:textId="6BC6A543" w:rsidR="003D70BA" w:rsidRPr="00380274" w:rsidRDefault="00135AC0" w:rsidP="00D261B2">
            <w:pPr>
              <w:rPr>
                <w:rFonts w:eastAsia="Times New Roman"/>
                <w:color w:val="000000"/>
                <w:sz w:val="22"/>
                <w:szCs w:val="22"/>
                <w:lang w:eastAsia="en-GB"/>
              </w:rPr>
            </w:pPr>
            <w:r w:rsidRPr="00380274">
              <w:rPr>
                <w:sz w:val="22"/>
                <w:szCs w:val="22"/>
              </w:rPr>
              <w:t>Short (including conversions)</w:t>
            </w:r>
          </w:p>
        </w:tc>
        <w:tc>
          <w:tcPr>
            <w:tcW w:w="1398" w:type="dxa"/>
            <w:tcBorders>
              <w:top w:val="nil"/>
              <w:bottom w:val="single" w:sz="4" w:space="0" w:color="auto"/>
            </w:tcBorders>
            <w:shd w:val="clear" w:color="auto" w:fill="auto"/>
            <w:noWrap/>
            <w:vAlign w:val="center"/>
            <w:hideMark/>
          </w:tcPr>
          <w:p w14:paraId="781D69B7" w14:textId="0D0AA4BA" w:rsidR="003D70BA" w:rsidRPr="00380274" w:rsidRDefault="00135AC0" w:rsidP="00135AC0">
            <w:pPr>
              <w:jc w:val="center"/>
              <w:rPr>
                <w:rFonts w:eastAsia="Times New Roman"/>
                <w:color w:val="000000"/>
                <w:sz w:val="22"/>
                <w:szCs w:val="22"/>
                <w:lang w:eastAsia="en-GB"/>
              </w:rPr>
            </w:pPr>
            <w:r w:rsidRPr="00380274">
              <w:rPr>
                <w:rFonts w:eastAsia="Times New Roman"/>
                <w:color w:val="000000"/>
                <w:sz w:val="22"/>
                <w:szCs w:val="22"/>
                <w:lang w:eastAsia="en-GB"/>
              </w:rPr>
              <w:t xml:space="preserve">8 </w:t>
            </w:r>
          </w:p>
        </w:tc>
        <w:tc>
          <w:tcPr>
            <w:tcW w:w="1469" w:type="dxa"/>
            <w:tcBorders>
              <w:top w:val="nil"/>
              <w:bottom w:val="single" w:sz="4" w:space="0" w:color="auto"/>
            </w:tcBorders>
            <w:shd w:val="clear" w:color="auto" w:fill="auto"/>
            <w:noWrap/>
            <w:vAlign w:val="center"/>
            <w:hideMark/>
          </w:tcPr>
          <w:p w14:paraId="1B6D81E0" w14:textId="77777777"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2</w:t>
            </w:r>
          </w:p>
        </w:tc>
        <w:tc>
          <w:tcPr>
            <w:tcW w:w="776" w:type="dxa"/>
            <w:tcBorders>
              <w:top w:val="nil"/>
              <w:bottom w:val="single" w:sz="4" w:space="0" w:color="auto"/>
            </w:tcBorders>
            <w:shd w:val="clear" w:color="auto" w:fill="auto"/>
            <w:noWrap/>
            <w:vAlign w:val="center"/>
            <w:hideMark/>
          </w:tcPr>
          <w:p w14:paraId="531C3388" w14:textId="710D200C" w:rsidR="003D70BA" w:rsidRPr="00380274" w:rsidRDefault="00135AC0" w:rsidP="003D70BA">
            <w:pPr>
              <w:jc w:val="center"/>
              <w:rPr>
                <w:rFonts w:eastAsia="Times New Roman"/>
                <w:color w:val="000000"/>
                <w:sz w:val="22"/>
                <w:szCs w:val="22"/>
                <w:lang w:eastAsia="en-GB"/>
              </w:rPr>
            </w:pPr>
            <w:r w:rsidRPr="00380274">
              <w:rPr>
                <w:rFonts w:eastAsia="Times New Roman"/>
                <w:color w:val="000000"/>
                <w:sz w:val="22"/>
                <w:szCs w:val="22"/>
                <w:lang w:eastAsia="en-GB"/>
              </w:rPr>
              <w:t>6</w:t>
            </w:r>
          </w:p>
        </w:tc>
        <w:tc>
          <w:tcPr>
            <w:tcW w:w="1551" w:type="dxa"/>
            <w:tcBorders>
              <w:top w:val="nil"/>
              <w:bottom w:val="single" w:sz="4" w:space="0" w:color="auto"/>
            </w:tcBorders>
            <w:shd w:val="clear" w:color="auto" w:fill="604A7B"/>
            <w:noWrap/>
            <w:vAlign w:val="center"/>
            <w:hideMark/>
          </w:tcPr>
          <w:p w14:paraId="7BF1DB58" w14:textId="77777777" w:rsidR="003D70BA" w:rsidRPr="00AE12C0" w:rsidRDefault="003D70BA" w:rsidP="003D70BA">
            <w:pPr>
              <w:jc w:val="center"/>
              <w:rPr>
                <w:rFonts w:eastAsia="Times New Roman"/>
                <w:color w:val="FFFFFF" w:themeColor="background1"/>
                <w:sz w:val="22"/>
                <w:szCs w:val="22"/>
                <w:lang w:eastAsia="en-GB"/>
              </w:rPr>
            </w:pPr>
            <w:r w:rsidRPr="00AE12C0">
              <w:rPr>
                <w:rFonts w:eastAsia="Times New Roman"/>
                <w:color w:val="FFFFFF" w:themeColor="background1"/>
                <w:sz w:val="22"/>
                <w:szCs w:val="22"/>
                <w:lang w:eastAsia="en-GB"/>
              </w:rPr>
              <w:t>0</w:t>
            </w:r>
          </w:p>
        </w:tc>
        <w:tc>
          <w:tcPr>
            <w:tcW w:w="1323" w:type="dxa"/>
            <w:tcBorders>
              <w:top w:val="nil"/>
              <w:bottom w:val="single" w:sz="4" w:space="0" w:color="auto"/>
            </w:tcBorders>
            <w:shd w:val="clear" w:color="auto" w:fill="604A7B"/>
            <w:noWrap/>
            <w:vAlign w:val="center"/>
            <w:hideMark/>
          </w:tcPr>
          <w:p w14:paraId="0878B13D" w14:textId="77777777" w:rsidR="003D70BA" w:rsidRPr="00AE12C0" w:rsidRDefault="003D70BA" w:rsidP="003D70BA">
            <w:pPr>
              <w:jc w:val="center"/>
              <w:rPr>
                <w:rFonts w:eastAsia="Times New Roman"/>
                <w:color w:val="FFFFFF" w:themeColor="background1"/>
                <w:sz w:val="22"/>
                <w:szCs w:val="22"/>
                <w:lang w:eastAsia="en-GB"/>
              </w:rPr>
            </w:pPr>
            <w:r w:rsidRPr="00AE12C0">
              <w:rPr>
                <w:rFonts w:eastAsia="Times New Roman"/>
                <w:color w:val="FFFFFF" w:themeColor="background1"/>
                <w:sz w:val="22"/>
                <w:szCs w:val="22"/>
                <w:lang w:eastAsia="en-GB"/>
              </w:rPr>
              <w:t>0</w:t>
            </w:r>
          </w:p>
        </w:tc>
      </w:tr>
      <w:tr w:rsidR="003D70BA" w:rsidRPr="00380274" w14:paraId="7132018F" w14:textId="77777777" w:rsidTr="00E15ACE">
        <w:trPr>
          <w:trHeight w:val="255"/>
        </w:trPr>
        <w:tc>
          <w:tcPr>
            <w:tcW w:w="1494" w:type="dxa"/>
            <w:tcBorders>
              <w:top w:val="nil"/>
              <w:bottom w:val="single" w:sz="4" w:space="0" w:color="auto"/>
            </w:tcBorders>
            <w:shd w:val="clear" w:color="auto" w:fill="auto"/>
            <w:noWrap/>
            <w:vAlign w:val="center"/>
            <w:hideMark/>
          </w:tcPr>
          <w:p w14:paraId="007412A2" w14:textId="77777777" w:rsidR="003D70BA" w:rsidRPr="00380274" w:rsidRDefault="003D70BA" w:rsidP="00D261B2">
            <w:pPr>
              <w:rPr>
                <w:rFonts w:eastAsia="Times New Roman"/>
                <w:color w:val="000000"/>
                <w:sz w:val="22"/>
                <w:szCs w:val="22"/>
                <w:lang w:eastAsia="en-GB"/>
              </w:rPr>
            </w:pPr>
            <w:r w:rsidRPr="00380274">
              <w:rPr>
                <w:rFonts w:eastAsia="Times New Roman"/>
                <w:color w:val="000000"/>
                <w:sz w:val="22"/>
                <w:szCs w:val="22"/>
                <w:lang w:eastAsia="en-GB"/>
              </w:rPr>
              <w:t>Requires improvement</w:t>
            </w:r>
          </w:p>
        </w:tc>
        <w:tc>
          <w:tcPr>
            <w:tcW w:w="1392" w:type="dxa"/>
            <w:tcBorders>
              <w:top w:val="nil"/>
              <w:bottom w:val="single" w:sz="4" w:space="0" w:color="auto"/>
            </w:tcBorders>
            <w:shd w:val="clear" w:color="auto" w:fill="auto"/>
            <w:noWrap/>
            <w:vAlign w:val="center"/>
            <w:hideMark/>
          </w:tcPr>
          <w:p w14:paraId="7FFB7BA2" w14:textId="77777777" w:rsidR="003D70BA" w:rsidRPr="00380274" w:rsidRDefault="003D70BA" w:rsidP="00D261B2">
            <w:pPr>
              <w:rPr>
                <w:rFonts w:eastAsia="Times New Roman"/>
                <w:color w:val="000000"/>
                <w:sz w:val="22"/>
                <w:szCs w:val="22"/>
                <w:lang w:eastAsia="en-GB"/>
              </w:rPr>
            </w:pPr>
            <w:r w:rsidRPr="00380274">
              <w:rPr>
                <w:rFonts w:eastAsia="Times New Roman"/>
                <w:color w:val="000000"/>
                <w:sz w:val="22"/>
                <w:szCs w:val="22"/>
                <w:lang w:eastAsia="en-GB"/>
              </w:rPr>
              <w:t>Full</w:t>
            </w:r>
          </w:p>
        </w:tc>
        <w:tc>
          <w:tcPr>
            <w:tcW w:w="1398" w:type="dxa"/>
            <w:tcBorders>
              <w:top w:val="nil"/>
              <w:bottom w:val="single" w:sz="4" w:space="0" w:color="auto"/>
            </w:tcBorders>
            <w:shd w:val="clear" w:color="auto" w:fill="auto"/>
            <w:noWrap/>
            <w:vAlign w:val="center"/>
            <w:hideMark/>
          </w:tcPr>
          <w:p w14:paraId="6DC2EB30" w14:textId="77777777"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3</w:t>
            </w:r>
          </w:p>
        </w:tc>
        <w:tc>
          <w:tcPr>
            <w:tcW w:w="1469" w:type="dxa"/>
            <w:tcBorders>
              <w:top w:val="nil"/>
              <w:bottom w:val="single" w:sz="4" w:space="0" w:color="auto"/>
            </w:tcBorders>
            <w:shd w:val="clear" w:color="auto" w:fill="8AB23E"/>
            <w:noWrap/>
            <w:vAlign w:val="center"/>
            <w:hideMark/>
          </w:tcPr>
          <w:p w14:paraId="69C5870C" w14:textId="77777777" w:rsidR="003D70BA" w:rsidRPr="00AE12C0" w:rsidRDefault="003D70BA" w:rsidP="003D70BA">
            <w:pPr>
              <w:jc w:val="center"/>
              <w:rPr>
                <w:rFonts w:eastAsia="Times New Roman"/>
                <w:color w:val="FFFFFF" w:themeColor="background1"/>
                <w:sz w:val="22"/>
                <w:szCs w:val="22"/>
                <w:lang w:eastAsia="en-GB"/>
              </w:rPr>
            </w:pPr>
            <w:r w:rsidRPr="00AE12C0">
              <w:rPr>
                <w:rFonts w:eastAsia="Times New Roman"/>
                <w:color w:val="FFFFFF" w:themeColor="background1"/>
                <w:sz w:val="22"/>
                <w:szCs w:val="22"/>
                <w:lang w:eastAsia="en-GB"/>
              </w:rPr>
              <w:t>0</w:t>
            </w:r>
          </w:p>
        </w:tc>
        <w:tc>
          <w:tcPr>
            <w:tcW w:w="776" w:type="dxa"/>
            <w:tcBorders>
              <w:top w:val="nil"/>
              <w:bottom w:val="single" w:sz="4" w:space="0" w:color="auto"/>
            </w:tcBorders>
            <w:shd w:val="clear" w:color="auto" w:fill="8AB23E"/>
            <w:noWrap/>
            <w:vAlign w:val="center"/>
            <w:hideMark/>
          </w:tcPr>
          <w:p w14:paraId="59DAC5E1" w14:textId="77777777" w:rsidR="003D70BA" w:rsidRPr="00AE12C0" w:rsidRDefault="003D70BA" w:rsidP="003D70BA">
            <w:pPr>
              <w:jc w:val="center"/>
              <w:rPr>
                <w:rFonts w:eastAsia="Times New Roman"/>
                <w:color w:val="FFFFFF" w:themeColor="background1"/>
                <w:sz w:val="22"/>
                <w:szCs w:val="22"/>
                <w:lang w:eastAsia="en-GB"/>
              </w:rPr>
            </w:pPr>
            <w:r w:rsidRPr="00AE12C0">
              <w:rPr>
                <w:rFonts w:eastAsia="Times New Roman"/>
                <w:color w:val="FFFFFF" w:themeColor="background1"/>
                <w:sz w:val="22"/>
                <w:szCs w:val="22"/>
                <w:lang w:eastAsia="en-GB"/>
              </w:rPr>
              <w:t>2</w:t>
            </w:r>
          </w:p>
        </w:tc>
        <w:tc>
          <w:tcPr>
            <w:tcW w:w="1551" w:type="dxa"/>
            <w:tcBorders>
              <w:top w:val="nil"/>
              <w:bottom w:val="single" w:sz="4" w:space="0" w:color="auto"/>
            </w:tcBorders>
            <w:shd w:val="clear" w:color="auto" w:fill="auto"/>
            <w:noWrap/>
            <w:vAlign w:val="center"/>
            <w:hideMark/>
          </w:tcPr>
          <w:p w14:paraId="38E61F82" w14:textId="77777777"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1</w:t>
            </w:r>
          </w:p>
        </w:tc>
        <w:tc>
          <w:tcPr>
            <w:tcW w:w="1323" w:type="dxa"/>
            <w:tcBorders>
              <w:top w:val="nil"/>
              <w:bottom w:val="single" w:sz="4" w:space="0" w:color="auto"/>
            </w:tcBorders>
            <w:shd w:val="clear" w:color="auto" w:fill="auto"/>
            <w:noWrap/>
            <w:vAlign w:val="center"/>
            <w:hideMark/>
          </w:tcPr>
          <w:p w14:paraId="6F537EBD" w14:textId="77777777"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0</w:t>
            </w:r>
          </w:p>
        </w:tc>
      </w:tr>
      <w:tr w:rsidR="003D70BA" w:rsidRPr="00380274" w14:paraId="2D957498" w14:textId="77777777" w:rsidTr="00D261B2">
        <w:trPr>
          <w:trHeight w:val="255"/>
        </w:trPr>
        <w:tc>
          <w:tcPr>
            <w:tcW w:w="2886" w:type="dxa"/>
            <w:gridSpan w:val="2"/>
            <w:tcBorders>
              <w:top w:val="nil"/>
              <w:bottom w:val="single" w:sz="4" w:space="0" w:color="auto"/>
            </w:tcBorders>
            <w:shd w:val="clear" w:color="auto" w:fill="auto"/>
            <w:noWrap/>
            <w:vAlign w:val="bottom"/>
            <w:hideMark/>
          </w:tcPr>
          <w:p w14:paraId="18DD977A" w14:textId="4EB292C5" w:rsidR="003D70BA" w:rsidRPr="00380274" w:rsidRDefault="003D70BA" w:rsidP="00D261B2">
            <w:pPr>
              <w:rPr>
                <w:rFonts w:eastAsia="Times New Roman"/>
                <w:color w:val="000000"/>
                <w:sz w:val="22"/>
                <w:szCs w:val="22"/>
                <w:lang w:eastAsia="en-GB"/>
              </w:rPr>
            </w:pPr>
            <w:r w:rsidRPr="00380274">
              <w:rPr>
                <w:rFonts w:eastAsia="Times New Roman"/>
                <w:color w:val="000000"/>
                <w:sz w:val="22"/>
                <w:szCs w:val="22"/>
                <w:lang w:eastAsia="en-GB"/>
              </w:rPr>
              <w:t>Total</w:t>
            </w:r>
          </w:p>
        </w:tc>
        <w:tc>
          <w:tcPr>
            <w:tcW w:w="1398" w:type="dxa"/>
            <w:tcBorders>
              <w:top w:val="nil"/>
              <w:bottom w:val="single" w:sz="4" w:space="0" w:color="auto"/>
            </w:tcBorders>
            <w:shd w:val="clear" w:color="auto" w:fill="auto"/>
            <w:noWrap/>
            <w:vAlign w:val="center"/>
            <w:hideMark/>
          </w:tcPr>
          <w:p w14:paraId="0808D0BB" w14:textId="77777777"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19</w:t>
            </w:r>
          </w:p>
        </w:tc>
        <w:tc>
          <w:tcPr>
            <w:tcW w:w="1469" w:type="dxa"/>
            <w:tcBorders>
              <w:top w:val="nil"/>
              <w:bottom w:val="single" w:sz="4" w:space="0" w:color="auto"/>
            </w:tcBorders>
            <w:shd w:val="clear" w:color="auto" w:fill="auto"/>
            <w:noWrap/>
            <w:vAlign w:val="center"/>
            <w:hideMark/>
          </w:tcPr>
          <w:p w14:paraId="553C4C41" w14:textId="77777777"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2</w:t>
            </w:r>
          </w:p>
        </w:tc>
        <w:tc>
          <w:tcPr>
            <w:tcW w:w="776" w:type="dxa"/>
            <w:tcBorders>
              <w:top w:val="nil"/>
              <w:bottom w:val="single" w:sz="4" w:space="0" w:color="auto"/>
            </w:tcBorders>
            <w:shd w:val="clear" w:color="auto" w:fill="auto"/>
            <w:noWrap/>
            <w:vAlign w:val="center"/>
            <w:hideMark/>
          </w:tcPr>
          <w:p w14:paraId="05464DE8" w14:textId="76599AD0" w:rsidR="003D70BA" w:rsidRPr="00380274" w:rsidRDefault="00135AC0" w:rsidP="003D70BA">
            <w:pPr>
              <w:jc w:val="center"/>
              <w:rPr>
                <w:rFonts w:eastAsia="Times New Roman"/>
                <w:color w:val="000000"/>
                <w:sz w:val="22"/>
                <w:szCs w:val="22"/>
                <w:lang w:eastAsia="en-GB"/>
              </w:rPr>
            </w:pPr>
            <w:r w:rsidRPr="00380274">
              <w:rPr>
                <w:rFonts w:eastAsia="Times New Roman"/>
                <w:color w:val="000000"/>
                <w:sz w:val="22"/>
                <w:szCs w:val="22"/>
                <w:lang w:eastAsia="en-GB"/>
              </w:rPr>
              <w:t>10</w:t>
            </w:r>
          </w:p>
        </w:tc>
        <w:tc>
          <w:tcPr>
            <w:tcW w:w="1551" w:type="dxa"/>
            <w:tcBorders>
              <w:top w:val="nil"/>
              <w:bottom w:val="single" w:sz="4" w:space="0" w:color="auto"/>
            </w:tcBorders>
            <w:shd w:val="clear" w:color="auto" w:fill="auto"/>
            <w:noWrap/>
            <w:vAlign w:val="center"/>
            <w:hideMark/>
          </w:tcPr>
          <w:p w14:paraId="75276D28" w14:textId="77777777"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6</w:t>
            </w:r>
          </w:p>
        </w:tc>
        <w:tc>
          <w:tcPr>
            <w:tcW w:w="1323" w:type="dxa"/>
            <w:tcBorders>
              <w:top w:val="nil"/>
              <w:bottom w:val="single" w:sz="4" w:space="0" w:color="auto"/>
            </w:tcBorders>
            <w:shd w:val="clear" w:color="auto" w:fill="auto"/>
            <w:noWrap/>
            <w:vAlign w:val="center"/>
            <w:hideMark/>
          </w:tcPr>
          <w:p w14:paraId="04939A5C" w14:textId="77777777" w:rsidR="003D70BA" w:rsidRPr="00380274" w:rsidRDefault="003D70BA" w:rsidP="003D70BA">
            <w:pPr>
              <w:jc w:val="center"/>
              <w:rPr>
                <w:rFonts w:eastAsia="Times New Roman"/>
                <w:color w:val="000000"/>
                <w:sz w:val="22"/>
                <w:szCs w:val="22"/>
                <w:lang w:eastAsia="en-GB"/>
              </w:rPr>
            </w:pPr>
            <w:r w:rsidRPr="00380274">
              <w:rPr>
                <w:rFonts w:eastAsia="Times New Roman"/>
                <w:color w:val="000000"/>
                <w:sz w:val="22"/>
                <w:szCs w:val="22"/>
                <w:lang w:eastAsia="en-GB"/>
              </w:rPr>
              <w:t>1</w:t>
            </w:r>
          </w:p>
        </w:tc>
      </w:tr>
    </w:tbl>
    <w:tbl>
      <w:tblPr>
        <w:tblStyle w:val="TableGrid"/>
        <w:tblW w:w="9421" w:type="dxa"/>
        <w:tblInd w:w="5" w:type="dxa"/>
        <w:tblLook w:val="04A0" w:firstRow="1" w:lastRow="0" w:firstColumn="1" w:lastColumn="0" w:noHBand="0" w:noVBand="1"/>
      </w:tblPr>
      <w:tblGrid>
        <w:gridCol w:w="1643"/>
        <w:gridCol w:w="1358"/>
        <w:gridCol w:w="1291"/>
        <w:gridCol w:w="1397"/>
        <w:gridCol w:w="850"/>
        <w:gridCol w:w="1559"/>
        <w:gridCol w:w="1323"/>
      </w:tblGrid>
      <w:tr w:rsidR="003D70BA" w:rsidRPr="00380274" w14:paraId="059D9A2F" w14:textId="77777777" w:rsidTr="003D70BA">
        <w:trPr>
          <w:trHeight w:val="118"/>
        </w:trPr>
        <w:tc>
          <w:tcPr>
            <w:tcW w:w="1643" w:type="dxa"/>
            <w:tcBorders>
              <w:top w:val="nil"/>
              <w:left w:val="nil"/>
              <w:bottom w:val="single" w:sz="4" w:space="0" w:color="auto"/>
              <w:right w:val="nil"/>
            </w:tcBorders>
            <w:noWrap/>
            <w:vAlign w:val="center"/>
          </w:tcPr>
          <w:p w14:paraId="505D1833" w14:textId="77777777" w:rsidR="003D70BA" w:rsidRPr="00380274" w:rsidRDefault="003D70BA" w:rsidP="00A204F3">
            <w:pPr>
              <w:rPr>
                <w:sz w:val="8"/>
                <w:szCs w:val="8"/>
              </w:rPr>
            </w:pPr>
          </w:p>
        </w:tc>
        <w:tc>
          <w:tcPr>
            <w:tcW w:w="1358" w:type="dxa"/>
            <w:tcBorders>
              <w:top w:val="nil"/>
              <w:left w:val="nil"/>
              <w:bottom w:val="nil"/>
              <w:right w:val="nil"/>
            </w:tcBorders>
            <w:vAlign w:val="center"/>
          </w:tcPr>
          <w:p w14:paraId="1E76473A" w14:textId="77777777" w:rsidR="003D70BA" w:rsidRPr="00380274" w:rsidRDefault="003D70BA" w:rsidP="00A204F3">
            <w:pPr>
              <w:jc w:val="center"/>
              <w:rPr>
                <w:sz w:val="8"/>
                <w:szCs w:val="8"/>
              </w:rPr>
            </w:pPr>
          </w:p>
        </w:tc>
        <w:tc>
          <w:tcPr>
            <w:tcW w:w="1291" w:type="dxa"/>
            <w:tcBorders>
              <w:top w:val="nil"/>
              <w:left w:val="nil"/>
              <w:bottom w:val="nil"/>
              <w:right w:val="nil"/>
            </w:tcBorders>
            <w:noWrap/>
            <w:vAlign w:val="center"/>
          </w:tcPr>
          <w:p w14:paraId="3A9748B9" w14:textId="77777777" w:rsidR="003D70BA" w:rsidRPr="00380274" w:rsidRDefault="003D70BA" w:rsidP="00A204F3">
            <w:pPr>
              <w:jc w:val="center"/>
              <w:rPr>
                <w:sz w:val="8"/>
                <w:szCs w:val="8"/>
              </w:rPr>
            </w:pPr>
          </w:p>
        </w:tc>
        <w:tc>
          <w:tcPr>
            <w:tcW w:w="1397" w:type="dxa"/>
            <w:tcBorders>
              <w:top w:val="nil"/>
              <w:left w:val="nil"/>
              <w:bottom w:val="nil"/>
              <w:right w:val="nil"/>
            </w:tcBorders>
            <w:noWrap/>
            <w:vAlign w:val="center"/>
          </w:tcPr>
          <w:p w14:paraId="58CDB414" w14:textId="77777777" w:rsidR="003D70BA" w:rsidRPr="00380274" w:rsidRDefault="003D70BA" w:rsidP="00A204F3">
            <w:pPr>
              <w:jc w:val="center"/>
              <w:rPr>
                <w:sz w:val="8"/>
                <w:szCs w:val="8"/>
              </w:rPr>
            </w:pPr>
          </w:p>
        </w:tc>
        <w:tc>
          <w:tcPr>
            <w:tcW w:w="850" w:type="dxa"/>
            <w:tcBorders>
              <w:top w:val="nil"/>
              <w:left w:val="nil"/>
              <w:bottom w:val="nil"/>
              <w:right w:val="nil"/>
            </w:tcBorders>
            <w:noWrap/>
            <w:vAlign w:val="center"/>
          </w:tcPr>
          <w:p w14:paraId="6682390E" w14:textId="77777777" w:rsidR="003D70BA" w:rsidRPr="00380274" w:rsidRDefault="003D70BA" w:rsidP="00A204F3">
            <w:pPr>
              <w:jc w:val="center"/>
              <w:rPr>
                <w:sz w:val="8"/>
                <w:szCs w:val="8"/>
              </w:rPr>
            </w:pPr>
          </w:p>
        </w:tc>
        <w:tc>
          <w:tcPr>
            <w:tcW w:w="1559" w:type="dxa"/>
            <w:tcBorders>
              <w:top w:val="nil"/>
              <w:left w:val="nil"/>
              <w:bottom w:val="nil"/>
              <w:right w:val="nil"/>
            </w:tcBorders>
            <w:noWrap/>
            <w:vAlign w:val="center"/>
          </w:tcPr>
          <w:p w14:paraId="2CD3CD77" w14:textId="77777777" w:rsidR="003D70BA" w:rsidRPr="00380274" w:rsidRDefault="003D70BA" w:rsidP="00A204F3">
            <w:pPr>
              <w:jc w:val="center"/>
              <w:rPr>
                <w:sz w:val="8"/>
                <w:szCs w:val="8"/>
              </w:rPr>
            </w:pPr>
          </w:p>
        </w:tc>
        <w:tc>
          <w:tcPr>
            <w:tcW w:w="1323" w:type="dxa"/>
            <w:tcBorders>
              <w:top w:val="nil"/>
              <w:left w:val="nil"/>
              <w:bottom w:val="nil"/>
              <w:right w:val="nil"/>
            </w:tcBorders>
            <w:noWrap/>
            <w:vAlign w:val="center"/>
          </w:tcPr>
          <w:p w14:paraId="547E1FFA" w14:textId="77777777" w:rsidR="003D70BA" w:rsidRPr="00380274" w:rsidRDefault="003D70BA" w:rsidP="00A204F3">
            <w:pPr>
              <w:jc w:val="center"/>
              <w:rPr>
                <w:sz w:val="8"/>
                <w:szCs w:val="8"/>
              </w:rPr>
            </w:pPr>
          </w:p>
        </w:tc>
      </w:tr>
      <w:tr w:rsidR="003D70BA" w:rsidRPr="00380274" w14:paraId="4CD7678B" w14:textId="77777777" w:rsidTr="00E15ACE">
        <w:trPr>
          <w:trHeight w:val="115"/>
        </w:trPr>
        <w:tc>
          <w:tcPr>
            <w:tcW w:w="1643" w:type="dxa"/>
            <w:tcBorders>
              <w:top w:val="single" w:sz="4" w:space="0" w:color="auto"/>
              <w:bottom w:val="single" w:sz="4" w:space="0" w:color="auto"/>
              <w:right w:val="single" w:sz="4" w:space="0" w:color="auto"/>
            </w:tcBorders>
            <w:shd w:val="clear" w:color="auto" w:fill="8AB23E"/>
            <w:noWrap/>
            <w:vAlign w:val="center"/>
          </w:tcPr>
          <w:p w14:paraId="0A30A0D2" w14:textId="77777777" w:rsidR="003D70BA" w:rsidRPr="00380274" w:rsidRDefault="003D70BA" w:rsidP="00A204F3">
            <w:pPr>
              <w:rPr>
                <w:sz w:val="22"/>
                <w:szCs w:val="22"/>
              </w:rPr>
            </w:pPr>
          </w:p>
        </w:tc>
        <w:tc>
          <w:tcPr>
            <w:tcW w:w="7778" w:type="dxa"/>
            <w:gridSpan w:val="6"/>
            <w:tcBorders>
              <w:top w:val="nil"/>
              <w:left w:val="single" w:sz="4" w:space="0" w:color="auto"/>
              <w:bottom w:val="nil"/>
              <w:right w:val="nil"/>
            </w:tcBorders>
            <w:vAlign w:val="center"/>
          </w:tcPr>
          <w:p w14:paraId="06963E0F" w14:textId="1A9F1845" w:rsidR="003D70BA" w:rsidRPr="00380274" w:rsidRDefault="003D70BA" w:rsidP="00A204F3">
            <w:pPr>
              <w:rPr>
                <w:sz w:val="22"/>
                <w:szCs w:val="22"/>
              </w:rPr>
            </w:pPr>
            <w:r w:rsidRPr="00380274">
              <w:rPr>
                <w:sz w:val="22"/>
                <w:szCs w:val="22"/>
              </w:rPr>
              <w:t>Improved to good or outstanding</w:t>
            </w:r>
          </w:p>
        </w:tc>
      </w:tr>
      <w:tr w:rsidR="003D70BA" w:rsidRPr="00380274" w14:paraId="770A1142" w14:textId="77777777" w:rsidTr="00E15ACE">
        <w:trPr>
          <w:trHeight w:val="226"/>
        </w:trPr>
        <w:tc>
          <w:tcPr>
            <w:tcW w:w="1643" w:type="dxa"/>
            <w:tcBorders>
              <w:top w:val="single" w:sz="4" w:space="0" w:color="auto"/>
              <w:left w:val="single" w:sz="4" w:space="0" w:color="auto"/>
              <w:bottom w:val="single" w:sz="4" w:space="0" w:color="auto"/>
              <w:right w:val="single" w:sz="4" w:space="0" w:color="auto"/>
            </w:tcBorders>
            <w:shd w:val="clear" w:color="auto" w:fill="604A7B"/>
            <w:noWrap/>
            <w:vAlign w:val="center"/>
          </w:tcPr>
          <w:p w14:paraId="7EAC0BC5" w14:textId="77777777" w:rsidR="003D70BA" w:rsidRPr="00380274" w:rsidRDefault="003D70BA" w:rsidP="00A204F3">
            <w:pPr>
              <w:rPr>
                <w:sz w:val="22"/>
                <w:szCs w:val="22"/>
              </w:rPr>
            </w:pPr>
          </w:p>
        </w:tc>
        <w:tc>
          <w:tcPr>
            <w:tcW w:w="7778" w:type="dxa"/>
            <w:gridSpan w:val="6"/>
            <w:tcBorders>
              <w:top w:val="nil"/>
              <w:left w:val="single" w:sz="4" w:space="0" w:color="auto"/>
              <w:bottom w:val="nil"/>
              <w:right w:val="nil"/>
            </w:tcBorders>
            <w:vAlign w:val="center"/>
          </w:tcPr>
          <w:p w14:paraId="294C8153" w14:textId="77777777" w:rsidR="003D70BA" w:rsidRPr="00380274" w:rsidRDefault="003D70BA" w:rsidP="00A204F3">
            <w:pPr>
              <w:rPr>
                <w:sz w:val="22"/>
                <w:szCs w:val="22"/>
              </w:rPr>
            </w:pPr>
            <w:r w:rsidRPr="00380274">
              <w:rPr>
                <w:sz w:val="22"/>
                <w:szCs w:val="22"/>
              </w:rPr>
              <w:t>Declined to requires improvement or inadequate</w:t>
            </w:r>
          </w:p>
        </w:tc>
      </w:tr>
      <w:tr w:rsidR="00B46D5A" w:rsidRPr="00380274" w14:paraId="6900B4B3" w14:textId="77777777" w:rsidTr="005F2B53">
        <w:trPr>
          <w:trHeight w:val="617"/>
        </w:trPr>
        <w:tc>
          <w:tcPr>
            <w:tcW w:w="9421" w:type="dxa"/>
            <w:gridSpan w:val="7"/>
            <w:tcBorders>
              <w:top w:val="nil"/>
              <w:left w:val="nil"/>
              <w:bottom w:val="nil"/>
              <w:right w:val="nil"/>
            </w:tcBorders>
            <w:shd w:val="clear" w:color="auto" w:fill="auto"/>
            <w:noWrap/>
            <w:vAlign w:val="center"/>
          </w:tcPr>
          <w:p w14:paraId="2300992A" w14:textId="41E01D96" w:rsidR="00B46D5A" w:rsidRPr="00380274" w:rsidRDefault="00B46D5A" w:rsidP="00A204F3">
            <w:pPr>
              <w:pStyle w:val="ListParagraph"/>
              <w:numPr>
                <w:ilvl w:val="0"/>
                <w:numId w:val="29"/>
              </w:numPr>
              <w:rPr>
                <w:sz w:val="16"/>
                <w:szCs w:val="16"/>
              </w:rPr>
            </w:pPr>
            <w:r w:rsidRPr="00380274">
              <w:rPr>
                <w:sz w:val="16"/>
                <w:szCs w:val="16"/>
              </w:rPr>
              <w:t>Includes the overall effectiveness judgement from full inspections and those that remained good after a short inspection that did not convert.</w:t>
            </w:r>
          </w:p>
        </w:tc>
      </w:tr>
    </w:tbl>
    <w:p w14:paraId="3DD502D4" w14:textId="77777777" w:rsidR="005F2B53" w:rsidRPr="00380274" w:rsidRDefault="005F2B53" w:rsidP="001D642F"/>
    <w:p w14:paraId="79C12D41" w14:textId="467CB3B0" w:rsidR="0093552C" w:rsidRPr="00380274" w:rsidRDefault="005F2B53" w:rsidP="001D642F">
      <w:r w:rsidRPr="00380274">
        <w:lastRenderedPageBreak/>
        <w:t>T</w:t>
      </w:r>
      <w:r w:rsidR="001D642F" w:rsidRPr="00380274">
        <w:t>he percentage judged good or outstanding declin</w:t>
      </w:r>
      <w:r w:rsidRPr="00380274">
        <w:t>ed</w:t>
      </w:r>
      <w:r w:rsidR="001D642F" w:rsidRPr="00380274">
        <w:t xml:space="preserve"> for the first time in three years</w:t>
      </w:r>
      <w:r w:rsidR="00384F1B" w:rsidRPr="00380274">
        <w:t>,</w:t>
      </w:r>
      <w:r w:rsidR="001D642F" w:rsidRPr="00380274">
        <w:t xml:space="preserve"> by </w:t>
      </w:r>
      <w:r w:rsidR="0020351F" w:rsidRPr="00380274">
        <w:t>four percentage points</w:t>
      </w:r>
      <w:r w:rsidR="007F57AC" w:rsidRPr="00380274">
        <w:t>;</w:t>
      </w:r>
      <w:r w:rsidRPr="00380274">
        <w:t xml:space="preserve"> </w:t>
      </w:r>
      <w:r w:rsidR="007F57AC" w:rsidRPr="00380274">
        <w:t>f</w:t>
      </w:r>
      <w:r w:rsidR="001D642F" w:rsidRPr="00380274">
        <w:t>rom 89% as at 31 August 2016, to 84% as at 28 February 2017</w:t>
      </w:r>
      <w:r w:rsidR="00B84BDA" w:rsidRPr="00380274">
        <w:t xml:space="preserve"> (see Figure 1)</w:t>
      </w:r>
      <w:r w:rsidR="001D642F" w:rsidRPr="00380274">
        <w:t xml:space="preserve">. </w:t>
      </w:r>
    </w:p>
    <w:p w14:paraId="329E5CF3" w14:textId="77777777" w:rsidR="00033091" w:rsidRPr="00380274" w:rsidRDefault="00033091" w:rsidP="00884D82">
      <w:pPr>
        <w:pStyle w:val="Heading1"/>
        <w:spacing w:before="0"/>
        <w:rPr>
          <w:rFonts w:ascii="Tahoma" w:hAnsi="Tahoma" w:cs="Tahoma"/>
          <w:b/>
          <w:color w:val="auto"/>
          <w:sz w:val="24"/>
          <w:szCs w:val="24"/>
        </w:rPr>
      </w:pPr>
    </w:p>
    <w:p w14:paraId="0618FE5F" w14:textId="77777777" w:rsidR="005F2B53" w:rsidRPr="00380274" w:rsidRDefault="005F2B53" w:rsidP="005F2B53"/>
    <w:p w14:paraId="2D217756" w14:textId="77777777" w:rsidR="00884D82" w:rsidRPr="00380274" w:rsidRDefault="00884D82" w:rsidP="004E0341">
      <w:pPr>
        <w:pStyle w:val="Heading2"/>
        <w:rPr>
          <w:rFonts w:ascii="Tahoma" w:hAnsi="Tahoma" w:cs="Tahoma"/>
          <w:b/>
          <w:color w:val="auto"/>
          <w:sz w:val="28"/>
          <w:szCs w:val="28"/>
        </w:rPr>
      </w:pPr>
      <w:bookmarkStart w:id="7" w:name="_Toc485646778"/>
      <w:r w:rsidRPr="00380274">
        <w:rPr>
          <w:rFonts w:ascii="Tahoma" w:hAnsi="Tahoma" w:cs="Tahoma"/>
          <w:b/>
          <w:color w:val="auto"/>
          <w:sz w:val="28"/>
          <w:szCs w:val="28"/>
        </w:rPr>
        <w:t>Independent learning providers (including employer providers)</w:t>
      </w:r>
      <w:bookmarkEnd w:id="7"/>
    </w:p>
    <w:p w14:paraId="77EBEB1E" w14:textId="77777777" w:rsidR="00884D82" w:rsidRPr="00380274" w:rsidRDefault="00884D82"/>
    <w:p w14:paraId="2FFCBBE8" w14:textId="74188187" w:rsidR="00F97E78" w:rsidRPr="00380274" w:rsidRDefault="00411803" w:rsidP="00F97E78">
      <w:r w:rsidRPr="00380274">
        <w:t xml:space="preserve">There were 506 open and funded independent learning providers (including employer providers) as at 28 February 2017. This represents a 6% increase since 31 August </w:t>
      </w:r>
      <w:r w:rsidR="004B73C0" w:rsidRPr="00380274">
        <w:t>2016</w:t>
      </w:r>
      <w:r w:rsidR="00F97E78" w:rsidRPr="00380274">
        <w:t>, when there were 47</w:t>
      </w:r>
      <w:r w:rsidR="008F2147" w:rsidRPr="00380274">
        <w:t>7</w:t>
      </w:r>
      <w:r w:rsidR="00F97E78" w:rsidRPr="00380274">
        <w:t xml:space="preserve"> providers.</w:t>
      </w:r>
    </w:p>
    <w:p w14:paraId="45B26A90" w14:textId="77777777" w:rsidR="00F97E78" w:rsidRPr="00380274" w:rsidRDefault="00F97E78" w:rsidP="008366AC">
      <w:pPr>
        <w:tabs>
          <w:tab w:val="left" w:pos="8931"/>
        </w:tabs>
      </w:pPr>
    </w:p>
    <w:p w14:paraId="07BF6831" w14:textId="7B85D817" w:rsidR="00F97E78" w:rsidRPr="00380274" w:rsidRDefault="00F97E78" w:rsidP="00F97E78">
      <w:r w:rsidRPr="00380274">
        <w:t xml:space="preserve">Breaking </w:t>
      </w:r>
      <w:r w:rsidR="00C81946" w:rsidRPr="00380274">
        <w:t>this</w:t>
      </w:r>
      <w:r w:rsidRPr="00380274">
        <w:t xml:space="preserve"> </w:t>
      </w:r>
      <w:r w:rsidR="00316BD0" w:rsidRPr="00380274">
        <w:t xml:space="preserve">down </w:t>
      </w:r>
      <w:r w:rsidRPr="00380274">
        <w:t>by the two different provider types</w:t>
      </w:r>
      <w:r w:rsidR="00C81946" w:rsidRPr="00380274">
        <w:t xml:space="preserve"> within the group</w:t>
      </w:r>
      <w:r w:rsidRPr="00380274">
        <w:t>:</w:t>
      </w:r>
      <w:r w:rsidR="00A26C30" w:rsidRPr="00380274">
        <w:t xml:space="preserve"> </w:t>
      </w:r>
    </w:p>
    <w:p w14:paraId="4BE20A8D" w14:textId="231CB24A" w:rsidR="00F97E78" w:rsidRPr="00380274" w:rsidRDefault="00F97E78" w:rsidP="00F97E78">
      <w:pPr>
        <w:pStyle w:val="ListParagraph"/>
        <w:numPr>
          <w:ilvl w:val="0"/>
          <w:numId w:val="9"/>
        </w:numPr>
      </w:pPr>
      <w:r w:rsidRPr="00380274">
        <w:t>Independent learning providers – 433 providers as at 28 February 2017, up from 402 as at 31 August 2016</w:t>
      </w:r>
      <w:r w:rsidR="00452E63" w:rsidRPr="00380274">
        <w:t>;</w:t>
      </w:r>
      <w:r w:rsidRPr="00380274">
        <w:t xml:space="preserve"> </w:t>
      </w:r>
      <w:r w:rsidR="00452E63" w:rsidRPr="00380274">
        <w:t>a</w:t>
      </w:r>
      <w:r w:rsidRPr="00380274">
        <w:t>n increase of 8%.</w:t>
      </w:r>
    </w:p>
    <w:p w14:paraId="39BBAA2D" w14:textId="1EF07543" w:rsidR="00F97E78" w:rsidRPr="00380274" w:rsidRDefault="00F97E78" w:rsidP="00F97E78">
      <w:pPr>
        <w:pStyle w:val="ListParagraph"/>
        <w:numPr>
          <w:ilvl w:val="0"/>
          <w:numId w:val="9"/>
        </w:numPr>
      </w:pPr>
      <w:r w:rsidRPr="00380274">
        <w:t>Employer providers – 73 providers as at 28 February, down from 75 as at 31 August 2016</w:t>
      </w:r>
      <w:r w:rsidR="00452E63" w:rsidRPr="00380274">
        <w:t>; a</w:t>
      </w:r>
      <w:r w:rsidRPr="00380274">
        <w:t xml:space="preserve"> decrease of 3%.</w:t>
      </w:r>
    </w:p>
    <w:p w14:paraId="6C4FB38B" w14:textId="77777777" w:rsidR="00F97E78" w:rsidRPr="00380274" w:rsidRDefault="00F97E78"/>
    <w:p w14:paraId="420BA2CD" w14:textId="2B2F23D5" w:rsidR="004B73C0" w:rsidRPr="00380274" w:rsidRDefault="004B6C7A">
      <w:r w:rsidRPr="00380274">
        <w:t>Th</w:t>
      </w:r>
      <w:r w:rsidR="00452E63" w:rsidRPr="00380274">
        <w:t>e</w:t>
      </w:r>
      <w:r w:rsidR="00A26C30" w:rsidRPr="00380274">
        <w:t xml:space="preserve"> increase </w:t>
      </w:r>
      <w:r w:rsidRPr="00380274">
        <w:t xml:space="preserve">was </w:t>
      </w:r>
      <w:r w:rsidR="005F3C51" w:rsidRPr="00380274">
        <w:t xml:space="preserve">mainly </w:t>
      </w:r>
      <w:r w:rsidR="00B359C4" w:rsidRPr="00380274">
        <w:t xml:space="preserve">as </w:t>
      </w:r>
      <w:r w:rsidRPr="00380274">
        <w:t>a result of</w:t>
      </w:r>
      <w:r w:rsidR="00A26C30" w:rsidRPr="00380274">
        <w:t xml:space="preserve"> </w:t>
      </w:r>
      <w:r w:rsidR="00626F2D" w:rsidRPr="00380274">
        <w:t>‘</w:t>
      </w:r>
      <w:r w:rsidR="00F90614" w:rsidRPr="00380274">
        <w:t>adult lo</w:t>
      </w:r>
      <w:r w:rsidR="001D488A" w:rsidRPr="00380274">
        <w:t>a</w:t>
      </w:r>
      <w:r w:rsidR="00F90614" w:rsidRPr="00380274">
        <w:t>ns only</w:t>
      </w:r>
      <w:r w:rsidR="00626F2D" w:rsidRPr="00380274">
        <w:t>’</w:t>
      </w:r>
      <w:r w:rsidR="00F90614" w:rsidRPr="00380274">
        <w:t xml:space="preserve"> funded providers being included in scope</w:t>
      </w:r>
      <w:r w:rsidR="00A26C30" w:rsidRPr="00380274">
        <w:t xml:space="preserve"> for </w:t>
      </w:r>
      <w:r w:rsidRPr="00380274">
        <w:t xml:space="preserve">Ofsted </w:t>
      </w:r>
      <w:r w:rsidR="00A26C30" w:rsidRPr="00380274">
        <w:t>inspections from September 2016.</w:t>
      </w:r>
      <w:r w:rsidR="00A16D3D" w:rsidRPr="00380274">
        <w:t xml:space="preserve"> This large increase over a small period of time </w:t>
      </w:r>
      <w:r w:rsidR="00917A7C" w:rsidRPr="00380274">
        <w:t>meant</w:t>
      </w:r>
      <w:r w:rsidR="004629F3" w:rsidRPr="00380274">
        <w:t xml:space="preserve"> that a fifth of </w:t>
      </w:r>
      <w:r w:rsidR="00A26C30" w:rsidRPr="00380274">
        <w:t xml:space="preserve">independent learning providers (including employer providers) </w:t>
      </w:r>
      <w:r w:rsidR="00626F2D" w:rsidRPr="00380274">
        <w:t xml:space="preserve">were </w:t>
      </w:r>
      <w:r w:rsidR="00A16D3D" w:rsidRPr="00380274">
        <w:t xml:space="preserve">yet </w:t>
      </w:r>
      <w:r w:rsidR="00F90614" w:rsidRPr="00380274">
        <w:t>to receive their first inspection</w:t>
      </w:r>
      <w:r w:rsidR="00626F2D" w:rsidRPr="00380274">
        <w:t xml:space="preserve"> as at 28 February 2017</w:t>
      </w:r>
      <w:r w:rsidR="00F90614" w:rsidRPr="00380274">
        <w:t>.</w:t>
      </w:r>
    </w:p>
    <w:p w14:paraId="50A28DB1" w14:textId="77777777" w:rsidR="006C5E68" w:rsidRPr="00380274" w:rsidRDefault="006C5E68"/>
    <w:p w14:paraId="188CEABC" w14:textId="77777777" w:rsidR="001F347F" w:rsidRPr="00380274" w:rsidRDefault="00D72C57">
      <w:r w:rsidRPr="00380274">
        <w:t xml:space="preserve">Between 1 September 2016 and 28 February 2017, </w:t>
      </w:r>
      <w:r w:rsidR="00212F68" w:rsidRPr="00380274">
        <w:t>70</w:t>
      </w:r>
      <w:r w:rsidRPr="00380274">
        <w:t xml:space="preserve"> </w:t>
      </w:r>
      <w:r w:rsidR="00D05DBE" w:rsidRPr="00380274">
        <w:t xml:space="preserve">independent learning providers (including employer providers) </w:t>
      </w:r>
      <w:r w:rsidRPr="00380274">
        <w:t>were inspected. There were 5</w:t>
      </w:r>
      <w:r w:rsidR="00212F68" w:rsidRPr="00380274">
        <w:t>5</w:t>
      </w:r>
      <w:r w:rsidRPr="00380274">
        <w:t xml:space="preserve"> full inspections and 15 short inspections. The proportion of providers judged to be good or outstanding was </w:t>
      </w:r>
      <w:r w:rsidR="00212F68" w:rsidRPr="00380274">
        <w:t>57</w:t>
      </w:r>
      <w:r w:rsidRPr="00380274">
        <w:t>%, 16 percentage points lower than for 2015/16.</w:t>
      </w:r>
      <w:r w:rsidR="005C0255" w:rsidRPr="00380274">
        <w:t xml:space="preserve"> </w:t>
      </w:r>
    </w:p>
    <w:p w14:paraId="7265F95D" w14:textId="77777777" w:rsidR="001F347F" w:rsidRPr="00380274" w:rsidRDefault="001F347F"/>
    <w:p w14:paraId="512752C7" w14:textId="2C0703DA" w:rsidR="00EF2D60" w:rsidRPr="00380274" w:rsidRDefault="00F90614">
      <w:r w:rsidRPr="00380274">
        <w:t>A</w:t>
      </w:r>
      <w:r w:rsidR="005C0255" w:rsidRPr="00380274">
        <w:t xml:space="preserve"> higher proportion of previously good providers that were risk assessed for a full inspection declin</w:t>
      </w:r>
      <w:r w:rsidR="001F347F" w:rsidRPr="00380274">
        <w:t>ed</w:t>
      </w:r>
      <w:r w:rsidR="005C0255" w:rsidRPr="00380274">
        <w:t xml:space="preserve"> this year</w:t>
      </w:r>
      <w:r w:rsidR="00033091" w:rsidRPr="00380274">
        <w:t xml:space="preserve"> when compared </w:t>
      </w:r>
      <w:r w:rsidR="00316BD0" w:rsidRPr="00380274">
        <w:t>with</w:t>
      </w:r>
      <w:r w:rsidR="00033091" w:rsidRPr="00380274">
        <w:t xml:space="preserve"> last year</w:t>
      </w:r>
      <w:r w:rsidR="005C0255" w:rsidRPr="00380274">
        <w:t xml:space="preserve">.  </w:t>
      </w:r>
    </w:p>
    <w:p w14:paraId="217D49F4" w14:textId="5DAEF041" w:rsidR="001B0E43" w:rsidRPr="00380274" w:rsidRDefault="00420DAE" w:rsidP="005C0255">
      <w:pPr>
        <w:rPr>
          <w:b/>
        </w:rPr>
      </w:pPr>
      <w:r w:rsidRPr="00380274">
        <w:rPr>
          <w:bCs/>
          <w:noProof/>
          <w:lang w:eastAsia="en-GB"/>
        </w:rPr>
        <mc:AlternateContent>
          <mc:Choice Requires="wps">
            <w:drawing>
              <wp:anchor distT="0" distB="0" distL="114300" distR="114300" simplePos="0" relativeHeight="251687936" behindDoc="0" locked="0" layoutInCell="1" allowOverlap="1" wp14:anchorId="490F98C6" wp14:editId="185E3C4C">
                <wp:simplePos x="0" y="0"/>
                <wp:positionH relativeFrom="margin">
                  <wp:posOffset>-81915</wp:posOffset>
                </wp:positionH>
                <wp:positionV relativeFrom="paragraph">
                  <wp:posOffset>201930</wp:posOffset>
                </wp:positionV>
                <wp:extent cx="6305550" cy="2514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6305550" cy="2514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2631E" id="Rectangle 25" o:spid="_x0000_s1026" style="position:absolute;margin-left:-6.45pt;margin-top:15.9pt;width:496.5pt;height:19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bnAIAAJAFAAAOAAAAZHJzL2Uyb0RvYy54bWysVMFu2zAMvQ/YPwi6r7azuGuDOkXQosOA&#10;og3aDj2rshQbkEVNUuJkXz9Kst2sK3YYloMjiuQj+UTy4nLfKbIT1rWgK1qc5JQIzaFu9aai359u&#10;Pp1R4jzTNVOgRUUPwtHL5ccPF71ZiBk0oGphCYJot+hNRRvvzSLLHG9Ex9wJGKFRKcF2zKNoN1lt&#10;WY/oncpmeX6a9WBrY4EL5/D2OinpMuJLKbi/l9IJT1RFMTcfvzZ+X8I3W16wxcYy07R8SIP9QxYd&#10;azUGnaCumWdka9s/oLqWW3Ag/QmHLgMpWy5iDVhNkb+p5rFhRsRakBxnJprc/4Pld7u1JW1d0VlJ&#10;iWYdvtEDssb0RgmCd0hQb9wC7R7N2g6Sw2Oodi9tF/6xDrKPpB4mUsXeE46Xp5/zsiyRe466WVnM&#10;T/NIe/bqbqzzXwV0JBwqajF+JJPtbp3HkGg6moRoGm5apeLLKU36ip6XmGjQOFBtHZRRCD0krpQl&#10;O4av7/dFKAaxjqxQUhovQ4mpqHjyByUChNIPQiI7WMYsBfgdk3EutC+SqmG1SKHKHH9jsNEjho6A&#10;AVlikhP2ADBaJpARO+U82AdXEdt6cs7/llhynjxiZNB+cu5aDfY9AIVVDZGT/UhSoiaw9AL1AXvH&#10;QhoqZ/hNi+93y5xfM4tThG+Om8Hf40cqwHeC4URJA/bne/fBHpsbtZT0OJUVdT+2zApK1DeNbX9e&#10;zOdhjKMwL7/MULDHmpdjjd52V4BPX+AOMjweg71X41Fa6J5xgaxCVFQxzTF2Rbm3o3Dl07bAFcTF&#10;ahXNcHQN87f60fAAHlgN/fm0f2bWDE3ssf/vYJxgtnjTy8k2eGpYbT3INjb6K68D3zj2sXGGFRX2&#10;yrEcrV4X6fIXAAAA//8DAFBLAwQUAAYACAAAACEAN9xW3d4AAAAKAQAADwAAAGRycy9kb3ducmV2&#10;LnhtbEyPQU7DMBBF90jcwRokNqh1kiJIQ5wKIbEMEoUDuPEQR43Hbuy04fYMK1iO5un/9+vd4kZx&#10;xikOnhTk6wwEUufNQL2Cz4/XVQkiJk1Gj55QwTdG2DXXV7WujL/QO573qRccQrHSCmxKoZIydhad&#10;jmsfkPj35SenE59TL82kLxzuRllk2YN0eiBusDrgi8XuuJ+dgmUuT6d2PjqLm3a8K1J4a0NQ6vZm&#10;eX4CkXBJfzD86rM6NOx08DOZKEYFq7zYMqpgk/MEBrZlloM4KLgvHkuQTS3/T2h+AAAA//8DAFBL&#10;AQItABQABgAIAAAAIQC2gziS/gAAAOEBAAATAAAAAAAAAAAAAAAAAAAAAABbQ29udGVudF9UeXBl&#10;c10ueG1sUEsBAi0AFAAGAAgAAAAhADj9If/WAAAAlAEAAAsAAAAAAAAAAAAAAAAALwEAAF9yZWxz&#10;Ly5yZWxzUEsBAi0AFAAGAAgAAAAhAEsP59ucAgAAkAUAAA4AAAAAAAAAAAAAAAAALgIAAGRycy9l&#10;Mm9Eb2MueG1sUEsBAi0AFAAGAAgAAAAhADfcVt3eAAAACgEAAA8AAAAAAAAAAAAAAAAA9gQAAGRy&#10;cy9kb3ducmV2LnhtbFBLBQYAAAAABAAEAPMAAAABBgAAAAA=&#10;" filled="f" strokecolor="black [3213]">
                <w10:wrap anchorx="margin"/>
              </v:rect>
            </w:pict>
          </mc:Fallback>
        </mc:AlternateContent>
      </w:r>
    </w:p>
    <w:p w14:paraId="1C0E570F" w14:textId="28C9B845" w:rsidR="00420DAE" w:rsidRPr="00380274" w:rsidRDefault="00420DAE" w:rsidP="005C0255">
      <w:pPr>
        <w:rPr>
          <w:b/>
          <w:sz w:val="8"/>
          <w:szCs w:val="8"/>
        </w:rPr>
      </w:pPr>
    </w:p>
    <w:p w14:paraId="3CC8C18C" w14:textId="07584029" w:rsidR="005C0255" w:rsidRPr="00380274" w:rsidRDefault="005C0255" w:rsidP="005C0255">
      <w:pPr>
        <w:rPr>
          <w:b/>
        </w:rPr>
      </w:pPr>
      <w:r w:rsidRPr="00380274">
        <w:rPr>
          <w:b/>
        </w:rPr>
        <w:t xml:space="preserve">Figure </w:t>
      </w:r>
      <w:r w:rsidR="00FE5C38" w:rsidRPr="00380274">
        <w:rPr>
          <w:b/>
        </w:rPr>
        <w:t>7</w:t>
      </w:r>
      <w:r w:rsidRPr="00380274">
        <w:rPr>
          <w:b/>
        </w:rPr>
        <w:t xml:space="preserve">: Proportion of previously good independent learning providers (including employer providers) </w:t>
      </w:r>
      <w:r w:rsidR="001B0E43" w:rsidRPr="00380274">
        <w:rPr>
          <w:b/>
        </w:rPr>
        <w:t xml:space="preserve">risk assessed for a full inspection </w:t>
      </w:r>
      <w:r w:rsidRPr="00380274">
        <w:rPr>
          <w:b/>
        </w:rPr>
        <w:t>that improved, declined or stayed the same at their next full inspection</w:t>
      </w:r>
      <w:r w:rsidR="009A467A" w:rsidRPr="00380274">
        <w:rPr>
          <w:b/>
        </w:rPr>
        <w:t xml:space="preserve"> </w:t>
      </w:r>
    </w:p>
    <w:p w14:paraId="2DFCEF02" w14:textId="7162ABA3" w:rsidR="00C04523" w:rsidRPr="00380274" w:rsidRDefault="00C04523" w:rsidP="00C04523">
      <w:pPr>
        <w:spacing w:before="80"/>
        <w:rPr>
          <w:sz w:val="20"/>
          <w:szCs w:val="20"/>
        </w:rPr>
      </w:pPr>
      <w:r w:rsidRPr="00380274">
        <w:rPr>
          <w:sz w:val="20"/>
          <w:szCs w:val="20"/>
        </w:rPr>
        <w:t>Number of inspections in brackets</w:t>
      </w:r>
    </w:p>
    <w:p w14:paraId="7CB5F478" w14:textId="0F4F0F04" w:rsidR="005C0255" w:rsidRPr="00380274" w:rsidRDefault="005C0255" w:rsidP="005C0255">
      <w:r w:rsidRPr="00380274">
        <w:rPr>
          <w:noProof/>
          <w:lang w:eastAsia="en-GB"/>
        </w:rPr>
        <w:drawing>
          <wp:inline distT="0" distB="0" distL="0" distR="0" wp14:anchorId="57DAC772" wp14:editId="235981EA">
            <wp:extent cx="6146591" cy="1571625"/>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913" t="7304" r="2020" b="7998"/>
                    <a:stretch/>
                  </pic:blipFill>
                  <pic:spPr bwMode="auto">
                    <a:xfrm>
                      <a:off x="0" y="0"/>
                      <a:ext cx="6173727" cy="1578563"/>
                    </a:xfrm>
                    <a:prstGeom prst="rect">
                      <a:avLst/>
                    </a:prstGeom>
                    <a:noFill/>
                    <a:ln>
                      <a:noFill/>
                    </a:ln>
                    <a:extLst>
                      <a:ext uri="{53640926-AAD7-44D8-BBD7-CCE9431645EC}">
                        <a14:shadowObscured xmlns:a14="http://schemas.microsoft.com/office/drawing/2010/main"/>
                      </a:ext>
                    </a:extLst>
                  </pic:spPr>
                </pic:pic>
              </a:graphicData>
            </a:graphic>
          </wp:inline>
        </w:drawing>
      </w:r>
    </w:p>
    <w:p w14:paraId="1FEE2DC8" w14:textId="0F5F0C2E" w:rsidR="001B0E43" w:rsidRPr="00380274" w:rsidRDefault="001B0E43" w:rsidP="001B0E43">
      <w:pPr>
        <w:rPr>
          <w:sz w:val="16"/>
          <w:szCs w:val="16"/>
        </w:rPr>
      </w:pPr>
      <w:r w:rsidRPr="00380274">
        <w:rPr>
          <w:sz w:val="16"/>
          <w:szCs w:val="16"/>
        </w:rPr>
        <w:t xml:space="preserve">1. Percentages are rounded and may not add to 100. </w:t>
      </w:r>
    </w:p>
    <w:p w14:paraId="32143E4E" w14:textId="064E381C" w:rsidR="00420DAE" w:rsidRPr="00380274" w:rsidRDefault="00452E63" w:rsidP="005C0255">
      <w:r w:rsidRPr="00380274">
        <w:lastRenderedPageBreak/>
        <w:t>Twenty</w:t>
      </w:r>
      <w:r w:rsidR="00A350D0" w:rsidRPr="00380274">
        <w:t xml:space="preserve"> </w:t>
      </w:r>
      <w:r w:rsidR="0044763D" w:rsidRPr="00380274">
        <w:t>providers declined to requires improvement or inadequate over the first six months of the year</w:t>
      </w:r>
      <w:r w:rsidR="00523B89" w:rsidRPr="00380274">
        <w:rPr>
          <w:rStyle w:val="FootnoteReference"/>
        </w:rPr>
        <w:footnoteReference w:id="6"/>
      </w:r>
      <w:r w:rsidR="0044763D" w:rsidRPr="00380274">
        <w:t xml:space="preserve">, from both full risk assessed inspections and converted short inspections. This was greater </w:t>
      </w:r>
      <w:r w:rsidR="002F1B36" w:rsidRPr="00380274">
        <w:t xml:space="preserve">than the number that improved to be good or outstanding (12). </w:t>
      </w:r>
    </w:p>
    <w:p w14:paraId="34EFF23A" w14:textId="77777777" w:rsidR="00F3466F" w:rsidRPr="00380274" w:rsidRDefault="00F3466F" w:rsidP="005C0255"/>
    <w:p w14:paraId="30AB22BA" w14:textId="01CB37BB" w:rsidR="0044763D" w:rsidRPr="00380274" w:rsidRDefault="00420DAE" w:rsidP="005C0255">
      <w:r w:rsidRPr="00380274">
        <w:t>Overall t</w:t>
      </w:r>
      <w:r w:rsidR="002F1B36" w:rsidRPr="00380274">
        <w:t xml:space="preserve">his had a </w:t>
      </w:r>
      <w:r w:rsidR="008200D2" w:rsidRPr="00380274">
        <w:t>one percentage point</w:t>
      </w:r>
      <w:r w:rsidR="002F1B36" w:rsidRPr="00380274">
        <w:t xml:space="preserve"> effect on </w:t>
      </w:r>
      <w:r w:rsidR="00316BD0" w:rsidRPr="00380274">
        <w:t xml:space="preserve">the </w:t>
      </w:r>
      <w:r w:rsidR="002F1B36" w:rsidRPr="00380274">
        <w:t xml:space="preserve">proportion of providers judged to be good or outstanding at their most recent inspection, </w:t>
      </w:r>
      <w:r w:rsidR="00452E63" w:rsidRPr="00380274">
        <w:t xml:space="preserve">which </w:t>
      </w:r>
      <w:r w:rsidR="002F1B36" w:rsidRPr="00380274">
        <w:t>declin</w:t>
      </w:r>
      <w:r w:rsidR="00452E63" w:rsidRPr="00380274">
        <w:t>ed</w:t>
      </w:r>
      <w:r w:rsidR="002F1B36" w:rsidRPr="00380274">
        <w:t xml:space="preserve"> from 83%</w:t>
      </w:r>
      <w:r w:rsidR="002F1B36" w:rsidRPr="00380274">
        <w:rPr>
          <w:rStyle w:val="FootnoteReference"/>
        </w:rPr>
        <w:footnoteReference w:id="7"/>
      </w:r>
      <w:r w:rsidR="002F1B36" w:rsidRPr="00380274">
        <w:t xml:space="preserve"> </w:t>
      </w:r>
      <w:r w:rsidR="00917A7C" w:rsidRPr="00380274">
        <w:t xml:space="preserve">as at 31 August 2016 </w:t>
      </w:r>
      <w:r w:rsidR="002F1B36" w:rsidRPr="00380274">
        <w:t>to 82% as at 28 February 2017 (see Figure 1).</w:t>
      </w:r>
      <w:r w:rsidR="00625987" w:rsidRPr="00380274">
        <w:rPr>
          <w:rStyle w:val="FootnoteReference"/>
        </w:rPr>
        <w:footnoteReference w:id="8"/>
      </w:r>
    </w:p>
    <w:p w14:paraId="01035FE4" w14:textId="77777777" w:rsidR="00420DAE" w:rsidRPr="00380274" w:rsidRDefault="00420DAE" w:rsidP="005C0255"/>
    <w:p w14:paraId="798258D5" w14:textId="77777777" w:rsidR="00420DAE" w:rsidRPr="00380274" w:rsidRDefault="00420DAE" w:rsidP="005C0255"/>
    <w:p w14:paraId="1DEACA8C" w14:textId="77777777" w:rsidR="00884D82" w:rsidRPr="00380274" w:rsidRDefault="00884D82" w:rsidP="004E0341">
      <w:pPr>
        <w:pStyle w:val="Heading2"/>
        <w:rPr>
          <w:rFonts w:ascii="Tahoma" w:hAnsi="Tahoma" w:cs="Tahoma"/>
          <w:b/>
          <w:color w:val="auto"/>
          <w:sz w:val="28"/>
          <w:szCs w:val="28"/>
        </w:rPr>
      </w:pPr>
      <w:bookmarkStart w:id="8" w:name="_Toc485646779"/>
      <w:r w:rsidRPr="00380274">
        <w:rPr>
          <w:rFonts w:ascii="Tahoma" w:hAnsi="Tahoma" w:cs="Tahoma"/>
          <w:b/>
          <w:color w:val="auto"/>
          <w:sz w:val="28"/>
          <w:szCs w:val="28"/>
        </w:rPr>
        <w:t>Community learning and skills providers</w:t>
      </w:r>
      <w:bookmarkEnd w:id="8"/>
    </w:p>
    <w:p w14:paraId="53690E16" w14:textId="77777777" w:rsidR="00884D82" w:rsidRPr="00380274" w:rsidRDefault="00884D82"/>
    <w:p w14:paraId="33D16694" w14:textId="0BDCFEBF" w:rsidR="00A2634E" w:rsidRPr="00380274" w:rsidRDefault="00A2634E" w:rsidP="00A2634E">
      <w:r w:rsidRPr="00380274">
        <w:t>As at 28 February 2017 there were 228 community learning and skills providers. This represents a 3% decrease since 31 August 2016, when there were 235 providers.</w:t>
      </w:r>
      <w:r w:rsidR="000F07B5" w:rsidRPr="00380274">
        <w:t xml:space="preserve"> </w:t>
      </w:r>
    </w:p>
    <w:p w14:paraId="03591B4E" w14:textId="77777777" w:rsidR="00A2634E" w:rsidRPr="00380274" w:rsidRDefault="00A2634E" w:rsidP="00A2634E"/>
    <w:p w14:paraId="0C792328" w14:textId="7485C3F4" w:rsidR="00A2634E" w:rsidRPr="00380274" w:rsidRDefault="00A2634E" w:rsidP="00A2634E">
      <w:r w:rsidRPr="00380274">
        <w:t xml:space="preserve">Breaking this </w:t>
      </w:r>
      <w:r w:rsidR="00C34BDC" w:rsidRPr="00380274">
        <w:t>down</w:t>
      </w:r>
      <w:r w:rsidRPr="00380274">
        <w:t xml:space="preserve"> by the three different provider types within the group: </w:t>
      </w:r>
    </w:p>
    <w:p w14:paraId="1E466244" w14:textId="6C25C531" w:rsidR="00A2634E" w:rsidRPr="00380274" w:rsidRDefault="00A2634E" w:rsidP="00A2634E">
      <w:pPr>
        <w:pStyle w:val="ListParagraph"/>
        <w:numPr>
          <w:ilvl w:val="0"/>
          <w:numId w:val="9"/>
        </w:numPr>
      </w:pPr>
      <w:r w:rsidRPr="00380274">
        <w:t>Local authority providers – 138 providers as at 28 February 2017, down from 140 as at 31 August 2016</w:t>
      </w:r>
      <w:r w:rsidR="00452E63" w:rsidRPr="00380274">
        <w:t>; a</w:t>
      </w:r>
      <w:r w:rsidRPr="00380274">
        <w:t xml:space="preserve"> decrease of 1%.</w:t>
      </w:r>
    </w:p>
    <w:p w14:paraId="0D348F0B" w14:textId="000AD4DB" w:rsidR="00A2634E" w:rsidRPr="00380274" w:rsidRDefault="00A2634E" w:rsidP="00A2634E">
      <w:pPr>
        <w:pStyle w:val="ListParagraph"/>
        <w:numPr>
          <w:ilvl w:val="0"/>
          <w:numId w:val="9"/>
        </w:numPr>
      </w:pPr>
      <w:r w:rsidRPr="00380274">
        <w:t>Not for profit organisations</w:t>
      </w:r>
      <w:r w:rsidR="001959F7" w:rsidRPr="00380274">
        <w:t xml:space="preserve"> – 79</w:t>
      </w:r>
      <w:r w:rsidRPr="00380274">
        <w:t xml:space="preserve"> providers as at 28 February</w:t>
      </w:r>
      <w:r w:rsidR="001F57B7" w:rsidRPr="00380274">
        <w:t xml:space="preserve"> 2017</w:t>
      </w:r>
      <w:r w:rsidRPr="00380274">
        <w:t xml:space="preserve">, down from </w:t>
      </w:r>
      <w:r w:rsidR="001959F7" w:rsidRPr="00380274">
        <w:t>84</w:t>
      </w:r>
      <w:r w:rsidRPr="00380274">
        <w:t xml:space="preserve"> as at </w:t>
      </w:r>
      <w:r w:rsidR="001959F7" w:rsidRPr="00380274">
        <w:t>31 August 2016</w:t>
      </w:r>
      <w:r w:rsidR="00452E63" w:rsidRPr="00380274">
        <w:t>; a</w:t>
      </w:r>
      <w:r w:rsidR="001959F7" w:rsidRPr="00380274">
        <w:t xml:space="preserve"> decrease of 6</w:t>
      </w:r>
      <w:r w:rsidRPr="00380274">
        <w:t>%.</w:t>
      </w:r>
    </w:p>
    <w:p w14:paraId="6060ADB8" w14:textId="1851D0AA" w:rsidR="00A2634E" w:rsidRPr="00380274" w:rsidRDefault="00A2634E" w:rsidP="00A2634E">
      <w:pPr>
        <w:pStyle w:val="ListParagraph"/>
        <w:numPr>
          <w:ilvl w:val="0"/>
          <w:numId w:val="9"/>
        </w:numPr>
      </w:pPr>
      <w:r w:rsidRPr="00380274">
        <w:t>Specialist designated institut</w:t>
      </w:r>
      <w:r w:rsidR="00B811A0" w:rsidRPr="00380274">
        <w:t>ions</w:t>
      </w:r>
      <w:r w:rsidRPr="00380274">
        <w:t xml:space="preserve"> – </w:t>
      </w:r>
      <w:r w:rsidR="001959F7" w:rsidRPr="00380274">
        <w:t>11</w:t>
      </w:r>
      <w:r w:rsidRPr="00380274">
        <w:t xml:space="preserve"> providers as at 28 February</w:t>
      </w:r>
      <w:r w:rsidR="001F57B7" w:rsidRPr="00380274">
        <w:t xml:space="preserve"> 2017</w:t>
      </w:r>
      <w:r w:rsidRPr="00380274">
        <w:t xml:space="preserve">, </w:t>
      </w:r>
      <w:r w:rsidR="001959F7" w:rsidRPr="00380274">
        <w:t xml:space="preserve">no change from </w:t>
      </w:r>
      <w:r w:rsidRPr="00380274">
        <w:t>31 August 2016.</w:t>
      </w:r>
    </w:p>
    <w:p w14:paraId="7DB214B5" w14:textId="77777777" w:rsidR="00A2634E" w:rsidRPr="00380274" w:rsidRDefault="00A2634E"/>
    <w:p w14:paraId="21492BC2" w14:textId="707B9DC5" w:rsidR="00B04A1A" w:rsidRPr="00380274" w:rsidRDefault="00452E63" w:rsidP="00B04A1A">
      <w:r w:rsidRPr="00380274">
        <w:t>E</w:t>
      </w:r>
      <w:r w:rsidR="00D06B3E" w:rsidRPr="00380274">
        <w:t>ight community learning and skills providers left the sector</w:t>
      </w:r>
      <w:r w:rsidR="00255049" w:rsidRPr="00380274">
        <w:t xml:space="preserve"> over the first six months of 2016/17. R</w:t>
      </w:r>
      <w:r w:rsidR="00D06B3E" w:rsidRPr="00380274">
        <w:t>easons includ</w:t>
      </w:r>
      <w:r w:rsidR="00255049" w:rsidRPr="00380274">
        <w:t>ed</w:t>
      </w:r>
      <w:r w:rsidR="00D06B3E" w:rsidRPr="00380274">
        <w:t xml:space="preserve"> mergers, contracts being transferred to other providers and funding ceasing. Six of the providers </w:t>
      </w:r>
      <w:r w:rsidR="00255049" w:rsidRPr="00380274">
        <w:t xml:space="preserve">that left </w:t>
      </w:r>
      <w:r w:rsidR="00D06B3E" w:rsidRPr="00380274">
        <w:t xml:space="preserve">were judged </w:t>
      </w:r>
      <w:r w:rsidR="00A004D3" w:rsidRPr="00380274">
        <w:t xml:space="preserve">to be </w:t>
      </w:r>
      <w:r w:rsidR="00D06B3E" w:rsidRPr="00380274">
        <w:t>good</w:t>
      </w:r>
      <w:r w:rsidRPr="00380274">
        <w:t xml:space="preserve"> at their most recent inspection</w:t>
      </w:r>
      <w:r w:rsidR="00D06B3E" w:rsidRPr="00380274">
        <w:t xml:space="preserve">. </w:t>
      </w:r>
    </w:p>
    <w:p w14:paraId="690733B9" w14:textId="77777777" w:rsidR="00B04A1A" w:rsidRPr="00380274" w:rsidRDefault="00B04A1A" w:rsidP="00B04A1A"/>
    <w:p w14:paraId="7C13DE6E" w14:textId="54583A44" w:rsidR="00B04A1A" w:rsidRPr="00380274" w:rsidRDefault="00B04A1A" w:rsidP="00B04A1A">
      <w:r w:rsidRPr="00380274">
        <w:t>All but two of the 228 community learning and skills providers had been inspected by 28 February 2017.</w:t>
      </w:r>
    </w:p>
    <w:p w14:paraId="41BFC238" w14:textId="77777777" w:rsidR="00A004D3" w:rsidRPr="00380274" w:rsidRDefault="00A004D3" w:rsidP="00D06B3E"/>
    <w:p w14:paraId="514F8377" w14:textId="7E6C233E" w:rsidR="000D5359" w:rsidRPr="00380274" w:rsidRDefault="000D5359" w:rsidP="00B473B8">
      <w:r w:rsidRPr="00380274">
        <w:t>B</w:t>
      </w:r>
      <w:r w:rsidR="00B473B8" w:rsidRPr="00380274">
        <w:t xml:space="preserve">etween 1 September 2016 and 28 February 2017, </w:t>
      </w:r>
      <w:r w:rsidR="00CF5EC5" w:rsidRPr="00380274">
        <w:t>39</w:t>
      </w:r>
      <w:r w:rsidR="00B473B8" w:rsidRPr="00380274">
        <w:t xml:space="preserve"> </w:t>
      </w:r>
      <w:r w:rsidR="004B24C6" w:rsidRPr="00380274">
        <w:t>community learning and skills providers</w:t>
      </w:r>
      <w:r w:rsidR="00B473B8" w:rsidRPr="00380274">
        <w:t xml:space="preserve"> were inspected. There were </w:t>
      </w:r>
      <w:r w:rsidR="004B24C6" w:rsidRPr="00380274">
        <w:t>24</w:t>
      </w:r>
      <w:r w:rsidR="00B473B8" w:rsidRPr="00380274">
        <w:t xml:space="preserve"> full inspections and </w:t>
      </w:r>
      <w:r w:rsidR="004B24C6" w:rsidRPr="00380274">
        <w:t>1</w:t>
      </w:r>
      <w:r w:rsidR="00CF5EC5" w:rsidRPr="00380274">
        <w:t>5</w:t>
      </w:r>
      <w:r w:rsidR="00B473B8" w:rsidRPr="00380274">
        <w:t xml:space="preserve"> short inspections. </w:t>
      </w:r>
      <w:r w:rsidRPr="00380274">
        <w:t>The proportion judged to be good or outstanding was 7</w:t>
      </w:r>
      <w:r w:rsidR="00CF5EC5" w:rsidRPr="00380274">
        <w:t>7</w:t>
      </w:r>
      <w:r w:rsidRPr="00380274">
        <w:t xml:space="preserve">%, which was </w:t>
      </w:r>
      <w:r w:rsidR="00CF5EC5" w:rsidRPr="00380274">
        <w:t>seven</w:t>
      </w:r>
      <w:r w:rsidRPr="00380274">
        <w:t xml:space="preserve"> percentage </w:t>
      </w:r>
      <w:r w:rsidRPr="00380274">
        <w:lastRenderedPageBreak/>
        <w:t xml:space="preserve">points higher than </w:t>
      </w:r>
      <w:r w:rsidR="00EF0467" w:rsidRPr="00380274">
        <w:t>2015/16</w:t>
      </w:r>
      <w:r w:rsidRPr="00380274">
        <w:t xml:space="preserve">. None of the providers were judged to be outstanding </w:t>
      </w:r>
      <w:r w:rsidR="005E6A61" w:rsidRPr="00380274">
        <w:t xml:space="preserve">during </w:t>
      </w:r>
      <w:r w:rsidRPr="00380274">
        <w:t>this period.</w:t>
      </w:r>
    </w:p>
    <w:p w14:paraId="267407CB" w14:textId="77777777" w:rsidR="0081128F" w:rsidRPr="00380274" w:rsidRDefault="0081128F" w:rsidP="00B473B8"/>
    <w:p w14:paraId="4C5BBA8E" w14:textId="0CAA6FCA" w:rsidR="0081128F" w:rsidRPr="00380274" w:rsidRDefault="0081128F" w:rsidP="00B473B8">
      <w:r w:rsidRPr="00380274">
        <w:t>Eight out of the 11 providers that previously required improvement or were inadequate, improved to be judged good for overall effectiveness. This included all five not for profit organisations.</w:t>
      </w:r>
    </w:p>
    <w:p w14:paraId="4B4443E0" w14:textId="75B1AF01" w:rsidR="008C3FD0" w:rsidRPr="00380274" w:rsidRDefault="008C3FD0" w:rsidP="00B473B8"/>
    <w:p w14:paraId="6B5387BD" w14:textId="02F7D1FF" w:rsidR="00BB68C2" w:rsidRPr="00380274" w:rsidRDefault="00F07CAE" w:rsidP="00BB68C2">
      <w:r w:rsidRPr="00380274">
        <w:t>A</w:t>
      </w:r>
      <w:r w:rsidR="0000639D" w:rsidRPr="00380274">
        <w:t xml:space="preserve">s the </w:t>
      </w:r>
      <w:r w:rsidRPr="00380274">
        <w:t xml:space="preserve">overall </w:t>
      </w:r>
      <w:r w:rsidR="0000639D" w:rsidRPr="00380274">
        <w:t xml:space="preserve">number of providers improving </w:t>
      </w:r>
      <w:r w:rsidRPr="00380274">
        <w:t xml:space="preserve">to be good or outstanding </w:t>
      </w:r>
      <w:r w:rsidR="0000639D" w:rsidRPr="00380274">
        <w:t xml:space="preserve">(eight) was slightly higher than those declining (six), the </w:t>
      </w:r>
      <w:r w:rsidR="005E6A61" w:rsidRPr="00380274">
        <w:t xml:space="preserve">proportion </w:t>
      </w:r>
      <w:r w:rsidR="00BB68C2" w:rsidRPr="00380274">
        <w:t>of providers judged to be good or outstanding at their most recent inspection increas</w:t>
      </w:r>
      <w:r w:rsidR="0000639D" w:rsidRPr="00380274">
        <w:t>ed</w:t>
      </w:r>
      <w:r w:rsidR="00BB68C2" w:rsidRPr="00380274">
        <w:t xml:space="preserve"> by one percentage point</w:t>
      </w:r>
      <w:r w:rsidR="000F18A7" w:rsidRPr="00380274">
        <w:t>,</w:t>
      </w:r>
      <w:r w:rsidR="00BB68C2" w:rsidRPr="00380274">
        <w:t xml:space="preserve"> from 82% as at 31 August 2016 to 83% as at 28 February 2017</w:t>
      </w:r>
      <w:r w:rsidR="000D3B56" w:rsidRPr="00380274">
        <w:t xml:space="preserve"> (</w:t>
      </w:r>
      <w:r w:rsidR="00625987" w:rsidRPr="00380274">
        <w:t>see F</w:t>
      </w:r>
      <w:r w:rsidR="00FE5C38" w:rsidRPr="00380274">
        <w:t>igure 8</w:t>
      </w:r>
      <w:r w:rsidR="000D3B56" w:rsidRPr="00380274">
        <w:t>)</w:t>
      </w:r>
      <w:r w:rsidR="00BB68C2" w:rsidRPr="00380274">
        <w:t xml:space="preserve">. </w:t>
      </w:r>
    </w:p>
    <w:p w14:paraId="5EB11EDA" w14:textId="765EAE34" w:rsidR="006C4D43" w:rsidRPr="00380274" w:rsidRDefault="006C4D43">
      <w:pPr>
        <w:rPr>
          <w:b/>
        </w:rPr>
      </w:pPr>
    </w:p>
    <w:p w14:paraId="294DF64E" w14:textId="7347065B" w:rsidR="00420DAE" w:rsidRPr="00380274" w:rsidRDefault="00420DAE">
      <w:pPr>
        <w:rPr>
          <w:b/>
          <w:sz w:val="8"/>
          <w:szCs w:val="8"/>
        </w:rPr>
      </w:pPr>
    </w:p>
    <w:p w14:paraId="13046974" w14:textId="3EE04259" w:rsidR="00FA4B86" w:rsidRPr="00380274" w:rsidRDefault="006C4D43" w:rsidP="00FA4B86">
      <w:pPr>
        <w:rPr>
          <w:b/>
        </w:rPr>
      </w:pPr>
      <w:r w:rsidRPr="00380274">
        <w:rPr>
          <w:bCs/>
          <w:noProof/>
          <w:lang w:eastAsia="en-GB"/>
        </w:rPr>
        <mc:AlternateContent>
          <mc:Choice Requires="wps">
            <w:drawing>
              <wp:anchor distT="0" distB="0" distL="114300" distR="114300" simplePos="0" relativeHeight="251679744" behindDoc="0" locked="0" layoutInCell="1" allowOverlap="1" wp14:anchorId="21BA5B8C" wp14:editId="455EAFE7">
                <wp:simplePos x="0" y="0"/>
                <wp:positionH relativeFrom="margin">
                  <wp:posOffset>-81735</wp:posOffset>
                </wp:positionH>
                <wp:positionV relativeFrom="paragraph">
                  <wp:posOffset>-67645</wp:posOffset>
                </wp:positionV>
                <wp:extent cx="6248400" cy="4183811"/>
                <wp:effectExtent l="0" t="0" r="19050" b="26670"/>
                <wp:wrapNone/>
                <wp:docPr id="18" name="Rectangle 18"/>
                <wp:cNvGraphicFramePr/>
                <a:graphic xmlns:a="http://schemas.openxmlformats.org/drawingml/2006/main">
                  <a:graphicData uri="http://schemas.microsoft.com/office/word/2010/wordprocessingShape">
                    <wps:wsp>
                      <wps:cNvSpPr/>
                      <wps:spPr>
                        <a:xfrm>
                          <a:off x="0" y="0"/>
                          <a:ext cx="6248400" cy="41838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8F8DD" id="Rectangle 18" o:spid="_x0000_s1026" style="position:absolute;margin-left:-6.45pt;margin-top:-5.35pt;width:492pt;height:329.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G0mQIAAJAFAAAOAAAAZHJzL2Uyb0RvYy54bWysVEtv2zAMvg/YfxB0X21nSZcadYqgRYcB&#10;RRv0gZ5VWYoNyKImKXGyXz9KcpygK3YYloMjieRH8uPj8mrXKbIV1rWgK1qc5ZQIzaFu9bqiL8+3&#10;X+aUOM90zRRoUdG9cPRq8fnTZW9KMYEGVC0sQRDtyt5UtPHelFnmeCM65s7ACI1CCbZjHq92ndWW&#10;9YjeqWyS5+dZD7Y2FrhwDl9vkpAuIr6UgvsHKZ3wRFUUY/Pxa+P3LXyzxSUr15aZpuVDGOwfouhY&#10;q9HpCHXDPCMb2/4B1bXcggPpzzh0GUjZchFzwGyK/F02Tw0zIuaC5Dgz0uT+Hyy/364saWusHVZK&#10;sw5r9IisMb1WguAbEtQbV6Lek1nZ4ebwGLLdSduFf8yD7CKp+5FUsfOE4+P5ZDqf5sg9R9m0mH+d&#10;F0VAzY7mxjr/XUBHwqGiFv1HMtn2zvmkelAJ3jTctkrhOyuVJn1FL2aTWTRwoNo6CIMs9pC4VpZs&#10;GVbf7w5uT7QwCKUxlpBiSiqe/F6JBP8oJLKDaUySg9CXR0zGudC+SKKG1SK5muX4G3Ico4gZK42A&#10;AVlikCP2APAxdsp/0A+mIrb1aJz/LbBkPFpEz6D9aNy1GuxHAAqzGjwn/QNJiZrA0hvUe+wdC2mo&#10;nOG3Ldbvjjm/YhanCGuOm8E/4EcqwDrBcKKkAfvro/egj82NUkp6nMqKup8bZgUl6ofGtr8optMw&#10;xvEynX2b4MWeSt5OJXrTXQOWvsAdZHg8Bn2vDkdpoXvFBbIMXlHENEffFeXeHi7XPm0LXEFcLJdR&#10;DUfXMH+nnwwP4IHV0J/Pu1dmzdDEHvv/Hg4TzMp3vZx0g6WG5caDbGOjH3kd+Maxj40zrKiwV07v&#10;Ueu4SBe/AQAA//8DAFBLAwQUAAYACAAAACEAkGVmRt8AAAALAQAADwAAAGRycy9kb3ducmV2Lnht&#10;bEyPQU7DMBBF90jcwRokNqh1ElCbpnEqhMQySBQO4MbTOKo9dmOnDbfHXcFuRvP05/16N1vDLjiG&#10;wZGAfJkBQ+qcGqgX8P31viiBhShJSeMIBfxggF1zf1fLSrkrfeJlH3uWQihUUoCO0Vech06jlWHp&#10;PFK6Hd1oZUzr2HM1ymsKt4YXWbbiVg6UPmjp8U1jd9pPVsA8ledzO52sxufWPBXRf7TeC/H4ML9u&#10;gUWc4x8MN/2kDk1yOriJVGBGwCIvNgm9DdkaWCI26zwHdhCweikL4E3N/3dofgEAAP//AwBQSwEC&#10;LQAUAAYACAAAACEAtoM4kv4AAADhAQAAEwAAAAAAAAAAAAAAAAAAAAAAW0NvbnRlbnRfVHlwZXNd&#10;LnhtbFBLAQItABQABgAIAAAAIQA4/SH/1gAAAJQBAAALAAAAAAAAAAAAAAAAAC8BAABfcmVscy8u&#10;cmVsc1BLAQItABQABgAIAAAAIQCWPnG0mQIAAJAFAAAOAAAAAAAAAAAAAAAAAC4CAABkcnMvZTJv&#10;RG9jLnhtbFBLAQItABQABgAIAAAAIQCQZWZG3wAAAAsBAAAPAAAAAAAAAAAAAAAAAPMEAABkcnMv&#10;ZG93bnJldi54bWxQSwUGAAAAAAQABADzAAAA/wUAAAAA&#10;" filled="f" strokecolor="black [3213]">
                <w10:wrap anchorx="margin"/>
              </v:rect>
            </w:pict>
          </mc:Fallback>
        </mc:AlternateContent>
      </w:r>
      <w:r w:rsidR="00FA4B86" w:rsidRPr="00380274">
        <w:rPr>
          <w:b/>
        </w:rPr>
        <w:t xml:space="preserve">Figure </w:t>
      </w:r>
      <w:r w:rsidR="00FE5C38" w:rsidRPr="00380274">
        <w:rPr>
          <w:b/>
        </w:rPr>
        <w:t>8</w:t>
      </w:r>
      <w:r w:rsidR="00FA4B86" w:rsidRPr="00380274">
        <w:rPr>
          <w:b/>
        </w:rPr>
        <w:t>: The proportion of community learning and skills providers judged good or outstanding for overall effectiveness at their most recent inspection</w:t>
      </w:r>
    </w:p>
    <w:p w14:paraId="5CD4A7C4" w14:textId="77777777" w:rsidR="008C3FD0" w:rsidRPr="00380274" w:rsidRDefault="008C3FD0" w:rsidP="00B473B8"/>
    <w:p w14:paraId="74ADEA6B" w14:textId="0CFFBE86" w:rsidR="00FA4B86" w:rsidRPr="00380274" w:rsidRDefault="00F35D3A" w:rsidP="00B473B8">
      <w:r>
        <w:rPr>
          <w:noProof/>
          <w:lang w:eastAsia="en-GB"/>
        </w:rPr>
        <w:drawing>
          <wp:inline distT="0" distB="0" distL="0" distR="0" wp14:anchorId="1595EB72" wp14:editId="54532C3D">
            <wp:extent cx="4648200" cy="3160641"/>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2987" cy="3163896"/>
                    </a:xfrm>
                    <a:prstGeom prst="rect">
                      <a:avLst/>
                    </a:prstGeom>
                    <a:noFill/>
                  </pic:spPr>
                </pic:pic>
              </a:graphicData>
            </a:graphic>
          </wp:inline>
        </w:drawing>
      </w:r>
    </w:p>
    <w:p w14:paraId="2185C419" w14:textId="77777777" w:rsidR="00AE1404" w:rsidRPr="00380274" w:rsidRDefault="00AE1404" w:rsidP="00AE1404">
      <w:pPr>
        <w:pStyle w:val="ListParagraph"/>
        <w:numPr>
          <w:ilvl w:val="0"/>
          <w:numId w:val="6"/>
        </w:numPr>
        <w:rPr>
          <w:sz w:val="16"/>
          <w:szCs w:val="16"/>
        </w:rPr>
      </w:pPr>
      <w:r w:rsidRPr="00380274">
        <w:rPr>
          <w:sz w:val="16"/>
          <w:szCs w:val="16"/>
        </w:rPr>
        <w:t>Figures for 2015 onwards are not comparable to previous years. A different methodology has been used to calculate the percentage of providers judged good or outstanding, with providers that ceased to be funded or closed during the year no longer included.</w:t>
      </w:r>
    </w:p>
    <w:p w14:paraId="0E69E9E2" w14:textId="7EC939EC" w:rsidR="00E25380" w:rsidRPr="00380274" w:rsidRDefault="00E25380">
      <w:pPr>
        <w:rPr>
          <w:sz w:val="8"/>
          <w:szCs w:val="8"/>
        </w:rPr>
      </w:pPr>
    </w:p>
    <w:p w14:paraId="5C8F171E" w14:textId="77777777" w:rsidR="006C4D43" w:rsidRPr="00380274" w:rsidRDefault="006C4D43"/>
    <w:p w14:paraId="4ABB5722" w14:textId="77777777" w:rsidR="00C34BDC" w:rsidRPr="00380274" w:rsidRDefault="00C34BDC"/>
    <w:p w14:paraId="24AB78E8" w14:textId="77777777" w:rsidR="00C7632B" w:rsidRPr="00380274" w:rsidRDefault="00C7632B" w:rsidP="00C7632B">
      <w:pPr>
        <w:pStyle w:val="Heading2"/>
        <w:rPr>
          <w:rFonts w:ascii="Tahoma" w:hAnsi="Tahoma" w:cs="Tahoma"/>
          <w:b/>
          <w:color w:val="auto"/>
          <w:sz w:val="28"/>
          <w:szCs w:val="28"/>
        </w:rPr>
      </w:pPr>
      <w:bookmarkStart w:id="9" w:name="_Toc485646780"/>
      <w:r w:rsidRPr="00380274">
        <w:rPr>
          <w:rFonts w:ascii="Tahoma" w:hAnsi="Tahoma" w:cs="Tahoma"/>
          <w:b/>
          <w:color w:val="auto"/>
          <w:sz w:val="28"/>
          <w:szCs w:val="28"/>
        </w:rPr>
        <w:t>Prisons and young offender institutions</w:t>
      </w:r>
      <w:bookmarkEnd w:id="9"/>
      <w:r w:rsidRPr="00380274">
        <w:rPr>
          <w:rFonts w:ascii="Tahoma" w:hAnsi="Tahoma" w:cs="Tahoma"/>
          <w:b/>
          <w:color w:val="auto"/>
          <w:sz w:val="28"/>
          <w:szCs w:val="28"/>
        </w:rPr>
        <w:t xml:space="preserve"> </w:t>
      </w:r>
    </w:p>
    <w:p w14:paraId="614A154D" w14:textId="77777777" w:rsidR="00C7632B" w:rsidRPr="00380274" w:rsidRDefault="00C7632B" w:rsidP="00C7632B"/>
    <w:p w14:paraId="72200D93" w14:textId="3D1BDED6" w:rsidR="00C7632B" w:rsidRPr="00380274" w:rsidRDefault="00C7632B" w:rsidP="00C7632B">
      <w:r w:rsidRPr="00380274">
        <w:t xml:space="preserve">As at the 28 February 2017, </w:t>
      </w:r>
      <w:r w:rsidR="00821720" w:rsidRPr="00380274">
        <w:t xml:space="preserve">all </w:t>
      </w:r>
      <w:r w:rsidRPr="00380274">
        <w:t>of the 11</w:t>
      </w:r>
      <w:r w:rsidR="001308A8" w:rsidRPr="00380274">
        <w:t>3</w:t>
      </w:r>
      <w:r w:rsidRPr="00380274">
        <w:t xml:space="preserve"> prisons and young offender </w:t>
      </w:r>
      <w:r w:rsidR="00625987" w:rsidRPr="00380274">
        <w:t>institutions</w:t>
      </w:r>
      <w:r w:rsidR="00821720" w:rsidRPr="00380274">
        <w:t xml:space="preserve"> had been inspected. Of these, </w:t>
      </w:r>
      <w:r w:rsidRPr="00380274">
        <w:t>8</w:t>
      </w:r>
      <w:r w:rsidR="001308A8" w:rsidRPr="00380274">
        <w:t>5</w:t>
      </w:r>
      <w:r w:rsidRPr="00380274">
        <w:t>% had received an overall effectiveness judgement since its introduction in March 2014</w:t>
      </w:r>
      <w:r w:rsidRPr="00380274">
        <w:rPr>
          <w:rStyle w:val="FootnoteReference"/>
        </w:rPr>
        <w:footnoteReference w:id="9"/>
      </w:r>
      <w:r w:rsidRPr="00380274">
        <w:t xml:space="preserve">. </w:t>
      </w:r>
    </w:p>
    <w:p w14:paraId="52B5C21A" w14:textId="77777777" w:rsidR="00C7632B" w:rsidRPr="00380274" w:rsidRDefault="00C7632B" w:rsidP="00C7632B"/>
    <w:p w14:paraId="21E44979" w14:textId="77777777" w:rsidR="00C7632B" w:rsidRPr="00380274" w:rsidRDefault="00C7632B" w:rsidP="00C7632B">
      <w:r w:rsidRPr="00380274">
        <w:t>Ofsted contributed to the inspections of 21 prisons and young offender institutions, where the reports were published between 1 September 2016 and 28 February 2017.</w:t>
      </w:r>
    </w:p>
    <w:p w14:paraId="4DE35B42" w14:textId="77777777" w:rsidR="00C7632B" w:rsidRPr="00380274" w:rsidRDefault="00C7632B" w:rsidP="00C7632B"/>
    <w:p w14:paraId="2630C493" w14:textId="1590EEC6" w:rsidR="00C7632B" w:rsidRPr="00380274" w:rsidRDefault="00C7632B" w:rsidP="00C7632B">
      <w:r w:rsidRPr="00380274">
        <w:t xml:space="preserve">The proportion judged to be good or outstanding for overall effectiveness was 67%, which was 26 percentage points higher compared with 2015/16. Inspection outcomes across all the judgements were much higher when compared with last year. </w:t>
      </w:r>
    </w:p>
    <w:p w14:paraId="6B31564B" w14:textId="77777777" w:rsidR="00C7632B" w:rsidRPr="00380274" w:rsidRDefault="00C7632B" w:rsidP="00C7632B"/>
    <w:p w14:paraId="06CBCD12" w14:textId="0919A39C" w:rsidR="00420DAE" w:rsidRPr="00380274" w:rsidRDefault="00C7632B" w:rsidP="00C7632B">
      <w:r w:rsidRPr="00380274">
        <w:t xml:space="preserve">Overall the proportion of prisons judged good or outstanding for overall effectiveness at their most recent </w:t>
      </w:r>
      <w:r w:rsidR="00095288" w:rsidRPr="00380274">
        <w:t>inspection has increased by five</w:t>
      </w:r>
      <w:r w:rsidRPr="00380274">
        <w:t xml:space="preserve"> percentage points; from 3</w:t>
      </w:r>
      <w:r w:rsidR="00095288" w:rsidRPr="00380274">
        <w:t>5</w:t>
      </w:r>
      <w:r w:rsidRPr="00380274">
        <w:t xml:space="preserve">% as at 31 August 2016 to 41% as at 28 February 2017. </w:t>
      </w:r>
    </w:p>
    <w:p w14:paraId="75F30778" w14:textId="77777777" w:rsidR="00420DAE" w:rsidRPr="00380274" w:rsidRDefault="00420DAE" w:rsidP="00C7632B"/>
    <w:p w14:paraId="44561874" w14:textId="5386D054" w:rsidR="00C7632B" w:rsidRPr="00380274" w:rsidRDefault="00C7632B" w:rsidP="00C7632B">
      <w:r w:rsidRPr="00380274">
        <w:t xml:space="preserve">This increase was caused by </w:t>
      </w:r>
      <w:r w:rsidR="00AA5095" w:rsidRPr="00380274">
        <w:t>14</w:t>
      </w:r>
      <w:r w:rsidRPr="00380274">
        <w:t xml:space="preserve"> prisons, which received an overall effectiveness judgement for the first time, now being included in the most recent statistics. </w:t>
      </w:r>
      <w:r w:rsidR="004A779E" w:rsidRPr="00380274">
        <w:t>T</w:t>
      </w:r>
      <w:r w:rsidRPr="00380274">
        <w:t>here was a balanced picture of improvement and decline</w:t>
      </w:r>
      <w:r w:rsidR="004A779E" w:rsidRPr="00380274">
        <w:t xml:space="preserve"> for those with a previous overall effectiveness judgement, which did not impact on the proportion judged to be good or outstanding.</w:t>
      </w:r>
    </w:p>
    <w:p w14:paraId="4B253721" w14:textId="7316F334" w:rsidR="00C7632B" w:rsidRPr="00380274" w:rsidRDefault="004A779E" w:rsidP="00C7632B">
      <w:r w:rsidRPr="00380274">
        <w:rPr>
          <w:bCs/>
          <w:noProof/>
          <w:lang w:eastAsia="en-GB"/>
        </w:rPr>
        <mc:AlternateContent>
          <mc:Choice Requires="wps">
            <w:drawing>
              <wp:anchor distT="0" distB="0" distL="114300" distR="114300" simplePos="0" relativeHeight="251691008" behindDoc="0" locked="0" layoutInCell="1" allowOverlap="1" wp14:anchorId="5F071198" wp14:editId="5E2CDE01">
                <wp:simplePos x="0" y="0"/>
                <wp:positionH relativeFrom="margin">
                  <wp:posOffset>-91440</wp:posOffset>
                </wp:positionH>
                <wp:positionV relativeFrom="paragraph">
                  <wp:posOffset>133985</wp:posOffset>
                </wp:positionV>
                <wp:extent cx="6248400" cy="34385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248400" cy="3438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CC7DE" id="Rectangle 12" o:spid="_x0000_s1026" style="position:absolute;margin-left:-7.2pt;margin-top:10.55pt;width:492pt;height:270.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T4mgIAAJAFAAAOAAAAZHJzL2Uyb0RvYy54bWysVFFP2zAQfp+0/2D5fSQNLYOIFFUgpkkI&#10;EDDxbBy7ieT4PNtt2v36ne0kFIb2MK0Pqc93993d57s7v9h1imyFdS3ois6OckqE5lC3el3RH0/X&#10;X04pcZ7pminQoqJ74ejF8vOn896UooAGVC0sQRDtyt5UtPHelFnmeCM65o7ACI1KCbZjHkW7zmrL&#10;ekTvVFbk+UnWg62NBS6cw9urpKTLiC+l4P5OSic8URXF3Hz82vh9Cd9sec7KtWWmafmQBvuHLDrW&#10;agw6QV0xz8jGtn9AdS234ED6Iw5dBlK2XMQasJpZ/q6ax4YZEWtBcpyZaHL/D5bfbu8taWt8u4IS&#10;zTp8owdkjem1EgTvkKDeuBLtHs29HSSHx1DtTtou/GMdZBdJ3U+kip0nHC9PivnpPEfuOeqO58en&#10;i2IRULNXd2Od/yagI+FQUYvxI5lse+N8Mh1NQjQN161SeM9KpUlf0bMAGUQHqq2DMgqhh8SlsmTL&#10;8PX9bjaEPbDCJJTGXEKJqah48nslEvyDkMgOllGkAG8xGedC+1lSNawWKdQix98YbPSIFSuNgAFZ&#10;YpIT9gAwWiaQETvVP9gHVxHbenLO/5ZYcp48YmTQfnLuWg32IwCFVQ2Rk/1IUqImsPQC9R57x0Ia&#10;Kmf4dYvvd8Ocv2cWpwjfHDeDv8OPVIDvBMOJkgbsr4/ugz02N2op6XEqK+p+bpgVlKjvGtv+bDaf&#10;hzGOwnzxtUDBHmpeDjV6010CPv0Md5Dh8RjsvRqP0kL3jAtkFaKiimmOsSvKvR2FS5+2Ba4gLlar&#10;aIaja5i/0Y+GB/DAaujPp90zs2ZoYo/9fwvjBLPyXS8n2+CpYbXxINvY6K+8Dnzj2MfGGVZU2CuH&#10;crR6XaTL3wAAAP//AwBQSwMEFAAGAAgAAAAhANr9NorfAAAACgEAAA8AAABkcnMvZG93bnJldi54&#10;bWxMj0FOwzAQRfdI3MEaJDaodRKK1aZxKoTEMki0HMCNp0lUe+zGThtuj1nBcvSf/n9T7WZr2BXH&#10;MDiSkC8zYEit0wN1Er4O74s1sBAVaWUcoYRvDLCr7+8qVWp3o0+87mPHUgmFUknoY/Ql56Ht0aqw&#10;dB4pZSc3WhXTOXZcj+qWyq3hRZYJbtVAaaFXHt96bM/7yUqYp/Xl0kxn2+NzY56K6D8a76V8fJhf&#10;t8AizvEPhl/9pA51cjq6iXRgRsIiX60SKqHIc2AJ2IiNAHaU8CIKAbyu+P8X6h8AAAD//wMAUEsB&#10;Ai0AFAAGAAgAAAAhALaDOJL+AAAA4QEAABMAAAAAAAAAAAAAAAAAAAAAAFtDb250ZW50X1R5cGVz&#10;XS54bWxQSwECLQAUAAYACAAAACEAOP0h/9YAAACUAQAACwAAAAAAAAAAAAAAAAAvAQAAX3JlbHMv&#10;LnJlbHNQSwECLQAUAAYACAAAACEAaoh0+JoCAACQBQAADgAAAAAAAAAAAAAAAAAuAgAAZHJzL2Uy&#10;b0RvYy54bWxQSwECLQAUAAYACAAAACEA2v02it8AAAAKAQAADwAAAAAAAAAAAAAAAAD0BAAAZHJz&#10;L2Rvd25yZXYueG1sUEsFBgAAAAAEAAQA8wAAAAAGAAAAAA==&#10;" filled="f" strokecolor="black [3213]">
                <w10:wrap anchorx="margin"/>
              </v:rect>
            </w:pict>
          </mc:Fallback>
        </mc:AlternateContent>
      </w:r>
    </w:p>
    <w:p w14:paraId="6DC0C0AE" w14:textId="764C3DB9" w:rsidR="00C7632B" w:rsidRPr="00380274" w:rsidRDefault="00C7632B" w:rsidP="00C7632B">
      <w:r w:rsidRPr="00380274">
        <w:rPr>
          <w:b/>
        </w:rPr>
        <w:t xml:space="preserve">Figure </w:t>
      </w:r>
      <w:r w:rsidR="00FE5C38" w:rsidRPr="00380274">
        <w:rPr>
          <w:b/>
        </w:rPr>
        <w:t>9</w:t>
      </w:r>
      <w:r w:rsidRPr="00380274">
        <w:rPr>
          <w:b/>
        </w:rPr>
        <w:t xml:space="preserve">: </w:t>
      </w:r>
      <w:r w:rsidR="00F9668F" w:rsidRPr="00380274">
        <w:rPr>
          <w:b/>
        </w:rPr>
        <w:t>Most recent overall effectiveness of learning and skills and work activities (overall effectiveness) of prisons and young offender institutions, over time</w:t>
      </w:r>
    </w:p>
    <w:p w14:paraId="16ACCF4C" w14:textId="77777777" w:rsidR="00C7632B" w:rsidRPr="00380274" w:rsidRDefault="00C7632B" w:rsidP="00F9668F">
      <w:pPr>
        <w:spacing w:before="120" w:after="120"/>
        <w:rPr>
          <w:sz w:val="20"/>
          <w:szCs w:val="20"/>
        </w:rPr>
      </w:pPr>
      <w:r w:rsidRPr="00380274">
        <w:rPr>
          <w:sz w:val="20"/>
          <w:szCs w:val="20"/>
        </w:rPr>
        <w:t>Number of prisons and young offender institutions in brackets</w:t>
      </w:r>
      <w:r w:rsidRPr="00380274">
        <w:rPr>
          <w:sz w:val="20"/>
          <w:szCs w:val="20"/>
        </w:rPr>
        <w:tab/>
      </w:r>
      <w:r w:rsidRPr="00380274">
        <w:rPr>
          <w:sz w:val="20"/>
          <w:szCs w:val="20"/>
        </w:rPr>
        <w:tab/>
      </w:r>
    </w:p>
    <w:p w14:paraId="7E99424A" w14:textId="251251F1" w:rsidR="00C7632B" w:rsidRPr="00380274" w:rsidRDefault="00F9668F" w:rsidP="00C7632B">
      <w:pPr>
        <w:rPr>
          <w:b/>
        </w:rPr>
      </w:pPr>
      <w:r w:rsidRPr="00380274">
        <w:rPr>
          <w:b/>
          <w:noProof/>
          <w:lang w:eastAsia="en-GB"/>
        </w:rPr>
        <w:drawing>
          <wp:inline distT="0" distB="0" distL="0" distR="0" wp14:anchorId="7617FD29" wp14:editId="6B6CC64C">
            <wp:extent cx="6039485" cy="148294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3522" t="14414" r="10908" b="2355"/>
                    <a:stretch/>
                  </pic:blipFill>
                  <pic:spPr bwMode="auto">
                    <a:xfrm>
                      <a:off x="0" y="0"/>
                      <a:ext cx="6061859" cy="1488440"/>
                    </a:xfrm>
                    <a:prstGeom prst="rect">
                      <a:avLst/>
                    </a:prstGeom>
                    <a:noFill/>
                    <a:ln>
                      <a:noFill/>
                    </a:ln>
                    <a:extLst>
                      <a:ext uri="{53640926-AAD7-44D8-BBD7-CCE9431645EC}">
                        <a14:shadowObscured xmlns:a14="http://schemas.microsoft.com/office/drawing/2010/main"/>
                      </a:ext>
                    </a:extLst>
                  </pic:spPr>
                </pic:pic>
              </a:graphicData>
            </a:graphic>
          </wp:inline>
        </w:drawing>
      </w:r>
    </w:p>
    <w:p w14:paraId="58910D1D" w14:textId="77777777" w:rsidR="00C7632B" w:rsidRPr="00380274" w:rsidRDefault="00C7632B" w:rsidP="00C7632B">
      <w:pPr>
        <w:rPr>
          <w:sz w:val="16"/>
          <w:szCs w:val="16"/>
        </w:rPr>
      </w:pPr>
    </w:p>
    <w:p w14:paraId="7A117181" w14:textId="34D0CA56" w:rsidR="00F9668F" w:rsidRPr="00A54343" w:rsidRDefault="00F9668F" w:rsidP="00A54343">
      <w:pPr>
        <w:pStyle w:val="ListParagraph"/>
        <w:numPr>
          <w:ilvl w:val="0"/>
          <w:numId w:val="37"/>
        </w:numPr>
        <w:rPr>
          <w:sz w:val="16"/>
          <w:szCs w:val="16"/>
        </w:rPr>
      </w:pPr>
      <w:r w:rsidRPr="00A54343">
        <w:rPr>
          <w:sz w:val="16"/>
          <w:szCs w:val="16"/>
        </w:rPr>
        <w:t>The overall effectiveness of learning and skills and work activities was introduced in March 2014 (with the exception of two prisons and young offender institutions that received the judgement in February 2014). Prisons and young offender institutions that have yet to receive this judgement are not included in the statistics. As at 28 February 2017, there were 17 prisons and young offender institutions without an overall effectiveness judgement.</w:t>
      </w:r>
      <w:r w:rsidRPr="00A54343">
        <w:rPr>
          <w:sz w:val="16"/>
          <w:szCs w:val="16"/>
        </w:rPr>
        <w:tab/>
      </w:r>
      <w:r w:rsidRPr="00A54343">
        <w:rPr>
          <w:sz w:val="16"/>
          <w:szCs w:val="16"/>
        </w:rPr>
        <w:tab/>
      </w:r>
      <w:r w:rsidRPr="00A54343">
        <w:rPr>
          <w:sz w:val="16"/>
          <w:szCs w:val="16"/>
        </w:rPr>
        <w:tab/>
      </w:r>
      <w:r w:rsidRPr="00A54343">
        <w:rPr>
          <w:sz w:val="16"/>
          <w:szCs w:val="16"/>
        </w:rPr>
        <w:tab/>
      </w:r>
      <w:r w:rsidRPr="00A54343">
        <w:rPr>
          <w:sz w:val="16"/>
          <w:szCs w:val="16"/>
        </w:rPr>
        <w:tab/>
      </w:r>
      <w:r w:rsidRPr="00A54343">
        <w:rPr>
          <w:sz w:val="16"/>
          <w:szCs w:val="16"/>
        </w:rPr>
        <w:tab/>
      </w:r>
      <w:r w:rsidRPr="00A54343">
        <w:rPr>
          <w:sz w:val="16"/>
          <w:szCs w:val="16"/>
        </w:rPr>
        <w:tab/>
      </w:r>
    </w:p>
    <w:p w14:paraId="0A3C5807" w14:textId="0BCC3D29" w:rsidR="00F9668F" w:rsidRPr="00A54343" w:rsidRDefault="00F9668F" w:rsidP="00A54343">
      <w:pPr>
        <w:pStyle w:val="ListParagraph"/>
        <w:numPr>
          <w:ilvl w:val="0"/>
          <w:numId w:val="37"/>
        </w:numPr>
        <w:rPr>
          <w:sz w:val="16"/>
          <w:szCs w:val="16"/>
        </w:rPr>
      </w:pPr>
      <w:r w:rsidRPr="00A54343">
        <w:rPr>
          <w:sz w:val="16"/>
          <w:szCs w:val="16"/>
        </w:rPr>
        <w:t>Prior to 1 September 2012, providers with an inspection outcome of grade 3 were judged as satisfactory.</w:t>
      </w:r>
      <w:r w:rsidRPr="00A54343">
        <w:rPr>
          <w:sz w:val="16"/>
          <w:szCs w:val="16"/>
        </w:rPr>
        <w:tab/>
      </w:r>
    </w:p>
    <w:p w14:paraId="0FC6305B" w14:textId="77777777" w:rsidR="00F9668F" w:rsidRPr="00A54343" w:rsidRDefault="00F9668F" w:rsidP="00A54343">
      <w:pPr>
        <w:pStyle w:val="ListParagraph"/>
        <w:numPr>
          <w:ilvl w:val="0"/>
          <w:numId w:val="37"/>
        </w:numPr>
        <w:rPr>
          <w:sz w:val="16"/>
          <w:szCs w:val="16"/>
        </w:rPr>
      </w:pPr>
      <w:r w:rsidRPr="00A54343">
        <w:rPr>
          <w:sz w:val="16"/>
          <w:szCs w:val="16"/>
        </w:rPr>
        <w:t>Inspections published by 28 February 2017.</w:t>
      </w:r>
    </w:p>
    <w:p w14:paraId="34DB6C2D" w14:textId="4139D30C" w:rsidR="00F9668F" w:rsidRPr="00A54343" w:rsidRDefault="00F9668F" w:rsidP="00A54343">
      <w:pPr>
        <w:pStyle w:val="ListParagraph"/>
        <w:numPr>
          <w:ilvl w:val="0"/>
          <w:numId w:val="37"/>
        </w:numPr>
        <w:rPr>
          <w:sz w:val="16"/>
          <w:szCs w:val="16"/>
        </w:rPr>
      </w:pPr>
      <w:r w:rsidRPr="00A54343">
        <w:rPr>
          <w:sz w:val="16"/>
          <w:szCs w:val="16"/>
        </w:rPr>
        <w:t xml:space="preserve">Percentages are rounded and may not add to 100.  </w:t>
      </w:r>
    </w:p>
    <w:p w14:paraId="4335E90F" w14:textId="6A078257" w:rsidR="00095288" w:rsidRPr="00380274" w:rsidRDefault="00F9668F" w:rsidP="00F9668F">
      <w:pPr>
        <w:pStyle w:val="Heading1"/>
        <w:spacing w:before="0"/>
        <w:rPr>
          <w:rFonts w:ascii="Tahoma" w:eastAsiaTheme="minorHAnsi" w:hAnsi="Tahoma" w:cs="Tahoma"/>
          <w:color w:val="auto"/>
          <w:sz w:val="16"/>
          <w:szCs w:val="16"/>
        </w:rPr>
      </w:pPr>
      <w:r w:rsidRPr="00380274">
        <w:rPr>
          <w:rFonts w:ascii="Tahoma" w:eastAsiaTheme="minorHAnsi" w:hAnsi="Tahoma" w:cs="Tahoma"/>
          <w:color w:val="auto"/>
          <w:sz w:val="16"/>
          <w:szCs w:val="16"/>
        </w:rPr>
        <w:tab/>
      </w:r>
      <w:r w:rsidRPr="00380274">
        <w:rPr>
          <w:rFonts w:ascii="Tahoma" w:eastAsiaTheme="minorHAnsi" w:hAnsi="Tahoma" w:cs="Tahoma"/>
          <w:color w:val="auto"/>
          <w:sz w:val="16"/>
          <w:szCs w:val="16"/>
        </w:rPr>
        <w:tab/>
      </w:r>
      <w:r w:rsidRPr="00380274">
        <w:rPr>
          <w:rFonts w:ascii="Tahoma" w:eastAsiaTheme="minorHAnsi" w:hAnsi="Tahoma" w:cs="Tahoma"/>
          <w:color w:val="auto"/>
          <w:sz w:val="16"/>
          <w:szCs w:val="16"/>
        </w:rPr>
        <w:tab/>
      </w:r>
      <w:r w:rsidRPr="00380274">
        <w:rPr>
          <w:rFonts w:ascii="Tahoma" w:eastAsiaTheme="minorHAnsi" w:hAnsi="Tahoma" w:cs="Tahoma"/>
          <w:color w:val="auto"/>
          <w:sz w:val="16"/>
          <w:szCs w:val="16"/>
        </w:rPr>
        <w:tab/>
      </w:r>
      <w:r w:rsidRPr="00380274">
        <w:rPr>
          <w:rFonts w:ascii="Tahoma" w:eastAsiaTheme="minorHAnsi" w:hAnsi="Tahoma" w:cs="Tahoma"/>
          <w:color w:val="auto"/>
          <w:sz w:val="16"/>
          <w:szCs w:val="16"/>
        </w:rPr>
        <w:tab/>
      </w:r>
      <w:r w:rsidRPr="00380274">
        <w:rPr>
          <w:rFonts w:ascii="Tahoma" w:eastAsiaTheme="minorHAnsi" w:hAnsi="Tahoma" w:cs="Tahoma"/>
          <w:color w:val="auto"/>
          <w:sz w:val="16"/>
          <w:szCs w:val="16"/>
        </w:rPr>
        <w:tab/>
      </w:r>
    </w:p>
    <w:p w14:paraId="17E4E013" w14:textId="77777777" w:rsidR="00095288" w:rsidRPr="00380274" w:rsidRDefault="00095288">
      <w:r w:rsidRPr="00380274">
        <w:br w:type="page"/>
      </w:r>
    </w:p>
    <w:p w14:paraId="3BFEF1B3" w14:textId="063AC6AF" w:rsidR="00884D82" w:rsidRPr="00380274" w:rsidRDefault="00326E61" w:rsidP="00326E61">
      <w:pPr>
        <w:pStyle w:val="Heading1"/>
        <w:spacing w:before="0"/>
        <w:rPr>
          <w:rFonts w:ascii="Tahoma" w:hAnsi="Tahoma" w:cs="Tahoma"/>
          <w:b/>
          <w:color w:val="auto"/>
        </w:rPr>
      </w:pPr>
      <w:bookmarkStart w:id="10" w:name="_Toc485646781"/>
      <w:r w:rsidRPr="00380274">
        <w:rPr>
          <w:rFonts w:ascii="Tahoma" w:hAnsi="Tahoma" w:cs="Tahoma"/>
          <w:b/>
          <w:color w:val="auto"/>
        </w:rPr>
        <w:lastRenderedPageBreak/>
        <w:t>Revisions</w:t>
      </w:r>
      <w:bookmarkEnd w:id="10"/>
    </w:p>
    <w:p w14:paraId="63C66547" w14:textId="77777777" w:rsidR="00873F73" w:rsidRPr="00380274" w:rsidRDefault="00873F73"/>
    <w:p w14:paraId="3DE9C270" w14:textId="48BA23F7" w:rsidR="00804F01" w:rsidRPr="00380274" w:rsidRDefault="00804F01" w:rsidP="00C36608">
      <w:pPr>
        <w:rPr>
          <w:b/>
        </w:rPr>
      </w:pPr>
      <w:r w:rsidRPr="00380274">
        <w:rPr>
          <w:b/>
        </w:rPr>
        <w:t>General further education colleges</w:t>
      </w:r>
    </w:p>
    <w:p w14:paraId="4BD51602" w14:textId="77777777" w:rsidR="00804F01" w:rsidRPr="00380274" w:rsidRDefault="00804F01" w:rsidP="00C36608"/>
    <w:p w14:paraId="58103C81" w14:textId="64F333FB" w:rsidR="00C36608" w:rsidRPr="00380274" w:rsidRDefault="00C36608" w:rsidP="00C36608">
      <w:r w:rsidRPr="00380274">
        <w:t>One specialist further education college was incorrectly included as a general further education college within the most recent statistics as at 31 August 2016, published on 24 November 2016.</w:t>
      </w:r>
      <w:r w:rsidR="000D352F" w:rsidRPr="00380274">
        <w:t xml:space="preserve"> This revision does not </w:t>
      </w:r>
      <w:r w:rsidR="00BF4859" w:rsidRPr="00380274">
        <w:t>affect</w:t>
      </w:r>
      <w:r w:rsidR="000D352F" w:rsidRPr="00380274">
        <w:t xml:space="preserve"> the data, tables or charts published. </w:t>
      </w:r>
      <w:r w:rsidRPr="00380274">
        <w:t xml:space="preserve"> </w:t>
      </w:r>
    </w:p>
    <w:p w14:paraId="01EDF7B6" w14:textId="77777777" w:rsidR="00C36608" w:rsidRPr="00380274" w:rsidRDefault="00C36608" w:rsidP="00C36608"/>
    <w:p w14:paraId="5A1F5002" w14:textId="4EA10136" w:rsidR="00C36608" w:rsidRPr="00380274" w:rsidRDefault="00C36608" w:rsidP="00BF4859">
      <w:r w:rsidRPr="00380274">
        <w:t xml:space="preserve">The number of </w:t>
      </w:r>
      <w:r w:rsidR="00BF4859" w:rsidRPr="00380274">
        <w:t>general further education colleges</w:t>
      </w:r>
      <w:r w:rsidRPr="00380274">
        <w:t xml:space="preserve"> reported in the official statistics key findings decreases by one. The percentages remain unchanged. </w:t>
      </w:r>
    </w:p>
    <w:p w14:paraId="6E722733" w14:textId="77777777" w:rsidR="00C36608" w:rsidRPr="00380274" w:rsidRDefault="00C36608"/>
    <w:p w14:paraId="7071BAD4" w14:textId="7A8D76EB" w:rsidR="002932AE" w:rsidRPr="00380274" w:rsidRDefault="002932AE">
      <w:pPr>
        <w:rPr>
          <w:b/>
        </w:rPr>
      </w:pPr>
      <w:r w:rsidRPr="00380274">
        <w:rPr>
          <w:b/>
        </w:rPr>
        <w:t>Independent learning providers (including employer providers)</w:t>
      </w:r>
    </w:p>
    <w:p w14:paraId="561956C4" w14:textId="77777777" w:rsidR="002932AE" w:rsidRPr="00380274" w:rsidRDefault="002932AE"/>
    <w:p w14:paraId="51A0963C" w14:textId="77777777" w:rsidR="006064B9" w:rsidRPr="00380274" w:rsidRDefault="006064B9">
      <w:r w:rsidRPr="00380274">
        <w:t xml:space="preserve">One independent learning provider was incorrectly included within the most recent statistics as at 31 August 2016, published on 24 November 2016. </w:t>
      </w:r>
    </w:p>
    <w:p w14:paraId="4175CD01" w14:textId="77777777" w:rsidR="006064B9" w:rsidRPr="00380274" w:rsidRDefault="006064B9"/>
    <w:p w14:paraId="7D0F6486" w14:textId="1140C3F3" w:rsidR="00A006AD" w:rsidRPr="00380274" w:rsidRDefault="00A006AD">
      <w:r w:rsidRPr="00380274">
        <w:t>The revision has the following impact to the most recent statistics as at 31 August 2016:</w:t>
      </w:r>
    </w:p>
    <w:p w14:paraId="480A1444" w14:textId="374E7122" w:rsidR="00BF4859" w:rsidRPr="00380274" w:rsidRDefault="00BF4859" w:rsidP="00BF4859">
      <w:pPr>
        <w:pStyle w:val="ListParagraph"/>
        <w:numPr>
          <w:ilvl w:val="0"/>
          <w:numId w:val="35"/>
        </w:numPr>
      </w:pPr>
      <w:r w:rsidRPr="00380274">
        <w:t>Within the data, tables and charts published, the total number all further education and skills providers and the number judged requires improvement both decrease by one. The percentages remain unchanged.</w:t>
      </w:r>
    </w:p>
    <w:p w14:paraId="20FD026C" w14:textId="6C0193AA" w:rsidR="006064B9" w:rsidRPr="00380274" w:rsidRDefault="00A006AD" w:rsidP="00A006AD">
      <w:pPr>
        <w:pStyle w:val="ListParagraph"/>
        <w:numPr>
          <w:ilvl w:val="0"/>
          <w:numId w:val="35"/>
        </w:numPr>
      </w:pPr>
      <w:r w:rsidRPr="00380274">
        <w:t xml:space="preserve">Within the </w:t>
      </w:r>
      <w:r w:rsidR="006064B9" w:rsidRPr="00380274">
        <w:t>data, tables and charts published</w:t>
      </w:r>
      <w:r w:rsidRPr="00380274">
        <w:t xml:space="preserve">, </w:t>
      </w:r>
      <w:r w:rsidR="006064B9" w:rsidRPr="00380274">
        <w:t>the total number of independent learning providers (including employer providers) and the number judged requires improvement</w:t>
      </w:r>
      <w:r w:rsidR="00672144" w:rsidRPr="00380274">
        <w:t xml:space="preserve"> </w:t>
      </w:r>
      <w:r w:rsidRPr="00380274">
        <w:t>b</w:t>
      </w:r>
      <w:r w:rsidR="006064B9" w:rsidRPr="00380274">
        <w:t>oth decrease by one. The percentages remain unchanged.</w:t>
      </w:r>
    </w:p>
    <w:p w14:paraId="1F0F882F" w14:textId="52C50369" w:rsidR="00672144" w:rsidRPr="00380274" w:rsidRDefault="00672144" w:rsidP="00A006AD">
      <w:pPr>
        <w:pStyle w:val="ListParagraph"/>
        <w:numPr>
          <w:ilvl w:val="0"/>
          <w:numId w:val="35"/>
        </w:numPr>
      </w:pPr>
      <w:r w:rsidRPr="00380274">
        <w:t>The number of independent learning providers reported in the official statistics key findings decreases by one</w:t>
      </w:r>
      <w:r w:rsidR="00A006AD" w:rsidRPr="00380274">
        <w:t>.</w:t>
      </w:r>
      <w:r w:rsidRPr="00380274">
        <w:t xml:space="preserve"> </w:t>
      </w:r>
      <w:r w:rsidR="00A006AD" w:rsidRPr="00380274">
        <w:t>T</w:t>
      </w:r>
      <w:r w:rsidRPr="00380274">
        <w:t xml:space="preserve">he percentages remain unchanged. </w:t>
      </w:r>
    </w:p>
    <w:p w14:paraId="6AB13885" w14:textId="3F095CBE" w:rsidR="00672144" w:rsidRPr="00380274" w:rsidRDefault="00672144" w:rsidP="00A006AD">
      <w:pPr>
        <w:pStyle w:val="ListParagraph"/>
        <w:numPr>
          <w:ilvl w:val="0"/>
          <w:numId w:val="35"/>
        </w:numPr>
      </w:pPr>
      <w:r w:rsidRPr="00380274">
        <w:t>T</w:t>
      </w:r>
      <w:r w:rsidR="006064B9" w:rsidRPr="00380274">
        <w:t xml:space="preserve">he proportion </w:t>
      </w:r>
      <w:r w:rsidRPr="00380274">
        <w:t xml:space="preserve">of independent learning providers (including employer providers) </w:t>
      </w:r>
      <w:r w:rsidR="006064B9" w:rsidRPr="00380274">
        <w:t>judged good or outstanding</w:t>
      </w:r>
      <w:r w:rsidRPr="00380274">
        <w:t>,</w:t>
      </w:r>
      <w:r w:rsidR="006064B9" w:rsidRPr="00380274">
        <w:t xml:space="preserve"> as reported in the official statistics key findings and the Ofsted Annual Report for 2015/16</w:t>
      </w:r>
      <w:r w:rsidR="00D066C2">
        <w:rPr>
          <w:vertAlign w:val="superscript"/>
        </w:rPr>
        <w:t>10</w:t>
      </w:r>
      <w:r w:rsidR="006064B9" w:rsidRPr="00380274">
        <w:t xml:space="preserve">, </w:t>
      </w:r>
      <w:r w:rsidRPr="00380274">
        <w:t xml:space="preserve">increase </w:t>
      </w:r>
      <w:r w:rsidR="006064B9" w:rsidRPr="00380274">
        <w:t>by one percentage point</w:t>
      </w:r>
      <w:r w:rsidRPr="00380274">
        <w:t xml:space="preserve"> </w:t>
      </w:r>
      <w:r w:rsidR="006064B9" w:rsidRPr="00380274">
        <w:t>from 82% to 83%</w:t>
      </w:r>
      <w:r w:rsidRPr="00380274">
        <w:t xml:space="preserve">. </w:t>
      </w:r>
    </w:p>
    <w:p w14:paraId="77943C38" w14:textId="77777777" w:rsidR="008228EB" w:rsidRPr="00380274" w:rsidRDefault="008228EB"/>
    <w:p w14:paraId="5D8F8407" w14:textId="7E1C683F" w:rsidR="00C476C4" w:rsidRPr="00380274" w:rsidRDefault="00C476C4">
      <w:pPr>
        <w:rPr>
          <w:b/>
        </w:rPr>
      </w:pPr>
      <w:r w:rsidRPr="00380274">
        <w:rPr>
          <w:b/>
        </w:rPr>
        <w:t>Prisons and young offender intuitions</w:t>
      </w:r>
    </w:p>
    <w:p w14:paraId="37A64C33" w14:textId="65C8E7CB" w:rsidR="00C476C4" w:rsidRPr="00380274" w:rsidRDefault="00C476C4">
      <w:r w:rsidRPr="00380274">
        <w:t xml:space="preserve"> </w:t>
      </w:r>
    </w:p>
    <w:p w14:paraId="11108EE3" w14:textId="0417DED1" w:rsidR="00C476C4" w:rsidRPr="00380274" w:rsidRDefault="00C476C4">
      <w:r w:rsidRPr="00380274">
        <w:t>In the Ofsted Annual Report for 2015/16</w:t>
      </w:r>
      <w:r w:rsidRPr="00380274">
        <w:rPr>
          <w:rStyle w:val="FootnoteReference"/>
        </w:rPr>
        <w:footnoteReference w:id="10"/>
      </w:r>
      <w:r w:rsidRPr="00380274">
        <w:t>, we reported that 80 prisons and young offender institutions had been awarded an overall effectiveness judgement as at 31 August 2016, of which 53% required improvement and 13% were inadequate.</w:t>
      </w:r>
    </w:p>
    <w:p w14:paraId="4346513D" w14:textId="77777777" w:rsidR="00C476C4" w:rsidRPr="00380274" w:rsidRDefault="00C476C4"/>
    <w:p w14:paraId="01C600AC" w14:textId="138358DB" w:rsidR="00C476C4" w:rsidRPr="00380274" w:rsidRDefault="00C476C4">
      <w:r w:rsidRPr="00380274">
        <w:t xml:space="preserve">These figures have been revised </w:t>
      </w:r>
      <w:r w:rsidR="00F71FB2" w:rsidRPr="00380274">
        <w:t xml:space="preserve">for 31 August 2016, </w:t>
      </w:r>
      <w:r w:rsidRPr="00380274">
        <w:t>to 82 prisons and young offender institutions with an overall effectiveness judgement, of which 52% required improvement and 12% were inadequate. The proportion judged good or outstanding remain</w:t>
      </w:r>
      <w:r w:rsidR="00F71FB2" w:rsidRPr="00380274">
        <w:t>s unchanged.</w:t>
      </w:r>
    </w:p>
    <w:p w14:paraId="6DBC2919" w14:textId="77777777" w:rsidR="00A065D8" w:rsidRPr="00380274" w:rsidRDefault="00A065D8" w:rsidP="00A065D8">
      <w:pPr>
        <w:pStyle w:val="Heading1"/>
        <w:spacing w:before="0"/>
        <w:rPr>
          <w:rFonts w:ascii="Tahoma" w:hAnsi="Tahoma" w:cs="Tahoma"/>
          <w:b/>
          <w:color w:val="auto"/>
        </w:rPr>
      </w:pPr>
      <w:bookmarkStart w:id="11" w:name="_Toc452636776"/>
      <w:bookmarkStart w:id="12" w:name="_Toc467249090"/>
      <w:bookmarkStart w:id="13" w:name="_Toc485646782"/>
      <w:r w:rsidRPr="00380274">
        <w:rPr>
          <w:rFonts w:ascii="Tahoma" w:hAnsi="Tahoma" w:cs="Tahoma"/>
          <w:b/>
          <w:color w:val="auto"/>
        </w:rPr>
        <w:lastRenderedPageBreak/>
        <w:t>Notes</w:t>
      </w:r>
      <w:bookmarkEnd w:id="11"/>
      <w:bookmarkEnd w:id="12"/>
      <w:bookmarkEnd w:id="13"/>
    </w:p>
    <w:p w14:paraId="66818CAE" w14:textId="77777777" w:rsidR="00A065D8" w:rsidRPr="00380274" w:rsidRDefault="00A065D8" w:rsidP="00A065D8"/>
    <w:p w14:paraId="12FEDEEF" w14:textId="1716E8C6" w:rsidR="00A065D8" w:rsidRPr="00D066C2" w:rsidRDefault="00A065D8" w:rsidP="00D066C2">
      <w:pPr>
        <w:rPr>
          <w:color w:val="000000"/>
        </w:rPr>
      </w:pPr>
      <w:r w:rsidRPr="00D066C2">
        <w:rPr>
          <w:color w:val="000000"/>
        </w:rPr>
        <w:t xml:space="preserve">From the 31 August 2015, the most recent inspection outcomes include providers wholly or partly funded by the </w:t>
      </w:r>
      <w:r w:rsidR="00253CCE" w:rsidRPr="00D066C2">
        <w:rPr>
          <w:color w:val="000000"/>
        </w:rPr>
        <w:t xml:space="preserve">Education and </w:t>
      </w:r>
      <w:r w:rsidRPr="00D066C2">
        <w:rPr>
          <w:color w:val="000000"/>
        </w:rPr>
        <w:t xml:space="preserve">Skills Funding Agency </w:t>
      </w:r>
      <w:r w:rsidR="00253CCE" w:rsidRPr="00D066C2">
        <w:rPr>
          <w:color w:val="000000"/>
        </w:rPr>
        <w:t>(or their predecessor funding agencies)</w:t>
      </w:r>
      <w:r w:rsidRPr="00D066C2">
        <w:rPr>
          <w:color w:val="000000"/>
        </w:rPr>
        <w:t xml:space="preserve"> at that point in time. For 31 August 2014 and before, the most recent inspection outcomes include: 1) providers wholly or partly funded by the Skills Funding Agency or the Education Funding Agency at that point in time, and 2) providers who had lost funding or closed during the corresponding reporting year.</w:t>
      </w:r>
    </w:p>
    <w:p w14:paraId="56BB23A1" w14:textId="77777777" w:rsidR="00A065D8" w:rsidRPr="00380274" w:rsidRDefault="00A065D8" w:rsidP="00A065D8">
      <w:pPr>
        <w:ind w:left="360"/>
        <w:rPr>
          <w:bCs/>
        </w:rPr>
      </w:pPr>
    </w:p>
    <w:p w14:paraId="70CD5DF3" w14:textId="0CA49368" w:rsidR="00253CCE" w:rsidRPr="00D066C2" w:rsidRDefault="00253CCE" w:rsidP="00D066C2">
      <w:pPr>
        <w:rPr>
          <w:color w:val="000000"/>
        </w:rPr>
      </w:pPr>
      <w:r w:rsidRPr="00D066C2">
        <w:rPr>
          <w:color w:val="000000"/>
        </w:rPr>
        <w:t>Full inspections</w:t>
      </w:r>
    </w:p>
    <w:p w14:paraId="119A2BC4" w14:textId="222D1AF0" w:rsidR="00253CCE" w:rsidRPr="00380274" w:rsidRDefault="00253CCE" w:rsidP="00253CCE">
      <w:pPr>
        <w:pStyle w:val="ListParagraph"/>
        <w:numPr>
          <w:ilvl w:val="0"/>
          <w:numId w:val="12"/>
        </w:numPr>
        <w:ind w:left="709" w:hanging="357"/>
      </w:pPr>
      <w:r w:rsidRPr="00380274">
        <w:t>Providers judged outstanding at their most recent inspection are not normally subject to routine inspection.</w:t>
      </w:r>
      <w:r w:rsidRPr="00380274">
        <w:rPr>
          <w:vertAlign w:val="superscript"/>
        </w:rPr>
        <w:footnoteReference w:id="11"/>
      </w:r>
      <w:r w:rsidRPr="00380274">
        <w:t xml:space="preserve"> However, an outstanding provider may </w:t>
      </w:r>
      <w:r w:rsidR="00D451D1" w:rsidRPr="00380274">
        <w:t xml:space="preserve">be risk assessed to </w:t>
      </w:r>
      <w:r w:rsidRPr="00380274">
        <w:t>receive a full inspection where its performance declines or there is another compelling reason, such as potential safeguarding issues.</w:t>
      </w:r>
    </w:p>
    <w:p w14:paraId="628DB4AD" w14:textId="376F3145" w:rsidR="00253CCE" w:rsidRPr="00380274" w:rsidRDefault="00253CCE" w:rsidP="00253CCE">
      <w:pPr>
        <w:pStyle w:val="ListParagraph"/>
        <w:numPr>
          <w:ilvl w:val="0"/>
          <w:numId w:val="12"/>
        </w:numPr>
        <w:ind w:left="709" w:hanging="357"/>
      </w:pPr>
      <w:r w:rsidRPr="00380274">
        <w:t xml:space="preserve">Providers judged good for overall effectiveness at their most recent inspection will usually be inspected within the three years from September 2015. This will normally be a short inspection (see below) but may be a </w:t>
      </w:r>
      <w:r w:rsidR="00D451D1" w:rsidRPr="00380274">
        <w:t xml:space="preserve">risk assessed </w:t>
      </w:r>
      <w:r w:rsidRPr="00380274">
        <w:t>full inspection where information suggests that this is the most appropriate course of action, for example if the provider’s performance has declined.</w:t>
      </w:r>
    </w:p>
    <w:p w14:paraId="71592CB5" w14:textId="53835676" w:rsidR="00253CCE" w:rsidRPr="00380274" w:rsidRDefault="00253CCE" w:rsidP="00253CCE">
      <w:pPr>
        <w:pStyle w:val="ListParagraph"/>
        <w:numPr>
          <w:ilvl w:val="0"/>
          <w:numId w:val="12"/>
        </w:numPr>
        <w:ind w:left="709" w:hanging="357"/>
      </w:pPr>
      <w:r w:rsidRPr="00380274">
        <w:t>A provider judged to require improvement at their most recent inspection will normally have a full re-inspection within 12 to 24 months of its previous inspection.</w:t>
      </w:r>
    </w:p>
    <w:p w14:paraId="0515101F" w14:textId="44A71FAC" w:rsidR="00253CCE" w:rsidRPr="00380274" w:rsidRDefault="00253CCE" w:rsidP="00253CCE">
      <w:pPr>
        <w:pStyle w:val="ListParagraph"/>
        <w:numPr>
          <w:ilvl w:val="0"/>
          <w:numId w:val="12"/>
        </w:numPr>
        <w:ind w:left="709" w:hanging="357"/>
      </w:pPr>
      <w:r w:rsidRPr="00380274">
        <w:t>Ofsted will monitor providers judged as inadequate and re-inspect them within 15 months of publication of their last full inspection report.</w:t>
      </w:r>
      <w:r w:rsidRPr="00380274">
        <w:rPr>
          <w:rStyle w:val="FootnoteReference"/>
        </w:rPr>
        <w:footnoteReference w:id="12"/>
      </w:r>
    </w:p>
    <w:p w14:paraId="14182C30" w14:textId="77777777" w:rsidR="00253CCE" w:rsidRPr="00380274" w:rsidRDefault="00253CCE" w:rsidP="00253CCE"/>
    <w:p w14:paraId="7E63E661" w14:textId="77777777" w:rsidR="00253CCE" w:rsidRPr="00D066C2" w:rsidRDefault="00253CCE" w:rsidP="00D066C2">
      <w:pPr>
        <w:rPr>
          <w:color w:val="000000"/>
        </w:rPr>
      </w:pPr>
      <w:r w:rsidRPr="00D066C2">
        <w:rPr>
          <w:color w:val="000000"/>
        </w:rPr>
        <w:t>Short inspection</w:t>
      </w:r>
    </w:p>
    <w:p w14:paraId="598A193D" w14:textId="77777777" w:rsidR="00253CCE" w:rsidRPr="00380274" w:rsidRDefault="00253CCE" w:rsidP="00253CCE">
      <w:pPr>
        <w:pStyle w:val="ListParagraph"/>
        <w:numPr>
          <w:ilvl w:val="0"/>
          <w:numId w:val="12"/>
        </w:numPr>
        <w:ind w:left="709" w:hanging="357"/>
      </w:pPr>
      <w:r w:rsidRPr="00380274">
        <w:t>Providers awarded a grade of good for overall effectiveness at their previous inspection will usually receive a short inspection.</w:t>
      </w:r>
    </w:p>
    <w:p w14:paraId="21F718B2" w14:textId="77777777" w:rsidR="00253CCE" w:rsidRPr="00380274" w:rsidRDefault="00253CCE" w:rsidP="00253CCE">
      <w:pPr>
        <w:pStyle w:val="ListParagraph"/>
        <w:numPr>
          <w:ilvl w:val="0"/>
          <w:numId w:val="12"/>
        </w:numPr>
        <w:ind w:left="709" w:hanging="357"/>
      </w:pPr>
      <w:r w:rsidRPr="00380274">
        <w:t xml:space="preserve">A short inspection will determine whether the provider continues to provide a good standard of education/training for learners and whether safeguarding is effective. </w:t>
      </w:r>
    </w:p>
    <w:p w14:paraId="1F7B2ED8" w14:textId="77777777" w:rsidR="00253CCE" w:rsidRPr="00380274" w:rsidRDefault="00253CCE" w:rsidP="00253CCE">
      <w:pPr>
        <w:pStyle w:val="ListParagraph"/>
        <w:numPr>
          <w:ilvl w:val="0"/>
          <w:numId w:val="12"/>
        </w:numPr>
        <w:ind w:left="709" w:hanging="357"/>
      </w:pPr>
      <w:r w:rsidRPr="00380274">
        <w:t xml:space="preserve">A short inspection will not make individual graded judgements and will not change the provider’s overall effectiveness grade. </w:t>
      </w:r>
    </w:p>
    <w:p w14:paraId="60D2C20F" w14:textId="02928C9B" w:rsidR="00253CCE" w:rsidRPr="00380274" w:rsidRDefault="00253CCE" w:rsidP="00253CCE">
      <w:pPr>
        <w:pStyle w:val="ListParagraph"/>
        <w:numPr>
          <w:ilvl w:val="0"/>
          <w:numId w:val="12"/>
        </w:numPr>
        <w:ind w:left="709" w:hanging="357"/>
      </w:pPr>
      <w:r w:rsidRPr="00380274">
        <w:rPr>
          <w:color w:val="000000"/>
        </w:rPr>
        <w:t>The lead inspector can choose to convert the short inspection to a full inspection where: there is insufficient evidence to confirm that the provider remains good; there are concerns that there is evidence that the provider may no longer be good (which may include concerns about safeguarding); or if there is sufficient evidence of improved performance to suggest that the provider may be judged outstanding.</w:t>
      </w:r>
    </w:p>
    <w:p w14:paraId="7C05DAA7" w14:textId="01C7EE58" w:rsidR="00253CCE" w:rsidRPr="00380274" w:rsidRDefault="00253CCE" w:rsidP="00D066C2">
      <w:r w:rsidRPr="00380274">
        <w:lastRenderedPageBreak/>
        <w:t>If the inspection is converted to a full inspection, inspectors will make the full set of graded judgements.</w:t>
      </w:r>
      <w:r w:rsidRPr="00D066C2">
        <w:rPr>
          <w:color w:val="000000"/>
        </w:rPr>
        <w:t xml:space="preserve"> As a result of the converted inspection the provider could improve, decline or remain the same.</w:t>
      </w:r>
    </w:p>
    <w:p w14:paraId="0C2A38B4" w14:textId="77777777" w:rsidR="00D066C2" w:rsidRDefault="00D066C2" w:rsidP="00D066C2">
      <w:pPr>
        <w:rPr>
          <w:bCs/>
        </w:rPr>
      </w:pPr>
    </w:p>
    <w:p w14:paraId="14D05510" w14:textId="1817E215" w:rsidR="00A065D8" w:rsidRPr="00D066C2" w:rsidRDefault="00A065D8" w:rsidP="00D066C2">
      <w:pPr>
        <w:rPr>
          <w:color w:val="000000"/>
        </w:rPr>
      </w:pPr>
      <w:r w:rsidRPr="00D066C2">
        <w:rPr>
          <w:color w:val="000000"/>
        </w:rPr>
        <w:t>The quality report for these official statistics contains an explanation of the methodology used and the relevant inspection frameworks, along with other useful information, such as where to find previously published further education and skills official statistics. It is available from:</w:t>
      </w:r>
    </w:p>
    <w:p w14:paraId="3D7B679E" w14:textId="6041F378" w:rsidR="00A065D8" w:rsidRPr="00380274" w:rsidRDefault="00AE12C0" w:rsidP="00D066C2">
      <w:pPr>
        <w:rPr>
          <w:bCs/>
        </w:rPr>
      </w:pPr>
      <w:hyperlink r:id="rId14" w:history="1">
        <w:r w:rsidR="00FE6D68" w:rsidRPr="00380274">
          <w:rPr>
            <w:rStyle w:val="Hyperlink"/>
          </w:rPr>
          <w:t>https://www.gov.uk/government/statistics/further-education-and-skills-inspections-and-outcomes-as-at-28-February-2017</w:t>
        </w:r>
      </w:hyperlink>
      <w:r w:rsidR="00A065D8" w:rsidRPr="00380274">
        <w:t xml:space="preserve">  </w:t>
      </w:r>
    </w:p>
    <w:p w14:paraId="4242EC05" w14:textId="77777777" w:rsidR="00A065D8" w:rsidRPr="00380274" w:rsidRDefault="00A065D8" w:rsidP="00A065D8">
      <w:pPr>
        <w:ind w:left="720"/>
        <w:rPr>
          <w:bCs/>
        </w:rPr>
      </w:pPr>
    </w:p>
    <w:p w14:paraId="3F70E50A" w14:textId="77777777" w:rsidR="00161A2D" w:rsidRPr="00D066C2" w:rsidRDefault="00A065D8" w:rsidP="00D066C2">
      <w:pPr>
        <w:rPr>
          <w:color w:val="000000"/>
        </w:rPr>
      </w:pPr>
      <w:r w:rsidRPr="00D066C2">
        <w:rPr>
          <w:color w:val="000000"/>
        </w:rPr>
        <w:t xml:space="preserve">In 2016, the National Statistician published new guidance covering management information and official statistics. This guidance can be accessed here: </w:t>
      </w:r>
    </w:p>
    <w:p w14:paraId="1C654A92" w14:textId="690F9602" w:rsidR="00A065D8" w:rsidRPr="00380274" w:rsidRDefault="00AE12C0" w:rsidP="00D066C2">
      <w:pPr>
        <w:rPr>
          <w:bCs/>
        </w:rPr>
      </w:pPr>
      <w:hyperlink r:id="rId15" w:history="1">
        <w:r w:rsidR="00A065D8" w:rsidRPr="00380274">
          <w:rPr>
            <w:rStyle w:val="Hyperlink"/>
            <w:bCs/>
          </w:rPr>
          <w:t>https://gss.civilservice.gov.uk/blog/2016/06/management-information-guidance/</w:t>
        </w:r>
      </w:hyperlink>
    </w:p>
    <w:p w14:paraId="74EA72D7" w14:textId="77777777" w:rsidR="00A065D8" w:rsidRPr="00380274" w:rsidRDefault="00A065D8" w:rsidP="00A065D8">
      <w:pPr>
        <w:ind w:left="720"/>
        <w:rPr>
          <w:bCs/>
        </w:rPr>
      </w:pPr>
    </w:p>
    <w:p w14:paraId="14BAF97F" w14:textId="77777777" w:rsidR="00161A2D" w:rsidRPr="00380274" w:rsidRDefault="00161A2D" w:rsidP="00A065D8">
      <w:pPr>
        <w:ind w:left="720"/>
        <w:rPr>
          <w:bCs/>
        </w:rPr>
      </w:pPr>
    </w:p>
    <w:p w14:paraId="61449DF6" w14:textId="77777777" w:rsidR="00A065D8" w:rsidRPr="00380274" w:rsidRDefault="00A065D8" w:rsidP="00A065D8">
      <w:pPr>
        <w:rPr>
          <w:color w:val="FF0000"/>
        </w:rPr>
      </w:pPr>
      <w:bookmarkStart w:id="14" w:name="_Glossary"/>
      <w:bookmarkEnd w:id="14"/>
      <w:r w:rsidRPr="00380274">
        <w:t>If you have any comments or feedback on this publication, please contact Sarah Pearce on 03000 130 632 or</w:t>
      </w:r>
      <w:r w:rsidRPr="00380274">
        <w:rPr>
          <w:color w:val="FF0000"/>
        </w:rPr>
        <w:t xml:space="preserve"> </w:t>
      </w:r>
      <w:hyperlink r:id="rId16" w:history="1">
        <w:r w:rsidRPr="00380274">
          <w:rPr>
            <w:rStyle w:val="Hyperlink"/>
          </w:rPr>
          <w:t>Sarah.Pearce@ofsted.gov.uk</w:t>
        </w:r>
      </w:hyperlink>
    </w:p>
    <w:p w14:paraId="206CC9F3" w14:textId="77777777" w:rsidR="00A065D8" w:rsidRPr="00380274" w:rsidRDefault="00A065D8" w:rsidP="00A065D8"/>
    <w:p w14:paraId="58E8D8D4" w14:textId="77777777" w:rsidR="00A065D8" w:rsidRPr="00380274" w:rsidRDefault="00A065D8" w:rsidP="00A065D8"/>
    <w:p w14:paraId="77D312C5" w14:textId="77777777" w:rsidR="00A065D8" w:rsidRPr="00380274" w:rsidRDefault="00A065D8" w:rsidP="00A065D8"/>
    <w:p w14:paraId="7783F850" w14:textId="77777777" w:rsidR="00A065D8" w:rsidRPr="00380274" w:rsidRDefault="00A065D8" w:rsidP="00A065D8"/>
    <w:p w14:paraId="67B416A2" w14:textId="77777777" w:rsidR="00A065D8" w:rsidRPr="00380274" w:rsidRDefault="00A065D8" w:rsidP="00A065D8"/>
    <w:p w14:paraId="02D5297C" w14:textId="77777777" w:rsidR="00A065D8" w:rsidRPr="00380274" w:rsidRDefault="00A065D8" w:rsidP="00A065D8"/>
    <w:p w14:paraId="46A52B5A" w14:textId="77777777" w:rsidR="00A065D8" w:rsidRPr="00380274" w:rsidRDefault="00A065D8" w:rsidP="00A065D8"/>
    <w:p w14:paraId="2802A162" w14:textId="77777777" w:rsidR="00804F01" w:rsidRPr="00380274" w:rsidRDefault="00804F01" w:rsidP="00A065D8"/>
    <w:p w14:paraId="229BC520" w14:textId="77777777" w:rsidR="00804F01" w:rsidRPr="00380274" w:rsidRDefault="00804F01" w:rsidP="00A065D8"/>
    <w:p w14:paraId="4CE633FE" w14:textId="77777777" w:rsidR="00804F01" w:rsidRPr="00380274" w:rsidRDefault="00804F01" w:rsidP="00A065D8"/>
    <w:p w14:paraId="3665692C" w14:textId="77777777" w:rsidR="00804F01" w:rsidRPr="00380274" w:rsidRDefault="00804F01" w:rsidP="00A065D8"/>
    <w:p w14:paraId="6B8084EA" w14:textId="77777777" w:rsidR="00804F01" w:rsidRPr="00380274" w:rsidRDefault="00804F01" w:rsidP="00A065D8"/>
    <w:p w14:paraId="3C77ED3C" w14:textId="77777777" w:rsidR="00804F01" w:rsidRPr="00380274" w:rsidRDefault="00804F01" w:rsidP="00A065D8"/>
    <w:p w14:paraId="5FD4E3BF" w14:textId="77777777" w:rsidR="00804F01" w:rsidRPr="00380274" w:rsidRDefault="00804F01" w:rsidP="00A065D8"/>
    <w:p w14:paraId="3EB702A2" w14:textId="77777777" w:rsidR="00A065D8" w:rsidRPr="00380274" w:rsidRDefault="00A065D8" w:rsidP="00A065D8"/>
    <w:p w14:paraId="0DECE449" w14:textId="77777777" w:rsidR="00A065D8" w:rsidRPr="00380274" w:rsidRDefault="00A065D8" w:rsidP="00A065D8"/>
    <w:p w14:paraId="53FE796B" w14:textId="77777777" w:rsidR="00A065D8" w:rsidRPr="00380274" w:rsidRDefault="00A065D8" w:rsidP="00A065D8"/>
    <w:p w14:paraId="497CE31B" w14:textId="77777777" w:rsidR="00A065D8" w:rsidRPr="00380274" w:rsidRDefault="00A065D8" w:rsidP="00A065D8"/>
    <w:p w14:paraId="57215142" w14:textId="77777777" w:rsidR="00A065D8" w:rsidRPr="00380274" w:rsidRDefault="00A065D8" w:rsidP="00A065D8">
      <w:r w:rsidRPr="00380274">
        <w:t>© Crown copyright</w:t>
      </w:r>
    </w:p>
    <w:p w14:paraId="343731A3" w14:textId="77777777" w:rsidR="00A065D8" w:rsidRPr="00380274" w:rsidRDefault="00A065D8" w:rsidP="00A065D8"/>
    <w:p w14:paraId="62C4D943" w14:textId="6484E0D9" w:rsidR="00A03F99" w:rsidRPr="00E967D1" w:rsidRDefault="00A065D8">
      <w:r w:rsidRPr="00380274">
        <w:rPr>
          <w:sz w:val="20"/>
          <w:szCs w:val="20"/>
        </w:rPr>
        <w:t xml:space="preserve">You may re-use this information (not including logos) free of charge in any format or medium, under the terms of the Open Government Licence. To view this licence, visit </w:t>
      </w:r>
      <w:hyperlink r:id="rId17" w:history="1">
        <w:r w:rsidRPr="00380274">
          <w:rPr>
            <w:rStyle w:val="Hyperlink"/>
            <w:sz w:val="20"/>
            <w:szCs w:val="20"/>
          </w:rPr>
          <w:t>http://www.nationalarchives.gov.uk/doc/open-government-licence/</w:t>
        </w:r>
      </w:hyperlink>
      <w:r w:rsidRPr="00380274">
        <w:rPr>
          <w:sz w:val="20"/>
          <w:szCs w:val="20"/>
        </w:rPr>
        <w:t xml:space="preserve"> or write to the Information Policy Team, The National Archives, Kew, London, TW9 4DU or e-mail: </w:t>
      </w:r>
      <w:hyperlink r:id="rId18" w:history="1">
        <w:r w:rsidRPr="00380274">
          <w:rPr>
            <w:rStyle w:val="Hyperlink"/>
            <w:sz w:val="20"/>
            <w:szCs w:val="20"/>
          </w:rPr>
          <w:t>psi@nationalarchives.gsi.gov.uk</w:t>
        </w:r>
      </w:hyperlink>
    </w:p>
    <w:sectPr w:rsidR="00A03F99" w:rsidRPr="00E967D1" w:rsidSect="00E85DC8">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6BCE5" w14:textId="77777777" w:rsidR="00F3466F" w:rsidRDefault="00F3466F" w:rsidP="00B41006">
      <w:r>
        <w:separator/>
      </w:r>
    </w:p>
  </w:endnote>
  <w:endnote w:type="continuationSeparator" w:id="0">
    <w:p w14:paraId="1516EB8D" w14:textId="77777777" w:rsidR="00F3466F" w:rsidRDefault="00F3466F"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85BC" w14:textId="77777777" w:rsidR="0067204B" w:rsidRDefault="00672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B5527" w14:textId="77777777" w:rsidR="00F3466F" w:rsidRPr="001460CF" w:rsidRDefault="00F3466F" w:rsidP="00A70E85">
    <w:pPr>
      <w:pStyle w:val="Footer-RHSOdd"/>
      <w:pBdr>
        <w:top w:val="single" w:sz="4" w:space="2" w:color="auto"/>
      </w:pBdr>
      <w:tabs>
        <w:tab w:val="right" w:pos="8460"/>
      </w:tabs>
      <w:rPr>
        <w:b w:val="0"/>
        <w:sz w:val="20"/>
      </w:rPr>
    </w:pPr>
    <w:r w:rsidRPr="001460CF">
      <w:rPr>
        <w:b w:val="0"/>
        <w:sz w:val="20"/>
      </w:rPr>
      <w:t xml:space="preserve">Responsible </w:t>
    </w:r>
    <w:r>
      <w:rPr>
        <w:b w:val="0"/>
        <w:sz w:val="20"/>
      </w:rPr>
      <w:t>s</w:t>
    </w:r>
    <w:r w:rsidRPr="001460CF">
      <w:rPr>
        <w:b w:val="0"/>
        <w:sz w:val="20"/>
      </w:rPr>
      <w:t>tatistician:</w:t>
    </w:r>
    <w:r>
      <w:rPr>
        <w:b w:val="0"/>
        <w:sz w:val="20"/>
      </w:rPr>
      <w:t xml:space="preserve"> Sarah Pearce</w:t>
    </w:r>
    <w:r w:rsidRPr="001460CF">
      <w:rPr>
        <w:b w:val="0"/>
        <w:sz w:val="20"/>
      </w:rPr>
      <w:t xml:space="preserve">, </w:t>
    </w:r>
    <w:r>
      <w:rPr>
        <w:rStyle w:val="Hyperlink"/>
        <w:b w:val="0"/>
        <w:sz w:val="20"/>
      </w:rPr>
      <w:t>Sarah.Pearce@Ofsted.gov.uk</w:t>
    </w:r>
  </w:p>
  <w:p w14:paraId="3091FD98" w14:textId="6A8F7DB3" w:rsidR="00F3466F" w:rsidRPr="00A70E85" w:rsidRDefault="00F3466F" w:rsidP="00A70E85">
    <w:pPr>
      <w:pStyle w:val="Footer-RHSOdd"/>
      <w:pBdr>
        <w:top w:val="single" w:sz="4" w:space="2" w:color="auto"/>
      </w:pBdr>
      <w:tabs>
        <w:tab w:val="right" w:pos="8460"/>
      </w:tabs>
      <w:rPr>
        <w:b w:val="0"/>
        <w:sz w:val="20"/>
      </w:rPr>
    </w:pPr>
    <w:r w:rsidRPr="001460CF">
      <w:rPr>
        <w:b w:val="0"/>
        <w:sz w:val="20"/>
      </w:rPr>
      <w:t>Published on:</w:t>
    </w:r>
    <w:r>
      <w:rPr>
        <w:b w:val="0"/>
        <w:sz w:val="20"/>
      </w:rPr>
      <w:t xml:space="preserve"> 28/06/2017. Next publication: November/December 2017.</w:t>
    </w:r>
    <w:r>
      <w:rPr>
        <w:b w:val="0"/>
        <w:sz w:val="20"/>
      </w:rPr>
      <w:tab/>
    </w:r>
    <w:r w:rsidRPr="00243CDA">
      <w:rPr>
        <w:b w:val="0"/>
        <w:sz w:val="20"/>
      </w:rPr>
      <w:fldChar w:fldCharType="begin"/>
    </w:r>
    <w:r w:rsidRPr="00243CDA">
      <w:rPr>
        <w:b w:val="0"/>
        <w:sz w:val="20"/>
      </w:rPr>
      <w:instrText xml:space="preserve"> PAGE   \* MERGEFORMAT </w:instrText>
    </w:r>
    <w:r w:rsidRPr="00243CDA">
      <w:rPr>
        <w:b w:val="0"/>
        <w:sz w:val="20"/>
      </w:rPr>
      <w:fldChar w:fldCharType="separate"/>
    </w:r>
    <w:r w:rsidR="00AE12C0" w:rsidRPr="00AE12C0">
      <w:rPr>
        <w:b w:val="0"/>
        <w:bCs/>
        <w:noProof/>
        <w:sz w:val="20"/>
      </w:rPr>
      <w:t>1</w:t>
    </w:r>
    <w:r w:rsidRPr="00243CDA">
      <w:rPr>
        <w:b w:val="0"/>
        <w:bCs/>
        <w:noProof/>
        <w:sz w:val="20"/>
      </w:rPr>
      <w:fldChar w:fldCharType="end"/>
    </w:r>
    <w:r w:rsidRPr="00243CDA">
      <w:rPr>
        <w:b w:val="0"/>
        <w:bCs/>
        <w:sz w:val="20"/>
      </w:rPr>
      <w:t xml:space="preserve"> </w:t>
    </w:r>
    <w:r w:rsidRPr="00243CDA">
      <w:rPr>
        <w:b w:val="0"/>
        <w:sz w:val="20"/>
      </w:rPr>
      <w:t>|</w:t>
    </w:r>
    <w:r w:rsidRPr="00243CDA">
      <w:rPr>
        <w:b w:val="0"/>
        <w:bCs/>
        <w:sz w:val="20"/>
      </w:rPr>
      <w:t xml:space="preserve"> </w:t>
    </w:r>
    <w:r w:rsidRPr="00243CDA">
      <w:rPr>
        <w:b w:val="0"/>
        <w:color w:val="808080"/>
        <w:spacing w:val="60"/>
        <w:sz w:val="2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A30B9" w14:textId="77777777" w:rsidR="0067204B" w:rsidRDefault="00672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C687E" w14:textId="77777777" w:rsidR="00F3466F" w:rsidRDefault="00F3466F" w:rsidP="00B41006">
      <w:r>
        <w:separator/>
      </w:r>
    </w:p>
  </w:footnote>
  <w:footnote w:type="continuationSeparator" w:id="0">
    <w:p w14:paraId="10CE13EC" w14:textId="77777777" w:rsidR="00F3466F" w:rsidRDefault="00F3466F" w:rsidP="00B41006">
      <w:r>
        <w:continuationSeparator/>
      </w:r>
    </w:p>
  </w:footnote>
  <w:footnote w:id="1">
    <w:p w14:paraId="30515758" w14:textId="02A18FBB" w:rsidR="00F3466F" w:rsidRDefault="00F3466F" w:rsidP="00CF69DF">
      <w:pPr>
        <w:pStyle w:val="FootnoteText"/>
      </w:pPr>
      <w:r w:rsidRPr="00B1118A">
        <w:rPr>
          <w:rStyle w:val="FootnoteReference"/>
        </w:rPr>
        <w:footnoteRef/>
      </w:r>
      <w:r w:rsidRPr="00B1118A">
        <w:t xml:space="preserve"> New providers will normally be inspected within three years.</w:t>
      </w:r>
    </w:p>
  </w:footnote>
  <w:footnote w:id="2">
    <w:p w14:paraId="29814ED5" w14:textId="4E3D0774" w:rsidR="00F3466F" w:rsidRPr="00A027BA" w:rsidRDefault="00F3466F" w:rsidP="00390A99">
      <w:pPr>
        <w:pStyle w:val="FootnoteText"/>
      </w:pPr>
      <w:r w:rsidRPr="00A027BA">
        <w:rPr>
          <w:rStyle w:val="FootnoteReference"/>
        </w:rPr>
        <w:footnoteRef/>
      </w:r>
      <w:r w:rsidRPr="00A027BA">
        <w:t xml:space="preserve"> With the exception of higher education institutions offering further education, local authority providers, independent specialist colleges, dance and drama colleges and learning and skills provision in prisons.</w:t>
      </w:r>
    </w:p>
  </w:footnote>
  <w:footnote w:id="3">
    <w:p w14:paraId="60B9F899" w14:textId="3C2AD111" w:rsidR="00F3466F" w:rsidRPr="00A027BA" w:rsidRDefault="00F3466F" w:rsidP="00390A99">
      <w:pPr>
        <w:pStyle w:val="FootnoteText"/>
      </w:pPr>
      <w:r w:rsidRPr="00A027BA">
        <w:rPr>
          <w:rStyle w:val="FootnoteReference"/>
        </w:rPr>
        <w:footnoteRef/>
      </w:r>
      <w:r w:rsidRPr="00A027BA">
        <w:t xml:space="preserve"> For example where the performance of a provider declines or there is another compelling reason, such as potential safeguarding issues.</w:t>
      </w:r>
    </w:p>
  </w:footnote>
  <w:footnote w:id="4">
    <w:p w14:paraId="1752230E" w14:textId="024A4E2B" w:rsidR="00F3466F" w:rsidRDefault="00F3466F">
      <w:pPr>
        <w:pStyle w:val="FootnoteText"/>
      </w:pPr>
      <w:r w:rsidRPr="00B1118A">
        <w:rPr>
          <w:rStyle w:val="FootnoteReference"/>
        </w:rPr>
        <w:footnoteRef/>
      </w:r>
      <w:r w:rsidRPr="00B1118A">
        <w:t xml:space="preserve"> The merged colleges have yet to be inspected as a new entity.</w:t>
      </w:r>
    </w:p>
  </w:footnote>
  <w:footnote w:id="5">
    <w:p w14:paraId="56D87CDF" w14:textId="0BA9DD5C" w:rsidR="00F3466F" w:rsidRDefault="00F3466F" w:rsidP="00343C55">
      <w:pPr>
        <w:pStyle w:val="FootnoteText"/>
      </w:pPr>
      <w:r>
        <w:rPr>
          <w:rStyle w:val="FootnoteReference"/>
        </w:rPr>
        <w:footnoteRef/>
      </w:r>
      <w:r>
        <w:t xml:space="preserve"> This includes one short inspection that converted to a full inspection, with the sixth form college judged to be good for overall effectiveness.</w:t>
      </w:r>
    </w:p>
  </w:footnote>
  <w:footnote w:id="6">
    <w:p w14:paraId="35171EA1" w14:textId="7C35BF11" w:rsidR="00F3466F" w:rsidRDefault="00F3466F">
      <w:pPr>
        <w:pStyle w:val="FootnoteText"/>
      </w:pPr>
      <w:r>
        <w:rPr>
          <w:rStyle w:val="FootnoteReference"/>
        </w:rPr>
        <w:footnoteRef/>
      </w:r>
      <w:r>
        <w:t xml:space="preserve"> This includes one provider that lost funding after their inspection and therefore was not included within the most recent statistics as at 28 February 2017. </w:t>
      </w:r>
    </w:p>
  </w:footnote>
  <w:footnote w:id="7">
    <w:p w14:paraId="0414FA89" w14:textId="77777777" w:rsidR="00F3466F" w:rsidRDefault="00F3466F" w:rsidP="002F1B36">
      <w:pPr>
        <w:pStyle w:val="FootnoteText"/>
      </w:pPr>
      <w:r>
        <w:rPr>
          <w:rStyle w:val="FootnoteReference"/>
        </w:rPr>
        <w:footnoteRef/>
      </w:r>
      <w:r>
        <w:t xml:space="preserve"> This figure has been revised since the last Official Statistics were published. See the ‘Revisions’ section for further details.</w:t>
      </w:r>
    </w:p>
  </w:footnote>
  <w:footnote w:id="8">
    <w:p w14:paraId="15F67232" w14:textId="0BDDCCC2" w:rsidR="00F3466F" w:rsidRDefault="00F3466F">
      <w:pPr>
        <w:pStyle w:val="FootnoteText"/>
      </w:pPr>
      <w:r w:rsidRPr="00B1118A">
        <w:rPr>
          <w:rStyle w:val="FootnoteReference"/>
        </w:rPr>
        <w:footnoteRef/>
      </w:r>
      <w:r w:rsidRPr="00B1118A">
        <w:t xml:space="preserve"> Providers that were inspected for the first time or reappeared in the statistics as they had regained funding, along with those leaving the sector, had a negligible effect on the decline, as there was a roughly equal split between those judged good or outstanding and those judged to be requires improvement or inadequate.</w:t>
      </w:r>
      <w:r>
        <w:t xml:space="preserve">   </w:t>
      </w:r>
    </w:p>
  </w:footnote>
  <w:footnote w:id="9">
    <w:p w14:paraId="2FC312C5" w14:textId="77777777" w:rsidR="00F3466F" w:rsidRDefault="00F3466F" w:rsidP="00C7632B">
      <w:pPr>
        <w:pStyle w:val="FootnoteText"/>
      </w:pPr>
      <w:r>
        <w:rPr>
          <w:rStyle w:val="FootnoteReference"/>
        </w:rPr>
        <w:footnoteRef/>
      </w:r>
      <w:r>
        <w:t xml:space="preserve"> Two of the prisons were awarded an overall effectiveness judgement in late February 2014.  </w:t>
      </w:r>
    </w:p>
  </w:footnote>
  <w:footnote w:id="10">
    <w:p w14:paraId="43C53A67" w14:textId="7A0FD78E" w:rsidR="00F3466F" w:rsidRDefault="00F3466F">
      <w:pPr>
        <w:pStyle w:val="FootnoteText"/>
      </w:pPr>
      <w:r>
        <w:rPr>
          <w:rStyle w:val="FootnoteReference"/>
        </w:rPr>
        <w:footnoteRef/>
      </w:r>
      <w:r>
        <w:t xml:space="preserve"> </w:t>
      </w:r>
      <w:r w:rsidRPr="00703733">
        <w:t>As reported in ‘Ofsted Annual Report 2015/16: education, early years and skills’</w:t>
      </w:r>
      <w:r>
        <w:t xml:space="preserve">, Ofsted, 2016; </w:t>
      </w:r>
      <w:hyperlink r:id="rId1" w:history="1">
        <w:r>
          <w:rPr>
            <w:rStyle w:val="Hyperlink"/>
          </w:rPr>
          <w:t>www.gov.uk/government/publications/ofsted-annual-report-201516-education-early-years-and-skills</w:t>
        </w:r>
      </w:hyperlink>
      <w:r>
        <w:t>.</w:t>
      </w:r>
    </w:p>
  </w:footnote>
  <w:footnote w:id="11">
    <w:p w14:paraId="2A806A03" w14:textId="77777777" w:rsidR="00F3466F" w:rsidRDefault="00F3466F" w:rsidP="00253CCE">
      <w:pPr>
        <w:pStyle w:val="FootnoteText"/>
      </w:pPr>
      <w:r>
        <w:rPr>
          <w:rStyle w:val="FootnoteReference"/>
        </w:rPr>
        <w:footnoteRef/>
      </w:r>
      <w:r>
        <w:t xml:space="preserve"> The following types of provision are still subject to routine inspection when they have been judged to be outstanding: higher education institutions offering further education; local authority providers; independent specialist colleges; dance and drama programmes; and learning and skills provision in prisons.</w:t>
      </w:r>
    </w:p>
  </w:footnote>
  <w:footnote w:id="12">
    <w:p w14:paraId="1B6FC1BE" w14:textId="77777777" w:rsidR="00F3466F" w:rsidRDefault="00F3466F" w:rsidP="00253CCE">
      <w:pPr>
        <w:pStyle w:val="FootnoteText"/>
      </w:pPr>
      <w:r>
        <w:rPr>
          <w:rStyle w:val="FootnoteReference"/>
        </w:rPr>
        <w:footnoteRef/>
      </w:r>
      <w:r>
        <w:t xml:space="preserve"> Full re-inspections or re-inspection monitoring visits may not happen in certain circumstances, for example where a provider’s funding contract has been terminated.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BB5DF" w14:textId="77777777" w:rsidR="0067204B" w:rsidRDefault="00672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993"/>
      <w:gridCol w:w="2645"/>
    </w:tblGrid>
    <w:tr w:rsidR="00F3466F" w14:paraId="589FE219" w14:textId="77777777" w:rsidTr="006D627D">
      <w:trPr>
        <w:trHeight w:val="1986"/>
      </w:trPr>
      <w:tc>
        <w:tcPr>
          <w:tcW w:w="3628" w:type="pct"/>
          <w:shd w:val="clear" w:color="auto" w:fill="auto"/>
        </w:tcPr>
        <w:p w14:paraId="2C89438E" w14:textId="77777777" w:rsidR="00F3466F" w:rsidRDefault="00F3466F" w:rsidP="006D627D">
          <w:pPr>
            <w:pStyle w:val="Header"/>
          </w:pPr>
          <w:r>
            <w:rPr>
              <w:noProof/>
              <w:lang w:eastAsia="en-GB"/>
            </w:rPr>
            <mc:AlternateContent>
              <mc:Choice Requires="wps">
                <w:drawing>
                  <wp:anchor distT="0" distB="0" distL="114300" distR="114300" simplePos="0" relativeHeight="251659264" behindDoc="0" locked="0" layoutInCell="1" allowOverlap="1" wp14:anchorId="08B1AE0E" wp14:editId="236F01D1">
                    <wp:simplePos x="0" y="0"/>
                    <wp:positionH relativeFrom="column">
                      <wp:posOffset>-71120</wp:posOffset>
                    </wp:positionH>
                    <wp:positionV relativeFrom="paragraph">
                      <wp:posOffset>114935</wp:posOffset>
                    </wp:positionV>
                    <wp:extent cx="1709420" cy="347980"/>
                    <wp:effectExtent l="14605" t="1016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47980"/>
                            </a:xfrm>
                            <a:prstGeom prst="rect">
                              <a:avLst/>
                            </a:prstGeom>
                            <a:solidFill>
                              <a:srgbClr val="FFFFFF"/>
                            </a:solidFill>
                            <a:ln w="12700">
                              <a:solidFill>
                                <a:srgbClr val="000000"/>
                              </a:solidFill>
                              <a:miter lim="800000"/>
                              <a:headEnd/>
                              <a:tailEnd/>
                            </a:ln>
                          </wps:spPr>
                          <wps:txbx>
                            <w:txbxContent>
                              <w:p w14:paraId="1EB8498F" w14:textId="77777777" w:rsidR="00F3466F" w:rsidRPr="00033909" w:rsidRDefault="00F3466F" w:rsidP="006D627D">
                                <w:pPr>
                                  <w:rPr>
                                    <w:sz w:val="32"/>
                                    <w:szCs w:val="32"/>
                                  </w:rPr>
                                </w:pPr>
                                <w:r>
                                  <w:rPr>
                                    <w:sz w:val="32"/>
                                    <w:szCs w:val="32"/>
                                  </w:rPr>
                                  <w:t>Official s</w:t>
                                </w:r>
                                <w:r w:rsidRPr="00033909">
                                  <w:rPr>
                                    <w:sz w:val="32"/>
                                    <w:szCs w:val="32"/>
                                  </w:rPr>
                                  <w:t>tatistic</w:t>
                                </w:r>
                                <w:r>
                                  <w:rPr>
                                    <w:sz w:val="32"/>
                                    <w:szCs w:val="32"/>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B1AE0E" id="_x0000_t202" coordsize="21600,21600" o:spt="202" path="m,l,21600r21600,l21600,xe">
                    <v:stroke joinstyle="miter"/>
                    <v:path gradientshapeok="t" o:connecttype="rect"/>
                  </v:shapetype>
                  <v:shape id="Text Box 2" o:spid="_x0000_s1027" type="#_x0000_t202" style="position:absolute;margin-left:-5.6pt;margin-top:9.05pt;width:134.6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vKgIAAFEEAAAOAAAAZHJzL2Uyb0RvYy54bWysVNuO2yAQfa/Uf0C8N3bStEmsOKtttqkq&#10;bS/Sbj8AY2yjAkOBxE6/fgecTa22T1X9gIAZDmfOGby9GbQiJ+G8BFPS+SynRBgOtTRtSb89Hl6t&#10;KfGBmZopMKKkZ+Hpze7li21vC7GADlQtHEEQ44velrQLwRZZ5nknNPMzsMJgsAGnWcCla7PasR7R&#10;tcoWef4268HV1gEX3uPu3Riku4TfNIKHL03jRSCqpMgtpNGlsYpjttuyonXMdpJfaLB/YKGZNHjp&#10;FeqOBUaOTv4BpSV34KEJMw46g6aRXKQasJp5/ls1Dx2zItWC4nh7lcn/P1j++fTVEVmjd5QYptGi&#10;RzEE8g4Gsojq9NYXmPRgMS0MuB0zY6Xe3gP/7omBfcdMK26dg74TrEZ283gymxwdcXwEqfpPUOM1&#10;7BggAQ2N0xEQxSCIji6dr85EKjxeuco3ywWGOMZeL1ebdbIuY8Xzaet8+CBAkzgpqUPnEzo73fsQ&#10;2bDiOSWxByXrg1QqLVxb7ZUjJ4ZdckhfKgCLnKYpQ3qksljl+ajANOinGHn6/oahZcB+V1KXdH1N&#10;YkXU7b2pUzcGJtU4R87KXISM2o0qhqEaLsZUUJ9RUgdjX+M7xEkH7iclPfZ0Sf2PI3OCEvXRoC2b&#10;+XIZH0FaLN+soqBuGqmmEWY4QpU0UDJO92F8OEfrZNvhTWMjGLhFKxuZVI6ej6wuvLFvk/iXNxYf&#10;xnSdsn79CXZPAAAA//8DAFBLAwQUAAYACAAAACEA8BvHnOEAAAAJAQAADwAAAGRycy9kb3ducmV2&#10;LnhtbEyPQUvDQBCF74L/YRnBi7SbBNSYZlNEW8RLwVqQ3rbZaRKanY3ZTZr+e8eTHof38eZ7+XKy&#10;rRix940jBfE8AoFUOtNQpWD3uZ6lIHzQZHTrCBVc0MOyuL7KdWbcmT5w3IZKcAn5TCuoQ+gyKX1Z&#10;o9V+7jokzo6utzrw2VfS9PrM5baVSRQ9SKsb4g+17vClxvK0HayCzeWLvt+G6Di+d+l+d9qsXtd3&#10;K6Vub6bnBYiAU/iD4Vef1aFgp4MbyHjRKpjFccIoB2kMgoHkPuVxBwWPyRPIIpf/FxQ/AAAA//8D&#10;AFBLAQItABQABgAIAAAAIQC2gziS/gAAAOEBAAATAAAAAAAAAAAAAAAAAAAAAABbQ29udGVudF9U&#10;eXBlc10ueG1sUEsBAi0AFAAGAAgAAAAhADj9If/WAAAAlAEAAAsAAAAAAAAAAAAAAAAALwEAAF9y&#10;ZWxzLy5yZWxzUEsBAi0AFAAGAAgAAAAhANBn7u8qAgAAUQQAAA4AAAAAAAAAAAAAAAAALgIAAGRy&#10;cy9lMm9Eb2MueG1sUEsBAi0AFAAGAAgAAAAhAPAbx5zhAAAACQEAAA8AAAAAAAAAAAAAAAAAhAQA&#10;AGRycy9kb3ducmV2LnhtbFBLBQYAAAAABAAEAPMAAACSBQAAAAA=&#10;" strokeweight="1pt">
                    <v:textbox>
                      <w:txbxContent>
                        <w:p w14:paraId="1EB8498F" w14:textId="77777777" w:rsidR="00F3466F" w:rsidRPr="00033909" w:rsidRDefault="00F3466F" w:rsidP="006D627D">
                          <w:pPr>
                            <w:rPr>
                              <w:sz w:val="32"/>
                              <w:szCs w:val="32"/>
                            </w:rPr>
                          </w:pPr>
                          <w:r>
                            <w:rPr>
                              <w:sz w:val="32"/>
                              <w:szCs w:val="32"/>
                            </w:rPr>
                            <w:t>Official s</w:t>
                          </w:r>
                          <w:r w:rsidRPr="00033909">
                            <w:rPr>
                              <w:sz w:val="32"/>
                              <w:szCs w:val="32"/>
                            </w:rPr>
                            <w:t>tatistic</w:t>
                          </w:r>
                          <w:r>
                            <w:rPr>
                              <w:sz w:val="32"/>
                              <w:szCs w:val="32"/>
                            </w:rPr>
                            <w:t>s</w:t>
                          </w:r>
                        </w:p>
                      </w:txbxContent>
                    </v:textbox>
                  </v:shape>
                </w:pict>
              </mc:Fallback>
            </mc:AlternateContent>
          </w:r>
        </w:p>
        <w:p w14:paraId="28F15C7A" w14:textId="77777777" w:rsidR="00F3466F" w:rsidRDefault="00F3466F" w:rsidP="006D627D">
          <w:pPr>
            <w:pStyle w:val="Header"/>
            <w:jc w:val="right"/>
          </w:pPr>
        </w:p>
      </w:tc>
      <w:tc>
        <w:tcPr>
          <w:tcW w:w="1372" w:type="pct"/>
          <w:shd w:val="clear" w:color="auto" w:fill="auto"/>
        </w:tcPr>
        <w:p w14:paraId="0F0F4A3E" w14:textId="77777777" w:rsidR="00F3466F" w:rsidRDefault="00F3466F" w:rsidP="006D627D">
          <w:pPr>
            <w:pStyle w:val="Header"/>
            <w:jc w:val="right"/>
          </w:pPr>
          <w:r>
            <w:rPr>
              <w:noProof/>
              <w:lang w:eastAsia="en-GB"/>
            </w:rPr>
            <w:drawing>
              <wp:inline distT="0" distB="0" distL="0" distR="0" wp14:anchorId="74A56146" wp14:editId="0791BD09">
                <wp:extent cx="1343660" cy="1137285"/>
                <wp:effectExtent l="0" t="0" r="8890" b="5715"/>
                <wp:docPr id="15" name="Picture 15"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137285"/>
                        </a:xfrm>
                        <a:prstGeom prst="rect">
                          <a:avLst/>
                        </a:prstGeom>
                        <a:noFill/>
                        <a:ln>
                          <a:noFill/>
                        </a:ln>
                      </pic:spPr>
                    </pic:pic>
                  </a:graphicData>
                </a:graphic>
              </wp:inline>
            </w:drawing>
          </w:r>
        </w:p>
      </w:tc>
    </w:tr>
  </w:tbl>
  <w:p w14:paraId="3D098A8F" w14:textId="2467085E" w:rsidR="00F3466F" w:rsidRPr="006D627D" w:rsidRDefault="00F3466F" w:rsidP="006D627D">
    <w:pPr>
      <w:pStyle w:val="Header"/>
      <w:tabs>
        <w:tab w:val="clear" w:pos="4513"/>
        <w:tab w:val="clear" w:pos="9026"/>
        <w:tab w:val="left" w:pos="7879"/>
      </w:tabs>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D1100" w14:textId="77777777" w:rsidR="0067204B" w:rsidRDefault="00672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015"/>
    <w:multiLevelType w:val="hybridMultilevel"/>
    <w:tmpl w:val="06040312"/>
    <w:lvl w:ilvl="0" w:tplc="87E4C03A">
      <w:start w:val="1"/>
      <w:numFmt w:val="bullet"/>
      <w:lvlText w:val=""/>
      <w:lvlJc w:val="left"/>
      <w:pPr>
        <w:ind w:left="2862" w:hanging="360"/>
      </w:pPr>
      <w:rPr>
        <w:rFonts w:ascii="Wingdings" w:hAnsi="Wingdings" w:hint="default"/>
        <w:color w:val="auto"/>
        <w:sz w:val="36"/>
      </w:rPr>
    </w:lvl>
    <w:lvl w:ilvl="1" w:tplc="08090003" w:tentative="1">
      <w:start w:val="1"/>
      <w:numFmt w:val="bullet"/>
      <w:lvlText w:val="o"/>
      <w:lvlJc w:val="left"/>
      <w:pPr>
        <w:ind w:left="3582" w:hanging="360"/>
      </w:pPr>
      <w:rPr>
        <w:rFonts w:ascii="Courier New" w:hAnsi="Courier New" w:cs="Courier New"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Courier New"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Courier New" w:hint="default"/>
      </w:rPr>
    </w:lvl>
    <w:lvl w:ilvl="8" w:tplc="08090005" w:tentative="1">
      <w:start w:val="1"/>
      <w:numFmt w:val="bullet"/>
      <w:lvlText w:val=""/>
      <w:lvlJc w:val="left"/>
      <w:pPr>
        <w:ind w:left="8622" w:hanging="360"/>
      </w:pPr>
      <w:rPr>
        <w:rFonts w:ascii="Wingdings" w:hAnsi="Wingdings" w:hint="default"/>
      </w:rPr>
    </w:lvl>
  </w:abstractNum>
  <w:abstractNum w:abstractNumId="1" w15:restartNumberingAfterBreak="0">
    <w:nsid w:val="01A96061"/>
    <w:multiLevelType w:val="hybridMultilevel"/>
    <w:tmpl w:val="6764FD04"/>
    <w:lvl w:ilvl="0" w:tplc="B7F84A0C">
      <w:start w:val="1"/>
      <w:numFmt w:val="bullet"/>
      <w:lvlText w:val=""/>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F72037"/>
    <w:multiLevelType w:val="hybridMultilevel"/>
    <w:tmpl w:val="32A67450"/>
    <w:lvl w:ilvl="0" w:tplc="87E4C03A">
      <w:start w:val="1"/>
      <w:numFmt w:val="bullet"/>
      <w:lvlText w:val=""/>
      <w:lvlJc w:val="left"/>
      <w:pPr>
        <w:ind w:left="360" w:hanging="360"/>
      </w:pPr>
      <w:rPr>
        <w:rFonts w:ascii="Wingdings" w:hAnsi="Wingdings" w:hint="default"/>
        <w:color w:val="auto"/>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09038E"/>
    <w:multiLevelType w:val="hybridMultilevel"/>
    <w:tmpl w:val="74F41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62C2D"/>
    <w:multiLevelType w:val="hybridMultilevel"/>
    <w:tmpl w:val="FFFC2348"/>
    <w:lvl w:ilvl="0" w:tplc="630E91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0C502A"/>
    <w:multiLevelType w:val="hybridMultilevel"/>
    <w:tmpl w:val="69BEF7E4"/>
    <w:lvl w:ilvl="0" w:tplc="8174DC9A">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B5725B"/>
    <w:multiLevelType w:val="hybridMultilevel"/>
    <w:tmpl w:val="DD967692"/>
    <w:lvl w:ilvl="0" w:tplc="611836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C9571F"/>
    <w:multiLevelType w:val="hybridMultilevel"/>
    <w:tmpl w:val="182CB7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886F32"/>
    <w:multiLevelType w:val="hybridMultilevel"/>
    <w:tmpl w:val="5FC47FB0"/>
    <w:lvl w:ilvl="0" w:tplc="F2369620">
      <w:start w:val="1"/>
      <w:numFmt w:val="bullet"/>
      <w:lvlText w:val=""/>
      <w:lvlJc w:val="left"/>
      <w:pPr>
        <w:tabs>
          <w:tab w:val="num" w:pos="720"/>
        </w:tabs>
        <w:ind w:left="720" w:hanging="360"/>
      </w:pPr>
      <w:rPr>
        <w:rFonts w:ascii="Symbol" w:hAnsi="Symbol" w:hint="default"/>
      </w:rPr>
    </w:lvl>
    <w:lvl w:ilvl="1" w:tplc="E1F29514" w:tentative="1">
      <w:start w:val="1"/>
      <w:numFmt w:val="bullet"/>
      <w:lvlText w:val=""/>
      <w:lvlJc w:val="left"/>
      <w:pPr>
        <w:tabs>
          <w:tab w:val="num" w:pos="1440"/>
        </w:tabs>
        <w:ind w:left="1440" w:hanging="360"/>
      </w:pPr>
      <w:rPr>
        <w:rFonts w:ascii="Symbol" w:hAnsi="Symbol" w:hint="default"/>
      </w:rPr>
    </w:lvl>
    <w:lvl w:ilvl="2" w:tplc="CC067A10" w:tentative="1">
      <w:start w:val="1"/>
      <w:numFmt w:val="bullet"/>
      <w:lvlText w:val=""/>
      <w:lvlJc w:val="left"/>
      <w:pPr>
        <w:tabs>
          <w:tab w:val="num" w:pos="2160"/>
        </w:tabs>
        <w:ind w:left="2160" w:hanging="360"/>
      </w:pPr>
      <w:rPr>
        <w:rFonts w:ascii="Symbol" w:hAnsi="Symbol" w:hint="default"/>
      </w:rPr>
    </w:lvl>
    <w:lvl w:ilvl="3" w:tplc="1F4AA2E6" w:tentative="1">
      <w:start w:val="1"/>
      <w:numFmt w:val="bullet"/>
      <w:lvlText w:val=""/>
      <w:lvlJc w:val="left"/>
      <w:pPr>
        <w:tabs>
          <w:tab w:val="num" w:pos="2880"/>
        </w:tabs>
        <w:ind w:left="2880" w:hanging="360"/>
      </w:pPr>
      <w:rPr>
        <w:rFonts w:ascii="Symbol" w:hAnsi="Symbol" w:hint="default"/>
      </w:rPr>
    </w:lvl>
    <w:lvl w:ilvl="4" w:tplc="B9489422" w:tentative="1">
      <w:start w:val="1"/>
      <w:numFmt w:val="bullet"/>
      <w:lvlText w:val=""/>
      <w:lvlJc w:val="left"/>
      <w:pPr>
        <w:tabs>
          <w:tab w:val="num" w:pos="3600"/>
        </w:tabs>
        <w:ind w:left="3600" w:hanging="360"/>
      </w:pPr>
      <w:rPr>
        <w:rFonts w:ascii="Symbol" w:hAnsi="Symbol" w:hint="default"/>
      </w:rPr>
    </w:lvl>
    <w:lvl w:ilvl="5" w:tplc="822C40AA" w:tentative="1">
      <w:start w:val="1"/>
      <w:numFmt w:val="bullet"/>
      <w:lvlText w:val=""/>
      <w:lvlJc w:val="left"/>
      <w:pPr>
        <w:tabs>
          <w:tab w:val="num" w:pos="4320"/>
        </w:tabs>
        <w:ind w:left="4320" w:hanging="360"/>
      </w:pPr>
      <w:rPr>
        <w:rFonts w:ascii="Symbol" w:hAnsi="Symbol" w:hint="default"/>
      </w:rPr>
    </w:lvl>
    <w:lvl w:ilvl="6" w:tplc="319C7EAC" w:tentative="1">
      <w:start w:val="1"/>
      <w:numFmt w:val="bullet"/>
      <w:lvlText w:val=""/>
      <w:lvlJc w:val="left"/>
      <w:pPr>
        <w:tabs>
          <w:tab w:val="num" w:pos="5040"/>
        </w:tabs>
        <w:ind w:left="5040" w:hanging="360"/>
      </w:pPr>
      <w:rPr>
        <w:rFonts w:ascii="Symbol" w:hAnsi="Symbol" w:hint="default"/>
      </w:rPr>
    </w:lvl>
    <w:lvl w:ilvl="7" w:tplc="11B004C0" w:tentative="1">
      <w:start w:val="1"/>
      <w:numFmt w:val="bullet"/>
      <w:lvlText w:val=""/>
      <w:lvlJc w:val="left"/>
      <w:pPr>
        <w:tabs>
          <w:tab w:val="num" w:pos="5760"/>
        </w:tabs>
        <w:ind w:left="5760" w:hanging="360"/>
      </w:pPr>
      <w:rPr>
        <w:rFonts w:ascii="Symbol" w:hAnsi="Symbol" w:hint="default"/>
      </w:rPr>
    </w:lvl>
    <w:lvl w:ilvl="8" w:tplc="7DD0307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01D41AB"/>
    <w:multiLevelType w:val="hybridMultilevel"/>
    <w:tmpl w:val="EA82FF16"/>
    <w:lvl w:ilvl="0" w:tplc="B7F84A0C">
      <w:start w:val="1"/>
      <w:numFmt w:val="bullet"/>
      <w:lvlText w:val=""/>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C03B67"/>
    <w:multiLevelType w:val="hybridMultilevel"/>
    <w:tmpl w:val="04AED1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2B6EB3"/>
    <w:multiLevelType w:val="hybridMultilevel"/>
    <w:tmpl w:val="C124F3F4"/>
    <w:lvl w:ilvl="0" w:tplc="9CB2DD5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0D01A1"/>
    <w:multiLevelType w:val="hybridMultilevel"/>
    <w:tmpl w:val="7042EF00"/>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47EBF"/>
    <w:multiLevelType w:val="hybridMultilevel"/>
    <w:tmpl w:val="FD5EB4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4176B5"/>
    <w:multiLevelType w:val="hybridMultilevel"/>
    <w:tmpl w:val="78A4B272"/>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47EB7"/>
    <w:multiLevelType w:val="hybridMultilevel"/>
    <w:tmpl w:val="2BFCAFC6"/>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A7991"/>
    <w:multiLevelType w:val="hybridMultilevel"/>
    <w:tmpl w:val="E236D1B6"/>
    <w:lvl w:ilvl="0" w:tplc="6F6028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7C6C5C"/>
    <w:multiLevelType w:val="hybridMultilevel"/>
    <w:tmpl w:val="48F8D0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DF1490"/>
    <w:multiLevelType w:val="hybridMultilevel"/>
    <w:tmpl w:val="09101348"/>
    <w:lvl w:ilvl="0" w:tplc="B7F84A0C">
      <w:start w:val="1"/>
      <w:numFmt w:val="bullet"/>
      <w:lvlText w:val=""/>
      <w:lvlJc w:val="left"/>
      <w:pPr>
        <w:ind w:left="795" w:hanging="360"/>
      </w:pPr>
      <w:rPr>
        <w:rFonts w:ascii="Wingdings" w:hAnsi="Wingdings" w:hint="default"/>
        <w:sz w:val="32"/>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3FFB5472"/>
    <w:multiLevelType w:val="hybridMultilevel"/>
    <w:tmpl w:val="D87CB088"/>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23AFA"/>
    <w:multiLevelType w:val="hybridMultilevel"/>
    <w:tmpl w:val="BC186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81BBE"/>
    <w:multiLevelType w:val="hybridMultilevel"/>
    <w:tmpl w:val="380CAD42"/>
    <w:lvl w:ilvl="0" w:tplc="0809000F">
      <w:start w:val="1"/>
      <w:numFmt w:val="decimal"/>
      <w:lvlText w:val="%1."/>
      <w:lvlJc w:val="left"/>
      <w:pPr>
        <w:ind w:left="360" w:hanging="360"/>
      </w:pPr>
      <w:rPr>
        <w:rFonts w:hint="default"/>
      </w:rPr>
    </w:lvl>
    <w:lvl w:ilvl="1" w:tplc="EE2E2198">
      <w:start w:val="4"/>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474536"/>
    <w:multiLevelType w:val="hybridMultilevel"/>
    <w:tmpl w:val="D80E30E2"/>
    <w:lvl w:ilvl="0" w:tplc="B7F84A0C">
      <w:start w:val="1"/>
      <w:numFmt w:val="bullet"/>
      <w:lvlText w:val=""/>
      <w:lvlJc w:val="left"/>
      <w:pPr>
        <w:ind w:left="1080" w:hanging="360"/>
      </w:pPr>
      <w:rPr>
        <w:rFonts w:ascii="Wingdings" w:hAnsi="Wingdings"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EE15C4"/>
    <w:multiLevelType w:val="hybridMultilevel"/>
    <w:tmpl w:val="5A12ECD6"/>
    <w:lvl w:ilvl="0" w:tplc="57A0FD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D05834"/>
    <w:multiLevelType w:val="hybridMultilevel"/>
    <w:tmpl w:val="C3F2B626"/>
    <w:lvl w:ilvl="0" w:tplc="5EA2D18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380349"/>
    <w:multiLevelType w:val="hybridMultilevel"/>
    <w:tmpl w:val="615454A8"/>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80D46"/>
    <w:multiLevelType w:val="hybridMultilevel"/>
    <w:tmpl w:val="AF9A32D6"/>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854FE"/>
    <w:multiLevelType w:val="hybridMultilevel"/>
    <w:tmpl w:val="B98A861A"/>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38198F"/>
    <w:multiLevelType w:val="hybridMultilevel"/>
    <w:tmpl w:val="86E2FB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667F762D"/>
    <w:multiLevelType w:val="hybridMultilevel"/>
    <w:tmpl w:val="F1BC3B46"/>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F6085"/>
    <w:multiLevelType w:val="hybridMultilevel"/>
    <w:tmpl w:val="56FC7036"/>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F24035"/>
    <w:multiLevelType w:val="hybridMultilevel"/>
    <w:tmpl w:val="0A20C3F4"/>
    <w:lvl w:ilvl="0" w:tplc="B7F84A0C">
      <w:start w:val="1"/>
      <w:numFmt w:val="bullet"/>
      <w:lvlText w:val=""/>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DA1FD1"/>
    <w:multiLevelType w:val="hybridMultilevel"/>
    <w:tmpl w:val="75B4E6B8"/>
    <w:lvl w:ilvl="0" w:tplc="B7F84A0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22AA2"/>
    <w:multiLevelType w:val="hybridMultilevel"/>
    <w:tmpl w:val="907434F0"/>
    <w:lvl w:ilvl="0" w:tplc="5EA2D18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41459F"/>
    <w:multiLevelType w:val="hybridMultilevel"/>
    <w:tmpl w:val="39F00C46"/>
    <w:lvl w:ilvl="0" w:tplc="947CD7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513941"/>
    <w:multiLevelType w:val="hybridMultilevel"/>
    <w:tmpl w:val="6FA8F2FE"/>
    <w:lvl w:ilvl="0" w:tplc="594086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7"/>
  </w:num>
  <w:num w:numId="3">
    <w:abstractNumId w:val="8"/>
  </w:num>
  <w:num w:numId="4">
    <w:abstractNumId w:val="35"/>
  </w:num>
  <w:num w:numId="5">
    <w:abstractNumId w:val="4"/>
  </w:num>
  <w:num w:numId="6">
    <w:abstractNumId w:val="34"/>
  </w:num>
  <w:num w:numId="7">
    <w:abstractNumId w:val="9"/>
  </w:num>
  <w:num w:numId="8">
    <w:abstractNumId w:val="15"/>
  </w:num>
  <w:num w:numId="9">
    <w:abstractNumId w:val="25"/>
  </w:num>
  <w:num w:numId="10">
    <w:abstractNumId w:val="29"/>
  </w:num>
  <w:num w:numId="11">
    <w:abstractNumId w:val="30"/>
  </w:num>
  <w:num w:numId="12">
    <w:abstractNumId w:val="0"/>
  </w:num>
  <w:num w:numId="13">
    <w:abstractNumId w:val="32"/>
  </w:num>
  <w:num w:numId="14">
    <w:abstractNumId w:val="11"/>
  </w:num>
  <w:num w:numId="15">
    <w:abstractNumId w:val="5"/>
  </w:num>
  <w:num w:numId="16">
    <w:abstractNumId w:val="20"/>
  </w:num>
  <w:num w:numId="17">
    <w:abstractNumId w:val="22"/>
  </w:num>
  <w:num w:numId="18">
    <w:abstractNumId w:val="33"/>
  </w:num>
  <w:num w:numId="19">
    <w:abstractNumId w:val="21"/>
  </w:num>
  <w:num w:numId="20">
    <w:abstractNumId w:val="2"/>
  </w:num>
  <w:num w:numId="21">
    <w:abstractNumId w:val="10"/>
  </w:num>
  <w:num w:numId="22">
    <w:abstractNumId w:val="14"/>
  </w:num>
  <w:num w:numId="23">
    <w:abstractNumId w:val="3"/>
  </w:num>
  <w:num w:numId="24">
    <w:abstractNumId w:val="1"/>
  </w:num>
  <w:num w:numId="25">
    <w:abstractNumId w:val="19"/>
  </w:num>
  <w:num w:numId="26">
    <w:abstractNumId w:val="27"/>
  </w:num>
  <w:num w:numId="27">
    <w:abstractNumId w:val="26"/>
  </w:num>
  <w:num w:numId="28">
    <w:abstractNumId w:val="13"/>
  </w:num>
  <w:num w:numId="29">
    <w:abstractNumId w:val="16"/>
  </w:num>
  <w:num w:numId="30">
    <w:abstractNumId w:val="33"/>
  </w:num>
  <w:num w:numId="31">
    <w:abstractNumId w:val="24"/>
  </w:num>
  <w:num w:numId="32">
    <w:abstractNumId w:val="28"/>
  </w:num>
  <w:num w:numId="33">
    <w:abstractNumId w:val="18"/>
  </w:num>
  <w:num w:numId="34">
    <w:abstractNumId w:val="17"/>
  </w:num>
  <w:num w:numId="35">
    <w:abstractNumId w:val="12"/>
  </w:num>
  <w:num w:numId="36">
    <w:abstractNumId w:val="2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C8"/>
    <w:rsid w:val="0000493E"/>
    <w:rsid w:val="000057CC"/>
    <w:rsid w:val="0000639D"/>
    <w:rsid w:val="000116FE"/>
    <w:rsid w:val="0001743C"/>
    <w:rsid w:val="00017D3E"/>
    <w:rsid w:val="00022187"/>
    <w:rsid w:val="0002390A"/>
    <w:rsid w:val="00024E49"/>
    <w:rsid w:val="00025E10"/>
    <w:rsid w:val="00030CBD"/>
    <w:rsid w:val="00033091"/>
    <w:rsid w:val="000412C2"/>
    <w:rsid w:val="00041FD0"/>
    <w:rsid w:val="00043B14"/>
    <w:rsid w:val="00044B24"/>
    <w:rsid w:val="00045BD1"/>
    <w:rsid w:val="000528E1"/>
    <w:rsid w:val="000538CE"/>
    <w:rsid w:val="00056750"/>
    <w:rsid w:val="000568CD"/>
    <w:rsid w:val="00075153"/>
    <w:rsid w:val="00083150"/>
    <w:rsid w:val="00084055"/>
    <w:rsid w:val="00086012"/>
    <w:rsid w:val="00087F7A"/>
    <w:rsid w:val="00095288"/>
    <w:rsid w:val="00097A64"/>
    <w:rsid w:val="00097D07"/>
    <w:rsid w:val="000B4A33"/>
    <w:rsid w:val="000B5BB3"/>
    <w:rsid w:val="000B66BC"/>
    <w:rsid w:val="000C123C"/>
    <w:rsid w:val="000D2991"/>
    <w:rsid w:val="000D352F"/>
    <w:rsid w:val="000D3B56"/>
    <w:rsid w:val="000D42E1"/>
    <w:rsid w:val="000D4F34"/>
    <w:rsid w:val="000D5359"/>
    <w:rsid w:val="000D61EE"/>
    <w:rsid w:val="000D7333"/>
    <w:rsid w:val="000E28B0"/>
    <w:rsid w:val="000E3115"/>
    <w:rsid w:val="000E5B15"/>
    <w:rsid w:val="000E5B6A"/>
    <w:rsid w:val="000F07B5"/>
    <w:rsid w:val="000F1058"/>
    <w:rsid w:val="000F18A7"/>
    <w:rsid w:val="000F4FED"/>
    <w:rsid w:val="00102CB8"/>
    <w:rsid w:val="001041B0"/>
    <w:rsid w:val="00107D32"/>
    <w:rsid w:val="001308A8"/>
    <w:rsid w:val="00132BC7"/>
    <w:rsid w:val="00132F02"/>
    <w:rsid w:val="00134944"/>
    <w:rsid w:val="00135AC0"/>
    <w:rsid w:val="00137F87"/>
    <w:rsid w:val="0014327A"/>
    <w:rsid w:val="00144BDC"/>
    <w:rsid w:val="00144CFF"/>
    <w:rsid w:val="0014567F"/>
    <w:rsid w:val="00151703"/>
    <w:rsid w:val="00161A2D"/>
    <w:rsid w:val="001727D6"/>
    <w:rsid w:val="00174D23"/>
    <w:rsid w:val="00177D58"/>
    <w:rsid w:val="001959F7"/>
    <w:rsid w:val="001A2832"/>
    <w:rsid w:val="001A3095"/>
    <w:rsid w:val="001B057C"/>
    <w:rsid w:val="001B0E43"/>
    <w:rsid w:val="001B12AA"/>
    <w:rsid w:val="001B2CCD"/>
    <w:rsid w:val="001C498F"/>
    <w:rsid w:val="001D27B3"/>
    <w:rsid w:val="001D488A"/>
    <w:rsid w:val="001D48D0"/>
    <w:rsid w:val="001D642F"/>
    <w:rsid w:val="001D6D2F"/>
    <w:rsid w:val="001E44DD"/>
    <w:rsid w:val="001F347F"/>
    <w:rsid w:val="001F57B7"/>
    <w:rsid w:val="00200785"/>
    <w:rsid w:val="0020351F"/>
    <w:rsid w:val="0021080B"/>
    <w:rsid w:val="00212F68"/>
    <w:rsid w:val="0021714B"/>
    <w:rsid w:val="00223D5C"/>
    <w:rsid w:val="0023199F"/>
    <w:rsid w:val="00231BD9"/>
    <w:rsid w:val="00233A55"/>
    <w:rsid w:val="002370C6"/>
    <w:rsid w:val="0024059D"/>
    <w:rsid w:val="00240B09"/>
    <w:rsid w:val="00242A47"/>
    <w:rsid w:val="00244D24"/>
    <w:rsid w:val="00244D32"/>
    <w:rsid w:val="002528C3"/>
    <w:rsid w:val="00253CCE"/>
    <w:rsid w:val="00255049"/>
    <w:rsid w:val="00265BAF"/>
    <w:rsid w:val="00280643"/>
    <w:rsid w:val="00281948"/>
    <w:rsid w:val="00285E02"/>
    <w:rsid w:val="002932AE"/>
    <w:rsid w:val="00296C22"/>
    <w:rsid w:val="00296F59"/>
    <w:rsid w:val="002A7800"/>
    <w:rsid w:val="002B5D83"/>
    <w:rsid w:val="002C3688"/>
    <w:rsid w:val="002D0C54"/>
    <w:rsid w:val="002D3D6D"/>
    <w:rsid w:val="002E69E4"/>
    <w:rsid w:val="002F1B36"/>
    <w:rsid w:val="002F4264"/>
    <w:rsid w:val="002F5B54"/>
    <w:rsid w:val="00302720"/>
    <w:rsid w:val="00315384"/>
    <w:rsid w:val="00316BD0"/>
    <w:rsid w:val="00326E61"/>
    <w:rsid w:val="0032750D"/>
    <w:rsid w:val="00343C55"/>
    <w:rsid w:val="00344AF5"/>
    <w:rsid w:val="00346876"/>
    <w:rsid w:val="0036590D"/>
    <w:rsid w:val="003703C5"/>
    <w:rsid w:val="003708D4"/>
    <w:rsid w:val="003718A5"/>
    <w:rsid w:val="00376987"/>
    <w:rsid w:val="00380274"/>
    <w:rsid w:val="00382ED3"/>
    <w:rsid w:val="00384F1B"/>
    <w:rsid w:val="00387BAA"/>
    <w:rsid w:val="00390A99"/>
    <w:rsid w:val="003932F1"/>
    <w:rsid w:val="00395576"/>
    <w:rsid w:val="00395DAC"/>
    <w:rsid w:val="003972A7"/>
    <w:rsid w:val="003A07AF"/>
    <w:rsid w:val="003A31B4"/>
    <w:rsid w:val="003A551D"/>
    <w:rsid w:val="003A5791"/>
    <w:rsid w:val="003A5CD0"/>
    <w:rsid w:val="003A71AC"/>
    <w:rsid w:val="003B2D6A"/>
    <w:rsid w:val="003B3951"/>
    <w:rsid w:val="003B5B81"/>
    <w:rsid w:val="003B6C82"/>
    <w:rsid w:val="003B7E0F"/>
    <w:rsid w:val="003C6F76"/>
    <w:rsid w:val="003D1695"/>
    <w:rsid w:val="003D70BA"/>
    <w:rsid w:val="003D73C3"/>
    <w:rsid w:val="003E48F0"/>
    <w:rsid w:val="003F7532"/>
    <w:rsid w:val="00410F4B"/>
    <w:rsid w:val="00411803"/>
    <w:rsid w:val="004149BC"/>
    <w:rsid w:val="004164A4"/>
    <w:rsid w:val="00420DAE"/>
    <w:rsid w:val="00432164"/>
    <w:rsid w:val="00441AA3"/>
    <w:rsid w:val="0044763D"/>
    <w:rsid w:val="00452E63"/>
    <w:rsid w:val="00452F83"/>
    <w:rsid w:val="004554F8"/>
    <w:rsid w:val="004561CF"/>
    <w:rsid w:val="004629F3"/>
    <w:rsid w:val="00463C18"/>
    <w:rsid w:val="00482A3C"/>
    <w:rsid w:val="00487CB7"/>
    <w:rsid w:val="00495186"/>
    <w:rsid w:val="004A779E"/>
    <w:rsid w:val="004B24C6"/>
    <w:rsid w:val="004B557C"/>
    <w:rsid w:val="004B6C7A"/>
    <w:rsid w:val="004B7087"/>
    <w:rsid w:val="004B73C0"/>
    <w:rsid w:val="004D08BE"/>
    <w:rsid w:val="004D6356"/>
    <w:rsid w:val="004E0341"/>
    <w:rsid w:val="004E14D7"/>
    <w:rsid w:val="004E634A"/>
    <w:rsid w:val="004F1D2C"/>
    <w:rsid w:val="00500E1C"/>
    <w:rsid w:val="005033DA"/>
    <w:rsid w:val="005055AF"/>
    <w:rsid w:val="00511BF7"/>
    <w:rsid w:val="0051211A"/>
    <w:rsid w:val="005125C1"/>
    <w:rsid w:val="00513AD3"/>
    <w:rsid w:val="00516ECE"/>
    <w:rsid w:val="00523B89"/>
    <w:rsid w:val="00524DB4"/>
    <w:rsid w:val="0053483E"/>
    <w:rsid w:val="00541C79"/>
    <w:rsid w:val="0055370E"/>
    <w:rsid w:val="00556218"/>
    <w:rsid w:val="00556ECB"/>
    <w:rsid w:val="00560700"/>
    <w:rsid w:val="00576989"/>
    <w:rsid w:val="0058278A"/>
    <w:rsid w:val="005A474D"/>
    <w:rsid w:val="005B3311"/>
    <w:rsid w:val="005B3A36"/>
    <w:rsid w:val="005C0255"/>
    <w:rsid w:val="005C35DB"/>
    <w:rsid w:val="005C676F"/>
    <w:rsid w:val="005D172E"/>
    <w:rsid w:val="005D274F"/>
    <w:rsid w:val="005D2B2C"/>
    <w:rsid w:val="005E6A61"/>
    <w:rsid w:val="005F0E79"/>
    <w:rsid w:val="005F19FE"/>
    <w:rsid w:val="005F2B53"/>
    <w:rsid w:val="005F3C51"/>
    <w:rsid w:val="00601088"/>
    <w:rsid w:val="00602776"/>
    <w:rsid w:val="00602A2A"/>
    <w:rsid w:val="00604B38"/>
    <w:rsid w:val="006064B9"/>
    <w:rsid w:val="00610217"/>
    <w:rsid w:val="00625987"/>
    <w:rsid w:val="00626F2A"/>
    <w:rsid w:val="00626F2D"/>
    <w:rsid w:val="00630972"/>
    <w:rsid w:val="00631F78"/>
    <w:rsid w:val="00640495"/>
    <w:rsid w:val="0064119C"/>
    <w:rsid w:val="00643B0C"/>
    <w:rsid w:val="00647C15"/>
    <w:rsid w:val="00650A27"/>
    <w:rsid w:val="00652DD8"/>
    <w:rsid w:val="00664883"/>
    <w:rsid w:val="006704C4"/>
    <w:rsid w:val="00671FD2"/>
    <w:rsid w:val="0067204B"/>
    <w:rsid w:val="00672144"/>
    <w:rsid w:val="00672A54"/>
    <w:rsid w:val="00672CF6"/>
    <w:rsid w:val="006741A8"/>
    <w:rsid w:val="00685482"/>
    <w:rsid w:val="0068630B"/>
    <w:rsid w:val="00690E3E"/>
    <w:rsid w:val="006925A3"/>
    <w:rsid w:val="0069468A"/>
    <w:rsid w:val="006A0C4C"/>
    <w:rsid w:val="006A3C45"/>
    <w:rsid w:val="006B2BB7"/>
    <w:rsid w:val="006B4DE3"/>
    <w:rsid w:val="006C4D43"/>
    <w:rsid w:val="006C5E68"/>
    <w:rsid w:val="006D09A2"/>
    <w:rsid w:val="006D09B8"/>
    <w:rsid w:val="006D60BC"/>
    <w:rsid w:val="006D627D"/>
    <w:rsid w:val="006D6BE0"/>
    <w:rsid w:val="006E56A5"/>
    <w:rsid w:val="006F03E7"/>
    <w:rsid w:val="00701000"/>
    <w:rsid w:val="007031B2"/>
    <w:rsid w:val="00703733"/>
    <w:rsid w:val="00703985"/>
    <w:rsid w:val="007070B4"/>
    <w:rsid w:val="007112F9"/>
    <w:rsid w:val="0071627D"/>
    <w:rsid w:val="00721043"/>
    <w:rsid w:val="0072554E"/>
    <w:rsid w:val="00734980"/>
    <w:rsid w:val="007376CD"/>
    <w:rsid w:val="00746160"/>
    <w:rsid w:val="00746411"/>
    <w:rsid w:val="0076020C"/>
    <w:rsid w:val="0076425A"/>
    <w:rsid w:val="00764272"/>
    <w:rsid w:val="00767AA8"/>
    <w:rsid w:val="0077322C"/>
    <w:rsid w:val="0077520B"/>
    <w:rsid w:val="00780516"/>
    <w:rsid w:val="00792164"/>
    <w:rsid w:val="00797509"/>
    <w:rsid w:val="007A03A5"/>
    <w:rsid w:val="007A26C1"/>
    <w:rsid w:val="007A46A2"/>
    <w:rsid w:val="007A49AB"/>
    <w:rsid w:val="007A5DD2"/>
    <w:rsid w:val="007A5DDB"/>
    <w:rsid w:val="007A7D7A"/>
    <w:rsid w:val="007B0E07"/>
    <w:rsid w:val="007B1890"/>
    <w:rsid w:val="007B3FBF"/>
    <w:rsid w:val="007B455B"/>
    <w:rsid w:val="007B5E22"/>
    <w:rsid w:val="007B5E9C"/>
    <w:rsid w:val="007C48B6"/>
    <w:rsid w:val="007C6810"/>
    <w:rsid w:val="007D0F96"/>
    <w:rsid w:val="007D10BE"/>
    <w:rsid w:val="007E13E3"/>
    <w:rsid w:val="007E4081"/>
    <w:rsid w:val="007F0D69"/>
    <w:rsid w:val="007F10B2"/>
    <w:rsid w:val="007F1F78"/>
    <w:rsid w:val="007F39B3"/>
    <w:rsid w:val="007F57AC"/>
    <w:rsid w:val="007F73BF"/>
    <w:rsid w:val="0080111C"/>
    <w:rsid w:val="0080448A"/>
    <w:rsid w:val="00804F01"/>
    <w:rsid w:val="0081021D"/>
    <w:rsid w:val="0081128F"/>
    <w:rsid w:val="008200D2"/>
    <w:rsid w:val="00820937"/>
    <w:rsid w:val="00821720"/>
    <w:rsid w:val="008228EB"/>
    <w:rsid w:val="00823114"/>
    <w:rsid w:val="00825AF2"/>
    <w:rsid w:val="00827F16"/>
    <w:rsid w:val="00830895"/>
    <w:rsid w:val="00831CCB"/>
    <w:rsid w:val="00831D58"/>
    <w:rsid w:val="008366AC"/>
    <w:rsid w:val="008369A3"/>
    <w:rsid w:val="00837C4B"/>
    <w:rsid w:val="00840BFC"/>
    <w:rsid w:val="0084230D"/>
    <w:rsid w:val="00842933"/>
    <w:rsid w:val="00842D57"/>
    <w:rsid w:val="0084529F"/>
    <w:rsid w:val="008547BB"/>
    <w:rsid w:val="00854D5C"/>
    <w:rsid w:val="0086192E"/>
    <w:rsid w:val="00866CAB"/>
    <w:rsid w:val="00867FA6"/>
    <w:rsid w:val="00873F73"/>
    <w:rsid w:val="0088020B"/>
    <w:rsid w:val="008841EB"/>
    <w:rsid w:val="00884D82"/>
    <w:rsid w:val="008850FC"/>
    <w:rsid w:val="00885F0D"/>
    <w:rsid w:val="00890AF4"/>
    <w:rsid w:val="008A2125"/>
    <w:rsid w:val="008A3975"/>
    <w:rsid w:val="008A6A46"/>
    <w:rsid w:val="008B0B0F"/>
    <w:rsid w:val="008B11E6"/>
    <w:rsid w:val="008B5382"/>
    <w:rsid w:val="008B7117"/>
    <w:rsid w:val="008C32AC"/>
    <w:rsid w:val="008C3FD0"/>
    <w:rsid w:val="008D169F"/>
    <w:rsid w:val="008D22FA"/>
    <w:rsid w:val="008D62A6"/>
    <w:rsid w:val="008F068E"/>
    <w:rsid w:val="008F2147"/>
    <w:rsid w:val="008F74EF"/>
    <w:rsid w:val="009003A7"/>
    <w:rsid w:val="00904C71"/>
    <w:rsid w:val="009054F5"/>
    <w:rsid w:val="009113CC"/>
    <w:rsid w:val="00912800"/>
    <w:rsid w:val="009140C6"/>
    <w:rsid w:val="00914A0F"/>
    <w:rsid w:val="00917A7C"/>
    <w:rsid w:val="009310EC"/>
    <w:rsid w:val="0093552C"/>
    <w:rsid w:val="00935C32"/>
    <w:rsid w:val="009457AE"/>
    <w:rsid w:val="00946FA6"/>
    <w:rsid w:val="00950663"/>
    <w:rsid w:val="00960289"/>
    <w:rsid w:val="00963B77"/>
    <w:rsid w:val="0096678C"/>
    <w:rsid w:val="00976D8C"/>
    <w:rsid w:val="00977BB2"/>
    <w:rsid w:val="0098314C"/>
    <w:rsid w:val="00983EDF"/>
    <w:rsid w:val="0099088E"/>
    <w:rsid w:val="00993826"/>
    <w:rsid w:val="009A467A"/>
    <w:rsid w:val="009A4BE5"/>
    <w:rsid w:val="009A6BAD"/>
    <w:rsid w:val="009B3CE1"/>
    <w:rsid w:val="009B684F"/>
    <w:rsid w:val="009C2D6A"/>
    <w:rsid w:val="009D26EF"/>
    <w:rsid w:val="009D3F0A"/>
    <w:rsid w:val="009D4C62"/>
    <w:rsid w:val="009D5340"/>
    <w:rsid w:val="009E4462"/>
    <w:rsid w:val="009E6927"/>
    <w:rsid w:val="009F3A5F"/>
    <w:rsid w:val="009F3C49"/>
    <w:rsid w:val="009F3D74"/>
    <w:rsid w:val="009F5FAD"/>
    <w:rsid w:val="009F652C"/>
    <w:rsid w:val="00A004D3"/>
    <w:rsid w:val="00A006AD"/>
    <w:rsid w:val="00A02348"/>
    <w:rsid w:val="00A03F5F"/>
    <w:rsid w:val="00A03F99"/>
    <w:rsid w:val="00A049D9"/>
    <w:rsid w:val="00A0544E"/>
    <w:rsid w:val="00A05538"/>
    <w:rsid w:val="00A057C8"/>
    <w:rsid w:val="00A065D8"/>
    <w:rsid w:val="00A1253E"/>
    <w:rsid w:val="00A16D3D"/>
    <w:rsid w:val="00A200A7"/>
    <w:rsid w:val="00A204F3"/>
    <w:rsid w:val="00A21E96"/>
    <w:rsid w:val="00A2634E"/>
    <w:rsid w:val="00A26C30"/>
    <w:rsid w:val="00A304F8"/>
    <w:rsid w:val="00A350D0"/>
    <w:rsid w:val="00A361D9"/>
    <w:rsid w:val="00A472F1"/>
    <w:rsid w:val="00A54343"/>
    <w:rsid w:val="00A62DCF"/>
    <w:rsid w:val="00A649D4"/>
    <w:rsid w:val="00A660CC"/>
    <w:rsid w:val="00A7073A"/>
    <w:rsid w:val="00A70C67"/>
    <w:rsid w:val="00A70E85"/>
    <w:rsid w:val="00A71E18"/>
    <w:rsid w:val="00A725C9"/>
    <w:rsid w:val="00A77DFB"/>
    <w:rsid w:val="00A80989"/>
    <w:rsid w:val="00A9401A"/>
    <w:rsid w:val="00A946A7"/>
    <w:rsid w:val="00A96331"/>
    <w:rsid w:val="00AA05C9"/>
    <w:rsid w:val="00AA212D"/>
    <w:rsid w:val="00AA5095"/>
    <w:rsid w:val="00AA5755"/>
    <w:rsid w:val="00AB40AE"/>
    <w:rsid w:val="00AB5596"/>
    <w:rsid w:val="00AB780F"/>
    <w:rsid w:val="00AC398B"/>
    <w:rsid w:val="00AD074F"/>
    <w:rsid w:val="00AD2E03"/>
    <w:rsid w:val="00AD6749"/>
    <w:rsid w:val="00AE12C0"/>
    <w:rsid w:val="00AE1404"/>
    <w:rsid w:val="00AE25EB"/>
    <w:rsid w:val="00AE32F5"/>
    <w:rsid w:val="00AE3572"/>
    <w:rsid w:val="00AE5205"/>
    <w:rsid w:val="00AF1E7E"/>
    <w:rsid w:val="00AF25EF"/>
    <w:rsid w:val="00AF2DC3"/>
    <w:rsid w:val="00AF350D"/>
    <w:rsid w:val="00AF4CFF"/>
    <w:rsid w:val="00AF7407"/>
    <w:rsid w:val="00AF7C98"/>
    <w:rsid w:val="00B03943"/>
    <w:rsid w:val="00B04A1A"/>
    <w:rsid w:val="00B051EA"/>
    <w:rsid w:val="00B1118A"/>
    <w:rsid w:val="00B132D9"/>
    <w:rsid w:val="00B261E9"/>
    <w:rsid w:val="00B303F2"/>
    <w:rsid w:val="00B33053"/>
    <w:rsid w:val="00B359C4"/>
    <w:rsid w:val="00B400DC"/>
    <w:rsid w:val="00B41006"/>
    <w:rsid w:val="00B4147A"/>
    <w:rsid w:val="00B452B2"/>
    <w:rsid w:val="00B46D5A"/>
    <w:rsid w:val="00B473B8"/>
    <w:rsid w:val="00B47649"/>
    <w:rsid w:val="00B55B2F"/>
    <w:rsid w:val="00B56374"/>
    <w:rsid w:val="00B60762"/>
    <w:rsid w:val="00B61C86"/>
    <w:rsid w:val="00B70575"/>
    <w:rsid w:val="00B70CA4"/>
    <w:rsid w:val="00B73BE5"/>
    <w:rsid w:val="00B76D61"/>
    <w:rsid w:val="00B81039"/>
    <w:rsid w:val="00B811A0"/>
    <w:rsid w:val="00B84795"/>
    <w:rsid w:val="00B84BDA"/>
    <w:rsid w:val="00B85B9E"/>
    <w:rsid w:val="00B8613C"/>
    <w:rsid w:val="00B97207"/>
    <w:rsid w:val="00BA0D56"/>
    <w:rsid w:val="00BA373B"/>
    <w:rsid w:val="00BB3FCE"/>
    <w:rsid w:val="00BB67B7"/>
    <w:rsid w:val="00BB68C2"/>
    <w:rsid w:val="00BB6DCD"/>
    <w:rsid w:val="00BB7F66"/>
    <w:rsid w:val="00BC500F"/>
    <w:rsid w:val="00BD08D5"/>
    <w:rsid w:val="00BD0F82"/>
    <w:rsid w:val="00BD19E4"/>
    <w:rsid w:val="00BD4537"/>
    <w:rsid w:val="00BD6623"/>
    <w:rsid w:val="00BE5B43"/>
    <w:rsid w:val="00BF4859"/>
    <w:rsid w:val="00BF53D5"/>
    <w:rsid w:val="00BF7C78"/>
    <w:rsid w:val="00C04523"/>
    <w:rsid w:val="00C06E99"/>
    <w:rsid w:val="00C10AAB"/>
    <w:rsid w:val="00C1383B"/>
    <w:rsid w:val="00C16A59"/>
    <w:rsid w:val="00C21971"/>
    <w:rsid w:val="00C30451"/>
    <w:rsid w:val="00C326A3"/>
    <w:rsid w:val="00C34BDC"/>
    <w:rsid w:val="00C36608"/>
    <w:rsid w:val="00C413C0"/>
    <w:rsid w:val="00C4194F"/>
    <w:rsid w:val="00C432DD"/>
    <w:rsid w:val="00C443D3"/>
    <w:rsid w:val="00C476C4"/>
    <w:rsid w:val="00C6472C"/>
    <w:rsid w:val="00C67F11"/>
    <w:rsid w:val="00C7632B"/>
    <w:rsid w:val="00C81946"/>
    <w:rsid w:val="00C83A3F"/>
    <w:rsid w:val="00C84BF3"/>
    <w:rsid w:val="00C84D7A"/>
    <w:rsid w:val="00C9192D"/>
    <w:rsid w:val="00C93ED5"/>
    <w:rsid w:val="00C9610E"/>
    <w:rsid w:val="00C96ACC"/>
    <w:rsid w:val="00CA0837"/>
    <w:rsid w:val="00CA3927"/>
    <w:rsid w:val="00CA7674"/>
    <w:rsid w:val="00CB2725"/>
    <w:rsid w:val="00CB73ED"/>
    <w:rsid w:val="00CB74F1"/>
    <w:rsid w:val="00CC02AE"/>
    <w:rsid w:val="00CC2D8F"/>
    <w:rsid w:val="00CC455D"/>
    <w:rsid w:val="00CD1E53"/>
    <w:rsid w:val="00CD34B4"/>
    <w:rsid w:val="00CE07F5"/>
    <w:rsid w:val="00CE681F"/>
    <w:rsid w:val="00CE71B2"/>
    <w:rsid w:val="00CF5EC5"/>
    <w:rsid w:val="00CF69DF"/>
    <w:rsid w:val="00CF7BFE"/>
    <w:rsid w:val="00D03F87"/>
    <w:rsid w:val="00D05DBE"/>
    <w:rsid w:val="00D0626F"/>
    <w:rsid w:val="00D066C2"/>
    <w:rsid w:val="00D06B3E"/>
    <w:rsid w:val="00D1049B"/>
    <w:rsid w:val="00D2022A"/>
    <w:rsid w:val="00D23B61"/>
    <w:rsid w:val="00D23E9F"/>
    <w:rsid w:val="00D261B2"/>
    <w:rsid w:val="00D344C9"/>
    <w:rsid w:val="00D36FCC"/>
    <w:rsid w:val="00D42B92"/>
    <w:rsid w:val="00D43F85"/>
    <w:rsid w:val="00D451D1"/>
    <w:rsid w:val="00D54164"/>
    <w:rsid w:val="00D557E1"/>
    <w:rsid w:val="00D558BC"/>
    <w:rsid w:val="00D72C57"/>
    <w:rsid w:val="00D76057"/>
    <w:rsid w:val="00D804C1"/>
    <w:rsid w:val="00D82832"/>
    <w:rsid w:val="00D82BAA"/>
    <w:rsid w:val="00D87C19"/>
    <w:rsid w:val="00D92C2B"/>
    <w:rsid w:val="00D932E4"/>
    <w:rsid w:val="00D97867"/>
    <w:rsid w:val="00DA5319"/>
    <w:rsid w:val="00DB1707"/>
    <w:rsid w:val="00DB3640"/>
    <w:rsid w:val="00DB3B94"/>
    <w:rsid w:val="00DB4739"/>
    <w:rsid w:val="00DB5254"/>
    <w:rsid w:val="00DB7E76"/>
    <w:rsid w:val="00DC43E9"/>
    <w:rsid w:val="00DC4FD7"/>
    <w:rsid w:val="00DD700B"/>
    <w:rsid w:val="00DF1652"/>
    <w:rsid w:val="00DF3499"/>
    <w:rsid w:val="00DF3D4E"/>
    <w:rsid w:val="00E10197"/>
    <w:rsid w:val="00E1360D"/>
    <w:rsid w:val="00E15ACE"/>
    <w:rsid w:val="00E20F39"/>
    <w:rsid w:val="00E25380"/>
    <w:rsid w:val="00E465A4"/>
    <w:rsid w:val="00E5366C"/>
    <w:rsid w:val="00E85DC8"/>
    <w:rsid w:val="00E90E1C"/>
    <w:rsid w:val="00E90E37"/>
    <w:rsid w:val="00E93DF0"/>
    <w:rsid w:val="00E95E52"/>
    <w:rsid w:val="00E96079"/>
    <w:rsid w:val="00E967D1"/>
    <w:rsid w:val="00EA15C9"/>
    <w:rsid w:val="00EB1CAF"/>
    <w:rsid w:val="00EB640C"/>
    <w:rsid w:val="00EB7394"/>
    <w:rsid w:val="00ED0C56"/>
    <w:rsid w:val="00ED12A2"/>
    <w:rsid w:val="00ED20E2"/>
    <w:rsid w:val="00ED3C22"/>
    <w:rsid w:val="00EF0467"/>
    <w:rsid w:val="00EF0572"/>
    <w:rsid w:val="00EF2D60"/>
    <w:rsid w:val="00EF362C"/>
    <w:rsid w:val="00EF4C70"/>
    <w:rsid w:val="00F03EA9"/>
    <w:rsid w:val="00F07CAE"/>
    <w:rsid w:val="00F11226"/>
    <w:rsid w:val="00F132DE"/>
    <w:rsid w:val="00F140EF"/>
    <w:rsid w:val="00F15F01"/>
    <w:rsid w:val="00F21483"/>
    <w:rsid w:val="00F26F61"/>
    <w:rsid w:val="00F32CCE"/>
    <w:rsid w:val="00F3466F"/>
    <w:rsid w:val="00F35D3A"/>
    <w:rsid w:val="00F4566B"/>
    <w:rsid w:val="00F45941"/>
    <w:rsid w:val="00F520AD"/>
    <w:rsid w:val="00F62E39"/>
    <w:rsid w:val="00F66873"/>
    <w:rsid w:val="00F71FB2"/>
    <w:rsid w:val="00F72F26"/>
    <w:rsid w:val="00F77DB8"/>
    <w:rsid w:val="00F807EC"/>
    <w:rsid w:val="00F818E6"/>
    <w:rsid w:val="00F90614"/>
    <w:rsid w:val="00F934DE"/>
    <w:rsid w:val="00F9668F"/>
    <w:rsid w:val="00F97E78"/>
    <w:rsid w:val="00FA4B86"/>
    <w:rsid w:val="00FA7BC0"/>
    <w:rsid w:val="00FB4739"/>
    <w:rsid w:val="00FC4001"/>
    <w:rsid w:val="00FC7A39"/>
    <w:rsid w:val="00FD441E"/>
    <w:rsid w:val="00FD6964"/>
    <w:rsid w:val="00FE27CA"/>
    <w:rsid w:val="00FE5C38"/>
    <w:rsid w:val="00FE6D68"/>
    <w:rsid w:val="00FF26B4"/>
    <w:rsid w:val="00FF4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C00446"/>
  <w15:chartTrackingRefBased/>
  <w15:docId w15:val="{6166F61F-D814-4BDF-A820-AC6DDC51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06"/>
  </w:style>
  <w:style w:type="paragraph" w:styleId="Heading1">
    <w:name w:val="heading 1"/>
    <w:basedOn w:val="Normal"/>
    <w:next w:val="Normal"/>
    <w:link w:val="Heading1Char"/>
    <w:uiPriority w:val="9"/>
    <w:qFormat/>
    <w:rsid w:val="00884D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4D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customStyle="1" w:styleId="Heading1Char">
    <w:name w:val="Heading 1 Char"/>
    <w:basedOn w:val="DefaultParagraphFont"/>
    <w:link w:val="Heading1"/>
    <w:uiPriority w:val="9"/>
    <w:rsid w:val="00884D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4D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84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D82"/>
    <w:rPr>
      <w:rFonts w:ascii="Segoe UI" w:hAnsi="Segoe UI" w:cs="Segoe UI"/>
      <w:sz w:val="18"/>
      <w:szCs w:val="18"/>
    </w:rPr>
  </w:style>
  <w:style w:type="character" w:styleId="CommentReference">
    <w:name w:val="annotation reference"/>
    <w:basedOn w:val="DefaultParagraphFont"/>
    <w:uiPriority w:val="99"/>
    <w:semiHidden/>
    <w:unhideWhenUsed/>
    <w:rsid w:val="007A7D7A"/>
    <w:rPr>
      <w:sz w:val="16"/>
      <w:szCs w:val="16"/>
    </w:rPr>
  </w:style>
  <w:style w:type="paragraph" w:styleId="CommentText">
    <w:name w:val="annotation text"/>
    <w:basedOn w:val="Normal"/>
    <w:link w:val="CommentTextChar"/>
    <w:uiPriority w:val="99"/>
    <w:unhideWhenUsed/>
    <w:rsid w:val="007A7D7A"/>
    <w:rPr>
      <w:sz w:val="20"/>
      <w:szCs w:val="20"/>
    </w:rPr>
  </w:style>
  <w:style w:type="character" w:customStyle="1" w:styleId="CommentTextChar">
    <w:name w:val="Comment Text Char"/>
    <w:basedOn w:val="DefaultParagraphFont"/>
    <w:link w:val="CommentText"/>
    <w:uiPriority w:val="99"/>
    <w:rsid w:val="007A7D7A"/>
    <w:rPr>
      <w:sz w:val="20"/>
      <w:szCs w:val="20"/>
    </w:rPr>
  </w:style>
  <w:style w:type="paragraph" w:styleId="CommentSubject">
    <w:name w:val="annotation subject"/>
    <w:basedOn w:val="CommentText"/>
    <w:next w:val="CommentText"/>
    <w:link w:val="CommentSubjectChar"/>
    <w:uiPriority w:val="99"/>
    <w:semiHidden/>
    <w:unhideWhenUsed/>
    <w:rsid w:val="007A7D7A"/>
    <w:rPr>
      <w:b/>
      <w:bCs/>
    </w:rPr>
  </w:style>
  <w:style w:type="character" w:customStyle="1" w:styleId="CommentSubjectChar">
    <w:name w:val="Comment Subject Char"/>
    <w:basedOn w:val="CommentTextChar"/>
    <w:link w:val="CommentSubject"/>
    <w:uiPriority w:val="99"/>
    <w:semiHidden/>
    <w:rsid w:val="007A7D7A"/>
    <w:rPr>
      <w:b/>
      <w:bCs/>
      <w:sz w:val="20"/>
      <w:szCs w:val="20"/>
    </w:rPr>
  </w:style>
  <w:style w:type="paragraph" w:styleId="FootnoteText">
    <w:name w:val="footnote text"/>
    <w:basedOn w:val="Normal"/>
    <w:link w:val="FootnoteTextChar"/>
    <w:unhideWhenUsed/>
    <w:rsid w:val="007A7D7A"/>
    <w:rPr>
      <w:sz w:val="20"/>
      <w:szCs w:val="20"/>
    </w:rPr>
  </w:style>
  <w:style w:type="character" w:customStyle="1" w:styleId="FootnoteTextChar">
    <w:name w:val="Footnote Text Char"/>
    <w:basedOn w:val="DefaultParagraphFont"/>
    <w:link w:val="FootnoteText"/>
    <w:rsid w:val="007A7D7A"/>
    <w:rPr>
      <w:sz w:val="20"/>
      <w:szCs w:val="20"/>
    </w:rPr>
  </w:style>
  <w:style w:type="character" w:styleId="FootnoteReference">
    <w:name w:val="footnote reference"/>
    <w:basedOn w:val="DefaultParagraphFont"/>
    <w:unhideWhenUsed/>
    <w:rsid w:val="007A7D7A"/>
    <w:rPr>
      <w:vertAlign w:val="superscript"/>
    </w:rPr>
  </w:style>
  <w:style w:type="paragraph" w:styleId="ListParagraph">
    <w:name w:val="List Paragraph"/>
    <w:basedOn w:val="Normal"/>
    <w:uiPriority w:val="34"/>
    <w:qFormat/>
    <w:rsid w:val="00C432DD"/>
    <w:pPr>
      <w:ind w:left="720"/>
      <w:contextualSpacing/>
    </w:pPr>
  </w:style>
  <w:style w:type="table" w:styleId="TableGrid">
    <w:name w:val="Table Grid"/>
    <w:basedOn w:val="TableNormal"/>
    <w:uiPriority w:val="39"/>
    <w:rsid w:val="00DB3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022A"/>
    <w:pPr>
      <w:jc w:val="both"/>
    </w:pPr>
    <w:rPr>
      <w:rFonts w:eastAsia="Times New Roman" w:cs="Times New Roman"/>
      <w:lang w:eastAsia="en-GB"/>
    </w:rPr>
  </w:style>
  <w:style w:type="paragraph" w:styleId="NormalWeb">
    <w:name w:val="Normal (Web)"/>
    <w:basedOn w:val="Normal"/>
    <w:uiPriority w:val="99"/>
    <w:rsid w:val="006D627D"/>
    <w:pPr>
      <w:jc w:val="both"/>
    </w:pPr>
    <w:rPr>
      <w:rFonts w:eastAsia="Times New Roman" w:cs="Times New Roman"/>
      <w:lang w:eastAsia="en-GB"/>
    </w:rPr>
  </w:style>
  <w:style w:type="character" w:styleId="Hyperlink">
    <w:name w:val="Hyperlink"/>
    <w:uiPriority w:val="99"/>
    <w:rsid w:val="00A70E85"/>
    <w:rPr>
      <w:color w:val="0000FF"/>
      <w:u w:val="single"/>
    </w:rPr>
  </w:style>
  <w:style w:type="paragraph" w:customStyle="1" w:styleId="Footer-RHSOdd">
    <w:name w:val="Footer - RHS Odd"/>
    <w:basedOn w:val="Normal"/>
    <w:rsid w:val="00A70E85"/>
    <w:pPr>
      <w:pBdr>
        <w:top w:val="single" w:sz="4" w:space="6" w:color="auto"/>
      </w:pBdr>
      <w:tabs>
        <w:tab w:val="left" w:pos="567"/>
      </w:tabs>
    </w:pPr>
    <w:rPr>
      <w:rFonts w:eastAsia="Times New Roman" w:cs="Times New Roman"/>
      <w:b/>
      <w:color w:val="000000"/>
      <w:sz w:val="16"/>
      <w:szCs w:val="20"/>
    </w:rPr>
  </w:style>
  <w:style w:type="paragraph" w:styleId="TOC1">
    <w:name w:val="toc 1"/>
    <w:basedOn w:val="Normal"/>
    <w:next w:val="Normal"/>
    <w:autoRedefine/>
    <w:uiPriority w:val="39"/>
    <w:qFormat/>
    <w:rsid w:val="00487CB7"/>
    <w:pPr>
      <w:tabs>
        <w:tab w:val="right" w:leader="dot" w:pos="9628"/>
      </w:tabs>
      <w:spacing w:before="240" w:after="120"/>
    </w:pPr>
    <w:rPr>
      <w:rFonts w:eastAsia="Times New Roman" w:cs="Times New Roman"/>
      <w:b/>
      <w:bCs/>
      <w:sz w:val="20"/>
      <w:szCs w:val="20"/>
      <w:lang w:eastAsia="en-GB"/>
    </w:rPr>
  </w:style>
  <w:style w:type="paragraph" w:styleId="TOCHeading">
    <w:name w:val="TOC Heading"/>
    <w:basedOn w:val="Heading1"/>
    <w:next w:val="Normal"/>
    <w:uiPriority w:val="39"/>
    <w:unhideWhenUsed/>
    <w:qFormat/>
    <w:rsid w:val="00A70E85"/>
    <w:pPr>
      <w:spacing w:before="480" w:line="276" w:lineRule="auto"/>
      <w:outlineLvl w:val="9"/>
    </w:pPr>
    <w:rPr>
      <w:rFonts w:ascii="Cambria" w:eastAsia="MS Gothic" w:hAnsi="Cambria" w:cs="Times New Roman"/>
      <w:b/>
      <w:bCs/>
      <w:color w:val="365F91"/>
      <w:sz w:val="28"/>
      <w:szCs w:val="28"/>
      <w:lang w:val="en-US" w:eastAsia="ja-JP"/>
    </w:rPr>
  </w:style>
  <w:style w:type="paragraph" w:styleId="TOC2">
    <w:name w:val="toc 2"/>
    <w:basedOn w:val="Normal"/>
    <w:next w:val="Normal"/>
    <w:autoRedefine/>
    <w:uiPriority w:val="39"/>
    <w:unhideWhenUsed/>
    <w:qFormat/>
    <w:rsid w:val="00A70E85"/>
    <w:pPr>
      <w:spacing w:before="120"/>
      <w:ind w:left="240"/>
    </w:pPr>
    <w:rPr>
      <w:rFonts w:eastAsia="Times New Roman" w:cs="Times New Roman"/>
      <w:i/>
      <w:iCs/>
      <w:sz w:val="20"/>
      <w:szCs w:val="20"/>
      <w:lang w:eastAsia="en-GB"/>
    </w:rPr>
  </w:style>
  <w:style w:type="paragraph" w:styleId="TOC3">
    <w:name w:val="toc 3"/>
    <w:basedOn w:val="Normal"/>
    <w:next w:val="Normal"/>
    <w:autoRedefine/>
    <w:uiPriority w:val="39"/>
    <w:unhideWhenUsed/>
    <w:qFormat/>
    <w:rsid w:val="00A70E85"/>
    <w:pPr>
      <w:ind w:left="480"/>
    </w:pPr>
    <w:rPr>
      <w:rFonts w:eastAsia="Times New Roman" w:cs="Times New Roman"/>
      <w:sz w:val="20"/>
      <w:szCs w:val="20"/>
      <w:lang w:eastAsia="en-GB"/>
    </w:rPr>
  </w:style>
  <w:style w:type="paragraph" w:customStyle="1" w:styleId="Numberedparagraph">
    <w:name w:val="Numbered paragraph"/>
    <w:basedOn w:val="Normal"/>
    <w:link w:val="NumberedparagraphChar"/>
    <w:autoRedefine/>
    <w:qFormat/>
    <w:rsid w:val="00CA7674"/>
    <w:pPr>
      <w:numPr>
        <w:numId w:val="15"/>
      </w:numPr>
      <w:spacing w:after="240"/>
      <w:ind w:left="567" w:hanging="567"/>
    </w:pPr>
    <w:rPr>
      <w:rFonts w:eastAsia="Times New Roman" w:cs="Times New Roman"/>
      <w:color w:val="000000"/>
    </w:rPr>
  </w:style>
  <w:style w:type="character" w:customStyle="1" w:styleId="NumberedparagraphChar">
    <w:name w:val="Numbered paragraph Char"/>
    <w:link w:val="Numberedparagraph"/>
    <w:locked/>
    <w:rsid w:val="00CA7674"/>
    <w:rPr>
      <w:rFonts w:eastAsia="Times New Roman" w:cs="Times New Roman"/>
      <w:color w:val="000000"/>
    </w:rPr>
  </w:style>
  <w:style w:type="paragraph" w:styleId="Revision">
    <w:name w:val="Revision"/>
    <w:hidden/>
    <w:uiPriority w:val="99"/>
    <w:semiHidden/>
    <w:rsid w:val="004561CF"/>
  </w:style>
  <w:style w:type="character" w:styleId="FollowedHyperlink">
    <w:name w:val="FollowedHyperlink"/>
    <w:basedOn w:val="DefaultParagraphFont"/>
    <w:uiPriority w:val="99"/>
    <w:semiHidden/>
    <w:unhideWhenUsed/>
    <w:rsid w:val="008B1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450">
      <w:bodyDiv w:val="1"/>
      <w:marLeft w:val="0"/>
      <w:marRight w:val="0"/>
      <w:marTop w:val="0"/>
      <w:marBottom w:val="0"/>
      <w:divBdr>
        <w:top w:val="none" w:sz="0" w:space="0" w:color="auto"/>
        <w:left w:val="none" w:sz="0" w:space="0" w:color="auto"/>
        <w:bottom w:val="none" w:sz="0" w:space="0" w:color="auto"/>
        <w:right w:val="none" w:sz="0" w:space="0" w:color="auto"/>
      </w:divBdr>
    </w:div>
    <w:div w:id="655956714">
      <w:bodyDiv w:val="1"/>
      <w:marLeft w:val="0"/>
      <w:marRight w:val="0"/>
      <w:marTop w:val="0"/>
      <w:marBottom w:val="0"/>
      <w:divBdr>
        <w:top w:val="none" w:sz="0" w:space="0" w:color="auto"/>
        <w:left w:val="none" w:sz="0" w:space="0" w:color="auto"/>
        <w:bottom w:val="none" w:sz="0" w:space="0" w:color="auto"/>
        <w:right w:val="none" w:sz="0" w:space="0" w:color="auto"/>
      </w:divBdr>
    </w:div>
    <w:div w:id="713970670">
      <w:bodyDiv w:val="1"/>
      <w:marLeft w:val="0"/>
      <w:marRight w:val="0"/>
      <w:marTop w:val="0"/>
      <w:marBottom w:val="0"/>
      <w:divBdr>
        <w:top w:val="none" w:sz="0" w:space="0" w:color="auto"/>
        <w:left w:val="none" w:sz="0" w:space="0" w:color="auto"/>
        <w:bottom w:val="none" w:sz="0" w:space="0" w:color="auto"/>
        <w:right w:val="none" w:sz="0" w:space="0" w:color="auto"/>
      </w:divBdr>
    </w:div>
    <w:div w:id="8437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psi@nationalarchives.gsi.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ationalarchives.gov.uk/doc/open-government-lice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rah%20Pearce%20%3cSarah.Pearce@ofsted.gov.uk%3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ss.civilservice.gov.uk/blog/2016/06/management-information-guidance/"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statistics/further-education-and-skills-inspections-and-outcomes-as-at-28-February-2017"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ofsted-annual-report-201516-education-early-years-and-skil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524C-4308-4D4A-AAB2-D6452782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3684</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Pearce</dc:creator>
  <cp:keywords/>
  <dc:description/>
  <cp:lastModifiedBy>Sarah Pearce</cp:lastModifiedBy>
  <cp:revision>5</cp:revision>
  <cp:lastPrinted>2017-06-01T14:07:00Z</cp:lastPrinted>
  <dcterms:created xsi:type="dcterms:W3CDTF">2017-06-23T11:10:00Z</dcterms:created>
  <dcterms:modified xsi:type="dcterms:W3CDTF">2017-06-26T13:57:00Z</dcterms:modified>
</cp:coreProperties>
</file>