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D734E" w14:textId="77777777" w:rsidR="009A52F3" w:rsidRDefault="009A52F3">
      <w:pPr>
        <w:rPr>
          <w:rFonts w:ascii="Arial" w:hAnsi="Arial" w:cs="Arial"/>
          <w:b/>
          <w:sz w:val="40"/>
          <w:szCs w:val="40"/>
        </w:rPr>
      </w:pPr>
      <w:r>
        <w:rPr>
          <w:rFonts w:ascii="Arial" w:hAnsi="Arial" w:cs="Arial"/>
          <w:b/>
          <w:noProof/>
          <w:sz w:val="40"/>
          <w:szCs w:val="40"/>
          <w:lang w:eastAsia="en-GB"/>
        </w:rPr>
        <w:drawing>
          <wp:inline distT="0" distB="0" distL="0" distR="0" wp14:anchorId="38F8D0CA" wp14:editId="3C6EB0F2">
            <wp:extent cx="17430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pic:spPr>
                </pic:pic>
              </a:graphicData>
            </a:graphic>
          </wp:inline>
        </w:drawing>
      </w:r>
      <w:r w:rsidR="00417C10">
        <w:rPr>
          <w:rFonts w:ascii="Arial" w:hAnsi="Arial" w:cs="Arial"/>
          <w:b/>
          <w:sz w:val="40"/>
          <w:szCs w:val="40"/>
        </w:rPr>
        <w:tab/>
      </w:r>
      <w:r w:rsidR="00417C10">
        <w:rPr>
          <w:rFonts w:ascii="Arial" w:hAnsi="Arial" w:cs="Arial"/>
          <w:b/>
          <w:sz w:val="40"/>
          <w:szCs w:val="40"/>
        </w:rPr>
        <w:tab/>
      </w:r>
      <w:r w:rsidR="00417C10">
        <w:rPr>
          <w:rFonts w:ascii="Arial" w:hAnsi="Arial" w:cs="Arial"/>
          <w:b/>
          <w:sz w:val="40"/>
          <w:szCs w:val="40"/>
        </w:rPr>
        <w:tab/>
      </w:r>
    </w:p>
    <w:p w14:paraId="0FFD6256" w14:textId="77777777" w:rsidR="009A52F3" w:rsidRDefault="009A52F3">
      <w:pPr>
        <w:rPr>
          <w:rFonts w:ascii="Arial" w:hAnsi="Arial" w:cs="Arial"/>
          <w:b/>
          <w:sz w:val="40"/>
          <w:szCs w:val="40"/>
        </w:rPr>
      </w:pPr>
    </w:p>
    <w:p w14:paraId="06B23F68" w14:textId="5AF54322" w:rsidR="00C507DF" w:rsidRPr="000A6EFA" w:rsidRDefault="00C36C45">
      <w:pPr>
        <w:rPr>
          <w:rFonts w:ascii="Arial" w:hAnsi="Arial" w:cs="Arial"/>
          <w:b/>
          <w:sz w:val="40"/>
          <w:szCs w:val="40"/>
        </w:rPr>
      </w:pPr>
      <w:r w:rsidRPr="000A6EFA">
        <w:rPr>
          <w:rFonts w:ascii="Arial" w:hAnsi="Arial" w:cs="Arial"/>
          <w:b/>
          <w:sz w:val="40"/>
          <w:szCs w:val="40"/>
        </w:rPr>
        <w:t>Information</w:t>
      </w:r>
      <w:r w:rsidR="0075041B" w:rsidRPr="000A6EFA">
        <w:rPr>
          <w:rFonts w:ascii="Arial" w:hAnsi="Arial" w:cs="Arial"/>
          <w:b/>
          <w:sz w:val="40"/>
          <w:szCs w:val="40"/>
        </w:rPr>
        <w:t xml:space="preserve"> Sharing </w:t>
      </w:r>
      <w:r w:rsidR="000A6EFA" w:rsidRPr="000A6EFA">
        <w:rPr>
          <w:rFonts w:ascii="Arial" w:hAnsi="Arial" w:cs="Arial"/>
          <w:b/>
          <w:sz w:val="40"/>
          <w:szCs w:val="40"/>
        </w:rPr>
        <w:t>Protocol</w:t>
      </w:r>
      <w:r w:rsidR="008A5591" w:rsidRPr="000A6EFA">
        <w:rPr>
          <w:rFonts w:ascii="Arial" w:hAnsi="Arial" w:cs="Arial"/>
          <w:b/>
          <w:sz w:val="40"/>
          <w:szCs w:val="40"/>
        </w:rPr>
        <w:t xml:space="preserve"> </w:t>
      </w:r>
    </w:p>
    <w:p w14:paraId="7F373B2A" w14:textId="77777777" w:rsidR="0075041B" w:rsidRDefault="0075041B">
      <w:pPr>
        <w:rPr>
          <w:rFonts w:ascii="Arial" w:hAnsi="Arial" w:cs="Arial"/>
          <w:b/>
          <w:sz w:val="32"/>
          <w:szCs w:val="32"/>
        </w:rPr>
      </w:pPr>
    </w:p>
    <w:p w14:paraId="04E5B7EB" w14:textId="77777777" w:rsidR="0075041B" w:rsidRPr="00084875" w:rsidRDefault="0075041B">
      <w:pPr>
        <w:rPr>
          <w:rFonts w:ascii="Arial" w:hAnsi="Arial" w:cs="Arial"/>
          <w:sz w:val="32"/>
          <w:szCs w:val="32"/>
        </w:rPr>
      </w:pPr>
      <w:r w:rsidRPr="00084875">
        <w:rPr>
          <w:rFonts w:ascii="Arial" w:hAnsi="Arial" w:cs="Arial"/>
          <w:sz w:val="32"/>
          <w:szCs w:val="32"/>
        </w:rPr>
        <w:t>between</w:t>
      </w:r>
    </w:p>
    <w:p w14:paraId="7BCD5702" w14:textId="77777777" w:rsidR="0075041B" w:rsidRDefault="0075041B" w:rsidP="0075041B">
      <w:pPr>
        <w:rPr>
          <w:rFonts w:ascii="Arial" w:hAnsi="Arial" w:cs="Arial"/>
          <w:b/>
          <w:bCs/>
          <w:sz w:val="40"/>
          <w:szCs w:val="40"/>
        </w:rPr>
      </w:pPr>
    </w:p>
    <w:p w14:paraId="0F8FE11D" w14:textId="77777777" w:rsidR="0075041B" w:rsidRPr="0075041B" w:rsidRDefault="0075041B" w:rsidP="0075041B">
      <w:pPr>
        <w:rPr>
          <w:rFonts w:ascii="Arial" w:hAnsi="Arial" w:cs="Arial"/>
          <w:b/>
          <w:bCs/>
          <w:sz w:val="40"/>
          <w:szCs w:val="40"/>
        </w:rPr>
      </w:pPr>
      <w:r w:rsidRPr="0075041B">
        <w:rPr>
          <w:rFonts w:ascii="Arial" w:hAnsi="Arial" w:cs="Arial"/>
          <w:b/>
          <w:bCs/>
          <w:sz w:val="40"/>
          <w:szCs w:val="40"/>
        </w:rPr>
        <w:t>Valuation Office Agency (an Executive Agency of HMRC)</w:t>
      </w:r>
    </w:p>
    <w:p w14:paraId="1DBBD2E7" w14:textId="77777777" w:rsidR="0075041B" w:rsidRDefault="0075041B">
      <w:pPr>
        <w:rPr>
          <w:rFonts w:ascii="Arial" w:hAnsi="Arial" w:cs="Arial"/>
          <w:b/>
          <w:sz w:val="32"/>
          <w:szCs w:val="32"/>
        </w:rPr>
      </w:pPr>
    </w:p>
    <w:p w14:paraId="4996B8B1" w14:textId="77777777" w:rsidR="0075041B" w:rsidRPr="00084875" w:rsidRDefault="0075041B">
      <w:pPr>
        <w:rPr>
          <w:rFonts w:ascii="Arial" w:hAnsi="Arial" w:cs="Arial"/>
          <w:sz w:val="32"/>
          <w:szCs w:val="32"/>
        </w:rPr>
      </w:pPr>
      <w:r w:rsidRPr="00084875">
        <w:rPr>
          <w:rFonts w:ascii="Arial" w:hAnsi="Arial" w:cs="Arial"/>
          <w:sz w:val="32"/>
          <w:szCs w:val="32"/>
        </w:rPr>
        <w:t>and</w:t>
      </w:r>
    </w:p>
    <w:p w14:paraId="363830CC" w14:textId="77777777" w:rsidR="0075041B" w:rsidRDefault="0075041B">
      <w:pPr>
        <w:rPr>
          <w:rFonts w:ascii="Arial" w:hAnsi="Arial" w:cs="Arial"/>
          <w:b/>
          <w:sz w:val="40"/>
          <w:szCs w:val="40"/>
        </w:rPr>
      </w:pPr>
    </w:p>
    <w:p w14:paraId="24B4DB6D" w14:textId="1DA0A23F" w:rsidR="0075041B" w:rsidRDefault="00FB7730">
      <w:pPr>
        <w:rPr>
          <w:rFonts w:ascii="Arial" w:hAnsi="Arial" w:cs="Arial"/>
          <w:b/>
          <w:sz w:val="40"/>
          <w:szCs w:val="40"/>
        </w:rPr>
      </w:pPr>
      <w:r w:rsidRPr="002676A8">
        <w:rPr>
          <w:rFonts w:ascii="Arial" w:hAnsi="Arial" w:cs="Arial"/>
          <w:b/>
          <w:sz w:val="40"/>
          <w:szCs w:val="40"/>
        </w:rPr>
        <w:t>(</w:t>
      </w:r>
      <w:r w:rsidR="007D0E2A" w:rsidRPr="002676A8">
        <w:rPr>
          <w:rFonts w:ascii="Arial" w:hAnsi="Arial" w:cs="Arial"/>
          <w:b/>
          <w:sz w:val="40"/>
          <w:szCs w:val="40"/>
        </w:rPr>
        <w:t xml:space="preserve">Insert </w:t>
      </w:r>
      <w:r w:rsidR="00A6242F" w:rsidRPr="002676A8">
        <w:rPr>
          <w:rFonts w:ascii="Arial" w:hAnsi="Arial" w:cs="Arial"/>
          <w:b/>
          <w:sz w:val="40"/>
          <w:szCs w:val="40"/>
        </w:rPr>
        <w:t>BA NAME</w:t>
      </w:r>
      <w:r w:rsidRPr="002676A8">
        <w:rPr>
          <w:rFonts w:ascii="Arial" w:hAnsi="Arial" w:cs="Arial"/>
          <w:b/>
          <w:sz w:val="40"/>
          <w:szCs w:val="40"/>
        </w:rPr>
        <w:t>)</w:t>
      </w:r>
      <w:r w:rsidR="00D20079" w:rsidRPr="002676A8">
        <w:rPr>
          <w:rFonts w:ascii="Arial" w:hAnsi="Arial" w:cs="Arial"/>
          <w:b/>
          <w:sz w:val="40"/>
          <w:szCs w:val="40"/>
        </w:rPr>
        <w:t>, Wales</w:t>
      </w:r>
      <w:bookmarkStart w:id="0" w:name="_GoBack"/>
      <w:bookmarkEnd w:id="0"/>
    </w:p>
    <w:p w14:paraId="4952ABDB" w14:textId="77777777" w:rsidR="007F11CC" w:rsidRDefault="007F11CC">
      <w:pPr>
        <w:rPr>
          <w:rFonts w:ascii="Arial" w:hAnsi="Arial" w:cs="Arial"/>
          <w:b/>
          <w:sz w:val="40"/>
          <w:szCs w:val="40"/>
        </w:rPr>
      </w:pPr>
    </w:p>
    <w:p w14:paraId="0397C070" w14:textId="77777777" w:rsidR="007F11CC" w:rsidRDefault="007F11CC">
      <w:pPr>
        <w:rPr>
          <w:rFonts w:ascii="Arial" w:hAnsi="Arial" w:cs="Arial"/>
          <w:b/>
          <w:sz w:val="40"/>
          <w:szCs w:val="40"/>
        </w:rPr>
      </w:pPr>
    </w:p>
    <w:p w14:paraId="6FBE2DED" w14:textId="77777777" w:rsidR="007F11CC" w:rsidRDefault="007F11CC">
      <w:pPr>
        <w:rPr>
          <w:rFonts w:ascii="Arial" w:hAnsi="Arial" w:cs="Arial"/>
          <w:b/>
          <w:sz w:val="40"/>
          <w:szCs w:val="40"/>
        </w:rPr>
      </w:pPr>
    </w:p>
    <w:p w14:paraId="6DF4C180" w14:textId="77777777" w:rsidR="007F11CC" w:rsidRDefault="007F11CC">
      <w:pPr>
        <w:rPr>
          <w:rFonts w:ascii="Arial" w:hAnsi="Arial" w:cs="Arial"/>
          <w:b/>
          <w:sz w:val="40"/>
          <w:szCs w:val="40"/>
        </w:rPr>
      </w:pPr>
    </w:p>
    <w:p w14:paraId="61B0349F" w14:textId="77777777" w:rsidR="007F11CC" w:rsidRDefault="007F11CC">
      <w:pPr>
        <w:rPr>
          <w:rFonts w:ascii="Arial" w:hAnsi="Arial" w:cs="Arial"/>
          <w:b/>
          <w:sz w:val="40"/>
          <w:szCs w:val="40"/>
        </w:rPr>
      </w:pPr>
    </w:p>
    <w:p w14:paraId="3FDFB1F8" w14:textId="51F8105F" w:rsidR="007F11CC" w:rsidRDefault="001F346E">
      <w:pPr>
        <w:rPr>
          <w:rFonts w:ascii="Arial" w:hAnsi="Arial" w:cs="Arial"/>
          <w:b/>
          <w:sz w:val="40"/>
          <w:szCs w:val="40"/>
        </w:rPr>
      </w:pPr>
      <w:r w:rsidRPr="002676A8">
        <w:rPr>
          <w:rFonts w:ascii="Arial" w:hAnsi="Arial" w:cs="Arial"/>
          <w:b/>
          <w:sz w:val="40"/>
          <w:szCs w:val="40"/>
        </w:rPr>
        <w:t>June 2017</w:t>
      </w:r>
      <w:r w:rsidR="007F11CC">
        <w:rPr>
          <w:rFonts w:ascii="Arial" w:hAnsi="Arial" w:cs="Arial"/>
          <w:b/>
          <w:sz w:val="40"/>
          <w:szCs w:val="40"/>
        </w:rPr>
        <w:br w:type="page"/>
      </w:r>
    </w:p>
    <w:p w14:paraId="03BB5AC1" w14:textId="77777777" w:rsidR="00871879" w:rsidRDefault="00A92B29">
      <w:pPr>
        <w:rPr>
          <w:rFonts w:ascii="Arial" w:hAnsi="Arial" w:cs="Arial"/>
          <w:b/>
          <w:sz w:val="24"/>
          <w:szCs w:val="24"/>
        </w:rPr>
      </w:pPr>
      <w:r>
        <w:rPr>
          <w:rFonts w:ascii="Arial" w:hAnsi="Arial" w:cs="Arial"/>
          <w:b/>
          <w:sz w:val="24"/>
          <w:szCs w:val="24"/>
        </w:rPr>
        <w:lastRenderedPageBreak/>
        <w:t>Contents</w:t>
      </w:r>
    </w:p>
    <w:p w14:paraId="4595418E" w14:textId="77777777" w:rsidR="00A9267A" w:rsidRDefault="00A9267A">
      <w:pPr>
        <w:rPr>
          <w:rFonts w:ascii="Arial" w:hAnsi="Arial" w:cs="Arial"/>
          <w:b/>
          <w:sz w:val="24"/>
          <w:szCs w:val="24"/>
        </w:rPr>
      </w:pPr>
    </w:p>
    <w:p w14:paraId="0A00BB35" w14:textId="77777777" w:rsidR="00871879" w:rsidRPr="00EB4E9A" w:rsidRDefault="00871879" w:rsidP="00AB1BBA">
      <w:pPr>
        <w:spacing w:line="480" w:lineRule="auto"/>
        <w:rPr>
          <w:rFonts w:ascii="Arial" w:hAnsi="Arial" w:cs="Arial"/>
          <w:sz w:val="24"/>
          <w:szCs w:val="24"/>
        </w:rPr>
      </w:pPr>
      <w:r w:rsidRPr="00EB4E9A">
        <w:rPr>
          <w:rFonts w:ascii="Arial" w:hAnsi="Arial" w:cs="Arial"/>
          <w:sz w:val="24"/>
          <w:szCs w:val="24"/>
        </w:rPr>
        <w:t>Glossary</w:t>
      </w:r>
    </w:p>
    <w:p w14:paraId="591A92D4" w14:textId="77777777" w:rsidR="00EB4E9A" w:rsidRPr="00EB4E9A" w:rsidRDefault="00EB4E9A" w:rsidP="00AB1BBA">
      <w:pPr>
        <w:pStyle w:val="ListParagraph"/>
        <w:numPr>
          <w:ilvl w:val="0"/>
          <w:numId w:val="2"/>
        </w:numPr>
        <w:spacing w:line="480" w:lineRule="auto"/>
        <w:rPr>
          <w:rFonts w:ascii="Arial" w:hAnsi="Arial" w:cs="Arial"/>
          <w:sz w:val="24"/>
          <w:szCs w:val="24"/>
        </w:rPr>
      </w:pPr>
      <w:r w:rsidRPr="00EB4E9A">
        <w:rPr>
          <w:rFonts w:ascii="Arial" w:hAnsi="Arial" w:cs="Arial"/>
          <w:sz w:val="24"/>
          <w:szCs w:val="24"/>
        </w:rPr>
        <w:t>Introduction</w:t>
      </w:r>
    </w:p>
    <w:p w14:paraId="6B7FC028" w14:textId="77777777" w:rsidR="00EB4E9A" w:rsidRDefault="00EB4E9A" w:rsidP="00EB4E9A">
      <w:pPr>
        <w:pStyle w:val="ListParagraph"/>
        <w:numPr>
          <w:ilvl w:val="0"/>
          <w:numId w:val="2"/>
        </w:numPr>
        <w:spacing w:line="480" w:lineRule="auto"/>
        <w:rPr>
          <w:rFonts w:ascii="Arial" w:hAnsi="Arial" w:cs="Arial"/>
          <w:sz w:val="24"/>
          <w:szCs w:val="24"/>
        </w:rPr>
      </w:pPr>
      <w:r w:rsidRPr="00EB4E9A">
        <w:rPr>
          <w:rFonts w:ascii="Arial" w:hAnsi="Arial" w:cs="Arial"/>
          <w:sz w:val="24"/>
          <w:szCs w:val="24"/>
        </w:rPr>
        <w:t>Parties</w:t>
      </w:r>
    </w:p>
    <w:p w14:paraId="1EFBA303" w14:textId="77777777" w:rsidR="00EB4E9A" w:rsidRPr="00EB4E9A" w:rsidRDefault="00F430E8" w:rsidP="00EB4E9A">
      <w:pPr>
        <w:pStyle w:val="ListParagraph"/>
        <w:numPr>
          <w:ilvl w:val="0"/>
          <w:numId w:val="2"/>
        </w:numPr>
        <w:spacing w:line="480" w:lineRule="auto"/>
        <w:rPr>
          <w:rFonts w:ascii="Arial" w:hAnsi="Arial" w:cs="Arial"/>
          <w:sz w:val="24"/>
          <w:szCs w:val="24"/>
        </w:rPr>
      </w:pPr>
      <w:r>
        <w:rPr>
          <w:rFonts w:ascii="Arial" w:hAnsi="Arial" w:cs="Arial"/>
          <w:sz w:val="24"/>
          <w:szCs w:val="24"/>
        </w:rPr>
        <w:t>Legal basis of provision</w:t>
      </w:r>
      <w:r w:rsidR="007F15C7">
        <w:rPr>
          <w:rFonts w:ascii="Arial" w:hAnsi="Arial" w:cs="Arial"/>
          <w:sz w:val="24"/>
          <w:szCs w:val="24"/>
        </w:rPr>
        <w:t xml:space="preserve"> and confidentiality</w:t>
      </w:r>
    </w:p>
    <w:p w14:paraId="36A973E5" w14:textId="77777777" w:rsidR="00EB4E9A" w:rsidRPr="00EB4E9A" w:rsidRDefault="00EB4E9A" w:rsidP="00EB4E9A">
      <w:pPr>
        <w:pStyle w:val="ListParagraph"/>
        <w:numPr>
          <w:ilvl w:val="0"/>
          <w:numId w:val="2"/>
        </w:numPr>
        <w:spacing w:line="480" w:lineRule="auto"/>
        <w:rPr>
          <w:rFonts w:ascii="Arial" w:hAnsi="Arial" w:cs="Arial"/>
          <w:sz w:val="24"/>
          <w:szCs w:val="24"/>
        </w:rPr>
      </w:pPr>
      <w:r w:rsidRPr="00EB4E9A">
        <w:rPr>
          <w:rFonts w:ascii="Arial" w:hAnsi="Arial" w:cs="Arial"/>
          <w:sz w:val="24"/>
          <w:szCs w:val="24"/>
        </w:rPr>
        <w:t>Information use, handling, security and assurance</w:t>
      </w:r>
    </w:p>
    <w:p w14:paraId="1DCFEED0" w14:textId="77777777" w:rsidR="00EB4E9A" w:rsidRPr="00EB4E9A" w:rsidRDefault="00EB4E9A" w:rsidP="00EB4E9A">
      <w:pPr>
        <w:pStyle w:val="ListParagraph"/>
        <w:numPr>
          <w:ilvl w:val="0"/>
          <w:numId w:val="2"/>
        </w:numPr>
        <w:spacing w:line="480" w:lineRule="auto"/>
        <w:rPr>
          <w:rFonts w:ascii="Arial" w:hAnsi="Arial" w:cs="Arial"/>
          <w:sz w:val="24"/>
          <w:szCs w:val="24"/>
        </w:rPr>
      </w:pPr>
      <w:r w:rsidRPr="00EB4E9A">
        <w:rPr>
          <w:rFonts w:ascii="Arial" w:hAnsi="Arial" w:cs="Arial"/>
          <w:sz w:val="24"/>
          <w:szCs w:val="24"/>
        </w:rPr>
        <w:t>Responsibilities under the Data Protection Act 1988 (DPA)</w:t>
      </w:r>
    </w:p>
    <w:p w14:paraId="4D095423" w14:textId="77777777" w:rsidR="00EB4E9A" w:rsidRPr="00EB4E9A" w:rsidRDefault="00EB4E9A" w:rsidP="00EB4E9A">
      <w:pPr>
        <w:pStyle w:val="ListParagraph"/>
        <w:numPr>
          <w:ilvl w:val="0"/>
          <w:numId w:val="2"/>
        </w:numPr>
        <w:spacing w:line="480" w:lineRule="auto"/>
        <w:rPr>
          <w:rFonts w:ascii="Arial" w:hAnsi="Arial" w:cs="Arial"/>
          <w:sz w:val="24"/>
          <w:szCs w:val="24"/>
        </w:rPr>
      </w:pPr>
      <w:r w:rsidRPr="00EB4E9A">
        <w:rPr>
          <w:rFonts w:ascii="Arial" w:hAnsi="Arial" w:cs="Arial"/>
          <w:sz w:val="24"/>
          <w:szCs w:val="24"/>
        </w:rPr>
        <w:t>Responsibilities under the Freedom of Information Act 2000 (FoIA)</w:t>
      </w:r>
    </w:p>
    <w:p w14:paraId="79EDB3DA" w14:textId="77777777" w:rsidR="00EB4E9A" w:rsidRPr="00EB4E9A" w:rsidRDefault="00EB4E9A" w:rsidP="00EB4E9A">
      <w:pPr>
        <w:pStyle w:val="ListParagraph"/>
        <w:numPr>
          <w:ilvl w:val="0"/>
          <w:numId w:val="2"/>
        </w:numPr>
        <w:spacing w:line="480" w:lineRule="auto"/>
        <w:rPr>
          <w:rFonts w:ascii="Arial" w:hAnsi="Arial" w:cs="Arial"/>
          <w:sz w:val="24"/>
          <w:szCs w:val="24"/>
        </w:rPr>
      </w:pPr>
      <w:r w:rsidRPr="00EB4E9A">
        <w:rPr>
          <w:rFonts w:ascii="Arial" w:hAnsi="Arial" w:cs="Arial"/>
          <w:sz w:val="24"/>
          <w:szCs w:val="24"/>
        </w:rPr>
        <w:lastRenderedPageBreak/>
        <w:t>Intellectual property rights</w:t>
      </w:r>
    </w:p>
    <w:p w14:paraId="2F19BD0A" w14:textId="77777777" w:rsidR="00EB4E9A" w:rsidRDefault="00787823" w:rsidP="00EB4E9A">
      <w:pPr>
        <w:pStyle w:val="ListParagraph"/>
        <w:numPr>
          <w:ilvl w:val="0"/>
          <w:numId w:val="2"/>
        </w:numPr>
        <w:spacing w:line="480" w:lineRule="auto"/>
        <w:rPr>
          <w:rFonts w:ascii="Arial" w:hAnsi="Arial" w:cs="Arial"/>
          <w:sz w:val="24"/>
          <w:szCs w:val="24"/>
        </w:rPr>
      </w:pPr>
      <w:r>
        <w:rPr>
          <w:rFonts w:ascii="Arial" w:hAnsi="Arial" w:cs="Arial"/>
          <w:sz w:val="24"/>
          <w:szCs w:val="24"/>
        </w:rPr>
        <w:t>Issue Management</w:t>
      </w:r>
    </w:p>
    <w:p w14:paraId="0975F271" w14:textId="77777777" w:rsidR="00787823" w:rsidRDefault="00787823" w:rsidP="008316D6">
      <w:pPr>
        <w:pStyle w:val="ListParagraph"/>
        <w:numPr>
          <w:ilvl w:val="0"/>
          <w:numId w:val="2"/>
        </w:numPr>
        <w:spacing w:line="480" w:lineRule="auto"/>
        <w:rPr>
          <w:rFonts w:ascii="Arial" w:hAnsi="Arial" w:cs="Arial"/>
          <w:sz w:val="24"/>
          <w:szCs w:val="24"/>
        </w:rPr>
      </w:pPr>
      <w:r w:rsidRPr="00787823">
        <w:rPr>
          <w:rFonts w:ascii="Arial" w:hAnsi="Arial" w:cs="Arial"/>
          <w:sz w:val="24"/>
          <w:szCs w:val="24"/>
        </w:rPr>
        <w:t>Security Incidents or Information Breaches</w:t>
      </w:r>
    </w:p>
    <w:p w14:paraId="0CE2894F" w14:textId="77777777" w:rsidR="00EB4E9A" w:rsidRPr="00EB4E9A" w:rsidRDefault="000A3C9E" w:rsidP="008316D6">
      <w:pPr>
        <w:pStyle w:val="ListParagraph"/>
        <w:numPr>
          <w:ilvl w:val="0"/>
          <w:numId w:val="2"/>
        </w:numPr>
        <w:spacing w:line="480" w:lineRule="auto"/>
        <w:rPr>
          <w:rFonts w:ascii="Arial" w:hAnsi="Arial" w:cs="Arial"/>
          <w:sz w:val="24"/>
          <w:szCs w:val="24"/>
        </w:rPr>
      </w:pPr>
      <w:r>
        <w:rPr>
          <w:rFonts w:ascii="Arial" w:hAnsi="Arial" w:cs="Arial"/>
          <w:sz w:val="24"/>
          <w:szCs w:val="24"/>
        </w:rPr>
        <w:t>Termination</w:t>
      </w:r>
    </w:p>
    <w:p w14:paraId="69BA4E46" w14:textId="77777777" w:rsidR="006E2EFA" w:rsidRDefault="006C38DD" w:rsidP="00EB4E9A">
      <w:pPr>
        <w:pStyle w:val="ListParagraph"/>
        <w:numPr>
          <w:ilvl w:val="0"/>
          <w:numId w:val="2"/>
        </w:numPr>
        <w:spacing w:line="480" w:lineRule="auto"/>
        <w:rPr>
          <w:rFonts w:ascii="Arial" w:hAnsi="Arial" w:cs="Arial"/>
          <w:sz w:val="24"/>
          <w:szCs w:val="24"/>
        </w:rPr>
      </w:pPr>
      <w:r>
        <w:rPr>
          <w:rFonts w:ascii="Arial" w:hAnsi="Arial" w:cs="Arial"/>
          <w:sz w:val="24"/>
          <w:szCs w:val="24"/>
        </w:rPr>
        <w:t>Recovery Costs</w:t>
      </w:r>
    </w:p>
    <w:p w14:paraId="2B59C493" w14:textId="77777777" w:rsidR="00C21191" w:rsidRDefault="00C21191" w:rsidP="00EB4E9A">
      <w:pPr>
        <w:pStyle w:val="ListParagraph"/>
        <w:numPr>
          <w:ilvl w:val="0"/>
          <w:numId w:val="2"/>
        </w:numPr>
        <w:spacing w:line="480" w:lineRule="auto"/>
        <w:rPr>
          <w:rFonts w:ascii="Arial" w:hAnsi="Arial" w:cs="Arial"/>
          <w:sz w:val="24"/>
          <w:szCs w:val="24"/>
        </w:rPr>
      </w:pPr>
      <w:r>
        <w:rPr>
          <w:rFonts w:ascii="Arial" w:hAnsi="Arial" w:cs="Arial"/>
          <w:sz w:val="24"/>
          <w:szCs w:val="24"/>
        </w:rPr>
        <w:t>Review</w:t>
      </w:r>
    </w:p>
    <w:p w14:paraId="2DD6F985" w14:textId="77777777" w:rsidR="00C21191" w:rsidRDefault="000B35C9" w:rsidP="00EB4E9A">
      <w:pPr>
        <w:pStyle w:val="ListParagraph"/>
        <w:numPr>
          <w:ilvl w:val="0"/>
          <w:numId w:val="2"/>
        </w:numPr>
        <w:spacing w:line="480" w:lineRule="auto"/>
        <w:rPr>
          <w:rFonts w:ascii="Arial" w:hAnsi="Arial" w:cs="Arial"/>
          <w:sz w:val="24"/>
          <w:szCs w:val="24"/>
        </w:rPr>
      </w:pPr>
      <w:r>
        <w:rPr>
          <w:rFonts w:ascii="Arial" w:hAnsi="Arial" w:cs="Arial"/>
          <w:sz w:val="24"/>
          <w:szCs w:val="24"/>
        </w:rPr>
        <w:t>Signatories</w:t>
      </w:r>
    </w:p>
    <w:p w14:paraId="2B2F2D0C" w14:textId="77777777" w:rsidR="00C21191" w:rsidRDefault="00C21191" w:rsidP="00813D88">
      <w:pPr>
        <w:spacing w:line="480" w:lineRule="auto"/>
        <w:rPr>
          <w:rFonts w:ascii="Arial" w:hAnsi="Arial" w:cs="Arial"/>
          <w:sz w:val="24"/>
          <w:szCs w:val="24"/>
        </w:rPr>
      </w:pPr>
      <w:r>
        <w:rPr>
          <w:rFonts w:ascii="Arial" w:hAnsi="Arial" w:cs="Arial"/>
          <w:b/>
          <w:sz w:val="24"/>
          <w:szCs w:val="24"/>
        </w:rPr>
        <w:t>A</w:t>
      </w:r>
      <w:r w:rsidR="00670FB1">
        <w:rPr>
          <w:rFonts w:ascii="Arial" w:hAnsi="Arial" w:cs="Arial"/>
          <w:b/>
          <w:sz w:val="24"/>
          <w:szCs w:val="24"/>
        </w:rPr>
        <w:t>nnex</w:t>
      </w:r>
      <w:r>
        <w:rPr>
          <w:rFonts w:ascii="Arial" w:hAnsi="Arial" w:cs="Arial"/>
          <w:b/>
          <w:sz w:val="24"/>
          <w:szCs w:val="24"/>
        </w:rPr>
        <w:t xml:space="preserve"> A: </w:t>
      </w:r>
      <w:r>
        <w:rPr>
          <w:rFonts w:ascii="Arial" w:hAnsi="Arial" w:cs="Arial"/>
          <w:sz w:val="24"/>
          <w:szCs w:val="24"/>
        </w:rPr>
        <w:t>Version control</w:t>
      </w:r>
    </w:p>
    <w:p w14:paraId="4BDFF502" w14:textId="77777777" w:rsidR="00C21191" w:rsidRDefault="00670FB1" w:rsidP="00813D88">
      <w:pPr>
        <w:spacing w:line="480" w:lineRule="auto"/>
        <w:rPr>
          <w:rFonts w:ascii="Arial" w:hAnsi="Arial" w:cs="Arial"/>
          <w:sz w:val="24"/>
          <w:szCs w:val="24"/>
        </w:rPr>
      </w:pPr>
      <w:r>
        <w:rPr>
          <w:rFonts w:ascii="Arial" w:hAnsi="Arial" w:cs="Arial"/>
          <w:b/>
          <w:sz w:val="24"/>
          <w:szCs w:val="24"/>
        </w:rPr>
        <w:lastRenderedPageBreak/>
        <w:t>Annex</w:t>
      </w:r>
      <w:r w:rsidR="00C21191">
        <w:rPr>
          <w:rFonts w:ascii="Arial" w:hAnsi="Arial" w:cs="Arial"/>
          <w:b/>
          <w:sz w:val="24"/>
          <w:szCs w:val="24"/>
        </w:rPr>
        <w:t xml:space="preserve"> B: </w:t>
      </w:r>
      <w:r w:rsidR="00C21191">
        <w:rPr>
          <w:rFonts w:ascii="Arial" w:hAnsi="Arial" w:cs="Arial"/>
          <w:sz w:val="24"/>
          <w:szCs w:val="24"/>
        </w:rPr>
        <w:t>Contacts</w:t>
      </w:r>
    </w:p>
    <w:p w14:paraId="69C72AC9" w14:textId="77777777" w:rsidR="00910347" w:rsidRPr="00910347" w:rsidRDefault="00910347" w:rsidP="00813D88">
      <w:pPr>
        <w:spacing w:line="480" w:lineRule="auto"/>
        <w:rPr>
          <w:rFonts w:ascii="Arial" w:hAnsi="Arial" w:cs="Arial"/>
          <w:sz w:val="24"/>
          <w:szCs w:val="24"/>
        </w:rPr>
      </w:pPr>
      <w:r>
        <w:rPr>
          <w:rFonts w:ascii="Arial" w:hAnsi="Arial" w:cs="Arial"/>
          <w:b/>
          <w:sz w:val="24"/>
          <w:szCs w:val="24"/>
        </w:rPr>
        <w:t xml:space="preserve">Annex C: </w:t>
      </w:r>
      <w:r>
        <w:rPr>
          <w:rFonts w:ascii="Arial" w:hAnsi="Arial" w:cs="Arial"/>
          <w:sz w:val="24"/>
          <w:szCs w:val="24"/>
        </w:rPr>
        <w:t>Review History</w:t>
      </w:r>
    </w:p>
    <w:p w14:paraId="18C151CA" w14:textId="77777777" w:rsidR="0075041B" w:rsidRDefault="0075041B">
      <w:pPr>
        <w:rPr>
          <w:rFonts w:ascii="Arial" w:hAnsi="Arial" w:cs="Arial"/>
          <w:b/>
          <w:sz w:val="24"/>
          <w:szCs w:val="24"/>
        </w:rPr>
      </w:pPr>
      <w:r>
        <w:rPr>
          <w:rFonts w:ascii="Arial" w:hAnsi="Arial" w:cs="Arial"/>
          <w:b/>
          <w:sz w:val="24"/>
          <w:szCs w:val="24"/>
        </w:rPr>
        <w:br w:type="page"/>
      </w:r>
    </w:p>
    <w:p w14:paraId="4B6B7405" w14:textId="77777777" w:rsidR="003D7EA9" w:rsidRPr="0075041B" w:rsidRDefault="003D7EA9">
      <w:pPr>
        <w:rPr>
          <w:rFonts w:ascii="Arial" w:hAnsi="Arial" w:cs="Arial"/>
          <w:b/>
          <w:sz w:val="24"/>
          <w:szCs w:val="24"/>
        </w:rPr>
      </w:pPr>
      <w:r w:rsidRPr="0075041B">
        <w:rPr>
          <w:rFonts w:ascii="Arial" w:hAnsi="Arial" w:cs="Arial"/>
          <w:b/>
          <w:sz w:val="24"/>
          <w:szCs w:val="24"/>
        </w:rPr>
        <w:lastRenderedPageBreak/>
        <w:t>Glossary</w:t>
      </w:r>
    </w:p>
    <w:tbl>
      <w:tblPr>
        <w:tblW w:w="918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942"/>
      </w:tblGrid>
      <w:tr w:rsidR="00DB3B35" w:rsidRPr="0075041B" w14:paraId="762B0AC6" w14:textId="77777777" w:rsidTr="00783525">
        <w:trPr>
          <w:cantSplit/>
          <w:trHeight w:val="300"/>
          <w:tblHeader/>
        </w:trPr>
        <w:tc>
          <w:tcPr>
            <w:tcW w:w="2240" w:type="dxa"/>
          </w:tcPr>
          <w:p w14:paraId="6A854F5E" w14:textId="111BED98" w:rsidR="00DB3B35" w:rsidRPr="007D0E2A" w:rsidRDefault="007D0E2A" w:rsidP="0075041B">
            <w:pPr>
              <w:rPr>
                <w:rFonts w:ascii="Arial" w:hAnsi="Arial" w:cs="Arial"/>
                <w:b/>
                <w:bCs/>
                <w:color w:val="FF0000"/>
                <w:sz w:val="20"/>
                <w:szCs w:val="20"/>
              </w:rPr>
            </w:pPr>
            <w:r w:rsidRPr="000A05B5">
              <w:rPr>
                <w:rFonts w:ascii="Arial" w:hAnsi="Arial" w:cs="Arial"/>
                <w:b/>
                <w:bCs/>
                <w:sz w:val="20"/>
                <w:szCs w:val="20"/>
              </w:rPr>
              <w:lastRenderedPageBreak/>
              <w:t xml:space="preserve">The Billing Authority or the </w:t>
            </w:r>
            <w:r w:rsidR="00DE61C6" w:rsidRPr="000A05B5">
              <w:rPr>
                <w:rFonts w:ascii="Arial" w:hAnsi="Arial" w:cs="Arial"/>
                <w:b/>
                <w:bCs/>
                <w:sz w:val="20"/>
                <w:szCs w:val="20"/>
              </w:rPr>
              <w:t>B</w:t>
            </w:r>
            <w:r w:rsidR="00DB3B35" w:rsidRPr="000A05B5">
              <w:rPr>
                <w:rFonts w:ascii="Arial" w:hAnsi="Arial" w:cs="Arial"/>
                <w:b/>
                <w:bCs/>
                <w:sz w:val="20"/>
                <w:szCs w:val="20"/>
              </w:rPr>
              <w:t>A</w:t>
            </w:r>
          </w:p>
        </w:tc>
        <w:tc>
          <w:tcPr>
            <w:tcW w:w="6942" w:type="dxa"/>
          </w:tcPr>
          <w:p w14:paraId="1742BBCB" w14:textId="51942B16" w:rsidR="00DB3B35" w:rsidRPr="008057E9" w:rsidRDefault="000A05B5" w:rsidP="008057E9">
            <w:pPr>
              <w:spacing w:before="240" w:line="276" w:lineRule="auto"/>
              <w:rPr>
                <w:rFonts w:ascii="Arial" w:hAnsi="Arial" w:cs="Arial"/>
                <w:highlight w:val="yellow"/>
              </w:rPr>
            </w:pPr>
            <w:r w:rsidRPr="000A05B5">
              <w:rPr>
                <w:rFonts w:ascii="Arial" w:hAnsi="Arial" w:cs="Arial"/>
                <w:bCs/>
                <w:color w:val="FF0000"/>
              </w:rPr>
              <w:t>Insert name of your BA</w:t>
            </w:r>
          </w:p>
        </w:tc>
      </w:tr>
      <w:tr w:rsidR="0075041B" w:rsidRPr="0075041B" w14:paraId="1565A177" w14:textId="77777777" w:rsidTr="00783525">
        <w:trPr>
          <w:cantSplit/>
          <w:trHeight w:val="300"/>
          <w:tblHeader/>
        </w:trPr>
        <w:tc>
          <w:tcPr>
            <w:tcW w:w="2240" w:type="dxa"/>
          </w:tcPr>
          <w:p w14:paraId="6C493853" w14:textId="77777777" w:rsidR="0075041B" w:rsidRPr="00783525" w:rsidRDefault="0075041B" w:rsidP="0075041B">
            <w:pPr>
              <w:rPr>
                <w:rFonts w:ascii="Arial" w:hAnsi="Arial" w:cs="Arial"/>
                <w:b/>
                <w:bCs/>
                <w:sz w:val="20"/>
                <w:szCs w:val="20"/>
              </w:rPr>
            </w:pPr>
            <w:r w:rsidRPr="00783525">
              <w:rPr>
                <w:rFonts w:ascii="Arial" w:hAnsi="Arial" w:cs="Arial"/>
                <w:b/>
                <w:bCs/>
                <w:sz w:val="20"/>
                <w:szCs w:val="20"/>
              </w:rPr>
              <w:t>CRCA</w:t>
            </w:r>
          </w:p>
        </w:tc>
        <w:tc>
          <w:tcPr>
            <w:tcW w:w="6942" w:type="dxa"/>
          </w:tcPr>
          <w:p w14:paraId="5002C5A8" w14:textId="77777777" w:rsidR="0075041B" w:rsidRPr="00783525" w:rsidRDefault="0075041B" w:rsidP="0075041B">
            <w:pPr>
              <w:rPr>
                <w:rFonts w:ascii="Arial" w:hAnsi="Arial" w:cs="Arial"/>
                <w:sz w:val="20"/>
                <w:szCs w:val="20"/>
              </w:rPr>
            </w:pPr>
            <w:r w:rsidRPr="00783525">
              <w:rPr>
                <w:rFonts w:ascii="Arial" w:hAnsi="Arial" w:cs="Arial"/>
                <w:sz w:val="20"/>
                <w:szCs w:val="20"/>
              </w:rPr>
              <w:t>Commissioners for Revenue and Customs Act 2005</w:t>
            </w:r>
          </w:p>
        </w:tc>
      </w:tr>
      <w:tr w:rsidR="0075041B" w:rsidRPr="0075041B" w14:paraId="66C484FC" w14:textId="77777777" w:rsidTr="00783525">
        <w:trPr>
          <w:cantSplit/>
          <w:trHeight w:val="300"/>
          <w:tblHeader/>
        </w:trPr>
        <w:tc>
          <w:tcPr>
            <w:tcW w:w="2240" w:type="dxa"/>
          </w:tcPr>
          <w:p w14:paraId="76F00720" w14:textId="77777777" w:rsidR="0075041B" w:rsidRPr="00783525" w:rsidRDefault="0075041B" w:rsidP="0075041B">
            <w:pPr>
              <w:rPr>
                <w:rFonts w:ascii="Arial" w:hAnsi="Arial" w:cs="Arial"/>
                <w:sz w:val="20"/>
                <w:szCs w:val="20"/>
              </w:rPr>
            </w:pPr>
            <w:r w:rsidRPr="00783525">
              <w:rPr>
                <w:rFonts w:ascii="Arial" w:hAnsi="Arial" w:cs="Arial"/>
                <w:b/>
                <w:bCs/>
                <w:sz w:val="20"/>
                <w:szCs w:val="20"/>
              </w:rPr>
              <w:t>Data Controller</w:t>
            </w:r>
          </w:p>
        </w:tc>
        <w:tc>
          <w:tcPr>
            <w:tcW w:w="6942" w:type="dxa"/>
          </w:tcPr>
          <w:p w14:paraId="714E5FF7" w14:textId="77777777" w:rsidR="0075041B" w:rsidRPr="00783525" w:rsidRDefault="0075041B" w:rsidP="0075041B">
            <w:pPr>
              <w:rPr>
                <w:rFonts w:ascii="Arial" w:hAnsi="Arial" w:cs="Arial"/>
                <w:sz w:val="20"/>
                <w:szCs w:val="20"/>
              </w:rPr>
            </w:pPr>
            <w:r w:rsidRPr="00783525">
              <w:rPr>
                <w:rFonts w:ascii="Arial" w:hAnsi="Arial" w:cs="Arial"/>
                <w:sz w:val="20"/>
                <w:szCs w:val="20"/>
              </w:rPr>
              <w:t>Has the meaning set out in section 1 of the Data Protection Act 1998.</w:t>
            </w:r>
          </w:p>
        </w:tc>
      </w:tr>
      <w:tr w:rsidR="0075041B" w:rsidRPr="0075041B" w14:paraId="64F1DAE3" w14:textId="77777777" w:rsidTr="00783525">
        <w:trPr>
          <w:cantSplit/>
          <w:trHeight w:val="300"/>
          <w:tblHeader/>
        </w:trPr>
        <w:tc>
          <w:tcPr>
            <w:tcW w:w="2240" w:type="dxa"/>
          </w:tcPr>
          <w:p w14:paraId="1C2E93F0" w14:textId="77777777" w:rsidR="0075041B" w:rsidRPr="00783525" w:rsidRDefault="0075041B" w:rsidP="0075041B">
            <w:pPr>
              <w:rPr>
                <w:rFonts w:ascii="Arial" w:hAnsi="Arial" w:cs="Arial"/>
                <w:sz w:val="20"/>
                <w:szCs w:val="20"/>
              </w:rPr>
            </w:pPr>
            <w:r w:rsidRPr="00783525">
              <w:rPr>
                <w:rFonts w:ascii="Arial" w:hAnsi="Arial" w:cs="Arial"/>
                <w:b/>
                <w:bCs/>
                <w:sz w:val="20"/>
                <w:szCs w:val="20"/>
              </w:rPr>
              <w:t>Data Processor</w:t>
            </w:r>
          </w:p>
        </w:tc>
        <w:tc>
          <w:tcPr>
            <w:tcW w:w="6942" w:type="dxa"/>
          </w:tcPr>
          <w:p w14:paraId="41EE103D" w14:textId="77777777" w:rsidR="0075041B" w:rsidRPr="00783525" w:rsidRDefault="0075041B" w:rsidP="00501D99">
            <w:pPr>
              <w:rPr>
                <w:rFonts w:ascii="Arial" w:hAnsi="Arial" w:cs="Arial"/>
                <w:sz w:val="20"/>
                <w:szCs w:val="20"/>
              </w:rPr>
            </w:pPr>
            <w:r w:rsidRPr="00783525">
              <w:rPr>
                <w:rFonts w:ascii="Arial" w:hAnsi="Arial" w:cs="Arial"/>
                <w:sz w:val="20"/>
                <w:szCs w:val="20"/>
              </w:rPr>
              <w:t>Has the meaning set out in section 1 of the Data Protection Act 1998</w:t>
            </w:r>
            <w:r w:rsidR="006C38DD">
              <w:rPr>
                <w:rFonts w:ascii="Arial" w:hAnsi="Arial" w:cs="Arial"/>
                <w:sz w:val="20"/>
                <w:szCs w:val="20"/>
              </w:rPr>
              <w:t>.</w:t>
            </w:r>
          </w:p>
        </w:tc>
      </w:tr>
      <w:tr w:rsidR="0075041B" w:rsidRPr="0075041B" w14:paraId="391C247A" w14:textId="77777777" w:rsidTr="00783525">
        <w:trPr>
          <w:cantSplit/>
          <w:trHeight w:val="990"/>
          <w:tblHeader/>
        </w:trPr>
        <w:tc>
          <w:tcPr>
            <w:tcW w:w="2240" w:type="dxa"/>
          </w:tcPr>
          <w:p w14:paraId="2D67116E" w14:textId="77777777" w:rsidR="0075041B" w:rsidRPr="00783525" w:rsidRDefault="0075041B" w:rsidP="0075041B">
            <w:pPr>
              <w:rPr>
                <w:rFonts w:ascii="Arial" w:hAnsi="Arial" w:cs="Arial"/>
                <w:b/>
                <w:bCs/>
                <w:sz w:val="20"/>
                <w:szCs w:val="20"/>
              </w:rPr>
            </w:pPr>
            <w:r w:rsidRPr="00783525">
              <w:rPr>
                <w:rFonts w:ascii="Arial" w:hAnsi="Arial" w:cs="Arial"/>
                <w:b/>
                <w:bCs/>
                <w:sz w:val="20"/>
                <w:szCs w:val="20"/>
              </w:rPr>
              <w:t>Data Protection Legislation</w:t>
            </w:r>
          </w:p>
        </w:tc>
        <w:tc>
          <w:tcPr>
            <w:tcW w:w="6942" w:type="dxa"/>
          </w:tcPr>
          <w:p w14:paraId="66147011" w14:textId="77777777" w:rsidR="0075041B" w:rsidRPr="00783525" w:rsidRDefault="0075041B" w:rsidP="0075041B">
            <w:pPr>
              <w:rPr>
                <w:rFonts w:ascii="Arial" w:hAnsi="Arial" w:cs="Arial"/>
                <w:sz w:val="20"/>
                <w:szCs w:val="20"/>
              </w:rPr>
            </w:pPr>
            <w:r w:rsidRPr="00783525">
              <w:rPr>
                <w:rFonts w:ascii="Arial" w:hAnsi="Arial" w:cs="Arial"/>
                <w:sz w:val="20"/>
                <w:szCs w:val="20"/>
              </w:rPr>
              <w:t>Means 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tc>
      </w:tr>
      <w:tr w:rsidR="0075041B" w:rsidRPr="0075041B" w14:paraId="36C140D0" w14:textId="77777777" w:rsidTr="008F2C5B">
        <w:trPr>
          <w:cantSplit/>
          <w:trHeight w:val="255"/>
          <w:tblHeader/>
        </w:trPr>
        <w:tc>
          <w:tcPr>
            <w:tcW w:w="2240" w:type="dxa"/>
          </w:tcPr>
          <w:p w14:paraId="07B0302B" w14:textId="77777777" w:rsidR="0075041B" w:rsidRPr="008F2C5B" w:rsidRDefault="0075041B" w:rsidP="008F2C5B">
            <w:pPr>
              <w:pStyle w:val="NoSpacing"/>
              <w:rPr>
                <w:rFonts w:ascii="Arial" w:hAnsi="Arial" w:cs="Arial"/>
                <w:b/>
                <w:sz w:val="20"/>
                <w:szCs w:val="20"/>
              </w:rPr>
            </w:pPr>
            <w:r w:rsidRPr="008F2C5B">
              <w:rPr>
                <w:rFonts w:ascii="Arial" w:hAnsi="Arial" w:cs="Arial"/>
                <w:b/>
                <w:sz w:val="20"/>
                <w:szCs w:val="20"/>
              </w:rPr>
              <w:t>DPA</w:t>
            </w:r>
          </w:p>
        </w:tc>
        <w:tc>
          <w:tcPr>
            <w:tcW w:w="6942" w:type="dxa"/>
          </w:tcPr>
          <w:p w14:paraId="0D349EEA" w14:textId="77777777" w:rsidR="0075041B" w:rsidRPr="008F2C5B" w:rsidRDefault="0075041B" w:rsidP="008F2C5B">
            <w:pPr>
              <w:pStyle w:val="NoSpacing"/>
              <w:rPr>
                <w:rFonts w:ascii="Arial" w:hAnsi="Arial" w:cs="Arial"/>
                <w:sz w:val="20"/>
                <w:szCs w:val="20"/>
              </w:rPr>
            </w:pPr>
            <w:r w:rsidRPr="008F2C5B">
              <w:rPr>
                <w:rFonts w:ascii="Arial" w:hAnsi="Arial" w:cs="Arial"/>
                <w:sz w:val="20"/>
                <w:szCs w:val="20"/>
              </w:rPr>
              <w:t>Data Protection Act 1998</w:t>
            </w:r>
          </w:p>
        </w:tc>
      </w:tr>
      <w:tr w:rsidR="0075041B" w:rsidRPr="0075041B" w14:paraId="7C2D4C71" w14:textId="77777777" w:rsidTr="00783525">
        <w:trPr>
          <w:cantSplit/>
          <w:trHeight w:val="990"/>
          <w:tblHeader/>
        </w:trPr>
        <w:tc>
          <w:tcPr>
            <w:tcW w:w="2240" w:type="dxa"/>
          </w:tcPr>
          <w:p w14:paraId="2EE0422E" w14:textId="77777777" w:rsidR="0075041B" w:rsidRPr="00783525" w:rsidRDefault="0075041B" w:rsidP="0075041B">
            <w:pPr>
              <w:rPr>
                <w:rFonts w:ascii="Arial" w:hAnsi="Arial" w:cs="Arial"/>
                <w:sz w:val="20"/>
                <w:szCs w:val="20"/>
              </w:rPr>
            </w:pPr>
            <w:r w:rsidRPr="00783525">
              <w:rPr>
                <w:rFonts w:ascii="Arial" w:hAnsi="Arial" w:cs="Arial"/>
                <w:b/>
                <w:bCs/>
                <w:sz w:val="20"/>
                <w:szCs w:val="20"/>
              </w:rPr>
              <w:t>FoIA</w:t>
            </w:r>
          </w:p>
        </w:tc>
        <w:tc>
          <w:tcPr>
            <w:tcW w:w="6942" w:type="dxa"/>
          </w:tcPr>
          <w:p w14:paraId="6C57B7A6" w14:textId="77777777" w:rsidR="0075041B" w:rsidRPr="00783525" w:rsidRDefault="0075041B" w:rsidP="0075041B">
            <w:pPr>
              <w:rPr>
                <w:rFonts w:ascii="Arial" w:hAnsi="Arial" w:cs="Arial"/>
                <w:sz w:val="20"/>
                <w:szCs w:val="20"/>
              </w:rPr>
            </w:pPr>
            <w:r w:rsidRPr="00783525">
              <w:rPr>
                <w:rFonts w:ascii="Arial" w:hAnsi="Arial" w:cs="Arial"/>
                <w:sz w:val="20"/>
                <w:szCs w:val="20"/>
              </w:rPr>
              <w:t>Means the Freedom of Information Act 2000 and any subordinate legislation made under this Act together with any guidance and/or codes of practice issued by the Information Commissioner or Ministry of Justice in relation to such legislation.</w:t>
            </w:r>
          </w:p>
        </w:tc>
      </w:tr>
      <w:tr w:rsidR="00783525" w:rsidRPr="0075041B" w14:paraId="7C58501B" w14:textId="77777777" w:rsidTr="008F2C5B">
        <w:trPr>
          <w:cantSplit/>
          <w:trHeight w:val="512"/>
          <w:tblHeader/>
        </w:trPr>
        <w:tc>
          <w:tcPr>
            <w:tcW w:w="2240" w:type="dxa"/>
          </w:tcPr>
          <w:p w14:paraId="70DA960A" w14:textId="77777777" w:rsidR="00783525" w:rsidRPr="00783525" w:rsidRDefault="00783525" w:rsidP="00783525">
            <w:pPr>
              <w:rPr>
                <w:rFonts w:ascii="Arial" w:hAnsi="Arial" w:cs="Arial"/>
                <w:b/>
                <w:bCs/>
                <w:sz w:val="20"/>
                <w:szCs w:val="20"/>
              </w:rPr>
            </w:pPr>
            <w:r w:rsidRPr="00E262ED">
              <w:rPr>
                <w:rFonts w:ascii="Arial" w:hAnsi="Arial" w:cs="Arial"/>
                <w:b/>
                <w:bCs/>
                <w:sz w:val="20"/>
                <w:szCs w:val="20"/>
              </w:rPr>
              <w:t>HARDCOPY</w:t>
            </w:r>
          </w:p>
        </w:tc>
        <w:tc>
          <w:tcPr>
            <w:tcW w:w="6942" w:type="dxa"/>
          </w:tcPr>
          <w:p w14:paraId="0CBAFBBE" w14:textId="77777777" w:rsidR="00783525" w:rsidRPr="00783525" w:rsidRDefault="00783525" w:rsidP="00783525">
            <w:pPr>
              <w:rPr>
                <w:rFonts w:ascii="Arial" w:hAnsi="Arial" w:cs="Arial"/>
                <w:sz w:val="20"/>
                <w:szCs w:val="20"/>
              </w:rPr>
            </w:pPr>
            <w:r w:rsidRPr="00E262ED">
              <w:rPr>
                <w:rFonts w:ascii="Arial" w:hAnsi="Arial" w:cs="Arial"/>
                <w:sz w:val="20"/>
                <w:szCs w:val="20"/>
              </w:rPr>
              <w:t>Computer output printed on a physical object, normally paper, or a record which can be read without the use of any device.</w:t>
            </w:r>
          </w:p>
        </w:tc>
      </w:tr>
      <w:tr w:rsidR="0075041B" w:rsidRPr="0075041B" w14:paraId="40992605" w14:textId="77777777" w:rsidTr="00783525">
        <w:trPr>
          <w:cantSplit/>
          <w:trHeight w:val="411"/>
          <w:tblHeader/>
        </w:trPr>
        <w:tc>
          <w:tcPr>
            <w:tcW w:w="2240" w:type="dxa"/>
          </w:tcPr>
          <w:p w14:paraId="630622D4" w14:textId="77777777" w:rsidR="0075041B" w:rsidRPr="00783525" w:rsidRDefault="0075041B" w:rsidP="0075041B">
            <w:pPr>
              <w:rPr>
                <w:rFonts w:ascii="Arial" w:hAnsi="Arial" w:cs="Arial"/>
                <w:b/>
                <w:bCs/>
                <w:sz w:val="20"/>
                <w:szCs w:val="20"/>
              </w:rPr>
            </w:pPr>
            <w:r w:rsidRPr="00783525">
              <w:rPr>
                <w:rFonts w:ascii="Arial" w:hAnsi="Arial" w:cs="Arial"/>
                <w:b/>
                <w:bCs/>
                <w:sz w:val="20"/>
                <w:szCs w:val="20"/>
              </w:rPr>
              <w:t>HMRC</w:t>
            </w:r>
          </w:p>
        </w:tc>
        <w:tc>
          <w:tcPr>
            <w:tcW w:w="6942" w:type="dxa"/>
          </w:tcPr>
          <w:p w14:paraId="7D730524" w14:textId="77777777" w:rsidR="0075041B" w:rsidRPr="00783525" w:rsidRDefault="0075041B" w:rsidP="0075041B">
            <w:pPr>
              <w:rPr>
                <w:rFonts w:ascii="Arial" w:hAnsi="Arial" w:cs="Arial"/>
                <w:sz w:val="20"/>
                <w:szCs w:val="20"/>
              </w:rPr>
            </w:pPr>
            <w:r w:rsidRPr="00783525">
              <w:rPr>
                <w:rFonts w:ascii="Arial" w:hAnsi="Arial" w:cs="Arial"/>
                <w:sz w:val="20"/>
                <w:szCs w:val="20"/>
              </w:rPr>
              <w:t>Her Majesty’s Revenue and Customs</w:t>
            </w:r>
          </w:p>
        </w:tc>
      </w:tr>
      <w:tr w:rsidR="00A6242F" w:rsidRPr="0075041B" w14:paraId="79C862C9" w14:textId="77777777" w:rsidTr="00783525">
        <w:trPr>
          <w:cantSplit/>
          <w:trHeight w:val="411"/>
          <w:tblHeader/>
        </w:trPr>
        <w:tc>
          <w:tcPr>
            <w:tcW w:w="2240" w:type="dxa"/>
          </w:tcPr>
          <w:p w14:paraId="4E54760B" w14:textId="1A07200A" w:rsidR="00A6242F" w:rsidRPr="00783525" w:rsidRDefault="00A6242F" w:rsidP="000A6EFA">
            <w:pPr>
              <w:rPr>
                <w:rFonts w:ascii="Arial" w:hAnsi="Arial" w:cs="Arial"/>
                <w:b/>
                <w:bCs/>
                <w:sz w:val="20"/>
                <w:szCs w:val="20"/>
              </w:rPr>
            </w:pPr>
            <w:r>
              <w:rPr>
                <w:rFonts w:ascii="Arial" w:hAnsi="Arial" w:cs="Arial"/>
                <w:b/>
                <w:bCs/>
                <w:sz w:val="20"/>
                <w:szCs w:val="20"/>
              </w:rPr>
              <w:t>LGFA</w:t>
            </w:r>
            <w:r w:rsidR="00DE61C6">
              <w:rPr>
                <w:rFonts w:ascii="Arial" w:hAnsi="Arial" w:cs="Arial"/>
                <w:b/>
                <w:bCs/>
                <w:sz w:val="20"/>
                <w:szCs w:val="20"/>
              </w:rPr>
              <w:t xml:space="preserve"> 1988</w:t>
            </w:r>
          </w:p>
        </w:tc>
        <w:tc>
          <w:tcPr>
            <w:tcW w:w="6942" w:type="dxa"/>
          </w:tcPr>
          <w:p w14:paraId="194150E0" w14:textId="77777777" w:rsidR="00A6242F" w:rsidRPr="002661E6" w:rsidRDefault="00A6242F" w:rsidP="0041079F">
            <w:pPr>
              <w:rPr>
                <w:rFonts w:ascii="Arial" w:hAnsi="Arial" w:cs="Arial"/>
                <w:sz w:val="20"/>
                <w:szCs w:val="20"/>
              </w:rPr>
            </w:pPr>
            <w:r w:rsidRPr="002661E6">
              <w:rPr>
                <w:rFonts w:ascii="Arial" w:hAnsi="Arial" w:cs="Arial"/>
                <w:sz w:val="20"/>
                <w:szCs w:val="20"/>
              </w:rPr>
              <w:t>Local Government Finance Act 1988</w:t>
            </w:r>
          </w:p>
        </w:tc>
      </w:tr>
      <w:tr w:rsidR="007B7D59" w:rsidRPr="0075041B" w14:paraId="46817993" w14:textId="77777777" w:rsidTr="00783525">
        <w:trPr>
          <w:cantSplit/>
          <w:trHeight w:val="411"/>
          <w:tblHeader/>
        </w:trPr>
        <w:tc>
          <w:tcPr>
            <w:tcW w:w="2240" w:type="dxa"/>
          </w:tcPr>
          <w:p w14:paraId="1782A8D1" w14:textId="77777777" w:rsidR="007B7D59" w:rsidRPr="00783525" w:rsidRDefault="007B7D59" w:rsidP="000A6EFA">
            <w:pPr>
              <w:rPr>
                <w:rFonts w:ascii="Arial" w:hAnsi="Arial" w:cs="Arial"/>
                <w:b/>
                <w:bCs/>
                <w:sz w:val="20"/>
                <w:szCs w:val="20"/>
              </w:rPr>
            </w:pPr>
            <w:r w:rsidRPr="00783525">
              <w:rPr>
                <w:rFonts w:ascii="Arial" w:hAnsi="Arial" w:cs="Arial"/>
                <w:b/>
                <w:bCs/>
                <w:sz w:val="20"/>
                <w:szCs w:val="20"/>
              </w:rPr>
              <w:t>I</w:t>
            </w:r>
            <w:r w:rsidR="000A6EFA" w:rsidRPr="00783525">
              <w:rPr>
                <w:rFonts w:ascii="Arial" w:hAnsi="Arial" w:cs="Arial"/>
                <w:b/>
                <w:bCs/>
                <w:sz w:val="20"/>
                <w:szCs w:val="20"/>
              </w:rPr>
              <w:t>SA</w:t>
            </w:r>
          </w:p>
        </w:tc>
        <w:tc>
          <w:tcPr>
            <w:tcW w:w="6942" w:type="dxa"/>
          </w:tcPr>
          <w:p w14:paraId="0A930DB4" w14:textId="446938D4" w:rsidR="007B7D59" w:rsidRPr="00783525" w:rsidRDefault="008D368A" w:rsidP="0041079F">
            <w:pPr>
              <w:rPr>
                <w:rFonts w:ascii="Arial" w:hAnsi="Arial" w:cs="Arial"/>
                <w:sz w:val="20"/>
                <w:szCs w:val="20"/>
              </w:rPr>
            </w:pPr>
            <w:r w:rsidRPr="00783525">
              <w:rPr>
                <w:rFonts w:ascii="Arial" w:hAnsi="Arial" w:cs="Arial"/>
                <w:sz w:val="20"/>
                <w:szCs w:val="20"/>
              </w:rPr>
              <w:t>The Information Sharing Agreement</w:t>
            </w:r>
            <w:r w:rsidR="00141A24">
              <w:rPr>
                <w:rFonts w:ascii="Arial" w:hAnsi="Arial" w:cs="Arial"/>
                <w:sz w:val="20"/>
                <w:szCs w:val="20"/>
              </w:rPr>
              <w:t xml:space="preserve"> that</w:t>
            </w:r>
            <w:r w:rsidRPr="00783525">
              <w:rPr>
                <w:rFonts w:ascii="Arial" w:hAnsi="Arial" w:cs="Arial"/>
                <w:sz w:val="20"/>
                <w:szCs w:val="20"/>
              </w:rPr>
              <w:t xml:space="preserve"> details the information being shared, the reason it is being shared and how it will be transferred</w:t>
            </w:r>
            <w:r w:rsidR="006C38DD">
              <w:rPr>
                <w:rFonts w:ascii="Arial" w:hAnsi="Arial" w:cs="Arial"/>
                <w:sz w:val="20"/>
                <w:szCs w:val="20"/>
              </w:rPr>
              <w:t>.</w:t>
            </w:r>
          </w:p>
        </w:tc>
      </w:tr>
      <w:tr w:rsidR="000A6EFA" w:rsidRPr="0075041B" w14:paraId="0FAA0E44" w14:textId="77777777" w:rsidTr="00783525">
        <w:trPr>
          <w:cantSplit/>
          <w:trHeight w:val="411"/>
          <w:tblHeader/>
        </w:trPr>
        <w:tc>
          <w:tcPr>
            <w:tcW w:w="2240" w:type="dxa"/>
          </w:tcPr>
          <w:p w14:paraId="7021C54E" w14:textId="77777777" w:rsidR="000A6EFA" w:rsidRPr="00783525" w:rsidRDefault="000A6EFA" w:rsidP="000A6EFA">
            <w:pPr>
              <w:rPr>
                <w:rFonts w:ascii="Arial" w:hAnsi="Arial" w:cs="Arial"/>
                <w:b/>
                <w:bCs/>
                <w:sz w:val="20"/>
                <w:szCs w:val="20"/>
              </w:rPr>
            </w:pPr>
            <w:r w:rsidRPr="00783525">
              <w:rPr>
                <w:rFonts w:ascii="Arial" w:hAnsi="Arial" w:cs="Arial"/>
                <w:b/>
                <w:bCs/>
                <w:sz w:val="20"/>
                <w:szCs w:val="20"/>
              </w:rPr>
              <w:t>ISP</w:t>
            </w:r>
          </w:p>
        </w:tc>
        <w:tc>
          <w:tcPr>
            <w:tcW w:w="6942" w:type="dxa"/>
          </w:tcPr>
          <w:p w14:paraId="5A9B376C" w14:textId="13B60625" w:rsidR="000A6EFA" w:rsidRPr="00783525" w:rsidRDefault="008D368A" w:rsidP="0041079F">
            <w:pPr>
              <w:rPr>
                <w:rFonts w:ascii="Arial" w:hAnsi="Arial" w:cs="Arial"/>
                <w:sz w:val="20"/>
                <w:szCs w:val="20"/>
              </w:rPr>
            </w:pPr>
            <w:r w:rsidRPr="00783525">
              <w:rPr>
                <w:rFonts w:ascii="Arial" w:hAnsi="Arial" w:cs="Arial"/>
                <w:sz w:val="20"/>
                <w:szCs w:val="20"/>
              </w:rPr>
              <w:t xml:space="preserve">The Information Sharing Protocol </w:t>
            </w:r>
            <w:r w:rsidR="00141A24">
              <w:rPr>
                <w:rFonts w:ascii="Arial" w:hAnsi="Arial" w:cs="Arial"/>
                <w:sz w:val="20"/>
                <w:szCs w:val="20"/>
              </w:rPr>
              <w:t xml:space="preserve">that </w:t>
            </w:r>
            <w:r w:rsidRPr="00783525">
              <w:rPr>
                <w:rFonts w:ascii="Arial" w:hAnsi="Arial" w:cs="Arial"/>
                <w:sz w:val="20"/>
                <w:szCs w:val="20"/>
              </w:rPr>
              <w:t>covers the overarching arrangements for all information shared</w:t>
            </w:r>
            <w:r w:rsidR="009D4950">
              <w:rPr>
                <w:rFonts w:ascii="Arial" w:hAnsi="Arial" w:cs="Arial"/>
                <w:sz w:val="20"/>
                <w:szCs w:val="20"/>
              </w:rPr>
              <w:t xml:space="preserve">.  </w:t>
            </w:r>
          </w:p>
        </w:tc>
      </w:tr>
      <w:tr w:rsidR="00141A24" w:rsidRPr="0075041B" w14:paraId="7BA4D2F9" w14:textId="77777777" w:rsidTr="00783525">
        <w:trPr>
          <w:cantSplit/>
          <w:trHeight w:val="411"/>
          <w:tblHeader/>
        </w:trPr>
        <w:tc>
          <w:tcPr>
            <w:tcW w:w="2240" w:type="dxa"/>
          </w:tcPr>
          <w:p w14:paraId="2B17B165" w14:textId="2B8BE3E6" w:rsidR="00141A24" w:rsidRPr="00783525" w:rsidRDefault="00141A24" w:rsidP="00783525">
            <w:pPr>
              <w:rPr>
                <w:rFonts w:ascii="Arial" w:hAnsi="Arial" w:cs="Arial"/>
                <w:b/>
                <w:bCs/>
                <w:sz w:val="20"/>
                <w:szCs w:val="20"/>
              </w:rPr>
            </w:pPr>
            <w:r w:rsidRPr="00783525">
              <w:rPr>
                <w:rFonts w:ascii="Arial" w:hAnsi="Arial" w:cs="Arial"/>
                <w:b/>
                <w:bCs/>
                <w:sz w:val="20"/>
                <w:szCs w:val="20"/>
              </w:rPr>
              <w:lastRenderedPageBreak/>
              <w:t>PERSONAL DATA</w:t>
            </w:r>
          </w:p>
        </w:tc>
        <w:tc>
          <w:tcPr>
            <w:tcW w:w="6942" w:type="dxa"/>
          </w:tcPr>
          <w:p w14:paraId="30B2CB8B" w14:textId="77777777" w:rsidR="00141A24" w:rsidRPr="00783525" w:rsidRDefault="00141A24" w:rsidP="007B7D59">
            <w:pPr>
              <w:rPr>
                <w:rFonts w:ascii="Arial" w:hAnsi="Arial" w:cs="Arial"/>
                <w:sz w:val="20"/>
                <w:szCs w:val="20"/>
              </w:rPr>
            </w:pPr>
            <w:r w:rsidRPr="00783525">
              <w:rPr>
                <w:rFonts w:ascii="Arial" w:hAnsi="Arial" w:cs="Arial"/>
                <w:sz w:val="20"/>
                <w:szCs w:val="20"/>
              </w:rPr>
              <w:t>Means data relating to a living individual who can be identified –(a) from the data, or</w:t>
            </w:r>
            <w:r>
              <w:rPr>
                <w:rFonts w:ascii="Arial" w:hAnsi="Arial" w:cs="Arial"/>
                <w:sz w:val="20"/>
                <w:szCs w:val="20"/>
              </w:rPr>
              <w:t xml:space="preserve"> </w:t>
            </w:r>
            <w:r w:rsidRPr="00783525">
              <w:rPr>
                <w:rFonts w:ascii="Arial" w:hAnsi="Arial" w:cs="Arial"/>
                <w:sz w:val="20"/>
                <w:szCs w:val="20"/>
              </w:rPr>
              <w:t>(b) from the data and other information which is in the possession of, or is likely to come into the possession of, the data controller</w:t>
            </w:r>
            <w:r>
              <w:rPr>
                <w:rFonts w:ascii="Arial" w:hAnsi="Arial" w:cs="Arial"/>
                <w:sz w:val="20"/>
                <w:szCs w:val="20"/>
              </w:rPr>
              <w:t>.</w:t>
            </w:r>
          </w:p>
          <w:p w14:paraId="46FD39F2" w14:textId="563756EE" w:rsidR="00141A24" w:rsidRPr="00783525" w:rsidRDefault="00141A24" w:rsidP="00783525">
            <w:pPr>
              <w:rPr>
                <w:rFonts w:ascii="Arial" w:hAnsi="Arial" w:cs="Arial"/>
                <w:sz w:val="20"/>
                <w:szCs w:val="20"/>
              </w:rPr>
            </w:pPr>
            <w:r w:rsidRPr="00783525">
              <w:rPr>
                <w:rFonts w:ascii="Arial" w:hAnsi="Arial" w:cs="Arial"/>
                <w:sz w:val="20"/>
                <w:szCs w:val="20"/>
              </w:rPr>
              <w:t>Personal data is categorised into:  people personal data; property personal information or sensitive personal information; but is mainly either people personal data or property personal information.</w:t>
            </w:r>
          </w:p>
        </w:tc>
      </w:tr>
      <w:tr w:rsidR="00141A24" w:rsidRPr="0075041B" w14:paraId="357BD522" w14:textId="77777777" w:rsidTr="00783525">
        <w:trPr>
          <w:cantSplit/>
          <w:trHeight w:val="274"/>
          <w:tblHeader/>
        </w:trPr>
        <w:tc>
          <w:tcPr>
            <w:tcW w:w="2240" w:type="dxa"/>
          </w:tcPr>
          <w:p w14:paraId="7D3EA765" w14:textId="491666D9" w:rsidR="00141A24" w:rsidRPr="00783525" w:rsidRDefault="00141A24" w:rsidP="007B7D59">
            <w:pPr>
              <w:rPr>
                <w:rFonts w:ascii="Arial" w:hAnsi="Arial" w:cs="Arial"/>
                <w:b/>
                <w:bCs/>
                <w:sz w:val="20"/>
                <w:szCs w:val="20"/>
              </w:rPr>
            </w:pPr>
            <w:r w:rsidRPr="00783525">
              <w:rPr>
                <w:rFonts w:ascii="Arial" w:hAnsi="Arial" w:cs="Arial"/>
                <w:b/>
                <w:bCs/>
                <w:sz w:val="20"/>
                <w:szCs w:val="20"/>
              </w:rPr>
              <w:t>PERSONAL DATA</w:t>
            </w:r>
          </w:p>
        </w:tc>
        <w:tc>
          <w:tcPr>
            <w:tcW w:w="6942" w:type="dxa"/>
          </w:tcPr>
          <w:p w14:paraId="67A8C127" w14:textId="3CE70F3E" w:rsidR="00141A24" w:rsidRPr="00783525" w:rsidRDefault="00141A24" w:rsidP="007B7D59">
            <w:pPr>
              <w:rPr>
                <w:rFonts w:ascii="Arial" w:hAnsi="Arial" w:cs="Arial"/>
                <w:sz w:val="20"/>
                <w:szCs w:val="20"/>
              </w:rPr>
            </w:pPr>
            <w:r w:rsidRPr="00783525">
              <w:rPr>
                <w:rFonts w:ascii="Arial" w:hAnsi="Arial" w:cs="Arial"/>
                <w:sz w:val="20"/>
                <w:szCs w:val="20"/>
              </w:rPr>
              <w:t>Means data relating to a living individual who can be identified –(a) from the data, or</w:t>
            </w:r>
            <w:r>
              <w:rPr>
                <w:rFonts w:ascii="Arial" w:hAnsi="Arial" w:cs="Arial"/>
                <w:sz w:val="20"/>
                <w:szCs w:val="20"/>
              </w:rPr>
              <w:t xml:space="preserve"> </w:t>
            </w:r>
            <w:r w:rsidRPr="00783525">
              <w:rPr>
                <w:rFonts w:ascii="Arial" w:hAnsi="Arial" w:cs="Arial"/>
                <w:sz w:val="20"/>
                <w:szCs w:val="20"/>
              </w:rPr>
              <w:t>(b) from the data and other information which is in the possession of, or is likely to come into the possession of, the data controller</w:t>
            </w:r>
            <w:r>
              <w:rPr>
                <w:rFonts w:ascii="Arial" w:hAnsi="Arial" w:cs="Arial"/>
                <w:sz w:val="20"/>
                <w:szCs w:val="20"/>
              </w:rPr>
              <w:t>.</w:t>
            </w:r>
          </w:p>
          <w:p w14:paraId="5006F1EC" w14:textId="7C2BF7D8" w:rsidR="00141A24" w:rsidRPr="00783525" w:rsidRDefault="00141A24" w:rsidP="00441C9D">
            <w:pPr>
              <w:rPr>
                <w:rFonts w:ascii="Arial" w:hAnsi="Arial" w:cs="Arial"/>
                <w:sz w:val="20"/>
                <w:szCs w:val="20"/>
              </w:rPr>
            </w:pPr>
            <w:r w:rsidRPr="00783525">
              <w:rPr>
                <w:rFonts w:ascii="Arial" w:hAnsi="Arial" w:cs="Arial"/>
                <w:sz w:val="20"/>
                <w:szCs w:val="20"/>
              </w:rPr>
              <w:t>Personal data is categorised into:  people personal data; property personal information or sensitive personal information; but is mainly either people personal data or property personal information.</w:t>
            </w:r>
          </w:p>
        </w:tc>
      </w:tr>
      <w:tr w:rsidR="00141A24" w:rsidRPr="0075041B" w14:paraId="55352748" w14:textId="77777777" w:rsidTr="00783525">
        <w:trPr>
          <w:cantSplit/>
          <w:trHeight w:val="274"/>
          <w:tblHeader/>
        </w:trPr>
        <w:tc>
          <w:tcPr>
            <w:tcW w:w="2240" w:type="dxa"/>
          </w:tcPr>
          <w:p w14:paraId="6AAC507E" w14:textId="70175407" w:rsidR="00141A24" w:rsidRPr="00783525" w:rsidRDefault="00141A24" w:rsidP="00783525">
            <w:pPr>
              <w:rPr>
                <w:rFonts w:ascii="Arial" w:hAnsi="Arial" w:cs="Arial"/>
                <w:b/>
                <w:bCs/>
                <w:sz w:val="20"/>
                <w:szCs w:val="20"/>
              </w:rPr>
            </w:pPr>
            <w:r w:rsidRPr="00E262ED">
              <w:rPr>
                <w:rFonts w:ascii="Arial" w:hAnsi="Arial" w:cs="Arial"/>
                <w:b/>
                <w:bCs/>
                <w:sz w:val="20"/>
                <w:szCs w:val="20"/>
              </w:rPr>
              <w:t>SOFTCOPY</w:t>
            </w:r>
          </w:p>
        </w:tc>
        <w:tc>
          <w:tcPr>
            <w:tcW w:w="6942" w:type="dxa"/>
          </w:tcPr>
          <w:p w14:paraId="6F98D520" w14:textId="68E8892B" w:rsidR="00141A24" w:rsidRPr="00783525" w:rsidRDefault="00141A24" w:rsidP="00783525">
            <w:pPr>
              <w:rPr>
                <w:rFonts w:ascii="Arial" w:hAnsi="Arial" w:cs="Arial"/>
                <w:sz w:val="20"/>
                <w:szCs w:val="20"/>
              </w:rPr>
            </w:pPr>
            <w:r w:rsidRPr="00E262ED">
              <w:rPr>
                <w:rStyle w:val="st1"/>
                <w:rFonts w:ascii="Arial" w:hAnsi="Arial" w:cs="Arial"/>
                <w:sz w:val="20"/>
                <w:szCs w:val="20"/>
              </w:rPr>
              <w:t xml:space="preserve">An electronic or digital copy of some type of data, where the </w:t>
            </w:r>
            <w:r w:rsidRPr="00E262ED">
              <w:rPr>
                <w:rFonts w:ascii="Arial" w:hAnsi="Arial" w:cs="Arial"/>
                <w:sz w:val="20"/>
                <w:szCs w:val="20"/>
              </w:rPr>
              <w:t>computer output can be displayed on a screen.</w:t>
            </w:r>
          </w:p>
        </w:tc>
      </w:tr>
      <w:tr w:rsidR="00141A24" w:rsidRPr="0075041B" w14:paraId="682FF6A0" w14:textId="77777777" w:rsidTr="00783525">
        <w:trPr>
          <w:cantSplit/>
          <w:trHeight w:val="274"/>
          <w:tblHeader/>
        </w:trPr>
        <w:tc>
          <w:tcPr>
            <w:tcW w:w="2240" w:type="dxa"/>
          </w:tcPr>
          <w:p w14:paraId="7330DC54" w14:textId="3BE3255E" w:rsidR="00141A24" w:rsidRPr="00783525" w:rsidRDefault="00141A24" w:rsidP="00783525">
            <w:pPr>
              <w:rPr>
                <w:rFonts w:ascii="Arial" w:hAnsi="Arial" w:cs="Arial"/>
                <w:b/>
                <w:bCs/>
                <w:sz w:val="20"/>
                <w:szCs w:val="20"/>
              </w:rPr>
            </w:pPr>
            <w:r w:rsidRPr="00783525">
              <w:rPr>
                <w:rFonts w:ascii="Arial" w:hAnsi="Arial" w:cs="Arial"/>
                <w:b/>
                <w:bCs/>
                <w:sz w:val="20"/>
                <w:szCs w:val="20"/>
              </w:rPr>
              <w:t>VOA</w:t>
            </w:r>
          </w:p>
        </w:tc>
        <w:tc>
          <w:tcPr>
            <w:tcW w:w="6942" w:type="dxa"/>
          </w:tcPr>
          <w:p w14:paraId="3481874A" w14:textId="141D4C76" w:rsidR="00141A24" w:rsidRPr="00783525" w:rsidRDefault="00141A24" w:rsidP="00783525">
            <w:pPr>
              <w:rPr>
                <w:rFonts w:ascii="Arial" w:hAnsi="Arial" w:cs="Arial"/>
                <w:sz w:val="20"/>
                <w:szCs w:val="20"/>
              </w:rPr>
            </w:pPr>
            <w:r w:rsidRPr="00783525">
              <w:rPr>
                <w:rFonts w:ascii="Arial" w:hAnsi="Arial" w:cs="Arial"/>
                <w:sz w:val="20"/>
                <w:szCs w:val="20"/>
              </w:rPr>
              <w:t>Valuation Office Agency</w:t>
            </w:r>
          </w:p>
        </w:tc>
      </w:tr>
    </w:tbl>
    <w:p w14:paraId="66AF0AA4" w14:textId="77777777" w:rsidR="00F764DE" w:rsidRDefault="00F764DE">
      <w:pPr>
        <w:rPr>
          <w:rFonts w:ascii="Arial" w:hAnsi="Arial" w:cs="Arial"/>
          <w:b/>
        </w:rPr>
      </w:pPr>
    </w:p>
    <w:p w14:paraId="21C330E5" w14:textId="77777777" w:rsidR="00DE61C6" w:rsidRDefault="00DE61C6">
      <w:pPr>
        <w:rPr>
          <w:rFonts w:ascii="Arial" w:hAnsi="Arial" w:cs="Arial"/>
          <w:b/>
        </w:rPr>
      </w:pPr>
    </w:p>
    <w:p w14:paraId="41E3FBD0" w14:textId="77777777" w:rsidR="003D7EA9" w:rsidRPr="007D0E2A" w:rsidRDefault="003D7EA9" w:rsidP="008316D6">
      <w:pPr>
        <w:pStyle w:val="ListParagraph"/>
        <w:numPr>
          <w:ilvl w:val="0"/>
          <w:numId w:val="1"/>
        </w:numPr>
        <w:spacing w:before="240" w:line="276" w:lineRule="auto"/>
        <w:rPr>
          <w:rFonts w:ascii="Arial" w:hAnsi="Arial" w:cs="Arial"/>
          <w:b/>
        </w:rPr>
      </w:pPr>
      <w:r w:rsidRPr="007D0E2A">
        <w:rPr>
          <w:rFonts w:ascii="Arial" w:hAnsi="Arial" w:cs="Arial"/>
          <w:b/>
        </w:rPr>
        <w:t xml:space="preserve">Introduction </w:t>
      </w:r>
    </w:p>
    <w:p w14:paraId="62402185" w14:textId="77777777" w:rsidR="00A9267A" w:rsidRPr="007D0E2A" w:rsidRDefault="00A9267A" w:rsidP="008316D6">
      <w:pPr>
        <w:pStyle w:val="ListParagraph"/>
        <w:spacing w:before="240" w:line="276" w:lineRule="auto"/>
        <w:ind w:left="360"/>
        <w:rPr>
          <w:rFonts w:ascii="Arial" w:hAnsi="Arial" w:cs="Arial"/>
          <w:b/>
        </w:rPr>
      </w:pPr>
    </w:p>
    <w:p w14:paraId="3024C684" w14:textId="1AA8F54C" w:rsidR="00783525" w:rsidRPr="007D0E2A" w:rsidRDefault="003D7EA9" w:rsidP="00783525">
      <w:pPr>
        <w:pStyle w:val="ListParagraph"/>
        <w:numPr>
          <w:ilvl w:val="1"/>
          <w:numId w:val="1"/>
        </w:numPr>
        <w:spacing w:before="240" w:line="276" w:lineRule="auto"/>
        <w:rPr>
          <w:rFonts w:ascii="Arial" w:hAnsi="Arial" w:cs="Arial"/>
        </w:rPr>
      </w:pPr>
      <w:r w:rsidRPr="007D0E2A">
        <w:rPr>
          <w:rFonts w:ascii="Arial" w:hAnsi="Arial" w:cs="Arial"/>
          <w:bCs/>
        </w:rPr>
        <w:t>This</w:t>
      </w:r>
      <w:r w:rsidRPr="007D0E2A">
        <w:rPr>
          <w:rFonts w:ascii="Arial" w:hAnsi="Arial" w:cs="Arial"/>
          <w:b/>
          <w:bCs/>
        </w:rPr>
        <w:t xml:space="preserve"> </w:t>
      </w:r>
      <w:r w:rsidR="00B451A0" w:rsidRPr="007D0E2A">
        <w:rPr>
          <w:rFonts w:ascii="Arial" w:hAnsi="Arial" w:cs="Arial"/>
          <w:bCs/>
        </w:rPr>
        <w:t>IS</w:t>
      </w:r>
      <w:r w:rsidR="000A6EFA" w:rsidRPr="007D0E2A">
        <w:rPr>
          <w:rFonts w:ascii="Arial" w:hAnsi="Arial" w:cs="Arial"/>
          <w:bCs/>
        </w:rPr>
        <w:t>P</w:t>
      </w:r>
      <w:r w:rsidRPr="007D0E2A">
        <w:rPr>
          <w:rFonts w:ascii="Arial" w:hAnsi="Arial" w:cs="Arial"/>
          <w:bCs/>
        </w:rPr>
        <w:t xml:space="preserve"> sets out </w:t>
      </w:r>
      <w:r w:rsidR="002E4274" w:rsidRPr="007D0E2A">
        <w:rPr>
          <w:rFonts w:ascii="Arial" w:hAnsi="Arial" w:cs="Arial"/>
          <w:bCs/>
        </w:rPr>
        <w:t xml:space="preserve">the </w:t>
      </w:r>
      <w:r w:rsidRPr="007D0E2A">
        <w:rPr>
          <w:rFonts w:ascii="Arial" w:hAnsi="Arial" w:cs="Arial"/>
          <w:bCs/>
        </w:rPr>
        <w:t xml:space="preserve">overarching arrangements for all </w:t>
      </w:r>
      <w:r w:rsidR="004A3FE9" w:rsidRPr="007D0E2A">
        <w:rPr>
          <w:rFonts w:ascii="Arial" w:hAnsi="Arial" w:cs="Arial"/>
          <w:bCs/>
        </w:rPr>
        <w:t xml:space="preserve">information </w:t>
      </w:r>
      <w:r w:rsidRPr="007D0E2A">
        <w:rPr>
          <w:rFonts w:ascii="Arial" w:hAnsi="Arial" w:cs="Arial"/>
          <w:bCs/>
        </w:rPr>
        <w:t>that is shared by Valuatio</w:t>
      </w:r>
      <w:r w:rsidR="007B7D59" w:rsidRPr="007D0E2A">
        <w:rPr>
          <w:rFonts w:ascii="Arial" w:hAnsi="Arial" w:cs="Arial"/>
          <w:bCs/>
        </w:rPr>
        <w:t xml:space="preserve">n Office Agency (VOA) with </w:t>
      </w:r>
      <w:r w:rsidR="007D0E2A" w:rsidRPr="007D0E2A">
        <w:rPr>
          <w:rFonts w:ascii="Arial" w:hAnsi="Arial" w:cs="Arial"/>
          <w:bCs/>
        </w:rPr>
        <w:t>the Billing Authority</w:t>
      </w:r>
    </w:p>
    <w:p w14:paraId="0DE086CE" w14:textId="77777777" w:rsidR="00D42D2D" w:rsidRPr="007D0E2A" w:rsidRDefault="00D42D2D" w:rsidP="00783525">
      <w:pPr>
        <w:pStyle w:val="ListParagraph"/>
        <w:spacing w:before="240" w:line="276" w:lineRule="auto"/>
        <w:ind w:left="792"/>
        <w:rPr>
          <w:rFonts w:ascii="Arial" w:hAnsi="Arial" w:cs="Arial"/>
        </w:rPr>
      </w:pPr>
    </w:p>
    <w:p w14:paraId="79A03FEF" w14:textId="7D1AA95D" w:rsidR="003D7EA9" w:rsidRPr="007D0E2A" w:rsidRDefault="00E804FD" w:rsidP="008316D6">
      <w:pPr>
        <w:pStyle w:val="ListParagraph"/>
        <w:numPr>
          <w:ilvl w:val="1"/>
          <w:numId w:val="1"/>
        </w:numPr>
        <w:spacing w:before="240" w:line="276" w:lineRule="auto"/>
        <w:rPr>
          <w:rFonts w:ascii="Arial" w:hAnsi="Arial" w:cs="Arial"/>
        </w:rPr>
      </w:pPr>
      <w:r w:rsidRPr="007D0E2A">
        <w:rPr>
          <w:rFonts w:ascii="Arial" w:hAnsi="Arial" w:cs="Arial"/>
        </w:rPr>
        <w:t>Th</w:t>
      </w:r>
      <w:r w:rsidR="00314413" w:rsidRPr="007D0E2A">
        <w:rPr>
          <w:rFonts w:ascii="Arial" w:hAnsi="Arial" w:cs="Arial"/>
        </w:rPr>
        <w:t>is ISP</w:t>
      </w:r>
      <w:r w:rsidRPr="007D0E2A">
        <w:rPr>
          <w:rFonts w:ascii="Arial" w:hAnsi="Arial" w:cs="Arial"/>
        </w:rPr>
        <w:t xml:space="preserve"> will </w:t>
      </w:r>
      <w:r w:rsidR="00921BB7" w:rsidRPr="007D0E2A">
        <w:rPr>
          <w:rFonts w:ascii="Arial" w:hAnsi="Arial" w:cs="Arial"/>
        </w:rPr>
        <w:t xml:space="preserve">be supplemented by </w:t>
      </w:r>
      <w:r w:rsidRPr="002676A8">
        <w:rPr>
          <w:rFonts w:ascii="Arial" w:hAnsi="Arial" w:cs="Arial"/>
        </w:rPr>
        <w:t>individual</w:t>
      </w:r>
      <w:r w:rsidR="003D7EA9" w:rsidRPr="002676A8">
        <w:rPr>
          <w:rFonts w:ascii="Arial" w:hAnsi="Arial" w:cs="Arial"/>
        </w:rPr>
        <w:t xml:space="preserve"> </w:t>
      </w:r>
      <w:r w:rsidR="00E86B17" w:rsidRPr="002676A8">
        <w:rPr>
          <w:rFonts w:ascii="Arial" w:hAnsi="Arial" w:cs="Arial"/>
        </w:rPr>
        <w:t>Information</w:t>
      </w:r>
      <w:r w:rsidR="00644C2C" w:rsidRPr="002676A8">
        <w:rPr>
          <w:rFonts w:ascii="Arial" w:hAnsi="Arial" w:cs="Arial"/>
        </w:rPr>
        <w:t xml:space="preserve"> Sharing Agreements</w:t>
      </w:r>
      <w:r w:rsidR="003D7EA9" w:rsidRPr="002676A8">
        <w:rPr>
          <w:rFonts w:ascii="Arial" w:hAnsi="Arial" w:cs="Arial"/>
        </w:rPr>
        <w:t xml:space="preserve"> </w:t>
      </w:r>
      <w:r w:rsidR="00A61B3E" w:rsidRPr="002676A8">
        <w:rPr>
          <w:rFonts w:ascii="Arial" w:hAnsi="Arial" w:cs="Arial"/>
        </w:rPr>
        <w:t>(ISAs)</w:t>
      </w:r>
      <w:r w:rsidR="006C38DD" w:rsidRPr="002676A8">
        <w:rPr>
          <w:rFonts w:ascii="Arial" w:hAnsi="Arial" w:cs="Arial"/>
        </w:rPr>
        <w:t xml:space="preserve"> </w:t>
      </w:r>
      <w:r w:rsidR="003D7EA9" w:rsidRPr="002676A8">
        <w:rPr>
          <w:rFonts w:ascii="Arial" w:hAnsi="Arial" w:cs="Arial"/>
        </w:rPr>
        <w:t>that</w:t>
      </w:r>
      <w:r w:rsidR="003D7EA9" w:rsidRPr="007D0E2A">
        <w:rPr>
          <w:rFonts w:ascii="Arial" w:hAnsi="Arial" w:cs="Arial"/>
        </w:rPr>
        <w:t xml:space="preserve"> </w:t>
      </w:r>
      <w:r w:rsidRPr="007D0E2A">
        <w:rPr>
          <w:rFonts w:ascii="Arial" w:hAnsi="Arial" w:cs="Arial"/>
        </w:rPr>
        <w:t xml:space="preserve">detail </w:t>
      </w:r>
      <w:r w:rsidR="003D7EA9" w:rsidRPr="007D0E2A">
        <w:rPr>
          <w:rFonts w:ascii="Arial" w:hAnsi="Arial" w:cs="Arial"/>
        </w:rPr>
        <w:t xml:space="preserve">the </w:t>
      </w:r>
      <w:r w:rsidRPr="007D0E2A">
        <w:rPr>
          <w:rFonts w:ascii="Arial" w:hAnsi="Arial" w:cs="Arial"/>
        </w:rPr>
        <w:t>information being sha</w:t>
      </w:r>
      <w:r w:rsidR="00F764DE" w:rsidRPr="007D0E2A">
        <w:rPr>
          <w:rFonts w:ascii="Arial" w:hAnsi="Arial" w:cs="Arial"/>
        </w:rPr>
        <w:t>red, the reason</w:t>
      </w:r>
      <w:r w:rsidRPr="007D0E2A">
        <w:rPr>
          <w:rFonts w:ascii="Arial" w:hAnsi="Arial" w:cs="Arial"/>
        </w:rPr>
        <w:t xml:space="preserve"> it is being shared </w:t>
      </w:r>
      <w:r w:rsidR="003D7EA9" w:rsidRPr="007D0E2A">
        <w:rPr>
          <w:rFonts w:ascii="Arial" w:hAnsi="Arial" w:cs="Arial"/>
        </w:rPr>
        <w:t xml:space="preserve">and how </w:t>
      </w:r>
      <w:r w:rsidRPr="007D0E2A">
        <w:rPr>
          <w:rFonts w:ascii="Arial" w:hAnsi="Arial" w:cs="Arial"/>
        </w:rPr>
        <w:t>it</w:t>
      </w:r>
      <w:r w:rsidR="00F764DE" w:rsidRPr="007D0E2A">
        <w:rPr>
          <w:rFonts w:ascii="Arial" w:hAnsi="Arial" w:cs="Arial"/>
        </w:rPr>
        <w:t xml:space="preserve"> </w:t>
      </w:r>
      <w:r w:rsidR="003D7EA9" w:rsidRPr="007D0E2A">
        <w:rPr>
          <w:rFonts w:ascii="Arial" w:hAnsi="Arial" w:cs="Arial"/>
        </w:rPr>
        <w:t>will be transferred.</w:t>
      </w:r>
    </w:p>
    <w:p w14:paraId="13C1AF62" w14:textId="77777777" w:rsidR="009176EF" w:rsidRPr="007D0E2A" w:rsidRDefault="009176EF" w:rsidP="008316D6">
      <w:pPr>
        <w:pStyle w:val="ListParagraph"/>
        <w:spacing w:before="240" w:line="276" w:lineRule="auto"/>
        <w:ind w:left="360"/>
        <w:rPr>
          <w:rFonts w:ascii="Arial" w:hAnsi="Arial" w:cs="Arial"/>
        </w:rPr>
      </w:pPr>
    </w:p>
    <w:p w14:paraId="08720A50" w14:textId="77777777" w:rsidR="00D42D2D" w:rsidRPr="007D0E2A" w:rsidRDefault="00D42D2D" w:rsidP="008316D6">
      <w:pPr>
        <w:pStyle w:val="ListParagraph"/>
        <w:spacing w:before="240" w:line="276" w:lineRule="auto"/>
        <w:ind w:left="360"/>
        <w:rPr>
          <w:rFonts w:ascii="Arial" w:hAnsi="Arial" w:cs="Arial"/>
        </w:rPr>
      </w:pPr>
    </w:p>
    <w:p w14:paraId="1A024C06" w14:textId="77777777" w:rsidR="003D7EA9" w:rsidRPr="007D0E2A" w:rsidRDefault="003D7EA9" w:rsidP="008316D6">
      <w:pPr>
        <w:pStyle w:val="ListParagraph"/>
        <w:numPr>
          <w:ilvl w:val="0"/>
          <w:numId w:val="1"/>
        </w:numPr>
        <w:spacing w:before="240" w:line="276" w:lineRule="auto"/>
        <w:rPr>
          <w:rFonts w:ascii="Arial" w:hAnsi="Arial" w:cs="Arial"/>
          <w:b/>
        </w:rPr>
      </w:pPr>
      <w:r w:rsidRPr="007D0E2A">
        <w:rPr>
          <w:rFonts w:ascii="Arial" w:hAnsi="Arial" w:cs="Arial"/>
          <w:b/>
        </w:rPr>
        <w:t>Parties</w:t>
      </w:r>
    </w:p>
    <w:p w14:paraId="652B350E" w14:textId="77777777" w:rsidR="00A9267A" w:rsidRPr="007D0E2A" w:rsidRDefault="00A9267A" w:rsidP="008316D6">
      <w:pPr>
        <w:pStyle w:val="ListParagraph"/>
        <w:spacing w:before="240" w:line="276" w:lineRule="auto"/>
        <w:ind w:left="360"/>
        <w:rPr>
          <w:rFonts w:ascii="Arial" w:hAnsi="Arial" w:cs="Arial"/>
          <w:b/>
        </w:rPr>
      </w:pPr>
    </w:p>
    <w:p w14:paraId="459F40BD" w14:textId="77777777" w:rsidR="003D7EA9" w:rsidRPr="007D0E2A" w:rsidRDefault="003D7EA9" w:rsidP="008316D6">
      <w:pPr>
        <w:pStyle w:val="ListParagraph"/>
        <w:numPr>
          <w:ilvl w:val="1"/>
          <w:numId w:val="1"/>
        </w:numPr>
        <w:spacing w:before="240" w:line="276" w:lineRule="auto"/>
        <w:rPr>
          <w:rFonts w:ascii="Arial" w:hAnsi="Arial" w:cs="Arial"/>
        </w:rPr>
      </w:pPr>
      <w:r w:rsidRPr="007D0E2A">
        <w:rPr>
          <w:rFonts w:ascii="Arial" w:hAnsi="Arial" w:cs="Arial"/>
        </w:rPr>
        <w:t xml:space="preserve">The parties to </w:t>
      </w:r>
      <w:r w:rsidR="007B7D59" w:rsidRPr="007D0E2A">
        <w:rPr>
          <w:rFonts w:ascii="Arial" w:hAnsi="Arial" w:cs="Arial"/>
        </w:rPr>
        <w:t>this a</w:t>
      </w:r>
      <w:r w:rsidRPr="007D0E2A">
        <w:rPr>
          <w:rFonts w:ascii="Arial" w:hAnsi="Arial" w:cs="Arial"/>
        </w:rPr>
        <w:t>greement are:</w:t>
      </w:r>
    </w:p>
    <w:p w14:paraId="098366A9" w14:textId="77777777" w:rsidR="00D42D2D" w:rsidRPr="007D0E2A" w:rsidRDefault="00D42D2D" w:rsidP="00D42D2D">
      <w:pPr>
        <w:pStyle w:val="ListParagraph"/>
        <w:spacing w:before="240" w:line="276" w:lineRule="auto"/>
        <w:ind w:left="792"/>
        <w:rPr>
          <w:rFonts w:ascii="Arial" w:hAnsi="Arial" w:cs="Arial"/>
        </w:rPr>
      </w:pPr>
    </w:p>
    <w:p w14:paraId="09E820C3" w14:textId="77777777" w:rsidR="00B14776" w:rsidRDefault="003D7EA9" w:rsidP="00B14776">
      <w:pPr>
        <w:pStyle w:val="ListParagraph"/>
        <w:numPr>
          <w:ilvl w:val="2"/>
          <w:numId w:val="1"/>
        </w:numPr>
        <w:spacing w:before="240" w:line="276" w:lineRule="auto"/>
        <w:rPr>
          <w:rFonts w:ascii="Arial" w:hAnsi="Arial" w:cs="Arial"/>
        </w:rPr>
      </w:pPr>
      <w:r w:rsidRPr="007D0E2A">
        <w:rPr>
          <w:rFonts w:ascii="Arial" w:hAnsi="Arial" w:cs="Arial"/>
        </w:rPr>
        <w:t>Valuation Office Agency</w:t>
      </w:r>
      <w:r w:rsidRPr="007D0E2A">
        <w:rPr>
          <w:rFonts w:ascii="Arial" w:hAnsi="Arial" w:cs="Arial"/>
          <w:b/>
        </w:rPr>
        <w:t xml:space="preserve"> </w:t>
      </w:r>
      <w:r w:rsidRPr="007D0E2A">
        <w:rPr>
          <w:rFonts w:ascii="Arial" w:hAnsi="Arial" w:cs="Arial"/>
        </w:rPr>
        <w:t>(an executive Agency of Her Majesty’s Revenue and Customs</w:t>
      </w:r>
      <w:r w:rsidR="0065391E" w:rsidRPr="007D0E2A">
        <w:rPr>
          <w:rFonts w:ascii="Arial" w:hAnsi="Arial" w:cs="Arial"/>
        </w:rPr>
        <w:t>)</w:t>
      </w:r>
      <w:r w:rsidRPr="007D0E2A">
        <w:rPr>
          <w:rFonts w:ascii="Arial" w:hAnsi="Arial" w:cs="Arial"/>
        </w:rPr>
        <w:t>, Wingate House, 93/107 Shaftesbury Avenue, London W1D 5BU.</w:t>
      </w:r>
    </w:p>
    <w:p w14:paraId="3A3F8575" w14:textId="77777777" w:rsidR="00B14776" w:rsidRDefault="00B14776" w:rsidP="00B14776">
      <w:pPr>
        <w:pStyle w:val="ListParagraph"/>
        <w:spacing w:before="240" w:line="276" w:lineRule="auto"/>
        <w:ind w:left="1224"/>
        <w:rPr>
          <w:rFonts w:ascii="Arial" w:hAnsi="Arial" w:cs="Arial"/>
        </w:rPr>
      </w:pPr>
    </w:p>
    <w:p w14:paraId="1EC1EA49" w14:textId="293D9310" w:rsidR="00FB7730" w:rsidRPr="00B14776" w:rsidRDefault="00FB7730" w:rsidP="00B14776">
      <w:pPr>
        <w:pStyle w:val="ListParagraph"/>
        <w:numPr>
          <w:ilvl w:val="2"/>
          <w:numId w:val="1"/>
        </w:numPr>
        <w:spacing w:before="240" w:line="276" w:lineRule="auto"/>
        <w:rPr>
          <w:rFonts w:ascii="Arial" w:hAnsi="Arial" w:cs="Arial"/>
          <w:color w:val="FF0000"/>
        </w:rPr>
      </w:pPr>
      <w:r w:rsidRPr="00B14776">
        <w:rPr>
          <w:rFonts w:ascii="Arial" w:hAnsi="Arial" w:cs="Arial"/>
          <w:bCs/>
          <w:color w:val="FF0000"/>
        </w:rPr>
        <w:t>(</w:t>
      </w:r>
      <w:r w:rsidR="007D0E2A" w:rsidRPr="00B14776">
        <w:rPr>
          <w:rFonts w:ascii="Arial" w:hAnsi="Arial" w:cs="Arial"/>
          <w:bCs/>
          <w:color w:val="FF0000"/>
        </w:rPr>
        <w:t xml:space="preserve">Insert </w:t>
      </w:r>
      <w:r w:rsidR="00A6242F" w:rsidRPr="00B14776">
        <w:rPr>
          <w:rFonts w:ascii="Arial" w:hAnsi="Arial" w:cs="Arial"/>
          <w:bCs/>
          <w:color w:val="FF0000"/>
        </w:rPr>
        <w:t>BA Name</w:t>
      </w:r>
      <w:r w:rsidRPr="00B14776">
        <w:rPr>
          <w:rFonts w:ascii="Arial" w:hAnsi="Arial" w:cs="Arial"/>
          <w:bCs/>
          <w:color w:val="FF0000"/>
        </w:rPr>
        <w:t>) and address</w:t>
      </w:r>
    </w:p>
    <w:p w14:paraId="1045C46B" w14:textId="77777777" w:rsidR="00D42D2D" w:rsidRPr="007D0E2A" w:rsidRDefault="00D42D2D" w:rsidP="008316D6">
      <w:pPr>
        <w:pStyle w:val="ListParagraph"/>
        <w:spacing w:before="240" w:line="276" w:lineRule="auto"/>
        <w:ind w:left="1224"/>
        <w:rPr>
          <w:rFonts w:ascii="Arial" w:hAnsi="Arial" w:cs="Arial"/>
        </w:rPr>
      </w:pPr>
    </w:p>
    <w:p w14:paraId="5F8D04CD" w14:textId="77777777" w:rsidR="00D42D2D" w:rsidRPr="007D0E2A" w:rsidRDefault="00D42D2D" w:rsidP="008316D6">
      <w:pPr>
        <w:pStyle w:val="ListParagraph"/>
        <w:spacing w:before="240"/>
        <w:ind w:left="792"/>
        <w:rPr>
          <w:rFonts w:ascii="Arial" w:hAnsi="Arial" w:cs="Arial"/>
        </w:rPr>
      </w:pPr>
    </w:p>
    <w:p w14:paraId="3FFE14B3" w14:textId="77777777" w:rsidR="003D7EA9" w:rsidRPr="007D0E2A" w:rsidRDefault="003D7EA9" w:rsidP="008316D6">
      <w:pPr>
        <w:pStyle w:val="ListParagraph"/>
        <w:numPr>
          <w:ilvl w:val="0"/>
          <w:numId w:val="1"/>
        </w:numPr>
        <w:spacing w:before="240" w:line="276" w:lineRule="auto"/>
        <w:rPr>
          <w:rFonts w:ascii="Arial" w:hAnsi="Arial" w:cs="Arial"/>
          <w:b/>
        </w:rPr>
      </w:pPr>
      <w:r w:rsidRPr="007D0E2A">
        <w:rPr>
          <w:rFonts w:ascii="Arial" w:hAnsi="Arial" w:cs="Arial"/>
          <w:b/>
        </w:rPr>
        <w:lastRenderedPageBreak/>
        <w:t>Legal basis of provision</w:t>
      </w:r>
      <w:r w:rsidR="00A059DB" w:rsidRPr="007D0E2A">
        <w:rPr>
          <w:rFonts w:ascii="Arial" w:hAnsi="Arial" w:cs="Arial"/>
          <w:b/>
        </w:rPr>
        <w:t xml:space="preserve"> and confidentiality</w:t>
      </w:r>
    </w:p>
    <w:p w14:paraId="116CE3E8" w14:textId="77777777" w:rsidR="00A9267A" w:rsidRPr="007D0E2A" w:rsidRDefault="00A9267A" w:rsidP="008316D6">
      <w:pPr>
        <w:pStyle w:val="ListParagraph"/>
        <w:spacing w:before="240" w:line="276" w:lineRule="auto"/>
        <w:ind w:left="360"/>
        <w:rPr>
          <w:rFonts w:ascii="Arial" w:hAnsi="Arial" w:cs="Arial"/>
          <w:b/>
        </w:rPr>
      </w:pPr>
    </w:p>
    <w:p w14:paraId="196FFCB2" w14:textId="77777777" w:rsidR="00F95350" w:rsidRPr="007D0E2A" w:rsidRDefault="00F764DE" w:rsidP="008316D6">
      <w:pPr>
        <w:pStyle w:val="ListParagraph"/>
        <w:numPr>
          <w:ilvl w:val="1"/>
          <w:numId w:val="1"/>
        </w:numPr>
        <w:spacing w:before="240"/>
        <w:rPr>
          <w:rFonts w:ascii="Arial" w:hAnsi="Arial" w:cs="Arial"/>
        </w:rPr>
      </w:pPr>
      <w:r w:rsidRPr="007D0E2A">
        <w:rPr>
          <w:rFonts w:ascii="Arial" w:hAnsi="Arial" w:cs="Arial"/>
        </w:rPr>
        <w:t>VOA will only share information</w:t>
      </w:r>
      <w:r w:rsidR="00F95350" w:rsidRPr="007D0E2A">
        <w:rPr>
          <w:rFonts w:ascii="Arial" w:hAnsi="Arial" w:cs="Arial"/>
        </w:rPr>
        <w:t xml:space="preserve"> when it is legally able to do so</w:t>
      </w:r>
      <w:r w:rsidR="00D9368B" w:rsidRPr="007D0E2A">
        <w:rPr>
          <w:rFonts w:ascii="Arial" w:hAnsi="Arial" w:cs="Arial"/>
        </w:rPr>
        <w:t>.</w:t>
      </w:r>
      <w:r w:rsidR="00F95350" w:rsidRPr="007D0E2A">
        <w:rPr>
          <w:rFonts w:ascii="Arial" w:hAnsi="Arial" w:cs="Arial"/>
        </w:rPr>
        <w:t xml:space="preserve"> </w:t>
      </w:r>
    </w:p>
    <w:p w14:paraId="783E0217" w14:textId="77777777" w:rsidR="00D42D2D" w:rsidRPr="007D0E2A" w:rsidRDefault="00D42D2D" w:rsidP="00D42D2D">
      <w:pPr>
        <w:pStyle w:val="ListParagraph"/>
        <w:spacing w:before="240"/>
        <w:ind w:left="792"/>
        <w:rPr>
          <w:rFonts w:ascii="Arial" w:hAnsi="Arial" w:cs="Arial"/>
        </w:rPr>
      </w:pPr>
    </w:p>
    <w:p w14:paraId="7DE32CDB" w14:textId="77777777" w:rsidR="00B451A0" w:rsidRPr="007D0E2A" w:rsidRDefault="00B451A0" w:rsidP="008316D6">
      <w:pPr>
        <w:pStyle w:val="ListParagraph"/>
        <w:numPr>
          <w:ilvl w:val="1"/>
          <w:numId w:val="1"/>
        </w:numPr>
        <w:spacing w:before="240" w:line="276" w:lineRule="auto"/>
        <w:rPr>
          <w:rFonts w:ascii="Arial" w:hAnsi="Arial" w:cs="Arial"/>
        </w:rPr>
      </w:pPr>
      <w:r w:rsidRPr="007D0E2A">
        <w:rPr>
          <w:rFonts w:ascii="Arial" w:hAnsi="Arial" w:cs="Arial"/>
        </w:rPr>
        <w:t>VOA is subject to the Commissioners for Revenue and Customs Act 2005 (CRCA) which covers the confidentiality of information held by the</w:t>
      </w:r>
      <w:r w:rsidR="00EE43D4" w:rsidRPr="007D0E2A">
        <w:rPr>
          <w:rFonts w:ascii="Arial" w:hAnsi="Arial" w:cs="Arial"/>
        </w:rPr>
        <w:t xml:space="preserve"> </w:t>
      </w:r>
      <w:r w:rsidRPr="007D0E2A">
        <w:rPr>
          <w:rFonts w:ascii="Arial" w:hAnsi="Arial" w:cs="Arial"/>
        </w:rPr>
        <w:t>VOA, when it is lawful to disclose that information and legal sanctions for wrongful disclosure.</w:t>
      </w:r>
      <w:r w:rsidR="00F764DE" w:rsidRPr="007D0E2A">
        <w:rPr>
          <w:rFonts w:ascii="Arial" w:hAnsi="Arial" w:cs="Arial"/>
        </w:rPr>
        <w:t xml:space="preserve"> </w:t>
      </w:r>
      <w:r w:rsidR="00677849" w:rsidRPr="007D0E2A">
        <w:t xml:space="preserve"> </w:t>
      </w:r>
      <w:r w:rsidR="00F764DE" w:rsidRPr="007D0E2A">
        <w:rPr>
          <w:rFonts w:ascii="Arial" w:hAnsi="Arial" w:cs="Arial"/>
        </w:rPr>
        <w:t>VOA is not permitted to</w:t>
      </w:r>
      <w:r w:rsidR="00677849" w:rsidRPr="007D0E2A">
        <w:rPr>
          <w:rFonts w:ascii="Arial" w:hAnsi="Arial" w:cs="Arial"/>
        </w:rPr>
        <w:t xml:space="preserve"> di</w:t>
      </w:r>
      <w:r w:rsidR="00F764DE" w:rsidRPr="007D0E2A">
        <w:rPr>
          <w:rFonts w:ascii="Arial" w:hAnsi="Arial" w:cs="Arial"/>
        </w:rPr>
        <w:t>sclose information</w:t>
      </w:r>
      <w:r w:rsidR="00677849" w:rsidRPr="007D0E2A">
        <w:rPr>
          <w:rFonts w:ascii="Arial" w:hAnsi="Arial" w:cs="Arial"/>
        </w:rPr>
        <w:t xml:space="preserve"> except in certain limited circumstances, including, for the purposes of its functions, where there is a legislative gateway or with customer consent.</w:t>
      </w:r>
    </w:p>
    <w:p w14:paraId="0F3CBB2F" w14:textId="77777777" w:rsidR="00D42D2D" w:rsidRPr="007D0E2A" w:rsidRDefault="00D42D2D" w:rsidP="00D42D2D">
      <w:pPr>
        <w:pStyle w:val="ListParagraph"/>
        <w:spacing w:before="240" w:line="276" w:lineRule="auto"/>
        <w:ind w:left="792"/>
        <w:rPr>
          <w:rFonts w:ascii="Arial" w:hAnsi="Arial" w:cs="Arial"/>
        </w:rPr>
      </w:pPr>
    </w:p>
    <w:p w14:paraId="27E5A3A9" w14:textId="4630A39D" w:rsidR="00677849" w:rsidRPr="007D0E2A" w:rsidRDefault="00677849" w:rsidP="008316D6">
      <w:pPr>
        <w:pStyle w:val="ListParagraph"/>
        <w:numPr>
          <w:ilvl w:val="1"/>
          <w:numId w:val="1"/>
        </w:numPr>
        <w:spacing w:before="240"/>
        <w:rPr>
          <w:rFonts w:ascii="Arial" w:hAnsi="Arial" w:cs="Arial"/>
        </w:rPr>
      </w:pPr>
      <w:r w:rsidRPr="007D0E2A">
        <w:rPr>
          <w:rFonts w:ascii="Arial" w:hAnsi="Arial" w:cs="Arial"/>
        </w:rPr>
        <w:t xml:space="preserve">Section 18 (2) (a) of the Commissioners for Revenue and Customs Act (CRCA) 2005 allows sharing of data / information in support of a function as long as it is reasonable </w:t>
      </w:r>
      <w:r w:rsidR="00314413" w:rsidRPr="007D0E2A">
        <w:rPr>
          <w:rFonts w:ascii="Arial" w:hAnsi="Arial" w:cs="Arial"/>
        </w:rPr>
        <w:t xml:space="preserve">and </w:t>
      </w:r>
      <w:r w:rsidRPr="007D0E2A">
        <w:rPr>
          <w:rFonts w:ascii="Arial" w:hAnsi="Arial" w:cs="Arial"/>
        </w:rPr>
        <w:t>proportionate to do so.</w:t>
      </w:r>
    </w:p>
    <w:p w14:paraId="2FC45CF8" w14:textId="77777777" w:rsidR="00D42D2D" w:rsidRPr="007D0E2A" w:rsidRDefault="00D42D2D" w:rsidP="00D42D2D">
      <w:pPr>
        <w:pStyle w:val="ListParagraph"/>
        <w:spacing w:before="240"/>
        <w:ind w:left="792"/>
        <w:rPr>
          <w:rFonts w:ascii="Arial" w:hAnsi="Arial" w:cs="Arial"/>
        </w:rPr>
      </w:pPr>
    </w:p>
    <w:p w14:paraId="1B2F5004" w14:textId="2994F049" w:rsidR="00A059DB" w:rsidRPr="007D0E2A" w:rsidRDefault="00F37CCA" w:rsidP="00052C04">
      <w:pPr>
        <w:pStyle w:val="ListParagraph"/>
        <w:numPr>
          <w:ilvl w:val="1"/>
          <w:numId w:val="1"/>
        </w:numPr>
        <w:spacing w:before="240" w:line="276" w:lineRule="auto"/>
        <w:rPr>
          <w:rFonts w:ascii="Arial" w:hAnsi="Arial" w:cs="Arial"/>
        </w:rPr>
      </w:pPr>
      <w:r>
        <w:rPr>
          <w:rFonts w:ascii="Arial" w:hAnsi="Arial" w:cs="Arial"/>
          <w:bCs/>
        </w:rPr>
        <w:lastRenderedPageBreak/>
        <w:t>T</w:t>
      </w:r>
      <w:r w:rsidR="007D0E2A" w:rsidRPr="007D0E2A">
        <w:rPr>
          <w:rFonts w:ascii="Arial" w:hAnsi="Arial" w:cs="Arial"/>
          <w:bCs/>
        </w:rPr>
        <w:t>he Billing Authority</w:t>
      </w:r>
      <w:r w:rsidR="00FB7730" w:rsidRPr="007D0E2A">
        <w:rPr>
          <w:rFonts w:ascii="Arial" w:hAnsi="Arial" w:cs="Arial"/>
          <w:bCs/>
        </w:rPr>
        <w:t xml:space="preserve"> </w:t>
      </w:r>
      <w:r w:rsidR="00EE43D4" w:rsidRPr="007D0E2A">
        <w:rPr>
          <w:rFonts w:ascii="Arial" w:hAnsi="Arial" w:cs="Arial"/>
        </w:rPr>
        <w:t>will treat all information supplied by the VOA as confidential even if this agreement is terminated</w:t>
      </w:r>
      <w:r w:rsidR="008316D6" w:rsidRPr="007D0E2A">
        <w:rPr>
          <w:rFonts w:ascii="Arial" w:hAnsi="Arial" w:cs="Arial"/>
        </w:rPr>
        <w:t>.</w:t>
      </w:r>
      <w:r w:rsidR="00FF614A" w:rsidRPr="007D0E2A">
        <w:rPr>
          <w:rFonts w:ascii="Arial" w:hAnsi="Arial" w:cs="Arial"/>
        </w:rPr>
        <w:t xml:space="preserve">  The terms of this ISP remain </w:t>
      </w:r>
      <w:r w:rsidR="00290F47" w:rsidRPr="007D0E2A">
        <w:rPr>
          <w:rFonts w:ascii="Arial" w:hAnsi="Arial" w:cs="Arial"/>
        </w:rPr>
        <w:t xml:space="preserve">in force </w:t>
      </w:r>
      <w:r w:rsidR="00FF614A" w:rsidRPr="007D0E2A">
        <w:rPr>
          <w:rFonts w:ascii="Arial" w:hAnsi="Arial" w:cs="Arial"/>
        </w:rPr>
        <w:t xml:space="preserve">whilst </w:t>
      </w:r>
      <w:r w:rsidR="007D0E2A" w:rsidRPr="007D0E2A">
        <w:rPr>
          <w:rFonts w:ascii="Arial" w:hAnsi="Arial" w:cs="Arial"/>
          <w:bCs/>
        </w:rPr>
        <w:t>the Billing Authority</w:t>
      </w:r>
      <w:r w:rsidR="00FF614A" w:rsidRPr="007D0E2A">
        <w:rPr>
          <w:rFonts w:ascii="Arial" w:hAnsi="Arial" w:cs="Arial"/>
        </w:rPr>
        <w:t xml:space="preserve"> holds VOA source data </w:t>
      </w:r>
      <w:r w:rsidR="00115F96" w:rsidRPr="007D0E2A">
        <w:rPr>
          <w:rFonts w:ascii="Arial" w:hAnsi="Arial" w:cs="Arial"/>
        </w:rPr>
        <w:t xml:space="preserve">or in </w:t>
      </w:r>
      <w:r w:rsidR="00FF614A" w:rsidRPr="007D0E2A">
        <w:rPr>
          <w:rFonts w:ascii="Arial" w:hAnsi="Arial" w:cs="Arial"/>
        </w:rPr>
        <w:t>the event that this protocol is terminated.</w:t>
      </w:r>
    </w:p>
    <w:p w14:paraId="011D6C98" w14:textId="77777777" w:rsidR="00D42D2D" w:rsidRPr="007D0E2A" w:rsidRDefault="00D42D2D" w:rsidP="00D42D2D">
      <w:pPr>
        <w:pStyle w:val="ListParagraph"/>
        <w:spacing w:before="240" w:line="276" w:lineRule="auto"/>
        <w:ind w:left="792"/>
        <w:rPr>
          <w:rFonts w:ascii="Arial" w:hAnsi="Arial" w:cs="Arial"/>
        </w:rPr>
      </w:pPr>
    </w:p>
    <w:p w14:paraId="0B350B27" w14:textId="2F0EE7C8" w:rsidR="00314413" w:rsidRPr="007D0E2A" w:rsidRDefault="00314413" w:rsidP="008316D6">
      <w:pPr>
        <w:pStyle w:val="ListParagraph"/>
        <w:numPr>
          <w:ilvl w:val="1"/>
          <w:numId w:val="1"/>
        </w:numPr>
        <w:spacing w:before="240" w:line="276" w:lineRule="auto"/>
        <w:rPr>
          <w:rFonts w:ascii="Arial" w:hAnsi="Arial" w:cs="Arial"/>
        </w:rPr>
      </w:pPr>
      <w:r w:rsidRPr="007D0E2A">
        <w:rPr>
          <w:rFonts w:ascii="Arial" w:hAnsi="Arial" w:cs="Arial"/>
        </w:rPr>
        <w:t xml:space="preserve">The terms of this ISP and any supplementary ISAs remain in force whilst the information is retained by </w:t>
      </w:r>
      <w:r w:rsidR="007D0E2A" w:rsidRPr="007D0E2A">
        <w:rPr>
          <w:rFonts w:ascii="Arial" w:hAnsi="Arial" w:cs="Arial"/>
        </w:rPr>
        <w:t>the Billing Authority</w:t>
      </w:r>
      <w:r w:rsidRPr="007D0E2A">
        <w:rPr>
          <w:rFonts w:ascii="Arial" w:hAnsi="Arial" w:cs="Arial"/>
        </w:rPr>
        <w:t xml:space="preserve"> even if the agreements have being terminated.</w:t>
      </w:r>
    </w:p>
    <w:p w14:paraId="0CF98B65" w14:textId="77777777" w:rsidR="00314413" w:rsidRPr="007D0E2A" w:rsidRDefault="00314413" w:rsidP="00DE61C6">
      <w:pPr>
        <w:pStyle w:val="ListParagraph"/>
        <w:rPr>
          <w:rFonts w:ascii="Arial" w:hAnsi="Arial" w:cs="Arial"/>
        </w:rPr>
      </w:pPr>
    </w:p>
    <w:p w14:paraId="60DBAD1A" w14:textId="77777777" w:rsidR="00B451A0" w:rsidRPr="007D0E2A" w:rsidRDefault="00B451A0" w:rsidP="008316D6">
      <w:pPr>
        <w:pStyle w:val="ListParagraph"/>
        <w:numPr>
          <w:ilvl w:val="1"/>
          <w:numId w:val="1"/>
        </w:numPr>
        <w:spacing w:before="240" w:line="276" w:lineRule="auto"/>
        <w:rPr>
          <w:rFonts w:ascii="Arial" w:hAnsi="Arial" w:cs="Arial"/>
        </w:rPr>
      </w:pPr>
      <w:r w:rsidRPr="007D0E2A">
        <w:rPr>
          <w:rFonts w:ascii="Arial" w:hAnsi="Arial" w:cs="Arial"/>
        </w:rPr>
        <w:t xml:space="preserve">Both organisations are legally obliged to handle personal information according to the requirements of the Data Protection Act 1998 and the Human Rights Act 1998. </w:t>
      </w:r>
    </w:p>
    <w:p w14:paraId="5A2E8A71" w14:textId="77777777" w:rsidR="00873E00" w:rsidRPr="007D0E2A" w:rsidRDefault="00873E00" w:rsidP="00DE61C6">
      <w:pPr>
        <w:pStyle w:val="ListParagraph"/>
        <w:rPr>
          <w:rFonts w:ascii="Arial" w:hAnsi="Arial" w:cs="Arial"/>
        </w:rPr>
      </w:pPr>
    </w:p>
    <w:p w14:paraId="3DD18217" w14:textId="77777777" w:rsidR="00D42D2D" w:rsidRPr="007D0E2A" w:rsidRDefault="00D42D2D" w:rsidP="008316D6">
      <w:pPr>
        <w:pStyle w:val="ListParagraph"/>
        <w:spacing w:before="240" w:line="276" w:lineRule="auto"/>
        <w:ind w:left="792"/>
        <w:rPr>
          <w:rFonts w:ascii="Arial" w:hAnsi="Arial" w:cs="Arial"/>
        </w:rPr>
      </w:pPr>
    </w:p>
    <w:p w14:paraId="29788F56" w14:textId="530DEC09" w:rsidR="003D7EA9" w:rsidRPr="007D0E2A" w:rsidRDefault="003D7EA9" w:rsidP="008316D6">
      <w:pPr>
        <w:pStyle w:val="ListParagraph"/>
        <w:numPr>
          <w:ilvl w:val="0"/>
          <w:numId w:val="1"/>
        </w:numPr>
        <w:spacing w:before="240" w:line="276" w:lineRule="auto"/>
        <w:rPr>
          <w:rFonts w:ascii="Arial" w:hAnsi="Arial" w:cs="Arial"/>
          <w:b/>
        </w:rPr>
      </w:pPr>
      <w:r w:rsidRPr="007D0E2A">
        <w:rPr>
          <w:rFonts w:ascii="Arial" w:hAnsi="Arial" w:cs="Arial"/>
          <w:b/>
        </w:rPr>
        <w:t>Information use, handling, security and assurance</w:t>
      </w:r>
    </w:p>
    <w:p w14:paraId="111FAE10" w14:textId="77777777" w:rsidR="00A9267A" w:rsidRPr="007D0E2A" w:rsidRDefault="00A9267A" w:rsidP="008316D6">
      <w:pPr>
        <w:pStyle w:val="ListParagraph"/>
        <w:spacing w:before="240" w:line="276" w:lineRule="auto"/>
        <w:ind w:left="360"/>
        <w:rPr>
          <w:rFonts w:ascii="Arial" w:hAnsi="Arial" w:cs="Arial"/>
          <w:b/>
        </w:rPr>
      </w:pPr>
    </w:p>
    <w:p w14:paraId="715285FD" w14:textId="3D96C295" w:rsidR="00213035" w:rsidRPr="007D0E2A" w:rsidRDefault="00F764DE" w:rsidP="00B00D22">
      <w:pPr>
        <w:pStyle w:val="ListParagraph"/>
        <w:numPr>
          <w:ilvl w:val="1"/>
          <w:numId w:val="1"/>
        </w:numPr>
        <w:spacing w:before="240" w:line="276" w:lineRule="auto"/>
        <w:rPr>
          <w:rFonts w:ascii="Arial" w:hAnsi="Arial" w:cs="Arial"/>
        </w:rPr>
      </w:pPr>
      <w:r w:rsidRPr="007D0E2A">
        <w:rPr>
          <w:rFonts w:ascii="Arial" w:hAnsi="Arial" w:cs="Arial"/>
        </w:rPr>
        <w:t>Information</w:t>
      </w:r>
      <w:r w:rsidR="00305D62" w:rsidRPr="007D0E2A">
        <w:rPr>
          <w:rFonts w:ascii="Arial" w:hAnsi="Arial" w:cs="Arial"/>
        </w:rPr>
        <w:t xml:space="preserve"> will be managed by </w:t>
      </w:r>
      <w:r w:rsidR="007D0E2A" w:rsidRPr="007D0E2A">
        <w:rPr>
          <w:rFonts w:ascii="Arial" w:hAnsi="Arial" w:cs="Arial"/>
          <w:bCs/>
        </w:rPr>
        <w:t>the Billing Authority</w:t>
      </w:r>
      <w:r w:rsidR="00305D62" w:rsidRPr="007D0E2A">
        <w:rPr>
          <w:rFonts w:ascii="Arial" w:hAnsi="Arial" w:cs="Arial"/>
        </w:rPr>
        <w:t xml:space="preserve"> in accordance with </w:t>
      </w:r>
      <w:hyperlink r:id="rId9" w:history="1">
        <w:r w:rsidR="00305D62" w:rsidRPr="007D0E2A">
          <w:rPr>
            <w:rStyle w:val="Hyperlink"/>
            <w:rFonts w:ascii="Arial" w:hAnsi="Arial" w:cs="Arial"/>
            <w:color w:val="auto"/>
            <w:u w:val="none"/>
          </w:rPr>
          <w:t>HMG's Security Policy Framework</w:t>
        </w:r>
      </w:hyperlink>
      <w:r w:rsidR="00922818" w:rsidRPr="007D0E2A">
        <w:rPr>
          <w:rFonts w:ascii="Arial" w:hAnsi="Arial" w:cs="Arial"/>
        </w:rPr>
        <w:t xml:space="preserve"> and in accordance with the principles of the ISO27001</w:t>
      </w:r>
      <w:r w:rsidR="00CD312F" w:rsidRPr="007D0E2A">
        <w:rPr>
          <w:rFonts w:ascii="Arial" w:hAnsi="Arial" w:cs="Arial"/>
        </w:rPr>
        <w:t xml:space="preserve"> </w:t>
      </w:r>
      <w:r w:rsidR="00922818" w:rsidRPr="007D0E2A">
        <w:rPr>
          <w:rFonts w:ascii="Arial" w:hAnsi="Arial" w:cs="Arial"/>
        </w:rPr>
        <w:t xml:space="preserve">Information Security </w:t>
      </w:r>
      <w:r w:rsidR="00922818" w:rsidRPr="007D0E2A">
        <w:rPr>
          <w:rFonts w:ascii="Arial" w:hAnsi="Arial" w:cs="Arial"/>
        </w:rPr>
        <w:lastRenderedPageBreak/>
        <w:t>Management System standard</w:t>
      </w:r>
      <w:r w:rsidR="00B00D22" w:rsidRPr="007D0E2A">
        <w:rPr>
          <w:rFonts w:ascii="Arial" w:hAnsi="Arial" w:cs="Arial"/>
        </w:rPr>
        <w:t xml:space="preserve">. </w:t>
      </w:r>
      <w:r w:rsidR="006F40DF" w:rsidRPr="007D0E2A">
        <w:rPr>
          <w:rFonts w:ascii="Arial" w:hAnsi="Arial" w:cs="Arial"/>
        </w:rPr>
        <w:t>I</w:t>
      </w:r>
      <w:r w:rsidR="00ED2FD4" w:rsidRPr="007D0E2A">
        <w:rPr>
          <w:rFonts w:ascii="Arial" w:hAnsi="Arial" w:cs="Arial"/>
        </w:rPr>
        <w:t xml:space="preserve">t is not a requirement of this ISP for </w:t>
      </w:r>
      <w:r w:rsidR="007D0E2A" w:rsidRPr="007D0E2A">
        <w:rPr>
          <w:rFonts w:ascii="Arial" w:hAnsi="Arial" w:cs="Arial"/>
        </w:rPr>
        <w:t>the Billing Authority</w:t>
      </w:r>
      <w:r w:rsidR="00ED2FD4" w:rsidRPr="007D0E2A">
        <w:rPr>
          <w:rFonts w:ascii="Arial" w:hAnsi="Arial" w:cs="Arial"/>
        </w:rPr>
        <w:t xml:space="preserve"> to have actual ISO27001 certification</w:t>
      </w:r>
      <w:r w:rsidR="006F40DF" w:rsidRPr="007D0E2A">
        <w:rPr>
          <w:rFonts w:ascii="Arial" w:hAnsi="Arial" w:cs="Arial"/>
        </w:rPr>
        <w:t>, but their systems must meet the required standards.</w:t>
      </w:r>
      <w:r w:rsidR="00B00D22" w:rsidRPr="007D0E2A">
        <w:rPr>
          <w:rFonts w:ascii="Arial" w:hAnsi="Arial" w:cs="Arial"/>
        </w:rPr>
        <w:t xml:space="preserve"> </w:t>
      </w:r>
    </w:p>
    <w:p w14:paraId="2AA3EC2A" w14:textId="77777777" w:rsidR="00213035" w:rsidRPr="007D0E2A" w:rsidRDefault="00213035" w:rsidP="00DE61C6">
      <w:pPr>
        <w:pStyle w:val="ListParagraph"/>
        <w:spacing w:before="240" w:line="276" w:lineRule="auto"/>
        <w:ind w:left="432"/>
        <w:rPr>
          <w:rFonts w:ascii="Arial" w:hAnsi="Arial" w:cs="Arial"/>
        </w:rPr>
      </w:pPr>
    </w:p>
    <w:p w14:paraId="07654ACC" w14:textId="51E30C0F" w:rsidR="00305D62" w:rsidRPr="007D0E2A" w:rsidRDefault="00B00D22" w:rsidP="00B00D22">
      <w:pPr>
        <w:pStyle w:val="ListParagraph"/>
        <w:numPr>
          <w:ilvl w:val="1"/>
          <w:numId w:val="1"/>
        </w:numPr>
        <w:spacing w:before="240" w:line="276" w:lineRule="auto"/>
        <w:rPr>
          <w:rFonts w:ascii="Arial" w:hAnsi="Arial" w:cs="Arial"/>
        </w:rPr>
      </w:pPr>
      <w:r w:rsidRPr="007D0E2A">
        <w:rPr>
          <w:rFonts w:ascii="Arial" w:hAnsi="Arial" w:cs="Arial"/>
        </w:rPr>
        <w:t xml:space="preserve">The </w:t>
      </w:r>
      <w:r w:rsidR="007D0E2A" w:rsidRPr="007D0E2A">
        <w:rPr>
          <w:rFonts w:ascii="Arial" w:hAnsi="Arial" w:cs="Arial"/>
        </w:rPr>
        <w:t xml:space="preserve">Billing Authority </w:t>
      </w:r>
      <w:r w:rsidR="00433027" w:rsidRPr="007D0E2A">
        <w:rPr>
          <w:rFonts w:ascii="Arial" w:hAnsi="Arial" w:cs="Arial"/>
        </w:rPr>
        <w:t>shall</w:t>
      </w:r>
      <w:r w:rsidRPr="007D0E2A">
        <w:rPr>
          <w:rFonts w:ascii="Arial" w:hAnsi="Arial" w:cs="Arial"/>
        </w:rPr>
        <w:t xml:space="preserve"> ensure that they have the relevant security and technical measures in place so that the network over which VOA data </w:t>
      </w:r>
      <w:r w:rsidR="00433027" w:rsidRPr="007D0E2A">
        <w:rPr>
          <w:rFonts w:ascii="Arial" w:hAnsi="Arial" w:cs="Arial"/>
        </w:rPr>
        <w:t>is exchanged</w:t>
      </w:r>
      <w:r w:rsidRPr="007D0E2A">
        <w:rPr>
          <w:rFonts w:ascii="Arial" w:hAnsi="Arial" w:cs="Arial"/>
        </w:rPr>
        <w:t xml:space="preserve"> is secure</w:t>
      </w:r>
      <w:r w:rsidR="006B2AAC" w:rsidRPr="007D0E2A">
        <w:rPr>
          <w:rFonts w:ascii="Arial" w:hAnsi="Arial" w:cs="Arial"/>
        </w:rPr>
        <w:t>.</w:t>
      </w:r>
    </w:p>
    <w:p w14:paraId="53F32350" w14:textId="77777777" w:rsidR="00D42D2D" w:rsidRPr="007D0E2A" w:rsidRDefault="00D42D2D" w:rsidP="00D42D2D">
      <w:pPr>
        <w:pStyle w:val="ListParagraph"/>
        <w:spacing w:before="240" w:line="276" w:lineRule="auto"/>
        <w:ind w:left="792"/>
        <w:rPr>
          <w:rFonts w:ascii="Arial" w:hAnsi="Arial" w:cs="Arial"/>
        </w:rPr>
      </w:pPr>
    </w:p>
    <w:p w14:paraId="319E9E89" w14:textId="42802600" w:rsidR="00305D62" w:rsidRPr="007D0E2A" w:rsidRDefault="007D0E2A" w:rsidP="008316D6">
      <w:pPr>
        <w:pStyle w:val="ListParagraph"/>
        <w:numPr>
          <w:ilvl w:val="1"/>
          <w:numId w:val="1"/>
        </w:numPr>
        <w:spacing w:before="240" w:line="276" w:lineRule="auto"/>
        <w:rPr>
          <w:rFonts w:ascii="Arial" w:hAnsi="Arial" w:cs="Arial"/>
        </w:rPr>
      </w:pPr>
      <w:r w:rsidRPr="007D0E2A">
        <w:rPr>
          <w:rFonts w:ascii="Arial" w:hAnsi="Arial" w:cs="Arial"/>
          <w:bCs/>
        </w:rPr>
        <w:t>The Billing Authority</w:t>
      </w:r>
      <w:r w:rsidR="00481F92" w:rsidRPr="007D0E2A">
        <w:rPr>
          <w:rFonts w:ascii="Arial" w:hAnsi="Arial" w:cs="Arial"/>
          <w:bCs/>
        </w:rPr>
        <w:t xml:space="preserve"> </w:t>
      </w:r>
      <w:r w:rsidR="00FA0A33" w:rsidRPr="007D0E2A">
        <w:rPr>
          <w:rFonts w:ascii="Arial" w:hAnsi="Arial" w:cs="Arial"/>
          <w:bCs/>
        </w:rPr>
        <w:t xml:space="preserve">will not disclose </w:t>
      </w:r>
      <w:r w:rsidR="00305D62" w:rsidRPr="007D0E2A">
        <w:rPr>
          <w:rFonts w:ascii="Arial" w:hAnsi="Arial" w:cs="Arial"/>
          <w:bCs/>
        </w:rPr>
        <w:t xml:space="preserve">to any outside organisation </w:t>
      </w:r>
      <w:r w:rsidR="007933EA" w:rsidRPr="007D0E2A">
        <w:rPr>
          <w:rFonts w:ascii="Arial" w:hAnsi="Arial" w:cs="Arial"/>
          <w:bCs/>
        </w:rPr>
        <w:t xml:space="preserve">VOA information </w:t>
      </w:r>
      <w:r w:rsidR="002941E4" w:rsidRPr="007D0E2A">
        <w:rPr>
          <w:rFonts w:ascii="Arial" w:hAnsi="Arial" w:cs="Arial"/>
          <w:bCs/>
        </w:rPr>
        <w:t>except with the explicit prior consent of the VOA.</w:t>
      </w:r>
    </w:p>
    <w:p w14:paraId="2D34CBE2" w14:textId="77777777" w:rsidR="00D42D2D" w:rsidRPr="007D0E2A" w:rsidRDefault="00D42D2D" w:rsidP="00D42D2D">
      <w:pPr>
        <w:pStyle w:val="ListParagraph"/>
        <w:spacing w:before="240" w:line="276" w:lineRule="auto"/>
        <w:ind w:left="792"/>
        <w:rPr>
          <w:rFonts w:ascii="Arial" w:hAnsi="Arial" w:cs="Arial"/>
        </w:rPr>
      </w:pPr>
    </w:p>
    <w:p w14:paraId="5D7E55F8" w14:textId="17259C6C" w:rsidR="00A162E5" w:rsidRPr="007D0E2A" w:rsidRDefault="006A2803" w:rsidP="00710982">
      <w:pPr>
        <w:pStyle w:val="ListParagraph"/>
        <w:numPr>
          <w:ilvl w:val="1"/>
          <w:numId w:val="1"/>
        </w:numPr>
        <w:spacing w:before="240"/>
        <w:rPr>
          <w:rFonts w:ascii="Arial" w:hAnsi="Arial" w:cs="Arial"/>
        </w:rPr>
      </w:pPr>
      <w:r w:rsidRPr="007D0E2A">
        <w:rPr>
          <w:rFonts w:ascii="Arial" w:hAnsi="Arial" w:cs="Arial"/>
        </w:rPr>
        <w:t>The information</w:t>
      </w:r>
      <w:r w:rsidR="00922818" w:rsidRPr="007D0E2A">
        <w:rPr>
          <w:rFonts w:ascii="Arial" w:hAnsi="Arial" w:cs="Arial"/>
        </w:rPr>
        <w:t xml:space="preserve"> must be transferred securely to </w:t>
      </w:r>
      <w:r w:rsidR="007D0E2A" w:rsidRPr="007D0E2A">
        <w:rPr>
          <w:rFonts w:ascii="Arial" w:hAnsi="Arial" w:cs="Arial"/>
          <w:bCs/>
        </w:rPr>
        <w:t>the Billing Authority</w:t>
      </w:r>
      <w:r w:rsidR="00710982" w:rsidRPr="007D0E2A">
        <w:rPr>
          <w:rFonts w:ascii="Arial" w:hAnsi="Arial" w:cs="Arial"/>
        </w:rPr>
        <w:t xml:space="preserve"> with the prior </w:t>
      </w:r>
      <w:r w:rsidR="00213035" w:rsidRPr="007D0E2A">
        <w:rPr>
          <w:rFonts w:ascii="Arial" w:hAnsi="Arial" w:cs="Arial"/>
        </w:rPr>
        <w:t xml:space="preserve">agreement and </w:t>
      </w:r>
      <w:r w:rsidR="00710982" w:rsidRPr="007D0E2A">
        <w:rPr>
          <w:rFonts w:ascii="Arial" w:hAnsi="Arial" w:cs="Arial"/>
        </w:rPr>
        <w:t>approval of the V</w:t>
      </w:r>
      <w:r w:rsidR="00922818" w:rsidRPr="007D0E2A">
        <w:rPr>
          <w:rFonts w:ascii="Arial" w:hAnsi="Arial" w:cs="Arial"/>
        </w:rPr>
        <w:t xml:space="preserve">OA </w:t>
      </w:r>
      <w:r w:rsidR="006B2AAC" w:rsidRPr="007D0E2A">
        <w:rPr>
          <w:rFonts w:ascii="Arial" w:hAnsi="Arial" w:cs="Arial"/>
        </w:rPr>
        <w:t>Information Security Manager</w:t>
      </w:r>
      <w:r w:rsidR="00476B78" w:rsidRPr="007D0E2A">
        <w:rPr>
          <w:rFonts w:ascii="Arial" w:hAnsi="Arial" w:cs="Arial"/>
        </w:rPr>
        <w:t xml:space="preserve">.  </w:t>
      </w:r>
    </w:p>
    <w:p w14:paraId="52B50620" w14:textId="77777777" w:rsidR="00710982" w:rsidRPr="007D0E2A" w:rsidRDefault="00710982" w:rsidP="00710982">
      <w:pPr>
        <w:pStyle w:val="ListParagraph"/>
        <w:spacing w:before="240"/>
        <w:ind w:left="792"/>
        <w:rPr>
          <w:rFonts w:ascii="Arial" w:hAnsi="Arial" w:cs="Arial"/>
        </w:rPr>
      </w:pPr>
    </w:p>
    <w:p w14:paraId="05B8DD35" w14:textId="152A53AB" w:rsidR="00305D62" w:rsidRPr="007D0E2A" w:rsidRDefault="00752FB4" w:rsidP="008316D6">
      <w:pPr>
        <w:pStyle w:val="ListParagraph"/>
        <w:numPr>
          <w:ilvl w:val="1"/>
          <w:numId w:val="1"/>
        </w:numPr>
        <w:spacing w:before="240" w:line="276" w:lineRule="auto"/>
        <w:rPr>
          <w:rFonts w:ascii="Arial" w:hAnsi="Arial" w:cs="Arial"/>
        </w:rPr>
      </w:pPr>
      <w:r w:rsidRPr="007D0E2A">
        <w:rPr>
          <w:rFonts w:ascii="Arial" w:hAnsi="Arial" w:cs="Arial"/>
        </w:rPr>
        <w:t>O</w:t>
      </w:r>
      <w:r w:rsidR="00F764DE" w:rsidRPr="007D0E2A">
        <w:rPr>
          <w:rFonts w:ascii="Arial" w:hAnsi="Arial" w:cs="Arial"/>
        </w:rPr>
        <w:t>n receipt of information supplied by VOA</w:t>
      </w:r>
      <w:r w:rsidR="00076881" w:rsidRPr="007D0E2A">
        <w:rPr>
          <w:rFonts w:ascii="Arial" w:hAnsi="Arial" w:cs="Arial"/>
        </w:rPr>
        <w:t>,</w:t>
      </w:r>
      <w:r w:rsidR="00305D62" w:rsidRPr="007D0E2A">
        <w:rPr>
          <w:rFonts w:ascii="Arial" w:hAnsi="Arial" w:cs="Arial"/>
        </w:rPr>
        <w:t xml:space="preserve"> </w:t>
      </w:r>
      <w:r w:rsidR="007D0E2A" w:rsidRPr="007D0E2A">
        <w:rPr>
          <w:rFonts w:ascii="Arial" w:hAnsi="Arial" w:cs="Arial"/>
          <w:bCs/>
        </w:rPr>
        <w:t>the Billing Authority</w:t>
      </w:r>
      <w:r w:rsidRPr="007D0E2A">
        <w:rPr>
          <w:rFonts w:ascii="Arial" w:hAnsi="Arial" w:cs="Arial"/>
        </w:rPr>
        <w:t xml:space="preserve"> </w:t>
      </w:r>
      <w:r w:rsidR="00305D62" w:rsidRPr="007D0E2A">
        <w:rPr>
          <w:rFonts w:ascii="Arial" w:hAnsi="Arial" w:cs="Arial"/>
        </w:rPr>
        <w:t>will ensure that they:</w:t>
      </w:r>
    </w:p>
    <w:p w14:paraId="200AFD18" w14:textId="77777777" w:rsidR="00752FB4" w:rsidRPr="007D0E2A" w:rsidRDefault="00721AEC" w:rsidP="008316D6">
      <w:pPr>
        <w:pStyle w:val="ListParagraph"/>
        <w:numPr>
          <w:ilvl w:val="2"/>
          <w:numId w:val="1"/>
        </w:numPr>
        <w:spacing w:before="240" w:line="276" w:lineRule="auto"/>
        <w:rPr>
          <w:rFonts w:ascii="Arial" w:hAnsi="Arial" w:cs="Arial"/>
        </w:rPr>
      </w:pPr>
      <w:r w:rsidRPr="007D0E2A">
        <w:rPr>
          <w:rFonts w:ascii="Arial" w:hAnsi="Arial" w:cs="Arial"/>
        </w:rPr>
        <w:t>only use the i</w:t>
      </w:r>
      <w:r w:rsidR="00F764DE" w:rsidRPr="007D0E2A">
        <w:rPr>
          <w:rFonts w:ascii="Arial" w:hAnsi="Arial" w:cs="Arial"/>
        </w:rPr>
        <w:t>nformation</w:t>
      </w:r>
      <w:r w:rsidR="00752FB4" w:rsidRPr="007D0E2A">
        <w:rPr>
          <w:rFonts w:ascii="Arial" w:hAnsi="Arial" w:cs="Arial"/>
        </w:rPr>
        <w:t xml:space="preserve"> for the </w:t>
      </w:r>
      <w:r w:rsidRPr="007D0E2A">
        <w:rPr>
          <w:rFonts w:ascii="Arial" w:hAnsi="Arial" w:cs="Arial"/>
        </w:rPr>
        <w:t xml:space="preserve">reason / </w:t>
      </w:r>
      <w:r w:rsidR="00752FB4" w:rsidRPr="007D0E2A">
        <w:rPr>
          <w:rFonts w:ascii="Arial" w:hAnsi="Arial" w:cs="Arial"/>
        </w:rPr>
        <w:t xml:space="preserve">purpose that it was provided; </w:t>
      </w:r>
    </w:p>
    <w:p w14:paraId="609C3618" w14:textId="77777777" w:rsidR="00752FB4" w:rsidRPr="007D0E2A" w:rsidRDefault="00721AEC" w:rsidP="008316D6">
      <w:pPr>
        <w:pStyle w:val="ListParagraph"/>
        <w:numPr>
          <w:ilvl w:val="2"/>
          <w:numId w:val="1"/>
        </w:numPr>
        <w:spacing w:before="240" w:line="276" w:lineRule="auto"/>
        <w:rPr>
          <w:rFonts w:ascii="Arial" w:hAnsi="Arial" w:cs="Arial"/>
        </w:rPr>
      </w:pPr>
      <w:r w:rsidRPr="007D0E2A">
        <w:rPr>
          <w:rFonts w:ascii="Arial" w:hAnsi="Arial" w:cs="Arial"/>
        </w:rPr>
        <w:lastRenderedPageBreak/>
        <w:t>store i</w:t>
      </w:r>
      <w:r w:rsidR="00F764DE" w:rsidRPr="007D0E2A">
        <w:rPr>
          <w:rFonts w:ascii="Arial" w:hAnsi="Arial" w:cs="Arial"/>
        </w:rPr>
        <w:t>nformation</w:t>
      </w:r>
      <w:r w:rsidR="00752FB4" w:rsidRPr="007D0E2A">
        <w:rPr>
          <w:rFonts w:ascii="Arial" w:hAnsi="Arial" w:cs="Arial"/>
        </w:rPr>
        <w:t xml:space="preserve"> received, securely, and i</w:t>
      </w:r>
      <w:r w:rsidR="007B7D59" w:rsidRPr="007D0E2A">
        <w:rPr>
          <w:rFonts w:ascii="Arial" w:hAnsi="Arial" w:cs="Arial"/>
        </w:rPr>
        <w:t>n accordance with</w:t>
      </w:r>
      <w:r w:rsidR="00752FB4" w:rsidRPr="007D0E2A">
        <w:rPr>
          <w:rFonts w:ascii="Arial" w:hAnsi="Arial" w:cs="Arial"/>
        </w:rPr>
        <w:t xml:space="preserve"> central government standards</w:t>
      </w:r>
      <w:r w:rsidR="00922818" w:rsidRPr="007D0E2A">
        <w:rPr>
          <w:rFonts w:ascii="Arial" w:hAnsi="Arial" w:cs="Arial"/>
        </w:rPr>
        <w:t xml:space="preserve"> and in accordance with the principles of ISO27001,</w:t>
      </w:r>
      <w:r w:rsidR="00752FB4" w:rsidRPr="007D0E2A">
        <w:rPr>
          <w:rFonts w:ascii="Arial" w:hAnsi="Arial" w:cs="Arial"/>
        </w:rPr>
        <w:t xml:space="preserve"> for example, in secure premises and on secure IT systems;</w:t>
      </w:r>
    </w:p>
    <w:p w14:paraId="63D40F48" w14:textId="77777777" w:rsidR="00752FB4" w:rsidRPr="007D0E2A" w:rsidRDefault="00752FB4" w:rsidP="008316D6">
      <w:pPr>
        <w:pStyle w:val="ListParagraph"/>
        <w:numPr>
          <w:ilvl w:val="2"/>
          <w:numId w:val="1"/>
        </w:numPr>
        <w:spacing w:before="240" w:line="276" w:lineRule="auto"/>
        <w:rPr>
          <w:rFonts w:ascii="Arial" w:hAnsi="Arial" w:cs="Arial"/>
        </w:rPr>
      </w:pPr>
      <w:r w:rsidRPr="007D0E2A">
        <w:rPr>
          <w:rFonts w:ascii="Arial" w:hAnsi="Arial" w:cs="Arial"/>
        </w:rPr>
        <w:t>ensure that only people who have a genui</w:t>
      </w:r>
      <w:r w:rsidR="00F764DE" w:rsidRPr="007D0E2A">
        <w:rPr>
          <w:rFonts w:ascii="Arial" w:hAnsi="Arial" w:cs="Arial"/>
        </w:rPr>
        <w:t>ne business need to see the information</w:t>
      </w:r>
      <w:r w:rsidRPr="007D0E2A">
        <w:rPr>
          <w:rFonts w:ascii="Arial" w:hAnsi="Arial" w:cs="Arial"/>
        </w:rPr>
        <w:t xml:space="preserve"> will have access to it (reviewing the access at frequent intervals), that these individuals have received appropriate training and have undergone the appropriate level of security clearance;</w:t>
      </w:r>
    </w:p>
    <w:p w14:paraId="02EB5411" w14:textId="2F5B7C47" w:rsidR="000C3EA2" w:rsidRPr="007D0E2A" w:rsidRDefault="000C3EA2" w:rsidP="008316D6">
      <w:pPr>
        <w:pStyle w:val="ListParagraph"/>
        <w:numPr>
          <w:ilvl w:val="2"/>
          <w:numId w:val="1"/>
        </w:numPr>
        <w:spacing w:before="240" w:line="276" w:lineRule="auto"/>
        <w:rPr>
          <w:rFonts w:ascii="Arial" w:hAnsi="Arial" w:cs="Arial"/>
        </w:rPr>
      </w:pPr>
      <w:r w:rsidRPr="007D0E2A">
        <w:rPr>
          <w:rFonts w:ascii="Arial" w:hAnsi="Arial" w:cs="Arial"/>
        </w:rPr>
        <w:t xml:space="preserve">follow Cabinet Office guidelines when dealing with the information according to the </w:t>
      </w:r>
      <w:hyperlink r:id="rId10" w:history="1">
        <w:r w:rsidRPr="007D0E2A">
          <w:rPr>
            <w:rStyle w:val="Hyperlink"/>
            <w:rFonts w:ascii="Arial" w:hAnsi="Arial" w:cs="Arial"/>
          </w:rPr>
          <w:t>Government Security Classification</w:t>
        </w:r>
      </w:hyperlink>
      <w:r w:rsidRPr="007D0E2A">
        <w:rPr>
          <w:rStyle w:val="CommentReference"/>
        </w:rPr>
        <w:t xml:space="preserve"> </w:t>
      </w:r>
      <w:r w:rsidRPr="007D0E2A">
        <w:rPr>
          <w:rStyle w:val="CommentReference"/>
          <w:rFonts w:ascii="Arial" w:hAnsi="Arial" w:cs="Arial"/>
          <w:sz w:val="22"/>
          <w:szCs w:val="22"/>
        </w:rPr>
        <w:t>(GSC)</w:t>
      </w:r>
      <w:r w:rsidRPr="007D0E2A">
        <w:rPr>
          <w:rFonts w:ascii="Arial" w:hAnsi="Arial" w:cs="Arial"/>
        </w:rPr>
        <w:t xml:space="preserve"> scheme as classified by VOA</w:t>
      </w:r>
    </w:p>
    <w:p w14:paraId="595B31D2" w14:textId="186ED350" w:rsidR="00F42797" w:rsidRPr="007D0E2A" w:rsidRDefault="00F764DE" w:rsidP="00FA7978">
      <w:pPr>
        <w:pStyle w:val="ListParagraph"/>
        <w:numPr>
          <w:ilvl w:val="2"/>
          <w:numId w:val="1"/>
        </w:numPr>
        <w:spacing w:before="240" w:line="276" w:lineRule="auto"/>
        <w:rPr>
          <w:rFonts w:ascii="Arial" w:hAnsi="Arial" w:cs="Arial"/>
        </w:rPr>
      </w:pPr>
      <w:r w:rsidRPr="007D0E2A">
        <w:rPr>
          <w:rFonts w:ascii="Arial" w:hAnsi="Arial" w:cs="Arial"/>
        </w:rPr>
        <w:t>report any information</w:t>
      </w:r>
      <w:r w:rsidR="00752FB4" w:rsidRPr="007D0E2A">
        <w:rPr>
          <w:rFonts w:ascii="Arial" w:hAnsi="Arial" w:cs="Arial"/>
        </w:rPr>
        <w:t xml:space="preserve"> losses, wrongful disclosures or breaches of security relating to the information </w:t>
      </w:r>
      <w:r w:rsidR="007B7D59" w:rsidRPr="007D0E2A">
        <w:rPr>
          <w:rFonts w:ascii="Arial" w:hAnsi="Arial" w:cs="Arial"/>
        </w:rPr>
        <w:t>supplied by VOA</w:t>
      </w:r>
      <w:r w:rsidR="00752FB4" w:rsidRPr="007D0E2A">
        <w:rPr>
          <w:rFonts w:ascii="Arial" w:hAnsi="Arial" w:cs="Arial"/>
        </w:rPr>
        <w:t xml:space="preserve"> to the designated </w:t>
      </w:r>
      <w:r w:rsidR="00113B7E" w:rsidRPr="007D0E2A">
        <w:rPr>
          <w:rFonts w:ascii="Arial" w:hAnsi="Arial" w:cs="Arial"/>
        </w:rPr>
        <w:t xml:space="preserve">contacts immediately (within 2 days </w:t>
      </w:r>
      <w:r w:rsidR="00752FB4" w:rsidRPr="007D0E2A">
        <w:rPr>
          <w:rFonts w:ascii="Arial" w:hAnsi="Arial" w:cs="Arial"/>
        </w:rPr>
        <w:t>of becoming</w:t>
      </w:r>
      <w:r w:rsidR="007B7D59" w:rsidRPr="007D0E2A">
        <w:rPr>
          <w:rFonts w:ascii="Arial" w:hAnsi="Arial" w:cs="Arial"/>
        </w:rPr>
        <w:t xml:space="preserve"> aware). This includes advising</w:t>
      </w:r>
      <w:r w:rsidR="00752FB4" w:rsidRPr="007D0E2A">
        <w:rPr>
          <w:rFonts w:ascii="Arial" w:hAnsi="Arial" w:cs="Arial"/>
        </w:rPr>
        <w:t xml:space="preserve"> and consulting with </w:t>
      </w:r>
      <w:r w:rsidR="007B7D59" w:rsidRPr="007D0E2A">
        <w:rPr>
          <w:rFonts w:ascii="Arial" w:hAnsi="Arial" w:cs="Arial"/>
        </w:rPr>
        <w:t xml:space="preserve">VOA </w:t>
      </w:r>
      <w:r w:rsidR="00752FB4" w:rsidRPr="007D0E2A">
        <w:rPr>
          <w:rFonts w:ascii="Arial" w:hAnsi="Arial" w:cs="Arial"/>
        </w:rPr>
        <w:t xml:space="preserve">on the appropriate steps to take, e.g. notification of the Information Commissioner’s Office; </w:t>
      </w:r>
      <w:r w:rsidR="00867777" w:rsidRPr="007D0E2A">
        <w:rPr>
          <w:rFonts w:ascii="Arial" w:hAnsi="Arial" w:cs="Arial"/>
        </w:rPr>
        <w:t>c</w:t>
      </w:r>
      <w:r w:rsidR="00F42797" w:rsidRPr="007D0E2A">
        <w:rPr>
          <w:rFonts w:ascii="Arial" w:hAnsi="Arial" w:cs="Arial"/>
        </w:rPr>
        <w:t xml:space="preserve">ontact details are  </w:t>
      </w:r>
      <w:hyperlink r:id="rId11" w:history="1">
        <w:r w:rsidR="006B2AAC" w:rsidRPr="007D0E2A">
          <w:rPr>
            <w:rStyle w:val="Hyperlink"/>
            <w:rFonts w:ascii="Arial" w:hAnsi="Arial" w:cs="Arial"/>
          </w:rPr>
          <w:t>security@voa.gsi.gov.uk</w:t>
        </w:r>
      </w:hyperlink>
      <w:r w:rsidR="006B2AAC" w:rsidRPr="007D0E2A">
        <w:rPr>
          <w:rFonts w:ascii="Arial" w:hAnsi="Arial" w:cs="Arial"/>
        </w:rPr>
        <w:t xml:space="preserve"> t</w:t>
      </w:r>
      <w:r w:rsidR="00F42797" w:rsidRPr="007D0E2A">
        <w:rPr>
          <w:rFonts w:ascii="Arial" w:hAnsi="Arial" w:cs="Arial"/>
        </w:rPr>
        <w:t>el 03000 500681</w:t>
      </w:r>
      <w:r w:rsidR="00B338B2" w:rsidRPr="007D0E2A">
        <w:rPr>
          <w:rFonts w:ascii="Arial" w:hAnsi="Arial" w:cs="Arial"/>
        </w:rPr>
        <w:t>.</w:t>
      </w:r>
      <w:r w:rsidR="00F42797" w:rsidRPr="007D0E2A">
        <w:rPr>
          <w:rFonts w:ascii="Arial" w:hAnsi="Arial" w:cs="Arial"/>
        </w:rPr>
        <w:t xml:space="preserve"> </w:t>
      </w:r>
      <w:r w:rsidR="00B338B2" w:rsidRPr="007D0E2A">
        <w:rPr>
          <w:rFonts w:ascii="Arial" w:hAnsi="Arial" w:cs="Arial"/>
        </w:rPr>
        <w:t xml:space="preserve">  VOA reserves the right to suspend data transfers in the event of a security breach</w:t>
      </w:r>
      <w:r w:rsidR="005F7F13" w:rsidRPr="007D0E2A">
        <w:rPr>
          <w:rFonts w:ascii="Arial" w:hAnsi="Arial" w:cs="Arial"/>
        </w:rPr>
        <w:t xml:space="preserve"> or wrongful disclosure</w:t>
      </w:r>
      <w:r w:rsidR="00B338B2" w:rsidRPr="007D0E2A">
        <w:rPr>
          <w:rFonts w:ascii="Arial" w:hAnsi="Arial" w:cs="Arial"/>
        </w:rPr>
        <w:t xml:space="preserve"> until </w:t>
      </w:r>
      <w:r w:rsidR="00433027" w:rsidRPr="007D0E2A">
        <w:rPr>
          <w:rFonts w:ascii="Arial" w:hAnsi="Arial" w:cs="Arial"/>
        </w:rPr>
        <w:t>the breach</w:t>
      </w:r>
      <w:r w:rsidR="005F7F13" w:rsidRPr="007D0E2A">
        <w:rPr>
          <w:rFonts w:ascii="Arial" w:hAnsi="Arial" w:cs="Arial"/>
        </w:rPr>
        <w:t xml:space="preserve"> or wrongful </w:t>
      </w:r>
      <w:r w:rsidR="005F7F13" w:rsidRPr="007D0E2A">
        <w:rPr>
          <w:rFonts w:ascii="Arial" w:hAnsi="Arial" w:cs="Arial"/>
        </w:rPr>
        <w:lastRenderedPageBreak/>
        <w:t xml:space="preserve">disclosure </w:t>
      </w:r>
      <w:r w:rsidR="00B338B2" w:rsidRPr="007D0E2A">
        <w:rPr>
          <w:rFonts w:ascii="Arial" w:hAnsi="Arial" w:cs="Arial"/>
        </w:rPr>
        <w:t xml:space="preserve">has been resolved to the satisfaction of the signatories of this ISP and any relevant ISA. </w:t>
      </w:r>
      <w:r w:rsidR="00FA7978" w:rsidRPr="007D0E2A">
        <w:rPr>
          <w:rFonts w:ascii="Arial" w:hAnsi="Arial" w:cs="Arial"/>
        </w:rPr>
        <w:t>VOA can advise on how to send any sensitive details of the incident on secure channels</w:t>
      </w:r>
      <w:r w:rsidR="00340C22" w:rsidRPr="007D0E2A">
        <w:rPr>
          <w:rFonts w:ascii="Arial" w:hAnsi="Arial" w:cs="Arial"/>
        </w:rPr>
        <w:t>.</w:t>
      </w:r>
    </w:p>
    <w:p w14:paraId="180CF2F3" w14:textId="6EAD73DC" w:rsidR="00752FB4" w:rsidRPr="007D0E2A" w:rsidRDefault="00F764DE" w:rsidP="008316D6">
      <w:pPr>
        <w:pStyle w:val="ListParagraph"/>
        <w:numPr>
          <w:ilvl w:val="2"/>
          <w:numId w:val="1"/>
        </w:numPr>
        <w:spacing w:before="240" w:line="276" w:lineRule="auto"/>
        <w:rPr>
          <w:rFonts w:ascii="Arial" w:hAnsi="Arial" w:cs="Arial"/>
        </w:rPr>
      </w:pPr>
      <w:r w:rsidRPr="007D0E2A">
        <w:rPr>
          <w:rFonts w:ascii="Arial" w:hAnsi="Arial" w:cs="Arial"/>
        </w:rPr>
        <w:t>only hold information</w:t>
      </w:r>
      <w:r w:rsidR="00752FB4" w:rsidRPr="007D0E2A">
        <w:rPr>
          <w:rFonts w:ascii="Arial" w:hAnsi="Arial" w:cs="Arial"/>
        </w:rPr>
        <w:t xml:space="preserve"> while there is a business need to do so and destroy it in line with </w:t>
      </w:r>
      <w:hyperlink r:id="rId12" w:history="1">
        <w:r w:rsidR="00752FB4" w:rsidRPr="007D0E2A">
          <w:rPr>
            <w:rStyle w:val="Hyperlink"/>
            <w:rFonts w:ascii="Arial" w:hAnsi="Arial" w:cs="Arial"/>
            <w:color w:val="auto"/>
            <w:u w:val="none"/>
          </w:rPr>
          <w:t>HMG Security Policy Framework</w:t>
        </w:r>
      </w:hyperlink>
      <w:r w:rsidR="00922818" w:rsidRPr="007D0E2A">
        <w:rPr>
          <w:rFonts w:ascii="Arial" w:hAnsi="Arial" w:cs="Arial"/>
        </w:rPr>
        <w:t xml:space="preserve"> and the principles of ISO27001. This must include the secure destruction / deletion of </w:t>
      </w:r>
      <w:r w:rsidR="004A3FE9" w:rsidRPr="007D0E2A">
        <w:rPr>
          <w:rFonts w:ascii="Arial" w:hAnsi="Arial" w:cs="Arial"/>
        </w:rPr>
        <w:t xml:space="preserve">information </w:t>
      </w:r>
      <w:r w:rsidR="00922818" w:rsidRPr="007D0E2A">
        <w:rPr>
          <w:rFonts w:ascii="Arial" w:hAnsi="Arial" w:cs="Arial"/>
        </w:rPr>
        <w:t>in both hard and soft copy</w:t>
      </w:r>
      <w:r w:rsidR="00752FB4" w:rsidRPr="007D0E2A">
        <w:rPr>
          <w:rFonts w:ascii="Arial" w:hAnsi="Arial" w:cs="Arial"/>
        </w:rPr>
        <w:t>;</w:t>
      </w:r>
    </w:p>
    <w:p w14:paraId="43D10F2C" w14:textId="77777777" w:rsidR="00752FB4" w:rsidRPr="007D0E2A" w:rsidRDefault="00752FB4" w:rsidP="008316D6">
      <w:pPr>
        <w:pStyle w:val="ListParagraph"/>
        <w:numPr>
          <w:ilvl w:val="2"/>
          <w:numId w:val="1"/>
        </w:numPr>
        <w:spacing w:before="240" w:line="276" w:lineRule="auto"/>
        <w:rPr>
          <w:rFonts w:ascii="Arial" w:hAnsi="Arial" w:cs="Arial"/>
        </w:rPr>
      </w:pPr>
      <w:r w:rsidRPr="007D0E2A">
        <w:rPr>
          <w:rFonts w:ascii="Arial" w:hAnsi="Arial" w:cs="Arial"/>
        </w:rPr>
        <w:t>regula</w:t>
      </w:r>
      <w:r w:rsidR="00F764DE" w:rsidRPr="007D0E2A">
        <w:rPr>
          <w:rFonts w:ascii="Arial" w:hAnsi="Arial" w:cs="Arial"/>
        </w:rPr>
        <w:t>rly review any risks to the information</w:t>
      </w:r>
      <w:r w:rsidRPr="007D0E2A">
        <w:rPr>
          <w:rFonts w:ascii="Arial" w:hAnsi="Arial" w:cs="Arial"/>
        </w:rPr>
        <w:t xml:space="preserve"> and the effectiveness of measures taken to mitigate those risks.</w:t>
      </w:r>
    </w:p>
    <w:p w14:paraId="16E64A1C" w14:textId="10B3AFD9" w:rsidR="00433027" w:rsidRPr="007D0E2A" w:rsidRDefault="00433027" w:rsidP="005F7F13">
      <w:pPr>
        <w:pStyle w:val="ListParagraph"/>
        <w:spacing w:before="240" w:line="276" w:lineRule="auto"/>
        <w:ind w:left="1224"/>
        <w:rPr>
          <w:rFonts w:ascii="Arial" w:hAnsi="Arial" w:cs="Arial"/>
        </w:rPr>
      </w:pPr>
    </w:p>
    <w:p w14:paraId="6272F269" w14:textId="4D8E5300" w:rsidR="00F40E83" w:rsidRPr="007D0E2A" w:rsidRDefault="00B14776" w:rsidP="00DE61C6">
      <w:pPr>
        <w:spacing w:after="0" w:line="276" w:lineRule="auto"/>
        <w:rPr>
          <w:rFonts w:ascii="Arial" w:hAnsi="Arial" w:cs="Arial"/>
        </w:rPr>
      </w:pPr>
      <w:r>
        <w:rPr>
          <w:rFonts w:ascii="Arial" w:hAnsi="Arial" w:cs="Arial"/>
        </w:rPr>
        <w:t>4.6</w:t>
      </w:r>
      <w:r w:rsidR="005F7F13" w:rsidRPr="007D0E2A">
        <w:rPr>
          <w:rFonts w:ascii="Arial" w:hAnsi="Arial" w:cs="Arial"/>
        </w:rPr>
        <w:t xml:space="preserve">. On request, </w:t>
      </w:r>
      <w:r w:rsidR="007D0E2A" w:rsidRPr="007D0E2A">
        <w:rPr>
          <w:rFonts w:ascii="Arial" w:hAnsi="Arial" w:cs="Arial"/>
          <w:bCs/>
        </w:rPr>
        <w:t>the Billing Authority</w:t>
      </w:r>
      <w:r w:rsidR="005F7F13" w:rsidRPr="007D0E2A">
        <w:rPr>
          <w:rFonts w:ascii="Arial" w:hAnsi="Arial" w:cs="Arial"/>
          <w:bCs/>
        </w:rPr>
        <w:t xml:space="preserve"> </w:t>
      </w:r>
      <w:r w:rsidR="005F7F13" w:rsidRPr="007D0E2A">
        <w:rPr>
          <w:rFonts w:ascii="Arial" w:hAnsi="Arial" w:cs="Arial"/>
        </w:rPr>
        <w:t>will provide written assurance (for example, a certificate of assurance) that they have complied with these undertakings. VOA reserve</w:t>
      </w:r>
      <w:r w:rsidR="00A67695" w:rsidRPr="007D0E2A">
        <w:rPr>
          <w:rFonts w:ascii="Arial" w:hAnsi="Arial" w:cs="Arial"/>
        </w:rPr>
        <w:t>s</w:t>
      </w:r>
      <w:r w:rsidR="005F7F13" w:rsidRPr="007D0E2A">
        <w:rPr>
          <w:rFonts w:ascii="Arial" w:hAnsi="Arial" w:cs="Arial"/>
        </w:rPr>
        <w:t xml:space="preserve"> the right to audit </w:t>
      </w:r>
      <w:r w:rsidR="00FB1ABB" w:rsidRPr="007D0E2A">
        <w:rPr>
          <w:rFonts w:ascii="Arial" w:hAnsi="Arial" w:cs="Arial"/>
          <w:bCs/>
        </w:rPr>
        <w:t>The Billing Authority</w:t>
      </w:r>
      <w:r w:rsidR="00FB1ABB" w:rsidRPr="007D0E2A">
        <w:rPr>
          <w:rFonts w:ascii="Arial" w:hAnsi="Arial" w:cs="Arial"/>
        </w:rPr>
        <w:t xml:space="preserve"> </w:t>
      </w:r>
      <w:r w:rsidR="005F7F13" w:rsidRPr="007D0E2A">
        <w:rPr>
          <w:rFonts w:ascii="Arial" w:hAnsi="Arial" w:cs="Arial"/>
        </w:rPr>
        <w:t>compliance with the requirements of this ISP, subject to prior notification.</w:t>
      </w:r>
      <w:r w:rsidR="00A67695" w:rsidRPr="007D0E2A">
        <w:rPr>
          <w:rFonts w:ascii="Arial" w:hAnsi="Arial" w:cs="Arial"/>
        </w:rPr>
        <w:t xml:space="preserve">  Where audit checks are carried out, VOA will require the cooperation of </w:t>
      </w:r>
      <w:r w:rsidR="007D0E2A" w:rsidRPr="007D0E2A">
        <w:rPr>
          <w:rFonts w:ascii="Arial" w:hAnsi="Arial" w:cs="Arial"/>
        </w:rPr>
        <w:t>the Billing Authority</w:t>
      </w:r>
      <w:r w:rsidR="00A67695" w:rsidRPr="007D0E2A">
        <w:rPr>
          <w:rFonts w:ascii="Arial" w:hAnsi="Arial" w:cs="Arial"/>
        </w:rPr>
        <w:t xml:space="preserve"> to provide the necessary evidence or outputs to demonstrate compliance.  Should VOA become aware of any areas of non-compliance, VOA will:</w:t>
      </w:r>
      <w:r w:rsidR="002E50FD" w:rsidRPr="007D0E2A">
        <w:rPr>
          <w:rFonts w:ascii="Arial" w:hAnsi="Arial" w:cs="Arial"/>
        </w:rPr>
        <w:t xml:space="preserve"> </w:t>
      </w:r>
      <w:r w:rsidR="00F40E83" w:rsidRPr="007D0E2A">
        <w:rPr>
          <w:rFonts w:ascii="Arial" w:hAnsi="Arial" w:cs="Arial"/>
        </w:rPr>
        <w:tab/>
      </w:r>
      <w:r w:rsidR="00487A85" w:rsidRPr="007D0E2A">
        <w:rPr>
          <w:rFonts w:ascii="Arial" w:hAnsi="Arial" w:cs="Arial"/>
        </w:rPr>
        <w:tab/>
      </w:r>
    </w:p>
    <w:p w14:paraId="18ED93CC" w14:textId="2D33C8A4" w:rsidR="002E50FD" w:rsidRPr="007D0E2A" w:rsidRDefault="00196811" w:rsidP="00DE61C6">
      <w:pPr>
        <w:pStyle w:val="ListParagraph"/>
        <w:numPr>
          <w:ilvl w:val="2"/>
          <w:numId w:val="6"/>
        </w:numPr>
        <w:spacing w:after="0" w:line="276" w:lineRule="auto"/>
        <w:rPr>
          <w:rFonts w:ascii="Arial" w:hAnsi="Arial" w:cs="Arial"/>
        </w:rPr>
      </w:pPr>
      <w:r w:rsidRPr="007D0E2A">
        <w:rPr>
          <w:rFonts w:ascii="Arial" w:hAnsi="Arial" w:cs="Arial"/>
        </w:rPr>
        <w:lastRenderedPageBreak/>
        <w:t xml:space="preserve">discuss and agree </w:t>
      </w:r>
      <w:r w:rsidR="00A67695" w:rsidRPr="007D0E2A">
        <w:rPr>
          <w:rFonts w:ascii="Arial" w:hAnsi="Arial" w:cs="Arial"/>
        </w:rPr>
        <w:t>the</w:t>
      </w:r>
      <w:r w:rsidRPr="007D0E2A">
        <w:rPr>
          <w:rFonts w:ascii="Arial" w:hAnsi="Arial" w:cs="Arial"/>
        </w:rPr>
        <w:t xml:space="preserve"> areas of non-compliance with </w:t>
      </w:r>
      <w:r w:rsidR="007D0E2A" w:rsidRPr="007D0E2A">
        <w:rPr>
          <w:rFonts w:ascii="Arial" w:hAnsi="Arial" w:cs="Arial"/>
        </w:rPr>
        <w:t>the Billing Authority</w:t>
      </w:r>
      <w:r w:rsidRPr="007D0E2A">
        <w:rPr>
          <w:rFonts w:ascii="Arial" w:hAnsi="Arial" w:cs="Arial"/>
        </w:rPr>
        <w:t xml:space="preserve">, </w:t>
      </w:r>
    </w:p>
    <w:p w14:paraId="3E48E40F" w14:textId="734AFD09" w:rsidR="00A67695" w:rsidRPr="007D0E2A" w:rsidRDefault="00196811" w:rsidP="00DE61C6">
      <w:pPr>
        <w:pStyle w:val="ListParagraph"/>
        <w:numPr>
          <w:ilvl w:val="2"/>
          <w:numId w:val="6"/>
        </w:numPr>
        <w:spacing w:before="240" w:line="276" w:lineRule="auto"/>
        <w:rPr>
          <w:rFonts w:ascii="Arial" w:hAnsi="Arial" w:cs="Arial"/>
        </w:rPr>
      </w:pPr>
      <w:r w:rsidRPr="007D0E2A">
        <w:rPr>
          <w:rFonts w:ascii="Arial" w:hAnsi="Arial" w:cs="Arial"/>
        </w:rPr>
        <w:t>agree remedial action</w:t>
      </w:r>
      <w:r w:rsidR="00340C22" w:rsidRPr="007D0E2A">
        <w:rPr>
          <w:rFonts w:ascii="Arial" w:hAnsi="Arial" w:cs="Arial"/>
        </w:rPr>
        <w:t xml:space="preserve"> with </w:t>
      </w:r>
      <w:r w:rsidR="007D0E2A" w:rsidRPr="007D0E2A">
        <w:rPr>
          <w:rFonts w:ascii="Arial" w:hAnsi="Arial" w:cs="Arial"/>
        </w:rPr>
        <w:t>the Billing Authority</w:t>
      </w:r>
      <w:r w:rsidRPr="007D0E2A">
        <w:rPr>
          <w:rFonts w:ascii="Arial" w:hAnsi="Arial" w:cs="Arial"/>
        </w:rPr>
        <w:t xml:space="preserve"> to address the non-compliance within an agreed reasonable timeframe</w:t>
      </w:r>
    </w:p>
    <w:p w14:paraId="6D4BBE6A" w14:textId="0179FA51" w:rsidR="002E50FD" w:rsidRPr="007D0E2A" w:rsidRDefault="00A67695" w:rsidP="00DE61C6">
      <w:pPr>
        <w:pStyle w:val="ListParagraph"/>
        <w:numPr>
          <w:ilvl w:val="2"/>
          <w:numId w:val="6"/>
        </w:numPr>
        <w:spacing w:before="240" w:line="276" w:lineRule="auto"/>
        <w:rPr>
          <w:rFonts w:ascii="Arial" w:hAnsi="Arial" w:cs="Arial"/>
        </w:rPr>
      </w:pPr>
      <w:r w:rsidRPr="007D0E2A">
        <w:rPr>
          <w:rFonts w:ascii="Arial" w:hAnsi="Arial" w:cs="Arial"/>
        </w:rPr>
        <w:t>review and reassess compliance once the agreed remedial actions have been completed</w:t>
      </w:r>
      <w:r w:rsidR="00196811" w:rsidRPr="007D0E2A">
        <w:rPr>
          <w:rFonts w:ascii="Arial" w:hAnsi="Arial" w:cs="Arial"/>
        </w:rPr>
        <w:t>.</w:t>
      </w:r>
    </w:p>
    <w:p w14:paraId="3C0A3EA0" w14:textId="77777777" w:rsidR="003B5B5D" w:rsidRPr="007D0E2A" w:rsidRDefault="003B5B5D" w:rsidP="008316D6">
      <w:pPr>
        <w:pStyle w:val="ListParagraph"/>
        <w:spacing w:before="240" w:line="276" w:lineRule="auto"/>
        <w:ind w:left="792"/>
        <w:rPr>
          <w:rFonts w:ascii="Arial" w:hAnsi="Arial" w:cs="Arial"/>
        </w:rPr>
      </w:pPr>
    </w:p>
    <w:p w14:paraId="70115AC9" w14:textId="77777777" w:rsidR="007F2297" w:rsidRPr="007D0E2A" w:rsidRDefault="007F2297" w:rsidP="008316D6">
      <w:pPr>
        <w:pStyle w:val="ListParagraph"/>
        <w:spacing w:before="240" w:line="276" w:lineRule="auto"/>
        <w:ind w:left="792"/>
        <w:rPr>
          <w:rFonts w:ascii="Arial" w:hAnsi="Arial" w:cs="Arial"/>
        </w:rPr>
      </w:pPr>
    </w:p>
    <w:p w14:paraId="64D4C8FA" w14:textId="77777777" w:rsidR="003D7EA9" w:rsidRPr="007D0E2A" w:rsidRDefault="003D7EA9" w:rsidP="008316D6">
      <w:pPr>
        <w:pStyle w:val="ListParagraph"/>
        <w:numPr>
          <w:ilvl w:val="0"/>
          <w:numId w:val="1"/>
        </w:numPr>
        <w:spacing w:before="240" w:line="276" w:lineRule="auto"/>
        <w:rPr>
          <w:rFonts w:ascii="Arial" w:hAnsi="Arial" w:cs="Arial"/>
        </w:rPr>
      </w:pPr>
      <w:r w:rsidRPr="007D0E2A">
        <w:rPr>
          <w:rFonts w:ascii="Arial" w:hAnsi="Arial" w:cs="Arial"/>
          <w:b/>
        </w:rPr>
        <w:t>Responsibilities under</w:t>
      </w:r>
      <w:r w:rsidR="00890876" w:rsidRPr="007D0E2A">
        <w:rPr>
          <w:rFonts w:ascii="Arial" w:hAnsi="Arial" w:cs="Arial"/>
          <w:b/>
        </w:rPr>
        <w:t xml:space="preserve"> the Data Protection Act 1988 (DPA)</w:t>
      </w:r>
      <w:r w:rsidRPr="007D0E2A">
        <w:rPr>
          <w:rFonts w:ascii="Arial" w:hAnsi="Arial" w:cs="Arial"/>
        </w:rPr>
        <w:t xml:space="preserve"> </w:t>
      </w:r>
    </w:p>
    <w:p w14:paraId="522F17AE" w14:textId="77777777" w:rsidR="00A9267A" w:rsidRPr="007D0E2A" w:rsidRDefault="00A9267A" w:rsidP="008316D6">
      <w:pPr>
        <w:pStyle w:val="ListParagraph"/>
        <w:spacing w:before="240" w:line="276" w:lineRule="auto"/>
        <w:ind w:left="360"/>
        <w:rPr>
          <w:rFonts w:ascii="Arial" w:hAnsi="Arial" w:cs="Arial"/>
        </w:rPr>
      </w:pPr>
    </w:p>
    <w:p w14:paraId="73AC4786" w14:textId="351E1A53" w:rsidR="00890876" w:rsidRPr="007D0E2A" w:rsidRDefault="00F764DE" w:rsidP="008316D6">
      <w:pPr>
        <w:pStyle w:val="ListParagraph"/>
        <w:numPr>
          <w:ilvl w:val="1"/>
          <w:numId w:val="1"/>
        </w:numPr>
        <w:spacing w:before="240" w:line="276" w:lineRule="auto"/>
        <w:rPr>
          <w:rFonts w:ascii="Arial" w:hAnsi="Arial" w:cs="Arial"/>
        </w:rPr>
      </w:pPr>
      <w:r w:rsidRPr="007D0E2A">
        <w:rPr>
          <w:rFonts w:ascii="Arial" w:hAnsi="Arial" w:cs="Arial"/>
        </w:rPr>
        <w:t>Information supplied under this IS</w:t>
      </w:r>
      <w:r w:rsidR="000A6EFA" w:rsidRPr="007D0E2A">
        <w:rPr>
          <w:rFonts w:ascii="Arial" w:hAnsi="Arial" w:cs="Arial"/>
        </w:rPr>
        <w:t>P</w:t>
      </w:r>
      <w:r w:rsidR="00890876" w:rsidRPr="007D0E2A">
        <w:rPr>
          <w:rFonts w:ascii="Arial" w:hAnsi="Arial" w:cs="Arial"/>
        </w:rPr>
        <w:t xml:space="preserve"> </w:t>
      </w:r>
      <w:r w:rsidRPr="007D0E2A">
        <w:rPr>
          <w:rFonts w:ascii="Arial" w:hAnsi="Arial" w:cs="Arial"/>
        </w:rPr>
        <w:t xml:space="preserve">and </w:t>
      </w:r>
      <w:r w:rsidR="00A61B3E" w:rsidRPr="007D0E2A">
        <w:rPr>
          <w:rFonts w:ascii="Arial" w:hAnsi="Arial" w:cs="Arial"/>
        </w:rPr>
        <w:t>ISAs</w:t>
      </w:r>
      <w:r w:rsidRPr="007D0E2A">
        <w:rPr>
          <w:rFonts w:ascii="Arial" w:hAnsi="Arial" w:cs="Arial"/>
        </w:rPr>
        <w:t xml:space="preserve"> </w:t>
      </w:r>
      <w:r w:rsidR="00890876" w:rsidRPr="007D0E2A">
        <w:rPr>
          <w:rFonts w:ascii="Arial" w:hAnsi="Arial" w:cs="Arial"/>
        </w:rPr>
        <w:t>may contain personal data</w:t>
      </w:r>
      <w:r w:rsidR="00421D88" w:rsidRPr="007D0E2A">
        <w:rPr>
          <w:rFonts w:ascii="Arial" w:hAnsi="Arial" w:cs="Arial"/>
        </w:rPr>
        <w:t>.  Under the Data Protection Act 19</w:t>
      </w:r>
      <w:r w:rsidR="00461A33" w:rsidRPr="007D0E2A">
        <w:rPr>
          <w:rFonts w:ascii="Arial" w:hAnsi="Arial" w:cs="Arial"/>
        </w:rPr>
        <w:t>8</w:t>
      </w:r>
      <w:r w:rsidR="00421D88" w:rsidRPr="007D0E2A">
        <w:rPr>
          <w:rFonts w:ascii="Arial" w:hAnsi="Arial" w:cs="Arial"/>
        </w:rPr>
        <w:t>8, personal data is information</w:t>
      </w:r>
      <w:r w:rsidR="00890876" w:rsidRPr="007D0E2A">
        <w:rPr>
          <w:rFonts w:ascii="Arial" w:hAnsi="Arial" w:cs="Arial"/>
        </w:rPr>
        <w:t xml:space="preserve"> </w:t>
      </w:r>
      <w:r w:rsidR="00E02724" w:rsidRPr="007D0E2A">
        <w:rPr>
          <w:rFonts w:ascii="Arial" w:hAnsi="Arial" w:cs="Arial"/>
        </w:rPr>
        <w:t xml:space="preserve">which </w:t>
      </w:r>
      <w:r w:rsidR="00890876" w:rsidRPr="007D0E2A">
        <w:rPr>
          <w:rFonts w:ascii="Arial" w:hAnsi="Arial" w:cs="Arial"/>
        </w:rPr>
        <w:t xml:space="preserve">relates to a living person whose identity can be deduced from it by itself or in combination with other information held by </w:t>
      </w:r>
      <w:r w:rsidR="007D0E2A" w:rsidRPr="007D0E2A">
        <w:rPr>
          <w:rFonts w:ascii="Arial" w:hAnsi="Arial" w:cs="Arial"/>
          <w:bCs/>
        </w:rPr>
        <w:t>the Billing Authority</w:t>
      </w:r>
      <w:r w:rsidR="009C4E82" w:rsidRPr="007D0E2A">
        <w:rPr>
          <w:rFonts w:ascii="Arial" w:hAnsi="Arial" w:cs="Arial"/>
        </w:rPr>
        <w:t>.</w:t>
      </w:r>
    </w:p>
    <w:p w14:paraId="3340CD4D" w14:textId="77777777" w:rsidR="00D42D2D" w:rsidRPr="007D0E2A" w:rsidRDefault="00D42D2D" w:rsidP="00D42D2D">
      <w:pPr>
        <w:pStyle w:val="ListParagraph"/>
        <w:spacing w:before="240" w:line="276" w:lineRule="auto"/>
        <w:ind w:left="792"/>
        <w:rPr>
          <w:rFonts w:ascii="Arial" w:hAnsi="Arial" w:cs="Arial"/>
        </w:rPr>
      </w:pPr>
    </w:p>
    <w:p w14:paraId="5810D2EC" w14:textId="0B13BB0F" w:rsidR="000A3C9E" w:rsidRPr="007D0E2A" w:rsidRDefault="007D0E2A" w:rsidP="008316D6">
      <w:pPr>
        <w:pStyle w:val="ListParagraph"/>
        <w:numPr>
          <w:ilvl w:val="1"/>
          <w:numId w:val="1"/>
        </w:numPr>
        <w:spacing w:before="240" w:line="276" w:lineRule="auto"/>
        <w:rPr>
          <w:rFonts w:ascii="Arial" w:hAnsi="Arial" w:cs="Arial"/>
        </w:rPr>
      </w:pPr>
      <w:r w:rsidRPr="007D0E2A">
        <w:rPr>
          <w:rFonts w:ascii="Arial" w:hAnsi="Arial" w:cs="Arial"/>
          <w:bCs/>
        </w:rPr>
        <w:t>The Billing Authority</w:t>
      </w:r>
      <w:r w:rsidR="00481F92" w:rsidRPr="007D0E2A">
        <w:rPr>
          <w:rFonts w:ascii="Arial" w:hAnsi="Arial" w:cs="Arial"/>
        </w:rPr>
        <w:t xml:space="preserve"> </w:t>
      </w:r>
      <w:r w:rsidR="00890876" w:rsidRPr="007D0E2A">
        <w:rPr>
          <w:rFonts w:ascii="Arial" w:hAnsi="Arial" w:cs="Arial"/>
        </w:rPr>
        <w:t>must comply with the</w:t>
      </w:r>
      <w:r w:rsidR="00E5373E" w:rsidRPr="007D0E2A">
        <w:rPr>
          <w:rFonts w:ascii="Arial" w:hAnsi="Arial" w:cs="Arial"/>
        </w:rPr>
        <w:t xml:space="preserve"> Data Protect</w:t>
      </w:r>
      <w:r w:rsidR="000A6EFA" w:rsidRPr="007D0E2A">
        <w:rPr>
          <w:rFonts w:ascii="Arial" w:hAnsi="Arial" w:cs="Arial"/>
        </w:rPr>
        <w:t>ion</w:t>
      </w:r>
      <w:r w:rsidR="00E5373E" w:rsidRPr="007D0E2A">
        <w:rPr>
          <w:rFonts w:ascii="Arial" w:hAnsi="Arial" w:cs="Arial"/>
        </w:rPr>
        <w:t xml:space="preserve"> Act</w:t>
      </w:r>
      <w:r w:rsidR="00890876" w:rsidRPr="007D0E2A">
        <w:rPr>
          <w:rFonts w:ascii="Arial" w:hAnsi="Arial" w:cs="Arial"/>
        </w:rPr>
        <w:t xml:space="preserve"> </w:t>
      </w:r>
      <w:r w:rsidR="00461A33" w:rsidRPr="007D0E2A">
        <w:rPr>
          <w:rFonts w:ascii="Arial" w:hAnsi="Arial" w:cs="Arial"/>
        </w:rPr>
        <w:t xml:space="preserve">1988 </w:t>
      </w:r>
      <w:r w:rsidR="00890876" w:rsidRPr="007D0E2A">
        <w:rPr>
          <w:rFonts w:ascii="Arial" w:hAnsi="Arial" w:cs="Arial"/>
        </w:rPr>
        <w:t xml:space="preserve">when handling personal data. </w:t>
      </w:r>
    </w:p>
    <w:p w14:paraId="18787A4F" w14:textId="77777777" w:rsidR="00D42D2D" w:rsidRPr="007D0E2A" w:rsidRDefault="00D42D2D" w:rsidP="00D42D2D">
      <w:pPr>
        <w:pStyle w:val="ListParagraph"/>
        <w:spacing w:before="240" w:line="276" w:lineRule="auto"/>
        <w:ind w:left="792"/>
        <w:rPr>
          <w:rFonts w:ascii="Arial" w:hAnsi="Arial" w:cs="Arial"/>
        </w:rPr>
      </w:pPr>
    </w:p>
    <w:p w14:paraId="60F8E29E" w14:textId="13631756" w:rsidR="00E5373E" w:rsidRPr="007D0E2A" w:rsidRDefault="007D0E2A" w:rsidP="008316D6">
      <w:pPr>
        <w:pStyle w:val="ListParagraph"/>
        <w:numPr>
          <w:ilvl w:val="1"/>
          <w:numId w:val="1"/>
        </w:numPr>
        <w:spacing w:before="240" w:line="276" w:lineRule="auto"/>
        <w:rPr>
          <w:rFonts w:ascii="Arial" w:hAnsi="Arial" w:cs="Arial"/>
        </w:rPr>
      </w:pPr>
      <w:r w:rsidRPr="007D0E2A">
        <w:rPr>
          <w:rFonts w:ascii="Arial" w:hAnsi="Arial" w:cs="Arial"/>
          <w:bCs/>
        </w:rPr>
        <w:t>The Billing Authority</w:t>
      </w:r>
      <w:r w:rsidRPr="007D0E2A">
        <w:rPr>
          <w:rFonts w:ascii="Arial" w:hAnsi="Arial" w:cs="Arial"/>
        </w:rPr>
        <w:t xml:space="preserve"> </w:t>
      </w:r>
      <w:r w:rsidR="00484C5D" w:rsidRPr="007D0E2A">
        <w:rPr>
          <w:rFonts w:ascii="Arial" w:hAnsi="Arial" w:cs="Arial"/>
        </w:rPr>
        <w:t xml:space="preserve">must obtain prior approval from VOA should information </w:t>
      </w:r>
      <w:r w:rsidR="000A3C9E" w:rsidRPr="007D0E2A">
        <w:rPr>
          <w:rFonts w:ascii="Arial" w:hAnsi="Arial" w:cs="Arial"/>
        </w:rPr>
        <w:t xml:space="preserve">be transferred to a country or territory outside the </w:t>
      </w:r>
      <w:r w:rsidR="00354361" w:rsidRPr="007D0E2A">
        <w:rPr>
          <w:rFonts w:ascii="Arial" w:hAnsi="Arial" w:cs="Arial"/>
        </w:rPr>
        <w:t>UK</w:t>
      </w:r>
      <w:r w:rsidR="000A3C9E" w:rsidRPr="007D0E2A">
        <w:rPr>
          <w:rFonts w:ascii="Arial" w:hAnsi="Arial" w:cs="Arial"/>
        </w:rPr>
        <w:t xml:space="preserve"> </w:t>
      </w:r>
      <w:r w:rsidR="00E5373E" w:rsidRPr="007D0E2A">
        <w:rPr>
          <w:rFonts w:ascii="Arial" w:hAnsi="Arial" w:cs="Arial"/>
        </w:rPr>
        <w:t xml:space="preserve">(contact: VOA IT Security see Annex B).  </w:t>
      </w:r>
    </w:p>
    <w:p w14:paraId="471AB0E6" w14:textId="77777777" w:rsidR="00D42D2D" w:rsidRPr="007D0E2A" w:rsidRDefault="00D42D2D" w:rsidP="00D42D2D">
      <w:pPr>
        <w:pStyle w:val="ListParagraph"/>
        <w:spacing w:before="240" w:line="276" w:lineRule="auto"/>
        <w:ind w:left="792"/>
        <w:rPr>
          <w:rFonts w:ascii="Arial" w:hAnsi="Arial" w:cs="Arial"/>
        </w:rPr>
      </w:pPr>
    </w:p>
    <w:p w14:paraId="2DB7A78A" w14:textId="454B803F" w:rsidR="00340C22" w:rsidRPr="007D0E2A" w:rsidRDefault="00FD0329" w:rsidP="00FD0329">
      <w:pPr>
        <w:pStyle w:val="ListParagraph"/>
        <w:numPr>
          <w:ilvl w:val="1"/>
          <w:numId w:val="1"/>
        </w:numPr>
        <w:spacing w:before="240" w:line="276" w:lineRule="auto"/>
        <w:ind w:left="360"/>
        <w:rPr>
          <w:rFonts w:ascii="Arial" w:hAnsi="Arial" w:cs="Arial"/>
        </w:rPr>
      </w:pPr>
      <w:r w:rsidRPr="007D0E2A">
        <w:rPr>
          <w:rFonts w:ascii="Arial" w:hAnsi="Arial" w:cs="Arial"/>
        </w:rPr>
        <w:t>F</w:t>
      </w:r>
      <w:r w:rsidR="00890876" w:rsidRPr="007D0E2A">
        <w:rPr>
          <w:rFonts w:ascii="Arial" w:hAnsi="Arial" w:cs="Arial"/>
        </w:rPr>
        <w:t>or the purposes of the Data Protection Act 19</w:t>
      </w:r>
      <w:r w:rsidR="00461A33" w:rsidRPr="007D0E2A">
        <w:rPr>
          <w:rFonts w:ascii="Arial" w:hAnsi="Arial" w:cs="Arial"/>
        </w:rPr>
        <w:t>8</w:t>
      </w:r>
      <w:r w:rsidR="00890876" w:rsidRPr="007D0E2A">
        <w:rPr>
          <w:rFonts w:ascii="Arial" w:hAnsi="Arial" w:cs="Arial"/>
        </w:rPr>
        <w:t>8</w:t>
      </w:r>
      <w:r w:rsidRPr="007D0E2A">
        <w:rPr>
          <w:rFonts w:ascii="Arial" w:hAnsi="Arial" w:cs="Arial"/>
        </w:rPr>
        <w:t xml:space="preserve">, </w:t>
      </w:r>
      <w:r w:rsidR="00340C22" w:rsidRPr="007D0E2A">
        <w:rPr>
          <w:rFonts w:ascii="Arial" w:hAnsi="Arial" w:cs="Arial"/>
        </w:rPr>
        <w:t>VOA</w:t>
      </w:r>
      <w:r w:rsidR="00890876" w:rsidRPr="007D0E2A">
        <w:rPr>
          <w:rFonts w:ascii="Arial" w:hAnsi="Arial" w:cs="Arial"/>
        </w:rPr>
        <w:t xml:space="preserve"> </w:t>
      </w:r>
      <w:r w:rsidR="00340C22" w:rsidRPr="007D0E2A">
        <w:rPr>
          <w:rFonts w:ascii="Arial" w:hAnsi="Arial" w:cs="Arial"/>
        </w:rPr>
        <w:t xml:space="preserve">is the Data Controller of the Personal Data that it makes available to </w:t>
      </w:r>
      <w:r w:rsidR="007D0E2A" w:rsidRPr="007D0E2A">
        <w:rPr>
          <w:rFonts w:ascii="Arial" w:hAnsi="Arial" w:cs="Arial"/>
        </w:rPr>
        <w:t>the Billing Authority</w:t>
      </w:r>
      <w:r w:rsidR="00340C22" w:rsidRPr="007D0E2A">
        <w:rPr>
          <w:rFonts w:ascii="Arial" w:hAnsi="Arial" w:cs="Arial"/>
        </w:rPr>
        <w:t xml:space="preserve"> until such time as the Personal Data is accepted into </w:t>
      </w:r>
      <w:r w:rsidR="007D0E2A" w:rsidRPr="007D0E2A">
        <w:rPr>
          <w:rFonts w:ascii="Arial" w:hAnsi="Arial" w:cs="Arial"/>
        </w:rPr>
        <w:t>the Billing Authority</w:t>
      </w:r>
      <w:r w:rsidR="00340C22" w:rsidRPr="007D0E2A">
        <w:rPr>
          <w:rFonts w:ascii="Arial" w:hAnsi="Arial" w:cs="Arial"/>
        </w:rPr>
        <w:t xml:space="preserve"> IT systems, from this point </w:t>
      </w:r>
      <w:r w:rsidR="007D0E2A" w:rsidRPr="007D0E2A">
        <w:rPr>
          <w:rFonts w:ascii="Arial" w:hAnsi="Arial" w:cs="Arial"/>
        </w:rPr>
        <w:t>the Billing Authority</w:t>
      </w:r>
      <w:r w:rsidR="00340C22" w:rsidRPr="007D0E2A">
        <w:rPr>
          <w:rFonts w:ascii="Arial" w:hAnsi="Arial" w:cs="Arial"/>
        </w:rPr>
        <w:t xml:space="preserve"> becomes the Data </w:t>
      </w:r>
      <w:r w:rsidR="00FB1ABB" w:rsidRPr="007D0E2A">
        <w:rPr>
          <w:rFonts w:ascii="Arial" w:hAnsi="Arial" w:cs="Arial"/>
        </w:rPr>
        <w:t>Controller.</w:t>
      </w:r>
    </w:p>
    <w:p w14:paraId="57C6A1EA" w14:textId="77777777" w:rsidR="00644C2C" w:rsidRPr="007D0E2A" w:rsidRDefault="00644C2C" w:rsidP="008316D6">
      <w:pPr>
        <w:pStyle w:val="ListParagraph"/>
        <w:spacing w:before="240" w:line="276" w:lineRule="auto"/>
        <w:ind w:left="792"/>
        <w:rPr>
          <w:rFonts w:ascii="Arial" w:hAnsi="Arial" w:cs="Arial"/>
        </w:rPr>
      </w:pPr>
    </w:p>
    <w:p w14:paraId="7A3E842B" w14:textId="77777777" w:rsidR="003B5B5D" w:rsidRPr="007D0E2A" w:rsidRDefault="00890876" w:rsidP="00644C2C">
      <w:pPr>
        <w:pStyle w:val="ListParagraph"/>
        <w:numPr>
          <w:ilvl w:val="1"/>
          <w:numId w:val="1"/>
        </w:numPr>
        <w:spacing w:before="240" w:line="276" w:lineRule="auto"/>
        <w:rPr>
          <w:rFonts w:ascii="Arial" w:hAnsi="Arial" w:cs="Arial"/>
        </w:rPr>
      </w:pPr>
      <w:r w:rsidRPr="007D0E2A">
        <w:rPr>
          <w:rFonts w:ascii="Arial" w:hAnsi="Arial" w:cs="Arial"/>
        </w:rPr>
        <w:t>A breach of the Data Protection Act 19</w:t>
      </w:r>
      <w:r w:rsidR="00E833CE" w:rsidRPr="007D0E2A">
        <w:rPr>
          <w:rFonts w:ascii="Arial" w:hAnsi="Arial" w:cs="Arial"/>
        </w:rPr>
        <w:t>8</w:t>
      </w:r>
      <w:r w:rsidRPr="007D0E2A">
        <w:rPr>
          <w:rFonts w:ascii="Arial" w:hAnsi="Arial" w:cs="Arial"/>
        </w:rPr>
        <w:t>8 may result in a monetary fine of up to £500,000, prosecution or other measures imposed by the Information Commissioner’s Office</w:t>
      </w:r>
      <w:r w:rsidR="00BF5DDE" w:rsidRPr="007D0E2A">
        <w:rPr>
          <w:rFonts w:ascii="Arial" w:hAnsi="Arial" w:cs="Arial"/>
        </w:rPr>
        <w:t>.</w:t>
      </w:r>
    </w:p>
    <w:p w14:paraId="4B61509E" w14:textId="77777777" w:rsidR="00D42D2D" w:rsidRPr="007D0E2A" w:rsidRDefault="00D42D2D" w:rsidP="008316D6">
      <w:pPr>
        <w:pStyle w:val="ListParagraph"/>
        <w:spacing w:before="240" w:line="276" w:lineRule="auto"/>
        <w:ind w:left="792"/>
        <w:rPr>
          <w:rFonts w:ascii="Arial" w:hAnsi="Arial" w:cs="Arial"/>
        </w:rPr>
      </w:pPr>
    </w:p>
    <w:p w14:paraId="45535345" w14:textId="77777777" w:rsidR="00340C22" w:rsidRPr="007D0E2A" w:rsidRDefault="00340C22" w:rsidP="008316D6">
      <w:pPr>
        <w:pStyle w:val="ListParagraph"/>
        <w:spacing w:before="240" w:line="276" w:lineRule="auto"/>
        <w:ind w:left="792"/>
        <w:rPr>
          <w:rFonts w:ascii="Arial" w:hAnsi="Arial" w:cs="Arial"/>
        </w:rPr>
      </w:pPr>
    </w:p>
    <w:p w14:paraId="1D641D2D" w14:textId="2EEC4A9F" w:rsidR="00A7770C" w:rsidRPr="007D0E2A" w:rsidRDefault="006D5FD2" w:rsidP="00A7770C">
      <w:pPr>
        <w:pStyle w:val="ListParagraph"/>
        <w:numPr>
          <w:ilvl w:val="0"/>
          <w:numId w:val="1"/>
        </w:numPr>
        <w:spacing w:before="240" w:line="276" w:lineRule="auto"/>
        <w:rPr>
          <w:rFonts w:ascii="Arial" w:hAnsi="Arial" w:cs="Arial"/>
          <w:b/>
        </w:rPr>
      </w:pPr>
      <w:r w:rsidRPr="007D0E2A">
        <w:rPr>
          <w:rFonts w:ascii="Arial" w:hAnsi="Arial" w:cs="Arial"/>
          <w:b/>
        </w:rPr>
        <w:t xml:space="preserve">Responsibilities under the </w:t>
      </w:r>
      <w:r w:rsidR="003D7EA9" w:rsidRPr="007D0E2A">
        <w:rPr>
          <w:rFonts w:ascii="Arial" w:hAnsi="Arial" w:cs="Arial"/>
          <w:b/>
        </w:rPr>
        <w:t>Freedom o</w:t>
      </w:r>
      <w:r w:rsidR="00DE08A9" w:rsidRPr="007D0E2A">
        <w:rPr>
          <w:rFonts w:ascii="Arial" w:hAnsi="Arial" w:cs="Arial"/>
          <w:b/>
        </w:rPr>
        <w:t>f</w:t>
      </w:r>
      <w:r w:rsidR="003D7EA9" w:rsidRPr="007D0E2A">
        <w:rPr>
          <w:rFonts w:ascii="Arial" w:hAnsi="Arial" w:cs="Arial"/>
          <w:b/>
        </w:rPr>
        <w:t xml:space="preserve"> Information</w:t>
      </w:r>
      <w:r w:rsidR="00DE08A9" w:rsidRPr="007D0E2A">
        <w:rPr>
          <w:rFonts w:ascii="Arial" w:hAnsi="Arial" w:cs="Arial"/>
          <w:b/>
        </w:rPr>
        <w:t xml:space="preserve"> Act 2000 (FoIA)</w:t>
      </w:r>
    </w:p>
    <w:p w14:paraId="1D10377D" w14:textId="77777777" w:rsidR="00A9267A" w:rsidRPr="007D0E2A" w:rsidRDefault="00A9267A" w:rsidP="008316D6">
      <w:pPr>
        <w:pStyle w:val="ListParagraph"/>
        <w:spacing w:before="240" w:line="276" w:lineRule="auto"/>
        <w:ind w:left="360"/>
        <w:rPr>
          <w:rFonts w:ascii="Arial" w:hAnsi="Arial" w:cs="Arial"/>
          <w:b/>
        </w:rPr>
      </w:pPr>
    </w:p>
    <w:p w14:paraId="122D677E" w14:textId="178CF33E" w:rsidR="001769E2" w:rsidRPr="007D0E2A" w:rsidRDefault="001769E2" w:rsidP="008316D6">
      <w:pPr>
        <w:pStyle w:val="ListParagraph"/>
        <w:numPr>
          <w:ilvl w:val="1"/>
          <w:numId w:val="1"/>
        </w:numPr>
        <w:spacing w:before="240" w:line="276" w:lineRule="auto"/>
        <w:rPr>
          <w:rFonts w:ascii="Arial" w:hAnsi="Arial" w:cs="Arial"/>
        </w:rPr>
      </w:pPr>
      <w:r w:rsidRPr="007D0E2A">
        <w:rPr>
          <w:rFonts w:ascii="Arial" w:hAnsi="Arial" w:cs="Arial"/>
        </w:rPr>
        <w:lastRenderedPageBreak/>
        <w:t xml:space="preserve">Information </w:t>
      </w:r>
      <w:r w:rsidR="00B95326" w:rsidRPr="007D0E2A">
        <w:rPr>
          <w:rFonts w:ascii="Arial" w:hAnsi="Arial" w:cs="Arial"/>
        </w:rPr>
        <w:t xml:space="preserve">held by the VOA for its functions that </w:t>
      </w:r>
      <w:r w:rsidR="003E6206" w:rsidRPr="007D0E2A">
        <w:rPr>
          <w:rFonts w:ascii="Arial" w:hAnsi="Arial" w:cs="Arial"/>
        </w:rPr>
        <w:t>either directly identif</w:t>
      </w:r>
      <w:r w:rsidRPr="007D0E2A">
        <w:rPr>
          <w:rFonts w:ascii="Arial" w:hAnsi="Arial" w:cs="Arial"/>
        </w:rPr>
        <w:t>i</w:t>
      </w:r>
      <w:r w:rsidR="00B95326" w:rsidRPr="007D0E2A">
        <w:rPr>
          <w:rFonts w:ascii="Arial" w:hAnsi="Arial" w:cs="Arial"/>
        </w:rPr>
        <w:t>es</w:t>
      </w:r>
      <w:r w:rsidRPr="007D0E2A">
        <w:rPr>
          <w:rFonts w:ascii="Arial" w:hAnsi="Arial" w:cs="Arial"/>
        </w:rPr>
        <w:t xml:space="preserve"> a person or enabl</w:t>
      </w:r>
      <w:r w:rsidR="00B95326" w:rsidRPr="007D0E2A">
        <w:rPr>
          <w:rFonts w:ascii="Arial" w:hAnsi="Arial" w:cs="Arial"/>
        </w:rPr>
        <w:t>es</w:t>
      </w:r>
      <w:r w:rsidR="00421D88" w:rsidRPr="007D0E2A">
        <w:rPr>
          <w:rFonts w:ascii="Arial" w:hAnsi="Arial" w:cs="Arial"/>
        </w:rPr>
        <w:t xml:space="preserve"> their identity to be deduced from it,</w:t>
      </w:r>
      <w:r w:rsidRPr="007D0E2A">
        <w:rPr>
          <w:rFonts w:ascii="Arial" w:hAnsi="Arial" w:cs="Arial"/>
        </w:rPr>
        <w:t xml:space="preserve"> is exempt from disclosure under s44 of the F</w:t>
      </w:r>
      <w:r w:rsidR="00B95326" w:rsidRPr="007D0E2A">
        <w:rPr>
          <w:rFonts w:ascii="Arial" w:hAnsi="Arial" w:cs="Arial"/>
        </w:rPr>
        <w:t>o</w:t>
      </w:r>
      <w:r w:rsidRPr="007D0E2A">
        <w:rPr>
          <w:rFonts w:ascii="Arial" w:hAnsi="Arial" w:cs="Arial"/>
        </w:rPr>
        <w:t xml:space="preserve">IA as </w:t>
      </w:r>
      <w:r w:rsidR="00577AFA" w:rsidRPr="007D0E2A">
        <w:rPr>
          <w:rFonts w:ascii="Arial" w:hAnsi="Arial" w:cs="Arial"/>
        </w:rPr>
        <w:t xml:space="preserve">it is prohibited by s23 of CRCA.  </w:t>
      </w:r>
      <w:r w:rsidR="00A7770C" w:rsidRPr="007D0E2A">
        <w:rPr>
          <w:rFonts w:ascii="Arial" w:hAnsi="Arial" w:cs="Arial"/>
          <w:color w:val="000000" w:themeColor="text1"/>
        </w:rPr>
        <w:t xml:space="preserve">Additionally </w:t>
      </w:r>
      <w:r w:rsidR="00A7770C" w:rsidRPr="007D0E2A">
        <w:rPr>
          <w:rFonts w:ascii="Arial" w:hAnsi="Arial" w:cs="Arial"/>
          <w:color w:val="000000" w:themeColor="text1"/>
          <w:lang w:val="en" w:eastAsia="en-GB"/>
        </w:rPr>
        <w:t xml:space="preserve">s63C LGFA 1988 makes information relating to a person disclosed under s63A or s63B LGFA 1988 exempt information by virtue of </w:t>
      </w:r>
      <w:r w:rsidR="00A7770C" w:rsidRPr="007D0E2A">
        <w:rPr>
          <w:rFonts w:ascii="Arial" w:hAnsi="Arial" w:cs="Arial"/>
          <w:color w:val="000000" w:themeColor="text1"/>
        </w:rPr>
        <w:t>s44 of the FoIA</w:t>
      </w:r>
      <w:r w:rsidR="00A7770C" w:rsidRPr="007D0E2A">
        <w:rPr>
          <w:rFonts w:ascii="Arial" w:hAnsi="Arial" w:cs="Arial"/>
          <w:color w:val="000000" w:themeColor="text1"/>
          <w:lang w:val="en" w:eastAsia="en-GB"/>
        </w:rPr>
        <w:t xml:space="preserve">. </w:t>
      </w:r>
      <w:r w:rsidR="00577AFA" w:rsidRPr="007D0E2A">
        <w:rPr>
          <w:rFonts w:ascii="Arial" w:hAnsi="Arial" w:cs="Arial"/>
        </w:rPr>
        <w:t xml:space="preserve">As a result, such information should be protected from such disclosure when in </w:t>
      </w:r>
      <w:r w:rsidR="007D0E2A" w:rsidRPr="007D0E2A">
        <w:rPr>
          <w:rFonts w:ascii="Arial" w:hAnsi="Arial" w:cs="Arial"/>
          <w:bCs/>
        </w:rPr>
        <w:t>the Billing Authority</w:t>
      </w:r>
      <w:r w:rsidR="00481F92" w:rsidRPr="007D0E2A">
        <w:rPr>
          <w:rFonts w:ascii="Arial" w:hAnsi="Arial" w:cs="Arial"/>
        </w:rPr>
        <w:t xml:space="preserve"> </w:t>
      </w:r>
      <w:r w:rsidR="00577AFA" w:rsidRPr="007D0E2A">
        <w:rPr>
          <w:rFonts w:ascii="Arial" w:hAnsi="Arial" w:cs="Arial"/>
        </w:rPr>
        <w:t>possession</w:t>
      </w:r>
      <w:r w:rsidR="00421D88" w:rsidRPr="007D0E2A">
        <w:rPr>
          <w:rFonts w:ascii="Arial" w:hAnsi="Arial" w:cs="Arial"/>
        </w:rPr>
        <w:t>.</w:t>
      </w:r>
    </w:p>
    <w:p w14:paraId="72E7FF46" w14:textId="77777777" w:rsidR="00D42D2D" w:rsidRPr="007D0E2A" w:rsidRDefault="00D42D2D" w:rsidP="00D42D2D">
      <w:pPr>
        <w:pStyle w:val="ListParagraph"/>
        <w:spacing w:before="240" w:line="276" w:lineRule="auto"/>
        <w:ind w:left="792"/>
        <w:rPr>
          <w:rFonts w:ascii="Arial" w:hAnsi="Arial" w:cs="Arial"/>
        </w:rPr>
      </w:pPr>
    </w:p>
    <w:p w14:paraId="49390A9A" w14:textId="5E168EF1" w:rsidR="00083E06" w:rsidRPr="007D0E2A" w:rsidRDefault="00083E06" w:rsidP="008316D6">
      <w:pPr>
        <w:pStyle w:val="ListParagraph"/>
        <w:numPr>
          <w:ilvl w:val="1"/>
          <w:numId w:val="1"/>
        </w:numPr>
        <w:spacing w:before="240" w:line="276" w:lineRule="auto"/>
        <w:rPr>
          <w:rFonts w:ascii="Arial" w:hAnsi="Arial" w:cs="Arial"/>
        </w:rPr>
      </w:pPr>
      <w:r w:rsidRPr="007D0E2A">
        <w:rPr>
          <w:rFonts w:ascii="Arial" w:hAnsi="Arial" w:cs="Arial"/>
        </w:rPr>
        <w:t xml:space="preserve">Should </w:t>
      </w:r>
      <w:r w:rsidR="007D0E2A" w:rsidRPr="007D0E2A">
        <w:rPr>
          <w:rFonts w:ascii="Arial" w:hAnsi="Arial" w:cs="Arial"/>
          <w:bCs/>
        </w:rPr>
        <w:t>the Billing Authority</w:t>
      </w:r>
      <w:r w:rsidRPr="007D0E2A">
        <w:rPr>
          <w:rFonts w:ascii="Arial" w:hAnsi="Arial" w:cs="Arial"/>
        </w:rPr>
        <w:t xml:space="preserve"> receive a request under FoIA, </w:t>
      </w:r>
      <w:r w:rsidR="00B95326" w:rsidRPr="007D0E2A">
        <w:rPr>
          <w:rFonts w:ascii="Arial" w:hAnsi="Arial" w:cs="Arial"/>
        </w:rPr>
        <w:t xml:space="preserve">for any of the </w:t>
      </w:r>
      <w:r w:rsidR="007903B5" w:rsidRPr="007D0E2A">
        <w:rPr>
          <w:rFonts w:ascii="Arial" w:hAnsi="Arial" w:cs="Arial"/>
        </w:rPr>
        <w:t xml:space="preserve">information </w:t>
      </w:r>
      <w:r w:rsidR="00B95326" w:rsidRPr="007D0E2A">
        <w:rPr>
          <w:rFonts w:ascii="Arial" w:hAnsi="Arial" w:cs="Arial"/>
        </w:rPr>
        <w:t xml:space="preserve">provided </w:t>
      </w:r>
      <w:r w:rsidR="007D0E2A" w:rsidRPr="007D0E2A">
        <w:rPr>
          <w:rFonts w:ascii="Arial" w:hAnsi="Arial" w:cs="Arial"/>
          <w:bCs/>
        </w:rPr>
        <w:t>the Billing Authority</w:t>
      </w:r>
      <w:r w:rsidRPr="007D0E2A">
        <w:rPr>
          <w:rFonts w:ascii="Arial" w:hAnsi="Arial" w:cs="Arial"/>
        </w:rPr>
        <w:t xml:space="preserve"> must make VOA aware where information relates to a living person or whose identity can be deduced from it</w:t>
      </w:r>
      <w:r w:rsidR="00FB7730" w:rsidRPr="007D0E2A">
        <w:rPr>
          <w:rFonts w:ascii="Arial" w:hAnsi="Arial" w:cs="Arial"/>
        </w:rPr>
        <w:t>.</w:t>
      </w:r>
    </w:p>
    <w:p w14:paraId="2C589E9F" w14:textId="77777777" w:rsidR="00D42D2D" w:rsidRPr="007D0E2A" w:rsidRDefault="00D42D2D" w:rsidP="00D42D2D">
      <w:pPr>
        <w:pStyle w:val="ListParagraph"/>
        <w:spacing w:before="240" w:line="276" w:lineRule="auto"/>
        <w:ind w:left="792"/>
        <w:rPr>
          <w:rFonts w:ascii="Arial" w:hAnsi="Arial" w:cs="Arial"/>
        </w:rPr>
      </w:pPr>
    </w:p>
    <w:p w14:paraId="5ECA0A15" w14:textId="38D32A3C" w:rsidR="007E34B5" w:rsidRPr="007D0E2A" w:rsidRDefault="00921BB7" w:rsidP="007E34B5">
      <w:pPr>
        <w:pStyle w:val="ListParagraph"/>
        <w:numPr>
          <w:ilvl w:val="1"/>
          <w:numId w:val="1"/>
        </w:numPr>
        <w:spacing w:before="240" w:line="276" w:lineRule="auto"/>
        <w:rPr>
          <w:rFonts w:ascii="Arial" w:hAnsi="Arial" w:cs="Arial"/>
        </w:rPr>
      </w:pPr>
      <w:r w:rsidRPr="007D0E2A">
        <w:rPr>
          <w:rFonts w:ascii="Arial" w:hAnsi="Arial" w:cs="Arial"/>
        </w:rPr>
        <w:t xml:space="preserve">VOA and </w:t>
      </w:r>
      <w:r w:rsidR="007D0E2A" w:rsidRPr="007D0E2A">
        <w:rPr>
          <w:rFonts w:ascii="Arial" w:hAnsi="Arial" w:cs="Arial"/>
          <w:bCs/>
        </w:rPr>
        <w:t>the Billing Authority</w:t>
      </w:r>
      <w:r w:rsidR="00481F92" w:rsidRPr="007D0E2A">
        <w:rPr>
          <w:rFonts w:ascii="Arial" w:hAnsi="Arial" w:cs="Arial"/>
        </w:rPr>
        <w:t xml:space="preserve"> </w:t>
      </w:r>
      <w:r w:rsidR="00083E06" w:rsidRPr="007D0E2A">
        <w:rPr>
          <w:rFonts w:ascii="Arial" w:hAnsi="Arial" w:cs="Arial"/>
        </w:rPr>
        <w:t xml:space="preserve">will </w:t>
      </w:r>
      <w:r w:rsidR="0069663A" w:rsidRPr="007D0E2A">
        <w:rPr>
          <w:rFonts w:ascii="Arial" w:hAnsi="Arial" w:cs="Arial"/>
        </w:rPr>
        <w:t xml:space="preserve">cooperate </w:t>
      </w:r>
      <w:r w:rsidR="007354B8" w:rsidRPr="007D0E2A">
        <w:rPr>
          <w:rFonts w:ascii="Arial" w:hAnsi="Arial" w:cs="Arial"/>
        </w:rPr>
        <w:t xml:space="preserve">with </w:t>
      </w:r>
      <w:r w:rsidRPr="007D0E2A">
        <w:rPr>
          <w:rFonts w:ascii="Arial" w:hAnsi="Arial" w:cs="Arial"/>
        </w:rPr>
        <w:t>each other</w:t>
      </w:r>
      <w:r w:rsidR="00083E06" w:rsidRPr="007D0E2A">
        <w:rPr>
          <w:rFonts w:ascii="Arial" w:hAnsi="Arial" w:cs="Arial"/>
        </w:rPr>
        <w:t xml:space="preserve"> </w:t>
      </w:r>
      <w:r w:rsidR="0069663A" w:rsidRPr="007D0E2A">
        <w:rPr>
          <w:rFonts w:ascii="Arial" w:hAnsi="Arial" w:cs="Arial"/>
        </w:rPr>
        <w:t>in order to ensure any requirements under FoIA are met.</w:t>
      </w:r>
      <w:r w:rsidR="00DE08A9" w:rsidRPr="007D0E2A">
        <w:rPr>
          <w:rFonts w:ascii="Arial" w:hAnsi="Arial" w:cs="Arial"/>
        </w:rPr>
        <w:t xml:space="preserve"> </w:t>
      </w:r>
    </w:p>
    <w:p w14:paraId="5F752569" w14:textId="77777777" w:rsidR="00340C22" w:rsidRPr="007D0E2A" w:rsidRDefault="00340C22" w:rsidP="00DE61C6">
      <w:pPr>
        <w:pStyle w:val="ListParagraph"/>
        <w:rPr>
          <w:rFonts w:ascii="Arial" w:hAnsi="Arial" w:cs="Arial"/>
        </w:rPr>
      </w:pPr>
    </w:p>
    <w:p w14:paraId="27861F8D" w14:textId="3D121331" w:rsidR="00340C22" w:rsidRPr="007D0E2A" w:rsidRDefault="00340C22" w:rsidP="007E34B5">
      <w:pPr>
        <w:pStyle w:val="ListParagraph"/>
        <w:numPr>
          <w:ilvl w:val="1"/>
          <w:numId w:val="1"/>
        </w:numPr>
        <w:spacing w:before="240" w:line="276" w:lineRule="auto"/>
        <w:rPr>
          <w:rFonts w:ascii="Arial" w:hAnsi="Arial" w:cs="Arial"/>
        </w:rPr>
      </w:pPr>
      <w:r w:rsidRPr="007D0E2A">
        <w:rPr>
          <w:rFonts w:ascii="Arial" w:hAnsi="Arial" w:cs="Arial"/>
        </w:rPr>
        <w:t>Requests under FoIA must be replied to within 20 working days.</w:t>
      </w:r>
    </w:p>
    <w:p w14:paraId="5FEE1AAC" w14:textId="1CCBD9DE" w:rsidR="00DE08A9" w:rsidRPr="007D0E2A" w:rsidRDefault="00DE08A9" w:rsidP="00DE61C6">
      <w:pPr>
        <w:spacing w:before="240" w:line="276" w:lineRule="auto"/>
        <w:rPr>
          <w:rFonts w:ascii="Arial" w:hAnsi="Arial" w:cs="Arial"/>
        </w:rPr>
      </w:pPr>
    </w:p>
    <w:p w14:paraId="4C8223DB" w14:textId="77777777" w:rsidR="003D7EA9" w:rsidRPr="007D0E2A" w:rsidRDefault="003D7EA9" w:rsidP="008316D6">
      <w:pPr>
        <w:pStyle w:val="ListParagraph"/>
        <w:numPr>
          <w:ilvl w:val="0"/>
          <w:numId w:val="1"/>
        </w:numPr>
        <w:spacing w:before="240" w:line="276" w:lineRule="auto"/>
        <w:rPr>
          <w:rFonts w:ascii="Arial" w:hAnsi="Arial" w:cs="Arial"/>
          <w:b/>
        </w:rPr>
      </w:pPr>
      <w:r w:rsidRPr="007D0E2A">
        <w:rPr>
          <w:rFonts w:ascii="Arial" w:hAnsi="Arial" w:cs="Arial"/>
          <w:b/>
        </w:rPr>
        <w:t>Intellectual property rights</w:t>
      </w:r>
    </w:p>
    <w:p w14:paraId="37A66D90" w14:textId="77777777" w:rsidR="00A9267A" w:rsidRPr="007D0E2A" w:rsidRDefault="00A9267A" w:rsidP="008316D6">
      <w:pPr>
        <w:pStyle w:val="ListParagraph"/>
        <w:spacing w:before="240" w:line="276" w:lineRule="auto"/>
        <w:ind w:left="360"/>
        <w:rPr>
          <w:rFonts w:ascii="Arial" w:hAnsi="Arial" w:cs="Arial"/>
          <w:b/>
        </w:rPr>
      </w:pPr>
    </w:p>
    <w:p w14:paraId="3FA62425" w14:textId="51FD52EA" w:rsidR="002C6252" w:rsidRDefault="002C6252" w:rsidP="008316D6">
      <w:pPr>
        <w:pStyle w:val="ListParagraph"/>
        <w:numPr>
          <w:ilvl w:val="1"/>
          <w:numId w:val="1"/>
        </w:numPr>
        <w:spacing w:before="240" w:line="276" w:lineRule="auto"/>
        <w:rPr>
          <w:rFonts w:ascii="Arial" w:hAnsi="Arial" w:cs="Arial"/>
        </w:rPr>
      </w:pPr>
      <w:r>
        <w:rPr>
          <w:rFonts w:ascii="Arial" w:hAnsi="Arial" w:cs="Arial"/>
        </w:rPr>
        <w:t>This agreement precludes the use of the following:</w:t>
      </w:r>
    </w:p>
    <w:p w14:paraId="58CB9F69" w14:textId="77777777" w:rsidR="00BB28AD" w:rsidRPr="002C6252" w:rsidRDefault="002C6252" w:rsidP="00BB28AD">
      <w:pPr>
        <w:pStyle w:val="ListParagraph"/>
        <w:numPr>
          <w:ilvl w:val="2"/>
          <w:numId w:val="1"/>
        </w:numPr>
        <w:spacing w:before="240" w:line="276" w:lineRule="auto"/>
        <w:rPr>
          <w:rFonts w:ascii="Arial" w:hAnsi="Arial" w:cs="Arial"/>
        </w:rPr>
      </w:pPr>
      <w:r w:rsidRPr="00BB28AD">
        <w:rPr>
          <w:rFonts w:ascii="Arial" w:hAnsi="Arial" w:cs="Arial"/>
        </w:rPr>
        <w:t xml:space="preserve">departmental or public sector organisation logos except </w:t>
      </w:r>
      <w:r w:rsidR="00BB28AD" w:rsidRPr="002C6252">
        <w:rPr>
          <w:rFonts w:ascii="Arial" w:hAnsi="Arial" w:cs="Arial"/>
        </w:rPr>
        <w:t xml:space="preserve">with </w:t>
      </w:r>
      <w:r w:rsidR="00BB28AD">
        <w:rPr>
          <w:rFonts w:ascii="Arial" w:hAnsi="Arial" w:cs="Arial"/>
        </w:rPr>
        <w:t>the explicit consent of the VOA</w:t>
      </w:r>
    </w:p>
    <w:p w14:paraId="14EF24C7" w14:textId="4D08770A" w:rsidR="002C6252" w:rsidRPr="00BB28AD" w:rsidRDefault="002C6252" w:rsidP="00E7296B">
      <w:pPr>
        <w:pStyle w:val="ListParagraph"/>
        <w:numPr>
          <w:ilvl w:val="2"/>
          <w:numId w:val="1"/>
        </w:numPr>
        <w:spacing w:before="240" w:line="276" w:lineRule="auto"/>
        <w:rPr>
          <w:rFonts w:ascii="Arial" w:hAnsi="Arial" w:cs="Arial"/>
        </w:rPr>
      </w:pPr>
      <w:r w:rsidRPr="00BB28AD">
        <w:rPr>
          <w:rFonts w:ascii="Arial" w:hAnsi="Arial" w:cs="Arial"/>
        </w:rPr>
        <w:t>The VOA name in press reports or social media mentions except with the explicit consent of the VOA</w:t>
      </w:r>
    </w:p>
    <w:p w14:paraId="260A85B3" w14:textId="77777777" w:rsidR="002C6252" w:rsidRDefault="002C6252" w:rsidP="002C6252">
      <w:pPr>
        <w:pStyle w:val="ListParagraph"/>
        <w:spacing w:before="240" w:line="276" w:lineRule="auto"/>
        <w:ind w:left="1224"/>
        <w:rPr>
          <w:rFonts w:ascii="Arial" w:hAnsi="Arial" w:cs="Arial"/>
        </w:rPr>
      </w:pPr>
    </w:p>
    <w:p w14:paraId="06C60176" w14:textId="77777777" w:rsidR="004316FC" w:rsidRPr="007D0E2A" w:rsidRDefault="004316FC" w:rsidP="008316D6">
      <w:pPr>
        <w:pStyle w:val="ListParagraph"/>
        <w:numPr>
          <w:ilvl w:val="1"/>
          <w:numId w:val="1"/>
        </w:numPr>
        <w:spacing w:before="240" w:line="276" w:lineRule="auto"/>
        <w:rPr>
          <w:rFonts w:ascii="Arial" w:hAnsi="Arial" w:cs="Arial"/>
        </w:rPr>
      </w:pPr>
      <w:r w:rsidRPr="007D0E2A">
        <w:rPr>
          <w:rFonts w:ascii="Arial" w:hAnsi="Arial" w:cs="Arial"/>
        </w:rPr>
        <w:t xml:space="preserve"> Information supplied by VOA may include information from </w:t>
      </w:r>
      <w:r w:rsidR="00A03466" w:rsidRPr="007D0E2A">
        <w:rPr>
          <w:rFonts w:ascii="Arial" w:hAnsi="Arial" w:cs="Arial"/>
        </w:rPr>
        <w:t xml:space="preserve">Royal Mail </w:t>
      </w:r>
      <w:r w:rsidRPr="007D0E2A">
        <w:rPr>
          <w:rFonts w:ascii="Arial" w:hAnsi="Arial" w:cs="Arial"/>
        </w:rPr>
        <w:t>P</w:t>
      </w:r>
      <w:r w:rsidR="00A03466" w:rsidRPr="007D0E2A">
        <w:rPr>
          <w:rFonts w:ascii="Arial" w:hAnsi="Arial" w:cs="Arial"/>
        </w:rPr>
        <w:t xml:space="preserve">ostcode </w:t>
      </w:r>
      <w:r w:rsidRPr="007D0E2A">
        <w:rPr>
          <w:rFonts w:ascii="Arial" w:hAnsi="Arial" w:cs="Arial"/>
        </w:rPr>
        <w:t>A</w:t>
      </w:r>
      <w:r w:rsidR="00A03466" w:rsidRPr="007D0E2A">
        <w:rPr>
          <w:rFonts w:ascii="Arial" w:hAnsi="Arial" w:cs="Arial"/>
        </w:rPr>
        <w:t xml:space="preserve">ddress </w:t>
      </w:r>
      <w:r w:rsidRPr="007D0E2A">
        <w:rPr>
          <w:rFonts w:ascii="Arial" w:hAnsi="Arial" w:cs="Arial"/>
        </w:rPr>
        <w:t>F</w:t>
      </w:r>
      <w:r w:rsidR="00A03466" w:rsidRPr="007D0E2A">
        <w:rPr>
          <w:rFonts w:ascii="Arial" w:hAnsi="Arial" w:cs="Arial"/>
        </w:rPr>
        <w:t>inder (PAF®)</w:t>
      </w:r>
      <w:r w:rsidRPr="007D0E2A">
        <w:rPr>
          <w:rFonts w:ascii="Arial" w:hAnsi="Arial" w:cs="Arial"/>
        </w:rPr>
        <w:t xml:space="preserve">. </w:t>
      </w:r>
    </w:p>
    <w:p w14:paraId="7532BEAA" w14:textId="77777777" w:rsidR="00D42D2D" w:rsidRPr="007D0E2A" w:rsidRDefault="00D42D2D" w:rsidP="00D42D2D">
      <w:pPr>
        <w:pStyle w:val="ListParagraph"/>
        <w:spacing w:before="240" w:line="276" w:lineRule="auto"/>
        <w:ind w:left="792"/>
        <w:rPr>
          <w:rFonts w:ascii="Arial" w:hAnsi="Arial" w:cs="Arial"/>
        </w:rPr>
      </w:pPr>
    </w:p>
    <w:p w14:paraId="36C985CE" w14:textId="07EC497D" w:rsidR="00DE08A9" w:rsidRPr="007D0E2A" w:rsidRDefault="004316FC" w:rsidP="008316D6">
      <w:pPr>
        <w:pStyle w:val="ListParagraph"/>
        <w:numPr>
          <w:ilvl w:val="1"/>
          <w:numId w:val="1"/>
        </w:numPr>
        <w:spacing w:before="240" w:line="276" w:lineRule="auto"/>
        <w:rPr>
          <w:rFonts w:ascii="Arial" w:hAnsi="Arial" w:cs="Arial"/>
        </w:rPr>
      </w:pPr>
      <w:r w:rsidRPr="007D0E2A">
        <w:rPr>
          <w:rFonts w:ascii="Arial" w:hAnsi="Arial" w:cs="Arial"/>
        </w:rPr>
        <w:t>Royal Mail Group Limited is the owner of intellectual property right</w:t>
      </w:r>
      <w:r w:rsidR="00A03466" w:rsidRPr="007D0E2A">
        <w:rPr>
          <w:rFonts w:ascii="Arial" w:hAnsi="Arial" w:cs="Arial"/>
        </w:rPr>
        <w:t>s in the database known as PAF®.</w:t>
      </w:r>
      <w:r w:rsidRPr="007D0E2A">
        <w:rPr>
          <w:rFonts w:ascii="Arial" w:hAnsi="Arial" w:cs="Arial"/>
        </w:rPr>
        <w:t xml:space="preserve">  Where elements of PAF are within the information supplied</w:t>
      </w:r>
      <w:r w:rsidR="00A03466" w:rsidRPr="007D0E2A">
        <w:rPr>
          <w:rFonts w:ascii="Arial" w:hAnsi="Arial" w:cs="Arial"/>
        </w:rPr>
        <w:t>,</w:t>
      </w:r>
      <w:r w:rsidRPr="007D0E2A">
        <w:rPr>
          <w:rFonts w:ascii="Arial" w:hAnsi="Arial" w:cs="Arial"/>
        </w:rPr>
        <w:t xml:space="preserve"> </w:t>
      </w:r>
      <w:r w:rsidR="007D0E2A" w:rsidRPr="007D0E2A">
        <w:rPr>
          <w:rFonts w:ascii="Arial" w:hAnsi="Arial" w:cs="Arial"/>
          <w:bCs/>
        </w:rPr>
        <w:t>the Billing Authority</w:t>
      </w:r>
      <w:r w:rsidRPr="007D0E2A">
        <w:rPr>
          <w:rFonts w:ascii="Arial" w:hAnsi="Arial" w:cs="Arial"/>
        </w:rPr>
        <w:t xml:space="preserve"> are</w:t>
      </w:r>
      <w:r w:rsidR="00CD0216" w:rsidRPr="007D0E2A">
        <w:rPr>
          <w:rFonts w:ascii="Arial" w:hAnsi="Arial" w:cs="Arial"/>
        </w:rPr>
        <w:t xml:space="preserve"> not given any right to use PAF by virtue of this agreement.</w:t>
      </w:r>
    </w:p>
    <w:p w14:paraId="6C1F0806" w14:textId="77777777" w:rsidR="00D42D2D" w:rsidRPr="007D0E2A" w:rsidRDefault="00D42D2D" w:rsidP="00D42D2D">
      <w:pPr>
        <w:pStyle w:val="ListParagraph"/>
        <w:spacing w:before="240" w:line="276" w:lineRule="auto"/>
        <w:ind w:left="792"/>
        <w:rPr>
          <w:rFonts w:ascii="Arial" w:hAnsi="Arial" w:cs="Arial"/>
        </w:rPr>
      </w:pPr>
    </w:p>
    <w:p w14:paraId="7D83C65C" w14:textId="77777777" w:rsidR="007F15C7" w:rsidRPr="007D0E2A" w:rsidRDefault="007F15C7" w:rsidP="008316D6">
      <w:pPr>
        <w:pStyle w:val="ListParagraph"/>
        <w:numPr>
          <w:ilvl w:val="1"/>
          <w:numId w:val="1"/>
        </w:numPr>
        <w:spacing w:before="240" w:line="276" w:lineRule="auto"/>
        <w:rPr>
          <w:rFonts w:ascii="Arial" w:hAnsi="Arial" w:cs="Arial"/>
        </w:rPr>
      </w:pPr>
      <w:r w:rsidRPr="007D0E2A">
        <w:rPr>
          <w:rFonts w:ascii="Arial" w:hAnsi="Arial" w:cs="Arial"/>
        </w:rPr>
        <w:t>Information supplied by VOA is in Crown ownership and protected by Crown Copyright and Crown Database rights.</w:t>
      </w:r>
    </w:p>
    <w:p w14:paraId="435DC51D" w14:textId="77777777" w:rsidR="00481F92" w:rsidRPr="007D0E2A" w:rsidRDefault="00481F92" w:rsidP="00481F92">
      <w:pPr>
        <w:pStyle w:val="ListParagraph"/>
        <w:rPr>
          <w:rFonts w:ascii="Arial" w:hAnsi="Arial" w:cs="Arial"/>
        </w:rPr>
      </w:pPr>
    </w:p>
    <w:p w14:paraId="7F5FAF97" w14:textId="40EDC1EC" w:rsidR="00D42D2D" w:rsidRPr="007D0E2A" w:rsidRDefault="00481F92" w:rsidP="00481F92">
      <w:pPr>
        <w:pStyle w:val="ListParagraph"/>
        <w:numPr>
          <w:ilvl w:val="1"/>
          <w:numId w:val="1"/>
        </w:numPr>
        <w:spacing w:before="240" w:line="276" w:lineRule="auto"/>
        <w:rPr>
          <w:rFonts w:ascii="Arial" w:hAnsi="Arial" w:cs="Arial"/>
        </w:rPr>
      </w:pPr>
      <w:r w:rsidRPr="007D0E2A">
        <w:rPr>
          <w:rFonts w:ascii="Arial" w:hAnsi="Arial" w:cs="Arial"/>
        </w:rPr>
        <w:t xml:space="preserve">Information supplied by VOA may include the National Address Gazetteer Unique Property Reference Number (UPRN) which is licensed to Her Majesty’s Revenue and Customs (HMRC) and the Valuation Office Agency (VOA) by Ordnance Survey. It is expected that </w:t>
      </w:r>
      <w:r w:rsidR="007D0E2A" w:rsidRPr="007D0E2A">
        <w:rPr>
          <w:rFonts w:ascii="Arial" w:hAnsi="Arial" w:cs="Arial"/>
          <w:bCs/>
        </w:rPr>
        <w:t>the Billing Authority</w:t>
      </w:r>
      <w:r w:rsidRPr="007D0E2A">
        <w:rPr>
          <w:rFonts w:ascii="Arial" w:hAnsi="Arial" w:cs="Arial"/>
        </w:rPr>
        <w:t xml:space="preserve"> will hold their own end licence before using the </w:t>
      </w:r>
      <w:r w:rsidR="004A3FE9" w:rsidRPr="007D0E2A">
        <w:rPr>
          <w:rFonts w:ascii="Arial" w:hAnsi="Arial" w:cs="Arial"/>
        </w:rPr>
        <w:t>information</w:t>
      </w:r>
      <w:r w:rsidRPr="007D0E2A">
        <w:rPr>
          <w:rFonts w:ascii="Arial" w:hAnsi="Arial" w:cs="Arial"/>
        </w:rPr>
        <w:t xml:space="preserve">. The VOA will only supply the UPRN </w:t>
      </w:r>
      <w:r w:rsidR="004A3FE9" w:rsidRPr="007D0E2A">
        <w:rPr>
          <w:rFonts w:ascii="Arial" w:hAnsi="Arial" w:cs="Arial"/>
        </w:rPr>
        <w:t xml:space="preserve">information </w:t>
      </w:r>
      <w:r w:rsidRPr="007D0E2A">
        <w:rPr>
          <w:rFonts w:ascii="Arial" w:hAnsi="Arial" w:cs="Arial"/>
        </w:rPr>
        <w:t>with the prior approval obtained from GEOPLACE.</w:t>
      </w:r>
    </w:p>
    <w:p w14:paraId="14E02DB1" w14:textId="77777777" w:rsidR="00DC36CD" w:rsidRPr="007D0E2A" w:rsidRDefault="00DC36CD" w:rsidP="00DC36CD">
      <w:pPr>
        <w:pStyle w:val="ListParagraph"/>
        <w:spacing w:before="240" w:line="276" w:lineRule="auto"/>
        <w:ind w:left="792"/>
        <w:rPr>
          <w:rFonts w:ascii="Arial" w:hAnsi="Arial" w:cs="Arial"/>
        </w:rPr>
      </w:pPr>
    </w:p>
    <w:p w14:paraId="7745A043" w14:textId="77777777" w:rsidR="00DC36CD" w:rsidRPr="007D0E2A" w:rsidRDefault="00DC36CD" w:rsidP="00DC36CD">
      <w:pPr>
        <w:pStyle w:val="ListParagraph"/>
        <w:spacing w:before="240" w:line="276" w:lineRule="auto"/>
        <w:ind w:left="792"/>
        <w:rPr>
          <w:rFonts w:ascii="Arial" w:hAnsi="Arial" w:cs="Arial"/>
        </w:rPr>
      </w:pPr>
    </w:p>
    <w:p w14:paraId="452216B0" w14:textId="77777777" w:rsidR="00220C95" w:rsidRPr="007D0E2A" w:rsidRDefault="00F468C7" w:rsidP="008316D6">
      <w:pPr>
        <w:pStyle w:val="ListParagraph"/>
        <w:numPr>
          <w:ilvl w:val="0"/>
          <w:numId w:val="1"/>
        </w:numPr>
        <w:spacing w:before="240" w:line="276" w:lineRule="auto"/>
        <w:rPr>
          <w:rFonts w:ascii="Arial" w:hAnsi="Arial" w:cs="Arial"/>
          <w:b/>
        </w:rPr>
      </w:pPr>
      <w:r w:rsidRPr="007D0E2A">
        <w:rPr>
          <w:rFonts w:ascii="Arial" w:hAnsi="Arial" w:cs="Arial"/>
          <w:b/>
        </w:rPr>
        <w:t>Issue Management</w:t>
      </w:r>
    </w:p>
    <w:p w14:paraId="47CD2A97" w14:textId="77777777" w:rsidR="00F468C7" w:rsidRPr="007D0E2A" w:rsidRDefault="00F468C7" w:rsidP="008316D6">
      <w:pPr>
        <w:pStyle w:val="ListParagraph"/>
        <w:spacing w:before="240" w:line="276" w:lineRule="auto"/>
        <w:ind w:left="360"/>
        <w:rPr>
          <w:rFonts w:ascii="Arial" w:hAnsi="Arial" w:cs="Arial"/>
          <w:b/>
        </w:rPr>
      </w:pPr>
    </w:p>
    <w:p w14:paraId="24E7B5BA" w14:textId="77777777" w:rsidR="00220C95" w:rsidRPr="007D0E2A" w:rsidRDefault="00220C95" w:rsidP="008316D6">
      <w:pPr>
        <w:pStyle w:val="ListParagraph"/>
        <w:numPr>
          <w:ilvl w:val="1"/>
          <w:numId w:val="1"/>
        </w:numPr>
        <w:spacing w:before="240" w:line="276" w:lineRule="auto"/>
        <w:ind w:left="851" w:hanging="491"/>
        <w:rPr>
          <w:rFonts w:ascii="Arial" w:hAnsi="Arial" w:cs="Arial"/>
          <w:b/>
        </w:rPr>
      </w:pPr>
      <w:r w:rsidRPr="007D0E2A">
        <w:rPr>
          <w:rFonts w:ascii="Arial" w:hAnsi="Arial" w:cs="Arial"/>
        </w:rPr>
        <w:t>Any issues must be reported to the designated contacts</w:t>
      </w:r>
      <w:r w:rsidR="005457E2" w:rsidRPr="007D0E2A">
        <w:rPr>
          <w:rFonts w:ascii="Arial" w:hAnsi="Arial" w:cs="Arial"/>
        </w:rPr>
        <w:t xml:space="preserve"> (or successors to the role)</w:t>
      </w:r>
      <w:r w:rsidRPr="007D0E2A">
        <w:rPr>
          <w:rFonts w:ascii="Arial" w:hAnsi="Arial" w:cs="Arial"/>
        </w:rPr>
        <w:t xml:space="preserve"> listed in Annex B. </w:t>
      </w:r>
    </w:p>
    <w:p w14:paraId="6833765C" w14:textId="77777777" w:rsidR="00D42D2D" w:rsidRPr="007D0E2A" w:rsidRDefault="00D42D2D" w:rsidP="00D42D2D">
      <w:pPr>
        <w:pStyle w:val="ListParagraph"/>
        <w:spacing w:before="240" w:line="276" w:lineRule="auto"/>
        <w:ind w:left="851"/>
        <w:rPr>
          <w:rFonts w:ascii="Arial" w:hAnsi="Arial" w:cs="Arial"/>
          <w:b/>
        </w:rPr>
      </w:pPr>
    </w:p>
    <w:p w14:paraId="1950A6CD" w14:textId="24C3BF89" w:rsidR="00220C95" w:rsidRPr="007D0E2A" w:rsidRDefault="00220C95" w:rsidP="008316D6">
      <w:pPr>
        <w:pStyle w:val="ListParagraph"/>
        <w:numPr>
          <w:ilvl w:val="1"/>
          <w:numId w:val="1"/>
        </w:numPr>
        <w:spacing w:before="240" w:line="276" w:lineRule="auto"/>
        <w:ind w:left="851" w:hanging="491"/>
        <w:rPr>
          <w:rFonts w:ascii="Arial" w:hAnsi="Arial" w:cs="Arial"/>
        </w:rPr>
      </w:pPr>
      <w:r w:rsidRPr="007D0E2A">
        <w:rPr>
          <w:rFonts w:ascii="Arial" w:hAnsi="Arial" w:cs="Arial"/>
        </w:rPr>
        <w:lastRenderedPageBreak/>
        <w:t xml:space="preserve">If it is not possible to resolve an issue in </w:t>
      </w:r>
      <w:r w:rsidR="00B238A0" w:rsidRPr="007D0E2A">
        <w:rPr>
          <w:rFonts w:ascii="Arial" w:hAnsi="Arial" w:cs="Arial"/>
        </w:rPr>
        <w:t>1</w:t>
      </w:r>
      <w:r w:rsidR="00147D89" w:rsidRPr="007D0E2A">
        <w:rPr>
          <w:rFonts w:ascii="Arial" w:hAnsi="Arial" w:cs="Arial"/>
        </w:rPr>
        <w:t>0</w:t>
      </w:r>
      <w:r w:rsidRPr="007D0E2A">
        <w:rPr>
          <w:rFonts w:ascii="Arial" w:hAnsi="Arial" w:cs="Arial"/>
        </w:rPr>
        <w:t xml:space="preserve"> working days </w:t>
      </w:r>
      <w:r w:rsidR="009743EE" w:rsidRPr="007D0E2A">
        <w:rPr>
          <w:rFonts w:ascii="Arial" w:hAnsi="Arial" w:cs="Arial"/>
        </w:rPr>
        <w:t>and/</w:t>
      </w:r>
      <w:r w:rsidRPr="007D0E2A">
        <w:rPr>
          <w:rFonts w:ascii="Arial" w:hAnsi="Arial" w:cs="Arial"/>
        </w:rPr>
        <w:t xml:space="preserve">or the issue may </w:t>
      </w:r>
      <w:r w:rsidR="009743EE" w:rsidRPr="007D0E2A">
        <w:rPr>
          <w:rFonts w:ascii="Arial" w:hAnsi="Arial" w:cs="Arial"/>
        </w:rPr>
        <w:t xml:space="preserve">potentially </w:t>
      </w:r>
      <w:r w:rsidRPr="007D0E2A">
        <w:rPr>
          <w:rFonts w:ascii="Arial" w:hAnsi="Arial" w:cs="Arial"/>
        </w:rPr>
        <w:t xml:space="preserve">have a negative impact on either </w:t>
      </w:r>
      <w:r w:rsidR="000A6EFA" w:rsidRPr="007D0E2A">
        <w:rPr>
          <w:rFonts w:ascii="Arial" w:hAnsi="Arial" w:cs="Arial"/>
        </w:rPr>
        <w:t xml:space="preserve">VOA, or </w:t>
      </w:r>
      <w:r w:rsidR="007D0E2A" w:rsidRPr="007D0E2A">
        <w:rPr>
          <w:rFonts w:ascii="Arial" w:hAnsi="Arial" w:cs="Arial"/>
          <w:bCs/>
        </w:rPr>
        <w:t>the Billing Authority</w:t>
      </w:r>
      <w:r w:rsidR="000A6EFA" w:rsidRPr="007D0E2A">
        <w:rPr>
          <w:rFonts w:ascii="Arial" w:hAnsi="Arial" w:cs="Arial"/>
        </w:rPr>
        <w:t xml:space="preserve">, it will </w:t>
      </w:r>
      <w:r w:rsidRPr="007D0E2A">
        <w:rPr>
          <w:rFonts w:ascii="Arial" w:hAnsi="Arial" w:cs="Arial"/>
        </w:rPr>
        <w:t xml:space="preserve">be escalated to the respective senior management teams.  </w:t>
      </w:r>
    </w:p>
    <w:p w14:paraId="461BD838" w14:textId="77777777" w:rsidR="00D42D2D" w:rsidRPr="007D0E2A" w:rsidRDefault="00D42D2D" w:rsidP="00D42D2D">
      <w:pPr>
        <w:pStyle w:val="ListParagraph"/>
        <w:spacing w:before="240" w:line="276" w:lineRule="auto"/>
        <w:ind w:left="851"/>
        <w:rPr>
          <w:rFonts w:ascii="Arial" w:hAnsi="Arial" w:cs="Arial"/>
        </w:rPr>
      </w:pPr>
    </w:p>
    <w:p w14:paraId="3542BCB4" w14:textId="3D44C763" w:rsidR="00F468C7" w:rsidRPr="007D0E2A" w:rsidRDefault="00F468C7" w:rsidP="008316D6">
      <w:pPr>
        <w:pStyle w:val="ListParagraph"/>
        <w:numPr>
          <w:ilvl w:val="1"/>
          <w:numId w:val="1"/>
        </w:numPr>
        <w:spacing w:before="240" w:line="276" w:lineRule="auto"/>
        <w:ind w:left="851" w:hanging="491"/>
        <w:rPr>
          <w:rFonts w:ascii="Arial" w:hAnsi="Arial" w:cs="Arial"/>
        </w:rPr>
      </w:pPr>
      <w:r w:rsidRPr="007D0E2A">
        <w:rPr>
          <w:rFonts w:ascii="Arial" w:hAnsi="Arial" w:cs="Arial"/>
        </w:rPr>
        <w:t xml:space="preserve">Senior management teams will be briefed </w:t>
      </w:r>
      <w:r w:rsidR="00DE61C6" w:rsidRPr="007D0E2A">
        <w:rPr>
          <w:rFonts w:ascii="Arial" w:hAnsi="Arial" w:cs="Arial"/>
        </w:rPr>
        <w:t>on the</w:t>
      </w:r>
      <w:r w:rsidRPr="007D0E2A">
        <w:rPr>
          <w:rFonts w:ascii="Arial" w:hAnsi="Arial" w:cs="Arial"/>
        </w:rPr>
        <w:t xml:space="preserve"> issue including what steps have been taken to resolve the issue and any remaining barriers. They will agree any further action which could include contingency arrangements and negotiating agreed solutions.</w:t>
      </w:r>
    </w:p>
    <w:p w14:paraId="5C4E0F7E" w14:textId="77777777" w:rsidR="00EC5A31" w:rsidRPr="007D0E2A" w:rsidRDefault="00EC5A31" w:rsidP="008316D6">
      <w:pPr>
        <w:pStyle w:val="ListParagraph"/>
        <w:spacing w:before="240" w:line="276" w:lineRule="auto"/>
        <w:ind w:left="1134"/>
        <w:rPr>
          <w:rFonts w:ascii="Arial" w:hAnsi="Arial" w:cs="Arial"/>
        </w:rPr>
      </w:pPr>
    </w:p>
    <w:p w14:paraId="39B54744" w14:textId="77777777" w:rsidR="00D42D2D" w:rsidRPr="007D0E2A" w:rsidRDefault="00D42D2D" w:rsidP="008316D6">
      <w:pPr>
        <w:pStyle w:val="ListParagraph"/>
        <w:spacing w:before="240" w:line="276" w:lineRule="auto"/>
        <w:ind w:left="1134"/>
        <w:rPr>
          <w:rFonts w:ascii="Arial" w:hAnsi="Arial" w:cs="Arial"/>
        </w:rPr>
      </w:pPr>
    </w:p>
    <w:p w14:paraId="7A7BC428" w14:textId="77777777" w:rsidR="00787823" w:rsidRPr="007D0E2A" w:rsidRDefault="00EC5A31" w:rsidP="00B56E7F">
      <w:pPr>
        <w:pStyle w:val="ListParagraph"/>
        <w:numPr>
          <w:ilvl w:val="0"/>
          <w:numId w:val="1"/>
        </w:numPr>
        <w:spacing w:before="240" w:line="276" w:lineRule="auto"/>
        <w:rPr>
          <w:rFonts w:ascii="Arial" w:hAnsi="Arial" w:cs="Arial"/>
          <w:b/>
          <w:i/>
        </w:rPr>
      </w:pPr>
      <w:r w:rsidRPr="007D0E2A">
        <w:rPr>
          <w:rFonts w:ascii="Arial" w:hAnsi="Arial" w:cs="Arial"/>
          <w:b/>
        </w:rPr>
        <w:t>Security Incidents or Information Breaches</w:t>
      </w:r>
      <w:r w:rsidR="00591E9D" w:rsidRPr="007D0E2A">
        <w:rPr>
          <w:rFonts w:ascii="Arial" w:hAnsi="Arial" w:cs="Arial"/>
          <w:b/>
        </w:rPr>
        <w:t xml:space="preserve"> </w:t>
      </w:r>
    </w:p>
    <w:p w14:paraId="7921252B" w14:textId="77777777" w:rsidR="00B85B9D" w:rsidRPr="007D0E2A" w:rsidRDefault="00B85B9D" w:rsidP="00B85B9D">
      <w:pPr>
        <w:pStyle w:val="ListParagraph"/>
        <w:spacing w:before="240" w:line="276" w:lineRule="auto"/>
        <w:ind w:left="360"/>
        <w:rPr>
          <w:rFonts w:ascii="Arial" w:hAnsi="Arial" w:cs="Arial"/>
          <w:b/>
          <w:i/>
        </w:rPr>
      </w:pPr>
    </w:p>
    <w:p w14:paraId="079BDF88" w14:textId="77777777" w:rsidR="00EC5A31" w:rsidRPr="007D0E2A" w:rsidRDefault="00EC5A31" w:rsidP="008316D6">
      <w:pPr>
        <w:pStyle w:val="ListParagraph"/>
        <w:numPr>
          <w:ilvl w:val="1"/>
          <w:numId w:val="1"/>
        </w:numPr>
        <w:spacing w:before="240" w:line="276" w:lineRule="auto"/>
        <w:ind w:left="993" w:hanging="633"/>
        <w:rPr>
          <w:rFonts w:ascii="Arial" w:hAnsi="Arial" w:cs="Arial"/>
        </w:rPr>
      </w:pPr>
      <w:r w:rsidRPr="007D0E2A">
        <w:rPr>
          <w:rFonts w:ascii="Arial" w:hAnsi="Arial" w:cs="Arial"/>
        </w:rPr>
        <w:t xml:space="preserve">Any incident </w:t>
      </w:r>
      <w:r w:rsidR="00E02724" w:rsidRPr="007D0E2A">
        <w:rPr>
          <w:rFonts w:ascii="Arial" w:hAnsi="Arial" w:cs="Arial"/>
        </w:rPr>
        <w:t xml:space="preserve">or breach </w:t>
      </w:r>
      <w:r w:rsidRPr="007D0E2A">
        <w:rPr>
          <w:rFonts w:ascii="Arial" w:hAnsi="Arial" w:cs="Arial"/>
        </w:rPr>
        <w:t>involving VOA information (such as loss or wrongful disclosure) must be reported to VOA</w:t>
      </w:r>
      <w:r w:rsidR="00354361" w:rsidRPr="007D0E2A">
        <w:rPr>
          <w:rFonts w:ascii="Arial" w:hAnsi="Arial" w:cs="Arial"/>
        </w:rPr>
        <w:t>'</w:t>
      </w:r>
      <w:r w:rsidRPr="007D0E2A">
        <w:rPr>
          <w:rFonts w:ascii="Arial" w:hAnsi="Arial" w:cs="Arial"/>
        </w:rPr>
        <w:t>s nomi</w:t>
      </w:r>
      <w:r w:rsidR="00B85B1E" w:rsidRPr="007D0E2A">
        <w:rPr>
          <w:rFonts w:ascii="Arial" w:hAnsi="Arial" w:cs="Arial"/>
        </w:rPr>
        <w:t>nated security contact within 2</w:t>
      </w:r>
      <w:r w:rsidR="00BF3E77" w:rsidRPr="007D0E2A">
        <w:rPr>
          <w:rFonts w:ascii="Arial" w:hAnsi="Arial" w:cs="Arial"/>
        </w:rPr>
        <w:t xml:space="preserve"> working days</w:t>
      </w:r>
      <w:r w:rsidR="009579F2" w:rsidRPr="007D0E2A">
        <w:rPr>
          <w:rFonts w:ascii="Arial" w:hAnsi="Arial" w:cs="Arial"/>
        </w:rPr>
        <w:t xml:space="preserve"> of becoming aware</w:t>
      </w:r>
      <w:r w:rsidRPr="007D0E2A">
        <w:rPr>
          <w:rFonts w:ascii="Arial" w:hAnsi="Arial" w:cs="Arial"/>
        </w:rPr>
        <w:t>.</w:t>
      </w:r>
    </w:p>
    <w:p w14:paraId="01DB1018" w14:textId="77777777" w:rsidR="00D42D2D" w:rsidRPr="007D0E2A" w:rsidRDefault="00D42D2D" w:rsidP="00D42D2D">
      <w:pPr>
        <w:pStyle w:val="ListParagraph"/>
        <w:spacing w:before="240" w:line="276" w:lineRule="auto"/>
        <w:ind w:left="993"/>
        <w:rPr>
          <w:rFonts w:ascii="Arial" w:hAnsi="Arial" w:cs="Arial"/>
        </w:rPr>
      </w:pPr>
    </w:p>
    <w:p w14:paraId="4C051839" w14:textId="77777777" w:rsidR="00EC5A31" w:rsidRPr="007D0E2A" w:rsidRDefault="00EC5A31" w:rsidP="00B85B1E">
      <w:pPr>
        <w:pStyle w:val="ListParagraph"/>
        <w:numPr>
          <w:ilvl w:val="1"/>
          <w:numId w:val="1"/>
        </w:numPr>
        <w:spacing w:before="240" w:line="276" w:lineRule="auto"/>
        <w:ind w:left="993" w:hanging="633"/>
        <w:rPr>
          <w:rFonts w:ascii="Arial" w:hAnsi="Arial" w:cs="Arial"/>
        </w:rPr>
      </w:pPr>
      <w:r w:rsidRPr="007D0E2A">
        <w:rPr>
          <w:rFonts w:ascii="Arial" w:hAnsi="Arial" w:cs="Arial"/>
        </w:rPr>
        <w:lastRenderedPageBreak/>
        <w:t>The report must explain the incident in detail and the steps that are being taken to address the incident.</w:t>
      </w:r>
      <w:r w:rsidR="00B85B1E" w:rsidRPr="007D0E2A">
        <w:rPr>
          <w:rFonts w:ascii="Arial" w:hAnsi="Arial" w:cs="Arial"/>
        </w:rPr>
        <w:t xml:space="preserve">  VOA can advise on how to send any sensitive details of the incident on secure channels.</w:t>
      </w:r>
    </w:p>
    <w:p w14:paraId="7A7F22B0" w14:textId="77777777" w:rsidR="00D42D2D" w:rsidRPr="007D0E2A" w:rsidRDefault="00D42D2D" w:rsidP="00D42D2D">
      <w:pPr>
        <w:pStyle w:val="ListParagraph"/>
        <w:spacing w:before="240" w:line="276" w:lineRule="auto"/>
        <w:ind w:left="993"/>
        <w:rPr>
          <w:rFonts w:ascii="Arial" w:hAnsi="Arial" w:cs="Arial"/>
        </w:rPr>
      </w:pPr>
    </w:p>
    <w:p w14:paraId="7A62C4ED" w14:textId="77777777" w:rsidR="00EC5A31" w:rsidRPr="007D0E2A" w:rsidRDefault="00EC5A31" w:rsidP="008316D6">
      <w:pPr>
        <w:pStyle w:val="ListParagraph"/>
        <w:numPr>
          <w:ilvl w:val="1"/>
          <w:numId w:val="1"/>
        </w:numPr>
        <w:spacing w:before="240" w:line="276" w:lineRule="auto"/>
        <w:ind w:left="993" w:hanging="633"/>
        <w:rPr>
          <w:rFonts w:ascii="Arial" w:hAnsi="Arial" w:cs="Arial"/>
        </w:rPr>
      </w:pPr>
      <w:r w:rsidRPr="007D0E2A">
        <w:rPr>
          <w:rFonts w:ascii="Arial" w:hAnsi="Arial" w:cs="Arial"/>
        </w:rPr>
        <w:t>On receipt of any security incident report VOA will consider whether the impact means further transfers of information will be halted.</w:t>
      </w:r>
    </w:p>
    <w:p w14:paraId="5190C1B8" w14:textId="77777777" w:rsidR="00FD0329" w:rsidRPr="007D0E2A" w:rsidRDefault="00FD0329" w:rsidP="00DE61C6">
      <w:pPr>
        <w:pStyle w:val="ListParagraph"/>
        <w:rPr>
          <w:rFonts w:ascii="Arial" w:hAnsi="Arial" w:cs="Arial"/>
        </w:rPr>
      </w:pPr>
    </w:p>
    <w:p w14:paraId="782F81BA" w14:textId="64367392" w:rsidR="00FD0329" w:rsidRPr="007D0E2A" w:rsidRDefault="00FD0329" w:rsidP="008316D6">
      <w:pPr>
        <w:pStyle w:val="ListParagraph"/>
        <w:numPr>
          <w:ilvl w:val="1"/>
          <w:numId w:val="1"/>
        </w:numPr>
        <w:spacing w:before="240" w:line="276" w:lineRule="auto"/>
        <w:ind w:left="993" w:hanging="633"/>
        <w:rPr>
          <w:rFonts w:ascii="Arial" w:hAnsi="Arial" w:cs="Arial"/>
        </w:rPr>
      </w:pPr>
      <w:r w:rsidRPr="007D0E2A">
        <w:rPr>
          <w:rFonts w:ascii="Arial" w:hAnsi="Arial" w:cs="Arial"/>
        </w:rPr>
        <w:t xml:space="preserve">The VOA reserves the right to suspend information transfers in the event of </w:t>
      </w:r>
      <w:r w:rsidR="00FB1ABB" w:rsidRPr="007D0E2A">
        <w:rPr>
          <w:rFonts w:ascii="Arial" w:hAnsi="Arial" w:cs="Arial"/>
        </w:rPr>
        <w:t>a security</w:t>
      </w:r>
      <w:r w:rsidRPr="007D0E2A">
        <w:rPr>
          <w:rFonts w:ascii="Arial" w:hAnsi="Arial" w:cs="Arial"/>
        </w:rPr>
        <w:t xml:space="preserve"> incident, information breach</w:t>
      </w:r>
      <w:r w:rsidR="00AF26BC" w:rsidRPr="007D0E2A">
        <w:rPr>
          <w:rFonts w:ascii="Arial" w:hAnsi="Arial" w:cs="Arial"/>
        </w:rPr>
        <w:t>, or wrongful disclosure until it has been resolved to VOA’s satisfaction.</w:t>
      </w:r>
    </w:p>
    <w:p w14:paraId="3A29B634" w14:textId="77777777" w:rsidR="00220C95" w:rsidRPr="007D0E2A" w:rsidRDefault="00220C95" w:rsidP="008316D6">
      <w:pPr>
        <w:pStyle w:val="ListParagraph"/>
        <w:spacing w:before="240" w:line="276" w:lineRule="auto"/>
        <w:ind w:left="792"/>
        <w:rPr>
          <w:rFonts w:ascii="Arial" w:hAnsi="Arial" w:cs="Arial"/>
        </w:rPr>
      </w:pPr>
      <w:r w:rsidRPr="007D0E2A">
        <w:rPr>
          <w:rFonts w:ascii="Arial" w:hAnsi="Arial" w:cs="Arial"/>
        </w:rPr>
        <w:tab/>
        <w:t xml:space="preserve"> </w:t>
      </w:r>
    </w:p>
    <w:p w14:paraId="6D3FB757" w14:textId="77777777" w:rsidR="00D42D2D" w:rsidRPr="007D0E2A" w:rsidRDefault="00D42D2D" w:rsidP="008316D6">
      <w:pPr>
        <w:pStyle w:val="ListParagraph"/>
        <w:spacing w:before="240" w:line="276" w:lineRule="auto"/>
        <w:ind w:left="792"/>
        <w:rPr>
          <w:rFonts w:ascii="Arial" w:hAnsi="Arial" w:cs="Arial"/>
        </w:rPr>
      </w:pPr>
    </w:p>
    <w:p w14:paraId="40696543" w14:textId="77777777" w:rsidR="00693A09" w:rsidRPr="007D0E2A" w:rsidRDefault="00220C95" w:rsidP="008316D6">
      <w:pPr>
        <w:pStyle w:val="ListParagraph"/>
        <w:numPr>
          <w:ilvl w:val="0"/>
          <w:numId w:val="1"/>
        </w:numPr>
        <w:spacing w:before="240" w:line="276" w:lineRule="auto"/>
        <w:rPr>
          <w:rFonts w:ascii="Arial" w:hAnsi="Arial" w:cs="Arial"/>
          <w:b/>
        </w:rPr>
      </w:pPr>
      <w:r w:rsidRPr="007D0E2A">
        <w:rPr>
          <w:rFonts w:ascii="Arial" w:hAnsi="Arial" w:cs="Arial"/>
          <w:b/>
        </w:rPr>
        <w:t xml:space="preserve"> </w:t>
      </w:r>
      <w:r w:rsidR="00D42D2D" w:rsidRPr="007D0E2A">
        <w:rPr>
          <w:rFonts w:ascii="Arial" w:hAnsi="Arial" w:cs="Arial"/>
          <w:b/>
        </w:rPr>
        <w:t>Termination of this agreement</w:t>
      </w:r>
    </w:p>
    <w:p w14:paraId="265EA178" w14:textId="77777777" w:rsidR="00D42D2D" w:rsidRPr="007D0E2A" w:rsidRDefault="00D42D2D" w:rsidP="00D42D2D">
      <w:pPr>
        <w:pStyle w:val="ListParagraph"/>
        <w:spacing w:before="240" w:line="276" w:lineRule="auto"/>
        <w:ind w:left="360"/>
        <w:rPr>
          <w:rFonts w:ascii="Arial" w:hAnsi="Arial" w:cs="Arial"/>
          <w:b/>
        </w:rPr>
      </w:pPr>
    </w:p>
    <w:p w14:paraId="1765422D" w14:textId="77777777" w:rsidR="00693A09" w:rsidRPr="007D0E2A" w:rsidRDefault="00693A09" w:rsidP="008316D6">
      <w:pPr>
        <w:pStyle w:val="ListParagraph"/>
        <w:numPr>
          <w:ilvl w:val="1"/>
          <w:numId w:val="1"/>
        </w:numPr>
        <w:spacing w:before="240" w:line="276" w:lineRule="auto"/>
        <w:ind w:left="1134" w:hanging="774"/>
        <w:rPr>
          <w:rFonts w:ascii="Arial" w:hAnsi="Arial" w:cs="Arial"/>
        </w:rPr>
      </w:pPr>
      <w:r w:rsidRPr="007D0E2A">
        <w:rPr>
          <w:rFonts w:ascii="Arial" w:hAnsi="Arial" w:cs="Arial"/>
        </w:rPr>
        <w:t xml:space="preserve">Either party may terminate this </w:t>
      </w:r>
      <w:r w:rsidR="00A61B3E" w:rsidRPr="007D0E2A">
        <w:rPr>
          <w:rFonts w:ascii="Arial" w:hAnsi="Arial" w:cs="Arial"/>
        </w:rPr>
        <w:t>ISP or any ISAs</w:t>
      </w:r>
      <w:r w:rsidRPr="007D0E2A">
        <w:rPr>
          <w:rFonts w:ascii="Arial" w:hAnsi="Arial" w:cs="Arial"/>
        </w:rPr>
        <w:t xml:space="preserve"> by giving 30 </w:t>
      </w:r>
      <w:r w:rsidR="00F468C7" w:rsidRPr="007D0E2A">
        <w:rPr>
          <w:rFonts w:ascii="Arial" w:hAnsi="Arial" w:cs="Arial"/>
        </w:rPr>
        <w:t>days' notice</w:t>
      </w:r>
      <w:r w:rsidR="00461A33" w:rsidRPr="007D0E2A">
        <w:rPr>
          <w:rFonts w:ascii="Arial" w:hAnsi="Arial" w:cs="Arial"/>
        </w:rPr>
        <w:t>.</w:t>
      </w:r>
    </w:p>
    <w:p w14:paraId="22A87A10" w14:textId="77777777" w:rsidR="00D42D2D" w:rsidRPr="007D0E2A" w:rsidRDefault="00D42D2D" w:rsidP="00D42D2D">
      <w:pPr>
        <w:pStyle w:val="ListParagraph"/>
        <w:spacing w:before="240" w:line="276" w:lineRule="auto"/>
        <w:ind w:left="1134"/>
        <w:rPr>
          <w:rFonts w:ascii="Arial" w:hAnsi="Arial" w:cs="Arial"/>
        </w:rPr>
      </w:pPr>
    </w:p>
    <w:p w14:paraId="345F76C1" w14:textId="47CCA67D" w:rsidR="00693A09" w:rsidRPr="007D0E2A" w:rsidRDefault="00693A09" w:rsidP="008316D6">
      <w:pPr>
        <w:pStyle w:val="ListParagraph"/>
        <w:numPr>
          <w:ilvl w:val="1"/>
          <w:numId w:val="1"/>
        </w:numPr>
        <w:spacing w:before="240" w:line="276" w:lineRule="auto"/>
        <w:ind w:left="1134" w:hanging="774"/>
        <w:rPr>
          <w:rFonts w:ascii="Arial" w:hAnsi="Arial" w:cs="Arial"/>
        </w:rPr>
      </w:pPr>
      <w:r w:rsidRPr="007D0E2A">
        <w:rPr>
          <w:rFonts w:ascii="Arial" w:hAnsi="Arial" w:cs="Arial"/>
        </w:rPr>
        <w:lastRenderedPageBreak/>
        <w:t>VOA</w:t>
      </w:r>
      <w:r w:rsidR="000A6EFA" w:rsidRPr="007D0E2A">
        <w:rPr>
          <w:rFonts w:ascii="Arial" w:hAnsi="Arial" w:cs="Arial"/>
        </w:rPr>
        <w:t xml:space="preserve"> </w:t>
      </w:r>
      <w:r w:rsidR="00052472" w:rsidRPr="007D0E2A">
        <w:rPr>
          <w:rFonts w:ascii="Arial" w:hAnsi="Arial" w:cs="Arial"/>
        </w:rPr>
        <w:t xml:space="preserve">reserves the right to </w:t>
      </w:r>
      <w:r w:rsidR="000A6EFA" w:rsidRPr="007D0E2A">
        <w:rPr>
          <w:rFonts w:ascii="Arial" w:hAnsi="Arial" w:cs="Arial"/>
        </w:rPr>
        <w:t xml:space="preserve">terminate the agreement </w:t>
      </w:r>
      <w:r w:rsidRPr="007D0E2A">
        <w:rPr>
          <w:rFonts w:ascii="Arial" w:hAnsi="Arial" w:cs="Arial"/>
        </w:rPr>
        <w:t>with immediate effect in the event of a security incident</w:t>
      </w:r>
      <w:r w:rsidR="00052472" w:rsidRPr="007D0E2A">
        <w:rPr>
          <w:rFonts w:ascii="Arial" w:hAnsi="Arial" w:cs="Arial"/>
        </w:rPr>
        <w:t xml:space="preserve"> or information breach.  However, </w:t>
      </w:r>
      <w:r w:rsidR="007903B5" w:rsidRPr="007D0E2A">
        <w:rPr>
          <w:rFonts w:ascii="Arial" w:hAnsi="Arial" w:cs="Arial"/>
        </w:rPr>
        <w:t xml:space="preserve">where appropriate, </w:t>
      </w:r>
      <w:r w:rsidR="007D0E2A" w:rsidRPr="007D0E2A">
        <w:rPr>
          <w:rFonts w:ascii="Arial" w:hAnsi="Arial" w:cs="Arial"/>
          <w:bCs/>
        </w:rPr>
        <w:t>the Billing Authority</w:t>
      </w:r>
      <w:r w:rsidR="00052472" w:rsidRPr="007D0E2A">
        <w:rPr>
          <w:rFonts w:ascii="Arial" w:hAnsi="Arial" w:cs="Arial"/>
        </w:rPr>
        <w:t>/VOA will seek to resolve any issues associated with a breach or an incident and each party will attempt to negotiate a settlement in the spirit of joint resolution as described in Clause 8.</w:t>
      </w:r>
    </w:p>
    <w:p w14:paraId="4D5B93C4" w14:textId="77777777" w:rsidR="00D42D2D" w:rsidRPr="007D0E2A" w:rsidRDefault="00D42D2D" w:rsidP="00D42D2D">
      <w:pPr>
        <w:pStyle w:val="ListParagraph"/>
        <w:spacing w:before="240" w:line="276" w:lineRule="auto"/>
        <w:ind w:left="1134"/>
        <w:rPr>
          <w:rFonts w:ascii="Arial" w:hAnsi="Arial" w:cs="Arial"/>
        </w:rPr>
      </w:pPr>
    </w:p>
    <w:p w14:paraId="4D40B53F" w14:textId="492F20E5" w:rsidR="00D0596A" w:rsidRPr="007D0E2A" w:rsidRDefault="00693A09" w:rsidP="008316D6">
      <w:pPr>
        <w:pStyle w:val="ListParagraph"/>
        <w:numPr>
          <w:ilvl w:val="1"/>
          <w:numId w:val="1"/>
        </w:numPr>
        <w:spacing w:before="240" w:line="276" w:lineRule="auto"/>
        <w:ind w:left="1134" w:hanging="774"/>
        <w:rPr>
          <w:rFonts w:ascii="Arial" w:hAnsi="Arial" w:cs="Arial"/>
        </w:rPr>
      </w:pPr>
      <w:r w:rsidRPr="007D0E2A">
        <w:rPr>
          <w:rFonts w:ascii="Arial" w:hAnsi="Arial" w:cs="Arial"/>
        </w:rPr>
        <w:t xml:space="preserve">If </w:t>
      </w:r>
      <w:r w:rsidR="007D0E2A" w:rsidRPr="007D0E2A">
        <w:rPr>
          <w:rFonts w:ascii="Arial" w:hAnsi="Arial" w:cs="Arial"/>
          <w:bCs/>
        </w:rPr>
        <w:t>the Billing Authority</w:t>
      </w:r>
      <w:r w:rsidRPr="007D0E2A">
        <w:rPr>
          <w:rFonts w:ascii="Arial" w:hAnsi="Arial" w:cs="Arial"/>
        </w:rPr>
        <w:t xml:space="preserve"> no longer requires information provided by VOA they must inform VOA so that transfers can be halted.</w:t>
      </w:r>
      <w:r w:rsidR="00654EDC" w:rsidRPr="007D0E2A">
        <w:rPr>
          <w:rFonts w:ascii="Arial" w:hAnsi="Arial" w:cs="Arial"/>
        </w:rPr>
        <w:t xml:space="preserve"> </w:t>
      </w:r>
      <w:r w:rsidR="007B263F" w:rsidRPr="007D0E2A">
        <w:rPr>
          <w:rFonts w:ascii="Arial" w:hAnsi="Arial" w:cs="Arial"/>
        </w:rPr>
        <w:t xml:space="preserve"> </w:t>
      </w:r>
      <w:r w:rsidR="007D0E2A" w:rsidRPr="007D0E2A">
        <w:rPr>
          <w:rFonts w:ascii="Arial" w:hAnsi="Arial" w:cs="Arial"/>
        </w:rPr>
        <w:t>The Billing Authority</w:t>
      </w:r>
      <w:r w:rsidR="00654EDC" w:rsidRPr="007D0E2A">
        <w:rPr>
          <w:rFonts w:ascii="Arial" w:hAnsi="Arial" w:cs="Arial"/>
        </w:rPr>
        <w:t xml:space="preserve"> must securely destroy all </w:t>
      </w:r>
      <w:r w:rsidR="004A3FE9" w:rsidRPr="007D0E2A">
        <w:rPr>
          <w:rFonts w:ascii="Arial" w:hAnsi="Arial" w:cs="Arial"/>
        </w:rPr>
        <w:t xml:space="preserve">information </w:t>
      </w:r>
      <w:r w:rsidR="00654EDC" w:rsidRPr="007D0E2A">
        <w:rPr>
          <w:rFonts w:ascii="Arial" w:hAnsi="Arial" w:cs="Arial"/>
        </w:rPr>
        <w:t>in bot</w:t>
      </w:r>
      <w:r w:rsidR="00E10D96" w:rsidRPr="007D0E2A">
        <w:rPr>
          <w:rFonts w:ascii="Arial" w:hAnsi="Arial" w:cs="Arial"/>
        </w:rPr>
        <w:t>h hard and soft copy</w:t>
      </w:r>
      <w:r w:rsidR="00AA77ED" w:rsidRPr="007D0E2A">
        <w:rPr>
          <w:rFonts w:ascii="Arial" w:hAnsi="Arial" w:cs="Arial"/>
        </w:rPr>
        <w:t>,</w:t>
      </w:r>
      <w:r w:rsidR="00100410" w:rsidRPr="007D0E2A">
        <w:rPr>
          <w:rFonts w:ascii="Arial" w:hAnsi="Arial" w:cs="Arial"/>
        </w:rPr>
        <w:t xml:space="preserve"> including </w:t>
      </w:r>
      <w:r w:rsidR="007903B5" w:rsidRPr="007D0E2A">
        <w:rPr>
          <w:rFonts w:ascii="Arial" w:hAnsi="Arial" w:cs="Arial"/>
        </w:rPr>
        <w:t xml:space="preserve">removal from </w:t>
      </w:r>
      <w:r w:rsidR="00100410" w:rsidRPr="007D0E2A">
        <w:rPr>
          <w:rFonts w:ascii="Arial" w:hAnsi="Arial" w:cs="Arial"/>
        </w:rPr>
        <w:t xml:space="preserve">any datasets the </w:t>
      </w:r>
      <w:r w:rsidR="00314413" w:rsidRPr="007D0E2A">
        <w:rPr>
          <w:rFonts w:ascii="Arial" w:hAnsi="Arial" w:cs="Arial"/>
        </w:rPr>
        <w:t>information</w:t>
      </w:r>
      <w:r w:rsidR="00100410" w:rsidRPr="007D0E2A">
        <w:rPr>
          <w:rFonts w:ascii="Arial" w:hAnsi="Arial" w:cs="Arial"/>
        </w:rPr>
        <w:t xml:space="preserve"> may</w:t>
      </w:r>
      <w:r w:rsidR="00DE61C6" w:rsidRPr="007D0E2A">
        <w:rPr>
          <w:rFonts w:ascii="Arial" w:hAnsi="Arial" w:cs="Arial"/>
        </w:rPr>
        <w:t xml:space="preserve"> </w:t>
      </w:r>
      <w:r w:rsidR="00E10D96" w:rsidRPr="007D0E2A">
        <w:rPr>
          <w:rFonts w:ascii="Arial" w:hAnsi="Arial" w:cs="Arial"/>
        </w:rPr>
        <w:t>when</w:t>
      </w:r>
      <w:r w:rsidR="00654EDC" w:rsidRPr="007D0E2A">
        <w:rPr>
          <w:rFonts w:ascii="Arial" w:hAnsi="Arial" w:cs="Arial"/>
        </w:rPr>
        <w:t xml:space="preserve"> they no longer have a business need to retain it.</w:t>
      </w:r>
      <w:r w:rsidR="00921BB7" w:rsidRPr="007D0E2A">
        <w:rPr>
          <w:rFonts w:ascii="Arial" w:hAnsi="Arial" w:cs="Arial"/>
        </w:rPr>
        <w:br/>
      </w:r>
    </w:p>
    <w:p w14:paraId="78E2AB20" w14:textId="77777777" w:rsidR="008057E9" w:rsidRDefault="00D0596A" w:rsidP="00D0596A">
      <w:pPr>
        <w:pStyle w:val="ListParagraph"/>
        <w:numPr>
          <w:ilvl w:val="1"/>
          <w:numId w:val="1"/>
        </w:numPr>
        <w:ind w:left="1134" w:hanging="774"/>
        <w:rPr>
          <w:rFonts w:ascii="Arial" w:hAnsi="Arial" w:cs="Arial"/>
        </w:rPr>
      </w:pPr>
      <w:r w:rsidRPr="007D0E2A">
        <w:rPr>
          <w:rFonts w:ascii="Arial" w:hAnsi="Arial" w:cs="Arial"/>
        </w:rPr>
        <w:t xml:space="preserve">If changes to this agreement are needed, notification should be sent to the VOA contact listed in Annex B. </w:t>
      </w:r>
    </w:p>
    <w:p w14:paraId="46761312" w14:textId="2ACBF565" w:rsidR="00871879" w:rsidRDefault="00F77CF4" w:rsidP="008057E9">
      <w:pPr>
        <w:pStyle w:val="ListParagraph"/>
        <w:ind w:left="1134"/>
        <w:rPr>
          <w:rFonts w:ascii="Arial" w:hAnsi="Arial" w:cs="Arial"/>
        </w:rPr>
      </w:pPr>
      <w:r w:rsidRPr="007D0E2A">
        <w:rPr>
          <w:rFonts w:ascii="Arial" w:hAnsi="Arial" w:cs="Arial"/>
        </w:rPr>
        <w:br/>
      </w:r>
    </w:p>
    <w:p w14:paraId="272448DB" w14:textId="77777777" w:rsidR="00B14776" w:rsidRDefault="00B14776" w:rsidP="008057E9">
      <w:pPr>
        <w:pStyle w:val="ListParagraph"/>
        <w:ind w:left="1134"/>
        <w:rPr>
          <w:rFonts w:ascii="Arial" w:hAnsi="Arial" w:cs="Arial"/>
        </w:rPr>
      </w:pPr>
    </w:p>
    <w:p w14:paraId="360BBA99" w14:textId="77777777" w:rsidR="00B14776" w:rsidRDefault="00B14776" w:rsidP="008057E9">
      <w:pPr>
        <w:pStyle w:val="ListParagraph"/>
        <w:ind w:left="1134"/>
        <w:rPr>
          <w:rFonts w:ascii="Arial" w:hAnsi="Arial" w:cs="Arial"/>
        </w:rPr>
      </w:pPr>
    </w:p>
    <w:p w14:paraId="7B024C88" w14:textId="77777777" w:rsidR="00B14776" w:rsidRPr="007D0E2A" w:rsidRDefault="00B14776" w:rsidP="008057E9">
      <w:pPr>
        <w:pStyle w:val="ListParagraph"/>
        <w:ind w:left="1134"/>
        <w:rPr>
          <w:rFonts w:ascii="Arial" w:hAnsi="Arial" w:cs="Arial"/>
        </w:rPr>
      </w:pPr>
    </w:p>
    <w:p w14:paraId="3AC66392" w14:textId="77777777" w:rsidR="0036464F" w:rsidRPr="007D0E2A" w:rsidRDefault="004C4F33" w:rsidP="008316D6">
      <w:pPr>
        <w:pStyle w:val="ListParagraph"/>
        <w:numPr>
          <w:ilvl w:val="0"/>
          <w:numId w:val="1"/>
        </w:numPr>
        <w:spacing w:before="240" w:line="276" w:lineRule="auto"/>
        <w:rPr>
          <w:rFonts w:ascii="Arial" w:hAnsi="Arial" w:cs="Arial"/>
          <w:b/>
        </w:rPr>
      </w:pPr>
      <w:r w:rsidRPr="007D0E2A">
        <w:rPr>
          <w:rFonts w:ascii="Arial" w:hAnsi="Arial" w:cs="Arial"/>
          <w:b/>
        </w:rPr>
        <w:t>Recovery Costs</w:t>
      </w:r>
    </w:p>
    <w:p w14:paraId="67E69D32" w14:textId="77777777" w:rsidR="00F468C7" w:rsidRPr="007D0E2A" w:rsidRDefault="00F468C7" w:rsidP="008316D6">
      <w:pPr>
        <w:pStyle w:val="ListParagraph"/>
        <w:spacing w:before="240" w:line="276" w:lineRule="auto"/>
        <w:ind w:left="360"/>
        <w:rPr>
          <w:rFonts w:ascii="Arial" w:hAnsi="Arial" w:cs="Arial"/>
          <w:b/>
        </w:rPr>
      </w:pPr>
    </w:p>
    <w:p w14:paraId="54B63195" w14:textId="02E05092" w:rsidR="00913636" w:rsidRPr="002676A8" w:rsidRDefault="00913636" w:rsidP="002676A8">
      <w:pPr>
        <w:pStyle w:val="ListParagraph"/>
        <w:numPr>
          <w:ilvl w:val="1"/>
          <w:numId w:val="10"/>
        </w:numPr>
        <w:overflowPunct w:val="0"/>
        <w:autoSpaceDE w:val="0"/>
        <w:autoSpaceDN w:val="0"/>
        <w:adjustRightInd w:val="0"/>
        <w:spacing w:after="0" w:line="360" w:lineRule="auto"/>
        <w:textAlignment w:val="baseline"/>
        <w:rPr>
          <w:rFonts w:ascii="Arial" w:eastAsia="Times New Roman" w:hAnsi="Arial" w:cs="Arial"/>
          <w:color w:val="000000" w:themeColor="text1"/>
          <w:sz w:val="24"/>
          <w:szCs w:val="24"/>
          <w:lang w:eastAsia="en-GB"/>
        </w:rPr>
      </w:pPr>
      <w:r w:rsidRPr="002676A8">
        <w:rPr>
          <w:rFonts w:ascii="Arial" w:eastAsia="Times New Roman" w:hAnsi="Arial" w:cs="Arial"/>
          <w:color w:val="000000" w:themeColor="text1"/>
          <w:sz w:val="24"/>
          <w:szCs w:val="24"/>
          <w:lang w:eastAsia="en-GB"/>
        </w:rPr>
        <w:t>The Welsh Government currently fund the establishment and provision of data via</w:t>
      </w:r>
      <w:r w:rsidR="00D35D54" w:rsidRPr="002676A8">
        <w:rPr>
          <w:rFonts w:ascii="Arial" w:eastAsia="Times New Roman" w:hAnsi="Arial" w:cs="Arial"/>
          <w:color w:val="000000" w:themeColor="text1"/>
          <w:sz w:val="24"/>
          <w:szCs w:val="24"/>
          <w:lang w:eastAsia="en-GB"/>
        </w:rPr>
        <w:t xml:space="preserve"> the Local Authority Gateway</w:t>
      </w:r>
      <w:r w:rsidRPr="002676A8">
        <w:rPr>
          <w:rFonts w:ascii="Arial" w:eastAsia="Times New Roman" w:hAnsi="Arial" w:cs="Arial"/>
          <w:color w:val="000000" w:themeColor="text1"/>
          <w:sz w:val="24"/>
          <w:szCs w:val="24"/>
          <w:lang w:eastAsia="en-GB"/>
        </w:rPr>
        <w:t xml:space="preserve"> for Welsh local authorities. </w:t>
      </w:r>
    </w:p>
    <w:p w14:paraId="6C990EBF" w14:textId="727FA736" w:rsidR="00913636" w:rsidRPr="002676A8" w:rsidRDefault="00913636" w:rsidP="002676A8">
      <w:pPr>
        <w:pStyle w:val="ListParagraph"/>
        <w:numPr>
          <w:ilvl w:val="1"/>
          <w:numId w:val="10"/>
        </w:numPr>
        <w:overflowPunct w:val="0"/>
        <w:autoSpaceDE w:val="0"/>
        <w:autoSpaceDN w:val="0"/>
        <w:adjustRightInd w:val="0"/>
        <w:spacing w:after="0" w:line="360" w:lineRule="auto"/>
        <w:textAlignment w:val="baseline"/>
        <w:rPr>
          <w:rFonts w:ascii="Arial" w:eastAsia="Times New Roman" w:hAnsi="Arial" w:cs="Arial"/>
          <w:color w:val="000000" w:themeColor="text1"/>
          <w:sz w:val="24"/>
          <w:szCs w:val="24"/>
          <w:lang w:eastAsia="en-GB"/>
        </w:rPr>
      </w:pPr>
      <w:r w:rsidRPr="002676A8">
        <w:rPr>
          <w:rFonts w:ascii="Arial" w:hAnsi="Arial" w:cs="Arial"/>
          <w:color w:val="000000" w:themeColor="text1"/>
          <w:sz w:val="24"/>
          <w:szCs w:val="24"/>
        </w:rPr>
        <w:t>The VOA are not charging for the supply of this information at present, but reserve the right to recover any costs associated with producing and transferring information in the future, should this funding arrangement change.</w:t>
      </w:r>
    </w:p>
    <w:p w14:paraId="46D7ABA0" w14:textId="2683CFE2" w:rsidR="00913636" w:rsidRPr="002676A8" w:rsidRDefault="00913636" w:rsidP="002676A8">
      <w:pPr>
        <w:pStyle w:val="ListParagraph"/>
        <w:numPr>
          <w:ilvl w:val="1"/>
          <w:numId w:val="10"/>
        </w:numPr>
        <w:overflowPunct w:val="0"/>
        <w:autoSpaceDE w:val="0"/>
        <w:autoSpaceDN w:val="0"/>
        <w:adjustRightInd w:val="0"/>
        <w:spacing w:after="0" w:line="360" w:lineRule="auto"/>
        <w:textAlignment w:val="baseline"/>
        <w:rPr>
          <w:rFonts w:ascii="Arial" w:eastAsia="Times New Roman" w:hAnsi="Arial" w:cs="Arial"/>
          <w:color w:val="000000" w:themeColor="text1"/>
          <w:sz w:val="24"/>
          <w:szCs w:val="24"/>
          <w:lang w:eastAsia="en-GB"/>
        </w:rPr>
      </w:pPr>
      <w:r w:rsidRPr="002676A8">
        <w:rPr>
          <w:rFonts w:ascii="Arial" w:eastAsia="Times New Roman" w:hAnsi="Arial" w:cs="Arial"/>
          <w:color w:val="000000" w:themeColor="text1"/>
          <w:sz w:val="24"/>
          <w:szCs w:val="24"/>
          <w:lang w:eastAsia="en-GB"/>
        </w:rPr>
        <w:t>Any such cost recovery charges would be subject to discussion with local authorities ahead of charges being applied, with the option for local authorities to opt-out of any data sharing arrangement.</w:t>
      </w:r>
    </w:p>
    <w:p w14:paraId="6474DC8B" w14:textId="77777777" w:rsidR="003F1F39" w:rsidRPr="002676A8" w:rsidRDefault="003F1F39" w:rsidP="008316D6">
      <w:pPr>
        <w:pStyle w:val="ListParagraph"/>
        <w:spacing w:before="240"/>
        <w:ind w:left="1134"/>
        <w:rPr>
          <w:rFonts w:ascii="Arial" w:hAnsi="Arial" w:cs="Arial"/>
          <w:color w:val="000000" w:themeColor="text1"/>
        </w:rPr>
      </w:pPr>
    </w:p>
    <w:p w14:paraId="723DBC20" w14:textId="77777777" w:rsidR="00D42D2D" w:rsidRPr="007D0E2A" w:rsidRDefault="00D42D2D" w:rsidP="008316D6">
      <w:pPr>
        <w:pStyle w:val="ListParagraph"/>
        <w:spacing w:before="240"/>
        <w:ind w:left="1134"/>
        <w:rPr>
          <w:rFonts w:ascii="Arial" w:hAnsi="Arial" w:cs="Arial"/>
        </w:rPr>
      </w:pPr>
    </w:p>
    <w:p w14:paraId="45670C97" w14:textId="77777777" w:rsidR="003F1F39" w:rsidRPr="007D0E2A" w:rsidRDefault="003F1F39" w:rsidP="008316D6">
      <w:pPr>
        <w:pStyle w:val="ListParagraph"/>
        <w:numPr>
          <w:ilvl w:val="0"/>
          <w:numId w:val="1"/>
        </w:numPr>
        <w:spacing w:before="240"/>
        <w:rPr>
          <w:rFonts w:ascii="Arial" w:hAnsi="Arial" w:cs="Arial"/>
          <w:b/>
        </w:rPr>
      </w:pPr>
      <w:r w:rsidRPr="007D0E2A">
        <w:rPr>
          <w:rFonts w:ascii="Arial" w:hAnsi="Arial" w:cs="Arial"/>
          <w:b/>
        </w:rPr>
        <w:t>Review of agreement</w:t>
      </w:r>
    </w:p>
    <w:p w14:paraId="1D5AC52A" w14:textId="77777777" w:rsidR="00F468C7" w:rsidRPr="007D0E2A" w:rsidRDefault="00F468C7" w:rsidP="008316D6">
      <w:pPr>
        <w:pStyle w:val="ListParagraph"/>
        <w:spacing w:before="240"/>
        <w:ind w:left="360"/>
        <w:rPr>
          <w:rFonts w:ascii="Arial" w:hAnsi="Arial" w:cs="Arial"/>
          <w:b/>
        </w:rPr>
      </w:pPr>
    </w:p>
    <w:p w14:paraId="3E4A9A99" w14:textId="77777777" w:rsidR="00573ECE" w:rsidRPr="007D0E2A" w:rsidRDefault="00573ECE" w:rsidP="008316D6">
      <w:pPr>
        <w:pStyle w:val="ListParagraph"/>
        <w:numPr>
          <w:ilvl w:val="1"/>
          <w:numId w:val="1"/>
        </w:numPr>
        <w:spacing w:before="240"/>
        <w:ind w:left="1134" w:hanging="774"/>
        <w:rPr>
          <w:rFonts w:ascii="Arial" w:hAnsi="Arial" w:cs="Arial"/>
        </w:rPr>
      </w:pPr>
      <w:r w:rsidRPr="007D0E2A">
        <w:rPr>
          <w:rFonts w:ascii="Arial" w:hAnsi="Arial" w:cs="Arial"/>
        </w:rPr>
        <w:t>This agreement will be review</w:t>
      </w:r>
      <w:r w:rsidR="00D43472" w:rsidRPr="007D0E2A">
        <w:rPr>
          <w:rFonts w:ascii="Arial" w:hAnsi="Arial" w:cs="Arial"/>
        </w:rPr>
        <w:t xml:space="preserve">ed by both parties on a three yearly </w:t>
      </w:r>
      <w:r w:rsidRPr="007D0E2A">
        <w:rPr>
          <w:rFonts w:ascii="Arial" w:hAnsi="Arial" w:cs="Arial"/>
        </w:rPr>
        <w:t>basis</w:t>
      </w:r>
      <w:r w:rsidR="00D43472" w:rsidRPr="007D0E2A">
        <w:rPr>
          <w:rFonts w:ascii="Arial" w:hAnsi="Arial" w:cs="Arial"/>
        </w:rPr>
        <w:t xml:space="preserve"> from the date of the document shown on the first page.</w:t>
      </w:r>
    </w:p>
    <w:p w14:paraId="4F19BE37" w14:textId="77777777" w:rsidR="00D42D2D" w:rsidRPr="007D0E2A" w:rsidRDefault="00D42D2D" w:rsidP="00D42D2D">
      <w:pPr>
        <w:pStyle w:val="ListParagraph"/>
        <w:spacing w:before="240"/>
        <w:ind w:left="1134"/>
        <w:rPr>
          <w:rFonts w:ascii="Arial" w:hAnsi="Arial" w:cs="Arial"/>
        </w:rPr>
      </w:pPr>
    </w:p>
    <w:p w14:paraId="29A32DA2" w14:textId="77777777" w:rsidR="003C08D5" w:rsidRPr="007D0E2A" w:rsidRDefault="007F15C7">
      <w:pPr>
        <w:pStyle w:val="ListParagraph"/>
        <w:numPr>
          <w:ilvl w:val="1"/>
          <w:numId w:val="1"/>
        </w:numPr>
        <w:spacing w:before="240"/>
        <w:ind w:left="1134" w:hanging="774"/>
        <w:rPr>
          <w:rFonts w:ascii="Arial" w:hAnsi="Arial" w:cs="Arial"/>
        </w:rPr>
      </w:pPr>
      <w:r w:rsidRPr="007D0E2A">
        <w:rPr>
          <w:rFonts w:ascii="Arial" w:hAnsi="Arial" w:cs="Arial"/>
        </w:rPr>
        <w:t xml:space="preserve">Reviews of this agreement can be called </w:t>
      </w:r>
      <w:r w:rsidR="00573ECE" w:rsidRPr="007D0E2A">
        <w:rPr>
          <w:rFonts w:ascii="Arial" w:hAnsi="Arial" w:cs="Arial"/>
        </w:rPr>
        <w:t xml:space="preserve">at any time </w:t>
      </w:r>
      <w:r w:rsidRPr="007D0E2A">
        <w:rPr>
          <w:rFonts w:ascii="Arial" w:hAnsi="Arial" w:cs="Arial"/>
        </w:rPr>
        <w:t>by represe</w:t>
      </w:r>
      <w:r w:rsidR="00544165" w:rsidRPr="007D0E2A">
        <w:rPr>
          <w:rFonts w:ascii="Arial" w:hAnsi="Arial" w:cs="Arial"/>
        </w:rPr>
        <w:t>ntatives of either organisation as listed in Annex B.</w:t>
      </w:r>
    </w:p>
    <w:p w14:paraId="741A57AC" w14:textId="77777777" w:rsidR="003C08D5" w:rsidRPr="007D0E2A" w:rsidRDefault="003C08D5">
      <w:pPr>
        <w:pStyle w:val="ListParagraph"/>
        <w:spacing w:before="240"/>
        <w:ind w:left="1134"/>
        <w:rPr>
          <w:rFonts w:ascii="Arial" w:hAnsi="Arial" w:cs="Arial"/>
        </w:rPr>
      </w:pPr>
    </w:p>
    <w:p w14:paraId="31A247B0" w14:textId="093E4726" w:rsidR="003C08D5" w:rsidRPr="007D0E2A" w:rsidRDefault="00830A24">
      <w:pPr>
        <w:pStyle w:val="ListParagraph"/>
        <w:numPr>
          <w:ilvl w:val="1"/>
          <w:numId w:val="1"/>
        </w:numPr>
        <w:spacing w:before="240"/>
        <w:ind w:left="1134" w:hanging="774"/>
        <w:rPr>
          <w:rFonts w:ascii="Arial" w:hAnsi="Arial" w:cs="Arial"/>
        </w:rPr>
      </w:pPr>
      <w:r w:rsidRPr="007D0E2A">
        <w:rPr>
          <w:rFonts w:ascii="Arial" w:hAnsi="Arial" w:cs="Arial"/>
        </w:rPr>
        <w:t xml:space="preserve">Annexes A, </w:t>
      </w:r>
      <w:r w:rsidR="007903B5" w:rsidRPr="007D0E2A">
        <w:rPr>
          <w:rFonts w:ascii="Arial" w:hAnsi="Arial" w:cs="Arial"/>
        </w:rPr>
        <w:t>B</w:t>
      </w:r>
      <w:r w:rsidR="0049163E" w:rsidRPr="007D0E2A">
        <w:rPr>
          <w:rFonts w:ascii="Arial" w:hAnsi="Arial" w:cs="Arial"/>
        </w:rPr>
        <w:t xml:space="preserve"> and C</w:t>
      </w:r>
      <w:r w:rsidR="00B14ADE" w:rsidRPr="007D0E2A">
        <w:rPr>
          <w:rFonts w:ascii="Arial" w:hAnsi="Arial" w:cs="Arial"/>
        </w:rPr>
        <w:t xml:space="preserve"> can be updated without the need to validate through signature.</w:t>
      </w:r>
    </w:p>
    <w:p w14:paraId="39A4FB7C" w14:textId="77777777" w:rsidR="003F1F39" w:rsidRPr="007D0E2A" w:rsidRDefault="003F1F39">
      <w:pPr>
        <w:rPr>
          <w:rFonts w:ascii="Arial" w:hAnsi="Arial" w:cs="Arial"/>
          <w:b/>
        </w:rPr>
      </w:pPr>
      <w:r w:rsidRPr="007D0E2A">
        <w:rPr>
          <w:rFonts w:ascii="Arial" w:hAnsi="Arial" w:cs="Arial"/>
          <w:b/>
        </w:rPr>
        <w:br w:type="page"/>
      </w:r>
    </w:p>
    <w:p w14:paraId="0950A801" w14:textId="77777777" w:rsidR="003F1F39" w:rsidRPr="007D0E2A" w:rsidRDefault="000B35C9" w:rsidP="0096199E">
      <w:pPr>
        <w:pStyle w:val="ListParagraph"/>
        <w:numPr>
          <w:ilvl w:val="0"/>
          <w:numId w:val="1"/>
        </w:numPr>
        <w:rPr>
          <w:rFonts w:ascii="Arial" w:hAnsi="Arial" w:cs="Arial"/>
        </w:rPr>
      </w:pPr>
      <w:r w:rsidRPr="007D0E2A">
        <w:rPr>
          <w:rFonts w:ascii="Arial" w:hAnsi="Arial" w:cs="Arial"/>
          <w:b/>
        </w:rPr>
        <w:lastRenderedPageBreak/>
        <w:t>Signatories</w:t>
      </w:r>
    </w:p>
    <w:p w14:paraId="7649EDAD" w14:textId="77777777" w:rsidR="00C21191" w:rsidRPr="007D0E2A" w:rsidRDefault="00C21191" w:rsidP="00C21191">
      <w:pPr>
        <w:pStyle w:val="ListParagraph"/>
        <w:ind w:left="360"/>
        <w:rPr>
          <w:rFonts w:ascii="Arial" w:hAnsi="Arial" w:cs="Arial"/>
        </w:rPr>
      </w:pPr>
    </w:p>
    <w:p w14:paraId="0D2FF259" w14:textId="77777777" w:rsidR="00C21191" w:rsidRPr="007D0E2A" w:rsidRDefault="00C21191" w:rsidP="00C21191">
      <w:pPr>
        <w:pStyle w:val="ListParagraph"/>
        <w:ind w:left="360"/>
        <w:rPr>
          <w:rFonts w:ascii="Arial" w:hAnsi="Arial" w:cs="Arial"/>
        </w:rPr>
      </w:pPr>
    </w:p>
    <w:p w14:paraId="0370F469" w14:textId="77777777" w:rsidR="00C21191" w:rsidRPr="007D0E2A" w:rsidRDefault="00C21191" w:rsidP="00C21191">
      <w:pPr>
        <w:rPr>
          <w:rFonts w:ascii="Arial" w:hAnsi="Arial" w:cs="Arial"/>
          <w:b/>
        </w:rPr>
      </w:pPr>
      <w:r w:rsidRPr="007D0E2A">
        <w:rPr>
          <w:rFonts w:ascii="Arial" w:hAnsi="Arial" w:cs="Arial"/>
          <w:b/>
        </w:rPr>
        <w:t>Signed on behalf of the Valuation Office Agency</w:t>
      </w:r>
    </w:p>
    <w:p w14:paraId="1F5D1CD7" w14:textId="77777777" w:rsidR="00830A24" w:rsidRPr="007D0E2A" w:rsidRDefault="00830A24" w:rsidP="00C21191">
      <w:pPr>
        <w:rPr>
          <w:rFonts w:ascii="Arial" w:hAnsi="Arial" w:cs="Arial"/>
          <w:b/>
        </w:rPr>
      </w:pPr>
    </w:p>
    <w:tbl>
      <w:tblPr>
        <w:tblStyle w:val="TableGrid"/>
        <w:tblW w:w="0" w:type="auto"/>
        <w:tblLook w:val="04A0" w:firstRow="1" w:lastRow="0" w:firstColumn="1" w:lastColumn="0" w:noHBand="0" w:noVBand="1"/>
      </w:tblPr>
      <w:tblGrid>
        <w:gridCol w:w="1650"/>
        <w:gridCol w:w="7366"/>
      </w:tblGrid>
      <w:tr w:rsidR="004C4F33" w:rsidRPr="007D0E2A" w14:paraId="646E75C5" w14:textId="77777777" w:rsidTr="00544165">
        <w:tc>
          <w:tcPr>
            <w:tcW w:w="1668" w:type="dxa"/>
          </w:tcPr>
          <w:p w14:paraId="52281C87" w14:textId="77777777" w:rsidR="00D76FC8" w:rsidRPr="007D0E2A" w:rsidRDefault="00D76FC8" w:rsidP="00C21191">
            <w:pPr>
              <w:rPr>
                <w:rFonts w:ascii="Arial" w:hAnsi="Arial" w:cs="Arial"/>
                <w:b/>
              </w:rPr>
            </w:pPr>
          </w:p>
          <w:p w14:paraId="67DB3843" w14:textId="77777777" w:rsidR="004C4F33" w:rsidRPr="007D0E2A" w:rsidRDefault="004C4F33" w:rsidP="00C21191">
            <w:pPr>
              <w:rPr>
                <w:rFonts w:ascii="Arial" w:hAnsi="Arial" w:cs="Arial"/>
                <w:b/>
              </w:rPr>
            </w:pPr>
            <w:r w:rsidRPr="007D0E2A">
              <w:rPr>
                <w:rFonts w:ascii="Arial" w:hAnsi="Arial" w:cs="Arial"/>
                <w:b/>
              </w:rPr>
              <w:t>Name</w:t>
            </w:r>
          </w:p>
          <w:p w14:paraId="600A5EA5" w14:textId="77777777" w:rsidR="004C4F33" w:rsidRPr="007D0E2A" w:rsidRDefault="004C4F33" w:rsidP="00C21191">
            <w:pPr>
              <w:rPr>
                <w:rFonts w:ascii="Arial" w:hAnsi="Arial" w:cs="Arial"/>
                <w:b/>
              </w:rPr>
            </w:pPr>
          </w:p>
        </w:tc>
        <w:tc>
          <w:tcPr>
            <w:tcW w:w="7574" w:type="dxa"/>
          </w:tcPr>
          <w:p w14:paraId="08DDC6E6" w14:textId="77777777" w:rsidR="00D76FC8" w:rsidRPr="007D0E2A" w:rsidRDefault="00D76FC8" w:rsidP="00C21191">
            <w:pPr>
              <w:rPr>
                <w:rFonts w:ascii="Arial" w:hAnsi="Arial" w:cs="Arial"/>
              </w:rPr>
            </w:pPr>
          </w:p>
          <w:p w14:paraId="3F2408B2" w14:textId="43F42D57" w:rsidR="004C4F33" w:rsidRPr="007D0E2A" w:rsidRDefault="00FB7730" w:rsidP="00DB063B">
            <w:pPr>
              <w:rPr>
                <w:rFonts w:ascii="Arial" w:hAnsi="Arial" w:cs="Arial"/>
              </w:rPr>
            </w:pPr>
            <w:r w:rsidRPr="007D0E2A">
              <w:rPr>
                <w:rFonts w:ascii="Arial" w:hAnsi="Arial" w:cs="Arial"/>
              </w:rPr>
              <w:t xml:space="preserve"> </w:t>
            </w:r>
            <w:r w:rsidR="006B51C9">
              <w:rPr>
                <w:rFonts w:ascii="Arial" w:hAnsi="Arial" w:cs="Arial"/>
              </w:rPr>
              <w:t>Adrian Ball</w:t>
            </w:r>
          </w:p>
        </w:tc>
      </w:tr>
      <w:tr w:rsidR="004C4F33" w:rsidRPr="007D0E2A" w14:paraId="18BC0C16" w14:textId="77777777" w:rsidTr="00544165">
        <w:tc>
          <w:tcPr>
            <w:tcW w:w="1668" w:type="dxa"/>
          </w:tcPr>
          <w:p w14:paraId="7CA8EFFD" w14:textId="77777777" w:rsidR="00D76FC8" w:rsidRPr="007D0E2A" w:rsidRDefault="00D76FC8" w:rsidP="00C21191">
            <w:pPr>
              <w:rPr>
                <w:rFonts w:ascii="Arial" w:hAnsi="Arial" w:cs="Arial"/>
                <w:b/>
              </w:rPr>
            </w:pPr>
          </w:p>
          <w:p w14:paraId="780BAC8D" w14:textId="77777777" w:rsidR="004C4F33" w:rsidRPr="007D0E2A" w:rsidRDefault="004C4F33" w:rsidP="00C21191">
            <w:pPr>
              <w:rPr>
                <w:rFonts w:ascii="Arial" w:hAnsi="Arial" w:cs="Arial"/>
                <w:b/>
              </w:rPr>
            </w:pPr>
            <w:r w:rsidRPr="007D0E2A">
              <w:rPr>
                <w:rFonts w:ascii="Arial" w:hAnsi="Arial" w:cs="Arial"/>
                <w:b/>
              </w:rPr>
              <w:t xml:space="preserve">Signature </w:t>
            </w:r>
          </w:p>
          <w:p w14:paraId="72E78FEF" w14:textId="77777777" w:rsidR="004C4F33" w:rsidRPr="007D0E2A" w:rsidRDefault="004C4F33" w:rsidP="00C21191">
            <w:pPr>
              <w:rPr>
                <w:rFonts w:ascii="Arial" w:hAnsi="Arial" w:cs="Arial"/>
                <w:b/>
              </w:rPr>
            </w:pPr>
          </w:p>
        </w:tc>
        <w:tc>
          <w:tcPr>
            <w:tcW w:w="7574" w:type="dxa"/>
          </w:tcPr>
          <w:p w14:paraId="3889C7A0" w14:textId="097C3E19" w:rsidR="004C4F33" w:rsidRPr="007D0E2A" w:rsidRDefault="006B51C9" w:rsidP="00C21191">
            <w:pPr>
              <w:rPr>
                <w:rFonts w:ascii="Arial" w:hAnsi="Arial" w:cs="Arial"/>
              </w:rPr>
            </w:pPr>
            <w:r>
              <w:rPr>
                <w:rFonts w:cs="Arial"/>
                <w:noProof/>
                <w:color w:val="0000FF"/>
                <w:sz w:val="20"/>
                <w:szCs w:val="20"/>
                <w:lang w:eastAsia="en-GB"/>
              </w:rPr>
              <w:drawing>
                <wp:inline distT="0" distB="0" distL="0" distR="0" wp14:anchorId="7E66F03D" wp14:editId="4E1B45FA">
                  <wp:extent cx="1506855" cy="760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6855" cy="760730"/>
                          </a:xfrm>
                          <a:prstGeom prst="rect">
                            <a:avLst/>
                          </a:prstGeom>
                          <a:noFill/>
                          <a:ln>
                            <a:noFill/>
                          </a:ln>
                        </pic:spPr>
                      </pic:pic>
                    </a:graphicData>
                  </a:graphic>
                </wp:inline>
              </w:drawing>
            </w:r>
          </w:p>
        </w:tc>
      </w:tr>
      <w:tr w:rsidR="004C4F33" w:rsidRPr="007D0E2A" w14:paraId="4994251B" w14:textId="77777777" w:rsidTr="00544165">
        <w:tc>
          <w:tcPr>
            <w:tcW w:w="1668" w:type="dxa"/>
          </w:tcPr>
          <w:p w14:paraId="01285BFF" w14:textId="77777777" w:rsidR="00D76FC8" w:rsidRPr="007D0E2A" w:rsidRDefault="00D76FC8" w:rsidP="00C21191">
            <w:pPr>
              <w:rPr>
                <w:rFonts w:ascii="Arial" w:hAnsi="Arial" w:cs="Arial"/>
                <w:b/>
              </w:rPr>
            </w:pPr>
          </w:p>
          <w:p w14:paraId="045DFB5D" w14:textId="77777777" w:rsidR="004C4F33" w:rsidRPr="007D0E2A" w:rsidRDefault="004C4F33" w:rsidP="00C21191">
            <w:pPr>
              <w:rPr>
                <w:rFonts w:ascii="Arial" w:hAnsi="Arial" w:cs="Arial"/>
                <w:b/>
              </w:rPr>
            </w:pPr>
            <w:r w:rsidRPr="007D0E2A">
              <w:rPr>
                <w:rFonts w:ascii="Arial" w:hAnsi="Arial" w:cs="Arial"/>
                <w:b/>
              </w:rPr>
              <w:t>Position</w:t>
            </w:r>
          </w:p>
          <w:p w14:paraId="2480DB55" w14:textId="77777777" w:rsidR="004C4F33" w:rsidRPr="007D0E2A" w:rsidRDefault="004C4F33" w:rsidP="00C21191">
            <w:pPr>
              <w:rPr>
                <w:rFonts w:ascii="Arial" w:hAnsi="Arial" w:cs="Arial"/>
                <w:b/>
              </w:rPr>
            </w:pPr>
          </w:p>
        </w:tc>
        <w:tc>
          <w:tcPr>
            <w:tcW w:w="7574" w:type="dxa"/>
          </w:tcPr>
          <w:p w14:paraId="7E6B01DB" w14:textId="77777777" w:rsidR="00D76FC8" w:rsidRPr="007D0E2A" w:rsidRDefault="00D76FC8" w:rsidP="00C21191">
            <w:pPr>
              <w:rPr>
                <w:rFonts w:ascii="Arial" w:hAnsi="Arial" w:cs="Arial"/>
              </w:rPr>
            </w:pPr>
          </w:p>
          <w:p w14:paraId="6A333564" w14:textId="60A59AEB" w:rsidR="004C4F33" w:rsidRPr="007D0E2A" w:rsidRDefault="006B51C9" w:rsidP="00C21191">
            <w:pPr>
              <w:rPr>
                <w:rFonts w:ascii="Arial" w:hAnsi="Arial" w:cs="Arial"/>
              </w:rPr>
            </w:pPr>
            <w:r>
              <w:rPr>
                <w:rFonts w:ascii="Arial" w:hAnsi="Arial" w:cs="Arial"/>
              </w:rPr>
              <w:t>Director, Information and Analysis</w:t>
            </w:r>
          </w:p>
        </w:tc>
      </w:tr>
      <w:tr w:rsidR="004C4F33" w14:paraId="00FF987E" w14:textId="77777777" w:rsidTr="00544165">
        <w:tc>
          <w:tcPr>
            <w:tcW w:w="1668" w:type="dxa"/>
          </w:tcPr>
          <w:p w14:paraId="5360463D" w14:textId="77777777" w:rsidR="00D76FC8" w:rsidRPr="007D0E2A" w:rsidRDefault="00D76FC8" w:rsidP="00C21191">
            <w:pPr>
              <w:rPr>
                <w:rFonts w:ascii="Arial" w:hAnsi="Arial" w:cs="Arial"/>
                <w:b/>
              </w:rPr>
            </w:pPr>
          </w:p>
          <w:p w14:paraId="2F736C4D" w14:textId="77777777" w:rsidR="004C4F33" w:rsidRPr="00D76FC8" w:rsidRDefault="004C4F33" w:rsidP="00C21191">
            <w:pPr>
              <w:rPr>
                <w:rFonts w:ascii="Arial" w:hAnsi="Arial" w:cs="Arial"/>
                <w:b/>
              </w:rPr>
            </w:pPr>
            <w:r w:rsidRPr="007D0E2A">
              <w:rPr>
                <w:rFonts w:ascii="Arial" w:hAnsi="Arial" w:cs="Arial"/>
                <w:b/>
              </w:rPr>
              <w:t>Date</w:t>
            </w:r>
          </w:p>
          <w:p w14:paraId="7A0E8D27" w14:textId="77777777" w:rsidR="004C4F33" w:rsidRPr="00D76FC8" w:rsidRDefault="004C4F33" w:rsidP="00C21191">
            <w:pPr>
              <w:rPr>
                <w:rFonts w:ascii="Arial" w:hAnsi="Arial" w:cs="Arial"/>
                <w:b/>
              </w:rPr>
            </w:pPr>
          </w:p>
        </w:tc>
        <w:tc>
          <w:tcPr>
            <w:tcW w:w="7574" w:type="dxa"/>
          </w:tcPr>
          <w:p w14:paraId="1B4A0070" w14:textId="6D93E05E" w:rsidR="004C4F33" w:rsidRDefault="006B51C9" w:rsidP="00C21191">
            <w:pPr>
              <w:rPr>
                <w:rFonts w:ascii="Arial" w:hAnsi="Arial" w:cs="Arial"/>
              </w:rPr>
            </w:pPr>
            <w:r>
              <w:rPr>
                <w:rFonts w:ascii="Arial" w:hAnsi="Arial" w:cs="Arial"/>
              </w:rPr>
              <w:t>16/6/17</w:t>
            </w:r>
          </w:p>
        </w:tc>
      </w:tr>
    </w:tbl>
    <w:p w14:paraId="6889B80B" w14:textId="77777777" w:rsidR="00C21191" w:rsidRPr="00C21191" w:rsidRDefault="00C21191" w:rsidP="00C21191">
      <w:pPr>
        <w:rPr>
          <w:rFonts w:ascii="Arial" w:hAnsi="Arial" w:cs="Arial"/>
        </w:rPr>
      </w:pPr>
    </w:p>
    <w:p w14:paraId="06666687" w14:textId="77777777" w:rsidR="00C21191" w:rsidRPr="00C21191" w:rsidRDefault="00C21191" w:rsidP="00C21191">
      <w:pPr>
        <w:rPr>
          <w:rFonts w:ascii="Arial" w:hAnsi="Arial" w:cs="Arial"/>
          <w:b/>
        </w:rPr>
      </w:pPr>
    </w:p>
    <w:p w14:paraId="2177F088" w14:textId="77777777" w:rsidR="00C21191" w:rsidRPr="00C21191" w:rsidRDefault="00C21191" w:rsidP="00C21191">
      <w:pPr>
        <w:rPr>
          <w:rFonts w:ascii="Arial" w:hAnsi="Arial" w:cs="Arial"/>
          <w:b/>
        </w:rPr>
      </w:pPr>
    </w:p>
    <w:p w14:paraId="115360AF" w14:textId="77777777" w:rsidR="00C21191" w:rsidRPr="00C21191" w:rsidRDefault="00C21191" w:rsidP="00C21191">
      <w:pPr>
        <w:rPr>
          <w:rFonts w:ascii="Arial" w:hAnsi="Arial" w:cs="Arial"/>
          <w:b/>
        </w:rPr>
      </w:pPr>
    </w:p>
    <w:p w14:paraId="46B0D3CB" w14:textId="77777777" w:rsidR="007B263F" w:rsidRDefault="007B263F">
      <w:pPr>
        <w:rPr>
          <w:rFonts w:ascii="Arial" w:hAnsi="Arial" w:cs="Arial"/>
          <w:b/>
        </w:rPr>
      </w:pPr>
      <w:r>
        <w:rPr>
          <w:rFonts w:ascii="Arial" w:hAnsi="Arial" w:cs="Arial"/>
          <w:b/>
        </w:rPr>
        <w:br w:type="page"/>
      </w:r>
    </w:p>
    <w:p w14:paraId="08B9F1C2" w14:textId="77777777" w:rsidR="00C21191" w:rsidRPr="00C21191" w:rsidRDefault="00C21191" w:rsidP="00C21191">
      <w:pPr>
        <w:rPr>
          <w:rFonts w:ascii="Arial" w:hAnsi="Arial" w:cs="Arial"/>
          <w:b/>
        </w:rPr>
      </w:pPr>
    </w:p>
    <w:p w14:paraId="607C5F3D" w14:textId="77777777" w:rsidR="00C21191" w:rsidRPr="00C21191" w:rsidRDefault="00C21191" w:rsidP="00C21191">
      <w:pPr>
        <w:rPr>
          <w:rFonts w:ascii="Arial" w:hAnsi="Arial" w:cs="Arial"/>
          <w:b/>
        </w:rPr>
      </w:pPr>
    </w:p>
    <w:p w14:paraId="1E5E971B" w14:textId="6BE86C3F" w:rsidR="00C21191" w:rsidRPr="00C21191" w:rsidRDefault="00A05D48" w:rsidP="00C21191">
      <w:pPr>
        <w:rPr>
          <w:rFonts w:ascii="Arial" w:hAnsi="Arial" w:cs="Arial"/>
          <w:b/>
        </w:rPr>
      </w:pPr>
      <w:r>
        <w:rPr>
          <w:rFonts w:ascii="Arial" w:hAnsi="Arial" w:cs="Arial"/>
          <w:b/>
        </w:rPr>
        <w:t xml:space="preserve">Signed on behalf of </w:t>
      </w:r>
      <w:r w:rsidR="00FB7730" w:rsidRPr="00FB7730">
        <w:rPr>
          <w:rFonts w:ascii="Arial" w:hAnsi="Arial" w:cs="Arial"/>
          <w:bCs/>
          <w:highlight w:val="yellow"/>
        </w:rPr>
        <w:t>(</w:t>
      </w:r>
      <w:r w:rsidR="007D0E2A">
        <w:rPr>
          <w:rFonts w:ascii="Arial" w:hAnsi="Arial" w:cs="Arial"/>
          <w:bCs/>
          <w:highlight w:val="yellow"/>
        </w:rPr>
        <w:t xml:space="preserve">Insert </w:t>
      </w:r>
      <w:r w:rsidR="00A6242F">
        <w:rPr>
          <w:rFonts w:ascii="Arial" w:hAnsi="Arial" w:cs="Arial"/>
          <w:bCs/>
          <w:highlight w:val="yellow"/>
        </w:rPr>
        <w:t>BA Name</w:t>
      </w:r>
      <w:r w:rsidR="00FB7730" w:rsidRPr="00FB7730">
        <w:rPr>
          <w:rFonts w:ascii="Arial" w:hAnsi="Arial" w:cs="Arial"/>
          <w:bCs/>
          <w:highlight w:val="yellow"/>
        </w:rPr>
        <w:t>)</w:t>
      </w:r>
    </w:p>
    <w:p w14:paraId="2DD7A886" w14:textId="77777777" w:rsidR="004C4F33" w:rsidRPr="00C21191" w:rsidRDefault="004C4F33" w:rsidP="004C4F33">
      <w:pPr>
        <w:rPr>
          <w:rFonts w:ascii="Arial" w:hAnsi="Arial" w:cs="Arial"/>
          <w:b/>
        </w:rPr>
      </w:pPr>
    </w:p>
    <w:tbl>
      <w:tblPr>
        <w:tblStyle w:val="TableGrid"/>
        <w:tblW w:w="0" w:type="auto"/>
        <w:tblLook w:val="04A0" w:firstRow="1" w:lastRow="0" w:firstColumn="1" w:lastColumn="0" w:noHBand="0" w:noVBand="1"/>
      </w:tblPr>
      <w:tblGrid>
        <w:gridCol w:w="1517"/>
        <w:gridCol w:w="7499"/>
      </w:tblGrid>
      <w:tr w:rsidR="004C4F33" w14:paraId="009006BA" w14:textId="77777777" w:rsidTr="00895E63">
        <w:tc>
          <w:tcPr>
            <w:tcW w:w="1526" w:type="dxa"/>
          </w:tcPr>
          <w:p w14:paraId="4568DB9F" w14:textId="77777777" w:rsidR="00734C63" w:rsidRPr="00734C63" w:rsidRDefault="00734C63" w:rsidP="004C4F33">
            <w:pPr>
              <w:rPr>
                <w:rFonts w:ascii="Arial" w:hAnsi="Arial" w:cs="Arial"/>
                <w:b/>
              </w:rPr>
            </w:pPr>
          </w:p>
          <w:p w14:paraId="62BE2C6A" w14:textId="77777777" w:rsidR="004C4F33" w:rsidRPr="00734C63" w:rsidRDefault="004C4F33" w:rsidP="004C4F33">
            <w:pPr>
              <w:rPr>
                <w:rFonts w:ascii="Arial" w:hAnsi="Arial" w:cs="Arial"/>
                <w:b/>
              </w:rPr>
            </w:pPr>
            <w:r w:rsidRPr="00734C63">
              <w:rPr>
                <w:rFonts w:ascii="Arial" w:hAnsi="Arial" w:cs="Arial"/>
                <w:b/>
              </w:rPr>
              <w:t>Name</w:t>
            </w:r>
          </w:p>
          <w:p w14:paraId="34BACD8D" w14:textId="77777777" w:rsidR="004C4F33" w:rsidRPr="00734C63" w:rsidRDefault="004C4F33" w:rsidP="004C4F33">
            <w:pPr>
              <w:rPr>
                <w:rFonts w:ascii="Arial" w:hAnsi="Arial" w:cs="Arial"/>
                <w:b/>
              </w:rPr>
            </w:pPr>
          </w:p>
        </w:tc>
        <w:tc>
          <w:tcPr>
            <w:tcW w:w="7716" w:type="dxa"/>
          </w:tcPr>
          <w:p w14:paraId="7D6C7B67" w14:textId="77777777" w:rsidR="00734C63" w:rsidRDefault="00734C63" w:rsidP="004C4F33">
            <w:pPr>
              <w:rPr>
                <w:rFonts w:ascii="Arial" w:hAnsi="Arial" w:cs="Arial"/>
              </w:rPr>
            </w:pPr>
          </w:p>
          <w:p w14:paraId="45C70ECF" w14:textId="77777777" w:rsidR="004C4F33" w:rsidRDefault="004C4F33" w:rsidP="004C4F33">
            <w:pPr>
              <w:rPr>
                <w:rFonts w:ascii="Arial" w:hAnsi="Arial" w:cs="Arial"/>
              </w:rPr>
            </w:pPr>
          </w:p>
        </w:tc>
      </w:tr>
      <w:tr w:rsidR="004C4F33" w14:paraId="0EDDE378" w14:textId="77777777" w:rsidTr="00895E63">
        <w:tc>
          <w:tcPr>
            <w:tcW w:w="1526" w:type="dxa"/>
          </w:tcPr>
          <w:p w14:paraId="305EB3C9" w14:textId="77777777" w:rsidR="00734C63" w:rsidRPr="00734C63" w:rsidRDefault="00734C63" w:rsidP="004C4F33">
            <w:pPr>
              <w:rPr>
                <w:rFonts w:ascii="Arial" w:hAnsi="Arial" w:cs="Arial"/>
                <w:b/>
              </w:rPr>
            </w:pPr>
          </w:p>
          <w:p w14:paraId="3C23F1EC" w14:textId="77777777" w:rsidR="004C4F33" w:rsidRPr="00734C63" w:rsidRDefault="004C4F33" w:rsidP="004C4F33">
            <w:pPr>
              <w:rPr>
                <w:rFonts w:ascii="Arial" w:hAnsi="Arial" w:cs="Arial"/>
                <w:b/>
              </w:rPr>
            </w:pPr>
            <w:r w:rsidRPr="00734C63">
              <w:rPr>
                <w:rFonts w:ascii="Arial" w:hAnsi="Arial" w:cs="Arial"/>
                <w:b/>
              </w:rPr>
              <w:t xml:space="preserve">Signature </w:t>
            </w:r>
          </w:p>
          <w:p w14:paraId="4A04D026" w14:textId="77777777" w:rsidR="004C4F33" w:rsidRPr="00734C63" w:rsidRDefault="004C4F33" w:rsidP="004C4F33">
            <w:pPr>
              <w:rPr>
                <w:rFonts w:ascii="Arial" w:hAnsi="Arial" w:cs="Arial"/>
                <w:b/>
              </w:rPr>
            </w:pPr>
          </w:p>
        </w:tc>
        <w:tc>
          <w:tcPr>
            <w:tcW w:w="7716" w:type="dxa"/>
          </w:tcPr>
          <w:p w14:paraId="35B2290F" w14:textId="77777777" w:rsidR="004C4F33" w:rsidRDefault="004C4F33" w:rsidP="004C4F33">
            <w:pPr>
              <w:rPr>
                <w:rFonts w:ascii="Arial" w:hAnsi="Arial" w:cs="Arial"/>
              </w:rPr>
            </w:pPr>
          </w:p>
        </w:tc>
      </w:tr>
      <w:tr w:rsidR="004C4F33" w14:paraId="76D6A1E1" w14:textId="77777777" w:rsidTr="00895E63">
        <w:tc>
          <w:tcPr>
            <w:tcW w:w="1526" w:type="dxa"/>
          </w:tcPr>
          <w:p w14:paraId="716C1CDA" w14:textId="77777777" w:rsidR="00734C63" w:rsidRPr="00734C63" w:rsidRDefault="00734C63" w:rsidP="004C4F33">
            <w:pPr>
              <w:rPr>
                <w:rFonts w:ascii="Arial" w:hAnsi="Arial" w:cs="Arial"/>
                <w:b/>
              </w:rPr>
            </w:pPr>
          </w:p>
          <w:p w14:paraId="5B9BC21E" w14:textId="77777777" w:rsidR="004C4F33" w:rsidRPr="00734C63" w:rsidRDefault="004C4F33" w:rsidP="004C4F33">
            <w:pPr>
              <w:rPr>
                <w:rFonts w:ascii="Arial" w:hAnsi="Arial" w:cs="Arial"/>
                <w:b/>
              </w:rPr>
            </w:pPr>
            <w:r w:rsidRPr="00734C63">
              <w:rPr>
                <w:rFonts w:ascii="Arial" w:hAnsi="Arial" w:cs="Arial"/>
                <w:b/>
              </w:rPr>
              <w:t>Position</w:t>
            </w:r>
          </w:p>
          <w:p w14:paraId="0172DA89" w14:textId="77777777" w:rsidR="004C4F33" w:rsidRPr="00734C63" w:rsidRDefault="004C4F33" w:rsidP="004C4F33">
            <w:pPr>
              <w:rPr>
                <w:rFonts w:ascii="Arial" w:hAnsi="Arial" w:cs="Arial"/>
                <w:b/>
              </w:rPr>
            </w:pPr>
          </w:p>
        </w:tc>
        <w:tc>
          <w:tcPr>
            <w:tcW w:w="7716" w:type="dxa"/>
          </w:tcPr>
          <w:p w14:paraId="2E3660E2" w14:textId="77777777" w:rsidR="00734C63" w:rsidRDefault="00734C63" w:rsidP="004C4F33">
            <w:pPr>
              <w:rPr>
                <w:rFonts w:ascii="Arial" w:hAnsi="Arial" w:cs="Arial"/>
              </w:rPr>
            </w:pPr>
          </w:p>
          <w:p w14:paraId="772F90E5" w14:textId="77777777" w:rsidR="004C4F33" w:rsidRDefault="004C4F33" w:rsidP="004C4F33">
            <w:pPr>
              <w:rPr>
                <w:rFonts w:ascii="Arial" w:hAnsi="Arial" w:cs="Arial"/>
              </w:rPr>
            </w:pPr>
          </w:p>
        </w:tc>
      </w:tr>
      <w:tr w:rsidR="004C4F33" w14:paraId="3570FA4A" w14:textId="77777777" w:rsidTr="00895E63">
        <w:tc>
          <w:tcPr>
            <w:tcW w:w="1526" w:type="dxa"/>
          </w:tcPr>
          <w:p w14:paraId="230D2090" w14:textId="77777777" w:rsidR="00734C63" w:rsidRPr="00734C63" w:rsidRDefault="00734C63" w:rsidP="004C4F33">
            <w:pPr>
              <w:rPr>
                <w:rFonts w:ascii="Arial" w:hAnsi="Arial" w:cs="Arial"/>
                <w:b/>
              </w:rPr>
            </w:pPr>
          </w:p>
          <w:p w14:paraId="49A6F679" w14:textId="77777777" w:rsidR="004C4F33" w:rsidRPr="00734C63" w:rsidRDefault="004C4F33" w:rsidP="004C4F33">
            <w:pPr>
              <w:rPr>
                <w:rFonts w:ascii="Arial" w:hAnsi="Arial" w:cs="Arial"/>
                <w:b/>
              </w:rPr>
            </w:pPr>
            <w:r w:rsidRPr="00734C63">
              <w:rPr>
                <w:rFonts w:ascii="Arial" w:hAnsi="Arial" w:cs="Arial"/>
                <w:b/>
              </w:rPr>
              <w:t>Date</w:t>
            </w:r>
          </w:p>
          <w:p w14:paraId="254A68B5" w14:textId="77777777" w:rsidR="004C4F33" w:rsidRPr="00734C63" w:rsidRDefault="004C4F33" w:rsidP="004C4F33">
            <w:pPr>
              <w:rPr>
                <w:rFonts w:ascii="Arial" w:hAnsi="Arial" w:cs="Arial"/>
                <w:b/>
              </w:rPr>
            </w:pPr>
          </w:p>
        </w:tc>
        <w:tc>
          <w:tcPr>
            <w:tcW w:w="7716" w:type="dxa"/>
          </w:tcPr>
          <w:p w14:paraId="329FBF0C" w14:textId="77777777" w:rsidR="004C4F33" w:rsidRDefault="004C4F33" w:rsidP="004C4F33">
            <w:pPr>
              <w:rPr>
                <w:rFonts w:ascii="Arial" w:hAnsi="Arial" w:cs="Arial"/>
              </w:rPr>
            </w:pPr>
          </w:p>
        </w:tc>
      </w:tr>
    </w:tbl>
    <w:p w14:paraId="4A3EB4EF" w14:textId="77777777" w:rsidR="004C4F33" w:rsidRPr="00C21191" w:rsidRDefault="004C4F33" w:rsidP="004C4F33">
      <w:pPr>
        <w:rPr>
          <w:rFonts w:ascii="Arial" w:hAnsi="Arial" w:cs="Arial"/>
        </w:rPr>
      </w:pPr>
    </w:p>
    <w:p w14:paraId="62B01CAC" w14:textId="77777777" w:rsidR="003F1F39" w:rsidRDefault="003F1F39" w:rsidP="00C21191">
      <w:pPr>
        <w:rPr>
          <w:rFonts w:ascii="Arial" w:hAnsi="Arial" w:cs="Arial"/>
          <w:b/>
        </w:rPr>
      </w:pPr>
      <w:r>
        <w:rPr>
          <w:rFonts w:ascii="Arial" w:hAnsi="Arial" w:cs="Arial"/>
          <w:b/>
        </w:rPr>
        <w:br w:type="page"/>
      </w:r>
    </w:p>
    <w:p w14:paraId="1948E940" w14:textId="77777777" w:rsidR="00C21191" w:rsidRPr="00C21191" w:rsidRDefault="00670FB1" w:rsidP="00C21191">
      <w:pPr>
        <w:jc w:val="both"/>
        <w:outlineLvl w:val="1"/>
        <w:rPr>
          <w:rFonts w:ascii="Arial" w:hAnsi="Arial" w:cs="Arial"/>
          <w:b/>
        </w:rPr>
      </w:pPr>
      <w:r>
        <w:rPr>
          <w:rFonts w:ascii="Arial" w:hAnsi="Arial" w:cs="Arial"/>
          <w:b/>
        </w:rPr>
        <w:lastRenderedPageBreak/>
        <w:t>Annex</w:t>
      </w:r>
      <w:r w:rsidR="00C21191" w:rsidRPr="00C21191">
        <w:rPr>
          <w:rFonts w:ascii="Arial" w:hAnsi="Arial" w:cs="Arial"/>
          <w:b/>
        </w:rPr>
        <w:t xml:space="preserve"> A</w:t>
      </w:r>
    </w:p>
    <w:p w14:paraId="1D28EBE8" w14:textId="77777777" w:rsidR="00C21191" w:rsidRPr="00C21191" w:rsidRDefault="00C21191" w:rsidP="00C21191">
      <w:pPr>
        <w:jc w:val="both"/>
        <w:outlineLvl w:val="1"/>
        <w:rPr>
          <w:rFonts w:ascii="Arial" w:hAnsi="Arial" w:cs="Arial"/>
          <w:b/>
        </w:rPr>
      </w:pPr>
    </w:p>
    <w:p w14:paraId="45EEEAD6" w14:textId="77777777" w:rsidR="00C21191" w:rsidRPr="00C21191" w:rsidRDefault="00C21191" w:rsidP="00C21191">
      <w:pPr>
        <w:jc w:val="both"/>
        <w:outlineLvl w:val="1"/>
        <w:rPr>
          <w:rFonts w:ascii="Arial" w:hAnsi="Arial" w:cs="Arial"/>
          <w:b/>
        </w:rPr>
      </w:pPr>
      <w:r w:rsidRPr="00C21191">
        <w:rPr>
          <w:rFonts w:ascii="Arial" w:hAnsi="Arial" w:cs="Arial"/>
          <w:b/>
        </w:rPr>
        <w:t>Version History</w:t>
      </w:r>
    </w:p>
    <w:p w14:paraId="79B3FF7C" w14:textId="77777777" w:rsidR="00C21191" w:rsidRPr="00C21191" w:rsidRDefault="00C21191" w:rsidP="00C21191">
      <w:pPr>
        <w:jc w:val="both"/>
        <w:outlineLvl w:val="1"/>
        <w:rPr>
          <w:rFonts w:ascii="Arial" w:hAnsi="Arial" w:cs="Arial"/>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478"/>
        <w:gridCol w:w="5715"/>
      </w:tblGrid>
      <w:tr w:rsidR="00C21191" w:rsidRPr="00C21191" w14:paraId="745FB36C" w14:textId="77777777" w:rsidTr="00287DC0">
        <w:tc>
          <w:tcPr>
            <w:tcW w:w="1163" w:type="dxa"/>
            <w:shd w:val="clear" w:color="auto" w:fill="262626" w:themeFill="text1" w:themeFillTint="D9"/>
          </w:tcPr>
          <w:p w14:paraId="095D3FE5" w14:textId="77777777" w:rsidR="00C21191" w:rsidRPr="00C21191" w:rsidRDefault="00C21191" w:rsidP="00C21191">
            <w:pPr>
              <w:spacing w:before="40" w:after="40"/>
              <w:ind w:left="6"/>
              <w:jc w:val="both"/>
              <w:rPr>
                <w:rFonts w:ascii="Arial" w:hAnsi="Arial" w:cs="Arial"/>
              </w:rPr>
            </w:pPr>
            <w:r w:rsidRPr="00C21191">
              <w:rPr>
                <w:rFonts w:ascii="Arial" w:hAnsi="Arial" w:cs="Arial"/>
              </w:rPr>
              <w:t>Version</w:t>
            </w:r>
          </w:p>
        </w:tc>
        <w:tc>
          <w:tcPr>
            <w:tcW w:w="2478" w:type="dxa"/>
            <w:shd w:val="clear" w:color="auto" w:fill="262626" w:themeFill="text1" w:themeFillTint="D9"/>
          </w:tcPr>
          <w:p w14:paraId="5968F3CE" w14:textId="77777777" w:rsidR="00C21191" w:rsidRPr="00C21191" w:rsidRDefault="00C21191" w:rsidP="00C21191">
            <w:pPr>
              <w:spacing w:before="40" w:after="40"/>
              <w:jc w:val="both"/>
              <w:rPr>
                <w:rFonts w:ascii="Arial" w:hAnsi="Arial" w:cs="Arial"/>
              </w:rPr>
            </w:pPr>
            <w:r w:rsidRPr="00C21191">
              <w:rPr>
                <w:rFonts w:ascii="Arial" w:hAnsi="Arial" w:cs="Arial"/>
              </w:rPr>
              <w:t>Date</w:t>
            </w:r>
          </w:p>
        </w:tc>
        <w:tc>
          <w:tcPr>
            <w:tcW w:w="5715" w:type="dxa"/>
            <w:shd w:val="clear" w:color="auto" w:fill="262626" w:themeFill="text1" w:themeFillTint="D9"/>
          </w:tcPr>
          <w:p w14:paraId="2A5E07D8" w14:textId="77777777" w:rsidR="00C21191" w:rsidRPr="00C21191" w:rsidRDefault="00C21191" w:rsidP="00C21191">
            <w:pPr>
              <w:spacing w:before="40" w:after="40"/>
              <w:jc w:val="both"/>
              <w:rPr>
                <w:rFonts w:ascii="Arial" w:hAnsi="Arial" w:cs="Arial"/>
              </w:rPr>
            </w:pPr>
            <w:r w:rsidRPr="00C21191">
              <w:rPr>
                <w:rFonts w:ascii="Arial" w:hAnsi="Arial" w:cs="Arial"/>
              </w:rPr>
              <w:t>Summary of changes</w:t>
            </w:r>
          </w:p>
        </w:tc>
      </w:tr>
      <w:tr w:rsidR="00C21191" w:rsidRPr="00C21191" w14:paraId="02D204C1" w14:textId="77777777" w:rsidTr="00287DC0">
        <w:tc>
          <w:tcPr>
            <w:tcW w:w="1163" w:type="dxa"/>
          </w:tcPr>
          <w:p w14:paraId="16731ACB" w14:textId="77777777" w:rsidR="00C21191" w:rsidRPr="00C21191" w:rsidRDefault="00C21191" w:rsidP="00C21191">
            <w:pPr>
              <w:spacing w:before="40" w:after="40"/>
              <w:jc w:val="both"/>
              <w:rPr>
                <w:rFonts w:ascii="Arial" w:hAnsi="Arial" w:cs="Arial"/>
              </w:rPr>
            </w:pPr>
            <w:r w:rsidRPr="00C21191">
              <w:rPr>
                <w:rFonts w:ascii="Arial" w:hAnsi="Arial" w:cs="Arial"/>
              </w:rPr>
              <w:t>1.0</w:t>
            </w:r>
          </w:p>
        </w:tc>
        <w:tc>
          <w:tcPr>
            <w:tcW w:w="2478" w:type="dxa"/>
          </w:tcPr>
          <w:p w14:paraId="58D7883B" w14:textId="54D94A8E" w:rsidR="00C21191" w:rsidRPr="002676A8" w:rsidRDefault="00913636" w:rsidP="00FB7730">
            <w:pPr>
              <w:spacing w:before="40" w:after="40"/>
              <w:rPr>
                <w:rFonts w:ascii="Arial" w:hAnsi="Arial" w:cs="Arial"/>
              </w:rPr>
            </w:pPr>
            <w:r w:rsidRPr="002676A8">
              <w:rPr>
                <w:rFonts w:ascii="Arial" w:hAnsi="Arial" w:cs="Arial"/>
              </w:rPr>
              <w:t>08 06 2017</w:t>
            </w:r>
          </w:p>
        </w:tc>
        <w:tc>
          <w:tcPr>
            <w:tcW w:w="5715" w:type="dxa"/>
          </w:tcPr>
          <w:p w14:paraId="5F9218E5" w14:textId="77777777" w:rsidR="00C21191" w:rsidRPr="002676A8" w:rsidRDefault="00481F92" w:rsidP="00C21191">
            <w:pPr>
              <w:spacing w:before="40" w:after="40"/>
              <w:jc w:val="both"/>
              <w:rPr>
                <w:rFonts w:ascii="Arial" w:hAnsi="Arial" w:cs="Arial"/>
              </w:rPr>
            </w:pPr>
            <w:r w:rsidRPr="002676A8">
              <w:rPr>
                <w:rFonts w:ascii="Arial" w:hAnsi="Arial" w:cs="Arial"/>
              </w:rPr>
              <w:t>Creation</w:t>
            </w:r>
          </w:p>
        </w:tc>
      </w:tr>
      <w:tr w:rsidR="00C21191" w:rsidRPr="00C21191" w14:paraId="2F33EC93" w14:textId="77777777" w:rsidTr="00287DC0">
        <w:tc>
          <w:tcPr>
            <w:tcW w:w="1163" w:type="dxa"/>
          </w:tcPr>
          <w:p w14:paraId="4E0D0162" w14:textId="77777777" w:rsidR="00C21191" w:rsidRPr="00C21191" w:rsidRDefault="00C21191" w:rsidP="00C21191">
            <w:pPr>
              <w:spacing w:before="40" w:after="40"/>
              <w:jc w:val="both"/>
              <w:rPr>
                <w:rFonts w:ascii="Arial" w:hAnsi="Arial" w:cs="Arial"/>
              </w:rPr>
            </w:pPr>
            <w:r w:rsidRPr="00C21191">
              <w:rPr>
                <w:rFonts w:ascii="Arial" w:hAnsi="Arial" w:cs="Arial"/>
              </w:rPr>
              <w:t>1.1</w:t>
            </w:r>
          </w:p>
        </w:tc>
        <w:tc>
          <w:tcPr>
            <w:tcW w:w="2478" w:type="dxa"/>
          </w:tcPr>
          <w:p w14:paraId="63FAD8F4" w14:textId="2F0E018E" w:rsidR="00C21191" w:rsidRPr="004504DD" w:rsidRDefault="00C21191" w:rsidP="00C21191">
            <w:pPr>
              <w:spacing w:before="40" w:after="40"/>
              <w:jc w:val="both"/>
              <w:rPr>
                <w:rFonts w:ascii="Arial" w:hAnsi="Arial" w:cs="Arial"/>
                <w:highlight w:val="yellow"/>
              </w:rPr>
            </w:pPr>
          </w:p>
        </w:tc>
        <w:tc>
          <w:tcPr>
            <w:tcW w:w="5715" w:type="dxa"/>
          </w:tcPr>
          <w:p w14:paraId="2961FD02" w14:textId="475E6181" w:rsidR="00C21191" w:rsidRPr="004504DD" w:rsidRDefault="00C21191" w:rsidP="00C21191">
            <w:pPr>
              <w:spacing w:before="40" w:after="40"/>
              <w:jc w:val="both"/>
              <w:rPr>
                <w:rFonts w:ascii="Arial" w:hAnsi="Arial" w:cs="Arial"/>
                <w:highlight w:val="yellow"/>
              </w:rPr>
            </w:pPr>
          </w:p>
        </w:tc>
      </w:tr>
      <w:tr w:rsidR="00C21191" w:rsidRPr="00C21191" w14:paraId="5755397F" w14:textId="77777777" w:rsidTr="00287DC0">
        <w:tc>
          <w:tcPr>
            <w:tcW w:w="1163" w:type="dxa"/>
          </w:tcPr>
          <w:p w14:paraId="76079BBD" w14:textId="77777777" w:rsidR="00C21191" w:rsidRPr="00C21191" w:rsidRDefault="00C21191" w:rsidP="00C21191">
            <w:pPr>
              <w:spacing w:before="40" w:after="40"/>
              <w:jc w:val="both"/>
              <w:rPr>
                <w:rFonts w:ascii="Arial" w:hAnsi="Arial" w:cs="Arial"/>
              </w:rPr>
            </w:pPr>
            <w:r w:rsidRPr="00C21191">
              <w:rPr>
                <w:rFonts w:ascii="Arial" w:hAnsi="Arial" w:cs="Arial"/>
              </w:rPr>
              <w:t>1.2</w:t>
            </w:r>
          </w:p>
        </w:tc>
        <w:tc>
          <w:tcPr>
            <w:tcW w:w="2478" w:type="dxa"/>
          </w:tcPr>
          <w:p w14:paraId="1CEEA7C9" w14:textId="50839FA9" w:rsidR="00C21191" w:rsidRPr="004504DD" w:rsidRDefault="00C21191" w:rsidP="00C21191">
            <w:pPr>
              <w:spacing w:before="40" w:after="40"/>
              <w:jc w:val="both"/>
              <w:rPr>
                <w:rFonts w:ascii="Arial" w:hAnsi="Arial" w:cs="Arial"/>
                <w:highlight w:val="yellow"/>
              </w:rPr>
            </w:pPr>
          </w:p>
        </w:tc>
        <w:tc>
          <w:tcPr>
            <w:tcW w:w="5715" w:type="dxa"/>
          </w:tcPr>
          <w:p w14:paraId="0AA782E5" w14:textId="6490ED76" w:rsidR="00C21191" w:rsidRPr="004504DD" w:rsidRDefault="00C21191" w:rsidP="00C21191">
            <w:pPr>
              <w:spacing w:before="40" w:after="40"/>
              <w:jc w:val="both"/>
              <w:rPr>
                <w:rFonts w:ascii="Arial" w:hAnsi="Arial" w:cs="Arial"/>
                <w:highlight w:val="yellow"/>
              </w:rPr>
            </w:pPr>
          </w:p>
        </w:tc>
      </w:tr>
      <w:tr w:rsidR="00C21191" w:rsidRPr="00C21191" w14:paraId="22A938D8" w14:textId="77777777" w:rsidTr="00287DC0">
        <w:tc>
          <w:tcPr>
            <w:tcW w:w="1163" w:type="dxa"/>
          </w:tcPr>
          <w:p w14:paraId="7B8BA0B7" w14:textId="77777777" w:rsidR="00C21191" w:rsidRPr="00C21191" w:rsidRDefault="00C21191" w:rsidP="00C21191">
            <w:pPr>
              <w:spacing w:before="40" w:after="40"/>
              <w:jc w:val="both"/>
              <w:rPr>
                <w:rFonts w:ascii="Arial" w:hAnsi="Arial" w:cs="Arial"/>
              </w:rPr>
            </w:pPr>
            <w:r w:rsidRPr="00C21191">
              <w:rPr>
                <w:rFonts w:ascii="Arial" w:hAnsi="Arial" w:cs="Arial"/>
              </w:rPr>
              <w:t>1.3</w:t>
            </w:r>
          </w:p>
        </w:tc>
        <w:tc>
          <w:tcPr>
            <w:tcW w:w="2478" w:type="dxa"/>
          </w:tcPr>
          <w:p w14:paraId="36A175AE" w14:textId="77777777" w:rsidR="00C21191" w:rsidRPr="00C21191" w:rsidRDefault="00C21191" w:rsidP="00C21191">
            <w:pPr>
              <w:spacing w:before="40" w:after="40"/>
              <w:jc w:val="both"/>
              <w:rPr>
                <w:rFonts w:ascii="Arial" w:hAnsi="Arial" w:cs="Arial"/>
              </w:rPr>
            </w:pPr>
          </w:p>
        </w:tc>
        <w:tc>
          <w:tcPr>
            <w:tcW w:w="5715" w:type="dxa"/>
          </w:tcPr>
          <w:p w14:paraId="6B2C6EF2" w14:textId="77777777" w:rsidR="00C21191" w:rsidRPr="00C21191" w:rsidRDefault="00C21191" w:rsidP="00C21191">
            <w:pPr>
              <w:spacing w:before="40" w:after="40"/>
              <w:jc w:val="both"/>
              <w:rPr>
                <w:rFonts w:ascii="Arial" w:hAnsi="Arial" w:cs="Arial"/>
              </w:rPr>
            </w:pPr>
          </w:p>
        </w:tc>
      </w:tr>
      <w:tr w:rsidR="00C21191" w:rsidRPr="00C21191" w14:paraId="3B892653" w14:textId="77777777" w:rsidTr="00287DC0">
        <w:tc>
          <w:tcPr>
            <w:tcW w:w="1163" w:type="dxa"/>
          </w:tcPr>
          <w:p w14:paraId="50F684EB" w14:textId="77777777" w:rsidR="00C21191" w:rsidRPr="00C21191" w:rsidRDefault="0018464B" w:rsidP="00C21191">
            <w:pPr>
              <w:spacing w:before="40" w:after="40"/>
              <w:jc w:val="both"/>
              <w:rPr>
                <w:rFonts w:ascii="Arial" w:hAnsi="Arial" w:cs="Arial"/>
              </w:rPr>
            </w:pPr>
            <w:r>
              <w:rPr>
                <w:rFonts w:ascii="Arial" w:hAnsi="Arial" w:cs="Arial"/>
              </w:rPr>
              <w:t>1.4</w:t>
            </w:r>
          </w:p>
        </w:tc>
        <w:tc>
          <w:tcPr>
            <w:tcW w:w="2478" w:type="dxa"/>
          </w:tcPr>
          <w:p w14:paraId="1C560C08" w14:textId="77777777" w:rsidR="00C21191" w:rsidRPr="00C21191" w:rsidRDefault="00C21191" w:rsidP="00C21191">
            <w:pPr>
              <w:spacing w:before="40" w:after="40"/>
              <w:jc w:val="both"/>
              <w:rPr>
                <w:rFonts w:ascii="Arial" w:hAnsi="Arial" w:cs="Arial"/>
              </w:rPr>
            </w:pPr>
          </w:p>
        </w:tc>
        <w:tc>
          <w:tcPr>
            <w:tcW w:w="5715" w:type="dxa"/>
          </w:tcPr>
          <w:p w14:paraId="2C184E86" w14:textId="77777777" w:rsidR="00C21191" w:rsidRPr="00C21191" w:rsidRDefault="00C21191" w:rsidP="00C21191">
            <w:pPr>
              <w:spacing w:before="40" w:after="40"/>
              <w:jc w:val="both"/>
              <w:rPr>
                <w:rFonts w:ascii="Arial" w:hAnsi="Arial" w:cs="Arial"/>
              </w:rPr>
            </w:pPr>
          </w:p>
        </w:tc>
      </w:tr>
      <w:tr w:rsidR="00C21191" w:rsidRPr="00C21191" w14:paraId="51E3B893" w14:textId="77777777" w:rsidTr="00287DC0">
        <w:tc>
          <w:tcPr>
            <w:tcW w:w="1163" w:type="dxa"/>
          </w:tcPr>
          <w:p w14:paraId="1790081C" w14:textId="77777777" w:rsidR="00C21191" w:rsidRPr="00C21191" w:rsidRDefault="00830A24" w:rsidP="00C21191">
            <w:pPr>
              <w:spacing w:before="40" w:after="40"/>
              <w:jc w:val="both"/>
              <w:rPr>
                <w:rFonts w:ascii="Arial" w:hAnsi="Arial" w:cs="Arial"/>
              </w:rPr>
            </w:pPr>
            <w:r>
              <w:rPr>
                <w:rFonts w:ascii="Arial" w:hAnsi="Arial" w:cs="Arial"/>
              </w:rPr>
              <w:t>1.5</w:t>
            </w:r>
          </w:p>
        </w:tc>
        <w:tc>
          <w:tcPr>
            <w:tcW w:w="2478" w:type="dxa"/>
          </w:tcPr>
          <w:p w14:paraId="0B93D85E" w14:textId="77777777" w:rsidR="00C21191" w:rsidRPr="00C21191" w:rsidRDefault="00C21191" w:rsidP="00C21191">
            <w:pPr>
              <w:spacing w:before="40" w:after="40"/>
              <w:jc w:val="both"/>
              <w:rPr>
                <w:rFonts w:ascii="Arial" w:hAnsi="Arial" w:cs="Arial"/>
              </w:rPr>
            </w:pPr>
          </w:p>
        </w:tc>
        <w:tc>
          <w:tcPr>
            <w:tcW w:w="5715" w:type="dxa"/>
          </w:tcPr>
          <w:p w14:paraId="41E0387C" w14:textId="77777777" w:rsidR="00C21191" w:rsidRPr="00C21191" w:rsidRDefault="00C21191" w:rsidP="00C21191">
            <w:pPr>
              <w:spacing w:before="40" w:after="40"/>
              <w:jc w:val="both"/>
              <w:rPr>
                <w:rFonts w:ascii="Arial" w:hAnsi="Arial" w:cs="Arial"/>
              </w:rPr>
            </w:pPr>
          </w:p>
        </w:tc>
      </w:tr>
      <w:tr w:rsidR="00287DC0" w:rsidRPr="00C21191" w14:paraId="442E538B" w14:textId="77777777" w:rsidTr="00287DC0">
        <w:tc>
          <w:tcPr>
            <w:tcW w:w="1163" w:type="dxa"/>
          </w:tcPr>
          <w:p w14:paraId="282CBCD7" w14:textId="77777777" w:rsidR="00287DC0" w:rsidRDefault="00287DC0" w:rsidP="00C21191">
            <w:pPr>
              <w:spacing w:before="40" w:after="40"/>
              <w:jc w:val="both"/>
              <w:rPr>
                <w:rFonts w:ascii="Arial" w:hAnsi="Arial" w:cs="Arial"/>
              </w:rPr>
            </w:pPr>
            <w:r>
              <w:rPr>
                <w:rFonts w:ascii="Arial" w:hAnsi="Arial" w:cs="Arial"/>
              </w:rPr>
              <w:t>1.6</w:t>
            </w:r>
          </w:p>
        </w:tc>
        <w:tc>
          <w:tcPr>
            <w:tcW w:w="2478" w:type="dxa"/>
          </w:tcPr>
          <w:p w14:paraId="57554AFD" w14:textId="77777777" w:rsidR="00287DC0" w:rsidRDefault="00287DC0" w:rsidP="00C21191">
            <w:pPr>
              <w:spacing w:before="40" w:after="40"/>
              <w:jc w:val="both"/>
              <w:rPr>
                <w:rFonts w:ascii="Arial" w:hAnsi="Arial" w:cs="Arial"/>
              </w:rPr>
            </w:pPr>
          </w:p>
        </w:tc>
        <w:tc>
          <w:tcPr>
            <w:tcW w:w="5715" w:type="dxa"/>
          </w:tcPr>
          <w:p w14:paraId="7E2A9F4D" w14:textId="77777777" w:rsidR="00287DC0" w:rsidRDefault="00287DC0" w:rsidP="00C21191">
            <w:pPr>
              <w:spacing w:before="40" w:after="40"/>
              <w:jc w:val="both"/>
              <w:rPr>
                <w:rFonts w:ascii="Arial" w:hAnsi="Arial" w:cs="Arial"/>
              </w:rPr>
            </w:pPr>
          </w:p>
        </w:tc>
      </w:tr>
      <w:tr w:rsidR="00287DC0" w:rsidRPr="00C21191" w14:paraId="12B5EDCE" w14:textId="77777777" w:rsidTr="00287DC0">
        <w:tc>
          <w:tcPr>
            <w:tcW w:w="1163" w:type="dxa"/>
          </w:tcPr>
          <w:p w14:paraId="4047DE07" w14:textId="77777777" w:rsidR="00287DC0" w:rsidRDefault="00B02CAB" w:rsidP="00C21191">
            <w:pPr>
              <w:spacing w:before="40" w:after="40"/>
              <w:jc w:val="both"/>
              <w:rPr>
                <w:rFonts w:ascii="Arial" w:hAnsi="Arial" w:cs="Arial"/>
              </w:rPr>
            </w:pPr>
            <w:r>
              <w:rPr>
                <w:rFonts w:ascii="Arial" w:hAnsi="Arial" w:cs="Arial"/>
              </w:rPr>
              <w:t>1.7</w:t>
            </w:r>
          </w:p>
        </w:tc>
        <w:tc>
          <w:tcPr>
            <w:tcW w:w="2478" w:type="dxa"/>
          </w:tcPr>
          <w:p w14:paraId="201D86EA" w14:textId="77777777" w:rsidR="00287DC0" w:rsidRDefault="00287DC0" w:rsidP="00C21191">
            <w:pPr>
              <w:spacing w:before="40" w:after="40"/>
              <w:jc w:val="both"/>
              <w:rPr>
                <w:rFonts w:ascii="Arial" w:hAnsi="Arial" w:cs="Arial"/>
              </w:rPr>
            </w:pPr>
          </w:p>
        </w:tc>
        <w:tc>
          <w:tcPr>
            <w:tcW w:w="5715" w:type="dxa"/>
          </w:tcPr>
          <w:p w14:paraId="27CD86B7" w14:textId="77777777" w:rsidR="00287DC0" w:rsidRDefault="00287DC0" w:rsidP="00C21191">
            <w:pPr>
              <w:spacing w:before="40" w:after="40"/>
              <w:jc w:val="both"/>
              <w:rPr>
                <w:rFonts w:ascii="Arial" w:hAnsi="Arial" w:cs="Arial"/>
              </w:rPr>
            </w:pPr>
          </w:p>
        </w:tc>
      </w:tr>
      <w:tr w:rsidR="00287DC0" w:rsidRPr="00C21191" w14:paraId="3EC4928A" w14:textId="77777777" w:rsidTr="00287DC0">
        <w:tc>
          <w:tcPr>
            <w:tcW w:w="1163" w:type="dxa"/>
          </w:tcPr>
          <w:p w14:paraId="6870AAB6" w14:textId="77777777" w:rsidR="00287DC0" w:rsidRDefault="00187B98" w:rsidP="00C21191">
            <w:pPr>
              <w:spacing w:before="40" w:after="40"/>
              <w:jc w:val="both"/>
              <w:rPr>
                <w:rFonts w:ascii="Arial" w:hAnsi="Arial" w:cs="Arial"/>
              </w:rPr>
            </w:pPr>
            <w:r>
              <w:rPr>
                <w:rFonts w:ascii="Arial" w:hAnsi="Arial" w:cs="Arial"/>
              </w:rPr>
              <w:t>2.0</w:t>
            </w:r>
          </w:p>
        </w:tc>
        <w:tc>
          <w:tcPr>
            <w:tcW w:w="2478" w:type="dxa"/>
          </w:tcPr>
          <w:p w14:paraId="4551EEC5" w14:textId="77777777" w:rsidR="00287DC0" w:rsidRDefault="00287DC0" w:rsidP="00C21191">
            <w:pPr>
              <w:spacing w:before="40" w:after="40"/>
              <w:jc w:val="both"/>
              <w:rPr>
                <w:rFonts w:ascii="Arial" w:hAnsi="Arial" w:cs="Arial"/>
              </w:rPr>
            </w:pPr>
          </w:p>
        </w:tc>
        <w:tc>
          <w:tcPr>
            <w:tcW w:w="5715" w:type="dxa"/>
          </w:tcPr>
          <w:p w14:paraId="7341CF8F" w14:textId="77777777" w:rsidR="00287DC0" w:rsidRDefault="00287DC0" w:rsidP="00C21191">
            <w:pPr>
              <w:spacing w:before="40" w:after="40"/>
              <w:jc w:val="both"/>
              <w:rPr>
                <w:rFonts w:ascii="Arial" w:hAnsi="Arial" w:cs="Arial"/>
              </w:rPr>
            </w:pPr>
          </w:p>
        </w:tc>
      </w:tr>
      <w:tr w:rsidR="00287DC0" w:rsidRPr="00C21191" w14:paraId="4F8E8395" w14:textId="77777777" w:rsidTr="00287DC0">
        <w:tc>
          <w:tcPr>
            <w:tcW w:w="1163" w:type="dxa"/>
          </w:tcPr>
          <w:p w14:paraId="1636A010" w14:textId="77777777" w:rsidR="00287DC0" w:rsidRDefault="00287DC0" w:rsidP="00C21191">
            <w:pPr>
              <w:spacing w:before="40" w:after="40"/>
              <w:jc w:val="both"/>
              <w:rPr>
                <w:rFonts w:ascii="Arial" w:hAnsi="Arial" w:cs="Arial"/>
              </w:rPr>
            </w:pPr>
          </w:p>
        </w:tc>
        <w:tc>
          <w:tcPr>
            <w:tcW w:w="2478" w:type="dxa"/>
          </w:tcPr>
          <w:p w14:paraId="48A736D1" w14:textId="77777777" w:rsidR="00287DC0" w:rsidRDefault="00287DC0" w:rsidP="00C21191">
            <w:pPr>
              <w:spacing w:before="40" w:after="40"/>
              <w:jc w:val="both"/>
              <w:rPr>
                <w:rFonts w:ascii="Arial" w:hAnsi="Arial" w:cs="Arial"/>
              </w:rPr>
            </w:pPr>
          </w:p>
        </w:tc>
        <w:tc>
          <w:tcPr>
            <w:tcW w:w="5715" w:type="dxa"/>
          </w:tcPr>
          <w:p w14:paraId="51EEC1D2" w14:textId="77777777" w:rsidR="00287DC0" w:rsidRDefault="00287DC0" w:rsidP="00C21191">
            <w:pPr>
              <w:spacing w:before="40" w:after="40"/>
              <w:jc w:val="both"/>
              <w:rPr>
                <w:rFonts w:ascii="Arial" w:hAnsi="Arial" w:cs="Arial"/>
              </w:rPr>
            </w:pPr>
          </w:p>
        </w:tc>
      </w:tr>
    </w:tbl>
    <w:p w14:paraId="295AD35B" w14:textId="77777777" w:rsidR="00C21191" w:rsidRDefault="00C21191" w:rsidP="00C21191">
      <w:pPr>
        <w:rPr>
          <w:rFonts w:ascii="Arial" w:hAnsi="Arial" w:cs="Arial"/>
        </w:rPr>
      </w:pPr>
    </w:p>
    <w:p w14:paraId="1C6B16F0" w14:textId="77777777" w:rsidR="00287DC0" w:rsidRDefault="00287DC0">
      <w:pPr>
        <w:rPr>
          <w:rFonts w:ascii="Arial" w:hAnsi="Arial" w:cs="Arial"/>
        </w:rPr>
      </w:pPr>
      <w:r>
        <w:rPr>
          <w:rFonts w:ascii="Arial" w:hAnsi="Arial" w:cs="Arial"/>
        </w:rPr>
        <w:br w:type="page"/>
      </w:r>
    </w:p>
    <w:p w14:paraId="535BB699" w14:textId="77777777" w:rsidR="00C21191" w:rsidRDefault="00287DC0" w:rsidP="00287DC0">
      <w:pPr>
        <w:rPr>
          <w:rFonts w:ascii="Arial" w:hAnsi="Arial" w:cs="Arial"/>
          <w:b/>
        </w:rPr>
      </w:pPr>
      <w:r w:rsidRPr="00287DC0">
        <w:rPr>
          <w:rFonts w:ascii="Arial" w:hAnsi="Arial" w:cs="Arial"/>
          <w:b/>
        </w:rPr>
        <w:lastRenderedPageBreak/>
        <w:t>A</w:t>
      </w:r>
      <w:r w:rsidR="00670FB1" w:rsidRPr="00287DC0">
        <w:rPr>
          <w:rFonts w:ascii="Arial" w:hAnsi="Arial" w:cs="Arial"/>
          <w:b/>
        </w:rPr>
        <w:t>nnex</w:t>
      </w:r>
      <w:r w:rsidR="00C21191" w:rsidRPr="00287DC0">
        <w:rPr>
          <w:rFonts w:ascii="Arial" w:hAnsi="Arial" w:cs="Arial"/>
          <w:b/>
        </w:rPr>
        <w:t xml:space="preserve"> B</w:t>
      </w:r>
    </w:p>
    <w:p w14:paraId="0078FB61" w14:textId="77777777" w:rsidR="007C4ECE" w:rsidRDefault="007C4ECE" w:rsidP="00C21191">
      <w:pPr>
        <w:ind w:left="360"/>
        <w:rPr>
          <w:rFonts w:ascii="Arial" w:hAnsi="Arial" w:cs="Arial"/>
          <w:b/>
        </w:rPr>
      </w:pPr>
    </w:p>
    <w:p w14:paraId="3C506C04" w14:textId="77777777" w:rsidR="00C21191" w:rsidRDefault="00C21191" w:rsidP="007C4ECE">
      <w:pPr>
        <w:rPr>
          <w:rFonts w:ascii="Arial" w:hAnsi="Arial" w:cs="Arial"/>
          <w:b/>
        </w:rPr>
      </w:pPr>
      <w:r w:rsidRPr="00C21191">
        <w:rPr>
          <w:rFonts w:ascii="Arial" w:hAnsi="Arial" w:cs="Arial"/>
          <w:b/>
        </w:rPr>
        <w:t>Contacts</w:t>
      </w:r>
    </w:p>
    <w:p w14:paraId="744C9CA2" w14:textId="77777777" w:rsidR="007C4ECE" w:rsidRPr="00C21191" w:rsidRDefault="007C4ECE" w:rsidP="007C4ECE">
      <w:pPr>
        <w:rPr>
          <w:rFonts w:ascii="Arial" w:hAnsi="Arial" w:cs="Arial"/>
          <w:b/>
        </w:rPr>
      </w:pPr>
    </w:p>
    <w:tbl>
      <w:tblPr>
        <w:tblStyle w:val="TableGrid"/>
        <w:tblW w:w="9390" w:type="dxa"/>
        <w:tblInd w:w="108" w:type="dxa"/>
        <w:tblLook w:val="04A0" w:firstRow="1" w:lastRow="0" w:firstColumn="1" w:lastColumn="0" w:noHBand="0" w:noVBand="1"/>
      </w:tblPr>
      <w:tblGrid>
        <w:gridCol w:w="2073"/>
        <w:gridCol w:w="4035"/>
        <w:gridCol w:w="3282"/>
      </w:tblGrid>
      <w:tr w:rsidR="00573ECE" w14:paraId="670DDFDA" w14:textId="77777777" w:rsidTr="00287DC0">
        <w:tc>
          <w:tcPr>
            <w:tcW w:w="2234" w:type="dxa"/>
          </w:tcPr>
          <w:p w14:paraId="3A21ED96" w14:textId="77777777" w:rsidR="00573ECE" w:rsidRPr="002E4274" w:rsidRDefault="00573ECE" w:rsidP="00C21191">
            <w:pPr>
              <w:rPr>
                <w:rFonts w:ascii="Arial" w:hAnsi="Arial" w:cs="Arial"/>
                <w:b/>
              </w:rPr>
            </w:pPr>
            <w:r w:rsidRPr="002E4274">
              <w:rPr>
                <w:rFonts w:ascii="Arial" w:hAnsi="Arial" w:cs="Arial"/>
                <w:b/>
              </w:rPr>
              <w:t>Contact</w:t>
            </w:r>
          </w:p>
        </w:tc>
        <w:tc>
          <w:tcPr>
            <w:tcW w:w="3631" w:type="dxa"/>
          </w:tcPr>
          <w:p w14:paraId="42A45B59" w14:textId="77777777" w:rsidR="00573ECE" w:rsidRPr="002E4274" w:rsidRDefault="00573ECE" w:rsidP="00C21191">
            <w:pPr>
              <w:rPr>
                <w:rFonts w:ascii="Arial" w:hAnsi="Arial" w:cs="Arial"/>
                <w:b/>
              </w:rPr>
            </w:pPr>
            <w:r w:rsidRPr="002E4274">
              <w:rPr>
                <w:rFonts w:ascii="Arial" w:hAnsi="Arial" w:cs="Arial"/>
                <w:b/>
              </w:rPr>
              <w:t>e-mail address</w:t>
            </w:r>
          </w:p>
        </w:tc>
        <w:tc>
          <w:tcPr>
            <w:tcW w:w="3525" w:type="dxa"/>
          </w:tcPr>
          <w:p w14:paraId="36514697" w14:textId="77777777" w:rsidR="00573ECE" w:rsidRPr="002E4274" w:rsidRDefault="00573ECE" w:rsidP="00C21191">
            <w:pPr>
              <w:rPr>
                <w:rFonts w:ascii="Arial" w:hAnsi="Arial" w:cs="Arial"/>
                <w:b/>
              </w:rPr>
            </w:pPr>
            <w:r w:rsidRPr="002E4274">
              <w:rPr>
                <w:rFonts w:ascii="Arial" w:hAnsi="Arial" w:cs="Arial"/>
                <w:b/>
              </w:rPr>
              <w:t>Responsibility</w:t>
            </w:r>
          </w:p>
        </w:tc>
      </w:tr>
      <w:tr w:rsidR="00573ECE" w14:paraId="77F842D5" w14:textId="77777777" w:rsidTr="00287DC0">
        <w:trPr>
          <w:trHeight w:val="420"/>
        </w:trPr>
        <w:tc>
          <w:tcPr>
            <w:tcW w:w="2234" w:type="dxa"/>
          </w:tcPr>
          <w:p w14:paraId="1A519599" w14:textId="77777777" w:rsidR="00573ECE" w:rsidRDefault="00670FB1" w:rsidP="00C21191">
            <w:pPr>
              <w:rPr>
                <w:rFonts w:ascii="Arial" w:hAnsi="Arial" w:cs="Arial"/>
              </w:rPr>
            </w:pPr>
            <w:r>
              <w:rPr>
                <w:rFonts w:ascii="Arial" w:hAnsi="Arial" w:cs="Arial"/>
              </w:rPr>
              <w:t>VOA: Security</w:t>
            </w:r>
          </w:p>
        </w:tc>
        <w:tc>
          <w:tcPr>
            <w:tcW w:w="3631" w:type="dxa"/>
          </w:tcPr>
          <w:p w14:paraId="46E4DB89" w14:textId="77777777" w:rsidR="00573ECE" w:rsidRDefault="00A61B3E" w:rsidP="00C21191">
            <w:pPr>
              <w:rPr>
                <w:rFonts w:ascii="Arial" w:hAnsi="Arial" w:cs="Arial"/>
              </w:rPr>
            </w:pPr>
            <w:r>
              <w:rPr>
                <w:rFonts w:ascii="Arial" w:hAnsi="Arial" w:cs="Arial"/>
              </w:rPr>
              <w:t>security@voa.gsi.gov.uk</w:t>
            </w:r>
          </w:p>
        </w:tc>
        <w:tc>
          <w:tcPr>
            <w:tcW w:w="3525" w:type="dxa"/>
          </w:tcPr>
          <w:p w14:paraId="54C6DF26" w14:textId="77777777" w:rsidR="007354B8" w:rsidRDefault="007354B8" w:rsidP="00C21191">
            <w:pPr>
              <w:rPr>
                <w:rFonts w:ascii="Arial" w:hAnsi="Arial" w:cs="Arial"/>
              </w:rPr>
            </w:pPr>
            <w:r>
              <w:rPr>
                <w:rFonts w:ascii="Arial" w:hAnsi="Arial" w:cs="Arial"/>
              </w:rPr>
              <w:t>Security and security incidents.</w:t>
            </w:r>
          </w:p>
          <w:p w14:paraId="6C6BA079" w14:textId="77777777" w:rsidR="00573ECE" w:rsidRDefault="00573ECE" w:rsidP="00711F75">
            <w:pPr>
              <w:rPr>
                <w:rFonts w:ascii="Arial" w:hAnsi="Arial" w:cs="Arial"/>
              </w:rPr>
            </w:pPr>
          </w:p>
        </w:tc>
      </w:tr>
      <w:tr w:rsidR="00711F75" w14:paraId="502ECD62" w14:textId="77777777" w:rsidTr="00287DC0">
        <w:trPr>
          <w:trHeight w:val="585"/>
        </w:trPr>
        <w:tc>
          <w:tcPr>
            <w:tcW w:w="2234" w:type="dxa"/>
          </w:tcPr>
          <w:p w14:paraId="0A28CF68" w14:textId="77777777" w:rsidR="00711F75" w:rsidRDefault="00354361" w:rsidP="00C21191">
            <w:pPr>
              <w:rPr>
                <w:rFonts w:ascii="Arial" w:hAnsi="Arial" w:cs="Arial"/>
              </w:rPr>
            </w:pPr>
            <w:r>
              <w:rPr>
                <w:rFonts w:ascii="Arial" w:hAnsi="Arial" w:cs="Arial"/>
              </w:rPr>
              <w:t>VOA: Security</w:t>
            </w:r>
          </w:p>
        </w:tc>
        <w:tc>
          <w:tcPr>
            <w:tcW w:w="3631" w:type="dxa"/>
          </w:tcPr>
          <w:p w14:paraId="5AA97D28" w14:textId="77777777" w:rsidR="00711F75" w:rsidRPr="000205F8" w:rsidRDefault="002676A8" w:rsidP="00C21191">
            <w:pPr>
              <w:rPr>
                <w:rFonts w:ascii="Arial" w:hAnsi="Arial" w:cs="Arial"/>
              </w:rPr>
            </w:pPr>
            <w:hyperlink r:id="rId14" w:history="1">
              <w:r w:rsidR="00354361" w:rsidRPr="000205F8">
                <w:rPr>
                  <w:rStyle w:val="Hyperlink"/>
                  <w:rFonts w:ascii="Arial" w:hAnsi="Arial" w:cs="Arial"/>
                  <w:color w:val="auto"/>
                  <w:u w:val="none"/>
                </w:rPr>
                <w:t>security.offshoring@voa.gsi.gov.uk</w:t>
              </w:r>
            </w:hyperlink>
          </w:p>
        </w:tc>
        <w:tc>
          <w:tcPr>
            <w:tcW w:w="3525" w:type="dxa"/>
          </w:tcPr>
          <w:p w14:paraId="33334019" w14:textId="77777777" w:rsidR="00711F75" w:rsidRDefault="00711F75" w:rsidP="00711F75">
            <w:pPr>
              <w:rPr>
                <w:rFonts w:ascii="Arial" w:hAnsi="Arial" w:cs="Arial"/>
              </w:rPr>
            </w:pPr>
            <w:r>
              <w:rPr>
                <w:rFonts w:ascii="Arial" w:hAnsi="Arial" w:cs="Arial"/>
              </w:rPr>
              <w:t>Security for off</w:t>
            </w:r>
            <w:r w:rsidR="00354361">
              <w:rPr>
                <w:rFonts w:ascii="Arial" w:hAnsi="Arial" w:cs="Arial"/>
              </w:rPr>
              <w:t>-shoring information outside the UK</w:t>
            </w:r>
          </w:p>
        </w:tc>
      </w:tr>
      <w:tr w:rsidR="00573ECE" w14:paraId="2698CCB2" w14:textId="77777777" w:rsidTr="00287DC0">
        <w:tc>
          <w:tcPr>
            <w:tcW w:w="2234" w:type="dxa"/>
          </w:tcPr>
          <w:p w14:paraId="2E89FB53" w14:textId="3EB51FD0" w:rsidR="00573ECE" w:rsidRDefault="00670FB1" w:rsidP="006074D4">
            <w:pPr>
              <w:rPr>
                <w:rFonts w:ascii="Arial" w:hAnsi="Arial" w:cs="Arial"/>
              </w:rPr>
            </w:pPr>
            <w:r>
              <w:rPr>
                <w:rFonts w:ascii="Arial" w:hAnsi="Arial" w:cs="Arial"/>
              </w:rPr>
              <w:t>VOA:</w:t>
            </w:r>
            <w:r w:rsidR="00BE78EE">
              <w:rPr>
                <w:rFonts w:ascii="Arial" w:hAnsi="Arial" w:cs="Arial"/>
              </w:rPr>
              <w:t xml:space="preserve"> </w:t>
            </w:r>
            <w:r w:rsidR="006074D4">
              <w:rPr>
                <w:rFonts w:ascii="Arial" w:hAnsi="Arial" w:cs="Arial"/>
              </w:rPr>
              <w:t>LARM team</w:t>
            </w:r>
          </w:p>
        </w:tc>
        <w:tc>
          <w:tcPr>
            <w:tcW w:w="3631" w:type="dxa"/>
          </w:tcPr>
          <w:p w14:paraId="7E7B6701" w14:textId="52DE47BE" w:rsidR="00573ECE" w:rsidRDefault="006074D4" w:rsidP="00351DE4">
            <w:pPr>
              <w:rPr>
                <w:rFonts w:ascii="Arial" w:hAnsi="Arial" w:cs="Arial"/>
              </w:rPr>
            </w:pPr>
            <w:r>
              <w:rPr>
                <w:rFonts w:ascii="Arial" w:hAnsi="Arial" w:cs="Arial"/>
              </w:rPr>
              <w:t>ratesretention</w:t>
            </w:r>
            <w:r w:rsidR="00351DE4">
              <w:rPr>
                <w:rFonts w:ascii="Arial" w:hAnsi="Arial" w:cs="Arial"/>
              </w:rPr>
              <w:t>@voa.gsi.gov.uk</w:t>
            </w:r>
          </w:p>
        </w:tc>
        <w:tc>
          <w:tcPr>
            <w:tcW w:w="3525" w:type="dxa"/>
          </w:tcPr>
          <w:p w14:paraId="5F2B98FB" w14:textId="77777777" w:rsidR="00573ECE" w:rsidRDefault="00670FB1" w:rsidP="00670FB1">
            <w:pPr>
              <w:rPr>
                <w:rFonts w:ascii="Arial" w:hAnsi="Arial" w:cs="Arial"/>
              </w:rPr>
            </w:pPr>
            <w:r>
              <w:rPr>
                <w:rFonts w:ascii="Arial" w:hAnsi="Arial" w:cs="Arial"/>
              </w:rPr>
              <w:t>Reporting and escalating issues</w:t>
            </w:r>
          </w:p>
        </w:tc>
      </w:tr>
      <w:tr w:rsidR="00670FB1" w14:paraId="45F3C2B8" w14:textId="77777777" w:rsidTr="00287DC0">
        <w:tc>
          <w:tcPr>
            <w:tcW w:w="2234" w:type="dxa"/>
          </w:tcPr>
          <w:p w14:paraId="4EF197A3" w14:textId="42FE9B4F" w:rsidR="00670FB1" w:rsidRDefault="00670FB1" w:rsidP="006074D4">
            <w:pPr>
              <w:rPr>
                <w:rFonts w:ascii="Arial" w:hAnsi="Arial" w:cs="Arial"/>
              </w:rPr>
            </w:pPr>
            <w:r>
              <w:rPr>
                <w:rFonts w:ascii="Arial" w:hAnsi="Arial" w:cs="Arial"/>
              </w:rPr>
              <w:t>VOA:</w:t>
            </w:r>
            <w:r w:rsidR="00351DE4">
              <w:rPr>
                <w:rFonts w:ascii="Arial" w:hAnsi="Arial" w:cs="Arial"/>
              </w:rPr>
              <w:t xml:space="preserve"> </w:t>
            </w:r>
            <w:r w:rsidR="006074D4">
              <w:rPr>
                <w:rFonts w:ascii="Arial" w:hAnsi="Arial" w:cs="Arial"/>
              </w:rPr>
              <w:t>ILD team</w:t>
            </w:r>
          </w:p>
        </w:tc>
        <w:tc>
          <w:tcPr>
            <w:tcW w:w="3631" w:type="dxa"/>
          </w:tcPr>
          <w:p w14:paraId="2553334A" w14:textId="11CACFEB" w:rsidR="00670FB1" w:rsidRPr="002676A8" w:rsidRDefault="00F37CCA" w:rsidP="00C21191">
            <w:pPr>
              <w:rPr>
                <w:rFonts w:ascii="Arial" w:hAnsi="Arial" w:cs="Arial"/>
              </w:rPr>
            </w:pPr>
            <w:r w:rsidRPr="002676A8">
              <w:rPr>
                <w:rFonts w:ascii="Arial" w:hAnsi="Arial" w:cs="Arial"/>
              </w:rPr>
              <w:t>Information.Disclosure@voa.gsi.gov.uk</w:t>
            </w:r>
          </w:p>
        </w:tc>
        <w:tc>
          <w:tcPr>
            <w:tcW w:w="3525" w:type="dxa"/>
          </w:tcPr>
          <w:p w14:paraId="03E36704" w14:textId="77777777" w:rsidR="00670FB1" w:rsidRDefault="00BE78EE" w:rsidP="00C21191">
            <w:pPr>
              <w:rPr>
                <w:rFonts w:ascii="Arial" w:hAnsi="Arial" w:cs="Arial"/>
              </w:rPr>
            </w:pPr>
            <w:r>
              <w:rPr>
                <w:rFonts w:ascii="Arial" w:hAnsi="Arial" w:cs="Arial"/>
              </w:rPr>
              <w:t>Review and a</w:t>
            </w:r>
            <w:r w:rsidR="00670FB1">
              <w:rPr>
                <w:rFonts w:ascii="Arial" w:hAnsi="Arial" w:cs="Arial"/>
              </w:rPr>
              <w:t>mendments to ISAs</w:t>
            </w:r>
          </w:p>
        </w:tc>
      </w:tr>
      <w:tr w:rsidR="00670FB1" w14:paraId="4A875F23" w14:textId="77777777" w:rsidTr="00287DC0">
        <w:tc>
          <w:tcPr>
            <w:tcW w:w="2234" w:type="dxa"/>
          </w:tcPr>
          <w:p w14:paraId="3381E483" w14:textId="54C9A038" w:rsidR="00670FB1" w:rsidRDefault="006074D4" w:rsidP="00C21191">
            <w:pPr>
              <w:rPr>
                <w:rFonts w:ascii="Arial" w:hAnsi="Arial" w:cs="Arial"/>
              </w:rPr>
            </w:pPr>
            <w:r>
              <w:rPr>
                <w:rFonts w:ascii="Arial" w:hAnsi="Arial" w:cs="Arial"/>
              </w:rPr>
              <w:t>VOA: ILD team</w:t>
            </w:r>
          </w:p>
        </w:tc>
        <w:tc>
          <w:tcPr>
            <w:tcW w:w="3631" w:type="dxa"/>
          </w:tcPr>
          <w:p w14:paraId="19283D00" w14:textId="77777777" w:rsidR="00670FB1" w:rsidRDefault="00A61B3E" w:rsidP="00C21191">
            <w:pPr>
              <w:rPr>
                <w:rFonts w:ascii="Arial" w:hAnsi="Arial" w:cs="Arial"/>
              </w:rPr>
            </w:pPr>
            <w:r>
              <w:rPr>
                <w:rFonts w:ascii="Arial" w:hAnsi="Arial" w:cs="Arial"/>
              </w:rPr>
              <w:t>foi@voa.gsi.gov.uk</w:t>
            </w:r>
          </w:p>
        </w:tc>
        <w:tc>
          <w:tcPr>
            <w:tcW w:w="3525" w:type="dxa"/>
          </w:tcPr>
          <w:p w14:paraId="37B8E073" w14:textId="77777777" w:rsidR="00670FB1" w:rsidRDefault="00BE78EE" w:rsidP="00C21191">
            <w:pPr>
              <w:rPr>
                <w:rFonts w:ascii="Arial" w:hAnsi="Arial" w:cs="Arial"/>
              </w:rPr>
            </w:pPr>
            <w:r>
              <w:rPr>
                <w:rFonts w:ascii="Arial" w:hAnsi="Arial" w:cs="Arial"/>
              </w:rPr>
              <w:t>FoIA requests</w:t>
            </w:r>
          </w:p>
        </w:tc>
      </w:tr>
    </w:tbl>
    <w:p w14:paraId="7E5FCECE" w14:textId="77777777" w:rsidR="00287DC0" w:rsidRDefault="00287DC0">
      <w:pPr>
        <w:rPr>
          <w:rFonts w:ascii="Arial" w:hAnsi="Arial" w:cs="Arial"/>
          <w:b/>
        </w:rPr>
      </w:pPr>
      <w:r>
        <w:rPr>
          <w:rFonts w:ascii="Arial" w:hAnsi="Arial" w:cs="Arial"/>
          <w:b/>
        </w:rPr>
        <w:br w:type="page"/>
      </w:r>
    </w:p>
    <w:p w14:paraId="3C8D9FC2" w14:textId="77777777" w:rsidR="008E7772" w:rsidRPr="00C21191" w:rsidRDefault="008E7772" w:rsidP="008E7772">
      <w:pPr>
        <w:jc w:val="both"/>
        <w:outlineLvl w:val="1"/>
        <w:rPr>
          <w:rFonts w:ascii="Arial" w:hAnsi="Arial" w:cs="Arial"/>
          <w:b/>
        </w:rPr>
      </w:pPr>
      <w:r>
        <w:rPr>
          <w:rFonts w:ascii="Arial" w:hAnsi="Arial" w:cs="Arial"/>
          <w:b/>
        </w:rPr>
        <w:lastRenderedPageBreak/>
        <w:t>Annex C</w:t>
      </w:r>
    </w:p>
    <w:p w14:paraId="2036B71C" w14:textId="77777777" w:rsidR="008E7772" w:rsidRPr="00C21191" w:rsidRDefault="008E7772" w:rsidP="008E7772">
      <w:pPr>
        <w:jc w:val="both"/>
        <w:outlineLvl w:val="1"/>
        <w:rPr>
          <w:rFonts w:ascii="Arial" w:hAnsi="Arial" w:cs="Arial"/>
          <w:b/>
        </w:rPr>
      </w:pPr>
      <w:r>
        <w:rPr>
          <w:rFonts w:ascii="Arial" w:hAnsi="Arial" w:cs="Arial"/>
          <w:b/>
        </w:rPr>
        <w:t xml:space="preserve">Review </w:t>
      </w:r>
      <w:r w:rsidRPr="00C21191">
        <w:rPr>
          <w:rFonts w:ascii="Arial" w:hAnsi="Arial" w:cs="Arial"/>
          <w:b/>
        </w:rPr>
        <w:t>History</w:t>
      </w:r>
    </w:p>
    <w:p w14:paraId="6E1B7AA5" w14:textId="77777777" w:rsidR="008E7772" w:rsidRPr="00C21191" w:rsidRDefault="008E7772" w:rsidP="008E7772">
      <w:pPr>
        <w:jc w:val="both"/>
        <w:outlineLvl w:val="1"/>
        <w:rPr>
          <w:rFonts w:ascii="Arial" w:hAnsi="Arial" w:cs="Arial"/>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478"/>
        <w:gridCol w:w="5715"/>
      </w:tblGrid>
      <w:tr w:rsidR="008E7772" w:rsidRPr="00C21191" w14:paraId="6A9B5727" w14:textId="77777777" w:rsidTr="00287DC0">
        <w:tc>
          <w:tcPr>
            <w:tcW w:w="1163" w:type="dxa"/>
            <w:shd w:val="clear" w:color="auto" w:fill="262626" w:themeFill="text1" w:themeFillTint="D9"/>
          </w:tcPr>
          <w:p w14:paraId="2F3D051A" w14:textId="77777777" w:rsidR="008E7772" w:rsidRPr="00C21191" w:rsidRDefault="008E7772" w:rsidP="0049163E">
            <w:pPr>
              <w:spacing w:before="40" w:after="40"/>
              <w:ind w:left="6"/>
              <w:jc w:val="both"/>
              <w:rPr>
                <w:rFonts w:ascii="Arial" w:hAnsi="Arial" w:cs="Arial"/>
              </w:rPr>
            </w:pPr>
            <w:r w:rsidRPr="00C21191">
              <w:rPr>
                <w:rFonts w:ascii="Arial" w:hAnsi="Arial" w:cs="Arial"/>
              </w:rPr>
              <w:t>Version</w:t>
            </w:r>
          </w:p>
        </w:tc>
        <w:tc>
          <w:tcPr>
            <w:tcW w:w="2478" w:type="dxa"/>
            <w:shd w:val="clear" w:color="auto" w:fill="262626" w:themeFill="text1" w:themeFillTint="D9"/>
          </w:tcPr>
          <w:p w14:paraId="52F98558" w14:textId="77777777" w:rsidR="008E7772" w:rsidRPr="00C21191" w:rsidRDefault="008E7772" w:rsidP="0049163E">
            <w:pPr>
              <w:spacing w:before="40" w:after="40"/>
              <w:jc w:val="both"/>
              <w:rPr>
                <w:rFonts w:ascii="Arial" w:hAnsi="Arial" w:cs="Arial"/>
              </w:rPr>
            </w:pPr>
            <w:r w:rsidRPr="00C21191">
              <w:rPr>
                <w:rFonts w:ascii="Arial" w:hAnsi="Arial" w:cs="Arial"/>
              </w:rPr>
              <w:t>Date</w:t>
            </w:r>
          </w:p>
        </w:tc>
        <w:tc>
          <w:tcPr>
            <w:tcW w:w="5715" w:type="dxa"/>
            <w:shd w:val="clear" w:color="auto" w:fill="262626" w:themeFill="text1" w:themeFillTint="D9"/>
          </w:tcPr>
          <w:p w14:paraId="497D6513" w14:textId="77777777" w:rsidR="008E7772" w:rsidRPr="00C21191" w:rsidRDefault="008E7772" w:rsidP="0049163E">
            <w:pPr>
              <w:spacing w:before="40" w:after="40"/>
              <w:jc w:val="both"/>
              <w:rPr>
                <w:rFonts w:ascii="Arial" w:hAnsi="Arial" w:cs="Arial"/>
              </w:rPr>
            </w:pPr>
            <w:r w:rsidRPr="00C21191">
              <w:rPr>
                <w:rFonts w:ascii="Arial" w:hAnsi="Arial" w:cs="Arial"/>
              </w:rPr>
              <w:t>Summary of changes</w:t>
            </w:r>
          </w:p>
        </w:tc>
      </w:tr>
      <w:tr w:rsidR="008E7772" w:rsidRPr="00C21191" w14:paraId="7B84D8D2" w14:textId="77777777" w:rsidTr="00287DC0">
        <w:tc>
          <w:tcPr>
            <w:tcW w:w="1163" w:type="dxa"/>
          </w:tcPr>
          <w:p w14:paraId="646B576C" w14:textId="77777777" w:rsidR="008E7772" w:rsidRPr="00C21191" w:rsidRDefault="00987D0F" w:rsidP="0049163E">
            <w:pPr>
              <w:spacing w:before="40" w:after="40"/>
              <w:jc w:val="both"/>
              <w:rPr>
                <w:rFonts w:ascii="Arial" w:hAnsi="Arial" w:cs="Arial"/>
              </w:rPr>
            </w:pPr>
            <w:r>
              <w:rPr>
                <w:rFonts w:ascii="Arial" w:hAnsi="Arial" w:cs="Arial"/>
              </w:rPr>
              <w:t>2.0</w:t>
            </w:r>
          </w:p>
        </w:tc>
        <w:tc>
          <w:tcPr>
            <w:tcW w:w="2478" w:type="dxa"/>
          </w:tcPr>
          <w:p w14:paraId="0505A56D" w14:textId="77777777" w:rsidR="008E7772" w:rsidRPr="00C21191" w:rsidRDefault="008E7772" w:rsidP="0049163E">
            <w:pPr>
              <w:spacing w:before="40" w:after="40"/>
              <w:rPr>
                <w:rFonts w:ascii="Arial" w:hAnsi="Arial" w:cs="Arial"/>
              </w:rPr>
            </w:pPr>
          </w:p>
        </w:tc>
        <w:tc>
          <w:tcPr>
            <w:tcW w:w="5715" w:type="dxa"/>
          </w:tcPr>
          <w:p w14:paraId="44A7FC3F" w14:textId="77777777" w:rsidR="008E7772" w:rsidRPr="00C21191" w:rsidRDefault="00987D0F" w:rsidP="0049163E">
            <w:pPr>
              <w:spacing w:before="40" w:after="40"/>
              <w:jc w:val="both"/>
              <w:rPr>
                <w:rFonts w:ascii="Arial" w:hAnsi="Arial" w:cs="Arial"/>
              </w:rPr>
            </w:pPr>
            <w:r>
              <w:rPr>
                <w:rFonts w:ascii="Arial" w:hAnsi="Arial" w:cs="Arial"/>
              </w:rPr>
              <w:t>FINAL VERSION</w:t>
            </w:r>
          </w:p>
        </w:tc>
      </w:tr>
      <w:tr w:rsidR="008E7772" w:rsidRPr="00C21191" w14:paraId="2490D4AA" w14:textId="77777777" w:rsidTr="00287DC0">
        <w:tc>
          <w:tcPr>
            <w:tcW w:w="1163" w:type="dxa"/>
          </w:tcPr>
          <w:p w14:paraId="327EEB9F" w14:textId="77777777" w:rsidR="008E7772" w:rsidRPr="00C21191" w:rsidRDefault="00987D0F" w:rsidP="0049163E">
            <w:pPr>
              <w:spacing w:before="40" w:after="40"/>
              <w:jc w:val="both"/>
              <w:rPr>
                <w:rFonts w:ascii="Arial" w:hAnsi="Arial" w:cs="Arial"/>
              </w:rPr>
            </w:pPr>
            <w:r>
              <w:rPr>
                <w:rFonts w:ascii="Arial" w:hAnsi="Arial" w:cs="Arial"/>
              </w:rPr>
              <w:t>2.1</w:t>
            </w:r>
          </w:p>
        </w:tc>
        <w:tc>
          <w:tcPr>
            <w:tcW w:w="2478" w:type="dxa"/>
          </w:tcPr>
          <w:p w14:paraId="4A220C00" w14:textId="77777777" w:rsidR="008E7772" w:rsidRPr="00C21191" w:rsidRDefault="008E7772" w:rsidP="0049163E">
            <w:pPr>
              <w:spacing w:before="40" w:after="40"/>
              <w:jc w:val="both"/>
              <w:rPr>
                <w:rFonts w:ascii="Arial" w:hAnsi="Arial" w:cs="Arial"/>
              </w:rPr>
            </w:pPr>
          </w:p>
        </w:tc>
        <w:tc>
          <w:tcPr>
            <w:tcW w:w="5715" w:type="dxa"/>
          </w:tcPr>
          <w:p w14:paraId="173342A8" w14:textId="77777777" w:rsidR="008E7772" w:rsidRPr="00C21191" w:rsidRDefault="00987D0F" w:rsidP="0049163E">
            <w:pPr>
              <w:spacing w:before="40" w:after="40"/>
              <w:jc w:val="both"/>
              <w:rPr>
                <w:rFonts w:ascii="Arial" w:hAnsi="Arial" w:cs="Arial"/>
              </w:rPr>
            </w:pPr>
            <w:r>
              <w:rPr>
                <w:rFonts w:ascii="Arial" w:hAnsi="Arial" w:cs="Arial"/>
              </w:rPr>
              <w:t>1</w:t>
            </w:r>
            <w:r w:rsidRPr="00987D0F">
              <w:rPr>
                <w:rFonts w:ascii="Arial" w:hAnsi="Arial" w:cs="Arial"/>
                <w:vertAlign w:val="superscript"/>
              </w:rPr>
              <w:t>st</w:t>
            </w:r>
            <w:r>
              <w:rPr>
                <w:rFonts w:ascii="Arial" w:hAnsi="Arial" w:cs="Arial"/>
              </w:rPr>
              <w:t xml:space="preserve"> Review Planned</w:t>
            </w:r>
          </w:p>
        </w:tc>
      </w:tr>
      <w:tr w:rsidR="008E7772" w:rsidRPr="00C21191" w14:paraId="7EBF6232" w14:textId="77777777" w:rsidTr="00287DC0">
        <w:tc>
          <w:tcPr>
            <w:tcW w:w="1163" w:type="dxa"/>
          </w:tcPr>
          <w:p w14:paraId="633B48FC" w14:textId="77777777" w:rsidR="008E7772" w:rsidRPr="00C21191" w:rsidRDefault="008E7772" w:rsidP="0049163E">
            <w:pPr>
              <w:spacing w:before="40" w:after="40"/>
              <w:jc w:val="both"/>
              <w:rPr>
                <w:rFonts w:ascii="Arial" w:hAnsi="Arial" w:cs="Arial"/>
              </w:rPr>
            </w:pPr>
          </w:p>
        </w:tc>
        <w:tc>
          <w:tcPr>
            <w:tcW w:w="2478" w:type="dxa"/>
          </w:tcPr>
          <w:p w14:paraId="746BD378" w14:textId="77777777" w:rsidR="008E7772" w:rsidRPr="00C21191" w:rsidRDefault="008E7772" w:rsidP="0049163E">
            <w:pPr>
              <w:spacing w:before="40" w:after="40"/>
              <w:jc w:val="both"/>
              <w:rPr>
                <w:rFonts w:ascii="Arial" w:hAnsi="Arial" w:cs="Arial"/>
              </w:rPr>
            </w:pPr>
          </w:p>
        </w:tc>
        <w:tc>
          <w:tcPr>
            <w:tcW w:w="5715" w:type="dxa"/>
          </w:tcPr>
          <w:p w14:paraId="679CA052" w14:textId="77777777" w:rsidR="008E7772" w:rsidRPr="00C21191" w:rsidRDefault="008E7772" w:rsidP="0049163E">
            <w:pPr>
              <w:spacing w:before="40" w:after="40"/>
              <w:jc w:val="both"/>
              <w:rPr>
                <w:rFonts w:ascii="Arial" w:hAnsi="Arial" w:cs="Arial"/>
              </w:rPr>
            </w:pPr>
          </w:p>
        </w:tc>
      </w:tr>
      <w:tr w:rsidR="008E7772" w:rsidRPr="00C21191" w14:paraId="58345E78" w14:textId="77777777" w:rsidTr="00287DC0">
        <w:tc>
          <w:tcPr>
            <w:tcW w:w="1163" w:type="dxa"/>
          </w:tcPr>
          <w:p w14:paraId="0F271466" w14:textId="77777777" w:rsidR="008E7772" w:rsidRPr="00C21191" w:rsidRDefault="008E7772" w:rsidP="0049163E">
            <w:pPr>
              <w:spacing w:before="40" w:after="40"/>
              <w:jc w:val="both"/>
              <w:rPr>
                <w:rFonts w:ascii="Arial" w:hAnsi="Arial" w:cs="Arial"/>
              </w:rPr>
            </w:pPr>
          </w:p>
        </w:tc>
        <w:tc>
          <w:tcPr>
            <w:tcW w:w="2478" w:type="dxa"/>
          </w:tcPr>
          <w:p w14:paraId="694646D2" w14:textId="77777777" w:rsidR="008E7772" w:rsidRPr="00C21191" w:rsidRDefault="008E7772" w:rsidP="0049163E">
            <w:pPr>
              <w:spacing w:before="40" w:after="40"/>
              <w:jc w:val="both"/>
              <w:rPr>
                <w:rFonts w:ascii="Arial" w:hAnsi="Arial" w:cs="Arial"/>
              </w:rPr>
            </w:pPr>
          </w:p>
        </w:tc>
        <w:tc>
          <w:tcPr>
            <w:tcW w:w="5715" w:type="dxa"/>
          </w:tcPr>
          <w:p w14:paraId="4817E837" w14:textId="77777777" w:rsidR="008E7772" w:rsidRPr="00C21191" w:rsidRDefault="008E7772" w:rsidP="0049163E">
            <w:pPr>
              <w:spacing w:before="40" w:after="40"/>
              <w:jc w:val="both"/>
              <w:rPr>
                <w:rFonts w:ascii="Arial" w:hAnsi="Arial" w:cs="Arial"/>
              </w:rPr>
            </w:pPr>
          </w:p>
        </w:tc>
      </w:tr>
      <w:tr w:rsidR="008E7772" w:rsidRPr="00C21191" w14:paraId="5197C25F" w14:textId="77777777" w:rsidTr="00287DC0">
        <w:tc>
          <w:tcPr>
            <w:tcW w:w="1163" w:type="dxa"/>
          </w:tcPr>
          <w:p w14:paraId="6C190F49" w14:textId="77777777" w:rsidR="008E7772" w:rsidRPr="00C21191" w:rsidRDefault="008E7772" w:rsidP="0049163E">
            <w:pPr>
              <w:spacing w:before="40" w:after="40"/>
              <w:jc w:val="both"/>
              <w:rPr>
                <w:rFonts w:ascii="Arial" w:hAnsi="Arial" w:cs="Arial"/>
              </w:rPr>
            </w:pPr>
          </w:p>
        </w:tc>
        <w:tc>
          <w:tcPr>
            <w:tcW w:w="2478" w:type="dxa"/>
          </w:tcPr>
          <w:p w14:paraId="186C60BA" w14:textId="77777777" w:rsidR="008E7772" w:rsidRPr="00C21191" w:rsidRDefault="008E7772" w:rsidP="0049163E">
            <w:pPr>
              <w:spacing w:before="40" w:after="40"/>
              <w:jc w:val="both"/>
              <w:rPr>
                <w:rFonts w:ascii="Arial" w:hAnsi="Arial" w:cs="Arial"/>
              </w:rPr>
            </w:pPr>
          </w:p>
        </w:tc>
        <w:tc>
          <w:tcPr>
            <w:tcW w:w="5715" w:type="dxa"/>
          </w:tcPr>
          <w:p w14:paraId="10C78721" w14:textId="77777777" w:rsidR="008E7772" w:rsidRPr="00C21191" w:rsidRDefault="008E7772" w:rsidP="0049163E">
            <w:pPr>
              <w:spacing w:before="40" w:after="40"/>
              <w:jc w:val="both"/>
              <w:rPr>
                <w:rFonts w:ascii="Arial" w:hAnsi="Arial" w:cs="Arial"/>
              </w:rPr>
            </w:pPr>
          </w:p>
        </w:tc>
      </w:tr>
      <w:tr w:rsidR="008E7772" w:rsidRPr="00C21191" w14:paraId="67B4520A" w14:textId="77777777" w:rsidTr="00287DC0">
        <w:tc>
          <w:tcPr>
            <w:tcW w:w="1163" w:type="dxa"/>
          </w:tcPr>
          <w:p w14:paraId="460897FE" w14:textId="77777777" w:rsidR="008E7772" w:rsidRPr="00C21191" w:rsidRDefault="008E7772" w:rsidP="0049163E">
            <w:pPr>
              <w:spacing w:before="40" w:after="40"/>
              <w:jc w:val="both"/>
              <w:rPr>
                <w:rFonts w:ascii="Arial" w:hAnsi="Arial" w:cs="Arial"/>
              </w:rPr>
            </w:pPr>
          </w:p>
        </w:tc>
        <w:tc>
          <w:tcPr>
            <w:tcW w:w="2478" w:type="dxa"/>
          </w:tcPr>
          <w:p w14:paraId="52BBD12D" w14:textId="77777777" w:rsidR="008E7772" w:rsidRPr="00C21191" w:rsidRDefault="008E7772" w:rsidP="0049163E">
            <w:pPr>
              <w:spacing w:before="40" w:after="40"/>
              <w:jc w:val="both"/>
              <w:rPr>
                <w:rFonts w:ascii="Arial" w:hAnsi="Arial" w:cs="Arial"/>
              </w:rPr>
            </w:pPr>
          </w:p>
        </w:tc>
        <w:tc>
          <w:tcPr>
            <w:tcW w:w="5715" w:type="dxa"/>
          </w:tcPr>
          <w:p w14:paraId="0A548664" w14:textId="77777777" w:rsidR="008E7772" w:rsidRPr="00C21191" w:rsidRDefault="008E7772" w:rsidP="0049163E">
            <w:pPr>
              <w:spacing w:before="40" w:after="40"/>
              <w:jc w:val="both"/>
              <w:rPr>
                <w:rFonts w:ascii="Arial" w:hAnsi="Arial" w:cs="Arial"/>
              </w:rPr>
            </w:pPr>
          </w:p>
        </w:tc>
      </w:tr>
    </w:tbl>
    <w:p w14:paraId="0BBC2DD1" w14:textId="77777777" w:rsidR="008E7772" w:rsidRDefault="008E7772" w:rsidP="008E7772">
      <w:pPr>
        <w:rPr>
          <w:rFonts w:ascii="Arial" w:hAnsi="Arial" w:cs="Arial"/>
        </w:rPr>
      </w:pPr>
    </w:p>
    <w:p w14:paraId="4D3658C8" w14:textId="77777777" w:rsidR="008E7772" w:rsidRPr="005457E2" w:rsidRDefault="008E7772" w:rsidP="00093A7F">
      <w:pPr>
        <w:spacing w:after="100" w:afterAutospacing="1"/>
        <w:rPr>
          <w:rFonts w:ascii="Arial" w:hAnsi="Arial" w:cs="Arial"/>
        </w:rPr>
      </w:pPr>
    </w:p>
    <w:sectPr w:rsidR="008E7772" w:rsidRPr="005457E2" w:rsidSect="00EB4E9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46299" w14:textId="77777777" w:rsidR="000B52B9" w:rsidRDefault="000B52B9" w:rsidP="00F04150">
      <w:pPr>
        <w:spacing w:after="0" w:line="240" w:lineRule="auto"/>
      </w:pPr>
      <w:r>
        <w:separator/>
      </w:r>
    </w:p>
  </w:endnote>
  <w:endnote w:type="continuationSeparator" w:id="0">
    <w:p w14:paraId="44699D34" w14:textId="77777777" w:rsidR="000B52B9" w:rsidRDefault="000B52B9" w:rsidP="00F0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68" w:type="dxa"/>
      <w:tblBorders>
        <w:insideH w:val="single" w:sz="4" w:space="0" w:color="auto"/>
      </w:tblBorders>
      <w:tblLook w:val="01E0" w:firstRow="1" w:lastRow="1" w:firstColumn="1" w:lastColumn="1" w:noHBand="0" w:noVBand="0"/>
    </w:tblPr>
    <w:tblGrid>
      <w:gridCol w:w="3708"/>
      <w:gridCol w:w="4860"/>
    </w:tblGrid>
    <w:tr w:rsidR="002E57A3" w:rsidRPr="00F86DF0" w14:paraId="7D5BF251" w14:textId="77777777" w:rsidTr="00140C66">
      <w:tc>
        <w:tcPr>
          <w:tcW w:w="3708" w:type="dxa"/>
        </w:tcPr>
        <w:p w14:paraId="5B062549" w14:textId="77777777" w:rsidR="002E57A3" w:rsidRPr="00F86DF0" w:rsidRDefault="00921F74" w:rsidP="00B04041">
          <w:pPr>
            <w:pStyle w:val="Footer"/>
            <w:spacing w:before="120"/>
            <w:rPr>
              <w:rFonts w:ascii="Arial" w:hAnsi="Arial" w:cs="Arial"/>
            </w:rPr>
          </w:pPr>
          <w:r>
            <w:rPr>
              <w:rFonts w:ascii="Arial" w:hAnsi="Arial" w:cs="Arial"/>
            </w:rPr>
            <w:t>V2.0 FINAL</w:t>
          </w:r>
        </w:p>
      </w:tc>
      <w:tc>
        <w:tcPr>
          <w:tcW w:w="4860" w:type="dxa"/>
        </w:tcPr>
        <w:p w14:paraId="15D148EC" w14:textId="77777777" w:rsidR="002E57A3" w:rsidRPr="00F86DF0" w:rsidRDefault="002E57A3" w:rsidP="00B04041">
          <w:pPr>
            <w:pStyle w:val="Footer"/>
            <w:spacing w:before="120"/>
            <w:jc w:val="right"/>
            <w:rPr>
              <w:rFonts w:ascii="Arial" w:hAnsi="Arial" w:cs="Arial"/>
            </w:rPr>
          </w:pPr>
          <w:r w:rsidRPr="00F86DF0">
            <w:rPr>
              <w:rFonts w:ascii="Arial" w:hAnsi="Arial" w:cs="Arial"/>
            </w:rPr>
            <w:t xml:space="preserve">Page </w:t>
          </w:r>
          <w:r w:rsidR="002F2E8C" w:rsidRPr="00F86DF0">
            <w:rPr>
              <w:rFonts w:ascii="Arial" w:hAnsi="Arial" w:cs="Arial"/>
            </w:rPr>
            <w:fldChar w:fldCharType="begin"/>
          </w:r>
          <w:r w:rsidRPr="00F86DF0">
            <w:rPr>
              <w:rFonts w:ascii="Arial" w:hAnsi="Arial" w:cs="Arial"/>
            </w:rPr>
            <w:instrText xml:space="preserve"> PAGE </w:instrText>
          </w:r>
          <w:r w:rsidR="002F2E8C" w:rsidRPr="00F86DF0">
            <w:rPr>
              <w:rFonts w:ascii="Arial" w:hAnsi="Arial" w:cs="Arial"/>
            </w:rPr>
            <w:fldChar w:fldCharType="separate"/>
          </w:r>
          <w:r w:rsidR="002676A8">
            <w:rPr>
              <w:rFonts w:ascii="Arial" w:hAnsi="Arial" w:cs="Arial"/>
              <w:noProof/>
            </w:rPr>
            <w:t>1</w:t>
          </w:r>
          <w:r w:rsidR="002F2E8C" w:rsidRPr="00F86DF0">
            <w:rPr>
              <w:rFonts w:ascii="Arial" w:hAnsi="Arial" w:cs="Arial"/>
            </w:rPr>
            <w:fldChar w:fldCharType="end"/>
          </w:r>
          <w:r w:rsidRPr="00F86DF0">
            <w:rPr>
              <w:rFonts w:ascii="Arial" w:hAnsi="Arial" w:cs="Arial"/>
            </w:rPr>
            <w:t xml:space="preserve"> of </w:t>
          </w:r>
          <w:r w:rsidR="002F2E8C" w:rsidRPr="00F86DF0">
            <w:rPr>
              <w:rFonts w:ascii="Arial" w:hAnsi="Arial" w:cs="Arial"/>
            </w:rPr>
            <w:fldChar w:fldCharType="begin"/>
          </w:r>
          <w:r w:rsidRPr="00F86DF0">
            <w:rPr>
              <w:rFonts w:ascii="Arial" w:hAnsi="Arial" w:cs="Arial"/>
            </w:rPr>
            <w:instrText xml:space="preserve"> NUMPAGES </w:instrText>
          </w:r>
          <w:r w:rsidR="002F2E8C" w:rsidRPr="00F86DF0">
            <w:rPr>
              <w:rFonts w:ascii="Arial" w:hAnsi="Arial" w:cs="Arial"/>
            </w:rPr>
            <w:fldChar w:fldCharType="separate"/>
          </w:r>
          <w:r w:rsidR="002676A8">
            <w:rPr>
              <w:rFonts w:ascii="Arial" w:hAnsi="Arial" w:cs="Arial"/>
              <w:noProof/>
            </w:rPr>
            <w:t>14</w:t>
          </w:r>
          <w:r w:rsidR="002F2E8C" w:rsidRPr="00F86DF0">
            <w:rPr>
              <w:rFonts w:ascii="Arial" w:hAnsi="Arial" w:cs="Arial"/>
            </w:rPr>
            <w:fldChar w:fldCharType="end"/>
          </w:r>
        </w:p>
        <w:p w14:paraId="18E752B0" w14:textId="77777777" w:rsidR="002E57A3" w:rsidRPr="00F86DF0" w:rsidRDefault="002E57A3" w:rsidP="00B04041">
          <w:pPr>
            <w:pStyle w:val="Footer"/>
            <w:spacing w:before="120"/>
            <w:jc w:val="right"/>
            <w:rPr>
              <w:rFonts w:ascii="Arial" w:hAnsi="Arial" w:cs="Arial"/>
            </w:rPr>
          </w:pPr>
        </w:p>
      </w:tc>
    </w:tr>
  </w:tbl>
  <w:p w14:paraId="4B6BF919" w14:textId="77777777" w:rsidR="002E57A3" w:rsidRDefault="002E5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B67C" w14:textId="77777777" w:rsidR="000B52B9" w:rsidRDefault="000B52B9" w:rsidP="00F04150">
      <w:pPr>
        <w:spacing w:after="0" w:line="240" w:lineRule="auto"/>
      </w:pPr>
      <w:r>
        <w:separator/>
      </w:r>
    </w:p>
  </w:footnote>
  <w:footnote w:type="continuationSeparator" w:id="0">
    <w:p w14:paraId="17477D43" w14:textId="77777777" w:rsidR="000B52B9" w:rsidRDefault="000B52B9" w:rsidP="00F04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6064"/>
    <w:multiLevelType w:val="multilevel"/>
    <w:tmpl w:val="392E162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9D7BE7"/>
    <w:multiLevelType w:val="multilevel"/>
    <w:tmpl w:val="205849CA"/>
    <w:lvl w:ilvl="0">
      <w:start w:val="11"/>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04B7074"/>
    <w:multiLevelType w:val="multilevel"/>
    <w:tmpl w:val="A08457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B56F7A"/>
    <w:multiLevelType w:val="hybridMultilevel"/>
    <w:tmpl w:val="F864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C592D"/>
    <w:multiLevelType w:val="multilevel"/>
    <w:tmpl w:val="4E26597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F77A2E"/>
    <w:multiLevelType w:val="hybridMultilevel"/>
    <w:tmpl w:val="2DAA42B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5E78682E"/>
    <w:multiLevelType w:val="hybridMultilevel"/>
    <w:tmpl w:val="E3AE0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470CD"/>
    <w:multiLevelType w:val="multilevel"/>
    <w:tmpl w:val="8336258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F904A4"/>
    <w:multiLevelType w:val="multilevel"/>
    <w:tmpl w:val="4E26597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D32595"/>
    <w:multiLevelType w:val="multilevel"/>
    <w:tmpl w:val="9AAA0A5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4"/>
  </w:num>
  <w:num w:numId="4">
    <w:abstractNumId w:val="5"/>
  </w:num>
  <w:num w:numId="5">
    <w:abstractNumId w:val="0"/>
  </w:num>
  <w:num w:numId="6">
    <w:abstractNumId w:val="7"/>
  </w:num>
  <w:num w:numId="7">
    <w:abstractNumId w:val="2"/>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A9"/>
    <w:rsid w:val="00006AE5"/>
    <w:rsid w:val="00016A88"/>
    <w:rsid w:val="000205F8"/>
    <w:rsid w:val="000361D2"/>
    <w:rsid w:val="00043995"/>
    <w:rsid w:val="00052472"/>
    <w:rsid w:val="000610F1"/>
    <w:rsid w:val="000665B2"/>
    <w:rsid w:val="0007200F"/>
    <w:rsid w:val="000762D1"/>
    <w:rsid w:val="00076881"/>
    <w:rsid w:val="00076B2B"/>
    <w:rsid w:val="000829BE"/>
    <w:rsid w:val="00083CA0"/>
    <w:rsid w:val="00083E06"/>
    <w:rsid w:val="00084875"/>
    <w:rsid w:val="00084BC4"/>
    <w:rsid w:val="00085AFB"/>
    <w:rsid w:val="00090D43"/>
    <w:rsid w:val="000926E7"/>
    <w:rsid w:val="00093A7F"/>
    <w:rsid w:val="000A05B5"/>
    <w:rsid w:val="000A3C9E"/>
    <w:rsid w:val="000A6EFA"/>
    <w:rsid w:val="000B040E"/>
    <w:rsid w:val="000B35C9"/>
    <w:rsid w:val="000B52B9"/>
    <w:rsid w:val="000B5C36"/>
    <w:rsid w:val="000C3EA2"/>
    <w:rsid w:val="000D21AC"/>
    <w:rsid w:val="000D7D6B"/>
    <w:rsid w:val="000E342A"/>
    <w:rsid w:val="000F024E"/>
    <w:rsid w:val="000F61FC"/>
    <w:rsid w:val="00100410"/>
    <w:rsid w:val="00105AC5"/>
    <w:rsid w:val="001062EC"/>
    <w:rsid w:val="00113B7E"/>
    <w:rsid w:val="00115F96"/>
    <w:rsid w:val="001165B2"/>
    <w:rsid w:val="001222D4"/>
    <w:rsid w:val="00126035"/>
    <w:rsid w:val="001349A6"/>
    <w:rsid w:val="001401D1"/>
    <w:rsid w:val="00140C66"/>
    <w:rsid w:val="00141A24"/>
    <w:rsid w:val="00142B83"/>
    <w:rsid w:val="0014761F"/>
    <w:rsid w:val="00147D89"/>
    <w:rsid w:val="00156FF3"/>
    <w:rsid w:val="0016009E"/>
    <w:rsid w:val="0017371A"/>
    <w:rsid w:val="001769E2"/>
    <w:rsid w:val="001808BF"/>
    <w:rsid w:val="0018464B"/>
    <w:rsid w:val="00187B98"/>
    <w:rsid w:val="00196811"/>
    <w:rsid w:val="001B33D1"/>
    <w:rsid w:val="001C2723"/>
    <w:rsid w:val="001E2914"/>
    <w:rsid w:val="001F346E"/>
    <w:rsid w:val="0020491E"/>
    <w:rsid w:val="00212D4A"/>
    <w:rsid w:val="00213035"/>
    <w:rsid w:val="00214DD6"/>
    <w:rsid w:val="0021766A"/>
    <w:rsid w:val="00220C95"/>
    <w:rsid w:val="00231939"/>
    <w:rsid w:val="00233EEC"/>
    <w:rsid w:val="00242AEB"/>
    <w:rsid w:val="002661E6"/>
    <w:rsid w:val="002676A8"/>
    <w:rsid w:val="00277CA8"/>
    <w:rsid w:val="00283434"/>
    <w:rsid w:val="00287DC0"/>
    <w:rsid w:val="00290F47"/>
    <w:rsid w:val="002941E4"/>
    <w:rsid w:val="00296EE6"/>
    <w:rsid w:val="002B1A8D"/>
    <w:rsid w:val="002C5D7A"/>
    <w:rsid w:val="002C6252"/>
    <w:rsid w:val="002D741B"/>
    <w:rsid w:val="002E4274"/>
    <w:rsid w:val="002E50FD"/>
    <w:rsid w:val="002E57A3"/>
    <w:rsid w:val="002F2E8C"/>
    <w:rsid w:val="002F667C"/>
    <w:rsid w:val="0030089B"/>
    <w:rsid w:val="00305D62"/>
    <w:rsid w:val="00314413"/>
    <w:rsid w:val="003173C1"/>
    <w:rsid w:val="003178D0"/>
    <w:rsid w:val="00321114"/>
    <w:rsid w:val="00323E18"/>
    <w:rsid w:val="00324663"/>
    <w:rsid w:val="003306D2"/>
    <w:rsid w:val="003338BF"/>
    <w:rsid w:val="0034097D"/>
    <w:rsid w:val="00340C22"/>
    <w:rsid w:val="00341693"/>
    <w:rsid w:val="00351DE4"/>
    <w:rsid w:val="00354361"/>
    <w:rsid w:val="0036464F"/>
    <w:rsid w:val="0037735A"/>
    <w:rsid w:val="003775DC"/>
    <w:rsid w:val="003940CF"/>
    <w:rsid w:val="003A260F"/>
    <w:rsid w:val="003A5832"/>
    <w:rsid w:val="003B5B5D"/>
    <w:rsid w:val="003C08D5"/>
    <w:rsid w:val="003C13F4"/>
    <w:rsid w:val="003D7EA9"/>
    <w:rsid w:val="003E0104"/>
    <w:rsid w:val="003E34DA"/>
    <w:rsid w:val="003E3F02"/>
    <w:rsid w:val="003E6206"/>
    <w:rsid w:val="003F1AC7"/>
    <w:rsid w:val="003F1F39"/>
    <w:rsid w:val="003F38AC"/>
    <w:rsid w:val="0041079F"/>
    <w:rsid w:val="004108A8"/>
    <w:rsid w:val="00413B01"/>
    <w:rsid w:val="004175A4"/>
    <w:rsid w:val="00417C10"/>
    <w:rsid w:val="00421D88"/>
    <w:rsid w:val="0043073B"/>
    <w:rsid w:val="004316FC"/>
    <w:rsid w:val="00432AC6"/>
    <w:rsid w:val="00433027"/>
    <w:rsid w:val="004403B5"/>
    <w:rsid w:val="00441C9D"/>
    <w:rsid w:val="00443FA1"/>
    <w:rsid w:val="00447E25"/>
    <w:rsid w:val="004504DD"/>
    <w:rsid w:val="00461A33"/>
    <w:rsid w:val="00471486"/>
    <w:rsid w:val="00472476"/>
    <w:rsid w:val="004762C7"/>
    <w:rsid w:val="00476B78"/>
    <w:rsid w:val="00481F92"/>
    <w:rsid w:val="00484C5D"/>
    <w:rsid w:val="00487A85"/>
    <w:rsid w:val="0049163E"/>
    <w:rsid w:val="004955FE"/>
    <w:rsid w:val="004A3FE9"/>
    <w:rsid w:val="004A7D6C"/>
    <w:rsid w:val="004C4F33"/>
    <w:rsid w:val="004D4146"/>
    <w:rsid w:val="004D4313"/>
    <w:rsid w:val="004D6580"/>
    <w:rsid w:val="00501D99"/>
    <w:rsid w:val="005125E7"/>
    <w:rsid w:val="00524103"/>
    <w:rsid w:val="005332BC"/>
    <w:rsid w:val="005364C4"/>
    <w:rsid w:val="005435A2"/>
    <w:rsid w:val="00544165"/>
    <w:rsid w:val="005457E2"/>
    <w:rsid w:val="00552181"/>
    <w:rsid w:val="005526DF"/>
    <w:rsid w:val="005579C4"/>
    <w:rsid w:val="00573ECE"/>
    <w:rsid w:val="00577AFA"/>
    <w:rsid w:val="00587A52"/>
    <w:rsid w:val="00591E9D"/>
    <w:rsid w:val="005A4CFB"/>
    <w:rsid w:val="005B3C4C"/>
    <w:rsid w:val="005B73AD"/>
    <w:rsid w:val="005C7965"/>
    <w:rsid w:val="005D16F8"/>
    <w:rsid w:val="005D6C5D"/>
    <w:rsid w:val="005F43C3"/>
    <w:rsid w:val="005F7F13"/>
    <w:rsid w:val="006074D4"/>
    <w:rsid w:val="00607CC4"/>
    <w:rsid w:val="00644C2C"/>
    <w:rsid w:val="0065391E"/>
    <w:rsid w:val="00654EDC"/>
    <w:rsid w:val="00665504"/>
    <w:rsid w:val="00670405"/>
    <w:rsid w:val="00670FB1"/>
    <w:rsid w:val="00676334"/>
    <w:rsid w:val="00676C93"/>
    <w:rsid w:val="00677849"/>
    <w:rsid w:val="006852D5"/>
    <w:rsid w:val="00685F23"/>
    <w:rsid w:val="006903FA"/>
    <w:rsid w:val="00693A09"/>
    <w:rsid w:val="0069663A"/>
    <w:rsid w:val="006967B1"/>
    <w:rsid w:val="006973E4"/>
    <w:rsid w:val="006A05C3"/>
    <w:rsid w:val="006A2803"/>
    <w:rsid w:val="006B25BB"/>
    <w:rsid w:val="006B2AAC"/>
    <w:rsid w:val="006B51C9"/>
    <w:rsid w:val="006C38DD"/>
    <w:rsid w:val="006D5FD2"/>
    <w:rsid w:val="006E2EFA"/>
    <w:rsid w:val="006F40DF"/>
    <w:rsid w:val="00702B60"/>
    <w:rsid w:val="00710982"/>
    <w:rsid w:val="00711E0D"/>
    <w:rsid w:val="00711F75"/>
    <w:rsid w:val="00715860"/>
    <w:rsid w:val="00721AEC"/>
    <w:rsid w:val="00734C63"/>
    <w:rsid w:val="007354B8"/>
    <w:rsid w:val="0075041B"/>
    <w:rsid w:val="00752FB4"/>
    <w:rsid w:val="0077023B"/>
    <w:rsid w:val="007815DC"/>
    <w:rsid w:val="00783525"/>
    <w:rsid w:val="00787823"/>
    <w:rsid w:val="007903B5"/>
    <w:rsid w:val="007933EA"/>
    <w:rsid w:val="007A719E"/>
    <w:rsid w:val="007B263F"/>
    <w:rsid w:val="007B7D59"/>
    <w:rsid w:val="007C0547"/>
    <w:rsid w:val="007C4ECE"/>
    <w:rsid w:val="007D0E2A"/>
    <w:rsid w:val="007E34B5"/>
    <w:rsid w:val="007F11CC"/>
    <w:rsid w:val="007F15C7"/>
    <w:rsid w:val="007F2297"/>
    <w:rsid w:val="007F54A3"/>
    <w:rsid w:val="008057E9"/>
    <w:rsid w:val="00813D88"/>
    <w:rsid w:val="00817174"/>
    <w:rsid w:val="00830A24"/>
    <w:rsid w:val="008316D6"/>
    <w:rsid w:val="00845645"/>
    <w:rsid w:val="008553D7"/>
    <w:rsid w:val="00861C9B"/>
    <w:rsid w:val="00861FE8"/>
    <w:rsid w:val="00867777"/>
    <w:rsid w:val="00871879"/>
    <w:rsid w:val="00873185"/>
    <w:rsid w:val="00873E00"/>
    <w:rsid w:val="00883F0F"/>
    <w:rsid w:val="00890876"/>
    <w:rsid w:val="00895E63"/>
    <w:rsid w:val="008A5591"/>
    <w:rsid w:val="008B25FD"/>
    <w:rsid w:val="008D368A"/>
    <w:rsid w:val="008E362F"/>
    <w:rsid w:val="008E7772"/>
    <w:rsid w:val="008F2C5B"/>
    <w:rsid w:val="008F2CE8"/>
    <w:rsid w:val="00910347"/>
    <w:rsid w:val="00913636"/>
    <w:rsid w:val="0091535B"/>
    <w:rsid w:val="00915D50"/>
    <w:rsid w:val="009176EF"/>
    <w:rsid w:val="00921BB7"/>
    <w:rsid w:val="00921F74"/>
    <w:rsid w:val="00922818"/>
    <w:rsid w:val="0093202D"/>
    <w:rsid w:val="009579F2"/>
    <w:rsid w:val="0096109E"/>
    <w:rsid w:val="0096199E"/>
    <w:rsid w:val="0097296F"/>
    <w:rsid w:val="009743EE"/>
    <w:rsid w:val="0097714F"/>
    <w:rsid w:val="00987D0F"/>
    <w:rsid w:val="009A0BBB"/>
    <w:rsid w:val="009A1E56"/>
    <w:rsid w:val="009A52F3"/>
    <w:rsid w:val="009B022A"/>
    <w:rsid w:val="009B0D4C"/>
    <w:rsid w:val="009B4E6D"/>
    <w:rsid w:val="009C3263"/>
    <w:rsid w:val="009C4E82"/>
    <w:rsid w:val="009C521F"/>
    <w:rsid w:val="009D4950"/>
    <w:rsid w:val="009E6368"/>
    <w:rsid w:val="009E7298"/>
    <w:rsid w:val="00A01659"/>
    <w:rsid w:val="00A03466"/>
    <w:rsid w:val="00A059DB"/>
    <w:rsid w:val="00A05D48"/>
    <w:rsid w:val="00A162E5"/>
    <w:rsid w:val="00A24512"/>
    <w:rsid w:val="00A412B3"/>
    <w:rsid w:val="00A4531B"/>
    <w:rsid w:val="00A5361C"/>
    <w:rsid w:val="00A61B3E"/>
    <w:rsid w:val="00A6242F"/>
    <w:rsid w:val="00A67695"/>
    <w:rsid w:val="00A7770C"/>
    <w:rsid w:val="00A857B5"/>
    <w:rsid w:val="00A9267A"/>
    <w:rsid w:val="00A92B29"/>
    <w:rsid w:val="00AA28AA"/>
    <w:rsid w:val="00AA628C"/>
    <w:rsid w:val="00AA77ED"/>
    <w:rsid w:val="00AB1BBA"/>
    <w:rsid w:val="00AC3FFB"/>
    <w:rsid w:val="00AC67ED"/>
    <w:rsid w:val="00AD1FFC"/>
    <w:rsid w:val="00AD2729"/>
    <w:rsid w:val="00AD68B3"/>
    <w:rsid w:val="00AE282A"/>
    <w:rsid w:val="00AE42E2"/>
    <w:rsid w:val="00AE55C1"/>
    <w:rsid w:val="00AF26BC"/>
    <w:rsid w:val="00B0046D"/>
    <w:rsid w:val="00B00D22"/>
    <w:rsid w:val="00B00ED9"/>
    <w:rsid w:val="00B02CAB"/>
    <w:rsid w:val="00B04041"/>
    <w:rsid w:val="00B05473"/>
    <w:rsid w:val="00B14776"/>
    <w:rsid w:val="00B14ADE"/>
    <w:rsid w:val="00B2246A"/>
    <w:rsid w:val="00B238A0"/>
    <w:rsid w:val="00B338B2"/>
    <w:rsid w:val="00B43C76"/>
    <w:rsid w:val="00B451A0"/>
    <w:rsid w:val="00B520C5"/>
    <w:rsid w:val="00B546B3"/>
    <w:rsid w:val="00B648E1"/>
    <w:rsid w:val="00B73F7A"/>
    <w:rsid w:val="00B80095"/>
    <w:rsid w:val="00B83983"/>
    <w:rsid w:val="00B85B1E"/>
    <w:rsid w:val="00B85B9D"/>
    <w:rsid w:val="00B91033"/>
    <w:rsid w:val="00B95326"/>
    <w:rsid w:val="00BA0C11"/>
    <w:rsid w:val="00BB28AD"/>
    <w:rsid w:val="00BB2B1E"/>
    <w:rsid w:val="00BD1EEF"/>
    <w:rsid w:val="00BE78EE"/>
    <w:rsid w:val="00BF3E77"/>
    <w:rsid w:val="00BF5DDE"/>
    <w:rsid w:val="00C21191"/>
    <w:rsid w:val="00C21503"/>
    <w:rsid w:val="00C36C45"/>
    <w:rsid w:val="00C375F4"/>
    <w:rsid w:val="00C507DF"/>
    <w:rsid w:val="00C61600"/>
    <w:rsid w:val="00C657A7"/>
    <w:rsid w:val="00C75D7C"/>
    <w:rsid w:val="00C82D47"/>
    <w:rsid w:val="00C94CD9"/>
    <w:rsid w:val="00CA0DC9"/>
    <w:rsid w:val="00CC75FF"/>
    <w:rsid w:val="00CD0216"/>
    <w:rsid w:val="00CD312F"/>
    <w:rsid w:val="00CD7B8F"/>
    <w:rsid w:val="00CE5D8C"/>
    <w:rsid w:val="00D0596A"/>
    <w:rsid w:val="00D0714A"/>
    <w:rsid w:val="00D20079"/>
    <w:rsid w:val="00D30B1A"/>
    <w:rsid w:val="00D35D54"/>
    <w:rsid w:val="00D36EE7"/>
    <w:rsid w:val="00D42D2D"/>
    <w:rsid w:val="00D43472"/>
    <w:rsid w:val="00D434A9"/>
    <w:rsid w:val="00D73FFE"/>
    <w:rsid w:val="00D76FC8"/>
    <w:rsid w:val="00D83FDA"/>
    <w:rsid w:val="00D9368B"/>
    <w:rsid w:val="00D943EC"/>
    <w:rsid w:val="00DA5350"/>
    <w:rsid w:val="00DB0451"/>
    <w:rsid w:val="00DB063B"/>
    <w:rsid w:val="00DB3B35"/>
    <w:rsid w:val="00DB4063"/>
    <w:rsid w:val="00DB6CF2"/>
    <w:rsid w:val="00DC36CD"/>
    <w:rsid w:val="00DD6D0B"/>
    <w:rsid w:val="00DE08A9"/>
    <w:rsid w:val="00DE61C6"/>
    <w:rsid w:val="00DF0AB5"/>
    <w:rsid w:val="00E02724"/>
    <w:rsid w:val="00E10D96"/>
    <w:rsid w:val="00E3483A"/>
    <w:rsid w:val="00E534D2"/>
    <w:rsid w:val="00E5373E"/>
    <w:rsid w:val="00E717A4"/>
    <w:rsid w:val="00E71E2F"/>
    <w:rsid w:val="00E75DC6"/>
    <w:rsid w:val="00E804FD"/>
    <w:rsid w:val="00E833CE"/>
    <w:rsid w:val="00E86B17"/>
    <w:rsid w:val="00EA30E3"/>
    <w:rsid w:val="00EB4E9A"/>
    <w:rsid w:val="00EC501F"/>
    <w:rsid w:val="00EC5A31"/>
    <w:rsid w:val="00EC783C"/>
    <w:rsid w:val="00ED2FD4"/>
    <w:rsid w:val="00EE43D4"/>
    <w:rsid w:val="00F04150"/>
    <w:rsid w:val="00F1174C"/>
    <w:rsid w:val="00F27727"/>
    <w:rsid w:val="00F3017D"/>
    <w:rsid w:val="00F37CCA"/>
    <w:rsid w:val="00F40E83"/>
    <w:rsid w:val="00F42797"/>
    <w:rsid w:val="00F430E8"/>
    <w:rsid w:val="00F45518"/>
    <w:rsid w:val="00F468C7"/>
    <w:rsid w:val="00F63B5E"/>
    <w:rsid w:val="00F6755D"/>
    <w:rsid w:val="00F734E1"/>
    <w:rsid w:val="00F764DE"/>
    <w:rsid w:val="00F77CF4"/>
    <w:rsid w:val="00F90491"/>
    <w:rsid w:val="00F92BA8"/>
    <w:rsid w:val="00F93CF6"/>
    <w:rsid w:val="00F95350"/>
    <w:rsid w:val="00FA0A33"/>
    <w:rsid w:val="00FA7978"/>
    <w:rsid w:val="00FB1ABB"/>
    <w:rsid w:val="00FB7730"/>
    <w:rsid w:val="00FC542E"/>
    <w:rsid w:val="00FD0329"/>
    <w:rsid w:val="00FE5541"/>
    <w:rsid w:val="00FF6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02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F04150"/>
    <w:pPr>
      <w:keepLines/>
      <w:overflowPunct w:val="0"/>
      <w:autoSpaceDE w:val="0"/>
      <w:autoSpaceDN w:val="0"/>
      <w:adjustRightInd w:val="0"/>
      <w:spacing w:after="0" w:line="240" w:lineRule="auto"/>
      <w:ind w:right="4320"/>
      <w:textAlignment w:val="baseline"/>
    </w:pPr>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F04150"/>
  </w:style>
  <w:style w:type="character" w:customStyle="1" w:styleId="BodyTextChar">
    <w:name w:val="Body Text Char"/>
    <w:basedOn w:val="DefaultParagraphFont"/>
    <w:link w:val="BodyText"/>
    <w:uiPriority w:val="99"/>
    <w:semiHidden/>
    <w:rsid w:val="00F04150"/>
    <w:rPr>
      <w:rFonts w:eastAsiaTheme="minorEastAsia"/>
    </w:rPr>
  </w:style>
  <w:style w:type="paragraph" w:styleId="Header">
    <w:name w:val="header"/>
    <w:basedOn w:val="Normal"/>
    <w:link w:val="HeaderChar"/>
    <w:uiPriority w:val="99"/>
    <w:unhideWhenUsed/>
    <w:rsid w:val="00F0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50"/>
    <w:rPr>
      <w:rFonts w:eastAsiaTheme="minorEastAsia"/>
    </w:rPr>
  </w:style>
  <w:style w:type="paragraph" w:styleId="Footer">
    <w:name w:val="footer"/>
    <w:basedOn w:val="Normal"/>
    <w:link w:val="FooterChar"/>
    <w:uiPriority w:val="99"/>
    <w:unhideWhenUsed/>
    <w:rsid w:val="00F04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50"/>
    <w:rPr>
      <w:rFonts w:eastAsiaTheme="minorEastAsia"/>
    </w:rPr>
  </w:style>
  <w:style w:type="paragraph" w:styleId="ListParagraph">
    <w:name w:val="List Paragraph"/>
    <w:basedOn w:val="Normal"/>
    <w:uiPriority w:val="34"/>
    <w:qFormat/>
    <w:rsid w:val="003D7EA9"/>
    <w:pPr>
      <w:ind w:left="720"/>
      <w:contextualSpacing/>
    </w:pPr>
  </w:style>
  <w:style w:type="character" w:styleId="CommentReference">
    <w:name w:val="annotation reference"/>
    <w:basedOn w:val="DefaultParagraphFont"/>
    <w:uiPriority w:val="99"/>
    <w:semiHidden/>
    <w:unhideWhenUsed/>
    <w:rsid w:val="003D7EA9"/>
    <w:rPr>
      <w:sz w:val="16"/>
      <w:szCs w:val="16"/>
    </w:rPr>
  </w:style>
  <w:style w:type="paragraph" w:styleId="CommentText">
    <w:name w:val="annotation text"/>
    <w:basedOn w:val="Normal"/>
    <w:link w:val="CommentTextChar"/>
    <w:uiPriority w:val="99"/>
    <w:semiHidden/>
    <w:unhideWhenUsed/>
    <w:rsid w:val="003D7EA9"/>
    <w:pPr>
      <w:spacing w:line="240" w:lineRule="auto"/>
    </w:pPr>
    <w:rPr>
      <w:sz w:val="20"/>
      <w:szCs w:val="20"/>
    </w:rPr>
  </w:style>
  <w:style w:type="character" w:customStyle="1" w:styleId="CommentTextChar">
    <w:name w:val="Comment Text Char"/>
    <w:basedOn w:val="DefaultParagraphFont"/>
    <w:link w:val="CommentText"/>
    <w:uiPriority w:val="99"/>
    <w:semiHidden/>
    <w:rsid w:val="003D7EA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D7EA9"/>
    <w:rPr>
      <w:b/>
      <w:bCs/>
    </w:rPr>
  </w:style>
  <w:style w:type="character" w:customStyle="1" w:styleId="CommentSubjectChar">
    <w:name w:val="Comment Subject Char"/>
    <w:basedOn w:val="CommentTextChar"/>
    <w:link w:val="CommentSubject"/>
    <w:uiPriority w:val="99"/>
    <w:semiHidden/>
    <w:rsid w:val="003D7EA9"/>
    <w:rPr>
      <w:rFonts w:eastAsiaTheme="minorEastAsia"/>
      <w:b/>
      <w:bCs/>
      <w:sz w:val="20"/>
      <w:szCs w:val="20"/>
    </w:rPr>
  </w:style>
  <w:style w:type="paragraph" w:styleId="BalloonText">
    <w:name w:val="Balloon Text"/>
    <w:basedOn w:val="Normal"/>
    <w:link w:val="BalloonTextChar"/>
    <w:uiPriority w:val="99"/>
    <w:semiHidden/>
    <w:unhideWhenUsed/>
    <w:rsid w:val="003D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EA9"/>
    <w:rPr>
      <w:rFonts w:ascii="Segoe UI" w:eastAsiaTheme="minorEastAsia" w:hAnsi="Segoe UI" w:cs="Segoe UI"/>
      <w:sz w:val="18"/>
      <w:szCs w:val="18"/>
    </w:rPr>
  </w:style>
  <w:style w:type="table" w:styleId="TableGrid">
    <w:name w:val="Table Grid"/>
    <w:basedOn w:val="TableNormal"/>
    <w:uiPriority w:val="39"/>
    <w:rsid w:val="00573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5C36"/>
    <w:rPr>
      <w:color w:val="0563C1" w:themeColor="hyperlink"/>
      <w:u w:val="single"/>
    </w:rPr>
  </w:style>
  <w:style w:type="character" w:styleId="FollowedHyperlink">
    <w:name w:val="FollowedHyperlink"/>
    <w:basedOn w:val="DefaultParagraphFont"/>
    <w:uiPriority w:val="99"/>
    <w:semiHidden/>
    <w:unhideWhenUsed/>
    <w:rsid w:val="0097296F"/>
    <w:rPr>
      <w:color w:val="954F72" w:themeColor="followedHyperlink"/>
      <w:u w:val="single"/>
    </w:rPr>
  </w:style>
  <w:style w:type="character" w:customStyle="1" w:styleId="st1">
    <w:name w:val="st1"/>
    <w:basedOn w:val="DefaultParagraphFont"/>
    <w:rsid w:val="00783525"/>
  </w:style>
  <w:style w:type="paragraph" w:styleId="NoSpacing">
    <w:name w:val="No Spacing"/>
    <w:uiPriority w:val="1"/>
    <w:qFormat/>
    <w:rsid w:val="008F2C5B"/>
    <w:pPr>
      <w:spacing w:after="0" w:line="240" w:lineRule="auto"/>
    </w:pPr>
    <w:rPr>
      <w:rFonts w:eastAsiaTheme="minorEastAsia"/>
    </w:rPr>
  </w:style>
  <w:style w:type="character" w:customStyle="1" w:styleId="legds2">
    <w:name w:val="legds2"/>
    <w:basedOn w:val="DefaultParagraphFont"/>
    <w:rsid w:val="00A6242F"/>
    <w:rPr>
      <w:vanish/>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45398">
      <w:bodyDiv w:val="1"/>
      <w:marLeft w:val="0"/>
      <w:marRight w:val="0"/>
      <w:marTop w:val="0"/>
      <w:marBottom w:val="0"/>
      <w:divBdr>
        <w:top w:val="none" w:sz="0" w:space="0" w:color="auto"/>
        <w:left w:val="none" w:sz="0" w:space="0" w:color="auto"/>
        <w:bottom w:val="none" w:sz="0" w:space="0" w:color="auto"/>
        <w:right w:val="none" w:sz="0" w:space="0" w:color="auto"/>
      </w:divBdr>
    </w:div>
    <w:div w:id="16142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curity-policy-framework/hmg-security-policy-frame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urity@voa.gs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government-security-classifications" TargetMode="External"/><Relationship Id="rId4" Type="http://schemas.openxmlformats.org/officeDocument/2006/relationships/settings" Target="settings.xml"/><Relationship Id="rId9" Type="http://schemas.openxmlformats.org/officeDocument/2006/relationships/hyperlink" Target="https://www.gov.uk/government/publications/security-policy-framework/hmg-security-policy-framework" TargetMode="External"/><Relationship Id="rId14" Type="http://schemas.openxmlformats.org/officeDocument/2006/relationships/hyperlink" Target="mailto:security.offshoring@voa.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345A-A752-4DCB-971B-96BB3686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C5485477</Template>
  <TotalTime>0</TotalTime>
  <Pages>14</Pages>
  <Words>2475</Words>
  <Characters>14110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2017-06-20T09:44:00Z</dcterms:created>
  <dcterms:modified xsi:type="dcterms:W3CDTF">2017-06-20T09:44:00Z</dcterms:modified>
</cp:coreProperties>
</file>