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B245CE"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982FF3" w:rsidRPr="00AA51E8" w:rsidRDefault="00982FF3"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982FF3" w:rsidP="004569ED">
            <w:pPr>
              <w:pStyle w:val="MOJaddress"/>
              <w:rPr>
                <w:color w:val="000000"/>
              </w:rPr>
            </w:pPr>
            <w:r>
              <w:rPr>
                <w:color w:val="000000"/>
                <w:sz w:val="22"/>
                <w:szCs w:val="22"/>
              </w:rPr>
              <w:t>March</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982FF3">
        <w:rPr>
          <w:color w:val="000000"/>
          <w:szCs w:val="22"/>
        </w:rPr>
        <w:t>110769</w:t>
      </w:r>
    </w:p>
    <w:p w:rsidR="009853E8" w:rsidRPr="00AA51E8" w:rsidRDefault="009853E8" w:rsidP="009853E8">
      <w:pPr>
        <w:rPr>
          <w:b/>
          <w:color w:val="000000"/>
          <w:szCs w:val="22"/>
        </w:rPr>
      </w:pPr>
    </w:p>
    <w:p w:rsidR="00CA5194" w:rsidRPr="00AA51E8" w:rsidRDefault="00B245CE"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982FF3" w:rsidRPr="00982FF3" w:rsidRDefault="00982FF3" w:rsidP="00982FF3">
      <w:pPr>
        <w:rPr>
          <w:rFonts w:cs="Arial"/>
          <w:b/>
          <w:color w:val="000000"/>
          <w:szCs w:val="22"/>
        </w:rPr>
      </w:pPr>
      <w:r w:rsidRPr="00982FF3">
        <w:rPr>
          <w:rFonts w:cs="Arial"/>
          <w:b/>
          <w:color w:val="000000"/>
          <w:szCs w:val="22"/>
        </w:rPr>
        <w:t>I am requesting for the statistics on the number of people given official police cautions for drug possession in the last calendar year, compared with previous years, within Gloucestershire. </w:t>
      </w:r>
    </w:p>
    <w:p w:rsidR="00982FF3" w:rsidRPr="00982FF3" w:rsidRDefault="00982FF3" w:rsidP="00982FF3">
      <w:pPr>
        <w:rPr>
          <w:rFonts w:cs="Arial"/>
          <w:b/>
          <w:color w:val="000000"/>
          <w:szCs w:val="22"/>
        </w:rPr>
      </w:pPr>
    </w:p>
    <w:p w:rsidR="00982FF3" w:rsidRPr="00982FF3" w:rsidRDefault="00982FF3" w:rsidP="00982FF3">
      <w:pPr>
        <w:rPr>
          <w:rFonts w:cs="Arial"/>
          <w:b/>
          <w:color w:val="000000"/>
          <w:szCs w:val="22"/>
        </w:rPr>
      </w:pPr>
      <w:r w:rsidRPr="00982FF3">
        <w:rPr>
          <w:rFonts w:cs="Arial"/>
          <w:b/>
          <w:color w:val="000000"/>
          <w:szCs w:val="22"/>
        </w:rPr>
        <w:t>I would particularly like to know the number of people given official police cautions for cannabis possession in the last calendar year, and how many people were given more serious consequences for possessing cannabis. </w:t>
      </w:r>
    </w:p>
    <w:p w:rsidR="00982FF3" w:rsidRPr="00982FF3" w:rsidRDefault="00982FF3" w:rsidP="00982FF3">
      <w:pPr>
        <w:rPr>
          <w:rFonts w:cs="Arial"/>
          <w:b/>
          <w:color w:val="000000"/>
          <w:szCs w:val="22"/>
        </w:rPr>
      </w:pPr>
    </w:p>
    <w:p w:rsidR="00982FF3" w:rsidRPr="00982FF3" w:rsidRDefault="00982FF3" w:rsidP="00982FF3">
      <w:pPr>
        <w:rPr>
          <w:rFonts w:cs="Arial"/>
          <w:b/>
          <w:color w:val="000000"/>
          <w:szCs w:val="22"/>
        </w:rPr>
      </w:pPr>
      <w:r w:rsidRPr="00982FF3">
        <w:rPr>
          <w:rFonts w:cs="Arial"/>
          <w:b/>
          <w:color w:val="000000"/>
          <w:szCs w:val="22"/>
        </w:rPr>
        <w:t>I am interested in the different types of discipline given towards drug possession, particularly cannabis, and so would like to know what you base your discipline on. For example, is there a certain amount someone has to have before they are punished rather than just given a</w:t>
      </w:r>
      <w:r w:rsidR="00A409ED">
        <w:rPr>
          <w:rFonts w:cs="Arial"/>
          <w:b/>
          <w:color w:val="000000"/>
          <w:szCs w:val="22"/>
        </w:rPr>
        <w:t>n</w:t>
      </w:r>
      <w:r w:rsidRPr="00982FF3">
        <w:rPr>
          <w:rFonts w:cs="Arial"/>
          <w:b/>
          <w:color w:val="000000"/>
          <w:szCs w:val="22"/>
        </w:rPr>
        <w:t xml:space="preserve"> official warning or even just a talking to. </w:t>
      </w:r>
    </w:p>
    <w:p w:rsidR="00982FF3" w:rsidRPr="00982FF3" w:rsidRDefault="00982FF3" w:rsidP="00982FF3">
      <w:pPr>
        <w:rPr>
          <w:rFonts w:cs="Arial"/>
          <w:b/>
          <w:color w:val="000000"/>
          <w:szCs w:val="22"/>
        </w:rPr>
      </w:pPr>
    </w:p>
    <w:p w:rsidR="00982FF3" w:rsidRPr="00982FF3" w:rsidRDefault="00982FF3" w:rsidP="00982FF3">
      <w:pPr>
        <w:rPr>
          <w:rFonts w:cs="Arial"/>
          <w:b/>
          <w:color w:val="000000"/>
          <w:szCs w:val="22"/>
        </w:rPr>
      </w:pPr>
      <w:r w:rsidRPr="00982FF3">
        <w:rPr>
          <w:rFonts w:cs="Arial"/>
          <w:b/>
          <w:color w:val="000000"/>
          <w:szCs w:val="22"/>
        </w:rPr>
        <w:t>If you could get back to me with some figures on conviction rates for drug abuse and how these are broken down into punishments, I would be very appreciative.</w:t>
      </w:r>
      <w:r w:rsidR="00036334">
        <w:rPr>
          <w:rFonts w:cs="Arial"/>
          <w:b/>
          <w:color w:val="000000"/>
          <w:szCs w:val="22"/>
        </w:rPr>
        <w:t>”</w:t>
      </w:r>
      <w:r w:rsidRPr="00982FF3">
        <w:rPr>
          <w:rFonts w:cs="Arial"/>
          <w:b/>
          <w:color w:val="000000"/>
          <w:szCs w:val="22"/>
        </w:rPr>
        <w:t> </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p>
    <w:p w:rsidR="007B4514" w:rsidRDefault="007B4514" w:rsidP="005C346A">
      <w:pPr>
        <w:rPr>
          <w:rFonts w:cs="Arial"/>
          <w:szCs w:val="22"/>
        </w:rPr>
      </w:pPr>
    </w:p>
    <w:p w:rsidR="00982FF3" w:rsidRDefault="00982FF3" w:rsidP="005C346A">
      <w:pPr>
        <w:rPr>
          <w:rFonts w:cs="Arial"/>
          <w:szCs w:val="22"/>
        </w:rPr>
      </w:pPr>
      <w:r>
        <w:rPr>
          <w:rFonts w:cs="Arial"/>
          <w:szCs w:val="22"/>
        </w:rPr>
        <w:t>However, some of the</w:t>
      </w:r>
      <w:r w:rsidRPr="00982FF3">
        <w:rPr>
          <w:rFonts w:cs="Arial"/>
          <w:szCs w:val="22"/>
        </w:rPr>
        <w:t xml:space="preserve"> information is exempt from disclosure under section 21 of the FOIA, because it </w:t>
      </w:r>
      <w:r>
        <w:rPr>
          <w:rFonts w:cs="Arial"/>
          <w:szCs w:val="22"/>
        </w:rPr>
        <w:t>is reasonably accessible to you, at the below link.</w:t>
      </w:r>
    </w:p>
    <w:p w:rsidR="00982FF3" w:rsidRDefault="00982FF3" w:rsidP="005C346A">
      <w:pPr>
        <w:rPr>
          <w:rFonts w:cs="Arial"/>
          <w:szCs w:val="22"/>
        </w:rPr>
      </w:pPr>
    </w:p>
    <w:p w:rsidR="00982FF3" w:rsidRDefault="00982FF3" w:rsidP="005C346A">
      <w:pPr>
        <w:rPr>
          <w:rFonts w:cs="Arial"/>
          <w:szCs w:val="22"/>
        </w:rPr>
      </w:pPr>
      <w:hyperlink r:id="rId9" w:history="1">
        <w:r w:rsidRPr="002D1ED3">
          <w:rPr>
            <w:rStyle w:val="Hyperlink"/>
            <w:rFonts w:cs="Arial"/>
            <w:szCs w:val="22"/>
          </w:rPr>
          <w:t>https://www.gov.uk/government/statistics/criminal-justice-system-statistics-quarterly-december-2015</w:t>
        </w:r>
      </w:hyperlink>
    </w:p>
    <w:p w:rsidR="00982FF3" w:rsidRDefault="00982FF3" w:rsidP="005C346A">
      <w:pPr>
        <w:rPr>
          <w:rFonts w:cs="Arial"/>
          <w:szCs w:val="22"/>
        </w:rPr>
      </w:pPr>
    </w:p>
    <w:p w:rsidR="00982FF3" w:rsidRDefault="00982FF3" w:rsidP="005C346A">
      <w:pPr>
        <w:rPr>
          <w:rFonts w:cs="Arial"/>
          <w:szCs w:val="22"/>
        </w:rPr>
      </w:pPr>
      <w:r>
        <w:rPr>
          <w:rFonts w:cs="Arial"/>
          <w:szCs w:val="22"/>
        </w:rPr>
        <w:t>Your request for figures for drug abuse has been interpreted as a request</w:t>
      </w:r>
      <w:r w:rsidR="00737078">
        <w:rPr>
          <w:rFonts w:cs="Arial"/>
          <w:szCs w:val="22"/>
        </w:rPr>
        <w:t xml:space="preserve"> for those proceeded against for an</w:t>
      </w:r>
      <w:r>
        <w:rPr>
          <w:rFonts w:cs="Arial"/>
          <w:szCs w:val="22"/>
        </w:rPr>
        <w:t>d</w:t>
      </w:r>
      <w:r w:rsidR="00737078">
        <w:rPr>
          <w:rFonts w:cs="Arial"/>
          <w:szCs w:val="22"/>
        </w:rPr>
        <w:t xml:space="preserve"> </w:t>
      </w:r>
      <w:r>
        <w:rPr>
          <w:rFonts w:cs="Arial"/>
          <w:szCs w:val="22"/>
        </w:rPr>
        <w:t xml:space="preserve">found guilty </w:t>
      </w:r>
      <w:r w:rsidR="00737078">
        <w:rPr>
          <w:rFonts w:cs="Arial"/>
          <w:szCs w:val="22"/>
        </w:rPr>
        <w:t xml:space="preserve">of all offences labelled as being ‘drug offences’.  Those figures for England and Wales can be found in the </w:t>
      </w:r>
      <w:r w:rsidR="0028584A">
        <w:rPr>
          <w:rFonts w:cs="Arial"/>
          <w:szCs w:val="22"/>
        </w:rPr>
        <w:t>CJS</w:t>
      </w:r>
      <w:r w:rsidR="00737078">
        <w:rPr>
          <w:rFonts w:cs="Arial"/>
          <w:szCs w:val="22"/>
        </w:rPr>
        <w:t xml:space="preserve"> outcomes by offences data tool by selecting ’06 drug offences’ from the drop down box labelled as offence group.  </w:t>
      </w:r>
      <w:r w:rsidR="00737078">
        <w:rPr>
          <w:rFonts w:cs="Arial"/>
          <w:szCs w:val="22"/>
        </w:rPr>
        <w:lastRenderedPageBreak/>
        <w:t>Conviction ratio can be calculated by dividing the number found guilty by the number proceeded against.</w:t>
      </w:r>
    </w:p>
    <w:p w:rsidR="00737078" w:rsidRDefault="00737078" w:rsidP="005C346A">
      <w:pPr>
        <w:rPr>
          <w:rFonts w:cs="Arial"/>
          <w:szCs w:val="22"/>
        </w:rPr>
      </w:pPr>
    </w:p>
    <w:p w:rsidR="00737078" w:rsidRDefault="00737078" w:rsidP="005C346A">
      <w:pPr>
        <w:rPr>
          <w:rFonts w:cs="Arial"/>
          <w:szCs w:val="22"/>
        </w:rPr>
      </w:pPr>
      <w:r>
        <w:rPr>
          <w:rFonts w:cs="Arial"/>
          <w:szCs w:val="22"/>
        </w:rPr>
        <w:t>The remaining statistics relating to your request are available in the attached tables:-</w:t>
      </w:r>
    </w:p>
    <w:p w:rsidR="00737078" w:rsidRDefault="00737078" w:rsidP="005C346A">
      <w:pPr>
        <w:rPr>
          <w:rFonts w:cs="Arial"/>
          <w:szCs w:val="22"/>
        </w:rPr>
      </w:pPr>
    </w:p>
    <w:p w:rsidR="00737078" w:rsidRPr="00144DA8" w:rsidRDefault="00737078" w:rsidP="00737078">
      <w:pPr>
        <w:numPr>
          <w:ilvl w:val="0"/>
          <w:numId w:val="6"/>
        </w:numPr>
        <w:rPr>
          <w:rFonts w:cs="Arial"/>
          <w:szCs w:val="22"/>
        </w:rPr>
      </w:pPr>
      <w:r w:rsidRPr="00144DA8">
        <w:rPr>
          <w:rFonts w:cs="Arial"/>
          <w:szCs w:val="22"/>
        </w:rPr>
        <w:t>Table 1 provides the number of offenders found guilty and sentenced (with sentencing outcomes) at all courts for possessing cannabis, England and Wales from 2005 to 2015</w:t>
      </w:r>
    </w:p>
    <w:p w:rsidR="00737078" w:rsidRDefault="00737078" w:rsidP="00737078">
      <w:pPr>
        <w:numPr>
          <w:ilvl w:val="0"/>
          <w:numId w:val="6"/>
        </w:numPr>
        <w:rPr>
          <w:rFonts w:cs="Arial"/>
          <w:szCs w:val="22"/>
        </w:rPr>
      </w:pPr>
      <w:r>
        <w:rPr>
          <w:rFonts w:cs="Arial"/>
          <w:szCs w:val="22"/>
        </w:rPr>
        <w:t>Table 2 provides the number of o</w:t>
      </w:r>
      <w:r w:rsidRPr="00737078">
        <w:rPr>
          <w:rFonts w:cs="Arial"/>
          <w:szCs w:val="22"/>
        </w:rPr>
        <w:t>ffenders found guilty and sentenced (with sentencing outcomes) at all c</w:t>
      </w:r>
      <w:r>
        <w:rPr>
          <w:rFonts w:cs="Arial"/>
          <w:szCs w:val="22"/>
        </w:rPr>
        <w:t>ourts for possessing cannabis in the</w:t>
      </w:r>
      <w:r w:rsidRPr="00737078">
        <w:rPr>
          <w:rFonts w:cs="Arial"/>
          <w:szCs w:val="22"/>
        </w:rPr>
        <w:t xml:space="preserve"> Gloucestershire Police Fo</w:t>
      </w:r>
      <w:r>
        <w:rPr>
          <w:rFonts w:cs="Arial"/>
          <w:szCs w:val="22"/>
        </w:rPr>
        <w:t>rce Area from 2005 to 2015</w:t>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p>
    <w:p w:rsidR="00737078" w:rsidRDefault="00737078" w:rsidP="00737078">
      <w:pPr>
        <w:numPr>
          <w:ilvl w:val="0"/>
          <w:numId w:val="6"/>
        </w:numPr>
        <w:rPr>
          <w:rFonts w:cs="Arial"/>
          <w:szCs w:val="22"/>
        </w:rPr>
      </w:pPr>
      <w:r>
        <w:rPr>
          <w:rFonts w:cs="Arial"/>
          <w:szCs w:val="22"/>
        </w:rPr>
        <w:t>Table 3 provides the number of d</w:t>
      </w:r>
      <w:r w:rsidRPr="00737078">
        <w:rPr>
          <w:rFonts w:cs="Arial"/>
          <w:szCs w:val="22"/>
        </w:rPr>
        <w:t xml:space="preserve">efendants proceeded against at magistrates courts and found guilty and sentenced (with sentencing outcomes) </w:t>
      </w:r>
      <w:r>
        <w:rPr>
          <w:rFonts w:cs="Arial"/>
          <w:szCs w:val="22"/>
        </w:rPr>
        <w:t>at all courts for drug offences in the</w:t>
      </w:r>
      <w:r w:rsidRPr="00737078">
        <w:rPr>
          <w:rFonts w:cs="Arial"/>
          <w:szCs w:val="22"/>
        </w:rPr>
        <w:t xml:space="preserve"> Gloucestershire Police For</w:t>
      </w:r>
      <w:r>
        <w:rPr>
          <w:rFonts w:cs="Arial"/>
          <w:szCs w:val="22"/>
        </w:rPr>
        <w:t>ce Area from 2005 to 2015</w:t>
      </w:r>
    </w:p>
    <w:p w:rsidR="00737078" w:rsidRPr="00737078" w:rsidRDefault="00737078" w:rsidP="00737078">
      <w:pPr>
        <w:rPr>
          <w:rFonts w:cs="Arial"/>
          <w:szCs w:val="22"/>
        </w:rPr>
      </w:pP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r w:rsidRPr="00737078">
        <w:rPr>
          <w:rFonts w:cs="Arial"/>
          <w:szCs w:val="22"/>
        </w:rPr>
        <w:tab/>
      </w:r>
    </w:p>
    <w:p w:rsidR="005C346A" w:rsidRDefault="00737078" w:rsidP="005C346A">
      <w:pPr>
        <w:rPr>
          <w:rFonts w:cs="Arial"/>
          <w:szCs w:val="22"/>
        </w:rPr>
      </w:pPr>
      <w:r w:rsidRPr="00737078">
        <w:rPr>
          <w:rFonts w:cs="Arial"/>
          <w:szCs w:val="22"/>
        </w:rPr>
        <w:t>The</w:t>
      </w:r>
      <w:r w:rsidR="00144DA8">
        <w:rPr>
          <w:rFonts w:cs="Arial"/>
          <w:szCs w:val="22"/>
        </w:rPr>
        <w:t xml:space="preserve"> link</w:t>
      </w:r>
      <w:r w:rsidRPr="00737078">
        <w:rPr>
          <w:rFonts w:cs="Arial"/>
          <w:szCs w:val="22"/>
        </w:rPr>
        <w:t xml:space="preserve"> below provides ACPO guidance on cannabis possession for personal use – revised intervention framework, which provides information on h</w:t>
      </w:r>
      <w:r w:rsidR="000E61EA">
        <w:rPr>
          <w:rFonts w:cs="Arial"/>
          <w:szCs w:val="22"/>
        </w:rPr>
        <w:t>ow punishment frames should tak</w:t>
      </w:r>
      <w:r w:rsidRPr="00737078">
        <w:rPr>
          <w:rFonts w:cs="Arial"/>
          <w:szCs w:val="22"/>
        </w:rPr>
        <w:t>e place.</w:t>
      </w:r>
      <w:r w:rsidR="00144DA8">
        <w:rPr>
          <w:rFonts w:cs="Arial"/>
          <w:szCs w:val="22"/>
        </w:rPr>
        <w:t xml:space="preserve"> </w:t>
      </w:r>
      <w:r>
        <w:rPr>
          <w:rFonts w:cs="Arial"/>
          <w:szCs w:val="22"/>
        </w:rPr>
        <w:t>This followed the reclassification of cannabis from Class C to Class B in January 2009</w:t>
      </w:r>
      <w:r w:rsidR="00036334">
        <w:rPr>
          <w:rFonts w:cs="Arial"/>
          <w:szCs w:val="22"/>
        </w:rPr>
        <w:t>.</w:t>
      </w:r>
    </w:p>
    <w:p w:rsidR="00737078" w:rsidRDefault="00737078" w:rsidP="005C346A">
      <w:pPr>
        <w:rPr>
          <w:rFonts w:cs="Arial"/>
          <w:szCs w:val="22"/>
        </w:rPr>
      </w:pPr>
    </w:p>
    <w:p w:rsidR="00737078" w:rsidRDefault="00737078" w:rsidP="005C346A">
      <w:pPr>
        <w:rPr>
          <w:rFonts w:cs="Arial"/>
          <w:szCs w:val="22"/>
        </w:rPr>
      </w:pPr>
      <w:hyperlink r:id="rId10" w:history="1">
        <w:r w:rsidRPr="002D1ED3">
          <w:rPr>
            <w:rStyle w:val="Hyperlink"/>
            <w:rFonts w:cs="Arial"/>
            <w:szCs w:val="22"/>
          </w:rPr>
          <w:t>http://webcache.googleusercontent.com/search?q=cache:0E3UMGA-Py8J:library.college.police.uk/docs/acpo/ACPO-Cannabis-Guidance-28Jan09.doc+&amp;cd=2&amp;hl=en&amp;ct=clnk&amp;gl=uk</w:t>
        </w:r>
      </w:hyperlink>
    </w:p>
    <w:p w:rsidR="00737078" w:rsidRPr="005C346A" w:rsidRDefault="00737078" w:rsidP="005C346A">
      <w:pPr>
        <w:rPr>
          <w:rFonts w:cs="Arial"/>
          <w:b/>
          <w:szCs w:val="22"/>
        </w:rPr>
      </w:pPr>
    </w:p>
    <w:p w:rsidR="00A21268" w:rsidRPr="00A21268" w:rsidRDefault="00982FF3" w:rsidP="00A21268">
      <w:pPr>
        <w:rPr>
          <w:rFonts w:cs="Arial"/>
          <w:szCs w:val="22"/>
        </w:rPr>
      </w:pPr>
      <w:r>
        <w:rPr>
          <w:rFonts w:cs="Arial"/>
          <w:szCs w:val="22"/>
        </w:rPr>
        <w:t>I</w:t>
      </w:r>
      <w:r w:rsidR="005C346A" w:rsidRPr="005C346A">
        <w:rPr>
          <w:rFonts w:cs="Arial"/>
          <w:szCs w:val="22"/>
        </w:rPr>
        <w:t>nformation</w:t>
      </w:r>
      <w:r>
        <w:rPr>
          <w:rFonts w:cs="Arial"/>
          <w:szCs w:val="22"/>
        </w:rPr>
        <w:t xml:space="preserve"> </w:t>
      </w:r>
      <w:r w:rsidR="00A21268">
        <w:rPr>
          <w:rFonts w:cs="Arial"/>
          <w:szCs w:val="22"/>
        </w:rPr>
        <w:t>cover</w:t>
      </w:r>
      <w:r>
        <w:rPr>
          <w:rFonts w:cs="Arial"/>
          <w:szCs w:val="22"/>
        </w:rPr>
        <w:t>ing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w:t>
      </w:r>
      <w:r w:rsidR="00144DA8">
        <w:rPr>
          <w:rFonts w:cs="Arial"/>
          <w:szCs w:val="22"/>
        </w:rPr>
        <w:t>der any enactment’ of the FOIA.</w:t>
      </w:r>
      <w:r w:rsidR="00A21268">
        <w:rPr>
          <w:rFonts w:cs="Arial"/>
          <w:szCs w:val="22"/>
        </w:rPr>
        <w:t xml:space="preserve">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w:t>
      </w:r>
      <w:r w:rsidR="00982FF3">
        <w:rPr>
          <w:rFonts w:cs="Arial"/>
          <w:szCs w:val="22"/>
        </w:rPr>
        <w:t>drug offences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122FF5">
        <w:rPr>
          <w:rFonts w:cs="Arial"/>
          <w:szCs w:val="22"/>
        </w:rPr>
        <w:t>September</w:t>
      </w:r>
      <w:r w:rsidR="007B4514" w:rsidRPr="007B4514">
        <w:rPr>
          <w:rFonts w:cs="Arial"/>
          <w:szCs w:val="22"/>
        </w:rPr>
        <w:t xml:space="preserve"> 201</w:t>
      </w:r>
      <w:r w:rsidR="0028584A">
        <w:rPr>
          <w:rFonts w:cs="Arial"/>
          <w:szCs w:val="22"/>
        </w:rPr>
        <w:t>6</w:t>
      </w:r>
      <w:r w:rsidR="007B4514" w:rsidRPr="007B4514">
        <w:rPr>
          <w:rFonts w:cs="Arial"/>
          <w:szCs w:val="22"/>
        </w:rPr>
        <w:t xml:space="preserve">,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7872C1">
        <w:rPr>
          <w:rFonts w:cs="Arial"/>
          <w:szCs w:val="22"/>
        </w:rPr>
        <w:t>to</w:t>
      </w:r>
      <w:r w:rsidR="007B4514" w:rsidRPr="007B4514">
        <w:rPr>
          <w:rFonts w:cs="Arial"/>
          <w:szCs w:val="22"/>
        </w:rPr>
        <w:t xml:space="preserve"> </w:t>
      </w:r>
      <w:r w:rsidR="007872C1">
        <w:rPr>
          <w:rFonts w:cs="Arial"/>
          <w:szCs w:val="22"/>
        </w:rPr>
        <w:t>3</w:t>
      </w:r>
      <w:r w:rsidR="007B4514" w:rsidRPr="007B4514">
        <w:rPr>
          <w:rFonts w:cs="Arial"/>
          <w:szCs w:val="22"/>
        </w:rPr>
        <w:t xml:space="preserve"> (January to </w:t>
      </w:r>
      <w:r w:rsidR="007872C1">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bookmarkStart w:id="0" w:name="_GoBack"/>
      <w:bookmarkEnd w:id="0"/>
    </w:p>
    <w:sectPr w:rsidR="00FE0700"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F9" w:rsidRDefault="00AF7DF9">
      <w:r>
        <w:separator/>
      </w:r>
    </w:p>
  </w:endnote>
  <w:endnote w:type="continuationSeparator" w:id="0">
    <w:p w:rsidR="00AF7DF9" w:rsidRDefault="00A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45C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F9" w:rsidRDefault="00AF7DF9">
      <w:r>
        <w:separator/>
      </w:r>
    </w:p>
  </w:footnote>
  <w:footnote w:type="continuationSeparator" w:id="0">
    <w:p w:rsidR="00AF7DF9" w:rsidRDefault="00AF7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C56BE"/>
    <w:multiLevelType w:val="hybridMultilevel"/>
    <w:tmpl w:val="EC3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6334"/>
    <w:rsid w:val="00037330"/>
    <w:rsid w:val="0005548F"/>
    <w:rsid w:val="0007380F"/>
    <w:rsid w:val="0008457A"/>
    <w:rsid w:val="0009138F"/>
    <w:rsid w:val="0009754B"/>
    <w:rsid w:val="000A22A5"/>
    <w:rsid w:val="000A3056"/>
    <w:rsid w:val="000A3195"/>
    <w:rsid w:val="000E61EA"/>
    <w:rsid w:val="000F1119"/>
    <w:rsid w:val="00106DEE"/>
    <w:rsid w:val="00122FF5"/>
    <w:rsid w:val="00134A2E"/>
    <w:rsid w:val="00144DA8"/>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73E23"/>
    <w:rsid w:val="0028584A"/>
    <w:rsid w:val="00285A9C"/>
    <w:rsid w:val="002B0ECE"/>
    <w:rsid w:val="002C5025"/>
    <w:rsid w:val="002D5314"/>
    <w:rsid w:val="002E39E4"/>
    <w:rsid w:val="002F24C7"/>
    <w:rsid w:val="002F50F6"/>
    <w:rsid w:val="002F6553"/>
    <w:rsid w:val="003011BD"/>
    <w:rsid w:val="00303661"/>
    <w:rsid w:val="0030433E"/>
    <w:rsid w:val="0031213B"/>
    <w:rsid w:val="00323067"/>
    <w:rsid w:val="00326122"/>
    <w:rsid w:val="003366B3"/>
    <w:rsid w:val="00375DDC"/>
    <w:rsid w:val="00376A97"/>
    <w:rsid w:val="00377D6F"/>
    <w:rsid w:val="0038642F"/>
    <w:rsid w:val="003A633E"/>
    <w:rsid w:val="003B13CA"/>
    <w:rsid w:val="003E2480"/>
    <w:rsid w:val="003E3E27"/>
    <w:rsid w:val="00401CAB"/>
    <w:rsid w:val="00417132"/>
    <w:rsid w:val="004269FC"/>
    <w:rsid w:val="00427BFC"/>
    <w:rsid w:val="00435D53"/>
    <w:rsid w:val="00444869"/>
    <w:rsid w:val="00445AB5"/>
    <w:rsid w:val="00453104"/>
    <w:rsid w:val="004569ED"/>
    <w:rsid w:val="00457840"/>
    <w:rsid w:val="00471E48"/>
    <w:rsid w:val="0048558F"/>
    <w:rsid w:val="00496E7B"/>
    <w:rsid w:val="004D58C1"/>
    <w:rsid w:val="004E008E"/>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37078"/>
    <w:rsid w:val="0074259E"/>
    <w:rsid w:val="0075513B"/>
    <w:rsid w:val="007872C1"/>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45E09"/>
    <w:rsid w:val="009827DD"/>
    <w:rsid w:val="00982FF3"/>
    <w:rsid w:val="009853E8"/>
    <w:rsid w:val="00985CB8"/>
    <w:rsid w:val="00990F1F"/>
    <w:rsid w:val="009C4B46"/>
    <w:rsid w:val="009D5879"/>
    <w:rsid w:val="009E3F91"/>
    <w:rsid w:val="009E69FE"/>
    <w:rsid w:val="00A005A4"/>
    <w:rsid w:val="00A144A3"/>
    <w:rsid w:val="00A173AB"/>
    <w:rsid w:val="00A20BCD"/>
    <w:rsid w:val="00A21268"/>
    <w:rsid w:val="00A349B1"/>
    <w:rsid w:val="00A409ED"/>
    <w:rsid w:val="00A40D87"/>
    <w:rsid w:val="00A459D4"/>
    <w:rsid w:val="00A4792D"/>
    <w:rsid w:val="00A76AFC"/>
    <w:rsid w:val="00A809DF"/>
    <w:rsid w:val="00AA51E8"/>
    <w:rsid w:val="00AD7505"/>
    <w:rsid w:val="00AE7402"/>
    <w:rsid w:val="00AF2FD9"/>
    <w:rsid w:val="00AF7DF9"/>
    <w:rsid w:val="00B01B28"/>
    <w:rsid w:val="00B04683"/>
    <w:rsid w:val="00B245CE"/>
    <w:rsid w:val="00B47082"/>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96315"/>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36ED3"/>
    <w:rsid w:val="00F61AFC"/>
    <w:rsid w:val="00F6781B"/>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9D63D1-08D0-45F7-A901-B0BA059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22FF5"/>
    <w:rPr>
      <w:sz w:val="16"/>
      <w:szCs w:val="16"/>
    </w:rPr>
  </w:style>
  <w:style w:type="paragraph" w:styleId="CommentSubject">
    <w:name w:val="annotation subject"/>
    <w:basedOn w:val="CommentText"/>
    <w:next w:val="CommentText"/>
    <w:link w:val="CommentSubjectChar"/>
    <w:rsid w:val="00122FF5"/>
    <w:rPr>
      <w:b/>
      <w:bCs/>
      <w:sz w:val="20"/>
    </w:rPr>
  </w:style>
  <w:style w:type="character" w:customStyle="1" w:styleId="CommentTextChar">
    <w:name w:val="Comment Text Char"/>
    <w:link w:val="CommentText"/>
    <w:semiHidden/>
    <w:rsid w:val="00122FF5"/>
    <w:rPr>
      <w:rFonts w:ascii="Arial" w:hAnsi="Arial"/>
      <w:sz w:val="22"/>
    </w:rPr>
  </w:style>
  <w:style w:type="character" w:customStyle="1" w:styleId="CommentSubjectChar">
    <w:name w:val="Comment Subject Char"/>
    <w:link w:val="CommentSubject"/>
    <w:rsid w:val="00122FF5"/>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605108769">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cache.googleusercontent.com/search?q=cache:0E3UMGA-Py8J:library.college.police.uk/docs/acpo/ACPO-Cannabis-Guidance-28Jan09.doc+&amp;cd=2&amp;hl=en&amp;ct=clnk&amp;gl=uk" TargetMode="External"/><Relationship Id="rId4" Type="http://schemas.openxmlformats.org/officeDocument/2006/relationships/settings" Target="settings.xml"/><Relationship Id="rId9" Type="http://schemas.openxmlformats.org/officeDocument/2006/relationships/hyperlink" Target="https://www.gov.uk/government/statistics/criminal-justice-system-statistics-quarterly-december-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8457-3C93-4B59-A514-42563958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FOI 110769 Police Cautions for Drug Possession within Gloucestershire</vt:lpstr>
    </vt:vector>
  </TitlesOfParts>
  <Manager/>
  <Company>Ministry of Justice</Company>
  <LinksUpToDate>false</LinksUpToDate>
  <CharactersWithSpaces>7252</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8061040</vt:i4>
      </vt:variant>
      <vt:variant>
        <vt:i4>9</vt:i4>
      </vt:variant>
      <vt:variant>
        <vt:i4>0</vt:i4>
      </vt:variant>
      <vt:variant>
        <vt:i4>5</vt:i4>
      </vt:variant>
      <vt:variant>
        <vt:lpwstr>http://webcache.googleusercontent.com/search?q=cache:0E3UMGA-Py8J:library.college.police.uk/docs/acpo/ACPO-Cannabis-Guidance-28Jan09.doc+&amp;cd=2&amp;hl=en&amp;ct=clnk&amp;gl=uk</vt:lpwstr>
      </vt:variant>
      <vt:variant>
        <vt:lpwstr/>
      </vt:variant>
      <vt:variant>
        <vt:i4>3473513</vt:i4>
      </vt:variant>
      <vt:variant>
        <vt:i4>6</vt:i4>
      </vt:variant>
      <vt:variant>
        <vt:i4>0</vt:i4>
      </vt:variant>
      <vt:variant>
        <vt:i4>5</vt:i4>
      </vt:variant>
      <vt:variant>
        <vt:lpwstr>https://www.gov.uk/government/statistics/criminal-justice-system-statistics-quarterly-december-2015</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4915298</vt:i4>
      </vt:variant>
      <vt:variant>
        <vt:i4>0</vt:i4>
      </vt:variant>
      <vt:variant>
        <vt:i4>0</vt:i4>
      </vt:variant>
      <vt:variant>
        <vt:i4>5</vt:i4>
      </vt:variant>
      <vt:variant>
        <vt:lpwstr>mailto:OliviaScull@connect.glos.ac.uk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110769 Police Cautions for Drug Possession within Gloucestershire</dc:title>
  <dc:subject>FOI Release</dc:subject>
  <dc:creator>MoJ</dc:creator>
  <cp:keywords/>
  <dc:description/>
  <cp:lastModifiedBy>Cox, Allan</cp:lastModifiedBy>
  <cp:revision>2</cp:revision>
  <cp:lastPrinted>2015-07-06T10:35:00Z</cp:lastPrinted>
  <dcterms:created xsi:type="dcterms:W3CDTF">2017-05-31T15:05:00Z</dcterms:created>
  <dcterms:modified xsi:type="dcterms:W3CDTF">2017-05-31T15:05:00Z</dcterms:modified>
  <cp:category/>
</cp:coreProperties>
</file>