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4" w:type="dxa"/>
        <w:tblInd w:w="-1214" w:type="dxa"/>
        <w:tblLayout w:type="fixed"/>
        <w:tblCellMar>
          <w:left w:w="0" w:type="dxa"/>
          <w:right w:w="0" w:type="dxa"/>
        </w:tblCellMar>
        <w:tblLook w:val="01E0" w:firstRow="1" w:lastRow="1" w:firstColumn="1" w:lastColumn="1" w:noHBand="0" w:noVBand="0"/>
      </w:tblPr>
      <w:tblGrid>
        <w:gridCol w:w="1214"/>
        <w:gridCol w:w="5220"/>
        <w:gridCol w:w="180"/>
        <w:gridCol w:w="979"/>
        <w:gridCol w:w="3066"/>
        <w:gridCol w:w="195"/>
      </w:tblGrid>
      <w:tr w:rsidR="00C016D5" w:rsidTr="00F97A57">
        <w:trPr>
          <w:gridBefore w:val="1"/>
          <w:wBefore w:w="1214" w:type="dxa"/>
          <w:trHeight w:val="2977"/>
        </w:trPr>
        <w:tc>
          <w:tcPr>
            <w:tcW w:w="6379" w:type="dxa"/>
            <w:gridSpan w:val="3"/>
          </w:tcPr>
          <w:p w:rsidR="00C016D5" w:rsidRDefault="009C1F96"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C016D5" w:rsidRDefault="00C016D5" w:rsidP="009C1F96">
            <w:pPr>
              <w:spacing w:line="240" w:lineRule="auto"/>
            </w:pPr>
          </w:p>
        </w:tc>
        <w:tc>
          <w:tcPr>
            <w:tcW w:w="3261" w:type="dxa"/>
            <w:gridSpan w:val="2"/>
          </w:tcPr>
          <w:p w:rsidR="00C016D5" w:rsidRPr="009C4B46" w:rsidRDefault="00C016D5" w:rsidP="00D11624">
            <w:pPr>
              <w:pStyle w:val="MOJaddress"/>
              <w:ind w:left="284"/>
              <w:rPr>
                <w:color w:val="0000CC"/>
                <w:sz w:val="22"/>
                <w:szCs w:val="22"/>
              </w:rPr>
            </w:pPr>
          </w:p>
          <w:p w:rsidR="00C016D5" w:rsidRDefault="00C016D5" w:rsidP="00D11624">
            <w:pPr>
              <w:pStyle w:val="MOJaddress"/>
            </w:pPr>
          </w:p>
        </w:tc>
      </w:tr>
      <w:tr w:rsidR="00F97A57" w:rsidRPr="00F97A57" w:rsidTr="00F97A57">
        <w:tblPrEx>
          <w:tblLook w:val="0000" w:firstRow="0" w:lastRow="0" w:firstColumn="0" w:lastColumn="0" w:noHBand="0" w:noVBand="0"/>
        </w:tblPrEx>
        <w:trPr>
          <w:gridAfter w:val="1"/>
          <w:wAfter w:w="195" w:type="dxa"/>
          <w:cantSplit/>
          <w:trHeight w:val="73"/>
        </w:trPr>
        <w:tc>
          <w:tcPr>
            <w:tcW w:w="1214" w:type="dxa"/>
          </w:tcPr>
          <w:p w:rsidR="00F97A57" w:rsidRPr="00F97A57" w:rsidRDefault="00F97A57" w:rsidP="00F97A57">
            <w:pPr>
              <w:spacing w:line="240" w:lineRule="auto"/>
              <w:jc w:val="both"/>
              <w:rPr>
                <w:snapToGrid w:val="0"/>
                <w:color w:val="000000"/>
                <w:szCs w:val="22"/>
                <w:lang w:eastAsia="en-US"/>
              </w:rPr>
            </w:pPr>
          </w:p>
        </w:tc>
        <w:tc>
          <w:tcPr>
            <w:tcW w:w="5220" w:type="dxa"/>
          </w:tcPr>
          <w:p w:rsidR="00F97A57" w:rsidRPr="00F97A57" w:rsidRDefault="00F97A57" w:rsidP="0002319B">
            <w:pPr>
              <w:spacing w:line="280" w:lineRule="atLeast"/>
              <w:jc w:val="both"/>
              <w:rPr>
                <w:i/>
                <w:color w:val="000000"/>
                <w:szCs w:val="22"/>
              </w:rPr>
            </w:pPr>
            <w:r w:rsidRPr="00F97A57">
              <w:rPr>
                <w:b/>
                <w:color w:val="000000"/>
                <w:szCs w:val="22"/>
              </w:rPr>
              <w:t>Our Reference:</w:t>
            </w:r>
            <w:r w:rsidRPr="00F97A57">
              <w:rPr>
                <w:color w:val="000000"/>
                <w:szCs w:val="22"/>
              </w:rPr>
              <w:t xml:space="preserve"> FOI 1</w:t>
            </w:r>
            <w:r w:rsidR="0002319B">
              <w:rPr>
                <w:color w:val="000000"/>
                <w:szCs w:val="22"/>
              </w:rPr>
              <w:t>10528</w:t>
            </w:r>
            <w:r w:rsidR="00331F3A">
              <w:rPr>
                <w:color w:val="000000"/>
                <w:szCs w:val="22"/>
              </w:rPr>
              <w:t xml:space="preserve">  </w:t>
            </w:r>
          </w:p>
        </w:tc>
        <w:tc>
          <w:tcPr>
            <w:tcW w:w="180" w:type="dxa"/>
          </w:tcPr>
          <w:p w:rsidR="00F97A57" w:rsidRPr="00F97A57" w:rsidRDefault="00F97A57" w:rsidP="00F97A57">
            <w:pPr>
              <w:spacing w:line="280" w:lineRule="atLeast"/>
              <w:jc w:val="both"/>
              <w:rPr>
                <w:szCs w:val="22"/>
              </w:rPr>
            </w:pPr>
            <w:r w:rsidRPr="00F97A57">
              <w:rPr>
                <w:szCs w:val="22"/>
              </w:rPr>
              <w:tab/>
            </w:r>
          </w:p>
        </w:tc>
        <w:tc>
          <w:tcPr>
            <w:tcW w:w="4045" w:type="dxa"/>
            <w:gridSpan w:val="2"/>
          </w:tcPr>
          <w:p w:rsidR="00F97A57" w:rsidRPr="00F97A57" w:rsidRDefault="00331F3A" w:rsidP="00331F3A">
            <w:pPr>
              <w:spacing w:line="240" w:lineRule="auto"/>
              <w:jc w:val="both"/>
              <w:rPr>
                <w:snapToGrid w:val="0"/>
                <w:szCs w:val="22"/>
                <w:lang w:eastAsia="en-US"/>
              </w:rPr>
            </w:pPr>
            <w:r>
              <w:rPr>
                <w:snapToGrid w:val="0"/>
                <w:szCs w:val="22"/>
                <w:lang w:eastAsia="en-US"/>
              </w:rPr>
              <w:t xml:space="preserve">                March 2017</w:t>
            </w:r>
          </w:p>
        </w:tc>
      </w:tr>
      <w:tr w:rsidR="00331F3A" w:rsidRPr="00F97A57" w:rsidTr="00F97A57">
        <w:tblPrEx>
          <w:tblLook w:val="0000" w:firstRow="0" w:lastRow="0" w:firstColumn="0" w:lastColumn="0" w:noHBand="0" w:noVBand="0"/>
        </w:tblPrEx>
        <w:trPr>
          <w:gridAfter w:val="1"/>
          <w:wAfter w:w="195" w:type="dxa"/>
          <w:cantSplit/>
          <w:trHeight w:val="73"/>
        </w:trPr>
        <w:tc>
          <w:tcPr>
            <w:tcW w:w="1214" w:type="dxa"/>
          </w:tcPr>
          <w:p w:rsidR="00331F3A" w:rsidRPr="00F97A57" w:rsidRDefault="00331F3A" w:rsidP="00F97A57">
            <w:pPr>
              <w:spacing w:line="240" w:lineRule="auto"/>
              <w:jc w:val="both"/>
              <w:rPr>
                <w:snapToGrid w:val="0"/>
                <w:color w:val="000000"/>
                <w:szCs w:val="22"/>
                <w:lang w:eastAsia="en-US"/>
              </w:rPr>
            </w:pPr>
          </w:p>
        </w:tc>
        <w:tc>
          <w:tcPr>
            <w:tcW w:w="5220" w:type="dxa"/>
          </w:tcPr>
          <w:p w:rsidR="00331F3A" w:rsidRPr="00F97A57" w:rsidRDefault="00331F3A" w:rsidP="0002319B">
            <w:pPr>
              <w:spacing w:line="280" w:lineRule="atLeast"/>
              <w:jc w:val="both"/>
              <w:rPr>
                <w:b/>
                <w:color w:val="000000"/>
                <w:szCs w:val="22"/>
              </w:rPr>
            </w:pPr>
          </w:p>
        </w:tc>
        <w:tc>
          <w:tcPr>
            <w:tcW w:w="180" w:type="dxa"/>
          </w:tcPr>
          <w:p w:rsidR="00331F3A" w:rsidRPr="00F97A57" w:rsidRDefault="00331F3A" w:rsidP="00F97A57">
            <w:pPr>
              <w:spacing w:line="280" w:lineRule="atLeast"/>
              <w:jc w:val="both"/>
              <w:rPr>
                <w:szCs w:val="22"/>
              </w:rPr>
            </w:pPr>
          </w:p>
        </w:tc>
        <w:tc>
          <w:tcPr>
            <w:tcW w:w="4045" w:type="dxa"/>
            <w:gridSpan w:val="2"/>
          </w:tcPr>
          <w:p w:rsidR="00331F3A" w:rsidRPr="00F97A57" w:rsidRDefault="00331F3A" w:rsidP="00F97A57">
            <w:pPr>
              <w:spacing w:line="240" w:lineRule="auto"/>
              <w:jc w:val="both"/>
              <w:rPr>
                <w:snapToGrid w:val="0"/>
                <w:szCs w:val="22"/>
                <w:lang w:eastAsia="en-US"/>
              </w:rPr>
            </w:pPr>
          </w:p>
        </w:tc>
      </w:tr>
    </w:tbl>
    <w:p w:rsidR="00F97A57" w:rsidRPr="00F97A57" w:rsidRDefault="00F97A57" w:rsidP="00F97A57">
      <w:pPr>
        <w:spacing w:line="240" w:lineRule="auto"/>
        <w:jc w:val="both"/>
        <w:rPr>
          <w:rFonts w:ascii="Times New Roman" w:hAnsi="Times New Roman"/>
          <w:sz w:val="24"/>
        </w:rPr>
      </w:pPr>
    </w:p>
    <w:p w:rsidR="00F97A57" w:rsidRPr="00F97A57" w:rsidRDefault="00F97A57" w:rsidP="00F97A57">
      <w:pPr>
        <w:spacing w:line="240" w:lineRule="auto"/>
        <w:jc w:val="both"/>
        <w:rPr>
          <w:rFonts w:ascii="Times New Roman" w:hAnsi="Times New Roman"/>
          <w:sz w:val="24"/>
        </w:rPr>
      </w:pPr>
    </w:p>
    <w:p w:rsidR="00F97A57" w:rsidRPr="00F97A57" w:rsidRDefault="00F97A57" w:rsidP="00F97A57">
      <w:pPr>
        <w:spacing w:line="240" w:lineRule="auto"/>
        <w:jc w:val="center"/>
        <w:rPr>
          <w:rFonts w:cs="Arial"/>
          <w:b/>
          <w:szCs w:val="22"/>
        </w:rPr>
      </w:pPr>
      <w:r w:rsidRPr="00F97A57">
        <w:rPr>
          <w:rFonts w:cs="Arial"/>
          <w:b/>
          <w:szCs w:val="22"/>
        </w:rPr>
        <w:t>Freedom of Information Request</w:t>
      </w:r>
    </w:p>
    <w:p w:rsidR="00F97A57" w:rsidRPr="00F97A57" w:rsidRDefault="00F97A57" w:rsidP="00883F1B">
      <w:pPr>
        <w:spacing w:line="276" w:lineRule="auto"/>
        <w:jc w:val="both"/>
        <w:rPr>
          <w:rFonts w:cs="Arial"/>
          <w:szCs w:val="22"/>
        </w:rPr>
      </w:pPr>
    </w:p>
    <w:p w:rsidR="00F97A57" w:rsidRPr="00F97A57" w:rsidRDefault="00F97A57" w:rsidP="00883F1B">
      <w:pPr>
        <w:spacing w:line="276" w:lineRule="auto"/>
        <w:jc w:val="both"/>
        <w:rPr>
          <w:rFonts w:cs="Arial"/>
          <w:szCs w:val="22"/>
        </w:rPr>
      </w:pPr>
    </w:p>
    <w:p w:rsidR="00F97A57" w:rsidRPr="00F97A57" w:rsidRDefault="009C1F96" w:rsidP="00883F1B">
      <w:pPr>
        <w:spacing w:line="276" w:lineRule="auto"/>
        <w:rPr>
          <w:rFonts w:cs="Arial"/>
          <w:szCs w:val="22"/>
        </w:rPr>
      </w:pPr>
      <w:r>
        <w:rPr>
          <w:rFonts w:cs="Arial"/>
          <w:szCs w:val="22"/>
        </w:rPr>
        <w:t>Y</w:t>
      </w:r>
      <w:r w:rsidR="00F97A57" w:rsidRPr="00F97A57">
        <w:rPr>
          <w:rFonts w:cs="Arial"/>
          <w:szCs w:val="22"/>
        </w:rPr>
        <w:t>ou ask</w:t>
      </w:r>
      <w:r>
        <w:rPr>
          <w:rFonts w:cs="Arial"/>
          <w:szCs w:val="22"/>
        </w:rPr>
        <w:t>ed</w:t>
      </w:r>
      <w:r w:rsidR="00F97A57" w:rsidRPr="00F97A57">
        <w:rPr>
          <w:rFonts w:cs="Arial"/>
          <w:szCs w:val="22"/>
        </w:rPr>
        <w:t xml:space="preserve"> for the following information from the Ministry of Justice:</w:t>
      </w:r>
    </w:p>
    <w:p w:rsidR="00F97A57" w:rsidRDefault="00F97A57" w:rsidP="00883F1B">
      <w:pPr>
        <w:spacing w:line="276" w:lineRule="auto"/>
        <w:rPr>
          <w:rFonts w:cs="Arial"/>
          <w:szCs w:val="22"/>
        </w:rPr>
      </w:pPr>
    </w:p>
    <w:p w:rsidR="00C11443" w:rsidRPr="00C11443" w:rsidRDefault="00C11443" w:rsidP="00883F1B">
      <w:pPr>
        <w:spacing w:line="276" w:lineRule="auto"/>
        <w:rPr>
          <w:rFonts w:cs="Arial"/>
          <w:b/>
          <w:szCs w:val="22"/>
        </w:rPr>
      </w:pPr>
      <w:r w:rsidRPr="00C11443">
        <w:rPr>
          <w:rFonts w:cs="Arial"/>
          <w:b/>
          <w:szCs w:val="22"/>
        </w:rPr>
        <w:t>1. In the 2015 calendar year how many penalty notices for disorder did you (a) issue to women, and (ii) of these how many were aged UNDER 20, and (iii) aged 20 to 29?</w:t>
      </w:r>
    </w:p>
    <w:p w:rsidR="00C11443" w:rsidRDefault="00C11443" w:rsidP="00883F1B">
      <w:pPr>
        <w:spacing w:line="276" w:lineRule="auto"/>
        <w:rPr>
          <w:rFonts w:cs="Arial"/>
          <w:b/>
          <w:szCs w:val="22"/>
        </w:rPr>
      </w:pPr>
    </w:p>
    <w:p w:rsidR="00C11443" w:rsidRPr="00C11443" w:rsidRDefault="00C11443" w:rsidP="00883F1B">
      <w:pPr>
        <w:spacing w:line="276" w:lineRule="auto"/>
        <w:rPr>
          <w:rFonts w:cs="Arial"/>
          <w:b/>
          <w:szCs w:val="22"/>
        </w:rPr>
      </w:pPr>
      <w:r w:rsidRPr="00C11443">
        <w:rPr>
          <w:rFonts w:cs="Arial"/>
          <w:b/>
          <w:szCs w:val="22"/>
        </w:rPr>
        <w:t>2. In the same time period (a) how many PND's were issued to women for being drunk and disorderly (DA06) and (b) how many of these were issued to women aged UNDER 20 and (iii) aged 20 to 29?</w:t>
      </w:r>
    </w:p>
    <w:p w:rsidR="00C11443" w:rsidRDefault="00C11443" w:rsidP="00883F1B">
      <w:pPr>
        <w:spacing w:line="276" w:lineRule="auto"/>
        <w:rPr>
          <w:rFonts w:cs="Arial"/>
          <w:b/>
          <w:szCs w:val="22"/>
        </w:rPr>
      </w:pPr>
    </w:p>
    <w:p w:rsidR="00C11443" w:rsidRPr="00C11443" w:rsidRDefault="00C11443" w:rsidP="00883F1B">
      <w:pPr>
        <w:spacing w:line="276" w:lineRule="auto"/>
        <w:rPr>
          <w:rFonts w:cs="Arial"/>
          <w:b/>
          <w:szCs w:val="22"/>
        </w:rPr>
      </w:pPr>
      <w:r w:rsidRPr="00C11443">
        <w:rPr>
          <w:rFonts w:cs="Arial"/>
          <w:b/>
          <w:szCs w:val="22"/>
        </w:rPr>
        <w:t>Please provide this information broken down by individual police force.</w:t>
      </w:r>
    </w:p>
    <w:p w:rsidR="00C11443" w:rsidRPr="00C11443" w:rsidRDefault="00C11443" w:rsidP="00883F1B">
      <w:pPr>
        <w:spacing w:line="276" w:lineRule="auto"/>
        <w:rPr>
          <w:rFonts w:cs="Arial"/>
          <w:b/>
          <w:szCs w:val="22"/>
        </w:rPr>
      </w:pPr>
    </w:p>
    <w:p w:rsidR="00C11443" w:rsidRPr="00C11443" w:rsidRDefault="00C11443" w:rsidP="00883F1B">
      <w:pPr>
        <w:spacing w:line="276" w:lineRule="auto"/>
        <w:rPr>
          <w:rFonts w:cs="Arial"/>
          <w:b/>
          <w:szCs w:val="22"/>
        </w:rPr>
      </w:pPr>
      <w:r w:rsidRPr="00C11443">
        <w:rPr>
          <w:rFonts w:cs="Arial"/>
          <w:b/>
          <w:szCs w:val="22"/>
        </w:rPr>
        <w:t>NOTE: I am aware there is a spreadsheet normally available on your website which has the data on, but this is for data that is for different age groups than the ones I am interested in</w:t>
      </w:r>
    </w:p>
    <w:p w:rsidR="00F97A57" w:rsidRPr="00C11443" w:rsidRDefault="00F97A57" w:rsidP="00883F1B">
      <w:pPr>
        <w:spacing w:line="276" w:lineRule="auto"/>
        <w:rPr>
          <w:rFonts w:cs="Arial"/>
          <w:b/>
          <w:szCs w:val="22"/>
        </w:rPr>
      </w:pPr>
    </w:p>
    <w:p w:rsidR="00C11443" w:rsidRDefault="00C11443" w:rsidP="00883F1B">
      <w:pPr>
        <w:spacing w:line="276" w:lineRule="auto"/>
        <w:rPr>
          <w:rFonts w:cs="Arial"/>
          <w:szCs w:val="22"/>
        </w:rPr>
      </w:pPr>
      <w:r w:rsidRPr="00C11443">
        <w:rPr>
          <w:rFonts w:cs="Arial"/>
          <w:szCs w:val="22"/>
        </w:rPr>
        <w:t>Your request has been handled under the Freedom of Information Act 2000 (FOIA).</w:t>
      </w:r>
    </w:p>
    <w:p w:rsidR="0060404B" w:rsidRDefault="0060404B" w:rsidP="00883F1B">
      <w:pPr>
        <w:spacing w:line="276" w:lineRule="auto"/>
        <w:rPr>
          <w:rFonts w:cs="Arial"/>
          <w:szCs w:val="22"/>
        </w:rPr>
      </w:pPr>
    </w:p>
    <w:p w:rsidR="00F15815" w:rsidRDefault="0060404B" w:rsidP="00883F1B">
      <w:pPr>
        <w:spacing w:line="276" w:lineRule="auto"/>
        <w:rPr>
          <w:rFonts w:cs="Arial"/>
          <w:szCs w:val="22"/>
        </w:rPr>
      </w:pPr>
      <w:r w:rsidRPr="0060404B">
        <w:rPr>
          <w:rFonts w:cs="Arial"/>
          <w:szCs w:val="22"/>
        </w:rPr>
        <w:t>I can confirm that the department</w:t>
      </w:r>
      <w:r w:rsidR="00F15815">
        <w:rPr>
          <w:rFonts w:cs="Arial"/>
          <w:szCs w:val="22"/>
        </w:rPr>
        <w:t xml:space="preserve"> holds the information </w:t>
      </w:r>
      <w:r w:rsidRPr="0060404B">
        <w:rPr>
          <w:rFonts w:cs="Arial"/>
          <w:szCs w:val="22"/>
        </w:rPr>
        <w:t xml:space="preserve">that you have asked for, </w:t>
      </w:r>
      <w:r w:rsidR="00424687">
        <w:rPr>
          <w:rFonts w:cs="Arial"/>
          <w:szCs w:val="22"/>
        </w:rPr>
        <w:t>please see the attached tables</w:t>
      </w:r>
      <w:r w:rsidR="00F15815" w:rsidRPr="00C11443">
        <w:rPr>
          <w:rFonts w:cs="Arial"/>
          <w:szCs w:val="22"/>
        </w:rPr>
        <w:t>:</w:t>
      </w:r>
    </w:p>
    <w:p w:rsidR="00F15815" w:rsidRDefault="00F15815" w:rsidP="00883F1B">
      <w:pPr>
        <w:spacing w:line="276" w:lineRule="auto"/>
        <w:rPr>
          <w:rFonts w:cs="Arial"/>
          <w:szCs w:val="22"/>
        </w:rPr>
      </w:pPr>
    </w:p>
    <w:p w:rsidR="00F15815" w:rsidRPr="00C11443" w:rsidRDefault="00F15815" w:rsidP="00883F1B">
      <w:pPr>
        <w:spacing w:line="276" w:lineRule="auto"/>
        <w:rPr>
          <w:rFonts w:cs="Arial"/>
          <w:szCs w:val="22"/>
        </w:rPr>
      </w:pPr>
      <w:r w:rsidRPr="00C11443">
        <w:rPr>
          <w:rFonts w:cs="Arial"/>
          <w:szCs w:val="22"/>
        </w:rPr>
        <w:t>Table 1: Number of females aged 16 and over issued with a penalty notice for disorder by force and age group, England and Wales, 201</w:t>
      </w:r>
      <w:r>
        <w:rPr>
          <w:rFonts w:cs="Arial"/>
          <w:szCs w:val="22"/>
        </w:rPr>
        <w:t>5</w:t>
      </w:r>
    </w:p>
    <w:p w:rsidR="00F15815" w:rsidRPr="00C11443" w:rsidRDefault="00F15815" w:rsidP="00883F1B">
      <w:pPr>
        <w:spacing w:line="276" w:lineRule="auto"/>
        <w:rPr>
          <w:rFonts w:cs="Arial"/>
          <w:szCs w:val="22"/>
        </w:rPr>
      </w:pPr>
    </w:p>
    <w:p w:rsidR="006F1BB6" w:rsidRPr="00C11443" w:rsidRDefault="00F15815" w:rsidP="00883F1B">
      <w:pPr>
        <w:spacing w:line="276" w:lineRule="auto"/>
        <w:rPr>
          <w:rFonts w:cs="Arial"/>
          <w:szCs w:val="22"/>
        </w:rPr>
      </w:pPr>
      <w:r w:rsidRPr="00C11443">
        <w:rPr>
          <w:rFonts w:cs="Arial"/>
          <w:szCs w:val="22"/>
        </w:rPr>
        <w:t>Table 2: Number of females aged 16 and over issued with a penalty notice for disorder for being drunk and disorderly, by force and age group, England and Wales, 201</w:t>
      </w:r>
      <w:r>
        <w:rPr>
          <w:rFonts w:cs="Arial"/>
          <w:szCs w:val="22"/>
        </w:rPr>
        <w:t>5</w:t>
      </w:r>
    </w:p>
    <w:p w:rsidR="0060404B" w:rsidRPr="0060404B" w:rsidRDefault="0060404B" w:rsidP="00883F1B">
      <w:pPr>
        <w:spacing w:line="276" w:lineRule="auto"/>
        <w:rPr>
          <w:rFonts w:cs="Arial"/>
          <w:szCs w:val="22"/>
        </w:rPr>
      </w:pPr>
    </w:p>
    <w:p w:rsidR="0060404B" w:rsidRPr="00C11443" w:rsidRDefault="00F15815" w:rsidP="00883F1B">
      <w:pPr>
        <w:spacing w:line="276" w:lineRule="auto"/>
        <w:rPr>
          <w:rFonts w:cs="Arial"/>
          <w:szCs w:val="22"/>
        </w:rPr>
      </w:pPr>
      <w:r>
        <w:rPr>
          <w:rFonts w:cs="Arial"/>
          <w:szCs w:val="22"/>
        </w:rPr>
        <w:t xml:space="preserve">Please note that </w:t>
      </w:r>
      <w:r w:rsidR="007E7C45">
        <w:rPr>
          <w:rFonts w:cs="Arial"/>
          <w:szCs w:val="22"/>
        </w:rPr>
        <w:t xml:space="preserve">our penalty notice for disorder </w:t>
      </w:r>
      <w:r>
        <w:rPr>
          <w:rFonts w:cs="Arial"/>
          <w:szCs w:val="22"/>
        </w:rPr>
        <w:t xml:space="preserve">data </w:t>
      </w:r>
      <w:r w:rsidR="0060404B" w:rsidRPr="0060404B">
        <w:rPr>
          <w:rFonts w:cs="Arial"/>
          <w:szCs w:val="22"/>
        </w:rPr>
        <w:t>were produced using a methodology t</w:t>
      </w:r>
      <w:r w:rsidR="006A3FD1">
        <w:rPr>
          <w:rFonts w:cs="Arial"/>
          <w:szCs w:val="22"/>
        </w:rPr>
        <w:t>hat has since been updated</w:t>
      </w:r>
      <w:r w:rsidR="00883F1B">
        <w:rPr>
          <w:rFonts w:cs="Arial"/>
          <w:szCs w:val="22"/>
        </w:rPr>
        <w:t xml:space="preserve">. </w:t>
      </w:r>
      <w:r w:rsidR="0060404B" w:rsidRPr="0060404B">
        <w:rPr>
          <w:rFonts w:cs="Arial"/>
          <w:szCs w:val="22"/>
        </w:rPr>
        <w:t>In order to reflect our latest methodology and make the data available on a consistent basis, we are providing you with revised 201</w:t>
      </w:r>
      <w:r w:rsidR="0060404B">
        <w:rPr>
          <w:rFonts w:cs="Arial"/>
          <w:szCs w:val="22"/>
        </w:rPr>
        <w:t>5</w:t>
      </w:r>
      <w:r w:rsidR="007E7C45">
        <w:rPr>
          <w:rFonts w:cs="Arial"/>
          <w:szCs w:val="22"/>
        </w:rPr>
        <w:t xml:space="preserve"> figures</w:t>
      </w:r>
      <w:r w:rsidR="0060404B">
        <w:rPr>
          <w:rFonts w:cs="Arial"/>
          <w:szCs w:val="22"/>
        </w:rPr>
        <w:t>.</w:t>
      </w:r>
      <w:r w:rsidR="0060404B" w:rsidRPr="0060404B">
        <w:rPr>
          <w:rFonts w:cs="Arial"/>
          <w:szCs w:val="22"/>
        </w:rPr>
        <w:t xml:space="preserve"> Part of this </w:t>
      </w:r>
      <w:proofErr w:type="gramStart"/>
      <w:r w:rsidR="0060404B" w:rsidRPr="0060404B">
        <w:rPr>
          <w:rFonts w:cs="Arial"/>
          <w:szCs w:val="22"/>
        </w:rPr>
        <w:t>change</w:t>
      </w:r>
      <w:proofErr w:type="gramEnd"/>
      <w:r w:rsidR="0060404B" w:rsidRPr="0060404B">
        <w:rPr>
          <w:rFonts w:cs="Arial"/>
          <w:szCs w:val="22"/>
        </w:rPr>
        <w:t xml:space="preserve"> in methodology will be first applied to our published</w:t>
      </w:r>
      <w:r w:rsidR="006A3FD1">
        <w:rPr>
          <w:rFonts w:cs="Arial"/>
          <w:szCs w:val="22"/>
        </w:rPr>
        <w:t xml:space="preserve"> tables for</w:t>
      </w:r>
      <w:r w:rsidR="0060404B" w:rsidRPr="0060404B">
        <w:rPr>
          <w:rFonts w:cs="Arial"/>
          <w:szCs w:val="22"/>
        </w:rPr>
        <w:t xml:space="preserve"> the annual 201</w:t>
      </w:r>
      <w:r w:rsidR="002817B5">
        <w:rPr>
          <w:rFonts w:cs="Arial"/>
          <w:szCs w:val="22"/>
        </w:rPr>
        <w:t>6</w:t>
      </w:r>
      <w:r w:rsidR="0060404B" w:rsidRPr="0060404B">
        <w:rPr>
          <w:rFonts w:cs="Arial"/>
          <w:szCs w:val="22"/>
        </w:rPr>
        <w:t xml:space="preserve"> version, which is scheduled for release in May 201</w:t>
      </w:r>
      <w:r w:rsidR="002817B5">
        <w:rPr>
          <w:rFonts w:cs="Arial"/>
          <w:szCs w:val="22"/>
        </w:rPr>
        <w:t>7</w:t>
      </w:r>
      <w:r w:rsidR="0060404B" w:rsidRPr="0060404B">
        <w:rPr>
          <w:rFonts w:cs="Arial"/>
          <w:szCs w:val="22"/>
        </w:rPr>
        <w:t xml:space="preserve">. Therefore, the </w:t>
      </w:r>
      <w:r w:rsidR="007E7C45">
        <w:rPr>
          <w:rFonts w:cs="Arial"/>
          <w:szCs w:val="22"/>
        </w:rPr>
        <w:t xml:space="preserve">total </w:t>
      </w:r>
      <w:r w:rsidR="0060404B" w:rsidRPr="0060404B">
        <w:rPr>
          <w:rFonts w:cs="Arial"/>
          <w:szCs w:val="22"/>
        </w:rPr>
        <w:t xml:space="preserve">figures in the </w:t>
      </w:r>
      <w:r w:rsidR="006A3FD1">
        <w:rPr>
          <w:rFonts w:cs="Arial"/>
          <w:szCs w:val="22"/>
        </w:rPr>
        <w:lastRenderedPageBreak/>
        <w:t>published annual report for 2015</w:t>
      </w:r>
      <w:r w:rsidR="0060404B" w:rsidRPr="0060404B">
        <w:rPr>
          <w:rFonts w:cs="Arial"/>
          <w:szCs w:val="22"/>
        </w:rPr>
        <w:t xml:space="preserve"> </w:t>
      </w:r>
      <w:r w:rsidR="007E7C45">
        <w:rPr>
          <w:rFonts w:cs="Arial"/>
          <w:szCs w:val="22"/>
        </w:rPr>
        <w:t>may</w:t>
      </w:r>
      <w:r w:rsidR="0060404B" w:rsidRPr="0060404B">
        <w:rPr>
          <w:rFonts w:cs="Arial"/>
          <w:szCs w:val="22"/>
        </w:rPr>
        <w:t xml:space="preserve"> not match with the tables we have supplied you as part of this FOI respons</w:t>
      </w:r>
      <w:r w:rsidR="006A3FD1">
        <w:rPr>
          <w:rFonts w:cs="Arial"/>
          <w:szCs w:val="22"/>
        </w:rPr>
        <w:t xml:space="preserve">e. </w:t>
      </w:r>
    </w:p>
    <w:p w:rsidR="00D11624" w:rsidRDefault="00D11624" w:rsidP="007A3DF8">
      <w:pPr>
        <w:rPr>
          <w:szCs w:val="22"/>
        </w:rPr>
      </w:pPr>
      <w:bookmarkStart w:id="0" w:name="_GoBack"/>
      <w:bookmarkEnd w:id="0"/>
    </w:p>
    <w:sectPr w:rsidR="00D1162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F9" w:rsidRDefault="005F7DF9">
      <w:r>
        <w:separator/>
      </w:r>
    </w:p>
  </w:endnote>
  <w:endnote w:type="continuationSeparator" w:id="0">
    <w:p w:rsidR="005F7DF9" w:rsidRDefault="005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58B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F9" w:rsidRDefault="005F7DF9">
      <w:r>
        <w:separator/>
      </w:r>
    </w:p>
  </w:footnote>
  <w:footnote w:type="continuationSeparator" w:id="0">
    <w:p w:rsidR="005F7DF9" w:rsidRDefault="005F7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319B"/>
    <w:rsid w:val="00026D9A"/>
    <w:rsid w:val="00032200"/>
    <w:rsid w:val="00037330"/>
    <w:rsid w:val="0007380F"/>
    <w:rsid w:val="0008457A"/>
    <w:rsid w:val="0009138F"/>
    <w:rsid w:val="0009754B"/>
    <w:rsid w:val="000A3195"/>
    <w:rsid w:val="00106DEE"/>
    <w:rsid w:val="0012459C"/>
    <w:rsid w:val="00134A2E"/>
    <w:rsid w:val="00146154"/>
    <w:rsid w:val="00152F0C"/>
    <w:rsid w:val="00153E76"/>
    <w:rsid w:val="00154D2E"/>
    <w:rsid w:val="0017541D"/>
    <w:rsid w:val="0018524D"/>
    <w:rsid w:val="001A3A7E"/>
    <w:rsid w:val="001A47E5"/>
    <w:rsid w:val="001A4EE1"/>
    <w:rsid w:val="001B6FB2"/>
    <w:rsid w:val="001C54E1"/>
    <w:rsid w:val="001C779E"/>
    <w:rsid w:val="001E0568"/>
    <w:rsid w:val="001E1665"/>
    <w:rsid w:val="001F33F4"/>
    <w:rsid w:val="00255FC6"/>
    <w:rsid w:val="00273E23"/>
    <w:rsid w:val="002817B5"/>
    <w:rsid w:val="00285A9C"/>
    <w:rsid w:val="002B0ECE"/>
    <w:rsid w:val="002C5025"/>
    <w:rsid w:val="002D5314"/>
    <w:rsid w:val="002E067B"/>
    <w:rsid w:val="002E39E4"/>
    <w:rsid w:val="002F24C7"/>
    <w:rsid w:val="002F50F6"/>
    <w:rsid w:val="002F6553"/>
    <w:rsid w:val="003011BD"/>
    <w:rsid w:val="00303661"/>
    <w:rsid w:val="0030433E"/>
    <w:rsid w:val="003063D9"/>
    <w:rsid w:val="0031213B"/>
    <w:rsid w:val="00323067"/>
    <w:rsid w:val="00331F3A"/>
    <w:rsid w:val="003366B3"/>
    <w:rsid w:val="00373A68"/>
    <w:rsid w:val="00375DDC"/>
    <w:rsid w:val="00376A97"/>
    <w:rsid w:val="00377D6F"/>
    <w:rsid w:val="0038642F"/>
    <w:rsid w:val="003A633E"/>
    <w:rsid w:val="003B13CA"/>
    <w:rsid w:val="003E2480"/>
    <w:rsid w:val="003E3E27"/>
    <w:rsid w:val="00401CAB"/>
    <w:rsid w:val="00421F7F"/>
    <w:rsid w:val="00424687"/>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D21E1"/>
    <w:rsid w:val="005E17C7"/>
    <w:rsid w:val="005F0721"/>
    <w:rsid w:val="005F7DF9"/>
    <w:rsid w:val="0060404B"/>
    <w:rsid w:val="006045AB"/>
    <w:rsid w:val="00607F02"/>
    <w:rsid w:val="00644B57"/>
    <w:rsid w:val="00652228"/>
    <w:rsid w:val="006647E4"/>
    <w:rsid w:val="00673F9E"/>
    <w:rsid w:val="00674BC9"/>
    <w:rsid w:val="0067514B"/>
    <w:rsid w:val="0067585E"/>
    <w:rsid w:val="00680513"/>
    <w:rsid w:val="00680B3A"/>
    <w:rsid w:val="00683589"/>
    <w:rsid w:val="00684760"/>
    <w:rsid w:val="00687093"/>
    <w:rsid w:val="00687276"/>
    <w:rsid w:val="006878E8"/>
    <w:rsid w:val="006A3FD1"/>
    <w:rsid w:val="006C72DE"/>
    <w:rsid w:val="006E32CA"/>
    <w:rsid w:val="006F1BB6"/>
    <w:rsid w:val="006F32D9"/>
    <w:rsid w:val="006F41B2"/>
    <w:rsid w:val="007401A8"/>
    <w:rsid w:val="0074259E"/>
    <w:rsid w:val="007428E8"/>
    <w:rsid w:val="0075513B"/>
    <w:rsid w:val="007A3DF8"/>
    <w:rsid w:val="007B7C57"/>
    <w:rsid w:val="007C5F7B"/>
    <w:rsid w:val="007C771A"/>
    <w:rsid w:val="007D4371"/>
    <w:rsid w:val="007D4761"/>
    <w:rsid w:val="007D5ED2"/>
    <w:rsid w:val="007E7C45"/>
    <w:rsid w:val="007F4AEE"/>
    <w:rsid w:val="00801B78"/>
    <w:rsid w:val="00805323"/>
    <w:rsid w:val="00831B94"/>
    <w:rsid w:val="00832C18"/>
    <w:rsid w:val="00837E19"/>
    <w:rsid w:val="00844B67"/>
    <w:rsid w:val="00844D94"/>
    <w:rsid w:val="008565E0"/>
    <w:rsid w:val="00880411"/>
    <w:rsid w:val="00882334"/>
    <w:rsid w:val="00883F1B"/>
    <w:rsid w:val="00886775"/>
    <w:rsid w:val="00892055"/>
    <w:rsid w:val="008970E9"/>
    <w:rsid w:val="008B21BB"/>
    <w:rsid w:val="008B36D2"/>
    <w:rsid w:val="008C5369"/>
    <w:rsid w:val="008D45DA"/>
    <w:rsid w:val="008D564C"/>
    <w:rsid w:val="00916A8A"/>
    <w:rsid w:val="00917EC7"/>
    <w:rsid w:val="00920C2D"/>
    <w:rsid w:val="009827DD"/>
    <w:rsid w:val="009853E8"/>
    <w:rsid w:val="00985CB8"/>
    <w:rsid w:val="00990F1F"/>
    <w:rsid w:val="009C1F96"/>
    <w:rsid w:val="009C4B46"/>
    <w:rsid w:val="009D5879"/>
    <w:rsid w:val="009E3F91"/>
    <w:rsid w:val="009E69FE"/>
    <w:rsid w:val="00A07DE3"/>
    <w:rsid w:val="00A144A3"/>
    <w:rsid w:val="00A173AB"/>
    <w:rsid w:val="00A20BCD"/>
    <w:rsid w:val="00A349B1"/>
    <w:rsid w:val="00A40D87"/>
    <w:rsid w:val="00A459D4"/>
    <w:rsid w:val="00A4792D"/>
    <w:rsid w:val="00A724ED"/>
    <w:rsid w:val="00A76AFC"/>
    <w:rsid w:val="00A809DF"/>
    <w:rsid w:val="00A86746"/>
    <w:rsid w:val="00AD7505"/>
    <w:rsid w:val="00AE7402"/>
    <w:rsid w:val="00AF2FD9"/>
    <w:rsid w:val="00B01B28"/>
    <w:rsid w:val="00B358B0"/>
    <w:rsid w:val="00B47082"/>
    <w:rsid w:val="00B8050D"/>
    <w:rsid w:val="00B81EF9"/>
    <w:rsid w:val="00B9009F"/>
    <w:rsid w:val="00B95043"/>
    <w:rsid w:val="00BB4B4B"/>
    <w:rsid w:val="00BF3E2C"/>
    <w:rsid w:val="00BF6197"/>
    <w:rsid w:val="00C016D5"/>
    <w:rsid w:val="00C11443"/>
    <w:rsid w:val="00C56E27"/>
    <w:rsid w:val="00C65C7F"/>
    <w:rsid w:val="00C66BE0"/>
    <w:rsid w:val="00C72245"/>
    <w:rsid w:val="00CA5194"/>
    <w:rsid w:val="00CA65C5"/>
    <w:rsid w:val="00CB54AB"/>
    <w:rsid w:val="00CB5A5A"/>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11A4"/>
    <w:rsid w:val="00D34F07"/>
    <w:rsid w:val="00D354B2"/>
    <w:rsid w:val="00D5584F"/>
    <w:rsid w:val="00D62050"/>
    <w:rsid w:val="00D64C3E"/>
    <w:rsid w:val="00D66074"/>
    <w:rsid w:val="00D908A9"/>
    <w:rsid w:val="00DB1513"/>
    <w:rsid w:val="00DC1EB5"/>
    <w:rsid w:val="00DD4695"/>
    <w:rsid w:val="00DD5704"/>
    <w:rsid w:val="00DE65A5"/>
    <w:rsid w:val="00DE71AB"/>
    <w:rsid w:val="00E06D38"/>
    <w:rsid w:val="00E07BB4"/>
    <w:rsid w:val="00E1729A"/>
    <w:rsid w:val="00E4338B"/>
    <w:rsid w:val="00E51801"/>
    <w:rsid w:val="00E53522"/>
    <w:rsid w:val="00E910E7"/>
    <w:rsid w:val="00E92C99"/>
    <w:rsid w:val="00E95539"/>
    <w:rsid w:val="00EA1E9A"/>
    <w:rsid w:val="00EB050F"/>
    <w:rsid w:val="00EB72DE"/>
    <w:rsid w:val="00ED3B30"/>
    <w:rsid w:val="00ED782D"/>
    <w:rsid w:val="00EE2AA6"/>
    <w:rsid w:val="00EF4AE8"/>
    <w:rsid w:val="00F012C4"/>
    <w:rsid w:val="00F15815"/>
    <w:rsid w:val="00F24423"/>
    <w:rsid w:val="00F61AFC"/>
    <w:rsid w:val="00F74765"/>
    <w:rsid w:val="00F779B2"/>
    <w:rsid w:val="00F81AD5"/>
    <w:rsid w:val="00F82DB8"/>
    <w:rsid w:val="00F92115"/>
    <w:rsid w:val="00F97A57"/>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7CB0688-CD72-4982-A44C-23C1A259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137A-2A2C-4A5D-A469-00115720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324</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FOI 110528 Penalty Notices for Disorder issued to Women for Being Drunk and Disorderly</vt:lpstr>
    </vt:vector>
  </TitlesOfParts>
  <Manager/>
  <Company>Ministry of Justice</Company>
  <LinksUpToDate>false</LinksUpToDate>
  <CharactersWithSpaces>1856</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1835119</vt:i4>
      </vt:variant>
      <vt:variant>
        <vt:i4>0</vt:i4>
      </vt:variant>
      <vt:variant>
        <vt:i4>0</vt:i4>
      </vt:variant>
      <vt:variant>
        <vt:i4>5</vt:i4>
      </vt:variant>
      <vt:variant>
        <vt:lpwstr>mailto:newsdesk@datanews.co.uk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110528 Penalty Notices for Disorder issued to Women for Being Drunk and Disorderly</dc:title>
  <dc:subject>FOI Release</dc:subject>
  <dc:creator>MoJ</dc:creator>
  <cp:keywords/>
  <dc:description/>
  <cp:lastModifiedBy>Cox, Allan</cp:lastModifiedBy>
  <cp:revision>3</cp:revision>
  <cp:lastPrinted>2015-07-06T10:35:00Z</cp:lastPrinted>
  <dcterms:created xsi:type="dcterms:W3CDTF">2017-05-31T10:43:00Z</dcterms:created>
  <dcterms:modified xsi:type="dcterms:W3CDTF">2017-05-31T10:43:00Z</dcterms:modified>
  <cp:category/>
</cp:coreProperties>
</file>