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0B2FBB" w:rsidP="002C5025">
            <w:pPr>
              <w:pStyle w:val="MOJaddress"/>
            </w:pPr>
            <w:r>
              <w:rPr>
                <w:noProof/>
              </w:rPr>
              <w:drawing>
                <wp:inline distT="0" distB="0" distL="0" distR="0">
                  <wp:extent cx="974090" cy="760095"/>
                  <wp:effectExtent l="0" t="0" r="0" b="190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760095"/>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05548F" w:rsidRPr="00AA51E8" w:rsidRDefault="0005548F" w:rsidP="009C4B46">
            <w:pPr>
              <w:pStyle w:val="MOJaddress"/>
              <w:rPr>
                <w:color w:val="000000"/>
                <w:sz w:val="22"/>
                <w:szCs w:val="22"/>
                <w:lang w:val="en-US"/>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Default="00C016D5" w:rsidP="007807FF">
            <w:pPr>
              <w:pStyle w:val="MOJaddress"/>
              <w:rPr>
                <w:color w:val="0000CC"/>
                <w:sz w:val="22"/>
                <w:szCs w:val="22"/>
              </w:rPr>
            </w:pPr>
          </w:p>
          <w:p w:rsidR="007807FF" w:rsidRDefault="007807FF" w:rsidP="007807FF">
            <w:pPr>
              <w:pStyle w:val="MOJaddress"/>
              <w:rPr>
                <w:color w:val="0000CC"/>
                <w:sz w:val="22"/>
                <w:szCs w:val="22"/>
              </w:rPr>
            </w:pPr>
          </w:p>
          <w:p w:rsidR="007807FF" w:rsidRPr="009C4B46" w:rsidRDefault="007807FF" w:rsidP="007807FF">
            <w:pPr>
              <w:pStyle w:val="MOJaddress"/>
              <w:rPr>
                <w:color w:val="0000CC"/>
                <w:sz w:val="22"/>
                <w:szCs w:val="22"/>
              </w:rPr>
            </w:pPr>
          </w:p>
          <w:p w:rsidR="00C016D5" w:rsidRPr="00AA51E8" w:rsidRDefault="004D0E21" w:rsidP="00D11624">
            <w:pPr>
              <w:pStyle w:val="MOJaddress"/>
              <w:rPr>
                <w:color w:val="000000"/>
              </w:rPr>
            </w:pPr>
            <w:r>
              <w:rPr>
                <w:color w:val="000000"/>
                <w:sz w:val="22"/>
                <w:szCs w:val="22"/>
              </w:rPr>
              <w:t>February</w:t>
            </w:r>
            <w:r w:rsidR="005C346A" w:rsidRPr="00AA51E8">
              <w:rPr>
                <w:color w:val="000000"/>
                <w:sz w:val="22"/>
                <w:szCs w:val="22"/>
              </w:rPr>
              <w:t xml:space="preserve"> 2017</w:t>
            </w:r>
          </w:p>
        </w:tc>
      </w:tr>
    </w:tbl>
    <w:p w:rsidR="009853E8" w:rsidRPr="00AA51E8" w:rsidRDefault="007A3DF8" w:rsidP="009853E8">
      <w:pPr>
        <w:rPr>
          <w:b/>
          <w:color w:val="000000"/>
          <w:szCs w:val="22"/>
        </w:rPr>
      </w:pPr>
      <w:r w:rsidRPr="00AA51E8">
        <w:rPr>
          <w:b/>
          <w:color w:val="000000"/>
          <w:szCs w:val="22"/>
        </w:rPr>
        <w:t xml:space="preserve">Freedom of Information Act (FOIA) Request – </w:t>
      </w:r>
      <w:r w:rsidR="004D0E21">
        <w:rPr>
          <w:color w:val="000000"/>
          <w:szCs w:val="22"/>
        </w:rPr>
        <w:t>110069</w:t>
      </w:r>
    </w:p>
    <w:p w:rsidR="009853E8" w:rsidRPr="00AA51E8" w:rsidRDefault="009853E8" w:rsidP="009853E8">
      <w:pPr>
        <w:rPr>
          <w:b/>
          <w:color w:val="000000"/>
          <w:szCs w:val="22"/>
        </w:rPr>
      </w:pPr>
    </w:p>
    <w:p w:rsidR="00CA5194" w:rsidRPr="00AA51E8" w:rsidRDefault="007807FF" w:rsidP="00CA5194">
      <w:pPr>
        <w:rPr>
          <w:color w:val="000000"/>
        </w:rPr>
      </w:pPr>
      <w:r>
        <w:rPr>
          <w:color w:val="000000"/>
        </w:rPr>
        <w:t xml:space="preserve">You </w:t>
      </w:r>
      <w:r w:rsidR="00CA5194" w:rsidRPr="00AA51E8">
        <w:rPr>
          <w:color w:val="000000"/>
        </w:rPr>
        <w:t xml:space="preserve">asked for the following information from the Ministry of Justice (MoJ):  </w:t>
      </w:r>
    </w:p>
    <w:p w:rsidR="005C346A" w:rsidRPr="00AA51E8" w:rsidRDefault="005C346A" w:rsidP="005C346A">
      <w:pPr>
        <w:rPr>
          <w:rFonts w:cs="Arial"/>
          <w:b/>
          <w:color w:val="000000"/>
          <w:szCs w:val="22"/>
        </w:rPr>
      </w:pPr>
      <w:bookmarkStart w:id="0" w:name="_GoBack"/>
      <w:bookmarkEnd w:id="0"/>
    </w:p>
    <w:p w:rsidR="00CA5194" w:rsidRDefault="00D0746C" w:rsidP="00CA5194">
      <w:pPr>
        <w:rPr>
          <w:rFonts w:cs="Arial"/>
          <w:b/>
          <w:color w:val="000000"/>
          <w:szCs w:val="22"/>
        </w:rPr>
      </w:pPr>
      <w:r>
        <w:rPr>
          <w:rFonts w:cs="Arial"/>
          <w:b/>
          <w:color w:val="000000"/>
          <w:szCs w:val="22"/>
        </w:rPr>
        <w:t>I wish to request under the Freedom of Information Act 2000 (FOIA) the following data:</w:t>
      </w:r>
    </w:p>
    <w:p w:rsidR="00D0746C" w:rsidRDefault="00D0746C" w:rsidP="00CA5194">
      <w:pPr>
        <w:rPr>
          <w:rFonts w:cs="Arial"/>
          <w:b/>
          <w:color w:val="000000"/>
          <w:szCs w:val="22"/>
        </w:rPr>
      </w:pPr>
    </w:p>
    <w:p w:rsidR="00D0746C" w:rsidRDefault="00D0746C" w:rsidP="00D0746C">
      <w:pPr>
        <w:numPr>
          <w:ilvl w:val="0"/>
          <w:numId w:val="5"/>
        </w:numPr>
        <w:rPr>
          <w:rFonts w:cs="Arial"/>
          <w:b/>
          <w:color w:val="000000"/>
          <w:szCs w:val="22"/>
        </w:rPr>
      </w:pPr>
      <w:r>
        <w:rPr>
          <w:rFonts w:cs="Arial"/>
          <w:b/>
          <w:color w:val="000000"/>
          <w:szCs w:val="22"/>
        </w:rPr>
        <w:t xml:space="preserve"> How many people were convicted of the following offences: Possession of Indecent Images of Children; Making of Indece</w:t>
      </w:r>
      <w:r w:rsidR="00FE6553">
        <w:rPr>
          <w:rFonts w:cs="Arial"/>
          <w:b/>
          <w:color w:val="000000"/>
          <w:szCs w:val="22"/>
        </w:rPr>
        <w:t>n</w:t>
      </w:r>
      <w:r>
        <w:rPr>
          <w:rFonts w:cs="Arial"/>
          <w:b/>
          <w:color w:val="000000"/>
          <w:szCs w:val="22"/>
        </w:rPr>
        <w:t>t Images of Children; Distribution of Indecent Images of Children; other indecent images charges; in the following years: a) 2010, b) 2011, c) 2012, d) 2013, e) 2014, f) 2015, g) 2016</w:t>
      </w:r>
    </w:p>
    <w:p w:rsidR="00D0746C" w:rsidRDefault="00D0746C" w:rsidP="00D0746C">
      <w:pPr>
        <w:numPr>
          <w:ilvl w:val="0"/>
          <w:numId w:val="5"/>
        </w:numPr>
        <w:rPr>
          <w:rFonts w:cs="Arial"/>
          <w:b/>
          <w:color w:val="000000"/>
          <w:szCs w:val="22"/>
        </w:rPr>
      </w:pPr>
      <w:r>
        <w:rPr>
          <w:rFonts w:cs="Arial"/>
          <w:b/>
          <w:color w:val="000000"/>
          <w:szCs w:val="22"/>
        </w:rPr>
        <w:t>What the youngest age of convict for the above offences in those years was.</w:t>
      </w:r>
    </w:p>
    <w:p w:rsidR="00D0746C" w:rsidRDefault="00D0746C" w:rsidP="00D0746C">
      <w:pPr>
        <w:numPr>
          <w:ilvl w:val="0"/>
          <w:numId w:val="5"/>
        </w:numPr>
        <w:rPr>
          <w:rFonts w:cs="Arial"/>
          <w:b/>
          <w:color w:val="000000"/>
          <w:szCs w:val="22"/>
        </w:rPr>
      </w:pPr>
      <w:r>
        <w:rPr>
          <w:rFonts w:cs="Arial"/>
          <w:b/>
          <w:color w:val="000000"/>
          <w:szCs w:val="22"/>
        </w:rPr>
        <w:t>What the oldest age of convict for the above offences in those years was</w:t>
      </w:r>
    </w:p>
    <w:p w:rsidR="00D0746C" w:rsidRDefault="00D0746C" w:rsidP="00D0746C">
      <w:pPr>
        <w:numPr>
          <w:ilvl w:val="0"/>
          <w:numId w:val="5"/>
        </w:numPr>
        <w:rPr>
          <w:rFonts w:cs="Arial"/>
          <w:b/>
          <w:color w:val="000000"/>
          <w:szCs w:val="22"/>
        </w:rPr>
      </w:pPr>
      <w:r>
        <w:rPr>
          <w:rFonts w:cs="Arial"/>
          <w:b/>
          <w:color w:val="000000"/>
          <w:szCs w:val="22"/>
        </w:rPr>
        <w:t>Whether or</w:t>
      </w:r>
      <w:r w:rsidR="00FE6553">
        <w:rPr>
          <w:rFonts w:cs="Arial"/>
          <w:b/>
          <w:color w:val="000000"/>
          <w:szCs w:val="22"/>
        </w:rPr>
        <w:t xml:space="preserve"> an</w:t>
      </w:r>
      <w:r>
        <w:rPr>
          <w:rFonts w:cs="Arial"/>
          <w:b/>
          <w:color w:val="000000"/>
          <w:szCs w:val="22"/>
        </w:rPr>
        <w:t xml:space="preserve"> age breakdown for those referred to in question 1 is held</w:t>
      </w:r>
    </w:p>
    <w:p w:rsidR="00D0746C" w:rsidRDefault="00D0746C" w:rsidP="00D0746C">
      <w:pPr>
        <w:numPr>
          <w:ilvl w:val="0"/>
          <w:numId w:val="5"/>
        </w:numPr>
        <w:rPr>
          <w:rFonts w:cs="Arial"/>
          <w:b/>
          <w:color w:val="000000"/>
          <w:szCs w:val="22"/>
        </w:rPr>
      </w:pPr>
      <w:r>
        <w:rPr>
          <w:rFonts w:cs="Arial"/>
          <w:b/>
          <w:color w:val="000000"/>
          <w:szCs w:val="22"/>
        </w:rPr>
        <w:t>Whether a breakdown by arresting police force/authority area for those referred to in question 1 is held</w:t>
      </w:r>
    </w:p>
    <w:p w:rsidR="00D0746C" w:rsidRPr="00D0746C" w:rsidRDefault="00D0746C" w:rsidP="00D0746C">
      <w:pPr>
        <w:numPr>
          <w:ilvl w:val="0"/>
          <w:numId w:val="5"/>
        </w:numPr>
        <w:rPr>
          <w:rFonts w:cs="Arial"/>
          <w:b/>
          <w:color w:val="000000"/>
          <w:szCs w:val="22"/>
        </w:rPr>
      </w:pPr>
      <w:r>
        <w:rPr>
          <w:rFonts w:cs="Arial"/>
          <w:b/>
          <w:color w:val="000000"/>
          <w:szCs w:val="22"/>
        </w:rPr>
        <w:t>A list of the ‘Passover Supplementary Foods per Jewish Prisoner</w:t>
      </w:r>
    </w:p>
    <w:p w:rsidR="004D0E21" w:rsidRPr="00AA51E8" w:rsidRDefault="004D0E21" w:rsidP="00CA5194">
      <w:pPr>
        <w:rPr>
          <w:rFonts w:cs="Arial"/>
          <w:color w:val="000000"/>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5C346A" w:rsidRDefault="005C346A" w:rsidP="005C346A">
      <w:pPr>
        <w:rPr>
          <w:rFonts w:cs="Arial"/>
          <w:szCs w:val="22"/>
        </w:rPr>
      </w:pPr>
      <w:r w:rsidRPr="005C346A">
        <w:rPr>
          <w:rFonts w:cs="Arial"/>
          <w:szCs w:val="22"/>
        </w:rPr>
        <w:t>I can confirm that the MoJ holds all of the information that you have requested</w:t>
      </w:r>
      <w:r w:rsidR="00F0305A">
        <w:rPr>
          <w:rFonts w:cs="Arial"/>
          <w:szCs w:val="22"/>
        </w:rPr>
        <w:t>.</w:t>
      </w:r>
      <w:r w:rsidR="00D0746C">
        <w:rPr>
          <w:rFonts w:cs="Arial"/>
          <w:szCs w:val="22"/>
        </w:rPr>
        <w:t xml:space="preserve"> </w:t>
      </w:r>
      <w:r w:rsidR="00F0305A">
        <w:rPr>
          <w:rFonts w:cs="Arial"/>
          <w:szCs w:val="22"/>
        </w:rPr>
        <w:t>This</w:t>
      </w:r>
      <w:r w:rsidR="00D0746C">
        <w:rPr>
          <w:rFonts w:cs="Arial"/>
          <w:szCs w:val="22"/>
        </w:rPr>
        <w:t xml:space="preserve"> is attached to this letter</w:t>
      </w:r>
      <w:r w:rsidRPr="005C346A">
        <w:rPr>
          <w:rFonts w:cs="Arial"/>
          <w:szCs w:val="22"/>
        </w:rPr>
        <w:t>.</w:t>
      </w:r>
    </w:p>
    <w:p w:rsidR="007B4514" w:rsidRDefault="007B4514" w:rsidP="005C346A">
      <w:pPr>
        <w:rPr>
          <w:rFonts w:cs="Arial"/>
          <w:szCs w:val="22"/>
        </w:rPr>
      </w:pPr>
    </w:p>
    <w:p w:rsidR="005C346A" w:rsidRDefault="00D0746C" w:rsidP="00D0746C">
      <w:pPr>
        <w:numPr>
          <w:ilvl w:val="0"/>
          <w:numId w:val="8"/>
        </w:numPr>
        <w:rPr>
          <w:rFonts w:cs="Arial"/>
          <w:szCs w:val="22"/>
        </w:rPr>
      </w:pPr>
      <w:r>
        <w:rPr>
          <w:rFonts w:cs="Arial"/>
          <w:szCs w:val="22"/>
        </w:rPr>
        <w:t>Table 1 provides the number of offenders found guilty at all courts of t</w:t>
      </w:r>
      <w:r w:rsidRPr="00D0746C">
        <w:rPr>
          <w:rFonts w:cs="Arial"/>
          <w:szCs w:val="22"/>
        </w:rPr>
        <w:t>aking, permitting to be taken or making, distributing or publishing indecent photographs or pseudo photographs of children</w:t>
      </w:r>
      <w:r>
        <w:rPr>
          <w:rFonts w:cs="Arial"/>
          <w:szCs w:val="22"/>
        </w:rPr>
        <w:t>, in England and Wales, from 2010 to 2015.</w:t>
      </w:r>
      <w:r w:rsidR="00B234C9">
        <w:rPr>
          <w:rFonts w:cs="Arial"/>
          <w:szCs w:val="22"/>
        </w:rPr>
        <w:t xml:space="preserve"> Data are broken down by age of offender and by police force area.</w:t>
      </w:r>
    </w:p>
    <w:p w:rsidR="00D0746C" w:rsidRDefault="00D0746C" w:rsidP="00D0746C">
      <w:pPr>
        <w:numPr>
          <w:ilvl w:val="0"/>
          <w:numId w:val="8"/>
        </w:numPr>
        <w:rPr>
          <w:rFonts w:cs="Arial"/>
          <w:szCs w:val="22"/>
        </w:rPr>
      </w:pPr>
      <w:r>
        <w:rPr>
          <w:rFonts w:cs="Arial"/>
          <w:szCs w:val="22"/>
        </w:rPr>
        <w:t>Table 2 provides the number of offenders found guilty at all courts of possession of indecent images of children, in England and Wales, from 2010 to 2015</w:t>
      </w:r>
      <w:r w:rsidR="00B234C9">
        <w:rPr>
          <w:rFonts w:cs="Arial"/>
          <w:szCs w:val="22"/>
        </w:rPr>
        <w:t xml:space="preserve">. </w:t>
      </w:r>
      <w:r w:rsidR="00B234C9" w:rsidRPr="00B234C9">
        <w:rPr>
          <w:rFonts w:cs="Arial"/>
          <w:szCs w:val="22"/>
        </w:rPr>
        <w:t xml:space="preserve">Data are broken down by age </w:t>
      </w:r>
      <w:r w:rsidR="00B234C9">
        <w:rPr>
          <w:rFonts w:cs="Arial"/>
          <w:szCs w:val="22"/>
        </w:rPr>
        <w:t xml:space="preserve">of offender </w:t>
      </w:r>
      <w:r w:rsidR="00B234C9" w:rsidRPr="00B234C9">
        <w:rPr>
          <w:rFonts w:cs="Arial"/>
          <w:szCs w:val="22"/>
        </w:rPr>
        <w:t xml:space="preserve">and </w:t>
      </w:r>
      <w:r w:rsidR="00B234C9">
        <w:rPr>
          <w:rFonts w:cs="Arial"/>
          <w:szCs w:val="22"/>
        </w:rPr>
        <w:t xml:space="preserve">by </w:t>
      </w:r>
      <w:r w:rsidR="00B234C9" w:rsidRPr="00B234C9">
        <w:rPr>
          <w:rFonts w:cs="Arial"/>
          <w:szCs w:val="22"/>
        </w:rPr>
        <w:t>police force area.</w:t>
      </w:r>
    </w:p>
    <w:p w:rsidR="00D0746C" w:rsidRDefault="00D0746C" w:rsidP="00D0746C">
      <w:pPr>
        <w:numPr>
          <w:ilvl w:val="0"/>
          <w:numId w:val="8"/>
        </w:numPr>
        <w:rPr>
          <w:rFonts w:cs="Arial"/>
          <w:szCs w:val="22"/>
        </w:rPr>
      </w:pPr>
      <w:r>
        <w:rPr>
          <w:rFonts w:cs="Arial"/>
          <w:szCs w:val="22"/>
        </w:rPr>
        <w:t>Table 3 provides the number of offenders found guilty at all courts of possession of prohibited images of children, in England and</w:t>
      </w:r>
      <w:r w:rsidR="0024463A">
        <w:rPr>
          <w:rFonts w:cs="Arial"/>
          <w:szCs w:val="22"/>
        </w:rPr>
        <w:t xml:space="preserve"> </w:t>
      </w:r>
      <w:r>
        <w:rPr>
          <w:rFonts w:cs="Arial"/>
          <w:szCs w:val="22"/>
        </w:rPr>
        <w:t>Wales, from 2010 to 2015</w:t>
      </w:r>
      <w:r w:rsidR="00B234C9">
        <w:rPr>
          <w:rFonts w:cs="Arial"/>
          <w:szCs w:val="22"/>
        </w:rPr>
        <w:t xml:space="preserve">. </w:t>
      </w:r>
      <w:r w:rsidR="00B234C9" w:rsidRPr="00B234C9">
        <w:rPr>
          <w:rFonts w:cs="Arial"/>
          <w:szCs w:val="22"/>
        </w:rPr>
        <w:t xml:space="preserve">Data are broken down by age </w:t>
      </w:r>
      <w:r w:rsidR="00B234C9">
        <w:rPr>
          <w:rFonts w:cs="Arial"/>
          <w:szCs w:val="22"/>
        </w:rPr>
        <w:t xml:space="preserve">of offender </w:t>
      </w:r>
      <w:r w:rsidR="00B234C9" w:rsidRPr="00B234C9">
        <w:rPr>
          <w:rFonts w:cs="Arial"/>
          <w:szCs w:val="22"/>
        </w:rPr>
        <w:t xml:space="preserve">and </w:t>
      </w:r>
      <w:r w:rsidR="00B234C9">
        <w:rPr>
          <w:rFonts w:cs="Arial"/>
          <w:szCs w:val="22"/>
        </w:rPr>
        <w:t xml:space="preserve">by </w:t>
      </w:r>
      <w:r w:rsidR="00B234C9" w:rsidRPr="00B234C9">
        <w:rPr>
          <w:rFonts w:cs="Arial"/>
          <w:szCs w:val="22"/>
        </w:rPr>
        <w:t>police force area.</w:t>
      </w:r>
    </w:p>
    <w:p w:rsidR="00D0746C" w:rsidRPr="0024463A" w:rsidRDefault="0024463A" w:rsidP="008D49F3">
      <w:pPr>
        <w:numPr>
          <w:ilvl w:val="0"/>
          <w:numId w:val="8"/>
        </w:numPr>
        <w:rPr>
          <w:rFonts w:cs="Arial"/>
          <w:b/>
          <w:szCs w:val="22"/>
        </w:rPr>
      </w:pPr>
      <w:r w:rsidRPr="0024463A">
        <w:rPr>
          <w:rFonts w:cs="Arial"/>
          <w:szCs w:val="22"/>
        </w:rPr>
        <w:t xml:space="preserve">Table 4 provides the </w:t>
      </w:r>
      <w:r w:rsidR="007F6D3C">
        <w:rPr>
          <w:rFonts w:cs="Arial"/>
          <w:szCs w:val="22"/>
        </w:rPr>
        <w:t>ages</w:t>
      </w:r>
      <w:r w:rsidRPr="0024463A">
        <w:rPr>
          <w:rFonts w:cs="Arial"/>
          <w:szCs w:val="22"/>
        </w:rPr>
        <w:t xml:space="preserve"> of </w:t>
      </w:r>
      <w:r w:rsidR="007F6D3C">
        <w:rPr>
          <w:rFonts w:cs="Arial"/>
          <w:szCs w:val="22"/>
        </w:rPr>
        <w:t xml:space="preserve">the </w:t>
      </w:r>
      <w:r w:rsidRPr="0024463A">
        <w:rPr>
          <w:rFonts w:cs="Arial"/>
          <w:szCs w:val="22"/>
        </w:rPr>
        <w:t>youngest and oldest offenders found guilty of each of th</w:t>
      </w:r>
      <w:r>
        <w:rPr>
          <w:rFonts w:cs="Arial"/>
          <w:szCs w:val="22"/>
        </w:rPr>
        <w:t>e</w:t>
      </w:r>
      <w:r w:rsidRPr="0024463A">
        <w:rPr>
          <w:rFonts w:cs="Arial"/>
          <w:szCs w:val="22"/>
        </w:rPr>
        <w:t xml:space="preserve"> above offences, in England and Wales, from 2010 to 2015</w:t>
      </w:r>
      <w:r w:rsidR="007F6D3C">
        <w:rPr>
          <w:rFonts w:cs="Arial"/>
          <w:szCs w:val="22"/>
        </w:rPr>
        <w:t>.</w:t>
      </w:r>
    </w:p>
    <w:p w:rsidR="0024463A" w:rsidRPr="0024463A" w:rsidRDefault="0024463A" w:rsidP="0024463A">
      <w:pPr>
        <w:rPr>
          <w:rFonts w:cs="Arial"/>
          <w:szCs w:val="22"/>
        </w:rPr>
      </w:pPr>
    </w:p>
    <w:p w:rsidR="0024463A" w:rsidRDefault="0024463A" w:rsidP="0024463A">
      <w:pPr>
        <w:rPr>
          <w:rFonts w:cs="Arial"/>
          <w:szCs w:val="22"/>
        </w:rPr>
      </w:pPr>
      <w:r w:rsidRPr="0024463A">
        <w:rPr>
          <w:rFonts w:cs="Arial"/>
          <w:szCs w:val="22"/>
        </w:rPr>
        <w:t xml:space="preserve">The below extract from the </w:t>
      </w:r>
      <w:r>
        <w:rPr>
          <w:rFonts w:cs="Arial"/>
          <w:szCs w:val="22"/>
        </w:rPr>
        <w:t>National Catering Manual for prisoners in custody provides the list of supplementary foods for Jewish prisoners at Passover.</w:t>
      </w:r>
    </w:p>
    <w:p w:rsidR="0024463A" w:rsidRDefault="0024463A" w:rsidP="0024463A">
      <w:pPr>
        <w:rPr>
          <w:rFonts w:cs="Arial"/>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973"/>
      </w:tblGrid>
      <w:tr w:rsidR="0024463A" w:rsidRPr="0024463A" w:rsidTr="008D49F3">
        <w:tc>
          <w:tcPr>
            <w:tcW w:w="3767" w:type="dxa"/>
            <w:shd w:val="clear" w:color="auto" w:fill="auto"/>
          </w:tcPr>
          <w:p w:rsidR="0024463A" w:rsidRPr="0024463A" w:rsidRDefault="0024463A" w:rsidP="0024463A">
            <w:pPr>
              <w:rPr>
                <w:rFonts w:cs="Arial"/>
                <w:b/>
                <w:szCs w:val="22"/>
              </w:rPr>
            </w:pPr>
            <w:r w:rsidRPr="0024463A">
              <w:rPr>
                <w:rFonts w:cs="Arial"/>
                <w:b/>
                <w:szCs w:val="22"/>
              </w:rPr>
              <w:lastRenderedPageBreak/>
              <w:t xml:space="preserve">Product </w:t>
            </w:r>
          </w:p>
        </w:tc>
        <w:tc>
          <w:tcPr>
            <w:tcW w:w="3973" w:type="dxa"/>
            <w:shd w:val="clear" w:color="auto" w:fill="auto"/>
          </w:tcPr>
          <w:p w:rsidR="0024463A" w:rsidRPr="0024463A" w:rsidRDefault="0024463A" w:rsidP="0024463A">
            <w:pPr>
              <w:rPr>
                <w:rFonts w:cs="Arial"/>
                <w:b/>
                <w:szCs w:val="22"/>
              </w:rPr>
            </w:pPr>
            <w:r w:rsidRPr="0024463A">
              <w:rPr>
                <w:rFonts w:cs="Arial"/>
                <w:b/>
                <w:szCs w:val="22"/>
              </w:rPr>
              <w:t>Quantity</w:t>
            </w:r>
          </w:p>
        </w:tc>
      </w:tr>
      <w:tr w:rsidR="0024463A" w:rsidRPr="0024463A" w:rsidTr="008D49F3">
        <w:tc>
          <w:tcPr>
            <w:tcW w:w="3767" w:type="dxa"/>
            <w:shd w:val="clear" w:color="auto" w:fill="auto"/>
          </w:tcPr>
          <w:p w:rsidR="0024463A" w:rsidRPr="0024463A" w:rsidRDefault="0024463A" w:rsidP="0024463A">
            <w:pPr>
              <w:rPr>
                <w:rFonts w:cs="Arial"/>
                <w:szCs w:val="22"/>
              </w:rPr>
            </w:pPr>
            <w:r w:rsidRPr="0024463A">
              <w:rPr>
                <w:rFonts w:cs="Arial"/>
                <w:szCs w:val="22"/>
              </w:rPr>
              <w:t>Matzos</w:t>
            </w:r>
          </w:p>
        </w:tc>
        <w:tc>
          <w:tcPr>
            <w:tcW w:w="3973" w:type="dxa"/>
            <w:shd w:val="clear" w:color="auto" w:fill="auto"/>
          </w:tcPr>
          <w:p w:rsidR="0024463A" w:rsidRPr="0024463A" w:rsidRDefault="0024463A" w:rsidP="0024463A">
            <w:pPr>
              <w:rPr>
                <w:rFonts w:cs="Arial"/>
                <w:szCs w:val="22"/>
              </w:rPr>
            </w:pPr>
            <w:r w:rsidRPr="0024463A">
              <w:rPr>
                <w:rFonts w:cs="Arial"/>
                <w:szCs w:val="22"/>
              </w:rPr>
              <w:t>Five cartons</w:t>
            </w:r>
          </w:p>
        </w:tc>
      </w:tr>
      <w:tr w:rsidR="0024463A" w:rsidRPr="0024463A" w:rsidTr="008D49F3">
        <w:tc>
          <w:tcPr>
            <w:tcW w:w="3767" w:type="dxa"/>
            <w:shd w:val="clear" w:color="auto" w:fill="auto"/>
          </w:tcPr>
          <w:p w:rsidR="0024463A" w:rsidRPr="0024463A" w:rsidRDefault="0024463A" w:rsidP="0024463A">
            <w:pPr>
              <w:rPr>
                <w:rFonts w:cs="Arial"/>
                <w:szCs w:val="22"/>
              </w:rPr>
            </w:pPr>
            <w:r w:rsidRPr="0024463A">
              <w:rPr>
                <w:rFonts w:cs="Arial"/>
                <w:szCs w:val="22"/>
              </w:rPr>
              <w:t xml:space="preserve">Soft margarine </w:t>
            </w:r>
          </w:p>
        </w:tc>
        <w:tc>
          <w:tcPr>
            <w:tcW w:w="3973" w:type="dxa"/>
            <w:shd w:val="clear" w:color="auto" w:fill="auto"/>
          </w:tcPr>
          <w:p w:rsidR="0024463A" w:rsidRPr="0024463A" w:rsidRDefault="0024463A" w:rsidP="0024463A">
            <w:pPr>
              <w:rPr>
                <w:rFonts w:cs="Arial"/>
                <w:szCs w:val="22"/>
              </w:rPr>
            </w:pPr>
            <w:r w:rsidRPr="0024463A">
              <w:rPr>
                <w:rFonts w:cs="Arial"/>
                <w:szCs w:val="22"/>
              </w:rPr>
              <w:t>500 grams</w:t>
            </w:r>
          </w:p>
        </w:tc>
      </w:tr>
      <w:tr w:rsidR="0024463A" w:rsidRPr="0024463A" w:rsidTr="008D49F3">
        <w:tc>
          <w:tcPr>
            <w:tcW w:w="3767" w:type="dxa"/>
            <w:shd w:val="clear" w:color="auto" w:fill="auto"/>
          </w:tcPr>
          <w:p w:rsidR="0024463A" w:rsidRPr="0024463A" w:rsidRDefault="0024463A" w:rsidP="0024463A">
            <w:pPr>
              <w:rPr>
                <w:rFonts w:cs="Arial"/>
                <w:szCs w:val="22"/>
              </w:rPr>
            </w:pPr>
            <w:r w:rsidRPr="0024463A">
              <w:rPr>
                <w:rFonts w:cs="Arial"/>
                <w:szCs w:val="22"/>
              </w:rPr>
              <w:t>Soup in a cup</w:t>
            </w:r>
          </w:p>
        </w:tc>
        <w:tc>
          <w:tcPr>
            <w:tcW w:w="3973" w:type="dxa"/>
            <w:shd w:val="clear" w:color="auto" w:fill="auto"/>
          </w:tcPr>
          <w:p w:rsidR="0024463A" w:rsidRPr="0024463A" w:rsidRDefault="0024463A" w:rsidP="0024463A">
            <w:pPr>
              <w:rPr>
                <w:rFonts w:cs="Arial"/>
                <w:szCs w:val="22"/>
              </w:rPr>
            </w:pPr>
            <w:r w:rsidRPr="0024463A">
              <w:rPr>
                <w:rFonts w:cs="Arial"/>
                <w:szCs w:val="22"/>
              </w:rPr>
              <w:t>Eight</w:t>
            </w:r>
          </w:p>
        </w:tc>
      </w:tr>
      <w:tr w:rsidR="0024463A" w:rsidRPr="0024463A" w:rsidTr="008D49F3">
        <w:tc>
          <w:tcPr>
            <w:tcW w:w="3767" w:type="dxa"/>
            <w:shd w:val="clear" w:color="auto" w:fill="auto"/>
          </w:tcPr>
          <w:p w:rsidR="0024463A" w:rsidRPr="0024463A" w:rsidRDefault="0024463A" w:rsidP="0024463A">
            <w:pPr>
              <w:rPr>
                <w:rFonts w:cs="Arial"/>
                <w:szCs w:val="22"/>
              </w:rPr>
            </w:pPr>
            <w:r w:rsidRPr="0024463A">
              <w:rPr>
                <w:rFonts w:cs="Arial"/>
                <w:szCs w:val="22"/>
              </w:rPr>
              <w:t>Cheese portions</w:t>
            </w:r>
          </w:p>
        </w:tc>
        <w:tc>
          <w:tcPr>
            <w:tcW w:w="3973" w:type="dxa"/>
            <w:shd w:val="clear" w:color="auto" w:fill="auto"/>
          </w:tcPr>
          <w:p w:rsidR="0024463A" w:rsidRPr="0024463A" w:rsidRDefault="0024463A" w:rsidP="0024463A">
            <w:pPr>
              <w:rPr>
                <w:rFonts w:cs="Arial"/>
                <w:szCs w:val="22"/>
              </w:rPr>
            </w:pPr>
            <w:r w:rsidRPr="0024463A">
              <w:rPr>
                <w:rFonts w:cs="Arial"/>
                <w:szCs w:val="22"/>
              </w:rPr>
              <w:t>300 grams</w:t>
            </w:r>
          </w:p>
        </w:tc>
      </w:tr>
      <w:tr w:rsidR="0024463A" w:rsidRPr="0024463A" w:rsidTr="008D49F3">
        <w:tc>
          <w:tcPr>
            <w:tcW w:w="3767" w:type="dxa"/>
            <w:shd w:val="clear" w:color="auto" w:fill="auto"/>
          </w:tcPr>
          <w:p w:rsidR="0024463A" w:rsidRPr="0024463A" w:rsidRDefault="0024463A" w:rsidP="0024463A">
            <w:pPr>
              <w:rPr>
                <w:rFonts w:cs="Arial"/>
                <w:szCs w:val="22"/>
              </w:rPr>
            </w:pPr>
            <w:r w:rsidRPr="0024463A">
              <w:rPr>
                <w:rFonts w:cs="Arial"/>
                <w:szCs w:val="22"/>
              </w:rPr>
              <w:t>Jam</w:t>
            </w:r>
          </w:p>
        </w:tc>
        <w:tc>
          <w:tcPr>
            <w:tcW w:w="3973" w:type="dxa"/>
            <w:shd w:val="clear" w:color="auto" w:fill="auto"/>
          </w:tcPr>
          <w:p w:rsidR="0024463A" w:rsidRPr="0024463A" w:rsidRDefault="0024463A" w:rsidP="0024463A">
            <w:pPr>
              <w:rPr>
                <w:rFonts w:cs="Arial"/>
                <w:szCs w:val="22"/>
              </w:rPr>
            </w:pPr>
            <w:r w:rsidRPr="0024463A">
              <w:rPr>
                <w:rFonts w:cs="Arial"/>
                <w:szCs w:val="22"/>
              </w:rPr>
              <w:t>Large jar (250 grams)</w:t>
            </w:r>
          </w:p>
        </w:tc>
      </w:tr>
      <w:tr w:rsidR="0024463A" w:rsidRPr="0024463A" w:rsidTr="008D49F3">
        <w:tc>
          <w:tcPr>
            <w:tcW w:w="3767" w:type="dxa"/>
            <w:shd w:val="clear" w:color="auto" w:fill="auto"/>
          </w:tcPr>
          <w:p w:rsidR="0024463A" w:rsidRPr="0024463A" w:rsidRDefault="0024463A" w:rsidP="0024463A">
            <w:pPr>
              <w:rPr>
                <w:rFonts w:cs="Arial"/>
                <w:szCs w:val="22"/>
              </w:rPr>
            </w:pPr>
            <w:r w:rsidRPr="0024463A">
              <w:rPr>
                <w:rFonts w:cs="Arial"/>
                <w:szCs w:val="22"/>
              </w:rPr>
              <w:t>Fresh fruit</w:t>
            </w:r>
          </w:p>
        </w:tc>
        <w:tc>
          <w:tcPr>
            <w:tcW w:w="3973" w:type="dxa"/>
            <w:shd w:val="clear" w:color="auto" w:fill="auto"/>
          </w:tcPr>
          <w:p w:rsidR="0024463A" w:rsidRPr="0024463A" w:rsidRDefault="0024463A" w:rsidP="0024463A">
            <w:pPr>
              <w:rPr>
                <w:rFonts w:cs="Arial"/>
                <w:szCs w:val="22"/>
              </w:rPr>
            </w:pPr>
            <w:r w:rsidRPr="0024463A">
              <w:rPr>
                <w:rFonts w:cs="Arial"/>
                <w:szCs w:val="22"/>
              </w:rPr>
              <w:t>Two</w:t>
            </w:r>
          </w:p>
        </w:tc>
      </w:tr>
      <w:tr w:rsidR="0024463A" w:rsidRPr="0024463A" w:rsidTr="008D49F3">
        <w:tc>
          <w:tcPr>
            <w:tcW w:w="3767" w:type="dxa"/>
            <w:shd w:val="clear" w:color="auto" w:fill="auto"/>
          </w:tcPr>
          <w:p w:rsidR="0024463A" w:rsidRPr="0024463A" w:rsidRDefault="0024463A" w:rsidP="0024463A">
            <w:pPr>
              <w:rPr>
                <w:rFonts w:cs="Arial"/>
                <w:szCs w:val="22"/>
              </w:rPr>
            </w:pPr>
            <w:r w:rsidRPr="0024463A">
              <w:rPr>
                <w:rFonts w:cs="Arial"/>
                <w:szCs w:val="22"/>
              </w:rPr>
              <w:t xml:space="preserve">Tea, coffee, sugar </w:t>
            </w:r>
          </w:p>
        </w:tc>
        <w:tc>
          <w:tcPr>
            <w:tcW w:w="3973" w:type="dxa"/>
            <w:shd w:val="clear" w:color="auto" w:fill="auto"/>
          </w:tcPr>
          <w:p w:rsidR="0024463A" w:rsidRPr="0024463A" w:rsidRDefault="0024463A" w:rsidP="0024463A">
            <w:pPr>
              <w:rPr>
                <w:rFonts w:cs="Arial"/>
                <w:szCs w:val="22"/>
              </w:rPr>
            </w:pPr>
          </w:p>
        </w:tc>
      </w:tr>
      <w:tr w:rsidR="0024463A" w:rsidRPr="0024463A" w:rsidTr="008D49F3">
        <w:tc>
          <w:tcPr>
            <w:tcW w:w="7740" w:type="dxa"/>
            <w:gridSpan w:val="2"/>
            <w:shd w:val="clear" w:color="auto" w:fill="auto"/>
          </w:tcPr>
          <w:p w:rsidR="0024463A" w:rsidRPr="0024463A" w:rsidRDefault="0024463A" w:rsidP="0024463A">
            <w:pPr>
              <w:rPr>
                <w:rFonts w:cs="Arial"/>
                <w:szCs w:val="22"/>
              </w:rPr>
            </w:pPr>
            <w:r w:rsidRPr="0024463A">
              <w:rPr>
                <w:rFonts w:cs="Arial"/>
                <w:szCs w:val="22"/>
              </w:rPr>
              <w:t>Eggs, fresh fruit and salad must be provided daily by the prison kitchen</w:t>
            </w:r>
          </w:p>
        </w:tc>
      </w:tr>
      <w:tr w:rsidR="0024463A" w:rsidRPr="0024463A" w:rsidTr="008D49F3">
        <w:tc>
          <w:tcPr>
            <w:tcW w:w="7740" w:type="dxa"/>
            <w:gridSpan w:val="2"/>
            <w:shd w:val="clear" w:color="auto" w:fill="auto"/>
          </w:tcPr>
          <w:p w:rsidR="0024463A" w:rsidRPr="0024463A" w:rsidRDefault="0024463A" w:rsidP="0024463A">
            <w:pPr>
              <w:rPr>
                <w:rFonts w:cs="Arial"/>
                <w:szCs w:val="22"/>
              </w:rPr>
            </w:pPr>
            <w:r w:rsidRPr="0024463A">
              <w:rPr>
                <w:rFonts w:cs="Arial"/>
                <w:szCs w:val="22"/>
              </w:rPr>
              <w:t>Items for the Seder ceremony as advised by the Jewish Chaplain</w:t>
            </w:r>
          </w:p>
        </w:tc>
      </w:tr>
    </w:tbl>
    <w:p w:rsidR="0024463A" w:rsidRPr="0024463A" w:rsidRDefault="0024463A" w:rsidP="0024463A">
      <w:pPr>
        <w:rPr>
          <w:rFonts w:cs="Arial"/>
          <w:szCs w:val="22"/>
        </w:rPr>
      </w:pPr>
    </w:p>
    <w:p w:rsidR="0024463A" w:rsidRPr="0024463A" w:rsidRDefault="0024463A" w:rsidP="0024463A">
      <w:pPr>
        <w:rPr>
          <w:rFonts w:cs="Arial"/>
          <w:b/>
          <w:szCs w:val="22"/>
        </w:rPr>
      </w:pPr>
    </w:p>
    <w:p w:rsidR="00A21268" w:rsidRPr="00A21268" w:rsidRDefault="00D0746C" w:rsidP="00A21268">
      <w:pPr>
        <w:rPr>
          <w:rFonts w:cs="Arial"/>
          <w:szCs w:val="22"/>
        </w:rPr>
      </w:pPr>
      <w:r>
        <w:rPr>
          <w:rFonts w:cs="Arial"/>
          <w:szCs w:val="22"/>
        </w:rPr>
        <w:t>However, th</w:t>
      </w:r>
      <w:r w:rsidR="005C346A" w:rsidRPr="005C346A">
        <w:rPr>
          <w:rFonts w:cs="Arial"/>
          <w:szCs w:val="22"/>
        </w:rPr>
        <w:t>e</w:t>
      </w:r>
      <w:r w:rsidR="004D0E21">
        <w:rPr>
          <w:rFonts w:cs="Arial"/>
          <w:szCs w:val="22"/>
        </w:rPr>
        <w:t xml:space="preserve"> court proceedings</w:t>
      </w:r>
      <w:r w:rsidR="005C346A" w:rsidRPr="005C346A">
        <w:rPr>
          <w:rFonts w:cs="Arial"/>
          <w:szCs w:val="22"/>
        </w:rPr>
        <w:t xml:space="preserve"> information</w:t>
      </w:r>
      <w:r w:rsidR="00A21268">
        <w:rPr>
          <w:rFonts w:cs="Arial"/>
          <w:szCs w:val="22"/>
        </w:rPr>
        <w:t xml:space="preserve"> which covers 2016</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The information you have requested is a subset of the Criminal Justice Statistics data held in its final form which we routinely publish. It is intended for publication in May 2017.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4D0E21">
        <w:rPr>
          <w:rFonts w:cs="Arial"/>
          <w:szCs w:val="22"/>
        </w:rPr>
        <w:t>findings of guilt</w:t>
      </w:r>
      <w:r w:rsidRPr="00A21268">
        <w:rPr>
          <w:rFonts w:cs="Arial"/>
          <w:szCs w:val="22"/>
        </w:rPr>
        <w:t xml:space="preserve"> for offences </w:t>
      </w:r>
      <w:r w:rsidR="004D0E21">
        <w:rPr>
          <w:rFonts w:cs="Arial"/>
          <w:szCs w:val="22"/>
        </w:rPr>
        <w:t>involving indecent images</w:t>
      </w:r>
      <w:r w:rsidRPr="00A21268">
        <w:rPr>
          <w:rFonts w:cs="Arial"/>
          <w:szCs w:val="22"/>
        </w:rPr>
        <w:t>,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w:t>
      </w:r>
      <w:r w:rsidR="0024463A">
        <w:rPr>
          <w:rFonts w:cs="Arial"/>
          <w:szCs w:val="22"/>
        </w:rPr>
        <w:t xml:space="preserve"> court proceedings</w:t>
      </w:r>
      <w:r>
        <w:rPr>
          <w:rFonts w:cs="Arial"/>
          <w:szCs w:val="22"/>
        </w:rPr>
        <w:t xml:space="preserve"> information for 2016</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sidR="005F5CAF">
        <w:rPr>
          <w:rFonts w:cs="Arial"/>
          <w:szCs w:val="22"/>
        </w:rPr>
        <w:t>September</w:t>
      </w:r>
      <w:r w:rsidR="005F5CAF" w:rsidRPr="007B4514">
        <w:rPr>
          <w:rFonts w:cs="Arial"/>
          <w:szCs w:val="22"/>
        </w:rPr>
        <w:t xml:space="preserve"> </w:t>
      </w:r>
      <w:r w:rsidR="007B4514" w:rsidRPr="007B4514">
        <w:rPr>
          <w:rFonts w:cs="Arial"/>
          <w:szCs w:val="22"/>
        </w:rPr>
        <w:t xml:space="preserve">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w:t>
      </w:r>
      <w:r w:rsidR="00417132">
        <w:rPr>
          <w:rFonts w:cs="Arial"/>
          <w:szCs w:val="22"/>
        </w:rPr>
        <w:t>q</w:t>
      </w:r>
      <w:r w:rsidR="007B4514" w:rsidRPr="007B4514">
        <w:rPr>
          <w:rFonts w:cs="Arial"/>
          <w:szCs w:val="22"/>
        </w:rPr>
        <w:t xml:space="preserve">uarters 1 </w:t>
      </w:r>
      <w:r w:rsidR="0024463A">
        <w:rPr>
          <w:rFonts w:cs="Arial"/>
          <w:szCs w:val="22"/>
        </w:rPr>
        <w:t>to 3</w:t>
      </w:r>
      <w:r w:rsidR="007B4514" w:rsidRPr="007B4514">
        <w:rPr>
          <w:rFonts w:cs="Arial"/>
          <w:szCs w:val="22"/>
        </w:rPr>
        <w:t xml:space="preserve"> (January to </w:t>
      </w:r>
      <w:r w:rsidR="0024463A">
        <w:rPr>
          <w:rFonts w:cs="Arial"/>
          <w:szCs w:val="22"/>
        </w:rPr>
        <w:t>September</w:t>
      </w:r>
      <w:r w:rsidR="007B4514" w:rsidRPr="007B4514">
        <w:rPr>
          <w:rFonts w:cs="Arial"/>
          <w:szCs w:val="22"/>
        </w:rPr>
        <w:t>) data are not available until the annual criminal statistics publication is published</w:t>
      </w:r>
      <w:r w:rsidR="007B4514">
        <w:rPr>
          <w:rFonts w:cs="Arial"/>
          <w:szCs w:val="22"/>
        </w:rPr>
        <w:t xml:space="preserve"> in May 2017.</w:t>
      </w:r>
    </w:p>
    <w:p w:rsidR="00ED65DE" w:rsidRPr="00ED65DE" w:rsidRDefault="00ED65DE" w:rsidP="00ED65DE">
      <w:pPr>
        <w:rPr>
          <w:rFonts w:cs="Arial"/>
          <w:szCs w:val="22"/>
        </w:rPr>
      </w:pPr>
    </w:p>
    <w:sectPr w:rsidR="00ED65DE" w:rsidRPr="00ED65DE"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84D" w:rsidRDefault="0014384D">
      <w:r>
        <w:separator/>
      </w:r>
    </w:p>
  </w:endnote>
  <w:endnote w:type="continuationSeparator" w:id="0">
    <w:p w:rsidR="0014384D" w:rsidRDefault="0014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B2FB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84D" w:rsidRDefault="0014384D">
      <w:r>
        <w:separator/>
      </w:r>
    </w:p>
  </w:footnote>
  <w:footnote w:type="continuationSeparator" w:id="0">
    <w:p w:rsidR="0014384D" w:rsidRDefault="00143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B7C87"/>
    <w:multiLevelType w:val="hybridMultilevel"/>
    <w:tmpl w:val="2006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00E9F"/>
    <w:multiLevelType w:val="hybridMultilevel"/>
    <w:tmpl w:val="4EFA32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46701"/>
    <w:multiLevelType w:val="hybridMultilevel"/>
    <w:tmpl w:val="73308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8457A"/>
    <w:rsid w:val="0009138F"/>
    <w:rsid w:val="0009754B"/>
    <w:rsid w:val="000A22A5"/>
    <w:rsid w:val="000A3195"/>
    <w:rsid w:val="000B2FBB"/>
    <w:rsid w:val="000F1119"/>
    <w:rsid w:val="00106DEE"/>
    <w:rsid w:val="00134A2E"/>
    <w:rsid w:val="0014384D"/>
    <w:rsid w:val="00146154"/>
    <w:rsid w:val="00152F0C"/>
    <w:rsid w:val="00153E76"/>
    <w:rsid w:val="00154D2E"/>
    <w:rsid w:val="0017541D"/>
    <w:rsid w:val="001A3A7E"/>
    <w:rsid w:val="001A47E5"/>
    <w:rsid w:val="001A4EE1"/>
    <w:rsid w:val="001B6FB2"/>
    <w:rsid w:val="001C54E1"/>
    <w:rsid w:val="001C779E"/>
    <w:rsid w:val="001D3D91"/>
    <w:rsid w:val="001E0568"/>
    <w:rsid w:val="001E1665"/>
    <w:rsid w:val="001F33F4"/>
    <w:rsid w:val="002236C2"/>
    <w:rsid w:val="0024463A"/>
    <w:rsid w:val="00255FC6"/>
    <w:rsid w:val="00273E23"/>
    <w:rsid w:val="00285A9C"/>
    <w:rsid w:val="002B0ECE"/>
    <w:rsid w:val="002C5025"/>
    <w:rsid w:val="002D5314"/>
    <w:rsid w:val="002E39E4"/>
    <w:rsid w:val="002F0A4A"/>
    <w:rsid w:val="002F24C7"/>
    <w:rsid w:val="002F50F6"/>
    <w:rsid w:val="002F6553"/>
    <w:rsid w:val="003011BD"/>
    <w:rsid w:val="00303661"/>
    <w:rsid w:val="0030433E"/>
    <w:rsid w:val="0031213B"/>
    <w:rsid w:val="00323067"/>
    <w:rsid w:val="003366B3"/>
    <w:rsid w:val="00375DDC"/>
    <w:rsid w:val="00376A97"/>
    <w:rsid w:val="00377D6F"/>
    <w:rsid w:val="0038642F"/>
    <w:rsid w:val="00390A7D"/>
    <w:rsid w:val="003A633E"/>
    <w:rsid w:val="003B13CA"/>
    <w:rsid w:val="003E2480"/>
    <w:rsid w:val="003E3E27"/>
    <w:rsid w:val="00401CAB"/>
    <w:rsid w:val="00417132"/>
    <w:rsid w:val="004269FC"/>
    <w:rsid w:val="00433C2E"/>
    <w:rsid w:val="00435D53"/>
    <w:rsid w:val="00444869"/>
    <w:rsid w:val="00445AB5"/>
    <w:rsid w:val="00453104"/>
    <w:rsid w:val="00457840"/>
    <w:rsid w:val="00471E48"/>
    <w:rsid w:val="0048558F"/>
    <w:rsid w:val="004901C0"/>
    <w:rsid w:val="00496E7B"/>
    <w:rsid w:val="004D0E21"/>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A196C"/>
    <w:rsid w:val="005A1FB5"/>
    <w:rsid w:val="005B1E5F"/>
    <w:rsid w:val="005B28FC"/>
    <w:rsid w:val="005C1749"/>
    <w:rsid w:val="005C346A"/>
    <w:rsid w:val="005D21E1"/>
    <w:rsid w:val="005E17C7"/>
    <w:rsid w:val="005F5CAF"/>
    <w:rsid w:val="005F6FE9"/>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6628"/>
    <w:rsid w:val="006C72DE"/>
    <w:rsid w:val="006E32CA"/>
    <w:rsid w:val="006F32D9"/>
    <w:rsid w:val="006F41B2"/>
    <w:rsid w:val="0074259E"/>
    <w:rsid w:val="0075513B"/>
    <w:rsid w:val="007807FF"/>
    <w:rsid w:val="007A3DF8"/>
    <w:rsid w:val="007B4514"/>
    <w:rsid w:val="007B7C57"/>
    <w:rsid w:val="007C5F7B"/>
    <w:rsid w:val="007C771A"/>
    <w:rsid w:val="007D4371"/>
    <w:rsid w:val="007D4761"/>
    <w:rsid w:val="007D5ED2"/>
    <w:rsid w:val="007F4AEE"/>
    <w:rsid w:val="007F6D3C"/>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49F3"/>
    <w:rsid w:val="008D564C"/>
    <w:rsid w:val="00917EC7"/>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76AFC"/>
    <w:rsid w:val="00A809DF"/>
    <w:rsid w:val="00AA51E8"/>
    <w:rsid w:val="00AD7505"/>
    <w:rsid w:val="00AE7402"/>
    <w:rsid w:val="00AF2FD9"/>
    <w:rsid w:val="00B01B28"/>
    <w:rsid w:val="00B234C9"/>
    <w:rsid w:val="00B47082"/>
    <w:rsid w:val="00B77718"/>
    <w:rsid w:val="00B8050D"/>
    <w:rsid w:val="00B81EF9"/>
    <w:rsid w:val="00B9009F"/>
    <w:rsid w:val="00B95043"/>
    <w:rsid w:val="00BB4B4B"/>
    <w:rsid w:val="00C016D5"/>
    <w:rsid w:val="00C05930"/>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0746C"/>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A1E9A"/>
    <w:rsid w:val="00EB050F"/>
    <w:rsid w:val="00EB72DE"/>
    <w:rsid w:val="00EC656E"/>
    <w:rsid w:val="00ED3B30"/>
    <w:rsid w:val="00ED65DE"/>
    <w:rsid w:val="00ED782D"/>
    <w:rsid w:val="00EE2AA6"/>
    <w:rsid w:val="00F012C4"/>
    <w:rsid w:val="00F0305A"/>
    <w:rsid w:val="00F24423"/>
    <w:rsid w:val="00F61AFC"/>
    <w:rsid w:val="00F74765"/>
    <w:rsid w:val="00F779B2"/>
    <w:rsid w:val="00F81AD5"/>
    <w:rsid w:val="00F82DB8"/>
    <w:rsid w:val="00F92115"/>
    <w:rsid w:val="00FB0124"/>
    <w:rsid w:val="00FB2D55"/>
    <w:rsid w:val="00FB3ED1"/>
    <w:rsid w:val="00FC5E0E"/>
    <w:rsid w:val="00FD6D06"/>
    <w:rsid w:val="00FE0700"/>
    <w:rsid w:val="00FE6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0B1D38A-EDE5-4563-BB16-3BD8E43D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0305A"/>
    <w:rPr>
      <w:sz w:val="16"/>
      <w:szCs w:val="16"/>
    </w:rPr>
  </w:style>
  <w:style w:type="paragraph" w:styleId="CommentSubject">
    <w:name w:val="annotation subject"/>
    <w:basedOn w:val="CommentText"/>
    <w:next w:val="CommentText"/>
    <w:rsid w:val="00F0305A"/>
    <w:rPr>
      <w:b/>
      <w:bCs/>
      <w:sz w:val="20"/>
    </w:rPr>
  </w:style>
  <w:style w:type="character" w:customStyle="1" w:styleId="CommentTextChar">
    <w:name w:val="Comment Text Char"/>
    <w:link w:val="CommentText"/>
    <w:semiHidden/>
    <w:rsid w:val="00F0305A"/>
    <w:rPr>
      <w:rFonts w:ascii="Arial" w:hAnsi="Arial"/>
      <w:sz w:val="22"/>
    </w:rPr>
  </w:style>
  <w:style w:type="character" w:customStyle="1" w:styleId="CommentSubjectChar">
    <w:name w:val="Comment Subject Char"/>
    <w:basedOn w:val="CommentTextChar"/>
    <w:link w:val="CommentSubject"/>
    <w:rsid w:val="00F0305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CF5FA-61F2-495C-899C-51C42487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FOI 110069 Possession of Indecent Images of Children</vt:lpstr>
    </vt:vector>
  </TitlesOfParts>
  <Manager/>
  <Company>Ministry of Justice</Company>
  <LinksUpToDate>false</LinksUpToDate>
  <CharactersWithSpaces>5074</CharactersWithSpaces>
  <SharedDoc>false</SharedDoc>
  <HLinks>
    <vt:vector size="12" baseType="variant">
      <vt:variant>
        <vt:i4>5636139</vt:i4>
      </vt:variant>
      <vt:variant>
        <vt:i4>3</vt:i4>
      </vt:variant>
      <vt:variant>
        <vt:i4>0</vt:i4>
      </vt:variant>
      <vt:variant>
        <vt:i4>5</vt:i4>
      </vt:variant>
      <vt:variant>
        <vt:lpwstr>mailto:data.access@justice.gsi.gov.uk</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110069 Possession of Indecent Images of Children</dc:title>
  <dc:subject>FOI Release</dc:subject>
  <dc:creator>MoJ</dc:creator>
  <cp:keywords/>
  <dc:description/>
  <cp:lastModifiedBy>Cox, Allan</cp:lastModifiedBy>
  <cp:revision>2</cp:revision>
  <cp:lastPrinted>2015-07-06T10:35:00Z</cp:lastPrinted>
  <dcterms:created xsi:type="dcterms:W3CDTF">2017-04-04T16:12:00Z</dcterms:created>
  <dcterms:modified xsi:type="dcterms:W3CDTF">2017-04-04T16:12:00Z</dcterms:modified>
  <cp:category/>
</cp:coreProperties>
</file>