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06" w:rsidRPr="006C7549" w:rsidRDefault="006C7549" w:rsidP="005E5806">
      <w:pPr>
        <w:pStyle w:val="NoSpacing"/>
        <w:rPr>
          <w:b/>
          <w:u w:val="single"/>
        </w:rPr>
      </w:pPr>
      <w:r w:rsidRPr="006C7549">
        <w:rPr>
          <w:b/>
          <w:u w:val="single"/>
        </w:rPr>
        <w:t>Assessing V</w:t>
      </w:r>
      <w:r w:rsidR="005E5806" w:rsidRPr="006C7549">
        <w:rPr>
          <w:b/>
          <w:u w:val="single"/>
        </w:rPr>
        <w:t xml:space="preserve">alue for </w:t>
      </w:r>
      <w:r w:rsidRPr="006C7549">
        <w:rPr>
          <w:b/>
          <w:u w:val="single"/>
        </w:rPr>
        <w:t>M</w:t>
      </w:r>
      <w:r w:rsidR="005E5806" w:rsidRPr="006C7549">
        <w:rPr>
          <w:b/>
          <w:u w:val="single"/>
        </w:rPr>
        <w:t>oney:  FCO projects</w:t>
      </w:r>
    </w:p>
    <w:p w:rsidR="005E5806" w:rsidRDefault="005E5806" w:rsidP="005E5806">
      <w:pPr>
        <w:pStyle w:val="NoSpacing"/>
      </w:pPr>
      <w:r>
        <w:t>The National Audit Office uses three criteria to assess value for money</w:t>
      </w:r>
      <w:r w:rsidR="00F626E2">
        <w:t xml:space="preserve"> in government spending</w:t>
      </w:r>
      <w:r w:rsidR="0018663D">
        <w:t>:</w:t>
      </w:r>
    </w:p>
    <w:p w:rsidR="0018663D" w:rsidRDefault="0018663D" w:rsidP="005E5806">
      <w:pPr>
        <w:pStyle w:val="NoSpacing"/>
      </w:pPr>
    </w:p>
    <w:p w:rsidR="006C7549" w:rsidRDefault="0018663D" w:rsidP="005E5806">
      <w:pPr>
        <w:pStyle w:val="NoSpacing"/>
        <w:numPr>
          <w:ilvl w:val="0"/>
          <w:numId w:val="1"/>
        </w:numPr>
      </w:pPr>
      <w:r w:rsidRPr="006C7549">
        <w:rPr>
          <w:b/>
        </w:rPr>
        <w:t>Economy</w:t>
      </w:r>
      <w:r>
        <w:t xml:space="preserve">:  </w:t>
      </w:r>
      <w:r w:rsidR="00F626E2">
        <w:t>Spending less;</w:t>
      </w:r>
    </w:p>
    <w:p w:rsidR="006C7549" w:rsidRDefault="0018663D" w:rsidP="005E5806">
      <w:pPr>
        <w:pStyle w:val="NoSpacing"/>
        <w:numPr>
          <w:ilvl w:val="0"/>
          <w:numId w:val="1"/>
        </w:numPr>
      </w:pPr>
      <w:r w:rsidRPr="006C7549">
        <w:rPr>
          <w:b/>
        </w:rPr>
        <w:t>Efficiency</w:t>
      </w:r>
      <w:r>
        <w:t xml:space="preserve">:  </w:t>
      </w:r>
      <w:r w:rsidR="00F626E2">
        <w:t>G</w:t>
      </w:r>
      <w:r>
        <w:t xml:space="preserve">etting the </w:t>
      </w:r>
      <w:r w:rsidR="00F626E2">
        <w:t>best product for the best price;</w:t>
      </w:r>
    </w:p>
    <w:p w:rsidR="0018663D" w:rsidRDefault="0018663D" w:rsidP="005E5806">
      <w:pPr>
        <w:pStyle w:val="NoSpacing"/>
        <w:numPr>
          <w:ilvl w:val="0"/>
          <w:numId w:val="1"/>
        </w:numPr>
      </w:pPr>
      <w:r w:rsidRPr="006C7549">
        <w:rPr>
          <w:b/>
        </w:rPr>
        <w:t>Effectiveness</w:t>
      </w:r>
      <w:r>
        <w:t xml:space="preserve">:  </w:t>
      </w:r>
      <w:r w:rsidR="00F626E2">
        <w:t>Achieving our objectives</w:t>
      </w:r>
      <w:r>
        <w:t>.</w:t>
      </w:r>
    </w:p>
    <w:p w:rsidR="006C7549" w:rsidRDefault="006C7549" w:rsidP="006C7549">
      <w:pPr>
        <w:pStyle w:val="NoSpacing"/>
        <w:rPr>
          <w:b/>
        </w:rPr>
      </w:pPr>
    </w:p>
    <w:p w:rsidR="00572B93" w:rsidRDefault="00572B93" w:rsidP="006C7549">
      <w:pPr>
        <w:pStyle w:val="NoSpacing"/>
      </w:pPr>
      <w:r>
        <w:t>We should consider these criteria throughout the project cycle.  It is particularly important to assess projects against these criteria at the appraisal stage</w:t>
      </w:r>
      <w:r w:rsidR="006C7549">
        <w:t xml:space="preserve">.  </w:t>
      </w:r>
    </w:p>
    <w:p w:rsidR="00572B93" w:rsidRDefault="00572B93" w:rsidP="006C7549">
      <w:pPr>
        <w:pStyle w:val="NoSpacing"/>
      </w:pPr>
    </w:p>
    <w:p w:rsidR="006C7549" w:rsidRDefault="006C7549" w:rsidP="006C7549">
      <w:pPr>
        <w:pStyle w:val="NoSpacing"/>
      </w:pPr>
      <w:r>
        <w:t xml:space="preserve">The diversity of the operating environments we work in means that value for money will look very different from post to post.  </w:t>
      </w:r>
      <w:r w:rsidR="00572B93">
        <w:t>The</w:t>
      </w:r>
      <w:r w:rsidR="000E6416">
        <w:t xml:space="preserve"> degree to which we challenge VFM will depend on the scale of the project</w:t>
      </w:r>
      <w:r w:rsidR="00F626E2">
        <w:t xml:space="preserve">.  </w:t>
      </w:r>
      <w:r>
        <w:t>This guidance sets out some of the questions to ask when considering value for money.</w:t>
      </w:r>
    </w:p>
    <w:p w:rsidR="006C7549" w:rsidRDefault="006C7549" w:rsidP="006C7549">
      <w:pPr>
        <w:pStyle w:val="NoSpacing"/>
      </w:pPr>
    </w:p>
    <w:p w:rsidR="006C7549" w:rsidRPr="006C7549" w:rsidRDefault="006C7549" w:rsidP="006C7549">
      <w:pPr>
        <w:pStyle w:val="NoSpacing"/>
        <w:rPr>
          <w:b/>
          <w:u w:val="single"/>
        </w:rPr>
      </w:pPr>
      <w:r w:rsidRPr="006C7549">
        <w:rPr>
          <w:b/>
          <w:u w:val="single"/>
        </w:rPr>
        <w:t>Economy</w:t>
      </w:r>
    </w:p>
    <w:p w:rsidR="006C7549" w:rsidRDefault="001F1485" w:rsidP="006C7549">
      <w:pPr>
        <w:pStyle w:val="NoSpacing"/>
      </w:pPr>
      <w:r>
        <w:t xml:space="preserve">This is about satisfying ourselves that costs have been reduced as far as possible.  </w:t>
      </w:r>
      <w:r w:rsidR="00F626E2">
        <w:t>Questions to ask include:</w:t>
      </w:r>
    </w:p>
    <w:p w:rsidR="00F626E2" w:rsidRDefault="00F626E2" w:rsidP="00F626E2">
      <w:pPr>
        <w:pStyle w:val="NoSpacing"/>
        <w:numPr>
          <w:ilvl w:val="0"/>
          <w:numId w:val="2"/>
        </w:numPr>
      </w:pPr>
      <w:r>
        <w:t xml:space="preserve">Is the activity based budget detailed enough to allow robust challenge of </w:t>
      </w:r>
      <w:r w:rsidR="00572B93">
        <w:t>individual</w:t>
      </w:r>
      <w:r>
        <w:t xml:space="preserve"> costs?</w:t>
      </w:r>
      <w:r w:rsidR="00572B93">
        <w:t xml:space="preserve">  (see attached examples of activity based budgets);</w:t>
      </w:r>
    </w:p>
    <w:p w:rsidR="00F626E2" w:rsidRDefault="00F626E2" w:rsidP="00F626E2">
      <w:pPr>
        <w:pStyle w:val="NoSpacing"/>
        <w:numPr>
          <w:ilvl w:val="0"/>
          <w:numId w:val="2"/>
        </w:numPr>
      </w:pPr>
      <w:r>
        <w:t>Does the project make the most of assets available to the FCO for little or no cost?  (</w:t>
      </w:r>
      <w:proofErr w:type="spellStart"/>
      <w:r>
        <w:t>eg</w:t>
      </w:r>
      <w:proofErr w:type="spellEnd"/>
      <w:r>
        <w:t xml:space="preserve"> using Residences for events rather than hiring premises);</w:t>
      </w:r>
    </w:p>
    <w:p w:rsidR="00F626E2" w:rsidRDefault="00F626E2" w:rsidP="00F626E2">
      <w:pPr>
        <w:pStyle w:val="NoSpacing"/>
        <w:numPr>
          <w:ilvl w:val="0"/>
          <w:numId w:val="2"/>
        </w:numPr>
      </w:pPr>
      <w:r>
        <w:t>Are individual costs competitive in the local market?</w:t>
      </w:r>
    </w:p>
    <w:p w:rsidR="004718BF" w:rsidRDefault="004718BF" w:rsidP="00F626E2">
      <w:pPr>
        <w:pStyle w:val="NoSpacing"/>
        <w:numPr>
          <w:ilvl w:val="0"/>
          <w:numId w:val="2"/>
        </w:numPr>
      </w:pPr>
      <w:r>
        <w:t xml:space="preserve">How do costs compare to previous projects or what we pay other providers?  Can we obtain data points from other Embassies </w:t>
      </w:r>
    </w:p>
    <w:p w:rsidR="00F626E2" w:rsidRDefault="00F626E2" w:rsidP="00F626E2">
      <w:pPr>
        <w:pStyle w:val="NoSpacing"/>
        <w:numPr>
          <w:ilvl w:val="0"/>
          <w:numId w:val="2"/>
        </w:numPr>
      </w:pPr>
      <w:r>
        <w:t>Are day/hourly rates for project staff reasonable?</w:t>
      </w:r>
    </w:p>
    <w:p w:rsidR="00F626E2" w:rsidRDefault="00F626E2" w:rsidP="00F626E2">
      <w:pPr>
        <w:pStyle w:val="NoSpacing"/>
        <w:numPr>
          <w:ilvl w:val="0"/>
          <w:numId w:val="2"/>
        </w:numPr>
      </w:pPr>
      <w:r>
        <w:t>Are we using the most economical travel and accommodation options?  (</w:t>
      </w:r>
      <w:r w:rsidR="00572B93">
        <w:t>we should not fund a higher class of travel or standard of accommodation than we would provide for FCO staff</w:t>
      </w:r>
      <w:r>
        <w:t>);</w:t>
      </w:r>
    </w:p>
    <w:p w:rsidR="00923E55" w:rsidRDefault="00923E55" w:rsidP="00F626E2">
      <w:pPr>
        <w:pStyle w:val="NoSpacing"/>
        <w:numPr>
          <w:ilvl w:val="0"/>
          <w:numId w:val="2"/>
        </w:numPr>
      </w:pPr>
      <w:r>
        <w:t>Have administration costs been kept to a minimum (maximum 10% of budget)?</w:t>
      </w:r>
    </w:p>
    <w:p w:rsidR="00923E55" w:rsidRDefault="00923E55" w:rsidP="00F626E2">
      <w:pPr>
        <w:pStyle w:val="NoSpacing"/>
        <w:numPr>
          <w:ilvl w:val="0"/>
          <w:numId w:val="2"/>
        </w:numPr>
      </w:pPr>
      <w:r>
        <w:t>Have we eliminated any contingency costs from the budget?</w:t>
      </w:r>
    </w:p>
    <w:p w:rsidR="00F626E2" w:rsidRDefault="00F626E2" w:rsidP="00F626E2">
      <w:pPr>
        <w:pStyle w:val="NoSpacing"/>
      </w:pPr>
    </w:p>
    <w:p w:rsidR="00F626E2" w:rsidRPr="00F626E2" w:rsidRDefault="00F626E2" w:rsidP="00F626E2">
      <w:pPr>
        <w:pStyle w:val="NoSpacing"/>
        <w:rPr>
          <w:b/>
          <w:u w:val="single"/>
        </w:rPr>
      </w:pPr>
      <w:r w:rsidRPr="00F626E2">
        <w:rPr>
          <w:b/>
          <w:u w:val="single"/>
        </w:rPr>
        <w:t>Efficiency</w:t>
      </w:r>
    </w:p>
    <w:p w:rsidR="00F626E2" w:rsidRDefault="001F1485" w:rsidP="00F626E2">
      <w:pPr>
        <w:pStyle w:val="NoSpacing"/>
      </w:pPr>
      <w:r>
        <w:t>This is about</w:t>
      </w:r>
      <w:r w:rsidR="00F626E2">
        <w:t xml:space="preserve"> getting the best value out of the resources we spend.  Questions to ask include:</w:t>
      </w:r>
    </w:p>
    <w:p w:rsidR="001F1485" w:rsidRDefault="001F1485" w:rsidP="00F626E2">
      <w:pPr>
        <w:pStyle w:val="NoSpacing"/>
        <w:numPr>
          <w:ilvl w:val="0"/>
          <w:numId w:val="3"/>
        </w:numPr>
      </w:pPr>
      <w:r>
        <w:t>Thinking about the deliverables that will remain after the project, does the overall cost seem reasonable?  Could we justify it to ministers or tax payers?</w:t>
      </w:r>
    </w:p>
    <w:p w:rsidR="00923E55" w:rsidRDefault="00923E55" w:rsidP="00923E55">
      <w:pPr>
        <w:pStyle w:val="NoSpacing"/>
        <w:numPr>
          <w:ilvl w:val="0"/>
          <w:numId w:val="3"/>
        </w:numPr>
      </w:pPr>
      <w:r>
        <w:t>Are all the activities or costs necessary?  (Have we excluded all the “nice to have” elements?)</w:t>
      </w:r>
    </w:p>
    <w:p w:rsidR="00923E55" w:rsidRDefault="00923E55" w:rsidP="00923E55">
      <w:pPr>
        <w:pStyle w:val="NoSpacing"/>
        <w:numPr>
          <w:ilvl w:val="0"/>
          <w:numId w:val="3"/>
        </w:numPr>
      </w:pPr>
      <w:r>
        <w:t>Has the project been identified via a competitive process in line with procurement rules?</w:t>
      </w:r>
    </w:p>
    <w:p w:rsidR="00923E55" w:rsidRDefault="00923E55" w:rsidP="00923E55">
      <w:pPr>
        <w:pStyle w:val="NoSpacing"/>
        <w:numPr>
          <w:ilvl w:val="0"/>
          <w:numId w:val="3"/>
        </w:numPr>
      </w:pPr>
      <w:r>
        <w:t>Have we conducted appropriate due diligence on the project implementer?  Do they have the capacity to deliver?</w:t>
      </w:r>
    </w:p>
    <w:p w:rsidR="00923E55" w:rsidRDefault="00923E55" w:rsidP="00923E55">
      <w:pPr>
        <w:pStyle w:val="NoSpacing"/>
        <w:numPr>
          <w:ilvl w:val="0"/>
          <w:numId w:val="3"/>
        </w:numPr>
      </w:pPr>
      <w:r>
        <w:t>Could we deliver the same outputs at a lower cost?</w:t>
      </w:r>
    </w:p>
    <w:p w:rsidR="00572B93" w:rsidRDefault="00572B93" w:rsidP="00923E55">
      <w:pPr>
        <w:pStyle w:val="NoSpacing"/>
        <w:numPr>
          <w:ilvl w:val="0"/>
          <w:numId w:val="3"/>
        </w:numPr>
      </w:pPr>
      <w:r>
        <w:t>Does the implementer have robust procurement processes in place for any subcontracting?</w:t>
      </w:r>
    </w:p>
    <w:p w:rsidR="001F1485" w:rsidRDefault="001F1485" w:rsidP="001F1485">
      <w:pPr>
        <w:pStyle w:val="NoSpacing"/>
      </w:pPr>
    </w:p>
    <w:p w:rsidR="001F1485" w:rsidRPr="001F1485" w:rsidRDefault="001F1485" w:rsidP="001F1485">
      <w:pPr>
        <w:pStyle w:val="NoSpacing"/>
        <w:rPr>
          <w:b/>
          <w:u w:val="single"/>
        </w:rPr>
      </w:pPr>
      <w:r w:rsidRPr="001F1485">
        <w:rPr>
          <w:b/>
          <w:u w:val="single"/>
        </w:rPr>
        <w:t>Effectiveness</w:t>
      </w:r>
    </w:p>
    <w:p w:rsidR="001F1485" w:rsidRDefault="001F1485" w:rsidP="001F1485">
      <w:pPr>
        <w:pStyle w:val="NoSpacing"/>
      </w:pPr>
      <w:r>
        <w:t>This is about achieving objectives.</w:t>
      </w:r>
      <w:r w:rsidR="000E6416">
        <w:t xml:space="preserve">  At the project appraisal stage it is about whether the intended benefit represents value for money.</w:t>
      </w:r>
    </w:p>
    <w:p w:rsidR="000E6416" w:rsidRDefault="000E6416" w:rsidP="001F1485">
      <w:pPr>
        <w:pStyle w:val="NoSpacing"/>
        <w:numPr>
          <w:ilvl w:val="0"/>
          <w:numId w:val="4"/>
        </w:numPr>
      </w:pPr>
      <w:r>
        <w:t>What real world change is the project designed to achieve?  Does the potential gain justify the price tag?</w:t>
      </w:r>
    </w:p>
    <w:p w:rsidR="00572B93" w:rsidRDefault="00572B93" w:rsidP="001F1485">
      <w:pPr>
        <w:pStyle w:val="NoSpacing"/>
        <w:numPr>
          <w:ilvl w:val="0"/>
          <w:numId w:val="4"/>
        </w:numPr>
      </w:pPr>
      <w:r>
        <w:t>Is there a convincing case that the project will help us achieve business plan objectives?</w:t>
      </w:r>
    </w:p>
    <w:p w:rsidR="00572B93" w:rsidRDefault="00572B93" w:rsidP="00572B93">
      <w:pPr>
        <w:pStyle w:val="NoSpacing"/>
        <w:numPr>
          <w:ilvl w:val="0"/>
          <w:numId w:val="4"/>
        </w:numPr>
      </w:pPr>
      <w:r>
        <w:t>Is the project designed in such a way as to maximise side benefits (</w:t>
      </w:r>
      <w:proofErr w:type="spellStart"/>
      <w:r>
        <w:t>eg</w:t>
      </w:r>
      <w:proofErr w:type="spellEnd"/>
      <w:r>
        <w:t xml:space="preserve"> UK economic benefit)?</w:t>
      </w:r>
    </w:p>
    <w:p w:rsidR="000E6416" w:rsidRDefault="000E6416" w:rsidP="001F1485">
      <w:pPr>
        <w:pStyle w:val="NoSpacing"/>
        <w:numPr>
          <w:ilvl w:val="0"/>
          <w:numId w:val="4"/>
        </w:numPr>
      </w:pPr>
      <w:r>
        <w:t>What are the opportunity costs?  What would funding this project mean we cannot do?</w:t>
      </w:r>
    </w:p>
    <w:p w:rsidR="00572B93" w:rsidRDefault="00572B93" w:rsidP="00572B93">
      <w:pPr>
        <w:pStyle w:val="NoSpacing"/>
        <w:numPr>
          <w:ilvl w:val="0"/>
          <w:numId w:val="4"/>
        </w:numPr>
        <w:sectPr w:rsidR="00572B93" w:rsidSect="00690762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Is there a credible exit strategy?  Can we be satisfied that project benefits will be sustained in the long term?    </w:t>
      </w:r>
    </w:p>
    <w:p w:rsidR="00572B93" w:rsidRPr="00AC54CB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lastRenderedPageBreak/>
        <w:t>Activity based budgets</w:t>
      </w:r>
    </w:p>
    <w:p w:rsidR="00572B93" w:rsidRDefault="00572B93" w:rsidP="00572B93">
      <w:pPr>
        <w:pStyle w:val="NoSpacing"/>
      </w:pPr>
    </w:p>
    <w:p w:rsidR="00AC54CB" w:rsidRDefault="00AC54CB" w:rsidP="00572B93">
      <w:pPr>
        <w:pStyle w:val="NoSpacing"/>
      </w:pPr>
      <w:r>
        <w:t>The diagrams below show excerpts from activity based budgets for an example project.  The first shows the level of detail needed to adequately challenge a project budget.  The second is an example of how not to do it!</w:t>
      </w:r>
    </w:p>
    <w:p w:rsidR="00AC54CB" w:rsidRDefault="00AC54CB" w:rsidP="00572B93">
      <w:pPr>
        <w:pStyle w:val="NoSpacing"/>
      </w:pPr>
    </w:p>
    <w:p w:rsidR="00572B93" w:rsidRPr="00AC54CB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p w:rsidR="006535BC" w:rsidRDefault="006535BC" w:rsidP="00572B9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851"/>
        <w:gridCol w:w="1985"/>
        <w:gridCol w:w="1984"/>
        <w:gridCol w:w="1701"/>
        <w:gridCol w:w="1943"/>
        <w:gridCol w:w="1559"/>
        <w:gridCol w:w="1559"/>
        <w:gridCol w:w="1560"/>
      </w:tblGrid>
      <w:tr w:rsidR="006535BC" w:rsidTr="006535BC">
        <w:tc>
          <w:tcPr>
            <w:tcW w:w="185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:rsidTr="006535BC"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Venue (Residence)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:rsidTr="006535BC"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:rsidTr="006535BC"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:rsidTr="006535BC">
        <w:tc>
          <w:tcPr>
            <w:tcW w:w="9464" w:type="dxa"/>
            <w:gridSpan w:val="5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</w:tbl>
    <w:p w:rsidR="00572B93" w:rsidRDefault="00572B93" w:rsidP="00572B9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7"/>
      </w:tblGrid>
      <w:tr w:rsidR="00AC54CB" w:rsidTr="00AC54CB">
        <w:tc>
          <w:tcPr>
            <w:tcW w:w="7087" w:type="dxa"/>
          </w:tcPr>
          <w:p w:rsidR="00AC54CB" w:rsidRDefault="00AC54CB" w:rsidP="00572B93">
            <w:pPr>
              <w:pStyle w:val="NoSpacing"/>
            </w:pPr>
            <w:r>
              <w:sym w:font="Wingdings" w:char="F04A"/>
            </w:r>
            <w:r>
              <w:t xml:space="preserve"> Costs linked numerically to activities in the project proposal</w:t>
            </w:r>
          </w:p>
          <w:p w:rsidR="00AC54CB" w:rsidRDefault="00AC54CB" w:rsidP="00AC54CB">
            <w:pPr>
              <w:pStyle w:val="NoSpacing"/>
            </w:pPr>
            <w:r>
              <w:sym w:font="Wingdings" w:char="F04A"/>
            </w:r>
            <w:r>
              <w:t xml:space="preserve"> Activity costs broken down into constituent parts</w:t>
            </w:r>
          </w:p>
          <w:p w:rsidR="00AC54CB" w:rsidRDefault="00AC54CB" w:rsidP="00AC54CB">
            <w:pPr>
              <w:pStyle w:val="NoSpacing"/>
            </w:pPr>
            <w:r>
              <w:sym w:font="Wingdings" w:char="F04A"/>
            </w:r>
            <w:r>
              <w:t xml:space="preserve"> Costs minimised by hosting event at residence</w:t>
            </w:r>
          </w:p>
        </w:tc>
        <w:tc>
          <w:tcPr>
            <w:tcW w:w="7087" w:type="dxa"/>
          </w:tcPr>
          <w:p w:rsidR="00AC54CB" w:rsidRDefault="00AC54CB" w:rsidP="00572B93">
            <w:pPr>
              <w:pStyle w:val="NoSpacing"/>
            </w:pPr>
            <w:r>
              <w:sym w:font="Wingdings" w:char="F04A"/>
            </w:r>
            <w:r>
              <w:t xml:space="preserve"> Unit costs identified, as well as number of units, to show exactly what we are getting for our money</w:t>
            </w:r>
          </w:p>
        </w:tc>
      </w:tr>
    </w:tbl>
    <w:p w:rsidR="00572B93" w:rsidRDefault="00572B93" w:rsidP="00572B93">
      <w:pPr>
        <w:pStyle w:val="NoSpacing"/>
      </w:pPr>
    </w:p>
    <w:p w:rsidR="00572B93" w:rsidRPr="00AC54CB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Bad </w:t>
      </w:r>
      <w:r w:rsidRPr="00AC54CB">
        <w:rPr>
          <w:b/>
          <w:u w:val="single"/>
        </w:rPr>
        <w:sym w:font="Wingdings" w:char="F04C"/>
      </w:r>
    </w:p>
    <w:p w:rsidR="006535BC" w:rsidRDefault="006535BC" w:rsidP="00572B9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524"/>
        <w:gridCol w:w="2641"/>
        <w:gridCol w:w="2671"/>
        <w:gridCol w:w="2671"/>
        <w:gridCol w:w="2667"/>
      </w:tblGrid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:rsidTr="00B97BB2">
        <w:tc>
          <w:tcPr>
            <w:tcW w:w="6165" w:type="dxa"/>
            <w:gridSpan w:val="2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</w:tbl>
    <w:p w:rsidR="006535BC" w:rsidRDefault="006535BC" w:rsidP="00572B9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7"/>
      </w:tblGrid>
      <w:tr w:rsidR="00AC54CB" w:rsidTr="00AC54CB">
        <w:tc>
          <w:tcPr>
            <w:tcW w:w="7087" w:type="dxa"/>
          </w:tcPr>
          <w:p w:rsidR="00AC54CB" w:rsidRDefault="00AC54CB" w:rsidP="000906A3">
            <w:pPr>
              <w:pStyle w:val="NoSpacing"/>
            </w:pPr>
            <w:r>
              <w:sym w:font="Wingdings" w:char="F04C"/>
            </w:r>
            <w:r>
              <w:t xml:space="preserve"> Costs not linked directly to activities</w:t>
            </w:r>
          </w:p>
          <w:p w:rsidR="00AC54CB" w:rsidRDefault="00AC54CB" w:rsidP="00AC54CB">
            <w:pPr>
              <w:pStyle w:val="NoSpacing"/>
            </w:pPr>
            <w:r>
              <w:sym w:font="Wingdings" w:char="F04C"/>
            </w:r>
            <w:r>
              <w:t xml:space="preserve"> Unclear how many units (</w:t>
            </w:r>
            <w:proofErr w:type="spellStart"/>
            <w:r>
              <w:t>eg</w:t>
            </w:r>
            <w:proofErr w:type="spellEnd"/>
            <w:r>
              <w:t xml:space="preserve"> flights) are included and how much we are paying for each</w:t>
            </w:r>
          </w:p>
        </w:tc>
        <w:tc>
          <w:tcPr>
            <w:tcW w:w="7087" w:type="dxa"/>
          </w:tcPr>
          <w:p w:rsidR="00AC54CB" w:rsidRDefault="00AC54CB" w:rsidP="000906A3">
            <w:pPr>
              <w:pStyle w:val="NoSpacing"/>
            </w:pPr>
            <w:r>
              <w:sym w:font="Wingdings" w:char="F04C"/>
            </w:r>
            <w:r>
              <w:t xml:space="preserve"> Admin charge exceeds 10% threshold</w:t>
            </w:r>
          </w:p>
          <w:p w:rsidR="00AC54CB" w:rsidRDefault="00AC54CB" w:rsidP="000906A3">
            <w:pPr>
              <w:pStyle w:val="NoSpacing"/>
            </w:pPr>
            <w:r>
              <w:sym w:font="Wingdings" w:char="F04C"/>
            </w:r>
            <w:r>
              <w:t xml:space="preserve"> Budget includes a contingency</w:t>
            </w:r>
          </w:p>
        </w:tc>
      </w:tr>
    </w:tbl>
    <w:p w:rsidR="00AC54CB" w:rsidRDefault="00AC54CB" w:rsidP="00572B93">
      <w:pPr>
        <w:pStyle w:val="NoSpacing"/>
      </w:pPr>
    </w:p>
    <w:sectPr w:rsidR="00AC54CB" w:rsidSect="00572B93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A7" w:rsidRDefault="00CE66A7" w:rsidP="005E5806">
      <w:pPr>
        <w:spacing w:after="0" w:line="240" w:lineRule="auto"/>
      </w:pPr>
      <w:r>
        <w:separator/>
      </w:r>
    </w:p>
  </w:endnote>
  <w:endnote w:type="continuationSeparator" w:id="0">
    <w:p w:rsidR="00CE66A7" w:rsidRDefault="00CE66A7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3D3D94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3D3D94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3D3D94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3D3D94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A7" w:rsidRDefault="00CE66A7" w:rsidP="005E5806">
      <w:pPr>
        <w:spacing w:after="0" w:line="240" w:lineRule="auto"/>
      </w:pPr>
      <w:r>
        <w:separator/>
      </w:r>
    </w:p>
  </w:footnote>
  <w:footnote w:type="continuationSeparator" w:id="0">
    <w:p w:rsidR="00CE66A7" w:rsidRDefault="00CE66A7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3D3D94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3D3D94" w:rsidP="005E5806">
    <w:pPr>
      <w:pStyle w:val="Header"/>
      <w:jc w:val="cent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3D3D94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E6416"/>
    <w:rsid w:val="00131D6F"/>
    <w:rsid w:val="00134D9B"/>
    <w:rsid w:val="001376E2"/>
    <w:rsid w:val="0018663D"/>
    <w:rsid w:val="001A67BA"/>
    <w:rsid w:val="001E7934"/>
    <w:rsid w:val="001F1485"/>
    <w:rsid w:val="00262686"/>
    <w:rsid w:val="002E2FD3"/>
    <w:rsid w:val="00355CC2"/>
    <w:rsid w:val="0038697B"/>
    <w:rsid w:val="003B057B"/>
    <w:rsid w:val="003B67E8"/>
    <w:rsid w:val="003C2470"/>
    <w:rsid w:val="003D3D94"/>
    <w:rsid w:val="004637E8"/>
    <w:rsid w:val="004718BF"/>
    <w:rsid w:val="004C4733"/>
    <w:rsid w:val="00526C44"/>
    <w:rsid w:val="00570F26"/>
    <w:rsid w:val="00572B93"/>
    <w:rsid w:val="005A230E"/>
    <w:rsid w:val="005A4FE8"/>
    <w:rsid w:val="005E5806"/>
    <w:rsid w:val="006535BC"/>
    <w:rsid w:val="00660203"/>
    <w:rsid w:val="00690762"/>
    <w:rsid w:val="006C7549"/>
    <w:rsid w:val="007140F6"/>
    <w:rsid w:val="007263D8"/>
    <w:rsid w:val="00750AB7"/>
    <w:rsid w:val="00761BE5"/>
    <w:rsid w:val="0076708B"/>
    <w:rsid w:val="007B11B6"/>
    <w:rsid w:val="007C5B12"/>
    <w:rsid w:val="007D7CA8"/>
    <w:rsid w:val="008543FF"/>
    <w:rsid w:val="008866E0"/>
    <w:rsid w:val="008920CD"/>
    <w:rsid w:val="008A3C03"/>
    <w:rsid w:val="008A7BED"/>
    <w:rsid w:val="008F4371"/>
    <w:rsid w:val="0091499B"/>
    <w:rsid w:val="00923E55"/>
    <w:rsid w:val="009563C4"/>
    <w:rsid w:val="00965B83"/>
    <w:rsid w:val="009B3A68"/>
    <w:rsid w:val="009E24BC"/>
    <w:rsid w:val="009E792B"/>
    <w:rsid w:val="00A41358"/>
    <w:rsid w:val="00A42C8D"/>
    <w:rsid w:val="00A90172"/>
    <w:rsid w:val="00AA4067"/>
    <w:rsid w:val="00AB0CAA"/>
    <w:rsid w:val="00AB7394"/>
    <w:rsid w:val="00AC48E8"/>
    <w:rsid w:val="00AC54CB"/>
    <w:rsid w:val="00B20391"/>
    <w:rsid w:val="00B43D21"/>
    <w:rsid w:val="00BD31FF"/>
    <w:rsid w:val="00C11ECF"/>
    <w:rsid w:val="00C2751F"/>
    <w:rsid w:val="00CB6037"/>
    <w:rsid w:val="00CD3908"/>
    <w:rsid w:val="00CE66A7"/>
    <w:rsid w:val="00D262B5"/>
    <w:rsid w:val="00DA69F6"/>
    <w:rsid w:val="00DE0BB3"/>
    <w:rsid w:val="00E41E4C"/>
    <w:rsid w:val="00E51806"/>
    <w:rsid w:val="00EB1146"/>
    <w:rsid w:val="00EB391F"/>
    <w:rsid w:val="00EF7680"/>
    <w:rsid w:val="00F626E2"/>
    <w:rsid w:val="00FC32CF"/>
    <w:rsid w:val="00FE03E9"/>
    <w:rsid w:val="00FE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990A225B3B64EAF69DC9EAB8F36DF" ma:contentTypeVersion="0" ma:contentTypeDescription="Create a new document." ma:contentTypeScope="" ma:versionID="74256d2446995ed1c937575299e072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84C117-3548-48F5-953C-3B1C4EA93B0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B0C5150-7AFB-4F97-8E7D-2EEB645B9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FDC26-3A0A-4A8C-956C-65D6FDB65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guidance</vt:lpstr>
    </vt:vector>
  </TitlesOfParts>
  <Company>FCO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guidance</dc:title>
  <dc:creator>jbutler</dc:creator>
  <cp:lastModifiedBy>Michelle Cigarruista</cp:lastModifiedBy>
  <cp:revision>2</cp:revision>
  <cp:lastPrinted>2015-10-06T11:56:00Z</cp:lastPrinted>
  <dcterms:created xsi:type="dcterms:W3CDTF">2016-05-16T16:27:00Z</dcterms:created>
  <dcterms:modified xsi:type="dcterms:W3CDTF">2016-05-16T16:27:00Z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2015-10-04T23:00:00Z</vt:filetime>
  </property>
  <property fmtid="{D5CDD505-2E9C-101B-9397-08002B2CF9AE}" pid="14" name="ContentTypeId">
    <vt:lpwstr>0x010100543990A225B3B64EAF69DC9EAB8F36DF</vt:lpwstr>
  </property>
</Properties>
</file>