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6D4627" w:rsidTr="006D4627">
        <w:trPr>
          <w:trHeight w:val="2965"/>
        </w:trPr>
        <w:tc>
          <w:tcPr>
            <w:tcW w:w="6379" w:type="dxa"/>
          </w:tcPr>
          <w:p w:rsidR="006D4627" w:rsidRDefault="00872D97" w:rsidP="002C5025">
            <w:pPr>
              <w:pStyle w:val="MOJaddress"/>
            </w:pPr>
            <w:r>
              <w:rPr>
                <w:noProof/>
              </w:rPr>
              <w:drawing>
                <wp:inline distT="0" distB="0" distL="0" distR="0">
                  <wp:extent cx="977900" cy="755015"/>
                  <wp:effectExtent l="0" t="0" r="0" b="698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755015"/>
                          </a:xfrm>
                          <a:prstGeom prst="rect">
                            <a:avLst/>
                          </a:prstGeom>
                          <a:noFill/>
                          <a:ln>
                            <a:noFill/>
                          </a:ln>
                        </pic:spPr>
                      </pic:pic>
                    </a:graphicData>
                  </a:graphic>
                </wp:inline>
              </w:drawing>
            </w:r>
          </w:p>
          <w:p w:rsidR="006D4627" w:rsidRDefault="006D4627" w:rsidP="002C5025">
            <w:pPr>
              <w:pStyle w:val="MOJaddress"/>
              <w:rPr>
                <w:color w:val="0000CC"/>
                <w:sz w:val="22"/>
                <w:szCs w:val="22"/>
              </w:rPr>
            </w:pPr>
          </w:p>
          <w:p w:rsidR="006D4627" w:rsidRDefault="006D4627" w:rsidP="00872D97">
            <w:pPr>
              <w:pStyle w:val="MOJaddress"/>
            </w:pPr>
          </w:p>
        </w:tc>
        <w:tc>
          <w:tcPr>
            <w:tcW w:w="3261" w:type="dxa"/>
          </w:tcPr>
          <w:p w:rsidR="006D4627" w:rsidRDefault="006D4627" w:rsidP="007A3DF8">
            <w:pPr>
              <w:pStyle w:val="MOJaddress"/>
              <w:rPr>
                <w:color w:val="0000CC"/>
                <w:sz w:val="22"/>
                <w:szCs w:val="22"/>
              </w:rPr>
            </w:pPr>
          </w:p>
          <w:p w:rsidR="006D4627" w:rsidRPr="00080A02" w:rsidRDefault="003B7A0B" w:rsidP="007A3DF8">
            <w:pPr>
              <w:pStyle w:val="MOJaddress"/>
              <w:rPr>
                <w:color w:val="000000"/>
              </w:rPr>
            </w:pPr>
            <w:r w:rsidRPr="00080A02">
              <w:rPr>
                <w:color w:val="000000"/>
                <w:sz w:val="22"/>
                <w:szCs w:val="22"/>
              </w:rPr>
              <w:t>January 2017</w:t>
            </w:r>
          </w:p>
        </w:tc>
      </w:tr>
    </w:tbl>
    <w:p w:rsidR="00A413A1" w:rsidRDefault="00A413A1" w:rsidP="007A3DF8">
      <w:pPr>
        <w:rPr>
          <w:szCs w:val="22"/>
        </w:rPr>
      </w:pPr>
    </w:p>
    <w:p w:rsidR="009853E8" w:rsidRPr="00080A02" w:rsidRDefault="007A3DF8" w:rsidP="009853E8">
      <w:pPr>
        <w:rPr>
          <w:b/>
          <w:color w:val="000000"/>
          <w:szCs w:val="22"/>
        </w:rPr>
      </w:pPr>
      <w:r w:rsidRPr="00080A02">
        <w:rPr>
          <w:b/>
          <w:color w:val="000000"/>
          <w:szCs w:val="22"/>
        </w:rPr>
        <w:t xml:space="preserve">Freedom of Information Act (FOIA) Request – </w:t>
      </w:r>
      <w:r w:rsidR="003B7A0B" w:rsidRPr="00080A02">
        <w:rPr>
          <w:color w:val="000000"/>
          <w:szCs w:val="22"/>
        </w:rPr>
        <w:t>109605</w:t>
      </w:r>
    </w:p>
    <w:p w:rsidR="009853E8" w:rsidRPr="00080A02" w:rsidRDefault="009853E8" w:rsidP="009853E8">
      <w:pPr>
        <w:rPr>
          <w:b/>
          <w:color w:val="000000"/>
          <w:szCs w:val="22"/>
        </w:rPr>
      </w:pPr>
    </w:p>
    <w:p w:rsidR="00CD5DDD" w:rsidRPr="00080A02" w:rsidRDefault="00872D97" w:rsidP="00CD5DDD">
      <w:pPr>
        <w:spacing w:line="240" w:lineRule="auto"/>
        <w:rPr>
          <w:color w:val="000000"/>
        </w:rPr>
      </w:pPr>
      <w:r>
        <w:rPr>
          <w:color w:val="000000"/>
        </w:rPr>
        <w:t xml:space="preserve">You </w:t>
      </w:r>
      <w:r w:rsidR="00CD5DDD" w:rsidRPr="00080A02">
        <w:rPr>
          <w:color w:val="000000"/>
        </w:rPr>
        <w:t xml:space="preserve">asked for the following information from the Ministry of Justice (MoJ):  </w:t>
      </w:r>
    </w:p>
    <w:p w:rsidR="00CD5DDD" w:rsidRPr="00080A02" w:rsidRDefault="00CD5DDD" w:rsidP="00CD5DDD">
      <w:pPr>
        <w:spacing w:line="240" w:lineRule="auto"/>
        <w:rPr>
          <w:rFonts w:cs="Arial"/>
          <w:color w:val="000000"/>
          <w:szCs w:val="22"/>
        </w:rPr>
      </w:pPr>
    </w:p>
    <w:p w:rsidR="003B7A0B" w:rsidRPr="00080A02" w:rsidRDefault="003B7A0B" w:rsidP="003B7A0B">
      <w:pPr>
        <w:spacing w:line="240" w:lineRule="auto"/>
        <w:rPr>
          <w:rFonts w:cs="Arial"/>
          <w:b/>
          <w:color w:val="000000"/>
          <w:szCs w:val="22"/>
        </w:rPr>
      </w:pPr>
      <w:r w:rsidRPr="00080A02">
        <w:rPr>
          <w:rFonts w:cs="Arial"/>
          <w:b/>
          <w:color w:val="000000"/>
          <w:szCs w:val="22"/>
        </w:rPr>
        <w:t>I am trying to locate crime statistics specifically for arson; however, I appear to be having a bit of difficulty. Please can you point me in the right direction to obtain the following information?</w:t>
      </w:r>
    </w:p>
    <w:p w:rsidR="003B7A0B" w:rsidRPr="00080A02" w:rsidRDefault="003B7A0B" w:rsidP="003B7A0B">
      <w:pPr>
        <w:spacing w:line="240" w:lineRule="auto"/>
        <w:rPr>
          <w:rFonts w:cs="Arial"/>
          <w:b/>
          <w:color w:val="000000"/>
          <w:szCs w:val="22"/>
        </w:rPr>
      </w:pPr>
      <w:r w:rsidRPr="00080A02">
        <w:rPr>
          <w:rFonts w:cs="Arial"/>
          <w:b/>
          <w:color w:val="000000"/>
          <w:szCs w:val="22"/>
        </w:rPr>
        <w:t> </w:t>
      </w:r>
    </w:p>
    <w:p w:rsidR="003B7A0B" w:rsidRPr="00080A02" w:rsidRDefault="003B7A0B" w:rsidP="003B7A0B">
      <w:pPr>
        <w:spacing w:line="240" w:lineRule="auto"/>
        <w:rPr>
          <w:rFonts w:cs="Arial"/>
          <w:b/>
          <w:color w:val="000000"/>
          <w:szCs w:val="22"/>
        </w:rPr>
      </w:pPr>
      <w:r w:rsidRPr="00080A02">
        <w:rPr>
          <w:rFonts w:cs="Arial"/>
          <w:b/>
          <w:color w:val="000000"/>
          <w:szCs w:val="22"/>
        </w:rPr>
        <w:t>·      The number of arson/fire related offences for juveniles between 2013-2016</w:t>
      </w:r>
    </w:p>
    <w:p w:rsidR="003B7A0B" w:rsidRPr="00080A02" w:rsidRDefault="003B7A0B" w:rsidP="003B7A0B">
      <w:pPr>
        <w:spacing w:line="240" w:lineRule="auto"/>
        <w:rPr>
          <w:rFonts w:cs="Arial"/>
          <w:b/>
          <w:color w:val="000000"/>
          <w:szCs w:val="22"/>
        </w:rPr>
      </w:pPr>
      <w:r w:rsidRPr="00080A02">
        <w:rPr>
          <w:rFonts w:cs="Arial"/>
          <w:b/>
          <w:color w:val="000000"/>
          <w:szCs w:val="22"/>
        </w:rPr>
        <w:t>·      Over that same period (2013-2016) how many adults and juveniles (combined) were arrested for arson?</w:t>
      </w:r>
    </w:p>
    <w:p w:rsidR="003B7A0B" w:rsidRPr="00080A02" w:rsidRDefault="003B7A0B" w:rsidP="003B7A0B">
      <w:pPr>
        <w:spacing w:line="240" w:lineRule="auto"/>
        <w:rPr>
          <w:rFonts w:cs="Arial"/>
          <w:b/>
          <w:color w:val="000000"/>
          <w:szCs w:val="22"/>
        </w:rPr>
      </w:pPr>
      <w:r w:rsidRPr="00080A02">
        <w:rPr>
          <w:rFonts w:cs="Arial"/>
          <w:b/>
          <w:color w:val="000000"/>
          <w:szCs w:val="22"/>
        </w:rPr>
        <w:t>o  I am looking to answer the question: Of the overall amount how many of these fire related offence were committed by juveniles?.</w:t>
      </w:r>
    </w:p>
    <w:p w:rsidR="00CD5DDD" w:rsidRDefault="00CD5DDD" w:rsidP="00CD5DDD">
      <w:pPr>
        <w:spacing w:line="240" w:lineRule="auto"/>
        <w:rPr>
          <w:rFonts w:cs="Arial"/>
          <w:szCs w:val="22"/>
        </w:rPr>
      </w:pPr>
    </w:p>
    <w:p w:rsidR="00CD5DDD" w:rsidRDefault="00CD5DDD" w:rsidP="00CD5DDD">
      <w:pPr>
        <w:spacing w:line="240" w:lineRule="auto"/>
        <w:rPr>
          <w:rFonts w:cs="Arial"/>
          <w:szCs w:val="22"/>
        </w:rPr>
      </w:pPr>
      <w:r>
        <w:rPr>
          <w:rFonts w:cs="Arial"/>
          <w:szCs w:val="22"/>
        </w:rPr>
        <w:t xml:space="preserve">Your request </w:t>
      </w:r>
      <w:r w:rsidR="00A413A1">
        <w:rPr>
          <w:rFonts w:cs="Arial"/>
          <w:szCs w:val="22"/>
        </w:rPr>
        <w:t>has been</w:t>
      </w:r>
      <w:r>
        <w:rPr>
          <w:rFonts w:cs="Arial"/>
          <w:szCs w:val="22"/>
        </w:rPr>
        <w:t xml:space="preserve"> handled under the FOIA.</w:t>
      </w:r>
    </w:p>
    <w:p w:rsidR="00CD5DDD" w:rsidRDefault="00CD5DDD" w:rsidP="00CD5DDD">
      <w:pPr>
        <w:spacing w:line="240" w:lineRule="auto"/>
        <w:rPr>
          <w:rFonts w:cs="Arial"/>
          <w:szCs w:val="22"/>
        </w:rPr>
      </w:pPr>
      <w:r>
        <w:rPr>
          <w:rFonts w:cs="Arial"/>
          <w:szCs w:val="22"/>
        </w:rPr>
        <w:t xml:space="preserve"> </w:t>
      </w:r>
      <w:bookmarkStart w:id="0" w:name="_GoBack"/>
      <w:bookmarkEnd w:id="0"/>
    </w:p>
    <w:p w:rsidR="00CD5DDD" w:rsidRDefault="00CD5DDD" w:rsidP="00CD5DDD">
      <w:pPr>
        <w:spacing w:line="240" w:lineRule="auto"/>
        <w:rPr>
          <w:rFonts w:cs="Arial"/>
          <w:color w:val="0000CC"/>
          <w:szCs w:val="22"/>
        </w:rPr>
      </w:pPr>
      <w:r>
        <w:rPr>
          <w:rFonts w:cs="Arial"/>
          <w:szCs w:val="22"/>
        </w:rPr>
        <w:t>I can confirm that the MoJ holds</w:t>
      </w:r>
      <w:r w:rsidR="003B7A0B">
        <w:rPr>
          <w:rFonts w:cs="Arial"/>
          <w:szCs w:val="22"/>
        </w:rPr>
        <w:t xml:space="preserve"> some of</w:t>
      </w:r>
      <w:r>
        <w:rPr>
          <w:rFonts w:cs="Arial"/>
          <w:szCs w:val="22"/>
        </w:rPr>
        <w:t xml:space="preserve"> the information that you have requested. However,</w:t>
      </w:r>
      <w:r w:rsidR="003B7A0B">
        <w:rPr>
          <w:rFonts w:cs="Arial"/>
          <w:szCs w:val="22"/>
        </w:rPr>
        <w:t xml:space="preserve"> some of </w:t>
      </w:r>
      <w:r>
        <w:rPr>
          <w:rFonts w:cs="Arial"/>
          <w:szCs w:val="22"/>
        </w:rPr>
        <w:t>the information</w:t>
      </w:r>
      <w:r w:rsidR="003B7A0B">
        <w:rPr>
          <w:rFonts w:cs="Arial"/>
          <w:szCs w:val="22"/>
        </w:rPr>
        <w:t xml:space="preserve"> held</w:t>
      </w:r>
      <w:r>
        <w:rPr>
          <w:rFonts w:cs="Arial"/>
          <w:szCs w:val="22"/>
        </w:rPr>
        <w:t xml:space="preserve"> is exempt from disclosure under section 21 of the FOIA, because it is reasonably accessible to you. The information</w:t>
      </w:r>
      <w:r w:rsidR="003B7A0B">
        <w:rPr>
          <w:rFonts w:cs="Arial"/>
          <w:szCs w:val="22"/>
        </w:rPr>
        <w:t xml:space="preserve"> for </w:t>
      </w:r>
      <w:r w:rsidR="000E5476">
        <w:rPr>
          <w:rFonts w:cs="Arial"/>
          <w:szCs w:val="22"/>
        </w:rPr>
        <w:t>those offenders (including juveniles) found guilty of arson at all courts, in England and Wales, for</w:t>
      </w:r>
      <w:r w:rsidR="003B7A0B">
        <w:rPr>
          <w:rFonts w:cs="Arial"/>
          <w:szCs w:val="22"/>
        </w:rPr>
        <w:t xml:space="preserve"> the period 2013 to 2015</w:t>
      </w:r>
      <w:r>
        <w:rPr>
          <w:rFonts w:cs="Arial"/>
          <w:szCs w:val="22"/>
        </w:rPr>
        <w:t xml:space="preserve"> can be accessed via the following link</w:t>
      </w:r>
      <w:r w:rsidR="003B7A0B">
        <w:rPr>
          <w:rFonts w:cs="Arial"/>
          <w:szCs w:val="22"/>
        </w:rPr>
        <w:t>:-</w:t>
      </w:r>
      <w:r>
        <w:rPr>
          <w:rFonts w:cs="Arial"/>
          <w:color w:val="0000CC"/>
          <w:szCs w:val="22"/>
        </w:rPr>
        <w:t xml:space="preserve"> </w:t>
      </w:r>
    </w:p>
    <w:p w:rsidR="003B7A0B" w:rsidRDefault="003B7A0B" w:rsidP="00CD5DDD">
      <w:pPr>
        <w:spacing w:line="240" w:lineRule="auto"/>
        <w:rPr>
          <w:rFonts w:cs="Arial"/>
          <w:color w:val="0000CC"/>
          <w:szCs w:val="22"/>
        </w:rPr>
      </w:pPr>
    </w:p>
    <w:p w:rsidR="003B7A0B" w:rsidRPr="003B7A0B" w:rsidRDefault="003B7A0B" w:rsidP="00CD5DDD">
      <w:pPr>
        <w:spacing w:line="240" w:lineRule="auto"/>
        <w:rPr>
          <w:color w:val="0033CC"/>
          <w:szCs w:val="22"/>
          <w:u w:val="single"/>
        </w:rPr>
      </w:pPr>
      <w:hyperlink r:id="rId9" w:history="1">
        <w:r w:rsidRPr="003B7A0B">
          <w:rPr>
            <w:rStyle w:val="Hyperlink"/>
            <w:szCs w:val="22"/>
            <w:u w:val="single"/>
          </w:rPr>
          <w:t>https://www.gov.uk/government/statistics/criminal-justice-system-statistics-quarterly-december-2015</w:t>
        </w:r>
      </w:hyperlink>
    </w:p>
    <w:p w:rsidR="003B7A0B" w:rsidRDefault="003B7A0B" w:rsidP="00CD5DDD">
      <w:pPr>
        <w:spacing w:line="240" w:lineRule="auto"/>
        <w:rPr>
          <w:color w:val="0033CC"/>
          <w:szCs w:val="22"/>
        </w:rPr>
      </w:pPr>
    </w:p>
    <w:p w:rsidR="000E5476" w:rsidRPr="00080A02" w:rsidRDefault="000E5476" w:rsidP="00CD5DDD">
      <w:pPr>
        <w:spacing w:line="240" w:lineRule="auto"/>
        <w:rPr>
          <w:color w:val="000000"/>
          <w:szCs w:val="22"/>
        </w:rPr>
      </w:pPr>
      <w:r w:rsidRPr="00080A02">
        <w:rPr>
          <w:color w:val="000000"/>
          <w:szCs w:val="22"/>
        </w:rPr>
        <w:t>Please select the below offences from the drop down list in the CJS outcomes by offence data tool</w:t>
      </w:r>
      <w:r w:rsidR="00A30B32" w:rsidRPr="00080A02">
        <w:rPr>
          <w:color w:val="000000"/>
          <w:szCs w:val="22"/>
        </w:rPr>
        <w:t>, where you will also find an age filter</w:t>
      </w:r>
      <w:r w:rsidRPr="00080A02">
        <w:rPr>
          <w:color w:val="000000"/>
          <w:szCs w:val="22"/>
        </w:rPr>
        <w:t>:-</w:t>
      </w:r>
    </w:p>
    <w:p w:rsidR="000E5476" w:rsidRDefault="000E5476" w:rsidP="00CD5DDD">
      <w:pPr>
        <w:spacing w:line="240" w:lineRule="auto"/>
        <w:rPr>
          <w:color w:val="0033CC"/>
          <w:szCs w:val="22"/>
        </w:rPr>
      </w:pPr>
    </w:p>
    <w:p w:rsidR="000E5476" w:rsidRDefault="000E5476" w:rsidP="00CD5DDD">
      <w:pPr>
        <w:spacing w:line="240" w:lineRule="auto"/>
        <w:rPr>
          <w:rFonts w:ascii="Times New Roman" w:hAnsi="Times New Roman"/>
          <w:sz w:val="20"/>
          <w:szCs w:val="20"/>
        </w:rPr>
      </w:pPr>
      <w:r>
        <w:rPr>
          <w:color w:val="0033CC"/>
          <w:szCs w:val="22"/>
        </w:rPr>
        <w:fldChar w:fldCharType="begin"/>
      </w:r>
      <w:r>
        <w:rPr>
          <w:color w:val="0033CC"/>
          <w:szCs w:val="22"/>
        </w:rPr>
        <w:instrText xml:space="preserve"> LINK Excel.Sheet.12 "https://www.gov.uk/government/uploads/system/uploads/attachment_data/file/524354/offence-group-classifications.xlsx" "Offence group classification!R431C2:R432C2" \a \f 5 \h  \* MERGEFORMAT </w:instrText>
      </w:r>
      <w:r>
        <w:rPr>
          <w:color w:val="0033CC"/>
          <w:szCs w:val="22"/>
        </w:rPr>
        <w:fldChar w:fldCharType="separate"/>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0E5476" w:rsidRPr="00080A02" w:rsidTr="00080A02">
        <w:trPr>
          <w:trHeight w:val="300"/>
        </w:trPr>
        <w:tc>
          <w:tcPr>
            <w:tcW w:w="9040" w:type="dxa"/>
            <w:shd w:val="clear" w:color="auto" w:fill="auto"/>
            <w:noWrap/>
            <w:hideMark/>
          </w:tcPr>
          <w:p w:rsidR="000E5476" w:rsidRPr="00080A02" w:rsidRDefault="000E5476" w:rsidP="00080A02">
            <w:pPr>
              <w:spacing w:line="240" w:lineRule="auto"/>
              <w:rPr>
                <w:color w:val="000000"/>
                <w:szCs w:val="22"/>
              </w:rPr>
            </w:pPr>
            <w:r w:rsidRPr="00080A02">
              <w:rPr>
                <w:color w:val="000000"/>
                <w:szCs w:val="22"/>
              </w:rPr>
              <w:t>56A Arson endangering life</w:t>
            </w:r>
          </w:p>
        </w:tc>
      </w:tr>
      <w:tr w:rsidR="000E5476" w:rsidRPr="00080A02" w:rsidTr="00080A02">
        <w:trPr>
          <w:trHeight w:val="300"/>
        </w:trPr>
        <w:tc>
          <w:tcPr>
            <w:tcW w:w="9040" w:type="dxa"/>
            <w:shd w:val="clear" w:color="auto" w:fill="auto"/>
            <w:noWrap/>
            <w:hideMark/>
          </w:tcPr>
          <w:p w:rsidR="000E5476" w:rsidRPr="00080A02" w:rsidRDefault="000E5476" w:rsidP="00080A02">
            <w:pPr>
              <w:spacing w:line="240" w:lineRule="auto"/>
              <w:rPr>
                <w:color w:val="000000"/>
                <w:szCs w:val="22"/>
              </w:rPr>
            </w:pPr>
            <w:r w:rsidRPr="00080A02">
              <w:rPr>
                <w:color w:val="000000"/>
                <w:szCs w:val="22"/>
              </w:rPr>
              <w:t>56B Arson not endangering life</w:t>
            </w:r>
          </w:p>
        </w:tc>
      </w:tr>
    </w:tbl>
    <w:p w:rsidR="000E5476" w:rsidRDefault="000E5476" w:rsidP="00CD5DDD">
      <w:pPr>
        <w:spacing w:line="240" w:lineRule="auto"/>
        <w:rPr>
          <w:color w:val="0033CC"/>
          <w:szCs w:val="22"/>
        </w:rPr>
      </w:pPr>
      <w:r>
        <w:rPr>
          <w:color w:val="0033CC"/>
          <w:szCs w:val="22"/>
        </w:rPr>
        <w:fldChar w:fldCharType="end"/>
      </w:r>
    </w:p>
    <w:p w:rsidR="00A30B32" w:rsidRPr="00080A02" w:rsidRDefault="00A30B32" w:rsidP="00A30B32">
      <w:pPr>
        <w:spacing w:line="240" w:lineRule="auto"/>
        <w:rPr>
          <w:color w:val="000000"/>
          <w:szCs w:val="22"/>
        </w:rPr>
      </w:pPr>
      <w:r w:rsidRPr="00080A02">
        <w:rPr>
          <w:color w:val="000000"/>
          <w:szCs w:val="22"/>
        </w:rPr>
        <w:t xml:space="preserve">Some of the information, which covers 2016, is exempt from disclosure under section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rsidR="00A30B32" w:rsidRPr="00080A02" w:rsidRDefault="00A30B32" w:rsidP="00A30B32">
      <w:pPr>
        <w:spacing w:line="240" w:lineRule="auto"/>
        <w:rPr>
          <w:color w:val="000000"/>
          <w:szCs w:val="22"/>
        </w:rPr>
      </w:pPr>
    </w:p>
    <w:p w:rsidR="00A30B32" w:rsidRPr="00080A02" w:rsidRDefault="00A30B32" w:rsidP="00A30B32">
      <w:pPr>
        <w:spacing w:line="240" w:lineRule="auto"/>
        <w:rPr>
          <w:color w:val="000000"/>
          <w:szCs w:val="22"/>
        </w:rPr>
      </w:pPr>
      <w:r w:rsidRPr="00080A02">
        <w:rPr>
          <w:color w:val="000000"/>
          <w:szCs w:val="22"/>
        </w:rPr>
        <w:lastRenderedPageBreak/>
        <w:t xml:space="preserve">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 </w:t>
      </w:r>
    </w:p>
    <w:p w:rsidR="00A30B32" w:rsidRPr="00080A02" w:rsidRDefault="00A30B32" w:rsidP="00A30B32">
      <w:pPr>
        <w:spacing w:line="240" w:lineRule="auto"/>
        <w:rPr>
          <w:color w:val="000000"/>
          <w:szCs w:val="22"/>
        </w:rPr>
      </w:pPr>
    </w:p>
    <w:p w:rsidR="00A30B32" w:rsidRPr="00080A02" w:rsidRDefault="00A30B32" w:rsidP="00A30B32">
      <w:pPr>
        <w:spacing w:line="240" w:lineRule="auto"/>
        <w:rPr>
          <w:color w:val="000000"/>
          <w:szCs w:val="22"/>
        </w:rPr>
      </w:pPr>
      <w:r w:rsidRPr="00080A02">
        <w:rPr>
          <w:color w:val="000000"/>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DD1116">
        <w:rPr>
          <w:color w:val="000000"/>
          <w:szCs w:val="22"/>
        </w:rPr>
        <w:t>findings of guilt for arson</w:t>
      </w:r>
      <w:r w:rsidRPr="00080A02">
        <w:rPr>
          <w:color w:val="000000"/>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A30B32" w:rsidRPr="00080A02" w:rsidRDefault="00A30B32" w:rsidP="00A30B32">
      <w:pPr>
        <w:spacing w:line="240" w:lineRule="auto"/>
        <w:rPr>
          <w:color w:val="000000"/>
          <w:szCs w:val="22"/>
        </w:rPr>
      </w:pPr>
    </w:p>
    <w:p w:rsidR="00A30B32" w:rsidRPr="00080A02" w:rsidRDefault="00A30B32" w:rsidP="00A30B32">
      <w:pPr>
        <w:spacing w:line="240" w:lineRule="auto"/>
        <w:rPr>
          <w:color w:val="000000"/>
          <w:szCs w:val="22"/>
        </w:rPr>
      </w:pPr>
      <w:r w:rsidRPr="00080A02">
        <w:rPr>
          <w:color w:val="000000"/>
          <w:szCs w:val="22"/>
        </w:rPr>
        <w:t>Please also be aware that Section 44 is an absolute exemption and does not require a public interest test.</w:t>
      </w:r>
    </w:p>
    <w:p w:rsidR="00A30B32" w:rsidRPr="00080A02" w:rsidRDefault="00A30B32" w:rsidP="00A30B32">
      <w:pPr>
        <w:spacing w:line="240" w:lineRule="auto"/>
        <w:rPr>
          <w:color w:val="000000"/>
          <w:szCs w:val="22"/>
        </w:rPr>
      </w:pPr>
    </w:p>
    <w:p w:rsidR="00A30B32" w:rsidRPr="00080A02" w:rsidRDefault="00A30B32" w:rsidP="00A30B32">
      <w:pPr>
        <w:spacing w:line="240" w:lineRule="auto"/>
        <w:rPr>
          <w:color w:val="000000"/>
          <w:szCs w:val="22"/>
        </w:rPr>
      </w:pPr>
      <w:r w:rsidRPr="00080A02">
        <w:rPr>
          <w:color w:val="000000"/>
          <w:szCs w:val="22"/>
        </w:rPr>
        <w:t>The information for 2016 is also exempt from disclosure under section 22(1) of the FOIA, because it is intended for future publication. Please note that whilst quarterly court proceedings and convictions headline data are published and are currently available up to end June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Quarters 1 &amp; 2 (January to June) data are not available until the annual criminal statistics publication is published in May 2017.</w:t>
      </w:r>
    </w:p>
    <w:p w:rsidR="00A30B32" w:rsidRPr="00080A02" w:rsidRDefault="00A30B32" w:rsidP="00A30B32">
      <w:pPr>
        <w:spacing w:line="240" w:lineRule="auto"/>
        <w:rPr>
          <w:color w:val="000000"/>
          <w:szCs w:val="22"/>
        </w:rPr>
      </w:pPr>
    </w:p>
    <w:p w:rsidR="00A30B32" w:rsidRPr="00080A02" w:rsidRDefault="00A30B32" w:rsidP="00A30B32">
      <w:pPr>
        <w:spacing w:line="240" w:lineRule="auto"/>
        <w:rPr>
          <w:color w:val="000000"/>
          <w:szCs w:val="22"/>
        </w:rPr>
      </w:pPr>
      <w:r w:rsidRPr="00080A02">
        <w:rPr>
          <w:color w:val="000000"/>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A30B32" w:rsidRPr="00080A02" w:rsidRDefault="00A30B32" w:rsidP="00A30B32">
      <w:pPr>
        <w:spacing w:line="240" w:lineRule="auto"/>
        <w:rPr>
          <w:color w:val="000000"/>
          <w:szCs w:val="22"/>
        </w:rPr>
      </w:pPr>
    </w:p>
    <w:p w:rsidR="00A30B32" w:rsidRPr="00080A02" w:rsidRDefault="00A30B32" w:rsidP="00A30B32">
      <w:pPr>
        <w:spacing w:line="240" w:lineRule="auto"/>
        <w:rPr>
          <w:b/>
          <w:color w:val="000000"/>
          <w:szCs w:val="22"/>
        </w:rPr>
      </w:pPr>
      <w:r w:rsidRPr="00080A02">
        <w:rPr>
          <w:b/>
          <w:color w:val="000000"/>
          <w:szCs w:val="22"/>
        </w:rPr>
        <w:t>Public interest considerations favouring disclosure</w:t>
      </w:r>
    </w:p>
    <w:p w:rsidR="00A30B32" w:rsidRPr="00080A02" w:rsidRDefault="00A30B32" w:rsidP="00A30B32">
      <w:pPr>
        <w:spacing w:line="240" w:lineRule="auto"/>
        <w:rPr>
          <w:color w:val="000000"/>
          <w:szCs w:val="22"/>
        </w:rPr>
      </w:pPr>
    </w:p>
    <w:p w:rsidR="00A30B32" w:rsidRPr="00080A02" w:rsidRDefault="00A30B32" w:rsidP="00A30B32">
      <w:pPr>
        <w:numPr>
          <w:ilvl w:val="0"/>
          <w:numId w:val="3"/>
        </w:numPr>
        <w:spacing w:line="240" w:lineRule="auto"/>
        <w:rPr>
          <w:color w:val="000000"/>
          <w:szCs w:val="22"/>
        </w:rPr>
      </w:pPr>
      <w:r w:rsidRPr="00080A02">
        <w:rPr>
          <w:color w:val="000000"/>
          <w:szCs w:val="22"/>
        </w:rPr>
        <w:t>Disclosure would improve transparency in the operations of Government, and of the justice system in particular.</w:t>
      </w:r>
    </w:p>
    <w:p w:rsidR="00A30B32" w:rsidRPr="00080A02" w:rsidRDefault="00A30B32" w:rsidP="00A30B32">
      <w:pPr>
        <w:spacing w:line="240" w:lineRule="auto"/>
        <w:rPr>
          <w:color w:val="000000"/>
          <w:szCs w:val="22"/>
        </w:rPr>
      </w:pPr>
    </w:p>
    <w:p w:rsidR="00A30B32" w:rsidRPr="00080A02" w:rsidRDefault="00A30B32" w:rsidP="00A30B32">
      <w:pPr>
        <w:spacing w:line="240" w:lineRule="auto"/>
        <w:rPr>
          <w:b/>
          <w:color w:val="000000"/>
          <w:szCs w:val="22"/>
        </w:rPr>
      </w:pPr>
      <w:r w:rsidRPr="00080A02">
        <w:rPr>
          <w:b/>
          <w:color w:val="000000"/>
          <w:szCs w:val="22"/>
        </w:rPr>
        <w:t>Public interest considerations favouring withholding the information</w:t>
      </w:r>
    </w:p>
    <w:p w:rsidR="00A30B32" w:rsidRPr="00080A02" w:rsidRDefault="00A30B32" w:rsidP="00A30B32">
      <w:pPr>
        <w:spacing w:line="240" w:lineRule="auto"/>
        <w:rPr>
          <w:color w:val="000000"/>
          <w:szCs w:val="22"/>
        </w:rPr>
      </w:pPr>
    </w:p>
    <w:p w:rsidR="00A30B32" w:rsidRPr="00080A02" w:rsidRDefault="00A30B32" w:rsidP="00A30B32">
      <w:pPr>
        <w:numPr>
          <w:ilvl w:val="0"/>
          <w:numId w:val="3"/>
        </w:numPr>
        <w:spacing w:line="240" w:lineRule="auto"/>
        <w:rPr>
          <w:color w:val="000000"/>
          <w:szCs w:val="22"/>
        </w:rPr>
      </w:pPr>
      <w:r w:rsidRPr="00080A02">
        <w:rPr>
          <w:color w:val="000000"/>
          <w:szCs w:val="22"/>
        </w:rPr>
        <w:t>It is in the public interest to adhere to the existing publication process for official statistics, which includes time for the data to be collated and properly verified.</w:t>
      </w:r>
    </w:p>
    <w:p w:rsidR="00A30B32" w:rsidRPr="00080A02" w:rsidRDefault="00A30B32" w:rsidP="00A30B32">
      <w:pPr>
        <w:spacing w:line="240" w:lineRule="auto"/>
        <w:rPr>
          <w:color w:val="000000"/>
          <w:szCs w:val="22"/>
        </w:rPr>
      </w:pPr>
    </w:p>
    <w:p w:rsidR="00A30B32" w:rsidRPr="00080A02" w:rsidRDefault="00A30B32" w:rsidP="00A30B32">
      <w:pPr>
        <w:numPr>
          <w:ilvl w:val="0"/>
          <w:numId w:val="3"/>
        </w:numPr>
        <w:spacing w:line="240" w:lineRule="auto"/>
        <w:rPr>
          <w:color w:val="000000"/>
          <w:szCs w:val="22"/>
        </w:rPr>
      </w:pPr>
      <w:r w:rsidRPr="00080A02">
        <w:rPr>
          <w:color w:val="000000"/>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A30B32" w:rsidRPr="00080A02" w:rsidRDefault="00A30B32" w:rsidP="00A30B32">
      <w:pPr>
        <w:spacing w:line="240" w:lineRule="auto"/>
        <w:rPr>
          <w:color w:val="000000"/>
          <w:szCs w:val="22"/>
        </w:rPr>
      </w:pPr>
    </w:p>
    <w:p w:rsidR="00A30B32" w:rsidRPr="00080A02" w:rsidRDefault="00A30B32" w:rsidP="00A30B32">
      <w:pPr>
        <w:spacing w:line="240" w:lineRule="auto"/>
        <w:rPr>
          <w:color w:val="000000"/>
          <w:szCs w:val="22"/>
        </w:rPr>
      </w:pPr>
      <w:r w:rsidRPr="00080A02">
        <w:rPr>
          <w:color w:val="000000"/>
          <w:szCs w:val="22"/>
        </w:rPr>
        <w:t>We reached the view that, on balance, the public interest is better served by withholding this information under section 22 of the FOIA at this time.</w:t>
      </w:r>
    </w:p>
    <w:p w:rsidR="00A30B32" w:rsidRPr="00080A02" w:rsidRDefault="00A30B32" w:rsidP="00A30B32">
      <w:pPr>
        <w:spacing w:line="240" w:lineRule="auto"/>
        <w:rPr>
          <w:color w:val="000000"/>
          <w:szCs w:val="22"/>
        </w:rPr>
      </w:pPr>
    </w:p>
    <w:p w:rsidR="00A30B32" w:rsidRPr="00080A02" w:rsidRDefault="00A513DC" w:rsidP="00A30B32">
      <w:pPr>
        <w:spacing w:line="240" w:lineRule="auto"/>
        <w:rPr>
          <w:color w:val="000000"/>
          <w:szCs w:val="22"/>
        </w:rPr>
      </w:pPr>
      <w:r w:rsidRPr="00080A02">
        <w:rPr>
          <w:color w:val="000000"/>
          <w:szCs w:val="22"/>
        </w:rPr>
        <w:t>Finally, please be informed the MoJ does not hold any information within the scope of your request concerning arrest data, as the 43 police force</w:t>
      </w:r>
      <w:r w:rsidR="008F1D3B" w:rsidRPr="00080A02">
        <w:rPr>
          <w:color w:val="000000"/>
          <w:szCs w:val="22"/>
        </w:rPr>
        <w:t>s</w:t>
      </w:r>
      <w:r w:rsidRPr="00080A02">
        <w:rPr>
          <w:color w:val="000000"/>
          <w:szCs w:val="22"/>
        </w:rPr>
        <w:t xml:space="preserve"> in England and Wales are the appropriate authorities to contact with regard to this.  They will all have their own FoI contact procedures.</w:t>
      </w:r>
      <w:r w:rsidR="008F1D3B" w:rsidRPr="00080A02">
        <w:rPr>
          <w:color w:val="000000"/>
          <w:szCs w:val="22"/>
        </w:rPr>
        <w:t xml:space="preserve">  Also, MoJ does not hold</w:t>
      </w:r>
      <w:r w:rsidR="00487C48">
        <w:rPr>
          <w:color w:val="000000"/>
          <w:szCs w:val="22"/>
        </w:rPr>
        <w:t xml:space="preserve"> information on recorded crime;</w:t>
      </w:r>
      <w:r w:rsidR="008F1D3B" w:rsidRPr="00080A02">
        <w:rPr>
          <w:color w:val="000000"/>
          <w:szCs w:val="22"/>
        </w:rPr>
        <w:t xml:space="preserve"> the Home Office is the appropriate authority to contact here.  Their contact details are linked below:-</w:t>
      </w:r>
    </w:p>
    <w:p w:rsidR="008F1D3B" w:rsidRPr="00080A02" w:rsidRDefault="008F1D3B" w:rsidP="00A30B32">
      <w:pPr>
        <w:spacing w:line="240" w:lineRule="auto"/>
        <w:rPr>
          <w:color w:val="000000"/>
          <w:szCs w:val="22"/>
        </w:rPr>
      </w:pPr>
    </w:p>
    <w:p w:rsidR="003B7A0B" w:rsidRDefault="008F1D3B" w:rsidP="00CD5DDD">
      <w:pPr>
        <w:spacing w:line="240" w:lineRule="auto"/>
        <w:rPr>
          <w:color w:val="0033CC"/>
          <w:szCs w:val="22"/>
        </w:rPr>
      </w:pPr>
      <w:hyperlink r:id="rId10" w:tooltip="mailto:crimestats@homeoffice.gsi.gov.uk" w:history="1">
        <w:r w:rsidRPr="008F1D3B">
          <w:rPr>
            <w:rFonts w:cs="Arial"/>
            <w:color w:val="0000FF"/>
            <w:szCs w:val="22"/>
            <w:u w:val="single"/>
          </w:rPr>
          <w:t>crimestats@homeoffice.gsi.gov.uk</w:t>
        </w:r>
      </w:hyperlink>
    </w:p>
    <w:p w:rsidR="00A413A1" w:rsidRDefault="00A413A1" w:rsidP="00CD5DDD">
      <w:pPr>
        <w:spacing w:line="240" w:lineRule="auto"/>
        <w:rPr>
          <w:rFonts w:cs="Arial"/>
          <w:b/>
          <w:szCs w:val="22"/>
        </w:rPr>
      </w:pPr>
    </w:p>
    <w:p w:rsidR="006E32CA" w:rsidRPr="009C4B46" w:rsidRDefault="006E32CA" w:rsidP="00CD5DDD">
      <w:pPr>
        <w:rPr>
          <w:color w:val="0000CC"/>
          <w:szCs w:val="22"/>
        </w:rPr>
      </w:pPr>
    </w:p>
    <w:sectPr w:rsidR="006E32CA" w:rsidRPr="009C4B46" w:rsidSect="00561341">
      <w:footerReference w:type="default" r:id="rId11"/>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C4" w:rsidRDefault="007606C4">
      <w:r>
        <w:separator/>
      </w:r>
    </w:p>
  </w:endnote>
  <w:endnote w:type="continuationSeparator" w:id="0">
    <w:p w:rsidR="007606C4" w:rsidRDefault="0076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F517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C4" w:rsidRDefault="007606C4">
      <w:r>
        <w:separator/>
      </w:r>
    </w:p>
  </w:footnote>
  <w:footnote w:type="continuationSeparator" w:id="0">
    <w:p w:rsidR="007606C4" w:rsidRDefault="0076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0A02"/>
    <w:rsid w:val="0008457A"/>
    <w:rsid w:val="0009138F"/>
    <w:rsid w:val="0009754B"/>
    <w:rsid w:val="000A3195"/>
    <w:rsid w:val="000E0259"/>
    <w:rsid w:val="000E5476"/>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616E"/>
    <w:rsid w:val="00375DDC"/>
    <w:rsid w:val="00376A97"/>
    <w:rsid w:val="00377D6F"/>
    <w:rsid w:val="0038642F"/>
    <w:rsid w:val="003A0AA7"/>
    <w:rsid w:val="003A633E"/>
    <w:rsid w:val="003B13CA"/>
    <w:rsid w:val="003B7A0B"/>
    <w:rsid w:val="003E2480"/>
    <w:rsid w:val="003E3E27"/>
    <w:rsid w:val="00401CAB"/>
    <w:rsid w:val="004269FC"/>
    <w:rsid w:val="00435D53"/>
    <w:rsid w:val="00444869"/>
    <w:rsid w:val="00445AB5"/>
    <w:rsid w:val="00453104"/>
    <w:rsid w:val="00457840"/>
    <w:rsid w:val="00471E48"/>
    <w:rsid w:val="00473A65"/>
    <w:rsid w:val="0048558F"/>
    <w:rsid w:val="00487C48"/>
    <w:rsid w:val="00496E7B"/>
    <w:rsid w:val="004D58C1"/>
    <w:rsid w:val="004E03C7"/>
    <w:rsid w:val="004E5205"/>
    <w:rsid w:val="004E5CF9"/>
    <w:rsid w:val="004F3A38"/>
    <w:rsid w:val="004F5467"/>
    <w:rsid w:val="0050006A"/>
    <w:rsid w:val="0052387E"/>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D21E1"/>
    <w:rsid w:val="005D2361"/>
    <w:rsid w:val="005E17C7"/>
    <w:rsid w:val="006045AB"/>
    <w:rsid w:val="00644B57"/>
    <w:rsid w:val="00652228"/>
    <w:rsid w:val="006647E4"/>
    <w:rsid w:val="00673F9E"/>
    <w:rsid w:val="00674BC9"/>
    <w:rsid w:val="0067514B"/>
    <w:rsid w:val="0067585E"/>
    <w:rsid w:val="00680B3A"/>
    <w:rsid w:val="00684760"/>
    <w:rsid w:val="00687093"/>
    <w:rsid w:val="00687276"/>
    <w:rsid w:val="006878E8"/>
    <w:rsid w:val="006C72DE"/>
    <w:rsid w:val="006D4627"/>
    <w:rsid w:val="006E32CA"/>
    <w:rsid w:val="006F32D9"/>
    <w:rsid w:val="006F41B2"/>
    <w:rsid w:val="00722FD5"/>
    <w:rsid w:val="0074259E"/>
    <w:rsid w:val="0075513B"/>
    <w:rsid w:val="007606C4"/>
    <w:rsid w:val="007A3DF8"/>
    <w:rsid w:val="007A63C5"/>
    <w:rsid w:val="007B7C57"/>
    <w:rsid w:val="007C5F7B"/>
    <w:rsid w:val="007C771A"/>
    <w:rsid w:val="007D4371"/>
    <w:rsid w:val="007D4761"/>
    <w:rsid w:val="007D5ED2"/>
    <w:rsid w:val="007F4AEE"/>
    <w:rsid w:val="00801B78"/>
    <w:rsid w:val="00805323"/>
    <w:rsid w:val="00821C44"/>
    <w:rsid w:val="00831B94"/>
    <w:rsid w:val="00832C18"/>
    <w:rsid w:val="00837E19"/>
    <w:rsid w:val="00844B67"/>
    <w:rsid w:val="00844D94"/>
    <w:rsid w:val="008565E0"/>
    <w:rsid w:val="00872D97"/>
    <w:rsid w:val="00880411"/>
    <w:rsid w:val="00882334"/>
    <w:rsid w:val="00892055"/>
    <w:rsid w:val="008970E9"/>
    <w:rsid w:val="008B21BB"/>
    <w:rsid w:val="008B36D2"/>
    <w:rsid w:val="008D45DA"/>
    <w:rsid w:val="008D564C"/>
    <w:rsid w:val="008F1D3B"/>
    <w:rsid w:val="00917EC7"/>
    <w:rsid w:val="00971CB8"/>
    <w:rsid w:val="009827DD"/>
    <w:rsid w:val="009853E8"/>
    <w:rsid w:val="00985CB8"/>
    <w:rsid w:val="00990F1F"/>
    <w:rsid w:val="009C4B46"/>
    <w:rsid w:val="009D5879"/>
    <w:rsid w:val="009E3F91"/>
    <w:rsid w:val="009E69FE"/>
    <w:rsid w:val="00A173AB"/>
    <w:rsid w:val="00A20BCD"/>
    <w:rsid w:val="00A30B32"/>
    <w:rsid w:val="00A349B1"/>
    <w:rsid w:val="00A40D87"/>
    <w:rsid w:val="00A413A1"/>
    <w:rsid w:val="00A459D4"/>
    <w:rsid w:val="00A4792D"/>
    <w:rsid w:val="00A513DC"/>
    <w:rsid w:val="00A76AFC"/>
    <w:rsid w:val="00A809DF"/>
    <w:rsid w:val="00AD7505"/>
    <w:rsid w:val="00AE7402"/>
    <w:rsid w:val="00AF2FD9"/>
    <w:rsid w:val="00B01B28"/>
    <w:rsid w:val="00B47082"/>
    <w:rsid w:val="00B8050D"/>
    <w:rsid w:val="00B81EF9"/>
    <w:rsid w:val="00B9009F"/>
    <w:rsid w:val="00B95043"/>
    <w:rsid w:val="00BB4B4B"/>
    <w:rsid w:val="00BF517B"/>
    <w:rsid w:val="00C56E27"/>
    <w:rsid w:val="00C66BE0"/>
    <w:rsid w:val="00C72245"/>
    <w:rsid w:val="00C753C4"/>
    <w:rsid w:val="00CB54AB"/>
    <w:rsid w:val="00CB65BF"/>
    <w:rsid w:val="00CC0B65"/>
    <w:rsid w:val="00CC54F9"/>
    <w:rsid w:val="00CD5DDD"/>
    <w:rsid w:val="00CE1BFE"/>
    <w:rsid w:val="00CF03AD"/>
    <w:rsid w:val="00CF0E52"/>
    <w:rsid w:val="00D010B0"/>
    <w:rsid w:val="00D04F64"/>
    <w:rsid w:val="00D11B61"/>
    <w:rsid w:val="00D14BA9"/>
    <w:rsid w:val="00D17E97"/>
    <w:rsid w:val="00D25431"/>
    <w:rsid w:val="00D34F07"/>
    <w:rsid w:val="00D354B2"/>
    <w:rsid w:val="00D62050"/>
    <w:rsid w:val="00D64C3E"/>
    <w:rsid w:val="00D66074"/>
    <w:rsid w:val="00D908A9"/>
    <w:rsid w:val="00DD1116"/>
    <w:rsid w:val="00DD4695"/>
    <w:rsid w:val="00DD5704"/>
    <w:rsid w:val="00DE4DDD"/>
    <w:rsid w:val="00DE65A5"/>
    <w:rsid w:val="00DE71AB"/>
    <w:rsid w:val="00E07BB4"/>
    <w:rsid w:val="00E51801"/>
    <w:rsid w:val="00E53522"/>
    <w:rsid w:val="00E910E7"/>
    <w:rsid w:val="00E92C99"/>
    <w:rsid w:val="00EA1E9A"/>
    <w:rsid w:val="00EB050F"/>
    <w:rsid w:val="00EB2BE8"/>
    <w:rsid w:val="00EB72DE"/>
    <w:rsid w:val="00ED3B30"/>
    <w:rsid w:val="00ED782D"/>
    <w:rsid w:val="00EE2AA6"/>
    <w:rsid w:val="00F012C4"/>
    <w:rsid w:val="00F24423"/>
    <w:rsid w:val="00F278D1"/>
    <w:rsid w:val="00F61AFC"/>
    <w:rsid w:val="00F74765"/>
    <w:rsid w:val="00F779B2"/>
    <w:rsid w:val="00F81AD5"/>
    <w:rsid w:val="00F82DB8"/>
    <w:rsid w:val="00F92115"/>
    <w:rsid w:val="00FB0124"/>
    <w:rsid w:val="00FB2D55"/>
    <w:rsid w:val="00FB3ED1"/>
    <w:rsid w:val="00FC5E0E"/>
    <w:rsid w:val="00FD6D06"/>
    <w:rsid w:val="00FE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E80FAE-DB8C-4742-B068-6EC92B20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05927">
      <w:bodyDiv w:val="1"/>
      <w:marLeft w:val="0"/>
      <w:marRight w:val="0"/>
      <w:marTop w:val="0"/>
      <w:marBottom w:val="0"/>
      <w:divBdr>
        <w:top w:val="none" w:sz="0" w:space="0" w:color="auto"/>
        <w:left w:val="none" w:sz="0" w:space="0" w:color="auto"/>
        <w:bottom w:val="none" w:sz="0" w:space="0" w:color="auto"/>
        <w:right w:val="none" w:sz="0" w:space="0" w:color="auto"/>
      </w:divBdr>
    </w:div>
    <w:div w:id="1567033742">
      <w:bodyDiv w:val="1"/>
      <w:marLeft w:val="0"/>
      <w:marRight w:val="0"/>
      <w:marTop w:val="0"/>
      <w:marBottom w:val="0"/>
      <w:divBdr>
        <w:top w:val="none" w:sz="0" w:space="0" w:color="auto"/>
        <w:left w:val="none" w:sz="0" w:space="0" w:color="auto"/>
        <w:bottom w:val="none" w:sz="0" w:space="0" w:color="auto"/>
        <w:right w:val="none" w:sz="0" w:space="0" w:color="auto"/>
      </w:divBdr>
    </w:div>
    <w:div w:id="1839037472">
      <w:bodyDiv w:val="1"/>
      <w:marLeft w:val="0"/>
      <w:marRight w:val="0"/>
      <w:marTop w:val="0"/>
      <w:marBottom w:val="0"/>
      <w:divBdr>
        <w:top w:val="none" w:sz="0" w:space="0" w:color="auto"/>
        <w:left w:val="none" w:sz="0" w:space="0" w:color="auto"/>
        <w:bottom w:val="none" w:sz="0" w:space="0" w:color="auto"/>
        <w:right w:val="none" w:sz="0" w:space="0" w:color="auto"/>
      </w:divBdr>
    </w:div>
    <w:div w:id="19183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rimestats@homeoffice.gsi.gov.uk" TargetMode="External"/><Relationship Id="rId4" Type="http://schemas.openxmlformats.org/officeDocument/2006/relationships/settings" Target="settings.xml"/><Relationship Id="rId9" Type="http://schemas.openxmlformats.org/officeDocument/2006/relationships/hyperlink" Target="https://www.gov.uk/government/statistics/criminal-justice-system-statistics-quarterly-december-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E0D8-B996-4570-A9D3-EB6B9710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3</Pages>
  <Words>931</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FOI 109605 Arson and Fire Related Offences Committed by Juveniles</vt:lpstr>
    </vt:vector>
  </TitlesOfParts>
  <Manager/>
  <Company>Ministry of Justice</Company>
  <LinksUpToDate>false</LinksUpToDate>
  <CharactersWithSpaces>6290</CharactersWithSpaces>
  <SharedDoc>false</SharedDoc>
  <HLinks>
    <vt:vector size="30" baseType="variant">
      <vt:variant>
        <vt:i4>5636139</vt:i4>
      </vt:variant>
      <vt:variant>
        <vt:i4>15</vt:i4>
      </vt:variant>
      <vt:variant>
        <vt:i4>0</vt:i4>
      </vt:variant>
      <vt:variant>
        <vt:i4>5</vt:i4>
      </vt:variant>
      <vt:variant>
        <vt:lpwstr>mailto:data.access@justice.gsi.gov.uk</vt:lpwstr>
      </vt:variant>
      <vt:variant>
        <vt:lpwstr/>
      </vt:variant>
      <vt:variant>
        <vt:i4>4653161</vt:i4>
      </vt:variant>
      <vt:variant>
        <vt:i4>12</vt:i4>
      </vt:variant>
      <vt:variant>
        <vt:i4>0</vt:i4>
      </vt:variant>
      <vt:variant>
        <vt:i4>5</vt:i4>
      </vt:variant>
      <vt:variant>
        <vt:lpwstr>mailto:crimestats@homeoffice.gsi.gov.uk</vt:lpwstr>
      </vt:variant>
      <vt:variant>
        <vt:lpwstr/>
      </vt:variant>
      <vt:variant>
        <vt:i4>3473513</vt:i4>
      </vt:variant>
      <vt:variant>
        <vt:i4>6</vt:i4>
      </vt:variant>
      <vt:variant>
        <vt:i4>0</vt:i4>
      </vt:variant>
      <vt:variant>
        <vt:i4>5</vt:i4>
      </vt:variant>
      <vt:variant>
        <vt:lpwstr>https://www.gov.uk/government/statistics/criminal-justice-system-statistics-quarterly-december-2015</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1441901</vt:i4>
      </vt:variant>
      <vt:variant>
        <vt:i4>0</vt:i4>
      </vt:variant>
      <vt:variant>
        <vt:i4>0</vt:i4>
      </vt:variant>
      <vt:variant>
        <vt:i4>5</vt:i4>
      </vt:variant>
      <vt:variant>
        <vt:lpwstr>C:\Users\dcarmich\AppData\Local\Microsoft\Windows\INetCache\IE\ICTXBBGG\dperks@bond.edu.au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109605 Arson and Fire Related Offences Committed by Juveniles</dc:title>
  <dc:subject>FOI Release</dc:subject>
  <dc:creator>MoJ</dc:creator>
  <cp:keywords/>
  <dc:description/>
  <cp:lastModifiedBy>Cox, Allan</cp:lastModifiedBy>
  <cp:revision>2</cp:revision>
  <cp:lastPrinted>2015-07-06T11:35:00Z</cp:lastPrinted>
  <dcterms:created xsi:type="dcterms:W3CDTF">2017-03-20T16:42:00Z</dcterms:created>
  <dcterms:modified xsi:type="dcterms:W3CDTF">2017-03-20T16:42:00Z</dcterms:modified>
  <cp:category/>
</cp:coreProperties>
</file>