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RPr="00FC6223" w:rsidTr="00886775">
        <w:trPr>
          <w:trHeight w:val="2977"/>
        </w:trPr>
        <w:tc>
          <w:tcPr>
            <w:tcW w:w="6379" w:type="dxa"/>
          </w:tcPr>
          <w:p w:rsidR="00C016D5" w:rsidRPr="00FC6223" w:rsidRDefault="00BA012F" w:rsidP="002C5025">
            <w:pPr>
              <w:pStyle w:val="MOJaddress"/>
              <w:rPr>
                <w:color w:val="000000"/>
              </w:rPr>
            </w:pPr>
            <w:r w:rsidRPr="00FC6223">
              <w:rPr>
                <w:noProof/>
                <w:color w:val="000000"/>
              </w:rPr>
              <w:drawing>
                <wp:inline distT="0" distB="0" distL="0" distR="0">
                  <wp:extent cx="977900" cy="755015"/>
                  <wp:effectExtent l="0" t="0" r="0" b="698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755015"/>
                          </a:xfrm>
                          <a:prstGeom prst="rect">
                            <a:avLst/>
                          </a:prstGeom>
                          <a:noFill/>
                          <a:ln>
                            <a:noFill/>
                          </a:ln>
                        </pic:spPr>
                      </pic:pic>
                    </a:graphicData>
                  </a:graphic>
                </wp:inline>
              </w:drawing>
            </w:r>
          </w:p>
          <w:p w:rsidR="00C016D5" w:rsidRPr="00FC6223" w:rsidRDefault="00C016D5" w:rsidP="002C5025">
            <w:pPr>
              <w:pStyle w:val="MOJaddress"/>
              <w:rPr>
                <w:color w:val="000000"/>
                <w:sz w:val="22"/>
                <w:szCs w:val="22"/>
              </w:rPr>
            </w:pPr>
          </w:p>
          <w:p w:rsidR="00C016D5" w:rsidRPr="00FC6223" w:rsidRDefault="00C016D5" w:rsidP="002C5025">
            <w:pPr>
              <w:pStyle w:val="MOJaddress"/>
              <w:rPr>
                <w:color w:val="000000"/>
                <w:sz w:val="22"/>
                <w:szCs w:val="22"/>
              </w:rPr>
            </w:pPr>
          </w:p>
          <w:p w:rsidR="00C016D5" w:rsidRPr="00FC6223" w:rsidRDefault="00C016D5" w:rsidP="009C4B46">
            <w:pPr>
              <w:pStyle w:val="MOJaddress"/>
              <w:rPr>
                <w:color w:val="000000"/>
                <w:sz w:val="22"/>
                <w:szCs w:val="22"/>
              </w:rPr>
            </w:pPr>
          </w:p>
          <w:p w:rsidR="00C016D5" w:rsidRPr="00FC6223" w:rsidRDefault="00C016D5" w:rsidP="009853E8">
            <w:pPr>
              <w:pStyle w:val="MOJaddress"/>
              <w:rPr>
                <w:color w:val="000000"/>
              </w:rPr>
            </w:pPr>
          </w:p>
        </w:tc>
        <w:tc>
          <w:tcPr>
            <w:tcW w:w="3261" w:type="dxa"/>
          </w:tcPr>
          <w:p w:rsidR="00C016D5" w:rsidRPr="00FC6223" w:rsidRDefault="00C016D5" w:rsidP="00D11624">
            <w:pPr>
              <w:pStyle w:val="MOJaddress"/>
              <w:ind w:left="284"/>
              <w:rPr>
                <w:color w:val="000000"/>
                <w:sz w:val="22"/>
                <w:szCs w:val="22"/>
              </w:rPr>
            </w:pPr>
          </w:p>
          <w:p w:rsidR="00BA012F" w:rsidRDefault="00BA012F" w:rsidP="00D11624">
            <w:pPr>
              <w:pStyle w:val="MOJaddress"/>
              <w:rPr>
                <w:color w:val="000000"/>
                <w:sz w:val="22"/>
                <w:szCs w:val="22"/>
              </w:rPr>
            </w:pPr>
          </w:p>
          <w:p w:rsidR="00BA012F" w:rsidRDefault="00BA012F" w:rsidP="00D11624">
            <w:pPr>
              <w:pStyle w:val="MOJaddress"/>
              <w:rPr>
                <w:color w:val="000000"/>
                <w:sz w:val="22"/>
                <w:szCs w:val="22"/>
              </w:rPr>
            </w:pPr>
          </w:p>
          <w:p w:rsidR="00BA012F" w:rsidRDefault="00BA012F" w:rsidP="00D11624">
            <w:pPr>
              <w:pStyle w:val="MOJaddress"/>
              <w:rPr>
                <w:color w:val="000000"/>
                <w:sz w:val="22"/>
                <w:szCs w:val="22"/>
              </w:rPr>
            </w:pPr>
          </w:p>
          <w:p w:rsidR="00BA012F" w:rsidRDefault="00BA012F" w:rsidP="00D11624">
            <w:pPr>
              <w:pStyle w:val="MOJaddress"/>
              <w:rPr>
                <w:color w:val="000000"/>
                <w:sz w:val="22"/>
                <w:szCs w:val="22"/>
              </w:rPr>
            </w:pPr>
          </w:p>
          <w:p w:rsidR="00BA012F" w:rsidRDefault="00BA012F" w:rsidP="00D11624">
            <w:pPr>
              <w:pStyle w:val="MOJaddress"/>
              <w:rPr>
                <w:color w:val="000000"/>
                <w:sz w:val="22"/>
                <w:szCs w:val="22"/>
              </w:rPr>
            </w:pPr>
          </w:p>
          <w:p w:rsidR="00C016D5" w:rsidRPr="00FC6223" w:rsidRDefault="00F620FC" w:rsidP="00D11624">
            <w:pPr>
              <w:pStyle w:val="MOJaddress"/>
              <w:rPr>
                <w:color w:val="000000"/>
              </w:rPr>
            </w:pPr>
            <w:r w:rsidRPr="00FC6223">
              <w:rPr>
                <w:color w:val="000000"/>
                <w:sz w:val="22"/>
                <w:szCs w:val="22"/>
              </w:rPr>
              <w:t>January 2017</w:t>
            </w:r>
          </w:p>
        </w:tc>
      </w:tr>
    </w:tbl>
    <w:p w:rsidR="009853E8" w:rsidRPr="00FC6223" w:rsidRDefault="009853E8" w:rsidP="007A3DF8">
      <w:pPr>
        <w:rPr>
          <w:b/>
          <w:color w:val="000000"/>
          <w:szCs w:val="22"/>
        </w:rPr>
      </w:pPr>
    </w:p>
    <w:p w:rsidR="009853E8" w:rsidRPr="00FC6223" w:rsidRDefault="007A3DF8" w:rsidP="009853E8">
      <w:pPr>
        <w:rPr>
          <w:b/>
          <w:color w:val="000000"/>
          <w:szCs w:val="22"/>
        </w:rPr>
      </w:pPr>
      <w:r w:rsidRPr="00FC6223">
        <w:rPr>
          <w:b/>
          <w:color w:val="000000"/>
          <w:szCs w:val="22"/>
        </w:rPr>
        <w:t xml:space="preserve">Freedom of Information Act (FOIA) Request – </w:t>
      </w:r>
      <w:r w:rsidR="0091249A" w:rsidRPr="00FC6223">
        <w:rPr>
          <w:color w:val="000000"/>
          <w:szCs w:val="22"/>
        </w:rPr>
        <w:t>109534</w:t>
      </w:r>
    </w:p>
    <w:p w:rsidR="009853E8" w:rsidRPr="00FC6223" w:rsidRDefault="009853E8" w:rsidP="009853E8">
      <w:pPr>
        <w:rPr>
          <w:b/>
          <w:color w:val="000000"/>
          <w:szCs w:val="22"/>
        </w:rPr>
      </w:pPr>
    </w:p>
    <w:p w:rsidR="00CA5194" w:rsidRPr="00FC6223" w:rsidRDefault="00BA012F" w:rsidP="00CA5194">
      <w:pPr>
        <w:rPr>
          <w:color w:val="000000"/>
        </w:rPr>
      </w:pPr>
      <w:r>
        <w:rPr>
          <w:color w:val="000000"/>
        </w:rPr>
        <w:t xml:space="preserve">You </w:t>
      </w:r>
      <w:r w:rsidR="00CA5194" w:rsidRPr="00FC6223">
        <w:rPr>
          <w:color w:val="000000"/>
        </w:rPr>
        <w:t xml:space="preserve">asked for the following information from the Ministry of Justice (MoJ):  </w:t>
      </w:r>
    </w:p>
    <w:p w:rsidR="00CA5194" w:rsidRPr="00FC6223" w:rsidRDefault="00CA5194" w:rsidP="00CA5194">
      <w:pPr>
        <w:rPr>
          <w:rFonts w:cs="Arial"/>
          <w:color w:val="000000"/>
          <w:szCs w:val="22"/>
        </w:rPr>
      </w:pPr>
    </w:p>
    <w:p w:rsidR="0091249A" w:rsidRPr="00FC6223" w:rsidRDefault="0091249A" w:rsidP="0091249A">
      <w:pPr>
        <w:rPr>
          <w:rFonts w:cs="Arial"/>
          <w:b/>
          <w:color w:val="000000"/>
          <w:szCs w:val="22"/>
          <w:lang w:val="en-IE"/>
        </w:rPr>
      </w:pPr>
      <w:r w:rsidRPr="00FC6223">
        <w:rPr>
          <w:rFonts w:cs="Arial"/>
          <w:b/>
          <w:color w:val="000000"/>
          <w:szCs w:val="22"/>
          <w:lang w:val="en-IE"/>
        </w:rPr>
        <w:t>I am doing research in the field of money laundering.</w:t>
      </w:r>
    </w:p>
    <w:p w:rsidR="0091249A" w:rsidRPr="00FC6223" w:rsidRDefault="0091249A" w:rsidP="0091249A">
      <w:pPr>
        <w:rPr>
          <w:rFonts w:cs="Arial"/>
          <w:b/>
          <w:color w:val="000000"/>
          <w:szCs w:val="22"/>
          <w:lang w:val="en-IE"/>
        </w:rPr>
      </w:pPr>
    </w:p>
    <w:p w:rsidR="0091249A" w:rsidRPr="00FC6223" w:rsidRDefault="0091249A" w:rsidP="0091249A">
      <w:pPr>
        <w:rPr>
          <w:rFonts w:cs="Arial"/>
          <w:b/>
          <w:color w:val="000000"/>
          <w:szCs w:val="22"/>
          <w:lang w:val="en-IE"/>
        </w:rPr>
      </w:pPr>
      <w:r w:rsidRPr="00FC6223">
        <w:rPr>
          <w:rFonts w:cs="Arial"/>
          <w:b/>
          <w:color w:val="000000"/>
          <w:szCs w:val="22"/>
          <w:lang w:val="en-IE"/>
        </w:rPr>
        <w:t>I would be grateful if you could provide recent information on convictions in the UK for the offence of tipping-off under the Proceeds of Crime Act 2002. Ideally I would like details of the latest convictions (as opposed to conviction-rate statistics), as we include selected case studies in our courses. However, I will welcome whatever is available.</w:t>
      </w:r>
      <w:bookmarkStart w:id="0" w:name="_GoBack"/>
      <w:bookmarkEnd w:id="0"/>
    </w:p>
    <w:p w:rsidR="0091249A" w:rsidRPr="00FC6223" w:rsidRDefault="0091249A" w:rsidP="0091249A">
      <w:pPr>
        <w:rPr>
          <w:rFonts w:cs="Arial"/>
          <w:b/>
          <w:color w:val="000000"/>
          <w:szCs w:val="22"/>
          <w:lang w:val="en-IE"/>
        </w:rPr>
      </w:pPr>
    </w:p>
    <w:p w:rsidR="0091249A" w:rsidRPr="00FC6223" w:rsidRDefault="0091249A" w:rsidP="0091249A">
      <w:pPr>
        <w:rPr>
          <w:rFonts w:cs="Arial"/>
          <w:b/>
          <w:color w:val="000000"/>
          <w:szCs w:val="22"/>
          <w:lang w:val="en-IE"/>
        </w:rPr>
      </w:pPr>
      <w:r w:rsidRPr="00FC6223">
        <w:rPr>
          <w:rFonts w:cs="Arial"/>
          <w:b/>
          <w:color w:val="000000"/>
          <w:szCs w:val="22"/>
          <w:lang w:val="en-IE"/>
        </w:rPr>
        <w:t>Could I also point out FYI that on doing a Google search for this information, I received results that included your letter of Dec. 2014 to a Mercedes Benz employee (your ref. 947-14 FOI 94804) in answer to a similar request, but not the attached information, so possibly a link needs attention.</w:t>
      </w:r>
    </w:p>
    <w:p w:rsidR="0091249A" w:rsidRPr="00FC6223" w:rsidRDefault="0091249A" w:rsidP="0091249A">
      <w:pPr>
        <w:rPr>
          <w:rFonts w:cs="Arial"/>
          <w:b/>
          <w:color w:val="000000"/>
          <w:szCs w:val="22"/>
          <w:lang w:val="en-IE"/>
        </w:rPr>
      </w:pPr>
    </w:p>
    <w:p w:rsidR="0091249A" w:rsidRPr="00FC6223" w:rsidRDefault="0091249A" w:rsidP="0091249A">
      <w:pPr>
        <w:rPr>
          <w:rFonts w:cs="Arial"/>
          <w:b/>
          <w:color w:val="000000"/>
          <w:szCs w:val="22"/>
          <w:lang w:val="en-IE"/>
        </w:rPr>
      </w:pPr>
      <w:r w:rsidRPr="00FC6223">
        <w:rPr>
          <w:rFonts w:cs="Arial"/>
          <w:b/>
          <w:color w:val="000000"/>
          <w:szCs w:val="22"/>
          <w:lang w:val="en-IE"/>
        </w:rPr>
        <w:t>Thank you in advance for any assistance you may be able to provide,</w:t>
      </w:r>
    </w:p>
    <w:p w:rsidR="00CA5194" w:rsidRDefault="00CA5194" w:rsidP="00CA5194">
      <w:pPr>
        <w:rPr>
          <w:rFonts w:cs="Arial"/>
          <w:szCs w:val="22"/>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CA5194" w:rsidRPr="00FC6223" w:rsidRDefault="00CA5194" w:rsidP="00CA5194">
      <w:pPr>
        <w:rPr>
          <w:rFonts w:cs="Arial"/>
          <w:color w:val="000000"/>
          <w:szCs w:val="22"/>
        </w:rPr>
      </w:pPr>
      <w:r>
        <w:rPr>
          <w:rFonts w:cs="Arial"/>
          <w:szCs w:val="22"/>
        </w:rPr>
        <w:t>I can confirm that the MoJ holds</w:t>
      </w:r>
      <w:r w:rsidR="0091249A">
        <w:rPr>
          <w:rFonts w:cs="Arial"/>
          <w:szCs w:val="22"/>
        </w:rPr>
        <w:t xml:space="preserve"> some of</w:t>
      </w:r>
      <w:r>
        <w:rPr>
          <w:rFonts w:cs="Arial"/>
          <w:szCs w:val="22"/>
        </w:rPr>
        <w:t xml:space="preserve"> the information that you have requested and I have provided </w:t>
      </w:r>
      <w:r w:rsidRPr="00FC6223">
        <w:rPr>
          <w:rFonts w:cs="Arial"/>
          <w:color w:val="000000"/>
          <w:szCs w:val="22"/>
        </w:rPr>
        <w:t xml:space="preserve">it </w:t>
      </w:r>
      <w:r w:rsidR="0091249A" w:rsidRPr="00FC6223">
        <w:rPr>
          <w:rFonts w:cs="Arial"/>
          <w:color w:val="000000"/>
          <w:szCs w:val="22"/>
        </w:rPr>
        <w:t>in the attached table, which provides the number of offenders found guilty at all courts of tipping off, in England and Wales, from 2003 to 2015 (latest available)</w:t>
      </w:r>
      <w:r w:rsidRPr="00FC6223">
        <w:rPr>
          <w:rFonts w:cs="Arial"/>
          <w:color w:val="000000"/>
          <w:szCs w:val="22"/>
        </w:rPr>
        <w:t>.</w:t>
      </w:r>
    </w:p>
    <w:p w:rsidR="00CA5194" w:rsidRDefault="00CA5194" w:rsidP="00CA5194">
      <w:pPr>
        <w:rPr>
          <w:rFonts w:cs="Arial"/>
          <w:color w:val="0000CC"/>
          <w:szCs w:val="22"/>
        </w:rPr>
      </w:pPr>
    </w:p>
    <w:p w:rsidR="00C92C86" w:rsidRPr="00C92C86" w:rsidRDefault="00C92C86" w:rsidP="00C92C86">
      <w:pPr>
        <w:rPr>
          <w:rFonts w:cs="Arial"/>
          <w:szCs w:val="22"/>
        </w:rPr>
      </w:pPr>
      <w:r w:rsidRPr="00C92C86">
        <w:rPr>
          <w:rFonts w:cs="Arial"/>
          <w:szCs w:val="22"/>
        </w:rPr>
        <w:t xml:space="preserve">Please note that statistics reported to Justice </w:t>
      </w:r>
      <w:smartTag w:uri="urn:schemas-microsoft-com:office:smarttags" w:element="PersonName">
        <w:r w:rsidRPr="00C92C86">
          <w:rPr>
            <w:rFonts w:cs="Arial"/>
            <w:szCs w:val="22"/>
          </w:rPr>
          <w:t>Statistics</w:t>
        </w:r>
      </w:smartTag>
      <w:r w:rsidRPr="00C92C86">
        <w:rPr>
          <w:rFonts w:cs="Arial"/>
          <w:szCs w:val="22"/>
        </w:rPr>
        <w:t xml:space="preserve"> Analytical Services cover England and Wales only. If you wish to receive statistics on court proceedings in Scotland or Northern Ireland, these are under the remit of the Scottish Government and the Department of Justice Northern Ireland.  They can be contacted via the below links:-</w:t>
      </w:r>
    </w:p>
    <w:p w:rsidR="00C92C86" w:rsidRPr="00C92C86" w:rsidRDefault="00C92C86" w:rsidP="00C92C86">
      <w:pPr>
        <w:rPr>
          <w:rFonts w:cs="Arial"/>
          <w:szCs w:val="22"/>
        </w:rPr>
      </w:pPr>
    </w:p>
    <w:p w:rsidR="00C92C86" w:rsidRPr="00C92C86" w:rsidRDefault="00C92C86" w:rsidP="00C92C86">
      <w:pPr>
        <w:rPr>
          <w:rFonts w:cs="Arial"/>
          <w:color w:val="3333FF"/>
          <w:szCs w:val="22"/>
          <w:u w:val="single"/>
        </w:rPr>
      </w:pPr>
      <w:hyperlink r:id="rId9" w:history="1">
        <w:r w:rsidRPr="00C92C86">
          <w:rPr>
            <w:rStyle w:val="Hyperlink"/>
            <w:rFonts w:cs="Arial"/>
            <w:color w:val="3333FF"/>
            <w:szCs w:val="22"/>
            <w:u w:val="single"/>
          </w:rPr>
          <w:t>http://www.scotland.gov.uk/About/Information/FOI</w:t>
        </w:r>
      </w:hyperlink>
    </w:p>
    <w:p w:rsidR="00C92C86" w:rsidRPr="00C92C86" w:rsidRDefault="00C92C86" w:rsidP="00C92C86">
      <w:pPr>
        <w:rPr>
          <w:rFonts w:cs="Arial"/>
          <w:color w:val="3333FF"/>
          <w:szCs w:val="22"/>
          <w:u w:val="single"/>
        </w:rPr>
      </w:pPr>
    </w:p>
    <w:p w:rsidR="00C92C86" w:rsidRPr="00C92C86" w:rsidRDefault="00C92C86" w:rsidP="00C92C86">
      <w:pPr>
        <w:rPr>
          <w:rFonts w:cs="Arial"/>
          <w:color w:val="3333FF"/>
          <w:szCs w:val="22"/>
          <w:u w:val="single"/>
        </w:rPr>
      </w:pPr>
      <w:hyperlink r:id="rId10" w:history="1">
        <w:r w:rsidRPr="00C92C86">
          <w:rPr>
            <w:rStyle w:val="Hyperlink"/>
            <w:rFonts w:cs="Arial"/>
            <w:color w:val="3333FF"/>
            <w:szCs w:val="22"/>
            <w:u w:val="single"/>
          </w:rPr>
          <w:t>http://www.dojni.gov.uk/index/foi.htm</w:t>
        </w:r>
      </w:hyperlink>
    </w:p>
    <w:p w:rsidR="00C92C86" w:rsidRDefault="00C92C86" w:rsidP="00C92C86">
      <w:pPr>
        <w:rPr>
          <w:rFonts w:cs="Arial"/>
          <w:b/>
          <w:szCs w:val="22"/>
        </w:rPr>
      </w:pPr>
    </w:p>
    <w:p w:rsidR="008F1A57" w:rsidRPr="00280BD1" w:rsidRDefault="00280BD1" w:rsidP="00C92C86">
      <w:pPr>
        <w:rPr>
          <w:rFonts w:cs="Arial"/>
          <w:szCs w:val="22"/>
        </w:rPr>
      </w:pPr>
      <w:r>
        <w:rPr>
          <w:rFonts w:cs="Arial"/>
          <w:szCs w:val="22"/>
        </w:rPr>
        <w:t xml:space="preserve">Outside the scope of the Act, I can also answer your question concerning </w:t>
      </w:r>
      <w:r w:rsidR="008F1A57">
        <w:rPr>
          <w:rFonts w:cs="Arial"/>
          <w:szCs w:val="22"/>
        </w:rPr>
        <w:t xml:space="preserve">the link.  The link is to the page linked below.  However, when we refer in a response to something being attached, it is because it is also attached to the same email.  In the case of the disclosure log, which this is, </w:t>
      </w:r>
      <w:r w:rsidR="00127CAF">
        <w:rPr>
          <w:rFonts w:cs="Arial"/>
          <w:szCs w:val="22"/>
        </w:rPr>
        <w:t xml:space="preserve">the excel spreadsheet providing the figures is located in the next document </w:t>
      </w:r>
      <w:r w:rsidR="00127CAF">
        <w:rPr>
          <w:rFonts w:cs="Arial"/>
          <w:szCs w:val="22"/>
        </w:rPr>
        <w:lastRenderedPageBreak/>
        <w:t>down on the log.  You will note that has the same title; however, an excel format rather than Microsoft Word.</w:t>
      </w:r>
    </w:p>
    <w:p w:rsidR="00FE0700" w:rsidRDefault="00FE0700" w:rsidP="00CA5194">
      <w:pPr>
        <w:rPr>
          <w:rFonts w:cs="Arial"/>
          <w:b/>
          <w:szCs w:val="22"/>
        </w:rPr>
      </w:pPr>
    </w:p>
    <w:p w:rsidR="008F1A57" w:rsidRPr="008F1A57" w:rsidRDefault="008F1A57" w:rsidP="00CA5194">
      <w:pPr>
        <w:rPr>
          <w:rFonts w:cs="Arial"/>
          <w:color w:val="3333FF"/>
          <w:szCs w:val="22"/>
          <w:u w:val="single"/>
        </w:rPr>
      </w:pPr>
      <w:hyperlink r:id="rId11" w:history="1">
        <w:r w:rsidRPr="008F1A57">
          <w:rPr>
            <w:rStyle w:val="Hyperlink"/>
            <w:rFonts w:cs="Arial"/>
            <w:color w:val="3333FF"/>
            <w:szCs w:val="22"/>
            <w:u w:val="single"/>
          </w:rPr>
          <w:t>https://www.gov.uk/government/publications/foi-releases-for-december-2014</w:t>
        </w:r>
      </w:hyperlink>
    </w:p>
    <w:p w:rsidR="008F1A57" w:rsidRPr="00127CAF" w:rsidRDefault="008F1A57" w:rsidP="00CA5194">
      <w:pPr>
        <w:rPr>
          <w:rFonts w:cs="Arial"/>
          <w:szCs w:val="22"/>
        </w:rPr>
      </w:pPr>
    </w:p>
    <w:sectPr w:rsidR="008F1A57" w:rsidRPr="00127CAF" w:rsidSect="00561341">
      <w:footerReference w:type="default" r:id="rId12"/>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45B" w:rsidRDefault="0093745B">
      <w:r>
        <w:separator/>
      </w:r>
    </w:p>
  </w:endnote>
  <w:endnote w:type="continuationSeparator" w:id="0">
    <w:p w:rsidR="0093745B" w:rsidRDefault="0093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A012F">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45B" w:rsidRDefault="0093745B">
      <w:r>
        <w:separator/>
      </w:r>
    </w:p>
  </w:footnote>
  <w:footnote w:type="continuationSeparator" w:id="0">
    <w:p w:rsidR="0093745B" w:rsidRDefault="00937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106DEE"/>
    <w:rsid w:val="00127CAF"/>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5FC6"/>
    <w:rsid w:val="00273E23"/>
    <w:rsid w:val="00280BD1"/>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269FC"/>
    <w:rsid w:val="00435D53"/>
    <w:rsid w:val="00444869"/>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A196C"/>
    <w:rsid w:val="005A1FB5"/>
    <w:rsid w:val="005B1E5F"/>
    <w:rsid w:val="005B28FC"/>
    <w:rsid w:val="005C1749"/>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513B"/>
    <w:rsid w:val="007A3DF8"/>
    <w:rsid w:val="007B7C57"/>
    <w:rsid w:val="007C5F7B"/>
    <w:rsid w:val="007C771A"/>
    <w:rsid w:val="007D4371"/>
    <w:rsid w:val="007D4761"/>
    <w:rsid w:val="007D5ED2"/>
    <w:rsid w:val="007D6630"/>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8F1A57"/>
    <w:rsid w:val="0091249A"/>
    <w:rsid w:val="00917EC7"/>
    <w:rsid w:val="0093745B"/>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76AFC"/>
    <w:rsid w:val="00A809DF"/>
    <w:rsid w:val="00AD7505"/>
    <w:rsid w:val="00AE7402"/>
    <w:rsid w:val="00AF2FD9"/>
    <w:rsid w:val="00B01B28"/>
    <w:rsid w:val="00B47082"/>
    <w:rsid w:val="00B8050D"/>
    <w:rsid w:val="00B81EF9"/>
    <w:rsid w:val="00B9009F"/>
    <w:rsid w:val="00B95043"/>
    <w:rsid w:val="00BA012F"/>
    <w:rsid w:val="00BB4B4B"/>
    <w:rsid w:val="00C016D5"/>
    <w:rsid w:val="00C56E27"/>
    <w:rsid w:val="00C66BE0"/>
    <w:rsid w:val="00C72245"/>
    <w:rsid w:val="00C92C86"/>
    <w:rsid w:val="00CA5194"/>
    <w:rsid w:val="00CB54AB"/>
    <w:rsid w:val="00CB65BF"/>
    <w:rsid w:val="00CC0B65"/>
    <w:rsid w:val="00CC1F67"/>
    <w:rsid w:val="00CC54F9"/>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72DE"/>
    <w:rsid w:val="00ED3B30"/>
    <w:rsid w:val="00ED782D"/>
    <w:rsid w:val="00EE2AA6"/>
    <w:rsid w:val="00F012C4"/>
    <w:rsid w:val="00F24423"/>
    <w:rsid w:val="00F61AFC"/>
    <w:rsid w:val="00F620FC"/>
    <w:rsid w:val="00F74765"/>
    <w:rsid w:val="00F779B2"/>
    <w:rsid w:val="00F81AD5"/>
    <w:rsid w:val="00F82DB8"/>
    <w:rsid w:val="00F92115"/>
    <w:rsid w:val="00FB0124"/>
    <w:rsid w:val="00FB2D55"/>
    <w:rsid w:val="00FB3ED1"/>
    <w:rsid w:val="00FC5E0E"/>
    <w:rsid w:val="00FC6223"/>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B1161C52-FAFB-42CD-92BA-DCA7B4A2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143721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oi-releases-for-december-2014" TargetMode="External"/><Relationship Id="rId5" Type="http://schemas.openxmlformats.org/officeDocument/2006/relationships/webSettings" Target="webSettings.xml"/><Relationship Id="rId10" Type="http://schemas.openxmlformats.org/officeDocument/2006/relationships/hyperlink" Target="http://www.dojni.gov.uk/index/foi.htm" TargetMode="External"/><Relationship Id="rId4" Type="http://schemas.openxmlformats.org/officeDocument/2006/relationships/settings" Target="settings.xml"/><Relationship Id="rId9" Type="http://schemas.openxmlformats.org/officeDocument/2006/relationships/hyperlink" Target="http://www.scotland.gov.uk/About/Information/FO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2CE04-81F6-4D27-BEDE-6A83702F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365</Words>
  <Characters>2083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FOI 109534 Convictions for Tipping-Off under the Proceeds of Crime Act 2002</vt:lpstr>
    </vt:vector>
  </TitlesOfParts>
  <Manager/>
  <Company>Ministry of Justice</Company>
  <LinksUpToDate>false</LinksUpToDate>
  <CharactersWithSpaces>2444</CharactersWithSpaces>
  <SharedDoc>false</SharedDoc>
  <HLinks>
    <vt:vector size="30" baseType="variant">
      <vt:variant>
        <vt:i4>5636139</vt:i4>
      </vt:variant>
      <vt:variant>
        <vt:i4>12</vt:i4>
      </vt:variant>
      <vt:variant>
        <vt:i4>0</vt:i4>
      </vt:variant>
      <vt:variant>
        <vt:i4>5</vt:i4>
      </vt:variant>
      <vt:variant>
        <vt:lpwstr>mailto:data.access@justice.gsi.gov.uk</vt:lpwstr>
      </vt:variant>
      <vt:variant>
        <vt:lpwstr/>
      </vt:variant>
      <vt:variant>
        <vt:i4>5636104</vt:i4>
      </vt:variant>
      <vt:variant>
        <vt:i4>9</vt:i4>
      </vt:variant>
      <vt:variant>
        <vt:i4>0</vt:i4>
      </vt:variant>
      <vt:variant>
        <vt:i4>5</vt:i4>
      </vt:variant>
      <vt:variant>
        <vt:lpwstr>https://www.gov.uk/government/publications/foi-releases-for-december-2014</vt:lpwstr>
      </vt:variant>
      <vt:variant>
        <vt:lpwstr/>
      </vt:variant>
      <vt:variant>
        <vt:i4>1441863</vt:i4>
      </vt:variant>
      <vt:variant>
        <vt:i4>6</vt:i4>
      </vt:variant>
      <vt:variant>
        <vt:i4>0</vt:i4>
      </vt:variant>
      <vt:variant>
        <vt:i4>5</vt:i4>
      </vt:variant>
      <vt:variant>
        <vt:lpwstr>http://www.dojni.gov.uk/index/foi.htm</vt:lpwstr>
      </vt:variant>
      <vt:variant>
        <vt:lpwstr/>
      </vt:variant>
      <vt:variant>
        <vt:i4>6225926</vt:i4>
      </vt:variant>
      <vt:variant>
        <vt:i4>3</vt:i4>
      </vt:variant>
      <vt:variant>
        <vt:i4>0</vt:i4>
      </vt:variant>
      <vt:variant>
        <vt:i4>5</vt:i4>
      </vt:variant>
      <vt:variant>
        <vt:lpwstr>http://www.scotland.gov.uk/About/Information/FOI</vt:lpwstr>
      </vt:variant>
      <vt:variant>
        <vt:lpwstr/>
      </vt: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109534 Convictions for Tipping-Off under the Proceeds of Crime Act 2002</dc:title>
  <dc:subject>FOI Release</dc:subject>
  <dc:creator>MoJ</dc:creator>
  <cp:keywords/>
  <dc:description/>
  <cp:lastModifiedBy>Cox, Allan</cp:lastModifiedBy>
  <cp:revision>2</cp:revision>
  <cp:lastPrinted>2015-07-06T11:35:00Z</cp:lastPrinted>
  <dcterms:created xsi:type="dcterms:W3CDTF">2017-03-20T16:23:00Z</dcterms:created>
  <dcterms:modified xsi:type="dcterms:W3CDTF">2017-03-20T16:23:00Z</dcterms:modified>
  <cp:category/>
</cp:coreProperties>
</file>