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3" w:type="dxa"/>
        <w:tblInd w:w="-1214" w:type="dxa"/>
        <w:tblLayout w:type="fixed"/>
        <w:tblCellMar>
          <w:left w:w="0" w:type="dxa"/>
          <w:right w:w="0" w:type="dxa"/>
        </w:tblCellMar>
        <w:tblLook w:val="0000" w:firstRow="0" w:lastRow="0" w:firstColumn="0" w:lastColumn="0" w:noHBand="0" w:noVBand="0"/>
      </w:tblPr>
      <w:tblGrid>
        <w:gridCol w:w="1223"/>
        <w:gridCol w:w="6169"/>
        <w:gridCol w:w="181"/>
        <w:gridCol w:w="3170"/>
      </w:tblGrid>
      <w:tr w:rsidR="00AF6F11" w:rsidTr="004A608E">
        <w:tblPrEx>
          <w:tblCellMar>
            <w:top w:w="0" w:type="dxa"/>
            <w:left w:w="0" w:type="dxa"/>
            <w:bottom w:w="0" w:type="dxa"/>
            <w:right w:w="0" w:type="dxa"/>
          </w:tblCellMar>
        </w:tblPrEx>
        <w:trPr>
          <w:cantSplit/>
          <w:trHeight w:val="366"/>
        </w:trPr>
        <w:tc>
          <w:tcPr>
            <w:tcW w:w="7392" w:type="dxa"/>
            <w:gridSpan w:val="2"/>
            <w:tcBorders>
              <w:top w:val="nil"/>
            </w:tcBorders>
          </w:tcPr>
          <w:p w:rsidR="00AF6F11" w:rsidRDefault="00AF6F11" w:rsidP="00CF776B">
            <w:pPr>
              <w:rPr>
                <w:rFonts w:ascii="Arial" w:hAnsi="Arial"/>
                <w:color w:val="000000"/>
                <w:sz w:val="22"/>
              </w:rPr>
            </w:pPr>
            <w:r w:rsidRPr="00C8797E">
              <w:rPr>
                <w:rFonts w:ascii="Arial" w:hAnsi="Arial"/>
                <w:color w:val="000000"/>
                <w:sz w:val="22"/>
              </w:rPr>
              <w:t xml:space="preserve">   </w:t>
            </w:r>
            <w:r w:rsidR="000412BC" w:rsidRPr="0058203E">
              <w:rPr>
                <w:rFonts w:ascii="Arial" w:hAnsi="Arial"/>
                <w:noProof/>
                <w:color w:val="000000"/>
                <w:sz w:val="22"/>
              </w:rPr>
              <w:drawing>
                <wp:inline distT="0" distB="0" distL="0" distR="0">
                  <wp:extent cx="1414145" cy="1116330"/>
                  <wp:effectExtent l="0" t="0" r="0" b="7620"/>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145" cy="1116330"/>
                          </a:xfrm>
                          <a:prstGeom prst="rect">
                            <a:avLst/>
                          </a:prstGeom>
                          <a:noFill/>
                          <a:ln>
                            <a:noFill/>
                          </a:ln>
                        </pic:spPr>
                      </pic:pic>
                    </a:graphicData>
                  </a:graphic>
                </wp:inline>
              </w:drawing>
            </w:r>
          </w:p>
          <w:p w:rsidR="0058203E" w:rsidRPr="00C8797E" w:rsidRDefault="0058203E" w:rsidP="00CF776B">
            <w:pPr>
              <w:rPr>
                <w:rFonts w:ascii="Arial" w:hAnsi="Arial"/>
                <w:color w:val="000000"/>
                <w:sz w:val="22"/>
              </w:rPr>
            </w:pPr>
          </w:p>
        </w:tc>
        <w:tc>
          <w:tcPr>
            <w:tcW w:w="181" w:type="dxa"/>
          </w:tcPr>
          <w:p w:rsidR="00AF6F11" w:rsidRPr="00C8797E" w:rsidRDefault="00AF6F11" w:rsidP="00CF776B">
            <w:pPr>
              <w:pStyle w:val="MOJnormal"/>
              <w:rPr>
                <w:color w:val="000000"/>
                <w:sz w:val="22"/>
              </w:rPr>
            </w:pPr>
          </w:p>
        </w:tc>
        <w:tc>
          <w:tcPr>
            <w:tcW w:w="3170" w:type="dxa"/>
            <w:vMerge w:val="restart"/>
            <w:tcBorders>
              <w:top w:val="nil"/>
            </w:tcBorders>
          </w:tcPr>
          <w:p w:rsidR="00AF6F11" w:rsidRPr="00924204" w:rsidRDefault="00BA7E0B" w:rsidP="00CF776B">
            <w:pPr>
              <w:tabs>
                <w:tab w:val="left" w:pos="170"/>
              </w:tabs>
              <w:rPr>
                <w:rFonts w:ascii="Arial" w:hAnsi="Arial"/>
                <w:b/>
                <w:sz w:val="20"/>
                <w:szCs w:val="20"/>
              </w:rPr>
            </w:pPr>
            <w:r>
              <w:rPr>
                <w:rFonts w:ascii="Arial" w:hAnsi="Arial"/>
                <w:b/>
                <w:sz w:val="20"/>
                <w:szCs w:val="20"/>
              </w:rPr>
              <w:t xml:space="preserve"> </w:t>
            </w:r>
          </w:p>
        </w:tc>
      </w:tr>
      <w:tr w:rsidR="00AF6F11" w:rsidTr="004A608E">
        <w:tblPrEx>
          <w:tblCellMar>
            <w:top w:w="0" w:type="dxa"/>
            <w:left w:w="0" w:type="dxa"/>
            <w:bottom w:w="0" w:type="dxa"/>
            <w:right w:w="0" w:type="dxa"/>
          </w:tblCellMar>
        </w:tblPrEx>
        <w:trPr>
          <w:cantSplit/>
          <w:trHeight w:val="339"/>
        </w:trPr>
        <w:tc>
          <w:tcPr>
            <w:tcW w:w="1223" w:type="dxa"/>
          </w:tcPr>
          <w:p w:rsidR="00AF6F11" w:rsidRPr="00C8797E" w:rsidRDefault="00AF6F11" w:rsidP="00CF776B">
            <w:pPr>
              <w:pStyle w:val="MOJtext-otheraddress"/>
              <w:rPr>
                <w:color w:val="000000"/>
                <w:sz w:val="22"/>
              </w:rPr>
            </w:pPr>
          </w:p>
        </w:tc>
        <w:tc>
          <w:tcPr>
            <w:tcW w:w="6168" w:type="dxa"/>
          </w:tcPr>
          <w:p w:rsidR="00AF6F11" w:rsidRPr="00BA7E0B" w:rsidRDefault="00AF6F11" w:rsidP="00CF776B">
            <w:pPr>
              <w:spacing w:line="280" w:lineRule="atLeast"/>
              <w:rPr>
                <w:rFonts w:ascii="Arial" w:hAnsi="Arial" w:cs="Arial"/>
                <w:color w:val="000000"/>
              </w:rPr>
            </w:pPr>
          </w:p>
        </w:tc>
        <w:tc>
          <w:tcPr>
            <w:tcW w:w="181" w:type="dxa"/>
          </w:tcPr>
          <w:p w:rsidR="00AF6F11" w:rsidRPr="00C8797E" w:rsidRDefault="00AF6F11" w:rsidP="00CF776B">
            <w:pPr>
              <w:pStyle w:val="MOJnormal"/>
              <w:rPr>
                <w:color w:val="000000"/>
                <w:sz w:val="22"/>
              </w:rPr>
            </w:pPr>
          </w:p>
        </w:tc>
        <w:tc>
          <w:tcPr>
            <w:tcW w:w="3170" w:type="dxa"/>
            <w:vMerge/>
          </w:tcPr>
          <w:p w:rsidR="00AF6F11" w:rsidRPr="00C8797E" w:rsidRDefault="00AF6F11" w:rsidP="00CF776B">
            <w:pPr>
              <w:pStyle w:val="MOJtext-otheraddress"/>
              <w:rPr>
                <w:color w:val="000000"/>
                <w:sz w:val="22"/>
              </w:rPr>
            </w:pPr>
          </w:p>
        </w:tc>
      </w:tr>
      <w:tr w:rsidR="00AF6F11" w:rsidTr="004A608E">
        <w:tblPrEx>
          <w:tblCellMar>
            <w:top w:w="0" w:type="dxa"/>
            <w:left w:w="0" w:type="dxa"/>
            <w:bottom w:w="0" w:type="dxa"/>
            <w:right w:w="0" w:type="dxa"/>
          </w:tblCellMar>
        </w:tblPrEx>
        <w:trPr>
          <w:cantSplit/>
          <w:trHeight w:val="19"/>
        </w:trPr>
        <w:tc>
          <w:tcPr>
            <w:tcW w:w="1223" w:type="dxa"/>
          </w:tcPr>
          <w:p w:rsidR="00AF6F11" w:rsidRPr="00C8797E" w:rsidRDefault="00AF6F11" w:rsidP="00CF776B">
            <w:pPr>
              <w:pStyle w:val="MOJnormal"/>
              <w:rPr>
                <w:color w:val="000000"/>
                <w:sz w:val="22"/>
              </w:rPr>
            </w:pPr>
          </w:p>
        </w:tc>
        <w:tc>
          <w:tcPr>
            <w:tcW w:w="6168" w:type="dxa"/>
          </w:tcPr>
          <w:p w:rsidR="00AF6F11" w:rsidRPr="00CE6E9A" w:rsidRDefault="00AF6F11" w:rsidP="00381B81">
            <w:pPr>
              <w:spacing w:line="280" w:lineRule="atLeast"/>
              <w:rPr>
                <w:rFonts w:ascii="Arial" w:hAnsi="Arial"/>
                <w:i/>
                <w:color w:val="000000"/>
                <w:sz w:val="22"/>
              </w:rPr>
            </w:pPr>
            <w:r w:rsidRPr="00924204">
              <w:rPr>
                <w:rFonts w:ascii="Arial" w:hAnsi="Arial"/>
                <w:b/>
                <w:color w:val="000000"/>
              </w:rPr>
              <w:t>Our Reference:</w:t>
            </w:r>
            <w:r w:rsidRPr="00C8797E">
              <w:rPr>
                <w:rFonts w:ascii="Arial" w:hAnsi="Arial"/>
                <w:color w:val="000000"/>
                <w:sz w:val="22"/>
              </w:rPr>
              <w:t xml:space="preserve"> </w:t>
            </w:r>
            <w:r w:rsidR="003C3CE7" w:rsidRPr="003C3CE7">
              <w:rPr>
                <w:rFonts w:ascii="Arial" w:hAnsi="Arial" w:cs="Arial"/>
                <w:sz w:val="22"/>
                <w:szCs w:val="22"/>
              </w:rPr>
              <w:t>109</w:t>
            </w:r>
            <w:r w:rsidR="00381B81">
              <w:rPr>
                <w:rFonts w:ascii="Arial" w:hAnsi="Arial" w:cs="Arial"/>
                <w:sz w:val="22"/>
                <w:szCs w:val="22"/>
              </w:rPr>
              <w:t>304</w:t>
            </w:r>
          </w:p>
        </w:tc>
        <w:tc>
          <w:tcPr>
            <w:tcW w:w="181" w:type="dxa"/>
          </w:tcPr>
          <w:p w:rsidR="00AF6F11" w:rsidRPr="00C67F87" w:rsidRDefault="00AF6F11" w:rsidP="00CF776B">
            <w:pPr>
              <w:spacing w:line="280" w:lineRule="atLeast"/>
              <w:rPr>
                <w:rFonts w:ascii="Arial" w:hAnsi="Arial"/>
                <w:sz w:val="22"/>
              </w:rPr>
            </w:pPr>
            <w:r w:rsidRPr="00C67F87">
              <w:rPr>
                <w:rFonts w:ascii="Arial" w:hAnsi="Arial"/>
                <w:sz w:val="22"/>
              </w:rPr>
              <w:tab/>
            </w:r>
          </w:p>
        </w:tc>
        <w:tc>
          <w:tcPr>
            <w:tcW w:w="3170" w:type="dxa"/>
          </w:tcPr>
          <w:p w:rsidR="00AF6F11" w:rsidRPr="00C67F87" w:rsidRDefault="00381B81" w:rsidP="00CF776B">
            <w:pPr>
              <w:pStyle w:val="MOJnormal"/>
              <w:rPr>
                <w:sz w:val="22"/>
              </w:rPr>
            </w:pPr>
            <w:r>
              <w:rPr>
                <w:sz w:val="22"/>
              </w:rPr>
              <w:t>February</w:t>
            </w:r>
            <w:r w:rsidR="004A608E">
              <w:rPr>
                <w:sz w:val="22"/>
              </w:rPr>
              <w:t xml:space="preserve"> 2017</w:t>
            </w:r>
          </w:p>
        </w:tc>
      </w:tr>
    </w:tbl>
    <w:p w:rsidR="00837883" w:rsidRDefault="00837883"/>
    <w:p w:rsidR="00837883" w:rsidRDefault="00837883" w:rsidP="0081625B">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 xml:space="preserve">Request </w:t>
      </w:r>
    </w:p>
    <w:p w:rsidR="005D0A14" w:rsidRPr="00BA7E0B" w:rsidRDefault="005D0A14" w:rsidP="0081625B">
      <w:pPr>
        <w:rPr>
          <w:rFonts w:ascii="Arial" w:hAnsi="Arial" w:cs="Arial"/>
          <w:sz w:val="22"/>
          <w:szCs w:val="22"/>
        </w:rPr>
      </w:pPr>
    </w:p>
    <w:p w:rsidR="00C67F87" w:rsidRDefault="00C67F87" w:rsidP="00C67F87">
      <w:pPr>
        <w:rPr>
          <w:rFonts w:ascii="Arial" w:hAnsi="Arial" w:cs="Arial"/>
          <w:sz w:val="22"/>
          <w:szCs w:val="22"/>
        </w:rPr>
      </w:pPr>
      <w:r>
        <w:rPr>
          <w:rFonts w:ascii="Arial" w:hAnsi="Arial" w:cs="Arial"/>
          <w:sz w:val="22"/>
          <w:szCs w:val="22"/>
        </w:rPr>
        <w:t>Y</w:t>
      </w:r>
      <w:r w:rsidRPr="0066688D">
        <w:rPr>
          <w:rFonts w:ascii="Arial" w:hAnsi="Arial" w:cs="Arial"/>
          <w:sz w:val="22"/>
          <w:szCs w:val="22"/>
        </w:rPr>
        <w:t xml:space="preserve">ou asked for the following </w:t>
      </w:r>
      <w:r w:rsidRPr="0068427C">
        <w:rPr>
          <w:rFonts w:ascii="Arial" w:hAnsi="Arial" w:cs="Arial"/>
          <w:sz w:val="22"/>
          <w:szCs w:val="22"/>
        </w:rPr>
        <w:t>information from the Ministry of Justice (MoJ):</w:t>
      </w:r>
    </w:p>
    <w:p w:rsidR="003C3CE7" w:rsidRDefault="003C3CE7" w:rsidP="00C67F87">
      <w:pPr>
        <w:rPr>
          <w:rFonts w:ascii="Arial" w:hAnsi="Arial" w:cs="Arial"/>
          <w:sz w:val="22"/>
          <w:szCs w:val="22"/>
        </w:rPr>
      </w:pPr>
    </w:p>
    <w:p w:rsidR="00381B81" w:rsidRPr="00381B81" w:rsidRDefault="00381B81" w:rsidP="00381B81">
      <w:pPr>
        <w:pStyle w:val="Default"/>
        <w:rPr>
          <w:b/>
          <w:sz w:val="22"/>
          <w:szCs w:val="22"/>
        </w:rPr>
      </w:pPr>
      <w:r w:rsidRPr="00381B81">
        <w:rPr>
          <w:b/>
          <w:sz w:val="22"/>
          <w:szCs w:val="22"/>
        </w:rPr>
        <w:t>The details of the information that I am seeking are set out below. In summary, I am seeking to disco</w:t>
      </w:r>
      <w:bookmarkStart w:id="0" w:name="_GoBack"/>
      <w:bookmarkEnd w:id="0"/>
      <w:r w:rsidRPr="00381B81">
        <w:rPr>
          <w:b/>
          <w:sz w:val="22"/>
          <w:szCs w:val="22"/>
        </w:rPr>
        <w:t xml:space="preserve">ver how many of the grants of Exceptional Case Funding (ECF) which have been made in each category of law each year have been, or are being, used, i.e. a controlled work matter has been opened, or a certificate of public funding issued for the matter for which ECF was granted. I request your assistance under s. 16 of FOIA, if you are unable to answer my specific requests below, in formulating alternative requests or identifying or locating information which would meet, or assist in meeting, my overall aim. </w:t>
      </w:r>
    </w:p>
    <w:p w:rsidR="00381B81" w:rsidRPr="00381B81" w:rsidRDefault="00381B81" w:rsidP="00381B81">
      <w:pPr>
        <w:pStyle w:val="Default"/>
        <w:rPr>
          <w:b/>
          <w:sz w:val="22"/>
          <w:szCs w:val="22"/>
        </w:rPr>
      </w:pPr>
    </w:p>
    <w:p w:rsidR="00381B81" w:rsidRPr="00381B81" w:rsidRDefault="00381B81" w:rsidP="00381B81">
      <w:pPr>
        <w:pStyle w:val="Default"/>
        <w:rPr>
          <w:b/>
          <w:sz w:val="22"/>
          <w:szCs w:val="22"/>
        </w:rPr>
      </w:pPr>
      <w:r w:rsidRPr="00381B81">
        <w:rPr>
          <w:b/>
          <w:sz w:val="22"/>
          <w:szCs w:val="22"/>
        </w:rPr>
        <w:t xml:space="preserve">In respect of each of the following categories of law and time periods, please state in how many cases the grant of ECF is being, or has been, used, i.e. a controlled work matter has been opened, or a certificate of public funding issued for the matter for which ECF was granted: </w:t>
      </w:r>
    </w:p>
    <w:p w:rsidR="00381B81" w:rsidRPr="00381B81" w:rsidRDefault="00381B81" w:rsidP="00381B81">
      <w:pPr>
        <w:pStyle w:val="NoSpacing"/>
        <w:rPr>
          <w:rFonts w:ascii="Arial" w:hAnsi="Arial" w:cs="Arial"/>
          <w:b/>
          <w:sz w:val="22"/>
          <w:szCs w:val="22"/>
        </w:rPr>
      </w:pP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1. Family Law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a. The 9 grants of ECF made for family law matters in 2013-141;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b. The 48 grants of ECF made for family law matters in 2014-15;</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c. The 156 grants of ECF made for family law matters in 2015-16.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d. The 56 grants of ECF made for family law matters in the first two quarters of 2016-17. </w:t>
      </w:r>
    </w:p>
    <w:p w:rsidR="00381B81" w:rsidRPr="00381B81" w:rsidRDefault="00381B81" w:rsidP="00381B81">
      <w:pPr>
        <w:pStyle w:val="NoSpacing"/>
        <w:rPr>
          <w:rFonts w:ascii="Arial" w:hAnsi="Arial" w:cs="Arial"/>
          <w:b/>
          <w:sz w:val="22"/>
          <w:szCs w:val="22"/>
        </w:rPr>
      </w:pP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2. Housing/Land law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a. The one grant of ECF made for a housing/land law matter in 2013-14.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b. The three grants of ECF made for housing/land law matters in 2014-15.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c. The two grants of ECF made for housing/land law matters in 2015-16.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d. The two grants of ECF made for housing/land law matters in the first two quarters of 2016-17.</w:t>
      </w:r>
    </w:p>
    <w:p w:rsidR="00381B81" w:rsidRPr="00381B81" w:rsidRDefault="00381B81" w:rsidP="00381B81">
      <w:pPr>
        <w:pStyle w:val="NoSpacing"/>
        <w:rPr>
          <w:rFonts w:ascii="Arial" w:hAnsi="Arial" w:cs="Arial"/>
          <w:b/>
          <w:sz w:val="22"/>
          <w:szCs w:val="22"/>
        </w:rPr>
      </w:pP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3. Immigration Law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a. The four grants of ECF made for immigration law matters in 2013-14.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b. The 57 grants of ECF made for immigration law matters in 2014-15.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c. The 326 grants of ECF made for immigration law matters in 2015-16.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d. The 301 grants of ECF made for immigration law matters in the first two quarters of 2016-17. </w:t>
      </w:r>
    </w:p>
    <w:p w:rsidR="00381B81" w:rsidRPr="00381B81" w:rsidRDefault="00381B81" w:rsidP="00381B81">
      <w:pPr>
        <w:pStyle w:val="NoSpacing"/>
        <w:rPr>
          <w:rFonts w:ascii="Arial" w:hAnsi="Arial" w:cs="Arial"/>
          <w:b/>
          <w:sz w:val="22"/>
          <w:szCs w:val="22"/>
        </w:rPr>
      </w:pP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4. Welfare Benefits Law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a. The three grants of ECF made for welfare benefits matters in 2013-14.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b. The two grants of ECF made for welfare benefits matters in 2015-16..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c. The four grants of ECF made for welfare benefits matters in the first two quarters of 2016-17. </w:t>
      </w:r>
    </w:p>
    <w:p w:rsidR="00381B81" w:rsidRPr="00381B81" w:rsidRDefault="00381B81" w:rsidP="00381B81">
      <w:pPr>
        <w:pStyle w:val="NoSpacing"/>
        <w:rPr>
          <w:rFonts w:ascii="Arial" w:hAnsi="Arial" w:cs="Arial"/>
          <w:b/>
          <w:sz w:val="22"/>
          <w:szCs w:val="22"/>
        </w:rPr>
      </w:pP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5. ‘Other’ category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a. The one grant of ECF made in the ‘other’ category in 2013-14.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b. The seven grants of ECF made in the ‘other’ category in 2014-15.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lastRenderedPageBreak/>
        <w:t xml:space="preserve">c. The 16 grants of ECF made in the ‘other’ category in 2015-16.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d. The two grants of ECF made in the ‘other’ category in the first two quarters of 2016-17. </w:t>
      </w:r>
    </w:p>
    <w:p w:rsidR="00381B81" w:rsidRPr="00381B81" w:rsidRDefault="00381B81" w:rsidP="00381B81">
      <w:pPr>
        <w:pStyle w:val="NoSpacing"/>
        <w:rPr>
          <w:rFonts w:ascii="Arial" w:hAnsi="Arial" w:cs="Arial"/>
          <w:b/>
          <w:sz w:val="22"/>
          <w:szCs w:val="22"/>
        </w:rPr>
      </w:pP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6. Inquiry/Tribunal Law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a. The one grant of ECF made for an inquiry/tribunal matter in 2013/14.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b. The one grant of ECF made for an inquiry/tribunal matter in 2014/15. </w:t>
      </w:r>
    </w:p>
    <w:p w:rsidR="00381B81" w:rsidRDefault="00381B81" w:rsidP="00381B81">
      <w:pPr>
        <w:pStyle w:val="NoSpacing"/>
        <w:rPr>
          <w:rFonts w:ascii="Arial" w:hAnsi="Arial" w:cs="Arial"/>
          <w:b/>
          <w:sz w:val="22"/>
          <w:szCs w:val="22"/>
        </w:rPr>
      </w:pP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7. PI/Clinical Negligence Law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a. The one grant of ECF made for a PI/clinical negligence matter in 2015/16. </w:t>
      </w:r>
    </w:p>
    <w:p w:rsidR="00381B81" w:rsidRPr="00381B81" w:rsidRDefault="00381B81" w:rsidP="00381B81">
      <w:pPr>
        <w:pStyle w:val="NoSpacing"/>
        <w:rPr>
          <w:rFonts w:ascii="Arial" w:hAnsi="Arial" w:cs="Arial"/>
          <w:b/>
          <w:sz w:val="22"/>
          <w:szCs w:val="22"/>
        </w:rPr>
      </w:pPr>
      <w:r w:rsidRPr="00381B81">
        <w:rPr>
          <w:rFonts w:ascii="Arial" w:hAnsi="Arial" w:cs="Arial"/>
          <w:b/>
          <w:sz w:val="22"/>
          <w:szCs w:val="22"/>
        </w:rPr>
        <w:t xml:space="preserve">b. The one grant of ECF made for a PI/clinical negligence matter in the first two quarters of 2016-17. </w:t>
      </w:r>
    </w:p>
    <w:p w:rsidR="00381B81" w:rsidRPr="00381B81" w:rsidRDefault="00381B81" w:rsidP="00381B81">
      <w:pPr>
        <w:rPr>
          <w:rFonts w:ascii="Arial" w:hAnsi="Arial" w:cs="Arial"/>
          <w:b/>
          <w:sz w:val="22"/>
          <w:szCs w:val="22"/>
        </w:rPr>
      </w:pPr>
    </w:p>
    <w:p w:rsidR="00381B81" w:rsidRPr="00381B81" w:rsidRDefault="00381B81" w:rsidP="00381B81">
      <w:pPr>
        <w:rPr>
          <w:rFonts w:ascii="Arial" w:hAnsi="Arial" w:cs="Arial"/>
          <w:sz w:val="22"/>
          <w:szCs w:val="22"/>
        </w:rPr>
      </w:pPr>
      <w:r w:rsidRPr="00381B81">
        <w:rPr>
          <w:rFonts w:ascii="Arial" w:hAnsi="Arial" w:cs="Arial"/>
          <w:sz w:val="22"/>
          <w:szCs w:val="22"/>
        </w:rPr>
        <w:t>Your request has been handled under the FOIA.</w:t>
      </w:r>
    </w:p>
    <w:p w:rsidR="00381B81" w:rsidRPr="00381B81" w:rsidRDefault="00381B81" w:rsidP="00381B81">
      <w:pPr>
        <w:rPr>
          <w:rFonts w:ascii="Arial" w:hAnsi="Arial" w:cs="Arial"/>
          <w:sz w:val="22"/>
          <w:szCs w:val="22"/>
        </w:rPr>
      </w:pPr>
    </w:p>
    <w:p w:rsidR="00381B81" w:rsidRPr="00381B81" w:rsidRDefault="00381B81" w:rsidP="00381B81">
      <w:pPr>
        <w:rPr>
          <w:rFonts w:ascii="Arial" w:hAnsi="Arial" w:cs="Arial"/>
          <w:sz w:val="22"/>
          <w:szCs w:val="22"/>
        </w:rPr>
      </w:pPr>
      <w:r w:rsidRPr="00381B81">
        <w:rPr>
          <w:rFonts w:ascii="Arial" w:hAnsi="Arial" w:cs="Arial"/>
          <w:sz w:val="22"/>
          <w:szCs w:val="22"/>
        </w:rPr>
        <w:t>I can confirm that the MoJ holds the information that you have requested and I have provided it below.</w:t>
      </w:r>
    </w:p>
    <w:p w:rsidR="00381B81" w:rsidRPr="00381B81" w:rsidRDefault="00381B81" w:rsidP="00381B81">
      <w:pPr>
        <w:rPr>
          <w:rFonts w:ascii="Arial" w:hAnsi="Arial" w:cs="Arial"/>
          <w:sz w:val="22"/>
          <w:szCs w:val="22"/>
        </w:rPr>
      </w:pPr>
    </w:p>
    <w:p w:rsidR="00381B81" w:rsidRPr="00381B81" w:rsidRDefault="00381B81" w:rsidP="00381B81">
      <w:pPr>
        <w:rPr>
          <w:rFonts w:ascii="Arial" w:hAnsi="Arial" w:cs="Arial"/>
          <w:sz w:val="22"/>
          <w:szCs w:val="22"/>
        </w:rPr>
      </w:pPr>
      <w:r w:rsidRPr="00381B81">
        <w:rPr>
          <w:rFonts w:ascii="Arial" w:hAnsi="Arial" w:cs="Arial"/>
          <w:sz w:val="22"/>
          <w:szCs w:val="22"/>
        </w:rPr>
        <w:t xml:space="preserve">The definition of a grant “in use” that has been used in this response is that a controlled work matter has been opened or a certificate of public funding has been issued. </w:t>
      </w:r>
    </w:p>
    <w:p w:rsidR="00381B81" w:rsidRPr="00381B81" w:rsidRDefault="00381B81" w:rsidP="00381B81">
      <w:pPr>
        <w:rPr>
          <w:rFonts w:ascii="Arial" w:hAnsi="Arial" w:cs="Arial"/>
          <w:sz w:val="22"/>
          <w:szCs w:val="22"/>
        </w:rPr>
      </w:pPr>
      <w:r w:rsidRPr="00381B81">
        <w:rPr>
          <w:rFonts w:ascii="Arial" w:hAnsi="Arial" w:cs="Arial"/>
          <w:sz w:val="22"/>
          <w:szCs w:val="22"/>
        </w:rPr>
        <w:t>For all provider applications, this is at the point of grant. For direct client applications, this is once a provider has contacted the LAA to inform them that they are acting on behalf of the individual with funding approved (either when we indicated a positive preliminary view (PPV) prior to 2015-16, or a grant (without provider) since then) for that matter.</w:t>
      </w:r>
    </w:p>
    <w:p w:rsidR="00381B81" w:rsidRPr="00381B81" w:rsidRDefault="00381B81" w:rsidP="00381B81">
      <w:pPr>
        <w:rPr>
          <w:rFonts w:ascii="Arial" w:hAnsi="Arial" w:cs="Arial"/>
          <w:color w:val="0000CC"/>
          <w:sz w:val="22"/>
          <w:szCs w:val="22"/>
        </w:rPr>
      </w:pPr>
    </w:p>
    <w:p w:rsidR="00381B81" w:rsidRPr="00381B81" w:rsidRDefault="00381B81" w:rsidP="00381B81">
      <w:pPr>
        <w:numPr>
          <w:ilvl w:val="0"/>
          <w:numId w:val="13"/>
        </w:numPr>
        <w:spacing w:after="160" w:line="259" w:lineRule="auto"/>
        <w:rPr>
          <w:rFonts w:ascii="Arial" w:hAnsi="Arial" w:cs="Arial"/>
          <w:sz w:val="22"/>
          <w:szCs w:val="22"/>
        </w:rPr>
      </w:pPr>
      <w:r w:rsidRPr="00381B81">
        <w:rPr>
          <w:rFonts w:ascii="Arial" w:hAnsi="Arial" w:cs="Arial"/>
          <w:sz w:val="22"/>
          <w:szCs w:val="22"/>
        </w:rPr>
        <w:t>Family Law</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Of the 11</w:t>
      </w:r>
      <w:r w:rsidRPr="00381B81">
        <w:rPr>
          <w:rStyle w:val="FootnoteReference"/>
          <w:rFonts w:ascii="Arial" w:hAnsi="Arial" w:cs="Arial"/>
          <w:b/>
          <w:sz w:val="22"/>
          <w:szCs w:val="22"/>
        </w:rPr>
        <w:footnoteReference w:id="1"/>
      </w:r>
      <w:r w:rsidRPr="00381B81">
        <w:rPr>
          <w:rFonts w:ascii="Arial" w:hAnsi="Arial" w:cs="Arial"/>
          <w:sz w:val="22"/>
          <w:szCs w:val="22"/>
        </w:rPr>
        <w:t xml:space="preserve"> applications for ECF received in 2013-14 which were granted or awarded a PPV, 10 are in use.</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 xml:space="preserve">Relating to 2014-15, 48 of 48 are in use. </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Relating to 2015-16, 155 of 156 are in use.</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Relating to the first two quarters of 2016-17, 56 of 56 are in use.</w:t>
      </w:r>
      <w:r w:rsidRPr="00381B81">
        <w:rPr>
          <w:rFonts w:ascii="Arial" w:hAnsi="Arial" w:cs="Arial"/>
          <w:sz w:val="22"/>
          <w:szCs w:val="22"/>
        </w:rPr>
        <w:br/>
      </w:r>
    </w:p>
    <w:p w:rsidR="00381B81" w:rsidRPr="00381B81" w:rsidRDefault="00381B81" w:rsidP="00381B81">
      <w:pPr>
        <w:numPr>
          <w:ilvl w:val="0"/>
          <w:numId w:val="13"/>
        </w:numPr>
        <w:spacing w:after="160" w:line="259" w:lineRule="auto"/>
        <w:rPr>
          <w:rFonts w:ascii="Arial" w:hAnsi="Arial" w:cs="Arial"/>
          <w:sz w:val="22"/>
          <w:szCs w:val="22"/>
        </w:rPr>
      </w:pPr>
      <w:r w:rsidRPr="00381B81">
        <w:rPr>
          <w:rFonts w:ascii="Arial" w:hAnsi="Arial" w:cs="Arial"/>
          <w:sz w:val="22"/>
          <w:szCs w:val="22"/>
        </w:rPr>
        <w:t>Housing/Land Law</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Of the 1 application for ECF received in 2013-14 which was granted, 1 is in use.</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 xml:space="preserve">Relating to 2014-15, 3 of 3 are in use. </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Relating to 2015-16, 2 of 2 are in use.</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Relating to the first two quarters of 2016-17, 2 of 2 are in use.</w:t>
      </w:r>
      <w:r w:rsidRPr="00381B81">
        <w:rPr>
          <w:rFonts w:ascii="Arial" w:hAnsi="Arial" w:cs="Arial"/>
          <w:sz w:val="22"/>
          <w:szCs w:val="22"/>
        </w:rPr>
        <w:br/>
      </w:r>
    </w:p>
    <w:p w:rsidR="00381B81" w:rsidRPr="00381B81" w:rsidRDefault="00381B81" w:rsidP="00381B81">
      <w:pPr>
        <w:numPr>
          <w:ilvl w:val="0"/>
          <w:numId w:val="13"/>
        </w:numPr>
        <w:spacing w:after="160" w:line="259" w:lineRule="auto"/>
        <w:rPr>
          <w:rFonts w:ascii="Arial" w:hAnsi="Arial" w:cs="Arial"/>
          <w:sz w:val="22"/>
          <w:szCs w:val="22"/>
        </w:rPr>
      </w:pPr>
      <w:r w:rsidRPr="00381B81">
        <w:rPr>
          <w:rFonts w:ascii="Arial" w:hAnsi="Arial" w:cs="Arial"/>
          <w:sz w:val="22"/>
          <w:szCs w:val="22"/>
        </w:rPr>
        <w:t>Immigration Law</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Of the 4 applications for ECF received in 2013-14 which were granted, 4 are in use.</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59 of 59</w:t>
      </w:r>
      <w:r w:rsidRPr="00381B81">
        <w:rPr>
          <w:rFonts w:ascii="Arial" w:hAnsi="Arial" w:cs="Arial"/>
          <w:b/>
          <w:sz w:val="22"/>
          <w:szCs w:val="22"/>
          <w:vertAlign w:val="superscript"/>
        </w:rPr>
        <w:t>1</w:t>
      </w:r>
      <w:r w:rsidRPr="00381B81">
        <w:rPr>
          <w:rFonts w:ascii="Arial" w:hAnsi="Arial" w:cs="Arial"/>
          <w:sz w:val="22"/>
          <w:szCs w:val="22"/>
        </w:rPr>
        <w:t xml:space="preserve"> applications received in 2014-15 which were granted or awarded a PPV are in use.</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Relating to 2015-16, 313 of 326 are in use.</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Relating to the first two quarters of 2016-17, 278 of 301 are in use.</w:t>
      </w:r>
      <w:r w:rsidRPr="00381B81">
        <w:rPr>
          <w:rFonts w:ascii="Arial" w:hAnsi="Arial" w:cs="Arial"/>
          <w:sz w:val="22"/>
          <w:szCs w:val="22"/>
        </w:rPr>
        <w:br/>
      </w:r>
    </w:p>
    <w:p w:rsidR="00381B81" w:rsidRPr="00381B81" w:rsidRDefault="00381B81" w:rsidP="00381B81">
      <w:pPr>
        <w:numPr>
          <w:ilvl w:val="0"/>
          <w:numId w:val="13"/>
        </w:numPr>
        <w:spacing w:after="160" w:line="259" w:lineRule="auto"/>
        <w:rPr>
          <w:rFonts w:ascii="Arial" w:hAnsi="Arial" w:cs="Arial"/>
          <w:sz w:val="22"/>
          <w:szCs w:val="22"/>
        </w:rPr>
      </w:pPr>
      <w:r w:rsidRPr="00381B81">
        <w:rPr>
          <w:rFonts w:ascii="Arial" w:hAnsi="Arial" w:cs="Arial"/>
          <w:sz w:val="22"/>
          <w:szCs w:val="22"/>
        </w:rPr>
        <w:t>Welfare Benefits Law</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There were no recorded grants of welfare benefits cases in 2013-14. Relating to 2014-15, 3 of 3 are in use.</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Relating to 2015-16, 2 of 2 are in use.</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 xml:space="preserve">Relating to the first two quarters of 2016-17, 4 of 4 are in use. </w:t>
      </w:r>
      <w:r w:rsidRPr="00381B81">
        <w:rPr>
          <w:rFonts w:ascii="Arial" w:hAnsi="Arial" w:cs="Arial"/>
          <w:sz w:val="22"/>
          <w:szCs w:val="22"/>
        </w:rPr>
        <w:br/>
      </w:r>
    </w:p>
    <w:p w:rsidR="00381B81" w:rsidRPr="00381B81" w:rsidRDefault="00381B81" w:rsidP="00381B81">
      <w:pPr>
        <w:numPr>
          <w:ilvl w:val="0"/>
          <w:numId w:val="13"/>
        </w:numPr>
        <w:spacing w:after="160" w:line="259" w:lineRule="auto"/>
        <w:rPr>
          <w:rFonts w:ascii="Arial" w:hAnsi="Arial" w:cs="Arial"/>
          <w:sz w:val="22"/>
          <w:szCs w:val="22"/>
        </w:rPr>
      </w:pPr>
      <w:r w:rsidRPr="00381B81">
        <w:rPr>
          <w:rFonts w:ascii="Arial" w:hAnsi="Arial" w:cs="Arial"/>
          <w:sz w:val="22"/>
          <w:szCs w:val="22"/>
        </w:rPr>
        <w:t>Other category</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Of the 1 application for ECF received in 2013-14 which was granted, 1 is in use.</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 xml:space="preserve">Relating to 2014-15, 7 of 7 are in use.  </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Relating to 2015-16, 16 of 16 are in use.</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Relating to the first two quarters of 2016-17, 2 of 2 are in use.</w:t>
      </w:r>
      <w:r w:rsidRPr="00381B81">
        <w:rPr>
          <w:rFonts w:ascii="Arial" w:hAnsi="Arial" w:cs="Arial"/>
          <w:sz w:val="22"/>
          <w:szCs w:val="22"/>
        </w:rPr>
        <w:br/>
      </w:r>
    </w:p>
    <w:p w:rsidR="00381B81" w:rsidRPr="00381B81" w:rsidRDefault="00381B81" w:rsidP="00381B81">
      <w:pPr>
        <w:numPr>
          <w:ilvl w:val="0"/>
          <w:numId w:val="13"/>
        </w:numPr>
        <w:spacing w:after="160" w:line="259" w:lineRule="auto"/>
        <w:rPr>
          <w:rFonts w:ascii="Arial" w:hAnsi="Arial" w:cs="Arial"/>
          <w:sz w:val="22"/>
          <w:szCs w:val="22"/>
        </w:rPr>
      </w:pPr>
      <w:r w:rsidRPr="00381B81">
        <w:rPr>
          <w:rFonts w:ascii="Arial" w:hAnsi="Arial" w:cs="Arial"/>
          <w:sz w:val="22"/>
          <w:szCs w:val="22"/>
        </w:rPr>
        <w:t>Inquiry/Tribunal Law</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Of the 1 application for ECF received in 2013-14 which was granted, 1 is in use.</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Relating to 2014-15, 1 of 1 is in use.</w:t>
      </w:r>
      <w:r w:rsidRPr="00381B81">
        <w:rPr>
          <w:rFonts w:ascii="Arial" w:hAnsi="Arial" w:cs="Arial"/>
          <w:sz w:val="22"/>
          <w:szCs w:val="22"/>
        </w:rPr>
        <w:br/>
      </w:r>
    </w:p>
    <w:p w:rsidR="00381B81" w:rsidRPr="00381B81" w:rsidRDefault="00381B81" w:rsidP="00381B81">
      <w:pPr>
        <w:numPr>
          <w:ilvl w:val="0"/>
          <w:numId w:val="13"/>
        </w:numPr>
        <w:spacing w:after="160" w:line="259" w:lineRule="auto"/>
        <w:rPr>
          <w:rFonts w:ascii="Arial" w:hAnsi="Arial" w:cs="Arial"/>
          <w:sz w:val="22"/>
          <w:szCs w:val="22"/>
        </w:rPr>
      </w:pPr>
      <w:r w:rsidRPr="00381B81">
        <w:rPr>
          <w:rFonts w:ascii="Arial" w:hAnsi="Arial" w:cs="Arial"/>
          <w:sz w:val="22"/>
          <w:szCs w:val="22"/>
        </w:rPr>
        <w:t>PI/Clinical Negligence Law</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Of the 1 application for ECF received in 2015-16 which was granted, 1 is in use.</w:t>
      </w:r>
    </w:p>
    <w:p w:rsidR="00381B81" w:rsidRPr="00381B81" w:rsidRDefault="00381B81" w:rsidP="00381B81">
      <w:pPr>
        <w:numPr>
          <w:ilvl w:val="1"/>
          <w:numId w:val="13"/>
        </w:numPr>
        <w:spacing w:after="160" w:line="259" w:lineRule="auto"/>
        <w:rPr>
          <w:rFonts w:ascii="Arial" w:hAnsi="Arial" w:cs="Arial"/>
          <w:sz w:val="22"/>
          <w:szCs w:val="22"/>
        </w:rPr>
      </w:pPr>
      <w:r w:rsidRPr="00381B81">
        <w:rPr>
          <w:rFonts w:ascii="Arial" w:hAnsi="Arial" w:cs="Arial"/>
          <w:sz w:val="22"/>
          <w:szCs w:val="22"/>
        </w:rPr>
        <w:t>Relating to the first two quarters of 2016-17, 1 of 1 is in use.</w:t>
      </w:r>
    </w:p>
    <w:p w:rsidR="00381B81" w:rsidRPr="00381B81" w:rsidRDefault="00381B81" w:rsidP="00C67F87">
      <w:pPr>
        <w:rPr>
          <w:rFonts w:ascii="Arial" w:hAnsi="Arial" w:cs="Arial"/>
          <w:sz w:val="22"/>
          <w:szCs w:val="22"/>
        </w:rPr>
      </w:pPr>
    </w:p>
    <w:sectPr w:rsidR="00381B81" w:rsidRPr="00381B81" w:rsidSect="003C3CE7">
      <w:pgSz w:w="11906" w:h="16838"/>
      <w:pgMar w:top="1134" w:right="991"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B0A" w:rsidRDefault="00E67B0A">
      <w:r>
        <w:separator/>
      </w:r>
    </w:p>
  </w:endnote>
  <w:endnote w:type="continuationSeparator" w:id="0">
    <w:p w:rsidR="00E67B0A" w:rsidRDefault="00E6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B0A" w:rsidRDefault="00E67B0A">
      <w:r>
        <w:separator/>
      </w:r>
    </w:p>
  </w:footnote>
  <w:footnote w:type="continuationSeparator" w:id="0">
    <w:p w:rsidR="00E67B0A" w:rsidRDefault="00E67B0A">
      <w:r>
        <w:continuationSeparator/>
      </w:r>
    </w:p>
  </w:footnote>
  <w:footnote w:id="1">
    <w:p w:rsidR="00381B81" w:rsidRDefault="00381B81" w:rsidP="00381B81">
      <w:pPr>
        <w:pStyle w:val="FootnoteText"/>
      </w:pPr>
      <w:r w:rsidRPr="00822D39">
        <w:rPr>
          <w:rStyle w:val="FootnoteReference"/>
          <w:b/>
        </w:rPr>
        <w:footnoteRef/>
      </w:r>
      <w:r>
        <w:t xml:space="preserve"> </w:t>
      </w:r>
      <w:r w:rsidRPr="00C618CC">
        <w:t>All four direct client applications that received Positive Preliminary Views (PPV) prior to 2015-16 are included in these figures in addition</w:t>
      </w:r>
      <w:r>
        <w:t xml:space="preserve"> to the grants quoted in your request. This is because some of them have since found a provider to act on behalf of them in relation to those PPVs, hence they should be included in these figures.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4366D4"/>
    <w:multiLevelType w:val="hybridMultilevel"/>
    <w:tmpl w:val="5E2AD06A"/>
    <w:lvl w:ilvl="0" w:tplc="F3440A18">
      <w:start w:val="1"/>
      <w:numFmt w:val="lowerLetter"/>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76D0FC">
      <w:start w:val="1"/>
      <w:numFmt w:val="lowerLetter"/>
      <w:lvlText w:val="%2"/>
      <w:lvlJc w:val="left"/>
      <w:pPr>
        <w:ind w:left="10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558462C">
      <w:start w:val="1"/>
      <w:numFmt w:val="lowerRoman"/>
      <w:lvlText w:val="%3"/>
      <w:lvlJc w:val="left"/>
      <w:pPr>
        <w:ind w:left="1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5C86B32">
      <w:start w:val="1"/>
      <w:numFmt w:val="decimal"/>
      <w:lvlText w:val="%4"/>
      <w:lvlJc w:val="left"/>
      <w:pPr>
        <w:ind w:left="2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3B637C0">
      <w:start w:val="1"/>
      <w:numFmt w:val="lowerLetter"/>
      <w:lvlText w:val="%5"/>
      <w:lvlJc w:val="left"/>
      <w:pPr>
        <w:ind w:left="3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6D82C">
      <w:start w:val="1"/>
      <w:numFmt w:val="lowerRoman"/>
      <w:lvlText w:val="%6"/>
      <w:lvlJc w:val="left"/>
      <w:pPr>
        <w:ind w:left="3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4105240">
      <w:start w:val="1"/>
      <w:numFmt w:val="decimal"/>
      <w:lvlText w:val="%7"/>
      <w:lvlJc w:val="left"/>
      <w:pPr>
        <w:ind w:left="4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164A7C6">
      <w:start w:val="1"/>
      <w:numFmt w:val="lowerLetter"/>
      <w:lvlText w:val="%8"/>
      <w:lvlJc w:val="left"/>
      <w:pPr>
        <w:ind w:left="5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9DA417E">
      <w:start w:val="1"/>
      <w:numFmt w:val="lowerRoman"/>
      <w:lvlText w:val="%9"/>
      <w:lvlJc w:val="left"/>
      <w:pPr>
        <w:ind w:left="6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259FA"/>
    <w:multiLevelType w:val="hybridMultilevel"/>
    <w:tmpl w:val="CCAEC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25F5E"/>
    <w:multiLevelType w:val="hybridMultilevel"/>
    <w:tmpl w:val="DFB0F9C6"/>
    <w:lvl w:ilvl="0" w:tplc="B42EC178">
      <w:start w:val="3"/>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3E4EB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642734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35A864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3325E9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902E94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663AA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18B75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F7C43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97456D"/>
    <w:multiLevelType w:val="hybridMultilevel"/>
    <w:tmpl w:val="03F63ADA"/>
    <w:lvl w:ilvl="0" w:tplc="0809000F">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44807"/>
    <w:multiLevelType w:val="hybridMultilevel"/>
    <w:tmpl w:val="0DD4E6EA"/>
    <w:lvl w:ilvl="0" w:tplc="5590DF52">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99CC3E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D001C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5FA729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5B0484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08A59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4BAAA7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DBCDD7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1D431D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9"/>
  </w:num>
  <w:num w:numId="4">
    <w:abstractNumId w:val="4"/>
  </w:num>
  <w:num w:numId="5">
    <w:abstractNumId w:val="0"/>
  </w:num>
  <w:num w:numId="6">
    <w:abstractNumId w:val="5"/>
  </w:num>
  <w:num w:numId="7">
    <w:abstractNumId w:val="8"/>
  </w:num>
  <w:num w:numId="8">
    <w:abstractNumId w:val="6"/>
  </w:num>
  <w:num w:numId="9">
    <w:abstractNumId w:val="2"/>
  </w:num>
  <w:num w:numId="10">
    <w:abstractNumId w:val="12"/>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412BC"/>
    <w:rsid w:val="00043C1B"/>
    <w:rsid w:val="0007432B"/>
    <w:rsid w:val="00076AEF"/>
    <w:rsid w:val="000829FA"/>
    <w:rsid w:val="000900D8"/>
    <w:rsid w:val="000A2BCA"/>
    <w:rsid w:val="000C02AC"/>
    <w:rsid w:val="000E01F8"/>
    <w:rsid w:val="000F067E"/>
    <w:rsid w:val="000F26B8"/>
    <w:rsid w:val="0013675E"/>
    <w:rsid w:val="00150A41"/>
    <w:rsid w:val="00172861"/>
    <w:rsid w:val="001A485D"/>
    <w:rsid w:val="001A6C9B"/>
    <w:rsid w:val="001C27E9"/>
    <w:rsid w:val="001D01A8"/>
    <w:rsid w:val="001D0D46"/>
    <w:rsid w:val="001D7BC6"/>
    <w:rsid w:val="002141B6"/>
    <w:rsid w:val="002179DD"/>
    <w:rsid w:val="0022089E"/>
    <w:rsid w:val="00261B0E"/>
    <w:rsid w:val="002A23D6"/>
    <w:rsid w:val="00377547"/>
    <w:rsid w:val="00381B81"/>
    <w:rsid w:val="003B40A1"/>
    <w:rsid w:val="003C0D6F"/>
    <w:rsid w:val="003C3CE7"/>
    <w:rsid w:val="003F6C63"/>
    <w:rsid w:val="004253BB"/>
    <w:rsid w:val="00434DCA"/>
    <w:rsid w:val="004734B5"/>
    <w:rsid w:val="004A608E"/>
    <w:rsid w:val="004E1E12"/>
    <w:rsid w:val="005202DD"/>
    <w:rsid w:val="0058203E"/>
    <w:rsid w:val="005B7296"/>
    <w:rsid w:val="005C2AFE"/>
    <w:rsid w:val="005C3A12"/>
    <w:rsid w:val="005D0A14"/>
    <w:rsid w:val="006201B1"/>
    <w:rsid w:val="006269C1"/>
    <w:rsid w:val="00672C95"/>
    <w:rsid w:val="00673E36"/>
    <w:rsid w:val="006C14EC"/>
    <w:rsid w:val="006C5F8A"/>
    <w:rsid w:val="006E4F5C"/>
    <w:rsid w:val="006F7019"/>
    <w:rsid w:val="00707F63"/>
    <w:rsid w:val="007632F5"/>
    <w:rsid w:val="007B643E"/>
    <w:rsid w:val="007C31FB"/>
    <w:rsid w:val="007E7BAF"/>
    <w:rsid w:val="007E7F0F"/>
    <w:rsid w:val="007F2CB3"/>
    <w:rsid w:val="0081625B"/>
    <w:rsid w:val="00837883"/>
    <w:rsid w:val="0098376A"/>
    <w:rsid w:val="009B624A"/>
    <w:rsid w:val="009E501C"/>
    <w:rsid w:val="00A04CA9"/>
    <w:rsid w:val="00A15836"/>
    <w:rsid w:val="00A4070B"/>
    <w:rsid w:val="00AA3A3A"/>
    <w:rsid w:val="00AB3DC4"/>
    <w:rsid w:val="00AF6F11"/>
    <w:rsid w:val="00B27CC9"/>
    <w:rsid w:val="00B55A9E"/>
    <w:rsid w:val="00B55C5A"/>
    <w:rsid w:val="00B81932"/>
    <w:rsid w:val="00BA7E0B"/>
    <w:rsid w:val="00BD1779"/>
    <w:rsid w:val="00BF247F"/>
    <w:rsid w:val="00C00996"/>
    <w:rsid w:val="00C17FA3"/>
    <w:rsid w:val="00C67F87"/>
    <w:rsid w:val="00C874DB"/>
    <w:rsid w:val="00C97F31"/>
    <w:rsid w:val="00CA31AD"/>
    <w:rsid w:val="00CC3584"/>
    <w:rsid w:val="00CF776B"/>
    <w:rsid w:val="00D1279D"/>
    <w:rsid w:val="00D31A00"/>
    <w:rsid w:val="00D71F9D"/>
    <w:rsid w:val="00D8325C"/>
    <w:rsid w:val="00DF4FFE"/>
    <w:rsid w:val="00E015A9"/>
    <w:rsid w:val="00E0591C"/>
    <w:rsid w:val="00E1544C"/>
    <w:rsid w:val="00E36BAC"/>
    <w:rsid w:val="00E67B0A"/>
    <w:rsid w:val="00E70718"/>
    <w:rsid w:val="00E70ED4"/>
    <w:rsid w:val="00E873AE"/>
    <w:rsid w:val="00E97EE8"/>
    <w:rsid w:val="00ED7C29"/>
    <w:rsid w:val="00F158B0"/>
    <w:rsid w:val="00F35B4A"/>
    <w:rsid w:val="00F80D88"/>
    <w:rsid w:val="00F9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FFD0786-9CF9-4EC1-83D1-983DEC5C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1">
    <w:name w:val="heading 1"/>
    <w:basedOn w:val="Normal"/>
    <w:next w:val="Normal"/>
    <w:link w:val="Heading1Char"/>
    <w:qFormat/>
    <w:rsid w:val="003C3CE7"/>
    <w:pPr>
      <w:keepNext/>
      <w:spacing w:before="240" w:after="60"/>
      <w:outlineLvl w:val="0"/>
    </w:pPr>
    <w:rPr>
      <w:rFonts w:ascii="Calibri Light" w:hAnsi="Calibri Light"/>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link w:val="FootnoteTextChar"/>
    <w:uiPriority w:val="99"/>
    <w:rsid w:val="002179DD"/>
    <w:rPr>
      <w:sz w:val="20"/>
      <w:szCs w:val="20"/>
    </w:rPr>
  </w:style>
  <w:style w:type="character" w:styleId="FootnoteReference">
    <w:name w:val="footnote reference"/>
    <w:uiPriority w:val="99"/>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uiPriority w:val="99"/>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customStyle="1" w:styleId="Heading1Char">
    <w:name w:val="Heading 1 Char"/>
    <w:link w:val="Heading1"/>
    <w:rsid w:val="003C3CE7"/>
    <w:rPr>
      <w:rFonts w:ascii="Calibri Light" w:eastAsia="Times New Roman" w:hAnsi="Calibri Light" w:cs="Times New Roman"/>
      <w:b/>
      <w:bCs/>
      <w:kern w:val="32"/>
      <w:sz w:val="32"/>
      <w:szCs w:val="32"/>
    </w:rPr>
  </w:style>
  <w:style w:type="paragraph" w:customStyle="1" w:styleId="footnotedescription">
    <w:name w:val="footnote description"/>
    <w:next w:val="Normal"/>
    <w:link w:val="footnotedescriptionChar"/>
    <w:hidden/>
    <w:rsid w:val="003C3CE7"/>
    <w:pPr>
      <w:spacing w:after="4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3C3CE7"/>
    <w:rPr>
      <w:rFonts w:ascii="Arial" w:eastAsia="Arial" w:hAnsi="Arial" w:cs="Arial"/>
      <w:color w:val="000000"/>
      <w:szCs w:val="22"/>
    </w:rPr>
  </w:style>
  <w:style w:type="character" w:customStyle="1" w:styleId="footnotemark">
    <w:name w:val="footnote mark"/>
    <w:hidden/>
    <w:rsid w:val="003C3CE7"/>
    <w:rPr>
      <w:rFonts w:ascii="Arial" w:eastAsia="Arial" w:hAnsi="Arial" w:cs="Arial"/>
      <w:color w:val="000000"/>
      <w:sz w:val="20"/>
      <w:vertAlign w:val="superscript"/>
    </w:rPr>
  </w:style>
  <w:style w:type="table" w:customStyle="1" w:styleId="TableGrid">
    <w:name w:val="TableGrid"/>
    <w:rsid w:val="003C3CE7"/>
    <w:rPr>
      <w:rFonts w:ascii="Calibri" w:hAnsi="Calibri"/>
      <w:sz w:val="22"/>
      <w:szCs w:val="22"/>
    </w:rPr>
    <w:tblPr>
      <w:tblCellMar>
        <w:top w:w="0" w:type="dxa"/>
        <w:left w:w="0" w:type="dxa"/>
        <w:bottom w:w="0" w:type="dxa"/>
        <w:right w:w="0" w:type="dxa"/>
      </w:tblCellMar>
    </w:tblPr>
  </w:style>
  <w:style w:type="character" w:customStyle="1" w:styleId="FootnoteTextChar">
    <w:name w:val="Footnote Text Char"/>
    <w:link w:val="FootnoteText"/>
    <w:uiPriority w:val="99"/>
    <w:rsid w:val="00381B81"/>
  </w:style>
  <w:style w:type="paragraph" w:styleId="NoSpacing">
    <w:name w:val="No Spacing"/>
    <w:uiPriority w:val="1"/>
    <w:qFormat/>
    <w:rsid w:val="00381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273291726">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4032">
      <w:bodyDiv w:val="1"/>
      <w:marLeft w:val="0"/>
      <w:marRight w:val="0"/>
      <w:marTop w:val="0"/>
      <w:marBottom w:val="0"/>
      <w:divBdr>
        <w:top w:val="none" w:sz="0" w:space="0" w:color="auto"/>
        <w:left w:val="none" w:sz="0" w:space="0" w:color="auto"/>
        <w:bottom w:val="none" w:sz="0" w:space="0" w:color="auto"/>
        <w:right w:val="none" w:sz="0" w:space="0" w:color="auto"/>
      </w:divBdr>
    </w:div>
    <w:div w:id="612438327">
      <w:bodyDiv w:val="1"/>
      <w:marLeft w:val="0"/>
      <w:marRight w:val="0"/>
      <w:marTop w:val="0"/>
      <w:marBottom w:val="0"/>
      <w:divBdr>
        <w:top w:val="none" w:sz="0" w:space="0" w:color="auto"/>
        <w:left w:val="none" w:sz="0" w:space="0" w:color="auto"/>
        <w:bottom w:val="none" w:sz="0" w:space="0" w:color="auto"/>
        <w:right w:val="none" w:sz="0" w:space="0" w:color="auto"/>
      </w:divBdr>
    </w:div>
    <w:div w:id="744037614">
      <w:bodyDiv w:val="1"/>
      <w:marLeft w:val="0"/>
      <w:marRight w:val="0"/>
      <w:marTop w:val="0"/>
      <w:marBottom w:val="0"/>
      <w:divBdr>
        <w:top w:val="none" w:sz="0" w:space="0" w:color="auto"/>
        <w:left w:val="none" w:sz="0" w:space="0" w:color="auto"/>
        <w:bottom w:val="none" w:sz="0" w:space="0" w:color="auto"/>
        <w:right w:val="none" w:sz="0" w:space="0" w:color="auto"/>
      </w:divBdr>
    </w:div>
    <w:div w:id="763762878">
      <w:bodyDiv w:val="1"/>
      <w:marLeft w:val="0"/>
      <w:marRight w:val="0"/>
      <w:marTop w:val="0"/>
      <w:marBottom w:val="0"/>
      <w:divBdr>
        <w:top w:val="none" w:sz="0" w:space="0" w:color="auto"/>
        <w:left w:val="none" w:sz="0" w:space="0" w:color="auto"/>
        <w:bottom w:val="none" w:sz="0" w:space="0" w:color="auto"/>
        <w:right w:val="none" w:sz="0" w:space="0" w:color="auto"/>
      </w:divBdr>
    </w:div>
    <w:div w:id="780610065">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523133">
      <w:bodyDiv w:val="1"/>
      <w:marLeft w:val="0"/>
      <w:marRight w:val="0"/>
      <w:marTop w:val="0"/>
      <w:marBottom w:val="0"/>
      <w:divBdr>
        <w:top w:val="none" w:sz="0" w:space="0" w:color="auto"/>
        <w:left w:val="none" w:sz="0" w:space="0" w:color="auto"/>
        <w:bottom w:val="none" w:sz="0" w:space="0" w:color="auto"/>
        <w:right w:val="none" w:sz="0" w:space="0" w:color="auto"/>
      </w:divBdr>
    </w:div>
    <w:div w:id="1711225430">
      <w:bodyDiv w:val="1"/>
      <w:marLeft w:val="0"/>
      <w:marRight w:val="0"/>
      <w:marTop w:val="0"/>
      <w:marBottom w:val="0"/>
      <w:divBdr>
        <w:top w:val="none" w:sz="0" w:space="0" w:color="auto"/>
        <w:left w:val="none" w:sz="0" w:space="0" w:color="auto"/>
        <w:bottom w:val="none" w:sz="0" w:space="0" w:color="auto"/>
        <w:right w:val="none" w:sz="0" w:space="0" w:color="auto"/>
      </w:divBdr>
    </w:div>
    <w:div w:id="1776748790">
      <w:bodyDiv w:val="1"/>
      <w:marLeft w:val="0"/>
      <w:marRight w:val="0"/>
      <w:marTop w:val="0"/>
      <w:marBottom w:val="0"/>
      <w:divBdr>
        <w:top w:val="none" w:sz="0" w:space="0" w:color="auto"/>
        <w:left w:val="none" w:sz="0" w:space="0" w:color="auto"/>
        <w:bottom w:val="none" w:sz="0" w:space="0" w:color="auto"/>
        <w:right w:val="none" w:sz="0" w:space="0" w:color="auto"/>
      </w:divBdr>
    </w:div>
    <w:div w:id="1929729561">
      <w:bodyDiv w:val="1"/>
      <w:marLeft w:val="0"/>
      <w:marRight w:val="0"/>
      <w:marTop w:val="0"/>
      <w:marBottom w:val="0"/>
      <w:divBdr>
        <w:top w:val="none" w:sz="0" w:space="0" w:color="auto"/>
        <w:left w:val="none" w:sz="0" w:space="0" w:color="auto"/>
        <w:bottom w:val="none" w:sz="0" w:space="0" w:color="auto"/>
        <w:right w:val="none" w:sz="0" w:space="0" w:color="auto"/>
      </w:divBdr>
    </w:div>
    <w:div w:id="21309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Legal Aid Civil Exceptional Case Funding</vt:lpstr>
    </vt:vector>
  </TitlesOfParts>
  <Company>Ministry of Justice</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Civil Exceptional Case Funding</dc:title>
  <dc:subject>Legal Aid Civil Exceptional Case Funding</dc:subject>
  <dc:creator>MoJ</dc:creator>
  <cp:keywords>Legal Aid Civil; Exceptional Case Funding</cp:keywords>
  <dc:description/>
  <cp:lastModifiedBy>Cox, Allan</cp:lastModifiedBy>
  <cp:revision>2</cp:revision>
  <cp:lastPrinted>2011-02-03T12:30:00Z</cp:lastPrinted>
  <dcterms:created xsi:type="dcterms:W3CDTF">2017-03-20T17:31:00Z</dcterms:created>
  <dcterms:modified xsi:type="dcterms:W3CDTF">2017-03-20T17:31:00Z</dcterms:modified>
  <cp:category>Civil Legal Aid</cp:category>
</cp:coreProperties>
</file>