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1"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r>
              <w:rPr>
                <w:i/>
                <w:color w:val="FF0000"/>
                <w:sz w:val="20"/>
                <w:szCs w:val="20"/>
              </w:rPr>
              <w:t>etc...</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r>
              <w:rPr>
                <w:sz w:val="22"/>
                <w:szCs w:val="22"/>
              </w:rPr>
              <w:t>Etc..</w:t>
            </w:r>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r w:rsidRPr="00454E8C">
              <w:rPr>
                <w:b/>
              </w:rPr>
              <w:t>lihood</w:t>
            </w:r>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sectPr w:rsidR="00CE0124"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20" w:rsidRDefault="00476620" w:rsidP="00CE0124">
      <w:r>
        <w:separator/>
      </w:r>
    </w:p>
  </w:endnote>
  <w:endnote w:type="continuationSeparator" w:id="0">
    <w:p w:rsidR="00476620" w:rsidRDefault="00476620"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8A2C91"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8A2C91"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8A2C91">
    <w:pPr>
      <w:pStyle w:val="Footer"/>
      <w:jc w:val="right"/>
    </w:pPr>
    <w:fldSimple w:instr=" PAGE   \* MERGEFORMAT ">
      <w:r w:rsidR="00476620">
        <w:rPr>
          <w:noProof/>
        </w:rPr>
        <w:t>1</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8A2C91"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8A2C91" w:rsidP="00CE0124">
    <w:pPr>
      <w:pStyle w:val="Footer"/>
      <w:spacing w:before="120"/>
      <w:jc w:val="right"/>
      <w:rPr>
        <w:rFonts w:ascii="Arial" w:hAnsi="Arial" w:cs="Arial"/>
        <w:sz w:val="12"/>
      </w:rPr>
    </w:pPr>
    <w:fldSimple w:instr=" FILENAME \p \* MERGEFORMAT ">
      <w:r w:rsidR="00466D72">
        <w:rPr>
          <w:rFonts w:ascii="Arial" w:hAnsi="Arial" w:cs="Arial"/>
          <w:noProof/>
          <w:sz w:val="12"/>
        </w:rPr>
        <w:t>http://ubs.sharepoint.fco.gov.uk/sites/ops/OU/SPF_Office/Project Management/2. 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20" w:rsidRDefault="00476620" w:rsidP="00CE0124">
      <w:r>
        <w:separator/>
      </w:r>
    </w:p>
  </w:footnote>
  <w:footnote w:type="continuationSeparator" w:id="0">
    <w:p w:rsidR="00476620" w:rsidRDefault="00476620"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8A2C91"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8A2C91"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hdrShapeDefaults>
    <o:shapedefaults v:ext="edit" spidmax="6146"/>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76620"/>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A2C91"/>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EF189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18835F-A288-4D04-BECE-0491710DABE5}">
  <ds:schemaRefs>
    <ds:schemaRef ds:uri="http://schemas.microsoft.com/office/2006/metadata/properties"/>
  </ds:schemaRefs>
</ds:datastoreItem>
</file>

<file path=customXml/itemProps2.xml><?xml version="1.0" encoding="utf-8"?>
<ds:datastoreItem xmlns:ds="http://schemas.openxmlformats.org/officeDocument/2006/customXml" ds:itemID="{545F7290-7FDD-4772-9C6B-B630FD7A65DB}">
  <ds:schemaRefs>
    <ds:schemaRef ds:uri="http://schemas.microsoft.com/sharepoint/v3/contenttype/forms"/>
  </ds:schemaRefs>
</ds:datastoreItem>
</file>

<file path=customXml/itemProps3.xml><?xml version="1.0" encoding="utf-8"?>
<ds:datastoreItem xmlns:ds="http://schemas.openxmlformats.org/officeDocument/2006/customXml" ds:itemID="{F84E774D-50E6-45BD-AC76-31AB643E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9943</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Milovan Grba</cp:lastModifiedBy>
  <cp:revision>5</cp:revision>
  <cp:lastPrinted>2014-01-15T16:08:00Z</cp:lastPrinted>
  <dcterms:created xsi:type="dcterms:W3CDTF">2016-01-07T20:05:00Z</dcterms:created>
  <dcterms:modified xsi:type="dcterms:W3CDTF">2017-03-07T10:20:00Z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