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5D0DF12E" w14:textId="77777777" w:rsidR="00656438" w:rsidRDefault="00A26303">
      <w:pPr>
        <w:spacing w:after="360"/>
      </w:pPr>
      <w:r>
        <w:rPr>
          <w:noProof/>
        </w:rPr>
        <mc:AlternateContent>
          <mc:Choice Requires="wps">
            <w:drawing>
              <wp:anchor distT="0" distB="0" distL="114300" distR="114300" simplePos="0" relativeHeight="251658240" behindDoc="0" locked="0" layoutInCell="0" hidden="0" allowOverlap="1" wp14:anchorId="2090BEF6" wp14:editId="6BFA9DBC">
                <wp:simplePos x="0" y="0"/>
                <wp:positionH relativeFrom="margin">
                  <wp:posOffset>317500</wp:posOffset>
                </wp:positionH>
                <wp:positionV relativeFrom="paragraph">
                  <wp:posOffset>203200</wp:posOffset>
                </wp:positionV>
                <wp:extent cx="4686300" cy="1054100"/>
                <wp:effectExtent l="0" t="0" r="0" b="0"/>
                <wp:wrapNone/>
                <wp:docPr id="3" name="Rectangle 3"/>
                <wp:cNvGraphicFramePr/>
                <a:graphic xmlns:a="http://schemas.openxmlformats.org/drawingml/2006/main">
                  <a:graphicData uri="http://schemas.microsoft.com/office/word/2010/wordprocessingShape">
                    <wps:wsp>
                      <wps:cNvSpPr/>
                      <wps:spPr>
                        <a:xfrm>
                          <a:off x="3007613" y="3252950"/>
                          <a:ext cx="4676775" cy="10541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71D5C2" w14:textId="77777777" w:rsidR="00803075" w:rsidRDefault="00803075">
                            <w:pPr>
                              <w:spacing w:line="275" w:lineRule="auto"/>
                              <w:jc w:val="center"/>
                              <w:textDirection w:val="btLr"/>
                            </w:pPr>
                            <w:r>
                              <w:rPr>
                                <w:b/>
                                <w:color w:val="4F81BD"/>
                                <w:sz w:val="56"/>
                                <w:highlight w:val="yellow"/>
                              </w:rPr>
                              <w:t>[Insert Local Body Logo]</w:t>
                            </w:r>
                          </w:p>
                        </w:txbxContent>
                      </wps:txbx>
                      <wps:bodyPr lIns="91425" tIns="45700" rIns="91425" bIns="45700" anchor="t" anchorCtr="0"/>
                    </wps:wsp>
                  </a:graphicData>
                </a:graphic>
              </wp:anchor>
            </w:drawing>
          </mc:Choice>
          <mc:Fallback>
            <w:pict>
              <v:rect w14:anchorId="2090BEF6" id="Rectangle 3" o:spid="_x0000_s1026" style="position:absolute;left:0;text-align:left;margin-left:25pt;margin-top:16pt;width:369pt;height:8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FDQIAACwEAAAOAAAAZHJzL2Uyb0RvYy54bWysU02P0zAQvSPxHyzfaZJu09Ko6R62FCEh&#10;WLHwA6a2k1jyl2zTpP+esVt2u8ABrdYHZyZ+fjPzxrO5nbQiR+GDtKal1aykRBhmuTR9S3983797&#10;T0mIYDgoa0RLTyLQ2+3bN5vRNWJuB6u48ARJTGhG19IhRtcURWCD0BBm1gmDh531GiK6vi+4hxHZ&#10;tSrmZbksRuu585aJEPDv7nxIt5m/6wSLX7suiEhUSzG3mHef90Pai+0Gmt6DGyS7pAEvyEKDNBj0&#10;kWoHEchPL/+i0pJ5G2wXZ8zqwnadZCLXgNVU5R/VPAzgRK4FxQnuUabwerTsy/HeE8lbekOJAY0t&#10;+oaigemVIDdJntGFBlEP7t5fvIBmqnXqvE5frIJMSFCWq2WFNCe05/V8XV/kFVMkDAGL5Wq5WtWU&#10;MERUZb2oyowonqicD/GjsJoko6UeU8mywvFziBgeob8hKXKwSvK9VCo7vj/cKU+OgL3e55XyxyvP&#10;YMqQsaXrep4SAXxynYKIpnYoQjB9jvfsRrgmLvP6F3FKbAdhOCeQGRIMGi2jSNpBMwjgHwwn8eRQ&#10;aIMTQVMyWnBKlMABSlZGRpDqf5BYnTJYZOrSuS/JitNhQppkHiw/YYfVJ4OvZl0tUtkxO4t6hfoT&#10;f31yuD4BwwaLs4LqnM27mCcHmXM8fJJZ3sv4pDd/7WfU05BvfwEAAP//AwBQSwMEFAAGAAgAAAAh&#10;AJkuJbzcAAAACQEAAA8AAABkcnMvZG93bnJldi54bWxMT8tOwzAQvCP1H6xF4kbthkdDiFMhVCq4&#10;QajK1Y23SUq8jmK3Tf+e5QSnndWM5pEvRteJIw6h9aRhNlUgkCpvW6o1rD9frlMQIRqypvOEGs4Y&#10;YFFMLnKTWX+iDzyWsRZsQiEzGpoY+0zKUDXoTJj6Hom5nR+cifwOtbSDObG562Si1L10piVOaEyP&#10;zw1W3+XBaXh939Vv5WY/t7Nl0t9+JYpW1VLrq8vx6RFExDH+ieG3PleHgjtt/YFsEJ2GO8VTooab&#10;hC/z8zRlsGXhAwNZ5PL/guIHAAD//wMAUEsBAi0AFAAGAAgAAAAhALaDOJL+AAAA4QEAABMAAAAA&#10;AAAAAAAAAAAAAAAAAFtDb250ZW50X1R5cGVzXS54bWxQSwECLQAUAAYACAAAACEAOP0h/9YAAACU&#10;AQAACwAAAAAAAAAAAAAAAAAvAQAAX3JlbHMvLnJlbHNQSwECLQAUAAYACAAAACEAHLpRxQ0CAAAs&#10;BAAADgAAAAAAAAAAAAAAAAAuAgAAZHJzL2Uyb0RvYy54bWxQSwECLQAUAAYACAAAACEAmS4lvNwA&#10;AAAJAQAADwAAAAAAAAAAAAAAAABnBAAAZHJzL2Rvd25yZXYueG1sUEsFBgAAAAAEAAQA8wAAAHAF&#10;AAAAAA==&#10;" o:allowincell="f">
                <v:textbox inset="2.53958mm,1.2694mm,2.53958mm,1.2694mm">
                  <w:txbxContent>
                    <w:p w14:paraId="0771D5C2" w14:textId="77777777" w:rsidR="00803075" w:rsidRDefault="00803075">
                      <w:pPr>
                        <w:spacing w:line="275" w:lineRule="auto"/>
                        <w:jc w:val="center"/>
                        <w:textDirection w:val="btLr"/>
                      </w:pPr>
                      <w:r>
                        <w:rPr>
                          <w:b/>
                          <w:color w:val="4F81BD"/>
                          <w:sz w:val="56"/>
                          <w:highlight w:val="yellow"/>
                        </w:rPr>
                        <w:t>[Insert Local Body Logo]</w:t>
                      </w:r>
                    </w:p>
                  </w:txbxContent>
                </v:textbox>
                <w10:wrap anchorx="margin"/>
              </v:rect>
            </w:pict>
          </mc:Fallback>
        </mc:AlternateContent>
      </w:r>
    </w:p>
    <w:p w14:paraId="7AEA6A91" w14:textId="77777777" w:rsidR="00656438" w:rsidRDefault="00656438">
      <w:pPr>
        <w:spacing w:after="360"/>
      </w:pPr>
    </w:p>
    <w:p w14:paraId="0E073C5B" w14:textId="77777777" w:rsidR="00656438" w:rsidRDefault="00656438">
      <w:pPr>
        <w:spacing w:after="360"/>
      </w:pPr>
    </w:p>
    <w:p w14:paraId="46A33651" w14:textId="77777777" w:rsidR="00656438" w:rsidRDefault="00656438">
      <w:pPr>
        <w:spacing w:after="360"/>
      </w:pPr>
    </w:p>
    <w:p w14:paraId="7E67914C" w14:textId="0E071760" w:rsidR="00656438" w:rsidRDefault="00A26303">
      <w:pPr>
        <w:spacing w:after="360"/>
      </w:pPr>
      <w:r>
        <w:rPr>
          <w:rFonts w:ascii="Calibri" w:eastAsia="Calibri" w:hAnsi="Calibri" w:cs="Calibri"/>
          <w:b/>
          <w:color w:val="006FB7"/>
          <w:sz w:val="56"/>
          <w:szCs w:val="56"/>
        </w:rPr>
        <w:t>ITT Part 2:</w:t>
      </w:r>
      <w:r w:rsidR="00D4091F">
        <w:rPr>
          <w:rFonts w:ascii="Calibri" w:eastAsia="Calibri" w:hAnsi="Calibri" w:cs="Calibri"/>
          <w:b/>
          <w:color w:val="006FB7"/>
          <w:sz w:val="56"/>
          <w:szCs w:val="56"/>
        </w:rPr>
        <w:t xml:space="preserve"> </w:t>
      </w:r>
      <w:r w:rsidR="005904BA">
        <w:rPr>
          <w:rFonts w:ascii="Calibri" w:eastAsia="Calibri" w:hAnsi="Calibri" w:cs="Calibri"/>
          <w:b/>
          <w:color w:val="006FB7"/>
          <w:sz w:val="56"/>
          <w:szCs w:val="56"/>
        </w:rPr>
        <w:t xml:space="preserve"> </w:t>
      </w:r>
    </w:p>
    <w:p w14:paraId="663E0293" w14:textId="151A4ADF" w:rsidR="00656438" w:rsidRDefault="00A26303">
      <w:pPr>
        <w:spacing w:after="360"/>
      </w:pPr>
      <w:r>
        <w:rPr>
          <w:rFonts w:ascii="Calibri" w:eastAsia="Calibri" w:hAnsi="Calibri" w:cs="Calibri"/>
          <w:b/>
          <w:color w:val="006FB7"/>
          <w:sz w:val="56"/>
          <w:szCs w:val="56"/>
        </w:rPr>
        <w:t>Requirements and Evaluation Strategy</w:t>
      </w:r>
      <w:r w:rsidR="00F30794">
        <w:rPr>
          <w:rFonts w:ascii="Calibri" w:eastAsia="Calibri" w:hAnsi="Calibri" w:cs="Calibri"/>
          <w:b/>
          <w:color w:val="006FB7"/>
          <w:sz w:val="56"/>
          <w:szCs w:val="56"/>
        </w:rPr>
        <w:t xml:space="preserve"> </w:t>
      </w:r>
    </w:p>
    <w:p w14:paraId="73F5A5E1" w14:textId="77777777" w:rsidR="00656438" w:rsidRDefault="00656438">
      <w:pPr>
        <w:spacing w:after="360"/>
      </w:pPr>
    </w:p>
    <w:p w14:paraId="31E998D5" w14:textId="77777777" w:rsidR="00656438" w:rsidRDefault="00656438">
      <w:pPr>
        <w:spacing w:after="240"/>
        <w:jc w:val="left"/>
      </w:pPr>
    </w:p>
    <w:p w14:paraId="6998F307" w14:textId="77777777" w:rsidR="00656438" w:rsidRDefault="00656438">
      <w:pPr>
        <w:spacing w:after="240"/>
        <w:jc w:val="left"/>
      </w:pPr>
    </w:p>
    <w:p w14:paraId="2BB0309B" w14:textId="4DC42767" w:rsidR="00656438" w:rsidRDefault="00A26303">
      <w:pPr>
        <w:spacing w:before="120"/>
      </w:pPr>
      <w:r>
        <w:rPr>
          <w:rFonts w:ascii="Calibri" w:eastAsia="Calibri" w:hAnsi="Calibri" w:cs="Calibri"/>
        </w:rPr>
        <w:t xml:space="preserve">Date: </w:t>
      </w:r>
      <w:r w:rsidR="008E0A69">
        <w:rPr>
          <w:rFonts w:ascii="Calibri" w:eastAsia="Calibri" w:hAnsi="Calibri" w:cs="Calibri"/>
        </w:rPr>
        <w:t>December</w:t>
      </w:r>
      <w:r w:rsidR="00803075">
        <w:rPr>
          <w:rFonts w:ascii="Calibri" w:eastAsia="Calibri" w:hAnsi="Calibri" w:cs="Calibri"/>
        </w:rPr>
        <w:t xml:space="preserve"> 2018</w:t>
      </w:r>
    </w:p>
    <w:p w14:paraId="214574B7" w14:textId="0E39403A" w:rsidR="00656438" w:rsidRDefault="006B3389">
      <w:r>
        <w:rPr>
          <w:rFonts w:ascii="Calibri" w:eastAsia="Calibri" w:hAnsi="Calibri" w:cs="Calibri"/>
        </w:rPr>
        <w:t xml:space="preserve">Version: </w:t>
      </w:r>
      <w:r w:rsidR="003B4B5F">
        <w:rPr>
          <w:rFonts w:ascii="Calibri" w:eastAsia="Calibri" w:hAnsi="Calibri" w:cs="Calibri"/>
        </w:rPr>
        <w:t>3.</w:t>
      </w:r>
      <w:r w:rsidR="00803075">
        <w:rPr>
          <w:rFonts w:ascii="Calibri" w:eastAsia="Calibri" w:hAnsi="Calibri" w:cs="Calibri"/>
        </w:rPr>
        <w:t>2</w:t>
      </w:r>
      <w:r w:rsidR="00DF218B">
        <w:rPr>
          <w:rFonts w:ascii="Calibri" w:eastAsia="Calibri" w:hAnsi="Calibri" w:cs="Calibri"/>
        </w:rPr>
        <w:t>a</w:t>
      </w:r>
    </w:p>
    <w:p w14:paraId="009B521F" w14:textId="03E54738" w:rsidR="00656438" w:rsidRDefault="00A26303">
      <w:r>
        <w:rPr>
          <w:rFonts w:ascii="Calibri" w:eastAsia="Calibri" w:hAnsi="Calibri" w:cs="Calibri"/>
        </w:rPr>
        <w:t xml:space="preserve">Status: </w:t>
      </w:r>
      <w:r w:rsidR="00A8213B">
        <w:rPr>
          <w:rFonts w:ascii="Calibri" w:eastAsia="Calibri" w:hAnsi="Calibri" w:cs="Calibri"/>
        </w:rPr>
        <w:t>Template</w:t>
      </w:r>
    </w:p>
    <w:p w14:paraId="61AA273B" w14:textId="77777777" w:rsidR="00656438" w:rsidRDefault="00656438"/>
    <w:p w14:paraId="57AFF693" w14:textId="77777777" w:rsidR="00656438" w:rsidRDefault="00A26303">
      <w:pPr>
        <w:spacing w:after="240"/>
        <w:jc w:val="left"/>
      </w:pPr>
      <w:r>
        <w:rPr>
          <w:rFonts w:ascii="Calibri" w:eastAsia="Calibri" w:hAnsi="Calibri" w:cs="Calibri"/>
          <w:color w:val="006FB7"/>
          <w:sz w:val="40"/>
          <w:szCs w:val="40"/>
        </w:rPr>
        <w:br/>
      </w:r>
    </w:p>
    <w:p w14:paraId="1493392D" w14:textId="77777777" w:rsidR="00656438" w:rsidRDefault="00656438">
      <w:pPr>
        <w:spacing w:after="240"/>
        <w:jc w:val="left"/>
      </w:pPr>
    </w:p>
    <w:p w14:paraId="68D8BD6D" w14:textId="77777777" w:rsidR="00656438" w:rsidRDefault="00656438">
      <w:pPr>
        <w:spacing w:after="240"/>
        <w:jc w:val="left"/>
      </w:pPr>
    </w:p>
    <w:p w14:paraId="1CEF383C" w14:textId="77777777" w:rsidR="003B4B5F" w:rsidRDefault="003B4B5F">
      <w:pPr>
        <w:spacing w:after="240"/>
        <w:jc w:val="left"/>
      </w:pPr>
    </w:p>
    <w:p w14:paraId="5DE7DDFB" w14:textId="4CDAD70C" w:rsidR="00656438" w:rsidRDefault="00A8213B">
      <w:pPr>
        <w:spacing w:after="240"/>
        <w:jc w:val="left"/>
      </w:pPr>
      <w:r>
        <w:rPr>
          <w:noProof/>
        </w:rPr>
        <w:drawing>
          <wp:inline distT="0" distB="0" distL="0" distR="0" wp14:anchorId="19BF6B16" wp14:editId="5F7BDDB8">
            <wp:extent cx="1231900" cy="847575"/>
            <wp:effectExtent l="0" t="0" r="6350" b="0"/>
            <wp:docPr id="2" name="Picture 2" descr="https://intranet.culture.gov.uk/wp-content/uploads/DCMS17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culture.gov.uk/wp-content/uploads/DCMS17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904" cy="857898"/>
                    </a:xfrm>
                    <a:prstGeom prst="rect">
                      <a:avLst/>
                    </a:prstGeom>
                    <a:noFill/>
                    <a:ln>
                      <a:noFill/>
                    </a:ln>
                  </pic:spPr>
                </pic:pic>
              </a:graphicData>
            </a:graphic>
          </wp:inline>
        </w:drawing>
      </w:r>
      <w:r w:rsidR="00A26303">
        <w:rPr>
          <w:rFonts w:ascii="Calibri" w:eastAsia="Calibri" w:hAnsi="Calibri" w:cs="Calibri"/>
          <w:sz w:val="20"/>
          <w:szCs w:val="20"/>
        </w:rPr>
        <w:br/>
      </w:r>
    </w:p>
    <w:p w14:paraId="767A7A59" w14:textId="77777777" w:rsidR="00C23E67" w:rsidRDefault="00C23E67" w:rsidP="00C23E67">
      <w:pPr>
        <w:tabs>
          <w:tab w:val="left" w:pos="930"/>
        </w:tabs>
        <w:rPr>
          <w:rFonts w:ascii="Calibri" w:eastAsia="Calibri" w:hAnsi="Calibri" w:cs="Calibri"/>
          <w:color w:val="FF0000"/>
          <w:sz w:val="20"/>
          <w:szCs w:val="20"/>
        </w:rPr>
      </w:pPr>
      <w:bookmarkStart w:id="1" w:name="h.l2jm47306w31" w:colFirst="0" w:colLast="0"/>
      <w:bookmarkEnd w:id="1"/>
      <w:r>
        <w:rPr>
          <w:b/>
          <w:color w:val="FF0000"/>
          <w:sz w:val="20"/>
          <w:szCs w:val="20"/>
        </w:rPr>
        <w:lastRenderedPageBreak/>
        <w:t xml:space="preserve">Please Note: </w:t>
      </w:r>
      <w:r>
        <w:rPr>
          <w:rFonts w:ascii="Calibri" w:eastAsia="Calibri" w:hAnsi="Calibri" w:cs="Calibri"/>
          <w:color w:val="FF0000"/>
          <w:sz w:val="20"/>
          <w:szCs w:val="20"/>
        </w:rPr>
        <w:t>This document comprises part of the template invitation to tender (</w:t>
      </w:r>
      <w:r>
        <w:rPr>
          <w:rFonts w:ascii="Calibri" w:eastAsia="Calibri" w:hAnsi="Calibri" w:cs="Calibri"/>
          <w:b/>
          <w:color w:val="FF0000"/>
          <w:sz w:val="20"/>
          <w:szCs w:val="20"/>
        </w:rPr>
        <w:t>"ITT"</w:t>
      </w:r>
      <w:r>
        <w:rPr>
          <w:rFonts w:ascii="Calibri" w:eastAsia="Calibri" w:hAnsi="Calibri" w:cs="Calibri"/>
          <w:color w:val="FF0000"/>
          <w:sz w:val="20"/>
          <w:szCs w:val="20"/>
        </w:rPr>
        <w:t>) relating to the Phase 3 OJEU procurement process and is subject to change.</w:t>
      </w:r>
    </w:p>
    <w:p w14:paraId="51682755" w14:textId="77777777" w:rsidR="00C23E67" w:rsidRDefault="00C23E67" w:rsidP="00C23E67">
      <w:pPr>
        <w:tabs>
          <w:tab w:val="left" w:pos="930"/>
        </w:tabs>
        <w:rPr>
          <w:rFonts w:ascii="Calibri" w:eastAsia="Calibri" w:hAnsi="Calibri" w:cs="Calibri"/>
          <w:color w:val="FF0000"/>
          <w:sz w:val="20"/>
          <w:szCs w:val="20"/>
        </w:rPr>
      </w:pPr>
      <w:r>
        <w:rPr>
          <w:rFonts w:ascii="Calibri" w:eastAsia="Calibri" w:hAnsi="Calibri" w:cs="Calibri"/>
          <w:color w:val="FF0000"/>
          <w:sz w:val="20"/>
          <w:szCs w:val="20"/>
        </w:rPr>
        <w:t>This document is provided by BDUK for use only by Local Bodies who are undertaking Phase 3 OJEU procurements.  It is not to be used for any other purpose. It is oriented to those procurements using the Open or Restricted Procedures, although can be adapted for use with other procurement procedures.  Access to this document is restricted to the relevant authorised Huddle users and other associated permitted recipients.</w:t>
      </w:r>
    </w:p>
    <w:p w14:paraId="2AF2C2DE" w14:textId="77777777" w:rsidR="00C23E67" w:rsidRDefault="00C23E67" w:rsidP="00C23E67">
      <w:pPr>
        <w:tabs>
          <w:tab w:val="left" w:pos="930"/>
        </w:tabs>
      </w:pPr>
      <w:r>
        <w:rPr>
          <w:rFonts w:ascii="Calibri" w:eastAsia="Calibri" w:hAnsi="Calibri" w:cs="Calibri"/>
          <w:color w:val="FF0000"/>
          <w:sz w:val="20"/>
          <w:szCs w:val="20"/>
        </w:rPr>
        <w:t>This document may contain certain high level and/or selected summary information only and care should be taken if relying on its content.  To ensure they are fully informed, Local Bodies should refer to the relevant more detailed Programme document(s) (where available) and otherwise consult with BDUK and/or their own professional advisers.</w:t>
      </w:r>
    </w:p>
    <w:p w14:paraId="00740441" w14:textId="77777777" w:rsidR="00C23E67" w:rsidRDefault="00C23E67" w:rsidP="00C23E67">
      <w:pPr>
        <w:tabs>
          <w:tab w:val="left" w:pos="930"/>
        </w:tabs>
      </w:pPr>
      <w:r>
        <w:rPr>
          <w:rFonts w:ascii="Calibri" w:eastAsia="Calibri" w:hAnsi="Calibri" w:cs="Calibri"/>
          <w:color w:val="FF0000"/>
          <w:sz w:val="20"/>
          <w:szCs w:val="20"/>
        </w:rPr>
        <w:t>Anybody using this document must seek their own legal advice in respect of the document's completion, issue and operation.  DCMS (including BDUK) accepts no liability for: (i) the accuracy of this document; or (ii) its use in respect of Phase 3 procurement or otherwise.</w:t>
      </w:r>
    </w:p>
    <w:p w14:paraId="44535D2D" w14:textId="77777777" w:rsidR="00C23E67" w:rsidRDefault="00C23E67" w:rsidP="00C23E67">
      <w:pPr>
        <w:tabs>
          <w:tab w:val="left" w:pos="930"/>
        </w:tabs>
      </w:pPr>
      <w:r>
        <w:rPr>
          <w:rFonts w:ascii="Calibri" w:eastAsia="Calibri" w:hAnsi="Calibri" w:cs="Calibri"/>
          <w:color w:val="FF0000"/>
          <w:sz w:val="20"/>
          <w:szCs w:val="20"/>
        </w:rPr>
        <w:t>This template ITT has been prepared to support requirements associated with DCMS funding and, more generically, anticipated requirements associated with Local Bodies' own funding.  Should other third party funding streams (e.g. ERDF) be incorporated within the project's public sector subsidy, the Local Body must specifically review the requirements of such funding streams and ensure they are appropriately reflected in this ITT (as well as any associated Contract).</w:t>
      </w:r>
    </w:p>
    <w:p w14:paraId="6E2FBC7C" w14:textId="77777777" w:rsidR="00C23E67" w:rsidRDefault="00C23E67" w:rsidP="00C23E67">
      <w:pPr>
        <w:tabs>
          <w:tab w:val="left" w:pos="930"/>
        </w:tabs>
      </w:pPr>
      <w:r>
        <w:rPr>
          <w:rFonts w:ascii="Calibri" w:eastAsia="Calibri" w:hAnsi="Calibri" w:cs="Calibri"/>
          <w:color w:val="FF0000"/>
          <w:sz w:val="20"/>
          <w:szCs w:val="20"/>
        </w:rPr>
        <w:t>Text in red footnotes is provided to guide use of the document and must be removed before issue or publication.  Text in square brackets within the main body of the document shows where a Local Body needs to insert content or shows example text which can be adjusted to suit the local context.  Once the Local Body has made these adjustments the square brackets should be removed</w:t>
      </w:r>
      <w:r>
        <w:rPr>
          <w:rFonts w:ascii="Calibri" w:eastAsia="Calibri" w:hAnsi="Calibri" w:cs="Calibri"/>
          <w:color w:val="FF0000"/>
        </w:rPr>
        <w:t>.</w:t>
      </w:r>
    </w:p>
    <w:p w14:paraId="2AD7674B" w14:textId="77777777" w:rsidR="00C23E67" w:rsidRDefault="00C23E67" w:rsidP="00C23E67">
      <w:pPr>
        <w:tabs>
          <w:tab w:val="left" w:pos="930"/>
        </w:tabs>
      </w:pPr>
      <w:r>
        <w:rPr>
          <w:rFonts w:ascii="Calibri" w:eastAsia="Calibri" w:hAnsi="Calibri" w:cs="Calibri"/>
          <w:color w:val="FF0000"/>
          <w:sz w:val="20"/>
          <w:szCs w:val="20"/>
        </w:rPr>
        <w:t>This text should also be removed before issue or publication by the Local Body.</w:t>
      </w:r>
      <w:r>
        <w:rPr>
          <w:rFonts w:ascii="Calibri" w:eastAsia="Calibri" w:hAnsi="Calibri" w:cs="Calibri"/>
          <w:b/>
          <w:color w:val="FF0000"/>
        </w:rPr>
        <w:tab/>
      </w:r>
    </w:p>
    <w:p w14:paraId="6E592BAD" w14:textId="77777777" w:rsidR="00656438" w:rsidRDefault="00A26303">
      <w:pPr>
        <w:tabs>
          <w:tab w:val="left" w:pos="930"/>
        </w:tabs>
        <w:spacing w:after="0" w:line="240" w:lineRule="auto"/>
      </w:pPr>
      <w:r>
        <w:rPr>
          <w:rFonts w:ascii="Calibri" w:eastAsia="Calibri" w:hAnsi="Calibri" w:cs="Calibri"/>
          <w:b/>
          <w:color w:val="1F497D"/>
          <w:sz w:val="28"/>
          <w:szCs w:val="28"/>
        </w:rPr>
        <w:tab/>
      </w:r>
      <w:r>
        <w:rPr>
          <w:rFonts w:ascii="Calibri" w:eastAsia="Calibri" w:hAnsi="Calibri" w:cs="Calibri"/>
          <w:b/>
          <w:color w:val="1F497D"/>
          <w:sz w:val="28"/>
          <w:szCs w:val="28"/>
        </w:rPr>
        <w:tab/>
      </w:r>
    </w:p>
    <w:p w14:paraId="6DED72DF" w14:textId="77777777" w:rsidR="00656438" w:rsidRDefault="00A26303">
      <w:r>
        <w:br w:type="page"/>
      </w:r>
    </w:p>
    <w:p w14:paraId="495CCBEC" w14:textId="77777777" w:rsidR="00656438" w:rsidRPr="000C5B6E" w:rsidRDefault="00A26303">
      <w:pPr>
        <w:tabs>
          <w:tab w:val="left" w:pos="0"/>
          <w:tab w:val="left" w:pos="426"/>
          <w:tab w:val="right" w:pos="8789"/>
        </w:tabs>
        <w:spacing w:before="120" w:after="60" w:line="240" w:lineRule="auto"/>
        <w:ind w:right="237"/>
        <w:jc w:val="left"/>
        <w:rPr>
          <w:color w:val="auto"/>
        </w:rPr>
      </w:pPr>
      <w:r w:rsidRPr="000C5B6E">
        <w:rPr>
          <w:rFonts w:ascii="Calibri" w:eastAsia="Calibri" w:hAnsi="Calibri" w:cs="Calibri"/>
          <w:color w:val="auto"/>
          <w:sz w:val="40"/>
          <w:szCs w:val="40"/>
        </w:rPr>
        <w:lastRenderedPageBreak/>
        <w:t>Table of Contents</w:t>
      </w:r>
    </w:p>
    <w:p w14:paraId="080800C4" w14:textId="77777777" w:rsidR="00656438" w:rsidRPr="000C5B6E" w:rsidRDefault="00292EF8">
      <w:pPr>
        <w:tabs>
          <w:tab w:val="left" w:pos="0"/>
          <w:tab w:val="left" w:pos="426"/>
          <w:tab w:val="right" w:pos="8789"/>
        </w:tabs>
        <w:spacing w:before="120" w:after="60" w:line="240" w:lineRule="auto"/>
        <w:ind w:right="237"/>
        <w:jc w:val="left"/>
        <w:rPr>
          <w:color w:val="auto"/>
        </w:rPr>
      </w:pPr>
      <w:hyperlink w:anchor="h.1fob9te">
        <w:r w:rsidR="00A26303" w:rsidRPr="000C5B6E">
          <w:rPr>
            <w:rFonts w:ascii="Calibri" w:eastAsia="Calibri" w:hAnsi="Calibri" w:cs="Calibri"/>
            <w:color w:val="auto"/>
            <w:u w:val="single"/>
          </w:rPr>
          <w:t>1</w:t>
        </w:r>
      </w:hyperlink>
      <w:hyperlink w:anchor="h.1fob9te">
        <w:r w:rsidR="00A26303" w:rsidRPr="000C5B6E">
          <w:rPr>
            <w:rFonts w:ascii="Calibri" w:eastAsia="Calibri" w:hAnsi="Calibri" w:cs="Calibri"/>
            <w:color w:val="auto"/>
          </w:rPr>
          <w:tab/>
        </w:r>
      </w:hyperlink>
      <w:hyperlink w:anchor="h.1fob9te">
        <w:r w:rsidR="00A26303" w:rsidRPr="000C5B6E">
          <w:rPr>
            <w:rFonts w:ascii="Calibri" w:eastAsia="Calibri" w:hAnsi="Calibri" w:cs="Calibri"/>
            <w:color w:val="auto"/>
            <w:u w:val="single"/>
          </w:rPr>
          <w:t>Introduction and Context</w:t>
        </w:r>
      </w:hyperlink>
    </w:p>
    <w:p w14:paraId="3612257D" w14:textId="77777777" w:rsidR="00656438" w:rsidRPr="000C5B6E" w:rsidRDefault="00A26303" w:rsidP="000C5B6E">
      <w:pPr>
        <w:tabs>
          <w:tab w:val="left" w:pos="0"/>
          <w:tab w:val="left" w:pos="426"/>
          <w:tab w:val="right" w:pos="8789"/>
        </w:tabs>
        <w:spacing w:before="120" w:after="60" w:line="240" w:lineRule="auto"/>
        <w:ind w:right="237" w:firstLine="426"/>
        <w:jc w:val="left"/>
        <w:rPr>
          <w:color w:val="auto"/>
        </w:rPr>
      </w:pPr>
      <w:r w:rsidRPr="000C5B6E">
        <w:rPr>
          <w:rFonts w:ascii="Calibri" w:eastAsia="Calibri" w:hAnsi="Calibri" w:cs="Calibri"/>
          <w:color w:val="auto"/>
          <w:u w:val="single"/>
        </w:rPr>
        <w:t>1.1</w:t>
      </w:r>
      <w:r w:rsidRPr="000C5B6E">
        <w:rPr>
          <w:rFonts w:ascii="Calibri" w:eastAsia="Calibri" w:hAnsi="Calibri" w:cs="Calibri"/>
          <w:color w:val="auto"/>
        </w:rPr>
        <w:t xml:space="preserve">   </w:t>
      </w:r>
      <w:r w:rsidRPr="000C5B6E">
        <w:rPr>
          <w:rFonts w:ascii="Calibri" w:eastAsia="Calibri" w:hAnsi="Calibri" w:cs="Calibri"/>
          <w:color w:val="auto"/>
          <w:u w:val="single"/>
        </w:rPr>
        <w:t>Purpose</w:t>
      </w:r>
    </w:p>
    <w:p w14:paraId="7134EE6B" w14:textId="77777777" w:rsidR="00656438" w:rsidRPr="000C5B6E" w:rsidRDefault="00A26303" w:rsidP="000C5B6E">
      <w:pPr>
        <w:tabs>
          <w:tab w:val="left" w:pos="0"/>
          <w:tab w:val="left" w:pos="426"/>
          <w:tab w:val="right" w:pos="8789"/>
        </w:tabs>
        <w:spacing w:before="120" w:after="60" w:line="240" w:lineRule="auto"/>
        <w:ind w:right="237" w:firstLine="426"/>
        <w:jc w:val="left"/>
        <w:rPr>
          <w:color w:val="auto"/>
        </w:rPr>
      </w:pPr>
      <w:r w:rsidRPr="000C5B6E">
        <w:rPr>
          <w:rFonts w:ascii="Calibri" w:eastAsia="Calibri" w:hAnsi="Calibri" w:cs="Calibri"/>
          <w:color w:val="auto"/>
          <w:u w:val="single"/>
        </w:rPr>
        <w:t>1.2</w:t>
      </w:r>
      <w:r w:rsidRPr="000C5B6E">
        <w:rPr>
          <w:rFonts w:ascii="Calibri" w:eastAsia="Calibri" w:hAnsi="Calibri" w:cs="Calibri"/>
          <w:color w:val="auto"/>
        </w:rPr>
        <w:t xml:space="preserve">   </w:t>
      </w:r>
      <w:r w:rsidRPr="000C5B6E">
        <w:rPr>
          <w:rFonts w:ascii="Calibri" w:eastAsia="Calibri" w:hAnsi="Calibri" w:cs="Calibri"/>
          <w:color w:val="auto"/>
          <w:u w:val="single"/>
        </w:rPr>
        <w:t>Project Stakeholders</w:t>
      </w:r>
    </w:p>
    <w:p w14:paraId="16AB800D" w14:textId="77777777" w:rsidR="00656438" w:rsidRPr="000C5B6E" w:rsidRDefault="00A26303" w:rsidP="000C5B6E">
      <w:pPr>
        <w:tabs>
          <w:tab w:val="left" w:pos="0"/>
          <w:tab w:val="left" w:pos="426"/>
          <w:tab w:val="right" w:pos="8789"/>
        </w:tabs>
        <w:spacing w:before="120" w:after="60" w:line="240" w:lineRule="auto"/>
        <w:ind w:right="237" w:firstLine="426"/>
        <w:jc w:val="left"/>
        <w:rPr>
          <w:color w:val="auto"/>
        </w:rPr>
      </w:pPr>
      <w:r w:rsidRPr="000C5B6E">
        <w:rPr>
          <w:rFonts w:ascii="Calibri" w:eastAsia="Calibri" w:hAnsi="Calibri" w:cs="Calibri"/>
          <w:color w:val="auto"/>
          <w:u w:val="single"/>
        </w:rPr>
        <w:t xml:space="preserve">1.3  </w:t>
      </w:r>
      <w:r w:rsidRPr="000C5B6E">
        <w:rPr>
          <w:rFonts w:ascii="Calibri" w:eastAsia="Calibri" w:hAnsi="Calibri" w:cs="Calibri"/>
          <w:color w:val="auto"/>
        </w:rPr>
        <w:t xml:space="preserve"> </w:t>
      </w:r>
      <w:r w:rsidRPr="000C5B6E">
        <w:rPr>
          <w:rFonts w:ascii="Calibri" w:eastAsia="Calibri" w:hAnsi="Calibri" w:cs="Calibri"/>
          <w:color w:val="auto"/>
          <w:u w:val="single"/>
        </w:rPr>
        <w:t>Meeting the Objectives</w:t>
      </w:r>
    </w:p>
    <w:p w14:paraId="4C5C2BE4" w14:textId="77777777" w:rsidR="00656438" w:rsidRPr="000C5B6E" w:rsidRDefault="00A26303" w:rsidP="000C5B6E">
      <w:pPr>
        <w:tabs>
          <w:tab w:val="left" w:pos="0"/>
          <w:tab w:val="left" w:pos="426"/>
          <w:tab w:val="right" w:pos="8789"/>
        </w:tabs>
        <w:spacing w:before="120" w:after="60" w:line="240" w:lineRule="auto"/>
        <w:ind w:right="237" w:firstLine="426"/>
        <w:jc w:val="left"/>
        <w:rPr>
          <w:color w:val="auto"/>
        </w:rPr>
      </w:pPr>
      <w:r w:rsidRPr="000C5B6E">
        <w:rPr>
          <w:rFonts w:ascii="Calibri" w:eastAsia="Calibri" w:hAnsi="Calibri" w:cs="Calibri"/>
          <w:color w:val="auto"/>
          <w:u w:val="single"/>
        </w:rPr>
        <w:t xml:space="preserve">1.4  </w:t>
      </w:r>
      <w:r w:rsidRPr="000C5B6E">
        <w:rPr>
          <w:rFonts w:ascii="Calibri" w:eastAsia="Calibri" w:hAnsi="Calibri" w:cs="Calibri"/>
          <w:color w:val="auto"/>
        </w:rPr>
        <w:t xml:space="preserve"> </w:t>
      </w:r>
      <w:r w:rsidRPr="000C5B6E">
        <w:rPr>
          <w:rFonts w:ascii="Calibri" w:eastAsia="Calibri" w:hAnsi="Calibri" w:cs="Calibri"/>
          <w:color w:val="auto"/>
          <w:u w:val="single"/>
        </w:rPr>
        <w:t>Geography and Premises</w:t>
      </w:r>
    </w:p>
    <w:p w14:paraId="070CBA60" w14:textId="255E061D" w:rsidR="00656438" w:rsidRDefault="00A26303" w:rsidP="000C5B6E">
      <w:pPr>
        <w:tabs>
          <w:tab w:val="left" w:pos="0"/>
          <w:tab w:val="left" w:pos="426"/>
          <w:tab w:val="right" w:pos="8789"/>
        </w:tabs>
        <w:spacing w:before="120" w:after="60" w:line="240" w:lineRule="auto"/>
        <w:ind w:right="237" w:firstLine="426"/>
        <w:jc w:val="left"/>
        <w:rPr>
          <w:rFonts w:ascii="Calibri" w:eastAsia="Calibri" w:hAnsi="Calibri" w:cs="Calibri"/>
          <w:color w:val="auto"/>
          <w:u w:val="single"/>
        </w:rPr>
      </w:pPr>
      <w:r w:rsidRPr="000C5B6E">
        <w:rPr>
          <w:rFonts w:ascii="Calibri" w:eastAsia="Calibri" w:hAnsi="Calibri" w:cs="Calibri"/>
          <w:color w:val="auto"/>
          <w:u w:val="single"/>
        </w:rPr>
        <w:t xml:space="preserve">1.5  </w:t>
      </w:r>
      <w:r w:rsidRPr="000C5B6E">
        <w:rPr>
          <w:rFonts w:ascii="Calibri" w:eastAsia="Calibri" w:hAnsi="Calibri" w:cs="Calibri"/>
          <w:color w:val="auto"/>
        </w:rPr>
        <w:t xml:space="preserve"> </w:t>
      </w:r>
      <w:r w:rsidRPr="000C5B6E">
        <w:rPr>
          <w:rFonts w:ascii="Calibri" w:eastAsia="Calibri" w:hAnsi="Calibri" w:cs="Calibri"/>
          <w:color w:val="auto"/>
          <w:u w:val="single"/>
        </w:rPr>
        <w:t>Lotting</w:t>
      </w:r>
      <w:r w:rsidR="00BC428D">
        <w:rPr>
          <w:rFonts w:ascii="Calibri" w:eastAsia="Calibri" w:hAnsi="Calibri" w:cs="Calibri"/>
          <w:color w:val="auto"/>
          <w:u w:val="single"/>
        </w:rPr>
        <w:t xml:space="preserve"> </w:t>
      </w:r>
    </w:p>
    <w:p w14:paraId="6D32B2F8" w14:textId="4D08C1B7" w:rsidR="00FC1026" w:rsidRPr="000C5B6E" w:rsidRDefault="00FC1026" w:rsidP="000C5B6E">
      <w:pPr>
        <w:tabs>
          <w:tab w:val="left" w:pos="0"/>
          <w:tab w:val="left" w:pos="426"/>
          <w:tab w:val="right" w:pos="8789"/>
        </w:tabs>
        <w:spacing w:before="120" w:after="60" w:line="240" w:lineRule="auto"/>
        <w:ind w:right="237" w:firstLine="426"/>
        <w:jc w:val="left"/>
        <w:rPr>
          <w:color w:val="auto"/>
        </w:rPr>
      </w:pPr>
      <w:r>
        <w:rPr>
          <w:rFonts w:ascii="Calibri" w:eastAsia="Calibri" w:hAnsi="Calibri" w:cs="Calibri"/>
          <w:color w:val="auto"/>
          <w:u w:val="single"/>
        </w:rPr>
        <w:t>1.6</w:t>
      </w:r>
      <w:r w:rsidRPr="00FC1026">
        <w:rPr>
          <w:rFonts w:ascii="Calibri" w:eastAsia="Calibri" w:hAnsi="Calibri" w:cs="Calibri"/>
          <w:color w:val="auto"/>
        </w:rPr>
        <w:t xml:space="preserve">   </w:t>
      </w:r>
      <w:r>
        <w:rPr>
          <w:rFonts w:ascii="Calibri" w:eastAsia="Calibri" w:hAnsi="Calibri" w:cs="Calibri"/>
          <w:color w:val="auto"/>
          <w:u w:val="single"/>
        </w:rPr>
        <w:t>Premises in Scope</w:t>
      </w:r>
    </w:p>
    <w:p w14:paraId="6DFD350A" w14:textId="77777777" w:rsidR="000B3820" w:rsidRDefault="00733C00" w:rsidP="000C5B6E">
      <w:pPr>
        <w:tabs>
          <w:tab w:val="left" w:pos="0"/>
          <w:tab w:val="left" w:pos="426"/>
          <w:tab w:val="right" w:pos="8789"/>
        </w:tabs>
        <w:spacing w:before="120" w:after="60" w:line="240" w:lineRule="auto"/>
        <w:ind w:right="237" w:firstLine="426"/>
        <w:jc w:val="left"/>
        <w:rPr>
          <w:rFonts w:ascii="Calibri" w:eastAsia="Calibri" w:hAnsi="Calibri" w:cs="Calibri"/>
          <w:color w:val="auto"/>
          <w:u w:val="single"/>
        </w:rPr>
      </w:pPr>
      <w:r>
        <w:rPr>
          <w:rFonts w:ascii="Calibri" w:eastAsia="Calibri" w:hAnsi="Calibri" w:cs="Calibri"/>
          <w:color w:val="auto"/>
          <w:u w:val="single"/>
        </w:rPr>
        <w:t>1.7</w:t>
      </w:r>
      <w:r w:rsidR="00A26303" w:rsidRPr="000C5B6E">
        <w:rPr>
          <w:rFonts w:ascii="Calibri" w:eastAsia="Calibri" w:hAnsi="Calibri" w:cs="Calibri"/>
          <w:color w:val="auto"/>
        </w:rPr>
        <w:t xml:space="preserve">   </w:t>
      </w:r>
      <w:r w:rsidR="00A26303" w:rsidRPr="000C5B6E">
        <w:rPr>
          <w:rFonts w:ascii="Calibri" w:eastAsia="Calibri" w:hAnsi="Calibri" w:cs="Calibri"/>
          <w:color w:val="auto"/>
          <w:u w:val="single"/>
        </w:rPr>
        <w:t>Other Context</w:t>
      </w:r>
    </w:p>
    <w:p w14:paraId="0E56A19C" w14:textId="4A3E9B22" w:rsidR="00656438" w:rsidRPr="000C5B6E" w:rsidRDefault="000B3820" w:rsidP="000C5B6E">
      <w:pPr>
        <w:tabs>
          <w:tab w:val="left" w:pos="0"/>
          <w:tab w:val="left" w:pos="426"/>
          <w:tab w:val="right" w:pos="8789"/>
        </w:tabs>
        <w:spacing w:before="120" w:after="60" w:line="240" w:lineRule="auto"/>
        <w:ind w:right="237" w:firstLine="426"/>
        <w:jc w:val="left"/>
        <w:rPr>
          <w:color w:val="auto"/>
        </w:rPr>
      </w:pPr>
      <w:r>
        <w:rPr>
          <w:rFonts w:ascii="Calibri" w:eastAsia="Calibri" w:hAnsi="Calibri" w:cs="Calibri"/>
          <w:color w:val="auto"/>
          <w:u w:val="single"/>
        </w:rPr>
        <w:t>1.8</w:t>
      </w:r>
      <w:r w:rsidR="008D4775">
        <w:rPr>
          <w:rFonts w:ascii="Calibri" w:eastAsia="Calibri" w:hAnsi="Calibri" w:cs="Calibri"/>
          <w:color w:val="auto"/>
          <w:u w:val="single"/>
        </w:rPr>
        <w:t xml:space="preserve">   </w:t>
      </w:r>
      <w:r>
        <w:rPr>
          <w:rFonts w:ascii="Calibri" w:eastAsia="Calibri" w:hAnsi="Calibri" w:cs="Calibri"/>
          <w:color w:val="auto"/>
          <w:u w:val="single"/>
        </w:rPr>
        <w:t>Consortia A</w:t>
      </w:r>
      <w:r w:rsidR="008D4775">
        <w:rPr>
          <w:rFonts w:ascii="Calibri" w:eastAsia="Calibri" w:hAnsi="Calibri" w:cs="Calibri"/>
          <w:color w:val="auto"/>
          <w:u w:val="single"/>
        </w:rPr>
        <w:t>rrangements</w:t>
      </w:r>
      <w:hyperlink w:anchor="h.1fob9te">
        <w:r w:rsidR="00A26303" w:rsidRPr="000C5B6E">
          <w:rPr>
            <w:rFonts w:ascii="Calibri" w:eastAsia="Calibri" w:hAnsi="Calibri" w:cs="Calibri"/>
            <w:color w:val="auto"/>
          </w:rPr>
          <w:tab/>
        </w:r>
      </w:hyperlink>
    </w:p>
    <w:p w14:paraId="2C82A202" w14:textId="77777777" w:rsidR="00656438" w:rsidRPr="000C5B6E" w:rsidRDefault="00292EF8">
      <w:pPr>
        <w:tabs>
          <w:tab w:val="left" w:pos="0"/>
          <w:tab w:val="left" w:pos="426"/>
          <w:tab w:val="right" w:pos="8789"/>
        </w:tabs>
        <w:spacing w:before="120" w:after="60" w:line="240" w:lineRule="auto"/>
        <w:ind w:right="237"/>
        <w:jc w:val="left"/>
        <w:rPr>
          <w:color w:val="auto"/>
        </w:rPr>
      </w:pPr>
      <w:hyperlink w:anchor="h.3j2qqm3">
        <w:r w:rsidR="00A26303" w:rsidRPr="000C5B6E">
          <w:rPr>
            <w:rFonts w:ascii="Calibri" w:eastAsia="Calibri" w:hAnsi="Calibri" w:cs="Calibri"/>
            <w:color w:val="auto"/>
            <w:u w:val="single"/>
          </w:rPr>
          <w:t>2</w:t>
        </w:r>
      </w:hyperlink>
      <w:hyperlink w:anchor="h.3j2qqm3">
        <w:r w:rsidR="00A26303" w:rsidRPr="000C5B6E">
          <w:rPr>
            <w:rFonts w:ascii="Calibri" w:eastAsia="Calibri" w:hAnsi="Calibri" w:cs="Calibri"/>
            <w:color w:val="auto"/>
          </w:rPr>
          <w:tab/>
        </w:r>
      </w:hyperlink>
      <w:hyperlink w:anchor="h.3j2qqm3">
        <w:r w:rsidR="00A26303" w:rsidRPr="000C5B6E">
          <w:rPr>
            <w:rFonts w:ascii="Calibri" w:eastAsia="Calibri" w:hAnsi="Calibri" w:cs="Calibri"/>
            <w:color w:val="auto"/>
            <w:u w:val="single"/>
          </w:rPr>
          <w:t xml:space="preserve">Local Body </w:t>
        </w:r>
      </w:hyperlink>
      <w:hyperlink w:anchor="h.3j2qqm3">
        <w:r w:rsidR="00A26303" w:rsidRPr="000C5B6E">
          <w:rPr>
            <w:rFonts w:ascii="Calibri" w:eastAsia="Calibri" w:hAnsi="Calibri" w:cs="Calibri"/>
            <w:color w:val="auto"/>
            <w:u w:val="single"/>
          </w:rPr>
          <w:t>Requirements</w:t>
        </w:r>
      </w:hyperlink>
      <w:hyperlink w:anchor="h.3j2qqm3">
        <w:r w:rsidR="00A26303" w:rsidRPr="000C5B6E">
          <w:rPr>
            <w:rFonts w:ascii="Calibri" w:eastAsia="Calibri" w:hAnsi="Calibri" w:cs="Calibri"/>
            <w:color w:val="auto"/>
          </w:rPr>
          <w:tab/>
        </w:r>
      </w:hyperlink>
    </w:p>
    <w:p w14:paraId="074BA947" w14:textId="140D5E13" w:rsidR="00FC1026" w:rsidRPr="00FC1026" w:rsidRDefault="00FC1026" w:rsidP="00FC1026">
      <w:pPr>
        <w:tabs>
          <w:tab w:val="left" w:pos="0"/>
          <w:tab w:val="left" w:pos="426"/>
          <w:tab w:val="right" w:pos="8789"/>
        </w:tabs>
        <w:spacing w:before="120" w:after="60" w:line="240" w:lineRule="auto"/>
        <w:ind w:right="237" w:firstLine="426"/>
        <w:jc w:val="left"/>
        <w:rPr>
          <w:rFonts w:ascii="Calibri" w:eastAsia="Calibri" w:hAnsi="Calibri" w:cs="Calibri"/>
          <w:color w:val="auto"/>
          <w:u w:val="single"/>
        </w:rPr>
      </w:pPr>
      <w:r w:rsidRPr="00FC1026">
        <w:rPr>
          <w:rFonts w:ascii="Calibri" w:eastAsia="Calibri" w:hAnsi="Calibri" w:cs="Calibri"/>
          <w:color w:val="auto"/>
          <w:u w:val="single"/>
        </w:rPr>
        <w:t>2.1</w:t>
      </w:r>
      <w:r w:rsidRPr="00FC1026">
        <w:rPr>
          <w:rFonts w:ascii="Calibri" w:eastAsia="Calibri" w:hAnsi="Calibri" w:cs="Calibri"/>
          <w:color w:val="auto"/>
        </w:rPr>
        <w:t xml:space="preserve">   </w:t>
      </w:r>
      <w:r w:rsidRPr="00FC1026">
        <w:rPr>
          <w:rFonts w:ascii="Calibri" w:eastAsia="Calibri" w:hAnsi="Calibri" w:cs="Calibri"/>
          <w:color w:val="auto"/>
          <w:u w:val="single"/>
        </w:rPr>
        <w:t>High-level Service Requirements</w:t>
      </w:r>
    </w:p>
    <w:p w14:paraId="7CA9B406" w14:textId="7FFD676C" w:rsidR="00FC1026" w:rsidRPr="00FC1026" w:rsidRDefault="00FC1026" w:rsidP="00FC1026">
      <w:pPr>
        <w:tabs>
          <w:tab w:val="left" w:pos="0"/>
          <w:tab w:val="left" w:pos="426"/>
          <w:tab w:val="right" w:pos="8789"/>
        </w:tabs>
        <w:spacing w:before="120" w:after="60" w:line="240" w:lineRule="auto"/>
        <w:ind w:right="237" w:firstLine="426"/>
        <w:jc w:val="left"/>
        <w:rPr>
          <w:rFonts w:ascii="Calibri" w:eastAsia="Calibri" w:hAnsi="Calibri" w:cs="Calibri"/>
          <w:color w:val="auto"/>
          <w:u w:val="single"/>
        </w:rPr>
      </w:pPr>
      <w:r w:rsidRPr="00FC1026">
        <w:rPr>
          <w:rFonts w:ascii="Calibri" w:eastAsia="Calibri" w:hAnsi="Calibri" w:cs="Calibri"/>
          <w:color w:val="auto"/>
          <w:u w:val="single"/>
        </w:rPr>
        <w:t>2.2</w:t>
      </w:r>
      <w:r w:rsidRPr="00FC1026">
        <w:rPr>
          <w:rFonts w:ascii="Calibri" w:eastAsia="Calibri" w:hAnsi="Calibri" w:cs="Calibri"/>
          <w:color w:val="auto"/>
        </w:rPr>
        <w:t xml:space="preserve">   </w:t>
      </w:r>
      <w:r w:rsidRPr="00FC1026">
        <w:rPr>
          <w:rFonts w:ascii="Calibri" w:eastAsia="Calibri" w:hAnsi="Calibri" w:cs="Calibri"/>
          <w:color w:val="auto"/>
          <w:u w:val="single"/>
        </w:rPr>
        <w:t>Local Body Solution Requirements</w:t>
      </w:r>
    </w:p>
    <w:p w14:paraId="156C42F8" w14:textId="32CCEDCD" w:rsidR="00FC1026" w:rsidRPr="00FC1026" w:rsidRDefault="00FC1026" w:rsidP="00FC1026">
      <w:pPr>
        <w:tabs>
          <w:tab w:val="left" w:pos="0"/>
          <w:tab w:val="left" w:pos="426"/>
          <w:tab w:val="right" w:pos="8789"/>
        </w:tabs>
        <w:spacing w:before="120" w:after="60" w:line="240" w:lineRule="auto"/>
        <w:ind w:right="237" w:firstLine="426"/>
        <w:jc w:val="left"/>
        <w:rPr>
          <w:rFonts w:ascii="Calibri" w:eastAsia="Calibri" w:hAnsi="Calibri" w:cs="Calibri"/>
          <w:color w:val="auto"/>
          <w:u w:val="single"/>
        </w:rPr>
      </w:pPr>
      <w:r w:rsidRPr="00FC1026">
        <w:rPr>
          <w:rFonts w:ascii="Calibri" w:eastAsia="Calibri" w:hAnsi="Calibri" w:cs="Calibri"/>
          <w:color w:val="auto"/>
          <w:u w:val="single"/>
        </w:rPr>
        <w:t>2.3</w:t>
      </w:r>
      <w:r w:rsidRPr="00FC1026">
        <w:rPr>
          <w:rFonts w:ascii="Calibri" w:eastAsia="Calibri" w:hAnsi="Calibri" w:cs="Calibri"/>
          <w:color w:val="auto"/>
        </w:rPr>
        <w:t xml:space="preserve">   </w:t>
      </w:r>
      <w:r w:rsidRPr="00FC1026">
        <w:rPr>
          <w:rFonts w:ascii="Calibri" w:eastAsia="Calibri" w:hAnsi="Calibri" w:cs="Calibri"/>
          <w:color w:val="auto"/>
          <w:u w:val="single"/>
        </w:rPr>
        <w:t>Funding Requirements</w:t>
      </w:r>
    </w:p>
    <w:p w14:paraId="7435E7B6" w14:textId="13ADB737" w:rsidR="00656438" w:rsidRPr="00FC1026" w:rsidRDefault="00FC1026" w:rsidP="00FC1026">
      <w:pPr>
        <w:tabs>
          <w:tab w:val="left" w:pos="0"/>
          <w:tab w:val="left" w:pos="426"/>
          <w:tab w:val="right" w:pos="8789"/>
        </w:tabs>
        <w:spacing w:before="120" w:after="60" w:line="240" w:lineRule="auto"/>
        <w:ind w:right="237" w:firstLine="426"/>
        <w:jc w:val="left"/>
        <w:rPr>
          <w:rFonts w:ascii="Calibri" w:eastAsia="Calibri" w:hAnsi="Calibri" w:cs="Calibri"/>
          <w:color w:val="auto"/>
          <w:u w:val="single"/>
        </w:rPr>
      </w:pPr>
      <w:r w:rsidRPr="00FC1026">
        <w:rPr>
          <w:rFonts w:ascii="Calibri" w:eastAsia="Calibri" w:hAnsi="Calibri" w:cs="Calibri"/>
          <w:color w:val="auto"/>
          <w:u w:val="single"/>
        </w:rPr>
        <w:t>2.4</w:t>
      </w:r>
      <w:r w:rsidRPr="00FC1026">
        <w:rPr>
          <w:rFonts w:ascii="Calibri" w:eastAsia="Calibri" w:hAnsi="Calibri" w:cs="Calibri"/>
          <w:color w:val="auto"/>
        </w:rPr>
        <w:t xml:space="preserve">   </w:t>
      </w:r>
      <w:r w:rsidRPr="00FC1026">
        <w:rPr>
          <w:rFonts w:ascii="Calibri" w:eastAsia="Calibri" w:hAnsi="Calibri" w:cs="Calibri"/>
          <w:color w:val="auto"/>
          <w:u w:val="single"/>
        </w:rPr>
        <w:t>Implementation and Operations Requirements</w:t>
      </w:r>
    </w:p>
    <w:p w14:paraId="0AF978ED" w14:textId="77777777" w:rsidR="002D2BE3" w:rsidRDefault="002D2BE3" w:rsidP="002D2BE3">
      <w:pPr>
        <w:tabs>
          <w:tab w:val="left" w:pos="1320"/>
        </w:tabs>
        <w:spacing w:before="120" w:after="60" w:line="240" w:lineRule="auto"/>
        <w:ind w:right="237"/>
        <w:jc w:val="left"/>
        <w:rPr>
          <w:rFonts w:ascii="Calibri" w:eastAsia="Calibri" w:hAnsi="Calibri" w:cs="Calibri"/>
          <w:color w:val="auto"/>
          <w:u w:val="single"/>
        </w:rPr>
      </w:pPr>
    </w:p>
    <w:p w14:paraId="13065DEB" w14:textId="6CD316A2" w:rsidR="00FC1026" w:rsidRPr="00FC1026" w:rsidRDefault="00FC1026" w:rsidP="00FC1026">
      <w:pPr>
        <w:tabs>
          <w:tab w:val="left" w:pos="1320"/>
        </w:tabs>
        <w:spacing w:before="120" w:after="60" w:line="240" w:lineRule="auto"/>
        <w:ind w:right="237"/>
        <w:jc w:val="left"/>
        <w:rPr>
          <w:rFonts w:ascii="Calibri" w:eastAsia="Calibri" w:hAnsi="Calibri" w:cs="Calibri"/>
          <w:color w:val="auto"/>
          <w:u w:val="single"/>
        </w:rPr>
      </w:pPr>
      <w:r w:rsidRPr="00FC1026">
        <w:rPr>
          <w:rFonts w:ascii="Calibri" w:eastAsia="Calibri" w:hAnsi="Calibri" w:cs="Calibri"/>
          <w:color w:val="auto"/>
          <w:u w:val="single"/>
        </w:rPr>
        <w:t>APPENDIX 1</w:t>
      </w:r>
      <w:r w:rsidRPr="00FC1026">
        <w:rPr>
          <w:rFonts w:ascii="Calibri" w:eastAsia="Calibri" w:hAnsi="Calibri" w:cs="Calibri"/>
          <w:color w:val="auto"/>
        </w:rPr>
        <w:t xml:space="preserve"> - </w:t>
      </w:r>
      <w:r w:rsidRPr="00FC1026">
        <w:rPr>
          <w:rFonts w:ascii="Calibri" w:eastAsia="Calibri" w:hAnsi="Calibri" w:cs="Calibri"/>
          <w:color w:val="auto"/>
          <w:u w:val="single"/>
        </w:rPr>
        <w:t>Evaluation</w:t>
      </w:r>
      <w:r w:rsidR="009B7C2E">
        <w:rPr>
          <w:rFonts w:ascii="Calibri" w:eastAsia="Calibri" w:hAnsi="Calibri" w:cs="Calibri"/>
          <w:color w:val="auto"/>
          <w:u w:val="single"/>
        </w:rPr>
        <w:t xml:space="preserve"> Strategy, including [Selection</w:t>
      </w:r>
      <w:r w:rsidRPr="00FC1026">
        <w:rPr>
          <w:rFonts w:ascii="Calibri" w:eastAsia="Calibri" w:hAnsi="Calibri" w:cs="Calibri"/>
          <w:color w:val="auto"/>
          <w:u w:val="single"/>
        </w:rPr>
        <w:t xml:space="preserve"> and</w:t>
      </w:r>
      <w:r w:rsidR="009B7C2E">
        <w:rPr>
          <w:rFonts w:ascii="Calibri" w:eastAsia="Calibri" w:hAnsi="Calibri" w:cs="Calibri"/>
          <w:color w:val="auto"/>
          <w:u w:val="single"/>
        </w:rPr>
        <w:t>]</w:t>
      </w:r>
      <w:r w:rsidRPr="00FC1026">
        <w:rPr>
          <w:rFonts w:ascii="Calibri" w:eastAsia="Calibri" w:hAnsi="Calibri" w:cs="Calibri"/>
          <w:color w:val="auto"/>
          <w:u w:val="single"/>
        </w:rPr>
        <w:t xml:space="preserve"> Award Criteria</w:t>
      </w:r>
    </w:p>
    <w:p w14:paraId="764DBEA2" w14:textId="72F2FEAD" w:rsidR="00FC1026" w:rsidRPr="00FC1026" w:rsidRDefault="00FC1026" w:rsidP="00FC1026">
      <w:pPr>
        <w:tabs>
          <w:tab w:val="left" w:pos="1320"/>
        </w:tabs>
        <w:spacing w:before="120" w:after="60" w:line="240" w:lineRule="auto"/>
        <w:ind w:right="237"/>
        <w:jc w:val="left"/>
        <w:rPr>
          <w:rFonts w:ascii="Calibri" w:eastAsia="Calibri" w:hAnsi="Calibri" w:cs="Calibri"/>
          <w:color w:val="auto"/>
          <w:u w:val="single"/>
        </w:rPr>
      </w:pPr>
      <w:r w:rsidRPr="00FC1026">
        <w:rPr>
          <w:rFonts w:ascii="Calibri" w:eastAsia="Calibri" w:hAnsi="Calibri" w:cs="Calibri"/>
          <w:color w:val="auto"/>
          <w:u w:val="single"/>
        </w:rPr>
        <w:t>APPENDIX 2</w:t>
      </w:r>
      <w:r w:rsidRPr="00FC1026">
        <w:rPr>
          <w:rFonts w:ascii="Calibri" w:eastAsia="Calibri" w:hAnsi="Calibri" w:cs="Calibri"/>
          <w:color w:val="auto"/>
        </w:rPr>
        <w:t xml:space="preserve"> - </w:t>
      </w:r>
      <w:r w:rsidRPr="00FC1026">
        <w:rPr>
          <w:rFonts w:ascii="Calibri" w:eastAsia="Calibri" w:hAnsi="Calibri" w:cs="Calibri"/>
          <w:color w:val="auto"/>
          <w:u w:val="single"/>
        </w:rPr>
        <w:t>Bidder Response to ITT</w:t>
      </w:r>
    </w:p>
    <w:p w14:paraId="1F974AE2" w14:textId="6F212A22" w:rsidR="00FC1026" w:rsidRPr="00FC1026" w:rsidRDefault="00FC1026" w:rsidP="00FC1026">
      <w:pPr>
        <w:tabs>
          <w:tab w:val="left" w:pos="1320"/>
        </w:tabs>
        <w:spacing w:before="120" w:after="60" w:line="240" w:lineRule="auto"/>
        <w:ind w:right="237"/>
        <w:jc w:val="left"/>
        <w:rPr>
          <w:rFonts w:ascii="Calibri" w:eastAsia="Calibri" w:hAnsi="Calibri" w:cs="Calibri"/>
          <w:color w:val="auto"/>
          <w:u w:val="single"/>
        </w:rPr>
      </w:pPr>
      <w:r w:rsidRPr="00FC1026">
        <w:rPr>
          <w:rFonts w:ascii="Calibri" w:eastAsia="Calibri" w:hAnsi="Calibri" w:cs="Calibri"/>
          <w:color w:val="auto"/>
          <w:u w:val="single"/>
        </w:rPr>
        <w:t>APPENDIX 3</w:t>
      </w:r>
      <w:r w:rsidRPr="00FC1026">
        <w:rPr>
          <w:rFonts w:ascii="Calibri" w:eastAsia="Calibri" w:hAnsi="Calibri" w:cs="Calibri"/>
          <w:color w:val="auto"/>
        </w:rPr>
        <w:t xml:space="preserve"> - </w:t>
      </w:r>
      <w:r w:rsidRPr="00FC1026">
        <w:rPr>
          <w:rFonts w:ascii="Calibri" w:eastAsia="Calibri" w:hAnsi="Calibri" w:cs="Calibri"/>
          <w:color w:val="auto"/>
          <w:u w:val="single"/>
        </w:rPr>
        <w:t>Speed and Coverage Template</w:t>
      </w:r>
    </w:p>
    <w:p w14:paraId="0A208783" w14:textId="665A3AC8" w:rsidR="00FC1026" w:rsidRPr="00FC1026" w:rsidRDefault="00FC1026" w:rsidP="00FC1026">
      <w:pPr>
        <w:tabs>
          <w:tab w:val="left" w:pos="1320"/>
        </w:tabs>
        <w:spacing w:before="120" w:after="60" w:line="240" w:lineRule="auto"/>
        <w:ind w:right="237"/>
        <w:jc w:val="left"/>
        <w:rPr>
          <w:rFonts w:ascii="Calibri" w:eastAsia="Calibri" w:hAnsi="Calibri" w:cs="Calibri"/>
          <w:color w:val="auto"/>
          <w:u w:val="single"/>
        </w:rPr>
      </w:pPr>
      <w:r w:rsidRPr="00FC1026">
        <w:rPr>
          <w:rFonts w:ascii="Calibri" w:eastAsia="Calibri" w:hAnsi="Calibri" w:cs="Calibri"/>
          <w:color w:val="auto"/>
          <w:u w:val="single"/>
        </w:rPr>
        <w:t>APPENDIX 4</w:t>
      </w:r>
      <w:r w:rsidRPr="00FC1026">
        <w:rPr>
          <w:rFonts w:ascii="Calibri" w:eastAsia="Calibri" w:hAnsi="Calibri" w:cs="Calibri"/>
          <w:color w:val="auto"/>
        </w:rPr>
        <w:t xml:space="preserve"> - </w:t>
      </w:r>
      <w:r w:rsidRPr="00FC1026">
        <w:rPr>
          <w:rFonts w:ascii="Calibri" w:eastAsia="Calibri" w:hAnsi="Calibri" w:cs="Calibri"/>
          <w:color w:val="auto"/>
          <w:u w:val="single"/>
        </w:rPr>
        <w:t>Supplier Solution Document</w:t>
      </w:r>
    </w:p>
    <w:p w14:paraId="1CFB640A" w14:textId="2E8E022B" w:rsidR="00FC1026" w:rsidRPr="00FC1026" w:rsidRDefault="00FC1026" w:rsidP="00FC1026">
      <w:pPr>
        <w:tabs>
          <w:tab w:val="left" w:pos="1320"/>
        </w:tabs>
        <w:spacing w:before="120" w:after="60" w:line="240" w:lineRule="auto"/>
        <w:ind w:right="237"/>
        <w:jc w:val="left"/>
        <w:rPr>
          <w:rFonts w:ascii="Calibri" w:eastAsia="Calibri" w:hAnsi="Calibri" w:cs="Calibri"/>
          <w:color w:val="auto"/>
          <w:u w:val="single"/>
        </w:rPr>
      </w:pPr>
      <w:r w:rsidRPr="00FC1026">
        <w:rPr>
          <w:rFonts w:ascii="Calibri" w:eastAsia="Calibri" w:hAnsi="Calibri" w:cs="Calibri"/>
          <w:color w:val="auto"/>
          <w:u w:val="single"/>
        </w:rPr>
        <w:t>APPENDIX 5</w:t>
      </w:r>
      <w:r w:rsidRPr="00FC1026">
        <w:rPr>
          <w:rFonts w:ascii="Calibri" w:eastAsia="Calibri" w:hAnsi="Calibri" w:cs="Calibri"/>
          <w:color w:val="auto"/>
        </w:rPr>
        <w:t xml:space="preserve"> - </w:t>
      </w:r>
      <w:r w:rsidRPr="00FC1026">
        <w:rPr>
          <w:rFonts w:ascii="Calibri" w:eastAsia="Calibri" w:hAnsi="Calibri" w:cs="Calibri"/>
          <w:color w:val="auto"/>
          <w:u w:val="single"/>
        </w:rPr>
        <w:t>Compliance Matrix</w:t>
      </w:r>
    </w:p>
    <w:p w14:paraId="5494905E" w14:textId="18F5FA99" w:rsidR="00656438" w:rsidRDefault="00FC1026" w:rsidP="00FC1026">
      <w:pPr>
        <w:tabs>
          <w:tab w:val="left" w:pos="1320"/>
        </w:tabs>
        <w:spacing w:before="120" w:after="60" w:line="240" w:lineRule="auto"/>
        <w:ind w:right="237"/>
        <w:jc w:val="left"/>
      </w:pPr>
      <w:r w:rsidRPr="00FC1026">
        <w:rPr>
          <w:rFonts w:ascii="Calibri" w:eastAsia="Calibri" w:hAnsi="Calibri" w:cs="Calibri"/>
          <w:color w:val="auto"/>
          <w:u w:val="single"/>
        </w:rPr>
        <w:t>APPENDIX 6</w:t>
      </w:r>
      <w:r w:rsidRPr="00FC1026">
        <w:rPr>
          <w:rFonts w:ascii="Calibri" w:eastAsia="Calibri" w:hAnsi="Calibri" w:cs="Calibri"/>
          <w:color w:val="auto"/>
        </w:rPr>
        <w:t xml:space="preserve"> - </w:t>
      </w:r>
      <w:r w:rsidRPr="00FC1026">
        <w:rPr>
          <w:rFonts w:ascii="Calibri" w:eastAsia="Calibri" w:hAnsi="Calibri" w:cs="Calibri"/>
          <w:color w:val="auto"/>
          <w:u w:val="single"/>
        </w:rPr>
        <w:t>Bidder Completion Check Sheet</w:t>
      </w:r>
      <w:r w:rsidR="00A26303">
        <w:br w:type="page"/>
      </w:r>
    </w:p>
    <w:p w14:paraId="2FC278B3" w14:textId="77777777" w:rsidR="00656438" w:rsidRDefault="00A26303">
      <w:pPr>
        <w:pStyle w:val="Heading1"/>
        <w:numPr>
          <w:ilvl w:val="0"/>
          <w:numId w:val="1"/>
        </w:numPr>
        <w:tabs>
          <w:tab w:val="left" w:pos="426"/>
        </w:tabs>
        <w:ind w:left="425" w:hanging="425"/>
        <w:rPr>
          <w:sz w:val="40"/>
          <w:szCs w:val="40"/>
        </w:rPr>
      </w:pPr>
      <w:bookmarkStart w:id="2" w:name="h.1fob9te" w:colFirst="0" w:colLast="0"/>
      <w:bookmarkEnd w:id="2"/>
      <w:r>
        <w:rPr>
          <w:sz w:val="40"/>
          <w:szCs w:val="40"/>
        </w:rPr>
        <w:lastRenderedPageBreak/>
        <w:t>Introduction and Context</w:t>
      </w:r>
      <w:r>
        <w:rPr>
          <w:sz w:val="40"/>
          <w:szCs w:val="40"/>
          <w:vertAlign w:val="superscript"/>
        </w:rPr>
        <w:footnoteReference w:id="2"/>
      </w:r>
    </w:p>
    <w:p w14:paraId="529D4192" w14:textId="77777777" w:rsidR="00656438" w:rsidRDefault="00A26303">
      <w:pPr>
        <w:pStyle w:val="Heading2"/>
        <w:numPr>
          <w:ilvl w:val="1"/>
          <w:numId w:val="8"/>
        </w:numPr>
        <w:tabs>
          <w:tab w:val="left" w:pos="567"/>
        </w:tabs>
        <w:ind w:left="578" w:hanging="578"/>
        <w:rPr>
          <w:sz w:val="32"/>
          <w:szCs w:val="32"/>
        </w:rPr>
      </w:pPr>
      <w:bookmarkStart w:id="3" w:name="h.3znysh7" w:colFirst="0" w:colLast="0"/>
      <w:bookmarkEnd w:id="3"/>
      <w:r>
        <w:rPr>
          <w:sz w:val="32"/>
          <w:szCs w:val="32"/>
        </w:rPr>
        <w:t>Purpose</w:t>
      </w:r>
    </w:p>
    <w:p w14:paraId="75E95002" w14:textId="77777777" w:rsidR="00656438" w:rsidRDefault="00A26303">
      <w:pPr>
        <w:pStyle w:val="Heading3"/>
        <w:numPr>
          <w:ilvl w:val="2"/>
          <w:numId w:val="1"/>
        </w:numPr>
        <w:ind w:hanging="720"/>
      </w:pPr>
      <w:r>
        <w:t>The purpose of this Part 2 is to define the Local Body Requirements.  Part 2 contains the following sections:</w:t>
      </w:r>
    </w:p>
    <w:p w14:paraId="12AF51FE" w14:textId="77777777" w:rsidR="00656438" w:rsidRDefault="00A26303">
      <w:pPr>
        <w:pStyle w:val="Heading3"/>
        <w:numPr>
          <w:ilvl w:val="0"/>
          <w:numId w:val="10"/>
        </w:numPr>
        <w:ind w:hanging="360"/>
      </w:pPr>
      <w:r>
        <w:t>Introduction and Context</w:t>
      </w:r>
    </w:p>
    <w:p w14:paraId="6AE93B16" w14:textId="4F6CA5AF" w:rsidR="00656438" w:rsidRDefault="009B7C2E">
      <w:pPr>
        <w:pStyle w:val="Heading3"/>
        <w:numPr>
          <w:ilvl w:val="0"/>
          <w:numId w:val="10"/>
        </w:numPr>
        <w:ind w:hanging="360"/>
      </w:pPr>
      <w:r>
        <w:t>Local Body</w:t>
      </w:r>
      <w:r w:rsidR="00A26303">
        <w:t xml:space="preserve"> Requirements</w:t>
      </w:r>
    </w:p>
    <w:p w14:paraId="108CB594" w14:textId="1F687252" w:rsidR="00656438" w:rsidRDefault="00A26303">
      <w:pPr>
        <w:pStyle w:val="Heading3"/>
        <w:numPr>
          <w:ilvl w:val="0"/>
          <w:numId w:val="10"/>
        </w:numPr>
        <w:ind w:hanging="360"/>
      </w:pPr>
      <w:r>
        <w:t>Appendix 1 – Evaluation Strategy</w:t>
      </w:r>
      <w:r w:rsidR="009B7C2E">
        <w:t>,</w:t>
      </w:r>
      <w:r>
        <w:t xml:space="preserve"> including </w:t>
      </w:r>
      <w:r w:rsidR="009B7C2E">
        <w:t xml:space="preserve">[Selection and] </w:t>
      </w:r>
      <w:r>
        <w:t>Award Criteria</w:t>
      </w:r>
    </w:p>
    <w:p w14:paraId="011EA88A" w14:textId="77777777" w:rsidR="00656438" w:rsidRDefault="00A26303">
      <w:pPr>
        <w:pStyle w:val="Heading3"/>
        <w:numPr>
          <w:ilvl w:val="0"/>
          <w:numId w:val="10"/>
        </w:numPr>
        <w:ind w:hanging="360"/>
      </w:pPr>
      <w:r>
        <w:t xml:space="preserve">Appendix 2 – Bidder Response to ITT </w:t>
      </w:r>
    </w:p>
    <w:p w14:paraId="10346B56" w14:textId="77777777" w:rsidR="00656438" w:rsidRDefault="00A26303">
      <w:pPr>
        <w:pStyle w:val="Heading3"/>
        <w:numPr>
          <w:ilvl w:val="0"/>
          <w:numId w:val="10"/>
        </w:numPr>
        <w:ind w:hanging="360"/>
      </w:pPr>
      <w:r>
        <w:t>Appendix 3 – Speed and Coverage Template</w:t>
      </w:r>
    </w:p>
    <w:p w14:paraId="4606745F" w14:textId="1C6AB9E1" w:rsidR="00656438" w:rsidRDefault="00A26303">
      <w:pPr>
        <w:pStyle w:val="Heading3"/>
        <w:numPr>
          <w:ilvl w:val="0"/>
          <w:numId w:val="10"/>
        </w:numPr>
        <w:ind w:hanging="360"/>
      </w:pPr>
      <w:r>
        <w:t>Appendix 4</w:t>
      </w:r>
      <w:r w:rsidR="002D2BE3">
        <w:t xml:space="preserve"> – </w:t>
      </w:r>
      <w:r>
        <w:t>Supplier Solution Document</w:t>
      </w:r>
    </w:p>
    <w:p w14:paraId="00AB3359" w14:textId="77777777" w:rsidR="00656438" w:rsidRDefault="00A26303">
      <w:pPr>
        <w:pStyle w:val="Heading3"/>
        <w:numPr>
          <w:ilvl w:val="0"/>
          <w:numId w:val="10"/>
        </w:numPr>
        <w:ind w:hanging="360"/>
      </w:pPr>
      <w:r>
        <w:t>Appendix 5 – Compliance Matrix</w:t>
      </w:r>
    </w:p>
    <w:p w14:paraId="42DD9C6C" w14:textId="77777777" w:rsidR="00656438" w:rsidRDefault="00A26303">
      <w:pPr>
        <w:pStyle w:val="Heading3"/>
        <w:numPr>
          <w:ilvl w:val="0"/>
          <w:numId w:val="10"/>
        </w:numPr>
        <w:ind w:hanging="360"/>
      </w:pPr>
      <w:r>
        <w:t>Appendix 6 – Bidder Completion Check Sheet</w:t>
      </w:r>
    </w:p>
    <w:p w14:paraId="4AC6B2D4" w14:textId="77777777" w:rsidR="00656438" w:rsidRDefault="00A26303">
      <w:pPr>
        <w:pStyle w:val="Heading2"/>
        <w:numPr>
          <w:ilvl w:val="1"/>
          <w:numId w:val="8"/>
        </w:numPr>
        <w:tabs>
          <w:tab w:val="left" w:pos="567"/>
        </w:tabs>
        <w:ind w:left="578" w:hanging="578"/>
        <w:jc w:val="both"/>
        <w:rPr>
          <w:sz w:val="32"/>
          <w:szCs w:val="32"/>
        </w:rPr>
      </w:pPr>
      <w:bookmarkStart w:id="4" w:name="h.2et92p0" w:colFirst="0" w:colLast="0"/>
      <w:bookmarkEnd w:id="4"/>
      <w:r>
        <w:rPr>
          <w:sz w:val="32"/>
          <w:szCs w:val="32"/>
        </w:rPr>
        <w:t>Project Stakeholders</w:t>
      </w:r>
    </w:p>
    <w:p w14:paraId="43C73AEB" w14:textId="77777777" w:rsidR="00656438" w:rsidRDefault="00A26303">
      <w:pPr>
        <w:pStyle w:val="Heading2"/>
        <w:numPr>
          <w:ilvl w:val="2"/>
          <w:numId w:val="8"/>
        </w:numPr>
        <w:spacing w:before="0" w:line="266" w:lineRule="auto"/>
        <w:ind w:left="839" w:hanging="720"/>
        <w:jc w:val="both"/>
        <w:rPr>
          <w:color w:val="000000"/>
          <w:sz w:val="22"/>
          <w:szCs w:val="22"/>
        </w:rPr>
      </w:pPr>
      <w:bookmarkStart w:id="5" w:name="h.tyjcwt" w:colFirst="0" w:colLast="0"/>
      <w:bookmarkEnd w:id="5"/>
      <w:r>
        <w:rPr>
          <w:color w:val="000000"/>
          <w:sz w:val="22"/>
          <w:szCs w:val="22"/>
        </w:rPr>
        <w:t>Local Body (i.e. the lead Local Body and Contracting Authority under the Contract)</w:t>
      </w:r>
    </w:p>
    <w:p w14:paraId="4D2C2349" w14:textId="77777777" w:rsidR="00656438" w:rsidRDefault="00A26303">
      <w:pPr>
        <w:spacing w:line="266" w:lineRule="auto"/>
        <w:ind w:left="840"/>
      </w:pPr>
      <w:r>
        <w:rPr>
          <w:rFonts w:ascii="Calibri" w:eastAsia="Calibri" w:hAnsi="Calibri" w:cs="Calibri"/>
        </w:rPr>
        <w:t>[Insert Local Body identity]</w:t>
      </w:r>
    </w:p>
    <w:p w14:paraId="31528029" w14:textId="77777777" w:rsidR="00656438" w:rsidRDefault="00A26303">
      <w:pPr>
        <w:pStyle w:val="Heading2"/>
        <w:numPr>
          <w:ilvl w:val="2"/>
          <w:numId w:val="8"/>
        </w:numPr>
        <w:spacing w:before="0" w:line="266" w:lineRule="auto"/>
        <w:ind w:hanging="720"/>
        <w:jc w:val="both"/>
        <w:rPr>
          <w:color w:val="000000"/>
          <w:sz w:val="22"/>
          <w:szCs w:val="22"/>
        </w:rPr>
      </w:pPr>
      <w:bookmarkStart w:id="6" w:name="h.3dy6vkm" w:colFirst="0" w:colLast="0"/>
      <w:bookmarkEnd w:id="6"/>
      <w:r>
        <w:rPr>
          <w:color w:val="000000"/>
          <w:sz w:val="22"/>
          <w:szCs w:val="22"/>
        </w:rPr>
        <w:t>Other Beneficiary Local Bodies</w:t>
      </w:r>
    </w:p>
    <w:p w14:paraId="450B7A2A" w14:textId="77777777" w:rsidR="00656438" w:rsidRDefault="00A26303">
      <w:pPr>
        <w:spacing w:line="266" w:lineRule="auto"/>
        <w:ind w:left="840"/>
      </w:pPr>
      <w:r>
        <w:rPr>
          <w:rFonts w:ascii="Calibri" w:eastAsia="Calibri" w:hAnsi="Calibri" w:cs="Calibri"/>
        </w:rPr>
        <w:t>[The following Local Bodies are each anticipated as being an "Other Beneficiary" (as referred to in Clause 9 of the Contract) for the purposes of the Contract entered into pursuant to this ITT:]</w:t>
      </w:r>
    </w:p>
    <w:p w14:paraId="645A6BDB" w14:textId="136C804B" w:rsidR="00656438" w:rsidRDefault="001832B3" w:rsidP="001832B3">
      <w:pPr>
        <w:spacing w:line="266" w:lineRule="auto"/>
        <w:ind w:left="840"/>
      </w:pPr>
      <w:r>
        <w:t>[</w:t>
      </w:r>
      <w:r>
        <w:rPr>
          <w:rFonts w:ascii="Times New Roman" w:hAnsi="Times New Roman" w:cs="Times New Roman"/>
        </w:rPr>
        <w:t>●</w:t>
      </w:r>
      <w:r>
        <w:t>]</w:t>
      </w:r>
    </w:p>
    <w:p w14:paraId="7BE89F26" w14:textId="77777777" w:rsidR="00656438" w:rsidRDefault="00A26303">
      <w:pPr>
        <w:pStyle w:val="Heading2"/>
        <w:numPr>
          <w:ilvl w:val="2"/>
          <w:numId w:val="8"/>
        </w:numPr>
        <w:spacing w:before="0" w:line="266" w:lineRule="auto"/>
        <w:ind w:hanging="720"/>
        <w:rPr>
          <w:color w:val="000000"/>
          <w:sz w:val="22"/>
          <w:szCs w:val="22"/>
        </w:rPr>
      </w:pPr>
      <w:bookmarkStart w:id="7" w:name="h.1t3h5sf" w:colFirst="0" w:colLast="0"/>
      <w:bookmarkEnd w:id="7"/>
      <w:r>
        <w:rPr>
          <w:color w:val="000000"/>
          <w:sz w:val="22"/>
          <w:szCs w:val="22"/>
        </w:rPr>
        <w:t>Wider Stakeholders</w:t>
      </w:r>
      <w:r>
        <w:rPr>
          <w:color w:val="000000"/>
          <w:sz w:val="22"/>
          <w:szCs w:val="22"/>
          <w:vertAlign w:val="superscript"/>
        </w:rPr>
        <w:footnoteReference w:id="3"/>
      </w:r>
    </w:p>
    <w:p w14:paraId="262E78E8" w14:textId="77777777" w:rsidR="00656438" w:rsidRDefault="00A26303">
      <w:pPr>
        <w:spacing w:line="266" w:lineRule="auto"/>
        <w:ind w:left="840"/>
      </w:pPr>
      <w:r>
        <w:rPr>
          <w:rFonts w:ascii="Calibri" w:eastAsia="Calibri" w:hAnsi="Calibri" w:cs="Calibri"/>
        </w:rPr>
        <w:t>[There is widespread support for this Project among its stakeholders.  Details of the project’s stakeholders, including MPs, MEPs, businesses, District, Town and Parish Councils and other community and public sector organizations, can be found in the Local Body’s Local Broadband Plan and Data Room.]</w:t>
      </w:r>
    </w:p>
    <w:p w14:paraId="5FE118BF" w14:textId="77777777" w:rsidR="00656438" w:rsidRDefault="00656438">
      <w:pPr>
        <w:spacing w:line="266" w:lineRule="auto"/>
        <w:ind w:left="840"/>
      </w:pPr>
    </w:p>
    <w:p w14:paraId="597F47A1" w14:textId="77777777" w:rsidR="00656438" w:rsidRDefault="00A26303">
      <w:pPr>
        <w:pStyle w:val="Heading3"/>
        <w:ind w:left="825" w:hanging="705"/>
      </w:pPr>
      <w:r>
        <w:rPr>
          <w:b/>
        </w:rPr>
        <w:t xml:space="preserve">1.2.4 </w:t>
      </w:r>
      <w:r>
        <w:rPr>
          <w:b/>
        </w:rPr>
        <w:tab/>
        <w:t>Development of the Procurement Strategy and Requirements</w:t>
      </w:r>
      <w:r>
        <w:rPr>
          <w:b/>
          <w:vertAlign w:val="superscript"/>
        </w:rPr>
        <w:footnoteReference w:id="4"/>
      </w:r>
    </w:p>
    <w:p w14:paraId="02EBC914" w14:textId="0864AA4D" w:rsidR="00656438" w:rsidRDefault="00AA2EC2">
      <w:pPr>
        <w:ind w:left="825"/>
      </w:pPr>
      <w:r>
        <w:rPr>
          <w:rFonts w:ascii="Calibri" w:eastAsia="Calibri" w:hAnsi="Calibri" w:cs="Calibri"/>
        </w:rPr>
        <w:t>[The Local Body R</w:t>
      </w:r>
      <w:r w:rsidR="00A26303">
        <w:rPr>
          <w:rFonts w:ascii="Calibri" w:eastAsia="Calibri" w:hAnsi="Calibri" w:cs="Calibri"/>
        </w:rPr>
        <w:t xml:space="preserve">equirements have been developed over the course of the past </w:t>
      </w:r>
      <w:r>
        <w:rPr>
          <w:rFonts w:ascii="Calibri" w:eastAsia="Calibri" w:hAnsi="Calibri" w:cs="Calibri"/>
        </w:rPr>
        <w:t>[</w:t>
      </w:r>
      <w:r w:rsidR="00A26303">
        <w:rPr>
          <w:rFonts w:ascii="Calibri" w:eastAsia="Calibri" w:hAnsi="Calibri" w:cs="Calibri"/>
        </w:rPr>
        <w:t>12</w:t>
      </w:r>
      <w:r>
        <w:rPr>
          <w:rFonts w:ascii="Calibri" w:eastAsia="Calibri" w:hAnsi="Calibri" w:cs="Calibri"/>
        </w:rPr>
        <w:t>]</w:t>
      </w:r>
      <w:r w:rsidR="00A26303">
        <w:rPr>
          <w:rFonts w:ascii="Calibri" w:eastAsia="Calibri" w:hAnsi="Calibri" w:cs="Calibri"/>
        </w:rPr>
        <w:t xml:space="preserve"> months taking due regard of:</w:t>
      </w:r>
    </w:p>
    <w:p w14:paraId="2A8DB2B9" w14:textId="77777777" w:rsidR="00656438" w:rsidRDefault="00A26303">
      <w:pPr>
        <w:numPr>
          <w:ilvl w:val="0"/>
          <w:numId w:val="2"/>
        </w:numPr>
        <w:ind w:left="825" w:firstLine="0"/>
        <w:rPr>
          <w:rFonts w:ascii="Calibri" w:eastAsia="Calibri" w:hAnsi="Calibri" w:cs="Calibri"/>
        </w:rPr>
      </w:pPr>
      <w:r>
        <w:rPr>
          <w:rFonts w:ascii="Calibri" w:eastAsia="Calibri" w:hAnsi="Calibri" w:cs="Calibri"/>
        </w:rPr>
        <w:t>The EU commission direction provided to BDUK on generating and agreeing the National Broadband Scheme 2016</w:t>
      </w:r>
    </w:p>
    <w:p w14:paraId="190E2E5D" w14:textId="77777777" w:rsidR="00656438" w:rsidRDefault="00A26303">
      <w:pPr>
        <w:numPr>
          <w:ilvl w:val="0"/>
          <w:numId w:val="2"/>
        </w:numPr>
        <w:ind w:left="825" w:firstLine="0"/>
        <w:rPr>
          <w:rFonts w:ascii="Calibri" w:eastAsia="Calibri" w:hAnsi="Calibri" w:cs="Calibri"/>
        </w:rPr>
      </w:pPr>
      <w:r>
        <w:rPr>
          <w:rFonts w:ascii="Calibri" w:eastAsia="Calibri" w:hAnsi="Calibri" w:cs="Calibri"/>
        </w:rPr>
        <w:t xml:space="preserve">A wide spectrum of industry players through Early Market Engagement. </w:t>
      </w:r>
    </w:p>
    <w:p w14:paraId="50157762" w14:textId="791827D4" w:rsidR="00656438" w:rsidRDefault="00A26303">
      <w:pPr>
        <w:numPr>
          <w:ilvl w:val="0"/>
          <w:numId w:val="2"/>
        </w:numPr>
        <w:ind w:left="825" w:firstLine="0"/>
        <w:rPr>
          <w:rFonts w:ascii="Calibri" w:eastAsia="Calibri" w:hAnsi="Calibri" w:cs="Calibri"/>
        </w:rPr>
      </w:pPr>
      <w:r>
        <w:rPr>
          <w:rFonts w:ascii="Calibri" w:eastAsia="Calibri" w:hAnsi="Calibri" w:cs="Calibri"/>
        </w:rPr>
        <w:t>Local economic growth priorities and social and inclusion objectives</w:t>
      </w:r>
      <w:r w:rsidR="009B7C2E">
        <w:rPr>
          <w:rFonts w:ascii="Calibri" w:eastAsia="Calibri" w:hAnsi="Calibri" w:cs="Calibri"/>
        </w:rPr>
        <w:t>.</w:t>
      </w:r>
      <w:r>
        <w:rPr>
          <w:rFonts w:ascii="Calibri" w:eastAsia="Calibri" w:hAnsi="Calibri" w:cs="Calibri"/>
        </w:rPr>
        <w:t>]</w:t>
      </w:r>
    </w:p>
    <w:p w14:paraId="0C0D6188" w14:textId="77777777" w:rsidR="00656438" w:rsidRDefault="00A26303">
      <w:pPr>
        <w:pStyle w:val="Heading3"/>
        <w:ind w:left="825" w:hanging="705"/>
      </w:pPr>
      <w:r>
        <w:rPr>
          <w:b/>
        </w:rPr>
        <w:t xml:space="preserve">1.2.5 </w:t>
      </w:r>
      <w:r>
        <w:rPr>
          <w:b/>
        </w:rPr>
        <w:tab/>
        <w:t>Commercial Model:</w:t>
      </w:r>
    </w:p>
    <w:p w14:paraId="7863436B" w14:textId="1B0389DB" w:rsidR="00656438" w:rsidRDefault="00A26303">
      <w:pPr>
        <w:ind w:left="825"/>
      </w:pPr>
      <w:r>
        <w:rPr>
          <w:rFonts w:ascii="Calibri" w:eastAsia="Calibri" w:hAnsi="Calibri" w:cs="Calibri"/>
        </w:rPr>
        <w:t xml:space="preserve">The Local Body has tested different commercial models with the market and across its funders. The outcome from this is </w:t>
      </w:r>
      <w:r w:rsidR="00323655">
        <w:rPr>
          <w:rFonts w:ascii="Calibri" w:eastAsia="Calibri" w:hAnsi="Calibri" w:cs="Calibri"/>
        </w:rPr>
        <w:t xml:space="preserve">that this ITT is based on </w:t>
      </w:r>
      <w:r>
        <w:rPr>
          <w:rFonts w:ascii="Calibri" w:eastAsia="Calibri" w:hAnsi="Calibri" w:cs="Calibri"/>
        </w:rPr>
        <w:t>a gap funded model approach</w:t>
      </w:r>
      <w:r w:rsidR="00323655">
        <w:rPr>
          <w:rStyle w:val="FootnoteReference"/>
          <w:rFonts w:ascii="Calibri" w:eastAsia="Calibri" w:hAnsi="Calibri" w:cs="Calibri"/>
        </w:rPr>
        <w:footnoteReference w:id="5"/>
      </w:r>
      <w:r>
        <w:rPr>
          <w:rFonts w:ascii="Calibri" w:eastAsia="Calibri" w:hAnsi="Calibri" w:cs="Calibri"/>
        </w:rPr>
        <w:t>.</w:t>
      </w:r>
    </w:p>
    <w:p w14:paraId="131E55BD" w14:textId="5C517621" w:rsidR="00656438" w:rsidRDefault="00A26303">
      <w:pPr>
        <w:pStyle w:val="Heading3"/>
        <w:ind w:left="825" w:hanging="705"/>
      </w:pPr>
      <w:r>
        <w:rPr>
          <w:b/>
        </w:rPr>
        <w:t xml:space="preserve">1.2.6 </w:t>
      </w:r>
      <w:r>
        <w:rPr>
          <w:b/>
        </w:rPr>
        <w:tab/>
        <w:t>State Aid &amp; Open Access Requirements</w:t>
      </w:r>
    </w:p>
    <w:p w14:paraId="0DCBDC80" w14:textId="0D6DB2B2" w:rsidR="00656438" w:rsidRDefault="00A26303">
      <w:pPr>
        <w:ind w:left="825"/>
      </w:pPr>
      <w:r>
        <w:rPr>
          <w:rFonts w:ascii="Calibri" w:eastAsia="Calibri" w:hAnsi="Calibri" w:cs="Calibri"/>
        </w:rPr>
        <w:t>In line with the National Broadband Scheme (NBS) the Local Body require</w:t>
      </w:r>
      <w:r w:rsidR="00AA2EC2">
        <w:rPr>
          <w:rFonts w:ascii="Calibri" w:eastAsia="Calibri" w:hAnsi="Calibri" w:cs="Calibri"/>
        </w:rPr>
        <w:t>s</w:t>
      </w:r>
      <w:r>
        <w:rPr>
          <w:rFonts w:ascii="Calibri" w:eastAsia="Calibri" w:hAnsi="Calibri" w:cs="Calibri"/>
        </w:rPr>
        <w:t xml:space="preserve"> proposals from Bidders to be based on an Open Access basis</w:t>
      </w:r>
      <w:r w:rsidR="00AA2EC2">
        <w:rPr>
          <w:rFonts w:ascii="Calibri" w:eastAsia="Calibri" w:hAnsi="Calibri" w:cs="Calibri"/>
        </w:rPr>
        <w:t xml:space="preserve"> (as </w:t>
      </w:r>
      <w:r w:rsidR="00B408BF">
        <w:rPr>
          <w:rFonts w:ascii="Calibri" w:eastAsia="Calibri" w:hAnsi="Calibri" w:cs="Calibri"/>
        </w:rPr>
        <w:t>further described in the 2016 Commission Decision</w:t>
      </w:r>
      <w:r w:rsidR="00AA2EC2">
        <w:rPr>
          <w:rFonts w:ascii="Calibri" w:eastAsia="Calibri" w:hAnsi="Calibri" w:cs="Calibri"/>
        </w:rPr>
        <w:t>)</w:t>
      </w:r>
      <w:r>
        <w:rPr>
          <w:rFonts w:ascii="Calibri" w:eastAsia="Calibri" w:hAnsi="Calibri" w:cs="Calibri"/>
        </w:rPr>
        <w:t>.</w:t>
      </w:r>
    </w:p>
    <w:p w14:paraId="2BA021E2" w14:textId="77777777" w:rsidR="00656438" w:rsidRDefault="00A26303">
      <w:pPr>
        <w:pStyle w:val="Heading2"/>
        <w:ind w:left="540" w:hanging="570"/>
      </w:pPr>
      <w:bookmarkStart w:id="8" w:name="h.4d34og8" w:colFirst="0" w:colLast="0"/>
      <w:bookmarkEnd w:id="8"/>
      <w:r>
        <w:rPr>
          <w:sz w:val="32"/>
          <w:szCs w:val="32"/>
        </w:rPr>
        <w:t>1.3</w:t>
      </w:r>
      <w:r>
        <w:rPr>
          <w:sz w:val="32"/>
          <w:szCs w:val="32"/>
        </w:rPr>
        <w:tab/>
        <w:t>Meeting the Objectives</w:t>
      </w:r>
      <w:r>
        <w:rPr>
          <w:rFonts w:ascii="Arial" w:eastAsia="Arial" w:hAnsi="Arial" w:cs="Arial"/>
          <w:vertAlign w:val="superscript"/>
        </w:rPr>
        <w:footnoteReference w:id="6"/>
      </w:r>
    </w:p>
    <w:p w14:paraId="39409A7E" w14:textId="77777777" w:rsidR="00656438" w:rsidRDefault="00A26303">
      <w:pPr>
        <w:pStyle w:val="Heading3"/>
        <w:ind w:left="825" w:hanging="705"/>
      </w:pPr>
      <w:r>
        <w:rPr>
          <w:b/>
        </w:rPr>
        <w:t xml:space="preserve">1.3.1 </w:t>
      </w:r>
      <w:r>
        <w:rPr>
          <w:b/>
        </w:rPr>
        <w:tab/>
        <w:t>Strategic Objectives</w:t>
      </w:r>
      <w:r>
        <w:t xml:space="preserve">: </w:t>
      </w:r>
    </w:p>
    <w:p w14:paraId="7E73A0DF" w14:textId="5DB4BFC1" w:rsidR="00656438" w:rsidRDefault="00A26303">
      <w:pPr>
        <w:pStyle w:val="Heading3"/>
        <w:ind w:left="840" w:firstLine="0"/>
      </w:pPr>
      <w:r>
        <w:t>[The Local Body’s strategic objectives are set out in the Local Broadband</w:t>
      </w:r>
      <w:r w:rsidR="00FA24BA">
        <w:t xml:space="preserve"> Plan which is provided in the D</w:t>
      </w:r>
      <w:r>
        <w:t xml:space="preserve">ata </w:t>
      </w:r>
      <w:r w:rsidR="00FA24BA">
        <w:t>R</w:t>
      </w:r>
      <w:r>
        <w:t xml:space="preserve">oom. In summary, the </w:t>
      </w:r>
      <w:r w:rsidR="00B408BF">
        <w:t>Local Body's key aims are</w:t>
      </w:r>
      <w:r>
        <w:t xml:space="preserve"> to deliver business growth and new jobs, deliver a range of social benefits across </w:t>
      </w:r>
      <w:r w:rsidR="00B408BF">
        <w:t>its</w:t>
      </w:r>
      <w:r>
        <w:t xml:space="preserve"> rural and urban communities and support delivery of public services through digital channels.]</w:t>
      </w:r>
    </w:p>
    <w:p w14:paraId="34EF87B2" w14:textId="77777777" w:rsidR="00656438" w:rsidRDefault="00A26303">
      <w:pPr>
        <w:pStyle w:val="Heading3"/>
        <w:ind w:left="825" w:hanging="705"/>
      </w:pPr>
      <w:r>
        <w:rPr>
          <w:b/>
        </w:rPr>
        <w:t>1.3.2</w:t>
      </w:r>
      <w:r>
        <w:rPr>
          <w:b/>
        </w:rPr>
        <w:tab/>
        <w:t>Economic Growth Outcomes and Requirements:</w:t>
      </w:r>
    </w:p>
    <w:p w14:paraId="643574BB" w14:textId="0FC81E77" w:rsidR="00656438" w:rsidRDefault="00A26303">
      <w:pPr>
        <w:ind w:left="825"/>
      </w:pPr>
      <w:r>
        <w:rPr>
          <w:rFonts w:ascii="Calibri" w:eastAsia="Calibri" w:hAnsi="Calibri" w:cs="Calibri"/>
        </w:rPr>
        <w:t>[Driving business growth through improved access to markets for suppliers (including exporting) are key ambitions.  These ambitions will be supported by fast and reliable broadband services. High levels of NGA [and Ultrafast</w:t>
      </w:r>
      <w:r w:rsidR="00803075">
        <w:rPr>
          <w:rFonts w:ascii="Calibri" w:eastAsia="Calibri" w:hAnsi="Calibri" w:cs="Calibri"/>
        </w:rPr>
        <w:t>/Gigabit</w:t>
      </w:r>
      <w:r>
        <w:rPr>
          <w:rFonts w:ascii="Calibri" w:eastAsia="Calibri" w:hAnsi="Calibri" w:cs="Calibri"/>
        </w:rPr>
        <w:t xml:space="preserve"> coverage] </w:t>
      </w:r>
      <w:r w:rsidR="00FA24BA">
        <w:rPr>
          <w:rFonts w:ascii="Calibri" w:eastAsia="Calibri" w:hAnsi="Calibri" w:cs="Calibri"/>
        </w:rPr>
        <w:t xml:space="preserve">should </w:t>
      </w:r>
      <w:r>
        <w:rPr>
          <w:rFonts w:ascii="Calibri" w:eastAsia="Calibri" w:hAnsi="Calibri" w:cs="Calibri"/>
        </w:rPr>
        <w:t xml:space="preserve">also support attracting new investment and act as catalyst for new business starts ups, </w:t>
      </w:r>
      <w:r w:rsidR="00FA24BA">
        <w:rPr>
          <w:rFonts w:ascii="Calibri" w:eastAsia="Calibri" w:hAnsi="Calibri" w:cs="Calibri"/>
        </w:rPr>
        <w:t>s</w:t>
      </w:r>
      <w:r>
        <w:rPr>
          <w:rFonts w:ascii="Calibri" w:eastAsia="Calibri" w:hAnsi="Calibri" w:cs="Calibri"/>
        </w:rPr>
        <w:t>upport home-working and micro businesses.]</w:t>
      </w:r>
    </w:p>
    <w:p w14:paraId="71CC0532" w14:textId="77777777" w:rsidR="00656438" w:rsidRDefault="00A26303">
      <w:pPr>
        <w:pStyle w:val="Heading3"/>
        <w:ind w:left="825" w:hanging="705"/>
      </w:pPr>
      <w:r>
        <w:rPr>
          <w:b/>
        </w:rPr>
        <w:lastRenderedPageBreak/>
        <w:t xml:space="preserve">1.3.3 </w:t>
      </w:r>
      <w:r>
        <w:rPr>
          <w:b/>
        </w:rPr>
        <w:tab/>
        <w:t>Social Outcomes and Requirements:</w:t>
      </w:r>
    </w:p>
    <w:p w14:paraId="3AF03225" w14:textId="047462D1" w:rsidR="00656438" w:rsidRDefault="00A26303">
      <w:pPr>
        <w:ind w:left="840"/>
      </w:pPr>
      <w:r>
        <w:rPr>
          <w:rFonts w:ascii="Calibri" w:eastAsia="Calibri" w:hAnsi="Calibri" w:cs="Calibri"/>
        </w:rPr>
        <w:t>[Any specific</w:t>
      </w:r>
      <w:r w:rsidR="00CA0DAF">
        <w:rPr>
          <w:rFonts w:ascii="Calibri" w:eastAsia="Calibri" w:hAnsi="Calibri" w:cs="Calibri"/>
        </w:rPr>
        <w:t xml:space="preserve"> related</w:t>
      </w:r>
      <w:r>
        <w:rPr>
          <w:rFonts w:ascii="Calibri" w:eastAsia="Calibri" w:hAnsi="Calibri" w:cs="Calibri"/>
        </w:rPr>
        <w:t xml:space="preserve"> local requirements to be inserted here]</w:t>
      </w:r>
    </w:p>
    <w:p w14:paraId="72D96108" w14:textId="77777777" w:rsidR="00656438" w:rsidRDefault="00A26303">
      <w:pPr>
        <w:pStyle w:val="Heading2"/>
        <w:tabs>
          <w:tab w:val="left" w:pos="567"/>
        </w:tabs>
        <w:ind w:left="720" w:hanging="750"/>
        <w:jc w:val="both"/>
      </w:pPr>
      <w:bookmarkStart w:id="9" w:name="h.3rdcrjn" w:colFirst="0" w:colLast="0"/>
      <w:bookmarkEnd w:id="9"/>
      <w:r>
        <w:rPr>
          <w:sz w:val="32"/>
          <w:szCs w:val="32"/>
        </w:rPr>
        <w:t xml:space="preserve">1.4 </w:t>
      </w:r>
      <w:r>
        <w:rPr>
          <w:sz w:val="32"/>
          <w:szCs w:val="32"/>
        </w:rPr>
        <w:tab/>
        <w:t>Geography and Premises</w:t>
      </w:r>
      <w:r>
        <w:rPr>
          <w:sz w:val="32"/>
          <w:szCs w:val="32"/>
          <w:vertAlign w:val="superscript"/>
        </w:rPr>
        <w:footnoteReference w:id="7"/>
      </w:r>
    </w:p>
    <w:p w14:paraId="186C6ED6" w14:textId="77777777" w:rsidR="00656438" w:rsidRDefault="00A26303">
      <w:pPr>
        <w:pStyle w:val="Heading3"/>
        <w:ind w:left="825" w:hanging="705"/>
        <w:jc w:val="left"/>
      </w:pPr>
      <w:r>
        <w:rPr>
          <w:b/>
        </w:rPr>
        <w:t xml:space="preserve">1.4.1 </w:t>
      </w:r>
      <w:r>
        <w:rPr>
          <w:b/>
        </w:rPr>
        <w:tab/>
        <w:t xml:space="preserve">Data Overview </w:t>
      </w:r>
    </w:p>
    <w:p w14:paraId="12E4D632" w14:textId="242A9F8F" w:rsidR="00656438" w:rsidRDefault="00A26303" w:rsidP="009B7C2E">
      <w:pPr>
        <w:pStyle w:val="Heading3"/>
        <w:ind w:left="840" w:firstLine="0"/>
      </w:pPr>
      <w:r>
        <w:t>[The following maps are based on broadband access speed data derived from the Open Market Review (O</w:t>
      </w:r>
      <w:r w:rsidR="009B7C2E">
        <w:t>MR) [the Local Body] initiated o</w:t>
      </w:r>
      <w:r>
        <w:t>n [Insert date], and the subsequent Pu</w:t>
      </w:r>
      <w:r w:rsidR="00CA0DAF">
        <w:t>blic Consultation which closed on [Insert date].</w:t>
      </w:r>
      <w:r>
        <w:t>]</w:t>
      </w:r>
    </w:p>
    <w:p w14:paraId="6FF9F675" w14:textId="6350DADC" w:rsidR="00656438" w:rsidRDefault="00B67AE4">
      <w:pPr>
        <w:pStyle w:val="Heading3"/>
        <w:ind w:left="825" w:hanging="705"/>
        <w:jc w:val="left"/>
      </w:pPr>
      <w:r>
        <w:rPr>
          <w:b/>
        </w:rPr>
        <w:t xml:space="preserve">1.4.2 </w:t>
      </w:r>
      <w:r>
        <w:rPr>
          <w:b/>
        </w:rPr>
        <w:tab/>
        <w:t>Overall Geographic</w:t>
      </w:r>
      <w:r w:rsidR="00A26303">
        <w:rPr>
          <w:b/>
        </w:rPr>
        <w:t xml:space="preserve"> Area</w:t>
      </w:r>
    </w:p>
    <w:p w14:paraId="6370CC7B" w14:textId="14F39E68" w:rsidR="00656438" w:rsidRDefault="00A26303">
      <w:pPr>
        <w:spacing w:line="264" w:lineRule="auto"/>
        <w:ind w:left="839"/>
      </w:pPr>
      <w:r>
        <w:rPr>
          <w:rFonts w:ascii="Calibri" w:eastAsia="Calibri" w:hAnsi="Calibri" w:cs="Calibri"/>
        </w:rPr>
        <w:t>[The following map shows the bound</w:t>
      </w:r>
      <w:r w:rsidR="00593BD4">
        <w:rPr>
          <w:rFonts w:ascii="Calibri" w:eastAsia="Calibri" w:hAnsi="Calibri" w:cs="Calibri"/>
        </w:rPr>
        <w:t xml:space="preserve">ary of the entire [Local Body] </w:t>
      </w:r>
      <w:r w:rsidR="00B67AE4">
        <w:rPr>
          <w:rFonts w:ascii="Calibri" w:eastAsia="Calibri" w:hAnsi="Calibri" w:cs="Calibri"/>
        </w:rPr>
        <w:t>Project</w:t>
      </w:r>
      <w:r>
        <w:rPr>
          <w:rFonts w:ascii="Calibri" w:eastAsia="Calibri" w:hAnsi="Calibri" w:cs="Calibri"/>
        </w:rPr>
        <w:t xml:space="preserve"> </w:t>
      </w:r>
      <w:r w:rsidR="00593BD4">
        <w:rPr>
          <w:rFonts w:ascii="Calibri" w:eastAsia="Calibri" w:hAnsi="Calibri" w:cs="Calibri"/>
        </w:rPr>
        <w:t>a</w:t>
      </w:r>
      <w:r>
        <w:rPr>
          <w:rFonts w:ascii="Calibri" w:eastAsia="Calibri" w:hAnsi="Calibri" w:cs="Calibri"/>
        </w:rPr>
        <w:t xml:space="preserve">rea (the </w:t>
      </w:r>
      <w:r w:rsidR="00B67AE4">
        <w:rPr>
          <w:rFonts w:ascii="Calibri" w:eastAsia="Calibri" w:hAnsi="Calibri" w:cs="Calibri"/>
        </w:rPr>
        <w:t>Overall Geographic</w:t>
      </w:r>
      <w:r>
        <w:rPr>
          <w:rFonts w:ascii="Calibri" w:eastAsia="Calibri" w:hAnsi="Calibri" w:cs="Calibri"/>
        </w:rPr>
        <w:t xml:space="preserve"> Area) that is the subject of this tender.</w:t>
      </w:r>
    </w:p>
    <w:p w14:paraId="79616CC3" w14:textId="5BF75C6B" w:rsidR="00656438" w:rsidRDefault="00A26303">
      <w:pPr>
        <w:spacing w:line="264" w:lineRule="auto"/>
        <w:ind w:left="839"/>
      </w:pPr>
      <w:r>
        <w:rPr>
          <w:rFonts w:ascii="Calibri" w:eastAsia="Calibri" w:hAnsi="Calibri" w:cs="Calibri"/>
        </w:rPr>
        <w:t xml:space="preserve">There is a total of [Insert number] premises within the </w:t>
      </w:r>
      <w:r w:rsidR="00B67AE4">
        <w:rPr>
          <w:rFonts w:ascii="Calibri" w:eastAsia="Calibri" w:hAnsi="Calibri" w:cs="Calibri"/>
        </w:rPr>
        <w:t>Overall Geographic</w:t>
      </w:r>
      <w:r>
        <w:rPr>
          <w:rFonts w:ascii="Calibri" w:eastAsia="Calibri" w:hAnsi="Calibri" w:cs="Calibri"/>
        </w:rPr>
        <w:t xml:space="preserve"> Area. The total number of Targeted NGA White premises in the </w:t>
      </w:r>
      <w:r w:rsidR="00B67AE4">
        <w:rPr>
          <w:rFonts w:ascii="Calibri" w:eastAsia="Calibri" w:hAnsi="Calibri" w:cs="Calibri"/>
        </w:rPr>
        <w:t>Overall Geographic</w:t>
      </w:r>
      <w:r>
        <w:rPr>
          <w:rFonts w:ascii="Calibri" w:eastAsia="Calibri" w:hAnsi="Calibri" w:cs="Calibri"/>
        </w:rPr>
        <w:t xml:space="preserve"> Area for this tender is [Insert number].</w:t>
      </w:r>
    </w:p>
    <w:p w14:paraId="29966C21" w14:textId="775335CB" w:rsidR="00656438" w:rsidRDefault="00A26303">
      <w:pPr>
        <w:spacing w:line="264" w:lineRule="auto"/>
        <w:ind w:left="839"/>
      </w:pPr>
      <w:r>
        <w:rPr>
          <w:rFonts w:ascii="Calibri" w:eastAsia="Calibri" w:hAnsi="Calibri" w:cs="Calibri"/>
        </w:rPr>
        <w:t xml:space="preserve">Some premises within the </w:t>
      </w:r>
      <w:r w:rsidR="00B67AE4">
        <w:rPr>
          <w:rFonts w:ascii="Calibri" w:eastAsia="Calibri" w:hAnsi="Calibri" w:cs="Calibri"/>
        </w:rPr>
        <w:t>Overall Geographic</w:t>
      </w:r>
      <w:r>
        <w:rPr>
          <w:rFonts w:ascii="Calibri" w:eastAsia="Calibri" w:hAnsi="Calibri" w:cs="Calibri"/>
        </w:rPr>
        <w:t xml:space="preserve"> Area already have NGA broadband services available, </w:t>
      </w:r>
      <w:r w:rsidR="002C092A">
        <w:rPr>
          <w:rFonts w:ascii="Calibri" w:eastAsia="Calibri" w:hAnsi="Calibri" w:cs="Calibri"/>
        </w:rPr>
        <w:t>or</w:t>
      </w:r>
      <w:r>
        <w:rPr>
          <w:rFonts w:ascii="Calibri" w:eastAsia="Calibri" w:hAnsi="Calibri" w:cs="Calibri"/>
        </w:rPr>
        <w:t xml:space="preserve"> </w:t>
      </w:r>
      <w:r w:rsidR="00B408BF">
        <w:rPr>
          <w:rFonts w:ascii="Calibri" w:eastAsia="Calibri" w:hAnsi="Calibri" w:cs="Calibri"/>
        </w:rPr>
        <w:t xml:space="preserve">there </w:t>
      </w:r>
      <w:r>
        <w:rPr>
          <w:rFonts w:ascii="Calibri" w:eastAsia="Calibri" w:hAnsi="Calibri" w:cs="Calibri"/>
        </w:rPr>
        <w:t xml:space="preserve">is </w:t>
      </w:r>
      <w:r w:rsidR="002C092A">
        <w:rPr>
          <w:rFonts w:ascii="Calibri" w:eastAsia="Calibri" w:hAnsi="Calibri" w:cs="Calibri"/>
        </w:rPr>
        <w:t xml:space="preserve">a </w:t>
      </w:r>
      <w:r>
        <w:rPr>
          <w:rFonts w:ascii="Calibri" w:eastAsia="Calibri" w:hAnsi="Calibri" w:cs="Calibri"/>
        </w:rPr>
        <w:t>commit</w:t>
      </w:r>
      <w:r w:rsidR="002C092A">
        <w:rPr>
          <w:rFonts w:ascii="Calibri" w:eastAsia="Calibri" w:hAnsi="Calibri" w:cs="Calibri"/>
        </w:rPr>
        <w:t>ment to make NGA</w:t>
      </w:r>
      <w:r>
        <w:rPr>
          <w:rFonts w:ascii="Calibri" w:eastAsia="Calibri" w:hAnsi="Calibri" w:cs="Calibri"/>
        </w:rPr>
        <w:t xml:space="preserve"> available in the next three years - th</w:t>
      </w:r>
      <w:r w:rsidR="00DC5744">
        <w:rPr>
          <w:rFonts w:ascii="Calibri" w:eastAsia="Calibri" w:hAnsi="Calibri" w:cs="Calibri"/>
        </w:rPr>
        <w:t xml:space="preserve">ese premises are </w:t>
      </w:r>
      <w:r w:rsidR="00B67AE4">
        <w:rPr>
          <w:rFonts w:ascii="Calibri" w:eastAsia="Calibri" w:hAnsi="Calibri" w:cs="Calibri"/>
        </w:rPr>
        <w:t>O</w:t>
      </w:r>
      <w:r>
        <w:rPr>
          <w:rFonts w:ascii="Calibri" w:eastAsia="Calibri" w:hAnsi="Calibri" w:cs="Calibri"/>
        </w:rPr>
        <w:t xml:space="preserve">ut of </w:t>
      </w:r>
      <w:r w:rsidR="00B67AE4">
        <w:rPr>
          <w:rFonts w:ascii="Calibri" w:eastAsia="Calibri" w:hAnsi="Calibri" w:cs="Calibri"/>
        </w:rPr>
        <w:t>S</w:t>
      </w:r>
      <w:r>
        <w:rPr>
          <w:rFonts w:ascii="Calibri" w:eastAsia="Calibri" w:hAnsi="Calibri" w:cs="Calibri"/>
        </w:rPr>
        <w:t xml:space="preserve">cope </w:t>
      </w:r>
      <w:r w:rsidR="00B94A99">
        <w:rPr>
          <w:rFonts w:ascii="Calibri" w:eastAsia="Calibri" w:hAnsi="Calibri" w:cs="Calibri"/>
        </w:rPr>
        <w:t xml:space="preserve">Premises </w:t>
      </w:r>
      <w:r>
        <w:rPr>
          <w:rFonts w:ascii="Calibri" w:eastAsia="Calibri" w:hAnsi="Calibri" w:cs="Calibri"/>
        </w:rPr>
        <w:t xml:space="preserve">and are mapped as NGA grey or black. The remainder are NGA white with a proportion classified as ‘under review’. These under review premises are not targeted for the purposes of this </w:t>
      </w:r>
      <w:r w:rsidR="00B67AE4">
        <w:rPr>
          <w:rFonts w:ascii="Calibri" w:eastAsia="Calibri" w:hAnsi="Calibri" w:cs="Calibri"/>
        </w:rPr>
        <w:t>ITT</w:t>
      </w:r>
      <w:r>
        <w:rPr>
          <w:rFonts w:ascii="Calibri" w:eastAsia="Calibri" w:hAnsi="Calibri" w:cs="Calibri"/>
        </w:rPr>
        <w:t>. [</w:t>
      </w:r>
      <w:r w:rsidR="00B67AE4">
        <w:rPr>
          <w:rFonts w:ascii="Calibri" w:eastAsia="Calibri" w:hAnsi="Calibri" w:cs="Calibri"/>
        </w:rPr>
        <w:t>T</w:t>
      </w:r>
      <w:r>
        <w:rPr>
          <w:rFonts w:ascii="Calibri" w:eastAsia="Calibri" w:hAnsi="Calibri" w:cs="Calibri"/>
        </w:rPr>
        <w:t xml:space="preserve">he Local Body] will continue to review </w:t>
      </w:r>
      <w:r w:rsidR="00593BD4">
        <w:rPr>
          <w:rFonts w:ascii="Calibri" w:eastAsia="Calibri" w:hAnsi="Calibri" w:cs="Calibri"/>
        </w:rPr>
        <w:t xml:space="preserve">the relevant </w:t>
      </w:r>
      <w:r>
        <w:rPr>
          <w:rFonts w:ascii="Calibri" w:eastAsia="Calibri" w:hAnsi="Calibri" w:cs="Calibri"/>
        </w:rPr>
        <w:t xml:space="preserve">operator’s plans regularly and where it is determined that delivery is not taking place [the Local Body] can through the </w:t>
      </w:r>
      <w:r w:rsidR="00593BD4">
        <w:rPr>
          <w:rFonts w:ascii="Calibri" w:eastAsia="Calibri" w:hAnsi="Calibri" w:cs="Calibri"/>
        </w:rPr>
        <w:t xml:space="preserve">Contract </w:t>
      </w:r>
      <w:r>
        <w:rPr>
          <w:rFonts w:ascii="Calibri" w:eastAsia="Calibri" w:hAnsi="Calibri" w:cs="Calibri"/>
        </w:rPr>
        <w:t xml:space="preserve">Change Control </w:t>
      </w:r>
      <w:r w:rsidR="00593BD4">
        <w:rPr>
          <w:rFonts w:ascii="Calibri" w:eastAsia="Calibri" w:hAnsi="Calibri" w:cs="Calibri"/>
        </w:rPr>
        <w:t>Procedure</w:t>
      </w:r>
      <w:r>
        <w:rPr>
          <w:rFonts w:ascii="Calibri" w:eastAsia="Calibri" w:hAnsi="Calibri" w:cs="Calibri"/>
        </w:rPr>
        <w:t xml:space="preserve"> include ‘under review’ premi</w:t>
      </w:r>
      <w:r w:rsidR="00593BD4">
        <w:rPr>
          <w:rFonts w:ascii="Calibri" w:eastAsia="Calibri" w:hAnsi="Calibri" w:cs="Calibri"/>
        </w:rPr>
        <w:t>ses for further NGA deployment.</w:t>
      </w:r>
    </w:p>
    <w:p w14:paraId="0ABEE810" w14:textId="04374D17" w:rsidR="00656438" w:rsidRDefault="00A26303">
      <w:pPr>
        <w:spacing w:line="264" w:lineRule="auto"/>
        <w:ind w:left="839"/>
      </w:pPr>
      <w:r>
        <w:rPr>
          <w:rFonts w:ascii="Calibri" w:eastAsia="Calibri" w:hAnsi="Calibri" w:cs="Calibri"/>
        </w:rPr>
        <w:t xml:space="preserve">Refer to Table in paragraph </w:t>
      </w:r>
      <w:r w:rsidR="002C092A">
        <w:rPr>
          <w:rFonts w:ascii="Calibri" w:eastAsia="Calibri" w:hAnsi="Calibri" w:cs="Calibri"/>
        </w:rPr>
        <w:t>1</w:t>
      </w:r>
      <w:r w:rsidRPr="002C092A">
        <w:rPr>
          <w:rFonts w:ascii="Calibri" w:eastAsia="Calibri" w:hAnsi="Calibri" w:cs="Calibri"/>
        </w:rPr>
        <w:t>.6</w:t>
      </w:r>
      <w:r>
        <w:rPr>
          <w:rFonts w:ascii="Calibri" w:eastAsia="Calibri" w:hAnsi="Calibri" w:cs="Calibri"/>
        </w:rPr>
        <w:t xml:space="preserve"> for </w:t>
      </w:r>
      <w:r w:rsidR="002C092A">
        <w:rPr>
          <w:rFonts w:ascii="Calibri" w:eastAsia="Calibri" w:hAnsi="Calibri" w:cs="Calibri"/>
        </w:rPr>
        <w:t>applicable</w:t>
      </w:r>
      <w:r>
        <w:rPr>
          <w:rFonts w:ascii="Calibri" w:eastAsia="Calibri" w:hAnsi="Calibri" w:cs="Calibri"/>
        </w:rPr>
        <w:t xml:space="preserve"> premise</w:t>
      </w:r>
      <w:r w:rsidR="002C092A">
        <w:rPr>
          <w:rFonts w:ascii="Calibri" w:eastAsia="Calibri" w:hAnsi="Calibri" w:cs="Calibri"/>
        </w:rPr>
        <w:t>s</w:t>
      </w:r>
      <w:r>
        <w:rPr>
          <w:rFonts w:ascii="Calibri" w:eastAsia="Calibri" w:hAnsi="Calibri" w:cs="Calibri"/>
        </w:rPr>
        <w:t xml:space="preserve"> counts.  </w:t>
      </w:r>
    </w:p>
    <w:p w14:paraId="375D2CC5" w14:textId="77777777" w:rsidR="00656438" w:rsidRPr="002C092A" w:rsidRDefault="00A26303">
      <w:pPr>
        <w:spacing w:line="264" w:lineRule="auto"/>
        <w:ind w:left="839"/>
      </w:pPr>
      <w:r w:rsidRPr="002C092A">
        <w:rPr>
          <w:rFonts w:ascii="Calibri" w:eastAsia="Calibri" w:hAnsi="Calibri" w:cs="Calibri"/>
          <w:sz w:val="24"/>
          <w:szCs w:val="24"/>
        </w:rPr>
        <w:t>[INSERT MAP]</w:t>
      </w:r>
    </w:p>
    <w:p w14:paraId="56AF13F0" w14:textId="77777777" w:rsidR="00656438" w:rsidRPr="002C092A" w:rsidRDefault="00A26303">
      <w:pPr>
        <w:spacing w:line="264" w:lineRule="auto"/>
        <w:ind w:left="839"/>
      </w:pPr>
      <w:r w:rsidRPr="002C092A">
        <w:rPr>
          <w:rFonts w:ascii="Calibri" w:eastAsia="Calibri" w:hAnsi="Calibri" w:cs="Calibri"/>
        </w:rPr>
        <w:t xml:space="preserve">The Project concerns a land area of [•] hectares.  [•] % of the [•] population reside in [•] large urban areas; the city of [•] and the [•] towns of [•]. </w:t>
      </w:r>
    </w:p>
    <w:p w14:paraId="159CCA76" w14:textId="77777777" w:rsidR="00656438" w:rsidRPr="002C092A" w:rsidRDefault="00A26303">
      <w:pPr>
        <w:spacing w:line="264" w:lineRule="auto"/>
        <w:ind w:left="839"/>
      </w:pPr>
      <w:r w:rsidRPr="002C092A">
        <w:rPr>
          <w:rFonts w:ascii="Calibri" w:eastAsia="Calibri" w:hAnsi="Calibri" w:cs="Calibri"/>
        </w:rPr>
        <w:t xml:space="preserve">The overall area is relatively sparsely populated, with a population density of [•]. </w:t>
      </w:r>
    </w:p>
    <w:p w14:paraId="3B0FD667" w14:textId="77777777" w:rsidR="00656438" w:rsidRDefault="00A26303">
      <w:pPr>
        <w:spacing w:line="264" w:lineRule="auto"/>
        <w:ind w:left="839"/>
      </w:pPr>
      <w:r w:rsidRPr="002C092A">
        <w:rPr>
          <w:rFonts w:ascii="Calibri" w:eastAsia="Calibri" w:hAnsi="Calibri" w:cs="Calibri"/>
        </w:rPr>
        <w:t>There are over [•] premises in the Project area, of which [•] are residential and [•] business premises.  Approximately [•] premises have at least one fixed telephone line.</w:t>
      </w:r>
    </w:p>
    <w:p w14:paraId="69A0F679" w14:textId="77777777" w:rsidR="00656438" w:rsidRDefault="00A26303">
      <w:pPr>
        <w:pStyle w:val="Heading2"/>
        <w:ind w:left="540" w:hanging="570"/>
      </w:pPr>
      <w:bookmarkStart w:id="10" w:name="h.lnxbz9" w:colFirst="0" w:colLast="0"/>
      <w:bookmarkEnd w:id="10"/>
      <w:r>
        <w:rPr>
          <w:sz w:val="32"/>
          <w:szCs w:val="32"/>
        </w:rPr>
        <w:lastRenderedPageBreak/>
        <w:t>1.5 Lotting</w:t>
      </w:r>
      <w:r>
        <w:rPr>
          <w:sz w:val="32"/>
          <w:szCs w:val="32"/>
          <w:vertAlign w:val="superscript"/>
        </w:rPr>
        <w:footnoteReference w:id="8"/>
      </w:r>
    </w:p>
    <w:p w14:paraId="5F1C5D9E" w14:textId="77777777" w:rsidR="00656438" w:rsidRDefault="00A26303">
      <w:pPr>
        <w:pStyle w:val="Heading3"/>
        <w:ind w:left="825" w:firstLine="0"/>
      </w:pPr>
      <w:r>
        <w:t xml:space="preserve">[Bids are welcomed for one, several or all Lots. </w:t>
      </w:r>
    </w:p>
    <w:p w14:paraId="5E40522F" w14:textId="13CD6DCE" w:rsidR="00656438" w:rsidRDefault="00A26303">
      <w:pPr>
        <w:pStyle w:val="Heading3"/>
        <w:ind w:left="825" w:firstLine="0"/>
      </w:pPr>
      <w:r w:rsidRPr="00D16991">
        <w:rPr>
          <w:b/>
        </w:rPr>
        <w:t>Option 1 – Aggregation</w:t>
      </w:r>
      <w:r w:rsidR="00D16991">
        <w:rPr>
          <w:b/>
        </w:rPr>
        <w:t>:</w:t>
      </w:r>
      <w:r>
        <w:t xml:space="preserve"> Bidders </w:t>
      </w:r>
      <w:r w:rsidR="00D16991">
        <w:t>must</w:t>
      </w:r>
      <w:r>
        <w:t xml:space="preserve"> consider the economies of scale and efficiencies that might be del</w:t>
      </w:r>
      <w:r w:rsidR="00D16991">
        <w:t>ivered if multiple lots are won.</w:t>
      </w:r>
      <w:r>
        <w:t xml:space="preserve"> Bidders are required to complete a separate response template to demonstrate value add</w:t>
      </w:r>
      <w:r w:rsidR="00D16991">
        <w:t>ed benefits at Part 2, Appendix</w:t>
      </w:r>
      <w:r>
        <w:t xml:space="preserve"> 2 - Bidd</w:t>
      </w:r>
      <w:r w:rsidR="00266667">
        <w:t>er Response to the ITT, Part D1</w:t>
      </w:r>
      <w:r>
        <w:t xml:space="preserve">. Please note that these </w:t>
      </w:r>
      <w:r w:rsidR="00266667">
        <w:t xml:space="preserve">committed benefits </w:t>
      </w:r>
      <w:r>
        <w:t xml:space="preserve">will form part of the contract </w:t>
      </w:r>
      <w:r w:rsidR="00266667">
        <w:t>basis</w:t>
      </w:r>
      <w:r>
        <w:t xml:space="preserve"> where a </w:t>
      </w:r>
      <w:r w:rsidR="002C092A">
        <w:t>B</w:t>
      </w:r>
      <w:r>
        <w:t xml:space="preserve">idder is awarded multiple lots, but responses </w:t>
      </w:r>
      <w:r w:rsidR="00241C28">
        <w:t xml:space="preserve">on benefits </w:t>
      </w:r>
      <w:r>
        <w:t>will not form part of</w:t>
      </w:r>
      <w:r w:rsidR="0076073B">
        <w:t xml:space="preserve"> the evaluation of submissions.</w:t>
      </w:r>
    </w:p>
    <w:p w14:paraId="649DC278" w14:textId="64E324B2" w:rsidR="00656438" w:rsidRDefault="00A26303">
      <w:pPr>
        <w:ind w:left="825" w:firstLine="30"/>
      </w:pPr>
      <w:r w:rsidRPr="00D16991">
        <w:rPr>
          <w:rFonts w:ascii="Calibri" w:eastAsia="Calibri" w:hAnsi="Calibri" w:cs="Calibri"/>
          <w:b/>
        </w:rPr>
        <w:t>Option 2 – Superlot</w:t>
      </w:r>
      <w:r w:rsidR="00D16991" w:rsidRPr="00D16991">
        <w:rPr>
          <w:rFonts w:ascii="Calibri" w:eastAsia="Calibri" w:hAnsi="Calibri" w:cs="Calibri"/>
          <w:b/>
        </w:rPr>
        <w:t>:</w:t>
      </w:r>
      <w:r>
        <w:rPr>
          <w:rFonts w:ascii="Calibri" w:eastAsia="Calibri" w:hAnsi="Calibri" w:cs="Calibri"/>
        </w:rPr>
        <w:t xml:space="preserve"> Bidders are asked to bid for multiple lots but are also invited to bid for a </w:t>
      </w:r>
      <w:r w:rsidRPr="00241C28">
        <w:rPr>
          <w:rFonts w:ascii="Calibri" w:eastAsia="Calibri" w:hAnsi="Calibri" w:cs="Calibri"/>
        </w:rPr>
        <w:t xml:space="preserve">Superlot, encompassing the scope of </w:t>
      </w:r>
      <w:r>
        <w:rPr>
          <w:rFonts w:ascii="Calibri" w:eastAsia="Calibri" w:hAnsi="Calibri" w:cs="Calibri"/>
          <w:highlight w:val="yellow"/>
        </w:rPr>
        <w:t>[lots 1, 2 and n]</w:t>
      </w:r>
      <w:r>
        <w:rPr>
          <w:rFonts w:ascii="Calibri" w:eastAsia="Calibri" w:hAnsi="Calibri" w:cs="Calibri"/>
        </w:rPr>
        <w:t xml:space="preserve">. Following the evaluation of each Bidder’s bids for individual lots and - if applicable - for the </w:t>
      </w:r>
      <w:r w:rsidR="00266667">
        <w:rPr>
          <w:rFonts w:ascii="Calibri" w:eastAsia="Calibri" w:hAnsi="Calibri" w:cs="Calibri"/>
        </w:rPr>
        <w:t>Super</w:t>
      </w:r>
      <w:r>
        <w:rPr>
          <w:rFonts w:ascii="Calibri" w:eastAsia="Calibri" w:hAnsi="Calibri" w:cs="Calibri"/>
        </w:rPr>
        <w:t xml:space="preserve">lot, the Local Body will compare the highest score achieved by a Bidder for a </w:t>
      </w:r>
      <w:r w:rsidR="00266667">
        <w:rPr>
          <w:rFonts w:ascii="Calibri" w:eastAsia="Calibri" w:hAnsi="Calibri" w:cs="Calibri"/>
        </w:rPr>
        <w:t>Super</w:t>
      </w:r>
      <w:r>
        <w:rPr>
          <w:rFonts w:ascii="Calibri" w:eastAsia="Calibri" w:hAnsi="Calibri" w:cs="Calibri"/>
        </w:rPr>
        <w:t>lot with the combined highest scores, across all Bidders, for each of the individual [lots 1, 2 and n].</w:t>
      </w:r>
      <w:r w:rsidR="00241C28">
        <w:rPr>
          <w:rFonts w:ascii="Calibri" w:eastAsia="Calibri" w:hAnsi="Calibri" w:cs="Calibri"/>
        </w:rPr>
        <w:t xml:space="preserve"> Where the Superlot scores higher than the combination of individual lots, the Superslot will be selected.</w:t>
      </w:r>
      <w:r>
        <w:rPr>
          <w:rFonts w:ascii="Calibri" w:eastAsia="Calibri" w:hAnsi="Calibri" w:cs="Calibri"/>
        </w:rPr>
        <w:t>]</w:t>
      </w:r>
    </w:p>
    <w:p w14:paraId="133A56EE" w14:textId="77777777" w:rsidR="00656438" w:rsidRDefault="00A26303">
      <w:pPr>
        <w:pStyle w:val="Heading3"/>
        <w:ind w:left="825" w:hanging="705"/>
      </w:pPr>
      <w:r>
        <w:rPr>
          <w:b/>
        </w:rPr>
        <w:t>1.5.1</w:t>
      </w:r>
      <w:r>
        <w:rPr>
          <w:b/>
        </w:rPr>
        <w:tab/>
        <w:t>The Lots</w:t>
      </w:r>
    </w:p>
    <w:p w14:paraId="40259A10" w14:textId="77777777" w:rsidR="00656438" w:rsidRDefault="00A26303">
      <w:pPr>
        <w:ind w:left="839"/>
      </w:pPr>
      <w:r>
        <w:rPr>
          <w:rFonts w:ascii="Calibri" w:eastAsia="Calibri" w:hAnsi="Calibri" w:cs="Calibri"/>
        </w:rPr>
        <w:t>There are [Insert number] lots defined in this ITT:</w:t>
      </w:r>
    </w:p>
    <w:p w14:paraId="7D943B17" w14:textId="77777777" w:rsidR="00656438" w:rsidRDefault="00A26303">
      <w:pPr>
        <w:ind w:left="839"/>
      </w:pPr>
      <w:r>
        <w:rPr>
          <w:rFonts w:ascii="Calibri" w:eastAsia="Calibri" w:hAnsi="Calibri" w:cs="Calibri"/>
        </w:rPr>
        <w:t>LOT 1 – [Describe the Lot, for example geography, number of premises, number of white premises]</w:t>
      </w:r>
    </w:p>
    <w:p w14:paraId="3AABD50C" w14:textId="77777777" w:rsidR="00656438" w:rsidRDefault="00A26303">
      <w:pPr>
        <w:ind w:left="839"/>
      </w:pPr>
      <w:r>
        <w:rPr>
          <w:rFonts w:ascii="Calibri" w:eastAsia="Calibri" w:hAnsi="Calibri" w:cs="Calibri"/>
        </w:rPr>
        <w:t>LOT XX – [Describe the Lot, for example geography, number of premises, number of white premises]</w:t>
      </w:r>
    </w:p>
    <w:p w14:paraId="71112568" w14:textId="77777777" w:rsidR="00656438" w:rsidRDefault="00A26303">
      <w:pPr>
        <w:pStyle w:val="Heading2"/>
        <w:ind w:left="540" w:hanging="570"/>
      </w:pPr>
      <w:bookmarkStart w:id="11" w:name="h.irbf1h3t8kzl" w:colFirst="0" w:colLast="0"/>
      <w:bookmarkEnd w:id="11"/>
      <w:r>
        <w:rPr>
          <w:sz w:val="32"/>
          <w:szCs w:val="32"/>
        </w:rPr>
        <w:t>1.6 Premises In Scope</w:t>
      </w:r>
    </w:p>
    <w:p w14:paraId="39D509AF" w14:textId="77777777" w:rsidR="00656438" w:rsidRDefault="00A26303">
      <w:pPr>
        <w:ind w:left="840"/>
      </w:pPr>
      <w:r>
        <w:rPr>
          <w:rFonts w:ascii="Calibri" w:eastAsia="Calibri" w:hAnsi="Calibri" w:cs="Calibri"/>
        </w:rPr>
        <w:t>The following table summarises:</w:t>
      </w:r>
    </w:p>
    <w:p w14:paraId="3CE13EA3" w14:textId="6A74B616" w:rsidR="00656438" w:rsidRDefault="00A26303">
      <w:pPr>
        <w:keepLines/>
        <w:numPr>
          <w:ilvl w:val="0"/>
          <w:numId w:val="9"/>
        </w:numPr>
        <w:ind w:left="1208" w:hanging="357"/>
        <w:contextualSpacing/>
        <w:rPr>
          <w:rFonts w:ascii="Calibri" w:eastAsia="Calibri" w:hAnsi="Calibri" w:cs="Calibri"/>
        </w:rPr>
      </w:pPr>
      <w:r>
        <w:rPr>
          <w:rFonts w:ascii="Calibri" w:eastAsia="Calibri" w:hAnsi="Calibri" w:cs="Calibri"/>
        </w:rPr>
        <w:t>The total number of prem</w:t>
      </w:r>
      <w:r w:rsidR="00B67AE4">
        <w:rPr>
          <w:rFonts w:ascii="Calibri" w:eastAsia="Calibri" w:hAnsi="Calibri" w:cs="Calibri"/>
        </w:rPr>
        <w:t>ises in the Overall Geographic</w:t>
      </w:r>
      <w:r>
        <w:rPr>
          <w:rFonts w:ascii="Calibri" w:eastAsia="Calibri" w:hAnsi="Calibri" w:cs="Calibri"/>
        </w:rPr>
        <w:t xml:space="preserve"> Area</w:t>
      </w:r>
      <w:r w:rsidR="00026B1C">
        <w:rPr>
          <w:rFonts w:ascii="Calibri" w:eastAsia="Calibri" w:hAnsi="Calibri" w:cs="Calibri"/>
        </w:rPr>
        <w:t xml:space="preserve"> (white, grey and black premises)</w:t>
      </w:r>
      <w:r>
        <w:rPr>
          <w:rFonts w:ascii="Calibri" w:eastAsia="Calibri" w:hAnsi="Calibri" w:cs="Calibri"/>
        </w:rPr>
        <w:t>;</w:t>
      </w:r>
    </w:p>
    <w:p w14:paraId="282CD8AB" w14:textId="71D744BB" w:rsidR="00656438" w:rsidRDefault="00A26303">
      <w:pPr>
        <w:keepLines/>
        <w:numPr>
          <w:ilvl w:val="0"/>
          <w:numId w:val="9"/>
        </w:numPr>
        <w:ind w:left="1208" w:hanging="357"/>
        <w:contextualSpacing/>
        <w:rPr>
          <w:rFonts w:ascii="Calibri" w:eastAsia="Calibri" w:hAnsi="Calibri" w:cs="Calibri"/>
        </w:rPr>
      </w:pPr>
      <w:r>
        <w:rPr>
          <w:rFonts w:ascii="Calibri" w:eastAsia="Calibri" w:hAnsi="Calibri" w:cs="Calibri"/>
        </w:rPr>
        <w:t xml:space="preserve">The number of target premises </w:t>
      </w:r>
      <w:r w:rsidR="00AE172A">
        <w:rPr>
          <w:rFonts w:ascii="Calibri" w:eastAsia="Calibri" w:hAnsi="Calibri" w:cs="Calibri"/>
        </w:rPr>
        <w:t>comprising</w:t>
      </w:r>
      <w:r>
        <w:rPr>
          <w:rFonts w:ascii="Calibri" w:eastAsia="Calibri" w:hAnsi="Calibri" w:cs="Calibri"/>
        </w:rPr>
        <w:t xml:space="preserve"> the NGA </w:t>
      </w:r>
      <w:r w:rsidR="00AE172A">
        <w:rPr>
          <w:rFonts w:ascii="Calibri" w:eastAsia="Calibri" w:hAnsi="Calibri" w:cs="Calibri"/>
        </w:rPr>
        <w:t>I</w:t>
      </w:r>
      <w:r>
        <w:rPr>
          <w:rFonts w:ascii="Calibri" w:eastAsia="Calibri" w:hAnsi="Calibri" w:cs="Calibri"/>
        </w:rPr>
        <w:t xml:space="preserve">ntervention </w:t>
      </w:r>
      <w:r w:rsidR="00AE172A">
        <w:rPr>
          <w:rFonts w:ascii="Calibri" w:eastAsia="Calibri" w:hAnsi="Calibri" w:cs="Calibri"/>
        </w:rPr>
        <w:t>A</w:t>
      </w:r>
      <w:r>
        <w:rPr>
          <w:rFonts w:ascii="Calibri" w:eastAsia="Calibri" w:hAnsi="Calibri" w:cs="Calibri"/>
        </w:rPr>
        <w:t>rea</w:t>
      </w:r>
      <w:r w:rsidR="00026B1C">
        <w:rPr>
          <w:rFonts w:ascii="Calibri" w:eastAsia="Calibri" w:hAnsi="Calibri" w:cs="Calibri"/>
        </w:rPr>
        <w:t xml:space="preserve"> (white premises only)</w:t>
      </w:r>
      <w:r>
        <w:rPr>
          <w:rFonts w:ascii="Calibri" w:eastAsia="Calibri" w:hAnsi="Calibri" w:cs="Calibri"/>
        </w:rPr>
        <w:t>;</w:t>
      </w:r>
    </w:p>
    <w:p w14:paraId="5B80EFB6" w14:textId="42CBE80F" w:rsidR="00656438" w:rsidRDefault="00A26303">
      <w:pPr>
        <w:keepLines/>
        <w:numPr>
          <w:ilvl w:val="0"/>
          <w:numId w:val="9"/>
        </w:numPr>
        <w:ind w:left="1208" w:hanging="357"/>
        <w:contextualSpacing/>
        <w:rPr>
          <w:rFonts w:ascii="Calibri" w:eastAsia="Calibri" w:hAnsi="Calibri" w:cs="Calibri"/>
        </w:rPr>
      </w:pPr>
      <w:r>
        <w:rPr>
          <w:rFonts w:ascii="Calibri" w:eastAsia="Calibri" w:hAnsi="Calibri" w:cs="Calibri"/>
        </w:rPr>
        <w:t xml:space="preserve">The number of premises currently under review in the NGA Intervention Area and </w:t>
      </w:r>
      <w:r w:rsidR="00B67AE4">
        <w:rPr>
          <w:rFonts w:ascii="Calibri" w:eastAsia="Calibri" w:hAnsi="Calibri" w:cs="Calibri"/>
        </w:rPr>
        <w:t xml:space="preserve">which </w:t>
      </w:r>
      <w:r>
        <w:rPr>
          <w:rFonts w:ascii="Calibri" w:eastAsia="Calibri" w:hAnsi="Calibri" w:cs="Calibri"/>
        </w:rPr>
        <w:t>are not to be targeted at this time</w:t>
      </w:r>
      <w:r w:rsidR="00B67AE4">
        <w:rPr>
          <w:rFonts w:ascii="Calibri" w:eastAsia="Calibri" w:hAnsi="Calibri" w:cs="Calibri"/>
        </w:rPr>
        <w:t>;</w:t>
      </w:r>
    </w:p>
    <w:p w14:paraId="7C78FFEA" w14:textId="298891EF" w:rsidR="00656438" w:rsidRDefault="00A26303">
      <w:pPr>
        <w:keepLines/>
        <w:numPr>
          <w:ilvl w:val="0"/>
          <w:numId w:val="9"/>
        </w:numPr>
        <w:ind w:left="1208" w:hanging="357"/>
        <w:contextualSpacing/>
        <w:rPr>
          <w:rFonts w:ascii="Calibri" w:eastAsia="Calibri" w:hAnsi="Calibri" w:cs="Calibri"/>
        </w:rPr>
      </w:pPr>
      <w:r>
        <w:rPr>
          <w:rFonts w:ascii="Calibri" w:eastAsia="Calibri" w:hAnsi="Calibri" w:cs="Calibri"/>
        </w:rPr>
        <w:t xml:space="preserve">The number of </w:t>
      </w:r>
      <w:r w:rsidR="00B67AE4">
        <w:rPr>
          <w:rFonts w:ascii="Calibri" w:eastAsia="Calibri" w:hAnsi="Calibri" w:cs="Calibri"/>
        </w:rPr>
        <w:t xml:space="preserve">Out of Scope </w:t>
      </w:r>
      <w:r w:rsidR="00B94A99">
        <w:rPr>
          <w:rFonts w:ascii="Calibri" w:eastAsia="Calibri" w:hAnsi="Calibri" w:cs="Calibri"/>
        </w:rPr>
        <w:t>P</w:t>
      </w:r>
      <w:r>
        <w:rPr>
          <w:rFonts w:ascii="Calibri" w:eastAsia="Calibri" w:hAnsi="Calibri" w:cs="Calibri"/>
        </w:rPr>
        <w:t>r</w:t>
      </w:r>
      <w:r w:rsidR="00B67AE4">
        <w:rPr>
          <w:rFonts w:ascii="Calibri" w:eastAsia="Calibri" w:hAnsi="Calibri" w:cs="Calibri"/>
        </w:rPr>
        <w:t>emises in the Overall Geographic Area.</w:t>
      </w:r>
    </w:p>
    <w:p w14:paraId="48FEBC4D" w14:textId="77777777" w:rsidR="00656438" w:rsidRDefault="00656438">
      <w:pPr>
        <w:pStyle w:val="Heading3"/>
        <w:ind w:left="825" w:hanging="705"/>
      </w:pPr>
    </w:p>
    <w:tbl>
      <w:tblPr>
        <w:tblStyle w:val="a"/>
        <w:tblW w:w="8969" w:type="dxa"/>
        <w:tblInd w:w="56" w:type="dxa"/>
        <w:tblLayout w:type="fixed"/>
        <w:tblLook w:val="0400" w:firstRow="0" w:lastRow="0" w:firstColumn="0" w:lastColumn="0" w:noHBand="0" w:noVBand="1"/>
      </w:tblPr>
      <w:tblGrid>
        <w:gridCol w:w="1980"/>
        <w:gridCol w:w="1695"/>
        <w:gridCol w:w="1695"/>
        <w:gridCol w:w="1695"/>
        <w:gridCol w:w="1904"/>
      </w:tblGrid>
      <w:tr w:rsidR="00656438" w14:paraId="298F0C7F" w14:textId="77777777">
        <w:trPr>
          <w:trHeight w:val="360"/>
        </w:trPr>
        <w:tc>
          <w:tcPr>
            <w:tcW w:w="1980" w:type="dxa"/>
            <w:tcBorders>
              <w:top w:val="single" w:sz="8" w:space="0" w:color="000000"/>
              <w:left w:val="single" w:sz="8" w:space="0" w:color="000000"/>
              <w:bottom w:val="single" w:sz="8" w:space="0" w:color="000000"/>
              <w:right w:val="single" w:sz="8" w:space="0" w:color="000000"/>
            </w:tcBorders>
            <w:shd w:val="clear" w:color="auto" w:fill="548DD4"/>
            <w:tcMar>
              <w:left w:w="108" w:type="dxa"/>
              <w:right w:w="108" w:type="dxa"/>
            </w:tcMar>
          </w:tcPr>
          <w:p w14:paraId="6F8ABF65" w14:textId="77777777" w:rsidR="00656438" w:rsidRDefault="00A26303">
            <w:pPr>
              <w:spacing w:before="100"/>
              <w:jc w:val="center"/>
            </w:pPr>
            <w:r>
              <w:rPr>
                <w:b/>
                <w:color w:val="FFFFFF"/>
                <w:sz w:val="20"/>
                <w:szCs w:val="20"/>
              </w:rPr>
              <w:t>Lot Name</w:t>
            </w:r>
          </w:p>
        </w:tc>
        <w:tc>
          <w:tcPr>
            <w:tcW w:w="1695" w:type="dxa"/>
            <w:tcBorders>
              <w:top w:val="single" w:sz="8" w:space="0" w:color="000000"/>
              <w:left w:val="nil"/>
              <w:bottom w:val="single" w:sz="8" w:space="0" w:color="000000"/>
              <w:right w:val="single" w:sz="8" w:space="0" w:color="000000"/>
            </w:tcBorders>
            <w:shd w:val="clear" w:color="auto" w:fill="548DD4"/>
            <w:tcMar>
              <w:left w:w="108" w:type="dxa"/>
              <w:right w:w="108" w:type="dxa"/>
            </w:tcMar>
          </w:tcPr>
          <w:p w14:paraId="38DD7556" w14:textId="3D6B4851" w:rsidR="00656438" w:rsidRDefault="00A26303">
            <w:pPr>
              <w:spacing w:before="100"/>
              <w:jc w:val="center"/>
            </w:pPr>
            <w:r>
              <w:rPr>
                <w:b/>
                <w:color w:val="FFFFFF"/>
                <w:sz w:val="20"/>
                <w:szCs w:val="20"/>
              </w:rPr>
              <w:t xml:space="preserve">A) Total Premises in </w:t>
            </w:r>
            <w:r w:rsidR="00AE172A">
              <w:rPr>
                <w:b/>
                <w:color w:val="FFFFFF"/>
                <w:sz w:val="20"/>
                <w:szCs w:val="20"/>
              </w:rPr>
              <w:t xml:space="preserve">Overall </w:t>
            </w:r>
            <w:r>
              <w:rPr>
                <w:b/>
                <w:color w:val="FFFFFF"/>
                <w:sz w:val="20"/>
                <w:szCs w:val="20"/>
              </w:rPr>
              <w:t>Geographic Area</w:t>
            </w:r>
          </w:p>
        </w:tc>
        <w:tc>
          <w:tcPr>
            <w:tcW w:w="1695" w:type="dxa"/>
            <w:tcBorders>
              <w:top w:val="single" w:sz="8" w:space="0" w:color="000000"/>
              <w:left w:val="nil"/>
              <w:bottom w:val="single" w:sz="8" w:space="0" w:color="000000"/>
              <w:right w:val="single" w:sz="8" w:space="0" w:color="000000"/>
            </w:tcBorders>
            <w:shd w:val="clear" w:color="auto" w:fill="548DD4"/>
          </w:tcPr>
          <w:p w14:paraId="22EB3099" w14:textId="77777777" w:rsidR="00656438" w:rsidRDefault="00A26303">
            <w:pPr>
              <w:spacing w:before="100"/>
              <w:jc w:val="center"/>
            </w:pPr>
            <w:r>
              <w:rPr>
                <w:b/>
                <w:color w:val="FFFFFF"/>
                <w:sz w:val="20"/>
                <w:szCs w:val="20"/>
              </w:rPr>
              <w:t>B) Target NGA White Premises</w:t>
            </w:r>
          </w:p>
          <w:p w14:paraId="33B41495" w14:textId="77777777" w:rsidR="00656438" w:rsidRDefault="00A26303">
            <w:pPr>
              <w:spacing w:before="100"/>
              <w:jc w:val="center"/>
            </w:pPr>
            <w:r>
              <w:rPr>
                <w:b/>
                <w:color w:val="FFFFFF"/>
                <w:sz w:val="20"/>
                <w:szCs w:val="20"/>
              </w:rPr>
              <w:t>(in scope of this ITT)</w:t>
            </w:r>
          </w:p>
        </w:tc>
        <w:tc>
          <w:tcPr>
            <w:tcW w:w="1695" w:type="dxa"/>
            <w:tcBorders>
              <w:top w:val="single" w:sz="8" w:space="0" w:color="000000"/>
              <w:left w:val="nil"/>
              <w:bottom w:val="single" w:sz="8" w:space="0" w:color="000000"/>
              <w:right w:val="single" w:sz="8" w:space="0" w:color="000000"/>
            </w:tcBorders>
            <w:shd w:val="clear" w:color="auto" w:fill="548DD4"/>
          </w:tcPr>
          <w:p w14:paraId="1E86580C" w14:textId="77777777" w:rsidR="00656438" w:rsidRDefault="00A26303">
            <w:pPr>
              <w:spacing w:before="100"/>
              <w:jc w:val="center"/>
            </w:pPr>
            <w:r>
              <w:rPr>
                <w:b/>
                <w:color w:val="FFFFFF"/>
                <w:sz w:val="20"/>
                <w:szCs w:val="20"/>
              </w:rPr>
              <w:t>C) Under Review NGA White Premises</w:t>
            </w:r>
          </w:p>
          <w:p w14:paraId="22EC7584" w14:textId="77777777" w:rsidR="00656438" w:rsidRDefault="00A26303">
            <w:pPr>
              <w:spacing w:before="100"/>
              <w:jc w:val="center"/>
            </w:pPr>
            <w:r>
              <w:rPr>
                <w:b/>
                <w:color w:val="FFFFFF"/>
                <w:sz w:val="20"/>
                <w:szCs w:val="20"/>
              </w:rPr>
              <w:t>(potentially in scope of the contract at a future date)</w:t>
            </w:r>
          </w:p>
        </w:tc>
        <w:tc>
          <w:tcPr>
            <w:tcW w:w="1904" w:type="dxa"/>
            <w:tcBorders>
              <w:top w:val="single" w:sz="8" w:space="0" w:color="000000"/>
              <w:left w:val="nil"/>
              <w:bottom w:val="single" w:sz="8" w:space="0" w:color="000000"/>
              <w:right w:val="single" w:sz="8" w:space="0" w:color="000000"/>
            </w:tcBorders>
            <w:shd w:val="clear" w:color="auto" w:fill="548DD4"/>
          </w:tcPr>
          <w:p w14:paraId="6465026C" w14:textId="2FC9AE44" w:rsidR="00656438" w:rsidRDefault="00A26303">
            <w:pPr>
              <w:spacing w:before="100"/>
              <w:jc w:val="center"/>
            </w:pPr>
            <w:r>
              <w:rPr>
                <w:b/>
                <w:color w:val="FFFFFF"/>
                <w:sz w:val="20"/>
                <w:szCs w:val="20"/>
              </w:rPr>
              <w:t xml:space="preserve">D) Out of Scope Premises in </w:t>
            </w:r>
            <w:r w:rsidR="00AE172A">
              <w:rPr>
                <w:b/>
                <w:color w:val="FFFFFF"/>
                <w:sz w:val="20"/>
                <w:szCs w:val="20"/>
              </w:rPr>
              <w:t>Overall Geographic</w:t>
            </w:r>
            <w:r>
              <w:rPr>
                <w:b/>
                <w:color w:val="FFFFFF"/>
                <w:sz w:val="20"/>
                <w:szCs w:val="20"/>
              </w:rPr>
              <w:t xml:space="preserve"> Area</w:t>
            </w:r>
          </w:p>
          <w:p w14:paraId="121ACF4A" w14:textId="77777777" w:rsidR="00656438" w:rsidRDefault="00A26303">
            <w:pPr>
              <w:spacing w:before="100"/>
              <w:jc w:val="center"/>
            </w:pPr>
            <w:r>
              <w:rPr>
                <w:b/>
                <w:color w:val="FFFFFF"/>
                <w:sz w:val="20"/>
                <w:szCs w:val="20"/>
              </w:rPr>
              <w:t>(out of scope of this ITT)</w:t>
            </w:r>
          </w:p>
        </w:tc>
      </w:tr>
      <w:tr w:rsidR="00656438" w14:paraId="7B1C75A1" w14:textId="77777777">
        <w:trPr>
          <w:trHeight w:val="240"/>
        </w:trPr>
        <w:tc>
          <w:tcPr>
            <w:tcW w:w="1980" w:type="dxa"/>
            <w:tcBorders>
              <w:top w:val="nil"/>
              <w:left w:val="single" w:sz="8" w:space="0" w:color="000000"/>
              <w:bottom w:val="single" w:sz="8" w:space="0" w:color="000000"/>
              <w:right w:val="single" w:sz="8" w:space="0" w:color="000000"/>
            </w:tcBorders>
            <w:shd w:val="clear" w:color="auto" w:fill="548DD4"/>
            <w:tcMar>
              <w:left w:w="108" w:type="dxa"/>
              <w:right w:w="108" w:type="dxa"/>
            </w:tcMar>
            <w:vAlign w:val="center"/>
          </w:tcPr>
          <w:p w14:paraId="6FDF29F8" w14:textId="77777777" w:rsidR="00656438" w:rsidRDefault="00A26303">
            <w:pPr>
              <w:spacing w:before="100"/>
            </w:pPr>
            <w:r>
              <w:rPr>
                <w:b/>
                <w:color w:val="FFFFFF"/>
                <w:sz w:val="16"/>
                <w:szCs w:val="16"/>
              </w:rPr>
              <w:t>LOT 1 - [Insert lot name]</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5F59F405" w14:textId="77777777" w:rsidR="00656438" w:rsidRDefault="00A26303">
            <w:pPr>
              <w:spacing w:before="100" w:line="240" w:lineRule="auto"/>
              <w:jc w:val="center"/>
            </w:pPr>
            <w:r>
              <w:rPr>
                <w:sz w:val="20"/>
                <w:szCs w:val="20"/>
              </w:rPr>
              <w:t>[insert number]</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18F3576F" w14:textId="77777777" w:rsidR="00656438" w:rsidRDefault="00A26303">
            <w:pPr>
              <w:spacing w:before="100" w:line="240" w:lineRule="auto"/>
              <w:jc w:val="center"/>
            </w:pPr>
            <w:r>
              <w:rPr>
                <w:sz w:val="20"/>
                <w:szCs w:val="20"/>
              </w:rPr>
              <w:t>[insert number]</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4A6DFB37" w14:textId="77777777" w:rsidR="00656438" w:rsidRDefault="00A26303">
            <w:pPr>
              <w:spacing w:before="100" w:line="240" w:lineRule="auto"/>
              <w:jc w:val="center"/>
            </w:pPr>
            <w:r>
              <w:rPr>
                <w:sz w:val="20"/>
                <w:szCs w:val="20"/>
              </w:rPr>
              <w:t>[insert number]</w:t>
            </w:r>
          </w:p>
        </w:tc>
        <w:tc>
          <w:tcPr>
            <w:tcW w:w="1904"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784B482A" w14:textId="77777777" w:rsidR="00656438" w:rsidRDefault="00A26303">
            <w:pPr>
              <w:spacing w:before="100" w:line="240" w:lineRule="auto"/>
              <w:jc w:val="center"/>
            </w:pPr>
            <w:r>
              <w:rPr>
                <w:sz w:val="20"/>
                <w:szCs w:val="20"/>
              </w:rPr>
              <w:t>[insert number]</w:t>
            </w:r>
          </w:p>
        </w:tc>
      </w:tr>
      <w:tr w:rsidR="00656438" w14:paraId="283F9E8D" w14:textId="77777777">
        <w:trPr>
          <w:trHeight w:val="240"/>
        </w:trPr>
        <w:tc>
          <w:tcPr>
            <w:tcW w:w="1980" w:type="dxa"/>
            <w:tcBorders>
              <w:top w:val="nil"/>
              <w:left w:val="single" w:sz="8" w:space="0" w:color="000000"/>
              <w:bottom w:val="single" w:sz="8" w:space="0" w:color="000000"/>
              <w:right w:val="single" w:sz="8" w:space="0" w:color="000000"/>
            </w:tcBorders>
            <w:shd w:val="clear" w:color="auto" w:fill="548DD4"/>
            <w:tcMar>
              <w:left w:w="108" w:type="dxa"/>
              <w:right w:w="108" w:type="dxa"/>
            </w:tcMar>
            <w:vAlign w:val="center"/>
          </w:tcPr>
          <w:p w14:paraId="0DD9A3CB" w14:textId="77777777" w:rsidR="00656438" w:rsidRDefault="00A26303">
            <w:pPr>
              <w:spacing w:before="100"/>
            </w:pPr>
            <w:r>
              <w:rPr>
                <w:b/>
                <w:color w:val="FFFFFF"/>
                <w:sz w:val="16"/>
                <w:szCs w:val="16"/>
              </w:rPr>
              <w:t>LOT XX - [Insert lot name]</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716D516C" w14:textId="77777777" w:rsidR="00656438" w:rsidRDefault="00A26303">
            <w:pPr>
              <w:spacing w:before="100" w:line="240" w:lineRule="auto"/>
              <w:jc w:val="center"/>
            </w:pPr>
            <w:r>
              <w:rPr>
                <w:sz w:val="20"/>
                <w:szCs w:val="20"/>
              </w:rPr>
              <w:t>[insert number]</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09D9A2A9" w14:textId="77777777" w:rsidR="00656438" w:rsidRDefault="00A26303">
            <w:pPr>
              <w:spacing w:before="100" w:line="240" w:lineRule="auto"/>
              <w:jc w:val="center"/>
            </w:pPr>
            <w:r>
              <w:rPr>
                <w:sz w:val="20"/>
                <w:szCs w:val="20"/>
              </w:rPr>
              <w:t>[insert number]</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7D41DBC6" w14:textId="77777777" w:rsidR="00656438" w:rsidRDefault="00A26303">
            <w:pPr>
              <w:spacing w:before="100" w:line="240" w:lineRule="auto"/>
              <w:jc w:val="center"/>
            </w:pPr>
            <w:r>
              <w:rPr>
                <w:sz w:val="20"/>
                <w:szCs w:val="20"/>
              </w:rPr>
              <w:t>[insert number]</w:t>
            </w:r>
          </w:p>
        </w:tc>
        <w:tc>
          <w:tcPr>
            <w:tcW w:w="1904"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6299257A" w14:textId="77777777" w:rsidR="00656438" w:rsidRDefault="00A26303">
            <w:pPr>
              <w:spacing w:before="100" w:line="240" w:lineRule="auto"/>
              <w:jc w:val="center"/>
            </w:pPr>
            <w:r>
              <w:rPr>
                <w:sz w:val="20"/>
                <w:szCs w:val="20"/>
              </w:rPr>
              <w:t>[insert number]</w:t>
            </w:r>
          </w:p>
        </w:tc>
      </w:tr>
      <w:tr w:rsidR="00656438" w14:paraId="763BAE98" w14:textId="77777777">
        <w:trPr>
          <w:trHeight w:val="240"/>
        </w:trPr>
        <w:tc>
          <w:tcPr>
            <w:tcW w:w="1980" w:type="dxa"/>
            <w:tcBorders>
              <w:top w:val="nil"/>
              <w:left w:val="single" w:sz="8" w:space="0" w:color="000000"/>
              <w:bottom w:val="single" w:sz="8" w:space="0" w:color="000000"/>
              <w:right w:val="single" w:sz="8" w:space="0" w:color="000000"/>
            </w:tcBorders>
            <w:shd w:val="clear" w:color="auto" w:fill="548DD4"/>
            <w:tcMar>
              <w:left w:w="108" w:type="dxa"/>
              <w:right w:w="108" w:type="dxa"/>
            </w:tcMar>
            <w:vAlign w:val="center"/>
          </w:tcPr>
          <w:p w14:paraId="2BB249E9" w14:textId="1237F151" w:rsidR="00656438" w:rsidRDefault="00A26303" w:rsidP="009B7C2E">
            <w:pPr>
              <w:spacing w:before="100"/>
            </w:pPr>
            <w:r>
              <w:rPr>
                <w:b/>
                <w:color w:val="FFFFFF"/>
                <w:sz w:val="16"/>
                <w:szCs w:val="16"/>
              </w:rPr>
              <w:br/>
              <w:t>Geographic Area</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71CA3C71" w14:textId="77777777" w:rsidR="00656438" w:rsidRDefault="00A26303">
            <w:pPr>
              <w:spacing w:before="100" w:line="240" w:lineRule="auto"/>
              <w:jc w:val="center"/>
            </w:pPr>
            <w:r>
              <w:rPr>
                <w:sz w:val="20"/>
                <w:szCs w:val="20"/>
              </w:rPr>
              <w:t>[insert number]</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767DC238" w14:textId="77777777" w:rsidR="00656438" w:rsidRDefault="00A26303">
            <w:pPr>
              <w:spacing w:before="100" w:line="240" w:lineRule="auto"/>
              <w:jc w:val="center"/>
            </w:pPr>
            <w:r>
              <w:rPr>
                <w:sz w:val="20"/>
                <w:szCs w:val="20"/>
              </w:rPr>
              <w:t>[insert number]</w:t>
            </w:r>
          </w:p>
        </w:tc>
        <w:tc>
          <w:tcPr>
            <w:tcW w:w="1695"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5190D242" w14:textId="77777777" w:rsidR="00656438" w:rsidRDefault="00A26303">
            <w:pPr>
              <w:spacing w:before="100" w:line="240" w:lineRule="auto"/>
              <w:jc w:val="center"/>
            </w:pPr>
            <w:r>
              <w:rPr>
                <w:sz w:val="20"/>
                <w:szCs w:val="20"/>
              </w:rPr>
              <w:t>[insert number]</w:t>
            </w:r>
          </w:p>
        </w:tc>
        <w:tc>
          <w:tcPr>
            <w:tcW w:w="1904" w:type="dxa"/>
            <w:tcBorders>
              <w:top w:val="nil"/>
              <w:left w:val="nil"/>
              <w:bottom w:val="single" w:sz="8" w:space="0" w:color="000000"/>
              <w:right w:val="single" w:sz="8" w:space="0" w:color="000000"/>
            </w:tcBorders>
            <w:shd w:val="clear" w:color="auto" w:fill="FFFFFF"/>
            <w:tcMar>
              <w:left w:w="108" w:type="dxa"/>
              <w:right w:w="108" w:type="dxa"/>
            </w:tcMar>
            <w:vAlign w:val="bottom"/>
          </w:tcPr>
          <w:p w14:paraId="3BDF07D1" w14:textId="77777777" w:rsidR="00656438" w:rsidRDefault="00A26303">
            <w:pPr>
              <w:spacing w:before="100" w:line="240" w:lineRule="auto"/>
              <w:jc w:val="center"/>
            </w:pPr>
            <w:r>
              <w:rPr>
                <w:sz w:val="20"/>
                <w:szCs w:val="20"/>
              </w:rPr>
              <w:t>[insert number]</w:t>
            </w:r>
          </w:p>
        </w:tc>
      </w:tr>
    </w:tbl>
    <w:p w14:paraId="6AA5FCF8" w14:textId="77777777" w:rsidR="00656438" w:rsidRDefault="00656438" w:rsidP="009C30A1">
      <w:pPr>
        <w:pStyle w:val="Heading1"/>
      </w:pPr>
    </w:p>
    <w:p w14:paraId="7CE6AAC1" w14:textId="77777777" w:rsidR="00656438" w:rsidRDefault="00A26303">
      <w:pPr>
        <w:pStyle w:val="Heading2"/>
        <w:tabs>
          <w:tab w:val="left" w:pos="567"/>
        </w:tabs>
        <w:ind w:left="720" w:hanging="750"/>
        <w:jc w:val="both"/>
      </w:pPr>
      <w:r>
        <w:rPr>
          <w:sz w:val="32"/>
          <w:szCs w:val="32"/>
        </w:rPr>
        <w:t xml:space="preserve">1.7 </w:t>
      </w:r>
      <w:r>
        <w:rPr>
          <w:sz w:val="32"/>
          <w:szCs w:val="32"/>
        </w:rPr>
        <w:tab/>
        <w:t>Other Context</w:t>
      </w:r>
      <w:r>
        <w:rPr>
          <w:sz w:val="32"/>
          <w:szCs w:val="32"/>
          <w:vertAlign w:val="superscript"/>
        </w:rPr>
        <w:footnoteReference w:id="9"/>
      </w:r>
    </w:p>
    <w:p w14:paraId="10BD05C7" w14:textId="3C838934" w:rsidR="008D4775" w:rsidRDefault="00A26303" w:rsidP="009C30A1">
      <w:pPr>
        <w:spacing w:line="264" w:lineRule="auto"/>
        <w:ind w:left="839"/>
      </w:pPr>
      <w:r>
        <w:rPr>
          <w:rFonts w:ascii="Calibri" w:eastAsia="Calibri" w:hAnsi="Calibri" w:cs="Calibri"/>
        </w:rPr>
        <w:t>[See footnote below].</w:t>
      </w:r>
      <w:bookmarkStart w:id="12" w:name="h.ujcm4k1aknz3" w:colFirst="0" w:colLast="0"/>
      <w:bookmarkEnd w:id="12"/>
    </w:p>
    <w:p w14:paraId="642BFAB9" w14:textId="77777777" w:rsidR="008D4775" w:rsidRDefault="008D4775" w:rsidP="008D4775">
      <w:pPr>
        <w:pStyle w:val="Heading2"/>
        <w:tabs>
          <w:tab w:val="left" w:pos="567"/>
        </w:tabs>
        <w:ind w:left="720" w:hanging="750"/>
        <w:jc w:val="both"/>
        <w:rPr>
          <w:sz w:val="32"/>
          <w:szCs w:val="32"/>
        </w:rPr>
      </w:pPr>
      <w:r>
        <w:rPr>
          <w:sz w:val="32"/>
          <w:szCs w:val="32"/>
        </w:rPr>
        <w:t xml:space="preserve">1.8 </w:t>
      </w:r>
      <w:r>
        <w:rPr>
          <w:sz w:val="32"/>
          <w:szCs w:val="32"/>
        </w:rPr>
        <w:tab/>
        <w:t>Consortia Arrangements</w:t>
      </w:r>
    </w:p>
    <w:p w14:paraId="178C88FE" w14:textId="77777777" w:rsidR="009C30A1" w:rsidRDefault="008D4775" w:rsidP="009C30A1">
      <w:pPr>
        <w:pStyle w:val="Heading3"/>
        <w:spacing w:after="0" w:line="240" w:lineRule="auto"/>
        <w:ind w:left="567" w:firstLine="0"/>
      </w:pPr>
      <w:r w:rsidRPr="008D4775">
        <w:t>If the Bidder completing this ITT is doing so as part of a proposed consortium, the followin</w:t>
      </w:r>
      <w:r w:rsidR="009C30A1">
        <w:t>g information must be provided:</w:t>
      </w:r>
    </w:p>
    <w:p w14:paraId="11A8FF05" w14:textId="77777777" w:rsidR="009C30A1" w:rsidRPr="009C30A1" w:rsidRDefault="008D4775" w:rsidP="009C30A1">
      <w:pPr>
        <w:pStyle w:val="Heading3"/>
        <w:numPr>
          <w:ilvl w:val="0"/>
          <w:numId w:val="16"/>
        </w:numPr>
        <w:spacing w:after="0" w:line="240" w:lineRule="auto"/>
        <w:rPr>
          <w:sz w:val="32"/>
          <w:szCs w:val="32"/>
        </w:rPr>
      </w:pPr>
      <w:r w:rsidRPr="008D4775">
        <w:t>names of all consortium members;</w:t>
      </w:r>
    </w:p>
    <w:p w14:paraId="3DB82A57" w14:textId="77777777" w:rsidR="009C30A1" w:rsidRPr="009C30A1" w:rsidRDefault="008D4775" w:rsidP="009C30A1">
      <w:pPr>
        <w:pStyle w:val="Heading3"/>
        <w:numPr>
          <w:ilvl w:val="0"/>
          <w:numId w:val="16"/>
        </w:numPr>
        <w:spacing w:after="0" w:line="240" w:lineRule="auto"/>
        <w:rPr>
          <w:sz w:val="32"/>
          <w:szCs w:val="32"/>
        </w:rPr>
      </w:pPr>
      <w:r w:rsidRPr="009C30A1">
        <w:t xml:space="preserve">the lead member of the consortium who will be contractually responsible for delivery of the contract (if a separate legal entity is not being created); and </w:t>
      </w:r>
    </w:p>
    <w:p w14:paraId="546F7EA7" w14:textId="5D3D1496" w:rsidR="008D4775" w:rsidRDefault="008D4775" w:rsidP="009C30A1">
      <w:pPr>
        <w:pStyle w:val="Heading3"/>
        <w:numPr>
          <w:ilvl w:val="0"/>
          <w:numId w:val="16"/>
        </w:numPr>
        <w:spacing w:after="0" w:line="240" w:lineRule="auto"/>
      </w:pPr>
      <w:r w:rsidRPr="009C30A1">
        <w:t>if the consortium is not proposing to form a legal entity, full details of proposed arrangements within a separate Appendix.</w:t>
      </w:r>
    </w:p>
    <w:p w14:paraId="6407C243" w14:textId="77777777" w:rsidR="009C30A1" w:rsidRPr="009C30A1" w:rsidRDefault="009C30A1" w:rsidP="009C30A1">
      <w:pPr>
        <w:spacing w:after="0"/>
      </w:pPr>
    </w:p>
    <w:p w14:paraId="545ABD5C" w14:textId="46473D85" w:rsidR="008D4775" w:rsidRPr="008D4775" w:rsidRDefault="008D4775" w:rsidP="009C30A1">
      <w:pPr>
        <w:spacing w:after="0" w:line="240" w:lineRule="auto"/>
        <w:ind w:left="567"/>
      </w:pPr>
      <w:r w:rsidRPr="008D4775">
        <w:rPr>
          <w:rFonts w:ascii="Calibri" w:eastAsia="Calibri" w:hAnsi="Calibri" w:cs="Calibri"/>
        </w:rPr>
        <w:t>Please note that the Local Body may require the consortium to assume a specific legal form if awarded the contract, to the extent that a specific legal form is deemed by the Local Body as being necessary for the satisfactory performance of the contract.  Alternatively the Local Body may require all members of the consortium to enter into the contract and to be jointly and severally liable.</w:t>
      </w:r>
    </w:p>
    <w:p w14:paraId="381F5374" w14:textId="77777777" w:rsidR="008D4775" w:rsidRPr="008D4775" w:rsidRDefault="008D4775" w:rsidP="009C30A1">
      <w:pPr>
        <w:spacing w:after="0" w:line="240" w:lineRule="auto"/>
        <w:ind w:left="567"/>
      </w:pPr>
    </w:p>
    <w:p w14:paraId="24D16B99" w14:textId="4B3845AD" w:rsidR="008D4775" w:rsidRPr="008D4775" w:rsidRDefault="008D4775" w:rsidP="009C30A1">
      <w:pPr>
        <w:spacing w:after="0" w:line="240" w:lineRule="auto"/>
        <w:ind w:left="567"/>
      </w:pPr>
      <w:r w:rsidRPr="008D4775">
        <w:rPr>
          <w:rFonts w:ascii="Calibri" w:eastAsia="Calibri" w:hAnsi="Calibri" w:cs="Calibri"/>
          <w:u w:val="single"/>
        </w:rPr>
        <w:lastRenderedPageBreak/>
        <w:t xml:space="preserve">All </w:t>
      </w:r>
      <w:r w:rsidRPr="008D4775">
        <w:rPr>
          <w:rFonts w:ascii="Calibri" w:eastAsia="Calibri" w:hAnsi="Calibri" w:cs="Calibri"/>
        </w:rPr>
        <w:t xml:space="preserve">members of the consortium will be required to provide the information required in </w:t>
      </w:r>
      <w:r w:rsidRPr="008D4775">
        <w:rPr>
          <w:rFonts w:ascii="Calibri" w:eastAsia="Calibri" w:hAnsi="Calibri" w:cs="Calibri"/>
          <w:u w:val="single"/>
        </w:rPr>
        <w:t>all</w:t>
      </w:r>
      <w:r w:rsidRPr="008D4775">
        <w:rPr>
          <w:rFonts w:ascii="Calibri" w:eastAsia="Calibri" w:hAnsi="Calibri" w:cs="Calibri"/>
        </w:rPr>
        <w:t xml:space="preserve"> sections of the ITT as part of a single composite response to the Local Body i.e. each member of the consortium is required to complete the form.</w:t>
      </w:r>
    </w:p>
    <w:p w14:paraId="111999FC" w14:textId="77777777" w:rsidR="008D4775" w:rsidRPr="008D4775" w:rsidRDefault="008D4775" w:rsidP="009C30A1">
      <w:pPr>
        <w:spacing w:after="0" w:line="240" w:lineRule="auto"/>
        <w:ind w:left="567"/>
      </w:pPr>
    </w:p>
    <w:p w14:paraId="1E352460" w14:textId="2CA036ED" w:rsidR="008D4775" w:rsidRPr="008D4775" w:rsidRDefault="008D4775" w:rsidP="009C30A1">
      <w:pPr>
        <w:spacing w:after="0" w:line="240" w:lineRule="auto"/>
        <w:ind w:left="567"/>
      </w:pPr>
      <w:r w:rsidRPr="008D4775">
        <w:rPr>
          <w:rFonts w:ascii="Calibri" w:eastAsia="Calibri" w:hAnsi="Calibri" w:cs="Calibri"/>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77C149D1" w14:textId="77777777" w:rsidR="008D4775" w:rsidRPr="008D4775" w:rsidRDefault="008D4775" w:rsidP="009C30A1">
      <w:pPr>
        <w:spacing w:after="0" w:line="240" w:lineRule="auto"/>
        <w:ind w:left="567"/>
      </w:pPr>
    </w:p>
    <w:p w14:paraId="4D39DA0D" w14:textId="5C986A94" w:rsidR="008D4775" w:rsidRPr="008D4775" w:rsidRDefault="008D4775" w:rsidP="009C30A1">
      <w:pPr>
        <w:spacing w:after="0" w:line="240" w:lineRule="auto"/>
        <w:ind w:left="567"/>
      </w:pPr>
      <w:r w:rsidRPr="008D4775">
        <w:rPr>
          <w:rFonts w:ascii="Calibri" w:eastAsia="Calibri" w:hAnsi="Calibri" w:cs="Calibri"/>
        </w:rPr>
        <w:t>The Local Body recognises that arrangements in relation to a consortium bid may be subject to future change. Bidders should therefore respond on the basis of the arrangements as currently envisaged. Bidders are reminded that the Local Body must be immediately notified of any changes, or proposed changes, in relation to the bidding model so that a further assessment can be carried out by applying the selection criteria to the new information provided. The Local Body reserves the right to deselect the Bidder prior to any award of contract, based on an assessment of the updated information.</w:t>
      </w:r>
    </w:p>
    <w:p w14:paraId="427DAD96" w14:textId="77777777" w:rsidR="008D4775" w:rsidRDefault="008D4775"/>
    <w:p w14:paraId="545AAC66" w14:textId="77777777" w:rsidR="009C30A1" w:rsidRDefault="009C30A1">
      <w:pPr>
        <w:rPr>
          <w:b/>
          <w:color w:val="1F497D"/>
          <w:sz w:val="32"/>
          <w:szCs w:val="32"/>
        </w:rPr>
      </w:pPr>
      <w:r>
        <w:rPr>
          <w:b/>
          <w:color w:val="1F497D"/>
          <w:sz w:val="32"/>
          <w:szCs w:val="32"/>
        </w:rPr>
        <w:br w:type="page"/>
      </w:r>
    </w:p>
    <w:p w14:paraId="75B08F7B" w14:textId="2958F278" w:rsidR="00656438" w:rsidRDefault="00A26303">
      <w:pPr>
        <w:spacing w:line="264" w:lineRule="auto"/>
        <w:ind w:left="119" w:firstLine="570"/>
      </w:pPr>
      <w:r>
        <w:rPr>
          <w:b/>
          <w:color w:val="1F497D"/>
          <w:sz w:val="32"/>
          <w:szCs w:val="32"/>
        </w:rPr>
        <w:lastRenderedPageBreak/>
        <w:t xml:space="preserve">2.     </w:t>
      </w:r>
      <w:r>
        <w:rPr>
          <w:b/>
          <w:color w:val="1F497D"/>
        </w:rPr>
        <w:t xml:space="preserve"> </w:t>
      </w:r>
      <w:r>
        <w:rPr>
          <w:b/>
          <w:color w:val="1F497D"/>
          <w:sz w:val="32"/>
          <w:szCs w:val="32"/>
        </w:rPr>
        <w:t>Local Body Requirements</w:t>
      </w:r>
      <w:r>
        <w:rPr>
          <w:b/>
          <w:color w:val="1F497D"/>
          <w:sz w:val="32"/>
          <w:szCs w:val="32"/>
          <w:vertAlign w:val="superscript"/>
        </w:rPr>
        <w:footnoteReference w:id="10"/>
      </w:r>
    </w:p>
    <w:p w14:paraId="117D4D5C" w14:textId="77777777" w:rsidR="00656438" w:rsidRDefault="00A26303">
      <w:pPr>
        <w:pStyle w:val="Heading3"/>
        <w:ind w:left="825" w:hanging="705"/>
      </w:pPr>
      <w:bookmarkStart w:id="13" w:name="h.tu9nq1wlyas8" w:colFirst="0" w:colLast="0"/>
      <w:bookmarkEnd w:id="13"/>
      <w:r>
        <w:rPr>
          <w:b/>
          <w:color w:val="1F497D"/>
          <w:sz w:val="26"/>
          <w:szCs w:val="26"/>
        </w:rPr>
        <w:t>2.1 High-level Service Requirements</w:t>
      </w:r>
    </w:p>
    <w:p w14:paraId="0F0D76A6" w14:textId="652C1321" w:rsidR="00656438" w:rsidRDefault="00496EE6">
      <w:pPr>
        <w:pStyle w:val="Heading3"/>
        <w:ind w:left="825" w:hanging="705"/>
      </w:pPr>
      <w:r>
        <w:t xml:space="preserve">2.1.1 </w:t>
      </w:r>
      <w:r>
        <w:tab/>
        <w:t>The Solution must</w:t>
      </w:r>
      <w:r w:rsidR="00A26303">
        <w:t xml:space="preserve"> meet the Service Requirements defined in Schedule 2 of the Contract</w:t>
      </w:r>
      <w:r w:rsidR="00026B1C">
        <w:t>.</w:t>
      </w:r>
    </w:p>
    <w:p w14:paraId="128D88F0" w14:textId="66E6B539" w:rsidR="00656438" w:rsidRDefault="00A26303">
      <w:pPr>
        <w:pStyle w:val="Heading3"/>
        <w:ind w:left="825" w:hanging="705"/>
      </w:pPr>
      <w:r>
        <w:t xml:space="preserve">2.1.2 </w:t>
      </w:r>
      <w:r>
        <w:tab/>
        <w:t>The Local Body remains neutral about the technology used for the Solution</w:t>
      </w:r>
      <w:r w:rsidR="00026B1C">
        <w:t>.</w:t>
      </w:r>
    </w:p>
    <w:p w14:paraId="5ACB0F5D" w14:textId="1D3F9E38" w:rsidR="00656438" w:rsidRDefault="00A26303">
      <w:pPr>
        <w:pStyle w:val="Heading3"/>
        <w:ind w:left="825" w:hanging="705"/>
      </w:pPr>
      <w:r>
        <w:t xml:space="preserve">2.1.3 </w:t>
      </w:r>
      <w:r>
        <w:tab/>
        <w:t xml:space="preserve">The Solution must provide Next Generation Access infrastructure utilising qualifying NGA technologies capable of delivering broadband services with a download speed  of greater than 30 Mbps to as many targeted residential </w:t>
      </w:r>
      <w:r w:rsidR="005C3A57">
        <w:t>[and business premises] in the i</w:t>
      </w:r>
      <w:r>
        <w:t>ntervention areas as possible by [Insert date].</w:t>
      </w:r>
    </w:p>
    <w:p w14:paraId="2EA79552" w14:textId="64D58F00" w:rsidR="004B6FEE" w:rsidRDefault="00A26303">
      <w:pPr>
        <w:spacing w:after="240" w:line="240" w:lineRule="auto"/>
        <w:ind w:left="825" w:hanging="705"/>
        <w:rPr>
          <w:rFonts w:ascii="Calibri" w:eastAsia="Calibri" w:hAnsi="Calibri" w:cs="Calibri"/>
        </w:rPr>
      </w:pPr>
      <w:r>
        <w:rPr>
          <w:rFonts w:ascii="Calibri" w:eastAsia="Calibri" w:hAnsi="Calibri" w:cs="Calibri"/>
        </w:rPr>
        <w:t xml:space="preserve">2.1.4 </w:t>
      </w:r>
      <w:r>
        <w:rPr>
          <w:rFonts w:ascii="Calibri" w:eastAsia="Calibri" w:hAnsi="Calibri" w:cs="Calibri"/>
        </w:rPr>
        <w:tab/>
        <w:t>The Solution must measure and report the delivery of broadband services at speeds</w:t>
      </w:r>
      <w:r w:rsidR="0004036C">
        <w:rPr>
          <w:rFonts w:ascii="Calibri" w:eastAsia="Calibri" w:hAnsi="Calibri" w:cs="Calibri"/>
        </w:rPr>
        <w:t>:</w:t>
      </w:r>
      <w:r>
        <w:rPr>
          <w:rFonts w:ascii="Calibri" w:eastAsia="Calibri" w:hAnsi="Calibri" w:cs="Calibri"/>
        </w:rPr>
        <w:t xml:space="preserve"> </w:t>
      </w:r>
    </w:p>
    <w:p w14:paraId="31AD67F7" w14:textId="77777777" w:rsidR="004B6FEE" w:rsidRDefault="00A26303" w:rsidP="004B6FEE">
      <w:pPr>
        <w:spacing w:after="0" w:line="240" w:lineRule="auto"/>
        <w:ind w:left="825" w:hanging="105"/>
        <w:rPr>
          <w:rFonts w:ascii="Calibri" w:eastAsia="Calibri" w:hAnsi="Calibri" w:cs="Calibri"/>
        </w:rPr>
      </w:pPr>
      <w:r>
        <w:rPr>
          <w:rFonts w:ascii="Calibri" w:eastAsia="Calibri" w:hAnsi="Calibri" w:cs="Calibri"/>
        </w:rPr>
        <w:t xml:space="preserve">i) above 2 Mbps in support of managing the Government policy objective of providing universal coverage of basic broadband; </w:t>
      </w:r>
    </w:p>
    <w:p w14:paraId="718518C6" w14:textId="2DB7221B" w:rsidR="004B6FEE" w:rsidRDefault="00A26303" w:rsidP="004B6FEE">
      <w:pPr>
        <w:spacing w:after="0" w:line="240" w:lineRule="auto"/>
        <w:ind w:left="825" w:hanging="105"/>
        <w:rPr>
          <w:rFonts w:ascii="Calibri" w:eastAsia="Calibri" w:hAnsi="Calibri" w:cs="Calibri"/>
        </w:rPr>
      </w:pPr>
      <w:r>
        <w:rPr>
          <w:rFonts w:ascii="Calibri" w:eastAsia="Calibri" w:hAnsi="Calibri" w:cs="Calibri"/>
        </w:rPr>
        <w:t>ii) above 24Mbps</w:t>
      </w:r>
      <w:r w:rsidR="0004036C">
        <w:rPr>
          <w:rFonts w:ascii="Calibri" w:eastAsia="Calibri" w:hAnsi="Calibri" w:cs="Calibri"/>
        </w:rPr>
        <w:t>;</w:t>
      </w:r>
      <w:r>
        <w:rPr>
          <w:rFonts w:ascii="Calibri" w:eastAsia="Calibri" w:hAnsi="Calibri" w:cs="Calibri"/>
        </w:rPr>
        <w:t xml:space="preserve"> </w:t>
      </w:r>
    </w:p>
    <w:p w14:paraId="06D0ED60" w14:textId="740505A0" w:rsidR="004B6FEE" w:rsidRDefault="00A26303" w:rsidP="004B6FEE">
      <w:pPr>
        <w:spacing w:after="0" w:line="240" w:lineRule="auto"/>
        <w:ind w:left="825" w:hanging="105"/>
        <w:rPr>
          <w:rFonts w:ascii="Calibri" w:eastAsia="Calibri" w:hAnsi="Calibri" w:cs="Calibri"/>
        </w:rPr>
      </w:pPr>
      <w:r>
        <w:rPr>
          <w:rFonts w:ascii="Calibri" w:eastAsia="Calibri" w:hAnsi="Calibri" w:cs="Calibri"/>
        </w:rPr>
        <w:t xml:space="preserve">iii) above 30 Mbps;  </w:t>
      </w:r>
    </w:p>
    <w:p w14:paraId="58C041D9" w14:textId="77777777" w:rsidR="00803075" w:rsidRDefault="00A26303" w:rsidP="004B6FEE">
      <w:pPr>
        <w:spacing w:after="0" w:line="240" w:lineRule="auto"/>
        <w:ind w:left="825" w:hanging="105"/>
        <w:rPr>
          <w:rFonts w:ascii="Calibri" w:eastAsia="Calibri" w:hAnsi="Calibri" w:cs="Calibri"/>
        </w:rPr>
      </w:pPr>
      <w:r>
        <w:rPr>
          <w:rFonts w:ascii="Calibri" w:eastAsia="Calibri" w:hAnsi="Calibri" w:cs="Calibri"/>
        </w:rPr>
        <w:t>iv) above 100 Mbps to measure achievement against the Government policy objective of making ultrafast broadband available</w:t>
      </w:r>
      <w:r w:rsidR="00803075">
        <w:rPr>
          <w:rFonts w:ascii="Calibri" w:eastAsia="Calibri" w:hAnsi="Calibri" w:cs="Calibri"/>
        </w:rPr>
        <w:t>;</w:t>
      </w:r>
    </w:p>
    <w:p w14:paraId="1B78A7F3" w14:textId="0156F35C" w:rsidR="00803075" w:rsidRDefault="00803075" w:rsidP="00803075">
      <w:pPr>
        <w:pStyle w:val="NormalWeb"/>
        <w:spacing w:before="0" w:beforeAutospacing="0" w:after="0" w:afterAutospacing="0"/>
        <w:ind w:left="720" w:hanging="105"/>
        <w:jc w:val="both"/>
      </w:pPr>
      <w:r>
        <w:rPr>
          <w:rFonts w:ascii="Calibri" w:eastAsia="Calibri" w:hAnsi="Calibri" w:cs="Calibri"/>
        </w:rPr>
        <w:t xml:space="preserve">v) </w:t>
      </w:r>
      <w:r>
        <w:rPr>
          <w:rFonts w:ascii="Calibri" w:hAnsi="Calibri" w:cs="Calibri"/>
          <w:color w:val="000000"/>
          <w:sz w:val="22"/>
          <w:szCs w:val="22"/>
        </w:rPr>
        <w:t>above 1Gbps to measure achievements against the Government's ambitions for nationwide coverage of gigabit capable infrastructure across the UK by 2033 as set out in the Future Telecoms Infrastructure Review.</w:t>
      </w:r>
      <w:r>
        <w:rPr>
          <w:rStyle w:val="FootnoteReference"/>
          <w:rFonts w:ascii="Calibri" w:hAnsi="Calibri" w:cs="Calibri"/>
          <w:color w:val="000000"/>
          <w:sz w:val="22"/>
          <w:szCs w:val="22"/>
        </w:rPr>
        <w:footnoteReference w:id="11"/>
      </w:r>
    </w:p>
    <w:p w14:paraId="3B195B1F" w14:textId="6867F867" w:rsidR="00656438" w:rsidRDefault="00656438" w:rsidP="004B6FEE">
      <w:pPr>
        <w:spacing w:after="0" w:line="240" w:lineRule="auto"/>
        <w:ind w:left="825" w:hanging="105"/>
        <w:rPr>
          <w:rFonts w:ascii="Calibri" w:eastAsia="Calibri" w:hAnsi="Calibri" w:cs="Calibri"/>
        </w:rPr>
      </w:pPr>
    </w:p>
    <w:p w14:paraId="57914293" w14:textId="77777777" w:rsidR="004B6FEE" w:rsidRPr="004B6FEE" w:rsidRDefault="004B6FEE" w:rsidP="004B6FEE">
      <w:pPr>
        <w:spacing w:line="240" w:lineRule="auto"/>
        <w:ind w:left="825" w:hanging="105"/>
        <w:rPr>
          <w:rFonts w:ascii="Calibri" w:eastAsia="Calibri" w:hAnsi="Calibri" w:cs="Calibri"/>
        </w:rPr>
      </w:pPr>
    </w:p>
    <w:p w14:paraId="56C98329" w14:textId="2EBBDB04" w:rsidR="00656438" w:rsidRDefault="00A26303">
      <w:pPr>
        <w:pStyle w:val="Heading3"/>
        <w:ind w:left="825" w:hanging="705"/>
      </w:pPr>
      <w:r>
        <w:t xml:space="preserve">2.1.5 </w:t>
      </w:r>
      <w:r>
        <w:tab/>
        <w:t xml:space="preserve">To qualify for investments, the </w:t>
      </w:r>
      <w:r w:rsidR="005C3A57">
        <w:t>Solution must deliver a ‘step change’</w:t>
      </w:r>
      <w:r>
        <w:t xml:space="preserve"> in terms of broadband capability</w:t>
      </w:r>
      <w:r w:rsidR="005C3A57">
        <w:t>,</w:t>
      </w:r>
      <w:r>
        <w:t xml:space="preserve"> with the purpose of this requirement </w:t>
      </w:r>
      <w:r w:rsidR="005C3A57">
        <w:t xml:space="preserve">being </w:t>
      </w:r>
      <w:r>
        <w:t xml:space="preserve">to ensure that use of public subsidy is well justified. Step change can be achieved by a </w:t>
      </w:r>
      <w:r w:rsidR="005C3A57">
        <w:t>demonstration of the following:</w:t>
      </w:r>
    </w:p>
    <w:p w14:paraId="0BB9A001" w14:textId="4B99CF20" w:rsidR="00656438" w:rsidRDefault="00A26303">
      <w:pPr>
        <w:ind w:left="1633" w:hanging="794"/>
      </w:pPr>
      <w:r>
        <w:rPr>
          <w:rFonts w:ascii="Calibri" w:eastAsia="Calibri" w:hAnsi="Calibri" w:cs="Calibri"/>
        </w:rPr>
        <w:t xml:space="preserve">2.1.5.1 </w:t>
      </w:r>
      <w:r>
        <w:rPr>
          <w:rFonts w:ascii="Calibri" w:eastAsia="Calibri" w:hAnsi="Calibri" w:cs="Calibri"/>
          <w:color w:val="870041"/>
        </w:rPr>
        <w:tab/>
      </w:r>
      <w:r>
        <w:rPr>
          <w:rFonts w:ascii="Calibri" w:eastAsia="Calibri" w:hAnsi="Calibri" w:cs="Calibri"/>
        </w:rPr>
        <w:t xml:space="preserve">Generally, download speeds have to be at least doubled </w:t>
      </w:r>
      <w:r w:rsidR="00B8463A">
        <w:rPr>
          <w:rFonts w:ascii="Calibri" w:eastAsia="Calibri" w:hAnsi="Calibri" w:cs="Calibri"/>
        </w:rPr>
        <w:t xml:space="preserve">and upload speeds substantially higher as a result of </w:t>
      </w:r>
      <w:r>
        <w:rPr>
          <w:rFonts w:ascii="Calibri" w:eastAsia="Calibri" w:hAnsi="Calibri" w:cs="Calibri"/>
        </w:rPr>
        <w:t>the intervention when compared with exis</w:t>
      </w:r>
      <w:r w:rsidR="00026B1C">
        <w:rPr>
          <w:rFonts w:ascii="Calibri" w:eastAsia="Calibri" w:hAnsi="Calibri" w:cs="Calibri"/>
        </w:rPr>
        <w:t xml:space="preserve">ting </w:t>
      </w:r>
      <w:r w:rsidR="00B8463A">
        <w:rPr>
          <w:rFonts w:ascii="Calibri" w:eastAsia="Calibri" w:hAnsi="Calibri" w:cs="Calibri"/>
        </w:rPr>
        <w:t>down</w:t>
      </w:r>
      <w:r w:rsidR="00026B1C">
        <w:rPr>
          <w:rFonts w:ascii="Calibri" w:eastAsia="Calibri" w:hAnsi="Calibri" w:cs="Calibri"/>
        </w:rPr>
        <w:t xml:space="preserve">load and </w:t>
      </w:r>
      <w:r w:rsidR="00B8463A">
        <w:rPr>
          <w:rFonts w:ascii="Calibri" w:eastAsia="Calibri" w:hAnsi="Calibri" w:cs="Calibri"/>
        </w:rPr>
        <w:t>up</w:t>
      </w:r>
      <w:r w:rsidR="00026B1C">
        <w:rPr>
          <w:rFonts w:ascii="Calibri" w:eastAsia="Calibri" w:hAnsi="Calibri" w:cs="Calibri"/>
        </w:rPr>
        <w:t>load speeds;</w:t>
      </w:r>
    </w:p>
    <w:p w14:paraId="6B3BED40" w14:textId="6462C3E4" w:rsidR="00656438" w:rsidRDefault="00A26303">
      <w:pPr>
        <w:ind w:left="1633" w:hanging="794"/>
      </w:pPr>
      <w:r>
        <w:rPr>
          <w:rFonts w:ascii="Calibri" w:eastAsia="Calibri" w:hAnsi="Calibri" w:cs="Calibri"/>
        </w:rPr>
        <w:t>2.1.5.2 Significant new investments in the broadband network are undertaken (i.e. investments that must include civil works and installation of new passive elements)</w:t>
      </w:r>
      <w:r w:rsidR="00026B1C">
        <w:rPr>
          <w:rFonts w:ascii="Calibri" w:eastAsia="Calibri" w:hAnsi="Calibri" w:cs="Calibri"/>
        </w:rPr>
        <w:t>; and</w:t>
      </w:r>
    </w:p>
    <w:p w14:paraId="75099480" w14:textId="77777777" w:rsidR="00656438" w:rsidRDefault="00A26303">
      <w:pPr>
        <w:ind w:left="1633" w:hanging="794"/>
      </w:pPr>
      <w:r>
        <w:rPr>
          <w:rFonts w:ascii="Calibri" w:eastAsia="Calibri" w:hAnsi="Calibri" w:cs="Calibri"/>
        </w:rPr>
        <w:t>2.1.5.3 The new infrastructure brings significant new capabilities to the market in terms of broadband service availability, capacity and speeds and or competition.</w:t>
      </w:r>
    </w:p>
    <w:p w14:paraId="0B92F434" w14:textId="0C270FA9" w:rsidR="00656438" w:rsidRDefault="00A26303">
      <w:pPr>
        <w:spacing w:after="240" w:line="240" w:lineRule="auto"/>
        <w:ind w:left="825" w:hanging="705"/>
      </w:pPr>
      <w:r>
        <w:rPr>
          <w:rFonts w:ascii="Calibri" w:eastAsia="Calibri" w:hAnsi="Calibri" w:cs="Calibri"/>
        </w:rPr>
        <w:lastRenderedPageBreak/>
        <w:t xml:space="preserve">2.1.6 </w:t>
      </w:r>
      <w:r>
        <w:rPr>
          <w:rFonts w:ascii="Calibri" w:eastAsia="Calibri" w:hAnsi="Calibri" w:cs="Calibri"/>
        </w:rPr>
        <w:tab/>
        <w:t xml:space="preserve">The Solution must provide wholesale access on an </w:t>
      </w:r>
      <w:r w:rsidR="005C3A57">
        <w:rPr>
          <w:rFonts w:ascii="Calibri" w:eastAsia="Calibri" w:hAnsi="Calibri" w:cs="Calibri"/>
        </w:rPr>
        <w:t>O</w:t>
      </w:r>
      <w:r>
        <w:rPr>
          <w:rFonts w:ascii="Calibri" w:eastAsia="Calibri" w:hAnsi="Calibri" w:cs="Calibri"/>
        </w:rPr>
        <w:t xml:space="preserve">pen </w:t>
      </w:r>
      <w:r w:rsidR="005C3A57">
        <w:rPr>
          <w:rFonts w:ascii="Calibri" w:eastAsia="Calibri" w:hAnsi="Calibri" w:cs="Calibri"/>
        </w:rPr>
        <w:t>A</w:t>
      </w:r>
      <w:r>
        <w:rPr>
          <w:rFonts w:ascii="Calibri" w:eastAsia="Calibri" w:hAnsi="Calibri" w:cs="Calibri"/>
        </w:rPr>
        <w:t>ccess basis to the subsidised network with benchmarked prices under fair and non-discriminatory conditions. The relevant wholesale access products must be offered for at least 7 years, or indefinitely in the case of new passive infrastructure, post network deployment.</w:t>
      </w:r>
    </w:p>
    <w:p w14:paraId="1FAF328E" w14:textId="77777777" w:rsidR="00656438" w:rsidRDefault="00656438">
      <w:pPr>
        <w:spacing w:after="240" w:line="240" w:lineRule="auto"/>
        <w:ind w:left="825" w:hanging="705"/>
      </w:pPr>
    </w:p>
    <w:p w14:paraId="1F3325E3" w14:textId="77777777" w:rsidR="00656438" w:rsidRDefault="00A26303">
      <w:pPr>
        <w:pStyle w:val="Heading3"/>
        <w:ind w:left="825" w:hanging="705"/>
      </w:pPr>
      <w:r>
        <w:rPr>
          <w:b/>
          <w:color w:val="1F497D"/>
          <w:sz w:val="26"/>
          <w:szCs w:val="26"/>
        </w:rPr>
        <w:t xml:space="preserve">2.2 </w:t>
      </w:r>
      <w:r>
        <w:rPr>
          <w:b/>
          <w:color w:val="1F497D"/>
          <w:sz w:val="26"/>
          <w:szCs w:val="26"/>
        </w:rPr>
        <w:tab/>
        <w:t>Local Body Solution Requirements</w:t>
      </w:r>
    </w:p>
    <w:p w14:paraId="08414711" w14:textId="3C77E3AC" w:rsidR="00656438" w:rsidRDefault="00803075">
      <w:pPr>
        <w:pStyle w:val="Heading3"/>
        <w:ind w:left="825" w:hanging="705"/>
        <w:jc w:val="left"/>
      </w:pPr>
      <w:bookmarkStart w:id="14" w:name="h.c8befjr1kh2l" w:colFirst="0" w:colLast="0"/>
      <w:bookmarkEnd w:id="14"/>
      <w:r>
        <w:rPr>
          <w:b/>
          <w:color w:val="1F497D"/>
        </w:rPr>
        <w:t>Solution Capability Requirements</w:t>
      </w:r>
      <w:r w:rsidR="00A26303">
        <w:rPr>
          <w:b/>
          <w:color w:val="1F497D"/>
          <w:sz w:val="26"/>
          <w:szCs w:val="26"/>
          <w:vertAlign w:val="superscript"/>
        </w:rPr>
        <w:footnoteReference w:id="12"/>
      </w:r>
    </w:p>
    <w:p w14:paraId="4B50033C" w14:textId="0D5EB49A" w:rsidR="00656438" w:rsidRPr="004C17AF" w:rsidRDefault="00A26303">
      <w:pPr>
        <w:spacing w:after="240" w:line="240" w:lineRule="auto"/>
        <w:ind w:left="825" w:hanging="705"/>
        <w:rPr>
          <w:rFonts w:ascii="Calibri" w:eastAsia="Calibri" w:hAnsi="Calibri" w:cs="Calibri"/>
        </w:rPr>
      </w:pPr>
      <w:r>
        <w:rPr>
          <w:rFonts w:ascii="Calibri" w:eastAsia="Calibri" w:hAnsi="Calibri" w:cs="Calibri"/>
        </w:rPr>
        <w:t>2.2.1</w:t>
      </w:r>
      <w:r>
        <w:rPr>
          <w:rFonts w:ascii="Calibri" w:eastAsia="Calibri" w:hAnsi="Calibri" w:cs="Calibri"/>
        </w:rPr>
        <w:tab/>
      </w:r>
      <w:r w:rsidRPr="004C17AF">
        <w:rPr>
          <w:rFonts w:ascii="Calibri" w:eastAsia="Calibri" w:hAnsi="Calibri" w:cs="Calibri"/>
        </w:rPr>
        <w:t xml:space="preserve">The </w:t>
      </w:r>
      <w:r w:rsidR="004C17AF">
        <w:rPr>
          <w:rFonts w:ascii="Calibri" w:eastAsia="Calibri" w:hAnsi="Calibri" w:cs="Calibri"/>
        </w:rPr>
        <w:t>S</w:t>
      </w:r>
      <w:r w:rsidRPr="004C17AF">
        <w:rPr>
          <w:rFonts w:ascii="Calibri" w:eastAsia="Calibri" w:hAnsi="Calibri" w:cs="Calibri"/>
        </w:rPr>
        <w:t xml:space="preserve">olution </w:t>
      </w:r>
      <w:r w:rsidR="00691CA3">
        <w:rPr>
          <w:rFonts w:ascii="Calibri" w:eastAsia="Calibri" w:hAnsi="Calibri" w:cs="Calibri"/>
        </w:rPr>
        <w:t>should</w:t>
      </w:r>
      <w:r w:rsidR="0004036C">
        <w:rPr>
          <w:rFonts w:ascii="Calibri" w:eastAsia="Calibri" w:hAnsi="Calibri" w:cs="Calibri"/>
        </w:rPr>
        <w:t xml:space="preserve"> </w:t>
      </w:r>
      <w:r w:rsidRPr="004C17AF">
        <w:rPr>
          <w:rFonts w:ascii="Calibri" w:eastAsia="Calibri" w:hAnsi="Calibri" w:cs="Calibri"/>
        </w:rPr>
        <w:t xml:space="preserve">be capable of delivering </w:t>
      </w:r>
      <w:r w:rsidR="00803075">
        <w:rPr>
          <w:rFonts w:ascii="Calibri" w:eastAsia="Calibri" w:hAnsi="Calibri" w:cs="Calibri"/>
        </w:rPr>
        <w:t>gigabit</w:t>
      </w:r>
      <w:r w:rsidRPr="004C17AF">
        <w:rPr>
          <w:rFonts w:ascii="Calibri" w:eastAsia="Calibri" w:hAnsi="Calibri" w:cs="Calibri"/>
        </w:rPr>
        <w:t xml:space="preserve"> download speeds of at least 100</w:t>
      </w:r>
      <w:r w:rsidR="00803075">
        <w:rPr>
          <w:rFonts w:ascii="Calibri" w:eastAsia="Calibri" w:hAnsi="Calibri" w:cs="Calibri"/>
        </w:rPr>
        <w:t>0</w:t>
      </w:r>
      <w:r w:rsidRPr="004C17AF">
        <w:rPr>
          <w:rFonts w:ascii="Calibri" w:eastAsia="Calibri" w:hAnsi="Calibri" w:cs="Calibri"/>
        </w:rPr>
        <w:t xml:space="preserve">Mbps to </w:t>
      </w:r>
      <w:r w:rsidR="009B7C2E">
        <w:rPr>
          <w:rFonts w:ascii="Calibri" w:eastAsia="Calibri" w:hAnsi="Calibri" w:cs="Calibri"/>
        </w:rPr>
        <w:t>e</w:t>
      </w:r>
      <w:r w:rsidRPr="004C17AF">
        <w:rPr>
          <w:rFonts w:ascii="Calibri" w:eastAsia="Calibri" w:hAnsi="Calibri" w:cs="Calibri"/>
        </w:rPr>
        <w:t xml:space="preserve">nd </w:t>
      </w:r>
      <w:r w:rsidR="009B7C2E">
        <w:rPr>
          <w:rFonts w:ascii="Calibri" w:eastAsia="Calibri" w:hAnsi="Calibri" w:cs="Calibri"/>
        </w:rPr>
        <w:t>u</w:t>
      </w:r>
      <w:r w:rsidRPr="004C17AF">
        <w:rPr>
          <w:rFonts w:ascii="Calibri" w:eastAsia="Calibri" w:hAnsi="Calibri" w:cs="Calibri"/>
        </w:rPr>
        <w:t>sers to as many premises as possible within the geographical areas by</w:t>
      </w:r>
      <w:r w:rsidR="00026B1C">
        <w:rPr>
          <w:rFonts w:ascii="Calibri" w:eastAsia="Calibri" w:hAnsi="Calibri" w:cs="Calibri"/>
        </w:rPr>
        <w:t xml:space="preserve"> the end of [Insert date].</w:t>
      </w:r>
      <w:r w:rsidR="00691CA3">
        <w:rPr>
          <w:rFonts w:ascii="Calibri" w:eastAsia="Calibri" w:hAnsi="Calibri" w:cs="Calibri"/>
        </w:rPr>
        <w:t xml:space="preserve"> The Local Body’s requirements for Solution speeds are reflected in the weightings set out in the Speed and Coverage Template. </w:t>
      </w:r>
    </w:p>
    <w:p w14:paraId="31893508" w14:textId="2BDD2807" w:rsidR="004B6FEE" w:rsidRDefault="00A26303">
      <w:pPr>
        <w:spacing w:after="240" w:line="240" w:lineRule="auto"/>
        <w:ind w:left="825" w:hanging="705"/>
        <w:rPr>
          <w:rFonts w:ascii="Calibri" w:eastAsia="Calibri" w:hAnsi="Calibri" w:cs="Calibri"/>
        </w:rPr>
      </w:pPr>
      <w:r w:rsidRPr="004C17AF">
        <w:rPr>
          <w:rFonts w:ascii="Calibri" w:eastAsia="Calibri" w:hAnsi="Calibri" w:cs="Calibri"/>
        </w:rPr>
        <w:t>2.2.</w:t>
      </w:r>
      <w:r w:rsidR="00F244D6">
        <w:rPr>
          <w:rFonts w:ascii="Calibri" w:eastAsia="Calibri" w:hAnsi="Calibri" w:cs="Calibri"/>
        </w:rPr>
        <w:t>2</w:t>
      </w:r>
      <w:r w:rsidR="00F244D6">
        <w:rPr>
          <w:rFonts w:ascii="Calibri" w:eastAsia="Calibri" w:hAnsi="Calibri" w:cs="Calibri"/>
        </w:rPr>
        <w:tab/>
      </w:r>
      <w:r w:rsidR="0004036C">
        <w:rPr>
          <w:rFonts w:ascii="Calibri" w:eastAsia="Calibri" w:hAnsi="Calibri" w:cs="Calibri"/>
        </w:rPr>
        <w:t>[</w:t>
      </w:r>
      <w:r w:rsidRPr="004C17AF">
        <w:rPr>
          <w:rFonts w:ascii="Calibri" w:eastAsia="Calibri" w:hAnsi="Calibri" w:cs="Calibri"/>
        </w:rPr>
        <w:t xml:space="preserve">The Local Body has set out [in the Data Room] information on key areas where there is strong evidence of opportunity and need to encourage greater levels of home working and support for micro businesses and self-employed people. The Local Body has not mandated these areas to receive </w:t>
      </w:r>
      <w:r w:rsidR="00803075">
        <w:rPr>
          <w:rFonts w:ascii="Calibri" w:eastAsia="Calibri" w:hAnsi="Calibri" w:cs="Calibri"/>
        </w:rPr>
        <w:t>gigabit</w:t>
      </w:r>
      <w:r w:rsidRPr="004C17AF">
        <w:rPr>
          <w:rFonts w:ascii="Calibri" w:eastAsia="Calibri" w:hAnsi="Calibri" w:cs="Calibri"/>
        </w:rPr>
        <w:t xml:space="preserve"> services but encourages </w:t>
      </w:r>
      <w:r w:rsidR="00BC52BA">
        <w:rPr>
          <w:rFonts w:ascii="Calibri" w:eastAsia="Calibri" w:hAnsi="Calibri" w:cs="Calibri"/>
        </w:rPr>
        <w:t>B</w:t>
      </w:r>
      <w:r w:rsidRPr="004C17AF">
        <w:rPr>
          <w:rFonts w:ascii="Calibri" w:eastAsia="Calibri" w:hAnsi="Calibri" w:cs="Calibri"/>
        </w:rPr>
        <w:t xml:space="preserve">idders to show how they have considered this information and how they have applied it to respond to the overall requirements to deliver </w:t>
      </w:r>
      <w:r w:rsidR="00803075">
        <w:rPr>
          <w:rFonts w:ascii="Calibri" w:eastAsia="Calibri" w:hAnsi="Calibri" w:cs="Calibri"/>
        </w:rPr>
        <w:t>gigabit</w:t>
      </w:r>
      <w:r w:rsidRPr="004C17AF">
        <w:rPr>
          <w:rFonts w:ascii="Calibri" w:eastAsia="Calibri" w:hAnsi="Calibri" w:cs="Calibri"/>
        </w:rPr>
        <w:t xml:space="preserve"> coverage.]</w:t>
      </w:r>
    </w:p>
    <w:p w14:paraId="7B4BEF59" w14:textId="25C7D46A" w:rsidR="00803075" w:rsidRPr="004C17AF" w:rsidRDefault="00803075" w:rsidP="00803075">
      <w:pPr>
        <w:spacing w:after="240" w:line="240" w:lineRule="auto"/>
        <w:ind w:left="825" w:hanging="705"/>
        <w:rPr>
          <w:rFonts w:ascii="Calibri" w:eastAsia="Calibri" w:hAnsi="Calibri" w:cs="Calibri"/>
        </w:rPr>
      </w:pPr>
      <w:r>
        <w:rPr>
          <w:rFonts w:ascii="Calibri" w:eastAsia="Calibri" w:hAnsi="Calibri" w:cs="Calibri"/>
        </w:rPr>
        <w:t>2.2.3</w:t>
      </w:r>
      <w:r>
        <w:rPr>
          <w:rFonts w:ascii="Calibri" w:eastAsia="Calibri" w:hAnsi="Calibri" w:cs="Calibri"/>
        </w:rPr>
        <w:tab/>
      </w:r>
      <w:r>
        <w:rPr>
          <w:rFonts w:ascii="Calibri" w:hAnsi="Calibri" w:cs="Calibri"/>
        </w:rPr>
        <w:t>[In the event that it is not economically viable to provide a solution that delivers coverage and capability  at the requested 1000Mbps, then suppliers can propose a solution at lower speeds,</w:t>
      </w:r>
      <w:r w:rsidR="0004036C">
        <w:rPr>
          <w:rFonts w:ascii="Calibri" w:hAnsi="Calibri" w:cs="Calibri"/>
        </w:rPr>
        <w:t xml:space="preserve"> </w:t>
      </w:r>
      <w:r>
        <w:rPr>
          <w:rFonts w:ascii="Calibri" w:hAnsi="Calibri" w:cs="Calibri"/>
        </w:rPr>
        <w:t>provided that such a solution meets the requirements of a NGA Qualifying technology for State aid purposes. Please note that the Local Body requires that in the event that a lower speed solution is bid that such a solution provides for the highest speeds possible and that the upgrade path to gigabit capability is evidenced in the completed bid response (as a minimum Bidder Response Document, Supplier Solution and Bid Project Model). Bidders should note that the scoring of the bids provides for a higher weighting set out in Appendix 1 Award Criteria Weighting, 2.2 Solution Design Quality, of this document.]</w:t>
      </w:r>
    </w:p>
    <w:p w14:paraId="2C31E4CA" w14:textId="77777777" w:rsidR="00656438" w:rsidRDefault="00A26303">
      <w:pPr>
        <w:ind w:left="840"/>
      </w:pPr>
      <w:r>
        <w:rPr>
          <w:rFonts w:ascii="Calibri" w:eastAsia="Calibri" w:hAnsi="Calibri" w:cs="Calibri"/>
          <w:highlight w:val="yellow"/>
        </w:rPr>
        <w:t>[INSERT MAP IF APPLICABLE]</w:t>
      </w:r>
    </w:p>
    <w:p w14:paraId="1122E883" w14:textId="77777777" w:rsidR="00656438" w:rsidRDefault="00A26303">
      <w:pPr>
        <w:pStyle w:val="Heading3"/>
        <w:ind w:left="120" w:firstLine="0"/>
        <w:jc w:val="left"/>
      </w:pPr>
      <w:bookmarkStart w:id="15" w:name="h.a0964fw52c9a" w:colFirst="0" w:colLast="0"/>
      <w:bookmarkEnd w:id="15"/>
      <w:r>
        <w:rPr>
          <w:b/>
          <w:color w:val="1F497D"/>
        </w:rPr>
        <w:t>[Additional Priorities</w:t>
      </w:r>
      <w:r w:rsidRPr="00B74780">
        <w:rPr>
          <w:b/>
          <w:color w:val="1F497D"/>
          <w:sz w:val="26"/>
          <w:szCs w:val="26"/>
          <w:vertAlign w:val="superscript"/>
        </w:rPr>
        <w:footnoteReference w:id="13"/>
      </w:r>
    </w:p>
    <w:p w14:paraId="033E95E0" w14:textId="67B87F97" w:rsidR="00656438" w:rsidRDefault="00F244D6">
      <w:pPr>
        <w:spacing w:after="240" w:line="240" w:lineRule="auto"/>
        <w:ind w:left="825" w:hanging="705"/>
      </w:pPr>
      <w:r>
        <w:rPr>
          <w:rFonts w:ascii="Calibri" w:eastAsia="Calibri" w:hAnsi="Calibri" w:cs="Calibri"/>
        </w:rPr>
        <w:t>2.2.</w:t>
      </w:r>
      <w:r w:rsidR="00803075">
        <w:rPr>
          <w:rFonts w:ascii="Calibri" w:eastAsia="Calibri" w:hAnsi="Calibri" w:cs="Calibri"/>
        </w:rPr>
        <w:t>4</w:t>
      </w:r>
      <w:r w:rsidR="00A26303">
        <w:rPr>
          <w:rFonts w:ascii="Calibri" w:eastAsia="Calibri" w:hAnsi="Calibri" w:cs="Calibri"/>
        </w:rPr>
        <w:t xml:space="preserve"> </w:t>
      </w:r>
      <w:r w:rsidR="00A26303">
        <w:rPr>
          <w:rFonts w:ascii="Calibri" w:eastAsia="Calibri" w:hAnsi="Calibri" w:cs="Calibri"/>
        </w:rPr>
        <w:tab/>
        <w:t xml:space="preserve">[The </w:t>
      </w:r>
      <w:r w:rsidR="008803B7">
        <w:rPr>
          <w:rFonts w:ascii="Calibri" w:eastAsia="Calibri" w:hAnsi="Calibri" w:cs="Calibri"/>
        </w:rPr>
        <w:t xml:space="preserve">Bidder's </w:t>
      </w:r>
      <w:r w:rsidR="00A26303">
        <w:rPr>
          <w:rFonts w:ascii="Calibri" w:eastAsia="Calibri" w:hAnsi="Calibri" w:cs="Calibri"/>
        </w:rPr>
        <w:t>solution must be designed so as to target as many [business] premises as possible identified in the Speed and Coverage Template by the end</w:t>
      </w:r>
      <w:r w:rsidR="00A719A0">
        <w:rPr>
          <w:rFonts w:ascii="Calibri" w:eastAsia="Calibri" w:hAnsi="Calibri" w:cs="Calibri"/>
        </w:rPr>
        <w:t xml:space="preserve"> of [Insert date].</w:t>
      </w:r>
      <w:r w:rsidR="00A26303">
        <w:rPr>
          <w:rFonts w:ascii="Calibri" w:eastAsia="Calibri" w:hAnsi="Calibri" w:cs="Calibri"/>
        </w:rPr>
        <w:t>]</w:t>
      </w:r>
    </w:p>
    <w:p w14:paraId="13087344" w14:textId="77777777" w:rsidR="00656438" w:rsidRDefault="00A26303">
      <w:pPr>
        <w:pStyle w:val="Heading3"/>
        <w:ind w:left="825" w:hanging="705"/>
        <w:jc w:val="left"/>
      </w:pPr>
      <w:bookmarkStart w:id="16" w:name="h.bm1wdjaa5vsr" w:colFirst="0" w:colLast="0"/>
      <w:bookmarkEnd w:id="16"/>
      <w:r>
        <w:rPr>
          <w:b/>
          <w:color w:val="1F497D"/>
        </w:rPr>
        <w:lastRenderedPageBreak/>
        <w:t>Project integration and Coordination with other Broadband Projects</w:t>
      </w:r>
    </w:p>
    <w:p w14:paraId="463AB6B8" w14:textId="11DE2BB6" w:rsidR="00656438" w:rsidRPr="00A719A0" w:rsidRDefault="00F244D6">
      <w:pPr>
        <w:spacing w:after="240" w:line="240" w:lineRule="auto"/>
        <w:ind w:left="825" w:hanging="705"/>
        <w:rPr>
          <w:rFonts w:ascii="Calibri" w:eastAsia="Calibri" w:hAnsi="Calibri" w:cs="Calibri"/>
        </w:rPr>
      </w:pPr>
      <w:r>
        <w:rPr>
          <w:rFonts w:ascii="Calibri" w:eastAsia="Calibri" w:hAnsi="Calibri" w:cs="Calibri"/>
        </w:rPr>
        <w:t>2.2.</w:t>
      </w:r>
      <w:r w:rsidR="00803075">
        <w:rPr>
          <w:rFonts w:ascii="Calibri" w:eastAsia="Calibri" w:hAnsi="Calibri" w:cs="Calibri"/>
        </w:rPr>
        <w:t>5</w:t>
      </w:r>
      <w:r w:rsidR="00A26303">
        <w:rPr>
          <w:rFonts w:ascii="Calibri" w:eastAsia="Calibri" w:hAnsi="Calibri" w:cs="Calibri"/>
        </w:rPr>
        <w:t xml:space="preserve"> </w:t>
      </w:r>
      <w:r w:rsidR="00A26303">
        <w:rPr>
          <w:rFonts w:ascii="Calibri" w:eastAsia="Calibri" w:hAnsi="Calibri" w:cs="Calibri"/>
        </w:rPr>
        <w:tab/>
      </w:r>
      <w:r w:rsidR="00A26303" w:rsidRPr="00A719A0">
        <w:rPr>
          <w:rFonts w:ascii="Calibri" w:eastAsia="Calibri" w:hAnsi="Calibri" w:cs="Calibri"/>
        </w:rPr>
        <w:t xml:space="preserve">The </w:t>
      </w:r>
      <w:r w:rsidR="008803B7">
        <w:rPr>
          <w:rFonts w:ascii="Calibri" w:eastAsia="Calibri" w:hAnsi="Calibri" w:cs="Calibri"/>
        </w:rPr>
        <w:t>Bidder s</w:t>
      </w:r>
      <w:r w:rsidR="00A26303" w:rsidRPr="00A719A0">
        <w:rPr>
          <w:rFonts w:ascii="Calibri" w:eastAsia="Calibri" w:hAnsi="Calibri" w:cs="Calibri"/>
        </w:rPr>
        <w:t>olution should be coordinated as far as possible with other activities, utilities works and other broadband projects impacted by the Contract and will be required to meet the requirements of paragraph 3.4 of Schedule 2 of the Contract.</w:t>
      </w:r>
    </w:p>
    <w:p w14:paraId="55809878" w14:textId="44112630" w:rsidR="00656438" w:rsidRDefault="00F244D6">
      <w:pPr>
        <w:spacing w:after="240" w:line="240" w:lineRule="auto"/>
        <w:ind w:left="825" w:hanging="705"/>
        <w:rPr>
          <w:rFonts w:ascii="Calibri" w:eastAsia="Calibri" w:hAnsi="Calibri" w:cs="Calibri"/>
        </w:rPr>
      </w:pPr>
      <w:r>
        <w:rPr>
          <w:rFonts w:ascii="Calibri" w:eastAsia="Calibri" w:hAnsi="Calibri" w:cs="Calibri"/>
        </w:rPr>
        <w:t>2.2.</w:t>
      </w:r>
      <w:r w:rsidR="00803075">
        <w:rPr>
          <w:rFonts w:ascii="Calibri" w:eastAsia="Calibri" w:hAnsi="Calibri" w:cs="Calibri"/>
        </w:rPr>
        <w:t>6</w:t>
      </w:r>
      <w:r w:rsidR="00A26303">
        <w:rPr>
          <w:rFonts w:ascii="Calibri" w:eastAsia="Calibri" w:hAnsi="Calibri" w:cs="Calibri"/>
        </w:rPr>
        <w:t xml:space="preserve"> </w:t>
      </w:r>
      <w:r w:rsidR="00A26303">
        <w:rPr>
          <w:rFonts w:ascii="Calibri" w:eastAsia="Calibri" w:hAnsi="Calibri" w:cs="Calibri"/>
        </w:rPr>
        <w:tab/>
        <w:t>Bidders should work with the Local Body and take account of the fo</w:t>
      </w:r>
      <w:r w:rsidR="00B74780">
        <w:rPr>
          <w:rFonts w:ascii="Calibri" w:eastAsia="Calibri" w:hAnsi="Calibri" w:cs="Calibri"/>
        </w:rPr>
        <w:t>llowing other initiatives being</w:t>
      </w:r>
      <w:r w:rsidR="00A26303">
        <w:rPr>
          <w:rFonts w:ascii="Calibri" w:eastAsia="Calibri" w:hAnsi="Calibri" w:cs="Calibri"/>
        </w:rPr>
        <w:t xml:space="preserve"> progressed within or</w:t>
      </w:r>
      <w:r w:rsidR="00A719A0">
        <w:rPr>
          <w:rFonts w:ascii="Calibri" w:eastAsia="Calibri" w:hAnsi="Calibri" w:cs="Calibri"/>
        </w:rPr>
        <w:t xml:space="preserve"> adjacent to the project area:</w:t>
      </w:r>
    </w:p>
    <w:p w14:paraId="7D6A588D" w14:textId="7D198B2C" w:rsidR="00A719A0" w:rsidRDefault="00A719A0" w:rsidP="00A719A0">
      <w:pPr>
        <w:spacing w:after="240" w:line="240" w:lineRule="auto"/>
        <w:ind w:left="851"/>
      </w:pPr>
      <w:r w:rsidRPr="00A719A0">
        <w:rPr>
          <w:rFonts w:ascii="Calibri" w:eastAsia="Calibri" w:hAnsi="Calibri" w:cs="Calibri"/>
        </w:rPr>
        <w:t>[</w:t>
      </w:r>
      <w:r>
        <w:rPr>
          <w:rFonts w:ascii="Calibri" w:eastAsia="Calibri" w:hAnsi="Calibri" w:cs="Calibri"/>
        </w:rPr>
        <w:t>I</w:t>
      </w:r>
      <w:r w:rsidRPr="00A719A0">
        <w:rPr>
          <w:rFonts w:ascii="Calibri" w:eastAsia="Calibri" w:hAnsi="Calibri" w:cs="Calibri"/>
        </w:rPr>
        <w:t>nsert details of other broadband projects or other utility projects that may impact upon or require to be coordinate</w:t>
      </w:r>
      <w:r>
        <w:rPr>
          <w:rFonts w:ascii="Calibri" w:eastAsia="Calibri" w:hAnsi="Calibri" w:cs="Calibri"/>
        </w:rPr>
        <w:t>d</w:t>
      </w:r>
      <w:r w:rsidRPr="00A719A0">
        <w:rPr>
          <w:rFonts w:ascii="Calibri" w:eastAsia="Calibri" w:hAnsi="Calibri" w:cs="Calibri"/>
        </w:rPr>
        <w:t xml:space="preserve"> with the </w:t>
      </w:r>
      <w:r>
        <w:rPr>
          <w:rFonts w:ascii="Calibri" w:eastAsia="Calibri" w:hAnsi="Calibri" w:cs="Calibri"/>
        </w:rPr>
        <w:t>C</w:t>
      </w:r>
      <w:r w:rsidRPr="00A719A0">
        <w:rPr>
          <w:rFonts w:ascii="Calibri" w:eastAsia="Calibri" w:hAnsi="Calibri" w:cs="Calibri"/>
        </w:rPr>
        <w:t>ontract</w:t>
      </w:r>
      <w:r>
        <w:rPr>
          <w:rFonts w:ascii="Calibri" w:eastAsia="Calibri" w:hAnsi="Calibri" w:cs="Calibri"/>
        </w:rPr>
        <w:t>.</w:t>
      </w:r>
      <w:r w:rsidRPr="00A719A0">
        <w:rPr>
          <w:rFonts w:ascii="Calibri" w:eastAsia="Calibri" w:hAnsi="Calibri" w:cs="Calibri"/>
        </w:rPr>
        <w:t>]</w:t>
      </w:r>
      <w:r w:rsidRPr="00A719A0">
        <w:tab/>
      </w:r>
    </w:p>
    <w:p w14:paraId="0451BF2A" w14:textId="555882C2" w:rsidR="00656438" w:rsidRDefault="00A26303">
      <w:pPr>
        <w:spacing w:after="240" w:line="240" w:lineRule="auto"/>
        <w:ind w:left="825" w:hanging="705"/>
      </w:pPr>
      <w:r>
        <w:rPr>
          <w:rFonts w:ascii="Calibri" w:eastAsia="Calibri" w:hAnsi="Calibri" w:cs="Calibri"/>
        </w:rPr>
        <w:t>2.2.</w:t>
      </w:r>
      <w:r w:rsidR="00803075">
        <w:rPr>
          <w:rFonts w:ascii="Calibri" w:eastAsia="Calibri" w:hAnsi="Calibri" w:cs="Calibri"/>
        </w:rPr>
        <w:t>7</w:t>
      </w:r>
      <w:r>
        <w:rPr>
          <w:rFonts w:ascii="Calibri" w:eastAsia="Calibri" w:hAnsi="Calibri" w:cs="Calibri"/>
        </w:rPr>
        <w:tab/>
        <w:t>Further detail and informatio</w:t>
      </w:r>
      <w:r w:rsidR="00B74780">
        <w:rPr>
          <w:rFonts w:ascii="Calibri" w:eastAsia="Calibri" w:hAnsi="Calibri" w:cs="Calibri"/>
        </w:rPr>
        <w:t>n is provided in the Data Room.</w:t>
      </w:r>
    </w:p>
    <w:p w14:paraId="4F1F4E54" w14:textId="77777777" w:rsidR="00656438" w:rsidRDefault="00A26303">
      <w:pPr>
        <w:pStyle w:val="Heading3"/>
        <w:ind w:left="825" w:hanging="705"/>
        <w:jc w:val="left"/>
      </w:pPr>
      <w:bookmarkStart w:id="17" w:name="h.k94fttkb9l2g" w:colFirst="0" w:colLast="0"/>
      <w:bookmarkEnd w:id="17"/>
      <w:r>
        <w:rPr>
          <w:b/>
          <w:color w:val="1F497D"/>
        </w:rPr>
        <w:t>Local Body and Other Reusable Assets</w:t>
      </w:r>
      <w:r>
        <w:rPr>
          <w:sz w:val="32"/>
          <w:szCs w:val="32"/>
          <w:vertAlign w:val="superscript"/>
        </w:rPr>
        <w:footnoteReference w:id="14"/>
      </w:r>
    </w:p>
    <w:p w14:paraId="7F0CBC76" w14:textId="5EA200A1" w:rsidR="00656438" w:rsidRDefault="00F244D6">
      <w:pPr>
        <w:pStyle w:val="Heading3"/>
        <w:ind w:left="825" w:hanging="705"/>
      </w:pPr>
      <w:bookmarkStart w:id="18" w:name="h.1tg83yr031i9" w:colFirst="0" w:colLast="0"/>
      <w:bookmarkEnd w:id="18"/>
      <w:r>
        <w:t>2.2.</w:t>
      </w:r>
      <w:r w:rsidR="00803075">
        <w:t>8</w:t>
      </w:r>
      <w:r w:rsidR="00A26303">
        <w:t xml:space="preserve"> </w:t>
      </w:r>
      <w:r w:rsidR="00A26303">
        <w:tab/>
        <w:t>The Solution should seek to utilise existing infrastructure and facilities</w:t>
      </w:r>
      <w:r w:rsidR="00B74780">
        <w:t>,</w:t>
      </w:r>
      <w:r w:rsidR="00A26303">
        <w:t xml:space="preserve"> where possible</w:t>
      </w:r>
      <w:r w:rsidR="00B74780">
        <w:t>.</w:t>
      </w:r>
      <w:r w:rsidR="00A26303">
        <w:t xml:space="preserve"> </w:t>
      </w:r>
      <w:r w:rsidR="00B74780">
        <w:t>T</w:t>
      </w:r>
      <w:r w:rsidR="00A26303">
        <w:t>his can be achieved through:</w:t>
      </w:r>
    </w:p>
    <w:p w14:paraId="26A6F3CE" w14:textId="4A4E61EF" w:rsidR="00656438" w:rsidRDefault="00F244D6">
      <w:pPr>
        <w:ind w:left="840"/>
      </w:pPr>
      <w:r>
        <w:rPr>
          <w:rFonts w:ascii="Calibri" w:eastAsia="Calibri" w:hAnsi="Calibri" w:cs="Calibri"/>
        </w:rPr>
        <w:t>2.2</w:t>
      </w:r>
      <w:r w:rsidR="00803075">
        <w:rPr>
          <w:rFonts w:ascii="Calibri" w:eastAsia="Calibri" w:hAnsi="Calibri" w:cs="Calibri"/>
        </w:rPr>
        <w:t>8</w:t>
      </w:r>
      <w:r w:rsidR="00A26303">
        <w:rPr>
          <w:rFonts w:ascii="Calibri" w:eastAsia="Calibri" w:hAnsi="Calibri" w:cs="Calibri"/>
        </w:rPr>
        <w:t>.1</w:t>
      </w:r>
      <w:r w:rsidR="00A26303">
        <w:rPr>
          <w:rFonts w:ascii="Calibri" w:eastAsia="Calibri" w:hAnsi="Calibri" w:cs="Calibri"/>
        </w:rPr>
        <w:tab/>
        <w:t>Use of own infrastructure.</w:t>
      </w:r>
    </w:p>
    <w:p w14:paraId="6DE3DFE7" w14:textId="7236D9E4" w:rsidR="00656438" w:rsidRDefault="00F244D6">
      <w:pPr>
        <w:ind w:left="840"/>
      </w:pPr>
      <w:r>
        <w:rPr>
          <w:rFonts w:ascii="Calibri" w:eastAsia="Calibri" w:hAnsi="Calibri" w:cs="Calibri"/>
        </w:rPr>
        <w:t>2.2.</w:t>
      </w:r>
      <w:r w:rsidR="00803075">
        <w:rPr>
          <w:rFonts w:ascii="Calibri" w:eastAsia="Calibri" w:hAnsi="Calibri" w:cs="Calibri"/>
        </w:rPr>
        <w:t>8</w:t>
      </w:r>
      <w:r w:rsidR="00A26303">
        <w:rPr>
          <w:rFonts w:ascii="Calibri" w:eastAsia="Calibri" w:hAnsi="Calibri" w:cs="Calibri"/>
        </w:rPr>
        <w:t>.2</w:t>
      </w:r>
      <w:r w:rsidR="00A26303">
        <w:rPr>
          <w:rFonts w:ascii="Calibri" w:eastAsia="Calibri" w:hAnsi="Calibri" w:cs="Calibri"/>
        </w:rPr>
        <w:tab/>
        <w:t>Use of another supplier’s infrastructure</w:t>
      </w:r>
    </w:p>
    <w:p w14:paraId="5A11985A" w14:textId="5DAC17F9" w:rsidR="00656438" w:rsidRDefault="00F244D6">
      <w:pPr>
        <w:ind w:left="840"/>
      </w:pPr>
      <w:r>
        <w:rPr>
          <w:rFonts w:ascii="Calibri" w:eastAsia="Calibri" w:hAnsi="Calibri" w:cs="Calibri"/>
        </w:rPr>
        <w:t>2.2.</w:t>
      </w:r>
      <w:r w:rsidR="00803075">
        <w:rPr>
          <w:rFonts w:ascii="Calibri" w:eastAsia="Calibri" w:hAnsi="Calibri" w:cs="Calibri"/>
        </w:rPr>
        <w:t>8</w:t>
      </w:r>
      <w:r w:rsidR="00A26303">
        <w:rPr>
          <w:rFonts w:ascii="Calibri" w:eastAsia="Calibri" w:hAnsi="Calibri" w:cs="Calibri"/>
        </w:rPr>
        <w:t>.3</w:t>
      </w:r>
      <w:r w:rsidR="00A26303">
        <w:rPr>
          <w:rFonts w:ascii="Calibri" w:eastAsia="Calibri" w:hAnsi="Calibri" w:cs="Calibri"/>
        </w:rPr>
        <w:tab/>
        <w:t>Use of other utilities infrastructure</w:t>
      </w:r>
    </w:p>
    <w:p w14:paraId="700EA336" w14:textId="52897423" w:rsidR="00656438" w:rsidRDefault="00F244D6">
      <w:pPr>
        <w:ind w:left="840"/>
      </w:pPr>
      <w:r>
        <w:rPr>
          <w:rFonts w:ascii="Calibri" w:eastAsia="Calibri" w:hAnsi="Calibri" w:cs="Calibri"/>
        </w:rPr>
        <w:t>[2.2.</w:t>
      </w:r>
      <w:r w:rsidR="00803075">
        <w:rPr>
          <w:rFonts w:ascii="Calibri" w:eastAsia="Calibri" w:hAnsi="Calibri" w:cs="Calibri"/>
        </w:rPr>
        <w:t>8</w:t>
      </w:r>
      <w:r w:rsidR="00A26303">
        <w:rPr>
          <w:rFonts w:ascii="Calibri" w:eastAsia="Calibri" w:hAnsi="Calibri" w:cs="Calibri"/>
        </w:rPr>
        <w:t>.4</w:t>
      </w:r>
      <w:r w:rsidR="00A26303">
        <w:rPr>
          <w:rFonts w:ascii="Calibri" w:eastAsia="Calibri" w:hAnsi="Calibri" w:cs="Calibri"/>
        </w:rPr>
        <w:tab/>
        <w:t>Use of Local Body’s infrastructure]</w:t>
      </w:r>
    </w:p>
    <w:p w14:paraId="5B6ED716" w14:textId="27984720" w:rsidR="00656438" w:rsidRDefault="00F244D6" w:rsidP="009C5714">
      <w:pPr>
        <w:spacing w:line="264" w:lineRule="auto"/>
        <w:ind w:left="825" w:hanging="705"/>
        <w:rPr>
          <w:rFonts w:ascii="Calibri" w:eastAsia="Calibri" w:hAnsi="Calibri" w:cs="Calibri"/>
        </w:rPr>
      </w:pPr>
      <w:r>
        <w:rPr>
          <w:rFonts w:ascii="Calibri" w:eastAsia="Calibri" w:hAnsi="Calibri" w:cs="Calibri"/>
        </w:rPr>
        <w:t>2.2.</w:t>
      </w:r>
      <w:r w:rsidR="00803075">
        <w:rPr>
          <w:rFonts w:ascii="Calibri" w:eastAsia="Calibri" w:hAnsi="Calibri" w:cs="Calibri"/>
        </w:rPr>
        <w:t>9</w:t>
      </w:r>
      <w:r w:rsidR="00A26303">
        <w:rPr>
          <w:rFonts w:ascii="Calibri" w:eastAsia="Calibri" w:hAnsi="Calibri" w:cs="Calibri"/>
        </w:rPr>
        <w:t xml:space="preserve"> </w:t>
      </w:r>
      <w:r w:rsidR="0037057A">
        <w:rPr>
          <w:rFonts w:ascii="Calibri" w:eastAsia="Calibri" w:hAnsi="Calibri" w:cs="Calibri"/>
        </w:rPr>
        <w:tab/>
      </w:r>
      <w:r w:rsidR="00A26303">
        <w:rPr>
          <w:rFonts w:ascii="Calibri" w:eastAsia="Calibri" w:hAnsi="Calibri" w:cs="Calibri"/>
        </w:rPr>
        <w:t xml:space="preserve">[The Local Body has no assets available for use. The Bidder’s re-use of other assets, in line with the provisions of the National Broadband Scheme 2016 and the Code of Conduct </w:t>
      </w:r>
      <w:r w:rsidR="00B74780">
        <w:rPr>
          <w:rFonts w:ascii="Calibri" w:eastAsia="Calibri" w:hAnsi="Calibri" w:cs="Calibri"/>
        </w:rPr>
        <w:t xml:space="preserve">(see </w:t>
      </w:r>
      <w:r w:rsidR="00A26303">
        <w:rPr>
          <w:rFonts w:ascii="Calibri" w:eastAsia="Calibri" w:hAnsi="Calibri" w:cs="Calibri"/>
        </w:rPr>
        <w:t>Part 1 Appendix 4</w:t>
      </w:r>
      <w:r w:rsidR="00A409B6">
        <w:rPr>
          <w:rFonts w:ascii="Calibri" w:eastAsia="Calibri" w:hAnsi="Calibri" w:cs="Calibri"/>
        </w:rPr>
        <w:t xml:space="preserve"> -</w:t>
      </w:r>
      <w:r w:rsidR="00A26303">
        <w:rPr>
          <w:rFonts w:ascii="Calibri" w:eastAsia="Calibri" w:hAnsi="Calibri" w:cs="Calibri"/>
        </w:rPr>
        <w:t xml:space="preserve"> as subscribed to by </w:t>
      </w:r>
      <w:r w:rsidR="00B74780">
        <w:rPr>
          <w:rFonts w:ascii="Calibri" w:eastAsia="Calibri" w:hAnsi="Calibri" w:cs="Calibri"/>
        </w:rPr>
        <w:t>B</w:t>
      </w:r>
      <w:r w:rsidR="00A26303">
        <w:rPr>
          <w:rFonts w:ascii="Calibri" w:eastAsia="Calibri" w:hAnsi="Calibri" w:cs="Calibri"/>
        </w:rPr>
        <w:t>idders</w:t>
      </w:r>
      <w:r w:rsidR="00A409B6">
        <w:rPr>
          <w:rFonts w:ascii="Calibri" w:eastAsia="Calibri" w:hAnsi="Calibri" w:cs="Calibri"/>
        </w:rPr>
        <w:t>)</w:t>
      </w:r>
      <w:r w:rsidR="00A26303">
        <w:rPr>
          <w:rFonts w:ascii="Calibri" w:eastAsia="Calibri" w:hAnsi="Calibri" w:cs="Calibri"/>
        </w:rPr>
        <w:t>, will be assessed in the context of statements by the Bidder of the commercial viability of such assets.</w:t>
      </w:r>
      <w:r w:rsidR="009C5714">
        <w:rPr>
          <w:rFonts w:ascii="Calibri" w:eastAsia="Calibri" w:hAnsi="Calibri" w:cs="Calibri"/>
        </w:rPr>
        <w:t>]</w:t>
      </w:r>
    </w:p>
    <w:p w14:paraId="463E41E1" w14:textId="77777777" w:rsidR="00656438" w:rsidRDefault="00A26303">
      <w:pPr>
        <w:pStyle w:val="Heading1"/>
        <w:tabs>
          <w:tab w:val="left" w:pos="567"/>
        </w:tabs>
        <w:spacing w:before="360"/>
        <w:ind w:left="540" w:hanging="570"/>
        <w:jc w:val="both"/>
      </w:pPr>
      <w:bookmarkStart w:id="19" w:name="h.6gmqhggzwl0b" w:colFirst="0" w:colLast="0"/>
      <w:bookmarkEnd w:id="19"/>
      <w:r>
        <w:rPr>
          <w:sz w:val="22"/>
          <w:szCs w:val="22"/>
        </w:rPr>
        <w:lastRenderedPageBreak/>
        <w:t>Specific Community Projects</w:t>
      </w:r>
    </w:p>
    <w:p w14:paraId="5D723B3D" w14:textId="040BB8BA" w:rsidR="00656438" w:rsidRDefault="00F244D6">
      <w:pPr>
        <w:pStyle w:val="Heading3"/>
        <w:ind w:left="825" w:hanging="705"/>
      </w:pPr>
      <w:bookmarkStart w:id="20" w:name="h.xux1n3b9pjkp" w:colFirst="0" w:colLast="0"/>
      <w:bookmarkEnd w:id="20"/>
      <w:r>
        <w:t>2.2.</w:t>
      </w:r>
      <w:r w:rsidR="00803075">
        <w:t>10</w:t>
      </w:r>
      <w:r w:rsidR="00A26303">
        <w:t xml:space="preserve"> </w:t>
      </w:r>
      <w:r w:rsidR="0037057A">
        <w:tab/>
      </w:r>
      <w:r w:rsidR="00A26303">
        <w:t>During the term of</w:t>
      </w:r>
      <w:r w:rsidR="000433AA">
        <w:t xml:space="preserve"> the Contract, the Solution must</w:t>
      </w:r>
      <w:r w:rsidR="00A26303">
        <w:t xml:space="preserve"> enable the provision of local community projects in accordance with the Contract.  </w:t>
      </w:r>
      <w:r w:rsidR="00F115E1">
        <w:t xml:space="preserve"> </w:t>
      </w:r>
      <w:r w:rsidR="0037057A">
        <w:tab/>
      </w:r>
    </w:p>
    <w:p w14:paraId="02577F96" w14:textId="5C544CD7" w:rsidR="00656438" w:rsidRDefault="00F244D6">
      <w:pPr>
        <w:pStyle w:val="Heading3"/>
        <w:ind w:left="825" w:hanging="705"/>
      </w:pPr>
      <w:bookmarkStart w:id="21" w:name="h.emwvmjbc7lal" w:colFirst="0" w:colLast="0"/>
      <w:bookmarkEnd w:id="21"/>
      <w:r>
        <w:t>2.2.1</w:t>
      </w:r>
      <w:r w:rsidR="00803075">
        <w:t>1</w:t>
      </w:r>
      <w:r w:rsidR="00A26303">
        <w:t xml:space="preserve"> [There are no local community projects currently identified which are required to be reflected in the Solution proposed by the Bidder.  Local community projects may be incorporated using the change control procedure as and when the requirement arises.]</w:t>
      </w:r>
      <w:r w:rsidR="00A26303">
        <w:rPr>
          <w:vertAlign w:val="superscript"/>
        </w:rPr>
        <w:footnoteReference w:id="15"/>
      </w:r>
      <w:r w:rsidR="00A26303">
        <w:t xml:space="preserve"> </w:t>
      </w:r>
    </w:p>
    <w:p w14:paraId="71C64A99" w14:textId="77777777" w:rsidR="00656438" w:rsidRDefault="00656438">
      <w:pPr>
        <w:ind w:left="840"/>
      </w:pPr>
    </w:p>
    <w:p w14:paraId="5F28B6C2" w14:textId="77777777" w:rsidR="00656438" w:rsidRDefault="00A26303">
      <w:pPr>
        <w:pStyle w:val="Heading1"/>
        <w:tabs>
          <w:tab w:val="left" w:pos="567"/>
        </w:tabs>
        <w:spacing w:before="360"/>
        <w:ind w:left="720" w:hanging="600"/>
      </w:pPr>
      <w:bookmarkStart w:id="22" w:name="h.1ci93xb" w:colFirst="0" w:colLast="0"/>
      <w:bookmarkEnd w:id="22"/>
      <w:r>
        <w:rPr>
          <w:sz w:val="26"/>
          <w:szCs w:val="26"/>
        </w:rPr>
        <w:lastRenderedPageBreak/>
        <w:t>2.3       Funding Requirements</w:t>
      </w:r>
      <w:r>
        <w:rPr>
          <w:sz w:val="32"/>
          <w:szCs w:val="32"/>
          <w:vertAlign w:val="superscript"/>
        </w:rPr>
        <w:footnoteReference w:id="16"/>
      </w:r>
    </w:p>
    <w:p w14:paraId="37F825E4" w14:textId="08AD88A7" w:rsidR="00656438" w:rsidRDefault="00A26303">
      <w:pPr>
        <w:pStyle w:val="Heading3"/>
        <w:ind w:left="825" w:hanging="705"/>
      </w:pPr>
      <w:r>
        <w:t xml:space="preserve">2.3.1 </w:t>
      </w:r>
      <w:r>
        <w:tab/>
        <w:t xml:space="preserve">For the purposes of the Contract a total </w:t>
      </w:r>
      <w:r w:rsidR="00323655">
        <w:t xml:space="preserve">potential </w:t>
      </w:r>
      <w:r>
        <w:t xml:space="preserve">public sector subsidy </w:t>
      </w:r>
      <w:r w:rsidRPr="00F244D6">
        <w:t>of £</w:t>
      </w:r>
      <w:r>
        <w:rPr>
          <w:highlight w:val="yellow"/>
        </w:rPr>
        <w:t>[•]</w:t>
      </w:r>
      <w:r>
        <w:t xml:space="preserve">  is available.</w:t>
      </w:r>
    </w:p>
    <w:p w14:paraId="45D26781" w14:textId="77EAED06" w:rsidR="00656438" w:rsidRDefault="00A26303">
      <w:pPr>
        <w:pStyle w:val="Heading3"/>
        <w:ind w:left="825" w:hanging="705"/>
      </w:pPr>
      <w:r>
        <w:t xml:space="preserve">2.3.2 </w:t>
      </w:r>
      <w:r>
        <w:tab/>
      </w:r>
      <w:r w:rsidR="004A2648">
        <w:t>T</w:t>
      </w:r>
      <w:r>
        <w:t xml:space="preserve">he </w:t>
      </w:r>
      <w:r w:rsidR="00323655">
        <w:t xml:space="preserve">current </w:t>
      </w:r>
      <w:r>
        <w:t>confirmed funding figure [which should be modelled is [Insert amount]</w:t>
      </w:r>
      <w:r w:rsidR="004A2648">
        <w:t>, which is allocated</w:t>
      </w:r>
      <w:r>
        <w:t xml:space="preserve"> between Lots as set</w:t>
      </w:r>
      <w:r w:rsidR="00323655">
        <w:t xml:space="preserve"> out in the table set out at 2.3</w:t>
      </w:r>
      <w:r>
        <w:t>.8]</w:t>
      </w:r>
      <w:r w:rsidR="004A2648">
        <w:t>.</w:t>
      </w:r>
      <w:r w:rsidR="00323655">
        <w:t xml:space="preserve"> The difference between the total potential subsidy and the confirmed figure is additional approved funding which may be incorporated into the Contract in accordance with the terms of Schedule 5.4.</w:t>
      </w:r>
    </w:p>
    <w:p w14:paraId="33D9AB3D" w14:textId="52EE0F98" w:rsidR="00656438" w:rsidRDefault="00A26303">
      <w:pPr>
        <w:pStyle w:val="Heading3"/>
        <w:ind w:left="825" w:hanging="705"/>
      </w:pPr>
      <w:r>
        <w:t xml:space="preserve">2.3.3 </w:t>
      </w:r>
      <w:r>
        <w:tab/>
        <w:t xml:space="preserve">This </w:t>
      </w:r>
      <w:r w:rsidR="00B82245">
        <w:t>ITT</w:t>
      </w:r>
      <w:r>
        <w:t xml:space="preserve"> is issued under a gap funding principle.  This means that the public sector subsidy is only available to fund the investment gap between the </w:t>
      </w:r>
      <w:r w:rsidR="008803B7">
        <w:t>Bidder</w:t>
      </w:r>
      <w:r>
        <w:t xml:space="preserve">’s infrastructure deployment cost were this to be a commercially viable area and the </w:t>
      </w:r>
      <w:r w:rsidR="008803B7">
        <w:t>Bidder</w:t>
      </w:r>
      <w:r>
        <w:t xml:space="preserve">’s estimate of the actual cost of this deployment in order to make it commercially viable.  Therefore, the </w:t>
      </w:r>
      <w:r w:rsidR="008803B7">
        <w:t>Bidder</w:t>
      </w:r>
      <w:r>
        <w:t xml:space="preserve"> is expected to provide substantial investment into the broadband netw</w:t>
      </w:r>
      <w:r w:rsidR="00BB5A5D">
        <w:t xml:space="preserve">ork and the </w:t>
      </w:r>
      <w:r w:rsidR="008803B7">
        <w:t>Bidder</w:t>
      </w:r>
      <w:r w:rsidR="00BB5A5D">
        <w:t xml:space="preserve"> must</w:t>
      </w:r>
      <w:r>
        <w:t xml:space="preserve"> declare the investment that the </w:t>
      </w:r>
      <w:r w:rsidR="008803B7">
        <w:t>Bidder</w:t>
      </w:r>
      <w:r>
        <w:t xml:space="preserve"> itself is prepared to make before the subsidy is applied.</w:t>
      </w:r>
    </w:p>
    <w:p w14:paraId="408B01CD" w14:textId="598481C4" w:rsidR="00656438" w:rsidRDefault="00A26303">
      <w:pPr>
        <w:pStyle w:val="Heading3"/>
        <w:ind w:left="825" w:hanging="705"/>
      </w:pPr>
      <w:r>
        <w:t xml:space="preserve">2.3.4 </w:t>
      </w:r>
      <w:r>
        <w:tab/>
        <w:t xml:space="preserve">The resulting infrastructure built as a result of the </w:t>
      </w:r>
      <w:r w:rsidR="008803B7">
        <w:t>Bidder</w:t>
      </w:r>
      <w:r>
        <w:t xml:space="preserve"> investment plus the subsidy, is owned and operated by the </w:t>
      </w:r>
      <w:r w:rsidR="008803B7">
        <w:t>successful Bidder</w:t>
      </w:r>
      <w:r>
        <w:t xml:space="preserve">.  The </w:t>
      </w:r>
      <w:r w:rsidR="008803B7">
        <w:t>Bidder</w:t>
      </w:r>
      <w:r>
        <w:t xml:space="preserve"> will manage the risks associated with developing and operating the broadband network on a wholesale basis, including take-up risks.</w:t>
      </w:r>
    </w:p>
    <w:p w14:paraId="2FD0E99E" w14:textId="1635C1DF" w:rsidR="00656438" w:rsidRDefault="00A26303">
      <w:pPr>
        <w:pStyle w:val="Heading3"/>
        <w:ind w:left="825" w:hanging="705"/>
      </w:pPr>
      <w:r>
        <w:t xml:space="preserve">2.3.5 </w:t>
      </w:r>
      <w:r>
        <w:tab/>
        <w:t xml:space="preserve">The </w:t>
      </w:r>
      <w:r w:rsidR="008803B7">
        <w:t>successful Bidder</w:t>
      </w:r>
      <w:r>
        <w:t xml:space="preserve"> </w:t>
      </w:r>
      <w:r w:rsidR="008803B7">
        <w:t>must contract</w:t>
      </w:r>
      <w:r>
        <w:t xml:space="preserve"> to operate the infrastructure for at least the term of the Contract.  </w:t>
      </w:r>
    </w:p>
    <w:p w14:paraId="7C9F2B8F" w14:textId="2ED4DAF1" w:rsidR="00656438" w:rsidRDefault="00A26303">
      <w:pPr>
        <w:pStyle w:val="Heading3"/>
        <w:ind w:left="825" w:hanging="705"/>
      </w:pPr>
      <w:r>
        <w:t xml:space="preserve">2.3.6 </w:t>
      </w:r>
      <w:r>
        <w:tab/>
        <w:t xml:space="preserve">Costs, revenue and profits associated with the subsequent operation of the infrastructure are the responsibility of the </w:t>
      </w:r>
      <w:r w:rsidR="008803B7">
        <w:t>Bidder</w:t>
      </w:r>
      <w:r>
        <w:t xml:space="preserve">.  However, there are restrictions to ensure the </w:t>
      </w:r>
      <w:r w:rsidR="008803B7">
        <w:t>Bidder</w:t>
      </w:r>
      <w:r>
        <w:t xml:space="preserve"> is not making excess profits as a</w:t>
      </w:r>
      <w:r w:rsidR="00BB5A5D">
        <w:t xml:space="preserve"> result of the public subsidy - s</w:t>
      </w:r>
      <w:r>
        <w:t>ee Schedule 5.1 of the Contract.</w:t>
      </w:r>
    </w:p>
    <w:p w14:paraId="01571300" w14:textId="1F436836" w:rsidR="00656438" w:rsidRDefault="00DA234A">
      <w:pPr>
        <w:pStyle w:val="Heading3"/>
        <w:ind w:left="825" w:hanging="705"/>
        <w:jc w:val="left"/>
      </w:pPr>
      <w:bookmarkStart w:id="23" w:name="h.ufg36bogifmd" w:colFirst="0" w:colLast="0"/>
      <w:bookmarkEnd w:id="23"/>
      <w:r>
        <w:t xml:space="preserve"> </w:t>
      </w:r>
    </w:p>
    <w:p w14:paraId="048098D5" w14:textId="77777777" w:rsidR="00656438" w:rsidRDefault="00A26303">
      <w:pPr>
        <w:pStyle w:val="Heading3"/>
        <w:ind w:left="825" w:hanging="705"/>
        <w:jc w:val="left"/>
      </w:pPr>
      <w:bookmarkStart w:id="24" w:name="h.rc5d3h71mqvk" w:colFirst="0" w:colLast="0"/>
      <w:bookmarkEnd w:id="24"/>
      <w:r>
        <w:rPr>
          <w:b/>
          <w:color w:val="1F497D"/>
        </w:rPr>
        <w:t>Funding Sources</w:t>
      </w:r>
    </w:p>
    <w:p w14:paraId="5473CED6" w14:textId="77777777" w:rsidR="00656438" w:rsidRDefault="00A26303">
      <w:pPr>
        <w:pStyle w:val="Heading3"/>
        <w:ind w:left="825" w:hanging="705"/>
      </w:pPr>
      <w:r>
        <w:t xml:space="preserve">2.3.7 </w:t>
      </w:r>
      <w:r>
        <w:tab/>
        <w:t>The following table sets out the specific breakdown of the public sector subsidy and relative requirements:</w:t>
      </w:r>
      <w:r>
        <w:rPr>
          <w:vertAlign w:val="superscript"/>
        </w:rPr>
        <w:footnoteReference w:id="17"/>
      </w:r>
    </w:p>
    <w:tbl>
      <w:tblPr>
        <w:tblStyle w:val="a0"/>
        <w:tblW w:w="8100"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785"/>
        <w:gridCol w:w="1875"/>
        <w:gridCol w:w="3300"/>
      </w:tblGrid>
      <w:tr w:rsidR="00656438" w14:paraId="518DA981" w14:textId="77777777">
        <w:tc>
          <w:tcPr>
            <w:tcW w:w="1140" w:type="dxa"/>
            <w:tcBorders>
              <w:top w:val="single" w:sz="4" w:space="0" w:color="000000"/>
              <w:left w:val="single" w:sz="4" w:space="0" w:color="000000"/>
              <w:bottom w:val="single" w:sz="4" w:space="0" w:color="000000"/>
              <w:right w:val="single" w:sz="4" w:space="0" w:color="000000"/>
            </w:tcBorders>
            <w:shd w:val="clear" w:color="auto" w:fill="548DD4"/>
          </w:tcPr>
          <w:p w14:paraId="79D2DA90" w14:textId="77777777" w:rsidR="00656438" w:rsidRDefault="00A26303">
            <w:pPr>
              <w:spacing w:after="80"/>
              <w:jc w:val="center"/>
            </w:pPr>
            <w:r>
              <w:rPr>
                <w:rFonts w:ascii="Calibri" w:eastAsia="Calibri" w:hAnsi="Calibri" w:cs="Calibri"/>
                <w:b/>
                <w:color w:val="FFFFFF"/>
                <w:sz w:val="20"/>
                <w:szCs w:val="20"/>
              </w:rPr>
              <w:t>Sourcing Fund</w:t>
            </w:r>
          </w:p>
        </w:tc>
        <w:tc>
          <w:tcPr>
            <w:tcW w:w="1785" w:type="dxa"/>
            <w:tcBorders>
              <w:top w:val="single" w:sz="4" w:space="0" w:color="000000"/>
              <w:left w:val="single" w:sz="4" w:space="0" w:color="000000"/>
              <w:bottom w:val="single" w:sz="4" w:space="0" w:color="000000"/>
              <w:right w:val="single" w:sz="4" w:space="0" w:color="000000"/>
            </w:tcBorders>
            <w:shd w:val="clear" w:color="auto" w:fill="548DD4"/>
          </w:tcPr>
          <w:p w14:paraId="2917B9B4" w14:textId="77777777" w:rsidR="00656438" w:rsidRDefault="00A26303">
            <w:pPr>
              <w:spacing w:after="80"/>
              <w:jc w:val="center"/>
            </w:pPr>
            <w:r>
              <w:rPr>
                <w:rFonts w:ascii="Calibri" w:eastAsia="Calibri" w:hAnsi="Calibri" w:cs="Calibri"/>
                <w:b/>
                <w:sz w:val="20"/>
                <w:szCs w:val="20"/>
              </w:rPr>
              <w:t>Amount</w:t>
            </w:r>
          </w:p>
        </w:tc>
        <w:tc>
          <w:tcPr>
            <w:tcW w:w="1875" w:type="dxa"/>
            <w:tcBorders>
              <w:top w:val="single" w:sz="4" w:space="0" w:color="000000"/>
              <w:left w:val="single" w:sz="4" w:space="0" w:color="000000"/>
              <w:bottom w:val="single" w:sz="4" w:space="0" w:color="000000"/>
              <w:right w:val="single" w:sz="4" w:space="0" w:color="000000"/>
            </w:tcBorders>
            <w:shd w:val="clear" w:color="auto" w:fill="548DD4"/>
          </w:tcPr>
          <w:p w14:paraId="0E3BFDBE" w14:textId="77777777" w:rsidR="00656438" w:rsidRDefault="00A26303">
            <w:pPr>
              <w:spacing w:after="80"/>
              <w:jc w:val="center"/>
            </w:pPr>
            <w:r>
              <w:rPr>
                <w:rFonts w:ascii="Calibri" w:eastAsia="Calibri" w:hAnsi="Calibri" w:cs="Calibri"/>
                <w:b/>
                <w:sz w:val="20"/>
                <w:szCs w:val="20"/>
              </w:rPr>
              <w:t>Fund status</w:t>
            </w:r>
            <w:r>
              <w:rPr>
                <w:b/>
                <w:sz w:val="20"/>
                <w:szCs w:val="20"/>
                <w:vertAlign w:val="superscript"/>
              </w:rPr>
              <w:footnoteReference w:id="18"/>
            </w:r>
          </w:p>
        </w:tc>
        <w:tc>
          <w:tcPr>
            <w:tcW w:w="3300" w:type="dxa"/>
            <w:tcBorders>
              <w:top w:val="single" w:sz="4" w:space="0" w:color="000000"/>
              <w:left w:val="single" w:sz="4" w:space="0" w:color="000000"/>
              <w:bottom w:val="single" w:sz="4" w:space="0" w:color="000000"/>
              <w:right w:val="single" w:sz="4" w:space="0" w:color="000000"/>
            </w:tcBorders>
            <w:shd w:val="clear" w:color="auto" w:fill="548DD4"/>
          </w:tcPr>
          <w:p w14:paraId="2E822336" w14:textId="77777777" w:rsidR="00656438" w:rsidRDefault="00A26303">
            <w:pPr>
              <w:spacing w:after="80"/>
              <w:jc w:val="center"/>
            </w:pPr>
            <w:r>
              <w:rPr>
                <w:rFonts w:ascii="Calibri" w:eastAsia="Calibri" w:hAnsi="Calibri" w:cs="Calibri"/>
                <w:b/>
                <w:sz w:val="20"/>
                <w:szCs w:val="20"/>
              </w:rPr>
              <w:t>Requirements for funding</w:t>
            </w:r>
            <w:r>
              <w:rPr>
                <w:b/>
                <w:sz w:val="20"/>
                <w:szCs w:val="20"/>
                <w:vertAlign w:val="superscript"/>
              </w:rPr>
              <w:footnoteReference w:id="19"/>
            </w:r>
          </w:p>
        </w:tc>
      </w:tr>
      <w:tr w:rsidR="00656438" w14:paraId="0F5A3DC1" w14:textId="77777777">
        <w:tc>
          <w:tcPr>
            <w:tcW w:w="1140" w:type="dxa"/>
            <w:tcBorders>
              <w:top w:val="single" w:sz="4" w:space="0" w:color="000000"/>
              <w:left w:val="single" w:sz="4" w:space="0" w:color="000000"/>
              <w:bottom w:val="single" w:sz="4" w:space="0" w:color="000000"/>
              <w:right w:val="single" w:sz="4" w:space="0" w:color="000000"/>
            </w:tcBorders>
          </w:tcPr>
          <w:p w14:paraId="42ACA05E" w14:textId="77777777" w:rsidR="00656438" w:rsidRDefault="00A26303">
            <w:r>
              <w:rPr>
                <w:rFonts w:ascii="Calibri" w:eastAsia="Calibri" w:hAnsi="Calibri" w:cs="Calibri"/>
                <w:b/>
                <w:sz w:val="20"/>
                <w:szCs w:val="20"/>
              </w:rPr>
              <w:lastRenderedPageBreak/>
              <w:t>Local Body</w:t>
            </w:r>
          </w:p>
        </w:tc>
        <w:tc>
          <w:tcPr>
            <w:tcW w:w="1785" w:type="dxa"/>
            <w:tcBorders>
              <w:top w:val="single" w:sz="4" w:space="0" w:color="000000"/>
              <w:left w:val="single" w:sz="4" w:space="0" w:color="000000"/>
              <w:bottom w:val="single" w:sz="4" w:space="0" w:color="000000"/>
              <w:right w:val="single" w:sz="4" w:space="0" w:color="000000"/>
            </w:tcBorders>
          </w:tcPr>
          <w:p w14:paraId="7390FC34" w14:textId="77777777" w:rsidR="00656438" w:rsidRDefault="00656438">
            <w:pPr>
              <w:jc w:val="right"/>
            </w:pPr>
          </w:p>
        </w:tc>
        <w:tc>
          <w:tcPr>
            <w:tcW w:w="1875" w:type="dxa"/>
            <w:tcBorders>
              <w:top w:val="single" w:sz="4" w:space="0" w:color="000000"/>
              <w:left w:val="single" w:sz="4" w:space="0" w:color="000000"/>
              <w:bottom w:val="single" w:sz="4" w:space="0" w:color="000000"/>
              <w:right w:val="single" w:sz="4" w:space="0" w:color="000000"/>
            </w:tcBorders>
          </w:tcPr>
          <w:p w14:paraId="1C2850BA" w14:textId="77777777" w:rsidR="00656438" w:rsidRDefault="00656438"/>
        </w:tc>
        <w:tc>
          <w:tcPr>
            <w:tcW w:w="3300" w:type="dxa"/>
            <w:tcBorders>
              <w:top w:val="single" w:sz="4" w:space="0" w:color="000000"/>
              <w:left w:val="single" w:sz="4" w:space="0" w:color="000000"/>
              <w:bottom w:val="single" w:sz="4" w:space="0" w:color="000000"/>
              <w:right w:val="single" w:sz="4" w:space="0" w:color="000000"/>
            </w:tcBorders>
          </w:tcPr>
          <w:p w14:paraId="51ADB088" w14:textId="77777777" w:rsidR="00656438" w:rsidRDefault="00656438"/>
        </w:tc>
      </w:tr>
      <w:tr w:rsidR="00656438" w14:paraId="0A14D039" w14:textId="77777777">
        <w:tc>
          <w:tcPr>
            <w:tcW w:w="1140" w:type="dxa"/>
            <w:tcBorders>
              <w:top w:val="single" w:sz="4" w:space="0" w:color="000000"/>
              <w:left w:val="single" w:sz="4" w:space="0" w:color="000000"/>
              <w:bottom w:val="single" w:sz="4" w:space="0" w:color="000000"/>
              <w:right w:val="single" w:sz="4" w:space="0" w:color="000000"/>
            </w:tcBorders>
          </w:tcPr>
          <w:p w14:paraId="13FFE19E" w14:textId="77777777" w:rsidR="00656438" w:rsidRDefault="00A26303">
            <w:r>
              <w:rPr>
                <w:rFonts w:ascii="Calibri" w:eastAsia="Calibri" w:hAnsi="Calibri" w:cs="Calibri"/>
                <w:b/>
                <w:sz w:val="20"/>
                <w:szCs w:val="20"/>
              </w:rPr>
              <w:t>DCMS</w:t>
            </w:r>
          </w:p>
        </w:tc>
        <w:tc>
          <w:tcPr>
            <w:tcW w:w="1785" w:type="dxa"/>
            <w:tcBorders>
              <w:top w:val="single" w:sz="4" w:space="0" w:color="000000"/>
              <w:left w:val="single" w:sz="4" w:space="0" w:color="000000"/>
              <w:bottom w:val="single" w:sz="4" w:space="0" w:color="000000"/>
              <w:right w:val="single" w:sz="4" w:space="0" w:color="000000"/>
            </w:tcBorders>
          </w:tcPr>
          <w:p w14:paraId="5A7F2F55" w14:textId="77777777" w:rsidR="00656438" w:rsidRDefault="00656438">
            <w:pPr>
              <w:jc w:val="right"/>
            </w:pPr>
          </w:p>
        </w:tc>
        <w:tc>
          <w:tcPr>
            <w:tcW w:w="1875" w:type="dxa"/>
            <w:tcBorders>
              <w:top w:val="single" w:sz="4" w:space="0" w:color="000000"/>
              <w:left w:val="single" w:sz="4" w:space="0" w:color="000000"/>
              <w:bottom w:val="single" w:sz="4" w:space="0" w:color="000000"/>
              <w:right w:val="single" w:sz="4" w:space="0" w:color="000000"/>
            </w:tcBorders>
          </w:tcPr>
          <w:p w14:paraId="5C47ADEA" w14:textId="77777777" w:rsidR="00656438" w:rsidRDefault="00656438"/>
        </w:tc>
        <w:tc>
          <w:tcPr>
            <w:tcW w:w="3300" w:type="dxa"/>
            <w:tcBorders>
              <w:top w:val="single" w:sz="4" w:space="0" w:color="000000"/>
              <w:left w:val="single" w:sz="4" w:space="0" w:color="000000"/>
              <w:bottom w:val="single" w:sz="4" w:space="0" w:color="000000"/>
              <w:right w:val="single" w:sz="4" w:space="0" w:color="000000"/>
            </w:tcBorders>
          </w:tcPr>
          <w:p w14:paraId="44E7C246" w14:textId="77777777" w:rsidR="00656438" w:rsidRDefault="00656438"/>
        </w:tc>
      </w:tr>
      <w:tr w:rsidR="00656438" w14:paraId="489EB531" w14:textId="77777777">
        <w:tc>
          <w:tcPr>
            <w:tcW w:w="1140" w:type="dxa"/>
            <w:tcBorders>
              <w:top w:val="single" w:sz="4" w:space="0" w:color="000000"/>
              <w:left w:val="single" w:sz="4" w:space="0" w:color="000000"/>
              <w:bottom w:val="single" w:sz="4" w:space="0" w:color="000000"/>
              <w:right w:val="single" w:sz="4" w:space="0" w:color="000000"/>
            </w:tcBorders>
          </w:tcPr>
          <w:p w14:paraId="5B84D78C" w14:textId="77777777" w:rsidR="00656438" w:rsidRDefault="00A26303">
            <w:r>
              <w:rPr>
                <w:rFonts w:ascii="Calibri" w:eastAsia="Calibri" w:hAnsi="Calibri" w:cs="Calibri"/>
                <w:b/>
                <w:sz w:val="20"/>
                <w:szCs w:val="20"/>
              </w:rPr>
              <w:t>[ERDF]</w:t>
            </w:r>
          </w:p>
        </w:tc>
        <w:tc>
          <w:tcPr>
            <w:tcW w:w="1785" w:type="dxa"/>
            <w:tcBorders>
              <w:top w:val="single" w:sz="4" w:space="0" w:color="000000"/>
              <w:left w:val="single" w:sz="4" w:space="0" w:color="000000"/>
              <w:bottom w:val="single" w:sz="4" w:space="0" w:color="000000"/>
              <w:right w:val="single" w:sz="4" w:space="0" w:color="000000"/>
            </w:tcBorders>
          </w:tcPr>
          <w:p w14:paraId="124E0295" w14:textId="77777777" w:rsidR="00656438" w:rsidRDefault="00656438">
            <w:pPr>
              <w:jc w:val="right"/>
            </w:pPr>
          </w:p>
        </w:tc>
        <w:tc>
          <w:tcPr>
            <w:tcW w:w="1875" w:type="dxa"/>
            <w:tcBorders>
              <w:top w:val="single" w:sz="4" w:space="0" w:color="000000"/>
              <w:left w:val="single" w:sz="4" w:space="0" w:color="000000"/>
              <w:bottom w:val="single" w:sz="4" w:space="0" w:color="000000"/>
              <w:right w:val="single" w:sz="4" w:space="0" w:color="000000"/>
            </w:tcBorders>
          </w:tcPr>
          <w:p w14:paraId="55C5D71C" w14:textId="77777777" w:rsidR="00656438" w:rsidRDefault="00656438"/>
        </w:tc>
        <w:tc>
          <w:tcPr>
            <w:tcW w:w="3300" w:type="dxa"/>
            <w:tcBorders>
              <w:top w:val="single" w:sz="4" w:space="0" w:color="000000"/>
              <w:left w:val="single" w:sz="4" w:space="0" w:color="000000"/>
              <w:bottom w:val="single" w:sz="4" w:space="0" w:color="000000"/>
              <w:right w:val="single" w:sz="4" w:space="0" w:color="000000"/>
            </w:tcBorders>
          </w:tcPr>
          <w:p w14:paraId="21DA23DE" w14:textId="77777777" w:rsidR="00656438" w:rsidRDefault="00656438"/>
        </w:tc>
      </w:tr>
      <w:tr w:rsidR="00656438" w14:paraId="30FAC10D" w14:textId="77777777">
        <w:tc>
          <w:tcPr>
            <w:tcW w:w="1140" w:type="dxa"/>
            <w:tcBorders>
              <w:top w:val="single" w:sz="4" w:space="0" w:color="000000"/>
              <w:left w:val="single" w:sz="4" w:space="0" w:color="000000"/>
              <w:bottom w:val="single" w:sz="4" w:space="0" w:color="000000"/>
              <w:right w:val="single" w:sz="4" w:space="0" w:color="000000"/>
            </w:tcBorders>
          </w:tcPr>
          <w:p w14:paraId="0B9A05D3" w14:textId="77777777" w:rsidR="00656438" w:rsidRDefault="00A26303">
            <w:r>
              <w:t>[•]</w:t>
            </w:r>
          </w:p>
        </w:tc>
        <w:tc>
          <w:tcPr>
            <w:tcW w:w="1785" w:type="dxa"/>
            <w:tcBorders>
              <w:top w:val="single" w:sz="4" w:space="0" w:color="000000"/>
              <w:left w:val="single" w:sz="4" w:space="0" w:color="000000"/>
              <w:bottom w:val="single" w:sz="4" w:space="0" w:color="000000"/>
              <w:right w:val="single" w:sz="4" w:space="0" w:color="000000"/>
            </w:tcBorders>
          </w:tcPr>
          <w:p w14:paraId="2EDE2E25" w14:textId="77777777" w:rsidR="00656438" w:rsidRDefault="00656438">
            <w:pPr>
              <w:jc w:val="right"/>
            </w:pPr>
          </w:p>
        </w:tc>
        <w:tc>
          <w:tcPr>
            <w:tcW w:w="1875" w:type="dxa"/>
            <w:tcBorders>
              <w:top w:val="single" w:sz="4" w:space="0" w:color="000000"/>
              <w:left w:val="single" w:sz="4" w:space="0" w:color="000000"/>
              <w:bottom w:val="single" w:sz="4" w:space="0" w:color="000000"/>
              <w:right w:val="single" w:sz="4" w:space="0" w:color="000000"/>
            </w:tcBorders>
          </w:tcPr>
          <w:p w14:paraId="1C9D07A7" w14:textId="77777777" w:rsidR="00656438" w:rsidRDefault="00656438"/>
        </w:tc>
        <w:tc>
          <w:tcPr>
            <w:tcW w:w="3300" w:type="dxa"/>
            <w:tcBorders>
              <w:top w:val="single" w:sz="4" w:space="0" w:color="000000"/>
              <w:left w:val="single" w:sz="4" w:space="0" w:color="000000"/>
              <w:bottom w:val="single" w:sz="4" w:space="0" w:color="000000"/>
              <w:right w:val="single" w:sz="4" w:space="0" w:color="000000"/>
            </w:tcBorders>
          </w:tcPr>
          <w:p w14:paraId="4F3B4CB6" w14:textId="77777777" w:rsidR="00656438" w:rsidRDefault="00656438"/>
        </w:tc>
      </w:tr>
      <w:tr w:rsidR="00656438" w14:paraId="0833A88A" w14:textId="77777777">
        <w:tc>
          <w:tcPr>
            <w:tcW w:w="1140" w:type="dxa"/>
            <w:tcBorders>
              <w:top w:val="single" w:sz="4" w:space="0" w:color="000000"/>
              <w:left w:val="single" w:sz="4" w:space="0" w:color="000000"/>
              <w:bottom w:val="single" w:sz="4" w:space="0" w:color="000000"/>
              <w:right w:val="single" w:sz="4" w:space="0" w:color="000000"/>
            </w:tcBorders>
          </w:tcPr>
          <w:p w14:paraId="1ECCEEE2" w14:textId="77777777" w:rsidR="00656438" w:rsidRDefault="00A26303">
            <w:r>
              <w:rPr>
                <w:rFonts w:ascii="Calibri" w:eastAsia="Calibri" w:hAnsi="Calibri" w:cs="Calibri"/>
                <w:b/>
                <w:sz w:val="20"/>
                <w:szCs w:val="20"/>
              </w:rPr>
              <w:t>Total</w:t>
            </w:r>
          </w:p>
        </w:tc>
        <w:tc>
          <w:tcPr>
            <w:tcW w:w="1785" w:type="dxa"/>
            <w:tcBorders>
              <w:top w:val="single" w:sz="4" w:space="0" w:color="000000"/>
              <w:left w:val="single" w:sz="4" w:space="0" w:color="000000"/>
              <w:bottom w:val="single" w:sz="4" w:space="0" w:color="000000"/>
              <w:right w:val="single" w:sz="4" w:space="0" w:color="000000"/>
            </w:tcBorders>
          </w:tcPr>
          <w:p w14:paraId="36F521CE" w14:textId="77777777" w:rsidR="00656438" w:rsidRDefault="00656438">
            <w:pPr>
              <w:jc w:val="right"/>
            </w:pPr>
          </w:p>
        </w:tc>
        <w:tc>
          <w:tcPr>
            <w:tcW w:w="1875" w:type="dxa"/>
            <w:tcBorders>
              <w:top w:val="single" w:sz="4" w:space="0" w:color="000000"/>
              <w:left w:val="single" w:sz="4" w:space="0" w:color="000000"/>
              <w:bottom w:val="single" w:sz="4" w:space="0" w:color="000000"/>
              <w:right w:val="single" w:sz="4" w:space="0" w:color="000000"/>
            </w:tcBorders>
          </w:tcPr>
          <w:p w14:paraId="751E9D2C" w14:textId="77777777" w:rsidR="00656438" w:rsidRDefault="00656438"/>
        </w:tc>
        <w:tc>
          <w:tcPr>
            <w:tcW w:w="3300" w:type="dxa"/>
            <w:tcBorders>
              <w:top w:val="single" w:sz="4" w:space="0" w:color="000000"/>
              <w:left w:val="single" w:sz="4" w:space="0" w:color="000000"/>
              <w:bottom w:val="single" w:sz="4" w:space="0" w:color="000000"/>
              <w:right w:val="single" w:sz="4" w:space="0" w:color="000000"/>
            </w:tcBorders>
          </w:tcPr>
          <w:p w14:paraId="328089CF" w14:textId="77777777" w:rsidR="00656438" w:rsidRDefault="00656438"/>
        </w:tc>
      </w:tr>
    </w:tbl>
    <w:p w14:paraId="40D55D8C" w14:textId="77777777" w:rsidR="00656438" w:rsidRDefault="00656438">
      <w:pPr>
        <w:pStyle w:val="Heading3"/>
        <w:ind w:left="840" w:firstLine="0"/>
      </w:pPr>
    </w:p>
    <w:p w14:paraId="54728C2A" w14:textId="77777777" w:rsidR="00656438" w:rsidRDefault="00A26303" w:rsidP="00797AE1">
      <w:pPr>
        <w:pStyle w:val="Heading3"/>
        <w:ind w:left="825" w:hanging="705"/>
        <w:contextualSpacing/>
        <w:jc w:val="left"/>
      </w:pPr>
      <w:bookmarkStart w:id="25" w:name="h.to4yga12e9w6" w:colFirst="0" w:colLast="0"/>
      <w:bookmarkEnd w:id="25"/>
      <w:r>
        <w:t xml:space="preserve">2.3.8 </w:t>
      </w:r>
      <w:r>
        <w:tab/>
        <w:t>The following table sets out the specific breakdown of the funding allocated for each lot</w:t>
      </w:r>
      <w:r>
        <w:rPr>
          <w:rFonts w:ascii="Arial" w:eastAsia="Arial" w:hAnsi="Arial" w:cs="Arial"/>
          <w:b/>
          <w:color w:val="870041"/>
          <w:vertAlign w:val="superscript"/>
        </w:rPr>
        <w:footnoteReference w:id="20"/>
      </w:r>
    </w:p>
    <w:p w14:paraId="49780BF6" w14:textId="77777777" w:rsidR="00656438" w:rsidRDefault="00656438">
      <w:pPr>
        <w:pStyle w:val="Heading3"/>
        <w:ind w:left="825" w:hanging="705"/>
        <w:jc w:val="left"/>
      </w:pPr>
      <w:bookmarkStart w:id="26" w:name="h.ynjfnm7gbj6a" w:colFirst="0" w:colLast="0"/>
      <w:bookmarkEnd w:id="26"/>
    </w:p>
    <w:tbl>
      <w:tblPr>
        <w:tblStyle w:val="a1"/>
        <w:tblW w:w="8160" w:type="dxa"/>
        <w:tblInd w:w="840" w:type="dxa"/>
        <w:tblLayout w:type="fixed"/>
        <w:tblLook w:val="0400" w:firstRow="0" w:lastRow="0" w:firstColumn="0" w:lastColumn="0" w:noHBand="0" w:noVBand="1"/>
      </w:tblPr>
      <w:tblGrid>
        <w:gridCol w:w="2160"/>
        <w:gridCol w:w="3000"/>
        <w:gridCol w:w="3000"/>
      </w:tblGrid>
      <w:tr w:rsidR="00656438" w14:paraId="2C783F9D" w14:textId="77777777">
        <w:tc>
          <w:tcPr>
            <w:tcW w:w="2160" w:type="dxa"/>
            <w:tcBorders>
              <w:top w:val="single" w:sz="8" w:space="0" w:color="000000"/>
              <w:left w:val="single" w:sz="8" w:space="0" w:color="000000"/>
              <w:bottom w:val="single" w:sz="8" w:space="0" w:color="000000"/>
              <w:right w:val="single" w:sz="8" w:space="0" w:color="000000"/>
            </w:tcBorders>
            <w:shd w:val="clear" w:color="auto" w:fill="548DD4"/>
            <w:tcMar>
              <w:left w:w="108" w:type="dxa"/>
              <w:right w:w="108" w:type="dxa"/>
            </w:tcMar>
          </w:tcPr>
          <w:p w14:paraId="1D6FBB01" w14:textId="77777777" w:rsidR="00656438" w:rsidRDefault="00656438">
            <w:pPr>
              <w:spacing w:line="264" w:lineRule="auto"/>
              <w:jc w:val="left"/>
            </w:pPr>
          </w:p>
        </w:tc>
        <w:tc>
          <w:tcPr>
            <w:tcW w:w="3000" w:type="dxa"/>
            <w:tcBorders>
              <w:top w:val="single" w:sz="8" w:space="0" w:color="000000"/>
              <w:left w:val="nil"/>
              <w:bottom w:val="single" w:sz="8" w:space="0" w:color="000000"/>
              <w:right w:val="single" w:sz="8" w:space="0" w:color="000000"/>
            </w:tcBorders>
            <w:shd w:val="clear" w:color="auto" w:fill="548DD4"/>
            <w:tcMar>
              <w:left w:w="108" w:type="dxa"/>
              <w:right w:w="108" w:type="dxa"/>
            </w:tcMar>
          </w:tcPr>
          <w:p w14:paraId="6265D8A6" w14:textId="77777777" w:rsidR="00656438" w:rsidRDefault="00A26303">
            <w:pPr>
              <w:spacing w:before="120" w:line="264" w:lineRule="auto"/>
              <w:jc w:val="center"/>
            </w:pPr>
            <w:r>
              <w:rPr>
                <w:b/>
                <w:color w:val="FFFFFF"/>
                <w:sz w:val="20"/>
                <w:szCs w:val="20"/>
              </w:rPr>
              <w:t>NGA Broadband Funding</w:t>
            </w:r>
          </w:p>
        </w:tc>
        <w:tc>
          <w:tcPr>
            <w:tcW w:w="3000" w:type="dxa"/>
            <w:tcBorders>
              <w:top w:val="single" w:sz="8" w:space="0" w:color="000000"/>
              <w:left w:val="nil"/>
              <w:bottom w:val="single" w:sz="8" w:space="0" w:color="000000"/>
              <w:right w:val="single" w:sz="8" w:space="0" w:color="000000"/>
            </w:tcBorders>
            <w:shd w:val="clear" w:color="auto" w:fill="548DD4"/>
            <w:tcMar>
              <w:left w:w="108" w:type="dxa"/>
              <w:right w:w="108" w:type="dxa"/>
            </w:tcMar>
          </w:tcPr>
          <w:p w14:paraId="7835367D" w14:textId="77777777" w:rsidR="00656438" w:rsidRDefault="00A26303">
            <w:pPr>
              <w:spacing w:before="120" w:line="264" w:lineRule="auto"/>
              <w:jc w:val="center"/>
            </w:pPr>
            <w:r>
              <w:rPr>
                <w:b/>
                <w:color w:val="FFFFFF"/>
                <w:sz w:val="20"/>
                <w:szCs w:val="20"/>
              </w:rPr>
              <w:t>Total Funding</w:t>
            </w:r>
            <w:r>
              <w:rPr>
                <w:b/>
                <w:color w:val="FFFFFF"/>
                <w:sz w:val="20"/>
                <w:szCs w:val="20"/>
                <w:vertAlign w:val="superscript"/>
              </w:rPr>
              <w:footnoteReference w:id="21"/>
            </w:r>
          </w:p>
        </w:tc>
      </w:tr>
      <w:tr w:rsidR="00656438" w14:paraId="18BFB5D6" w14:textId="77777777">
        <w:tc>
          <w:tcPr>
            <w:tcW w:w="2160" w:type="dxa"/>
            <w:tcBorders>
              <w:top w:val="nil"/>
              <w:left w:val="single" w:sz="8" w:space="0" w:color="000000"/>
              <w:bottom w:val="single" w:sz="8" w:space="0" w:color="000000"/>
              <w:right w:val="single" w:sz="8" w:space="0" w:color="000000"/>
            </w:tcBorders>
            <w:tcMar>
              <w:left w:w="108" w:type="dxa"/>
              <w:right w:w="108" w:type="dxa"/>
            </w:tcMar>
          </w:tcPr>
          <w:p w14:paraId="1C2D3A96" w14:textId="69EEC5F7" w:rsidR="00656438" w:rsidRDefault="00A26303">
            <w:pPr>
              <w:spacing w:before="120" w:line="264" w:lineRule="auto"/>
              <w:jc w:val="left"/>
            </w:pPr>
            <w:r>
              <w:rPr>
                <w:b/>
                <w:sz w:val="20"/>
                <w:szCs w:val="20"/>
              </w:rPr>
              <w:t>LOT 1</w:t>
            </w:r>
            <w:r w:rsidR="00510E4D">
              <w:rPr>
                <w:b/>
                <w:sz w:val="20"/>
                <w:szCs w:val="20"/>
              </w:rPr>
              <w:t xml:space="preserve"> </w:t>
            </w:r>
            <w:r>
              <w:rPr>
                <w:b/>
                <w:sz w:val="20"/>
                <w:szCs w:val="20"/>
              </w:rPr>
              <w:t xml:space="preserve">- </w:t>
            </w:r>
          </w:p>
        </w:tc>
        <w:tc>
          <w:tcPr>
            <w:tcW w:w="3000" w:type="dxa"/>
            <w:tcBorders>
              <w:top w:val="nil"/>
              <w:left w:val="nil"/>
              <w:bottom w:val="single" w:sz="8" w:space="0" w:color="000000"/>
              <w:right w:val="single" w:sz="8" w:space="0" w:color="000000"/>
            </w:tcBorders>
            <w:tcMar>
              <w:left w:w="108" w:type="dxa"/>
              <w:right w:w="108" w:type="dxa"/>
            </w:tcMar>
            <w:vAlign w:val="center"/>
          </w:tcPr>
          <w:p w14:paraId="0E2D4A16" w14:textId="77777777" w:rsidR="00656438" w:rsidRDefault="00A26303">
            <w:pPr>
              <w:spacing w:after="0"/>
              <w:jc w:val="center"/>
            </w:pPr>
            <w:r>
              <w:rPr>
                <w:sz w:val="20"/>
                <w:szCs w:val="20"/>
              </w:rPr>
              <w:t>[Insert amount]</w:t>
            </w:r>
          </w:p>
        </w:tc>
        <w:tc>
          <w:tcPr>
            <w:tcW w:w="3000" w:type="dxa"/>
            <w:tcBorders>
              <w:top w:val="nil"/>
              <w:left w:val="nil"/>
              <w:bottom w:val="single" w:sz="8" w:space="0" w:color="000000"/>
              <w:right w:val="single" w:sz="8" w:space="0" w:color="000000"/>
            </w:tcBorders>
            <w:tcMar>
              <w:left w:w="108" w:type="dxa"/>
              <w:right w:w="108" w:type="dxa"/>
            </w:tcMar>
            <w:vAlign w:val="center"/>
          </w:tcPr>
          <w:p w14:paraId="7A7FED4E" w14:textId="77777777" w:rsidR="00656438" w:rsidRDefault="00A26303">
            <w:pPr>
              <w:spacing w:after="0"/>
              <w:jc w:val="center"/>
            </w:pPr>
            <w:r>
              <w:rPr>
                <w:sz w:val="20"/>
                <w:szCs w:val="20"/>
              </w:rPr>
              <w:t>[Insert amount]</w:t>
            </w:r>
          </w:p>
        </w:tc>
      </w:tr>
      <w:tr w:rsidR="00656438" w14:paraId="16011C52" w14:textId="77777777">
        <w:tc>
          <w:tcPr>
            <w:tcW w:w="2160" w:type="dxa"/>
            <w:tcBorders>
              <w:top w:val="nil"/>
              <w:left w:val="single" w:sz="8" w:space="0" w:color="000000"/>
              <w:bottom w:val="single" w:sz="8" w:space="0" w:color="000000"/>
              <w:right w:val="single" w:sz="8" w:space="0" w:color="000000"/>
            </w:tcBorders>
            <w:tcMar>
              <w:left w:w="108" w:type="dxa"/>
              <w:right w:w="108" w:type="dxa"/>
            </w:tcMar>
          </w:tcPr>
          <w:p w14:paraId="0DAF86D2" w14:textId="1B8F77AC" w:rsidR="00656438" w:rsidRDefault="00510E4D">
            <w:pPr>
              <w:spacing w:before="120" w:line="264" w:lineRule="auto"/>
              <w:jc w:val="left"/>
            </w:pPr>
            <w:r>
              <w:rPr>
                <w:b/>
                <w:sz w:val="20"/>
                <w:szCs w:val="20"/>
              </w:rPr>
              <w:t>LOT X -</w:t>
            </w:r>
          </w:p>
        </w:tc>
        <w:tc>
          <w:tcPr>
            <w:tcW w:w="3000" w:type="dxa"/>
            <w:tcBorders>
              <w:top w:val="nil"/>
              <w:left w:val="nil"/>
              <w:bottom w:val="single" w:sz="8" w:space="0" w:color="000000"/>
              <w:right w:val="single" w:sz="8" w:space="0" w:color="000000"/>
            </w:tcBorders>
            <w:tcMar>
              <w:left w:w="108" w:type="dxa"/>
              <w:right w:w="108" w:type="dxa"/>
            </w:tcMar>
            <w:vAlign w:val="center"/>
          </w:tcPr>
          <w:p w14:paraId="21D3E2FC" w14:textId="77777777" w:rsidR="00656438" w:rsidRDefault="00A26303">
            <w:pPr>
              <w:spacing w:after="0"/>
              <w:jc w:val="center"/>
            </w:pPr>
            <w:r>
              <w:rPr>
                <w:sz w:val="20"/>
                <w:szCs w:val="20"/>
              </w:rPr>
              <w:t>[Insert amount]</w:t>
            </w:r>
          </w:p>
        </w:tc>
        <w:tc>
          <w:tcPr>
            <w:tcW w:w="3000" w:type="dxa"/>
            <w:tcBorders>
              <w:top w:val="nil"/>
              <w:left w:val="nil"/>
              <w:bottom w:val="single" w:sz="8" w:space="0" w:color="000000"/>
              <w:right w:val="single" w:sz="8" w:space="0" w:color="000000"/>
            </w:tcBorders>
            <w:tcMar>
              <w:left w:w="108" w:type="dxa"/>
              <w:right w:w="108" w:type="dxa"/>
            </w:tcMar>
            <w:vAlign w:val="center"/>
          </w:tcPr>
          <w:p w14:paraId="58B795F7" w14:textId="77777777" w:rsidR="00656438" w:rsidRDefault="00A26303">
            <w:pPr>
              <w:spacing w:after="0"/>
              <w:jc w:val="center"/>
            </w:pPr>
            <w:r>
              <w:rPr>
                <w:sz w:val="20"/>
                <w:szCs w:val="20"/>
              </w:rPr>
              <w:t>[Insert amount]</w:t>
            </w:r>
          </w:p>
        </w:tc>
      </w:tr>
    </w:tbl>
    <w:p w14:paraId="43A8255E" w14:textId="77777777" w:rsidR="00656438" w:rsidRDefault="00656438"/>
    <w:p w14:paraId="24AE6E1A" w14:textId="77777777" w:rsidR="00656438" w:rsidRDefault="00A26303">
      <w:pPr>
        <w:pStyle w:val="Heading3"/>
        <w:ind w:left="825" w:hanging="705"/>
        <w:jc w:val="left"/>
      </w:pPr>
      <w:r>
        <w:rPr>
          <w:b/>
          <w:color w:val="1F497D"/>
        </w:rPr>
        <w:lastRenderedPageBreak/>
        <w:t>Additional Potential Funding</w:t>
      </w:r>
      <w:r>
        <w:rPr>
          <w:b/>
          <w:color w:val="1F497D"/>
          <w:vertAlign w:val="superscript"/>
        </w:rPr>
        <w:footnoteReference w:id="22"/>
      </w:r>
    </w:p>
    <w:p w14:paraId="52C2A4F3" w14:textId="1EB712ED" w:rsidR="00656438" w:rsidRDefault="00A26303">
      <w:pPr>
        <w:pStyle w:val="Heading3"/>
        <w:ind w:left="825" w:hanging="705"/>
        <w:jc w:val="left"/>
      </w:pPr>
      <w:bookmarkStart w:id="27" w:name="h.bmqh4zbn6xq7" w:colFirst="0" w:colLast="0"/>
      <w:bookmarkEnd w:id="27"/>
      <w:r>
        <w:t>2.3.9</w:t>
      </w:r>
      <w:r>
        <w:tab/>
        <w:t xml:space="preserve">[It is possible that additional funding may become available during the life of this deployment.  Should this occur any decision to add additional funding to this agreement shall be at the sole discretion of the </w:t>
      </w:r>
      <w:r w:rsidR="00BC52BA">
        <w:t>Local Body</w:t>
      </w:r>
      <w:r>
        <w:t>. The table below sets out the amount of funding that may become available, the potential source of funding and the expected ti</w:t>
      </w:r>
      <w:r w:rsidR="00510E4D">
        <w:t>meline. Any Additional Approved</w:t>
      </w:r>
      <w:r>
        <w:t xml:space="preserve"> Funding that may </w:t>
      </w:r>
      <w:r w:rsidR="00510E4D">
        <w:t>become available</w:t>
      </w:r>
      <w:r>
        <w:t xml:space="preserve"> and is </w:t>
      </w:r>
      <w:r w:rsidR="00510E4D">
        <w:t xml:space="preserve">to be </w:t>
      </w:r>
      <w:r>
        <w:t>incorporated into the Contract will be subject to</w:t>
      </w:r>
      <w:r w:rsidR="00BE4231">
        <w:t xml:space="preserve"> the provisions of Schedule 5.4</w:t>
      </w:r>
      <w:r>
        <w:t>:]</w:t>
      </w:r>
    </w:p>
    <w:p w14:paraId="103EDF63" w14:textId="77777777" w:rsidR="00656438" w:rsidRDefault="00656438" w:rsidP="00797AE1">
      <w:pPr>
        <w:pStyle w:val="Heading3"/>
        <w:ind w:left="2160" w:firstLine="0"/>
        <w:contextualSpacing/>
        <w:jc w:val="left"/>
      </w:pPr>
    </w:p>
    <w:tbl>
      <w:tblPr>
        <w:tblStyle w:val="a2"/>
        <w:tblW w:w="8160"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476"/>
        <w:gridCol w:w="1074"/>
        <w:gridCol w:w="1139"/>
        <w:gridCol w:w="3479"/>
      </w:tblGrid>
      <w:tr w:rsidR="00656438" w14:paraId="24015229" w14:textId="77777777">
        <w:trPr>
          <w:trHeight w:val="580"/>
        </w:trPr>
        <w:tc>
          <w:tcPr>
            <w:tcW w:w="992" w:type="dxa"/>
            <w:tcBorders>
              <w:top w:val="single" w:sz="4" w:space="0" w:color="000000"/>
              <w:left w:val="single" w:sz="4" w:space="0" w:color="000000"/>
              <w:bottom w:val="single" w:sz="4" w:space="0" w:color="000000"/>
              <w:right w:val="single" w:sz="4" w:space="0" w:color="000000"/>
            </w:tcBorders>
            <w:shd w:val="clear" w:color="auto" w:fill="548DD4"/>
          </w:tcPr>
          <w:p w14:paraId="570C9C06" w14:textId="77777777" w:rsidR="00656438" w:rsidRDefault="00A26303">
            <w:pPr>
              <w:spacing w:after="80"/>
              <w:jc w:val="center"/>
            </w:pPr>
            <w:r>
              <w:rPr>
                <w:rFonts w:ascii="Calibri" w:eastAsia="Calibri" w:hAnsi="Calibri" w:cs="Calibri"/>
                <w:b/>
                <w:color w:val="FFFFFF"/>
                <w:sz w:val="20"/>
                <w:szCs w:val="20"/>
              </w:rPr>
              <w:t>Sourcing Fund</w:t>
            </w:r>
          </w:p>
        </w:tc>
        <w:tc>
          <w:tcPr>
            <w:tcW w:w="1476" w:type="dxa"/>
            <w:tcBorders>
              <w:top w:val="single" w:sz="4" w:space="0" w:color="000000"/>
              <w:left w:val="single" w:sz="4" w:space="0" w:color="000000"/>
              <w:bottom w:val="single" w:sz="4" w:space="0" w:color="000000"/>
              <w:right w:val="single" w:sz="4" w:space="0" w:color="000000"/>
            </w:tcBorders>
            <w:shd w:val="clear" w:color="auto" w:fill="548DD4"/>
          </w:tcPr>
          <w:p w14:paraId="19CA81D3" w14:textId="77777777" w:rsidR="00656438" w:rsidRDefault="00A26303">
            <w:pPr>
              <w:spacing w:after="80"/>
              <w:jc w:val="center"/>
            </w:pPr>
            <w:r>
              <w:rPr>
                <w:rFonts w:ascii="Calibri" w:eastAsia="Calibri" w:hAnsi="Calibri" w:cs="Calibri"/>
                <w:b/>
                <w:sz w:val="20"/>
                <w:szCs w:val="20"/>
              </w:rPr>
              <w:t>Amount</w:t>
            </w:r>
          </w:p>
        </w:tc>
        <w:tc>
          <w:tcPr>
            <w:tcW w:w="1074" w:type="dxa"/>
            <w:tcBorders>
              <w:top w:val="single" w:sz="4" w:space="0" w:color="000000"/>
              <w:left w:val="single" w:sz="4" w:space="0" w:color="000000"/>
              <w:bottom w:val="single" w:sz="4" w:space="0" w:color="000000"/>
              <w:right w:val="single" w:sz="4" w:space="0" w:color="000000"/>
            </w:tcBorders>
            <w:shd w:val="clear" w:color="auto" w:fill="548DD4"/>
          </w:tcPr>
          <w:p w14:paraId="08E347DC" w14:textId="77777777" w:rsidR="00656438" w:rsidRDefault="00A26303">
            <w:pPr>
              <w:spacing w:after="80"/>
              <w:jc w:val="center"/>
            </w:pPr>
            <w:r>
              <w:rPr>
                <w:rFonts w:ascii="Calibri" w:eastAsia="Calibri" w:hAnsi="Calibri" w:cs="Calibri"/>
                <w:b/>
                <w:sz w:val="20"/>
                <w:szCs w:val="20"/>
              </w:rPr>
              <w:t>Fund status</w:t>
            </w:r>
            <w:r>
              <w:rPr>
                <w:b/>
                <w:sz w:val="20"/>
                <w:szCs w:val="20"/>
                <w:vertAlign w:val="superscript"/>
              </w:rPr>
              <w:footnoteReference w:id="23"/>
            </w:r>
          </w:p>
        </w:tc>
        <w:tc>
          <w:tcPr>
            <w:tcW w:w="1139" w:type="dxa"/>
            <w:tcBorders>
              <w:top w:val="single" w:sz="4" w:space="0" w:color="000000"/>
              <w:left w:val="single" w:sz="4" w:space="0" w:color="000000"/>
              <w:bottom w:val="single" w:sz="4" w:space="0" w:color="000000"/>
              <w:right w:val="single" w:sz="4" w:space="0" w:color="000000"/>
            </w:tcBorders>
            <w:shd w:val="clear" w:color="auto" w:fill="548DD4"/>
          </w:tcPr>
          <w:p w14:paraId="12486BFC" w14:textId="77777777" w:rsidR="00656438" w:rsidRDefault="00A26303">
            <w:pPr>
              <w:spacing w:after="80"/>
              <w:jc w:val="center"/>
            </w:pPr>
            <w:r>
              <w:rPr>
                <w:rFonts w:ascii="Calibri" w:eastAsia="Calibri" w:hAnsi="Calibri" w:cs="Calibri"/>
                <w:b/>
                <w:sz w:val="20"/>
                <w:szCs w:val="20"/>
              </w:rPr>
              <w:t>Available from</w:t>
            </w:r>
            <w:r>
              <w:rPr>
                <w:b/>
                <w:sz w:val="20"/>
                <w:szCs w:val="20"/>
                <w:vertAlign w:val="superscript"/>
              </w:rPr>
              <w:footnoteReference w:id="24"/>
            </w:r>
          </w:p>
        </w:tc>
        <w:tc>
          <w:tcPr>
            <w:tcW w:w="3479" w:type="dxa"/>
            <w:tcBorders>
              <w:top w:val="single" w:sz="4" w:space="0" w:color="000000"/>
              <w:left w:val="single" w:sz="4" w:space="0" w:color="000000"/>
              <w:bottom w:val="single" w:sz="4" w:space="0" w:color="000000"/>
              <w:right w:val="single" w:sz="4" w:space="0" w:color="000000"/>
            </w:tcBorders>
            <w:shd w:val="clear" w:color="auto" w:fill="548DD4"/>
          </w:tcPr>
          <w:p w14:paraId="7F636AB3" w14:textId="77777777" w:rsidR="00656438" w:rsidRDefault="00A26303">
            <w:pPr>
              <w:spacing w:after="80"/>
              <w:jc w:val="center"/>
            </w:pPr>
            <w:r>
              <w:rPr>
                <w:rFonts w:ascii="Calibri" w:eastAsia="Calibri" w:hAnsi="Calibri" w:cs="Calibri"/>
                <w:b/>
                <w:sz w:val="20"/>
                <w:szCs w:val="20"/>
              </w:rPr>
              <w:t>Requirements for funding</w:t>
            </w:r>
            <w:r>
              <w:rPr>
                <w:b/>
                <w:sz w:val="20"/>
                <w:szCs w:val="20"/>
                <w:vertAlign w:val="superscript"/>
              </w:rPr>
              <w:footnoteReference w:id="25"/>
            </w:r>
          </w:p>
        </w:tc>
      </w:tr>
      <w:tr w:rsidR="00656438" w14:paraId="6B550A7C" w14:textId="77777777">
        <w:trPr>
          <w:trHeight w:val="420"/>
        </w:trPr>
        <w:tc>
          <w:tcPr>
            <w:tcW w:w="992" w:type="dxa"/>
            <w:tcBorders>
              <w:top w:val="single" w:sz="4" w:space="0" w:color="000000"/>
              <w:left w:val="single" w:sz="4" w:space="0" w:color="000000"/>
              <w:bottom w:val="single" w:sz="4" w:space="0" w:color="000000"/>
              <w:right w:val="single" w:sz="4" w:space="0" w:color="000000"/>
            </w:tcBorders>
          </w:tcPr>
          <w:p w14:paraId="61B9AF8E" w14:textId="77777777" w:rsidR="00656438" w:rsidRDefault="00A26303">
            <w:r>
              <w:rPr>
                <w:rFonts w:ascii="Calibri" w:eastAsia="Calibri" w:hAnsi="Calibri" w:cs="Calibri"/>
                <w:b/>
                <w:sz w:val="20"/>
                <w:szCs w:val="20"/>
              </w:rPr>
              <w:t>Local Body</w:t>
            </w:r>
          </w:p>
        </w:tc>
        <w:tc>
          <w:tcPr>
            <w:tcW w:w="1476" w:type="dxa"/>
            <w:tcBorders>
              <w:top w:val="single" w:sz="4" w:space="0" w:color="000000"/>
              <w:left w:val="single" w:sz="4" w:space="0" w:color="000000"/>
              <w:bottom w:val="single" w:sz="4" w:space="0" w:color="000000"/>
              <w:right w:val="single" w:sz="4" w:space="0" w:color="000000"/>
            </w:tcBorders>
          </w:tcPr>
          <w:p w14:paraId="2B90D16C" w14:textId="77777777" w:rsidR="00656438" w:rsidRDefault="00656438">
            <w:pPr>
              <w:jc w:val="right"/>
            </w:pPr>
          </w:p>
        </w:tc>
        <w:tc>
          <w:tcPr>
            <w:tcW w:w="1074" w:type="dxa"/>
            <w:tcBorders>
              <w:top w:val="single" w:sz="4" w:space="0" w:color="000000"/>
              <w:left w:val="single" w:sz="4" w:space="0" w:color="000000"/>
              <w:bottom w:val="single" w:sz="4" w:space="0" w:color="000000"/>
              <w:right w:val="single" w:sz="4" w:space="0" w:color="000000"/>
            </w:tcBorders>
          </w:tcPr>
          <w:p w14:paraId="6DBEF938" w14:textId="77777777" w:rsidR="00656438" w:rsidRDefault="00656438"/>
        </w:tc>
        <w:tc>
          <w:tcPr>
            <w:tcW w:w="1139" w:type="dxa"/>
            <w:tcBorders>
              <w:top w:val="single" w:sz="4" w:space="0" w:color="000000"/>
              <w:left w:val="single" w:sz="4" w:space="0" w:color="000000"/>
              <w:bottom w:val="single" w:sz="4" w:space="0" w:color="000000"/>
              <w:right w:val="single" w:sz="4" w:space="0" w:color="000000"/>
            </w:tcBorders>
          </w:tcPr>
          <w:p w14:paraId="526BC324" w14:textId="77777777" w:rsidR="00656438" w:rsidRDefault="00656438"/>
        </w:tc>
        <w:tc>
          <w:tcPr>
            <w:tcW w:w="3479" w:type="dxa"/>
            <w:tcBorders>
              <w:top w:val="single" w:sz="4" w:space="0" w:color="000000"/>
              <w:left w:val="single" w:sz="4" w:space="0" w:color="000000"/>
              <w:bottom w:val="single" w:sz="4" w:space="0" w:color="000000"/>
              <w:right w:val="single" w:sz="4" w:space="0" w:color="000000"/>
            </w:tcBorders>
          </w:tcPr>
          <w:p w14:paraId="0B2A2834" w14:textId="77777777" w:rsidR="00656438" w:rsidRDefault="00656438"/>
        </w:tc>
      </w:tr>
      <w:tr w:rsidR="00656438" w14:paraId="6B392749" w14:textId="77777777">
        <w:trPr>
          <w:trHeight w:val="400"/>
        </w:trPr>
        <w:tc>
          <w:tcPr>
            <w:tcW w:w="992" w:type="dxa"/>
            <w:tcBorders>
              <w:top w:val="single" w:sz="4" w:space="0" w:color="000000"/>
              <w:left w:val="single" w:sz="4" w:space="0" w:color="000000"/>
              <w:bottom w:val="single" w:sz="4" w:space="0" w:color="000000"/>
              <w:right w:val="single" w:sz="4" w:space="0" w:color="000000"/>
            </w:tcBorders>
          </w:tcPr>
          <w:p w14:paraId="38802EB5" w14:textId="77777777" w:rsidR="00656438" w:rsidRDefault="00A26303">
            <w:r>
              <w:rPr>
                <w:rFonts w:ascii="Calibri" w:eastAsia="Calibri" w:hAnsi="Calibri" w:cs="Calibri"/>
                <w:b/>
                <w:sz w:val="20"/>
                <w:szCs w:val="20"/>
              </w:rPr>
              <w:t>DCMS</w:t>
            </w:r>
          </w:p>
        </w:tc>
        <w:tc>
          <w:tcPr>
            <w:tcW w:w="1476" w:type="dxa"/>
            <w:tcBorders>
              <w:top w:val="single" w:sz="4" w:space="0" w:color="000000"/>
              <w:left w:val="single" w:sz="4" w:space="0" w:color="000000"/>
              <w:bottom w:val="single" w:sz="4" w:space="0" w:color="000000"/>
              <w:right w:val="single" w:sz="4" w:space="0" w:color="000000"/>
            </w:tcBorders>
          </w:tcPr>
          <w:p w14:paraId="288CB2BE" w14:textId="77777777" w:rsidR="00656438" w:rsidRDefault="00656438">
            <w:pPr>
              <w:jc w:val="right"/>
            </w:pPr>
          </w:p>
        </w:tc>
        <w:tc>
          <w:tcPr>
            <w:tcW w:w="1074" w:type="dxa"/>
            <w:tcBorders>
              <w:top w:val="single" w:sz="4" w:space="0" w:color="000000"/>
              <w:left w:val="single" w:sz="4" w:space="0" w:color="000000"/>
              <w:bottom w:val="single" w:sz="4" w:space="0" w:color="000000"/>
              <w:right w:val="single" w:sz="4" w:space="0" w:color="000000"/>
            </w:tcBorders>
          </w:tcPr>
          <w:p w14:paraId="38B1E676" w14:textId="77777777" w:rsidR="00656438" w:rsidRDefault="00656438"/>
        </w:tc>
        <w:tc>
          <w:tcPr>
            <w:tcW w:w="1139" w:type="dxa"/>
            <w:tcBorders>
              <w:top w:val="single" w:sz="4" w:space="0" w:color="000000"/>
              <w:left w:val="single" w:sz="4" w:space="0" w:color="000000"/>
              <w:bottom w:val="single" w:sz="4" w:space="0" w:color="000000"/>
              <w:right w:val="single" w:sz="4" w:space="0" w:color="000000"/>
            </w:tcBorders>
          </w:tcPr>
          <w:p w14:paraId="1BE302A1" w14:textId="77777777" w:rsidR="00656438" w:rsidRDefault="00656438"/>
        </w:tc>
        <w:tc>
          <w:tcPr>
            <w:tcW w:w="3479" w:type="dxa"/>
            <w:tcBorders>
              <w:top w:val="single" w:sz="4" w:space="0" w:color="000000"/>
              <w:left w:val="single" w:sz="4" w:space="0" w:color="000000"/>
              <w:bottom w:val="single" w:sz="4" w:space="0" w:color="000000"/>
              <w:right w:val="single" w:sz="4" w:space="0" w:color="000000"/>
            </w:tcBorders>
          </w:tcPr>
          <w:p w14:paraId="6EE89215" w14:textId="77777777" w:rsidR="00656438" w:rsidRDefault="00656438"/>
        </w:tc>
      </w:tr>
      <w:tr w:rsidR="00656438" w14:paraId="30BB2C96" w14:textId="77777777">
        <w:trPr>
          <w:trHeight w:val="420"/>
        </w:trPr>
        <w:tc>
          <w:tcPr>
            <w:tcW w:w="992" w:type="dxa"/>
            <w:tcBorders>
              <w:top w:val="single" w:sz="4" w:space="0" w:color="000000"/>
              <w:left w:val="single" w:sz="4" w:space="0" w:color="000000"/>
              <w:bottom w:val="single" w:sz="4" w:space="0" w:color="000000"/>
              <w:right w:val="single" w:sz="4" w:space="0" w:color="000000"/>
            </w:tcBorders>
          </w:tcPr>
          <w:p w14:paraId="0AA51EDF" w14:textId="77777777" w:rsidR="00656438" w:rsidRDefault="00A26303">
            <w:r>
              <w:rPr>
                <w:rFonts w:ascii="Calibri" w:eastAsia="Calibri" w:hAnsi="Calibri" w:cs="Calibri"/>
                <w:b/>
                <w:sz w:val="20"/>
                <w:szCs w:val="20"/>
              </w:rPr>
              <w:t>[ERDF]</w:t>
            </w:r>
          </w:p>
        </w:tc>
        <w:tc>
          <w:tcPr>
            <w:tcW w:w="1476" w:type="dxa"/>
            <w:tcBorders>
              <w:top w:val="single" w:sz="4" w:space="0" w:color="000000"/>
              <w:left w:val="single" w:sz="4" w:space="0" w:color="000000"/>
              <w:bottom w:val="single" w:sz="4" w:space="0" w:color="000000"/>
              <w:right w:val="single" w:sz="4" w:space="0" w:color="000000"/>
            </w:tcBorders>
          </w:tcPr>
          <w:p w14:paraId="7B9E1485" w14:textId="77777777" w:rsidR="00656438" w:rsidRDefault="00656438">
            <w:pPr>
              <w:jc w:val="right"/>
            </w:pPr>
          </w:p>
        </w:tc>
        <w:tc>
          <w:tcPr>
            <w:tcW w:w="1074" w:type="dxa"/>
            <w:tcBorders>
              <w:top w:val="single" w:sz="4" w:space="0" w:color="000000"/>
              <w:left w:val="single" w:sz="4" w:space="0" w:color="000000"/>
              <w:bottom w:val="single" w:sz="4" w:space="0" w:color="000000"/>
              <w:right w:val="single" w:sz="4" w:space="0" w:color="000000"/>
            </w:tcBorders>
          </w:tcPr>
          <w:p w14:paraId="7A862567" w14:textId="77777777" w:rsidR="00656438" w:rsidRDefault="00656438"/>
        </w:tc>
        <w:tc>
          <w:tcPr>
            <w:tcW w:w="1139" w:type="dxa"/>
            <w:tcBorders>
              <w:top w:val="single" w:sz="4" w:space="0" w:color="000000"/>
              <w:left w:val="single" w:sz="4" w:space="0" w:color="000000"/>
              <w:bottom w:val="single" w:sz="4" w:space="0" w:color="000000"/>
              <w:right w:val="single" w:sz="4" w:space="0" w:color="000000"/>
            </w:tcBorders>
          </w:tcPr>
          <w:p w14:paraId="0755E0A0" w14:textId="77777777" w:rsidR="00656438" w:rsidRDefault="00656438"/>
        </w:tc>
        <w:tc>
          <w:tcPr>
            <w:tcW w:w="3479" w:type="dxa"/>
            <w:tcBorders>
              <w:top w:val="single" w:sz="4" w:space="0" w:color="000000"/>
              <w:left w:val="single" w:sz="4" w:space="0" w:color="000000"/>
              <w:bottom w:val="single" w:sz="4" w:space="0" w:color="000000"/>
              <w:right w:val="single" w:sz="4" w:space="0" w:color="000000"/>
            </w:tcBorders>
          </w:tcPr>
          <w:p w14:paraId="04970583" w14:textId="77777777" w:rsidR="00656438" w:rsidRDefault="00656438"/>
        </w:tc>
      </w:tr>
      <w:tr w:rsidR="00656438" w14:paraId="1230473D" w14:textId="77777777">
        <w:trPr>
          <w:trHeight w:val="420"/>
        </w:trPr>
        <w:tc>
          <w:tcPr>
            <w:tcW w:w="992" w:type="dxa"/>
            <w:tcBorders>
              <w:top w:val="single" w:sz="4" w:space="0" w:color="000000"/>
              <w:left w:val="single" w:sz="4" w:space="0" w:color="000000"/>
              <w:bottom w:val="single" w:sz="4" w:space="0" w:color="000000"/>
              <w:right w:val="single" w:sz="4" w:space="0" w:color="000000"/>
            </w:tcBorders>
          </w:tcPr>
          <w:p w14:paraId="17AA4099" w14:textId="77777777" w:rsidR="00656438" w:rsidRDefault="00A26303">
            <w:r>
              <w:t>[•]</w:t>
            </w:r>
          </w:p>
        </w:tc>
        <w:tc>
          <w:tcPr>
            <w:tcW w:w="1476" w:type="dxa"/>
            <w:tcBorders>
              <w:top w:val="single" w:sz="4" w:space="0" w:color="000000"/>
              <w:left w:val="single" w:sz="4" w:space="0" w:color="000000"/>
              <w:bottom w:val="single" w:sz="4" w:space="0" w:color="000000"/>
              <w:right w:val="single" w:sz="4" w:space="0" w:color="000000"/>
            </w:tcBorders>
          </w:tcPr>
          <w:p w14:paraId="797CF9B5" w14:textId="77777777" w:rsidR="00656438" w:rsidRDefault="00656438">
            <w:pPr>
              <w:jc w:val="right"/>
            </w:pPr>
          </w:p>
        </w:tc>
        <w:tc>
          <w:tcPr>
            <w:tcW w:w="1074" w:type="dxa"/>
            <w:tcBorders>
              <w:top w:val="single" w:sz="4" w:space="0" w:color="000000"/>
              <w:left w:val="single" w:sz="4" w:space="0" w:color="000000"/>
              <w:bottom w:val="single" w:sz="4" w:space="0" w:color="000000"/>
              <w:right w:val="single" w:sz="4" w:space="0" w:color="000000"/>
            </w:tcBorders>
          </w:tcPr>
          <w:p w14:paraId="4A848393" w14:textId="77777777" w:rsidR="00656438" w:rsidRDefault="00656438"/>
        </w:tc>
        <w:tc>
          <w:tcPr>
            <w:tcW w:w="1139" w:type="dxa"/>
            <w:tcBorders>
              <w:top w:val="single" w:sz="4" w:space="0" w:color="000000"/>
              <w:left w:val="single" w:sz="4" w:space="0" w:color="000000"/>
              <w:bottom w:val="single" w:sz="4" w:space="0" w:color="000000"/>
              <w:right w:val="single" w:sz="4" w:space="0" w:color="000000"/>
            </w:tcBorders>
          </w:tcPr>
          <w:p w14:paraId="58B86AC1" w14:textId="77777777" w:rsidR="00656438" w:rsidRDefault="00656438"/>
        </w:tc>
        <w:tc>
          <w:tcPr>
            <w:tcW w:w="3479" w:type="dxa"/>
            <w:tcBorders>
              <w:top w:val="single" w:sz="4" w:space="0" w:color="000000"/>
              <w:left w:val="single" w:sz="4" w:space="0" w:color="000000"/>
              <w:bottom w:val="single" w:sz="4" w:space="0" w:color="000000"/>
              <w:right w:val="single" w:sz="4" w:space="0" w:color="000000"/>
            </w:tcBorders>
          </w:tcPr>
          <w:p w14:paraId="35E44B7A" w14:textId="77777777" w:rsidR="00656438" w:rsidRDefault="00656438"/>
        </w:tc>
      </w:tr>
      <w:tr w:rsidR="00656438" w14:paraId="0DBF1FD0" w14:textId="77777777">
        <w:trPr>
          <w:trHeight w:val="420"/>
        </w:trPr>
        <w:tc>
          <w:tcPr>
            <w:tcW w:w="992" w:type="dxa"/>
            <w:tcBorders>
              <w:top w:val="single" w:sz="4" w:space="0" w:color="000000"/>
              <w:left w:val="single" w:sz="4" w:space="0" w:color="000000"/>
              <w:bottom w:val="single" w:sz="4" w:space="0" w:color="000000"/>
              <w:right w:val="single" w:sz="4" w:space="0" w:color="000000"/>
            </w:tcBorders>
          </w:tcPr>
          <w:p w14:paraId="6129A050" w14:textId="77777777" w:rsidR="00656438" w:rsidRDefault="00A26303">
            <w:r>
              <w:rPr>
                <w:rFonts w:ascii="Calibri" w:eastAsia="Calibri" w:hAnsi="Calibri" w:cs="Calibri"/>
                <w:b/>
                <w:sz w:val="20"/>
                <w:szCs w:val="20"/>
              </w:rPr>
              <w:t>Total</w:t>
            </w:r>
          </w:p>
        </w:tc>
        <w:tc>
          <w:tcPr>
            <w:tcW w:w="1476" w:type="dxa"/>
            <w:tcBorders>
              <w:top w:val="single" w:sz="4" w:space="0" w:color="000000"/>
              <w:left w:val="single" w:sz="4" w:space="0" w:color="000000"/>
              <w:bottom w:val="single" w:sz="4" w:space="0" w:color="000000"/>
              <w:right w:val="single" w:sz="4" w:space="0" w:color="000000"/>
            </w:tcBorders>
          </w:tcPr>
          <w:p w14:paraId="14F7FCE6" w14:textId="77777777" w:rsidR="00656438" w:rsidRDefault="00656438">
            <w:pPr>
              <w:jc w:val="right"/>
            </w:pPr>
          </w:p>
        </w:tc>
        <w:tc>
          <w:tcPr>
            <w:tcW w:w="1074" w:type="dxa"/>
            <w:tcBorders>
              <w:top w:val="single" w:sz="4" w:space="0" w:color="000000"/>
              <w:left w:val="single" w:sz="4" w:space="0" w:color="000000"/>
              <w:bottom w:val="single" w:sz="4" w:space="0" w:color="000000"/>
              <w:right w:val="single" w:sz="4" w:space="0" w:color="000000"/>
            </w:tcBorders>
          </w:tcPr>
          <w:p w14:paraId="08ADC33F" w14:textId="77777777" w:rsidR="00656438" w:rsidRDefault="00656438"/>
        </w:tc>
        <w:tc>
          <w:tcPr>
            <w:tcW w:w="1139" w:type="dxa"/>
            <w:tcBorders>
              <w:top w:val="single" w:sz="4" w:space="0" w:color="000000"/>
              <w:left w:val="single" w:sz="4" w:space="0" w:color="000000"/>
              <w:bottom w:val="single" w:sz="4" w:space="0" w:color="000000"/>
              <w:right w:val="single" w:sz="4" w:space="0" w:color="000000"/>
            </w:tcBorders>
          </w:tcPr>
          <w:p w14:paraId="0D280A80" w14:textId="77777777" w:rsidR="00656438" w:rsidRDefault="00656438"/>
        </w:tc>
        <w:tc>
          <w:tcPr>
            <w:tcW w:w="3479" w:type="dxa"/>
            <w:tcBorders>
              <w:top w:val="single" w:sz="4" w:space="0" w:color="000000"/>
              <w:left w:val="single" w:sz="4" w:space="0" w:color="000000"/>
              <w:bottom w:val="single" w:sz="4" w:space="0" w:color="000000"/>
              <w:right w:val="single" w:sz="4" w:space="0" w:color="000000"/>
            </w:tcBorders>
          </w:tcPr>
          <w:p w14:paraId="54279655" w14:textId="77777777" w:rsidR="00656438" w:rsidRDefault="00656438"/>
        </w:tc>
      </w:tr>
    </w:tbl>
    <w:p w14:paraId="7834155F" w14:textId="77777777" w:rsidR="00656438" w:rsidRDefault="00656438" w:rsidP="001808D0">
      <w:pPr>
        <w:pStyle w:val="Heading2"/>
      </w:pPr>
    </w:p>
    <w:p w14:paraId="0124E12A" w14:textId="77777777" w:rsidR="00656438" w:rsidRDefault="00A26303">
      <w:pPr>
        <w:pStyle w:val="Heading3"/>
        <w:ind w:left="825" w:hanging="705"/>
        <w:jc w:val="left"/>
      </w:pPr>
      <w:r>
        <w:rPr>
          <w:b/>
          <w:color w:val="1F497D"/>
        </w:rPr>
        <w:t>Un-allocated funding</w:t>
      </w:r>
      <w:r>
        <w:rPr>
          <w:b/>
          <w:color w:val="1F497D"/>
          <w:vertAlign w:val="superscript"/>
        </w:rPr>
        <w:footnoteReference w:id="26"/>
      </w:r>
    </w:p>
    <w:p w14:paraId="7EDEC146" w14:textId="4E62192C" w:rsidR="00656438" w:rsidRDefault="00A26303">
      <w:pPr>
        <w:pStyle w:val="Heading3"/>
        <w:ind w:left="825" w:hanging="705"/>
        <w:jc w:val="left"/>
      </w:pPr>
      <w:bookmarkStart w:id="28" w:name="h.qh5ncqhnw560" w:colFirst="0" w:colLast="0"/>
      <w:bookmarkEnd w:id="28"/>
      <w:r>
        <w:t>2.3.10</w:t>
      </w:r>
      <w:r>
        <w:tab/>
        <w:t xml:space="preserve">[The </w:t>
      </w:r>
      <w:r w:rsidR="00BE4231">
        <w:t>Local Body</w:t>
      </w:r>
      <w:r>
        <w:t xml:space="preserve"> does not guarantee to allocate any funds which are not committed to a defined solution at the time of procurement.]</w:t>
      </w:r>
    </w:p>
    <w:p w14:paraId="42A9A366" w14:textId="77777777" w:rsidR="00656438" w:rsidRDefault="00A26303" w:rsidP="00797AE1">
      <w:pPr>
        <w:pStyle w:val="Heading3"/>
        <w:ind w:left="825" w:hanging="705"/>
        <w:contextualSpacing/>
        <w:jc w:val="left"/>
      </w:pPr>
      <w:bookmarkStart w:id="29" w:name="h.febiwor7hfur" w:colFirst="0" w:colLast="0"/>
      <w:bookmarkEnd w:id="29"/>
      <w:r>
        <w:rPr>
          <w:b/>
          <w:color w:val="1F497D"/>
        </w:rPr>
        <w:t>Contingency</w:t>
      </w:r>
      <w:r>
        <w:rPr>
          <w:sz w:val="32"/>
          <w:szCs w:val="32"/>
          <w:vertAlign w:val="superscript"/>
        </w:rPr>
        <w:footnoteReference w:id="27"/>
      </w:r>
    </w:p>
    <w:p w14:paraId="00EE66EF" w14:textId="157BE449" w:rsidR="00656438" w:rsidRDefault="00A26303" w:rsidP="00797AE1">
      <w:pPr>
        <w:pStyle w:val="Heading3"/>
        <w:ind w:left="690" w:hanging="570"/>
        <w:contextualSpacing/>
      </w:pPr>
      <w:r>
        <w:t>2.3.11</w:t>
      </w:r>
      <w:r>
        <w:tab/>
      </w:r>
      <w:r>
        <w:tab/>
        <w:t xml:space="preserve">[It is anticipated by the </w:t>
      </w:r>
      <w:r w:rsidR="00BE4231">
        <w:t>Local Body</w:t>
      </w:r>
      <w:r>
        <w:t xml:space="preserve"> that a contingent sum of up to [Insert amount] of the confirmed funding may be made available by the </w:t>
      </w:r>
      <w:r w:rsidR="00BE4231">
        <w:t>Local Body</w:t>
      </w:r>
      <w:r>
        <w:t xml:space="preserve"> to apply (at its </w:t>
      </w:r>
      <w:r w:rsidR="001808D0">
        <w:t>discretion) to any one or more L</w:t>
      </w:r>
      <w:r>
        <w:t xml:space="preserve">ots in such proportions as the </w:t>
      </w:r>
      <w:r w:rsidR="00BE4231">
        <w:t>Local Body</w:t>
      </w:r>
      <w:r>
        <w:t xml:space="preserve"> believes to reasonably represent the opportunity to enhance speed, coverage and delivery and/or addressing any shortfalls which may arise during the Project </w:t>
      </w:r>
      <w:r w:rsidR="001808D0">
        <w:t>p</w:t>
      </w:r>
      <w:r>
        <w:t xml:space="preserve">lanning stages post </w:t>
      </w:r>
      <w:r w:rsidR="001808D0">
        <w:t>Contract e</w:t>
      </w:r>
      <w:r>
        <w:t xml:space="preserve">ffective </w:t>
      </w:r>
      <w:r w:rsidR="001808D0">
        <w:t>d</w:t>
      </w:r>
      <w:r>
        <w:t xml:space="preserve">ate. The </w:t>
      </w:r>
      <w:r w:rsidR="008803B7">
        <w:t>Bidder</w:t>
      </w:r>
      <w:r>
        <w:t xml:space="preserve"> will be expected to provide private sector match funding in accordance with the gap funding principles</w:t>
      </w:r>
      <w:r w:rsidR="009C5714">
        <w:t>, up to the level of contingency identified</w:t>
      </w:r>
      <w:r>
        <w:t xml:space="preserve"> under this ITT.]</w:t>
      </w:r>
    </w:p>
    <w:p w14:paraId="54EFA15C" w14:textId="77777777" w:rsidR="00656438" w:rsidRDefault="00A26303">
      <w:pPr>
        <w:pStyle w:val="Heading1"/>
        <w:tabs>
          <w:tab w:val="left" w:pos="567"/>
        </w:tabs>
        <w:spacing w:before="360"/>
        <w:ind w:left="720" w:hanging="750"/>
      </w:pPr>
      <w:bookmarkStart w:id="30" w:name="h.7gfqg9pav4i4" w:colFirst="0" w:colLast="0"/>
      <w:bookmarkEnd w:id="30"/>
      <w:r>
        <w:rPr>
          <w:sz w:val="26"/>
          <w:szCs w:val="26"/>
        </w:rPr>
        <w:t>2.4      Implementation and Operations Requirements</w:t>
      </w:r>
    </w:p>
    <w:p w14:paraId="080E2BA8" w14:textId="77777777" w:rsidR="00656438" w:rsidRDefault="00A26303">
      <w:pPr>
        <w:pStyle w:val="Heading3"/>
        <w:ind w:left="825" w:hanging="705"/>
        <w:jc w:val="left"/>
      </w:pPr>
      <w:bookmarkStart w:id="31" w:name="h.qiiz1dnbp5v1" w:colFirst="0" w:colLast="0"/>
      <w:bookmarkEnd w:id="31"/>
      <w:r>
        <w:rPr>
          <w:b/>
          <w:color w:val="1F497D"/>
        </w:rPr>
        <w:t>Milestones</w:t>
      </w:r>
    </w:p>
    <w:p w14:paraId="22AD73D2" w14:textId="4F00B4DB" w:rsidR="00656438" w:rsidRDefault="00A26303">
      <w:pPr>
        <w:pStyle w:val="Heading3"/>
        <w:ind w:left="0" w:firstLine="0"/>
      </w:pPr>
      <w:r>
        <w:t xml:space="preserve">2.4.1 </w:t>
      </w:r>
      <w:r>
        <w:tab/>
        <w:t xml:space="preserve">For the purpose of Appendix 1 to Schedule 5.1 of the Contract, the percentage breakdown of public funding to </w:t>
      </w:r>
      <w:r w:rsidR="001808D0">
        <w:t>M</w:t>
      </w:r>
      <w:r>
        <w:t>ilestone types for this Contract will be as set out in the following table:</w:t>
      </w:r>
    </w:p>
    <w:tbl>
      <w:tblPr>
        <w:tblStyle w:val="a3"/>
        <w:tblW w:w="808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1"/>
        <w:gridCol w:w="2490"/>
        <w:gridCol w:w="1839"/>
      </w:tblGrid>
      <w:tr w:rsidR="00656438" w14:paraId="15865824" w14:textId="77777777">
        <w:tc>
          <w:tcPr>
            <w:tcW w:w="3751" w:type="dxa"/>
            <w:shd w:val="clear" w:color="auto" w:fill="4F81BD"/>
            <w:tcMar>
              <w:left w:w="108" w:type="dxa"/>
              <w:right w:w="108" w:type="dxa"/>
            </w:tcMar>
            <w:vAlign w:val="center"/>
          </w:tcPr>
          <w:p w14:paraId="73410412" w14:textId="77777777" w:rsidR="00656438" w:rsidRDefault="00A26303">
            <w:pPr>
              <w:jc w:val="center"/>
            </w:pPr>
            <w:r>
              <w:rPr>
                <w:rFonts w:ascii="Calibri" w:eastAsia="Calibri" w:hAnsi="Calibri" w:cs="Calibri"/>
                <w:b/>
                <w:color w:val="FFFFFF"/>
                <w:sz w:val="20"/>
                <w:szCs w:val="20"/>
              </w:rPr>
              <w:t>Milestone Type</w:t>
            </w:r>
          </w:p>
        </w:tc>
        <w:tc>
          <w:tcPr>
            <w:tcW w:w="2490" w:type="dxa"/>
            <w:shd w:val="clear" w:color="auto" w:fill="4F81BD"/>
            <w:tcMar>
              <w:left w:w="108" w:type="dxa"/>
              <w:right w:w="108" w:type="dxa"/>
            </w:tcMar>
            <w:vAlign w:val="center"/>
          </w:tcPr>
          <w:p w14:paraId="20461D01" w14:textId="77777777" w:rsidR="00656438" w:rsidRDefault="00A26303">
            <w:pPr>
              <w:jc w:val="center"/>
            </w:pPr>
            <w:r>
              <w:rPr>
                <w:rFonts w:ascii="Calibri" w:eastAsia="Calibri" w:hAnsi="Calibri" w:cs="Calibri"/>
                <w:b/>
                <w:color w:val="FFFFFF"/>
                <w:sz w:val="20"/>
                <w:szCs w:val="20"/>
              </w:rPr>
              <w:t xml:space="preserve"> Contract Percentage of Public Funding</w:t>
            </w:r>
          </w:p>
        </w:tc>
        <w:tc>
          <w:tcPr>
            <w:tcW w:w="1839" w:type="dxa"/>
            <w:shd w:val="clear" w:color="auto" w:fill="4F81BD"/>
          </w:tcPr>
          <w:p w14:paraId="3CD36995" w14:textId="77777777" w:rsidR="00656438" w:rsidRDefault="00A26303">
            <w:pPr>
              <w:jc w:val="center"/>
            </w:pPr>
            <w:r>
              <w:rPr>
                <w:rFonts w:ascii="Calibri" w:eastAsia="Calibri" w:hAnsi="Calibri" w:cs="Calibri"/>
                <w:b/>
                <w:color w:val="FFFFFF"/>
                <w:sz w:val="20"/>
                <w:szCs w:val="20"/>
              </w:rPr>
              <w:t>Additional Conditions of Payment</w:t>
            </w:r>
            <w:r>
              <w:rPr>
                <w:rFonts w:ascii="Calibri" w:eastAsia="Calibri" w:hAnsi="Calibri" w:cs="Calibri"/>
                <w:b/>
                <w:color w:val="FFFFFF"/>
                <w:sz w:val="20"/>
                <w:szCs w:val="20"/>
                <w:vertAlign w:val="superscript"/>
              </w:rPr>
              <w:footnoteReference w:id="28"/>
            </w:r>
          </w:p>
        </w:tc>
      </w:tr>
      <w:tr w:rsidR="00656438" w14:paraId="22B9DFA1" w14:textId="77777777">
        <w:tc>
          <w:tcPr>
            <w:tcW w:w="3751" w:type="dxa"/>
            <w:tcMar>
              <w:left w:w="108" w:type="dxa"/>
              <w:right w:w="108" w:type="dxa"/>
            </w:tcMar>
          </w:tcPr>
          <w:p w14:paraId="5DF01CD7" w14:textId="77777777" w:rsidR="00656438" w:rsidRDefault="00A26303">
            <w:r>
              <w:rPr>
                <w:rFonts w:ascii="Calibri" w:eastAsia="Calibri" w:hAnsi="Calibri" w:cs="Calibri"/>
                <w:b/>
                <w:sz w:val="20"/>
                <w:szCs w:val="20"/>
              </w:rPr>
              <w:t>Milestone 0: Survey &amp; Design Completion</w:t>
            </w:r>
          </w:p>
        </w:tc>
        <w:tc>
          <w:tcPr>
            <w:tcW w:w="2490" w:type="dxa"/>
            <w:tcMar>
              <w:left w:w="108" w:type="dxa"/>
              <w:right w:w="108" w:type="dxa"/>
            </w:tcMar>
          </w:tcPr>
          <w:p w14:paraId="5F8F540C" w14:textId="77777777" w:rsidR="00656438" w:rsidRDefault="00A26303">
            <w:pPr>
              <w:jc w:val="center"/>
            </w:pPr>
            <w:r>
              <w:rPr>
                <w:rFonts w:ascii="Calibri" w:eastAsia="Calibri" w:hAnsi="Calibri" w:cs="Calibri"/>
                <w:sz w:val="20"/>
                <w:szCs w:val="20"/>
              </w:rPr>
              <w:t>Maximum [x%]</w:t>
            </w:r>
          </w:p>
        </w:tc>
        <w:tc>
          <w:tcPr>
            <w:tcW w:w="1839" w:type="dxa"/>
          </w:tcPr>
          <w:p w14:paraId="18983870" w14:textId="77777777" w:rsidR="00656438" w:rsidRDefault="00656438">
            <w:pPr>
              <w:jc w:val="center"/>
            </w:pPr>
          </w:p>
        </w:tc>
      </w:tr>
      <w:tr w:rsidR="00656438" w14:paraId="3EC82272" w14:textId="77777777">
        <w:tc>
          <w:tcPr>
            <w:tcW w:w="3751" w:type="dxa"/>
            <w:tcMar>
              <w:left w:w="108" w:type="dxa"/>
              <w:right w:w="108" w:type="dxa"/>
            </w:tcMar>
          </w:tcPr>
          <w:p w14:paraId="4FC4ED24" w14:textId="77777777" w:rsidR="00656438" w:rsidRDefault="00A26303">
            <w:r>
              <w:rPr>
                <w:rFonts w:ascii="Calibri" w:eastAsia="Calibri" w:hAnsi="Calibri" w:cs="Calibri"/>
                <w:b/>
                <w:sz w:val="20"/>
                <w:szCs w:val="20"/>
              </w:rPr>
              <w:t>Milestone 1: Infrastructure Build</w:t>
            </w:r>
          </w:p>
        </w:tc>
        <w:tc>
          <w:tcPr>
            <w:tcW w:w="2490" w:type="dxa"/>
            <w:tcMar>
              <w:left w:w="108" w:type="dxa"/>
              <w:right w:w="108" w:type="dxa"/>
            </w:tcMar>
          </w:tcPr>
          <w:p w14:paraId="50CA6D1F" w14:textId="77777777" w:rsidR="00656438" w:rsidRDefault="00656438">
            <w:pPr>
              <w:jc w:val="center"/>
            </w:pPr>
          </w:p>
        </w:tc>
        <w:tc>
          <w:tcPr>
            <w:tcW w:w="1839" w:type="dxa"/>
          </w:tcPr>
          <w:p w14:paraId="00C91F73" w14:textId="77777777" w:rsidR="00656438" w:rsidRDefault="00656438">
            <w:pPr>
              <w:jc w:val="center"/>
            </w:pPr>
          </w:p>
        </w:tc>
      </w:tr>
      <w:tr w:rsidR="00656438" w14:paraId="6021432D" w14:textId="77777777">
        <w:tc>
          <w:tcPr>
            <w:tcW w:w="3751" w:type="dxa"/>
            <w:tcMar>
              <w:left w:w="108" w:type="dxa"/>
              <w:right w:w="108" w:type="dxa"/>
            </w:tcMar>
          </w:tcPr>
          <w:p w14:paraId="1EDE3494" w14:textId="77777777" w:rsidR="00656438" w:rsidRDefault="00A26303">
            <w:r>
              <w:rPr>
                <w:rFonts w:ascii="Calibri" w:eastAsia="Calibri" w:hAnsi="Calibri" w:cs="Calibri"/>
                <w:b/>
                <w:sz w:val="20"/>
                <w:szCs w:val="20"/>
              </w:rPr>
              <w:t>Milestone 2: Wholesale Access Available</w:t>
            </w:r>
          </w:p>
        </w:tc>
        <w:tc>
          <w:tcPr>
            <w:tcW w:w="2490" w:type="dxa"/>
            <w:tcMar>
              <w:left w:w="108" w:type="dxa"/>
              <w:right w:w="108" w:type="dxa"/>
            </w:tcMar>
          </w:tcPr>
          <w:p w14:paraId="4D93C371" w14:textId="77777777" w:rsidR="00656438" w:rsidRDefault="00656438">
            <w:pPr>
              <w:jc w:val="center"/>
            </w:pPr>
          </w:p>
        </w:tc>
        <w:tc>
          <w:tcPr>
            <w:tcW w:w="1839" w:type="dxa"/>
          </w:tcPr>
          <w:p w14:paraId="38BDB04D" w14:textId="77777777" w:rsidR="00656438" w:rsidRDefault="00656438">
            <w:pPr>
              <w:jc w:val="center"/>
            </w:pPr>
          </w:p>
        </w:tc>
      </w:tr>
      <w:tr w:rsidR="00656438" w14:paraId="26CA8777" w14:textId="77777777">
        <w:tc>
          <w:tcPr>
            <w:tcW w:w="3751" w:type="dxa"/>
            <w:tcMar>
              <w:left w:w="108" w:type="dxa"/>
              <w:right w:w="108" w:type="dxa"/>
            </w:tcMar>
          </w:tcPr>
          <w:p w14:paraId="771B00F1" w14:textId="77777777" w:rsidR="00656438" w:rsidRDefault="00A26303">
            <w:r>
              <w:rPr>
                <w:rFonts w:ascii="Calibri" w:eastAsia="Calibri" w:hAnsi="Calibri" w:cs="Calibri"/>
                <w:b/>
                <w:sz w:val="20"/>
                <w:szCs w:val="20"/>
              </w:rPr>
              <w:t>Milestone 3: End-user Take-up</w:t>
            </w:r>
          </w:p>
        </w:tc>
        <w:tc>
          <w:tcPr>
            <w:tcW w:w="2490" w:type="dxa"/>
            <w:tcMar>
              <w:left w:w="108" w:type="dxa"/>
              <w:right w:w="108" w:type="dxa"/>
            </w:tcMar>
          </w:tcPr>
          <w:p w14:paraId="62001775" w14:textId="77777777" w:rsidR="00656438" w:rsidRDefault="00A26303">
            <w:pPr>
              <w:jc w:val="center"/>
            </w:pPr>
            <w:r>
              <w:rPr>
                <w:rFonts w:ascii="Calibri" w:eastAsia="Calibri" w:hAnsi="Calibri" w:cs="Calibri"/>
                <w:sz w:val="20"/>
                <w:szCs w:val="20"/>
              </w:rPr>
              <w:t>Minimum [x%]</w:t>
            </w:r>
          </w:p>
        </w:tc>
        <w:tc>
          <w:tcPr>
            <w:tcW w:w="1839" w:type="dxa"/>
          </w:tcPr>
          <w:p w14:paraId="3890D1B9" w14:textId="77777777" w:rsidR="00656438" w:rsidRDefault="00656438">
            <w:pPr>
              <w:jc w:val="center"/>
            </w:pPr>
          </w:p>
        </w:tc>
      </w:tr>
    </w:tbl>
    <w:p w14:paraId="42BBB13A" w14:textId="77777777" w:rsidR="00656438" w:rsidRDefault="00656438">
      <w:pPr>
        <w:pStyle w:val="Heading3"/>
        <w:ind w:left="825" w:hanging="705"/>
        <w:jc w:val="left"/>
      </w:pPr>
      <w:bookmarkStart w:id="32" w:name="h.xkwdlrdzmp0s" w:colFirst="0" w:colLast="0"/>
      <w:bookmarkEnd w:id="32"/>
    </w:p>
    <w:p w14:paraId="358AE579" w14:textId="77777777" w:rsidR="00656438" w:rsidRDefault="00A26303">
      <w:pPr>
        <w:pStyle w:val="Heading3"/>
        <w:ind w:left="825" w:hanging="705"/>
        <w:jc w:val="left"/>
      </w:pPr>
      <w:bookmarkStart w:id="33" w:name="h.6tr8osgddl6r" w:colFirst="0" w:colLast="0"/>
      <w:bookmarkEnd w:id="33"/>
      <w:r>
        <w:rPr>
          <w:b/>
          <w:color w:val="1F497D"/>
        </w:rPr>
        <w:t>Timing</w:t>
      </w:r>
    </w:p>
    <w:p w14:paraId="2C921FE9" w14:textId="550D4267" w:rsidR="00656438" w:rsidRDefault="00A32880" w:rsidP="00797AE1">
      <w:pPr>
        <w:pStyle w:val="Heading3"/>
        <w:ind w:left="0" w:firstLine="0"/>
        <w:contextualSpacing/>
      </w:pPr>
      <w:r>
        <w:t>2.4.2 The Solution must</w:t>
      </w:r>
      <w:r w:rsidR="00A26303">
        <w:t xml:space="preserve"> meet the following timetable</w:t>
      </w:r>
      <w:r w:rsidR="00A26303">
        <w:rPr>
          <w:vertAlign w:val="superscript"/>
        </w:rPr>
        <w:footnoteReference w:id="29"/>
      </w:r>
      <w:r w:rsidR="00A26303">
        <w:t>:</w:t>
      </w:r>
    </w:p>
    <w:tbl>
      <w:tblPr>
        <w:tblStyle w:val="a4"/>
        <w:tblW w:w="8221"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410"/>
        <w:gridCol w:w="2976"/>
      </w:tblGrid>
      <w:tr w:rsidR="00656438" w14:paraId="7F2321A5" w14:textId="77777777">
        <w:tc>
          <w:tcPr>
            <w:tcW w:w="2835" w:type="dxa"/>
            <w:shd w:val="clear" w:color="auto" w:fill="548DD4"/>
          </w:tcPr>
          <w:p w14:paraId="7CDEF606" w14:textId="77777777" w:rsidR="00656438" w:rsidRDefault="00A26303">
            <w:pPr>
              <w:spacing w:after="80" w:line="240" w:lineRule="auto"/>
              <w:jc w:val="center"/>
            </w:pPr>
            <w:r>
              <w:rPr>
                <w:rFonts w:ascii="Calibri" w:eastAsia="Calibri" w:hAnsi="Calibri" w:cs="Calibri"/>
                <w:b/>
                <w:color w:val="FFFFFF"/>
                <w:sz w:val="20"/>
                <w:szCs w:val="20"/>
              </w:rPr>
              <w:t>Deliverable</w:t>
            </w:r>
          </w:p>
        </w:tc>
        <w:tc>
          <w:tcPr>
            <w:tcW w:w="2410" w:type="dxa"/>
            <w:shd w:val="clear" w:color="auto" w:fill="548DD4"/>
          </w:tcPr>
          <w:p w14:paraId="10912FDB" w14:textId="77777777" w:rsidR="00656438" w:rsidRDefault="00A26303">
            <w:pPr>
              <w:spacing w:after="80" w:line="240" w:lineRule="auto"/>
              <w:jc w:val="center"/>
            </w:pPr>
            <w:r>
              <w:rPr>
                <w:rFonts w:ascii="Calibri" w:eastAsia="Calibri" w:hAnsi="Calibri" w:cs="Calibri"/>
                <w:b/>
                <w:color w:val="FFFFFF"/>
                <w:sz w:val="20"/>
                <w:szCs w:val="20"/>
              </w:rPr>
              <w:t>Timeline</w:t>
            </w:r>
          </w:p>
        </w:tc>
        <w:tc>
          <w:tcPr>
            <w:tcW w:w="2976" w:type="dxa"/>
            <w:shd w:val="clear" w:color="auto" w:fill="548DD4"/>
          </w:tcPr>
          <w:p w14:paraId="2CE598C9" w14:textId="77777777" w:rsidR="00656438" w:rsidRDefault="00A26303">
            <w:pPr>
              <w:spacing w:after="80" w:line="240" w:lineRule="auto"/>
              <w:jc w:val="center"/>
            </w:pPr>
            <w:r>
              <w:rPr>
                <w:rFonts w:ascii="Calibri" w:eastAsia="Calibri" w:hAnsi="Calibri" w:cs="Calibri"/>
                <w:b/>
                <w:color w:val="FFFFFF"/>
                <w:sz w:val="20"/>
                <w:szCs w:val="20"/>
              </w:rPr>
              <w:t>Comment</w:t>
            </w:r>
          </w:p>
        </w:tc>
      </w:tr>
      <w:tr w:rsidR="00656438" w14:paraId="6AF36F5E" w14:textId="77777777">
        <w:tc>
          <w:tcPr>
            <w:tcW w:w="2835" w:type="dxa"/>
          </w:tcPr>
          <w:p w14:paraId="01CEB3DA" w14:textId="77777777" w:rsidR="00656438" w:rsidRDefault="00A26303">
            <w:pPr>
              <w:jc w:val="left"/>
            </w:pPr>
            <w:r>
              <w:rPr>
                <w:rFonts w:ascii="Calibri" w:eastAsia="Calibri" w:hAnsi="Calibri" w:cs="Calibri"/>
                <w:sz w:val="20"/>
                <w:szCs w:val="20"/>
              </w:rPr>
              <w:lastRenderedPageBreak/>
              <w:t>[Implementation Complete]</w:t>
            </w:r>
          </w:p>
        </w:tc>
        <w:tc>
          <w:tcPr>
            <w:tcW w:w="2410" w:type="dxa"/>
          </w:tcPr>
          <w:p w14:paraId="71D65DE0" w14:textId="77777777" w:rsidR="00656438" w:rsidRDefault="00A26303">
            <w:pPr>
              <w:jc w:val="left"/>
            </w:pPr>
            <w:r>
              <w:rPr>
                <w:rFonts w:ascii="Calibri" w:eastAsia="Calibri" w:hAnsi="Calibri" w:cs="Calibri"/>
                <w:sz w:val="20"/>
                <w:szCs w:val="20"/>
              </w:rPr>
              <w:t>[Date]</w:t>
            </w:r>
          </w:p>
        </w:tc>
        <w:tc>
          <w:tcPr>
            <w:tcW w:w="2976" w:type="dxa"/>
          </w:tcPr>
          <w:p w14:paraId="47DC569C" w14:textId="77777777" w:rsidR="00656438" w:rsidRDefault="00A26303">
            <w:pPr>
              <w:jc w:val="left"/>
            </w:pPr>
            <w:r>
              <w:rPr>
                <w:rFonts w:ascii="Calibri" w:eastAsia="Calibri" w:hAnsi="Calibri" w:cs="Calibri"/>
                <w:sz w:val="20"/>
                <w:szCs w:val="20"/>
              </w:rPr>
              <w:t>[Final M2 Milestone to have been achieved.]</w:t>
            </w:r>
          </w:p>
        </w:tc>
      </w:tr>
      <w:tr w:rsidR="00656438" w14:paraId="57CFC3C7" w14:textId="77777777">
        <w:tc>
          <w:tcPr>
            <w:tcW w:w="2835" w:type="dxa"/>
          </w:tcPr>
          <w:p w14:paraId="18045B0B" w14:textId="77777777" w:rsidR="00656438" w:rsidRDefault="00656438">
            <w:pPr>
              <w:jc w:val="left"/>
            </w:pPr>
          </w:p>
        </w:tc>
        <w:tc>
          <w:tcPr>
            <w:tcW w:w="2410" w:type="dxa"/>
          </w:tcPr>
          <w:p w14:paraId="7A256C11" w14:textId="77777777" w:rsidR="00656438" w:rsidRDefault="00656438">
            <w:pPr>
              <w:jc w:val="left"/>
            </w:pPr>
          </w:p>
        </w:tc>
        <w:tc>
          <w:tcPr>
            <w:tcW w:w="2976" w:type="dxa"/>
          </w:tcPr>
          <w:p w14:paraId="08AFB56D" w14:textId="77777777" w:rsidR="00656438" w:rsidRDefault="00656438">
            <w:pPr>
              <w:jc w:val="left"/>
            </w:pPr>
          </w:p>
        </w:tc>
      </w:tr>
      <w:tr w:rsidR="00656438" w14:paraId="525F4237" w14:textId="77777777">
        <w:tc>
          <w:tcPr>
            <w:tcW w:w="2835" w:type="dxa"/>
          </w:tcPr>
          <w:p w14:paraId="58969770" w14:textId="48E5A0DA" w:rsidR="00656438" w:rsidRDefault="001A7FD8">
            <w:pPr>
              <w:jc w:val="left"/>
            </w:pPr>
            <w:r>
              <w:rPr>
                <w:rFonts w:ascii="Calibri" w:hAnsi="Calibri"/>
                <w:color w:val="222222"/>
                <w:sz w:val="20"/>
                <w:szCs w:val="20"/>
                <w:shd w:val="clear" w:color="auto" w:fill="FFFFFF"/>
              </w:rPr>
              <w:t>Maximise implementation outputs for the solution (premises passed by NGA with speeds ≥30Mbps)</w:t>
            </w:r>
          </w:p>
        </w:tc>
        <w:tc>
          <w:tcPr>
            <w:tcW w:w="2410" w:type="dxa"/>
          </w:tcPr>
          <w:p w14:paraId="243C7DFA" w14:textId="0D1DDD1B" w:rsidR="00656438" w:rsidRDefault="001A7FD8">
            <w:pPr>
              <w:jc w:val="left"/>
            </w:pPr>
            <w:r>
              <w:rPr>
                <w:rFonts w:ascii="Calibri" w:hAnsi="Calibri"/>
                <w:color w:val="222222"/>
                <w:sz w:val="20"/>
                <w:szCs w:val="20"/>
                <w:shd w:val="clear" w:color="auto" w:fill="FFFFFF"/>
              </w:rPr>
              <w:t>December 2017</w:t>
            </w:r>
          </w:p>
        </w:tc>
        <w:tc>
          <w:tcPr>
            <w:tcW w:w="2976" w:type="dxa"/>
          </w:tcPr>
          <w:p w14:paraId="3FB9B4F0" w14:textId="21737885" w:rsidR="00656438" w:rsidRDefault="001A7FD8">
            <w:pPr>
              <w:jc w:val="left"/>
            </w:pPr>
            <w:r>
              <w:rPr>
                <w:rFonts w:ascii="Calibri" w:hAnsi="Calibri"/>
                <w:color w:val="222222"/>
                <w:sz w:val="20"/>
                <w:szCs w:val="20"/>
                <w:shd w:val="clear" w:color="auto" w:fill="FFFFFF"/>
              </w:rPr>
              <w:t>Premises passed by December 2017 will achieve higher scores (Level 3 Criterion - 2.5.1)</w:t>
            </w:r>
          </w:p>
        </w:tc>
      </w:tr>
      <w:tr w:rsidR="001A7FD8" w14:paraId="0A5EE55C" w14:textId="77777777">
        <w:tc>
          <w:tcPr>
            <w:tcW w:w="2835" w:type="dxa"/>
          </w:tcPr>
          <w:p w14:paraId="06979377" w14:textId="77777777" w:rsidR="001A7FD8" w:rsidRDefault="001A7FD8">
            <w:pPr>
              <w:jc w:val="left"/>
              <w:rPr>
                <w:rFonts w:ascii="Calibri" w:hAnsi="Calibri"/>
                <w:color w:val="222222"/>
                <w:sz w:val="20"/>
                <w:szCs w:val="20"/>
                <w:shd w:val="clear" w:color="auto" w:fill="FFFFFF"/>
              </w:rPr>
            </w:pPr>
          </w:p>
        </w:tc>
        <w:tc>
          <w:tcPr>
            <w:tcW w:w="2410" w:type="dxa"/>
          </w:tcPr>
          <w:p w14:paraId="0000E31F" w14:textId="77777777" w:rsidR="001A7FD8" w:rsidRDefault="001A7FD8">
            <w:pPr>
              <w:jc w:val="left"/>
              <w:rPr>
                <w:rFonts w:ascii="Calibri" w:hAnsi="Calibri"/>
                <w:color w:val="222222"/>
                <w:sz w:val="20"/>
                <w:szCs w:val="20"/>
                <w:shd w:val="clear" w:color="auto" w:fill="FFFFFF"/>
              </w:rPr>
            </w:pPr>
          </w:p>
        </w:tc>
        <w:tc>
          <w:tcPr>
            <w:tcW w:w="2976" w:type="dxa"/>
          </w:tcPr>
          <w:p w14:paraId="3D15DA27" w14:textId="77777777" w:rsidR="001A7FD8" w:rsidRDefault="001A7FD8">
            <w:pPr>
              <w:jc w:val="left"/>
              <w:rPr>
                <w:rFonts w:ascii="Calibri" w:hAnsi="Calibri"/>
                <w:color w:val="222222"/>
                <w:sz w:val="20"/>
                <w:szCs w:val="20"/>
                <w:shd w:val="clear" w:color="auto" w:fill="FFFFFF"/>
              </w:rPr>
            </w:pPr>
          </w:p>
        </w:tc>
      </w:tr>
      <w:tr w:rsidR="001A7FD8" w14:paraId="1706EC41" w14:textId="77777777" w:rsidTr="001A7FD8">
        <w:tc>
          <w:tcPr>
            <w:tcW w:w="8221" w:type="dxa"/>
            <w:gridSpan w:val="3"/>
          </w:tcPr>
          <w:p w14:paraId="77EB4019" w14:textId="3BE74406" w:rsidR="001A7FD8" w:rsidRDefault="001A7FD8">
            <w:pPr>
              <w:jc w:val="left"/>
              <w:rPr>
                <w:rFonts w:ascii="Calibri" w:hAnsi="Calibri"/>
                <w:color w:val="222222"/>
                <w:sz w:val="20"/>
                <w:szCs w:val="20"/>
                <w:shd w:val="clear" w:color="auto" w:fill="FFFFFF"/>
              </w:rPr>
            </w:pPr>
            <w:r>
              <w:rPr>
                <w:rFonts w:ascii="Calibri" w:hAnsi="Calibri"/>
                <w:color w:val="222222"/>
                <w:sz w:val="20"/>
                <w:szCs w:val="20"/>
                <w:shd w:val="clear" w:color="auto" w:fill="FFFFFF"/>
              </w:rPr>
              <w:t>Implementation plans which deliver coverage more quickly will score more highly</w:t>
            </w:r>
          </w:p>
        </w:tc>
      </w:tr>
    </w:tbl>
    <w:p w14:paraId="2B7C0874" w14:textId="77777777" w:rsidR="00656438" w:rsidRDefault="00A26303">
      <w:r>
        <w:t xml:space="preserve"> </w:t>
      </w:r>
    </w:p>
    <w:p w14:paraId="505D2720" w14:textId="7C43D842" w:rsidR="00656438" w:rsidRDefault="00A26303" w:rsidP="00797AE1">
      <w:pPr>
        <w:pStyle w:val="Heading3"/>
        <w:ind w:left="825" w:hanging="705"/>
        <w:contextualSpacing/>
        <w:jc w:val="left"/>
      </w:pPr>
      <w:bookmarkStart w:id="34" w:name="h.5tg7znst058t" w:colFirst="0" w:colLast="0"/>
      <w:bookmarkEnd w:id="34"/>
      <w:r>
        <w:rPr>
          <w:b/>
          <w:color w:val="1F497D"/>
        </w:rPr>
        <w:t>Governance</w:t>
      </w:r>
    </w:p>
    <w:p w14:paraId="20B2E06D" w14:textId="62FE40AC" w:rsidR="005C6FD0" w:rsidRPr="007B4D7B" w:rsidRDefault="00A26303" w:rsidP="005C6FD0">
      <w:pPr>
        <w:pStyle w:val="Heading3"/>
        <w:spacing w:after="288"/>
        <w:ind w:left="825" w:hanging="705"/>
        <w:contextualSpacing/>
      </w:pPr>
      <w:r>
        <w:t>2.4.3</w:t>
      </w:r>
      <w:r>
        <w:tab/>
        <w:t xml:space="preserve">The governance arrangements </w:t>
      </w:r>
      <w:r w:rsidR="005C6FD0">
        <w:t>are</w:t>
      </w:r>
      <w:r>
        <w:t xml:space="preserve"> </w:t>
      </w:r>
      <w:r w:rsidR="005C6FD0">
        <w:t>set out in</w:t>
      </w:r>
      <w:r>
        <w:t xml:space="preserve"> Schedule 6.1 of the Contract</w:t>
      </w:r>
      <w:r w:rsidR="005C6FD0">
        <w:rPr>
          <w:rStyle w:val="FootnoteReference"/>
        </w:rPr>
        <w:footnoteReference w:id="30"/>
      </w:r>
      <w:r w:rsidR="005C6FD0">
        <w:t>.</w:t>
      </w:r>
    </w:p>
    <w:p w14:paraId="511C011D" w14:textId="77777777" w:rsidR="00656438" w:rsidRDefault="00A26303" w:rsidP="00797AE1">
      <w:pPr>
        <w:pStyle w:val="Heading1"/>
        <w:tabs>
          <w:tab w:val="left" w:pos="567"/>
        </w:tabs>
        <w:spacing w:before="360"/>
        <w:ind w:left="720" w:hanging="750"/>
        <w:contextualSpacing/>
        <w:jc w:val="both"/>
      </w:pPr>
      <w:bookmarkStart w:id="35" w:name="h.s9vknn51ha12" w:colFirst="0" w:colLast="0"/>
      <w:bookmarkEnd w:id="35"/>
      <w:r>
        <w:rPr>
          <w:sz w:val="22"/>
          <w:szCs w:val="22"/>
        </w:rPr>
        <w:t>Additional Marketing and Demand Stimulation</w:t>
      </w:r>
      <w:r>
        <w:rPr>
          <w:sz w:val="32"/>
          <w:szCs w:val="32"/>
          <w:vertAlign w:val="superscript"/>
        </w:rPr>
        <w:footnoteReference w:id="31"/>
      </w:r>
    </w:p>
    <w:p w14:paraId="3A639272" w14:textId="2744F1A0" w:rsidR="00656438" w:rsidRDefault="00A26303">
      <w:pPr>
        <w:pStyle w:val="Heading3"/>
        <w:ind w:left="825" w:hanging="705"/>
      </w:pPr>
      <w:r>
        <w:t>2.4.5</w:t>
      </w:r>
      <w:r>
        <w:tab/>
        <w:t xml:space="preserve">The Local Body has identified the following local businesses, residents and communities with which it wants the </w:t>
      </w:r>
      <w:r w:rsidR="008803B7">
        <w:t>Bidder</w:t>
      </w:r>
      <w:r>
        <w:t xml:space="preserve"> to j</w:t>
      </w:r>
      <w:r w:rsidR="00525775">
        <w:t>ointly engage in order to plan d</w:t>
      </w:r>
      <w:r>
        <w:t xml:space="preserve">emand </w:t>
      </w:r>
      <w:r w:rsidR="00525775">
        <w:t>s</w:t>
      </w:r>
      <w:r>
        <w:t>timulation in the identified target areas detailed in this Contract:</w:t>
      </w:r>
      <w:r w:rsidR="00502099">
        <w:t xml:space="preserve"> </w:t>
      </w:r>
    </w:p>
    <w:p w14:paraId="18F6023F" w14:textId="77777777" w:rsidR="00656438" w:rsidRPr="007B4D7B" w:rsidRDefault="007B4D7B">
      <w:pPr>
        <w:numPr>
          <w:ilvl w:val="0"/>
          <w:numId w:val="3"/>
        </w:numPr>
        <w:ind w:hanging="360"/>
        <w:contextualSpacing/>
        <w:rPr>
          <w:rFonts w:ascii="Calibri" w:eastAsia="Calibri" w:hAnsi="Calibri" w:cs="Calibri"/>
          <w:highlight w:val="yellow"/>
        </w:rPr>
      </w:pPr>
      <w:r w:rsidRPr="007B4D7B">
        <w:rPr>
          <w:rFonts w:ascii="Calibri" w:eastAsia="Calibri" w:hAnsi="Calibri" w:cs="Calibri"/>
          <w:highlight w:val="yellow"/>
        </w:rPr>
        <w:t>[                    ]</w:t>
      </w:r>
    </w:p>
    <w:p w14:paraId="30C0F4C4" w14:textId="353ADC4F" w:rsidR="00656438" w:rsidRDefault="00A26303">
      <w:pPr>
        <w:pStyle w:val="Heading3"/>
        <w:ind w:left="825" w:hanging="705"/>
      </w:pPr>
      <w:r>
        <w:t>2.4.6</w:t>
      </w:r>
      <w:r>
        <w:tab/>
        <w:t xml:space="preserve">The Local Body requires the </w:t>
      </w:r>
      <w:r w:rsidR="008803B7">
        <w:t>Bidder</w:t>
      </w:r>
      <w:r>
        <w:t xml:space="preserve"> to conduct the following additional </w:t>
      </w:r>
      <w:r w:rsidR="00525775">
        <w:t>d</w:t>
      </w:r>
      <w:r>
        <w:t xml:space="preserve">emand </w:t>
      </w:r>
      <w:r w:rsidR="00525775">
        <w:t>s</w:t>
      </w:r>
      <w:r>
        <w:t>timulation activities:</w:t>
      </w:r>
    </w:p>
    <w:p w14:paraId="757AE0C9" w14:textId="77777777" w:rsidR="00656438" w:rsidRPr="007B4D7B" w:rsidRDefault="007B4D7B">
      <w:pPr>
        <w:numPr>
          <w:ilvl w:val="0"/>
          <w:numId w:val="3"/>
        </w:numPr>
        <w:ind w:hanging="360"/>
        <w:contextualSpacing/>
        <w:rPr>
          <w:highlight w:val="yellow"/>
        </w:rPr>
      </w:pPr>
      <w:r w:rsidRPr="007B4D7B">
        <w:rPr>
          <w:rFonts w:ascii="Calibri" w:eastAsia="Calibri" w:hAnsi="Calibri" w:cs="Calibri"/>
          <w:highlight w:val="yellow"/>
        </w:rPr>
        <w:t>[                    ]</w:t>
      </w:r>
    </w:p>
    <w:p w14:paraId="060E7A35" w14:textId="77777777" w:rsidR="00656438" w:rsidRDefault="00656438">
      <w:pPr>
        <w:ind w:left="1440"/>
      </w:pPr>
    </w:p>
    <w:p w14:paraId="7472E80A" w14:textId="77777777" w:rsidR="00656438" w:rsidRDefault="00656438">
      <w:pPr>
        <w:ind w:left="1440"/>
      </w:pPr>
    </w:p>
    <w:p w14:paraId="54C127F1" w14:textId="2300082B" w:rsidR="00656438" w:rsidRDefault="00656438">
      <w:bookmarkStart w:id="36" w:name="h.u0r0f91pq9rx" w:colFirst="0" w:colLast="0"/>
      <w:bookmarkEnd w:id="36"/>
    </w:p>
    <w:p w14:paraId="621B6F09" w14:textId="77777777" w:rsidR="00F650EE" w:rsidRDefault="00F650EE"/>
    <w:p w14:paraId="11263606" w14:textId="77777777" w:rsidR="00656438" w:rsidRDefault="00656438">
      <w:pPr>
        <w:jc w:val="center"/>
      </w:pPr>
      <w:bookmarkStart w:id="37" w:name="h.jhewl4hy7hur" w:colFirst="0" w:colLast="0"/>
      <w:bookmarkEnd w:id="37"/>
    </w:p>
    <w:p w14:paraId="432A4133" w14:textId="77777777" w:rsidR="00DA55B9" w:rsidRDefault="00DA55B9">
      <w:pPr>
        <w:rPr>
          <w:rFonts w:ascii="Calibri" w:eastAsia="Calibri" w:hAnsi="Calibri" w:cs="Calibri"/>
          <w:b/>
          <w:color w:val="1F497D"/>
          <w:sz w:val="40"/>
          <w:szCs w:val="40"/>
        </w:rPr>
      </w:pPr>
      <w:bookmarkStart w:id="38" w:name="h.hiu13sq8ang8" w:colFirst="0" w:colLast="0"/>
      <w:bookmarkEnd w:id="38"/>
      <w:r>
        <w:rPr>
          <w:rFonts w:ascii="Calibri" w:eastAsia="Calibri" w:hAnsi="Calibri" w:cs="Calibri"/>
          <w:b/>
          <w:color w:val="1F497D"/>
          <w:sz w:val="40"/>
          <w:szCs w:val="40"/>
        </w:rPr>
        <w:br w:type="page"/>
      </w:r>
    </w:p>
    <w:p w14:paraId="01F3461F" w14:textId="6DE34711" w:rsidR="00656438" w:rsidRDefault="00A26303">
      <w:pPr>
        <w:jc w:val="center"/>
      </w:pPr>
      <w:r>
        <w:rPr>
          <w:rFonts w:ascii="Calibri" w:eastAsia="Calibri" w:hAnsi="Calibri" w:cs="Calibri"/>
          <w:b/>
          <w:color w:val="1F497D"/>
          <w:sz w:val="40"/>
          <w:szCs w:val="40"/>
        </w:rPr>
        <w:lastRenderedPageBreak/>
        <w:t xml:space="preserve">Appendix 1 </w:t>
      </w:r>
    </w:p>
    <w:p w14:paraId="6CD5C0BE" w14:textId="76BC66A0" w:rsidR="00656438" w:rsidRDefault="00A26303">
      <w:bookmarkStart w:id="39" w:name="h.3o7alnk" w:colFirst="0" w:colLast="0"/>
      <w:bookmarkEnd w:id="39"/>
      <w:r>
        <w:rPr>
          <w:rFonts w:ascii="Calibri" w:eastAsia="Calibri" w:hAnsi="Calibri" w:cs="Calibri"/>
          <w:b/>
          <w:color w:val="1F497D"/>
          <w:sz w:val="40"/>
          <w:szCs w:val="40"/>
        </w:rPr>
        <w:t>Evaluation</w:t>
      </w:r>
      <w:r w:rsidR="009B7C2E">
        <w:rPr>
          <w:rFonts w:ascii="Calibri" w:eastAsia="Calibri" w:hAnsi="Calibri" w:cs="Calibri"/>
          <w:b/>
          <w:color w:val="1F497D"/>
          <w:sz w:val="40"/>
          <w:szCs w:val="40"/>
        </w:rPr>
        <w:t xml:space="preserve"> Strategy, including [Selection</w:t>
      </w:r>
      <w:r>
        <w:rPr>
          <w:rFonts w:ascii="Calibri" w:eastAsia="Calibri" w:hAnsi="Calibri" w:cs="Calibri"/>
          <w:b/>
          <w:color w:val="1F497D"/>
          <w:sz w:val="40"/>
          <w:szCs w:val="40"/>
        </w:rPr>
        <w:t xml:space="preserve"> and</w:t>
      </w:r>
      <w:r w:rsidR="009B7C2E">
        <w:rPr>
          <w:rFonts w:ascii="Calibri" w:eastAsia="Calibri" w:hAnsi="Calibri" w:cs="Calibri"/>
          <w:b/>
          <w:color w:val="1F497D"/>
          <w:sz w:val="40"/>
          <w:szCs w:val="40"/>
        </w:rPr>
        <w:t>]</w:t>
      </w:r>
      <w:r w:rsidR="009B7C2E">
        <w:rPr>
          <w:rFonts w:ascii="Calibri" w:eastAsia="Calibri" w:hAnsi="Calibri" w:cs="Calibri"/>
          <w:b/>
          <w:color w:val="1F497D"/>
          <w:sz w:val="40"/>
          <w:szCs w:val="40"/>
          <w:vertAlign w:val="superscript"/>
        </w:rPr>
        <w:footnoteReference w:id="32"/>
      </w:r>
      <w:r>
        <w:rPr>
          <w:rFonts w:ascii="Calibri" w:eastAsia="Calibri" w:hAnsi="Calibri" w:cs="Calibri"/>
          <w:b/>
          <w:color w:val="1F497D"/>
          <w:sz w:val="40"/>
          <w:szCs w:val="40"/>
        </w:rPr>
        <w:t xml:space="preserve"> Award Criteria</w:t>
      </w:r>
      <w:r>
        <w:rPr>
          <w:rFonts w:ascii="Calibri" w:eastAsia="Calibri" w:hAnsi="Calibri" w:cs="Calibri"/>
          <w:b/>
          <w:color w:val="1F497D"/>
          <w:sz w:val="40"/>
          <w:szCs w:val="40"/>
          <w:vertAlign w:val="superscript"/>
        </w:rPr>
        <w:footnoteReference w:id="33"/>
      </w:r>
    </w:p>
    <w:p w14:paraId="5F501CAE" w14:textId="77777777" w:rsidR="00656438" w:rsidRDefault="00A26303">
      <w:pPr>
        <w:pStyle w:val="Heading2"/>
        <w:numPr>
          <w:ilvl w:val="1"/>
          <w:numId w:val="6"/>
        </w:numPr>
        <w:tabs>
          <w:tab w:val="left" w:pos="567"/>
        </w:tabs>
        <w:ind w:firstLine="0"/>
        <w:jc w:val="both"/>
        <w:rPr>
          <w:sz w:val="32"/>
          <w:szCs w:val="32"/>
        </w:rPr>
      </w:pPr>
      <w:bookmarkStart w:id="40" w:name="h.23ckvvd" w:colFirst="0" w:colLast="0"/>
      <w:bookmarkEnd w:id="40"/>
      <w:r>
        <w:rPr>
          <w:sz w:val="32"/>
          <w:szCs w:val="32"/>
        </w:rPr>
        <w:t>Introduction</w:t>
      </w:r>
    </w:p>
    <w:p w14:paraId="1F692018" w14:textId="77777777" w:rsidR="00656438" w:rsidRDefault="00A26303" w:rsidP="00452874">
      <w:pPr>
        <w:pStyle w:val="Heading2"/>
        <w:keepNext w:val="0"/>
        <w:keepLines w:val="0"/>
        <w:numPr>
          <w:ilvl w:val="2"/>
          <w:numId w:val="6"/>
        </w:numPr>
        <w:spacing w:before="0" w:line="264" w:lineRule="auto"/>
        <w:ind w:left="1695" w:hanging="720"/>
        <w:jc w:val="both"/>
      </w:pPr>
      <w:bookmarkStart w:id="41" w:name="h.ihv636" w:colFirst="0" w:colLast="0"/>
      <w:bookmarkEnd w:id="41"/>
      <w:r>
        <w:rPr>
          <w:b w:val="0"/>
          <w:color w:val="000000"/>
          <w:sz w:val="22"/>
          <w:szCs w:val="22"/>
        </w:rPr>
        <w:t>This Appendix describes the evaluation approach which will operate for the award of the Local Body’s Contract.  The objective of the evaluation is to identify the Bidder submitting the Most Economically Advantageous Tender (MEAT).</w:t>
      </w:r>
    </w:p>
    <w:p w14:paraId="1F010D3D" w14:textId="77777777" w:rsidR="00656438" w:rsidRDefault="00A26303">
      <w:pPr>
        <w:pStyle w:val="Heading2"/>
        <w:numPr>
          <w:ilvl w:val="1"/>
          <w:numId w:val="6"/>
        </w:numPr>
        <w:tabs>
          <w:tab w:val="left" w:pos="567"/>
        </w:tabs>
        <w:ind w:firstLine="0"/>
        <w:jc w:val="both"/>
        <w:rPr>
          <w:sz w:val="32"/>
          <w:szCs w:val="32"/>
        </w:rPr>
      </w:pPr>
      <w:bookmarkStart w:id="42" w:name="h.32hioqz" w:colFirst="0" w:colLast="0"/>
      <w:bookmarkEnd w:id="42"/>
      <w:r>
        <w:rPr>
          <w:sz w:val="32"/>
          <w:szCs w:val="32"/>
        </w:rPr>
        <w:t>Evaluation Process</w:t>
      </w:r>
    </w:p>
    <w:p w14:paraId="0665B2CF" w14:textId="77777777" w:rsidR="00656438" w:rsidRDefault="00A26303" w:rsidP="00452874">
      <w:pPr>
        <w:pStyle w:val="Heading2"/>
        <w:keepNext w:val="0"/>
        <w:keepLines w:val="0"/>
        <w:numPr>
          <w:ilvl w:val="2"/>
          <w:numId w:val="6"/>
        </w:numPr>
        <w:spacing w:before="0" w:line="264" w:lineRule="auto"/>
        <w:ind w:hanging="720"/>
        <w:jc w:val="both"/>
      </w:pPr>
      <w:bookmarkStart w:id="43" w:name="h.1hmsyys" w:colFirst="0" w:colLast="0"/>
      <w:bookmarkEnd w:id="43"/>
      <w:r>
        <w:rPr>
          <w:b w:val="0"/>
          <w:color w:val="000000"/>
          <w:sz w:val="22"/>
          <w:szCs w:val="22"/>
        </w:rPr>
        <w:t>The main sequence of evaluation process activities is as follows:</w:t>
      </w:r>
    </w:p>
    <w:p w14:paraId="068953EB" w14:textId="77777777" w:rsidR="00656438" w:rsidRDefault="00A26303" w:rsidP="00452874">
      <w:pPr>
        <w:pStyle w:val="Heading2"/>
        <w:keepNext w:val="0"/>
        <w:keepLines w:val="0"/>
        <w:numPr>
          <w:ilvl w:val="2"/>
          <w:numId w:val="6"/>
        </w:numPr>
        <w:spacing w:before="0" w:line="264" w:lineRule="auto"/>
        <w:ind w:hanging="720"/>
        <w:jc w:val="both"/>
      </w:pPr>
      <w:bookmarkStart w:id="44" w:name="h.41mghml" w:colFirst="0" w:colLast="0"/>
      <w:bookmarkEnd w:id="44"/>
      <w:r>
        <w:rPr>
          <w:color w:val="000000"/>
          <w:sz w:val="22"/>
          <w:szCs w:val="22"/>
        </w:rPr>
        <w:t>Selection Process &amp; Submissions Review</w:t>
      </w:r>
      <w:r>
        <w:rPr>
          <w:b w:val="0"/>
          <w:color w:val="000000"/>
          <w:sz w:val="22"/>
          <w:szCs w:val="22"/>
          <w:vertAlign w:val="superscript"/>
        </w:rPr>
        <w:footnoteReference w:id="34"/>
      </w:r>
    </w:p>
    <w:p w14:paraId="5D6511FF" w14:textId="1DE8AEE5" w:rsidR="00656438" w:rsidRDefault="00A26303" w:rsidP="00452874">
      <w:pPr>
        <w:pStyle w:val="Heading2"/>
        <w:keepNext w:val="0"/>
        <w:keepLines w:val="0"/>
        <w:numPr>
          <w:ilvl w:val="3"/>
          <w:numId w:val="6"/>
        </w:numPr>
        <w:spacing w:before="0" w:line="264" w:lineRule="auto"/>
        <w:ind w:left="2250" w:hanging="1125"/>
        <w:jc w:val="both"/>
        <w:rPr>
          <w:b w:val="0"/>
          <w:color w:val="000000"/>
          <w:sz w:val="22"/>
          <w:szCs w:val="22"/>
        </w:rPr>
      </w:pPr>
      <w:bookmarkStart w:id="45" w:name="h.vlkjgjgvdw4t" w:colFirst="0" w:colLast="0"/>
      <w:bookmarkEnd w:id="45"/>
      <w:r>
        <w:rPr>
          <w:b w:val="0"/>
          <w:color w:val="000000"/>
          <w:sz w:val="22"/>
          <w:szCs w:val="22"/>
        </w:rPr>
        <w:t xml:space="preserve">Each Bidder is required to submit a completed set of information relating to </w:t>
      </w:r>
      <w:r w:rsidR="00564A0D">
        <w:rPr>
          <w:b w:val="0"/>
          <w:color w:val="000000"/>
          <w:sz w:val="22"/>
          <w:szCs w:val="22"/>
        </w:rPr>
        <w:t xml:space="preserve">the </w:t>
      </w:r>
      <w:r w:rsidR="00376653">
        <w:rPr>
          <w:b w:val="0"/>
          <w:color w:val="000000"/>
          <w:sz w:val="22"/>
          <w:szCs w:val="22"/>
        </w:rPr>
        <w:t>S</w:t>
      </w:r>
      <w:r w:rsidR="00F519D7">
        <w:rPr>
          <w:b w:val="0"/>
          <w:color w:val="000000"/>
          <w:sz w:val="22"/>
          <w:szCs w:val="22"/>
        </w:rPr>
        <w:t xml:space="preserve">tandard </w:t>
      </w:r>
      <w:r w:rsidR="006C114E">
        <w:rPr>
          <w:b w:val="0"/>
          <w:color w:val="000000"/>
          <w:sz w:val="22"/>
          <w:szCs w:val="22"/>
        </w:rPr>
        <w:t>S</w:t>
      </w:r>
      <w:r w:rsidR="00564A0D">
        <w:rPr>
          <w:b w:val="0"/>
          <w:color w:val="000000"/>
          <w:sz w:val="22"/>
          <w:szCs w:val="22"/>
        </w:rPr>
        <w:t xml:space="preserve">election </w:t>
      </w:r>
      <w:r w:rsidR="006C114E">
        <w:rPr>
          <w:b w:val="0"/>
          <w:color w:val="000000"/>
          <w:sz w:val="22"/>
          <w:szCs w:val="22"/>
        </w:rPr>
        <w:t>Q</w:t>
      </w:r>
      <w:r w:rsidR="00564A0D">
        <w:rPr>
          <w:b w:val="0"/>
          <w:color w:val="000000"/>
          <w:sz w:val="22"/>
          <w:szCs w:val="22"/>
        </w:rPr>
        <w:t>uestion</w:t>
      </w:r>
      <w:r w:rsidR="008D29A3">
        <w:rPr>
          <w:b w:val="0"/>
          <w:color w:val="000000"/>
          <w:sz w:val="22"/>
          <w:szCs w:val="22"/>
        </w:rPr>
        <w:t>naire</w:t>
      </w:r>
      <w:r>
        <w:rPr>
          <w:b w:val="0"/>
          <w:color w:val="000000"/>
          <w:sz w:val="22"/>
          <w:szCs w:val="22"/>
        </w:rPr>
        <w:t xml:space="preserve"> as set out in Appendix 2: Bidder Response to ITT.  Bidders are able to submit the relevant parts of the European Single Procurement Document where indicated in Appen</w:t>
      </w:r>
      <w:r w:rsidR="00BE0006">
        <w:rPr>
          <w:b w:val="0"/>
          <w:color w:val="000000"/>
          <w:sz w:val="22"/>
          <w:szCs w:val="22"/>
        </w:rPr>
        <w:t>dix 2: Bidder Response to ITT.</w:t>
      </w:r>
      <w:r w:rsidR="00F519D7">
        <w:rPr>
          <w:b w:val="0"/>
          <w:color w:val="000000"/>
          <w:sz w:val="22"/>
          <w:szCs w:val="22"/>
        </w:rPr>
        <w:t xml:space="preserve"> The </w:t>
      </w:r>
      <w:r w:rsidR="00376653">
        <w:rPr>
          <w:b w:val="0"/>
          <w:color w:val="000000"/>
          <w:sz w:val="22"/>
          <w:szCs w:val="22"/>
        </w:rPr>
        <w:t xml:space="preserve">Standard </w:t>
      </w:r>
      <w:r w:rsidR="006C114E">
        <w:rPr>
          <w:b w:val="0"/>
          <w:color w:val="000000"/>
          <w:sz w:val="22"/>
          <w:szCs w:val="22"/>
        </w:rPr>
        <w:t>S</w:t>
      </w:r>
      <w:r w:rsidR="00F519D7">
        <w:rPr>
          <w:b w:val="0"/>
          <w:color w:val="000000"/>
          <w:sz w:val="22"/>
          <w:szCs w:val="22"/>
        </w:rPr>
        <w:t xml:space="preserve">election </w:t>
      </w:r>
      <w:r w:rsidR="006C114E">
        <w:rPr>
          <w:b w:val="0"/>
          <w:color w:val="000000"/>
          <w:sz w:val="22"/>
          <w:szCs w:val="22"/>
        </w:rPr>
        <w:t>Q</w:t>
      </w:r>
      <w:r w:rsidR="00F519D7">
        <w:rPr>
          <w:b w:val="0"/>
          <w:color w:val="000000"/>
          <w:sz w:val="22"/>
          <w:szCs w:val="22"/>
        </w:rPr>
        <w:t xml:space="preserve">uestionnaire is split into </w:t>
      </w:r>
      <w:r w:rsidR="0002594C" w:rsidRPr="00EE37FA">
        <w:rPr>
          <w:rFonts w:asciiTheme="minorHAnsi" w:hAnsiTheme="minorHAnsi"/>
          <w:b w:val="0"/>
          <w:color w:val="000000" w:themeColor="text1"/>
          <w:spacing w:val="-1"/>
          <w:sz w:val="22"/>
          <w:szCs w:val="22"/>
        </w:rPr>
        <w:t>p</w:t>
      </w:r>
      <w:r w:rsidR="00F519D7" w:rsidRPr="00EE37FA">
        <w:rPr>
          <w:rFonts w:asciiTheme="minorHAnsi" w:hAnsiTheme="minorHAnsi"/>
          <w:b w:val="0"/>
          <w:color w:val="000000" w:themeColor="text1"/>
          <w:spacing w:val="-1"/>
          <w:sz w:val="22"/>
          <w:szCs w:val="22"/>
        </w:rPr>
        <w:t>otential</w:t>
      </w:r>
      <w:r w:rsidR="00F519D7" w:rsidRPr="00EE37FA">
        <w:rPr>
          <w:rFonts w:asciiTheme="minorHAnsi" w:hAnsiTheme="minorHAnsi"/>
          <w:b w:val="0"/>
          <w:color w:val="000000" w:themeColor="text1"/>
          <w:sz w:val="22"/>
          <w:szCs w:val="22"/>
        </w:rPr>
        <w:t xml:space="preserve"> </w:t>
      </w:r>
      <w:r w:rsidR="0002594C" w:rsidRPr="00EE37FA">
        <w:rPr>
          <w:rFonts w:asciiTheme="minorHAnsi" w:hAnsiTheme="minorHAnsi"/>
          <w:b w:val="0"/>
          <w:color w:val="000000" w:themeColor="text1"/>
          <w:spacing w:val="-1"/>
          <w:sz w:val="22"/>
          <w:szCs w:val="22"/>
        </w:rPr>
        <w:t>s</w:t>
      </w:r>
      <w:r w:rsidR="00F519D7" w:rsidRPr="00EE37FA">
        <w:rPr>
          <w:rFonts w:asciiTheme="minorHAnsi" w:hAnsiTheme="minorHAnsi"/>
          <w:b w:val="0"/>
          <w:color w:val="000000" w:themeColor="text1"/>
          <w:spacing w:val="-1"/>
          <w:sz w:val="22"/>
          <w:szCs w:val="22"/>
        </w:rPr>
        <w:t>upplier</w:t>
      </w:r>
      <w:r w:rsidR="00F519D7" w:rsidRPr="00EE37FA">
        <w:rPr>
          <w:rFonts w:asciiTheme="minorHAnsi" w:hAnsiTheme="minorHAnsi"/>
          <w:b w:val="0"/>
          <w:color w:val="000000" w:themeColor="text1"/>
          <w:sz w:val="22"/>
          <w:szCs w:val="22"/>
        </w:rPr>
        <w:t xml:space="preserve"> </w:t>
      </w:r>
      <w:r w:rsidR="0002594C" w:rsidRPr="00EE37FA">
        <w:rPr>
          <w:rFonts w:asciiTheme="minorHAnsi" w:hAnsiTheme="minorHAnsi"/>
          <w:b w:val="0"/>
          <w:color w:val="000000" w:themeColor="text1"/>
          <w:spacing w:val="-1"/>
          <w:sz w:val="22"/>
          <w:szCs w:val="22"/>
        </w:rPr>
        <w:t>i</w:t>
      </w:r>
      <w:r w:rsidR="00F519D7" w:rsidRPr="00EE37FA">
        <w:rPr>
          <w:rFonts w:asciiTheme="minorHAnsi" w:hAnsiTheme="minorHAnsi"/>
          <w:b w:val="0"/>
          <w:color w:val="000000" w:themeColor="text1"/>
          <w:spacing w:val="-1"/>
          <w:sz w:val="22"/>
          <w:szCs w:val="22"/>
        </w:rPr>
        <w:t>nformation</w:t>
      </w:r>
      <w:r w:rsidR="00F519D7" w:rsidRPr="00EE37FA">
        <w:rPr>
          <w:rFonts w:asciiTheme="minorHAnsi" w:hAnsiTheme="minorHAnsi"/>
          <w:b w:val="0"/>
          <w:color w:val="000000" w:themeColor="text1"/>
          <w:sz w:val="22"/>
          <w:szCs w:val="22"/>
        </w:rPr>
        <w:t xml:space="preserve"> and </w:t>
      </w:r>
      <w:r w:rsidR="0002594C" w:rsidRPr="00EE37FA">
        <w:rPr>
          <w:rFonts w:asciiTheme="minorHAnsi" w:hAnsiTheme="minorHAnsi"/>
          <w:b w:val="0"/>
          <w:color w:val="000000" w:themeColor="text1"/>
          <w:spacing w:val="-1"/>
          <w:sz w:val="22"/>
          <w:szCs w:val="22"/>
        </w:rPr>
        <w:t>e</w:t>
      </w:r>
      <w:r w:rsidR="00F519D7" w:rsidRPr="00EE37FA">
        <w:rPr>
          <w:rFonts w:asciiTheme="minorHAnsi" w:hAnsiTheme="minorHAnsi"/>
          <w:b w:val="0"/>
          <w:color w:val="000000" w:themeColor="text1"/>
          <w:spacing w:val="-1"/>
          <w:sz w:val="22"/>
          <w:szCs w:val="22"/>
        </w:rPr>
        <w:t>xclusion</w:t>
      </w:r>
      <w:r w:rsidR="00F519D7" w:rsidRPr="00EE37FA">
        <w:rPr>
          <w:rFonts w:asciiTheme="minorHAnsi" w:hAnsiTheme="minorHAnsi"/>
          <w:b w:val="0"/>
          <w:color w:val="000000" w:themeColor="text1"/>
          <w:sz w:val="22"/>
          <w:szCs w:val="22"/>
        </w:rPr>
        <w:t xml:space="preserve"> </w:t>
      </w:r>
      <w:r w:rsidR="0002594C" w:rsidRPr="00EE37FA">
        <w:rPr>
          <w:rFonts w:asciiTheme="minorHAnsi" w:hAnsiTheme="minorHAnsi"/>
          <w:b w:val="0"/>
          <w:color w:val="000000" w:themeColor="text1"/>
          <w:spacing w:val="-1"/>
          <w:sz w:val="22"/>
          <w:szCs w:val="22"/>
        </w:rPr>
        <w:t>g</w:t>
      </w:r>
      <w:r w:rsidR="00F519D7" w:rsidRPr="00EE37FA">
        <w:rPr>
          <w:rFonts w:asciiTheme="minorHAnsi" w:hAnsiTheme="minorHAnsi"/>
          <w:b w:val="0"/>
          <w:color w:val="000000" w:themeColor="text1"/>
          <w:spacing w:val="-1"/>
          <w:sz w:val="22"/>
          <w:szCs w:val="22"/>
        </w:rPr>
        <w:t xml:space="preserve">rounds: </w:t>
      </w:r>
      <w:r w:rsidR="0002594C" w:rsidRPr="00EE37FA">
        <w:rPr>
          <w:rFonts w:asciiTheme="minorHAnsi" w:hAnsiTheme="minorHAnsi"/>
          <w:b w:val="0"/>
          <w:color w:val="000000" w:themeColor="text1"/>
          <w:sz w:val="22"/>
          <w:szCs w:val="22"/>
        </w:rPr>
        <w:t>p</w:t>
      </w:r>
      <w:r w:rsidR="00F519D7" w:rsidRPr="00EE37FA">
        <w:rPr>
          <w:rFonts w:asciiTheme="minorHAnsi" w:hAnsiTheme="minorHAnsi"/>
          <w:b w:val="0"/>
          <w:color w:val="000000" w:themeColor="text1"/>
          <w:sz w:val="22"/>
          <w:szCs w:val="22"/>
        </w:rPr>
        <w:t>art 1</w:t>
      </w:r>
      <w:r w:rsidR="00F519D7" w:rsidRPr="00EE37FA">
        <w:rPr>
          <w:rFonts w:asciiTheme="minorHAnsi" w:hAnsiTheme="minorHAnsi"/>
          <w:b w:val="0"/>
          <w:color w:val="000000" w:themeColor="text1"/>
          <w:spacing w:val="-2"/>
          <w:sz w:val="22"/>
          <w:szCs w:val="22"/>
        </w:rPr>
        <w:t xml:space="preserve"> </w:t>
      </w:r>
      <w:r w:rsidR="00F519D7" w:rsidRPr="00EE37FA">
        <w:rPr>
          <w:rFonts w:asciiTheme="minorHAnsi" w:hAnsiTheme="minorHAnsi"/>
          <w:b w:val="0"/>
          <w:color w:val="000000" w:themeColor="text1"/>
          <w:spacing w:val="-1"/>
          <w:sz w:val="22"/>
          <w:szCs w:val="22"/>
        </w:rPr>
        <w:t>and</w:t>
      </w:r>
      <w:r w:rsidR="0002594C" w:rsidRPr="00EE37FA">
        <w:rPr>
          <w:rFonts w:asciiTheme="minorHAnsi" w:hAnsiTheme="minorHAnsi"/>
          <w:b w:val="0"/>
          <w:color w:val="000000" w:themeColor="text1"/>
          <w:sz w:val="22"/>
          <w:szCs w:val="22"/>
        </w:rPr>
        <w:t xml:space="preserve"> p</w:t>
      </w:r>
      <w:r w:rsidR="00F519D7" w:rsidRPr="00EE37FA">
        <w:rPr>
          <w:rFonts w:asciiTheme="minorHAnsi" w:hAnsiTheme="minorHAnsi"/>
          <w:b w:val="0"/>
          <w:color w:val="000000" w:themeColor="text1"/>
          <w:sz w:val="22"/>
          <w:szCs w:val="22"/>
        </w:rPr>
        <w:t xml:space="preserve">art </w:t>
      </w:r>
      <w:r w:rsidR="00F519D7" w:rsidRPr="00EE37FA">
        <w:rPr>
          <w:rFonts w:asciiTheme="minorHAnsi" w:hAnsiTheme="minorHAnsi"/>
          <w:b w:val="0"/>
          <w:color w:val="000000" w:themeColor="text1"/>
          <w:spacing w:val="2"/>
          <w:sz w:val="22"/>
          <w:szCs w:val="22"/>
        </w:rPr>
        <w:t xml:space="preserve">2 and </w:t>
      </w:r>
      <w:r w:rsidR="0002594C" w:rsidRPr="00EE37FA">
        <w:rPr>
          <w:rFonts w:asciiTheme="minorHAnsi" w:hAnsiTheme="minorHAnsi"/>
          <w:b w:val="0"/>
          <w:color w:val="000000" w:themeColor="text1"/>
          <w:sz w:val="22"/>
          <w:szCs w:val="22"/>
        </w:rPr>
        <w:t>s</w:t>
      </w:r>
      <w:r w:rsidR="00F519D7" w:rsidRPr="00EE37FA">
        <w:rPr>
          <w:rFonts w:asciiTheme="minorHAnsi" w:hAnsiTheme="minorHAnsi"/>
          <w:b w:val="0"/>
          <w:color w:val="000000" w:themeColor="text1"/>
          <w:sz w:val="22"/>
          <w:szCs w:val="22"/>
        </w:rPr>
        <w:t xml:space="preserve">upplier </w:t>
      </w:r>
      <w:r w:rsidR="0002594C" w:rsidRPr="00EE37FA">
        <w:rPr>
          <w:rFonts w:asciiTheme="minorHAnsi" w:hAnsiTheme="minorHAnsi"/>
          <w:b w:val="0"/>
          <w:color w:val="000000" w:themeColor="text1"/>
          <w:spacing w:val="-1"/>
          <w:sz w:val="22"/>
          <w:szCs w:val="22"/>
        </w:rPr>
        <w:t>s</w:t>
      </w:r>
      <w:r w:rsidR="00F519D7" w:rsidRPr="00EE37FA">
        <w:rPr>
          <w:rFonts w:asciiTheme="minorHAnsi" w:hAnsiTheme="minorHAnsi"/>
          <w:b w:val="0"/>
          <w:color w:val="000000" w:themeColor="text1"/>
          <w:spacing w:val="-1"/>
          <w:sz w:val="22"/>
          <w:szCs w:val="22"/>
        </w:rPr>
        <w:t>election</w:t>
      </w:r>
      <w:r w:rsidR="00F519D7" w:rsidRPr="00EE37FA">
        <w:rPr>
          <w:rFonts w:asciiTheme="minorHAnsi" w:hAnsiTheme="minorHAnsi"/>
          <w:b w:val="0"/>
          <w:color w:val="000000" w:themeColor="text1"/>
          <w:sz w:val="22"/>
          <w:szCs w:val="22"/>
        </w:rPr>
        <w:t xml:space="preserve"> </w:t>
      </w:r>
      <w:r w:rsidR="0002594C" w:rsidRPr="00EE37FA">
        <w:rPr>
          <w:rFonts w:asciiTheme="minorHAnsi" w:hAnsiTheme="minorHAnsi"/>
          <w:b w:val="0"/>
          <w:color w:val="000000" w:themeColor="text1"/>
          <w:spacing w:val="-1"/>
          <w:sz w:val="22"/>
          <w:szCs w:val="22"/>
        </w:rPr>
        <w:t>q</w:t>
      </w:r>
      <w:r w:rsidR="00F519D7" w:rsidRPr="00EE37FA">
        <w:rPr>
          <w:rFonts w:asciiTheme="minorHAnsi" w:hAnsiTheme="minorHAnsi"/>
          <w:b w:val="0"/>
          <w:color w:val="000000" w:themeColor="text1"/>
          <w:spacing w:val="-1"/>
          <w:sz w:val="22"/>
          <w:szCs w:val="22"/>
        </w:rPr>
        <w:t>uestions:</w:t>
      </w:r>
      <w:r w:rsidR="0002594C" w:rsidRPr="00EE37FA">
        <w:rPr>
          <w:rFonts w:asciiTheme="minorHAnsi" w:hAnsiTheme="minorHAnsi"/>
          <w:b w:val="0"/>
          <w:color w:val="000000" w:themeColor="text1"/>
          <w:sz w:val="22"/>
          <w:szCs w:val="22"/>
        </w:rPr>
        <w:t xml:space="preserve"> p</w:t>
      </w:r>
      <w:r w:rsidR="00F519D7" w:rsidRPr="00EE37FA">
        <w:rPr>
          <w:rFonts w:asciiTheme="minorHAnsi" w:hAnsiTheme="minorHAnsi"/>
          <w:b w:val="0"/>
          <w:color w:val="000000" w:themeColor="text1"/>
          <w:sz w:val="22"/>
          <w:szCs w:val="22"/>
        </w:rPr>
        <w:t xml:space="preserve">art 3. </w:t>
      </w:r>
    </w:p>
    <w:p w14:paraId="09704340" w14:textId="0E43E96A" w:rsidR="00656438" w:rsidRDefault="000217B1" w:rsidP="00452874">
      <w:pPr>
        <w:pStyle w:val="Heading2"/>
        <w:keepNext w:val="0"/>
        <w:keepLines w:val="0"/>
        <w:numPr>
          <w:ilvl w:val="3"/>
          <w:numId w:val="6"/>
        </w:numPr>
        <w:spacing w:before="0" w:line="264" w:lineRule="auto"/>
        <w:ind w:left="2246" w:hanging="1123"/>
        <w:contextualSpacing/>
        <w:jc w:val="both"/>
      </w:pPr>
      <w:bookmarkStart w:id="46" w:name="h.houvfw44o8x8" w:colFirst="0" w:colLast="0"/>
      <w:bookmarkEnd w:id="46"/>
      <w:r>
        <w:rPr>
          <w:b w:val="0"/>
          <w:color w:val="000000"/>
          <w:sz w:val="22"/>
          <w:szCs w:val="22"/>
        </w:rPr>
        <w:t>Each B</w:t>
      </w:r>
      <w:r w:rsidR="0014493C">
        <w:rPr>
          <w:b w:val="0"/>
          <w:color w:val="000000"/>
          <w:sz w:val="22"/>
          <w:szCs w:val="22"/>
        </w:rPr>
        <w:t>idder shall</w:t>
      </w:r>
      <w:r w:rsidR="00F519D7">
        <w:rPr>
          <w:b w:val="0"/>
          <w:color w:val="000000"/>
          <w:sz w:val="22"/>
          <w:szCs w:val="22"/>
        </w:rPr>
        <w:t xml:space="preserve"> self declare</w:t>
      </w:r>
      <w:r w:rsidR="00D12C05">
        <w:rPr>
          <w:b w:val="0"/>
          <w:color w:val="000000"/>
          <w:sz w:val="22"/>
          <w:szCs w:val="22"/>
        </w:rPr>
        <w:t xml:space="preserve"> compliance with the relevant sections of the Standard Selection Questionnaire, </w:t>
      </w:r>
      <w:r w:rsidR="00A26303">
        <w:rPr>
          <w:b w:val="0"/>
          <w:color w:val="000000"/>
          <w:sz w:val="22"/>
          <w:szCs w:val="22"/>
        </w:rPr>
        <w:t xml:space="preserve"> as described in section A1.3 below.  </w:t>
      </w:r>
      <w:r w:rsidR="00F115AB">
        <w:rPr>
          <w:b w:val="0"/>
          <w:color w:val="000000"/>
          <w:sz w:val="22"/>
          <w:szCs w:val="22"/>
        </w:rPr>
        <w:t xml:space="preserve">Provided </w:t>
      </w:r>
      <w:r w:rsidR="00525775">
        <w:rPr>
          <w:b w:val="0"/>
          <w:color w:val="000000"/>
          <w:sz w:val="22"/>
          <w:szCs w:val="22"/>
        </w:rPr>
        <w:t>these sections of</w:t>
      </w:r>
      <w:r w:rsidR="00A26303">
        <w:rPr>
          <w:b w:val="0"/>
          <w:color w:val="000000"/>
          <w:sz w:val="22"/>
          <w:szCs w:val="22"/>
        </w:rPr>
        <w:t xml:space="preserve"> Appendix 2: Bidder Response to ITT</w:t>
      </w:r>
      <w:r w:rsidR="00A26303">
        <w:rPr>
          <w:sz w:val="22"/>
          <w:szCs w:val="22"/>
        </w:rPr>
        <w:t xml:space="preserve"> </w:t>
      </w:r>
      <w:r w:rsidR="00A26303">
        <w:rPr>
          <w:b w:val="0"/>
          <w:color w:val="000000"/>
          <w:sz w:val="22"/>
          <w:szCs w:val="22"/>
        </w:rPr>
        <w:t>are satisfactorily completed</w:t>
      </w:r>
      <w:r w:rsidR="00F115AB">
        <w:rPr>
          <w:b w:val="0"/>
          <w:color w:val="000000"/>
          <w:sz w:val="22"/>
          <w:szCs w:val="22"/>
        </w:rPr>
        <w:t xml:space="preserve">, the response will proceed to </w:t>
      </w:r>
      <w:r w:rsidR="00A26303">
        <w:rPr>
          <w:b w:val="0"/>
          <w:color w:val="000000"/>
          <w:sz w:val="22"/>
          <w:szCs w:val="22"/>
        </w:rPr>
        <w:t>completeness and compliance check</w:t>
      </w:r>
      <w:r w:rsidR="00F115AB">
        <w:rPr>
          <w:b w:val="0"/>
          <w:color w:val="000000"/>
          <w:sz w:val="22"/>
          <w:szCs w:val="22"/>
        </w:rPr>
        <w:t>ing</w:t>
      </w:r>
      <w:r w:rsidR="00A26303">
        <w:rPr>
          <w:b w:val="0"/>
          <w:color w:val="000000"/>
          <w:sz w:val="22"/>
          <w:szCs w:val="22"/>
        </w:rPr>
        <w:t>.</w:t>
      </w:r>
      <w:r w:rsidR="00FB21F1">
        <w:rPr>
          <w:b w:val="0"/>
          <w:color w:val="000000"/>
          <w:sz w:val="22"/>
          <w:szCs w:val="22"/>
        </w:rPr>
        <w:t xml:space="preserve"> </w:t>
      </w:r>
    </w:p>
    <w:p w14:paraId="495416F4" w14:textId="77777777" w:rsidR="00FB21F1" w:rsidRPr="00EE37FA" w:rsidRDefault="000217B1" w:rsidP="00FB21F1">
      <w:pPr>
        <w:numPr>
          <w:ilvl w:val="3"/>
          <w:numId w:val="6"/>
        </w:numPr>
        <w:ind w:left="2268" w:hanging="1134"/>
        <w:contextualSpacing/>
      </w:pPr>
      <w:bookmarkStart w:id="47" w:name="h.7yrlvpnwywjl" w:colFirst="0" w:colLast="0"/>
      <w:bookmarkEnd w:id="47"/>
      <w:r>
        <w:rPr>
          <w:rFonts w:ascii="Calibri" w:eastAsia="Calibri" w:hAnsi="Calibri" w:cs="Calibri"/>
        </w:rPr>
        <w:t xml:space="preserve">The Local Body will only check the status of the completed </w:t>
      </w:r>
      <w:r w:rsidR="00376653">
        <w:rPr>
          <w:rFonts w:ascii="Calibri" w:eastAsia="Calibri" w:hAnsi="Calibri" w:cs="Calibri"/>
        </w:rPr>
        <w:t>S</w:t>
      </w:r>
      <w:r>
        <w:rPr>
          <w:rFonts w:ascii="Calibri" w:eastAsia="Calibri" w:hAnsi="Calibri" w:cs="Calibri"/>
        </w:rPr>
        <w:t xml:space="preserve">tandard </w:t>
      </w:r>
      <w:r w:rsidR="006C114E">
        <w:rPr>
          <w:rFonts w:ascii="Calibri" w:eastAsia="Calibri" w:hAnsi="Calibri" w:cs="Calibri"/>
        </w:rPr>
        <w:t>S</w:t>
      </w:r>
      <w:r>
        <w:rPr>
          <w:rFonts w:ascii="Calibri" w:eastAsia="Calibri" w:hAnsi="Calibri" w:cs="Calibri"/>
        </w:rPr>
        <w:t xml:space="preserve">election </w:t>
      </w:r>
      <w:r w:rsidR="006C114E">
        <w:rPr>
          <w:rFonts w:ascii="Calibri" w:eastAsia="Calibri" w:hAnsi="Calibri" w:cs="Calibri"/>
        </w:rPr>
        <w:t>Q</w:t>
      </w:r>
      <w:r>
        <w:rPr>
          <w:rFonts w:ascii="Calibri" w:eastAsia="Calibri" w:hAnsi="Calibri" w:cs="Calibri"/>
        </w:rPr>
        <w:t>uestionnaire for the winning Bidder.  If the winning B</w:t>
      </w:r>
      <w:r w:rsidR="00FB21F1">
        <w:rPr>
          <w:rFonts w:ascii="Calibri" w:eastAsia="Calibri" w:hAnsi="Calibri" w:cs="Calibri"/>
        </w:rPr>
        <w:t xml:space="preserve">idder fails to provide the required evidence within set timeframes, or the evidence proves unsatisfactory, the award of contract </w:t>
      </w:r>
      <w:r w:rsidR="00D12C05">
        <w:rPr>
          <w:rFonts w:ascii="Calibri" w:eastAsia="Calibri" w:hAnsi="Calibri" w:cs="Calibri"/>
        </w:rPr>
        <w:t>shall</w:t>
      </w:r>
      <w:r w:rsidR="00FB21F1">
        <w:rPr>
          <w:rFonts w:ascii="Calibri" w:eastAsia="Calibri" w:hAnsi="Calibri" w:cs="Calibri"/>
        </w:rPr>
        <w:t xml:space="preserve"> not proceed. The Local Body reserves the right to </w:t>
      </w:r>
      <w:r w:rsidR="00D12C05">
        <w:rPr>
          <w:rFonts w:ascii="Calibri" w:eastAsia="Calibri" w:hAnsi="Calibri" w:cs="Calibri"/>
        </w:rPr>
        <w:t xml:space="preserve">withdraw </w:t>
      </w:r>
      <w:r w:rsidR="00FB21F1">
        <w:rPr>
          <w:rFonts w:ascii="Calibri" w:eastAsia="Calibri" w:hAnsi="Calibri" w:cs="Calibri"/>
        </w:rPr>
        <w:t xml:space="preserve"> the contract award decision </w:t>
      </w:r>
      <w:r>
        <w:rPr>
          <w:rFonts w:ascii="Calibri" w:eastAsia="Calibri" w:hAnsi="Calibri" w:cs="Calibri"/>
        </w:rPr>
        <w:t>and award to the second-placed B</w:t>
      </w:r>
      <w:r w:rsidR="00FB21F1">
        <w:rPr>
          <w:rFonts w:ascii="Calibri" w:eastAsia="Calibri" w:hAnsi="Calibri" w:cs="Calibri"/>
        </w:rPr>
        <w:t>idder, provided that they have submitted a satisfactory</w:t>
      </w:r>
      <w:r w:rsidR="00D12C05">
        <w:rPr>
          <w:rFonts w:ascii="Calibri" w:eastAsia="Calibri" w:hAnsi="Calibri" w:cs="Calibri"/>
        </w:rPr>
        <w:t xml:space="preserve"> and compliant</w:t>
      </w:r>
      <w:r w:rsidR="00FB21F1">
        <w:rPr>
          <w:rFonts w:ascii="Calibri" w:eastAsia="Calibri" w:hAnsi="Calibri" w:cs="Calibri"/>
        </w:rPr>
        <w:t xml:space="preserve"> bid. </w:t>
      </w:r>
    </w:p>
    <w:p w14:paraId="35E5954C" w14:textId="77777777" w:rsidR="000217B1" w:rsidRDefault="000217B1" w:rsidP="006162E9">
      <w:pPr>
        <w:numPr>
          <w:ilvl w:val="3"/>
          <w:numId w:val="6"/>
        </w:numPr>
        <w:ind w:left="2268" w:hanging="1134"/>
        <w:contextualSpacing/>
      </w:pPr>
      <w:r>
        <w:rPr>
          <w:rFonts w:asciiTheme="minorHAnsi" w:hAnsiTheme="minorHAnsi"/>
        </w:rPr>
        <w:lastRenderedPageBreak/>
        <w:t xml:space="preserve">The Local Body </w:t>
      </w:r>
      <w:r w:rsidR="00BB51B7">
        <w:rPr>
          <w:rFonts w:asciiTheme="minorHAnsi" w:hAnsiTheme="minorHAnsi"/>
        </w:rPr>
        <w:t>has the discretion to</w:t>
      </w:r>
      <w:r>
        <w:rPr>
          <w:rFonts w:asciiTheme="minorHAnsi" w:hAnsiTheme="minorHAnsi"/>
        </w:rPr>
        <w:t xml:space="preserve"> require information</w:t>
      </w:r>
      <w:r w:rsidR="00BB51B7">
        <w:rPr>
          <w:rFonts w:asciiTheme="minorHAnsi" w:hAnsiTheme="minorHAnsi"/>
        </w:rPr>
        <w:t xml:space="preserve"> </w:t>
      </w:r>
      <w:r w:rsidR="0062395A">
        <w:rPr>
          <w:rFonts w:ascii="Calibri" w:eastAsia="Calibri" w:hAnsi="Calibri" w:cs="Calibri"/>
        </w:rPr>
        <w:t>and/or</w:t>
      </w:r>
      <w:r w:rsidR="00BB51B7">
        <w:rPr>
          <w:rFonts w:asciiTheme="minorHAnsi" w:hAnsiTheme="minorHAnsi"/>
        </w:rPr>
        <w:t xml:space="preserve"> evidence </w:t>
      </w:r>
      <w:r>
        <w:rPr>
          <w:rFonts w:asciiTheme="minorHAnsi" w:hAnsiTheme="minorHAnsi"/>
        </w:rPr>
        <w:t xml:space="preserve"> from any bidder at any stage if it </w:t>
      </w:r>
      <w:r w:rsidR="00D12C05">
        <w:rPr>
          <w:rFonts w:asciiTheme="minorHAnsi" w:hAnsiTheme="minorHAnsi"/>
        </w:rPr>
        <w:t>deems this</w:t>
      </w:r>
      <w:r>
        <w:rPr>
          <w:rFonts w:asciiTheme="minorHAnsi" w:hAnsiTheme="minorHAnsi"/>
        </w:rPr>
        <w:t xml:space="preserve"> necessary to ensure proper conduct of the procurement. </w:t>
      </w:r>
    </w:p>
    <w:p w14:paraId="439D52AF" w14:textId="77777777" w:rsidR="000217B1" w:rsidRPr="00B72E39" w:rsidRDefault="000217B1" w:rsidP="00EE37FA">
      <w:pPr>
        <w:ind w:left="2268"/>
        <w:contextualSpacing/>
      </w:pPr>
    </w:p>
    <w:p w14:paraId="32D09909" w14:textId="0579E7C2" w:rsidR="00656438" w:rsidRDefault="00A26303" w:rsidP="00452874">
      <w:pPr>
        <w:pStyle w:val="Heading2"/>
        <w:keepNext w:val="0"/>
        <w:keepLines w:val="0"/>
        <w:numPr>
          <w:ilvl w:val="3"/>
          <w:numId w:val="6"/>
        </w:numPr>
        <w:spacing w:before="0" w:line="264" w:lineRule="auto"/>
        <w:ind w:left="2246" w:hanging="1123"/>
        <w:jc w:val="both"/>
      </w:pPr>
      <w:r>
        <w:rPr>
          <w:b w:val="0"/>
          <w:color w:val="000000"/>
          <w:sz w:val="22"/>
          <w:szCs w:val="22"/>
        </w:rPr>
        <w:t xml:space="preserve">The Local Body reserves the right to reject a response and/or disqualify a Bidder where the response is incomplete or non-compliant, including where the response is submitted late, is completed incorrectly, is materially incomplete, is submitted in any other format other than </w:t>
      </w:r>
      <w:r w:rsidR="00B24E0E">
        <w:rPr>
          <w:b w:val="0"/>
          <w:color w:val="000000"/>
          <w:sz w:val="22"/>
          <w:szCs w:val="22"/>
        </w:rPr>
        <w:t>that</w:t>
      </w:r>
      <w:r>
        <w:rPr>
          <w:b w:val="0"/>
          <w:color w:val="000000"/>
          <w:sz w:val="22"/>
          <w:szCs w:val="22"/>
        </w:rPr>
        <w:t xml:space="preserve"> specified.</w:t>
      </w:r>
    </w:p>
    <w:p w14:paraId="078BBD3F" w14:textId="77777777" w:rsidR="00656438" w:rsidRDefault="00A26303" w:rsidP="00452874">
      <w:pPr>
        <w:pStyle w:val="Heading2"/>
        <w:keepNext w:val="0"/>
        <w:keepLines w:val="0"/>
        <w:numPr>
          <w:ilvl w:val="3"/>
          <w:numId w:val="6"/>
        </w:numPr>
        <w:spacing w:before="0" w:line="264" w:lineRule="auto"/>
        <w:ind w:left="2246" w:hanging="1123"/>
        <w:jc w:val="both"/>
      </w:pPr>
      <w:bookmarkStart w:id="48" w:name="h.wl2r5dqcldmp" w:colFirst="0" w:colLast="0"/>
      <w:bookmarkEnd w:id="48"/>
      <w:r>
        <w:rPr>
          <w:b w:val="0"/>
          <w:color w:val="000000"/>
          <w:sz w:val="22"/>
          <w:szCs w:val="22"/>
        </w:rPr>
        <w:t>Bids that have been assessed as having been completed satisfactorily will then proceed to full evaluation.</w:t>
      </w:r>
    </w:p>
    <w:p w14:paraId="16E7DE99" w14:textId="77777777" w:rsidR="00656438" w:rsidRDefault="00A26303">
      <w:pPr>
        <w:pStyle w:val="Heading2"/>
        <w:numPr>
          <w:ilvl w:val="2"/>
          <w:numId w:val="6"/>
        </w:numPr>
        <w:spacing w:before="0" w:line="264" w:lineRule="auto"/>
        <w:ind w:hanging="720"/>
        <w:jc w:val="both"/>
      </w:pPr>
      <w:bookmarkStart w:id="49" w:name="h.vx1227" w:colFirst="0" w:colLast="0"/>
      <w:bookmarkEnd w:id="49"/>
      <w:r>
        <w:t xml:space="preserve"> </w:t>
      </w:r>
      <w:r>
        <w:rPr>
          <w:sz w:val="22"/>
          <w:szCs w:val="22"/>
        </w:rPr>
        <w:t>Evaluation</w:t>
      </w:r>
    </w:p>
    <w:p w14:paraId="58535CB6" w14:textId="291B2396" w:rsidR="00656438" w:rsidRDefault="00A26303" w:rsidP="00452874">
      <w:pPr>
        <w:pStyle w:val="Heading3"/>
        <w:keepNext w:val="0"/>
        <w:keepLines w:val="0"/>
        <w:numPr>
          <w:ilvl w:val="3"/>
          <w:numId w:val="6"/>
        </w:numPr>
        <w:ind w:left="2246" w:hanging="1123"/>
      </w:pPr>
      <w:bookmarkStart w:id="50" w:name="h.4f1mdlm" w:colFirst="0" w:colLast="0"/>
      <w:bookmarkEnd w:id="50"/>
      <w:r>
        <w:t xml:space="preserve">Evaluation will take place using the Award Criteria and Scoring Methodology for each criterion as described in section </w:t>
      </w:r>
      <w:r w:rsidR="00CC680B" w:rsidRPr="000405A6">
        <w:t>A1.5</w:t>
      </w:r>
      <w:r w:rsidR="00CC680B">
        <w:t xml:space="preserve">. </w:t>
      </w:r>
    </w:p>
    <w:p w14:paraId="111896C0" w14:textId="77777777" w:rsidR="00656438" w:rsidRDefault="00A26303" w:rsidP="00452874">
      <w:pPr>
        <w:pStyle w:val="Heading3"/>
        <w:keepNext w:val="0"/>
        <w:keepLines w:val="0"/>
        <w:numPr>
          <w:ilvl w:val="3"/>
          <w:numId w:val="6"/>
        </w:numPr>
        <w:ind w:left="2246" w:hanging="1123"/>
      </w:pPr>
      <w:bookmarkStart w:id="51" w:name="h.2u6wntf" w:colFirst="0" w:colLast="0"/>
      <w:bookmarkEnd w:id="51"/>
      <w:r>
        <w:t xml:space="preserve">Where the evaluators reach an equivalent score for a criterion, that score will be entered directly into the master evaluation spreadsheet (being the spreadsheet, to be maintained by the Local Body, which will record evaluation scores and the summarised evaluator commentary regarding rationale for scoring).  </w:t>
      </w:r>
    </w:p>
    <w:p w14:paraId="775BF50D" w14:textId="77777777" w:rsidR="00656438" w:rsidRDefault="00A26303" w:rsidP="00452874">
      <w:pPr>
        <w:pStyle w:val="Heading3"/>
        <w:keepNext w:val="0"/>
        <w:keepLines w:val="0"/>
        <w:numPr>
          <w:ilvl w:val="3"/>
          <w:numId w:val="6"/>
        </w:numPr>
        <w:ind w:left="2246" w:hanging="1123"/>
      </w:pPr>
      <w:r>
        <w:t>If the evaluators reach different scores for a criterion, a moderation meeting will be used to facilitate a discussion between evaluators in order that an agreed score can be reached (the reason for evaluator score adjustments will be documented).  That agreed score will then be entered into the master evaluation spreadsheet</w:t>
      </w:r>
      <w:r>
        <w:rPr>
          <w:b/>
          <w:vertAlign w:val="superscript"/>
        </w:rPr>
        <w:footnoteReference w:id="35"/>
      </w:r>
      <w:r>
        <w:t xml:space="preserve">. </w:t>
      </w:r>
    </w:p>
    <w:p w14:paraId="1DD4E17F" w14:textId="77777777" w:rsidR="00656438" w:rsidRDefault="00A26303">
      <w:pPr>
        <w:pStyle w:val="Heading2"/>
        <w:numPr>
          <w:ilvl w:val="2"/>
          <w:numId w:val="6"/>
        </w:numPr>
        <w:spacing w:before="0" w:line="264" w:lineRule="auto"/>
        <w:ind w:hanging="720"/>
      </w:pPr>
      <w:bookmarkStart w:id="52" w:name="h.19c6y18" w:colFirst="0" w:colLast="0"/>
      <w:bookmarkEnd w:id="52"/>
      <w:r>
        <w:rPr>
          <w:sz w:val="22"/>
          <w:szCs w:val="22"/>
        </w:rPr>
        <w:t>Decision</w:t>
      </w:r>
    </w:p>
    <w:p w14:paraId="0ADB7CAA" w14:textId="3897FB77" w:rsidR="00656438" w:rsidRDefault="00A26303" w:rsidP="00452874">
      <w:pPr>
        <w:pStyle w:val="Heading2"/>
        <w:keepNext w:val="0"/>
        <w:keepLines w:val="0"/>
        <w:numPr>
          <w:ilvl w:val="3"/>
          <w:numId w:val="6"/>
        </w:numPr>
        <w:spacing w:before="0" w:line="264" w:lineRule="auto"/>
        <w:ind w:left="2246" w:hanging="1123"/>
        <w:jc w:val="both"/>
      </w:pPr>
      <w:r>
        <w:rPr>
          <w:b w:val="0"/>
          <w:color w:val="000000"/>
          <w:sz w:val="22"/>
          <w:szCs w:val="22"/>
        </w:rPr>
        <w:t xml:space="preserve">The Local Body </w:t>
      </w:r>
      <w:r w:rsidR="00953966">
        <w:rPr>
          <w:b w:val="0"/>
          <w:color w:val="000000"/>
          <w:sz w:val="22"/>
          <w:szCs w:val="22"/>
        </w:rPr>
        <w:t>will select a Bidder [for each L</w:t>
      </w:r>
      <w:r>
        <w:rPr>
          <w:b w:val="0"/>
          <w:color w:val="000000"/>
          <w:sz w:val="22"/>
          <w:szCs w:val="22"/>
        </w:rPr>
        <w:t>ot] based on the Most Economically Advantageous Tender. Following the completion of the evaluation process the Bidder achieving the highest weighted ev</w:t>
      </w:r>
      <w:r w:rsidR="00953966">
        <w:rPr>
          <w:b w:val="0"/>
          <w:color w:val="000000"/>
          <w:sz w:val="22"/>
          <w:szCs w:val="22"/>
        </w:rPr>
        <w:t>aluation model score [for each L</w:t>
      </w:r>
      <w:r>
        <w:rPr>
          <w:b w:val="0"/>
          <w:color w:val="000000"/>
          <w:sz w:val="22"/>
          <w:szCs w:val="22"/>
        </w:rPr>
        <w:t xml:space="preserve">ot] will be considered successful, subject to contract </w:t>
      </w:r>
      <w:r w:rsidR="00953966">
        <w:rPr>
          <w:b w:val="0"/>
          <w:color w:val="000000"/>
          <w:sz w:val="22"/>
          <w:szCs w:val="22"/>
        </w:rPr>
        <w:t xml:space="preserve">finalisation </w:t>
      </w:r>
      <w:r>
        <w:rPr>
          <w:b w:val="0"/>
          <w:color w:val="000000"/>
          <w:sz w:val="22"/>
          <w:szCs w:val="22"/>
        </w:rPr>
        <w:t xml:space="preserve">and the Local Body's governance arrangements. </w:t>
      </w:r>
    </w:p>
    <w:p w14:paraId="214A29BA" w14:textId="77777777" w:rsidR="00656438" w:rsidRDefault="00A26303" w:rsidP="00452874">
      <w:pPr>
        <w:pStyle w:val="Heading2"/>
        <w:keepNext w:val="0"/>
        <w:keepLines w:val="0"/>
        <w:numPr>
          <w:ilvl w:val="3"/>
          <w:numId w:val="6"/>
        </w:numPr>
        <w:spacing w:before="0" w:line="264" w:lineRule="auto"/>
        <w:ind w:left="2246" w:hanging="1123"/>
        <w:jc w:val="both"/>
      </w:pPr>
      <w:r>
        <w:rPr>
          <w:b w:val="0"/>
          <w:color w:val="000000"/>
          <w:sz w:val="22"/>
          <w:szCs w:val="22"/>
        </w:rPr>
        <w:t>All evaluation criteria and weightings have been set in line with the Commission Decision.</w:t>
      </w:r>
    </w:p>
    <w:p w14:paraId="7A31299D" w14:textId="77777777" w:rsidR="00656438" w:rsidRDefault="00A26303">
      <w:pPr>
        <w:pStyle w:val="Heading2"/>
        <w:numPr>
          <w:ilvl w:val="1"/>
          <w:numId w:val="6"/>
        </w:numPr>
        <w:ind w:left="1296" w:hanging="576"/>
        <w:contextualSpacing/>
        <w:rPr>
          <w:sz w:val="32"/>
          <w:szCs w:val="32"/>
        </w:rPr>
      </w:pPr>
      <w:bookmarkStart w:id="53" w:name="h.w13051nghbhl" w:colFirst="0" w:colLast="0"/>
      <w:bookmarkEnd w:id="53"/>
      <w:r>
        <w:rPr>
          <w:sz w:val="32"/>
          <w:szCs w:val="32"/>
        </w:rPr>
        <w:t>Exclusion Grounds and Selection Criteria</w:t>
      </w:r>
    </w:p>
    <w:p w14:paraId="4B165FCD" w14:textId="57781508" w:rsidR="00656438" w:rsidRDefault="00A26303">
      <w:pPr>
        <w:numPr>
          <w:ilvl w:val="2"/>
          <w:numId w:val="6"/>
        </w:numPr>
        <w:ind w:hanging="720"/>
        <w:contextualSpacing/>
      </w:pPr>
      <w:r>
        <w:rPr>
          <w:rFonts w:ascii="Calibri" w:eastAsia="Calibri" w:hAnsi="Calibri" w:cs="Calibri"/>
        </w:rPr>
        <w:t>The g</w:t>
      </w:r>
      <w:r w:rsidRPr="00A712C3">
        <w:rPr>
          <w:rFonts w:ascii="Calibri" w:eastAsia="Calibri" w:hAnsi="Calibri" w:cs="Calibri"/>
        </w:rPr>
        <w:t xml:space="preserve">rounds for mandatory and discretionary exclusion are set out in </w:t>
      </w:r>
      <w:r w:rsidR="00F519D7">
        <w:rPr>
          <w:rFonts w:ascii="Calibri" w:eastAsia="Calibri" w:hAnsi="Calibri" w:cs="Calibri"/>
        </w:rPr>
        <w:t xml:space="preserve">part 2 of the </w:t>
      </w:r>
      <w:r w:rsidR="00B24E0E">
        <w:rPr>
          <w:rFonts w:ascii="Calibri" w:eastAsia="Calibri" w:hAnsi="Calibri" w:cs="Calibri"/>
        </w:rPr>
        <w:t>S</w:t>
      </w:r>
      <w:r w:rsidR="00D15EA1">
        <w:rPr>
          <w:rFonts w:ascii="Calibri" w:eastAsia="Calibri" w:hAnsi="Calibri" w:cs="Calibri"/>
        </w:rPr>
        <w:t xml:space="preserve">tandard </w:t>
      </w:r>
      <w:r w:rsidR="00B24E0E">
        <w:rPr>
          <w:rFonts w:ascii="Calibri" w:eastAsia="Calibri" w:hAnsi="Calibri" w:cs="Calibri"/>
        </w:rPr>
        <w:t>S</w:t>
      </w:r>
      <w:r w:rsidR="00F519D7">
        <w:rPr>
          <w:rFonts w:ascii="Calibri" w:eastAsia="Calibri" w:hAnsi="Calibri" w:cs="Calibri"/>
        </w:rPr>
        <w:t xml:space="preserve">election </w:t>
      </w:r>
      <w:r w:rsidR="00B24E0E">
        <w:rPr>
          <w:rFonts w:ascii="Calibri" w:eastAsia="Calibri" w:hAnsi="Calibri" w:cs="Calibri"/>
        </w:rPr>
        <w:t>Q</w:t>
      </w:r>
      <w:r w:rsidR="00F519D7">
        <w:rPr>
          <w:rFonts w:ascii="Calibri" w:eastAsia="Calibri" w:hAnsi="Calibri" w:cs="Calibri"/>
        </w:rPr>
        <w:t>uestionnaire within</w:t>
      </w:r>
      <w:r>
        <w:rPr>
          <w:rFonts w:ascii="Calibri" w:eastAsia="Calibri" w:hAnsi="Calibri" w:cs="Calibri"/>
        </w:rPr>
        <w:t xml:space="preserve"> Appendix 2: Bidder Response to the ITT.  </w:t>
      </w:r>
    </w:p>
    <w:p w14:paraId="34660760" w14:textId="34CBA62E" w:rsidR="00656438" w:rsidRDefault="00A26303">
      <w:pPr>
        <w:numPr>
          <w:ilvl w:val="2"/>
          <w:numId w:val="6"/>
        </w:numPr>
        <w:ind w:hanging="720"/>
        <w:contextualSpacing/>
      </w:pPr>
      <w:r>
        <w:rPr>
          <w:rFonts w:ascii="Calibri" w:eastAsia="Calibri" w:hAnsi="Calibri" w:cs="Calibri"/>
        </w:rPr>
        <w:lastRenderedPageBreak/>
        <w:t xml:space="preserve">Information required for selecting a Bidder based on its economic and financial standing, technical and professional ability and compliance with legislation and standards are set out in </w:t>
      </w:r>
      <w:r w:rsidR="00F519D7">
        <w:rPr>
          <w:rFonts w:ascii="Calibri" w:eastAsia="Calibri" w:hAnsi="Calibri" w:cs="Calibri"/>
        </w:rPr>
        <w:t xml:space="preserve">part 3 of the </w:t>
      </w:r>
      <w:r w:rsidR="00D15EA1">
        <w:rPr>
          <w:rFonts w:ascii="Calibri" w:eastAsia="Calibri" w:hAnsi="Calibri" w:cs="Calibri"/>
        </w:rPr>
        <w:t xml:space="preserve">standard </w:t>
      </w:r>
      <w:r w:rsidR="00F519D7">
        <w:rPr>
          <w:rFonts w:ascii="Calibri" w:eastAsia="Calibri" w:hAnsi="Calibri" w:cs="Calibri"/>
        </w:rPr>
        <w:t>selection questionnaire</w:t>
      </w:r>
      <w:r>
        <w:rPr>
          <w:rFonts w:ascii="Calibri" w:eastAsia="Calibri" w:hAnsi="Calibri" w:cs="Calibri"/>
        </w:rPr>
        <w:t xml:space="preserve"> of Appendix</w:t>
      </w:r>
      <w:r w:rsidR="00F115AB">
        <w:rPr>
          <w:rFonts w:ascii="Calibri" w:eastAsia="Calibri" w:hAnsi="Calibri" w:cs="Calibri"/>
        </w:rPr>
        <w:t xml:space="preserve"> 2: Bidder Response to the ITT.</w:t>
      </w:r>
    </w:p>
    <w:p w14:paraId="4935C7CA" w14:textId="77777777" w:rsidR="00656438" w:rsidRDefault="00A26303">
      <w:pPr>
        <w:pStyle w:val="Heading3"/>
        <w:numPr>
          <w:ilvl w:val="2"/>
          <w:numId w:val="6"/>
        </w:numPr>
        <w:ind w:hanging="720"/>
        <w:contextualSpacing/>
      </w:pPr>
      <w:bookmarkStart w:id="54" w:name="h.lq3c259uyhq2" w:colFirst="0" w:colLast="0"/>
      <w:bookmarkEnd w:id="54"/>
      <w:r>
        <w:rPr>
          <w:b/>
          <w:color w:val="1F497D"/>
        </w:rPr>
        <w:t>Grounds for Mandatory Exclusion</w:t>
      </w:r>
    </w:p>
    <w:p w14:paraId="2F3E6906" w14:textId="640A9AA6" w:rsidR="00656438" w:rsidRDefault="00732516" w:rsidP="00452874">
      <w:pPr>
        <w:pStyle w:val="Heading3"/>
        <w:keepNext w:val="0"/>
        <w:keepLines w:val="0"/>
        <w:numPr>
          <w:ilvl w:val="3"/>
          <w:numId w:val="6"/>
        </w:numPr>
        <w:ind w:left="2115" w:hanging="1293"/>
        <w:contextualSpacing/>
      </w:pPr>
      <w:bookmarkStart w:id="55" w:name="h.i6sydhebec7t" w:colFirst="0" w:colLast="0"/>
      <w:bookmarkEnd w:id="55"/>
      <w:r>
        <w:t>G</w:t>
      </w:r>
      <w:r w:rsidR="00A26303">
        <w:t xml:space="preserve">rounds for mandatory exclusion are set out in </w:t>
      </w:r>
      <w:r w:rsidR="00D15EA1">
        <w:t>part 2</w:t>
      </w:r>
      <w:r w:rsidR="004228DB">
        <w:t xml:space="preserve"> </w:t>
      </w:r>
      <w:r w:rsidR="00A26303">
        <w:t>Section 2 of Appendix 2: Bidder Response to the ITT.</w:t>
      </w:r>
    </w:p>
    <w:p w14:paraId="084FE074" w14:textId="03B2F720" w:rsidR="00656438" w:rsidRDefault="00A26303" w:rsidP="00452874">
      <w:pPr>
        <w:pStyle w:val="Heading3"/>
        <w:keepNext w:val="0"/>
        <w:keepLines w:val="0"/>
        <w:numPr>
          <w:ilvl w:val="3"/>
          <w:numId w:val="6"/>
        </w:numPr>
        <w:ind w:left="2115" w:hanging="1293"/>
        <w:contextualSpacing/>
      </w:pPr>
      <w:bookmarkStart w:id="56" w:name="h.v3wg1hty7oua" w:colFirst="0" w:colLast="0"/>
      <w:bookmarkEnd w:id="56"/>
      <w:r>
        <w:t>Bidders in responding to question 2.1</w:t>
      </w:r>
      <w:r w:rsidR="003A714F">
        <w:t>a</w:t>
      </w:r>
      <w:r>
        <w:t xml:space="preserve"> will be excluded from the procurement process if there is evidence of convictions relating to specific criminal offences including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7B626A60" w14:textId="03BF33E3" w:rsidR="00656438" w:rsidRDefault="00A26303" w:rsidP="00452874">
      <w:pPr>
        <w:pStyle w:val="Heading3"/>
        <w:keepNext w:val="0"/>
        <w:keepLines w:val="0"/>
        <w:numPr>
          <w:ilvl w:val="3"/>
          <w:numId w:val="6"/>
        </w:numPr>
        <w:ind w:left="2115" w:hanging="1293"/>
        <w:contextualSpacing/>
      </w:pPr>
      <w:bookmarkStart w:id="57" w:name="h.mfu427mhzbgo" w:colFirst="0" w:colLast="0"/>
      <w:bookmarkEnd w:id="57"/>
      <w:r>
        <w:t>If an answer of “yes” is provided to question 2.</w:t>
      </w:r>
      <w:r w:rsidR="003A714F">
        <w:t>3a</w:t>
      </w:r>
      <w:r>
        <w:t xml:space="preserve"> on the non-payment of taxes or social security contributions, and the Bidder has not paid or entered into a binding arrangement to pay the full amount, the Bidder may still avoid exclusion if only minor tax or social security contributions are unpaid or if it has not yet had time to fulfil its obligations since learning of the exact amount due.  If the Bidder’s organisation is in that position it must provide details using a separate Appendix, and may contact the Local Body for advice before completing this form.</w:t>
      </w:r>
    </w:p>
    <w:p w14:paraId="0997D379" w14:textId="77777777" w:rsidR="00656438" w:rsidRDefault="00656438"/>
    <w:p w14:paraId="20988055" w14:textId="593633DA" w:rsidR="00656438" w:rsidRDefault="00A26303">
      <w:pPr>
        <w:pStyle w:val="Heading3"/>
        <w:numPr>
          <w:ilvl w:val="2"/>
          <w:numId w:val="6"/>
        </w:numPr>
        <w:ind w:hanging="720"/>
        <w:contextualSpacing/>
      </w:pPr>
      <w:bookmarkStart w:id="58" w:name="h.cxws7d94l0rl" w:colFirst="0" w:colLast="0"/>
      <w:bookmarkEnd w:id="58"/>
      <w:r>
        <w:rPr>
          <w:b/>
          <w:color w:val="1F497D"/>
        </w:rPr>
        <w:t>Grounds for Discretionary Exclusion</w:t>
      </w:r>
    </w:p>
    <w:p w14:paraId="157FF946" w14:textId="629425D7" w:rsidR="00656438" w:rsidRDefault="00A26303" w:rsidP="00452874">
      <w:pPr>
        <w:pStyle w:val="Heading3"/>
        <w:keepNext w:val="0"/>
        <w:keepLines w:val="0"/>
        <w:numPr>
          <w:ilvl w:val="3"/>
          <w:numId w:val="6"/>
        </w:numPr>
        <w:ind w:left="2098" w:hanging="1276"/>
        <w:contextualSpacing/>
      </w:pPr>
      <w:bookmarkStart w:id="59" w:name="h.aqtupjsevqza" w:colFirst="0" w:colLast="0"/>
      <w:bookmarkEnd w:id="59"/>
      <w:r>
        <w:t>Grounds for d</w:t>
      </w:r>
      <w:r w:rsidR="00732516">
        <w:t xml:space="preserve">iscretionary exclusion </w:t>
      </w:r>
      <w:r>
        <w:t xml:space="preserve">are set out in </w:t>
      </w:r>
      <w:r w:rsidR="00D15EA1">
        <w:t>part 2</w:t>
      </w:r>
      <w:r w:rsidR="004228DB">
        <w:t xml:space="preserve"> section</w:t>
      </w:r>
      <w:r>
        <w:t xml:space="preserve"> 3 of Appendix 2: Bidder Response to the ITT.</w:t>
      </w:r>
    </w:p>
    <w:p w14:paraId="698AB557" w14:textId="0F540359" w:rsidR="00656438" w:rsidRDefault="00BC52BA" w:rsidP="00452874">
      <w:pPr>
        <w:pStyle w:val="Heading3"/>
        <w:keepNext w:val="0"/>
        <w:keepLines w:val="0"/>
        <w:numPr>
          <w:ilvl w:val="3"/>
          <w:numId w:val="6"/>
        </w:numPr>
        <w:ind w:left="2098" w:hanging="1276"/>
        <w:contextualSpacing/>
      </w:pPr>
      <w:bookmarkStart w:id="60" w:name="h.yobtbifhnhg2" w:colFirst="0" w:colLast="0"/>
      <w:bookmarkEnd w:id="60"/>
      <w:r>
        <w:t>The Local Body</w:t>
      </w:r>
      <w:r w:rsidR="00A26303">
        <w:t xml:space="preserve"> may exclude any Bidder who answers ‘Yes’ in any of the situations set</w:t>
      </w:r>
      <w:r w:rsidR="00D83DD5">
        <w:t xml:space="preserve"> out in paragraphs 3.1 (a) to (j</w:t>
      </w:r>
      <w:r w:rsidR="00A26303">
        <w:t>).</w:t>
      </w:r>
    </w:p>
    <w:p w14:paraId="095BAC51" w14:textId="687C87F6" w:rsidR="00656438" w:rsidRDefault="00A26303" w:rsidP="00452874">
      <w:pPr>
        <w:pStyle w:val="Heading3"/>
        <w:keepNext w:val="0"/>
        <w:keepLines w:val="0"/>
        <w:numPr>
          <w:ilvl w:val="3"/>
          <w:numId w:val="6"/>
        </w:numPr>
        <w:ind w:left="2098" w:hanging="1276"/>
        <w:contextualSpacing/>
      </w:pPr>
      <w:bookmarkStart w:id="61" w:name="h.9qwu2gja5pna" w:colFirst="0" w:colLast="0"/>
      <w:bookmarkEnd w:id="61"/>
      <w:r>
        <w:t xml:space="preserve">Specifically in relation to </w:t>
      </w:r>
      <w:r w:rsidR="00732516">
        <w:t xml:space="preserve">paragraph </w:t>
      </w:r>
      <w:r>
        <w:t>3.1 (</w:t>
      </w:r>
      <w:r w:rsidR="00717175">
        <w:t>g</w:t>
      </w:r>
      <w:r>
        <w:t>), the Local Body may exclude the Bidder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Where there is any indication that a conflict of interest exists or may arise then it is the responsibility of the Bidder to inform the Local Body, detailing the conflict in a separate Appendix. Provided that it has been carried out in a transparent manner, routine pre-market engagement carried out by the Local Body should not represent a conflict of interest for the Bidder.</w:t>
      </w:r>
    </w:p>
    <w:p w14:paraId="1CEE4D82" w14:textId="0C78E6ED" w:rsidR="00656438" w:rsidRDefault="00A26303" w:rsidP="00452874">
      <w:pPr>
        <w:pStyle w:val="Heading3"/>
        <w:keepNext w:val="0"/>
        <w:keepLines w:val="0"/>
        <w:numPr>
          <w:ilvl w:val="3"/>
          <w:numId w:val="6"/>
        </w:numPr>
        <w:ind w:left="2098" w:hanging="1276"/>
        <w:contextualSpacing/>
      </w:pPr>
      <w:bookmarkStart w:id="62" w:name="h.p585oid7wirp" w:colFirst="0" w:colLast="0"/>
      <w:bookmarkEnd w:id="62"/>
      <w:r>
        <w:t xml:space="preserve">In accordance with </w:t>
      </w:r>
      <w:r w:rsidR="00732516">
        <w:t xml:space="preserve">paragraph </w:t>
      </w:r>
      <w:r>
        <w:t>3.1 (</w:t>
      </w:r>
      <w:r w:rsidR="00717175">
        <w:t>i</w:t>
      </w:r>
      <w:r>
        <w:t xml:space="preserve">), the Local Body may assess the past performance of a </w:t>
      </w:r>
      <w:r w:rsidR="008803B7">
        <w:t>Bidder</w:t>
      </w:r>
      <w:r>
        <w:t xml:space="preserve"> (through a </w:t>
      </w:r>
      <w:r w:rsidR="0062395A">
        <w:t>c</w:t>
      </w:r>
      <w:r>
        <w:t xml:space="preserve">ertificate of </w:t>
      </w:r>
      <w:r w:rsidR="0062395A">
        <w:t>p</w:t>
      </w:r>
      <w:r>
        <w:t xml:space="preserve">erformance provided by a </w:t>
      </w:r>
      <w:r w:rsidR="0062395A">
        <w:t>c</w:t>
      </w:r>
      <w:r>
        <w:t xml:space="preserve">ustomer or other means of evidence). The Local Body may take into account any failure to discharge obligations under the previous principal relevant contracts of the </w:t>
      </w:r>
      <w:r w:rsidR="00732516">
        <w:t>Bidder</w:t>
      </w:r>
      <w:r>
        <w:t xml:space="preserve"> completing this ITT. The Local Body may also assess </w:t>
      </w:r>
      <w:r>
        <w:lastRenderedPageBreak/>
        <w:t>whether specified minimum standards for reliability for such contracts are met.</w:t>
      </w:r>
      <w:r w:rsidR="004C17AF">
        <w:t xml:space="preserve"> </w:t>
      </w:r>
      <w:r>
        <w:t xml:space="preserve">In addition, the Local Body may re-assess reliability based on past performance at key stages in the procurement process (i.e. </w:t>
      </w:r>
      <w:r w:rsidR="008803B7">
        <w:t>Bidder</w:t>
      </w:r>
      <w:r>
        <w:t xml:space="preserve"> selection, tender evaluation, contract award stage etc.). Bidders may also be asked to update the evidence they provide in this section to reflect more recent performance on new or existing contracts (or to confirm that nothing has changed).</w:t>
      </w:r>
    </w:p>
    <w:p w14:paraId="5287C396" w14:textId="3694D6AC" w:rsidR="00656438" w:rsidRDefault="00A26303" w:rsidP="00452874">
      <w:pPr>
        <w:pStyle w:val="Heading3"/>
        <w:keepNext w:val="0"/>
        <w:keepLines w:val="0"/>
        <w:numPr>
          <w:ilvl w:val="3"/>
          <w:numId w:val="6"/>
        </w:numPr>
        <w:ind w:left="2100" w:hanging="1275"/>
        <w:contextualSpacing/>
      </w:pPr>
      <w:bookmarkStart w:id="63" w:name="h.hq9hglpdd5pp" w:colFirst="0" w:colLast="0"/>
      <w:bookmarkStart w:id="64" w:name="h.u9ptlqaz9ybf" w:colFirst="0" w:colLast="0"/>
      <w:bookmarkStart w:id="65" w:name="h.2fwq5fy78a3l" w:colFirst="0" w:colLast="0"/>
      <w:bookmarkEnd w:id="63"/>
      <w:bookmarkEnd w:id="64"/>
      <w:bookmarkEnd w:id="65"/>
      <w:r>
        <w:t xml:space="preserve">The </w:t>
      </w:r>
      <w:r w:rsidR="00BC52BA">
        <w:t>Local Body</w:t>
      </w:r>
      <w:r>
        <w:t xml:space="preserve"> reserves the right to use its discretion to exclude a </w:t>
      </w:r>
      <w:r w:rsidR="0062395A">
        <w:t>Bidder</w:t>
      </w:r>
      <w:r>
        <w:t xml:space="preserve"> where it can demonstrate the Bidder’s non-payment of taxes/social security contributions</w:t>
      </w:r>
      <w:r w:rsidR="00D83DD5">
        <w:t>,</w:t>
      </w:r>
      <w:r>
        <w:t xml:space="preserve"> </w:t>
      </w:r>
      <w:r w:rsidR="00B94C44">
        <w:t>despite</w:t>
      </w:r>
      <w:r>
        <w:t xml:space="preserve"> no binding legal decision ha</w:t>
      </w:r>
      <w:r w:rsidR="00B94C44">
        <w:t>ving</w:t>
      </w:r>
      <w:r>
        <w:t xml:space="preserve"> been </w:t>
      </w:r>
      <w:r w:rsidR="00B94C44">
        <w:t>established</w:t>
      </w:r>
      <w:r>
        <w:t>.</w:t>
      </w:r>
    </w:p>
    <w:p w14:paraId="11DB3524" w14:textId="77777777" w:rsidR="00656438" w:rsidRDefault="00A26303">
      <w:pPr>
        <w:pStyle w:val="Heading3"/>
        <w:numPr>
          <w:ilvl w:val="2"/>
          <w:numId w:val="6"/>
        </w:numPr>
        <w:spacing w:after="200"/>
        <w:ind w:hanging="720"/>
        <w:contextualSpacing/>
        <w:rPr>
          <w:color w:val="1F497D"/>
        </w:rPr>
      </w:pPr>
      <w:bookmarkStart w:id="66" w:name="h.cuh8lcbgonrg" w:colFirst="0" w:colLast="0"/>
      <w:bookmarkStart w:id="67" w:name="h.9imwk44anavz" w:colFirst="0" w:colLast="0"/>
      <w:bookmarkStart w:id="68" w:name="h.zsfcsxnlow0" w:colFirst="0" w:colLast="0"/>
      <w:bookmarkStart w:id="69" w:name="h.yhxv5ncz0o7u" w:colFirst="0" w:colLast="0"/>
      <w:bookmarkStart w:id="70" w:name="h.3aj5nsgajjnk" w:colFirst="0" w:colLast="0"/>
      <w:bookmarkEnd w:id="66"/>
      <w:bookmarkEnd w:id="67"/>
      <w:bookmarkEnd w:id="68"/>
      <w:bookmarkEnd w:id="69"/>
      <w:bookmarkEnd w:id="70"/>
      <w:r>
        <w:rPr>
          <w:b/>
          <w:color w:val="1F497D"/>
        </w:rPr>
        <w:t>Self Cleaning for Mandatory and Discretionary Exclusio</w:t>
      </w:r>
      <w:r>
        <w:rPr>
          <w:color w:val="1F497D"/>
        </w:rPr>
        <w:t>n</w:t>
      </w:r>
    </w:p>
    <w:p w14:paraId="21926A91" w14:textId="7D497458" w:rsidR="00656438" w:rsidRDefault="00A26303">
      <w:pPr>
        <w:numPr>
          <w:ilvl w:val="3"/>
          <w:numId w:val="6"/>
        </w:numPr>
        <w:ind w:left="2385" w:hanging="1560"/>
        <w:contextualSpacing/>
      </w:pPr>
      <w:r>
        <w:rPr>
          <w:rFonts w:ascii="Calibri" w:eastAsia="Calibri" w:hAnsi="Calibri" w:cs="Calibri"/>
        </w:rPr>
        <w:t xml:space="preserve">Bidders should note that where an answer of  ‘Yes’ is provided to </w:t>
      </w:r>
      <w:r w:rsidR="00032807">
        <w:rPr>
          <w:rFonts w:ascii="Calibri" w:eastAsia="Calibri" w:hAnsi="Calibri" w:cs="Calibri"/>
        </w:rPr>
        <w:t>any question</w:t>
      </w:r>
      <w:r w:rsidR="00032807" w:rsidRPr="00967E49">
        <w:rPr>
          <w:rFonts w:ascii="Calibri" w:eastAsia="Calibri" w:hAnsi="Calibri" w:cs="Calibri"/>
        </w:rPr>
        <w:t xml:space="preserve"> in part</w:t>
      </w:r>
      <w:r>
        <w:rPr>
          <w:rFonts w:ascii="Calibri" w:eastAsia="Calibri" w:hAnsi="Calibri" w:cs="Calibri"/>
        </w:rPr>
        <w:t xml:space="preserve"> 2</w:t>
      </w:r>
      <w:r w:rsidR="00032807">
        <w:rPr>
          <w:rFonts w:ascii="Calibri" w:eastAsia="Calibri" w:hAnsi="Calibri" w:cs="Calibri"/>
        </w:rPr>
        <w:t xml:space="preserve"> by</w:t>
      </w:r>
      <w:r w:rsidR="00032807" w:rsidRPr="00967E49">
        <w:rPr>
          <w:rFonts w:ascii="Calibri" w:eastAsia="Calibri" w:hAnsi="Calibri" w:cs="Calibri"/>
        </w:rPr>
        <w:t xml:space="preserve"> the winning bidder</w:t>
      </w:r>
      <w:r w:rsidR="00032807">
        <w:rPr>
          <w:rFonts w:ascii="Calibri" w:eastAsia="Calibri" w:hAnsi="Calibri" w:cs="Calibri"/>
        </w:rPr>
        <w:t>, the winning bidder must</w:t>
      </w:r>
      <w:r w:rsidR="00032807" w:rsidRPr="00967E49">
        <w:rPr>
          <w:rFonts w:ascii="Calibri" w:eastAsia="Calibri" w:hAnsi="Calibri" w:cs="Calibri"/>
        </w:rPr>
        <w:t xml:space="preserve"> </w:t>
      </w:r>
      <w:r>
        <w:rPr>
          <w:rFonts w:ascii="Calibri" w:eastAsia="Calibri" w:hAnsi="Calibri" w:cs="Calibri"/>
        </w:rPr>
        <w:t xml:space="preserve"> provide sufficient </w:t>
      </w:r>
      <w:r w:rsidR="00032807">
        <w:rPr>
          <w:rFonts w:ascii="Calibri" w:eastAsia="Calibri" w:hAnsi="Calibri" w:cs="Calibri"/>
        </w:rPr>
        <w:t>information as to the circumstance of the issue along with details of</w:t>
      </w:r>
      <w:r>
        <w:rPr>
          <w:rFonts w:ascii="Calibri" w:eastAsia="Calibri" w:hAnsi="Calibri" w:cs="Calibri"/>
        </w:rPr>
        <w:t xml:space="preserve"> any remedial action that has taken place subsequently</w:t>
      </w:r>
      <w:r w:rsidR="00032807">
        <w:rPr>
          <w:rFonts w:ascii="Calibri" w:eastAsia="Calibri" w:hAnsi="Calibri" w:cs="Calibri"/>
        </w:rPr>
        <w:t>, which</w:t>
      </w:r>
      <w:r w:rsidR="00032807" w:rsidRPr="001508CB">
        <w:rPr>
          <w:rFonts w:ascii="Calibri" w:eastAsia="Calibri" w:hAnsi="Calibri" w:cs="Calibri"/>
        </w:rPr>
        <w:t>,</w:t>
      </w:r>
      <w:r w:rsidR="00032807">
        <w:rPr>
          <w:rFonts w:ascii="Calibri" w:eastAsia="Calibri" w:hAnsi="Calibri" w:cs="Calibri"/>
        </w:rPr>
        <w:t xml:space="preserve"> in the reasonable opinion of the Local Body, evidences</w:t>
      </w:r>
      <w:r w:rsidR="00032807" w:rsidRPr="00173427">
        <w:rPr>
          <w:rFonts w:ascii="Calibri" w:eastAsia="Calibri" w:hAnsi="Calibri" w:cs="Calibri"/>
        </w:rPr>
        <w:t xml:space="preserve"> </w:t>
      </w:r>
      <w:r w:rsidR="00032807">
        <w:rPr>
          <w:rFonts w:ascii="Calibri" w:eastAsia="Calibri" w:hAnsi="Calibri" w:cs="Calibri"/>
        </w:rPr>
        <w:t>effective</w:t>
      </w:r>
      <w:r>
        <w:rPr>
          <w:rFonts w:ascii="Calibri" w:eastAsia="Calibri" w:hAnsi="Calibri" w:cs="Calibri"/>
        </w:rPr>
        <w:t xml:space="preserve"> “self </w:t>
      </w:r>
      <w:r w:rsidR="00032807" w:rsidRPr="00173427">
        <w:rPr>
          <w:rFonts w:ascii="Calibri" w:eastAsia="Calibri" w:hAnsi="Calibri" w:cs="Calibri"/>
        </w:rPr>
        <w:t>cleans</w:t>
      </w:r>
      <w:r w:rsidR="00032807">
        <w:rPr>
          <w:rFonts w:ascii="Calibri" w:eastAsia="Calibri" w:hAnsi="Calibri" w:cs="Calibri"/>
        </w:rPr>
        <w:t>ing</w:t>
      </w:r>
      <w:r w:rsidR="00032807" w:rsidRPr="00173427">
        <w:rPr>
          <w:rFonts w:ascii="Calibri" w:eastAsia="Calibri" w:hAnsi="Calibri" w:cs="Calibri"/>
        </w:rPr>
        <w:t>”</w:t>
      </w:r>
      <w:r w:rsidR="00032807">
        <w:rPr>
          <w:rFonts w:ascii="Calibri" w:eastAsia="Calibri" w:hAnsi="Calibri" w:cs="Calibri"/>
        </w:rPr>
        <w:t xml:space="preserve"> of</w:t>
      </w:r>
      <w:r>
        <w:rPr>
          <w:rFonts w:ascii="Calibri" w:eastAsia="Calibri" w:hAnsi="Calibri" w:cs="Calibri"/>
        </w:rPr>
        <w:t xml:space="preserve"> the situation referred to in that question. The</w:t>
      </w:r>
      <w:r w:rsidR="00032807" w:rsidRPr="00173427">
        <w:rPr>
          <w:rFonts w:ascii="Calibri" w:eastAsia="Calibri" w:hAnsi="Calibri" w:cs="Calibri"/>
        </w:rPr>
        <w:t xml:space="preserve"> </w:t>
      </w:r>
      <w:r w:rsidR="00032807">
        <w:rPr>
          <w:rFonts w:ascii="Calibri" w:eastAsia="Calibri" w:hAnsi="Calibri" w:cs="Calibri"/>
        </w:rPr>
        <w:t>winning</w:t>
      </w:r>
      <w:r w:rsidR="0062395A">
        <w:rPr>
          <w:rFonts w:ascii="Calibri" w:eastAsia="Calibri" w:hAnsi="Calibri" w:cs="Calibri"/>
        </w:rPr>
        <w:t xml:space="preserve"> Bidder</w:t>
      </w:r>
      <w:r>
        <w:rPr>
          <w:rFonts w:ascii="Calibri" w:eastAsia="Calibri" w:hAnsi="Calibri" w:cs="Calibri"/>
        </w:rPr>
        <w:t xml:space="preserve"> </w:t>
      </w:r>
      <w:r w:rsidR="0062395A">
        <w:rPr>
          <w:rFonts w:ascii="Calibri" w:eastAsia="Calibri" w:hAnsi="Calibri" w:cs="Calibri"/>
        </w:rPr>
        <w:t>must</w:t>
      </w:r>
      <w:r>
        <w:rPr>
          <w:rFonts w:ascii="Calibri" w:eastAsia="Calibri" w:hAnsi="Calibri" w:cs="Calibri"/>
        </w:rPr>
        <w:t xml:space="preserve"> demonstrate it has taken such remedial action, to the satisfaction of the Local Body</w:t>
      </w:r>
      <w:r w:rsidR="00032807">
        <w:rPr>
          <w:rFonts w:ascii="Calibri" w:eastAsia="Calibri" w:hAnsi="Calibri" w:cs="Calibri"/>
        </w:rPr>
        <w:t>,</w:t>
      </w:r>
      <w:r>
        <w:rPr>
          <w:rFonts w:ascii="Calibri" w:eastAsia="Calibri" w:hAnsi="Calibri" w:cs="Calibri"/>
        </w:rPr>
        <w:t xml:space="preserve"> in each case. </w:t>
      </w:r>
    </w:p>
    <w:p w14:paraId="090EF0E8" w14:textId="7988CA70" w:rsidR="00656438" w:rsidRDefault="00EE37FA">
      <w:pPr>
        <w:numPr>
          <w:ilvl w:val="3"/>
          <w:numId w:val="6"/>
        </w:numPr>
        <w:ind w:left="2385" w:hanging="1560"/>
        <w:contextualSpacing/>
      </w:pPr>
      <w:r>
        <w:rPr>
          <w:rFonts w:ascii="Calibri" w:eastAsia="Calibri" w:hAnsi="Calibri" w:cs="Calibri"/>
        </w:rPr>
        <w:t>[</w:t>
      </w:r>
      <w:r w:rsidR="00A26303" w:rsidRPr="00032807">
        <w:rPr>
          <w:rFonts w:ascii="Calibri" w:eastAsia="Calibri" w:hAnsi="Calibri" w:cs="Calibri"/>
        </w:rPr>
        <w:t>If</w:t>
      </w:r>
      <w:r w:rsidR="00C242B8">
        <w:rPr>
          <w:rFonts w:ascii="Calibri" w:eastAsia="Calibri" w:hAnsi="Calibri" w:cs="Calibri"/>
        </w:rPr>
        <w:t xml:space="preserve"> the Local Body is using the Open Procedure, and</w:t>
      </w:r>
      <w:r w:rsidR="00A26303">
        <w:rPr>
          <w:rFonts w:ascii="Calibri" w:eastAsia="Calibri" w:hAnsi="Calibri" w:cs="Calibri"/>
        </w:rPr>
        <w:t xml:space="preserve"> such evidence is considered by the Local Body (whose decision will be final) as sufficient, the </w:t>
      </w:r>
      <w:r w:rsidR="000217B1" w:rsidRPr="008C48D2">
        <w:rPr>
          <w:rFonts w:ascii="Calibri" w:eastAsia="Calibri" w:hAnsi="Calibri" w:cs="Calibri"/>
        </w:rPr>
        <w:t>winning B</w:t>
      </w:r>
      <w:r w:rsidR="001F1BCB" w:rsidRPr="000A0FE0">
        <w:rPr>
          <w:rFonts w:ascii="Calibri" w:eastAsia="Calibri" w:hAnsi="Calibri" w:cs="Calibri"/>
        </w:rPr>
        <w:t>idder</w:t>
      </w:r>
      <w:r w:rsidR="00A26303">
        <w:rPr>
          <w:rFonts w:ascii="Calibri" w:eastAsia="Calibri" w:hAnsi="Calibri" w:cs="Calibri"/>
        </w:rPr>
        <w:t xml:space="preserve"> shall be allowed to continue in the procurement process.</w:t>
      </w:r>
      <w:r w:rsidR="001F1BCB" w:rsidRPr="000A0FE0">
        <w:rPr>
          <w:rFonts w:ascii="Calibri" w:eastAsia="Calibri" w:hAnsi="Calibri" w:cs="Calibri"/>
        </w:rPr>
        <w:t xml:space="preserve"> </w:t>
      </w:r>
    </w:p>
    <w:p w14:paraId="4AC59DDB" w14:textId="77777777" w:rsidR="00C242B8" w:rsidRPr="00EE37FA" w:rsidRDefault="00C242B8">
      <w:pPr>
        <w:numPr>
          <w:ilvl w:val="3"/>
          <w:numId w:val="6"/>
        </w:numPr>
        <w:ind w:left="2385" w:hanging="1560"/>
        <w:contextualSpacing/>
        <w:rPr>
          <w:rFonts w:asciiTheme="minorHAnsi" w:hAnsiTheme="minorHAnsi"/>
        </w:rPr>
      </w:pPr>
      <w:r w:rsidRPr="00EE37FA">
        <w:rPr>
          <w:rFonts w:asciiTheme="minorHAnsi" w:hAnsiTheme="minorHAnsi"/>
        </w:rPr>
        <w:t xml:space="preserve">If the Local Body is using the Restricted Procedure, </w:t>
      </w:r>
      <w:r>
        <w:rPr>
          <w:rFonts w:asciiTheme="minorHAnsi" w:hAnsiTheme="minorHAnsi"/>
        </w:rPr>
        <w:t>the Local Body must satisfy itself of any evidence presented by a bidder showing effective "self cleansing", before taking such a bidder forward to the ITT stage. A decision</w:t>
      </w:r>
      <w:r w:rsidR="00A54C96">
        <w:rPr>
          <w:rFonts w:asciiTheme="minorHAnsi" w:hAnsiTheme="minorHAnsi"/>
        </w:rPr>
        <w:t xml:space="preserve"> by a Local Body</w:t>
      </w:r>
      <w:r>
        <w:rPr>
          <w:rFonts w:asciiTheme="minorHAnsi" w:hAnsiTheme="minorHAnsi"/>
        </w:rPr>
        <w:t xml:space="preserve"> on </w:t>
      </w:r>
      <w:r w:rsidR="00A54C96">
        <w:rPr>
          <w:rFonts w:asciiTheme="minorHAnsi" w:hAnsiTheme="minorHAnsi"/>
        </w:rPr>
        <w:t>the effectiveness of any "self cleansing" undertaken by a bidder shall be final.</w:t>
      </w:r>
      <w:r w:rsidR="00EE37FA">
        <w:rPr>
          <w:rFonts w:asciiTheme="minorHAnsi" w:hAnsiTheme="minorHAnsi"/>
        </w:rPr>
        <w:t>]</w:t>
      </w:r>
      <w:r w:rsidR="00EE37FA">
        <w:rPr>
          <w:rStyle w:val="FootnoteReference"/>
          <w:rFonts w:asciiTheme="minorHAnsi" w:hAnsiTheme="minorHAnsi"/>
        </w:rPr>
        <w:footnoteReference w:id="36"/>
      </w:r>
    </w:p>
    <w:p w14:paraId="1D3C988D" w14:textId="6257C013" w:rsidR="00656438" w:rsidRDefault="00A26303">
      <w:pPr>
        <w:numPr>
          <w:ilvl w:val="3"/>
          <w:numId w:val="6"/>
        </w:numPr>
        <w:ind w:left="2385" w:hanging="1560"/>
        <w:contextualSpacing/>
      </w:pPr>
      <w:r>
        <w:rPr>
          <w:rFonts w:ascii="Calibri" w:eastAsia="Calibri" w:hAnsi="Calibri" w:cs="Calibri"/>
        </w:rPr>
        <w:t xml:space="preserve">In order for the evidence referred to above to be sufficient, the </w:t>
      </w:r>
      <w:r w:rsidR="008803B7">
        <w:rPr>
          <w:rFonts w:ascii="Calibri" w:eastAsia="Calibri" w:hAnsi="Calibri" w:cs="Calibri"/>
        </w:rPr>
        <w:t>Bidder</w:t>
      </w:r>
      <w:r>
        <w:rPr>
          <w:rFonts w:ascii="Calibri" w:eastAsia="Calibri" w:hAnsi="Calibri" w:cs="Calibri"/>
        </w:rPr>
        <w:t xml:space="preserve"> shall, as a minimum, prove that it has:</w:t>
      </w:r>
    </w:p>
    <w:p w14:paraId="38B50967" w14:textId="77777777" w:rsidR="00656438" w:rsidRDefault="00A26303">
      <w:pPr>
        <w:numPr>
          <w:ilvl w:val="4"/>
          <w:numId w:val="6"/>
        </w:numPr>
        <w:ind w:left="3660" w:hanging="1410"/>
        <w:contextualSpacing/>
      </w:pPr>
      <w:r>
        <w:rPr>
          <w:rFonts w:ascii="Calibri" w:eastAsia="Calibri" w:hAnsi="Calibri" w:cs="Calibri"/>
        </w:rPr>
        <w:t>paid or undertaken to pay compensation in respect of any damage caused by the criminal offence or misconduct;</w:t>
      </w:r>
    </w:p>
    <w:p w14:paraId="14368664" w14:textId="77777777" w:rsidR="00656438" w:rsidRDefault="00A26303">
      <w:pPr>
        <w:numPr>
          <w:ilvl w:val="4"/>
          <w:numId w:val="6"/>
        </w:numPr>
        <w:ind w:left="3660" w:hanging="1410"/>
        <w:contextualSpacing/>
      </w:pPr>
      <w:r>
        <w:rPr>
          <w:rFonts w:ascii="Calibri" w:eastAsia="Calibri" w:hAnsi="Calibri" w:cs="Calibri"/>
        </w:rPr>
        <w:t>clarified the facts and circumstances in a comprehensive manner by actively collaborating with the investigating authorities; and</w:t>
      </w:r>
    </w:p>
    <w:p w14:paraId="0ACE793B" w14:textId="77777777" w:rsidR="00656438" w:rsidRDefault="00A26303">
      <w:pPr>
        <w:numPr>
          <w:ilvl w:val="4"/>
          <w:numId w:val="6"/>
        </w:numPr>
        <w:ind w:left="3660" w:hanging="1410"/>
        <w:contextualSpacing/>
      </w:pPr>
      <w:r>
        <w:rPr>
          <w:rFonts w:ascii="Calibri" w:eastAsia="Calibri" w:hAnsi="Calibri" w:cs="Calibri"/>
        </w:rPr>
        <w:t>taken concrete technical, organisational and personnel measures that are appropriate to prevent further criminal offences or misconduct.</w:t>
      </w:r>
    </w:p>
    <w:p w14:paraId="2E0D8A2D" w14:textId="0FCB2B91" w:rsidR="00656438" w:rsidRDefault="00A26303">
      <w:pPr>
        <w:numPr>
          <w:ilvl w:val="3"/>
          <w:numId w:val="6"/>
        </w:numPr>
        <w:ind w:left="2250" w:hanging="1425"/>
        <w:contextualSpacing/>
      </w:pPr>
      <w:r>
        <w:rPr>
          <w:rFonts w:ascii="Calibri" w:eastAsia="Calibri" w:hAnsi="Calibri" w:cs="Calibri"/>
        </w:rPr>
        <w:t xml:space="preserve">The measures taken by the </w:t>
      </w:r>
      <w:r w:rsidR="008803B7">
        <w:rPr>
          <w:rFonts w:ascii="Calibri" w:eastAsia="Calibri" w:hAnsi="Calibri" w:cs="Calibri"/>
        </w:rPr>
        <w:t>Bidder</w:t>
      </w:r>
      <w:r>
        <w:rPr>
          <w:rFonts w:ascii="Calibri" w:eastAsia="Calibri" w:hAnsi="Calibri" w:cs="Calibri"/>
        </w:rPr>
        <w:t xml:space="preserve"> shall be </w:t>
      </w:r>
      <w:r w:rsidR="001508CB">
        <w:rPr>
          <w:rFonts w:ascii="Calibri" w:eastAsia="Calibri" w:hAnsi="Calibri" w:cs="Calibri"/>
        </w:rPr>
        <w:t>assessed</w:t>
      </w:r>
      <w:r>
        <w:rPr>
          <w:rFonts w:ascii="Calibri" w:eastAsia="Calibri" w:hAnsi="Calibri" w:cs="Calibri"/>
        </w:rPr>
        <w:t xml:space="preserve"> taking into account the gravity and particular circumstances of the criminal offence or misconduct. </w:t>
      </w:r>
      <w:r>
        <w:rPr>
          <w:rFonts w:ascii="Calibri" w:eastAsia="Calibri" w:hAnsi="Calibri" w:cs="Calibri"/>
        </w:rPr>
        <w:lastRenderedPageBreak/>
        <w:t xml:space="preserve">Where the measures are considered by the </w:t>
      </w:r>
      <w:r w:rsidR="00BC52BA">
        <w:rPr>
          <w:rFonts w:ascii="Calibri" w:eastAsia="Calibri" w:hAnsi="Calibri" w:cs="Calibri"/>
        </w:rPr>
        <w:t>Local Body</w:t>
      </w:r>
      <w:r>
        <w:rPr>
          <w:rFonts w:ascii="Calibri" w:eastAsia="Calibri" w:hAnsi="Calibri" w:cs="Calibri"/>
        </w:rPr>
        <w:t xml:space="preserve"> to be insufficient, the </w:t>
      </w:r>
      <w:r w:rsidR="008803B7">
        <w:rPr>
          <w:rFonts w:ascii="Calibri" w:eastAsia="Calibri" w:hAnsi="Calibri" w:cs="Calibri"/>
        </w:rPr>
        <w:t>Bidder</w:t>
      </w:r>
      <w:r>
        <w:rPr>
          <w:rFonts w:ascii="Calibri" w:eastAsia="Calibri" w:hAnsi="Calibri" w:cs="Calibri"/>
        </w:rPr>
        <w:t xml:space="preserve"> shall be given a statement of the reasons for that decision.</w:t>
      </w:r>
    </w:p>
    <w:p w14:paraId="587AAD99" w14:textId="77777777" w:rsidR="00656438" w:rsidRDefault="00A26303">
      <w:pPr>
        <w:pStyle w:val="Heading3"/>
        <w:numPr>
          <w:ilvl w:val="2"/>
          <w:numId w:val="6"/>
        </w:numPr>
        <w:spacing w:after="200"/>
        <w:ind w:hanging="720"/>
        <w:contextualSpacing/>
        <w:rPr>
          <w:color w:val="1F497D"/>
        </w:rPr>
      </w:pPr>
      <w:bookmarkStart w:id="71" w:name="h.trs0txni34v8" w:colFirst="0" w:colLast="0"/>
      <w:bookmarkEnd w:id="71"/>
      <w:r>
        <w:rPr>
          <w:b/>
          <w:color w:val="1F497D"/>
        </w:rPr>
        <w:t>Economic and Financial Standing Selection Criteria</w:t>
      </w:r>
    </w:p>
    <w:p w14:paraId="7562AAD5" w14:textId="4DCB31F6" w:rsidR="00656438" w:rsidRPr="00EE5CB7" w:rsidRDefault="001D592E">
      <w:pPr>
        <w:numPr>
          <w:ilvl w:val="3"/>
          <w:numId w:val="6"/>
        </w:numPr>
        <w:ind w:left="2250" w:hanging="1425"/>
        <w:contextualSpacing/>
        <w:rPr>
          <w:rFonts w:ascii="Calibri" w:eastAsia="Calibri" w:hAnsi="Calibri" w:cs="Calibri"/>
        </w:rPr>
      </w:pPr>
      <w:r w:rsidRPr="00EE5CB7">
        <w:rPr>
          <w:rFonts w:ascii="Calibri" w:eastAsia="Calibri" w:hAnsi="Calibri" w:cs="Calibri"/>
        </w:rPr>
        <w:t xml:space="preserve">Bidders shall provide both historical/current performance and financial status data. </w:t>
      </w:r>
      <w:r w:rsidR="0053549B">
        <w:rPr>
          <w:rFonts w:ascii="Calibri" w:eastAsia="Calibri" w:hAnsi="Calibri" w:cs="Calibri"/>
        </w:rPr>
        <w:t xml:space="preserve">The requirement for this are set out in part 3 of the standard selection questionnaire </w:t>
      </w:r>
      <w:r w:rsidR="0053549B">
        <w:t xml:space="preserve">of </w:t>
      </w:r>
      <w:r w:rsidR="0053549B" w:rsidRPr="0053549B">
        <w:rPr>
          <w:rFonts w:asciiTheme="minorHAnsi" w:hAnsiTheme="minorHAnsi"/>
        </w:rPr>
        <w:t>Appendix 2: Bidder Response to the ITT.</w:t>
      </w:r>
      <w:r w:rsidR="0053549B">
        <w:rPr>
          <w:rFonts w:ascii="Calibri" w:eastAsia="Calibri" w:hAnsi="Calibri" w:cs="Calibri"/>
        </w:rPr>
        <w:t xml:space="preserve"> </w:t>
      </w:r>
      <w:r w:rsidRPr="00EE5CB7">
        <w:rPr>
          <w:rFonts w:ascii="Calibri" w:eastAsia="Calibri" w:hAnsi="Calibri" w:cs="Calibri"/>
        </w:rPr>
        <w:t xml:space="preserve"> Bidders will need to provide a cash flow forecast statement and a statement on sources of and access to funding other than public subsidy. </w:t>
      </w:r>
      <w:r w:rsidR="00CC71B5">
        <w:rPr>
          <w:rFonts w:ascii="Calibri" w:eastAsia="Calibri" w:hAnsi="Calibri" w:cs="Calibri"/>
        </w:rPr>
        <w:t xml:space="preserve">  </w:t>
      </w:r>
    </w:p>
    <w:p w14:paraId="7280BB61" w14:textId="166AB8BF" w:rsidR="0053549B" w:rsidRPr="00EE5CB7" w:rsidRDefault="00D61CEC">
      <w:pPr>
        <w:numPr>
          <w:ilvl w:val="3"/>
          <w:numId w:val="6"/>
        </w:numPr>
        <w:ind w:left="2250" w:hanging="1425"/>
        <w:contextualSpacing/>
        <w:rPr>
          <w:rFonts w:ascii="Calibri" w:eastAsia="Calibri" w:hAnsi="Calibri" w:cs="Calibri"/>
        </w:rPr>
      </w:pPr>
      <w:r>
        <w:rPr>
          <w:rFonts w:ascii="Calibri" w:eastAsia="Calibri" w:hAnsi="Calibri" w:cs="Calibri"/>
        </w:rPr>
        <w:t>Bidders shall self-certify that they meet the Economic and Financial Standing Selection Criteria as set out in section A1.3.</w:t>
      </w:r>
      <w:r w:rsidR="00E32438">
        <w:rPr>
          <w:rFonts w:ascii="Calibri" w:eastAsia="Calibri" w:hAnsi="Calibri" w:cs="Calibri"/>
        </w:rPr>
        <w:t>6</w:t>
      </w:r>
      <w:r>
        <w:rPr>
          <w:rFonts w:ascii="Calibri" w:eastAsia="Calibri" w:hAnsi="Calibri" w:cs="Calibri"/>
        </w:rPr>
        <w:t>.</w:t>
      </w:r>
      <w:r w:rsidR="00EE37FA">
        <w:rPr>
          <w:rFonts w:ascii="Calibri" w:eastAsia="Calibri" w:hAnsi="Calibri" w:cs="Calibri"/>
        </w:rPr>
        <w:t>7</w:t>
      </w:r>
      <w:r>
        <w:rPr>
          <w:rFonts w:ascii="Calibri" w:eastAsia="Calibri" w:hAnsi="Calibri" w:cs="Calibri"/>
        </w:rPr>
        <w:t xml:space="preserve"> to A1.3.</w:t>
      </w:r>
      <w:r w:rsidR="00E32438">
        <w:rPr>
          <w:rFonts w:ascii="Calibri" w:eastAsia="Calibri" w:hAnsi="Calibri" w:cs="Calibri"/>
        </w:rPr>
        <w:t>6</w:t>
      </w:r>
      <w:r>
        <w:rPr>
          <w:rFonts w:ascii="Calibri" w:eastAsia="Calibri" w:hAnsi="Calibri" w:cs="Calibri"/>
        </w:rPr>
        <w:t xml:space="preserve">.11 of ITT Part 2 in the </w:t>
      </w:r>
      <w:r w:rsidR="001508CB">
        <w:rPr>
          <w:rFonts w:ascii="Calibri" w:eastAsia="Calibri" w:hAnsi="Calibri" w:cs="Calibri"/>
        </w:rPr>
        <w:t>S</w:t>
      </w:r>
      <w:r>
        <w:rPr>
          <w:rFonts w:ascii="Calibri" w:eastAsia="Calibri" w:hAnsi="Calibri" w:cs="Calibri"/>
        </w:rPr>
        <w:t xml:space="preserve">tandard </w:t>
      </w:r>
      <w:r w:rsidR="001508CB">
        <w:rPr>
          <w:rFonts w:ascii="Calibri" w:eastAsia="Calibri" w:hAnsi="Calibri" w:cs="Calibri"/>
        </w:rPr>
        <w:t>S</w:t>
      </w:r>
      <w:r>
        <w:rPr>
          <w:rFonts w:ascii="Calibri" w:eastAsia="Calibri" w:hAnsi="Calibri" w:cs="Calibri"/>
        </w:rPr>
        <w:t xml:space="preserve">election </w:t>
      </w:r>
      <w:r w:rsidR="001508CB">
        <w:rPr>
          <w:rFonts w:ascii="Calibri" w:eastAsia="Calibri" w:hAnsi="Calibri" w:cs="Calibri"/>
        </w:rPr>
        <w:t>Q</w:t>
      </w:r>
      <w:r>
        <w:rPr>
          <w:rFonts w:ascii="Calibri" w:eastAsia="Calibri" w:hAnsi="Calibri" w:cs="Calibri"/>
        </w:rPr>
        <w:t>uestionnaire part 3, section 4. The Local Body shall carry out checks against the self</w:t>
      </w:r>
      <w:r w:rsidR="000217B1">
        <w:rPr>
          <w:rFonts w:ascii="Calibri" w:eastAsia="Calibri" w:hAnsi="Calibri" w:cs="Calibri"/>
        </w:rPr>
        <w:t>-certification for the winning B</w:t>
      </w:r>
      <w:r>
        <w:rPr>
          <w:rFonts w:ascii="Calibri" w:eastAsia="Calibri" w:hAnsi="Calibri" w:cs="Calibri"/>
        </w:rPr>
        <w:t>idder. Information will onl</w:t>
      </w:r>
      <w:r w:rsidR="000217B1">
        <w:rPr>
          <w:rFonts w:ascii="Calibri" w:eastAsia="Calibri" w:hAnsi="Calibri" w:cs="Calibri"/>
        </w:rPr>
        <w:t>y be required from the winning B</w:t>
      </w:r>
      <w:r>
        <w:rPr>
          <w:rFonts w:ascii="Calibri" w:eastAsia="Calibri" w:hAnsi="Calibri" w:cs="Calibri"/>
        </w:rPr>
        <w:t xml:space="preserve">idder as set out in the standard selection questionnaire part 3, sections 4 and 5. </w:t>
      </w:r>
    </w:p>
    <w:p w14:paraId="6540AEEE" w14:textId="00FDD425" w:rsidR="00656438" w:rsidRDefault="00A26303">
      <w:pPr>
        <w:numPr>
          <w:ilvl w:val="3"/>
          <w:numId w:val="6"/>
        </w:numPr>
        <w:ind w:left="2250" w:hanging="1425"/>
        <w:contextualSpacing/>
      </w:pPr>
      <w:r>
        <w:rPr>
          <w:rFonts w:ascii="Calibri" w:eastAsia="Calibri" w:hAnsi="Calibri" w:cs="Calibri"/>
        </w:rPr>
        <w:t xml:space="preserve">Bidders should note that where a consortium is proposed where the members are sharing financial risk or financial commitment, then the financial information required in this section of the </w:t>
      </w:r>
      <w:r w:rsidR="0053549B">
        <w:rPr>
          <w:rFonts w:ascii="Calibri" w:eastAsia="Calibri" w:hAnsi="Calibri" w:cs="Calibri"/>
        </w:rPr>
        <w:t>[</w:t>
      </w:r>
      <w:r w:rsidR="001F1BCB">
        <w:rPr>
          <w:rFonts w:ascii="Calibri" w:eastAsia="Calibri" w:hAnsi="Calibri" w:cs="Calibri"/>
        </w:rPr>
        <w:t>ITT</w:t>
      </w:r>
      <w:r w:rsidR="0053549B">
        <w:rPr>
          <w:rFonts w:ascii="Calibri" w:eastAsia="Calibri" w:hAnsi="Calibri" w:cs="Calibri"/>
        </w:rPr>
        <w:t>/</w:t>
      </w:r>
      <w:r>
        <w:rPr>
          <w:rFonts w:ascii="Calibri" w:eastAsia="Calibri" w:hAnsi="Calibri" w:cs="Calibri"/>
        </w:rPr>
        <w:t>PQQ</w:t>
      </w:r>
      <w:r w:rsidR="0053549B">
        <w:rPr>
          <w:rFonts w:ascii="Calibri" w:eastAsia="Calibri" w:hAnsi="Calibri" w:cs="Calibri"/>
        </w:rPr>
        <w:t>]</w:t>
      </w:r>
      <w:r w:rsidR="0053549B">
        <w:rPr>
          <w:rStyle w:val="FootnoteReference"/>
          <w:rFonts w:ascii="Calibri" w:eastAsia="Calibri" w:hAnsi="Calibri" w:cs="Calibri"/>
        </w:rPr>
        <w:footnoteReference w:id="37"/>
      </w:r>
      <w:r>
        <w:rPr>
          <w:rFonts w:ascii="Calibri" w:eastAsia="Calibri" w:hAnsi="Calibri" w:cs="Calibri"/>
        </w:rPr>
        <w:t xml:space="preserve"> must be provided for all members of the consortium. The evaluation of such will be carried out: (a) for a consortium which does not propose to from a legal entity, for each member of the consortium; and (b) for a consortium which is or proposes to form a legal entity, for the members of the consortium weighted according to the a</w:t>
      </w:r>
      <w:r w:rsidR="000B0395">
        <w:rPr>
          <w:rFonts w:ascii="Calibri" w:eastAsia="Calibri" w:hAnsi="Calibri" w:cs="Calibri"/>
        </w:rPr>
        <w:t>ctual or proposed shareholding.</w:t>
      </w:r>
    </w:p>
    <w:p w14:paraId="7D83BC8B" w14:textId="07488C27" w:rsidR="00656438" w:rsidRDefault="00A26303">
      <w:pPr>
        <w:numPr>
          <w:ilvl w:val="3"/>
          <w:numId w:val="6"/>
        </w:numPr>
        <w:ind w:left="2250" w:hanging="1425"/>
        <w:contextualSpacing/>
      </w:pPr>
      <w:r>
        <w:rPr>
          <w:rFonts w:ascii="Calibri" w:eastAsia="Calibri" w:hAnsi="Calibri" w:cs="Calibri"/>
        </w:rPr>
        <w:t>For prime and sub-contractor arrangements</w:t>
      </w:r>
      <w:r w:rsidR="00EE5CB7">
        <w:rPr>
          <w:rFonts w:ascii="Calibri" w:eastAsia="Calibri" w:hAnsi="Calibri" w:cs="Calibri"/>
        </w:rPr>
        <w:t>,</w:t>
      </w:r>
      <w:r>
        <w:rPr>
          <w:rFonts w:ascii="Calibri" w:eastAsia="Calibri" w:hAnsi="Calibri" w:cs="Calibri"/>
        </w:rPr>
        <w:t xml:space="preserve"> financial information required in </w:t>
      </w:r>
      <w:r w:rsidR="0053549B">
        <w:rPr>
          <w:rFonts w:ascii="Calibri" w:eastAsia="Calibri" w:hAnsi="Calibri" w:cs="Calibri"/>
        </w:rPr>
        <w:t>part 3</w:t>
      </w:r>
      <w:r>
        <w:rPr>
          <w:rFonts w:ascii="Calibri" w:eastAsia="Calibri" w:hAnsi="Calibri" w:cs="Calibri"/>
        </w:rPr>
        <w:t xml:space="preserve"> should be provided for the prime contractor, for all significant sub-contractors (i.e. any company in the supply chain which is being relied upon to demonstrate any aspect of the required experience or capability), and any proposed entity upon which the Bidder wishes to rely (where a Bidder is relying on the financial resources of a parent or group company or another entity).</w:t>
      </w:r>
    </w:p>
    <w:p w14:paraId="41E529C4" w14:textId="2A3E776E" w:rsidR="00656438" w:rsidRDefault="00A26303">
      <w:pPr>
        <w:numPr>
          <w:ilvl w:val="3"/>
          <w:numId w:val="6"/>
        </w:numPr>
        <w:ind w:left="2250" w:hanging="1425"/>
        <w:contextualSpacing/>
      </w:pPr>
      <w:r>
        <w:rPr>
          <w:rFonts w:ascii="Calibri" w:eastAsia="Calibri" w:hAnsi="Calibri" w:cs="Calibri"/>
        </w:rPr>
        <w:t xml:space="preserve">Where a </w:t>
      </w:r>
      <w:r w:rsidR="00131D06">
        <w:rPr>
          <w:rFonts w:ascii="Calibri" w:eastAsia="Calibri" w:hAnsi="Calibri" w:cs="Calibri"/>
        </w:rPr>
        <w:t>guarantee is to be provided, a</w:t>
      </w:r>
      <w:r>
        <w:rPr>
          <w:rFonts w:ascii="Calibri" w:eastAsia="Calibri" w:hAnsi="Calibri" w:cs="Calibri"/>
        </w:rPr>
        <w:t xml:space="preserve"> financial evaluation will be undertaken on the financial information provided for the guarantor. Bidders should note that, based on the overall financial assessment, the Local Body may seek a parent or other guarantee from the Bidder as a pre-condition of remaining in the procurement.</w:t>
      </w:r>
    </w:p>
    <w:p w14:paraId="0F80150E" w14:textId="77777777" w:rsidR="00656438" w:rsidRPr="00355499" w:rsidRDefault="00A26303">
      <w:pPr>
        <w:numPr>
          <w:ilvl w:val="3"/>
          <w:numId w:val="6"/>
        </w:numPr>
        <w:ind w:left="2250" w:hanging="1425"/>
        <w:contextualSpacing/>
      </w:pPr>
      <w:r>
        <w:rPr>
          <w:rFonts w:ascii="Calibri" w:eastAsia="Calibri" w:hAnsi="Calibri" w:cs="Calibri"/>
        </w:rPr>
        <w:t xml:space="preserve">The financial assessment will take a risk based approach to evaluation of the financial capacity and financial standing of Bidders as set out below. In applying this risk based approach, the Local Body will use ratio and other </w:t>
      </w:r>
      <w:r>
        <w:rPr>
          <w:rFonts w:ascii="Calibri" w:eastAsia="Calibri" w:hAnsi="Calibri" w:cs="Calibri"/>
        </w:rPr>
        <w:lastRenderedPageBreak/>
        <w:t>financial analysis and professional judgement to determine the level of concern.</w:t>
      </w:r>
    </w:p>
    <w:p w14:paraId="7292DA6B" w14:textId="173E2C10" w:rsidR="00DA234A" w:rsidRPr="003F589E" w:rsidRDefault="00355499" w:rsidP="00DA234A">
      <w:pPr>
        <w:numPr>
          <w:ilvl w:val="3"/>
          <w:numId w:val="6"/>
        </w:numPr>
        <w:ind w:left="2245" w:hanging="1423"/>
        <w:rPr>
          <w:rFonts w:asciiTheme="minorHAnsi" w:eastAsia="Calibri" w:hAnsiTheme="minorHAnsi" w:cs="Calibri"/>
        </w:rPr>
      </w:pPr>
      <w:r>
        <w:rPr>
          <w:rFonts w:ascii="Calibri" w:eastAsia="Calibri" w:hAnsi="Calibri" w:cs="Calibri"/>
        </w:rPr>
        <w:t>The Local Body will use the [Current Ratio = Current Assets/Current Liabilities]</w:t>
      </w:r>
      <w:r w:rsidRPr="00A64C52">
        <w:rPr>
          <w:rStyle w:val="FootnoteReference"/>
          <w:rFonts w:ascii="Calibri" w:eastAsia="Calibri" w:hAnsi="Calibri" w:cs="Calibri"/>
        </w:rPr>
        <w:footnoteReference w:id="38"/>
      </w:r>
      <w:r w:rsidR="00B64F50">
        <w:rPr>
          <w:rFonts w:ascii="Calibri" w:eastAsia="Calibri" w:hAnsi="Calibri" w:cs="Calibri"/>
        </w:rPr>
        <w:t xml:space="preserve"> in its financial assessment. </w:t>
      </w:r>
      <w:r w:rsidR="00DA234A" w:rsidRPr="003F589E">
        <w:rPr>
          <w:rFonts w:asciiTheme="minorHAnsi" w:hAnsiTheme="minorHAnsi"/>
        </w:rPr>
        <w:t>If the score is below 5.0</w:t>
      </w:r>
      <w:r w:rsidR="003F589E" w:rsidRPr="003F589E">
        <w:rPr>
          <w:rFonts w:asciiTheme="minorHAnsi" w:hAnsiTheme="minorHAnsi"/>
        </w:rPr>
        <w:t xml:space="preserve"> </w:t>
      </w:r>
      <w:r w:rsidR="003F589E" w:rsidRPr="00A712C3">
        <w:rPr>
          <w:rFonts w:asciiTheme="minorHAnsi" w:hAnsiTheme="minorHAnsi" w:cstheme="minorHAnsi"/>
        </w:rPr>
        <w:t>for the financial assessment as set out in table A1.3.7.1</w:t>
      </w:r>
      <w:r w:rsidR="00E32438">
        <w:rPr>
          <w:rFonts w:asciiTheme="minorHAnsi" w:hAnsiTheme="minorHAnsi" w:cstheme="minorHAnsi"/>
        </w:rPr>
        <w:t>1</w:t>
      </w:r>
      <w:r w:rsidR="00DA234A" w:rsidRPr="00A712C3">
        <w:rPr>
          <w:rFonts w:asciiTheme="minorHAnsi" w:hAnsiTheme="minorHAnsi"/>
        </w:rPr>
        <w:t xml:space="preserve"> then the Bidder s</w:t>
      </w:r>
      <w:r w:rsidR="00DA234A" w:rsidRPr="003F589E">
        <w:rPr>
          <w:rFonts w:asciiTheme="minorHAnsi" w:hAnsiTheme="minorHAnsi"/>
        </w:rPr>
        <w:t xml:space="preserve">hall not be selected.   </w:t>
      </w:r>
    </w:p>
    <w:p w14:paraId="07CD9FA2" w14:textId="77777777" w:rsidR="00B64F50" w:rsidRDefault="00A26303" w:rsidP="00A70A2A">
      <w:pPr>
        <w:numPr>
          <w:ilvl w:val="3"/>
          <w:numId w:val="6"/>
        </w:numPr>
        <w:ind w:left="2245" w:hanging="1423"/>
        <w:rPr>
          <w:rFonts w:ascii="Calibri" w:eastAsia="Calibri" w:hAnsi="Calibri" w:cs="Calibri"/>
        </w:rPr>
      </w:pPr>
      <w:r w:rsidRPr="00B64F50">
        <w:rPr>
          <w:rFonts w:ascii="Calibri" w:eastAsia="Calibri" w:hAnsi="Calibri" w:cs="Calibri"/>
        </w:rPr>
        <w:t xml:space="preserve">The Local Body reserves the right to seek further financial information from Bidders and other relevant companies if required. Bidders should note that the Local Body reserves the right to carry out its own review of publicly available financial information as additional data sources to be used in the Local Body’s evaluation. </w:t>
      </w:r>
    </w:p>
    <w:p w14:paraId="7671D17B" w14:textId="77777777" w:rsidR="00656438" w:rsidRPr="00B64F50" w:rsidRDefault="00A26303" w:rsidP="00A70A2A">
      <w:pPr>
        <w:numPr>
          <w:ilvl w:val="3"/>
          <w:numId w:val="6"/>
        </w:numPr>
        <w:ind w:left="2250" w:hanging="1425"/>
        <w:contextualSpacing/>
        <w:rPr>
          <w:rFonts w:ascii="Calibri" w:eastAsia="Calibri" w:hAnsi="Calibri" w:cs="Calibri"/>
        </w:rPr>
      </w:pPr>
      <w:r w:rsidRPr="00B64F50">
        <w:rPr>
          <w:rFonts w:ascii="Calibri" w:eastAsia="Calibri" w:hAnsi="Calibri" w:cs="Calibri"/>
        </w:rPr>
        <w:t>Specifically, the Local Body may use the following sources of public information for these purposes:</w:t>
      </w:r>
    </w:p>
    <w:p w14:paraId="077E4E67" w14:textId="77777777" w:rsidR="00656438" w:rsidRDefault="005B068F" w:rsidP="00A70A2A">
      <w:pPr>
        <w:numPr>
          <w:ilvl w:val="4"/>
          <w:numId w:val="6"/>
        </w:numPr>
        <w:ind w:left="3544" w:hanging="1383"/>
        <w:contextualSpacing/>
      </w:pPr>
      <w:r>
        <w:rPr>
          <w:rFonts w:ascii="Calibri" w:eastAsia="Calibri" w:hAnsi="Calibri" w:cs="Calibri"/>
        </w:rPr>
        <w:t>[</w:t>
      </w:r>
      <w:r w:rsidR="00A26303">
        <w:rPr>
          <w:rFonts w:ascii="Calibri" w:eastAsia="Calibri" w:hAnsi="Calibri" w:cs="Calibri"/>
        </w:rPr>
        <w:t>ICC Juniper</w:t>
      </w:r>
    </w:p>
    <w:p w14:paraId="13927C7E" w14:textId="77777777" w:rsidR="00656438" w:rsidRDefault="00A26303" w:rsidP="00A70A2A">
      <w:pPr>
        <w:numPr>
          <w:ilvl w:val="4"/>
          <w:numId w:val="6"/>
        </w:numPr>
        <w:ind w:left="3544" w:hanging="1383"/>
        <w:contextualSpacing/>
      </w:pPr>
      <w:r>
        <w:rPr>
          <w:rFonts w:ascii="Calibri" w:eastAsia="Calibri" w:hAnsi="Calibri" w:cs="Calibri"/>
        </w:rPr>
        <w:t>Thomson Research</w:t>
      </w:r>
    </w:p>
    <w:p w14:paraId="75BEB4A7" w14:textId="77777777" w:rsidR="00656438" w:rsidRDefault="00A26303" w:rsidP="00A70A2A">
      <w:pPr>
        <w:numPr>
          <w:ilvl w:val="4"/>
          <w:numId w:val="6"/>
        </w:numPr>
        <w:ind w:left="3544" w:hanging="1383"/>
        <w:contextualSpacing/>
      </w:pPr>
      <w:r>
        <w:rPr>
          <w:rFonts w:ascii="Calibri" w:eastAsia="Calibri" w:hAnsi="Calibri" w:cs="Calibri"/>
        </w:rPr>
        <w:t>OneSource</w:t>
      </w:r>
    </w:p>
    <w:p w14:paraId="3025646E" w14:textId="77777777" w:rsidR="00656438" w:rsidRDefault="00A26303" w:rsidP="00A70A2A">
      <w:pPr>
        <w:numPr>
          <w:ilvl w:val="4"/>
          <w:numId w:val="6"/>
        </w:numPr>
        <w:ind w:left="3544" w:hanging="1383"/>
        <w:contextualSpacing/>
      </w:pPr>
      <w:r>
        <w:rPr>
          <w:rFonts w:ascii="Calibri" w:eastAsia="Calibri" w:hAnsi="Calibri" w:cs="Calibri"/>
        </w:rPr>
        <w:t>Credit ratings agencies reports (Standard &amp; Poor’s, Moody’s, Fitch)</w:t>
      </w:r>
    </w:p>
    <w:p w14:paraId="258A89E2" w14:textId="77777777" w:rsidR="00656438" w:rsidRDefault="00A26303" w:rsidP="00A70A2A">
      <w:pPr>
        <w:numPr>
          <w:ilvl w:val="4"/>
          <w:numId w:val="6"/>
        </w:numPr>
        <w:ind w:left="3544" w:hanging="1383"/>
        <w:contextualSpacing/>
      </w:pPr>
      <w:r>
        <w:rPr>
          <w:rFonts w:ascii="Calibri" w:eastAsia="Calibri" w:hAnsi="Calibri" w:cs="Calibri"/>
        </w:rPr>
        <w:t>Dun &amp; Bradstreet</w:t>
      </w:r>
    </w:p>
    <w:p w14:paraId="4ED8663D" w14:textId="77777777" w:rsidR="00656438" w:rsidRDefault="00A26303" w:rsidP="00A70A2A">
      <w:pPr>
        <w:numPr>
          <w:ilvl w:val="4"/>
          <w:numId w:val="6"/>
        </w:numPr>
        <w:ind w:left="3544" w:hanging="1383"/>
        <w:contextualSpacing/>
      </w:pPr>
      <w:r>
        <w:rPr>
          <w:rFonts w:ascii="Calibri" w:eastAsia="Calibri" w:hAnsi="Calibri" w:cs="Calibri"/>
        </w:rPr>
        <w:t>Stock exchange news feeds (interim accounts, trading updates)</w:t>
      </w:r>
    </w:p>
    <w:p w14:paraId="5ED70268" w14:textId="77777777" w:rsidR="00656438" w:rsidRDefault="00A26303" w:rsidP="00A70A2A">
      <w:pPr>
        <w:numPr>
          <w:ilvl w:val="4"/>
          <w:numId w:val="6"/>
        </w:numPr>
        <w:ind w:left="3544" w:hanging="1383"/>
        <w:contextualSpacing/>
      </w:pPr>
      <w:r>
        <w:rPr>
          <w:rFonts w:ascii="Calibri" w:eastAsia="Calibri" w:hAnsi="Calibri" w:cs="Calibri"/>
        </w:rPr>
        <w:t>Bloomberg</w:t>
      </w:r>
    </w:p>
    <w:p w14:paraId="79843E39" w14:textId="77777777" w:rsidR="00656438" w:rsidRDefault="00A26303" w:rsidP="00A70A2A">
      <w:pPr>
        <w:numPr>
          <w:ilvl w:val="4"/>
          <w:numId w:val="6"/>
        </w:numPr>
        <w:ind w:left="3544" w:hanging="1383"/>
        <w:contextualSpacing/>
      </w:pPr>
      <w:r>
        <w:rPr>
          <w:rFonts w:ascii="Calibri" w:eastAsia="Calibri" w:hAnsi="Calibri" w:cs="Calibri"/>
        </w:rPr>
        <w:t>Reuters</w:t>
      </w:r>
    </w:p>
    <w:p w14:paraId="615406DE" w14:textId="77777777" w:rsidR="00656438" w:rsidRDefault="00A26303" w:rsidP="00A70A2A">
      <w:pPr>
        <w:numPr>
          <w:ilvl w:val="4"/>
          <w:numId w:val="6"/>
        </w:numPr>
        <w:ind w:left="3544" w:hanging="1383"/>
        <w:contextualSpacing/>
      </w:pPr>
      <w:r>
        <w:rPr>
          <w:rFonts w:ascii="Calibri" w:eastAsia="Calibri" w:hAnsi="Calibri" w:cs="Calibri"/>
        </w:rPr>
        <w:t>Corporate websites</w:t>
      </w:r>
    </w:p>
    <w:p w14:paraId="6F985DB8" w14:textId="77777777" w:rsidR="00B64F50" w:rsidRPr="00B64F50" w:rsidRDefault="00A26303" w:rsidP="00A70A2A">
      <w:pPr>
        <w:numPr>
          <w:ilvl w:val="4"/>
          <w:numId w:val="6"/>
        </w:numPr>
        <w:ind w:left="3544" w:hanging="1383"/>
        <w:contextualSpacing/>
      </w:pPr>
      <w:r>
        <w:rPr>
          <w:rFonts w:ascii="Calibri" w:eastAsia="Calibri" w:hAnsi="Calibri" w:cs="Calibri"/>
        </w:rPr>
        <w:t>Factiva</w:t>
      </w:r>
      <w:r w:rsidR="005B068F">
        <w:rPr>
          <w:rFonts w:ascii="Calibri" w:eastAsia="Calibri" w:hAnsi="Calibri" w:cs="Calibri"/>
        </w:rPr>
        <w:t>]</w:t>
      </w:r>
      <w:r w:rsidR="005B068F">
        <w:rPr>
          <w:rStyle w:val="FootnoteReference"/>
          <w:rFonts w:ascii="Calibri" w:eastAsia="Calibri" w:hAnsi="Calibri" w:cs="Calibri"/>
        </w:rPr>
        <w:footnoteReference w:id="39"/>
      </w:r>
    </w:p>
    <w:p w14:paraId="43504B56" w14:textId="77777777" w:rsidR="00B64F50" w:rsidRPr="00B64F50" w:rsidRDefault="00B64F50" w:rsidP="00B64F50">
      <w:pPr>
        <w:ind w:left="720"/>
        <w:contextualSpacing/>
        <w:rPr>
          <w:rFonts w:asciiTheme="minorHAnsi" w:hAnsiTheme="minorHAnsi"/>
        </w:rPr>
      </w:pPr>
    </w:p>
    <w:p w14:paraId="7A6706DE" w14:textId="77777777" w:rsidR="00B64F50" w:rsidRDefault="00B64F50" w:rsidP="00A70A2A">
      <w:pPr>
        <w:numPr>
          <w:ilvl w:val="3"/>
          <w:numId w:val="6"/>
        </w:numPr>
        <w:ind w:left="2250" w:hanging="1425"/>
        <w:contextualSpacing/>
      </w:pPr>
      <w:r>
        <w:rPr>
          <w:rFonts w:ascii="Calibri" w:eastAsia="Calibri" w:hAnsi="Calibri" w:cs="Calibri"/>
        </w:rPr>
        <w:t xml:space="preserve">It is for the Bidder to ensure that the information about it published by the public sources is correct and the Local Body accepts no liability if it relies upon information from the same that is incorrect. Should </w:t>
      </w:r>
      <w:r w:rsidR="005B068F">
        <w:rPr>
          <w:rFonts w:ascii="Calibri" w:eastAsia="Calibri" w:hAnsi="Calibri" w:cs="Calibri"/>
        </w:rPr>
        <w:t>a Local B</w:t>
      </w:r>
      <w:r>
        <w:rPr>
          <w:rFonts w:ascii="Calibri" w:eastAsia="Calibri" w:hAnsi="Calibri" w:cs="Calibri"/>
        </w:rPr>
        <w:t>ody use public information the Bidder will be given an opportunity to provide clarification</w:t>
      </w:r>
      <w:r w:rsidR="005B068F">
        <w:rPr>
          <w:rFonts w:ascii="Calibri" w:eastAsia="Calibri" w:hAnsi="Calibri" w:cs="Calibri"/>
        </w:rPr>
        <w:t xml:space="preserve"> should there be </w:t>
      </w:r>
      <w:r w:rsidR="00302A4E">
        <w:rPr>
          <w:rFonts w:ascii="Calibri" w:eastAsia="Calibri" w:hAnsi="Calibri" w:cs="Calibri"/>
        </w:rPr>
        <w:t>major</w:t>
      </w:r>
      <w:r w:rsidR="005B068F">
        <w:rPr>
          <w:rFonts w:ascii="Calibri" w:eastAsia="Calibri" w:hAnsi="Calibri" w:cs="Calibri"/>
        </w:rPr>
        <w:t xml:space="preserve"> concern</w:t>
      </w:r>
      <w:r w:rsidR="00302A4E">
        <w:rPr>
          <w:rFonts w:ascii="Calibri" w:eastAsia="Calibri" w:hAnsi="Calibri" w:cs="Calibri"/>
        </w:rPr>
        <w:t>s with the financial assessment</w:t>
      </w:r>
      <w:r w:rsidR="005B068F">
        <w:rPr>
          <w:rFonts w:ascii="Calibri" w:eastAsia="Calibri" w:hAnsi="Calibri" w:cs="Calibri"/>
        </w:rPr>
        <w:t xml:space="preserve">. </w:t>
      </w:r>
    </w:p>
    <w:p w14:paraId="5D7F70AD" w14:textId="77777777" w:rsidR="00B64F50" w:rsidRPr="00B64F50" w:rsidRDefault="00B64F50" w:rsidP="00B64F50">
      <w:pPr>
        <w:spacing w:after="0" w:line="240" w:lineRule="auto"/>
        <w:ind w:left="1559"/>
        <w:contextualSpacing/>
        <w:jc w:val="left"/>
      </w:pPr>
    </w:p>
    <w:p w14:paraId="7D128AC4" w14:textId="553764F9" w:rsidR="00656438" w:rsidRDefault="00A26303" w:rsidP="00A70A2A">
      <w:pPr>
        <w:numPr>
          <w:ilvl w:val="3"/>
          <w:numId w:val="6"/>
        </w:numPr>
        <w:spacing w:after="0" w:line="240" w:lineRule="auto"/>
        <w:ind w:left="2268" w:hanging="1429"/>
        <w:contextualSpacing/>
        <w:jc w:val="left"/>
      </w:pPr>
      <w:r>
        <w:rPr>
          <w:rFonts w:ascii="Calibri" w:eastAsia="Calibri" w:hAnsi="Calibri" w:cs="Calibri"/>
        </w:rPr>
        <w:t>The evidence provided by the Bidder relating to economic and finan</w:t>
      </w:r>
      <w:r w:rsidR="001E3C5B">
        <w:rPr>
          <w:rFonts w:ascii="Calibri" w:eastAsia="Calibri" w:hAnsi="Calibri" w:cs="Calibri"/>
        </w:rPr>
        <w:t xml:space="preserve">cial standing will be scored </w:t>
      </w:r>
      <w:r>
        <w:rPr>
          <w:rFonts w:ascii="Calibri" w:eastAsia="Calibri" w:hAnsi="Calibri" w:cs="Calibri"/>
        </w:rPr>
        <w:t>according to the scoring matrix set out in the table below:</w:t>
      </w:r>
    </w:p>
    <w:p w14:paraId="4B626CF3" w14:textId="77777777" w:rsidR="00656438" w:rsidRDefault="00656438">
      <w:pPr>
        <w:spacing w:after="0" w:line="240" w:lineRule="auto"/>
        <w:ind w:left="2160"/>
        <w:jc w:val="left"/>
      </w:pPr>
    </w:p>
    <w:tbl>
      <w:tblPr>
        <w:tblStyle w:val="a5"/>
        <w:tblW w:w="7305" w:type="dxa"/>
        <w:tblInd w:w="1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5955"/>
      </w:tblGrid>
      <w:tr w:rsidR="00656438" w14:paraId="25164F0F" w14:textId="77777777">
        <w:tc>
          <w:tcPr>
            <w:tcW w:w="1350" w:type="dxa"/>
            <w:tcMar>
              <w:top w:w="100" w:type="dxa"/>
              <w:left w:w="100" w:type="dxa"/>
              <w:bottom w:w="100" w:type="dxa"/>
              <w:right w:w="100" w:type="dxa"/>
            </w:tcMar>
          </w:tcPr>
          <w:p w14:paraId="19FA87E9" w14:textId="77777777" w:rsidR="00656438" w:rsidRDefault="00A26303">
            <w:pPr>
              <w:widowControl w:val="0"/>
              <w:spacing w:after="0" w:line="240" w:lineRule="auto"/>
              <w:jc w:val="left"/>
            </w:pPr>
            <w:r>
              <w:rPr>
                <w:rFonts w:ascii="Calibri" w:eastAsia="Calibri" w:hAnsi="Calibri" w:cs="Calibri"/>
              </w:rPr>
              <w:lastRenderedPageBreak/>
              <w:t>Possible range of scores</w:t>
            </w:r>
          </w:p>
        </w:tc>
        <w:tc>
          <w:tcPr>
            <w:tcW w:w="5955" w:type="dxa"/>
            <w:tcMar>
              <w:top w:w="100" w:type="dxa"/>
              <w:left w:w="100" w:type="dxa"/>
              <w:bottom w:w="100" w:type="dxa"/>
              <w:right w:w="100" w:type="dxa"/>
            </w:tcMar>
          </w:tcPr>
          <w:p w14:paraId="3B3CC31F" w14:textId="77777777" w:rsidR="00656438" w:rsidRDefault="00A26303">
            <w:pPr>
              <w:widowControl w:val="0"/>
              <w:spacing w:after="0" w:line="240" w:lineRule="auto"/>
              <w:jc w:val="left"/>
            </w:pPr>
            <w:r>
              <w:rPr>
                <w:rFonts w:ascii="Calibri" w:eastAsia="Calibri" w:hAnsi="Calibri" w:cs="Calibri"/>
              </w:rPr>
              <w:t>The following lists set out some example concerns that would result in a score in this range. This is not an exhaustive list but simply an indication of the types of concern and their severity.</w:t>
            </w:r>
          </w:p>
        </w:tc>
      </w:tr>
      <w:tr w:rsidR="00656438" w14:paraId="3565FB3D" w14:textId="77777777">
        <w:tc>
          <w:tcPr>
            <w:tcW w:w="1350" w:type="dxa"/>
            <w:tcMar>
              <w:top w:w="100" w:type="dxa"/>
              <w:left w:w="100" w:type="dxa"/>
              <w:bottom w:w="100" w:type="dxa"/>
              <w:right w:w="100" w:type="dxa"/>
            </w:tcMar>
          </w:tcPr>
          <w:p w14:paraId="63E3C146" w14:textId="5532D0EB" w:rsidR="00656438" w:rsidRDefault="00A26303">
            <w:pPr>
              <w:widowControl w:val="0"/>
              <w:spacing w:after="0" w:line="240" w:lineRule="auto"/>
              <w:jc w:val="left"/>
            </w:pPr>
            <w:r>
              <w:rPr>
                <w:rFonts w:ascii="Calibri" w:eastAsia="Calibri" w:hAnsi="Calibri" w:cs="Calibri"/>
              </w:rPr>
              <w:t xml:space="preserve">0 </w:t>
            </w:r>
            <w:r w:rsidR="00A50605">
              <w:rPr>
                <w:rFonts w:ascii="Calibri" w:eastAsia="Calibri" w:hAnsi="Calibri" w:cs="Calibri"/>
              </w:rPr>
              <w:t>–</w:t>
            </w:r>
            <w:r>
              <w:rPr>
                <w:rFonts w:ascii="Calibri" w:eastAsia="Calibri" w:hAnsi="Calibri" w:cs="Calibri"/>
              </w:rPr>
              <w:t xml:space="preserve"> 4</w:t>
            </w:r>
          </w:p>
          <w:p w14:paraId="337A7791" w14:textId="77777777" w:rsidR="00656438" w:rsidRDefault="00A26303">
            <w:pPr>
              <w:widowControl w:val="0"/>
              <w:spacing w:after="0" w:line="240" w:lineRule="auto"/>
              <w:jc w:val="left"/>
            </w:pPr>
            <w:r>
              <w:rPr>
                <w:rFonts w:ascii="Calibri" w:eastAsia="Calibri" w:hAnsi="Calibri" w:cs="Calibri"/>
              </w:rPr>
              <w:t>(Major concerns)</w:t>
            </w:r>
          </w:p>
        </w:tc>
        <w:tc>
          <w:tcPr>
            <w:tcW w:w="5955" w:type="dxa"/>
            <w:tcMar>
              <w:top w:w="100" w:type="dxa"/>
              <w:left w:w="100" w:type="dxa"/>
              <w:bottom w:w="100" w:type="dxa"/>
              <w:right w:w="100" w:type="dxa"/>
            </w:tcMar>
          </w:tcPr>
          <w:p w14:paraId="7C49C70B" w14:textId="18150659" w:rsidR="00656438" w:rsidRDefault="00A26303" w:rsidP="00BC52BA">
            <w:pPr>
              <w:widowControl w:val="0"/>
              <w:spacing w:after="0" w:line="240" w:lineRule="auto"/>
              <w:jc w:val="left"/>
            </w:pPr>
            <w:r>
              <w:rPr>
                <w:rFonts w:ascii="Calibri" w:eastAsia="Calibri" w:hAnsi="Calibri" w:cs="Calibri"/>
              </w:rPr>
              <w:t xml:space="preserve">The financial analysis indicates a concern which is considered to pose a potential material risk to the Bidder’s ability to deliver </w:t>
            </w:r>
            <w:r w:rsidR="00BC52BA">
              <w:rPr>
                <w:rFonts w:ascii="Calibri" w:eastAsia="Calibri" w:hAnsi="Calibri" w:cs="Calibri"/>
              </w:rPr>
              <w:t>the Contract</w:t>
            </w:r>
            <w:r>
              <w:rPr>
                <w:rFonts w:ascii="Calibri" w:eastAsia="Calibri" w:hAnsi="Calibri" w:cs="Calibri"/>
              </w:rPr>
              <w:t>.</w:t>
            </w:r>
          </w:p>
        </w:tc>
      </w:tr>
      <w:tr w:rsidR="00656438" w14:paraId="3FF6C9FC" w14:textId="77777777">
        <w:tc>
          <w:tcPr>
            <w:tcW w:w="1350" w:type="dxa"/>
            <w:tcMar>
              <w:top w:w="100" w:type="dxa"/>
              <w:left w:w="100" w:type="dxa"/>
              <w:bottom w:w="100" w:type="dxa"/>
              <w:right w:w="100" w:type="dxa"/>
            </w:tcMar>
          </w:tcPr>
          <w:p w14:paraId="246431F2" w14:textId="77777777" w:rsidR="00656438" w:rsidRDefault="005B068F">
            <w:pPr>
              <w:widowControl w:val="0"/>
              <w:spacing w:after="0" w:line="240" w:lineRule="auto"/>
              <w:jc w:val="left"/>
            </w:pPr>
            <w:r>
              <w:rPr>
                <w:rFonts w:ascii="Calibri" w:eastAsia="Calibri" w:hAnsi="Calibri" w:cs="Calibri"/>
              </w:rPr>
              <w:t>5 - 7</w:t>
            </w:r>
          </w:p>
          <w:p w14:paraId="32DCE223" w14:textId="77777777" w:rsidR="00656438" w:rsidRDefault="00A26303">
            <w:pPr>
              <w:widowControl w:val="0"/>
              <w:spacing w:after="0" w:line="240" w:lineRule="auto"/>
              <w:jc w:val="left"/>
            </w:pPr>
            <w:r>
              <w:rPr>
                <w:rFonts w:ascii="Calibri" w:eastAsia="Calibri" w:hAnsi="Calibri" w:cs="Calibri"/>
              </w:rPr>
              <w:t>(Moderate concerns)</w:t>
            </w:r>
          </w:p>
        </w:tc>
        <w:tc>
          <w:tcPr>
            <w:tcW w:w="5955" w:type="dxa"/>
            <w:tcMar>
              <w:top w:w="100" w:type="dxa"/>
              <w:left w:w="100" w:type="dxa"/>
              <w:bottom w:w="100" w:type="dxa"/>
              <w:right w:w="100" w:type="dxa"/>
            </w:tcMar>
          </w:tcPr>
          <w:p w14:paraId="5EDC2EA8" w14:textId="3ADAFB5E" w:rsidR="00656438" w:rsidRDefault="00A26303" w:rsidP="00BC52BA">
            <w:pPr>
              <w:widowControl w:val="0"/>
              <w:spacing w:after="0" w:line="240" w:lineRule="auto"/>
              <w:jc w:val="left"/>
            </w:pPr>
            <w:r>
              <w:rPr>
                <w:rFonts w:ascii="Calibri" w:eastAsia="Calibri" w:hAnsi="Calibri" w:cs="Calibri"/>
              </w:rPr>
              <w:t xml:space="preserve">The financial analysis indicates a concern which is considered to pose a potential moderate concern to the Bidder’s ability to deliver </w:t>
            </w:r>
            <w:r w:rsidR="00BC52BA">
              <w:rPr>
                <w:rFonts w:ascii="Calibri" w:eastAsia="Calibri" w:hAnsi="Calibri" w:cs="Calibri"/>
              </w:rPr>
              <w:t>the Contract</w:t>
            </w:r>
            <w:r>
              <w:rPr>
                <w:rFonts w:ascii="Calibri" w:eastAsia="Calibri" w:hAnsi="Calibri" w:cs="Calibri"/>
              </w:rPr>
              <w:t>.</w:t>
            </w:r>
          </w:p>
        </w:tc>
      </w:tr>
      <w:tr w:rsidR="00656438" w14:paraId="1A157355" w14:textId="77777777">
        <w:tc>
          <w:tcPr>
            <w:tcW w:w="1350" w:type="dxa"/>
            <w:tcMar>
              <w:top w:w="100" w:type="dxa"/>
              <w:left w:w="100" w:type="dxa"/>
              <w:bottom w:w="100" w:type="dxa"/>
              <w:right w:w="100" w:type="dxa"/>
            </w:tcMar>
          </w:tcPr>
          <w:p w14:paraId="79AF920C" w14:textId="77777777" w:rsidR="00656438" w:rsidRDefault="005B068F">
            <w:pPr>
              <w:widowControl w:val="0"/>
              <w:spacing w:after="0" w:line="240" w:lineRule="auto"/>
              <w:jc w:val="left"/>
            </w:pPr>
            <w:r>
              <w:rPr>
                <w:rFonts w:ascii="Calibri" w:eastAsia="Calibri" w:hAnsi="Calibri" w:cs="Calibri"/>
              </w:rPr>
              <w:t>8</w:t>
            </w:r>
            <w:r w:rsidR="00A26303">
              <w:rPr>
                <w:rFonts w:ascii="Calibri" w:eastAsia="Calibri" w:hAnsi="Calibri" w:cs="Calibri"/>
              </w:rPr>
              <w:t xml:space="preserve"> </w:t>
            </w:r>
            <w:r>
              <w:rPr>
                <w:rFonts w:ascii="Calibri" w:eastAsia="Calibri" w:hAnsi="Calibri" w:cs="Calibri"/>
              </w:rPr>
              <w:t>- 9</w:t>
            </w:r>
          </w:p>
          <w:p w14:paraId="5F82DDD4" w14:textId="77777777" w:rsidR="00656438" w:rsidRDefault="00A26303">
            <w:pPr>
              <w:widowControl w:val="0"/>
              <w:spacing w:after="0" w:line="240" w:lineRule="auto"/>
              <w:jc w:val="left"/>
            </w:pPr>
            <w:r>
              <w:rPr>
                <w:rFonts w:ascii="Calibri" w:eastAsia="Calibri" w:hAnsi="Calibri" w:cs="Calibri"/>
              </w:rPr>
              <w:t>(Minor concerns)</w:t>
            </w:r>
          </w:p>
        </w:tc>
        <w:tc>
          <w:tcPr>
            <w:tcW w:w="5955" w:type="dxa"/>
            <w:tcMar>
              <w:top w:w="100" w:type="dxa"/>
              <w:left w:w="100" w:type="dxa"/>
              <w:bottom w:w="100" w:type="dxa"/>
              <w:right w:w="100" w:type="dxa"/>
            </w:tcMar>
          </w:tcPr>
          <w:p w14:paraId="3A84F771" w14:textId="28818138" w:rsidR="00656438" w:rsidRDefault="00A26303" w:rsidP="00BC52BA">
            <w:pPr>
              <w:widowControl w:val="0"/>
              <w:spacing w:after="0" w:line="240" w:lineRule="auto"/>
              <w:jc w:val="left"/>
            </w:pPr>
            <w:r>
              <w:rPr>
                <w:rFonts w:ascii="Calibri" w:eastAsia="Calibri" w:hAnsi="Calibri" w:cs="Calibri"/>
              </w:rPr>
              <w:t>The financial analysis indicates a concern which is considered to pose a potential minor or non-</w:t>
            </w:r>
            <w:r w:rsidR="00F650EE">
              <w:rPr>
                <w:rFonts w:ascii="Calibri" w:eastAsia="Calibri" w:hAnsi="Calibri" w:cs="Calibri"/>
              </w:rPr>
              <w:t>material concern to the Bidder</w:t>
            </w:r>
            <w:r>
              <w:rPr>
                <w:rFonts w:ascii="Calibri" w:eastAsia="Calibri" w:hAnsi="Calibri" w:cs="Calibri"/>
              </w:rPr>
              <w:t>’</w:t>
            </w:r>
            <w:r w:rsidR="005B068F">
              <w:rPr>
                <w:rFonts w:ascii="Calibri" w:eastAsia="Calibri" w:hAnsi="Calibri" w:cs="Calibri"/>
              </w:rPr>
              <w:t xml:space="preserve">s ability to deliver the </w:t>
            </w:r>
            <w:r w:rsidR="00BC52BA">
              <w:rPr>
                <w:rFonts w:ascii="Calibri" w:eastAsia="Calibri" w:hAnsi="Calibri" w:cs="Calibri"/>
              </w:rPr>
              <w:t>C</w:t>
            </w:r>
            <w:r>
              <w:rPr>
                <w:rFonts w:ascii="Calibri" w:eastAsia="Calibri" w:hAnsi="Calibri" w:cs="Calibri"/>
              </w:rPr>
              <w:t>ontract.</w:t>
            </w:r>
          </w:p>
        </w:tc>
      </w:tr>
      <w:tr w:rsidR="005B068F" w14:paraId="299BCB4B" w14:textId="77777777">
        <w:tc>
          <w:tcPr>
            <w:tcW w:w="1350" w:type="dxa"/>
            <w:tcMar>
              <w:top w:w="100" w:type="dxa"/>
              <w:left w:w="100" w:type="dxa"/>
              <w:bottom w:w="100" w:type="dxa"/>
              <w:right w:w="100" w:type="dxa"/>
            </w:tcMar>
          </w:tcPr>
          <w:p w14:paraId="43F65015" w14:textId="77777777" w:rsidR="005B068F" w:rsidRDefault="005B068F">
            <w:pPr>
              <w:widowControl w:val="0"/>
              <w:spacing w:after="0" w:line="240" w:lineRule="auto"/>
              <w:jc w:val="left"/>
              <w:rPr>
                <w:rFonts w:ascii="Calibri" w:eastAsia="Calibri" w:hAnsi="Calibri" w:cs="Calibri"/>
              </w:rPr>
            </w:pPr>
            <w:r>
              <w:rPr>
                <w:rFonts w:ascii="Calibri" w:eastAsia="Calibri" w:hAnsi="Calibri" w:cs="Calibri"/>
              </w:rPr>
              <w:t>10</w:t>
            </w:r>
          </w:p>
          <w:p w14:paraId="5B6B050D" w14:textId="77777777" w:rsidR="005B068F" w:rsidRDefault="005B068F">
            <w:pPr>
              <w:widowControl w:val="0"/>
              <w:spacing w:after="0" w:line="240" w:lineRule="auto"/>
              <w:jc w:val="left"/>
              <w:rPr>
                <w:rFonts w:ascii="Calibri" w:eastAsia="Calibri" w:hAnsi="Calibri" w:cs="Calibri"/>
              </w:rPr>
            </w:pPr>
            <w:r>
              <w:rPr>
                <w:rFonts w:ascii="Calibri" w:eastAsia="Calibri" w:hAnsi="Calibri" w:cs="Calibri"/>
              </w:rPr>
              <w:t>(No concerns)</w:t>
            </w:r>
          </w:p>
        </w:tc>
        <w:tc>
          <w:tcPr>
            <w:tcW w:w="5955" w:type="dxa"/>
            <w:tcMar>
              <w:top w:w="100" w:type="dxa"/>
              <w:left w:w="100" w:type="dxa"/>
              <w:bottom w:w="100" w:type="dxa"/>
              <w:right w:w="100" w:type="dxa"/>
            </w:tcMar>
          </w:tcPr>
          <w:p w14:paraId="33ADB23E" w14:textId="2622624D" w:rsidR="005B068F" w:rsidRDefault="005B068F">
            <w:pPr>
              <w:widowControl w:val="0"/>
              <w:spacing w:after="0" w:line="240" w:lineRule="auto"/>
              <w:jc w:val="left"/>
              <w:rPr>
                <w:rFonts w:ascii="Calibri" w:eastAsia="Calibri" w:hAnsi="Calibri" w:cs="Calibri"/>
              </w:rPr>
            </w:pPr>
            <w:r>
              <w:rPr>
                <w:rFonts w:ascii="Calibri" w:eastAsia="Calibri" w:hAnsi="Calibri" w:cs="Calibri"/>
              </w:rPr>
              <w:t xml:space="preserve">The financial analysis indicates </w:t>
            </w:r>
            <w:r w:rsidR="00F650EE">
              <w:rPr>
                <w:rFonts w:ascii="Calibri" w:eastAsia="Calibri" w:hAnsi="Calibri" w:cs="Calibri"/>
              </w:rPr>
              <w:t>there are no concerns to the Bidd</w:t>
            </w:r>
            <w:r w:rsidR="00BC52BA">
              <w:rPr>
                <w:rFonts w:ascii="Calibri" w:eastAsia="Calibri" w:hAnsi="Calibri" w:cs="Calibri"/>
              </w:rPr>
              <w:t>er’s ability to deliver the C</w:t>
            </w:r>
            <w:r>
              <w:rPr>
                <w:rFonts w:ascii="Calibri" w:eastAsia="Calibri" w:hAnsi="Calibri" w:cs="Calibri"/>
              </w:rPr>
              <w:t xml:space="preserve">ontract. </w:t>
            </w:r>
          </w:p>
        </w:tc>
      </w:tr>
    </w:tbl>
    <w:p w14:paraId="58D2BCC2" w14:textId="77777777" w:rsidR="00656438" w:rsidRDefault="00656438">
      <w:pPr>
        <w:pStyle w:val="Heading3"/>
        <w:ind w:left="2160" w:firstLine="0"/>
      </w:pPr>
      <w:bookmarkStart w:id="72" w:name="h.g5bas05jkljp" w:colFirst="0" w:colLast="0"/>
      <w:bookmarkEnd w:id="72"/>
    </w:p>
    <w:p w14:paraId="27A04761" w14:textId="77777777" w:rsidR="00656438" w:rsidRDefault="00A26303" w:rsidP="00A70A2A">
      <w:pPr>
        <w:pStyle w:val="Heading3"/>
        <w:numPr>
          <w:ilvl w:val="2"/>
          <w:numId w:val="6"/>
        </w:numPr>
        <w:spacing w:after="200"/>
        <w:ind w:hanging="720"/>
        <w:contextualSpacing/>
        <w:rPr>
          <w:color w:val="1F497D"/>
        </w:rPr>
      </w:pPr>
      <w:bookmarkStart w:id="73" w:name="h.4lb88x8qzmfm" w:colFirst="0" w:colLast="0"/>
      <w:bookmarkEnd w:id="73"/>
      <w:r>
        <w:rPr>
          <w:b/>
          <w:color w:val="1F497D"/>
        </w:rPr>
        <w:t>Technical and Professional Ability Selection Criteria</w:t>
      </w:r>
    </w:p>
    <w:p w14:paraId="4ADF131A" w14:textId="77777777" w:rsidR="00656438" w:rsidRDefault="00A26303" w:rsidP="00A70A2A">
      <w:pPr>
        <w:pStyle w:val="Heading3"/>
        <w:numPr>
          <w:ilvl w:val="3"/>
          <w:numId w:val="6"/>
        </w:numPr>
        <w:ind w:hanging="720"/>
        <w:contextualSpacing/>
      </w:pPr>
      <w:bookmarkStart w:id="74" w:name="h.xlqgfyu4ethu" w:colFirst="0" w:colLast="0"/>
      <w:bookmarkEnd w:id="74"/>
      <w:r>
        <w:t>Information on the Bidder’s technical and professional ability is captured in Section 6 of Appendix 2: Bidder Response to the ITT.</w:t>
      </w:r>
    </w:p>
    <w:p w14:paraId="6B27BEF0" w14:textId="40CCBD29" w:rsidR="000217B1" w:rsidRPr="00EE5CB7" w:rsidRDefault="000217B1" w:rsidP="006162E9">
      <w:pPr>
        <w:numPr>
          <w:ilvl w:val="3"/>
          <w:numId w:val="6"/>
        </w:numPr>
        <w:ind w:left="1560" w:hanging="709"/>
        <w:contextualSpacing/>
        <w:rPr>
          <w:rFonts w:ascii="Calibri" w:eastAsia="Calibri" w:hAnsi="Calibri" w:cs="Calibri"/>
        </w:rPr>
      </w:pPr>
      <w:bookmarkStart w:id="75" w:name="h.w3do2egiazvh" w:colFirst="0" w:colLast="0"/>
      <w:bookmarkEnd w:id="75"/>
      <w:r>
        <w:rPr>
          <w:rFonts w:ascii="Calibri" w:eastAsia="Calibri" w:hAnsi="Calibri" w:cs="Calibri"/>
        </w:rPr>
        <w:t>Bidders shall self-certify that they meet the Technical and Professional Ability Selection Criteria as set out in section A1.3.</w:t>
      </w:r>
      <w:r w:rsidR="00E32438">
        <w:rPr>
          <w:rFonts w:ascii="Calibri" w:eastAsia="Calibri" w:hAnsi="Calibri" w:cs="Calibri"/>
        </w:rPr>
        <w:t>7</w:t>
      </w:r>
      <w:r>
        <w:rPr>
          <w:rFonts w:ascii="Calibri" w:eastAsia="Calibri" w:hAnsi="Calibri" w:cs="Calibri"/>
        </w:rPr>
        <w:t>.3 to A1.3.</w:t>
      </w:r>
      <w:r w:rsidR="00E32438">
        <w:rPr>
          <w:rFonts w:ascii="Calibri" w:eastAsia="Calibri" w:hAnsi="Calibri" w:cs="Calibri"/>
        </w:rPr>
        <w:t>7</w:t>
      </w:r>
      <w:r>
        <w:rPr>
          <w:rFonts w:ascii="Calibri" w:eastAsia="Calibri" w:hAnsi="Calibri" w:cs="Calibri"/>
        </w:rPr>
        <w:t>.</w:t>
      </w:r>
      <w:r w:rsidR="00E32438">
        <w:rPr>
          <w:rFonts w:ascii="Calibri" w:eastAsia="Calibri" w:hAnsi="Calibri" w:cs="Calibri"/>
        </w:rPr>
        <w:t>6</w:t>
      </w:r>
      <w:r>
        <w:rPr>
          <w:rFonts w:ascii="Calibri" w:eastAsia="Calibri" w:hAnsi="Calibri" w:cs="Calibri"/>
        </w:rPr>
        <w:t xml:space="preserve"> of ITT Part 2 in the standard selection questionnaire part 3, section 6. The Local Body shall carry out checks against the self-certification for the winning Bidder. Information will only be required from the winning Bidder as set out in the standard selection questionnaire part 3, section 6. </w:t>
      </w:r>
    </w:p>
    <w:p w14:paraId="6ED4EDC4" w14:textId="77777777" w:rsidR="000217B1" w:rsidRDefault="000217B1" w:rsidP="006162E9">
      <w:pPr>
        <w:pStyle w:val="Heading3"/>
        <w:ind w:left="0" w:firstLine="0"/>
        <w:contextualSpacing/>
      </w:pPr>
    </w:p>
    <w:p w14:paraId="6AECB57E" w14:textId="5A232F02" w:rsidR="00656438" w:rsidRDefault="00A26303" w:rsidP="00A70A2A">
      <w:pPr>
        <w:pStyle w:val="Heading3"/>
        <w:numPr>
          <w:ilvl w:val="3"/>
          <w:numId w:val="6"/>
        </w:numPr>
        <w:ind w:hanging="720"/>
        <w:contextualSpacing/>
      </w:pPr>
      <w:r>
        <w:t xml:space="preserve">Bidders and any of their proposed sub-contractors </w:t>
      </w:r>
      <w:r w:rsidR="001E3C5B">
        <w:t>and</w:t>
      </w:r>
      <w:r>
        <w:t xml:space="preserve"> consortium members must have demonstrated the experience of delivering NGA access speeds in rural areas, as well as the capability to build and operate a network of a scale comparable to the Local </w:t>
      </w:r>
      <w:r w:rsidR="00BC52BA">
        <w:t>Body</w:t>
      </w:r>
      <w:r>
        <w:t xml:space="preserve"> </w:t>
      </w:r>
      <w:r w:rsidR="00BC52BA">
        <w:t>R</w:t>
      </w:r>
      <w:r>
        <w:t>equirement</w:t>
      </w:r>
      <w:r w:rsidR="00BC52BA">
        <w:t>s</w:t>
      </w:r>
      <w:r>
        <w:t xml:space="preserve">.  Bidders’ case studies will be evaluated to see whether the required experience and capability has been demonstrated. </w:t>
      </w:r>
    </w:p>
    <w:p w14:paraId="15FB95F1" w14:textId="1D3D6535" w:rsidR="00656438" w:rsidRDefault="00A26303" w:rsidP="00A70A2A">
      <w:pPr>
        <w:numPr>
          <w:ilvl w:val="3"/>
          <w:numId w:val="6"/>
        </w:numPr>
        <w:ind w:hanging="720"/>
        <w:contextualSpacing/>
      </w:pPr>
      <w:r>
        <w:rPr>
          <w:rFonts w:ascii="Calibri" w:eastAsia="Calibri" w:hAnsi="Calibri" w:cs="Calibri"/>
        </w:rPr>
        <w:t>The Bidder must provide up to three case studies, where the</w:t>
      </w:r>
      <w:r w:rsidR="001E3C5B">
        <w:rPr>
          <w:rFonts w:ascii="Calibri" w:eastAsia="Calibri" w:hAnsi="Calibri" w:cs="Calibri"/>
        </w:rPr>
        <w:t>ir</w:t>
      </w:r>
      <w:r>
        <w:rPr>
          <w:rFonts w:ascii="Calibri" w:eastAsia="Calibri" w:hAnsi="Calibri" w:cs="Calibri"/>
        </w:rPr>
        <w:t xml:space="preserve"> solution has been delivered in the last 36 months, that demonstrate the relevant experience and capabilities. If a Bidder submits more than three case studies, then only the first three case studies shall be evaluated and the rest will be ignored.</w:t>
      </w:r>
    </w:p>
    <w:p w14:paraId="6FB3F911" w14:textId="44E97220" w:rsidR="00656438" w:rsidRDefault="00A26303" w:rsidP="00A70A2A">
      <w:pPr>
        <w:numPr>
          <w:ilvl w:val="3"/>
          <w:numId w:val="6"/>
        </w:numPr>
        <w:spacing w:after="0" w:line="240" w:lineRule="auto"/>
        <w:ind w:hanging="720"/>
        <w:contextualSpacing/>
        <w:jc w:val="left"/>
        <w:rPr>
          <w:rFonts w:ascii="Calibri" w:eastAsia="Calibri" w:hAnsi="Calibri" w:cs="Calibri"/>
        </w:rPr>
      </w:pPr>
      <w:r>
        <w:rPr>
          <w:rFonts w:ascii="Calibri" w:eastAsia="Calibri" w:hAnsi="Calibri" w:cs="Calibri"/>
        </w:rPr>
        <w:t>The evidence provided in ea</w:t>
      </w:r>
      <w:r w:rsidR="001E3C5B">
        <w:rPr>
          <w:rFonts w:ascii="Calibri" w:eastAsia="Calibri" w:hAnsi="Calibri" w:cs="Calibri"/>
        </w:rPr>
        <w:t xml:space="preserve">ch case study will be scored </w:t>
      </w:r>
      <w:r>
        <w:rPr>
          <w:rFonts w:ascii="Calibri" w:eastAsia="Calibri" w:hAnsi="Calibri" w:cs="Calibri"/>
        </w:rPr>
        <w:t>according to the scoring matrix set out in the table below:</w:t>
      </w:r>
    </w:p>
    <w:tbl>
      <w:tblPr>
        <w:tblStyle w:val="a6"/>
        <w:tblW w:w="7305" w:type="dxa"/>
        <w:tblInd w:w="1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5955"/>
      </w:tblGrid>
      <w:tr w:rsidR="00656438" w14:paraId="1F90E0CD" w14:textId="77777777">
        <w:tc>
          <w:tcPr>
            <w:tcW w:w="1350" w:type="dxa"/>
            <w:tcMar>
              <w:top w:w="100" w:type="dxa"/>
              <w:left w:w="100" w:type="dxa"/>
              <w:bottom w:w="100" w:type="dxa"/>
              <w:right w:w="100" w:type="dxa"/>
            </w:tcMar>
          </w:tcPr>
          <w:p w14:paraId="6666FC0E" w14:textId="77777777" w:rsidR="00656438" w:rsidRDefault="00A26303">
            <w:pPr>
              <w:widowControl w:val="0"/>
              <w:spacing w:after="0" w:line="240" w:lineRule="auto"/>
              <w:jc w:val="left"/>
            </w:pPr>
            <w:r>
              <w:rPr>
                <w:rFonts w:ascii="Calibri" w:eastAsia="Calibri" w:hAnsi="Calibri" w:cs="Calibri"/>
              </w:rPr>
              <w:t xml:space="preserve">Possible range of </w:t>
            </w:r>
            <w:r>
              <w:rPr>
                <w:rFonts w:ascii="Calibri" w:eastAsia="Calibri" w:hAnsi="Calibri" w:cs="Calibri"/>
              </w:rPr>
              <w:lastRenderedPageBreak/>
              <w:t>scores</w:t>
            </w:r>
          </w:p>
        </w:tc>
        <w:tc>
          <w:tcPr>
            <w:tcW w:w="5955" w:type="dxa"/>
            <w:tcMar>
              <w:top w:w="100" w:type="dxa"/>
              <w:left w:w="100" w:type="dxa"/>
              <w:bottom w:w="100" w:type="dxa"/>
              <w:right w:w="100" w:type="dxa"/>
            </w:tcMar>
          </w:tcPr>
          <w:p w14:paraId="17E0A118" w14:textId="77777777" w:rsidR="00656438" w:rsidRDefault="00A26303">
            <w:pPr>
              <w:widowControl w:val="0"/>
              <w:spacing w:after="0" w:line="240" w:lineRule="auto"/>
              <w:jc w:val="left"/>
            </w:pPr>
            <w:r>
              <w:rPr>
                <w:rFonts w:ascii="Calibri" w:eastAsia="Calibri" w:hAnsi="Calibri" w:cs="Calibri"/>
              </w:rPr>
              <w:lastRenderedPageBreak/>
              <w:t xml:space="preserve">The following lists set out some example concerns that would result in a score in this range. This is not an exhaustive list but </w:t>
            </w:r>
            <w:r>
              <w:rPr>
                <w:rFonts w:ascii="Calibri" w:eastAsia="Calibri" w:hAnsi="Calibri" w:cs="Calibri"/>
              </w:rPr>
              <w:lastRenderedPageBreak/>
              <w:t>simply an indication of the types of concern and their severity.</w:t>
            </w:r>
          </w:p>
        </w:tc>
      </w:tr>
      <w:tr w:rsidR="00656438" w14:paraId="6C8C3F2F" w14:textId="77777777">
        <w:tc>
          <w:tcPr>
            <w:tcW w:w="1350" w:type="dxa"/>
            <w:tcMar>
              <w:top w:w="100" w:type="dxa"/>
              <w:left w:w="100" w:type="dxa"/>
              <w:bottom w:w="100" w:type="dxa"/>
              <w:right w:w="100" w:type="dxa"/>
            </w:tcMar>
          </w:tcPr>
          <w:p w14:paraId="140CCC1A" w14:textId="39E4BF7E" w:rsidR="00656438" w:rsidRDefault="00A26303">
            <w:pPr>
              <w:widowControl w:val="0"/>
              <w:spacing w:after="0" w:line="240" w:lineRule="auto"/>
              <w:jc w:val="left"/>
            </w:pPr>
            <w:r>
              <w:rPr>
                <w:rFonts w:ascii="Calibri" w:eastAsia="Calibri" w:hAnsi="Calibri" w:cs="Calibri"/>
              </w:rPr>
              <w:lastRenderedPageBreak/>
              <w:t xml:space="preserve">0 </w:t>
            </w:r>
            <w:r w:rsidR="00A50605">
              <w:rPr>
                <w:rFonts w:ascii="Calibri" w:eastAsia="Calibri" w:hAnsi="Calibri" w:cs="Calibri"/>
              </w:rPr>
              <w:t>–</w:t>
            </w:r>
            <w:r>
              <w:rPr>
                <w:rFonts w:ascii="Calibri" w:eastAsia="Calibri" w:hAnsi="Calibri" w:cs="Calibri"/>
              </w:rPr>
              <w:t xml:space="preserve"> 4</w:t>
            </w:r>
          </w:p>
          <w:p w14:paraId="49FEBAB1" w14:textId="77777777" w:rsidR="00656438" w:rsidRDefault="00A26303">
            <w:pPr>
              <w:widowControl w:val="0"/>
              <w:spacing w:after="0" w:line="240" w:lineRule="auto"/>
              <w:jc w:val="left"/>
            </w:pPr>
            <w:r>
              <w:rPr>
                <w:rFonts w:ascii="Calibri" w:eastAsia="Calibri" w:hAnsi="Calibri" w:cs="Calibri"/>
              </w:rPr>
              <w:t>(Major concerns)</w:t>
            </w:r>
          </w:p>
        </w:tc>
        <w:tc>
          <w:tcPr>
            <w:tcW w:w="5955" w:type="dxa"/>
            <w:tcMar>
              <w:top w:w="100" w:type="dxa"/>
              <w:left w:w="100" w:type="dxa"/>
              <w:bottom w:w="100" w:type="dxa"/>
              <w:right w:w="100" w:type="dxa"/>
            </w:tcMar>
          </w:tcPr>
          <w:p w14:paraId="4C4CE973" w14:textId="77777777" w:rsidR="00656438" w:rsidRDefault="00A26303">
            <w:pPr>
              <w:widowControl w:val="0"/>
              <w:numPr>
                <w:ilvl w:val="0"/>
                <w:numId w:val="11"/>
              </w:numPr>
              <w:spacing w:after="0" w:line="240" w:lineRule="auto"/>
              <w:ind w:hanging="360"/>
              <w:contextualSpacing/>
              <w:jc w:val="left"/>
              <w:rPr>
                <w:rFonts w:ascii="Calibri" w:eastAsia="Calibri" w:hAnsi="Calibri" w:cs="Calibri"/>
              </w:rPr>
            </w:pPr>
            <w:r>
              <w:rPr>
                <w:rFonts w:ascii="Calibri" w:eastAsia="Calibri" w:hAnsi="Calibri" w:cs="Calibri"/>
              </w:rPr>
              <w:t>No, or irrelevant, case study;</w:t>
            </w:r>
          </w:p>
          <w:p w14:paraId="3DA4AFC1" w14:textId="77777777" w:rsidR="00656438" w:rsidRDefault="00A26303">
            <w:pPr>
              <w:widowControl w:val="0"/>
              <w:numPr>
                <w:ilvl w:val="0"/>
                <w:numId w:val="11"/>
              </w:numPr>
              <w:spacing w:after="0" w:line="240" w:lineRule="auto"/>
              <w:ind w:hanging="360"/>
              <w:contextualSpacing/>
              <w:jc w:val="left"/>
              <w:rPr>
                <w:rFonts w:ascii="Calibri" w:eastAsia="Calibri" w:hAnsi="Calibri" w:cs="Calibri"/>
              </w:rPr>
            </w:pPr>
            <w:r>
              <w:rPr>
                <w:rFonts w:ascii="Calibri" w:eastAsia="Calibri" w:hAnsi="Calibri" w:cs="Calibri"/>
              </w:rPr>
              <w:t>No, poor or limited, solution(s);</w:t>
            </w:r>
          </w:p>
          <w:p w14:paraId="71F743D2" w14:textId="77777777" w:rsidR="00656438" w:rsidRDefault="00A26303">
            <w:pPr>
              <w:widowControl w:val="0"/>
              <w:numPr>
                <w:ilvl w:val="0"/>
                <w:numId w:val="11"/>
              </w:numPr>
              <w:spacing w:after="0" w:line="240" w:lineRule="auto"/>
              <w:ind w:hanging="360"/>
              <w:contextualSpacing/>
              <w:jc w:val="left"/>
              <w:rPr>
                <w:rFonts w:ascii="Calibri" w:eastAsia="Calibri" w:hAnsi="Calibri" w:cs="Calibri"/>
              </w:rPr>
            </w:pPr>
            <w:r>
              <w:rPr>
                <w:rFonts w:ascii="Calibri" w:eastAsia="Calibri" w:hAnsi="Calibri" w:cs="Calibri"/>
              </w:rPr>
              <w:t>Case study fails to offer the information requested;</w:t>
            </w:r>
          </w:p>
          <w:p w14:paraId="35F1BEC9" w14:textId="77777777" w:rsidR="00656438" w:rsidRDefault="00A26303">
            <w:pPr>
              <w:widowControl w:val="0"/>
              <w:numPr>
                <w:ilvl w:val="0"/>
                <w:numId w:val="11"/>
              </w:numPr>
              <w:spacing w:after="0" w:line="240" w:lineRule="auto"/>
              <w:ind w:hanging="360"/>
              <w:contextualSpacing/>
              <w:jc w:val="left"/>
              <w:rPr>
                <w:rFonts w:ascii="Calibri" w:eastAsia="Calibri" w:hAnsi="Calibri" w:cs="Calibri"/>
              </w:rPr>
            </w:pPr>
            <w:r>
              <w:rPr>
                <w:rFonts w:ascii="Calibri" w:eastAsia="Calibri" w:hAnsi="Calibri" w:cs="Calibri"/>
              </w:rPr>
              <w:t>Case study fails to meet the requirement specified in terms of capability; or</w:t>
            </w:r>
          </w:p>
          <w:p w14:paraId="1630E34A" w14:textId="77777777" w:rsidR="00656438" w:rsidRDefault="00A26303">
            <w:pPr>
              <w:widowControl w:val="0"/>
              <w:numPr>
                <w:ilvl w:val="0"/>
                <w:numId w:val="11"/>
              </w:numPr>
              <w:spacing w:after="0" w:line="240" w:lineRule="auto"/>
              <w:ind w:hanging="360"/>
              <w:contextualSpacing/>
              <w:jc w:val="left"/>
              <w:rPr>
                <w:rFonts w:ascii="Calibri" w:eastAsia="Calibri" w:hAnsi="Calibri" w:cs="Calibri"/>
              </w:rPr>
            </w:pPr>
            <w:r>
              <w:rPr>
                <w:rFonts w:ascii="Calibri" w:eastAsia="Calibri" w:hAnsi="Calibri" w:cs="Calibri"/>
              </w:rPr>
              <w:t>Unanswered clarification question for this level of concern or unsatisfactory response.</w:t>
            </w:r>
          </w:p>
        </w:tc>
      </w:tr>
      <w:tr w:rsidR="00656438" w14:paraId="7372C317" w14:textId="77777777">
        <w:tc>
          <w:tcPr>
            <w:tcW w:w="1350" w:type="dxa"/>
            <w:tcMar>
              <w:top w:w="100" w:type="dxa"/>
              <w:left w:w="100" w:type="dxa"/>
              <w:bottom w:w="100" w:type="dxa"/>
              <w:right w:w="100" w:type="dxa"/>
            </w:tcMar>
          </w:tcPr>
          <w:p w14:paraId="5B60DBD8" w14:textId="77777777" w:rsidR="00656438" w:rsidRDefault="005B068F">
            <w:pPr>
              <w:widowControl w:val="0"/>
              <w:spacing w:after="0" w:line="240" w:lineRule="auto"/>
              <w:jc w:val="left"/>
            </w:pPr>
            <w:r>
              <w:rPr>
                <w:rFonts w:ascii="Calibri" w:eastAsia="Calibri" w:hAnsi="Calibri" w:cs="Calibri"/>
              </w:rPr>
              <w:t>5 - 9</w:t>
            </w:r>
          </w:p>
          <w:p w14:paraId="2DDECB5B" w14:textId="77777777" w:rsidR="00656438" w:rsidRDefault="00A26303">
            <w:pPr>
              <w:widowControl w:val="0"/>
              <w:spacing w:after="0" w:line="240" w:lineRule="auto"/>
              <w:jc w:val="left"/>
            </w:pPr>
            <w:r>
              <w:rPr>
                <w:rFonts w:ascii="Calibri" w:eastAsia="Calibri" w:hAnsi="Calibri" w:cs="Calibri"/>
              </w:rPr>
              <w:t>(Moderate concerns)</w:t>
            </w:r>
          </w:p>
        </w:tc>
        <w:tc>
          <w:tcPr>
            <w:tcW w:w="5955" w:type="dxa"/>
            <w:tcMar>
              <w:top w:w="100" w:type="dxa"/>
              <w:left w:w="100" w:type="dxa"/>
              <w:bottom w:w="100" w:type="dxa"/>
              <w:right w:w="100" w:type="dxa"/>
            </w:tcMar>
          </w:tcPr>
          <w:p w14:paraId="572C2C63" w14:textId="77777777" w:rsidR="00656438" w:rsidRDefault="00A26303">
            <w:pPr>
              <w:widowControl w:val="0"/>
              <w:numPr>
                <w:ilvl w:val="0"/>
                <w:numId w:val="12"/>
              </w:numPr>
              <w:spacing w:after="0" w:line="240" w:lineRule="auto"/>
              <w:ind w:hanging="360"/>
              <w:contextualSpacing/>
              <w:jc w:val="left"/>
              <w:rPr>
                <w:rFonts w:ascii="Calibri" w:eastAsia="Calibri" w:hAnsi="Calibri" w:cs="Calibri"/>
              </w:rPr>
            </w:pPr>
            <w:r>
              <w:rPr>
                <w:rFonts w:ascii="Calibri" w:eastAsia="Calibri" w:hAnsi="Calibri" w:cs="Calibri"/>
              </w:rPr>
              <w:t>Case study relies on redundant technologies/solutions or is un-scalable;</w:t>
            </w:r>
          </w:p>
          <w:p w14:paraId="2BF4ED58" w14:textId="5F45778B" w:rsidR="00CF6519" w:rsidRDefault="00CF6519">
            <w:pPr>
              <w:widowControl w:val="0"/>
              <w:numPr>
                <w:ilvl w:val="0"/>
                <w:numId w:val="12"/>
              </w:numPr>
              <w:spacing w:after="0" w:line="240" w:lineRule="auto"/>
              <w:ind w:hanging="360"/>
              <w:contextualSpacing/>
              <w:jc w:val="left"/>
              <w:rPr>
                <w:rFonts w:ascii="Calibri" w:eastAsia="Calibri" w:hAnsi="Calibri" w:cs="Calibri"/>
              </w:rPr>
            </w:pPr>
            <w:r>
              <w:rPr>
                <w:rFonts w:ascii="Calibri" w:eastAsia="Calibri" w:hAnsi="Calibri" w:cs="Calibri"/>
              </w:rPr>
              <w:t>Some moderate technical concerns;</w:t>
            </w:r>
          </w:p>
          <w:p w14:paraId="54AFB2FF" w14:textId="77777777" w:rsidR="00656438" w:rsidRDefault="00A26303">
            <w:pPr>
              <w:widowControl w:val="0"/>
              <w:numPr>
                <w:ilvl w:val="0"/>
                <w:numId w:val="12"/>
              </w:numPr>
              <w:spacing w:after="0" w:line="240" w:lineRule="auto"/>
              <w:ind w:hanging="360"/>
              <w:contextualSpacing/>
              <w:jc w:val="left"/>
              <w:rPr>
                <w:rFonts w:ascii="Calibri" w:eastAsia="Calibri" w:hAnsi="Calibri" w:cs="Calibri"/>
              </w:rPr>
            </w:pPr>
            <w:r>
              <w:rPr>
                <w:rFonts w:ascii="Calibri" w:eastAsia="Calibri" w:hAnsi="Calibri" w:cs="Calibri"/>
              </w:rPr>
              <w:t>Unanswered clarification question(s) for this level of concern or unsatisfactory response</w:t>
            </w:r>
          </w:p>
        </w:tc>
      </w:tr>
      <w:tr w:rsidR="00656438" w14:paraId="13DF8772" w14:textId="77777777">
        <w:tc>
          <w:tcPr>
            <w:tcW w:w="1350" w:type="dxa"/>
            <w:tcMar>
              <w:top w:w="100" w:type="dxa"/>
              <w:left w:w="100" w:type="dxa"/>
              <w:bottom w:w="100" w:type="dxa"/>
              <w:right w:w="100" w:type="dxa"/>
            </w:tcMar>
          </w:tcPr>
          <w:p w14:paraId="14B33D1F" w14:textId="77777777" w:rsidR="00656438" w:rsidRDefault="00A26303">
            <w:pPr>
              <w:widowControl w:val="0"/>
              <w:spacing w:after="0" w:line="240" w:lineRule="auto"/>
              <w:jc w:val="left"/>
            </w:pPr>
            <w:r>
              <w:rPr>
                <w:rFonts w:ascii="Calibri" w:eastAsia="Calibri" w:hAnsi="Calibri" w:cs="Calibri"/>
              </w:rPr>
              <w:t>10</w:t>
            </w:r>
          </w:p>
          <w:p w14:paraId="3B3C9A2A" w14:textId="77777777" w:rsidR="00656438" w:rsidRDefault="005B068F">
            <w:pPr>
              <w:widowControl w:val="0"/>
              <w:spacing w:after="0" w:line="240" w:lineRule="auto"/>
              <w:jc w:val="left"/>
            </w:pPr>
            <w:r>
              <w:rPr>
                <w:rFonts w:ascii="Calibri" w:eastAsia="Calibri" w:hAnsi="Calibri" w:cs="Calibri"/>
              </w:rPr>
              <w:t xml:space="preserve">(No </w:t>
            </w:r>
            <w:r w:rsidR="00A26303">
              <w:rPr>
                <w:rFonts w:ascii="Calibri" w:eastAsia="Calibri" w:hAnsi="Calibri" w:cs="Calibri"/>
              </w:rPr>
              <w:t>concerns)</w:t>
            </w:r>
          </w:p>
        </w:tc>
        <w:tc>
          <w:tcPr>
            <w:tcW w:w="5955" w:type="dxa"/>
            <w:tcMar>
              <w:top w:w="100" w:type="dxa"/>
              <w:left w:w="100" w:type="dxa"/>
              <w:bottom w:w="100" w:type="dxa"/>
              <w:right w:w="100" w:type="dxa"/>
            </w:tcMar>
          </w:tcPr>
          <w:p w14:paraId="1EF3172D" w14:textId="77777777" w:rsidR="00656438" w:rsidRDefault="00A26303">
            <w:pPr>
              <w:widowControl w:val="0"/>
              <w:numPr>
                <w:ilvl w:val="0"/>
                <w:numId w:val="12"/>
              </w:numPr>
              <w:spacing w:after="0" w:line="240" w:lineRule="auto"/>
              <w:ind w:hanging="360"/>
              <w:contextualSpacing/>
              <w:jc w:val="left"/>
              <w:rPr>
                <w:rFonts w:ascii="Calibri" w:eastAsia="Calibri" w:hAnsi="Calibri" w:cs="Calibri"/>
              </w:rPr>
            </w:pPr>
            <w:r>
              <w:rPr>
                <w:rFonts w:ascii="Calibri" w:eastAsia="Calibri" w:hAnsi="Calibri" w:cs="Calibri"/>
              </w:rPr>
              <w:t>C</w:t>
            </w:r>
            <w:r w:rsidR="005B068F">
              <w:rPr>
                <w:rFonts w:ascii="Calibri" w:eastAsia="Calibri" w:hAnsi="Calibri" w:cs="Calibri"/>
              </w:rPr>
              <w:t xml:space="preserve">ase study is </w:t>
            </w:r>
            <w:r>
              <w:rPr>
                <w:rFonts w:ascii="Calibri" w:eastAsia="Calibri" w:hAnsi="Calibri" w:cs="Calibri"/>
              </w:rPr>
              <w:t xml:space="preserve">clear </w:t>
            </w:r>
            <w:r w:rsidR="005B068F">
              <w:rPr>
                <w:rFonts w:ascii="Calibri" w:eastAsia="Calibri" w:hAnsi="Calibri" w:cs="Calibri"/>
              </w:rPr>
              <w:t>on detail</w:t>
            </w:r>
            <w:r>
              <w:rPr>
                <w:rFonts w:ascii="Calibri" w:eastAsia="Calibri" w:hAnsi="Calibri" w:cs="Calibri"/>
              </w:rPr>
              <w:t>;</w:t>
            </w:r>
          </w:p>
          <w:p w14:paraId="6ECCCB9F" w14:textId="77777777" w:rsidR="00656438" w:rsidRDefault="005B068F">
            <w:pPr>
              <w:widowControl w:val="0"/>
              <w:numPr>
                <w:ilvl w:val="0"/>
                <w:numId w:val="12"/>
              </w:numPr>
              <w:spacing w:after="0" w:line="240" w:lineRule="auto"/>
              <w:ind w:hanging="360"/>
              <w:contextualSpacing/>
              <w:jc w:val="left"/>
              <w:rPr>
                <w:rFonts w:ascii="Calibri" w:eastAsia="Calibri" w:hAnsi="Calibri" w:cs="Calibri"/>
              </w:rPr>
            </w:pPr>
            <w:r>
              <w:rPr>
                <w:rFonts w:ascii="Calibri" w:eastAsia="Calibri" w:hAnsi="Calibri" w:cs="Calibri"/>
              </w:rPr>
              <w:t>No cause for technical concern; and</w:t>
            </w:r>
          </w:p>
          <w:p w14:paraId="41AC8E65" w14:textId="77777777" w:rsidR="00656438" w:rsidRDefault="005B068F">
            <w:pPr>
              <w:widowControl w:val="0"/>
              <w:numPr>
                <w:ilvl w:val="0"/>
                <w:numId w:val="12"/>
              </w:numPr>
              <w:spacing w:after="0" w:line="240" w:lineRule="auto"/>
              <w:ind w:hanging="360"/>
              <w:contextualSpacing/>
              <w:jc w:val="left"/>
              <w:rPr>
                <w:rFonts w:ascii="Calibri" w:eastAsia="Calibri" w:hAnsi="Calibri" w:cs="Calibri"/>
              </w:rPr>
            </w:pPr>
            <w:r>
              <w:rPr>
                <w:rFonts w:ascii="Calibri" w:eastAsia="Calibri" w:hAnsi="Calibri" w:cs="Calibri"/>
              </w:rPr>
              <w:t>Coherent and consistent in all</w:t>
            </w:r>
            <w:r w:rsidR="00A26303">
              <w:rPr>
                <w:rFonts w:ascii="Calibri" w:eastAsia="Calibri" w:hAnsi="Calibri" w:cs="Calibri"/>
              </w:rPr>
              <w:t xml:space="preserve"> aspect</w:t>
            </w:r>
            <w:r>
              <w:rPr>
                <w:rFonts w:ascii="Calibri" w:eastAsia="Calibri" w:hAnsi="Calibri" w:cs="Calibri"/>
              </w:rPr>
              <w:t>s</w:t>
            </w:r>
            <w:r w:rsidR="00A26303">
              <w:rPr>
                <w:rFonts w:ascii="Calibri" w:eastAsia="Calibri" w:hAnsi="Calibri" w:cs="Calibri"/>
              </w:rPr>
              <w:t xml:space="preserve"> of the case study.</w:t>
            </w:r>
          </w:p>
        </w:tc>
      </w:tr>
    </w:tbl>
    <w:p w14:paraId="015BD039" w14:textId="336963D7" w:rsidR="00656438" w:rsidRDefault="00A26303" w:rsidP="00A70A2A">
      <w:pPr>
        <w:pStyle w:val="Heading3"/>
        <w:numPr>
          <w:ilvl w:val="3"/>
          <w:numId w:val="6"/>
        </w:numPr>
        <w:ind w:hanging="720"/>
        <w:contextualSpacing/>
      </w:pPr>
      <w:bookmarkStart w:id="76" w:name="h.kh0h422ljg4s" w:colFirst="0" w:colLast="0"/>
      <w:bookmarkEnd w:id="76"/>
      <w:r>
        <w:t xml:space="preserve">The average of the Bidder’s evaluated scores for its submitted case studies shall be taken, and if the average score is below 5.0 then the Bidder shall not be selected. </w:t>
      </w:r>
      <w:r w:rsidR="00646A3C">
        <w:t xml:space="preserve">  </w:t>
      </w:r>
    </w:p>
    <w:p w14:paraId="3A4FC9D6" w14:textId="77777777" w:rsidR="00656438" w:rsidRDefault="00A26303" w:rsidP="00A70A2A">
      <w:pPr>
        <w:pStyle w:val="Heading3"/>
        <w:numPr>
          <w:ilvl w:val="2"/>
          <w:numId w:val="6"/>
        </w:numPr>
        <w:spacing w:after="200"/>
        <w:ind w:hanging="720"/>
        <w:contextualSpacing/>
        <w:rPr>
          <w:color w:val="1F497D"/>
        </w:rPr>
      </w:pPr>
      <w:bookmarkStart w:id="77" w:name="h.mqsuvi95egfo" w:colFirst="0" w:colLast="0"/>
      <w:bookmarkEnd w:id="77"/>
      <w:r>
        <w:rPr>
          <w:b/>
          <w:color w:val="1F497D"/>
        </w:rPr>
        <w:t>Compliance-based Exclusion Grounds</w:t>
      </w:r>
    </w:p>
    <w:p w14:paraId="21FEFA40" w14:textId="4D1E5269" w:rsidR="00656438" w:rsidRDefault="00A26303" w:rsidP="00A70A2A">
      <w:pPr>
        <w:pStyle w:val="Heading3"/>
        <w:numPr>
          <w:ilvl w:val="3"/>
          <w:numId w:val="6"/>
        </w:numPr>
        <w:ind w:hanging="720"/>
        <w:contextualSpacing/>
      </w:pPr>
      <w:bookmarkStart w:id="78" w:name="h.m1cw8bdwueym" w:colFirst="0" w:colLast="0"/>
      <w:bookmarkEnd w:id="78"/>
      <w:r>
        <w:t xml:space="preserve">Compliance-based exclusion grounds are set out in </w:t>
      </w:r>
      <w:r w:rsidR="004535C3">
        <w:t xml:space="preserve">Part 3, </w:t>
      </w:r>
      <w:r>
        <w:t>Section 7</w:t>
      </w:r>
      <w:r w:rsidR="004535C3">
        <w:t xml:space="preserve"> and 8</w:t>
      </w:r>
      <w:r>
        <w:t xml:space="preserve"> of Appendix 2: Bidder Response to the ITT.</w:t>
      </w:r>
    </w:p>
    <w:p w14:paraId="4DD33095" w14:textId="6D1253E5" w:rsidR="00656438" w:rsidRDefault="00A26303" w:rsidP="00A70A2A">
      <w:pPr>
        <w:numPr>
          <w:ilvl w:val="3"/>
          <w:numId w:val="6"/>
        </w:numPr>
        <w:ind w:left="2250" w:hanging="1425"/>
        <w:contextualSpacing/>
        <w:rPr>
          <w:rFonts w:ascii="Calibri" w:eastAsia="Calibri" w:hAnsi="Calibri" w:cs="Calibri"/>
        </w:rPr>
      </w:pPr>
      <w:r>
        <w:rPr>
          <w:rFonts w:ascii="Calibri" w:eastAsia="Calibri" w:hAnsi="Calibri" w:cs="Calibri"/>
        </w:rPr>
        <w:t>The Local Body may exclude a Bidder who does not hold the required insurances</w:t>
      </w:r>
      <w:r w:rsidR="003A714F">
        <w:rPr>
          <w:rFonts w:ascii="Calibri" w:eastAsia="Calibri" w:hAnsi="Calibri" w:cs="Calibri"/>
        </w:rPr>
        <w:t>.</w:t>
      </w:r>
      <w:r w:rsidR="00303F56">
        <w:rPr>
          <w:rStyle w:val="FootnoteReference"/>
          <w:rFonts w:ascii="Calibri" w:eastAsia="Calibri" w:hAnsi="Calibri" w:cs="Calibri"/>
        </w:rPr>
        <w:footnoteReference w:id="40"/>
      </w:r>
    </w:p>
    <w:p w14:paraId="047509F1" w14:textId="77777777" w:rsidR="00656438" w:rsidRDefault="00A26303" w:rsidP="00A70A2A">
      <w:pPr>
        <w:pStyle w:val="Heading2"/>
        <w:numPr>
          <w:ilvl w:val="1"/>
          <w:numId w:val="6"/>
        </w:numPr>
        <w:tabs>
          <w:tab w:val="left" w:pos="567"/>
        </w:tabs>
        <w:ind w:firstLine="0"/>
        <w:rPr>
          <w:sz w:val="32"/>
          <w:szCs w:val="32"/>
        </w:rPr>
      </w:pPr>
      <w:bookmarkStart w:id="79" w:name="h.28h4qwu" w:colFirst="0" w:colLast="0"/>
      <w:bookmarkEnd w:id="79"/>
      <w:r>
        <w:rPr>
          <w:sz w:val="32"/>
          <w:szCs w:val="32"/>
        </w:rPr>
        <w:t>Award Criteria Scoring Methodology</w:t>
      </w:r>
    </w:p>
    <w:p w14:paraId="190B20F8" w14:textId="7B367FA8" w:rsidR="00656438" w:rsidRDefault="00A26303" w:rsidP="00A70A2A">
      <w:pPr>
        <w:numPr>
          <w:ilvl w:val="3"/>
          <w:numId w:val="6"/>
        </w:numPr>
        <w:ind w:left="2250" w:hanging="1425"/>
        <w:contextualSpacing/>
      </w:pPr>
      <w:r>
        <w:rPr>
          <w:rFonts w:ascii="Calibri" w:eastAsia="Calibri" w:hAnsi="Calibri" w:cs="Calibri"/>
        </w:rPr>
        <w:t xml:space="preserve">One or a combination of some of the approaches described below will be used during evaluation.  The scoring method or methods used depend on the criterion being evaluated.  Once the criteria have been scored these scores will be weighted using the evaluation model described in </w:t>
      </w:r>
      <w:r w:rsidR="009D0F35" w:rsidRPr="009D0F35">
        <w:rPr>
          <w:rFonts w:ascii="Calibri" w:eastAsia="Calibri" w:hAnsi="Calibri" w:cs="Calibri"/>
        </w:rPr>
        <w:t>A1.5</w:t>
      </w:r>
      <w:r>
        <w:rPr>
          <w:rFonts w:ascii="Calibri" w:eastAsia="Calibri" w:hAnsi="Calibri" w:cs="Calibri"/>
        </w:rPr>
        <w:t>.  The weightings in this model reflect the Local Body’s specific priorities.</w:t>
      </w:r>
    </w:p>
    <w:p w14:paraId="5AFC8955" w14:textId="77777777" w:rsidR="00656438" w:rsidRDefault="00A26303" w:rsidP="00A70A2A">
      <w:pPr>
        <w:pStyle w:val="Heading2"/>
        <w:numPr>
          <w:ilvl w:val="2"/>
          <w:numId w:val="6"/>
        </w:numPr>
        <w:spacing w:before="0" w:line="264" w:lineRule="auto"/>
        <w:ind w:hanging="720"/>
        <w:contextualSpacing/>
        <w:jc w:val="both"/>
      </w:pPr>
      <w:bookmarkStart w:id="80" w:name="h.37m2jsg" w:colFirst="0" w:colLast="0"/>
      <w:bookmarkEnd w:id="80"/>
      <w:r>
        <w:rPr>
          <w:sz w:val="22"/>
          <w:szCs w:val="22"/>
        </w:rPr>
        <w:t>Judgement-based scored evaluation criteria</w:t>
      </w:r>
      <w:r>
        <w:rPr>
          <w:sz w:val="22"/>
          <w:szCs w:val="22"/>
          <w:vertAlign w:val="superscript"/>
        </w:rPr>
        <w:footnoteReference w:id="41"/>
      </w:r>
    </w:p>
    <w:p w14:paraId="252D6769" w14:textId="6FD450C4" w:rsidR="00656438" w:rsidRDefault="00A26303" w:rsidP="00A70A2A">
      <w:pPr>
        <w:numPr>
          <w:ilvl w:val="3"/>
          <w:numId w:val="6"/>
        </w:numPr>
        <w:ind w:left="2250" w:hanging="1425"/>
        <w:contextualSpacing/>
      </w:pPr>
      <w:r>
        <w:rPr>
          <w:rFonts w:ascii="Calibri" w:eastAsia="Calibri" w:hAnsi="Calibri" w:cs="Calibri"/>
        </w:rPr>
        <w:t>An evaluation criterion may h</w:t>
      </w:r>
      <w:r w:rsidR="00FB6834">
        <w:rPr>
          <w:rFonts w:ascii="Calibri" w:eastAsia="Calibri" w:hAnsi="Calibri" w:cs="Calibri"/>
        </w:rPr>
        <w:t>ave a score of between 0 to 10</w:t>
      </w:r>
      <w:r>
        <w:rPr>
          <w:rFonts w:ascii="Calibri" w:eastAsia="Calibri" w:hAnsi="Calibri" w:cs="Calibri"/>
        </w:rPr>
        <w:t xml:space="preserve"> (e.g. 0, 1, 2, 3, 4, 5, 6, 7, 8, 9, 10), such that: (i) a bid receives a score of 0 for a criteria where </w:t>
      </w:r>
      <w:r>
        <w:rPr>
          <w:rFonts w:ascii="Calibri" w:eastAsia="Calibri" w:hAnsi="Calibri" w:cs="Calibri"/>
        </w:rPr>
        <w:lastRenderedPageBreak/>
        <w:t>no response is provided or insufficient evidence is submitted to evaluate a criteria, whereby the bid would be excluded; [and (ii) a bid receives a score of under [5] if it failed to meet a described baseline capability for the criteria, whereby a bid receiving overall weighted score across all price-quality criteria of under [50%] would be excluded</w:t>
      </w:r>
      <w:r w:rsidR="009D0F35">
        <w:rPr>
          <w:rFonts w:ascii="Calibri" w:eastAsia="Calibri" w:hAnsi="Calibri" w:cs="Calibri"/>
        </w:rPr>
        <w:t>.</w:t>
      </w:r>
      <w:r>
        <w:rPr>
          <w:rFonts w:ascii="Calibri" w:eastAsia="Calibri" w:hAnsi="Calibri" w:cs="Calibri"/>
        </w:rPr>
        <w:t>]</w:t>
      </w:r>
    </w:p>
    <w:p w14:paraId="59E4DF57" w14:textId="374F7EFB" w:rsidR="00656438" w:rsidRPr="009D0F35" w:rsidRDefault="00A26303" w:rsidP="00A70A2A">
      <w:pPr>
        <w:numPr>
          <w:ilvl w:val="3"/>
          <w:numId w:val="6"/>
        </w:numPr>
        <w:ind w:left="2250" w:hanging="1425"/>
        <w:contextualSpacing/>
        <w:rPr>
          <w:rFonts w:ascii="Calibri" w:eastAsia="Calibri" w:hAnsi="Calibri" w:cs="Calibri"/>
        </w:rPr>
      </w:pPr>
      <w:r w:rsidRPr="009D0F35">
        <w:rPr>
          <w:rFonts w:ascii="Calibri" w:eastAsia="Calibri" w:hAnsi="Calibri" w:cs="Calibri"/>
        </w:rPr>
        <w:t>Using reasonable professional judgment each evaluator will determine a score for its assigned criteria, using the scoring principles in the fol</w:t>
      </w:r>
      <w:r w:rsidR="001E0CB7">
        <w:rPr>
          <w:rFonts w:ascii="Calibri" w:eastAsia="Calibri" w:hAnsi="Calibri" w:cs="Calibri"/>
        </w:rPr>
        <w:t>lowing table:</w:t>
      </w:r>
    </w:p>
    <w:tbl>
      <w:tblPr>
        <w:tblStyle w:val="a7"/>
        <w:tblW w:w="8490" w:type="dxa"/>
        <w:tblInd w:w="665" w:type="dxa"/>
        <w:tblLayout w:type="fixed"/>
        <w:tblLook w:val="0000" w:firstRow="0" w:lastRow="0" w:firstColumn="0" w:lastColumn="0" w:noHBand="0" w:noVBand="0"/>
      </w:tblPr>
      <w:tblGrid>
        <w:gridCol w:w="2550"/>
        <w:gridCol w:w="3630"/>
        <w:gridCol w:w="1440"/>
        <w:gridCol w:w="870"/>
      </w:tblGrid>
      <w:tr w:rsidR="00656438" w14:paraId="6F03954F" w14:textId="77777777" w:rsidTr="005904BA">
        <w:trPr>
          <w:trHeight w:val="1080"/>
        </w:trPr>
        <w:tc>
          <w:tcPr>
            <w:tcW w:w="2550" w:type="dxa"/>
            <w:tcBorders>
              <w:top w:val="single" w:sz="4" w:space="0" w:color="000000"/>
              <w:left w:val="single" w:sz="4" w:space="0" w:color="000000"/>
              <w:bottom w:val="single" w:sz="4" w:space="0" w:color="auto"/>
              <w:right w:val="single" w:sz="4" w:space="0" w:color="000000"/>
            </w:tcBorders>
            <w:shd w:val="clear" w:color="auto" w:fill="548DD4"/>
          </w:tcPr>
          <w:p w14:paraId="3C58EF49" w14:textId="77777777" w:rsidR="00656438" w:rsidRDefault="00A26303">
            <w:pPr>
              <w:spacing w:before="120"/>
            </w:pPr>
            <w:r>
              <w:rPr>
                <w:rFonts w:ascii="Calibri" w:eastAsia="Calibri" w:hAnsi="Calibri" w:cs="Calibri"/>
                <w:color w:val="FFFFFF"/>
              </w:rPr>
              <w:t>Capability</w:t>
            </w:r>
          </w:p>
        </w:tc>
        <w:tc>
          <w:tcPr>
            <w:tcW w:w="3630" w:type="dxa"/>
            <w:tcBorders>
              <w:top w:val="single" w:sz="4" w:space="0" w:color="000000"/>
              <w:left w:val="nil"/>
              <w:bottom w:val="single" w:sz="4" w:space="0" w:color="auto"/>
              <w:right w:val="single" w:sz="4" w:space="0" w:color="000000"/>
            </w:tcBorders>
            <w:shd w:val="clear" w:color="auto" w:fill="548DD4"/>
          </w:tcPr>
          <w:p w14:paraId="3AE0A5D3" w14:textId="77777777" w:rsidR="00656438" w:rsidRDefault="00A26303">
            <w:pPr>
              <w:spacing w:before="120"/>
            </w:pPr>
            <w:r>
              <w:rPr>
                <w:rFonts w:ascii="Calibri" w:eastAsia="Calibri" w:hAnsi="Calibri" w:cs="Calibri"/>
                <w:color w:val="FFFFFF"/>
              </w:rPr>
              <w:t>Evidence</w:t>
            </w:r>
          </w:p>
        </w:tc>
        <w:tc>
          <w:tcPr>
            <w:tcW w:w="1440" w:type="dxa"/>
            <w:tcBorders>
              <w:top w:val="single" w:sz="4" w:space="0" w:color="000000"/>
              <w:left w:val="nil"/>
              <w:bottom w:val="single" w:sz="4" w:space="0" w:color="auto"/>
              <w:right w:val="single" w:sz="4" w:space="0" w:color="000000"/>
            </w:tcBorders>
            <w:shd w:val="clear" w:color="auto" w:fill="548DD4"/>
          </w:tcPr>
          <w:p w14:paraId="5746757B" w14:textId="77777777" w:rsidR="00656438" w:rsidRDefault="00A26303">
            <w:pPr>
              <w:spacing w:before="120"/>
            </w:pPr>
            <w:r>
              <w:rPr>
                <w:rFonts w:ascii="Calibri" w:eastAsia="Calibri" w:hAnsi="Calibri" w:cs="Calibri"/>
                <w:color w:val="FFFFFF"/>
              </w:rPr>
              <w:t>Remark</w:t>
            </w:r>
          </w:p>
        </w:tc>
        <w:tc>
          <w:tcPr>
            <w:tcW w:w="870" w:type="dxa"/>
            <w:tcBorders>
              <w:top w:val="nil"/>
              <w:left w:val="nil"/>
              <w:bottom w:val="single" w:sz="4" w:space="0" w:color="auto"/>
              <w:right w:val="single" w:sz="4" w:space="0" w:color="000000"/>
            </w:tcBorders>
            <w:shd w:val="clear" w:color="auto" w:fill="548DD4"/>
          </w:tcPr>
          <w:p w14:paraId="4515C3C1" w14:textId="77777777" w:rsidR="00656438" w:rsidRDefault="00A26303">
            <w:pPr>
              <w:spacing w:before="120"/>
            </w:pPr>
            <w:r>
              <w:rPr>
                <w:rFonts w:ascii="Calibri" w:eastAsia="Calibri" w:hAnsi="Calibri" w:cs="Calibri"/>
                <w:color w:val="FFFFFF"/>
              </w:rPr>
              <w:t>Score</w:t>
            </w:r>
          </w:p>
        </w:tc>
      </w:tr>
      <w:tr w:rsidR="00656438" w14:paraId="3F0D4AA3" w14:textId="77777777" w:rsidTr="005904BA">
        <w:trPr>
          <w:trHeight w:val="1080"/>
        </w:trPr>
        <w:tc>
          <w:tcPr>
            <w:tcW w:w="2550" w:type="dxa"/>
            <w:tcBorders>
              <w:top w:val="single" w:sz="4" w:space="0" w:color="auto"/>
              <w:left w:val="single" w:sz="4" w:space="0" w:color="auto"/>
              <w:bottom w:val="single" w:sz="4" w:space="0" w:color="auto"/>
              <w:right w:val="single" w:sz="4" w:space="0" w:color="auto"/>
            </w:tcBorders>
          </w:tcPr>
          <w:p w14:paraId="7783DB80" w14:textId="77777777" w:rsidR="00656438" w:rsidRDefault="00A26303">
            <w:pPr>
              <w:spacing w:before="120"/>
            </w:pPr>
            <w:r>
              <w:rPr>
                <w:rFonts w:ascii="Calibri" w:eastAsia="Calibri" w:hAnsi="Calibri" w:cs="Calibri"/>
              </w:rPr>
              <w:t>Bidder is certain to be able to meet the needs of the Local Body and meets the maximum capability.</w:t>
            </w:r>
          </w:p>
        </w:tc>
        <w:tc>
          <w:tcPr>
            <w:tcW w:w="3630" w:type="dxa"/>
            <w:tcBorders>
              <w:top w:val="single" w:sz="4" w:space="0" w:color="auto"/>
              <w:left w:val="single" w:sz="4" w:space="0" w:color="auto"/>
              <w:bottom w:val="single" w:sz="4" w:space="0" w:color="auto"/>
              <w:right w:val="single" w:sz="4" w:space="0" w:color="auto"/>
            </w:tcBorders>
          </w:tcPr>
          <w:p w14:paraId="1888BB9B" w14:textId="6D3A15F3" w:rsidR="00656438" w:rsidRDefault="00A26303" w:rsidP="00FB6834">
            <w:pPr>
              <w:spacing w:before="120"/>
            </w:pPr>
            <w:r>
              <w:rPr>
                <w:rFonts w:ascii="Calibri" w:eastAsia="Calibri" w:hAnsi="Calibri" w:cs="Calibri"/>
              </w:rPr>
              <w:t xml:space="preserve">Evidence is to the highest degree comprehensive, credible, compelling and is directly relevant to the </w:t>
            </w:r>
            <w:r w:rsidR="00FB6834">
              <w:rPr>
                <w:rFonts w:ascii="Calibri" w:eastAsia="Calibri" w:hAnsi="Calibri" w:cs="Calibri"/>
              </w:rPr>
              <w:t>criteria</w:t>
            </w:r>
            <w:r>
              <w:rPr>
                <w:rFonts w:ascii="Calibri" w:eastAsia="Calibri" w:hAnsi="Calibri" w:cs="Calibri"/>
              </w:rPr>
              <w:t xml:space="preserve"> in all respects.</w:t>
            </w:r>
          </w:p>
        </w:tc>
        <w:tc>
          <w:tcPr>
            <w:tcW w:w="1440" w:type="dxa"/>
            <w:tcBorders>
              <w:top w:val="single" w:sz="4" w:space="0" w:color="auto"/>
              <w:left w:val="single" w:sz="4" w:space="0" w:color="auto"/>
              <w:bottom w:val="single" w:sz="4" w:space="0" w:color="auto"/>
              <w:right w:val="single" w:sz="4" w:space="0" w:color="auto"/>
            </w:tcBorders>
          </w:tcPr>
          <w:p w14:paraId="5091F7C2" w14:textId="77777777" w:rsidR="00656438" w:rsidRDefault="00656438">
            <w:pPr>
              <w:spacing w:before="120"/>
            </w:pPr>
          </w:p>
          <w:p w14:paraId="0ADAAE23" w14:textId="77777777" w:rsidR="00656438" w:rsidRDefault="00A26303">
            <w:pPr>
              <w:spacing w:before="120"/>
            </w:pPr>
            <w:r>
              <w:rPr>
                <w:rFonts w:ascii="Calibri" w:eastAsia="Calibri" w:hAnsi="Calibri" w:cs="Calibri"/>
              </w:rPr>
              <w:t>Absolute confidence</w:t>
            </w:r>
          </w:p>
        </w:tc>
        <w:tc>
          <w:tcPr>
            <w:tcW w:w="870" w:type="dxa"/>
            <w:tcBorders>
              <w:top w:val="single" w:sz="4" w:space="0" w:color="auto"/>
              <w:left w:val="single" w:sz="4" w:space="0" w:color="auto"/>
              <w:bottom w:val="single" w:sz="4" w:space="0" w:color="auto"/>
              <w:right w:val="single" w:sz="4" w:space="0" w:color="auto"/>
            </w:tcBorders>
          </w:tcPr>
          <w:p w14:paraId="02573455" w14:textId="77777777" w:rsidR="00656438" w:rsidRDefault="00656438">
            <w:pPr>
              <w:spacing w:before="120"/>
            </w:pPr>
          </w:p>
          <w:p w14:paraId="667F5C85" w14:textId="77777777" w:rsidR="00656438" w:rsidRDefault="00A26303">
            <w:pPr>
              <w:spacing w:before="120"/>
            </w:pPr>
            <w:r>
              <w:rPr>
                <w:rFonts w:ascii="Calibri" w:eastAsia="Calibri" w:hAnsi="Calibri" w:cs="Calibri"/>
              </w:rPr>
              <w:t>[10]</w:t>
            </w:r>
          </w:p>
        </w:tc>
      </w:tr>
      <w:tr w:rsidR="00656438" w14:paraId="54CB4C40" w14:textId="77777777" w:rsidTr="005904BA">
        <w:trPr>
          <w:trHeight w:val="1080"/>
        </w:trPr>
        <w:tc>
          <w:tcPr>
            <w:tcW w:w="2550" w:type="dxa"/>
            <w:tcBorders>
              <w:top w:val="single" w:sz="4" w:space="0" w:color="auto"/>
              <w:left w:val="single" w:sz="4" w:space="0" w:color="auto"/>
              <w:bottom w:val="single" w:sz="4" w:space="0" w:color="auto"/>
              <w:right w:val="single" w:sz="4" w:space="0" w:color="auto"/>
            </w:tcBorders>
            <w:vAlign w:val="center"/>
          </w:tcPr>
          <w:p w14:paraId="7BF52468" w14:textId="77777777" w:rsidR="00656438" w:rsidRDefault="00A26303">
            <w:pPr>
              <w:spacing w:before="120"/>
            </w:pPr>
            <w:r>
              <w:rPr>
                <w:rFonts w:ascii="Calibri" w:eastAsia="Calibri" w:hAnsi="Calibri" w:cs="Calibri"/>
              </w:rPr>
              <w:t>Bidder is highly likely to be able to meet the needs of the Local Body</w:t>
            </w:r>
          </w:p>
        </w:tc>
        <w:tc>
          <w:tcPr>
            <w:tcW w:w="3630" w:type="dxa"/>
            <w:tcBorders>
              <w:top w:val="single" w:sz="4" w:space="0" w:color="auto"/>
              <w:left w:val="single" w:sz="4" w:space="0" w:color="auto"/>
              <w:bottom w:val="single" w:sz="4" w:space="0" w:color="auto"/>
              <w:right w:val="single" w:sz="4" w:space="0" w:color="auto"/>
            </w:tcBorders>
            <w:vAlign w:val="center"/>
          </w:tcPr>
          <w:p w14:paraId="068297C8" w14:textId="6FFD6BA5" w:rsidR="00656438" w:rsidRDefault="00A26303">
            <w:pPr>
              <w:spacing w:before="120"/>
            </w:pPr>
            <w:r>
              <w:rPr>
                <w:rFonts w:ascii="Calibri" w:eastAsia="Calibri" w:hAnsi="Calibri" w:cs="Calibri"/>
              </w:rPr>
              <w:t xml:space="preserve">Evidence is consistent, comprehensive and credible and is directly relevant to the </w:t>
            </w:r>
            <w:r w:rsidR="00FB6834">
              <w:rPr>
                <w:rFonts w:ascii="Calibri" w:eastAsia="Calibri" w:hAnsi="Calibri" w:cs="Calibri"/>
              </w:rPr>
              <w:t xml:space="preserve">criteria </w:t>
            </w:r>
            <w:r>
              <w:rPr>
                <w:rFonts w:ascii="Calibri" w:eastAsia="Calibri" w:hAnsi="Calibri" w:cs="Calibri"/>
              </w:rPr>
              <w:t>in almost all respects.</w:t>
            </w:r>
          </w:p>
        </w:tc>
        <w:tc>
          <w:tcPr>
            <w:tcW w:w="1440" w:type="dxa"/>
            <w:tcBorders>
              <w:top w:val="single" w:sz="4" w:space="0" w:color="auto"/>
              <w:left w:val="single" w:sz="4" w:space="0" w:color="auto"/>
              <w:bottom w:val="single" w:sz="4" w:space="0" w:color="auto"/>
              <w:right w:val="single" w:sz="4" w:space="0" w:color="auto"/>
            </w:tcBorders>
            <w:vAlign w:val="center"/>
          </w:tcPr>
          <w:p w14:paraId="5B0579A5" w14:textId="77777777" w:rsidR="00656438" w:rsidRDefault="00A26303">
            <w:pPr>
              <w:spacing w:before="120"/>
            </w:pPr>
            <w:r>
              <w:rPr>
                <w:rFonts w:ascii="Calibri" w:eastAsia="Calibri" w:hAnsi="Calibri" w:cs="Calibri"/>
              </w:rPr>
              <w:t>High Confidence</w:t>
            </w:r>
          </w:p>
        </w:tc>
        <w:tc>
          <w:tcPr>
            <w:tcW w:w="870" w:type="dxa"/>
            <w:tcBorders>
              <w:top w:val="single" w:sz="4" w:space="0" w:color="auto"/>
              <w:left w:val="single" w:sz="4" w:space="0" w:color="auto"/>
              <w:bottom w:val="single" w:sz="4" w:space="0" w:color="auto"/>
              <w:right w:val="single" w:sz="4" w:space="0" w:color="auto"/>
            </w:tcBorders>
            <w:vAlign w:val="center"/>
          </w:tcPr>
          <w:p w14:paraId="7C188C4C" w14:textId="77777777" w:rsidR="00656438" w:rsidRDefault="00A26303">
            <w:pPr>
              <w:spacing w:before="120"/>
            </w:pPr>
            <w:r>
              <w:rPr>
                <w:rFonts w:ascii="Calibri" w:eastAsia="Calibri" w:hAnsi="Calibri" w:cs="Calibri"/>
              </w:rPr>
              <w:t>[9]</w:t>
            </w:r>
          </w:p>
        </w:tc>
      </w:tr>
      <w:tr w:rsidR="00656438" w14:paraId="48B30268" w14:textId="77777777" w:rsidTr="005904BA">
        <w:trPr>
          <w:trHeight w:val="720"/>
        </w:trPr>
        <w:tc>
          <w:tcPr>
            <w:tcW w:w="2550" w:type="dxa"/>
            <w:tcBorders>
              <w:top w:val="single" w:sz="4" w:space="0" w:color="auto"/>
              <w:left w:val="single" w:sz="4" w:space="0" w:color="auto"/>
              <w:bottom w:val="single" w:sz="4" w:space="0" w:color="auto"/>
              <w:right w:val="single" w:sz="4" w:space="0" w:color="auto"/>
            </w:tcBorders>
            <w:vAlign w:val="center"/>
          </w:tcPr>
          <w:p w14:paraId="16390AD8" w14:textId="77777777" w:rsidR="00656438" w:rsidRDefault="00A26303">
            <w:pPr>
              <w:spacing w:before="120"/>
            </w:pPr>
            <w:r>
              <w:rPr>
                <w:rFonts w:ascii="Calibri" w:eastAsia="Calibri" w:hAnsi="Calibri" w:cs="Calibri"/>
              </w:rPr>
              <w:t>Bidder is likely to be able to meet the needs of the Local Body</w:t>
            </w:r>
          </w:p>
        </w:tc>
        <w:tc>
          <w:tcPr>
            <w:tcW w:w="3630" w:type="dxa"/>
            <w:tcBorders>
              <w:top w:val="single" w:sz="4" w:space="0" w:color="auto"/>
              <w:left w:val="single" w:sz="4" w:space="0" w:color="auto"/>
              <w:bottom w:val="single" w:sz="4" w:space="0" w:color="auto"/>
              <w:right w:val="single" w:sz="4" w:space="0" w:color="auto"/>
            </w:tcBorders>
            <w:vAlign w:val="center"/>
          </w:tcPr>
          <w:p w14:paraId="2561C0E9" w14:textId="682DA24C" w:rsidR="00656438" w:rsidRDefault="00A26303">
            <w:pPr>
              <w:spacing w:before="120"/>
            </w:pPr>
            <w:r>
              <w:rPr>
                <w:rFonts w:ascii="Calibri" w:eastAsia="Calibri" w:hAnsi="Calibri" w:cs="Calibri"/>
              </w:rPr>
              <w:t xml:space="preserve">Evidence is sufficient, is largely convincing and is directly relevant to the </w:t>
            </w:r>
            <w:r w:rsidR="00FB6834">
              <w:rPr>
                <w:rFonts w:ascii="Calibri" w:eastAsia="Calibri" w:hAnsi="Calibri" w:cs="Calibri"/>
              </w:rPr>
              <w:t xml:space="preserve">criteria </w:t>
            </w:r>
            <w:r>
              <w:rPr>
                <w:rFonts w:ascii="Calibri" w:eastAsia="Calibri" w:hAnsi="Calibri" w:cs="Calibri"/>
              </w:rPr>
              <w:t>in most respects.</w:t>
            </w:r>
          </w:p>
        </w:tc>
        <w:tc>
          <w:tcPr>
            <w:tcW w:w="1440" w:type="dxa"/>
            <w:tcBorders>
              <w:top w:val="single" w:sz="4" w:space="0" w:color="auto"/>
              <w:left w:val="single" w:sz="4" w:space="0" w:color="auto"/>
              <w:bottom w:val="single" w:sz="4" w:space="0" w:color="auto"/>
              <w:right w:val="single" w:sz="4" w:space="0" w:color="auto"/>
            </w:tcBorders>
            <w:vAlign w:val="center"/>
          </w:tcPr>
          <w:p w14:paraId="32326637" w14:textId="77777777" w:rsidR="00656438" w:rsidRDefault="00A26303">
            <w:pPr>
              <w:spacing w:before="120"/>
            </w:pPr>
            <w:r>
              <w:rPr>
                <w:rFonts w:ascii="Calibri" w:eastAsia="Calibri" w:hAnsi="Calibri" w:cs="Calibri"/>
              </w:rPr>
              <w:t>Confidence</w:t>
            </w:r>
          </w:p>
        </w:tc>
        <w:tc>
          <w:tcPr>
            <w:tcW w:w="870" w:type="dxa"/>
            <w:tcBorders>
              <w:top w:val="single" w:sz="4" w:space="0" w:color="auto"/>
              <w:left w:val="single" w:sz="4" w:space="0" w:color="auto"/>
              <w:bottom w:val="single" w:sz="4" w:space="0" w:color="auto"/>
              <w:right w:val="single" w:sz="4" w:space="0" w:color="auto"/>
            </w:tcBorders>
            <w:vAlign w:val="center"/>
          </w:tcPr>
          <w:p w14:paraId="52880EF7" w14:textId="77777777" w:rsidR="00656438" w:rsidRDefault="00A26303">
            <w:pPr>
              <w:spacing w:before="120"/>
            </w:pPr>
            <w:r>
              <w:rPr>
                <w:rFonts w:ascii="Calibri" w:eastAsia="Calibri" w:hAnsi="Calibri" w:cs="Calibri"/>
              </w:rPr>
              <w:t>[8]</w:t>
            </w:r>
          </w:p>
        </w:tc>
      </w:tr>
      <w:tr w:rsidR="00656438" w14:paraId="343A6AA5" w14:textId="77777777" w:rsidTr="005904BA">
        <w:trPr>
          <w:trHeight w:val="360"/>
        </w:trPr>
        <w:tc>
          <w:tcPr>
            <w:tcW w:w="2550" w:type="dxa"/>
            <w:tcBorders>
              <w:top w:val="single" w:sz="4" w:space="0" w:color="auto"/>
              <w:left w:val="single" w:sz="4" w:space="0" w:color="auto"/>
              <w:bottom w:val="single" w:sz="4" w:space="0" w:color="auto"/>
              <w:right w:val="single" w:sz="4" w:space="0" w:color="auto"/>
            </w:tcBorders>
            <w:vAlign w:val="bottom"/>
          </w:tcPr>
          <w:p w14:paraId="1670201B" w14:textId="77777777" w:rsidR="00656438" w:rsidRDefault="00A26303">
            <w:pPr>
              <w:spacing w:before="120"/>
            </w:pPr>
            <w:r>
              <w:rPr>
                <w:rFonts w:ascii="Calibri" w:eastAsia="Calibri" w:hAnsi="Calibri" w:cs="Calibri"/>
              </w:rPr>
              <w:t>Small risk that Bidder will not be able to meet the needs of the Local Body.</w:t>
            </w:r>
          </w:p>
        </w:tc>
        <w:tc>
          <w:tcPr>
            <w:tcW w:w="3630" w:type="dxa"/>
            <w:tcBorders>
              <w:top w:val="single" w:sz="4" w:space="0" w:color="auto"/>
              <w:left w:val="single" w:sz="4" w:space="0" w:color="auto"/>
              <w:bottom w:val="single" w:sz="4" w:space="0" w:color="auto"/>
              <w:right w:val="single" w:sz="4" w:space="0" w:color="auto"/>
            </w:tcBorders>
            <w:vAlign w:val="center"/>
          </w:tcPr>
          <w:p w14:paraId="668C7ADB" w14:textId="6728FFC8" w:rsidR="00656438" w:rsidRDefault="00A26303">
            <w:pPr>
              <w:spacing w:before="120"/>
            </w:pPr>
            <w:r>
              <w:rPr>
                <w:rFonts w:ascii="Calibri" w:eastAsia="Calibri" w:hAnsi="Calibri" w:cs="Calibri"/>
              </w:rPr>
              <w:t xml:space="preserve">Evidence has minor gaps, or to a small extent is unconvincing, lacks credibility or is irrelevant to the </w:t>
            </w:r>
            <w:r w:rsidR="00FB6834">
              <w:rPr>
                <w:rFonts w:ascii="Calibri" w:eastAsia="Calibri" w:hAnsi="Calibri" w:cs="Calibri"/>
              </w:rPr>
              <w:t>criteria</w:t>
            </w:r>
            <w:r>
              <w:rPr>
                <w:rFonts w:ascii="Calibri" w:eastAsia="Calibri" w:hAnsi="Calibri" w:cs="Calibri"/>
              </w:rPr>
              <w:t>.</w:t>
            </w:r>
          </w:p>
        </w:tc>
        <w:tc>
          <w:tcPr>
            <w:tcW w:w="1440" w:type="dxa"/>
            <w:tcBorders>
              <w:top w:val="single" w:sz="4" w:space="0" w:color="auto"/>
              <w:left w:val="single" w:sz="4" w:space="0" w:color="auto"/>
              <w:bottom w:val="single" w:sz="4" w:space="0" w:color="auto"/>
              <w:right w:val="single" w:sz="4" w:space="0" w:color="auto"/>
            </w:tcBorders>
            <w:vAlign w:val="center"/>
          </w:tcPr>
          <w:p w14:paraId="3652159A" w14:textId="54A8B4A0" w:rsidR="00656438" w:rsidRDefault="001E0CB7">
            <w:pPr>
              <w:spacing w:before="120"/>
            </w:pPr>
            <w:r>
              <w:rPr>
                <w:rFonts w:ascii="Calibri" w:eastAsia="Calibri" w:hAnsi="Calibri" w:cs="Calibri"/>
              </w:rPr>
              <w:t>Moderate</w:t>
            </w:r>
            <w:r w:rsidR="00A26303">
              <w:rPr>
                <w:rFonts w:ascii="Calibri" w:eastAsia="Calibri" w:hAnsi="Calibri" w:cs="Calibri"/>
              </w:rPr>
              <w:t xml:space="preserve"> Confidence</w:t>
            </w:r>
          </w:p>
        </w:tc>
        <w:tc>
          <w:tcPr>
            <w:tcW w:w="870" w:type="dxa"/>
            <w:tcBorders>
              <w:top w:val="single" w:sz="4" w:space="0" w:color="auto"/>
              <w:left w:val="single" w:sz="4" w:space="0" w:color="auto"/>
              <w:bottom w:val="single" w:sz="4" w:space="0" w:color="auto"/>
              <w:right w:val="single" w:sz="4" w:space="0" w:color="auto"/>
            </w:tcBorders>
            <w:vAlign w:val="center"/>
          </w:tcPr>
          <w:p w14:paraId="061379F5" w14:textId="1D45D9B4" w:rsidR="00656438" w:rsidRDefault="00A26303">
            <w:pPr>
              <w:spacing w:before="120"/>
            </w:pPr>
            <w:r>
              <w:rPr>
                <w:rFonts w:ascii="Calibri" w:eastAsia="Calibri" w:hAnsi="Calibri" w:cs="Calibri"/>
              </w:rPr>
              <w:t>[6</w:t>
            </w:r>
            <w:r w:rsidR="00FB6834">
              <w:rPr>
                <w:rFonts w:ascii="Calibri" w:eastAsia="Calibri" w:hAnsi="Calibri" w:cs="Calibri"/>
              </w:rPr>
              <w:t>-7</w:t>
            </w:r>
            <w:r>
              <w:rPr>
                <w:rFonts w:ascii="Calibri" w:eastAsia="Calibri" w:hAnsi="Calibri" w:cs="Calibri"/>
              </w:rPr>
              <w:t>]</w:t>
            </w:r>
          </w:p>
        </w:tc>
      </w:tr>
      <w:tr w:rsidR="00656438" w14:paraId="59A39EEF" w14:textId="77777777" w:rsidTr="005904BA">
        <w:trPr>
          <w:trHeight w:val="360"/>
        </w:trPr>
        <w:tc>
          <w:tcPr>
            <w:tcW w:w="2550" w:type="dxa"/>
            <w:tcBorders>
              <w:top w:val="single" w:sz="4" w:space="0" w:color="auto"/>
              <w:left w:val="single" w:sz="4" w:space="0" w:color="auto"/>
              <w:bottom w:val="single" w:sz="4" w:space="0" w:color="auto"/>
              <w:right w:val="single" w:sz="4" w:space="0" w:color="auto"/>
            </w:tcBorders>
            <w:vAlign w:val="bottom"/>
          </w:tcPr>
          <w:p w14:paraId="401A1016" w14:textId="77777777" w:rsidR="00656438" w:rsidRDefault="00A26303">
            <w:pPr>
              <w:spacing w:before="120"/>
            </w:pPr>
            <w:r>
              <w:rPr>
                <w:rFonts w:ascii="Calibri" w:eastAsia="Calibri" w:hAnsi="Calibri" w:cs="Calibri"/>
              </w:rPr>
              <w:t>Bidder has achieved the Baseline Capability</w:t>
            </w:r>
          </w:p>
        </w:tc>
        <w:tc>
          <w:tcPr>
            <w:tcW w:w="3630" w:type="dxa"/>
            <w:tcBorders>
              <w:top w:val="single" w:sz="4" w:space="0" w:color="auto"/>
              <w:left w:val="single" w:sz="4" w:space="0" w:color="auto"/>
              <w:bottom w:val="single" w:sz="4" w:space="0" w:color="auto"/>
              <w:right w:val="single" w:sz="4" w:space="0" w:color="auto"/>
            </w:tcBorders>
            <w:vAlign w:val="center"/>
          </w:tcPr>
          <w:p w14:paraId="42E7F528" w14:textId="4C2AB19D" w:rsidR="00656438" w:rsidRDefault="00A26303">
            <w:pPr>
              <w:spacing w:before="120"/>
            </w:pPr>
            <w:r>
              <w:rPr>
                <w:rFonts w:ascii="Calibri" w:eastAsia="Calibri" w:hAnsi="Calibri" w:cs="Calibri"/>
              </w:rPr>
              <w:t>Evidence meets the baseline capabilities of the Service Requirement</w:t>
            </w:r>
            <w:r w:rsidR="001E0CB7">
              <w:rPr>
                <w:rFonts w:ascii="Calibri" w:eastAsia="Calibri" w:hAnsi="Calibri" w:cs="Calibri"/>
              </w:rPr>
              <w:t>.</w:t>
            </w:r>
          </w:p>
        </w:tc>
        <w:tc>
          <w:tcPr>
            <w:tcW w:w="1440" w:type="dxa"/>
            <w:tcBorders>
              <w:top w:val="single" w:sz="4" w:space="0" w:color="auto"/>
              <w:left w:val="single" w:sz="4" w:space="0" w:color="auto"/>
              <w:bottom w:val="single" w:sz="4" w:space="0" w:color="auto"/>
              <w:right w:val="single" w:sz="4" w:space="0" w:color="auto"/>
            </w:tcBorders>
            <w:vAlign w:val="center"/>
          </w:tcPr>
          <w:p w14:paraId="57B4DF37" w14:textId="77777777" w:rsidR="00656438" w:rsidRDefault="00A26303">
            <w:pPr>
              <w:spacing w:before="120"/>
            </w:pPr>
            <w:r>
              <w:rPr>
                <w:rFonts w:ascii="Calibri" w:eastAsia="Calibri" w:hAnsi="Calibri" w:cs="Calibri"/>
              </w:rPr>
              <w:t>Satisfactory</w:t>
            </w:r>
          </w:p>
        </w:tc>
        <w:tc>
          <w:tcPr>
            <w:tcW w:w="870" w:type="dxa"/>
            <w:tcBorders>
              <w:top w:val="single" w:sz="4" w:space="0" w:color="auto"/>
              <w:left w:val="single" w:sz="4" w:space="0" w:color="auto"/>
              <w:bottom w:val="single" w:sz="4" w:space="0" w:color="auto"/>
              <w:right w:val="single" w:sz="4" w:space="0" w:color="auto"/>
            </w:tcBorders>
            <w:vAlign w:val="center"/>
          </w:tcPr>
          <w:p w14:paraId="50E41918" w14:textId="77777777" w:rsidR="00656438" w:rsidRDefault="00A26303">
            <w:pPr>
              <w:spacing w:before="120"/>
            </w:pPr>
            <w:r>
              <w:rPr>
                <w:rFonts w:ascii="Calibri" w:eastAsia="Calibri" w:hAnsi="Calibri" w:cs="Calibri"/>
              </w:rPr>
              <w:t>[5]</w:t>
            </w:r>
          </w:p>
        </w:tc>
      </w:tr>
      <w:tr w:rsidR="00656438" w14:paraId="0E676D18" w14:textId="77777777" w:rsidTr="005904BA">
        <w:trPr>
          <w:trHeight w:val="360"/>
        </w:trPr>
        <w:tc>
          <w:tcPr>
            <w:tcW w:w="2550" w:type="dxa"/>
            <w:tcBorders>
              <w:top w:val="single" w:sz="4" w:space="0" w:color="auto"/>
              <w:left w:val="single" w:sz="4" w:space="0" w:color="auto"/>
              <w:bottom w:val="single" w:sz="4" w:space="0" w:color="auto"/>
              <w:right w:val="single" w:sz="4" w:space="0" w:color="auto"/>
            </w:tcBorders>
            <w:vAlign w:val="bottom"/>
          </w:tcPr>
          <w:p w14:paraId="75152245" w14:textId="77777777" w:rsidR="00656438" w:rsidRDefault="00A26303">
            <w:pPr>
              <w:spacing w:before="120"/>
            </w:pPr>
            <w:r>
              <w:rPr>
                <w:rFonts w:ascii="Calibri" w:eastAsia="Calibri" w:hAnsi="Calibri" w:cs="Calibri"/>
              </w:rPr>
              <w:t>Moderate risk that the Bidder will not be able to meet the needs of the Local Body</w:t>
            </w:r>
          </w:p>
        </w:tc>
        <w:tc>
          <w:tcPr>
            <w:tcW w:w="3630" w:type="dxa"/>
            <w:tcBorders>
              <w:top w:val="single" w:sz="4" w:space="0" w:color="auto"/>
              <w:left w:val="single" w:sz="4" w:space="0" w:color="auto"/>
              <w:bottom w:val="single" w:sz="4" w:space="0" w:color="auto"/>
              <w:right w:val="single" w:sz="4" w:space="0" w:color="auto"/>
            </w:tcBorders>
            <w:vAlign w:val="center"/>
          </w:tcPr>
          <w:p w14:paraId="46D09D0A" w14:textId="77777777" w:rsidR="00656438" w:rsidRDefault="00A26303">
            <w:pPr>
              <w:spacing w:before="120"/>
            </w:pPr>
            <w:r>
              <w:rPr>
                <w:rFonts w:ascii="Calibri" w:eastAsia="Calibri" w:hAnsi="Calibri" w:cs="Calibri"/>
              </w:rPr>
              <w:t>Evidence has moderate gaps, is unconvincing.</w:t>
            </w:r>
          </w:p>
        </w:tc>
        <w:tc>
          <w:tcPr>
            <w:tcW w:w="1440" w:type="dxa"/>
            <w:tcBorders>
              <w:top w:val="single" w:sz="4" w:space="0" w:color="auto"/>
              <w:left w:val="single" w:sz="4" w:space="0" w:color="auto"/>
              <w:bottom w:val="single" w:sz="4" w:space="0" w:color="auto"/>
              <w:right w:val="single" w:sz="4" w:space="0" w:color="auto"/>
            </w:tcBorders>
            <w:vAlign w:val="center"/>
          </w:tcPr>
          <w:p w14:paraId="4C2558BB" w14:textId="77777777" w:rsidR="00656438" w:rsidRDefault="00A26303">
            <w:pPr>
              <w:spacing w:before="120"/>
            </w:pPr>
            <w:r>
              <w:rPr>
                <w:rFonts w:ascii="Calibri" w:eastAsia="Calibri" w:hAnsi="Calibri" w:cs="Calibri"/>
              </w:rPr>
              <w:t>Moderate Concerns</w:t>
            </w:r>
          </w:p>
        </w:tc>
        <w:tc>
          <w:tcPr>
            <w:tcW w:w="870" w:type="dxa"/>
            <w:tcBorders>
              <w:top w:val="single" w:sz="4" w:space="0" w:color="auto"/>
              <w:left w:val="single" w:sz="4" w:space="0" w:color="auto"/>
              <w:bottom w:val="single" w:sz="4" w:space="0" w:color="auto"/>
              <w:right w:val="single" w:sz="4" w:space="0" w:color="auto"/>
            </w:tcBorders>
            <w:vAlign w:val="center"/>
          </w:tcPr>
          <w:p w14:paraId="4FC9DE71" w14:textId="1BBD8012" w:rsidR="00656438" w:rsidRDefault="00A26303">
            <w:pPr>
              <w:spacing w:before="120"/>
            </w:pPr>
            <w:r>
              <w:rPr>
                <w:rFonts w:ascii="Calibri" w:eastAsia="Calibri" w:hAnsi="Calibri" w:cs="Calibri"/>
              </w:rPr>
              <w:t>[</w:t>
            </w:r>
            <w:r w:rsidR="00FB6834">
              <w:rPr>
                <w:rFonts w:ascii="Calibri" w:eastAsia="Calibri" w:hAnsi="Calibri" w:cs="Calibri"/>
              </w:rPr>
              <w:t>3-</w:t>
            </w:r>
            <w:r>
              <w:rPr>
                <w:rFonts w:ascii="Calibri" w:eastAsia="Calibri" w:hAnsi="Calibri" w:cs="Calibri"/>
              </w:rPr>
              <w:t>4]</w:t>
            </w:r>
          </w:p>
        </w:tc>
      </w:tr>
      <w:tr w:rsidR="00656438" w14:paraId="21EEC855" w14:textId="77777777" w:rsidTr="005904BA">
        <w:trPr>
          <w:trHeight w:val="360"/>
        </w:trPr>
        <w:tc>
          <w:tcPr>
            <w:tcW w:w="2550" w:type="dxa"/>
            <w:tcBorders>
              <w:top w:val="single" w:sz="4" w:space="0" w:color="auto"/>
              <w:left w:val="single" w:sz="4" w:space="0" w:color="auto"/>
              <w:bottom w:val="single" w:sz="4" w:space="0" w:color="auto"/>
              <w:right w:val="single" w:sz="4" w:space="0" w:color="auto"/>
            </w:tcBorders>
            <w:vAlign w:val="bottom"/>
          </w:tcPr>
          <w:p w14:paraId="30D0F59B" w14:textId="77777777" w:rsidR="00656438" w:rsidRDefault="00A26303">
            <w:pPr>
              <w:spacing w:before="120"/>
            </w:pPr>
            <w:r>
              <w:rPr>
                <w:rFonts w:ascii="Calibri" w:eastAsia="Calibri" w:hAnsi="Calibri" w:cs="Calibri"/>
              </w:rPr>
              <w:t>Significant risk that the Bidder will not be able to meet the needs of the Local Body.</w:t>
            </w:r>
          </w:p>
        </w:tc>
        <w:tc>
          <w:tcPr>
            <w:tcW w:w="3630" w:type="dxa"/>
            <w:tcBorders>
              <w:top w:val="single" w:sz="4" w:space="0" w:color="auto"/>
              <w:left w:val="single" w:sz="4" w:space="0" w:color="auto"/>
              <w:bottom w:val="single" w:sz="4" w:space="0" w:color="auto"/>
              <w:right w:val="single" w:sz="4" w:space="0" w:color="auto"/>
            </w:tcBorders>
            <w:vAlign w:val="center"/>
          </w:tcPr>
          <w:p w14:paraId="5B6B0483" w14:textId="36B6C8E5" w:rsidR="00656438" w:rsidRDefault="00A26303">
            <w:pPr>
              <w:spacing w:before="120"/>
            </w:pPr>
            <w:r>
              <w:rPr>
                <w:rFonts w:ascii="Calibri" w:eastAsia="Calibri" w:hAnsi="Calibri" w:cs="Calibri"/>
              </w:rPr>
              <w:t xml:space="preserve">Evidence has major gaps, is unconvincing in many respects, lacks credibility, or is largely irrelevant to the </w:t>
            </w:r>
            <w:r w:rsidR="00FB6834">
              <w:rPr>
                <w:rFonts w:ascii="Calibri" w:eastAsia="Calibri" w:hAnsi="Calibri" w:cs="Calibri"/>
              </w:rPr>
              <w:t>criteria</w:t>
            </w:r>
            <w:r>
              <w:rPr>
                <w:rFonts w:ascii="Calibri" w:eastAsia="Calibri" w:hAnsi="Calibri" w:cs="Calibri"/>
              </w:rPr>
              <w:t>.</w:t>
            </w:r>
          </w:p>
        </w:tc>
        <w:tc>
          <w:tcPr>
            <w:tcW w:w="1440" w:type="dxa"/>
            <w:tcBorders>
              <w:top w:val="single" w:sz="4" w:space="0" w:color="auto"/>
              <w:left w:val="single" w:sz="4" w:space="0" w:color="auto"/>
              <w:bottom w:val="single" w:sz="4" w:space="0" w:color="auto"/>
              <w:right w:val="single" w:sz="4" w:space="0" w:color="auto"/>
            </w:tcBorders>
            <w:vAlign w:val="center"/>
          </w:tcPr>
          <w:p w14:paraId="33990130" w14:textId="77777777" w:rsidR="00656438" w:rsidRDefault="00A26303">
            <w:pPr>
              <w:spacing w:before="120"/>
            </w:pPr>
            <w:r>
              <w:rPr>
                <w:rFonts w:ascii="Calibri" w:eastAsia="Calibri" w:hAnsi="Calibri" w:cs="Calibri"/>
              </w:rPr>
              <w:t>Major Concerns</w:t>
            </w:r>
          </w:p>
        </w:tc>
        <w:tc>
          <w:tcPr>
            <w:tcW w:w="870" w:type="dxa"/>
            <w:tcBorders>
              <w:top w:val="single" w:sz="4" w:space="0" w:color="auto"/>
              <w:left w:val="single" w:sz="4" w:space="0" w:color="auto"/>
              <w:bottom w:val="single" w:sz="4" w:space="0" w:color="auto"/>
              <w:right w:val="single" w:sz="4" w:space="0" w:color="auto"/>
            </w:tcBorders>
            <w:vAlign w:val="center"/>
          </w:tcPr>
          <w:p w14:paraId="0FCF61FC" w14:textId="4FE6F66C" w:rsidR="00656438" w:rsidRDefault="00A26303">
            <w:pPr>
              <w:spacing w:before="120"/>
            </w:pPr>
            <w:r>
              <w:rPr>
                <w:rFonts w:ascii="Calibri" w:eastAsia="Calibri" w:hAnsi="Calibri" w:cs="Calibri"/>
              </w:rPr>
              <w:t>[</w:t>
            </w:r>
            <w:r w:rsidR="00FB6834">
              <w:rPr>
                <w:rFonts w:ascii="Calibri" w:eastAsia="Calibri" w:hAnsi="Calibri" w:cs="Calibri"/>
              </w:rPr>
              <w:t>1-</w:t>
            </w:r>
            <w:r>
              <w:rPr>
                <w:rFonts w:ascii="Calibri" w:eastAsia="Calibri" w:hAnsi="Calibri" w:cs="Calibri"/>
              </w:rPr>
              <w:t>2]</w:t>
            </w:r>
          </w:p>
        </w:tc>
      </w:tr>
      <w:tr w:rsidR="00656438" w14:paraId="19E1DA35" w14:textId="77777777" w:rsidTr="005904BA">
        <w:trPr>
          <w:trHeight w:val="620"/>
        </w:trPr>
        <w:tc>
          <w:tcPr>
            <w:tcW w:w="2550" w:type="dxa"/>
            <w:tcBorders>
              <w:top w:val="single" w:sz="4" w:space="0" w:color="auto"/>
              <w:left w:val="single" w:sz="4" w:space="0" w:color="auto"/>
              <w:bottom w:val="single" w:sz="4" w:space="0" w:color="auto"/>
              <w:right w:val="single" w:sz="4" w:space="0" w:color="auto"/>
            </w:tcBorders>
            <w:vAlign w:val="center"/>
          </w:tcPr>
          <w:p w14:paraId="608818CD" w14:textId="77777777" w:rsidR="00656438" w:rsidRDefault="00A26303">
            <w:pPr>
              <w:spacing w:before="120"/>
            </w:pPr>
            <w:r>
              <w:rPr>
                <w:rFonts w:ascii="Calibri" w:eastAsia="Calibri" w:hAnsi="Calibri" w:cs="Calibri"/>
              </w:rPr>
              <w:lastRenderedPageBreak/>
              <w:t>Bidder will not be able to meet the needs of Local Body.</w:t>
            </w:r>
          </w:p>
        </w:tc>
        <w:tc>
          <w:tcPr>
            <w:tcW w:w="3630" w:type="dxa"/>
            <w:tcBorders>
              <w:top w:val="single" w:sz="4" w:space="0" w:color="auto"/>
              <w:left w:val="single" w:sz="4" w:space="0" w:color="auto"/>
              <w:bottom w:val="single" w:sz="4" w:space="0" w:color="auto"/>
              <w:right w:val="single" w:sz="4" w:space="0" w:color="auto"/>
            </w:tcBorders>
            <w:vAlign w:val="center"/>
          </w:tcPr>
          <w:p w14:paraId="602C6BF4" w14:textId="77777777" w:rsidR="00656438" w:rsidRDefault="00A26303">
            <w:pPr>
              <w:spacing w:before="120"/>
            </w:pPr>
            <w:r>
              <w:rPr>
                <w:rFonts w:ascii="Calibri" w:eastAsia="Calibri" w:hAnsi="Calibri" w:cs="Calibri"/>
              </w:rPr>
              <w:t>No evidence or misleading evidence.</w:t>
            </w:r>
          </w:p>
        </w:tc>
        <w:tc>
          <w:tcPr>
            <w:tcW w:w="1440" w:type="dxa"/>
            <w:tcBorders>
              <w:top w:val="single" w:sz="4" w:space="0" w:color="auto"/>
              <w:left w:val="single" w:sz="4" w:space="0" w:color="auto"/>
              <w:bottom w:val="single" w:sz="4" w:space="0" w:color="auto"/>
              <w:right w:val="single" w:sz="4" w:space="0" w:color="auto"/>
            </w:tcBorders>
            <w:vAlign w:val="center"/>
          </w:tcPr>
          <w:p w14:paraId="233656AB" w14:textId="77777777" w:rsidR="00656438" w:rsidRDefault="00A26303">
            <w:pPr>
              <w:spacing w:before="120"/>
            </w:pPr>
            <w:r>
              <w:rPr>
                <w:rFonts w:ascii="Calibri" w:eastAsia="Calibri" w:hAnsi="Calibri" w:cs="Calibri"/>
              </w:rPr>
              <w:t>Not acceptable</w:t>
            </w:r>
          </w:p>
        </w:tc>
        <w:tc>
          <w:tcPr>
            <w:tcW w:w="870" w:type="dxa"/>
            <w:tcBorders>
              <w:top w:val="single" w:sz="4" w:space="0" w:color="auto"/>
              <w:left w:val="single" w:sz="4" w:space="0" w:color="auto"/>
              <w:bottom w:val="single" w:sz="4" w:space="0" w:color="auto"/>
              <w:right w:val="single" w:sz="4" w:space="0" w:color="auto"/>
            </w:tcBorders>
            <w:vAlign w:val="center"/>
          </w:tcPr>
          <w:p w14:paraId="76A7AE97" w14:textId="77777777" w:rsidR="00656438" w:rsidRDefault="00A26303">
            <w:pPr>
              <w:spacing w:before="120"/>
            </w:pPr>
            <w:r>
              <w:rPr>
                <w:rFonts w:ascii="Calibri" w:eastAsia="Calibri" w:hAnsi="Calibri" w:cs="Calibri"/>
              </w:rPr>
              <w:t>[0]</w:t>
            </w:r>
          </w:p>
        </w:tc>
      </w:tr>
    </w:tbl>
    <w:p w14:paraId="087CE6C5" w14:textId="77777777" w:rsidR="00656438" w:rsidRDefault="00656438"/>
    <w:p w14:paraId="3AADB9EE" w14:textId="77777777" w:rsidR="00656438" w:rsidRDefault="00A26303" w:rsidP="00A70A2A">
      <w:pPr>
        <w:pStyle w:val="Heading2"/>
        <w:numPr>
          <w:ilvl w:val="2"/>
          <w:numId w:val="6"/>
        </w:numPr>
        <w:spacing w:before="0" w:line="264" w:lineRule="auto"/>
        <w:ind w:hanging="720"/>
        <w:contextualSpacing/>
        <w:jc w:val="both"/>
      </w:pPr>
      <w:bookmarkStart w:id="81" w:name="h.ncgynu4pcpw" w:colFirst="0" w:colLast="0"/>
      <w:bookmarkEnd w:id="81"/>
      <w:r>
        <w:rPr>
          <w:sz w:val="22"/>
          <w:szCs w:val="22"/>
        </w:rPr>
        <w:t>Automatic scored evaluation criteria</w:t>
      </w:r>
    </w:p>
    <w:p w14:paraId="35C2B94D" w14:textId="77777777" w:rsidR="00656438" w:rsidRDefault="00A26303">
      <w:pPr>
        <w:pStyle w:val="Heading2"/>
        <w:spacing w:before="0" w:line="264" w:lineRule="auto"/>
        <w:ind w:left="1440" w:firstLine="0"/>
        <w:jc w:val="both"/>
      </w:pPr>
      <w:bookmarkStart w:id="82" w:name="h.7dr8hdzwozq" w:colFirst="0" w:colLast="0"/>
      <w:bookmarkEnd w:id="82"/>
      <w:r>
        <w:rPr>
          <w:sz w:val="22"/>
          <w:szCs w:val="22"/>
        </w:rPr>
        <w:t>[Funding levels</w:t>
      </w:r>
      <w:r>
        <w:rPr>
          <w:sz w:val="22"/>
          <w:szCs w:val="22"/>
          <w:vertAlign w:val="superscript"/>
        </w:rPr>
        <w:footnoteReference w:id="42"/>
      </w:r>
    </w:p>
    <w:p w14:paraId="0A4B90A6" w14:textId="7FB32D50" w:rsidR="00656438" w:rsidRDefault="00A26303" w:rsidP="00A70A2A">
      <w:pPr>
        <w:numPr>
          <w:ilvl w:val="3"/>
          <w:numId w:val="6"/>
        </w:numPr>
        <w:ind w:hanging="720"/>
      </w:pPr>
      <w:r>
        <w:rPr>
          <w:rFonts w:ascii="Calibri" w:eastAsia="Calibri" w:hAnsi="Calibri" w:cs="Calibri"/>
        </w:rPr>
        <w:t xml:space="preserve">The Funding Levels score will be calculated using specific outputs from the Bidder’s </w:t>
      </w:r>
      <w:r w:rsidR="001E0CB7">
        <w:rPr>
          <w:rFonts w:ascii="Calibri" w:eastAsia="Calibri" w:hAnsi="Calibri" w:cs="Calibri"/>
        </w:rPr>
        <w:t>Bid Project Model</w:t>
      </w:r>
      <w:r>
        <w:rPr>
          <w:rFonts w:ascii="Calibri" w:eastAsia="Calibri" w:hAnsi="Calibri" w:cs="Calibri"/>
        </w:rPr>
        <w:t>.</w:t>
      </w:r>
    </w:p>
    <w:p w14:paraId="0FF8E356" w14:textId="0283777A" w:rsidR="00656438" w:rsidRDefault="00A26303" w:rsidP="00A70A2A">
      <w:pPr>
        <w:numPr>
          <w:ilvl w:val="3"/>
          <w:numId w:val="6"/>
        </w:numPr>
        <w:ind w:hanging="720"/>
      </w:pPr>
      <w:r>
        <w:rPr>
          <w:rFonts w:ascii="Calibri" w:eastAsia="Calibri" w:hAnsi="Calibri" w:cs="Calibri"/>
        </w:rPr>
        <w:t xml:space="preserve">The Bidder should note that for public subsidy derived from BDUK/DCMS and the Local Body sources, this subsidy will only be provided for </w:t>
      </w:r>
      <w:r w:rsidR="009F094D">
        <w:rPr>
          <w:rFonts w:ascii="Calibri" w:eastAsia="Calibri" w:hAnsi="Calibri" w:cs="Calibri"/>
        </w:rPr>
        <w:t>Qualifying Capital E</w:t>
      </w:r>
      <w:r>
        <w:rPr>
          <w:rFonts w:ascii="Calibri" w:eastAsia="Calibri" w:hAnsi="Calibri" w:cs="Calibri"/>
        </w:rPr>
        <w:t>xpenditure.  Committed Opex includes infrastructure lease costs or equivalent expenditure committed by t</w:t>
      </w:r>
      <w:r w:rsidR="00BC52BA">
        <w:rPr>
          <w:rFonts w:ascii="Calibri" w:eastAsia="Calibri" w:hAnsi="Calibri" w:cs="Calibri"/>
        </w:rPr>
        <w:t>he Bidder over the life of the C</w:t>
      </w:r>
      <w:r>
        <w:rPr>
          <w:rFonts w:ascii="Calibri" w:eastAsia="Calibri" w:hAnsi="Calibri" w:cs="Calibri"/>
        </w:rPr>
        <w:t xml:space="preserve">ontract. The </w:t>
      </w:r>
      <w:r w:rsidR="000D29A2">
        <w:rPr>
          <w:rFonts w:ascii="Calibri" w:eastAsia="Calibri" w:hAnsi="Calibri" w:cs="Calibri"/>
        </w:rPr>
        <w:t>C</w:t>
      </w:r>
      <w:r>
        <w:rPr>
          <w:rFonts w:ascii="Calibri" w:eastAsia="Calibri" w:hAnsi="Calibri" w:cs="Calibri"/>
        </w:rPr>
        <w:t>ommitted Opex is included for the calculation of funding levels for evaluation purposes only.</w:t>
      </w:r>
    </w:p>
    <w:p w14:paraId="5A36021A" w14:textId="6B4FDBFC" w:rsidR="00656438" w:rsidRDefault="009F094D" w:rsidP="00A70A2A">
      <w:pPr>
        <w:numPr>
          <w:ilvl w:val="3"/>
          <w:numId w:val="6"/>
        </w:numPr>
        <w:ind w:hanging="720"/>
      </w:pPr>
      <w:r>
        <w:rPr>
          <w:rFonts w:ascii="Calibri" w:eastAsia="Calibri" w:hAnsi="Calibri" w:cs="Calibri"/>
        </w:rPr>
        <w:t xml:space="preserve">Public Subsidy </w:t>
      </w:r>
      <w:r w:rsidR="000D29A2">
        <w:rPr>
          <w:rFonts w:ascii="Calibri" w:eastAsia="Calibri" w:hAnsi="Calibri" w:cs="Calibri"/>
        </w:rPr>
        <w:t>r</w:t>
      </w:r>
      <w:r w:rsidR="00A26303">
        <w:rPr>
          <w:rFonts w:ascii="Calibri" w:eastAsia="Calibri" w:hAnsi="Calibri" w:cs="Calibri"/>
        </w:rPr>
        <w:t xml:space="preserve">equested is the sum of all Subsidy Payments forecasted in the Bidder’s </w:t>
      </w:r>
      <w:r w:rsidR="001E0CB7">
        <w:rPr>
          <w:rFonts w:ascii="Calibri" w:eastAsia="Calibri" w:hAnsi="Calibri" w:cs="Calibri"/>
        </w:rPr>
        <w:t>Bid Project Model</w:t>
      </w:r>
      <w:r w:rsidR="00A26303">
        <w:rPr>
          <w:rFonts w:ascii="Calibri" w:eastAsia="Calibri" w:hAnsi="Calibri" w:cs="Calibri"/>
        </w:rPr>
        <w:t>.</w:t>
      </w:r>
    </w:p>
    <w:p w14:paraId="64FB918F" w14:textId="40A2F0BE" w:rsidR="00656438" w:rsidRPr="00A712C3" w:rsidRDefault="000D29A2" w:rsidP="00A70A2A">
      <w:pPr>
        <w:numPr>
          <w:ilvl w:val="3"/>
          <w:numId w:val="6"/>
        </w:numPr>
        <w:ind w:hanging="720"/>
        <w:rPr>
          <w:rFonts w:asciiTheme="minorHAnsi" w:hAnsiTheme="minorHAnsi"/>
        </w:rPr>
      </w:pPr>
      <w:r>
        <w:rPr>
          <w:rFonts w:ascii="Calibri" w:eastAsia="Calibri" w:hAnsi="Calibri" w:cs="Calibri"/>
        </w:rPr>
        <w:t>Qu</w:t>
      </w:r>
      <w:r w:rsidRPr="00A712C3">
        <w:rPr>
          <w:rFonts w:asciiTheme="minorHAnsi" w:eastAsia="Calibri" w:hAnsiTheme="minorHAnsi" w:cs="Calibri"/>
        </w:rPr>
        <w:t>alifying Capital</w:t>
      </w:r>
      <w:r w:rsidR="00A26303" w:rsidRPr="00A712C3">
        <w:rPr>
          <w:rFonts w:asciiTheme="minorHAnsi" w:eastAsia="Calibri" w:hAnsiTheme="minorHAnsi" w:cs="Calibri"/>
        </w:rPr>
        <w:t xml:space="preserve"> Expenditure, Subsidy Payments and</w:t>
      </w:r>
      <w:r w:rsidR="00FB6834" w:rsidRPr="00A712C3">
        <w:rPr>
          <w:rFonts w:asciiTheme="minorHAnsi" w:eastAsia="Calibri" w:hAnsiTheme="minorHAnsi" w:cs="Calibri"/>
        </w:rPr>
        <w:t xml:space="preserve"> </w:t>
      </w:r>
      <w:r w:rsidR="00FB6834" w:rsidRPr="00A712C3">
        <w:rPr>
          <w:rFonts w:asciiTheme="minorHAnsi" w:hAnsiTheme="minorHAnsi"/>
          <w:bCs/>
        </w:rPr>
        <w:t>Supplier NGA Network Build Investment</w:t>
      </w:r>
      <w:r w:rsidR="00A26303" w:rsidRPr="00A712C3">
        <w:rPr>
          <w:rFonts w:asciiTheme="minorHAnsi" w:eastAsia="Calibri" w:hAnsiTheme="minorHAnsi" w:cs="Calibri"/>
        </w:rPr>
        <w:t xml:space="preserve"> are defined in the Contract, Schedule 1 (Definitions).</w:t>
      </w:r>
    </w:p>
    <w:p w14:paraId="220C0D4B" w14:textId="77777777" w:rsidR="00656438" w:rsidRDefault="00A26303" w:rsidP="00A70A2A">
      <w:pPr>
        <w:numPr>
          <w:ilvl w:val="3"/>
          <w:numId w:val="6"/>
        </w:numPr>
        <w:ind w:hanging="720"/>
      </w:pPr>
      <w:r w:rsidRPr="00A712C3">
        <w:rPr>
          <w:rFonts w:asciiTheme="minorHAnsi" w:eastAsia="Calibri" w:hAnsiTheme="minorHAnsi" w:cs="Calibri"/>
        </w:rPr>
        <w:t>Onl</w:t>
      </w:r>
      <w:r>
        <w:rPr>
          <w:rFonts w:ascii="Calibri" w:eastAsia="Calibri" w:hAnsi="Calibri" w:cs="Calibri"/>
        </w:rPr>
        <w:t>y expenditure which is fully and demonstrably funded (e.g. through a combination of the Bidder’s own investment, a third party investment or public subsidy) will be applicable in the performance of the calculation of the funding levels.]</w:t>
      </w:r>
    </w:p>
    <w:p w14:paraId="4366B0C4" w14:textId="77777777" w:rsidR="00656438" w:rsidRDefault="00A26303">
      <w:pPr>
        <w:pStyle w:val="Heading2"/>
        <w:spacing w:before="0" w:line="264" w:lineRule="auto"/>
        <w:ind w:left="1440" w:firstLine="0"/>
        <w:jc w:val="both"/>
      </w:pPr>
      <w:bookmarkStart w:id="83" w:name="h.jsz9ll4bvs1s" w:colFirst="0" w:colLast="0"/>
      <w:bookmarkEnd w:id="83"/>
      <w:r>
        <w:rPr>
          <w:sz w:val="22"/>
          <w:szCs w:val="22"/>
        </w:rPr>
        <w:t>Solution coverage at NGA speeds - Speed and Coverage Template</w:t>
      </w:r>
      <w:r>
        <w:rPr>
          <w:sz w:val="22"/>
          <w:szCs w:val="22"/>
          <w:vertAlign w:val="superscript"/>
        </w:rPr>
        <w:footnoteReference w:id="43"/>
      </w:r>
    </w:p>
    <w:p w14:paraId="559823B9" w14:textId="19534B5E" w:rsidR="00656438" w:rsidRDefault="00A26303" w:rsidP="00A70A2A">
      <w:pPr>
        <w:numPr>
          <w:ilvl w:val="3"/>
          <w:numId w:val="6"/>
        </w:numPr>
        <w:ind w:hanging="720"/>
        <w:contextualSpacing/>
      </w:pPr>
      <w:r>
        <w:rPr>
          <w:rFonts w:ascii="Calibri" w:eastAsia="Calibri" w:hAnsi="Calibri" w:cs="Calibri"/>
        </w:rPr>
        <w:t xml:space="preserve">The Local Body has determined the parameters for evaluating the speed and coverage offered as part of </w:t>
      </w:r>
      <w:r w:rsidR="000D29A2">
        <w:rPr>
          <w:rFonts w:ascii="Calibri" w:eastAsia="Calibri" w:hAnsi="Calibri" w:cs="Calibri"/>
        </w:rPr>
        <w:t>B</w:t>
      </w:r>
      <w:r>
        <w:rPr>
          <w:rFonts w:ascii="Calibri" w:eastAsia="Calibri" w:hAnsi="Calibri" w:cs="Calibri"/>
        </w:rPr>
        <w:t xml:space="preserve">idder’s responses to the outcomes specified in Part Two requirements </w:t>
      </w:r>
      <w:r w:rsidR="000D29A2">
        <w:rPr>
          <w:rFonts w:ascii="Calibri" w:eastAsia="Calibri" w:hAnsi="Calibri" w:cs="Calibri"/>
        </w:rPr>
        <w:t>based</w:t>
      </w:r>
      <w:r>
        <w:rPr>
          <w:rFonts w:ascii="Calibri" w:eastAsia="Calibri" w:hAnsi="Calibri" w:cs="Calibri"/>
        </w:rPr>
        <w:t xml:space="preserve"> upon local priorities</w:t>
      </w:r>
      <w:r>
        <w:rPr>
          <w:rFonts w:ascii="Calibri" w:eastAsia="Calibri" w:hAnsi="Calibri" w:cs="Calibri"/>
          <w:vertAlign w:val="superscript"/>
        </w:rPr>
        <w:footnoteReference w:id="44"/>
      </w:r>
      <w:r>
        <w:rPr>
          <w:rFonts w:ascii="Calibri" w:eastAsia="Calibri" w:hAnsi="Calibri" w:cs="Calibri"/>
        </w:rPr>
        <w:t>. Weightings have been applied to the different speed bands</w:t>
      </w:r>
      <w:r>
        <w:rPr>
          <w:rFonts w:ascii="Calibri" w:eastAsia="Calibri" w:hAnsi="Calibri" w:cs="Calibri"/>
          <w:vertAlign w:val="superscript"/>
        </w:rPr>
        <w:footnoteReference w:id="45"/>
      </w:r>
      <w:r>
        <w:rPr>
          <w:rFonts w:ascii="Calibri" w:eastAsia="Calibri" w:hAnsi="Calibri" w:cs="Calibri"/>
        </w:rPr>
        <w:t xml:space="preserve"> to reflect the Local Body’s priorities as defined in this ITT. Bidders will complete the spreadsheets for each speed range, identifying the number of premises that the proposed solution supports.</w:t>
      </w:r>
    </w:p>
    <w:p w14:paraId="489F45DA" w14:textId="336BB8D1" w:rsidR="00656438" w:rsidRDefault="00A26303" w:rsidP="00A70A2A">
      <w:pPr>
        <w:numPr>
          <w:ilvl w:val="3"/>
          <w:numId w:val="6"/>
        </w:numPr>
        <w:ind w:hanging="720"/>
        <w:contextualSpacing/>
      </w:pPr>
      <w:r>
        <w:rPr>
          <w:rFonts w:ascii="Calibri" w:eastAsia="Calibri" w:hAnsi="Calibri" w:cs="Calibri"/>
        </w:rPr>
        <w:t>Each Bidder’s response to</w:t>
      </w:r>
      <w:r w:rsidR="006631EA">
        <w:rPr>
          <w:rFonts w:ascii="Calibri" w:eastAsia="Calibri" w:hAnsi="Calibri" w:cs="Calibri"/>
        </w:rPr>
        <w:t xml:space="preserve"> 3.2</w:t>
      </w:r>
      <w:r w:rsidR="00471D5B">
        <w:rPr>
          <w:rFonts w:ascii="Calibri" w:eastAsia="Calibri" w:hAnsi="Calibri" w:cs="Calibri"/>
        </w:rPr>
        <w:t>.1 in Part 2,</w:t>
      </w:r>
      <w:r>
        <w:rPr>
          <w:rFonts w:ascii="Calibri" w:eastAsia="Calibri" w:hAnsi="Calibri" w:cs="Calibri"/>
        </w:rPr>
        <w:t xml:space="preserve"> </w:t>
      </w:r>
      <w:r w:rsidR="006631EA">
        <w:rPr>
          <w:rFonts w:ascii="Calibri" w:eastAsia="Calibri" w:hAnsi="Calibri" w:cs="Calibri"/>
        </w:rPr>
        <w:t>Appendix 2</w:t>
      </w:r>
      <w:r w:rsidRPr="00471D5B">
        <w:rPr>
          <w:rFonts w:ascii="Calibri" w:eastAsia="Calibri" w:hAnsi="Calibri" w:cs="Calibri"/>
        </w:rPr>
        <w:t xml:space="preserve"> will be used to evaluate reservations that exist in the modelling that the Bidder has used when</w:t>
      </w:r>
      <w:r>
        <w:rPr>
          <w:rFonts w:ascii="Calibri" w:eastAsia="Calibri" w:hAnsi="Calibri" w:cs="Calibri"/>
        </w:rPr>
        <w:t xml:space="preserve"> completing the Speed and Coverage Spreadsheet, based on this a deduction of between 0</w:t>
      </w:r>
      <w:r w:rsidR="00471D5B">
        <w:rPr>
          <w:rFonts w:ascii="Calibri" w:eastAsia="Calibri" w:hAnsi="Calibri" w:cs="Calibri"/>
        </w:rPr>
        <w:t xml:space="preserve"> to 10</w:t>
      </w:r>
      <w:r>
        <w:rPr>
          <w:rFonts w:ascii="Calibri" w:eastAsia="Calibri" w:hAnsi="Calibri" w:cs="Calibri"/>
        </w:rPr>
        <w:t xml:space="preserve"> </w:t>
      </w:r>
      <w:r>
        <w:rPr>
          <w:rFonts w:ascii="Calibri" w:eastAsia="Calibri" w:hAnsi="Calibri" w:cs="Calibri"/>
        </w:rPr>
        <w:lastRenderedPageBreak/>
        <w:t>points will be taken from the score which has been derived by the Speed and Coverage Spreadsheet.  0 points meaning where there are no reservations and [4] marks where there are major reservations.</w:t>
      </w:r>
    </w:p>
    <w:p w14:paraId="21478747" w14:textId="77777777" w:rsidR="00656438" w:rsidRDefault="00A26303" w:rsidP="00A70A2A">
      <w:pPr>
        <w:numPr>
          <w:ilvl w:val="3"/>
          <w:numId w:val="6"/>
        </w:numPr>
        <w:ind w:hanging="720"/>
        <w:contextualSpacing/>
      </w:pPr>
      <w:r>
        <w:rPr>
          <w:rFonts w:ascii="Calibri" w:eastAsia="Calibri" w:hAnsi="Calibri" w:cs="Calibri"/>
        </w:rPr>
        <w:t>[Bidders should note that a separate Speed and Coverage Spreadsheet will be required to be completed for each and every LOT bidded.]</w:t>
      </w:r>
    </w:p>
    <w:p w14:paraId="501D626B" w14:textId="77777777" w:rsidR="00656438" w:rsidRDefault="00A26303" w:rsidP="00A70A2A">
      <w:pPr>
        <w:pStyle w:val="Heading2"/>
        <w:numPr>
          <w:ilvl w:val="2"/>
          <w:numId w:val="6"/>
        </w:numPr>
        <w:spacing w:before="0" w:line="264" w:lineRule="auto"/>
        <w:ind w:hanging="720"/>
        <w:contextualSpacing/>
        <w:jc w:val="both"/>
      </w:pPr>
      <w:bookmarkStart w:id="84" w:name="h.22uhnighmv3p" w:colFirst="0" w:colLast="0"/>
      <w:bookmarkEnd w:id="84"/>
      <w:r>
        <w:rPr>
          <w:sz w:val="22"/>
          <w:szCs w:val="22"/>
        </w:rPr>
        <w:t>Pass / fail evaluation criteria</w:t>
      </w:r>
      <w:r>
        <w:rPr>
          <w:sz w:val="22"/>
          <w:szCs w:val="22"/>
          <w:vertAlign w:val="superscript"/>
        </w:rPr>
        <w:footnoteReference w:id="46"/>
      </w:r>
    </w:p>
    <w:p w14:paraId="1255827C" w14:textId="03635239" w:rsidR="00656438" w:rsidRDefault="00A26303" w:rsidP="00A70A2A">
      <w:pPr>
        <w:numPr>
          <w:ilvl w:val="3"/>
          <w:numId w:val="6"/>
        </w:numPr>
        <w:ind w:left="2250" w:hanging="1425"/>
        <w:contextualSpacing/>
      </w:pPr>
      <w:r>
        <w:rPr>
          <w:rFonts w:ascii="Calibri" w:eastAsia="Calibri" w:hAnsi="Calibri" w:cs="Calibri"/>
        </w:rPr>
        <w:t>An evaluation criterion may represent a mandatory requirement, whereby a bid that fails to meet th</w:t>
      </w:r>
      <w:r w:rsidR="009C0CF6">
        <w:rPr>
          <w:rFonts w:ascii="Calibri" w:eastAsia="Calibri" w:hAnsi="Calibri" w:cs="Calibri"/>
        </w:rPr>
        <w:t>e requirement would be excluded.</w:t>
      </w:r>
    </w:p>
    <w:p w14:paraId="757B79D4" w14:textId="77777777" w:rsidR="00656438" w:rsidRDefault="00A26303">
      <w:pPr>
        <w:pStyle w:val="Heading2"/>
        <w:spacing w:before="0" w:line="264" w:lineRule="auto"/>
        <w:ind w:left="1440" w:firstLine="0"/>
        <w:jc w:val="both"/>
      </w:pPr>
      <w:bookmarkStart w:id="85" w:name="h.40xlwd40b59h" w:colFirst="0" w:colLast="0"/>
      <w:bookmarkEnd w:id="85"/>
      <w:r>
        <w:rPr>
          <w:sz w:val="22"/>
          <w:szCs w:val="22"/>
        </w:rPr>
        <w:t>Contract Acceptance</w:t>
      </w:r>
    </w:p>
    <w:p w14:paraId="1CFDAF5B" w14:textId="1D3C858D" w:rsidR="00656438" w:rsidRPr="00FE5F97" w:rsidRDefault="00A26303" w:rsidP="00A70A2A">
      <w:pPr>
        <w:numPr>
          <w:ilvl w:val="3"/>
          <w:numId w:val="6"/>
        </w:numPr>
        <w:ind w:hanging="720"/>
        <w:contextualSpacing/>
        <w:rPr>
          <w:rFonts w:ascii="Calibri" w:eastAsia="Calibri" w:hAnsi="Calibri" w:cs="Calibri"/>
        </w:rPr>
      </w:pPr>
      <w:r w:rsidRPr="00FE5F97">
        <w:rPr>
          <w:rFonts w:ascii="Calibri" w:eastAsia="Calibri" w:hAnsi="Calibri" w:cs="Calibri"/>
        </w:rPr>
        <w:t>The Bidder’s response to Part 3 of this ITT, being the Contract terms</w:t>
      </w:r>
      <w:r w:rsidR="00CB1B18">
        <w:rPr>
          <w:rFonts w:ascii="Calibri" w:eastAsia="Calibri" w:hAnsi="Calibri" w:cs="Calibri"/>
        </w:rPr>
        <w:t>,</w:t>
      </w:r>
      <w:r w:rsidRPr="00FE5F97">
        <w:rPr>
          <w:rFonts w:ascii="Calibri" w:eastAsia="Calibri" w:hAnsi="Calibri" w:cs="Calibri"/>
        </w:rPr>
        <w:t xml:space="preserve"> is evaluated on a pass/fail basis.</w:t>
      </w:r>
      <w:r w:rsidRPr="00CB1B18">
        <w:rPr>
          <w:rFonts w:ascii="Calibri" w:eastAsia="Calibri" w:hAnsi="Calibri" w:cs="Calibri"/>
          <w:b/>
          <w:color w:val="1F497D"/>
          <w:vertAlign w:val="superscript"/>
        </w:rPr>
        <w:footnoteReference w:id="47"/>
      </w:r>
      <w:r w:rsidRPr="00FE5F97">
        <w:rPr>
          <w:rFonts w:ascii="Calibri" w:eastAsia="Calibri" w:hAnsi="Calibri" w:cs="Calibri"/>
        </w:rPr>
        <w:t xml:space="preserve">  </w:t>
      </w:r>
    </w:p>
    <w:p w14:paraId="4B3CFAEB" w14:textId="44C91789" w:rsidR="00656438" w:rsidRPr="00FE5F97" w:rsidRDefault="00A26303" w:rsidP="00A70A2A">
      <w:pPr>
        <w:numPr>
          <w:ilvl w:val="3"/>
          <w:numId w:val="6"/>
        </w:numPr>
        <w:ind w:hanging="720"/>
        <w:contextualSpacing/>
        <w:rPr>
          <w:rFonts w:ascii="Calibri" w:eastAsia="Calibri" w:hAnsi="Calibri" w:cs="Calibri"/>
        </w:rPr>
      </w:pPr>
      <w:r w:rsidRPr="00FE5F97">
        <w:rPr>
          <w:rFonts w:ascii="Calibri" w:eastAsia="Calibri" w:hAnsi="Calibri" w:cs="Calibri"/>
        </w:rPr>
        <w:t xml:space="preserve">For Part 3 to ‘pass’, the Bidder must: (i) confirm acceptance of the </w:t>
      </w:r>
      <w:r w:rsidR="00CB1B18">
        <w:rPr>
          <w:rFonts w:ascii="Calibri" w:eastAsia="Calibri" w:hAnsi="Calibri" w:cs="Calibri"/>
        </w:rPr>
        <w:t xml:space="preserve">referenced Phase OJEU Template </w:t>
      </w:r>
      <w:r w:rsidRPr="00FE5F97">
        <w:rPr>
          <w:rFonts w:ascii="Calibri" w:eastAsia="Calibri" w:hAnsi="Calibri" w:cs="Calibri"/>
        </w:rPr>
        <w:t>Contract terms as amended by the table set out in Part 3 of the ITT</w:t>
      </w:r>
      <w:r w:rsidR="001100DC">
        <w:rPr>
          <w:rFonts w:ascii="Calibri" w:eastAsia="Calibri" w:hAnsi="Calibri" w:cs="Calibri"/>
        </w:rPr>
        <w:t xml:space="preserve"> (the template terms as amended by Part 3 are collectively classified as non-negotiable)</w:t>
      </w:r>
      <w:r w:rsidRPr="00FE5F97">
        <w:rPr>
          <w:rFonts w:ascii="Calibri" w:eastAsia="Calibri" w:hAnsi="Calibri" w:cs="Calibri"/>
        </w:rPr>
        <w:t xml:space="preserve">; and (ii) not propose any change to those terms, in its ITT submission (whether directly or by the inclusion of materials in its proposed solution or other bid submission materials which would have the effect of amending the terms themselves, rather </w:t>
      </w:r>
      <w:r w:rsidR="00FE5F97" w:rsidRPr="00FE5F97">
        <w:rPr>
          <w:rFonts w:ascii="Calibri" w:eastAsia="Calibri" w:hAnsi="Calibri" w:cs="Calibri"/>
        </w:rPr>
        <w:t xml:space="preserve">than populating </w:t>
      </w:r>
      <w:r w:rsidR="00CB1B18">
        <w:rPr>
          <w:rFonts w:ascii="Calibri" w:eastAsia="Calibri" w:hAnsi="Calibri" w:cs="Calibri"/>
        </w:rPr>
        <w:t xml:space="preserve">the corresponding Bidder specific </w:t>
      </w:r>
      <w:r w:rsidR="00FE5F97" w:rsidRPr="00FE5F97">
        <w:rPr>
          <w:rFonts w:ascii="Calibri" w:eastAsia="Calibri" w:hAnsi="Calibri" w:cs="Calibri"/>
        </w:rPr>
        <w:t>sections of the</w:t>
      </w:r>
      <w:r w:rsidRPr="00FE5F97">
        <w:rPr>
          <w:rFonts w:ascii="Calibri" w:eastAsia="Calibri" w:hAnsi="Calibri" w:cs="Calibri"/>
        </w:rPr>
        <w:t xml:space="preserve"> Contract).  This is subject to the processing </w:t>
      </w:r>
      <w:r w:rsidR="00CB1B18">
        <w:rPr>
          <w:rFonts w:ascii="Calibri" w:eastAsia="Calibri" w:hAnsi="Calibri" w:cs="Calibri"/>
        </w:rPr>
        <w:t xml:space="preserve">the specific subject matter of </w:t>
      </w:r>
      <w:r w:rsidRPr="00FE5F97">
        <w:rPr>
          <w:rFonts w:ascii="Calibri" w:eastAsia="Calibri" w:hAnsi="Calibri" w:cs="Calibri"/>
        </w:rPr>
        <w:t>any rem</w:t>
      </w:r>
      <w:r w:rsidR="00BC52BA">
        <w:rPr>
          <w:rFonts w:ascii="Calibri" w:eastAsia="Calibri" w:hAnsi="Calibri" w:cs="Calibri"/>
        </w:rPr>
        <w:t>aining Bidder Notes as part of C</w:t>
      </w:r>
      <w:r w:rsidRPr="00FE5F97">
        <w:rPr>
          <w:rFonts w:ascii="Calibri" w:eastAsia="Calibri" w:hAnsi="Calibri" w:cs="Calibri"/>
        </w:rPr>
        <w:t xml:space="preserve">ontract finalisation.  </w:t>
      </w:r>
    </w:p>
    <w:p w14:paraId="7D72E06F" w14:textId="77777777" w:rsidR="00656438" w:rsidRPr="00FE5F97" w:rsidRDefault="00A26303" w:rsidP="00A70A2A">
      <w:pPr>
        <w:numPr>
          <w:ilvl w:val="3"/>
          <w:numId w:val="6"/>
        </w:numPr>
        <w:ind w:hanging="720"/>
        <w:contextualSpacing/>
        <w:rPr>
          <w:rFonts w:ascii="Calibri" w:eastAsia="Calibri" w:hAnsi="Calibri" w:cs="Calibri"/>
        </w:rPr>
      </w:pPr>
      <w:r w:rsidRPr="00FE5F97">
        <w:rPr>
          <w:rFonts w:ascii="Calibri" w:eastAsia="Calibri" w:hAnsi="Calibri" w:cs="Calibri"/>
        </w:rPr>
        <w:t>Any deviation from the foregoing shall represent a ‘fail’ by the Bidder of the applicable threshold and the Bidder will be disqualified from the procurement.</w:t>
      </w:r>
    </w:p>
    <w:p w14:paraId="3B190513" w14:textId="77777777" w:rsidR="00656438" w:rsidRPr="00FE5F97" w:rsidRDefault="00A26303" w:rsidP="00A70A2A">
      <w:pPr>
        <w:numPr>
          <w:ilvl w:val="3"/>
          <w:numId w:val="6"/>
        </w:numPr>
        <w:ind w:hanging="720"/>
        <w:contextualSpacing/>
        <w:rPr>
          <w:rFonts w:ascii="Calibri" w:eastAsia="Calibri" w:hAnsi="Calibri" w:cs="Calibri"/>
        </w:rPr>
      </w:pPr>
      <w:r w:rsidRPr="00FE5F97">
        <w:rPr>
          <w:rFonts w:ascii="Calibri" w:eastAsia="Calibri" w:hAnsi="Calibri" w:cs="Calibri"/>
        </w:rPr>
        <w:t>Should a Bidder identify any:</w:t>
      </w:r>
    </w:p>
    <w:p w14:paraId="49E48264" w14:textId="469D4BA2" w:rsidR="00656438" w:rsidRPr="00FE5F97" w:rsidRDefault="00A26303" w:rsidP="00A70A2A">
      <w:pPr>
        <w:numPr>
          <w:ilvl w:val="4"/>
          <w:numId w:val="6"/>
        </w:numPr>
        <w:ind w:left="3544" w:hanging="1383"/>
        <w:contextualSpacing/>
        <w:rPr>
          <w:rFonts w:ascii="Calibri" w:eastAsia="Calibri" w:hAnsi="Calibri" w:cs="Calibri"/>
        </w:rPr>
      </w:pPr>
      <w:r w:rsidRPr="00FE5F97">
        <w:rPr>
          <w:rFonts w:ascii="Calibri" w:eastAsia="Calibri" w:hAnsi="Calibri" w:cs="Calibri"/>
        </w:rPr>
        <w:t>cross-reference or typographical errors</w:t>
      </w:r>
      <w:r w:rsidR="00CB1B18">
        <w:rPr>
          <w:rFonts w:ascii="Calibri" w:eastAsia="Calibri" w:hAnsi="Calibri" w:cs="Calibri"/>
        </w:rPr>
        <w:t>;</w:t>
      </w:r>
    </w:p>
    <w:p w14:paraId="14560603" w14:textId="15DE89D9" w:rsidR="009C0CF6" w:rsidRDefault="00A26303" w:rsidP="00A70A2A">
      <w:pPr>
        <w:numPr>
          <w:ilvl w:val="4"/>
          <w:numId w:val="6"/>
        </w:numPr>
        <w:ind w:left="3544" w:hanging="1383"/>
        <w:contextualSpacing/>
        <w:rPr>
          <w:rFonts w:ascii="Calibri" w:eastAsia="Calibri" w:hAnsi="Calibri" w:cs="Calibri"/>
        </w:rPr>
      </w:pPr>
      <w:r w:rsidRPr="00CB1B18">
        <w:rPr>
          <w:rFonts w:ascii="Calibri" w:eastAsia="Calibri" w:hAnsi="Calibri" w:cs="Calibri"/>
        </w:rPr>
        <w:t>Part 3 drafting requiring clarification (although it is important to note that any such clarification points must only relate to an ambiguity or apparent error in the text)</w:t>
      </w:r>
      <w:r w:rsidR="009C0CF6">
        <w:rPr>
          <w:rFonts w:ascii="Calibri" w:eastAsia="Calibri" w:hAnsi="Calibri" w:cs="Calibri"/>
        </w:rPr>
        <w:t>,</w:t>
      </w:r>
      <w:r w:rsidRPr="00CB1B18">
        <w:rPr>
          <w:rFonts w:ascii="Calibri" w:eastAsia="Calibri" w:hAnsi="Calibri" w:cs="Calibri"/>
        </w:rPr>
        <w:t xml:space="preserve"> </w:t>
      </w:r>
    </w:p>
    <w:p w14:paraId="4F51D105" w14:textId="579718F1" w:rsidR="00656438" w:rsidRPr="00CB1B18" w:rsidRDefault="005A61C7" w:rsidP="009C0CF6">
      <w:pPr>
        <w:ind w:left="2161"/>
        <w:contextualSpacing/>
        <w:rPr>
          <w:rFonts w:ascii="Calibri" w:eastAsia="Calibri" w:hAnsi="Calibri" w:cs="Calibri"/>
        </w:rPr>
      </w:pPr>
      <w:r>
        <w:rPr>
          <w:rFonts w:ascii="Calibri" w:eastAsia="Calibri" w:hAnsi="Calibri" w:cs="Calibri"/>
        </w:rPr>
        <w:t xml:space="preserve">then </w:t>
      </w:r>
      <w:r w:rsidR="00A26303" w:rsidRPr="00CB1B18">
        <w:rPr>
          <w:rFonts w:ascii="Calibri" w:eastAsia="Calibri" w:hAnsi="Calibri" w:cs="Calibri"/>
        </w:rPr>
        <w:t xml:space="preserve">applicable CQs may be submitted in accordance with </w:t>
      </w:r>
      <w:r w:rsidR="00CB1B18" w:rsidRPr="00CB1B18">
        <w:rPr>
          <w:rFonts w:ascii="Calibri" w:eastAsia="Calibri" w:hAnsi="Calibri" w:cs="Calibri"/>
        </w:rPr>
        <w:t>S</w:t>
      </w:r>
      <w:r w:rsidR="00A26303" w:rsidRPr="00CB1B18">
        <w:rPr>
          <w:rFonts w:ascii="Calibri" w:eastAsia="Calibri" w:hAnsi="Calibri" w:cs="Calibri"/>
        </w:rPr>
        <w:t>ection 4.4 of Part 1</w:t>
      </w:r>
      <w:r w:rsidR="00CB1B18" w:rsidRPr="00CB1B18">
        <w:rPr>
          <w:rFonts w:ascii="Calibri" w:eastAsia="Calibri" w:hAnsi="Calibri" w:cs="Calibri"/>
        </w:rPr>
        <w:t xml:space="preserve"> of this ITT</w:t>
      </w:r>
      <w:r w:rsidR="00A26303" w:rsidRPr="00CB1B18">
        <w:rPr>
          <w:rFonts w:ascii="Calibri" w:eastAsia="Calibri" w:hAnsi="Calibri" w:cs="Calibri"/>
        </w:rPr>
        <w:t>.</w:t>
      </w:r>
      <w:r w:rsidR="00CB1B18">
        <w:rPr>
          <w:rFonts w:ascii="Calibri" w:eastAsia="Calibri" w:hAnsi="Calibri" w:cs="Calibri"/>
        </w:rPr>
        <w:t xml:space="preserve"> </w:t>
      </w:r>
      <w:r w:rsidR="00A26303" w:rsidRPr="00CB1B18">
        <w:rPr>
          <w:rFonts w:ascii="Calibri" w:eastAsia="Calibri" w:hAnsi="Calibri" w:cs="Calibri"/>
        </w:rPr>
        <w:t>However, only where changes to Part 3 are expressly confirmed to Bidders in a CQ response by the Local Body can they be considered part of the content against which the Bidder provides its confirmation in accordance with th</w:t>
      </w:r>
      <w:r w:rsidR="00CB1B18">
        <w:rPr>
          <w:rFonts w:ascii="Calibri" w:eastAsia="Calibri" w:hAnsi="Calibri" w:cs="Calibri"/>
        </w:rPr>
        <w:t>e Contract response evaluation</w:t>
      </w:r>
      <w:r w:rsidR="00A26303" w:rsidRPr="00CB1B18">
        <w:rPr>
          <w:rFonts w:ascii="Calibri" w:eastAsia="Calibri" w:hAnsi="Calibri" w:cs="Calibri"/>
        </w:rPr>
        <w:t xml:space="preserve"> </w:t>
      </w:r>
      <w:r w:rsidR="00FE5F97" w:rsidRPr="00CB1B18">
        <w:rPr>
          <w:rFonts w:ascii="Calibri" w:eastAsia="Calibri" w:hAnsi="Calibri" w:cs="Calibri"/>
        </w:rPr>
        <w:t>criteria</w:t>
      </w:r>
      <w:r w:rsidR="00A26303" w:rsidRPr="00CB1B18">
        <w:rPr>
          <w:rFonts w:ascii="Calibri" w:eastAsia="Calibri" w:hAnsi="Calibri" w:cs="Calibri"/>
        </w:rPr>
        <w:t>.</w:t>
      </w:r>
    </w:p>
    <w:p w14:paraId="10CC9AAA" w14:textId="77777777" w:rsidR="00656438" w:rsidRDefault="00A26303">
      <w:pPr>
        <w:pStyle w:val="Heading2"/>
        <w:spacing w:before="0" w:line="264" w:lineRule="auto"/>
        <w:ind w:left="1440" w:firstLine="0"/>
        <w:jc w:val="both"/>
      </w:pPr>
      <w:bookmarkStart w:id="86" w:name="h.ib6sug30f06w" w:colFirst="0" w:colLast="0"/>
      <w:bookmarkEnd w:id="86"/>
      <w:r>
        <w:rPr>
          <w:sz w:val="22"/>
          <w:szCs w:val="22"/>
        </w:rPr>
        <w:t>Funding availability</w:t>
      </w:r>
    </w:p>
    <w:p w14:paraId="0BDBD16B" w14:textId="6DEE5D37" w:rsidR="005A61C7" w:rsidRPr="005A61C7" w:rsidRDefault="005A61C7" w:rsidP="00A70A2A">
      <w:pPr>
        <w:numPr>
          <w:ilvl w:val="3"/>
          <w:numId w:val="6"/>
        </w:numPr>
        <w:ind w:hanging="720"/>
        <w:contextualSpacing/>
        <w:rPr>
          <w:rFonts w:asciiTheme="minorHAnsi" w:hAnsiTheme="minorHAnsi"/>
        </w:rPr>
      </w:pPr>
      <w:r w:rsidRPr="005A61C7">
        <w:rPr>
          <w:rFonts w:asciiTheme="minorHAnsi" w:eastAsia="Calibri" w:hAnsiTheme="minorHAnsi" w:cs="Calibri"/>
        </w:rPr>
        <w:t>F</w:t>
      </w:r>
      <w:r w:rsidRPr="005A61C7">
        <w:rPr>
          <w:rFonts w:asciiTheme="minorHAnsi" w:hAnsiTheme="minorHAnsi"/>
        </w:rPr>
        <w:t xml:space="preserve">unding availability is a pass/fail </w:t>
      </w:r>
      <w:r w:rsidR="00412522" w:rsidRPr="005A61C7">
        <w:rPr>
          <w:rFonts w:asciiTheme="minorHAnsi" w:hAnsiTheme="minorHAnsi"/>
        </w:rPr>
        <w:t>criterion</w:t>
      </w:r>
      <w:r w:rsidRPr="005A61C7">
        <w:rPr>
          <w:rFonts w:asciiTheme="minorHAnsi" w:hAnsiTheme="minorHAnsi"/>
        </w:rPr>
        <w:t xml:space="preserve">. </w:t>
      </w:r>
    </w:p>
    <w:p w14:paraId="101B38C0" w14:textId="770C7531" w:rsidR="005A61C7" w:rsidRPr="005A61C7" w:rsidRDefault="005A61C7" w:rsidP="00A70A2A">
      <w:pPr>
        <w:numPr>
          <w:ilvl w:val="3"/>
          <w:numId w:val="6"/>
        </w:numPr>
        <w:ind w:hanging="720"/>
        <w:contextualSpacing/>
        <w:rPr>
          <w:rFonts w:asciiTheme="minorHAnsi" w:hAnsiTheme="minorHAnsi"/>
        </w:rPr>
      </w:pPr>
      <w:r w:rsidRPr="005A61C7">
        <w:rPr>
          <w:rFonts w:asciiTheme="minorHAnsi" w:hAnsiTheme="minorHAnsi"/>
        </w:rPr>
        <w:t>Bidders must</w:t>
      </w:r>
      <w:r w:rsidR="00D47A88">
        <w:rPr>
          <w:rFonts w:asciiTheme="minorHAnsi" w:hAnsiTheme="minorHAnsi"/>
        </w:rPr>
        <w:t>:</w:t>
      </w:r>
      <w:r w:rsidRPr="005A61C7">
        <w:rPr>
          <w:rFonts w:asciiTheme="minorHAnsi" w:hAnsiTheme="minorHAnsi"/>
        </w:rPr>
        <w:t xml:space="preserve"> ensure their overall subsidy requirement within the bid does exceed the Local Body grant funding available as set out in section 2.3 of this </w:t>
      </w:r>
      <w:r w:rsidR="00D47A88" w:rsidRPr="005A61C7">
        <w:rPr>
          <w:rFonts w:asciiTheme="minorHAnsi" w:hAnsiTheme="minorHAnsi"/>
        </w:rPr>
        <w:t xml:space="preserve">Part </w:t>
      </w:r>
      <w:r w:rsidRPr="005A61C7">
        <w:rPr>
          <w:rFonts w:asciiTheme="minorHAnsi" w:hAnsiTheme="minorHAnsi"/>
        </w:rPr>
        <w:t xml:space="preserve">2. </w:t>
      </w:r>
    </w:p>
    <w:p w14:paraId="1A99C44C" w14:textId="1C4AA4D2" w:rsidR="005A61C7" w:rsidRPr="005A61C7" w:rsidRDefault="005A61C7" w:rsidP="00A70A2A">
      <w:pPr>
        <w:numPr>
          <w:ilvl w:val="3"/>
          <w:numId w:val="6"/>
        </w:numPr>
        <w:ind w:hanging="720"/>
        <w:contextualSpacing/>
        <w:rPr>
          <w:rFonts w:asciiTheme="minorHAnsi" w:hAnsiTheme="minorHAnsi"/>
        </w:rPr>
      </w:pPr>
      <w:r w:rsidRPr="005A61C7">
        <w:rPr>
          <w:rFonts w:asciiTheme="minorHAnsi" w:hAnsiTheme="minorHAnsi"/>
        </w:rPr>
        <w:lastRenderedPageBreak/>
        <w:t>Bidders must confirm their own funding arrangements</w:t>
      </w:r>
      <w:r w:rsidR="00D47A88">
        <w:rPr>
          <w:rFonts w:asciiTheme="minorHAnsi" w:hAnsiTheme="minorHAnsi"/>
        </w:rPr>
        <w:t>,</w:t>
      </w:r>
      <w:r w:rsidRPr="005A61C7">
        <w:rPr>
          <w:rFonts w:asciiTheme="minorHAnsi" w:hAnsiTheme="minorHAnsi"/>
        </w:rPr>
        <w:t xml:space="preserve"> including sources of private funding. </w:t>
      </w:r>
    </w:p>
    <w:p w14:paraId="5AA4BDB3" w14:textId="7AA3C334" w:rsidR="005A61C7" w:rsidRPr="005A61C7" w:rsidRDefault="00D47A88" w:rsidP="00A70A2A">
      <w:pPr>
        <w:numPr>
          <w:ilvl w:val="3"/>
          <w:numId w:val="6"/>
        </w:numPr>
        <w:ind w:hanging="720"/>
        <w:contextualSpacing/>
        <w:rPr>
          <w:rFonts w:asciiTheme="minorHAnsi" w:hAnsiTheme="minorHAnsi"/>
        </w:rPr>
      </w:pPr>
      <w:r>
        <w:rPr>
          <w:rFonts w:asciiTheme="minorHAnsi" w:hAnsiTheme="minorHAnsi"/>
        </w:rPr>
        <w:t>If</w:t>
      </w:r>
      <w:r w:rsidR="005A61C7" w:rsidRPr="005A61C7">
        <w:rPr>
          <w:rFonts w:asciiTheme="minorHAnsi" w:hAnsiTheme="minorHAnsi"/>
        </w:rPr>
        <w:t xml:space="preserve"> Bidders do not meet either of the requirements set out above then this shall represent a ‘fail’ and the Bidder will be disqualified</w:t>
      </w:r>
      <w:r>
        <w:rPr>
          <w:rFonts w:asciiTheme="minorHAnsi" w:hAnsiTheme="minorHAnsi"/>
        </w:rPr>
        <w:t>.</w:t>
      </w:r>
    </w:p>
    <w:p w14:paraId="489CBF96" w14:textId="77777777" w:rsidR="00656438" w:rsidRDefault="00A26303">
      <w:pPr>
        <w:pStyle w:val="Heading2"/>
        <w:spacing w:before="0" w:line="264" w:lineRule="auto"/>
        <w:ind w:left="720" w:firstLine="720"/>
        <w:jc w:val="both"/>
      </w:pPr>
      <w:bookmarkStart w:id="87" w:name="h.2q07d5lmipc7" w:colFirst="0" w:colLast="0"/>
      <w:bookmarkEnd w:id="87"/>
      <w:r>
        <w:rPr>
          <w:sz w:val="22"/>
          <w:szCs w:val="22"/>
        </w:rPr>
        <w:t>NGA Technical Assessment</w:t>
      </w:r>
    </w:p>
    <w:p w14:paraId="736E91F9" w14:textId="0E2B6FD6" w:rsidR="00412522" w:rsidRPr="00412522" w:rsidRDefault="00412522" w:rsidP="00A70A2A">
      <w:pPr>
        <w:numPr>
          <w:ilvl w:val="3"/>
          <w:numId w:val="6"/>
        </w:numPr>
        <w:ind w:hanging="720"/>
        <w:contextualSpacing/>
        <w:rPr>
          <w:rFonts w:asciiTheme="minorHAnsi" w:hAnsiTheme="minorHAnsi"/>
        </w:rPr>
      </w:pPr>
      <w:r w:rsidRPr="00412522">
        <w:rPr>
          <w:rFonts w:asciiTheme="minorHAnsi" w:hAnsiTheme="minorHAnsi"/>
        </w:rPr>
        <w:t xml:space="preserve">Solution design compliance is a pass/fail criterion. </w:t>
      </w:r>
    </w:p>
    <w:p w14:paraId="7B9F5E53" w14:textId="77777777" w:rsidR="000F0031" w:rsidRDefault="00412522" w:rsidP="00A70A2A">
      <w:pPr>
        <w:numPr>
          <w:ilvl w:val="3"/>
          <w:numId w:val="6"/>
        </w:numPr>
        <w:ind w:hanging="720"/>
        <w:contextualSpacing/>
        <w:rPr>
          <w:rFonts w:asciiTheme="minorHAnsi" w:hAnsiTheme="minorHAnsi"/>
        </w:rPr>
      </w:pPr>
      <w:r w:rsidRPr="00412522">
        <w:rPr>
          <w:rFonts w:asciiTheme="minorHAnsi" w:hAnsiTheme="minorHAnsi"/>
        </w:rPr>
        <w:t xml:space="preserve">Bidders must submit evidence </w:t>
      </w:r>
      <w:r w:rsidR="00F10768">
        <w:rPr>
          <w:rFonts w:asciiTheme="minorHAnsi" w:hAnsiTheme="minorHAnsi"/>
        </w:rPr>
        <w:t>of</w:t>
      </w:r>
      <w:r w:rsidRPr="00412522">
        <w:rPr>
          <w:rFonts w:asciiTheme="minorHAnsi" w:hAnsiTheme="minorHAnsi"/>
        </w:rPr>
        <w:t xml:space="preserve"> Next Generation Access (NGA) </w:t>
      </w:r>
      <w:r w:rsidR="00F10768">
        <w:rPr>
          <w:rFonts w:asciiTheme="minorHAnsi" w:hAnsiTheme="minorHAnsi"/>
        </w:rPr>
        <w:t>fulfilment</w:t>
      </w:r>
      <w:r w:rsidRPr="00412522">
        <w:rPr>
          <w:rFonts w:asciiTheme="minorHAnsi" w:hAnsiTheme="minorHAnsi"/>
        </w:rPr>
        <w:t xml:space="preserve"> in accordance with BDUK’s </w:t>
      </w:r>
      <w:r w:rsidR="00F10768">
        <w:rPr>
          <w:rFonts w:asciiTheme="minorHAnsi" w:hAnsiTheme="minorHAnsi"/>
        </w:rPr>
        <w:t>'</w:t>
      </w:r>
      <w:r w:rsidRPr="00412522">
        <w:rPr>
          <w:rFonts w:asciiTheme="minorHAnsi" w:hAnsiTheme="minorHAnsi"/>
        </w:rPr>
        <w:t xml:space="preserve">NGA </w:t>
      </w:r>
      <w:r w:rsidR="00F10768" w:rsidRPr="00412522">
        <w:rPr>
          <w:rFonts w:asciiTheme="minorHAnsi" w:hAnsiTheme="minorHAnsi"/>
        </w:rPr>
        <w:t xml:space="preserve">Technology </w:t>
      </w:r>
      <w:r w:rsidRPr="00412522">
        <w:rPr>
          <w:rFonts w:asciiTheme="minorHAnsi" w:hAnsiTheme="minorHAnsi"/>
        </w:rPr>
        <w:t>Guidance</w:t>
      </w:r>
      <w:r w:rsidR="00F10768">
        <w:rPr>
          <w:rFonts w:asciiTheme="minorHAnsi" w:hAnsiTheme="minorHAnsi"/>
        </w:rPr>
        <w:t>'</w:t>
      </w:r>
      <w:r w:rsidRPr="00412522">
        <w:rPr>
          <w:rFonts w:asciiTheme="minorHAnsi" w:hAnsiTheme="minorHAnsi"/>
        </w:rPr>
        <w:t xml:space="preserve">. </w:t>
      </w:r>
    </w:p>
    <w:p w14:paraId="6C56060E" w14:textId="793A8161" w:rsidR="00412522" w:rsidRPr="000F0031" w:rsidRDefault="00412522" w:rsidP="00A70A2A">
      <w:pPr>
        <w:numPr>
          <w:ilvl w:val="3"/>
          <w:numId w:val="6"/>
        </w:numPr>
        <w:ind w:hanging="720"/>
        <w:contextualSpacing/>
        <w:rPr>
          <w:rFonts w:asciiTheme="minorHAnsi" w:hAnsiTheme="minorHAnsi"/>
        </w:rPr>
      </w:pPr>
      <w:r w:rsidRPr="00412522">
        <w:rPr>
          <w:rFonts w:asciiTheme="minorHAnsi" w:hAnsiTheme="minorHAnsi"/>
        </w:rPr>
        <w:t xml:space="preserve">Bidders </w:t>
      </w:r>
      <w:r w:rsidR="000F0031">
        <w:rPr>
          <w:rFonts w:asciiTheme="minorHAnsi" w:hAnsiTheme="minorHAnsi"/>
        </w:rPr>
        <w:t>must</w:t>
      </w:r>
      <w:r w:rsidRPr="00412522">
        <w:rPr>
          <w:rFonts w:asciiTheme="minorHAnsi" w:hAnsiTheme="minorHAnsi"/>
        </w:rPr>
        <w:t xml:space="preserve"> complete the NGA Assessment Template set out in </w:t>
      </w:r>
      <w:r w:rsidR="000F0031">
        <w:rPr>
          <w:rFonts w:asciiTheme="minorHAnsi" w:hAnsiTheme="minorHAnsi"/>
        </w:rPr>
        <w:t xml:space="preserve">Part 2, Appendix 2: Bidder Response Document. </w:t>
      </w:r>
      <w:r w:rsidRPr="000F0031">
        <w:rPr>
          <w:rFonts w:asciiTheme="minorHAnsi" w:hAnsiTheme="minorHAnsi"/>
        </w:rPr>
        <w:t xml:space="preserve">The evidence provided in the template will be used for assessment of NGA and State aid compliance by </w:t>
      </w:r>
      <w:r w:rsidR="007C3388">
        <w:rPr>
          <w:rFonts w:asciiTheme="minorHAnsi" w:hAnsiTheme="minorHAnsi"/>
        </w:rPr>
        <w:t>BDUK's</w:t>
      </w:r>
      <w:r w:rsidRPr="000F0031">
        <w:rPr>
          <w:rFonts w:asciiTheme="minorHAnsi" w:hAnsiTheme="minorHAnsi"/>
        </w:rPr>
        <w:t xml:space="preserve"> National Competence Centre (NCC).</w:t>
      </w:r>
    </w:p>
    <w:p w14:paraId="2B9FB4E2" w14:textId="54826744" w:rsidR="00412522" w:rsidRPr="00412522" w:rsidRDefault="00412522" w:rsidP="00A70A2A">
      <w:pPr>
        <w:numPr>
          <w:ilvl w:val="3"/>
          <w:numId w:val="6"/>
        </w:numPr>
        <w:ind w:hanging="720"/>
        <w:contextualSpacing/>
        <w:rPr>
          <w:rFonts w:asciiTheme="minorHAnsi" w:hAnsiTheme="minorHAnsi"/>
        </w:rPr>
      </w:pPr>
      <w:r w:rsidRPr="00412522">
        <w:rPr>
          <w:rFonts w:asciiTheme="minorHAnsi" w:hAnsiTheme="minorHAnsi"/>
        </w:rPr>
        <w:t>Failure to fully complete the requirements set out in the BDUK Assessment Template shall represent a ‘fail’ and the Bidder will be disqualified</w:t>
      </w:r>
      <w:r>
        <w:rPr>
          <w:rFonts w:asciiTheme="minorHAnsi" w:hAnsiTheme="minorHAnsi"/>
        </w:rPr>
        <w:t>.</w:t>
      </w:r>
    </w:p>
    <w:p w14:paraId="743C7560" w14:textId="77777777" w:rsidR="00656438" w:rsidRDefault="00A26303" w:rsidP="00A70A2A">
      <w:pPr>
        <w:pStyle w:val="Heading2"/>
        <w:numPr>
          <w:ilvl w:val="1"/>
          <w:numId w:val="6"/>
        </w:numPr>
        <w:tabs>
          <w:tab w:val="left" w:pos="567"/>
        </w:tabs>
        <w:ind w:firstLine="0"/>
        <w:rPr>
          <w:sz w:val="32"/>
          <w:szCs w:val="32"/>
        </w:rPr>
      </w:pPr>
      <w:bookmarkStart w:id="88" w:name="h.24yt4c4ylsux" w:colFirst="0" w:colLast="0"/>
      <w:bookmarkEnd w:id="88"/>
      <w:r>
        <w:rPr>
          <w:sz w:val="32"/>
          <w:szCs w:val="32"/>
        </w:rPr>
        <w:t>Award Criteria Weighting</w:t>
      </w:r>
      <w:r>
        <w:rPr>
          <w:sz w:val="22"/>
          <w:szCs w:val="22"/>
          <w:vertAlign w:val="superscript"/>
        </w:rPr>
        <w:footnoteReference w:id="48"/>
      </w:r>
    </w:p>
    <w:p w14:paraId="4E6FC68E" w14:textId="3AC1538A" w:rsidR="00656438" w:rsidRDefault="00A26303" w:rsidP="00A70A2A">
      <w:pPr>
        <w:numPr>
          <w:ilvl w:val="2"/>
          <w:numId w:val="6"/>
        </w:numPr>
        <w:ind w:hanging="850"/>
        <w:rPr>
          <w:rFonts w:ascii="Calibri" w:eastAsia="Calibri" w:hAnsi="Calibri" w:cs="Calibri"/>
        </w:rPr>
      </w:pPr>
      <w:r w:rsidRPr="00CB1B18">
        <w:rPr>
          <w:rFonts w:ascii="Calibri" w:eastAsia="Calibri" w:hAnsi="Calibri" w:cs="Calibri"/>
        </w:rPr>
        <w:t>The Commission Decision establishes the level 1 and level 2 evaluation criteria to be used for evaluation.  [The Local Body has also included level 3 evaluation criteria.]  The weightings for each level of these criteria have been selected by the Local Body from within the permitted ranges an</w:t>
      </w:r>
      <w:r w:rsidR="00AD3441">
        <w:rPr>
          <w:rFonts w:ascii="Calibri" w:eastAsia="Calibri" w:hAnsi="Calibri" w:cs="Calibri"/>
        </w:rPr>
        <w:t>d are shown in the table below:</w:t>
      </w:r>
    </w:p>
    <w:p w14:paraId="5D886FEF" w14:textId="77777777" w:rsidR="0029798A" w:rsidRDefault="0029798A" w:rsidP="0029798A">
      <w:pPr>
        <w:ind w:left="1559"/>
        <w:rPr>
          <w:rFonts w:ascii="Calibri" w:eastAsia="Calibri" w:hAnsi="Calibri" w:cs="Calibri"/>
        </w:rPr>
        <w:sectPr w:rsidR="0029798A">
          <w:footerReference w:type="default" r:id="rId9"/>
          <w:headerReference w:type="first" r:id="rId10"/>
          <w:footerReference w:type="first" r:id="rId11"/>
          <w:pgSz w:w="11906" w:h="16838"/>
          <w:pgMar w:top="1440" w:right="1440" w:bottom="1440" w:left="1440" w:header="720" w:footer="720" w:gutter="0"/>
          <w:pgNumType w:start="1"/>
          <w:cols w:space="720"/>
          <w:titlePg/>
        </w:sectPr>
      </w:pPr>
    </w:p>
    <w:p w14:paraId="0BD90F32" w14:textId="1337C4E0" w:rsidR="0029798A" w:rsidRDefault="0029798A" w:rsidP="0029798A">
      <w:pPr>
        <w:ind w:left="1559"/>
        <w:rPr>
          <w:rFonts w:ascii="Calibri" w:eastAsia="Calibri" w:hAnsi="Calibri" w:cs="Calibri"/>
        </w:rPr>
      </w:pPr>
    </w:p>
    <w:p w14:paraId="50F68B48" w14:textId="77777777" w:rsidR="006E6109" w:rsidRPr="00CB1B18" w:rsidRDefault="006E6109" w:rsidP="006E6109">
      <w:pPr>
        <w:ind w:left="709"/>
        <w:rPr>
          <w:rFonts w:ascii="Calibri" w:eastAsia="Calibri" w:hAnsi="Calibri" w:cs="Calibri"/>
        </w:rPr>
      </w:pPr>
    </w:p>
    <w:tbl>
      <w:tblPr>
        <w:tblStyle w:val="a8"/>
        <w:tblW w:w="14019" w:type="dxa"/>
        <w:tblBorders>
          <w:top w:val="nil"/>
          <w:left w:val="nil"/>
          <w:right w:val="nil"/>
        </w:tblBorders>
        <w:tblLayout w:type="fixed"/>
        <w:tblLook w:val="0000" w:firstRow="0" w:lastRow="0" w:firstColumn="0" w:lastColumn="0" w:noHBand="0" w:noVBand="0"/>
      </w:tblPr>
      <w:tblGrid>
        <w:gridCol w:w="5655"/>
        <w:gridCol w:w="3119"/>
        <w:gridCol w:w="1559"/>
        <w:gridCol w:w="2410"/>
        <w:gridCol w:w="1276"/>
      </w:tblGrid>
      <w:tr w:rsidR="009C0AE8" w:rsidRPr="00AD3441" w14:paraId="156B068F" w14:textId="46975719" w:rsidTr="009C0AE8">
        <w:trPr>
          <w:gridAfter w:val="2"/>
          <w:wAfter w:w="3686" w:type="dxa"/>
        </w:trPr>
        <w:tc>
          <w:tcPr>
            <w:tcW w:w="5655" w:type="dxa"/>
            <w:tcBorders>
              <w:top w:val="single" w:sz="12" w:space="0" w:color="000000"/>
              <w:left w:val="single" w:sz="12" w:space="0" w:color="000000"/>
              <w:bottom w:val="single" w:sz="61" w:space="0" w:color="C9C9C9"/>
              <w:right w:val="single" w:sz="12" w:space="0" w:color="000000"/>
            </w:tcBorders>
            <w:shd w:val="pct25" w:color="auto" w:fill="auto"/>
            <w:tcMar>
              <w:left w:w="0" w:type="dxa"/>
              <w:right w:w="0" w:type="dxa"/>
            </w:tcMar>
            <w:vAlign w:val="center"/>
          </w:tcPr>
          <w:p w14:paraId="184F09F3" w14:textId="4021F51B" w:rsidR="009C0AE8" w:rsidRPr="00AD3441" w:rsidRDefault="009C0AE8" w:rsidP="00AD3441">
            <w:pPr>
              <w:widowControl w:val="0"/>
              <w:spacing w:after="0" w:line="240" w:lineRule="auto"/>
              <w:ind w:right="1877"/>
              <w:jc w:val="left"/>
              <w:rPr>
                <w:rFonts w:ascii="Calibri" w:eastAsia="Calibri" w:hAnsi="Calibri" w:cs="Calibri"/>
                <w:b/>
              </w:rPr>
            </w:pPr>
            <w:r w:rsidRPr="00AD3441">
              <w:rPr>
                <w:rFonts w:ascii="Calibri" w:eastAsia="Calibri" w:hAnsi="Calibri" w:cs="Calibri"/>
                <w:b/>
              </w:rPr>
              <w:t xml:space="preserve">Award &amp; Evaluation </w:t>
            </w:r>
          </w:p>
        </w:tc>
        <w:tc>
          <w:tcPr>
            <w:tcW w:w="3119" w:type="dxa"/>
            <w:tcBorders>
              <w:top w:val="single" w:sz="12" w:space="0" w:color="000000"/>
              <w:left w:val="single" w:sz="12" w:space="0" w:color="000000"/>
              <w:bottom w:val="single" w:sz="61" w:space="0" w:color="C8C8C8"/>
              <w:right w:val="single" w:sz="12" w:space="0" w:color="000000"/>
            </w:tcBorders>
            <w:shd w:val="pct25" w:color="auto" w:fill="auto"/>
            <w:tcMar>
              <w:left w:w="0" w:type="dxa"/>
              <w:right w:w="0" w:type="dxa"/>
            </w:tcMar>
            <w:vAlign w:val="center"/>
          </w:tcPr>
          <w:p w14:paraId="2B3D726A" w14:textId="77777777" w:rsidR="009C0AE8" w:rsidRPr="00AD3441" w:rsidRDefault="009C0AE8">
            <w:pPr>
              <w:widowControl w:val="0"/>
              <w:spacing w:after="240" w:line="240" w:lineRule="auto"/>
              <w:jc w:val="left"/>
              <w:rPr>
                <w:rFonts w:ascii="Calibri" w:eastAsia="Calibri" w:hAnsi="Calibri" w:cs="Calibri"/>
                <w:b/>
              </w:rPr>
            </w:pPr>
          </w:p>
        </w:tc>
        <w:tc>
          <w:tcPr>
            <w:tcW w:w="1559" w:type="dxa"/>
            <w:tcBorders>
              <w:top w:val="single" w:sz="12" w:space="0" w:color="000000"/>
              <w:left w:val="single" w:sz="12" w:space="0" w:color="000000"/>
              <w:bottom w:val="single" w:sz="61" w:space="0" w:color="C8C8C8"/>
              <w:right w:val="single" w:sz="12" w:space="0" w:color="000000"/>
            </w:tcBorders>
            <w:shd w:val="pct25" w:color="auto" w:fill="auto"/>
            <w:tcMar>
              <w:left w:w="0" w:type="dxa"/>
              <w:right w:w="0" w:type="dxa"/>
            </w:tcMar>
            <w:vAlign w:val="center"/>
          </w:tcPr>
          <w:p w14:paraId="6F5B1CC1" w14:textId="77777777" w:rsidR="009C0AE8" w:rsidRPr="00AD3441" w:rsidRDefault="009C0AE8">
            <w:pPr>
              <w:widowControl w:val="0"/>
              <w:spacing w:after="0" w:line="240" w:lineRule="auto"/>
              <w:jc w:val="center"/>
              <w:rPr>
                <w:b/>
              </w:rPr>
            </w:pPr>
          </w:p>
        </w:tc>
      </w:tr>
      <w:tr w:rsidR="009C0AE8" w:rsidRPr="00AD3441" w14:paraId="06EB1441" w14:textId="7609CB18" w:rsidTr="009C0AE8">
        <w:tc>
          <w:tcPr>
            <w:tcW w:w="5655" w:type="dxa"/>
            <w:tcBorders>
              <w:top w:val="single" w:sz="10" w:space="0" w:color="000000"/>
              <w:left w:val="single" w:sz="10" w:space="0" w:color="000000"/>
              <w:bottom w:val="single" w:sz="61" w:space="0" w:color="C9C9C9"/>
              <w:right w:val="single" w:sz="10" w:space="0" w:color="000000"/>
            </w:tcBorders>
            <w:tcMar>
              <w:left w:w="0" w:type="dxa"/>
              <w:right w:w="0" w:type="dxa"/>
            </w:tcMar>
            <w:vAlign w:val="center"/>
          </w:tcPr>
          <w:p w14:paraId="5DA14B86" w14:textId="4CE1BE4C" w:rsidR="009C0AE8" w:rsidRPr="00AD3441" w:rsidRDefault="009C0AE8">
            <w:pPr>
              <w:widowControl w:val="0"/>
              <w:spacing w:after="240" w:line="240" w:lineRule="auto"/>
              <w:ind w:right="1875"/>
              <w:jc w:val="left"/>
              <w:rPr>
                <w:b/>
              </w:rPr>
            </w:pPr>
            <w:bookmarkStart w:id="89" w:name="h.az5disj7d5tw" w:colFirst="0" w:colLast="0"/>
            <w:bookmarkEnd w:id="89"/>
            <w:r w:rsidRPr="00AD3441">
              <w:rPr>
                <w:rFonts w:ascii="Calibri" w:eastAsia="Calibri" w:hAnsi="Calibri" w:cs="Calibri"/>
                <w:b/>
              </w:rPr>
              <w:t xml:space="preserve">Criteria - Description </w:t>
            </w:r>
          </w:p>
        </w:tc>
        <w:tc>
          <w:tcPr>
            <w:tcW w:w="3119" w:type="dxa"/>
            <w:tcBorders>
              <w:top w:val="single" w:sz="10" w:space="0" w:color="000000"/>
              <w:left w:val="single" w:sz="10" w:space="0" w:color="000000"/>
              <w:bottom w:val="single" w:sz="61" w:space="0" w:color="C8C8C8"/>
              <w:right w:val="single" w:sz="10" w:space="0" w:color="000000"/>
            </w:tcBorders>
            <w:tcMar>
              <w:left w:w="0" w:type="dxa"/>
              <w:right w:w="0" w:type="dxa"/>
            </w:tcMar>
            <w:vAlign w:val="center"/>
          </w:tcPr>
          <w:p w14:paraId="0FDB49FF" w14:textId="77777777" w:rsidR="009C0AE8" w:rsidRPr="00AD3441" w:rsidRDefault="009C0AE8">
            <w:pPr>
              <w:widowControl w:val="0"/>
              <w:spacing w:after="240" w:line="240" w:lineRule="auto"/>
              <w:jc w:val="left"/>
              <w:rPr>
                <w:b/>
              </w:rPr>
            </w:pPr>
            <w:r w:rsidRPr="00AD3441">
              <w:rPr>
                <w:rFonts w:ascii="Calibri" w:eastAsia="Calibri" w:hAnsi="Calibri" w:cs="Calibri"/>
                <w:b/>
              </w:rPr>
              <w:t xml:space="preserve">Scoring approach </w:t>
            </w:r>
          </w:p>
        </w:tc>
        <w:tc>
          <w:tcPr>
            <w:tcW w:w="1559" w:type="dxa"/>
            <w:tcBorders>
              <w:top w:val="single" w:sz="10" w:space="0" w:color="000000"/>
              <w:left w:val="single" w:sz="10" w:space="0" w:color="000000"/>
              <w:bottom w:val="single" w:sz="61" w:space="0" w:color="C8C8C8"/>
              <w:right w:val="single" w:sz="10" w:space="0" w:color="000000"/>
            </w:tcBorders>
            <w:tcMar>
              <w:left w:w="0" w:type="dxa"/>
              <w:right w:w="0" w:type="dxa"/>
            </w:tcMar>
            <w:vAlign w:val="center"/>
          </w:tcPr>
          <w:p w14:paraId="6AB267D8" w14:textId="5C4F27E5" w:rsidR="009C0AE8" w:rsidRPr="009C0AE8" w:rsidRDefault="009C0AE8">
            <w:pPr>
              <w:widowControl w:val="0"/>
              <w:spacing w:after="0" w:line="240" w:lineRule="auto"/>
              <w:jc w:val="center"/>
              <w:rPr>
                <w:rFonts w:asciiTheme="minorHAnsi" w:hAnsiTheme="minorHAnsi"/>
                <w:b/>
              </w:rPr>
            </w:pPr>
            <w:r w:rsidRPr="009C0AE8">
              <w:rPr>
                <w:rFonts w:asciiTheme="minorHAnsi" w:hAnsiTheme="minorHAnsi"/>
                <w:b/>
              </w:rPr>
              <w:t>Level 2</w:t>
            </w:r>
          </w:p>
          <w:p w14:paraId="5946A9C0" w14:textId="77777777" w:rsidR="009C0AE8" w:rsidRPr="00AD3441" w:rsidRDefault="009C0AE8">
            <w:pPr>
              <w:widowControl w:val="0"/>
              <w:spacing w:after="240" w:line="240" w:lineRule="auto"/>
              <w:jc w:val="center"/>
              <w:rPr>
                <w:b/>
              </w:rPr>
            </w:pPr>
            <w:r w:rsidRPr="009C0AE8">
              <w:rPr>
                <w:rFonts w:asciiTheme="minorHAnsi" w:eastAsia="Calibri" w:hAnsiTheme="minorHAnsi" w:cs="Calibri"/>
                <w:b/>
              </w:rPr>
              <w:t>Weighting ranges (%)</w:t>
            </w:r>
            <w:r w:rsidRPr="00AD3441">
              <w:rPr>
                <w:rFonts w:ascii="Calibri" w:eastAsia="Calibri" w:hAnsi="Calibri" w:cs="Calibri"/>
                <w:b/>
              </w:rPr>
              <w:t xml:space="preserve"> </w:t>
            </w:r>
          </w:p>
        </w:tc>
        <w:tc>
          <w:tcPr>
            <w:tcW w:w="2410" w:type="dxa"/>
            <w:tcBorders>
              <w:top w:val="single" w:sz="10" w:space="0" w:color="000000"/>
              <w:left w:val="single" w:sz="10" w:space="0" w:color="000000"/>
              <w:bottom w:val="single" w:sz="61" w:space="0" w:color="C8C8C8"/>
              <w:right w:val="single" w:sz="10" w:space="0" w:color="000000"/>
            </w:tcBorders>
          </w:tcPr>
          <w:p w14:paraId="00E3F627" w14:textId="77777777" w:rsidR="009C0AE8" w:rsidRDefault="009C0AE8" w:rsidP="006637DE">
            <w:pPr>
              <w:widowControl w:val="0"/>
              <w:spacing w:after="0" w:line="240" w:lineRule="auto"/>
              <w:jc w:val="center"/>
              <w:rPr>
                <w:rFonts w:asciiTheme="minorHAnsi" w:hAnsiTheme="minorHAnsi" w:cstheme="minorHAnsi"/>
              </w:rPr>
            </w:pPr>
            <w:r>
              <w:rPr>
                <w:rFonts w:asciiTheme="minorHAnsi" w:hAnsiTheme="minorHAnsi" w:cstheme="minorHAnsi"/>
              </w:rPr>
              <w:t>Level 3 Criteria</w:t>
            </w:r>
          </w:p>
          <w:p w14:paraId="5FF8DF04" w14:textId="4466DB55" w:rsidR="009C0AE8" w:rsidRPr="00AD3441" w:rsidRDefault="009C0AE8" w:rsidP="006637DE">
            <w:pPr>
              <w:widowControl w:val="0"/>
              <w:spacing w:after="0" w:line="240" w:lineRule="auto"/>
              <w:jc w:val="center"/>
              <w:rPr>
                <w:b/>
              </w:rPr>
            </w:pPr>
            <w:r>
              <w:rPr>
                <w:rFonts w:asciiTheme="minorHAnsi" w:hAnsiTheme="minorHAnsi" w:cstheme="minorHAnsi"/>
                <w:color w:val="auto"/>
              </w:rPr>
              <w:t>(Each scored between 0 and 10)</w:t>
            </w:r>
          </w:p>
        </w:tc>
        <w:tc>
          <w:tcPr>
            <w:tcW w:w="1276" w:type="dxa"/>
            <w:tcBorders>
              <w:top w:val="single" w:sz="10" w:space="0" w:color="000000"/>
              <w:left w:val="single" w:sz="10" w:space="0" w:color="000000"/>
              <w:bottom w:val="single" w:sz="61" w:space="0" w:color="C8C8C8"/>
              <w:right w:val="single" w:sz="10" w:space="0" w:color="000000"/>
            </w:tcBorders>
          </w:tcPr>
          <w:p w14:paraId="70C15EA9" w14:textId="3FC95837" w:rsidR="009C0AE8" w:rsidRPr="00AD3441" w:rsidRDefault="009C0AE8">
            <w:pPr>
              <w:widowControl w:val="0"/>
              <w:spacing w:after="0" w:line="240" w:lineRule="auto"/>
              <w:jc w:val="center"/>
              <w:rPr>
                <w:b/>
              </w:rPr>
            </w:pPr>
            <w:r>
              <w:rPr>
                <w:rFonts w:asciiTheme="minorHAnsi" w:hAnsiTheme="minorHAnsi" w:cstheme="minorHAnsi"/>
                <w:color w:val="auto"/>
              </w:rPr>
              <w:t>Level 3 Weighting (%)</w:t>
            </w:r>
          </w:p>
        </w:tc>
      </w:tr>
      <w:tr w:rsidR="0029798A" w14:paraId="44BBA318" w14:textId="45597ED8" w:rsidTr="009C0AE8">
        <w:tc>
          <w:tcPr>
            <w:tcW w:w="5655" w:type="dxa"/>
            <w:tcBorders>
              <w:top w:val="single" w:sz="61" w:space="0" w:color="C9C9C9"/>
              <w:left w:val="single" w:sz="10" w:space="0" w:color="000000"/>
              <w:bottom w:val="single" w:sz="64" w:space="0" w:color="A2A2A2"/>
              <w:right w:val="single" w:sz="10" w:space="0" w:color="000000"/>
            </w:tcBorders>
            <w:shd w:val="clear" w:color="auto" w:fill="D1D1D1"/>
            <w:tcMar>
              <w:left w:w="0" w:type="dxa"/>
              <w:right w:w="0" w:type="dxa"/>
            </w:tcMar>
            <w:vAlign w:val="center"/>
          </w:tcPr>
          <w:p w14:paraId="0374AB81"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1. Price </w:t>
            </w:r>
          </w:p>
        </w:tc>
        <w:tc>
          <w:tcPr>
            <w:tcW w:w="3119" w:type="dxa"/>
            <w:tcBorders>
              <w:top w:val="single" w:sz="61" w:space="0" w:color="C8C8C8"/>
              <w:left w:val="single" w:sz="10" w:space="0" w:color="000000"/>
              <w:bottom w:val="single" w:sz="64" w:space="0" w:color="A2A2A2"/>
              <w:right w:val="single" w:sz="10" w:space="0" w:color="000000"/>
            </w:tcBorders>
            <w:shd w:val="clear" w:color="auto" w:fill="D1D1D1"/>
            <w:tcMar>
              <w:left w:w="0" w:type="dxa"/>
              <w:right w:w="0" w:type="dxa"/>
            </w:tcMar>
            <w:vAlign w:val="center"/>
          </w:tcPr>
          <w:p w14:paraId="2DE41595" w14:textId="77777777" w:rsidR="0029798A" w:rsidRDefault="0029798A">
            <w:pPr>
              <w:widowControl w:val="0"/>
              <w:spacing w:after="0" w:line="240" w:lineRule="auto"/>
              <w:jc w:val="left"/>
            </w:pPr>
          </w:p>
        </w:tc>
        <w:tc>
          <w:tcPr>
            <w:tcW w:w="1559" w:type="dxa"/>
            <w:tcBorders>
              <w:top w:val="single" w:sz="61" w:space="0" w:color="C8C8C8"/>
              <w:left w:val="single" w:sz="10" w:space="0" w:color="000000"/>
              <w:bottom w:val="single" w:sz="64" w:space="0" w:color="A0A0A0"/>
              <w:right w:val="single" w:sz="10" w:space="0" w:color="000000"/>
            </w:tcBorders>
            <w:shd w:val="clear" w:color="auto" w:fill="D1D1D1"/>
            <w:tcMar>
              <w:left w:w="0" w:type="dxa"/>
              <w:right w:w="0" w:type="dxa"/>
            </w:tcMar>
            <w:vAlign w:val="center"/>
          </w:tcPr>
          <w:p w14:paraId="221CC4EE" w14:textId="77777777" w:rsidR="0029798A" w:rsidRDefault="0029798A">
            <w:pPr>
              <w:widowControl w:val="0"/>
              <w:spacing w:after="240" w:line="240" w:lineRule="auto"/>
              <w:jc w:val="center"/>
            </w:pPr>
            <w:r>
              <w:rPr>
                <w:rFonts w:ascii="Calibri" w:eastAsia="Calibri" w:hAnsi="Calibri" w:cs="Calibri"/>
              </w:rPr>
              <w:t xml:space="preserve">[30-70]% </w:t>
            </w:r>
          </w:p>
        </w:tc>
        <w:tc>
          <w:tcPr>
            <w:tcW w:w="2410" w:type="dxa"/>
            <w:tcBorders>
              <w:top w:val="single" w:sz="61" w:space="0" w:color="C8C8C8"/>
              <w:left w:val="single" w:sz="10" w:space="0" w:color="000000"/>
              <w:bottom w:val="single" w:sz="64" w:space="0" w:color="A0A0A0"/>
              <w:right w:val="single" w:sz="10" w:space="0" w:color="000000"/>
            </w:tcBorders>
            <w:shd w:val="clear" w:color="auto" w:fill="D1D1D1"/>
          </w:tcPr>
          <w:p w14:paraId="69B48346"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61" w:space="0" w:color="C8C8C8"/>
              <w:left w:val="single" w:sz="10" w:space="0" w:color="000000"/>
              <w:bottom w:val="single" w:sz="64" w:space="0" w:color="A0A0A0"/>
              <w:right w:val="single" w:sz="10" w:space="0" w:color="000000"/>
            </w:tcBorders>
            <w:shd w:val="clear" w:color="auto" w:fill="D1D1D1"/>
          </w:tcPr>
          <w:p w14:paraId="1563EB47" w14:textId="77777777" w:rsidR="0029798A" w:rsidRDefault="0029798A">
            <w:pPr>
              <w:widowControl w:val="0"/>
              <w:spacing w:after="240" w:line="240" w:lineRule="auto"/>
              <w:jc w:val="center"/>
              <w:rPr>
                <w:rFonts w:ascii="Calibri" w:eastAsia="Calibri" w:hAnsi="Calibri" w:cs="Calibri"/>
              </w:rPr>
            </w:pPr>
          </w:p>
        </w:tc>
      </w:tr>
      <w:tr w:rsidR="0029798A" w14:paraId="7EE50B45" w14:textId="3545CF39" w:rsidTr="009C0AE8">
        <w:tc>
          <w:tcPr>
            <w:tcW w:w="10333" w:type="dxa"/>
            <w:gridSpan w:val="3"/>
            <w:tcBorders>
              <w:top w:val="single" w:sz="64" w:space="0" w:color="979797"/>
              <w:left w:val="single" w:sz="10" w:space="0" w:color="000000"/>
              <w:bottom w:val="single" w:sz="10" w:space="0" w:color="000000"/>
              <w:right w:val="single" w:sz="10" w:space="0" w:color="000000"/>
            </w:tcBorders>
            <w:tcMar>
              <w:left w:w="0" w:type="dxa"/>
              <w:right w:w="0" w:type="dxa"/>
            </w:tcMar>
            <w:vAlign w:val="center"/>
          </w:tcPr>
          <w:p w14:paraId="6D6CB83E"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Price - Commercial compliance </w:t>
            </w:r>
          </w:p>
        </w:tc>
        <w:tc>
          <w:tcPr>
            <w:tcW w:w="2410" w:type="dxa"/>
            <w:tcBorders>
              <w:top w:val="single" w:sz="64" w:space="0" w:color="979797"/>
              <w:left w:val="single" w:sz="10" w:space="0" w:color="000000"/>
              <w:bottom w:val="single" w:sz="10" w:space="0" w:color="000000"/>
              <w:right w:val="single" w:sz="10" w:space="0" w:color="000000"/>
            </w:tcBorders>
          </w:tcPr>
          <w:p w14:paraId="6C38045A" w14:textId="77777777" w:rsidR="0029798A" w:rsidRPr="006C6DC8" w:rsidRDefault="0029798A">
            <w:pPr>
              <w:widowControl w:val="0"/>
              <w:spacing w:after="240" w:line="240" w:lineRule="auto"/>
              <w:jc w:val="left"/>
              <w:rPr>
                <w:rFonts w:ascii="Calibri" w:eastAsia="Calibri" w:hAnsi="Calibri" w:cs="Calibri"/>
                <w:b/>
              </w:rPr>
            </w:pPr>
          </w:p>
        </w:tc>
        <w:tc>
          <w:tcPr>
            <w:tcW w:w="1276" w:type="dxa"/>
            <w:tcBorders>
              <w:top w:val="single" w:sz="64" w:space="0" w:color="979797"/>
              <w:left w:val="single" w:sz="10" w:space="0" w:color="000000"/>
              <w:bottom w:val="single" w:sz="10" w:space="0" w:color="000000"/>
              <w:right w:val="single" w:sz="10" w:space="0" w:color="000000"/>
            </w:tcBorders>
          </w:tcPr>
          <w:p w14:paraId="522B7BAC" w14:textId="77777777" w:rsidR="0029798A" w:rsidRPr="006C6DC8" w:rsidRDefault="0029798A">
            <w:pPr>
              <w:widowControl w:val="0"/>
              <w:spacing w:after="240" w:line="240" w:lineRule="auto"/>
              <w:jc w:val="left"/>
              <w:rPr>
                <w:rFonts w:ascii="Calibri" w:eastAsia="Calibri" w:hAnsi="Calibri" w:cs="Calibri"/>
                <w:b/>
              </w:rPr>
            </w:pPr>
          </w:p>
        </w:tc>
      </w:tr>
      <w:tr w:rsidR="0029798A" w14:paraId="7CEFE47F" w14:textId="693457A3"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33EE53DF"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1.1 Contract acceptance </w:t>
            </w:r>
          </w:p>
          <w:p w14:paraId="59146AF3" w14:textId="631B6880" w:rsidR="0029798A" w:rsidRDefault="0029798A">
            <w:pPr>
              <w:widowControl w:val="0"/>
              <w:spacing w:after="240" w:line="240" w:lineRule="auto"/>
              <w:jc w:val="left"/>
            </w:pPr>
            <w:r>
              <w:rPr>
                <w:rFonts w:ascii="Calibri" w:eastAsia="Calibri" w:hAnsi="Calibri" w:cs="Calibri"/>
              </w:rPr>
              <w:t xml:space="preserve">Bidders will be assessed on whether they have confirmed their agreement to the key commercial principles/non-negotiable terms of the draft contract in their bid response. This applies to all procurement procedures.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7F57DD6A" w14:textId="77777777" w:rsidR="0029798A" w:rsidRDefault="0029798A">
            <w:pPr>
              <w:widowControl w:val="0"/>
              <w:spacing w:after="240" w:line="240" w:lineRule="auto"/>
              <w:jc w:val="left"/>
            </w:pPr>
            <w:r>
              <w:rPr>
                <w:rFonts w:ascii="Calibri" w:eastAsia="Calibri" w:hAnsi="Calibri" w:cs="Calibri"/>
              </w:rPr>
              <w:t xml:space="preserve">Pass / Fail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68D63659" w14:textId="77777777" w:rsidR="0029798A" w:rsidRDefault="0029798A">
            <w:pPr>
              <w:widowControl w:val="0"/>
              <w:spacing w:after="240" w:line="240" w:lineRule="auto"/>
              <w:jc w:val="center"/>
            </w:pPr>
            <w:r>
              <w:rPr>
                <w:rFonts w:ascii="Calibri" w:eastAsia="Calibri" w:hAnsi="Calibri" w:cs="Calibri"/>
              </w:rPr>
              <w:t xml:space="preserve">n/a </w:t>
            </w:r>
          </w:p>
        </w:tc>
        <w:tc>
          <w:tcPr>
            <w:tcW w:w="2410" w:type="dxa"/>
            <w:tcBorders>
              <w:top w:val="single" w:sz="10" w:space="0" w:color="000000"/>
              <w:left w:val="single" w:sz="10" w:space="0" w:color="000000"/>
              <w:bottom w:val="single" w:sz="10" w:space="0" w:color="000000"/>
              <w:right w:val="single" w:sz="10" w:space="0" w:color="000000"/>
            </w:tcBorders>
          </w:tcPr>
          <w:p w14:paraId="3192B463"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18130679" w14:textId="77777777" w:rsidR="0029798A" w:rsidRDefault="0029798A">
            <w:pPr>
              <w:widowControl w:val="0"/>
              <w:spacing w:after="240" w:line="240" w:lineRule="auto"/>
              <w:jc w:val="center"/>
              <w:rPr>
                <w:rFonts w:ascii="Calibri" w:eastAsia="Calibri" w:hAnsi="Calibri" w:cs="Calibri"/>
              </w:rPr>
            </w:pPr>
          </w:p>
        </w:tc>
      </w:tr>
      <w:tr w:rsidR="0029798A" w14:paraId="29C87871" w14:textId="2CEC05E8"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1A1DD91F"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1.2 Contract markup and risk transfer </w:t>
            </w:r>
          </w:p>
          <w:p w14:paraId="061F2CD8" w14:textId="77777777" w:rsidR="0029798A" w:rsidRDefault="0029798A">
            <w:pPr>
              <w:widowControl w:val="0"/>
              <w:spacing w:after="240" w:line="240" w:lineRule="auto"/>
              <w:jc w:val="left"/>
            </w:pPr>
            <w:r>
              <w:rPr>
                <w:rFonts w:ascii="Calibri" w:eastAsia="Calibri" w:hAnsi="Calibri" w:cs="Calibri"/>
              </w:rPr>
              <w:t xml:space="preserve">(Competitive Dialogue/ Competition with Negotiation only) </w:t>
            </w:r>
          </w:p>
          <w:p w14:paraId="7507FEE2" w14:textId="77777777" w:rsidR="0029798A" w:rsidRDefault="0029798A">
            <w:pPr>
              <w:widowControl w:val="0"/>
              <w:spacing w:after="240" w:line="240" w:lineRule="auto"/>
              <w:jc w:val="left"/>
            </w:pPr>
            <w:r>
              <w:rPr>
                <w:rFonts w:ascii="Calibri" w:eastAsia="Calibri" w:hAnsi="Calibri" w:cs="Calibri"/>
              </w:rPr>
              <w:t xml:space="preserve">Bidders will be assessed on the extent that their changes to the draft Contract have a negative impact on the Implementing Body and other stakeholders contract requirement.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4ECA0894" w14:textId="77777777" w:rsidR="0029798A" w:rsidRDefault="0029798A">
            <w:pPr>
              <w:widowControl w:val="0"/>
              <w:spacing w:after="240" w:line="240" w:lineRule="auto"/>
              <w:jc w:val="left"/>
            </w:pPr>
            <w:r>
              <w:rPr>
                <w:rFonts w:ascii="Calibri" w:eastAsia="Calibri" w:hAnsi="Calibri" w:cs="Calibri"/>
              </w:rPr>
              <w:t xml:space="preserve">Bids will be scored between 0 and [10].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37B805EF" w14:textId="77777777" w:rsidR="0029798A" w:rsidRDefault="0029798A">
            <w:pPr>
              <w:widowControl w:val="0"/>
              <w:spacing w:after="240" w:line="240" w:lineRule="auto"/>
              <w:jc w:val="center"/>
            </w:pPr>
            <w:r>
              <w:rPr>
                <w:rFonts w:ascii="Calibri" w:eastAsia="Calibri" w:hAnsi="Calibri" w:cs="Calibri"/>
              </w:rPr>
              <w:t xml:space="preserve">[0-10]% </w:t>
            </w:r>
          </w:p>
        </w:tc>
        <w:tc>
          <w:tcPr>
            <w:tcW w:w="2410" w:type="dxa"/>
            <w:tcBorders>
              <w:top w:val="single" w:sz="10" w:space="0" w:color="000000"/>
              <w:left w:val="single" w:sz="10" w:space="0" w:color="000000"/>
              <w:bottom w:val="single" w:sz="10" w:space="0" w:color="000000"/>
              <w:right w:val="single" w:sz="10" w:space="0" w:color="000000"/>
            </w:tcBorders>
          </w:tcPr>
          <w:p w14:paraId="17C8F1B1"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75AB66BA" w14:textId="77777777" w:rsidR="0029798A" w:rsidRDefault="0029798A">
            <w:pPr>
              <w:widowControl w:val="0"/>
              <w:spacing w:after="240" w:line="240" w:lineRule="auto"/>
              <w:jc w:val="center"/>
              <w:rPr>
                <w:rFonts w:ascii="Calibri" w:eastAsia="Calibri" w:hAnsi="Calibri" w:cs="Calibri"/>
              </w:rPr>
            </w:pPr>
          </w:p>
        </w:tc>
      </w:tr>
      <w:tr w:rsidR="0029798A" w14:paraId="55260C69" w14:textId="4B90D86B"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0AC15FFF" w14:textId="77777777" w:rsidR="0029798A" w:rsidRPr="006C6DC8" w:rsidRDefault="0029798A">
            <w:pPr>
              <w:widowControl w:val="0"/>
              <w:spacing w:after="240" w:line="240" w:lineRule="auto"/>
              <w:jc w:val="left"/>
              <w:rPr>
                <w:b/>
              </w:rPr>
            </w:pPr>
            <w:r w:rsidRPr="006C6DC8">
              <w:rPr>
                <w:rFonts w:ascii="Calibri" w:eastAsia="Calibri" w:hAnsi="Calibri" w:cs="Calibri"/>
                <w:b/>
              </w:rPr>
              <w:lastRenderedPageBreak/>
              <w:t xml:space="preserve">1.3 Funding availability </w:t>
            </w:r>
          </w:p>
          <w:p w14:paraId="378C5E0D" w14:textId="447B27EA" w:rsidR="0029798A" w:rsidRDefault="0029798A" w:rsidP="006C6DC8">
            <w:pPr>
              <w:widowControl w:val="0"/>
              <w:spacing w:after="240" w:line="240" w:lineRule="auto"/>
              <w:jc w:val="left"/>
            </w:pPr>
            <w:r>
              <w:rPr>
                <w:rFonts w:ascii="Calibri" w:eastAsia="Calibri" w:hAnsi="Calibri" w:cs="Calibri"/>
              </w:rPr>
              <w:t xml:space="preserve">Bidders will be assessed on whether: i) the overall subsidy requirement in the bid is within the Implementing Body’s budget; and ii) they have provided sufficient evidence (i.e. through a funding model) of their ability to fund the project (i.e. from private funding sources)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1F00FD34" w14:textId="77777777" w:rsidR="0029798A" w:rsidRDefault="0029798A">
            <w:pPr>
              <w:widowControl w:val="0"/>
              <w:spacing w:after="240" w:line="240" w:lineRule="auto"/>
              <w:jc w:val="left"/>
            </w:pPr>
            <w:r>
              <w:rPr>
                <w:rFonts w:ascii="Calibri" w:eastAsia="Calibri" w:hAnsi="Calibri" w:cs="Calibri"/>
              </w:rPr>
              <w:t xml:space="preserve">Pass / Fail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03FE7DA0" w14:textId="77777777" w:rsidR="0029798A" w:rsidRDefault="0029798A">
            <w:pPr>
              <w:widowControl w:val="0"/>
              <w:spacing w:after="240" w:line="240" w:lineRule="auto"/>
              <w:jc w:val="center"/>
            </w:pPr>
            <w:r>
              <w:rPr>
                <w:rFonts w:ascii="Calibri" w:eastAsia="Calibri" w:hAnsi="Calibri" w:cs="Calibri"/>
              </w:rPr>
              <w:t xml:space="preserve">n/a </w:t>
            </w:r>
          </w:p>
        </w:tc>
        <w:tc>
          <w:tcPr>
            <w:tcW w:w="2410" w:type="dxa"/>
            <w:tcBorders>
              <w:top w:val="single" w:sz="10" w:space="0" w:color="000000"/>
              <w:left w:val="single" w:sz="10" w:space="0" w:color="000000"/>
              <w:bottom w:val="single" w:sz="10" w:space="0" w:color="000000"/>
              <w:right w:val="single" w:sz="10" w:space="0" w:color="000000"/>
            </w:tcBorders>
          </w:tcPr>
          <w:p w14:paraId="2175A7C0"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0ECB5B9D" w14:textId="77777777" w:rsidR="0029798A" w:rsidRDefault="0029798A">
            <w:pPr>
              <w:widowControl w:val="0"/>
              <w:spacing w:after="240" w:line="240" w:lineRule="auto"/>
              <w:jc w:val="center"/>
              <w:rPr>
                <w:rFonts w:ascii="Calibri" w:eastAsia="Calibri" w:hAnsi="Calibri" w:cs="Calibri"/>
              </w:rPr>
            </w:pPr>
          </w:p>
        </w:tc>
      </w:tr>
      <w:tr w:rsidR="0029798A" w14:paraId="18E9BCA9" w14:textId="2A86483D" w:rsidTr="009C0AE8">
        <w:tc>
          <w:tcPr>
            <w:tcW w:w="10333" w:type="dxa"/>
            <w:gridSpan w:val="3"/>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2FB6F535"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Price - Commercial Robustness </w:t>
            </w:r>
          </w:p>
        </w:tc>
        <w:tc>
          <w:tcPr>
            <w:tcW w:w="2410" w:type="dxa"/>
            <w:tcBorders>
              <w:top w:val="single" w:sz="10" w:space="0" w:color="000000"/>
              <w:left w:val="single" w:sz="10" w:space="0" w:color="000000"/>
              <w:bottom w:val="single" w:sz="10" w:space="0" w:color="000000"/>
              <w:right w:val="single" w:sz="10" w:space="0" w:color="000000"/>
            </w:tcBorders>
          </w:tcPr>
          <w:p w14:paraId="5EAA5581" w14:textId="77777777" w:rsidR="0029798A" w:rsidRPr="006C6DC8" w:rsidRDefault="0029798A">
            <w:pPr>
              <w:widowControl w:val="0"/>
              <w:spacing w:after="240" w:line="240" w:lineRule="auto"/>
              <w:jc w:val="left"/>
              <w:rPr>
                <w:rFonts w:ascii="Calibri" w:eastAsia="Calibri" w:hAnsi="Calibri" w:cs="Calibri"/>
                <w:b/>
              </w:rPr>
            </w:pPr>
          </w:p>
        </w:tc>
        <w:tc>
          <w:tcPr>
            <w:tcW w:w="1276" w:type="dxa"/>
            <w:tcBorders>
              <w:top w:val="single" w:sz="10" w:space="0" w:color="000000"/>
              <w:left w:val="single" w:sz="10" w:space="0" w:color="000000"/>
              <w:bottom w:val="single" w:sz="10" w:space="0" w:color="000000"/>
              <w:right w:val="single" w:sz="10" w:space="0" w:color="000000"/>
            </w:tcBorders>
          </w:tcPr>
          <w:p w14:paraId="7C8E1A75" w14:textId="77777777" w:rsidR="0029798A" w:rsidRPr="006C6DC8" w:rsidRDefault="0029798A">
            <w:pPr>
              <w:widowControl w:val="0"/>
              <w:spacing w:after="240" w:line="240" w:lineRule="auto"/>
              <w:jc w:val="left"/>
              <w:rPr>
                <w:rFonts w:ascii="Calibri" w:eastAsia="Calibri" w:hAnsi="Calibri" w:cs="Calibri"/>
                <w:b/>
              </w:rPr>
            </w:pPr>
          </w:p>
        </w:tc>
      </w:tr>
      <w:tr w:rsidR="0029798A" w14:paraId="2EF1F52D" w14:textId="7299F396"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59F76108"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1.4 Financial Model </w:t>
            </w:r>
          </w:p>
          <w:p w14:paraId="02524E3F" w14:textId="77777777" w:rsidR="0029798A" w:rsidRDefault="0029798A">
            <w:pPr>
              <w:widowControl w:val="0"/>
              <w:spacing w:after="240" w:line="240" w:lineRule="auto"/>
              <w:jc w:val="left"/>
            </w:pPr>
            <w:r>
              <w:rPr>
                <w:rFonts w:ascii="Calibri" w:eastAsia="Calibri" w:hAnsi="Calibri" w:cs="Calibri"/>
              </w:rPr>
              <w:t xml:space="preserve">[Baseline Capability] The Bidder has ensured that the cost assumptions in its Financial Model are realistic and consistent with the design assumptions in their Solution and the milestone payments in the Implementation Plan. The Bidder must have completed the Financial Model fully so that outputs are clearly identifiable. </w:t>
            </w:r>
          </w:p>
          <w:p w14:paraId="2A906E4D" w14:textId="77777777" w:rsidR="0029798A" w:rsidRDefault="0029798A">
            <w:pPr>
              <w:widowControl w:val="0"/>
              <w:spacing w:after="240" w:line="240" w:lineRule="auto"/>
              <w:jc w:val="left"/>
            </w:pPr>
            <w:r>
              <w:rPr>
                <w:rFonts w:ascii="Calibri" w:eastAsia="Calibri" w:hAnsi="Calibri" w:cs="Calibri"/>
              </w:rPr>
              <w:t xml:space="preserve">[Maximum Capability] In addition to the baseline capability, the Bidder has evidenced a very high level of transparency and quality in its Financial Model and accompanying memoranda to show the key assumptions and underlying economic drivers for the Bidder’s solution. The Bidder has included justification as to how its assumptions deviate from national baselines and have been customised to reflect the particular circumstances of a project. The Bidder’s Financial Model provides a clear understanding of where contingency has been included and of how actual costs are expected to reduce if the Bidder were to win and aggregate other contracts.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01E44849" w14:textId="77777777" w:rsidR="0029798A" w:rsidRDefault="0029798A">
            <w:pPr>
              <w:widowControl w:val="0"/>
              <w:spacing w:after="240" w:line="240" w:lineRule="auto"/>
              <w:jc w:val="left"/>
            </w:pPr>
            <w:r>
              <w:rPr>
                <w:rFonts w:ascii="Calibri" w:eastAsia="Calibri" w:hAnsi="Calibri" w:cs="Calibri"/>
              </w:rPr>
              <w:t xml:space="preserve">Bids will be scored between 0 and [10]. </w:t>
            </w:r>
          </w:p>
          <w:p w14:paraId="2DB5C780" w14:textId="77777777" w:rsidR="0029798A" w:rsidRDefault="0029798A">
            <w:pPr>
              <w:widowControl w:val="0"/>
              <w:spacing w:after="240" w:line="240" w:lineRule="auto"/>
              <w:jc w:val="left"/>
            </w:pPr>
            <w:r>
              <w:rPr>
                <w:rFonts w:ascii="Calibri" w:eastAsia="Calibri" w:hAnsi="Calibri" w:cs="Calibri"/>
              </w:rPr>
              <w:t xml:space="preserve">A score of 0 will be awarded if a Bidder has not provided a compliant Financial Model. </w:t>
            </w:r>
          </w:p>
          <w:p w14:paraId="31B34F12" w14:textId="77777777" w:rsidR="0029798A" w:rsidRDefault="0029798A">
            <w:pPr>
              <w:widowControl w:val="0"/>
              <w:spacing w:after="240" w:line="240" w:lineRule="auto"/>
              <w:jc w:val="left"/>
            </w:pPr>
            <w:r>
              <w:rPr>
                <w:rFonts w:ascii="Calibri" w:eastAsia="Calibri" w:hAnsi="Calibri" w:cs="Calibri"/>
              </w:rPr>
              <w:t xml:space="preserve">A score of [5] will be awarded if a Bidder has provided a Financial Model achieving the baseline capability. </w:t>
            </w:r>
          </w:p>
          <w:p w14:paraId="46ED40A7" w14:textId="77777777" w:rsidR="0029798A" w:rsidRDefault="0029798A">
            <w:pPr>
              <w:widowControl w:val="0"/>
              <w:spacing w:after="240" w:line="240" w:lineRule="auto"/>
              <w:jc w:val="left"/>
            </w:pPr>
            <w:r>
              <w:rPr>
                <w:rFonts w:ascii="Calibri" w:eastAsia="Calibri" w:hAnsi="Calibri" w:cs="Calibri"/>
              </w:rPr>
              <w:t xml:space="preserve">A score of [10] will be awarded if a Bidder has provided a Financial Model achieving maximum capability.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16D61BB7" w14:textId="77777777" w:rsidR="0029798A" w:rsidRDefault="0029798A">
            <w:pPr>
              <w:widowControl w:val="0"/>
              <w:spacing w:after="240" w:line="240" w:lineRule="auto"/>
              <w:jc w:val="center"/>
            </w:pPr>
            <w:r>
              <w:rPr>
                <w:rFonts w:ascii="Calibri" w:eastAsia="Calibri" w:hAnsi="Calibri" w:cs="Calibri"/>
              </w:rPr>
              <w:t xml:space="preserve">[10-30]% </w:t>
            </w:r>
          </w:p>
        </w:tc>
        <w:tc>
          <w:tcPr>
            <w:tcW w:w="2410" w:type="dxa"/>
            <w:tcBorders>
              <w:top w:val="single" w:sz="10" w:space="0" w:color="000000"/>
              <w:left w:val="single" w:sz="10" w:space="0" w:color="000000"/>
              <w:bottom w:val="single" w:sz="10" w:space="0" w:color="000000"/>
              <w:right w:val="single" w:sz="10" w:space="0" w:color="000000"/>
            </w:tcBorders>
          </w:tcPr>
          <w:p w14:paraId="3E5AC4D8"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1722AFB7" w14:textId="77777777" w:rsidR="0029798A" w:rsidRDefault="0029798A">
            <w:pPr>
              <w:widowControl w:val="0"/>
              <w:spacing w:after="240" w:line="240" w:lineRule="auto"/>
              <w:jc w:val="center"/>
              <w:rPr>
                <w:rFonts w:ascii="Calibri" w:eastAsia="Calibri" w:hAnsi="Calibri" w:cs="Calibri"/>
              </w:rPr>
            </w:pPr>
          </w:p>
        </w:tc>
      </w:tr>
      <w:tr w:rsidR="0029798A" w14:paraId="69ABC5C3" w14:textId="28BBBA73"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135793F2" w14:textId="77777777" w:rsidR="0029798A" w:rsidRPr="006C6DC8" w:rsidRDefault="0029798A">
            <w:pPr>
              <w:widowControl w:val="0"/>
              <w:spacing w:after="240" w:line="240" w:lineRule="auto"/>
              <w:jc w:val="left"/>
              <w:rPr>
                <w:b/>
              </w:rPr>
            </w:pPr>
            <w:r w:rsidRPr="006C6DC8">
              <w:rPr>
                <w:rFonts w:ascii="Calibri" w:eastAsia="Calibri" w:hAnsi="Calibri" w:cs="Calibri"/>
                <w:b/>
              </w:rPr>
              <w:lastRenderedPageBreak/>
              <w:t xml:space="preserve">1.5 Commercial sustainability and viability </w:t>
            </w:r>
          </w:p>
          <w:p w14:paraId="21D3612A" w14:textId="77777777" w:rsidR="0029798A" w:rsidRDefault="0029798A">
            <w:pPr>
              <w:widowControl w:val="0"/>
              <w:spacing w:after="240" w:line="240" w:lineRule="auto"/>
              <w:jc w:val="left"/>
            </w:pPr>
            <w:r>
              <w:rPr>
                <w:rFonts w:ascii="Calibri" w:eastAsia="Calibri" w:hAnsi="Calibri" w:cs="Calibri"/>
              </w:rPr>
              <w:t xml:space="preserve">[Baseline Capability] Analysis of the Bidder’s Financial Model demonstrates how the network (and downstream retail providers) are able to operate on a stand-alone and sustainable basis for the contract term under reasonable conservative baseline assumptions considering a sensitivity analysis of adverse scenarios (including higher debt servicing costs or lower revenue per customer or lower take-up than forecast). </w:t>
            </w:r>
          </w:p>
          <w:p w14:paraId="45434F37" w14:textId="77777777" w:rsidR="0029798A" w:rsidRDefault="0029798A">
            <w:pPr>
              <w:widowControl w:val="0"/>
              <w:spacing w:after="240" w:line="240" w:lineRule="auto"/>
              <w:jc w:val="left"/>
            </w:pPr>
            <w:r>
              <w:rPr>
                <w:rFonts w:ascii="Calibri" w:eastAsia="Calibri" w:hAnsi="Calibri" w:cs="Calibri"/>
              </w:rPr>
              <w:t xml:space="preserve">[Maximum Capability] In addition to the baseline capability, analysis of the Bidder’s Financial Model demonstrates how the business remains economically viable under a range of adverse scenarios across the value chain to allow ongoing take up and use of retail and end user services. The Bidder has also demonstrated how its subcontractor arrangements mitigate risks to the on-going service provision.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4242CB58" w14:textId="77777777" w:rsidR="0029798A" w:rsidRDefault="0029798A">
            <w:pPr>
              <w:widowControl w:val="0"/>
              <w:spacing w:after="240" w:line="240" w:lineRule="auto"/>
              <w:jc w:val="left"/>
            </w:pPr>
            <w:r>
              <w:rPr>
                <w:rFonts w:ascii="Calibri" w:eastAsia="Calibri" w:hAnsi="Calibri" w:cs="Calibri"/>
              </w:rPr>
              <w:t xml:space="preserve">Bids will be scored between 0 and [10]. </w:t>
            </w:r>
          </w:p>
          <w:p w14:paraId="177FCB0F" w14:textId="77777777" w:rsidR="0029798A" w:rsidRDefault="0029798A">
            <w:pPr>
              <w:widowControl w:val="0"/>
              <w:spacing w:after="240" w:line="240" w:lineRule="auto"/>
              <w:jc w:val="left"/>
            </w:pPr>
            <w:r>
              <w:rPr>
                <w:rFonts w:ascii="Calibri" w:eastAsia="Calibri" w:hAnsi="Calibri" w:cs="Calibri"/>
              </w:rPr>
              <w:t xml:space="preserve">[A score of 0 will be awarded if a Bidder’s Financial Model does not demonstrate a sustainable network]. </w:t>
            </w:r>
          </w:p>
          <w:p w14:paraId="1C9DBAFE" w14:textId="77777777" w:rsidR="0029798A" w:rsidRDefault="0029798A">
            <w:pPr>
              <w:widowControl w:val="0"/>
              <w:spacing w:after="240" w:line="240" w:lineRule="auto"/>
              <w:jc w:val="left"/>
            </w:pPr>
            <w:r>
              <w:rPr>
                <w:rFonts w:ascii="Calibri" w:eastAsia="Calibri" w:hAnsi="Calibri" w:cs="Calibri"/>
              </w:rPr>
              <w:t xml:space="preserve">A score of 5 will be awarded if a Bidder has provided a solution design that achieves the baseline capability. </w:t>
            </w:r>
          </w:p>
          <w:p w14:paraId="6A1B731E" w14:textId="77777777" w:rsidR="0029798A" w:rsidRDefault="0029798A">
            <w:pPr>
              <w:widowControl w:val="0"/>
              <w:spacing w:after="240" w:line="240" w:lineRule="auto"/>
              <w:jc w:val="left"/>
            </w:pPr>
            <w:r>
              <w:rPr>
                <w:rFonts w:ascii="Calibri" w:eastAsia="Calibri" w:hAnsi="Calibri" w:cs="Calibri"/>
              </w:rPr>
              <w:t xml:space="preserve">A score of 10 will be awarded if a Bidder provides a solution design that achieves maximum capability.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3A1C45BA" w14:textId="77777777" w:rsidR="0029798A" w:rsidRDefault="0029798A">
            <w:pPr>
              <w:widowControl w:val="0"/>
              <w:spacing w:after="240" w:line="240" w:lineRule="auto"/>
              <w:jc w:val="center"/>
            </w:pPr>
            <w:r>
              <w:rPr>
                <w:rFonts w:ascii="Calibri" w:eastAsia="Calibri" w:hAnsi="Calibri" w:cs="Calibri"/>
              </w:rPr>
              <w:t xml:space="preserve">[10-40]% </w:t>
            </w:r>
          </w:p>
        </w:tc>
        <w:tc>
          <w:tcPr>
            <w:tcW w:w="2410" w:type="dxa"/>
            <w:tcBorders>
              <w:top w:val="single" w:sz="10" w:space="0" w:color="000000"/>
              <w:left w:val="single" w:sz="10" w:space="0" w:color="000000"/>
              <w:bottom w:val="single" w:sz="10" w:space="0" w:color="000000"/>
              <w:right w:val="single" w:sz="10" w:space="0" w:color="000000"/>
            </w:tcBorders>
          </w:tcPr>
          <w:p w14:paraId="650A41A7"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44ECA5BE" w14:textId="77777777" w:rsidR="0029798A" w:rsidRDefault="0029798A">
            <w:pPr>
              <w:widowControl w:val="0"/>
              <w:spacing w:after="240" w:line="240" w:lineRule="auto"/>
              <w:jc w:val="center"/>
              <w:rPr>
                <w:rFonts w:ascii="Calibri" w:eastAsia="Calibri" w:hAnsi="Calibri" w:cs="Calibri"/>
              </w:rPr>
            </w:pPr>
          </w:p>
        </w:tc>
      </w:tr>
      <w:tr w:rsidR="0029798A" w14:paraId="09284D05" w14:textId="459F4D4E"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7DCEB7D5"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1.6 Funding levels </w:t>
            </w:r>
          </w:p>
          <w:p w14:paraId="7E6F5917" w14:textId="77777777" w:rsidR="0029798A" w:rsidRDefault="0029798A">
            <w:pPr>
              <w:widowControl w:val="0"/>
              <w:spacing w:after="240" w:line="240" w:lineRule="auto"/>
              <w:jc w:val="left"/>
            </w:pPr>
            <w:r>
              <w:rPr>
                <w:rFonts w:ascii="Calibri" w:eastAsia="Calibri" w:hAnsi="Calibri" w:cs="Calibri"/>
              </w:rPr>
              <w:t xml:space="preserve">Bidders will be assessed on the overall cost to the public sector of the project (either in absolute terms, on a per- premise basis, or relative to the overall private sector contribution.)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10B9CB28" w14:textId="77777777" w:rsidR="0029798A" w:rsidRDefault="0029798A">
            <w:pPr>
              <w:widowControl w:val="0"/>
              <w:spacing w:after="240" w:line="240" w:lineRule="auto"/>
              <w:jc w:val="left"/>
            </w:pPr>
            <w:r>
              <w:rPr>
                <w:rFonts w:ascii="Calibri" w:eastAsia="Calibri" w:hAnsi="Calibri" w:cs="Calibri"/>
              </w:rPr>
              <w:t xml:space="preserve">Scores will be awarded on a relative basis (e.g. the bid with lowest subsidy receives full marks, and a bid 10% more expensive receives a 10% reduction in </w:t>
            </w:r>
            <w:r>
              <w:rPr>
                <w:rFonts w:ascii="Calibri" w:eastAsia="Calibri" w:hAnsi="Calibri" w:cs="Calibri"/>
              </w:rPr>
              <w:lastRenderedPageBreak/>
              <w:t xml:space="preserve">score). </w:t>
            </w:r>
          </w:p>
          <w:p w14:paraId="42B3847D" w14:textId="77777777" w:rsidR="0029798A" w:rsidRDefault="0029798A">
            <w:pPr>
              <w:widowControl w:val="0"/>
              <w:spacing w:after="240" w:line="240" w:lineRule="auto"/>
              <w:jc w:val="left"/>
            </w:pPr>
            <w:r>
              <w:rPr>
                <w:rFonts w:ascii="Calibri" w:eastAsia="Calibri" w:hAnsi="Calibri" w:cs="Calibri"/>
              </w:rPr>
              <w:t xml:space="preserve">An implementing body would set a score of 0 where it did not want to assess the funding levels.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7BEE89C5" w14:textId="77777777" w:rsidR="0029798A" w:rsidRDefault="0029798A">
            <w:pPr>
              <w:widowControl w:val="0"/>
              <w:spacing w:after="240" w:line="240" w:lineRule="auto"/>
              <w:jc w:val="center"/>
            </w:pPr>
            <w:r>
              <w:rPr>
                <w:rFonts w:ascii="Calibri" w:eastAsia="Calibri" w:hAnsi="Calibri" w:cs="Calibri"/>
              </w:rPr>
              <w:lastRenderedPageBreak/>
              <w:t xml:space="preserve">[0-40]% </w:t>
            </w:r>
            <w:r>
              <w:rPr>
                <w:rFonts w:ascii="Calibri" w:eastAsia="Calibri" w:hAnsi="Calibri" w:cs="Calibri"/>
                <w:vertAlign w:val="superscript"/>
              </w:rPr>
              <w:footnoteReference w:id="49"/>
            </w:r>
          </w:p>
        </w:tc>
        <w:tc>
          <w:tcPr>
            <w:tcW w:w="2410" w:type="dxa"/>
            <w:tcBorders>
              <w:top w:val="single" w:sz="10" w:space="0" w:color="000000"/>
              <w:left w:val="single" w:sz="10" w:space="0" w:color="000000"/>
              <w:bottom w:val="single" w:sz="10" w:space="0" w:color="000000"/>
              <w:right w:val="single" w:sz="10" w:space="0" w:color="000000"/>
            </w:tcBorders>
          </w:tcPr>
          <w:p w14:paraId="0162A568"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0B6576AA" w14:textId="77777777" w:rsidR="0029798A" w:rsidRDefault="0029798A">
            <w:pPr>
              <w:widowControl w:val="0"/>
              <w:spacing w:after="240" w:line="240" w:lineRule="auto"/>
              <w:jc w:val="center"/>
              <w:rPr>
                <w:rFonts w:ascii="Calibri" w:eastAsia="Calibri" w:hAnsi="Calibri" w:cs="Calibri"/>
              </w:rPr>
            </w:pPr>
          </w:p>
        </w:tc>
      </w:tr>
      <w:tr w:rsidR="0029798A" w14:paraId="24079BE6" w14:textId="4E861C9E"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6A1F756E"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1.7 Solution coverage at NGA speeds </w:t>
            </w:r>
          </w:p>
          <w:p w14:paraId="53E8FB24" w14:textId="77777777" w:rsidR="0029798A" w:rsidRDefault="0029798A">
            <w:pPr>
              <w:widowControl w:val="0"/>
              <w:spacing w:after="240" w:line="240" w:lineRule="auto"/>
              <w:jc w:val="left"/>
            </w:pPr>
            <w:r>
              <w:rPr>
                <w:rFonts w:ascii="Calibri" w:eastAsia="Calibri" w:hAnsi="Calibri" w:cs="Calibri"/>
              </w:rPr>
              <w:t xml:space="preserve">Bidders will be assessed on whether their coverage forecast is consistent with their Solution Design and Implementation Plans, as well as providing the required step change. </w:t>
            </w:r>
          </w:p>
          <w:p w14:paraId="2BF7696C" w14:textId="77777777" w:rsidR="0029798A" w:rsidRDefault="0029798A">
            <w:pPr>
              <w:widowControl w:val="0"/>
              <w:spacing w:after="240" w:line="240" w:lineRule="auto"/>
              <w:jc w:val="left"/>
            </w:pPr>
            <w:r>
              <w:rPr>
                <w:rFonts w:ascii="Calibri" w:eastAsia="Calibri" w:hAnsi="Calibri" w:cs="Calibri"/>
              </w:rPr>
              <w:t xml:space="preserve">Implementing Bodies may also choose to set priority areas to be covered (e.g. a business park). </w:t>
            </w:r>
          </w:p>
          <w:p w14:paraId="4D9429CD" w14:textId="77777777" w:rsidR="0029798A" w:rsidRDefault="0029798A">
            <w:pPr>
              <w:widowControl w:val="0"/>
              <w:spacing w:after="240" w:line="240" w:lineRule="auto"/>
              <w:jc w:val="left"/>
            </w:pPr>
            <w:r>
              <w:rPr>
                <w:rFonts w:ascii="Calibri" w:eastAsia="Calibri" w:hAnsi="Calibri" w:cs="Calibri"/>
              </w:rPr>
              <w:t xml:space="preserve">Bidders will be assessed on the extent of NGA coverage to target premises in the intervention area at 30Mbps and higher speeds.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481487F2" w14:textId="77777777" w:rsidR="0029798A" w:rsidRDefault="0029798A">
            <w:pPr>
              <w:widowControl w:val="0"/>
              <w:spacing w:after="240" w:line="240" w:lineRule="auto"/>
              <w:jc w:val="left"/>
            </w:pPr>
            <w:r>
              <w:rPr>
                <w:rFonts w:ascii="Calibri" w:eastAsia="Calibri" w:hAnsi="Calibri" w:cs="Calibri"/>
              </w:rPr>
              <w:t xml:space="preserve">A score of 0 will be awarded if a Bidder has not provided a compliant Speed &amp; Coverage Template or has failed to commit to the minimum required coverage. </w:t>
            </w:r>
          </w:p>
          <w:p w14:paraId="56B02D06" w14:textId="711A854D" w:rsidR="0029798A" w:rsidRDefault="0029798A">
            <w:pPr>
              <w:widowControl w:val="0"/>
              <w:spacing w:after="240" w:line="240" w:lineRule="auto"/>
              <w:jc w:val="left"/>
            </w:pPr>
            <w:r>
              <w:rPr>
                <w:rFonts w:ascii="Calibri" w:eastAsia="Calibri" w:hAnsi="Calibri" w:cs="Calibri"/>
              </w:rPr>
              <w:t>Scores will be awarded in accordance with the evaluated response to the SCT.  The Local Body has configured the SCT such that it weights the overall score as a function of:</w:t>
            </w:r>
            <w:r>
              <w:rPr>
                <w:rFonts w:ascii="Calibri" w:eastAsia="Calibri" w:hAnsi="Calibri" w:cs="Calibri"/>
                <w:vertAlign w:val="superscript"/>
              </w:rPr>
              <w:footnoteReference w:id="50"/>
            </w:r>
            <w:r>
              <w:rPr>
                <w:rFonts w:ascii="Calibri" w:eastAsia="Calibri" w:hAnsi="Calibri" w:cs="Calibri"/>
              </w:rPr>
              <w:t xml:space="preserve"> </w:t>
            </w:r>
          </w:p>
          <w:p w14:paraId="3FBC1E6A" w14:textId="77777777" w:rsidR="0029798A" w:rsidRDefault="0029798A">
            <w:pPr>
              <w:widowControl w:val="0"/>
              <w:spacing w:after="240" w:line="240" w:lineRule="auto"/>
              <w:jc w:val="left"/>
            </w:pPr>
            <w:r>
              <w:rPr>
                <w:rFonts w:ascii="Calibri" w:eastAsia="Calibri" w:hAnsi="Calibri" w:cs="Calibri"/>
              </w:rPr>
              <w:t>[(i) number of premises covered overall </w:t>
            </w:r>
          </w:p>
          <w:p w14:paraId="2EE79D2E" w14:textId="77777777" w:rsidR="0029798A" w:rsidRDefault="0029798A">
            <w:pPr>
              <w:widowControl w:val="0"/>
              <w:spacing w:after="240" w:line="240" w:lineRule="auto"/>
              <w:jc w:val="left"/>
            </w:pPr>
            <w:r>
              <w:rPr>
                <w:rFonts w:ascii="Calibri" w:eastAsia="Calibri" w:hAnsi="Calibri" w:cs="Calibri"/>
              </w:rPr>
              <w:t xml:space="preserve">(ii) number of premises covered in priority areas </w:t>
            </w:r>
          </w:p>
          <w:p w14:paraId="0685AAEE" w14:textId="77777777" w:rsidR="0029798A" w:rsidRDefault="0029798A">
            <w:pPr>
              <w:widowControl w:val="0"/>
              <w:spacing w:after="240" w:line="240" w:lineRule="auto"/>
              <w:jc w:val="left"/>
            </w:pPr>
            <w:r>
              <w:rPr>
                <w:rFonts w:ascii="Calibri" w:eastAsia="Calibri" w:hAnsi="Calibri" w:cs="Calibri"/>
              </w:rPr>
              <w:t xml:space="preserve">(iii) overall speed of coverage </w:t>
            </w:r>
            <w:r>
              <w:rPr>
                <w:rFonts w:ascii="Calibri" w:eastAsia="Calibri" w:hAnsi="Calibri" w:cs="Calibri"/>
              </w:rPr>
              <w:lastRenderedPageBreak/>
              <w:t>provided </w:t>
            </w:r>
          </w:p>
          <w:p w14:paraId="50FB2F4C" w14:textId="77777777" w:rsidR="0029798A" w:rsidRDefault="0029798A">
            <w:pPr>
              <w:widowControl w:val="0"/>
              <w:spacing w:after="240" w:line="240" w:lineRule="auto"/>
              <w:jc w:val="left"/>
            </w:pPr>
            <w:r>
              <w:rPr>
                <w:rFonts w:ascii="Calibri" w:eastAsia="Calibri" w:hAnsi="Calibri" w:cs="Calibri"/>
              </w:rPr>
              <w:t>(iv) relative increase in speed (i.e. step change).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4F525159" w14:textId="77777777" w:rsidR="0029798A" w:rsidRDefault="0029798A">
            <w:pPr>
              <w:widowControl w:val="0"/>
              <w:spacing w:after="240" w:line="240" w:lineRule="auto"/>
              <w:jc w:val="center"/>
            </w:pPr>
            <w:r>
              <w:rPr>
                <w:rFonts w:ascii="Calibri" w:eastAsia="Calibri" w:hAnsi="Calibri" w:cs="Calibri"/>
              </w:rPr>
              <w:lastRenderedPageBreak/>
              <w:t xml:space="preserve">[20-80]% </w:t>
            </w:r>
          </w:p>
        </w:tc>
        <w:tc>
          <w:tcPr>
            <w:tcW w:w="2410" w:type="dxa"/>
            <w:tcBorders>
              <w:top w:val="single" w:sz="10" w:space="0" w:color="000000"/>
              <w:left w:val="single" w:sz="10" w:space="0" w:color="000000"/>
              <w:bottom w:val="single" w:sz="10" w:space="0" w:color="000000"/>
              <w:right w:val="single" w:sz="10" w:space="0" w:color="000000"/>
            </w:tcBorders>
          </w:tcPr>
          <w:p w14:paraId="2AC5BB2E"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0A04B078" w14:textId="77777777" w:rsidR="0029798A" w:rsidRDefault="0029798A">
            <w:pPr>
              <w:widowControl w:val="0"/>
              <w:spacing w:after="240" w:line="240" w:lineRule="auto"/>
              <w:jc w:val="center"/>
              <w:rPr>
                <w:rFonts w:ascii="Calibri" w:eastAsia="Calibri" w:hAnsi="Calibri" w:cs="Calibri"/>
              </w:rPr>
            </w:pPr>
          </w:p>
        </w:tc>
      </w:tr>
    </w:tbl>
    <w:p w14:paraId="04058200" w14:textId="77777777" w:rsidR="009C0AE8" w:rsidRDefault="009C0AE8">
      <w:r>
        <w:br w:type="page"/>
      </w:r>
    </w:p>
    <w:tbl>
      <w:tblPr>
        <w:tblStyle w:val="a8"/>
        <w:tblW w:w="14019" w:type="dxa"/>
        <w:tblInd w:w="2" w:type="dxa"/>
        <w:tblBorders>
          <w:top w:val="nil"/>
          <w:left w:val="nil"/>
          <w:right w:val="nil"/>
        </w:tblBorders>
        <w:tblLayout w:type="fixed"/>
        <w:tblLook w:val="0000" w:firstRow="0" w:lastRow="0" w:firstColumn="0" w:lastColumn="0" w:noHBand="0" w:noVBand="0"/>
      </w:tblPr>
      <w:tblGrid>
        <w:gridCol w:w="5655"/>
        <w:gridCol w:w="3119"/>
        <w:gridCol w:w="1559"/>
        <w:gridCol w:w="2410"/>
        <w:gridCol w:w="1276"/>
      </w:tblGrid>
      <w:tr w:rsidR="0029798A" w14:paraId="059A065A" w14:textId="70F2A19D" w:rsidTr="009C0AE8">
        <w:tc>
          <w:tcPr>
            <w:tcW w:w="5655" w:type="dxa"/>
            <w:tcBorders>
              <w:top w:val="single" w:sz="61" w:space="0" w:color="C9C9C9"/>
              <w:left w:val="single" w:sz="10" w:space="0" w:color="000000"/>
              <w:bottom w:val="single" w:sz="64" w:space="0" w:color="A2A2A2"/>
              <w:right w:val="single" w:sz="10" w:space="0" w:color="000000"/>
            </w:tcBorders>
            <w:shd w:val="clear" w:color="auto" w:fill="D1D1D1"/>
            <w:tcMar>
              <w:left w:w="0" w:type="dxa"/>
              <w:right w:w="0" w:type="dxa"/>
            </w:tcMar>
            <w:vAlign w:val="center"/>
          </w:tcPr>
          <w:p w14:paraId="52F494DB" w14:textId="201FEE4B" w:rsidR="0029798A" w:rsidRPr="006C6DC8" w:rsidRDefault="0029798A">
            <w:pPr>
              <w:widowControl w:val="0"/>
              <w:spacing w:after="240" w:line="240" w:lineRule="auto"/>
              <w:jc w:val="left"/>
              <w:rPr>
                <w:b/>
              </w:rPr>
            </w:pPr>
            <w:r w:rsidRPr="006C6DC8">
              <w:rPr>
                <w:rFonts w:ascii="Calibri" w:eastAsia="Calibri" w:hAnsi="Calibri" w:cs="Calibri"/>
                <w:b/>
              </w:rPr>
              <w:lastRenderedPageBreak/>
              <w:t xml:space="preserve">2. Quality </w:t>
            </w:r>
          </w:p>
        </w:tc>
        <w:tc>
          <w:tcPr>
            <w:tcW w:w="3119" w:type="dxa"/>
            <w:tcBorders>
              <w:top w:val="single" w:sz="61" w:space="0" w:color="C8C8C8"/>
              <w:left w:val="single" w:sz="10" w:space="0" w:color="000000"/>
              <w:bottom w:val="single" w:sz="64" w:space="0" w:color="A2A2A2"/>
              <w:right w:val="single" w:sz="10" w:space="0" w:color="000000"/>
            </w:tcBorders>
            <w:shd w:val="clear" w:color="auto" w:fill="D1D1D1"/>
            <w:tcMar>
              <w:left w:w="0" w:type="dxa"/>
              <w:right w:w="0" w:type="dxa"/>
            </w:tcMar>
            <w:vAlign w:val="center"/>
          </w:tcPr>
          <w:p w14:paraId="0BFF6848" w14:textId="77777777" w:rsidR="0029798A" w:rsidRDefault="0029798A">
            <w:pPr>
              <w:widowControl w:val="0"/>
              <w:spacing w:after="0" w:line="240" w:lineRule="auto"/>
              <w:jc w:val="left"/>
            </w:pPr>
          </w:p>
        </w:tc>
        <w:tc>
          <w:tcPr>
            <w:tcW w:w="1559" w:type="dxa"/>
            <w:tcBorders>
              <w:top w:val="single" w:sz="61" w:space="0" w:color="C8C8C8"/>
              <w:left w:val="single" w:sz="10" w:space="0" w:color="000000"/>
              <w:bottom w:val="single" w:sz="64" w:space="0" w:color="A0A0A0"/>
              <w:right w:val="single" w:sz="10" w:space="0" w:color="000000"/>
            </w:tcBorders>
            <w:shd w:val="clear" w:color="auto" w:fill="D1D1D1"/>
            <w:tcMar>
              <w:left w:w="0" w:type="dxa"/>
              <w:right w:w="0" w:type="dxa"/>
            </w:tcMar>
            <w:vAlign w:val="center"/>
          </w:tcPr>
          <w:p w14:paraId="60505A03" w14:textId="77777777" w:rsidR="0029798A" w:rsidRDefault="0029798A">
            <w:pPr>
              <w:widowControl w:val="0"/>
              <w:spacing w:after="240" w:line="240" w:lineRule="auto"/>
              <w:jc w:val="left"/>
            </w:pPr>
            <w:r>
              <w:rPr>
                <w:rFonts w:ascii="Calibri" w:eastAsia="Calibri" w:hAnsi="Calibri" w:cs="Calibri"/>
              </w:rPr>
              <w:t xml:space="preserve">[30-70]% </w:t>
            </w:r>
          </w:p>
        </w:tc>
        <w:tc>
          <w:tcPr>
            <w:tcW w:w="2410" w:type="dxa"/>
            <w:tcBorders>
              <w:top w:val="single" w:sz="61" w:space="0" w:color="C8C8C8"/>
              <w:left w:val="single" w:sz="10" w:space="0" w:color="000000"/>
              <w:bottom w:val="single" w:sz="64" w:space="0" w:color="A0A0A0"/>
              <w:right w:val="single" w:sz="10" w:space="0" w:color="000000"/>
            </w:tcBorders>
            <w:shd w:val="clear" w:color="auto" w:fill="D1D1D1"/>
          </w:tcPr>
          <w:p w14:paraId="71FC6C7B" w14:textId="77777777" w:rsidR="0029798A" w:rsidRDefault="0029798A">
            <w:pPr>
              <w:widowControl w:val="0"/>
              <w:spacing w:after="240" w:line="240" w:lineRule="auto"/>
              <w:jc w:val="left"/>
              <w:rPr>
                <w:rFonts w:ascii="Calibri" w:eastAsia="Calibri" w:hAnsi="Calibri" w:cs="Calibri"/>
              </w:rPr>
            </w:pPr>
          </w:p>
        </w:tc>
        <w:tc>
          <w:tcPr>
            <w:tcW w:w="1276" w:type="dxa"/>
            <w:tcBorders>
              <w:top w:val="single" w:sz="61" w:space="0" w:color="C8C8C8"/>
              <w:left w:val="single" w:sz="10" w:space="0" w:color="000000"/>
              <w:bottom w:val="single" w:sz="64" w:space="0" w:color="A0A0A0"/>
              <w:right w:val="single" w:sz="10" w:space="0" w:color="000000"/>
            </w:tcBorders>
            <w:shd w:val="clear" w:color="auto" w:fill="D1D1D1"/>
          </w:tcPr>
          <w:p w14:paraId="272F02D1" w14:textId="77777777" w:rsidR="0029798A" w:rsidRDefault="0029798A">
            <w:pPr>
              <w:widowControl w:val="0"/>
              <w:spacing w:after="240" w:line="240" w:lineRule="auto"/>
              <w:jc w:val="left"/>
              <w:rPr>
                <w:rFonts w:ascii="Calibri" w:eastAsia="Calibri" w:hAnsi="Calibri" w:cs="Calibri"/>
              </w:rPr>
            </w:pPr>
          </w:p>
        </w:tc>
      </w:tr>
      <w:tr w:rsidR="0029798A" w14:paraId="6BC05EEA" w14:textId="518BCC4A" w:rsidTr="009C0AE8">
        <w:tc>
          <w:tcPr>
            <w:tcW w:w="10333" w:type="dxa"/>
            <w:gridSpan w:val="3"/>
            <w:tcBorders>
              <w:top w:val="single" w:sz="64" w:space="0" w:color="979797"/>
              <w:left w:val="single" w:sz="10" w:space="0" w:color="000000"/>
              <w:bottom w:val="single" w:sz="10" w:space="0" w:color="000000"/>
              <w:right w:val="single" w:sz="10" w:space="0" w:color="000000"/>
            </w:tcBorders>
            <w:tcMar>
              <w:left w:w="0" w:type="dxa"/>
              <w:right w:w="0" w:type="dxa"/>
            </w:tcMar>
            <w:vAlign w:val="center"/>
          </w:tcPr>
          <w:p w14:paraId="00F25555"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Quality - solution quality and viability </w:t>
            </w:r>
          </w:p>
        </w:tc>
        <w:tc>
          <w:tcPr>
            <w:tcW w:w="2410" w:type="dxa"/>
            <w:tcBorders>
              <w:top w:val="single" w:sz="64" w:space="0" w:color="979797"/>
              <w:left w:val="single" w:sz="10" w:space="0" w:color="000000"/>
              <w:bottom w:val="single" w:sz="10" w:space="0" w:color="000000"/>
              <w:right w:val="single" w:sz="10" w:space="0" w:color="000000"/>
            </w:tcBorders>
          </w:tcPr>
          <w:p w14:paraId="0F369414" w14:textId="77777777" w:rsidR="0029798A" w:rsidRPr="006C6DC8" w:rsidRDefault="0029798A">
            <w:pPr>
              <w:widowControl w:val="0"/>
              <w:spacing w:after="240" w:line="240" w:lineRule="auto"/>
              <w:jc w:val="left"/>
              <w:rPr>
                <w:rFonts w:ascii="Calibri" w:eastAsia="Calibri" w:hAnsi="Calibri" w:cs="Calibri"/>
                <w:b/>
              </w:rPr>
            </w:pPr>
          </w:p>
        </w:tc>
        <w:tc>
          <w:tcPr>
            <w:tcW w:w="1276" w:type="dxa"/>
            <w:tcBorders>
              <w:top w:val="single" w:sz="64" w:space="0" w:color="979797"/>
              <w:left w:val="single" w:sz="10" w:space="0" w:color="000000"/>
              <w:bottom w:val="single" w:sz="10" w:space="0" w:color="000000"/>
              <w:right w:val="single" w:sz="10" w:space="0" w:color="000000"/>
            </w:tcBorders>
          </w:tcPr>
          <w:p w14:paraId="7B290DD8" w14:textId="77777777" w:rsidR="0029798A" w:rsidRPr="006C6DC8" w:rsidRDefault="0029798A">
            <w:pPr>
              <w:widowControl w:val="0"/>
              <w:spacing w:after="240" w:line="240" w:lineRule="auto"/>
              <w:jc w:val="left"/>
              <w:rPr>
                <w:rFonts w:ascii="Calibri" w:eastAsia="Calibri" w:hAnsi="Calibri" w:cs="Calibri"/>
                <w:b/>
              </w:rPr>
            </w:pPr>
          </w:p>
        </w:tc>
      </w:tr>
      <w:tr w:rsidR="0029798A" w14:paraId="7081F7BE" w14:textId="710504F0"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4E062A53"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2.1 Solution design compliance </w:t>
            </w:r>
          </w:p>
          <w:p w14:paraId="5D928625" w14:textId="77777777" w:rsidR="0029798A" w:rsidRDefault="0029798A">
            <w:pPr>
              <w:widowControl w:val="0"/>
              <w:spacing w:after="240" w:line="240" w:lineRule="auto"/>
              <w:jc w:val="left"/>
            </w:pPr>
            <w:r>
              <w:rPr>
                <w:rFonts w:ascii="Calibri" w:eastAsia="Calibri" w:hAnsi="Calibri" w:cs="Calibri"/>
              </w:rPr>
              <w:t xml:space="preserve">Bidders will be assessed on whether the Solution is NGA Technology compliant.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59312B08" w14:textId="77777777" w:rsidR="0029798A" w:rsidRDefault="0029798A">
            <w:pPr>
              <w:widowControl w:val="0"/>
              <w:spacing w:after="240" w:line="240" w:lineRule="auto"/>
              <w:jc w:val="left"/>
            </w:pPr>
            <w:r>
              <w:rPr>
                <w:rFonts w:ascii="Calibri" w:eastAsia="Calibri" w:hAnsi="Calibri" w:cs="Calibri"/>
              </w:rPr>
              <w:t xml:space="preserve">Pass / Fail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4E4CB9D5" w14:textId="77777777" w:rsidR="0029798A" w:rsidRDefault="0029798A">
            <w:pPr>
              <w:widowControl w:val="0"/>
              <w:spacing w:after="240" w:line="240" w:lineRule="auto"/>
              <w:jc w:val="center"/>
            </w:pPr>
            <w:r>
              <w:rPr>
                <w:rFonts w:ascii="Calibri" w:eastAsia="Calibri" w:hAnsi="Calibri" w:cs="Calibri"/>
              </w:rPr>
              <w:t xml:space="preserve">n/a </w:t>
            </w:r>
          </w:p>
        </w:tc>
        <w:tc>
          <w:tcPr>
            <w:tcW w:w="2410" w:type="dxa"/>
            <w:tcBorders>
              <w:top w:val="single" w:sz="10" w:space="0" w:color="000000"/>
              <w:left w:val="single" w:sz="10" w:space="0" w:color="000000"/>
              <w:bottom w:val="single" w:sz="10" w:space="0" w:color="000000"/>
              <w:right w:val="single" w:sz="10" w:space="0" w:color="000000"/>
            </w:tcBorders>
          </w:tcPr>
          <w:p w14:paraId="6BE03A48"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689B538F" w14:textId="77777777" w:rsidR="0029798A" w:rsidRDefault="0029798A">
            <w:pPr>
              <w:widowControl w:val="0"/>
              <w:spacing w:after="240" w:line="240" w:lineRule="auto"/>
              <w:jc w:val="center"/>
              <w:rPr>
                <w:rFonts w:ascii="Calibri" w:eastAsia="Calibri" w:hAnsi="Calibri" w:cs="Calibri"/>
              </w:rPr>
            </w:pPr>
          </w:p>
        </w:tc>
      </w:tr>
      <w:tr w:rsidR="0029798A" w14:paraId="540B361F" w14:textId="29E19634"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450A2C49"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2.2 Solution design quality </w:t>
            </w:r>
          </w:p>
          <w:p w14:paraId="3251B487" w14:textId="77777777" w:rsidR="0029798A" w:rsidRDefault="0029798A">
            <w:pPr>
              <w:widowControl w:val="0"/>
              <w:spacing w:after="240" w:line="240" w:lineRule="auto"/>
              <w:jc w:val="left"/>
            </w:pPr>
            <w:r>
              <w:rPr>
                <w:rFonts w:ascii="Calibri" w:eastAsia="Calibri" w:hAnsi="Calibri" w:cs="Calibri"/>
              </w:rPr>
              <w:t xml:space="preserve">[Baseline Capability] The Bidder adequately describes its Solution, including the service management processes for the support of the Solution and has adequate design principles including considering reuse of infrastructure, mitigating environmental impacts and minimising single points of failure). Each of the underlying infrastructures in the Bidder’s solution also meets baseline standards for jitter, latency, committed information rate, and service levels for installation and fix (as set out in tender documents). </w:t>
            </w:r>
          </w:p>
          <w:p w14:paraId="038767E1" w14:textId="77777777" w:rsidR="0029798A" w:rsidRDefault="0029798A">
            <w:pPr>
              <w:widowControl w:val="0"/>
              <w:spacing w:after="240" w:line="240" w:lineRule="auto"/>
              <w:jc w:val="left"/>
            </w:pPr>
            <w:r>
              <w:rPr>
                <w:rFonts w:ascii="Calibri" w:eastAsia="Calibri" w:hAnsi="Calibri" w:cs="Calibri"/>
              </w:rPr>
              <w:t xml:space="preserve">[Maximum Capability] In addition to the baseline capability, each of the underlying infrastructures in the Bidder’s Solution significantly exceed baseline standards for jitter, latency, committed information rate, and service levels for installation and fix. The Bidder provides evidence and reasonable confidence that an upgrade path is achievable in the future (e.g. to ultrafast speeds or higher), and is designed to facilitate access and extension to the network to reduce the barriers to incremental coverage (up to 100% coverage of speeds of at </w:t>
            </w:r>
            <w:r>
              <w:rPr>
                <w:rFonts w:ascii="Calibri" w:eastAsia="Calibri" w:hAnsi="Calibri" w:cs="Calibri"/>
              </w:rPr>
              <w:lastRenderedPageBreak/>
              <w:t xml:space="preserve">least 30 Mbps) in the area (either from the selected supplier or from other access seekers).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7CA8C521" w14:textId="77777777" w:rsidR="0029798A" w:rsidRDefault="0029798A">
            <w:pPr>
              <w:widowControl w:val="0"/>
              <w:spacing w:after="240" w:line="240" w:lineRule="auto"/>
              <w:jc w:val="left"/>
            </w:pPr>
            <w:r>
              <w:rPr>
                <w:rFonts w:ascii="Calibri" w:eastAsia="Calibri" w:hAnsi="Calibri" w:cs="Calibri"/>
              </w:rPr>
              <w:lastRenderedPageBreak/>
              <w:t xml:space="preserve">Bids will be scored between 0 and [10]. </w:t>
            </w:r>
          </w:p>
          <w:p w14:paraId="719F6B23" w14:textId="77777777" w:rsidR="0029798A" w:rsidRDefault="0029798A">
            <w:pPr>
              <w:widowControl w:val="0"/>
              <w:spacing w:after="240" w:line="240" w:lineRule="auto"/>
              <w:jc w:val="left"/>
            </w:pPr>
            <w:r>
              <w:rPr>
                <w:rFonts w:ascii="Calibri" w:eastAsia="Calibri" w:hAnsi="Calibri" w:cs="Calibri"/>
              </w:rPr>
              <w:t xml:space="preserve">A score of [5] will be awarded if a Bidder has provided a solution design that achieves the baseline capability. </w:t>
            </w:r>
          </w:p>
          <w:p w14:paraId="0BDE0A24" w14:textId="77777777" w:rsidR="0029798A" w:rsidRDefault="0029798A">
            <w:pPr>
              <w:widowControl w:val="0"/>
              <w:spacing w:after="240" w:line="240" w:lineRule="auto"/>
              <w:jc w:val="left"/>
            </w:pPr>
            <w:r>
              <w:rPr>
                <w:rFonts w:ascii="Calibri" w:eastAsia="Calibri" w:hAnsi="Calibri" w:cs="Calibri"/>
              </w:rPr>
              <w:t xml:space="preserve">A score of [10] will be awarded if a Bidder provides a solution design that achieves maximum capability.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6037B442" w14:textId="77777777" w:rsidR="0029798A" w:rsidRDefault="0029798A">
            <w:pPr>
              <w:widowControl w:val="0"/>
              <w:spacing w:after="240" w:line="240" w:lineRule="auto"/>
              <w:jc w:val="center"/>
            </w:pPr>
            <w:r>
              <w:rPr>
                <w:rFonts w:ascii="Calibri" w:eastAsia="Calibri" w:hAnsi="Calibri" w:cs="Calibri"/>
              </w:rPr>
              <w:t xml:space="preserve">[20-40]% </w:t>
            </w:r>
          </w:p>
        </w:tc>
        <w:tc>
          <w:tcPr>
            <w:tcW w:w="2410" w:type="dxa"/>
            <w:tcBorders>
              <w:top w:val="single" w:sz="10" w:space="0" w:color="000000"/>
              <w:left w:val="single" w:sz="10" w:space="0" w:color="000000"/>
              <w:bottom w:val="single" w:sz="10" w:space="0" w:color="000000"/>
              <w:right w:val="single" w:sz="10" w:space="0" w:color="000000"/>
            </w:tcBorders>
          </w:tcPr>
          <w:p w14:paraId="7C4A61CE"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4E4C0907" w14:textId="77777777" w:rsidR="0029798A" w:rsidRDefault="0029798A">
            <w:pPr>
              <w:widowControl w:val="0"/>
              <w:spacing w:after="240" w:line="240" w:lineRule="auto"/>
              <w:jc w:val="center"/>
              <w:rPr>
                <w:rFonts w:ascii="Calibri" w:eastAsia="Calibri" w:hAnsi="Calibri" w:cs="Calibri"/>
              </w:rPr>
            </w:pPr>
          </w:p>
        </w:tc>
      </w:tr>
      <w:tr w:rsidR="0029798A" w14:paraId="17027F58" w14:textId="56033DF7" w:rsidTr="009C0AE8">
        <w:tc>
          <w:tcPr>
            <w:tcW w:w="10333" w:type="dxa"/>
            <w:gridSpan w:val="3"/>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4D281D8D"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Quality - customer choice/acceptance and solution value add </w:t>
            </w:r>
          </w:p>
        </w:tc>
        <w:tc>
          <w:tcPr>
            <w:tcW w:w="2410" w:type="dxa"/>
            <w:tcBorders>
              <w:top w:val="single" w:sz="10" w:space="0" w:color="000000"/>
              <w:left w:val="single" w:sz="10" w:space="0" w:color="000000"/>
              <w:bottom w:val="single" w:sz="10" w:space="0" w:color="000000"/>
              <w:right w:val="single" w:sz="10" w:space="0" w:color="000000"/>
            </w:tcBorders>
          </w:tcPr>
          <w:p w14:paraId="5DD34984" w14:textId="77777777" w:rsidR="0029798A" w:rsidRPr="006C6DC8" w:rsidRDefault="0029798A">
            <w:pPr>
              <w:widowControl w:val="0"/>
              <w:spacing w:after="240" w:line="240" w:lineRule="auto"/>
              <w:jc w:val="left"/>
              <w:rPr>
                <w:rFonts w:ascii="Calibri" w:eastAsia="Calibri" w:hAnsi="Calibri" w:cs="Calibri"/>
                <w:b/>
              </w:rPr>
            </w:pPr>
          </w:p>
        </w:tc>
        <w:tc>
          <w:tcPr>
            <w:tcW w:w="1276" w:type="dxa"/>
            <w:tcBorders>
              <w:top w:val="single" w:sz="10" w:space="0" w:color="000000"/>
              <w:left w:val="single" w:sz="10" w:space="0" w:color="000000"/>
              <w:bottom w:val="single" w:sz="10" w:space="0" w:color="000000"/>
              <w:right w:val="single" w:sz="10" w:space="0" w:color="000000"/>
            </w:tcBorders>
          </w:tcPr>
          <w:p w14:paraId="556D0033" w14:textId="77777777" w:rsidR="0029798A" w:rsidRPr="006C6DC8" w:rsidRDefault="0029798A">
            <w:pPr>
              <w:widowControl w:val="0"/>
              <w:spacing w:after="240" w:line="240" w:lineRule="auto"/>
              <w:jc w:val="left"/>
              <w:rPr>
                <w:rFonts w:ascii="Calibri" w:eastAsia="Calibri" w:hAnsi="Calibri" w:cs="Calibri"/>
                <w:b/>
              </w:rPr>
            </w:pPr>
          </w:p>
        </w:tc>
      </w:tr>
      <w:tr w:rsidR="0029798A" w14:paraId="67619CBE" w14:textId="51AD8BB4"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163246FA" w14:textId="77777777" w:rsidR="0029798A" w:rsidRPr="006C6DC8" w:rsidRDefault="0029798A">
            <w:pPr>
              <w:widowControl w:val="0"/>
              <w:spacing w:after="240" w:line="240" w:lineRule="auto"/>
              <w:jc w:val="left"/>
              <w:rPr>
                <w:rFonts w:ascii="Calibri" w:eastAsia="Calibri" w:hAnsi="Calibri" w:cs="Calibri"/>
                <w:b/>
              </w:rPr>
            </w:pPr>
            <w:r w:rsidRPr="006C6DC8">
              <w:rPr>
                <w:rFonts w:ascii="Calibri" w:eastAsia="Calibri" w:hAnsi="Calibri" w:cs="Calibri"/>
                <w:b/>
              </w:rPr>
              <w:t xml:space="preserve">2.3 Wholesale network design/Wholesale and retail pricing </w:t>
            </w:r>
          </w:p>
          <w:p w14:paraId="55DC13A2" w14:textId="21D9ADBA" w:rsidR="0029798A" w:rsidRDefault="0029798A">
            <w:pPr>
              <w:widowControl w:val="0"/>
              <w:spacing w:after="240" w:line="240" w:lineRule="auto"/>
              <w:jc w:val="left"/>
            </w:pPr>
            <w:r>
              <w:rPr>
                <w:rFonts w:ascii="Calibri" w:eastAsia="Calibri" w:hAnsi="Calibri" w:cs="Calibri"/>
              </w:rPr>
              <w:t xml:space="preserve">[Baseline Capability] The Bidder has documented its wholesale products and services and provided a high degree of confidence that at least one ISP (which may be the Bidder itself) will be ready to provide broadband services over the NGA infrastructure to all premises in the intervention area, and have adequately documented how their wholesale pricing is compliant with the benchmarking principles. </w:t>
            </w:r>
          </w:p>
          <w:p w14:paraId="76E9FE52" w14:textId="77777777" w:rsidR="0029798A" w:rsidRDefault="0029798A">
            <w:pPr>
              <w:widowControl w:val="0"/>
              <w:spacing w:after="240" w:line="240" w:lineRule="auto"/>
              <w:jc w:val="left"/>
            </w:pPr>
            <w:r>
              <w:rPr>
                <w:rFonts w:ascii="Calibri" w:eastAsia="Calibri" w:hAnsi="Calibri" w:cs="Calibri"/>
              </w:rPr>
              <w:t xml:space="preserve">[Maximum Capability] In addition to the baseline capability, the Bidder’s wholesale offering meets a wide range of retail and end user requirements, and has optimised its approach to attract and bring on-board ISPs to use wholesale products. The Bidder provides a high degree of confidence that it is able to attract a large number of ISPs (including major ISPs) who offer a wide breadth of services using the network.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09CE9324" w14:textId="77777777" w:rsidR="0029798A" w:rsidRDefault="0029798A">
            <w:pPr>
              <w:widowControl w:val="0"/>
              <w:spacing w:after="240" w:line="240" w:lineRule="auto"/>
              <w:jc w:val="left"/>
            </w:pPr>
            <w:r>
              <w:rPr>
                <w:rFonts w:ascii="Calibri" w:eastAsia="Calibri" w:hAnsi="Calibri" w:cs="Calibri"/>
              </w:rPr>
              <w:t xml:space="preserve">Bids will be scored between 0 and [10]. </w:t>
            </w:r>
          </w:p>
          <w:p w14:paraId="54EF8F96" w14:textId="77777777" w:rsidR="0029798A" w:rsidRDefault="0029798A">
            <w:pPr>
              <w:widowControl w:val="0"/>
              <w:spacing w:after="240" w:line="240" w:lineRule="auto"/>
              <w:jc w:val="left"/>
            </w:pPr>
            <w:r>
              <w:rPr>
                <w:rFonts w:ascii="Calibri" w:eastAsia="Calibri" w:hAnsi="Calibri" w:cs="Calibri"/>
              </w:rPr>
              <w:t xml:space="preserve">[A score of 0 will be awarded if a Bidder has not documented its wholesale products and services, or they are not compliant with the benchmarking principles]. </w:t>
            </w:r>
          </w:p>
          <w:p w14:paraId="05646096" w14:textId="77777777" w:rsidR="0029798A" w:rsidRDefault="0029798A">
            <w:pPr>
              <w:widowControl w:val="0"/>
              <w:spacing w:after="240" w:line="240" w:lineRule="auto"/>
              <w:jc w:val="left"/>
            </w:pPr>
            <w:r>
              <w:rPr>
                <w:rFonts w:ascii="Calibri" w:eastAsia="Calibri" w:hAnsi="Calibri" w:cs="Calibri"/>
              </w:rPr>
              <w:t xml:space="preserve">A score of [5] will be awarded if a Bidder has provided a wholesale design that achieves the baseline capability. </w:t>
            </w:r>
          </w:p>
          <w:p w14:paraId="76DA0DF7" w14:textId="77777777" w:rsidR="0029798A" w:rsidRDefault="0029798A">
            <w:pPr>
              <w:widowControl w:val="0"/>
              <w:spacing w:after="240" w:line="240" w:lineRule="auto"/>
              <w:jc w:val="left"/>
            </w:pPr>
            <w:r>
              <w:rPr>
                <w:rFonts w:ascii="Calibri" w:eastAsia="Calibri" w:hAnsi="Calibri" w:cs="Calibri"/>
              </w:rPr>
              <w:t xml:space="preserve">A score of [10] will be awarded if a Bidder provides a wholesale design that achieves maximum capability.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2656B4C4" w14:textId="77777777" w:rsidR="0029798A" w:rsidRDefault="0029798A">
            <w:pPr>
              <w:widowControl w:val="0"/>
              <w:spacing w:after="240" w:line="240" w:lineRule="auto"/>
              <w:jc w:val="center"/>
            </w:pPr>
            <w:r>
              <w:rPr>
                <w:rFonts w:ascii="Calibri" w:eastAsia="Calibri" w:hAnsi="Calibri" w:cs="Calibri"/>
              </w:rPr>
              <w:t xml:space="preserve">[20-40]% </w:t>
            </w:r>
          </w:p>
        </w:tc>
        <w:tc>
          <w:tcPr>
            <w:tcW w:w="2410" w:type="dxa"/>
            <w:tcBorders>
              <w:top w:val="single" w:sz="10" w:space="0" w:color="000000"/>
              <w:left w:val="single" w:sz="10" w:space="0" w:color="000000"/>
              <w:bottom w:val="single" w:sz="10" w:space="0" w:color="000000"/>
              <w:right w:val="single" w:sz="10" w:space="0" w:color="000000"/>
            </w:tcBorders>
          </w:tcPr>
          <w:p w14:paraId="6FE286D1"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09D556CE" w14:textId="77777777" w:rsidR="0029798A" w:rsidRDefault="0029798A">
            <w:pPr>
              <w:widowControl w:val="0"/>
              <w:spacing w:after="240" w:line="240" w:lineRule="auto"/>
              <w:jc w:val="center"/>
              <w:rPr>
                <w:rFonts w:ascii="Calibri" w:eastAsia="Calibri" w:hAnsi="Calibri" w:cs="Calibri"/>
              </w:rPr>
            </w:pPr>
          </w:p>
        </w:tc>
      </w:tr>
      <w:tr w:rsidR="0029798A" w14:paraId="28EF6090" w14:textId="586FCB37"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26C70130"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2.4 Economic Value Add </w:t>
            </w:r>
          </w:p>
          <w:p w14:paraId="3B8551F3" w14:textId="77777777" w:rsidR="0029798A" w:rsidRDefault="0029798A">
            <w:pPr>
              <w:widowControl w:val="0"/>
              <w:spacing w:after="240" w:line="240" w:lineRule="auto"/>
              <w:jc w:val="left"/>
            </w:pPr>
            <w:r>
              <w:rPr>
                <w:rFonts w:ascii="Calibri" w:eastAsia="Calibri" w:hAnsi="Calibri" w:cs="Calibri"/>
              </w:rPr>
              <w:t xml:space="preserve">Bidders will be assessed on the extent to which they have provided credible evidence of their ability to create/safeguard jobs within the Bidder’s organisation or supply chain, to create apprenticeships and/or to create opportunities for the long </w:t>
            </w:r>
            <w:r>
              <w:rPr>
                <w:rFonts w:ascii="Calibri" w:eastAsia="Calibri" w:hAnsi="Calibri" w:cs="Calibri"/>
              </w:rPr>
              <w:lastRenderedPageBreak/>
              <w:t>term unemployed.</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04A5A402" w14:textId="77777777" w:rsidR="0029798A" w:rsidRDefault="0029798A">
            <w:pPr>
              <w:widowControl w:val="0"/>
              <w:spacing w:after="240" w:line="240" w:lineRule="auto"/>
              <w:jc w:val="left"/>
            </w:pPr>
            <w:r>
              <w:rPr>
                <w:rFonts w:ascii="Calibri" w:eastAsia="Calibri" w:hAnsi="Calibri" w:cs="Calibri"/>
              </w:rPr>
              <w:lastRenderedPageBreak/>
              <w:t xml:space="preserve">Bids will be scored between 0 and [10], dependent on the level of jobs created/safeguarded and opportunities provided.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61919433" w14:textId="77777777" w:rsidR="0029798A" w:rsidRDefault="0029798A">
            <w:pPr>
              <w:widowControl w:val="0"/>
              <w:spacing w:after="240" w:line="240" w:lineRule="auto"/>
              <w:jc w:val="center"/>
            </w:pPr>
            <w:r>
              <w:rPr>
                <w:rFonts w:ascii="Calibri" w:eastAsia="Calibri" w:hAnsi="Calibri" w:cs="Calibri"/>
              </w:rPr>
              <w:t xml:space="preserve">[0-10]% </w:t>
            </w:r>
          </w:p>
        </w:tc>
        <w:tc>
          <w:tcPr>
            <w:tcW w:w="2410" w:type="dxa"/>
            <w:tcBorders>
              <w:top w:val="single" w:sz="10" w:space="0" w:color="000000"/>
              <w:left w:val="single" w:sz="10" w:space="0" w:color="000000"/>
              <w:bottom w:val="single" w:sz="10" w:space="0" w:color="000000"/>
              <w:right w:val="single" w:sz="10" w:space="0" w:color="000000"/>
            </w:tcBorders>
          </w:tcPr>
          <w:p w14:paraId="1BC23EF3"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53D3E787" w14:textId="77777777" w:rsidR="0029798A" w:rsidRDefault="0029798A">
            <w:pPr>
              <w:widowControl w:val="0"/>
              <w:spacing w:after="240" w:line="240" w:lineRule="auto"/>
              <w:jc w:val="center"/>
              <w:rPr>
                <w:rFonts w:ascii="Calibri" w:eastAsia="Calibri" w:hAnsi="Calibri" w:cs="Calibri"/>
              </w:rPr>
            </w:pPr>
          </w:p>
        </w:tc>
      </w:tr>
      <w:tr w:rsidR="0029798A" w14:paraId="10A9C09E" w14:textId="03660B20" w:rsidTr="009C0AE8">
        <w:tc>
          <w:tcPr>
            <w:tcW w:w="10333" w:type="dxa"/>
            <w:gridSpan w:val="3"/>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02584DB5"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Quality – Deliverability </w:t>
            </w:r>
          </w:p>
        </w:tc>
        <w:tc>
          <w:tcPr>
            <w:tcW w:w="2410" w:type="dxa"/>
            <w:tcBorders>
              <w:top w:val="single" w:sz="10" w:space="0" w:color="000000"/>
              <w:left w:val="single" w:sz="10" w:space="0" w:color="000000"/>
              <w:bottom w:val="single" w:sz="10" w:space="0" w:color="000000"/>
              <w:right w:val="single" w:sz="10" w:space="0" w:color="000000"/>
            </w:tcBorders>
          </w:tcPr>
          <w:p w14:paraId="3F5AE976" w14:textId="77777777" w:rsidR="0029798A" w:rsidRPr="006C6DC8" w:rsidRDefault="0029798A">
            <w:pPr>
              <w:widowControl w:val="0"/>
              <w:spacing w:after="240" w:line="240" w:lineRule="auto"/>
              <w:jc w:val="left"/>
              <w:rPr>
                <w:rFonts w:ascii="Calibri" w:eastAsia="Calibri" w:hAnsi="Calibri" w:cs="Calibri"/>
                <w:b/>
              </w:rPr>
            </w:pPr>
          </w:p>
        </w:tc>
        <w:tc>
          <w:tcPr>
            <w:tcW w:w="1276" w:type="dxa"/>
            <w:tcBorders>
              <w:top w:val="single" w:sz="10" w:space="0" w:color="000000"/>
              <w:left w:val="single" w:sz="10" w:space="0" w:color="000000"/>
              <w:bottom w:val="single" w:sz="10" w:space="0" w:color="000000"/>
              <w:right w:val="single" w:sz="10" w:space="0" w:color="000000"/>
            </w:tcBorders>
          </w:tcPr>
          <w:p w14:paraId="7CC57F5F" w14:textId="77777777" w:rsidR="0029798A" w:rsidRPr="006C6DC8" w:rsidRDefault="0029798A">
            <w:pPr>
              <w:widowControl w:val="0"/>
              <w:spacing w:after="240" w:line="240" w:lineRule="auto"/>
              <w:jc w:val="left"/>
              <w:rPr>
                <w:rFonts w:ascii="Calibri" w:eastAsia="Calibri" w:hAnsi="Calibri" w:cs="Calibri"/>
                <w:b/>
              </w:rPr>
            </w:pPr>
          </w:p>
        </w:tc>
      </w:tr>
      <w:tr w:rsidR="006637DE" w14:paraId="0FB7CED7" w14:textId="3FB45AEB" w:rsidTr="009C0AE8">
        <w:trPr>
          <w:trHeight w:val="7488"/>
        </w:trPr>
        <w:tc>
          <w:tcPr>
            <w:tcW w:w="5655" w:type="dxa"/>
            <w:vMerge w:val="restart"/>
            <w:tcBorders>
              <w:top w:val="single" w:sz="10" w:space="0" w:color="000000"/>
              <w:left w:val="single" w:sz="10" w:space="0" w:color="000000"/>
              <w:right w:val="single" w:sz="10" w:space="0" w:color="000000"/>
            </w:tcBorders>
            <w:tcMar>
              <w:left w:w="0" w:type="dxa"/>
              <w:right w:w="0" w:type="dxa"/>
            </w:tcMar>
            <w:vAlign w:val="center"/>
          </w:tcPr>
          <w:p w14:paraId="5B4F3927" w14:textId="77777777" w:rsidR="006637DE" w:rsidRPr="006C6DC8" w:rsidRDefault="006637DE" w:rsidP="009C0AE8">
            <w:pPr>
              <w:widowControl w:val="0"/>
              <w:spacing w:after="240" w:line="240" w:lineRule="auto"/>
              <w:rPr>
                <w:b/>
              </w:rPr>
            </w:pPr>
            <w:r w:rsidRPr="006C6DC8">
              <w:rPr>
                <w:rFonts w:ascii="Calibri" w:eastAsia="Calibri" w:hAnsi="Calibri" w:cs="Calibri"/>
                <w:b/>
              </w:rPr>
              <w:lastRenderedPageBreak/>
              <w:t xml:space="preserve">2.5 Implementation Plan </w:t>
            </w:r>
          </w:p>
          <w:p w14:paraId="09507027" w14:textId="77777777" w:rsidR="006637DE" w:rsidRDefault="006637DE" w:rsidP="009C0AE8">
            <w:pPr>
              <w:widowControl w:val="0"/>
              <w:spacing w:after="240" w:line="240" w:lineRule="auto"/>
            </w:pPr>
            <w:r>
              <w:rPr>
                <w:rFonts w:ascii="Calibri" w:eastAsia="Calibri" w:hAnsi="Calibri" w:cs="Calibri"/>
              </w:rPr>
              <w:t xml:space="preserve">[Baseline Capability] The Bidder has provided a compliant Implementation Plan, which meets specified delivery dates for completion of network deployment (if any), and is consistent with the speeds and coverage outputs and the Financial Model. The Bidder has documented an acceptable approach to deployment. </w:t>
            </w:r>
          </w:p>
          <w:p w14:paraId="6DEB399E" w14:textId="77777777" w:rsidR="006637DE" w:rsidRDefault="006637DE" w:rsidP="009C0AE8">
            <w:pPr>
              <w:widowControl w:val="0"/>
              <w:spacing w:after="240" w:line="240" w:lineRule="auto"/>
            </w:pPr>
            <w:r>
              <w:rPr>
                <w:rFonts w:ascii="Calibri" w:eastAsia="Calibri" w:hAnsi="Calibri" w:cs="Calibri"/>
              </w:rPr>
              <w:t xml:space="preserve">[Maximum Capability] In addition to the baseline capability, the Bidder has in its proposal allowed for appropriate resources and has provided confidence to the Implementing Body in describing its approach to planning, deployment, testing and overall project management. The Bidder in its proposal provides confidence in its approach to including sufficient contingency in its Implementation Plan and has aligned it with the Implementing Body’s priorities in the coverage area, including sequencing and pace of delivery. </w:t>
            </w:r>
          </w:p>
        </w:tc>
        <w:tc>
          <w:tcPr>
            <w:tcW w:w="3119" w:type="dxa"/>
            <w:vMerge w:val="restart"/>
            <w:tcBorders>
              <w:top w:val="single" w:sz="10" w:space="0" w:color="000000"/>
              <w:left w:val="single" w:sz="10" w:space="0" w:color="000000"/>
              <w:right w:val="single" w:sz="10" w:space="0" w:color="000000"/>
            </w:tcBorders>
            <w:tcMar>
              <w:left w:w="0" w:type="dxa"/>
              <w:right w:w="0" w:type="dxa"/>
            </w:tcMar>
            <w:vAlign w:val="center"/>
          </w:tcPr>
          <w:p w14:paraId="740E5E1A" w14:textId="77777777" w:rsidR="006637DE" w:rsidRDefault="006637DE">
            <w:pPr>
              <w:widowControl w:val="0"/>
              <w:spacing w:after="240" w:line="240" w:lineRule="auto"/>
              <w:jc w:val="left"/>
            </w:pPr>
            <w:r>
              <w:rPr>
                <w:rFonts w:ascii="Calibri" w:eastAsia="Calibri" w:hAnsi="Calibri" w:cs="Calibri"/>
              </w:rPr>
              <w:t xml:space="preserve">Bids will be scored between 0 and [10]. </w:t>
            </w:r>
          </w:p>
          <w:p w14:paraId="663D0773" w14:textId="77777777" w:rsidR="006637DE" w:rsidRDefault="006637DE">
            <w:pPr>
              <w:widowControl w:val="0"/>
              <w:spacing w:after="240" w:line="240" w:lineRule="auto"/>
              <w:jc w:val="left"/>
            </w:pPr>
            <w:r>
              <w:rPr>
                <w:rFonts w:ascii="Calibri" w:eastAsia="Calibri" w:hAnsi="Calibri" w:cs="Calibri"/>
              </w:rPr>
              <w:t xml:space="preserve">A score of 0 will be awarded if a Bidder has not provided a compliant Implementation Plan or it shows deployment extending beyond the specified date for delivery. </w:t>
            </w:r>
          </w:p>
          <w:p w14:paraId="4E53B84B" w14:textId="77777777" w:rsidR="006637DE" w:rsidRDefault="006637DE">
            <w:pPr>
              <w:widowControl w:val="0"/>
              <w:spacing w:after="240" w:line="240" w:lineRule="auto"/>
              <w:jc w:val="left"/>
            </w:pPr>
            <w:r>
              <w:rPr>
                <w:rFonts w:ascii="Calibri" w:eastAsia="Calibri" w:hAnsi="Calibri" w:cs="Calibri"/>
              </w:rPr>
              <w:t xml:space="preserve">A score of [5] will be awarded if a Bidder has provided an Implementation Plan and overall deployment approach that achieves the baseline capability. </w:t>
            </w:r>
          </w:p>
          <w:p w14:paraId="7CD1F633" w14:textId="77777777" w:rsidR="006637DE" w:rsidRDefault="006637DE">
            <w:pPr>
              <w:widowControl w:val="0"/>
              <w:spacing w:after="240" w:line="240" w:lineRule="auto"/>
              <w:jc w:val="left"/>
            </w:pPr>
            <w:r>
              <w:rPr>
                <w:rFonts w:ascii="Calibri" w:eastAsia="Calibri" w:hAnsi="Calibri" w:cs="Calibri"/>
              </w:rPr>
              <w:t xml:space="preserve">A score of [10] will be awarded if a Bidder has provided an Implementation Plan and overall deployment approach that achieves maximum capability. </w:t>
            </w:r>
          </w:p>
        </w:tc>
        <w:tc>
          <w:tcPr>
            <w:tcW w:w="1559" w:type="dxa"/>
            <w:vMerge w:val="restart"/>
            <w:tcBorders>
              <w:top w:val="single" w:sz="10" w:space="0" w:color="000000"/>
              <w:left w:val="single" w:sz="10" w:space="0" w:color="000000"/>
              <w:right w:val="single" w:sz="10" w:space="0" w:color="000000"/>
            </w:tcBorders>
            <w:tcMar>
              <w:left w:w="0" w:type="dxa"/>
              <w:right w:w="0" w:type="dxa"/>
            </w:tcMar>
            <w:vAlign w:val="center"/>
          </w:tcPr>
          <w:p w14:paraId="651C30FF" w14:textId="3536557B" w:rsidR="006637DE" w:rsidRDefault="006637DE" w:rsidP="006637DE">
            <w:pPr>
              <w:widowControl w:val="0"/>
              <w:spacing w:after="240" w:line="240" w:lineRule="auto"/>
              <w:jc w:val="center"/>
            </w:pPr>
            <w:r>
              <w:rPr>
                <w:rFonts w:ascii="Calibri" w:eastAsia="Calibri" w:hAnsi="Calibri" w:cs="Calibri"/>
              </w:rPr>
              <w:t>[10-40]%</w:t>
            </w:r>
          </w:p>
          <w:p w14:paraId="1DDF0461" w14:textId="52032984" w:rsidR="006637DE" w:rsidRDefault="006637DE" w:rsidP="004C7B45">
            <w:pPr>
              <w:widowControl w:val="0"/>
              <w:spacing w:after="240" w:line="240" w:lineRule="auto"/>
              <w:jc w:val="center"/>
            </w:pPr>
          </w:p>
        </w:tc>
        <w:tc>
          <w:tcPr>
            <w:tcW w:w="2410" w:type="dxa"/>
            <w:tcBorders>
              <w:top w:val="single" w:sz="10" w:space="0" w:color="000000"/>
              <w:left w:val="single" w:sz="10" w:space="0" w:color="000000"/>
              <w:right w:val="single" w:sz="10" w:space="0" w:color="000000"/>
            </w:tcBorders>
          </w:tcPr>
          <w:p w14:paraId="0CB24835" w14:textId="77777777" w:rsidR="006637DE" w:rsidRDefault="006637DE" w:rsidP="006637DE">
            <w:pPr>
              <w:widowControl w:val="0"/>
              <w:spacing w:after="240" w:line="240" w:lineRule="auto"/>
              <w:rPr>
                <w:rFonts w:ascii="Calibri" w:eastAsia="Calibri" w:hAnsi="Calibri" w:cs="Calibri"/>
              </w:rPr>
            </w:pPr>
            <w:r>
              <w:rPr>
                <w:rFonts w:ascii="Calibri" w:eastAsia="Calibri" w:hAnsi="Calibri" w:cs="Calibri"/>
              </w:rPr>
              <w:t xml:space="preserve">2.5.1 For the extent to which the timescales meet the requirements set out in Part 2 Paragraph 2.4.2.  </w:t>
            </w:r>
          </w:p>
          <w:p w14:paraId="30D82A4C" w14:textId="77777777" w:rsidR="006637DE" w:rsidRDefault="006637DE">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right w:val="single" w:sz="10" w:space="0" w:color="000000"/>
            </w:tcBorders>
          </w:tcPr>
          <w:p w14:paraId="0510C982" w14:textId="60C89F1B" w:rsidR="006637DE" w:rsidRDefault="006637DE">
            <w:pPr>
              <w:widowControl w:val="0"/>
              <w:spacing w:after="240" w:line="240" w:lineRule="auto"/>
              <w:jc w:val="center"/>
              <w:rPr>
                <w:rFonts w:ascii="Calibri" w:eastAsia="Calibri" w:hAnsi="Calibri" w:cs="Calibri"/>
              </w:rPr>
            </w:pPr>
            <w:r>
              <w:rPr>
                <w:rFonts w:ascii="Calibri" w:eastAsia="Calibri" w:hAnsi="Calibri" w:cs="Calibri"/>
              </w:rPr>
              <w:t>[50]%</w:t>
            </w:r>
          </w:p>
        </w:tc>
      </w:tr>
      <w:tr w:rsidR="009C0AE8" w14:paraId="6BC0AFD5" w14:textId="77777777" w:rsidTr="009C0AE8">
        <w:trPr>
          <w:trHeight w:val="1676"/>
        </w:trPr>
        <w:tc>
          <w:tcPr>
            <w:tcW w:w="5655" w:type="dxa"/>
            <w:vMerge/>
            <w:tcBorders>
              <w:left w:val="single" w:sz="10" w:space="0" w:color="000000"/>
              <w:right w:val="single" w:sz="10" w:space="0" w:color="000000"/>
            </w:tcBorders>
            <w:tcMar>
              <w:left w:w="0" w:type="dxa"/>
              <w:right w:w="0" w:type="dxa"/>
            </w:tcMar>
            <w:vAlign w:val="center"/>
          </w:tcPr>
          <w:p w14:paraId="075CEA36" w14:textId="77777777" w:rsidR="006637DE" w:rsidRPr="006C6DC8" w:rsidRDefault="006637DE">
            <w:pPr>
              <w:widowControl w:val="0"/>
              <w:spacing w:after="240" w:line="240" w:lineRule="auto"/>
              <w:jc w:val="left"/>
              <w:rPr>
                <w:rFonts w:ascii="Calibri" w:eastAsia="Calibri" w:hAnsi="Calibri" w:cs="Calibri"/>
                <w:b/>
              </w:rPr>
            </w:pPr>
          </w:p>
        </w:tc>
        <w:tc>
          <w:tcPr>
            <w:tcW w:w="3119" w:type="dxa"/>
            <w:vMerge/>
            <w:tcBorders>
              <w:left w:val="single" w:sz="10" w:space="0" w:color="000000"/>
              <w:right w:val="single" w:sz="10" w:space="0" w:color="000000"/>
            </w:tcBorders>
            <w:tcMar>
              <w:left w:w="0" w:type="dxa"/>
              <w:right w:w="0" w:type="dxa"/>
            </w:tcMar>
            <w:vAlign w:val="center"/>
          </w:tcPr>
          <w:p w14:paraId="1291C1A2" w14:textId="77777777" w:rsidR="006637DE" w:rsidRDefault="006637DE">
            <w:pPr>
              <w:widowControl w:val="0"/>
              <w:spacing w:after="240" w:line="240" w:lineRule="auto"/>
              <w:jc w:val="left"/>
              <w:rPr>
                <w:rFonts w:ascii="Calibri" w:eastAsia="Calibri" w:hAnsi="Calibri" w:cs="Calibri"/>
              </w:rPr>
            </w:pPr>
          </w:p>
        </w:tc>
        <w:tc>
          <w:tcPr>
            <w:tcW w:w="1559" w:type="dxa"/>
            <w:vMerge/>
            <w:tcBorders>
              <w:left w:val="single" w:sz="10" w:space="0" w:color="000000"/>
              <w:right w:val="single" w:sz="10" w:space="0" w:color="000000"/>
            </w:tcBorders>
            <w:tcMar>
              <w:left w:w="0" w:type="dxa"/>
              <w:right w:w="0" w:type="dxa"/>
            </w:tcMar>
            <w:vAlign w:val="center"/>
          </w:tcPr>
          <w:p w14:paraId="7CBE172D" w14:textId="77777777" w:rsidR="006637DE" w:rsidRDefault="006637DE">
            <w:pPr>
              <w:widowControl w:val="0"/>
              <w:spacing w:after="240" w:line="240" w:lineRule="auto"/>
              <w:jc w:val="center"/>
              <w:rPr>
                <w:rFonts w:ascii="Calibri" w:eastAsia="Calibri" w:hAnsi="Calibri" w:cs="Calibri"/>
              </w:rPr>
            </w:pPr>
          </w:p>
        </w:tc>
        <w:tc>
          <w:tcPr>
            <w:tcW w:w="2410" w:type="dxa"/>
            <w:tcBorders>
              <w:top w:val="single" w:sz="10" w:space="0" w:color="000000"/>
              <w:left w:val="single" w:sz="10" w:space="0" w:color="000000"/>
              <w:right w:val="single" w:sz="10" w:space="0" w:color="000000"/>
            </w:tcBorders>
          </w:tcPr>
          <w:p w14:paraId="238C0373" w14:textId="5E5C9E2B" w:rsidR="006637DE" w:rsidRPr="006637DE" w:rsidRDefault="006637DE" w:rsidP="006637DE">
            <w:pPr>
              <w:widowControl w:val="0"/>
              <w:spacing w:after="240" w:line="240" w:lineRule="auto"/>
              <w:jc w:val="left"/>
              <w:rPr>
                <w:rFonts w:ascii="Calibri" w:eastAsia="Calibri" w:hAnsi="Calibri" w:cs="Calibri"/>
              </w:rPr>
            </w:pPr>
            <w:r w:rsidRPr="006637DE">
              <w:rPr>
                <w:rFonts w:ascii="Calibri" w:hAnsi="Calibri"/>
                <w:color w:val="222222"/>
                <w:shd w:val="clear" w:color="auto" w:fill="FFFFFF"/>
              </w:rPr>
              <w:t>2.5.2 For the extent to which all other baseline and maximum capability requirements are addressed.</w:t>
            </w:r>
          </w:p>
        </w:tc>
        <w:tc>
          <w:tcPr>
            <w:tcW w:w="1276" w:type="dxa"/>
            <w:tcBorders>
              <w:top w:val="single" w:sz="10" w:space="0" w:color="000000"/>
              <w:left w:val="single" w:sz="10" w:space="0" w:color="000000"/>
              <w:right w:val="single" w:sz="10" w:space="0" w:color="000000"/>
            </w:tcBorders>
          </w:tcPr>
          <w:p w14:paraId="4D6D0E0C" w14:textId="0B8CCB31" w:rsidR="006637DE" w:rsidRDefault="006637DE">
            <w:pPr>
              <w:widowControl w:val="0"/>
              <w:spacing w:after="240" w:line="240" w:lineRule="auto"/>
              <w:jc w:val="center"/>
              <w:rPr>
                <w:rFonts w:ascii="Calibri" w:eastAsia="Calibri" w:hAnsi="Calibri" w:cs="Calibri"/>
              </w:rPr>
            </w:pPr>
            <w:r>
              <w:rPr>
                <w:rFonts w:ascii="Calibri" w:eastAsia="Calibri" w:hAnsi="Calibri" w:cs="Calibri"/>
              </w:rPr>
              <w:t>[50]%</w:t>
            </w:r>
          </w:p>
        </w:tc>
      </w:tr>
      <w:tr w:rsidR="0029798A" w14:paraId="1B005D26" w14:textId="700F356C" w:rsidTr="009C0AE8">
        <w:tc>
          <w:tcPr>
            <w:tcW w:w="5655"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1986BA2A" w14:textId="77777777" w:rsidR="0029798A" w:rsidRPr="006C6DC8" w:rsidRDefault="0029798A">
            <w:pPr>
              <w:widowControl w:val="0"/>
              <w:spacing w:after="240" w:line="240" w:lineRule="auto"/>
              <w:jc w:val="left"/>
              <w:rPr>
                <w:b/>
              </w:rPr>
            </w:pPr>
            <w:r w:rsidRPr="006C6DC8">
              <w:rPr>
                <w:rFonts w:ascii="Calibri" w:eastAsia="Calibri" w:hAnsi="Calibri" w:cs="Calibri"/>
                <w:b/>
              </w:rPr>
              <w:t xml:space="preserve">2.6 Contract and stakeholder management </w:t>
            </w:r>
          </w:p>
          <w:p w14:paraId="60A0AF9A" w14:textId="77777777" w:rsidR="0029798A" w:rsidRDefault="0029798A">
            <w:pPr>
              <w:widowControl w:val="0"/>
              <w:spacing w:after="240" w:line="240" w:lineRule="auto"/>
              <w:jc w:val="left"/>
            </w:pPr>
            <w:r>
              <w:rPr>
                <w:rFonts w:ascii="Calibri" w:eastAsia="Calibri" w:hAnsi="Calibri" w:cs="Calibri"/>
              </w:rPr>
              <w:t xml:space="preserve">[Baseline Capability] The Bidder has provided an adequate description of how it will comply with the contract management requirements for Reporting and Financial transparency, including how it will meet the obligations set out under the Milestone Claims process and how it will interface with BDUK at the programme level. The Bidder has also included sufficient costs for contract and stakeholder management in its Financial Model. </w:t>
            </w:r>
          </w:p>
          <w:p w14:paraId="0F7D98B1" w14:textId="77777777" w:rsidR="0029798A" w:rsidRDefault="0029798A">
            <w:pPr>
              <w:widowControl w:val="0"/>
              <w:spacing w:after="240" w:line="240" w:lineRule="auto"/>
              <w:jc w:val="left"/>
            </w:pPr>
            <w:r>
              <w:rPr>
                <w:rFonts w:ascii="Calibri" w:eastAsia="Calibri" w:hAnsi="Calibri" w:cs="Calibri"/>
              </w:rPr>
              <w:t xml:space="preserve">[Maximum Capability] In addition to the baseline capability, the Bidder in its proposal has included appropriate resources and has provided confidence to the Implementing Body in describing its approach to engage with the Implementing Body and other stakeholders through the operation of the contract. This would include commitments to strong governance arrangements, to sharing data on its deployment plans to different audiences, to joint-working with Implementing Body project team, to community engagement (in particular priority areas), to demand stimulation to maximise coverage opportunities, and to managing subcontractors (in particular SMEs). </w:t>
            </w:r>
          </w:p>
        </w:tc>
        <w:tc>
          <w:tcPr>
            <w:tcW w:w="311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6057676F" w14:textId="77777777" w:rsidR="0029798A" w:rsidRDefault="0029798A">
            <w:pPr>
              <w:widowControl w:val="0"/>
              <w:spacing w:after="240" w:line="240" w:lineRule="auto"/>
              <w:jc w:val="left"/>
            </w:pPr>
            <w:r>
              <w:rPr>
                <w:rFonts w:ascii="Calibri" w:eastAsia="Calibri" w:hAnsi="Calibri" w:cs="Calibri"/>
              </w:rPr>
              <w:t xml:space="preserve">Bids will be scored between 0 and [10] </w:t>
            </w:r>
          </w:p>
          <w:p w14:paraId="142802D1" w14:textId="77777777" w:rsidR="0029798A" w:rsidRDefault="0029798A">
            <w:pPr>
              <w:widowControl w:val="0"/>
              <w:spacing w:after="240" w:line="240" w:lineRule="auto"/>
              <w:jc w:val="left"/>
            </w:pPr>
            <w:r>
              <w:rPr>
                <w:rFonts w:ascii="Calibri" w:eastAsia="Calibri" w:hAnsi="Calibri" w:cs="Calibri"/>
              </w:rPr>
              <w:t xml:space="preserve">A score of [0] will be awarded if the Bidder does not submit a response that is compliant with the requirements for Report and Financial transparency, or does not include costs for contract and stakeholder management. </w:t>
            </w:r>
          </w:p>
          <w:p w14:paraId="5E00B835" w14:textId="77777777" w:rsidR="0029798A" w:rsidRDefault="0029798A">
            <w:pPr>
              <w:widowControl w:val="0"/>
              <w:spacing w:after="240" w:line="240" w:lineRule="auto"/>
              <w:jc w:val="left"/>
            </w:pPr>
            <w:r>
              <w:rPr>
                <w:rFonts w:ascii="Calibri" w:eastAsia="Calibri" w:hAnsi="Calibri" w:cs="Calibri"/>
              </w:rPr>
              <w:t xml:space="preserve">A score of [5] will be awarded if a Bidder’s contract and stakeholder management approach achieves the baseline capability. </w:t>
            </w:r>
          </w:p>
          <w:p w14:paraId="5CA7B081" w14:textId="77777777" w:rsidR="0029798A" w:rsidRDefault="0029798A">
            <w:pPr>
              <w:widowControl w:val="0"/>
              <w:spacing w:after="240" w:line="240" w:lineRule="auto"/>
              <w:jc w:val="left"/>
            </w:pPr>
            <w:r>
              <w:rPr>
                <w:rFonts w:ascii="Calibri" w:eastAsia="Calibri" w:hAnsi="Calibri" w:cs="Calibri"/>
              </w:rPr>
              <w:t xml:space="preserve">A score of [10] will be awarded if a Bidder’s contract and stakeholder management approach achieves maximum capability. </w:t>
            </w:r>
          </w:p>
        </w:tc>
        <w:tc>
          <w:tcPr>
            <w:tcW w:w="1559" w:type="dxa"/>
            <w:tcBorders>
              <w:top w:val="single" w:sz="10" w:space="0" w:color="000000"/>
              <w:left w:val="single" w:sz="10" w:space="0" w:color="000000"/>
              <w:bottom w:val="single" w:sz="10" w:space="0" w:color="000000"/>
              <w:right w:val="single" w:sz="10" w:space="0" w:color="000000"/>
            </w:tcBorders>
            <w:tcMar>
              <w:left w:w="0" w:type="dxa"/>
              <w:right w:w="0" w:type="dxa"/>
            </w:tcMar>
            <w:vAlign w:val="center"/>
          </w:tcPr>
          <w:p w14:paraId="282B2A3E" w14:textId="77777777" w:rsidR="0029798A" w:rsidRDefault="0029798A">
            <w:pPr>
              <w:widowControl w:val="0"/>
              <w:spacing w:after="240" w:line="240" w:lineRule="auto"/>
              <w:jc w:val="center"/>
            </w:pPr>
            <w:r>
              <w:rPr>
                <w:rFonts w:ascii="Calibri" w:eastAsia="Calibri" w:hAnsi="Calibri" w:cs="Calibri"/>
              </w:rPr>
              <w:t xml:space="preserve">[10-40]% </w:t>
            </w:r>
          </w:p>
        </w:tc>
        <w:tc>
          <w:tcPr>
            <w:tcW w:w="2410" w:type="dxa"/>
            <w:tcBorders>
              <w:top w:val="single" w:sz="10" w:space="0" w:color="000000"/>
              <w:left w:val="single" w:sz="10" w:space="0" w:color="000000"/>
              <w:bottom w:val="single" w:sz="10" w:space="0" w:color="000000"/>
              <w:right w:val="single" w:sz="10" w:space="0" w:color="000000"/>
            </w:tcBorders>
          </w:tcPr>
          <w:p w14:paraId="5205D856" w14:textId="77777777" w:rsidR="0029798A" w:rsidRDefault="0029798A">
            <w:pPr>
              <w:widowControl w:val="0"/>
              <w:spacing w:after="240" w:line="240" w:lineRule="auto"/>
              <w:jc w:val="center"/>
              <w:rPr>
                <w:rFonts w:ascii="Calibri" w:eastAsia="Calibri" w:hAnsi="Calibri" w:cs="Calibri"/>
              </w:rPr>
            </w:pPr>
          </w:p>
        </w:tc>
        <w:tc>
          <w:tcPr>
            <w:tcW w:w="1276" w:type="dxa"/>
            <w:tcBorders>
              <w:top w:val="single" w:sz="10" w:space="0" w:color="000000"/>
              <w:left w:val="single" w:sz="10" w:space="0" w:color="000000"/>
              <w:bottom w:val="single" w:sz="10" w:space="0" w:color="000000"/>
              <w:right w:val="single" w:sz="10" w:space="0" w:color="000000"/>
            </w:tcBorders>
          </w:tcPr>
          <w:p w14:paraId="12816F17" w14:textId="77777777" w:rsidR="0029798A" w:rsidRDefault="0029798A">
            <w:pPr>
              <w:widowControl w:val="0"/>
              <w:spacing w:after="240" w:line="240" w:lineRule="auto"/>
              <w:jc w:val="center"/>
              <w:rPr>
                <w:rFonts w:ascii="Calibri" w:eastAsia="Calibri" w:hAnsi="Calibri" w:cs="Calibri"/>
              </w:rPr>
            </w:pPr>
          </w:p>
        </w:tc>
      </w:tr>
    </w:tbl>
    <w:p w14:paraId="311F290D" w14:textId="77777777" w:rsidR="0029798A" w:rsidRDefault="0029798A" w:rsidP="00A70A2A">
      <w:pPr>
        <w:pStyle w:val="Heading2"/>
        <w:numPr>
          <w:ilvl w:val="1"/>
          <w:numId w:val="6"/>
        </w:numPr>
        <w:tabs>
          <w:tab w:val="left" w:pos="567"/>
        </w:tabs>
        <w:ind w:firstLine="0"/>
        <w:contextualSpacing/>
        <w:rPr>
          <w:sz w:val="32"/>
          <w:szCs w:val="32"/>
        </w:rPr>
        <w:sectPr w:rsidR="0029798A" w:rsidSect="00187D29">
          <w:pgSz w:w="16838" w:h="11906" w:orient="landscape"/>
          <w:pgMar w:top="1440" w:right="1440" w:bottom="1440" w:left="1440" w:header="720" w:footer="720" w:gutter="0"/>
          <w:cols w:space="720"/>
          <w:docGrid w:linePitch="299"/>
        </w:sectPr>
      </w:pPr>
      <w:bookmarkStart w:id="90" w:name="h.5e6jbov9zmmc" w:colFirst="0" w:colLast="0"/>
      <w:bookmarkEnd w:id="90"/>
    </w:p>
    <w:p w14:paraId="52245AA0" w14:textId="563B0442" w:rsidR="00656438" w:rsidRDefault="00A26303" w:rsidP="00A70A2A">
      <w:pPr>
        <w:pStyle w:val="Heading2"/>
        <w:numPr>
          <w:ilvl w:val="1"/>
          <w:numId w:val="6"/>
        </w:numPr>
        <w:tabs>
          <w:tab w:val="left" w:pos="567"/>
        </w:tabs>
        <w:ind w:firstLine="0"/>
        <w:contextualSpacing/>
        <w:rPr>
          <w:sz w:val="32"/>
          <w:szCs w:val="32"/>
        </w:rPr>
      </w:pPr>
      <w:r>
        <w:rPr>
          <w:sz w:val="32"/>
          <w:szCs w:val="32"/>
        </w:rPr>
        <w:lastRenderedPageBreak/>
        <w:t>Tender</w:t>
      </w:r>
      <w:r>
        <w:rPr>
          <w:sz w:val="22"/>
          <w:szCs w:val="22"/>
        </w:rPr>
        <w:t xml:space="preserve"> </w:t>
      </w:r>
      <w:r>
        <w:rPr>
          <w:sz w:val="32"/>
          <w:szCs w:val="32"/>
        </w:rPr>
        <w:t>Requirements against Evaluation Criteria</w:t>
      </w:r>
      <w:r w:rsidR="004E22F3">
        <w:rPr>
          <w:sz w:val="32"/>
          <w:szCs w:val="32"/>
        </w:rPr>
        <w:t xml:space="preserve"> </w:t>
      </w:r>
    </w:p>
    <w:tbl>
      <w:tblPr>
        <w:tblW w:w="12760" w:type="dxa"/>
        <w:tblInd w:w="-149" w:type="dxa"/>
        <w:tblLayout w:type="fixed"/>
        <w:tblLook w:val="0000" w:firstRow="0" w:lastRow="0" w:firstColumn="0" w:lastColumn="0" w:noHBand="0" w:noVBand="0"/>
      </w:tblPr>
      <w:tblGrid>
        <w:gridCol w:w="12760"/>
      </w:tblGrid>
      <w:tr w:rsidR="00A72A68" w14:paraId="36463D4E" w14:textId="77777777" w:rsidTr="00594C28">
        <w:tc>
          <w:tcPr>
            <w:tcW w:w="12760"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1D15F1FE" w14:textId="77777777" w:rsidR="00A72A68" w:rsidRDefault="00A72A68" w:rsidP="004E22F3">
            <w:pPr>
              <w:keepNext/>
              <w:keepLines/>
              <w:tabs>
                <w:tab w:val="left" w:pos="567"/>
                <w:tab w:val="left" w:pos="864"/>
              </w:tabs>
              <w:spacing w:before="120" w:after="0" w:line="240" w:lineRule="auto"/>
              <w:jc w:val="center"/>
            </w:pPr>
            <w:r>
              <w:rPr>
                <w:rFonts w:ascii="Calibri" w:eastAsia="Calibri" w:hAnsi="Calibri" w:cs="Calibri"/>
                <w:b/>
                <w:sz w:val="52"/>
                <w:szCs w:val="52"/>
              </w:rPr>
              <w:t>Award Criteria</w:t>
            </w:r>
          </w:p>
          <w:p w14:paraId="6DF16AE6" w14:textId="77777777" w:rsidR="00A72A68" w:rsidRDefault="00A72A68" w:rsidP="004E22F3">
            <w:pPr>
              <w:keepNext/>
              <w:keepLines/>
              <w:tabs>
                <w:tab w:val="left" w:pos="567"/>
                <w:tab w:val="left" w:pos="864"/>
              </w:tabs>
              <w:spacing w:before="60" w:after="60" w:line="264" w:lineRule="auto"/>
            </w:pPr>
            <w:r>
              <w:rPr>
                <w:rFonts w:ascii="Calibri" w:eastAsia="Calibri" w:hAnsi="Calibri" w:cs="Calibri"/>
                <w:b/>
                <w:sz w:val="32"/>
                <w:szCs w:val="32"/>
              </w:rPr>
              <w:t>Tender Requirements against Evaluation Criteria</w:t>
            </w:r>
          </w:p>
          <w:p w14:paraId="619EDA49" w14:textId="77777777" w:rsidR="00A72A68" w:rsidRDefault="00A72A68" w:rsidP="004E22F3">
            <w:pPr>
              <w:keepNext/>
              <w:keepLines/>
              <w:tabs>
                <w:tab w:val="left" w:pos="864"/>
              </w:tabs>
              <w:spacing w:after="60" w:line="264" w:lineRule="auto"/>
            </w:pPr>
            <w:r>
              <w:rPr>
                <w:rFonts w:ascii="Calibri" w:eastAsia="Calibri" w:hAnsi="Calibri" w:cs="Calibri"/>
                <w:b/>
              </w:rPr>
              <w:t>Section 2 of Part 2 of this ITT describes the Local Body’s Requirements.  Appendix 2 to this Part 2 asks a set of specific questions which Bidders must answer in their bid responses.  This table below:</w:t>
            </w:r>
          </w:p>
          <w:p w14:paraId="26290F8B" w14:textId="77777777" w:rsidR="00A72A68" w:rsidRPr="00206969" w:rsidRDefault="00A72A68" w:rsidP="00A72A68">
            <w:pPr>
              <w:numPr>
                <w:ilvl w:val="0"/>
                <w:numId w:val="4"/>
              </w:numPr>
              <w:spacing w:after="60" w:line="264" w:lineRule="auto"/>
              <w:ind w:left="575" w:hanging="575"/>
              <w:contextualSpacing/>
            </w:pPr>
            <w:r>
              <w:rPr>
                <w:rFonts w:ascii="Calibri" w:eastAsia="Calibri" w:hAnsi="Calibri" w:cs="Calibri"/>
                <w:b/>
              </w:rPr>
              <w:t>Maps Appendix 2 questions to the evaluation criteria – this mapping serves as a primary reference point, but note that evaluators may take into account any other relevant information provided in respect of other Appendix 2 questions</w:t>
            </w:r>
          </w:p>
          <w:p w14:paraId="104605FD" w14:textId="77777777" w:rsidR="00A72A68" w:rsidRDefault="00A72A68" w:rsidP="00A72A68">
            <w:pPr>
              <w:numPr>
                <w:ilvl w:val="0"/>
                <w:numId w:val="4"/>
              </w:numPr>
              <w:spacing w:after="60" w:line="264" w:lineRule="auto"/>
              <w:ind w:left="575" w:hanging="575"/>
              <w:contextualSpacing/>
            </w:pPr>
            <w:r>
              <w:rPr>
                <w:rFonts w:ascii="Calibri" w:eastAsia="Calibri" w:hAnsi="Calibri" w:cs="Calibri"/>
                <w:b/>
              </w:rPr>
              <w:t>Maps Appendix 4 Supplier Solution Document questions to the evaluation criteria – this mapping serves as a primary reference point, but note that evaluators may take into account any other relevant information provided in respect of other Appendix 4 questions</w:t>
            </w:r>
          </w:p>
          <w:p w14:paraId="6960811E" w14:textId="77777777" w:rsidR="00A72A68" w:rsidRDefault="00A72A68" w:rsidP="00A72A68">
            <w:pPr>
              <w:numPr>
                <w:ilvl w:val="0"/>
                <w:numId w:val="4"/>
              </w:numPr>
              <w:spacing w:after="60" w:line="264" w:lineRule="auto"/>
              <w:ind w:left="575" w:hanging="575"/>
              <w:contextualSpacing/>
            </w:pPr>
            <w:r>
              <w:rPr>
                <w:rFonts w:ascii="Calibri" w:eastAsia="Calibri" w:hAnsi="Calibri" w:cs="Calibri"/>
                <w:b/>
              </w:rPr>
              <w:t>Identifies, without limitation, key Tender Response materials relating to the Scoring Approach for each criteria</w:t>
            </w:r>
          </w:p>
        </w:tc>
      </w:tr>
    </w:tbl>
    <w:p w14:paraId="3FAAB845" w14:textId="77777777" w:rsidR="00A72A68" w:rsidRDefault="00A72A68" w:rsidP="00A72A68">
      <w:pPr>
        <w:spacing w:after="0" w:line="240" w:lineRule="auto"/>
        <w:jc w:val="left"/>
      </w:pPr>
    </w:p>
    <w:tbl>
      <w:tblPr>
        <w:tblpPr w:leftFromText="180" w:rightFromText="180" w:vertAnchor="text" w:tblpX="-152" w:tblpY="1"/>
        <w:tblOverlap w:val="never"/>
        <w:tblW w:w="12783" w:type="dxa"/>
        <w:tblLayout w:type="fixed"/>
        <w:tblLook w:val="0000" w:firstRow="0" w:lastRow="0" w:firstColumn="0" w:lastColumn="0" w:noHBand="0" w:noVBand="0"/>
      </w:tblPr>
      <w:tblGrid>
        <w:gridCol w:w="1113"/>
        <w:gridCol w:w="3418"/>
        <w:gridCol w:w="11"/>
        <w:gridCol w:w="1549"/>
        <w:gridCol w:w="10"/>
        <w:gridCol w:w="2825"/>
        <w:gridCol w:w="10"/>
        <w:gridCol w:w="10"/>
        <w:gridCol w:w="3817"/>
        <w:gridCol w:w="20"/>
      </w:tblGrid>
      <w:tr w:rsidR="00A72A68" w14:paraId="38F72225" w14:textId="77777777" w:rsidTr="00594C28">
        <w:trPr>
          <w:gridAfter w:val="1"/>
          <w:wAfter w:w="20" w:type="dxa"/>
          <w:trHeight w:val="57"/>
          <w:tblHeader/>
        </w:trPr>
        <w:tc>
          <w:tcPr>
            <w:tcW w:w="1113" w:type="dxa"/>
            <w:tcBorders>
              <w:top w:val="single" w:sz="4" w:space="0" w:color="auto"/>
              <w:left w:val="single" w:sz="4" w:space="0" w:color="auto"/>
              <w:bottom w:val="single" w:sz="4" w:space="0" w:color="auto"/>
              <w:right w:val="single" w:sz="4" w:space="0" w:color="auto"/>
            </w:tcBorders>
            <w:shd w:val="clear" w:color="auto" w:fill="F4CCCC"/>
            <w:vAlign w:val="center"/>
          </w:tcPr>
          <w:p w14:paraId="136C0E3A" w14:textId="77777777" w:rsidR="00A72A68" w:rsidRDefault="00A72A68" w:rsidP="00594C28">
            <w:pPr>
              <w:jc w:val="center"/>
            </w:pPr>
            <w:r>
              <w:rPr>
                <w:rFonts w:ascii="Calibri" w:eastAsia="Calibri" w:hAnsi="Calibri" w:cs="Calibri"/>
                <w:b/>
              </w:rPr>
              <w:t>Level One Criteria</w:t>
            </w:r>
          </w:p>
        </w:tc>
        <w:tc>
          <w:tcPr>
            <w:tcW w:w="3429" w:type="dxa"/>
            <w:gridSpan w:val="2"/>
            <w:tcBorders>
              <w:top w:val="single" w:sz="4" w:space="0" w:color="000000"/>
              <w:left w:val="single" w:sz="4" w:space="0" w:color="auto"/>
              <w:bottom w:val="single" w:sz="4" w:space="0" w:color="000000"/>
              <w:right w:val="single" w:sz="4" w:space="0" w:color="000000"/>
            </w:tcBorders>
            <w:shd w:val="clear" w:color="auto" w:fill="F4CCCC"/>
            <w:vAlign w:val="center"/>
          </w:tcPr>
          <w:p w14:paraId="336A94C6" w14:textId="77777777" w:rsidR="00A72A68" w:rsidRDefault="00A72A68" w:rsidP="00594C28">
            <w:pPr>
              <w:jc w:val="center"/>
            </w:pPr>
            <w:r>
              <w:rPr>
                <w:rFonts w:ascii="Calibri" w:eastAsia="Calibri" w:hAnsi="Calibri" w:cs="Calibri"/>
                <w:b/>
              </w:rPr>
              <w:t>Level Two Criteria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4CCCC"/>
            <w:vAlign w:val="center"/>
          </w:tcPr>
          <w:p w14:paraId="1ADA3145" w14:textId="30B3D437" w:rsidR="00A72A68" w:rsidRDefault="00A72A68" w:rsidP="00594C28">
            <w:pPr>
              <w:spacing w:after="0" w:line="240" w:lineRule="auto"/>
              <w:jc w:val="center"/>
            </w:pPr>
            <w:r>
              <w:rPr>
                <w:rFonts w:ascii="Calibri" w:eastAsia="Calibri" w:hAnsi="Calibri" w:cs="Calibri"/>
                <w:b/>
              </w:rPr>
              <w:t>Level</w:t>
            </w:r>
            <w:r w:rsidR="00F46572">
              <w:rPr>
                <w:rStyle w:val="FootnoteReference"/>
                <w:rFonts w:ascii="Calibri" w:eastAsia="Calibri" w:hAnsi="Calibri" w:cs="Calibri"/>
                <w:b/>
              </w:rPr>
              <w:footnoteReference w:id="51"/>
            </w:r>
            <w:r>
              <w:rPr>
                <w:rFonts w:ascii="Calibri" w:eastAsia="Calibri" w:hAnsi="Calibri" w:cs="Calibri"/>
                <w:b/>
              </w:rPr>
              <w:t xml:space="preserve"> Three Criteria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4CCCC"/>
            <w:vAlign w:val="center"/>
          </w:tcPr>
          <w:p w14:paraId="3FA0E687" w14:textId="77777777" w:rsidR="00A72A68" w:rsidRDefault="00A72A68" w:rsidP="00594C28">
            <w:pPr>
              <w:jc w:val="center"/>
            </w:pPr>
            <w:r>
              <w:rPr>
                <w:rFonts w:ascii="Calibri" w:eastAsia="Calibri" w:hAnsi="Calibri" w:cs="Calibri"/>
                <w:b/>
              </w:rPr>
              <w:t>Award Criteria Question Ref:</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4CCCC"/>
            <w:vAlign w:val="center"/>
          </w:tcPr>
          <w:p w14:paraId="1AB8A74E" w14:textId="77777777" w:rsidR="00A72A68" w:rsidRDefault="00A72A68" w:rsidP="00594C28">
            <w:pPr>
              <w:jc w:val="center"/>
            </w:pPr>
            <w:r>
              <w:rPr>
                <w:rFonts w:ascii="Calibri" w:eastAsia="Calibri" w:hAnsi="Calibri" w:cs="Calibri"/>
                <w:b/>
              </w:rPr>
              <w:t>Scoring Approach</w:t>
            </w:r>
          </w:p>
        </w:tc>
      </w:tr>
      <w:tr w:rsidR="00A72A68" w14:paraId="450C03F9" w14:textId="77777777" w:rsidTr="00594C28">
        <w:trPr>
          <w:gridAfter w:val="1"/>
          <w:wAfter w:w="20" w:type="dxa"/>
          <w:trHeight w:val="57"/>
        </w:trPr>
        <w:tc>
          <w:tcPr>
            <w:tcW w:w="1113" w:type="dxa"/>
            <w:vMerge w:val="restart"/>
            <w:tcBorders>
              <w:top w:val="single" w:sz="4" w:space="0" w:color="auto"/>
              <w:left w:val="single" w:sz="4" w:space="0" w:color="auto"/>
              <w:bottom w:val="single" w:sz="4" w:space="0" w:color="auto"/>
              <w:right w:val="single" w:sz="4" w:space="0" w:color="auto"/>
            </w:tcBorders>
            <w:shd w:val="clear" w:color="auto" w:fill="FFFFFF"/>
          </w:tcPr>
          <w:p w14:paraId="7BE5B1DD" w14:textId="77777777" w:rsidR="00A72A68" w:rsidRDefault="00A72A68" w:rsidP="00594C28">
            <w:pPr>
              <w:spacing w:after="0"/>
              <w:jc w:val="left"/>
            </w:pPr>
            <w:r>
              <w:rPr>
                <w:rFonts w:ascii="Calibri" w:eastAsia="Calibri" w:hAnsi="Calibri" w:cs="Calibri"/>
                <w:b/>
                <w:sz w:val="20"/>
                <w:szCs w:val="20"/>
              </w:rPr>
              <w:t>1.</w:t>
            </w:r>
          </w:p>
          <w:p w14:paraId="35E575FA" w14:textId="77777777" w:rsidR="00A72A68" w:rsidRDefault="00A72A68" w:rsidP="00594C28">
            <w:pPr>
              <w:spacing w:after="0"/>
              <w:jc w:val="left"/>
            </w:pPr>
            <w:r>
              <w:rPr>
                <w:rFonts w:ascii="Calibri" w:eastAsia="Calibri" w:hAnsi="Calibri" w:cs="Calibri"/>
                <w:b/>
                <w:sz w:val="20"/>
                <w:szCs w:val="20"/>
              </w:rPr>
              <w:t>Price</w:t>
            </w:r>
          </w:p>
        </w:tc>
        <w:tc>
          <w:tcPr>
            <w:tcW w:w="3429" w:type="dxa"/>
            <w:gridSpan w:val="2"/>
            <w:tcBorders>
              <w:top w:val="single" w:sz="4" w:space="0" w:color="000000"/>
              <w:left w:val="single" w:sz="4" w:space="0" w:color="auto"/>
              <w:bottom w:val="single" w:sz="4" w:space="0" w:color="auto"/>
              <w:right w:val="single" w:sz="4" w:space="0" w:color="000000"/>
            </w:tcBorders>
            <w:shd w:val="clear" w:color="auto" w:fill="FFFFFF"/>
          </w:tcPr>
          <w:p w14:paraId="3EEBDA0D" w14:textId="77777777" w:rsidR="00A72A68" w:rsidRDefault="00A72A68" w:rsidP="00594C28">
            <w:pPr>
              <w:spacing w:after="0"/>
              <w:jc w:val="left"/>
            </w:pPr>
            <w:r>
              <w:rPr>
                <w:rFonts w:ascii="Calibri" w:eastAsia="Calibri" w:hAnsi="Calibri" w:cs="Calibri"/>
                <w:b/>
                <w:sz w:val="20"/>
                <w:szCs w:val="20"/>
              </w:rPr>
              <w:t>1.1  Contract acceptance</w:t>
            </w:r>
          </w:p>
          <w:p w14:paraId="79190394" w14:textId="77777777" w:rsidR="00A72A68" w:rsidRDefault="00A72A68" w:rsidP="00594C28">
            <w:pPr>
              <w:spacing w:after="0"/>
              <w:jc w:val="left"/>
            </w:pPr>
            <w:r>
              <w:rPr>
                <w:rFonts w:ascii="Calibri" w:eastAsia="Calibri" w:hAnsi="Calibri" w:cs="Calibri"/>
                <w:sz w:val="20"/>
                <w:szCs w:val="20"/>
              </w:rPr>
              <w:t>Bidders will be assessed on whether they have confirmed their agreement to the key commercial principles/non-</w:t>
            </w:r>
            <w:r>
              <w:rPr>
                <w:rFonts w:ascii="Calibri" w:eastAsia="Calibri" w:hAnsi="Calibri" w:cs="Calibri"/>
                <w:sz w:val="20"/>
                <w:szCs w:val="20"/>
              </w:rPr>
              <w:lastRenderedPageBreak/>
              <w:t>negotiable terms of the draft contract in their bid response. This applies to all procurement procedures.</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FFFFFF"/>
          </w:tcPr>
          <w:p w14:paraId="4FAB4352" w14:textId="77777777" w:rsidR="00A72A68" w:rsidRDefault="00A72A68" w:rsidP="00594C28">
            <w:pPr>
              <w:spacing w:after="0" w:line="240" w:lineRule="auto"/>
              <w:jc w:val="left"/>
            </w:pPr>
          </w:p>
        </w:tc>
        <w:tc>
          <w:tcPr>
            <w:tcW w:w="2835" w:type="dxa"/>
            <w:gridSpan w:val="2"/>
            <w:tcBorders>
              <w:top w:val="single" w:sz="4" w:space="0" w:color="000000"/>
              <w:left w:val="single" w:sz="4" w:space="0" w:color="000000"/>
              <w:bottom w:val="single" w:sz="4" w:space="0" w:color="auto"/>
              <w:right w:val="single" w:sz="4" w:space="0" w:color="000000"/>
            </w:tcBorders>
            <w:shd w:val="clear" w:color="auto" w:fill="FFFFFF"/>
          </w:tcPr>
          <w:p w14:paraId="784272AF" w14:textId="09AC4CF7" w:rsidR="00A72A68" w:rsidRDefault="00A72A68" w:rsidP="00594C28">
            <w:pPr>
              <w:spacing w:after="0"/>
              <w:jc w:val="left"/>
            </w:pPr>
          </w:p>
        </w:tc>
        <w:tc>
          <w:tcPr>
            <w:tcW w:w="3827" w:type="dxa"/>
            <w:gridSpan w:val="2"/>
            <w:tcBorders>
              <w:top w:val="single" w:sz="4" w:space="0" w:color="000000"/>
              <w:left w:val="single" w:sz="4" w:space="0" w:color="000000"/>
              <w:bottom w:val="single" w:sz="4" w:space="0" w:color="auto"/>
              <w:right w:val="single" w:sz="4" w:space="0" w:color="000000"/>
            </w:tcBorders>
            <w:shd w:val="clear" w:color="auto" w:fill="FFFFFF"/>
          </w:tcPr>
          <w:p w14:paraId="283691DF" w14:textId="77777777" w:rsidR="00A72A68" w:rsidRDefault="00A72A68" w:rsidP="00594C28">
            <w:pPr>
              <w:spacing w:after="0"/>
              <w:jc w:val="left"/>
            </w:pPr>
            <w:r>
              <w:rPr>
                <w:rFonts w:ascii="Calibri" w:eastAsia="Calibri" w:hAnsi="Calibri" w:cs="Calibri"/>
                <w:b/>
                <w:sz w:val="20"/>
                <w:szCs w:val="20"/>
              </w:rPr>
              <w:t>Pass/Fail</w:t>
            </w:r>
          </w:p>
          <w:p w14:paraId="60613340" w14:textId="6B2FF01B" w:rsidR="00A72A68" w:rsidRDefault="00CC680B" w:rsidP="00594C28">
            <w:pPr>
              <w:spacing w:after="0"/>
              <w:jc w:val="left"/>
            </w:pPr>
            <w:r>
              <w:rPr>
                <w:rFonts w:ascii="Calibri" w:eastAsia="Calibri" w:hAnsi="Calibri" w:cs="Calibri"/>
                <w:sz w:val="20"/>
                <w:szCs w:val="20"/>
              </w:rPr>
              <w:t>Based on response to Part 3</w:t>
            </w:r>
            <w:r w:rsidR="00F46572">
              <w:rPr>
                <w:rFonts w:ascii="Calibri" w:eastAsia="Calibri" w:hAnsi="Calibri" w:cs="Calibri"/>
                <w:sz w:val="20"/>
                <w:szCs w:val="20"/>
              </w:rPr>
              <w:t xml:space="preserve"> Contract terms</w:t>
            </w:r>
          </w:p>
          <w:p w14:paraId="0BF80607" w14:textId="77777777" w:rsidR="00A72A68" w:rsidRDefault="00A72A68" w:rsidP="00594C28">
            <w:pPr>
              <w:spacing w:after="0"/>
              <w:jc w:val="left"/>
            </w:pPr>
          </w:p>
        </w:tc>
      </w:tr>
      <w:tr w:rsidR="00A72A68" w14:paraId="31D39542" w14:textId="77777777" w:rsidTr="00594C28">
        <w:trPr>
          <w:gridAfter w:val="1"/>
          <w:wAfter w:w="20" w:type="dxa"/>
          <w:trHeight w:val="57"/>
        </w:trPr>
        <w:tc>
          <w:tcPr>
            <w:tcW w:w="1113" w:type="dxa"/>
            <w:vMerge/>
            <w:tcBorders>
              <w:top w:val="single" w:sz="4" w:space="0" w:color="auto"/>
              <w:left w:val="single" w:sz="4" w:space="0" w:color="auto"/>
              <w:bottom w:val="single" w:sz="4" w:space="0" w:color="auto"/>
              <w:right w:val="single" w:sz="4" w:space="0" w:color="auto"/>
            </w:tcBorders>
            <w:shd w:val="clear" w:color="auto" w:fill="FFFFFF"/>
          </w:tcPr>
          <w:p w14:paraId="79014198" w14:textId="77777777" w:rsidR="00A72A68" w:rsidRDefault="00A72A68" w:rsidP="00594C28">
            <w:pPr>
              <w:spacing w:after="0"/>
              <w:jc w:val="left"/>
            </w:pPr>
          </w:p>
        </w:tc>
        <w:tc>
          <w:tcPr>
            <w:tcW w:w="11650" w:type="dxa"/>
            <w:gridSpan w:val="8"/>
            <w:tcBorders>
              <w:top w:val="single" w:sz="4" w:space="0" w:color="auto"/>
              <w:left w:val="single" w:sz="4" w:space="0" w:color="auto"/>
              <w:bottom w:val="single" w:sz="4" w:space="0" w:color="auto"/>
              <w:right w:val="single" w:sz="4" w:space="0" w:color="auto"/>
            </w:tcBorders>
            <w:shd w:val="clear" w:color="auto" w:fill="FFFFFF"/>
          </w:tcPr>
          <w:p w14:paraId="403E51C4" w14:textId="77777777" w:rsidR="00A72A68" w:rsidRDefault="00A72A68" w:rsidP="00594C28">
            <w:pPr>
              <w:spacing w:after="0"/>
              <w:jc w:val="left"/>
            </w:pPr>
            <w:r>
              <w:rPr>
                <w:rFonts w:ascii="Calibri" w:eastAsia="Calibri" w:hAnsi="Calibri" w:cs="Calibri"/>
                <w:b/>
                <w:sz w:val="20"/>
                <w:szCs w:val="20"/>
              </w:rPr>
              <w:t>1.2 NOT USED</w:t>
            </w:r>
            <w:r>
              <w:rPr>
                <w:rFonts w:ascii="Calibri" w:eastAsia="Calibri" w:hAnsi="Calibri" w:cs="Calibri"/>
                <w:b/>
                <w:sz w:val="20"/>
                <w:szCs w:val="20"/>
                <w:vertAlign w:val="superscript"/>
              </w:rPr>
              <w:footnoteReference w:id="52"/>
            </w:r>
          </w:p>
        </w:tc>
      </w:tr>
      <w:tr w:rsidR="00A72A68" w14:paraId="710BA5F5" w14:textId="77777777" w:rsidTr="00594C28">
        <w:trPr>
          <w:trHeight w:val="57"/>
        </w:trPr>
        <w:tc>
          <w:tcPr>
            <w:tcW w:w="1113" w:type="dxa"/>
            <w:vMerge/>
            <w:tcBorders>
              <w:top w:val="single" w:sz="4" w:space="0" w:color="auto"/>
              <w:left w:val="single" w:sz="4" w:space="0" w:color="auto"/>
              <w:bottom w:val="single" w:sz="4" w:space="0" w:color="auto"/>
              <w:right w:val="single" w:sz="4" w:space="0" w:color="auto"/>
            </w:tcBorders>
            <w:shd w:val="clear" w:color="auto" w:fill="FFFFFF"/>
          </w:tcPr>
          <w:p w14:paraId="1D11E2A4" w14:textId="77777777" w:rsidR="00A72A68" w:rsidRDefault="00A72A68" w:rsidP="00594C28">
            <w:pPr>
              <w:spacing w:after="0"/>
              <w:jc w:val="left"/>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14:paraId="52306300" w14:textId="77777777" w:rsidR="00A72A68" w:rsidRDefault="00A72A68" w:rsidP="00594C28">
            <w:pPr>
              <w:spacing w:after="0"/>
              <w:jc w:val="left"/>
            </w:pPr>
            <w:r>
              <w:rPr>
                <w:rFonts w:ascii="Calibri" w:eastAsia="Calibri" w:hAnsi="Calibri" w:cs="Calibri"/>
                <w:b/>
                <w:sz w:val="20"/>
                <w:szCs w:val="20"/>
              </w:rPr>
              <w:t>1.3  Funding availability</w:t>
            </w:r>
          </w:p>
          <w:p w14:paraId="2552E466" w14:textId="77777777" w:rsidR="00A72A68" w:rsidRDefault="00A72A68" w:rsidP="00594C28">
            <w:pPr>
              <w:spacing w:after="0"/>
              <w:jc w:val="left"/>
            </w:pPr>
            <w:r>
              <w:rPr>
                <w:rFonts w:ascii="Calibri" w:eastAsia="Calibri" w:hAnsi="Calibri" w:cs="Calibri"/>
                <w:sz w:val="20"/>
                <w:szCs w:val="20"/>
              </w:rPr>
              <w:t>Bidders will be assessed on whether:</w:t>
            </w:r>
          </w:p>
          <w:p w14:paraId="7810D805" w14:textId="77777777" w:rsidR="00A72A68" w:rsidRDefault="00A72A68" w:rsidP="00594C28">
            <w:pPr>
              <w:spacing w:after="0"/>
              <w:jc w:val="left"/>
            </w:pPr>
            <w:r>
              <w:rPr>
                <w:rFonts w:ascii="Calibri" w:eastAsia="Calibri" w:hAnsi="Calibri" w:cs="Calibri"/>
                <w:sz w:val="20"/>
                <w:szCs w:val="20"/>
              </w:rPr>
              <w:t>i) the overall subsidy requirement in the bid is within the Implementing Body’s budget; and</w:t>
            </w:r>
          </w:p>
          <w:p w14:paraId="393C3625" w14:textId="77777777" w:rsidR="00A72A68" w:rsidRDefault="00A72A68" w:rsidP="00594C28">
            <w:pPr>
              <w:spacing w:after="0"/>
              <w:jc w:val="left"/>
            </w:pPr>
            <w:r>
              <w:rPr>
                <w:rFonts w:ascii="Calibri" w:eastAsia="Calibri" w:hAnsi="Calibri" w:cs="Calibri"/>
                <w:sz w:val="20"/>
                <w:szCs w:val="20"/>
              </w:rPr>
              <w:t>ii) they have provided sufficient evidence (i.e. through a funding model) of their ability to fund the project (i.e. from private funding sources)</w:t>
            </w:r>
          </w:p>
        </w:tc>
        <w:tc>
          <w:tcPr>
            <w:tcW w:w="1570" w:type="dxa"/>
            <w:gridSpan w:val="3"/>
            <w:tcBorders>
              <w:top w:val="single" w:sz="4" w:space="0" w:color="auto"/>
              <w:left w:val="single" w:sz="4" w:space="0" w:color="auto"/>
              <w:bottom w:val="single" w:sz="4" w:space="0" w:color="auto"/>
              <w:right w:val="single" w:sz="4" w:space="0" w:color="auto"/>
            </w:tcBorders>
            <w:shd w:val="clear" w:color="auto" w:fill="FFFFFF"/>
          </w:tcPr>
          <w:p w14:paraId="55F60CDF" w14:textId="2380FD07" w:rsidR="00A72A68" w:rsidRDefault="00E91BDD" w:rsidP="00594C28">
            <w:pPr>
              <w:spacing w:after="0" w:line="240" w:lineRule="auto"/>
              <w:jc w:val="left"/>
            </w:pPr>
            <w:r>
              <w:t xml:space="preserve"> </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tcPr>
          <w:p w14:paraId="5B58A246" w14:textId="77777777" w:rsidR="00A72A68" w:rsidRDefault="00A72A68" w:rsidP="00594C28">
            <w:pPr>
              <w:spacing w:after="0"/>
              <w:jc w:val="left"/>
            </w:pPr>
          </w:p>
        </w:tc>
        <w:tc>
          <w:tcPr>
            <w:tcW w:w="3837" w:type="dxa"/>
            <w:gridSpan w:val="2"/>
            <w:tcBorders>
              <w:top w:val="single" w:sz="4" w:space="0" w:color="auto"/>
              <w:left w:val="single" w:sz="4" w:space="0" w:color="auto"/>
              <w:bottom w:val="single" w:sz="4" w:space="0" w:color="auto"/>
              <w:right w:val="single" w:sz="4" w:space="0" w:color="auto"/>
            </w:tcBorders>
            <w:shd w:val="clear" w:color="auto" w:fill="FFFFFF"/>
          </w:tcPr>
          <w:p w14:paraId="758CD975" w14:textId="77777777" w:rsidR="00A72A68" w:rsidRDefault="00A72A68" w:rsidP="00594C28">
            <w:pPr>
              <w:spacing w:after="0"/>
              <w:jc w:val="left"/>
              <w:rPr>
                <w:rFonts w:ascii="Calibri" w:eastAsia="Calibri" w:hAnsi="Calibri" w:cs="Calibri"/>
                <w:b/>
                <w:sz w:val="20"/>
                <w:szCs w:val="20"/>
              </w:rPr>
            </w:pPr>
            <w:r>
              <w:rPr>
                <w:rFonts w:ascii="Calibri" w:eastAsia="Calibri" w:hAnsi="Calibri" w:cs="Calibri"/>
                <w:b/>
                <w:sz w:val="20"/>
                <w:szCs w:val="20"/>
              </w:rPr>
              <w:t>Pass/Fail</w:t>
            </w:r>
          </w:p>
          <w:p w14:paraId="72563A68" w14:textId="377F565D" w:rsidR="00F46572" w:rsidRPr="00F46572" w:rsidRDefault="00F46572" w:rsidP="00594C28">
            <w:pPr>
              <w:spacing w:after="0"/>
              <w:jc w:val="left"/>
            </w:pPr>
            <w:r w:rsidRPr="00A468D9">
              <w:rPr>
                <w:rFonts w:ascii="Calibri" w:eastAsia="Calibri" w:hAnsi="Calibri" w:cs="Calibri"/>
                <w:sz w:val="20"/>
                <w:szCs w:val="20"/>
              </w:rPr>
              <w:t>Based on response to Bid Financial Model</w:t>
            </w:r>
          </w:p>
        </w:tc>
      </w:tr>
      <w:tr w:rsidR="00800096" w14:paraId="3B16003E" w14:textId="77777777" w:rsidTr="00594C28">
        <w:trPr>
          <w:gridAfter w:val="1"/>
          <w:wAfter w:w="20" w:type="dxa"/>
          <w:trHeight w:val="57"/>
        </w:trPr>
        <w:tc>
          <w:tcPr>
            <w:tcW w:w="1113" w:type="dxa"/>
            <w:tcBorders>
              <w:top w:val="single" w:sz="4" w:space="0" w:color="auto"/>
              <w:left w:val="single" w:sz="4" w:space="0" w:color="auto"/>
              <w:bottom w:val="single" w:sz="4" w:space="0" w:color="auto"/>
              <w:right w:val="single" w:sz="4" w:space="0" w:color="auto"/>
            </w:tcBorders>
            <w:shd w:val="clear" w:color="auto" w:fill="FFFFFF"/>
          </w:tcPr>
          <w:p w14:paraId="204216E3" w14:textId="77777777" w:rsidR="00800096" w:rsidRDefault="00800096" w:rsidP="00594C28">
            <w:pPr>
              <w:jc w:val="left"/>
            </w:pPr>
            <w:r>
              <w:rPr>
                <w:rFonts w:ascii="Calibri" w:eastAsia="Calibri" w:hAnsi="Calibri" w:cs="Calibri"/>
                <w:b/>
                <w:sz w:val="20"/>
                <w:szCs w:val="20"/>
              </w:rPr>
              <w:t>1.</w:t>
            </w:r>
          </w:p>
          <w:p w14:paraId="2274C7B3" w14:textId="77777777" w:rsidR="00800096" w:rsidRDefault="00800096" w:rsidP="00594C28">
            <w:pPr>
              <w:jc w:val="left"/>
            </w:pPr>
            <w:r>
              <w:rPr>
                <w:rFonts w:ascii="Calibri" w:eastAsia="Calibri" w:hAnsi="Calibri" w:cs="Calibri"/>
                <w:b/>
                <w:sz w:val="20"/>
                <w:szCs w:val="20"/>
              </w:rPr>
              <w:t>Price cont..</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14:paraId="751DF192" w14:textId="77777777" w:rsidR="00800096" w:rsidRDefault="00800096" w:rsidP="00594C28">
            <w:pPr>
              <w:spacing w:after="0"/>
              <w:jc w:val="left"/>
            </w:pPr>
            <w:r>
              <w:rPr>
                <w:rFonts w:ascii="Calibri" w:eastAsia="Calibri" w:hAnsi="Calibri" w:cs="Calibri"/>
                <w:b/>
                <w:sz w:val="20"/>
                <w:szCs w:val="20"/>
              </w:rPr>
              <w:t>1.4  Financial Model</w:t>
            </w:r>
          </w:p>
          <w:p w14:paraId="18C95C30" w14:textId="77777777" w:rsidR="00800096" w:rsidRDefault="00800096" w:rsidP="00594C28">
            <w:pPr>
              <w:spacing w:after="0"/>
              <w:jc w:val="left"/>
            </w:pPr>
            <w:r>
              <w:rPr>
                <w:rFonts w:ascii="Calibri" w:eastAsia="Calibri" w:hAnsi="Calibri" w:cs="Calibri"/>
                <w:sz w:val="20"/>
                <w:szCs w:val="20"/>
              </w:rPr>
              <w:t>[Baseline Capability] The Bidder has ensured that the cost assumptions in its Bid Project Model are realistic and consistent with the design assumptions in their Solution and the milestone payments in the Implementation Plan. The Bidder must have completed the Bid Project Model fully so that outputs are clearly identifiable.</w:t>
            </w:r>
          </w:p>
          <w:p w14:paraId="7FE25182" w14:textId="21F1256A" w:rsidR="00800096" w:rsidRDefault="00800096" w:rsidP="00594C28">
            <w:pPr>
              <w:spacing w:after="0"/>
              <w:jc w:val="left"/>
            </w:pPr>
            <w:r>
              <w:rPr>
                <w:rFonts w:ascii="Calibri" w:eastAsia="Calibri" w:hAnsi="Calibri" w:cs="Calibri"/>
                <w:sz w:val="20"/>
                <w:szCs w:val="20"/>
              </w:rPr>
              <w:t xml:space="preserve">[Maximum Capability] In addition to the baseline capability, the Bidder has </w:t>
            </w:r>
            <w:r>
              <w:rPr>
                <w:rFonts w:ascii="Calibri" w:eastAsia="Calibri" w:hAnsi="Calibri" w:cs="Calibri"/>
                <w:sz w:val="20"/>
                <w:szCs w:val="20"/>
              </w:rPr>
              <w:lastRenderedPageBreak/>
              <w:t>evidenced a very high level of transparency and quality in its Bid Project Model and accompanying memoranda to show the key assumptions and underlying economic drivers for the Bidder’s solution. The Bidder has included justification as to how its assumptions deviate from national baselines and have been customised to reflect the particular circumstances of a project. The Bidder’s Bid Project Model provides a clear understanding of where contingency has been included and of how actual costs are expected to reduce if the Bidder were to win and aggregate other contracts.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285DF1A6" w14:textId="2B07B119" w:rsidR="00800096" w:rsidRPr="00DA730C" w:rsidRDefault="00800096" w:rsidP="00594C28">
            <w:pPr>
              <w:spacing w:after="0" w:line="240" w:lineRule="auto"/>
              <w:jc w:val="left"/>
              <w:rPr>
                <w:rFonts w:asciiTheme="minorHAnsi" w:hAnsi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370C25E0" w14:textId="77777777" w:rsidR="00800096" w:rsidRDefault="00800096" w:rsidP="00594C28">
            <w:pPr>
              <w:spacing w:after="0"/>
              <w:jc w:val="left"/>
              <w:rPr>
                <w:rFonts w:asciiTheme="minorHAnsi" w:hAnsiTheme="minorHAnsi"/>
                <w:sz w:val="20"/>
                <w:szCs w:val="20"/>
              </w:rPr>
            </w:pPr>
            <w:r w:rsidRPr="000F3CC5">
              <w:rPr>
                <w:rFonts w:asciiTheme="minorHAnsi" w:hAnsiTheme="minorHAnsi"/>
                <w:sz w:val="20"/>
                <w:szCs w:val="20"/>
              </w:rPr>
              <w:t>SSD6.5</w:t>
            </w:r>
            <w:r>
              <w:rPr>
                <w:rFonts w:asciiTheme="minorHAnsi" w:hAnsiTheme="minorHAnsi"/>
                <w:sz w:val="20"/>
                <w:szCs w:val="20"/>
              </w:rPr>
              <w:t>.1</w:t>
            </w:r>
          </w:p>
          <w:p w14:paraId="6815E188" w14:textId="77777777" w:rsidR="00800096" w:rsidRDefault="00800096" w:rsidP="00594C28">
            <w:pPr>
              <w:spacing w:after="0"/>
              <w:jc w:val="left"/>
              <w:rPr>
                <w:rFonts w:asciiTheme="minorHAnsi" w:hAnsiTheme="minorHAnsi"/>
                <w:sz w:val="20"/>
                <w:szCs w:val="20"/>
              </w:rPr>
            </w:pPr>
            <w:r>
              <w:rPr>
                <w:rFonts w:asciiTheme="minorHAnsi" w:hAnsiTheme="minorHAnsi"/>
                <w:sz w:val="20"/>
                <w:szCs w:val="20"/>
              </w:rPr>
              <w:t>SSD6.5.2</w:t>
            </w:r>
          </w:p>
          <w:p w14:paraId="2A7A1279" w14:textId="77777777" w:rsidR="00800096" w:rsidRDefault="00800096" w:rsidP="00594C28">
            <w:pPr>
              <w:spacing w:after="0"/>
              <w:jc w:val="left"/>
              <w:rPr>
                <w:rFonts w:asciiTheme="minorHAnsi" w:hAnsiTheme="minorHAnsi"/>
                <w:sz w:val="20"/>
                <w:szCs w:val="20"/>
              </w:rPr>
            </w:pPr>
            <w:r>
              <w:rPr>
                <w:rFonts w:asciiTheme="minorHAnsi" w:hAnsiTheme="minorHAnsi"/>
                <w:sz w:val="20"/>
                <w:szCs w:val="20"/>
              </w:rPr>
              <w:t>SSD6.5.3</w:t>
            </w:r>
          </w:p>
          <w:p w14:paraId="28236D4C" w14:textId="77777777" w:rsidR="00800096" w:rsidRDefault="00800096" w:rsidP="00594C28">
            <w:pPr>
              <w:spacing w:after="0"/>
              <w:jc w:val="left"/>
              <w:rPr>
                <w:rFonts w:asciiTheme="minorHAnsi" w:hAnsiTheme="minorHAnsi"/>
                <w:sz w:val="20"/>
                <w:szCs w:val="20"/>
              </w:rPr>
            </w:pPr>
          </w:p>
          <w:p w14:paraId="7224BF11" w14:textId="77777777" w:rsidR="00800096" w:rsidRPr="000F3CC5" w:rsidRDefault="00800096" w:rsidP="00594C28">
            <w:pPr>
              <w:spacing w:after="0"/>
              <w:jc w:val="left"/>
              <w:rPr>
                <w:rFonts w:asciiTheme="minorHAnsi" w:hAnsiTheme="minorHAnsi"/>
                <w:sz w:val="20"/>
                <w:szCs w:val="20"/>
              </w:rPr>
            </w:pPr>
            <w:r>
              <w:rPr>
                <w:rFonts w:asciiTheme="minorHAnsi" w:hAnsiTheme="minorHAnsi"/>
                <w:sz w:val="20"/>
                <w:szCs w:val="20"/>
              </w:rPr>
              <w:t>7.4.1</w:t>
            </w:r>
          </w:p>
        </w:tc>
        <w:tc>
          <w:tcPr>
            <w:tcW w:w="3837" w:type="dxa"/>
            <w:gridSpan w:val="3"/>
            <w:tcBorders>
              <w:top w:val="single" w:sz="4" w:space="0" w:color="auto"/>
              <w:left w:val="single" w:sz="4" w:space="0" w:color="auto"/>
              <w:bottom w:val="single" w:sz="4" w:space="0" w:color="auto"/>
              <w:right w:val="single" w:sz="4" w:space="0" w:color="auto"/>
            </w:tcBorders>
            <w:shd w:val="clear" w:color="auto" w:fill="FFFFFF"/>
          </w:tcPr>
          <w:p w14:paraId="06C2F3CD" w14:textId="77777777" w:rsidR="00800096" w:rsidRDefault="00800096" w:rsidP="00594C28">
            <w:pPr>
              <w:spacing w:after="0"/>
              <w:jc w:val="left"/>
            </w:pPr>
            <w:r>
              <w:rPr>
                <w:rFonts w:ascii="Calibri" w:eastAsia="Calibri" w:hAnsi="Calibri" w:cs="Calibri"/>
                <w:sz w:val="20"/>
                <w:szCs w:val="20"/>
              </w:rPr>
              <w:t xml:space="preserve">Judgement Based Scored Evaluation Criteria </w:t>
            </w:r>
            <w:r w:rsidRPr="00DD129C">
              <w:rPr>
                <w:rFonts w:ascii="Calibri" w:eastAsia="Calibri" w:hAnsi="Calibri" w:cs="Calibri"/>
                <w:sz w:val="20"/>
                <w:szCs w:val="20"/>
              </w:rPr>
              <w:t xml:space="preserve">as set out in A1.4.2 of ITT Part 2 </w:t>
            </w:r>
            <w:r>
              <w:rPr>
                <w:rFonts w:ascii="Calibri" w:eastAsia="Calibri" w:hAnsi="Calibri" w:cs="Calibri"/>
                <w:sz w:val="20"/>
                <w:szCs w:val="20"/>
              </w:rPr>
              <w:t>primarily using the following:</w:t>
            </w:r>
          </w:p>
          <w:p w14:paraId="000FC66F" w14:textId="77777777" w:rsidR="00800096" w:rsidRDefault="00800096" w:rsidP="00594C28">
            <w:pPr>
              <w:spacing w:after="0"/>
              <w:jc w:val="left"/>
            </w:pPr>
            <w:r>
              <w:rPr>
                <w:rFonts w:ascii="Calibri" w:eastAsia="Calibri" w:hAnsi="Calibri" w:cs="Calibri"/>
                <w:sz w:val="20"/>
                <w:szCs w:val="20"/>
              </w:rPr>
              <w:t>-</w:t>
            </w:r>
            <w:r>
              <w:rPr>
                <w:rFonts w:ascii="Calibri" w:eastAsia="Calibri" w:hAnsi="Calibri" w:cs="Calibri"/>
                <w:sz w:val="20"/>
                <w:szCs w:val="20"/>
              </w:rPr>
              <w:tab/>
              <w:t xml:space="preserve">Bid Project Model </w:t>
            </w:r>
          </w:p>
          <w:p w14:paraId="783C4452" w14:textId="77777777" w:rsidR="00800096" w:rsidRDefault="00800096" w:rsidP="00594C28">
            <w:pPr>
              <w:spacing w:after="0"/>
              <w:jc w:val="left"/>
            </w:pPr>
            <w:r>
              <w:rPr>
                <w:rFonts w:ascii="Calibri" w:eastAsia="Calibri" w:hAnsi="Calibri" w:cs="Calibri"/>
                <w:sz w:val="20"/>
                <w:szCs w:val="20"/>
              </w:rPr>
              <w:t>-</w:t>
            </w:r>
            <w:r>
              <w:rPr>
                <w:rFonts w:ascii="Calibri" w:eastAsia="Calibri" w:hAnsi="Calibri" w:cs="Calibri"/>
                <w:sz w:val="20"/>
                <w:szCs w:val="20"/>
              </w:rPr>
              <w:tab/>
              <w:t>Financial Memoranda</w:t>
            </w:r>
          </w:p>
        </w:tc>
      </w:tr>
      <w:tr w:rsidR="00A72A68" w14:paraId="3D0E6FCF" w14:textId="77777777" w:rsidTr="00594C28">
        <w:trPr>
          <w:gridAfter w:val="1"/>
          <w:wAfter w:w="20" w:type="dxa"/>
          <w:trHeight w:val="57"/>
        </w:trPr>
        <w:tc>
          <w:tcPr>
            <w:tcW w:w="1113" w:type="dxa"/>
            <w:vMerge w:val="restart"/>
            <w:tcBorders>
              <w:top w:val="single" w:sz="4" w:space="0" w:color="auto"/>
              <w:left w:val="single" w:sz="4" w:space="0" w:color="000000"/>
              <w:bottom w:val="single" w:sz="4" w:space="0" w:color="000000"/>
              <w:right w:val="single" w:sz="4" w:space="0" w:color="000000"/>
            </w:tcBorders>
            <w:shd w:val="clear" w:color="auto" w:fill="FFFFFF"/>
          </w:tcPr>
          <w:p w14:paraId="3ABD7915" w14:textId="77777777" w:rsidR="00A72A68" w:rsidRDefault="00A72A68" w:rsidP="00594C28">
            <w:pPr>
              <w:jc w:val="left"/>
            </w:pPr>
            <w:r>
              <w:rPr>
                <w:rFonts w:ascii="Calibri" w:eastAsia="Calibri" w:hAnsi="Calibri" w:cs="Calibri"/>
                <w:b/>
                <w:sz w:val="20"/>
                <w:szCs w:val="20"/>
              </w:rPr>
              <w:t>1.</w:t>
            </w:r>
          </w:p>
          <w:p w14:paraId="11DAF200" w14:textId="77777777" w:rsidR="00A72A68" w:rsidRDefault="00A72A68" w:rsidP="00594C28">
            <w:pPr>
              <w:jc w:val="left"/>
            </w:pPr>
            <w:r>
              <w:rPr>
                <w:rFonts w:ascii="Calibri" w:eastAsia="Calibri" w:hAnsi="Calibri" w:cs="Calibri"/>
                <w:b/>
                <w:sz w:val="20"/>
                <w:szCs w:val="20"/>
              </w:rPr>
              <w:t>Price cont..</w:t>
            </w:r>
          </w:p>
        </w:tc>
        <w:tc>
          <w:tcPr>
            <w:tcW w:w="3418" w:type="dxa"/>
            <w:tcBorders>
              <w:top w:val="single" w:sz="4" w:space="0" w:color="auto"/>
              <w:left w:val="single" w:sz="4" w:space="0" w:color="000000"/>
              <w:bottom w:val="single" w:sz="4" w:space="0" w:color="000000"/>
              <w:right w:val="single" w:sz="4" w:space="0" w:color="000000"/>
            </w:tcBorders>
            <w:shd w:val="clear" w:color="auto" w:fill="FFFFFF"/>
          </w:tcPr>
          <w:p w14:paraId="17829589" w14:textId="77777777" w:rsidR="00A72A68" w:rsidRDefault="00A72A68" w:rsidP="00594C28">
            <w:pPr>
              <w:spacing w:after="0"/>
              <w:jc w:val="left"/>
            </w:pPr>
            <w:r>
              <w:rPr>
                <w:rFonts w:ascii="Calibri" w:eastAsia="Calibri" w:hAnsi="Calibri" w:cs="Calibri"/>
                <w:b/>
                <w:sz w:val="20"/>
                <w:szCs w:val="20"/>
              </w:rPr>
              <w:t xml:space="preserve">1.5  </w:t>
            </w:r>
          </w:p>
          <w:p w14:paraId="07AF70B4" w14:textId="77777777" w:rsidR="00A72A68" w:rsidRDefault="00A72A68" w:rsidP="00594C28">
            <w:pPr>
              <w:spacing w:after="0"/>
              <w:jc w:val="left"/>
            </w:pPr>
            <w:r>
              <w:rPr>
                <w:rFonts w:ascii="Calibri" w:eastAsia="Calibri" w:hAnsi="Calibri" w:cs="Calibri"/>
                <w:b/>
                <w:sz w:val="20"/>
                <w:szCs w:val="20"/>
              </w:rPr>
              <w:t>Commercial sustainability and viability</w:t>
            </w:r>
          </w:p>
          <w:p w14:paraId="70836B40" w14:textId="77777777" w:rsidR="00A72A68" w:rsidRDefault="00A72A68" w:rsidP="00594C28">
            <w:pPr>
              <w:spacing w:after="0"/>
              <w:jc w:val="left"/>
            </w:pPr>
            <w:r>
              <w:rPr>
                <w:rFonts w:ascii="Calibri" w:eastAsia="Calibri" w:hAnsi="Calibri" w:cs="Calibri"/>
                <w:sz w:val="20"/>
                <w:szCs w:val="20"/>
              </w:rPr>
              <w:t xml:space="preserve">[Baseline Capability] Analysis of the Bidder’s Financial Model demonstrates how the network (and downstream retail providers) are able to operate on a stand-alone and sustainable basis for the contract term under reasonable conservative baseline assumptions considering a sensitivity analysis of adverse scenarios (including higher </w:t>
            </w:r>
            <w:r>
              <w:rPr>
                <w:rFonts w:ascii="Calibri" w:eastAsia="Calibri" w:hAnsi="Calibri" w:cs="Calibri"/>
                <w:sz w:val="20"/>
                <w:szCs w:val="20"/>
              </w:rPr>
              <w:lastRenderedPageBreak/>
              <w:t>debt servicing costs or lower revenue per customer or lower take-up than forecast).</w:t>
            </w:r>
          </w:p>
          <w:p w14:paraId="7CB6697D" w14:textId="77777777" w:rsidR="00A72A68" w:rsidRDefault="00A72A68" w:rsidP="00594C28">
            <w:pPr>
              <w:spacing w:after="0"/>
              <w:jc w:val="left"/>
            </w:pPr>
            <w:r>
              <w:rPr>
                <w:rFonts w:ascii="Calibri" w:eastAsia="Calibri" w:hAnsi="Calibri" w:cs="Calibri"/>
                <w:sz w:val="20"/>
                <w:szCs w:val="20"/>
              </w:rPr>
              <w:t>[Maximum Capability] In addition to the baseline capability, analysis of the Bidder’s Financial Model demonstrates how the business remains economically viable under a range of adverse scenarios across the value chain to allow ongoing take up and use of retail and end user services. The Bidder has also demonstrated how its subcontractor arrangements mitigate risks to the on-going service provision.</w:t>
            </w:r>
          </w:p>
        </w:tc>
        <w:tc>
          <w:tcPr>
            <w:tcW w:w="1560" w:type="dxa"/>
            <w:gridSpan w:val="2"/>
            <w:tcBorders>
              <w:top w:val="single" w:sz="4" w:space="0" w:color="auto"/>
              <w:left w:val="single" w:sz="4" w:space="0" w:color="000000"/>
              <w:bottom w:val="single" w:sz="4" w:space="0" w:color="000000"/>
              <w:right w:val="single" w:sz="4" w:space="0" w:color="000000"/>
            </w:tcBorders>
            <w:shd w:val="clear" w:color="auto" w:fill="FFFFFF"/>
          </w:tcPr>
          <w:p w14:paraId="7CF9C855" w14:textId="77777777" w:rsidR="00A72A68" w:rsidRDefault="00A72A68" w:rsidP="00594C28">
            <w:pPr>
              <w:spacing w:after="0" w:line="240" w:lineRule="auto"/>
              <w:jc w:val="left"/>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FFFFFF"/>
          </w:tcPr>
          <w:p w14:paraId="158762B0" w14:textId="77777777" w:rsidR="00A72A68" w:rsidRDefault="00A72A68" w:rsidP="00594C28">
            <w:pPr>
              <w:spacing w:after="0"/>
              <w:jc w:val="left"/>
            </w:pPr>
          </w:p>
        </w:tc>
        <w:tc>
          <w:tcPr>
            <w:tcW w:w="3837" w:type="dxa"/>
            <w:gridSpan w:val="3"/>
            <w:tcBorders>
              <w:top w:val="single" w:sz="4" w:space="0" w:color="auto"/>
              <w:left w:val="single" w:sz="4" w:space="0" w:color="000000"/>
              <w:bottom w:val="single" w:sz="4" w:space="0" w:color="000000"/>
              <w:right w:val="single" w:sz="4" w:space="0" w:color="000000"/>
            </w:tcBorders>
            <w:shd w:val="clear" w:color="auto" w:fill="FFFFFF"/>
          </w:tcPr>
          <w:p w14:paraId="05E1AC85" w14:textId="77777777" w:rsidR="00A72A68" w:rsidRDefault="00A72A68" w:rsidP="00594C28">
            <w:pPr>
              <w:spacing w:after="0"/>
              <w:jc w:val="left"/>
            </w:pPr>
            <w:r>
              <w:rPr>
                <w:rFonts w:ascii="Calibri" w:eastAsia="Calibri" w:hAnsi="Calibri" w:cs="Calibri"/>
                <w:sz w:val="20"/>
                <w:szCs w:val="20"/>
              </w:rPr>
              <w:t xml:space="preserve">Judgement Based Scored Evaluation Criteria </w:t>
            </w:r>
            <w:r w:rsidRPr="00DD129C">
              <w:rPr>
                <w:rFonts w:ascii="Calibri" w:eastAsia="Calibri" w:hAnsi="Calibri" w:cs="Calibri"/>
                <w:sz w:val="20"/>
                <w:szCs w:val="20"/>
              </w:rPr>
              <w:t xml:space="preserve">as set out in A1.4.2 of ITT Part 2 </w:t>
            </w:r>
            <w:r>
              <w:rPr>
                <w:rFonts w:ascii="Calibri" w:eastAsia="Calibri" w:hAnsi="Calibri" w:cs="Calibri"/>
                <w:sz w:val="20"/>
                <w:szCs w:val="20"/>
              </w:rPr>
              <w:t>primarily using the following:</w:t>
            </w:r>
          </w:p>
          <w:p w14:paraId="3DA40EBB" w14:textId="77777777" w:rsidR="00A72A68" w:rsidRDefault="00A72A68" w:rsidP="00594C28">
            <w:pPr>
              <w:spacing w:after="0"/>
              <w:jc w:val="left"/>
            </w:pPr>
            <w:r>
              <w:rPr>
                <w:rFonts w:ascii="Calibri" w:eastAsia="Calibri" w:hAnsi="Calibri" w:cs="Calibri"/>
                <w:sz w:val="20"/>
                <w:szCs w:val="20"/>
              </w:rPr>
              <w:t>-</w:t>
            </w:r>
            <w:r>
              <w:rPr>
                <w:rFonts w:ascii="Calibri" w:eastAsia="Calibri" w:hAnsi="Calibri" w:cs="Calibri"/>
                <w:sz w:val="20"/>
                <w:szCs w:val="20"/>
              </w:rPr>
              <w:tab/>
              <w:t>Bid Project Model</w:t>
            </w:r>
          </w:p>
          <w:p w14:paraId="59D60069" w14:textId="77777777" w:rsidR="00A72A68" w:rsidRDefault="00A72A68" w:rsidP="00594C28">
            <w:pPr>
              <w:spacing w:after="0"/>
              <w:jc w:val="left"/>
            </w:pPr>
            <w:r>
              <w:rPr>
                <w:rFonts w:ascii="Calibri" w:eastAsia="Calibri" w:hAnsi="Calibri" w:cs="Calibri"/>
                <w:sz w:val="20"/>
                <w:szCs w:val="20"/>
              </w:rPr>
              <w:t>-</w:t>
            </w:r>
            <w:r>
              <w:rPr>
                <w:rFonts w:ascii="Calibri" w:eastAsia="Calibri" w:hAnsi="Calibri" w:cs="Calibri"/>
                <w:sz w:val="20"/>
                <w:szCs w:val="20"/>
              </w:rPr>
              <w:tab/>
              <w:t>Financial Memoranda</w:t>
            </w:r>
          </w:p>
          <w:p w14:paraId="01DAAC3E" w14:textId="6D4DEF6C" w:rsidR="00A72A68" w:rsidRDefault="00A72A68" w:rsidP="00594C28">
            <w:pPr>
              <w:spacing w:after="0"/>
              <w:jc w:val="left"/>
            </w:pPr>
          </w:p>
        </w:tc>
      </w:tr>
      <w:tr w:rsidR="00A72A68" w14:paraId="1D9DD957" w14:textId="77777777" w:rsidTr="00594C28">
        <w:trPr>
          <w:gridAfter w:val="1"/>
          <w:wAfter w:w="20" w:type="dxa"/>
          <w:trHeight w:val="57"/>
        </w:trPr>
        <w:tc>
          <w:tcPr>
            <w:tcW w:w="1113" w:type="dxa"/>
            <w:vMerge/>
            <w:tcBorders>
              <w:top w:val="single" w:sz="4" w:space="0" w:color="000000"/>
              <w:left w:val="single" w:sz="4" w:space="0" w:color="000000"/>
              <w:bottom w:val="single" w:sz="4" w:space="0" w:color="000000"/>
              <w:right w:val="single" w:sz="4" w:space="0" w:color="000000"/>
            </w:tcBorders>
            <w:shd w:val="clear" w:color="auto" w:fill="FFFFFF"/>
          </w:tcPr>
          <w:p w14:paraId="6DE43543" w14:textId="77777777" w:rsidR="00A72A68" w:rsidRDefault="00A72A68" w:rsidP="00594C28">
            <w:pPr>
              <w:jc w:val="left"/>
            </w:pPr>
          </w:p>
        </w:tc>
        <w:tc>
          <w:tcPr>
            <w:tcW w:w="3418" w:type="dxa"/>
            <w:tcBorders>
              <w:top w:val="single" w:sz="4" w:space="0" w:color="000000"/>
              <w:left w:val="single" w:sz="4" w:space="0" w:color="000000"/>
              <w:bottom w:val="single" w:sz="4" w:space="0" w:color="000000"/>
              <w:right w:val="single" w:sz="4" w:space="0" w:color="000000"/>
            </w:tcBorders>
            <w:shd w:val="clear" w:color="auto" w:fill="FFFFFF"/>
          </w:tcPr>
          <w:p w14:paraId="66DC2CBF" w14:textId="77777777" w:rsidR="00A72A68" w:rsidRDefault="00A72A68" w:rsidP="00594C28">
            <w:pPr>
              <w:spacing w:after="0"/>
              <w:jc w:val="left"/>
            </w:pPr>
            <w:r>
              <w:rPr>
                <w:rFonts w:ascii="Calibri" w:eastAsia="Calibri" w:hAnsi="Calibri" w:cs="Calibri"/>
                <w:b/>
                <w:sz w:val="20"/>
                <w:szCs w:val="20"/>
              </w:rPr>
              <w:t>1.6  Funding levels</w:t>
            </w:r>
            <w:r>
              <w:rPr>
                <w:rStyle w:val="FootnoteReference"/>
                <w:rFonts w:ascii="Calibri" w:eastAsia="Calibri" w:hAnsi="Calibri" w:cs="Calibri"/>
                <w:b/>
                <w:sz w:val="20"/>
                <w:szCs w:val="20"/>
              </w:rPr>
              <w:footnoteReference w:id="53"/>
            </w:r>
          </w:p>
          <w:p w14:paraId="27AD7A53" w14:textId="77777777" w:rsidR="00A72A68" w:rsidRDefault="00A72A68" w:rsidP="00594C28">
            <w:pPr>
              <w:spacing w:after="0"/>
              <w:jc w:val="left"/>
            </w:pPr>
            <w:r>
              <w:rPr>
                <w:rFonts w:ascii="Calibri" w:eastAsia="Calibri" w:hAnsi="Calibri" w:cs="Calibri"/>
                <w:sz w:val="20"/>
                <w:szCs w:val="20"/>
              </w:rPr>
              <w:t>Bidders will be assessed on the overall cost to the public sector of the project (either in absolute terms, on a per-premise basis, or relative to the overall private sector contribution.)</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3A7AF3" w14:textId="77777777" w:rsidR="00A72A68" w:rsidRDefault="00A72A68" w:rsidP="00594C28">
            <w:pPr>
              <w:spacing w:after="0" w:line="240" w:lineRule="auto"/>
              <w:jc w:val="left"/>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8B89FA" w14:textId="77777777" w:rsidR="00A72A68" w:rsidRDefault="00A72A68" w:rsidP="00594C28">
            <w:pPr>
              <w:spacing w:after="0"/>
              <w:jc w:val="left"/>
            </w:pPr>
          </w:p>
        </w:tc>
        <w:tc>
          <w:tcPr>
            <w:tcW w:w="383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392385" w14:textId="77777777" w:rsidR="00A72A68" w:rsidRPr="006F5C4D" w:rsidRDefault="00A72A68" w:rsidP="00594C28">
            <w:pPr>
              <w:widowControl w:val="0"/>
              <w:spacing w:after="240" w:line="240" w:lineRule="auto"/>
              <w:jc w:val="left"/>
              <w:rPr>
                <w:sz w:val="20"/>
                <w:szCs w:val="20"/>
              </w:rPr>
            </w:pPr>
            <w:r w:rsidRPr="006F5C4D">
              <w:rPr>
                <w:rFonts w:ascii="Calibri" w:eastAsia="Calibri" w:hAnsi="Calibri" w:cs="Calibri"/>
                <w:sz w:val="20"/>
                <w:szCs w:val="20"/>
              </w:rPr>
              <w:t xml:space="preserve">Scores will be awarded on a relative basis using outputs from the bid financial model (e.g. the bid with lowest subsidy receives full marks, and a bid 10% more expensive receives a 10% reduction in score). </w:t>
            </w:r>
          </w:p>
          <w:p w14:paraId="46148E24" w14:textId="77777777" w:rsidR="00A72A68" w:rsidRDefault="00A72A68" w:rsidP="00594C28">
            <w:pPr>
              <w:spacing w:after="0"/>
              <w:jc w:val="left"/>
            </w:pPr>
          </w:p>
        </w:tc>
      </w:tr>
    </w:tbl>
    <w:p w14:paraId="4BA7A56A" w14:textId="4B136F90" w:rsidR="00A72A68" w:rsidRDefault="00F46572" w:rsidP="00A72A68">
      <w:pPr>
        <w:spacing w:after="0" w:line="240" w:lineRule="auto"/>
        <w:jc w:val="left"/>
      </w:pPr>
      <w:r>
        <w:br w:type="textWrapping" w:clear="all"/>
      </w:r>
    </w:p>
    <w:p w14:paraId="7B645624" w14:textId="77777777" w:rsidR="00A72A68" w:rsidRDefault="00A72A68" w:rsidP="00A72A68">
      <w:pPr>
        <w:spacing w:after="0" w:line="240" w:lineRule="auto"/>
        <w:jc w:val="left"/>
      </w:pPr>
    </w:p>
    <w:tbl>
      <w:tblPr>
        <w:tblW w:w="12726" w:type="dxa"/>
        <w:tblInd w:w="-115" w:type="dxa"/>
        <w:tblLayout w:type="fixed"/>
        <w:tblLook w:val="0000" w:firstRow="0" w:lastRow="0" w:firstColumn="0" w:lastColumn="0" w:noHBand="0" w:noVBand="0"/>
      </w:tblPr>
      <w:tblGrid>
        <w:gridCol w:w="961"/>
        <w:gridCol w:w="3544"/>
        <w:gridCol w:w="1559"/>
        <w:gridCol w:w="2977"/>
        <w:gridCol w:w="10"/>
        <w:gridCol w:w="3675"/>
      </w:tblGrid>
      <w:tr w:rsidR="00A72A68" w14:paraId="5912A4DA" w14:textId="77777777" w:rsidTr="00F36BAC">
        <w:trPr>
          <w:tblHeader/>
        </w:trPr>
        <w:tc>
          <w:tcPr>
            <w:tcW w:w="961"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53499E1C" w14:textId="77777777" w:rsidR="00A72A68" w:rsidRDefault="00A72A68" w:rsidP="004E22F3">
            <w:pPr>
              <w:jc w:val="center"/>
            </w:pPr>
            <w:r>
              <w:rPr>
                <w:rFonts w:ascii="Calibri" w:eastAsia="Calibri" w:hAnsi="Calibri" w:cs="Calibri"/>
                <w:b/>
              </w:rPr>
              <w:lastRenderedPageBreak/>
              <w:t>Level One Criteria</w:t>
            </w:r>
          </w:p>
        </w:tc>
        <w:tc>
          <w:tcPr>
            <w:tcW w:w="3544" w:type="dxa"/>
            <w:tcBorders>
              <w:top w:val="single" w:sz="4" w:space="0" w:color="000000"/>
              <w:left w:val="single" w:sz="4" w:space="0" w:color="000000"/>
              <w:bottom w:val="single" w:sz="4" w:space="0" w:color="auto"/>
              <w:right w:val="single" w:sz="4" w:space="0" w:color="000000"/>
            </w:tcBorders>
            <w:shd w:val="clear" w:color="auto" w:fill="F4CCCC"/>
            <w:vAlign w:val="center"/>
          </w:tcPr>
          <w:p w14:paraId="4A437BE7" w14:textId="77777777" w:rsidR="00A72A68" w:rsidRDefault="00A72A68" w:rsidP="004E22F3">
            <w:pPr>
              <w:jc w:val="center"/>
            </w:pPr>
            <w:r>
              <w:rPr>
                <w:rFonts w:ascii="Calibri" w:eastAsia="Calibri" w:hAnsi="Calibri" w:cs="Calibri"/>
                <w:b/>
              </w:rPr>
              <w:t>Level Two Criteria</w:t>
            </w:r>
          </w:p>
        </w:tc>
        <w:tc>
          <w:tcPr>
            <w:tcW w:w="1559"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19F51DB1" w14:textId="77777777" w:rsidR="00A72A68" w:rsidRDefault="00A72A68" w:rsidP="004E22F3">
            <w:pPr>
              <w:spacing w:after="0" w:line="240" w:lineRule="auto"/>
              <w:jc w:val="center"/>
            </w:pPr>
            <w:r>
              <w:rPr>
                <w:rFonts w:ascii="Calibri" w:eastAsia="Calibri" w:hAnsi="Calibri" w:cs="Calibri"/>
                <w:b/>
              </w:rPr>
              <w:t>Level Three Criteria</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4CCCC"/>
            <w:vAlign w:val="center"/>
          </w:tcPr>
          <w:p w14:paraId="6B80E1CB" w14:textId="77777777" w:rsidR="00A72A68" w:rsidRDefault="00A72A68" w:rsidP="004E22F3">
            <w:pPr>
              <w:jc w:val="center"/>
            </w:pPr>
            <w:r>
              <w:rPr>
                <w:rFonts w:ascii="Calibri" w:eastAsia="Calibri" w:hAnsi="Calibri" w:cs="Calibri"/>
                <w:b/>
              </w:rPr>
              <w:t>Award Criteria Question Ref:</w:t>
            </w:r>
          </w:p>
        </w:tc>
        <w:tc>
          <w:tcPr>
            <w:tcW w:w="3675" w:type="dxa"/>
            <w:tcBorders>
              <w:top w:val="single" w:sz="4" w:space="0" w:color="000000"/>
              <w:left w:val="single" w:sz="4" w:space="0" w:color="000000"/>
              <w:bottom w:val="single" w:sz="4" w:space="0" w:color="000000"/>
              <w:right w:val="single" w:sz="4" w:space="0" w:color="000000"/>
            </w:tcBorders>
            <w:shd w:val="clear" w:color="auto" w:fill="F4CCCC"/>
            <w:vAlign w:val="center"/>
          </w:tcPr>
          <w:p w14:paraId="4A63286C" w14:textId="77777777" w:rsidR="00A72A68" w:rsidRDefault="00A72A68" w:rsidP="00F36BAC">
            <w:pPr>
              <w:ind w:right="1504"/>
              <w:jc w:val="center"/>
            </w:pPr>
            <w:r>
              <w:rPr>
                <w:rFonts w:ascii="Calibri" w:eastAsia="Calibri" w:hAnsi="Calibri" w:cs="Calibri"/>
                <w:b/>
              </w:rPr>
              <w:t>Scoring Approach</w:t>
            </w:r>
          </w:p>
        </w:tc>
      </w:tr>
      <w:tr w:rsidR="00A72A68" w14:paraId="2641A6A8" w14:textId="77777777" w:rsidTr="00F36BAC">
        <w:tc>
          <w:tcPr>
            <w:tcW w:w="961" w:type="dxa"/>
            <w:tcBorders>
              <w:top w:val="single" w:sz="4" w:space="0" w:color="000000"/>
              <w:left w:val="single" w:sz="4" w:space="0" w:color="000000"/>
              <w:bottom w:val="single" w:sz="4" w:space="0" w:color="000000"/>
              <w:right w:val="single" w:sz="4" w:space="0" w:color="auto"/>
            </w:tcBorders>
            <w:shd w:val="clear" w:color="auto" w:fill="FFFFFF"/>
          </w:tcPr>
          <w:p w14:paraId="3B4B356F" w14:textId="77777777" w:rsidR="00A72A68" w:rsidRDefault="00A72A68" w:rsidP="004E22F3">
            <w:pPr>
              <w:jc w:val="left"/>
            </w:pPr>
            <w:r>
              <w:rPr>
                <w:rFonts w:ascii="Calibri" w:eastAsia="Calibri" w:hAnsi="Calibri" w:cs="Calibri"/>
                <w:b/>
                <w:sz w:val="20"/>
                <w:szCs w:val="20"/>
              </w:rPr>
              <w:t>1.</w:t>
            </w:r>
          </w:p>
          <w:p w14:paraId="4F4DAEED" w14:textId="77777777" w:rsidR="00A72A68" w:rsidRDefault="00A72A68" w:rsidP="004E22F3">
            <w:pPr>
              <w:jc w:val="left"/>
            </w:pPr>
            <w:r>
              <w:rPr>
                <w:rFonts w:ascii="Calibri" w:eastAsia="Calibri" w:hAnsi="Calibri" w:cs="Calibri"/>
                <w:b/>
                <w:sz w:val="20"/>
                <w:szCs w:val="20"/>
              </w:rPr>
              <w:t>Price cont..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23C9E80" w14:textId="77777777" w:rsidR="00A72A68" w:rsidRDefault="00A72A68" w:rsidP="004E22F3">
            <w:pPr>
              <w:spacing w:after="0"/>
              <w:jc w:val="left"/>
            </w:pPr>
            <w:r>
              <w:rPr>
                <w:rFonts w:ascii="Calibri" w:eastAsia="Calibri" w:hAnsi="Calibri" w:cs="Calibri"/>
                <w:b/>
                <w:sz w:val="20"/>
                <w:szCs w:val="20"/>
              </w:rPr>
              <w:t>1.7  Solution coverage at NGA speeds</w:t>
            </w:r>
          </w:p>
          <w:p w14:paraId="1A997DA1" w14:textId="77777777" w:rsidR="00A72A68" w:rsidRDefault="00A72A68" w:rsidP="004E22F3">
            <w:pPr>
              <w:spacing w:after="0"/>
              <w:jc w:val="left"/>
            </w:pPr>
            <w:r>
              <w:rPr>
                <w:rFonts w:ascii="Calibri" w:eastAsia="Calibri" w:hAnsi="Calibri" w:cs="Calibri"/>
                <w:sz w:val="20"/>
                <w:szCs w:val="20"/>
              </w:rPr>
              <w:t>Bidders will be assessed on whether their coverage forecast is consistent with their Solution Design and Implementation Plans, as well as providing the required step change.</w:t>
            </w:r>
          </w:p>
          <w:p w14:paraId="0D7536F9" w14:textId="77777777" w:rsidR="00A72A68" w:rsidRDefault="00A72A68" w:rsidP="004E22F3">
            <w:pPr>
              <w:spacing w:after="0"/>
              <w:jc w:val="left"/>
            </w:pPr>
            <w:r>
              <w:rPr>
                <w:rFonts w:ascii="Calibri" w:eastAsia="Calibri" w:hAnsi="Calibri" w:cs="Calibri"/>
                <w:sz w:val="20"/>
                <w:szCs w:val="20"/>
              </w:rPr>
              <w:t>Implementing Bodies may also choose to set priority areas to be covered (e.g. a business park).</w:t>
            </w:r>
          </w:p>
          <w:p w14:paraId="64CAABBF" w14:textId="77777777" w:rsidR="00A72A68" w:rsidRDefault="00A72A68" w:rsidP="004E22F3">
            <w:pPr>
              <w:spacing w:after="0"/>
              <w:jc w:val="left"/>
            </w:pPr>
            <w:r>
              <w:rPr>
                <w:rFonts w:ascii="Calibri" w:eastAsia="Calibri" w:hAnsi="Calibri" w:cs="Calibri"/>
                <w:sz w:val="20"/>
                <w:szCs w:val="20"/>
              </w:rPr>
              <w:t>Bidders will be assessed on the extent of NGA coverage to target premises in the intervention area at 30Mbps and higher speeds.</w:t>
            </w:r>
          </w:p>
        </w:tc>
        <w:tc>
          <w:tcPr>
            <w:tcW w:w="1559" w:type="dxa"/>
            <w:tcBorders>
              <w:top w:val="single" w:sz="4" w:space="0" w:color="000000"/>
              <w:left w:val="single" w:sz="4" w:space="0" w:color="auto"/>
              <w:bottom w:val="single" w:sz="4" w:space="0" w:color="000000"/>
              <w:right w:val="single" w:sz="4" w:space="0" w:color="000000"/>
            </w:tcBorders>
            <w:shd w:val="clear" w:color="auto" w:fill="FFFFFF"/>
          </w:tcPr>
          <w:p w14:paraId="4E2BAE8E" w14:textId="77777777" w:rsidR="00A72A68" w:rsidRDefault="00A72A68" w:rsidP="004E22F3">
            <w:pPr>
              <w:spacing w:after="0" w:line="240" w:lineRule="auto"/>
              <w:jc w:val="left"/>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CD45433" w14:textId="77777777" w:rsidR="00A72A68" w:rsidRDefault="00A72A68" w:rsidP="004E22F3">
            <w:pPr>
              <w:spacing w:after="0"/>
              <w:jc w:val="left"/>
              <w:rPr>
                <w:rFonts w:ascii="Calibri" w:eastAsia="Calibri" w:hAnsi="Calibri" w:cs="Calibri"/>
                <w:sz w:val="20"/>
                <w:szCs w:val="20"/>
              </w:rPr>
            </w:pPr>
          </w:p>
          <w:p w14:paraId="78AF27D4" w14:textId="77777777" w:rsidR="00A72A68" w:rsidRPr="000F3CC5" w:rsidRDefault="00A72A68" w:rsidP="004E22F3">
            <w:pPr>
              <w:spacing w:after="0"/>
              <w:jc w:val="left"/>
              <w:rPr>
                <w:rFonts w:asciiTheme="minorHAnsi" w:hAnsiTheme="minorHAnsi"/>
                <w:sz w:val="20"/>
                <w:szCs w:val="20"/>
              </w:rPr>
            </w:pPr>
            <w:r w:rsidRPr="000F3CC5">
              <w:rPr>
                <w:rFonts w:asciiTheme="minorHAnsi" w:hAnsiTheme="minorHAnsi"/>
                <w:sz w:val="20"/>
                <w:szCs w:val="20"/>
              </w:rPr>
              <w:t>3.2.1</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97E13B" w14:textId="2D1D1793" w:rsidR="00A72A68" w:rsidRDefault="00A72A68" w:rsidP="004E22F3">
            <w:pPr>
              <w:spacing w:after="0"/>
              <w:jc w:val="left"/>
            </w:pPr>
            <w:r>
              <w:rPr>
                <w:rFonts w:ascii="Calibri" w:eastAsia="Calibri" w:hAnsi="Calibri" w:cs="Calibri"/>
                <w:sz w:val="20"/>
                <w:szCs w:val="20"/>
              </w:rPr>
              <w:t>Calculated score using Speed and Coverage Template [followed by Judgement Based Scored Evaluation Criteria</w:t>
            </w:r>
            <w:r w:rsidDel="009C417E">
              <w:rPr>
                <w:rFonts w:ascii="Calibri" w:eastAsia="Calibri" w:hAnsi="Calibri" w:cs="Calibri"/>
                <w:sz w:val="20"/>
                <w:szCs w:val="20"/>
              </w:rPr>
              <w:t xml:space="preserve"> </w:t>
            </w:r>
            <w:r>
              <w:rPr>
                <w:rFonts w:ascii="Calibri" w:eastAsia="Calibri" w:hAnsi="Calibri" w:cs="Calibri"/>
                <w:sz w:val="20"/>
                <w:szCs w:val="20"/>
              </w:rPr>
              <w:t>resulting in a potential adjustment to the Speed and Coverage Template score</w:t>
            </w:r>
            <w:r w:rsidR="00F46572">
              <w:rPr>
                <w:rFonts w:ascii="Calibri" w:eastAsia="Calibri" w:hAnsi="Calibri" w:cs="Calibri"/>
                <w:sz w:val="20"/>
                <w:szCs w:val="20"/>
              </w:rPr>
              <w:t>]</w:t>
            </w:r>
          </w:p>
          <w:p w14:paraId="47A87FF5" w14:textId="77777777" w:rsidR="00A72A68" w:rsidRDefault="00A72A68" w:rsidP="004E22F3">
            <w:pPr>
              <w:spacing w:after="0"/>
              <w:jc w:val="left"/>
            </w:pPr>
          </w:p>
        </w:tc>
      </w:tr>
      <w:tr w:rsidR="00F36BAC" w14:paraId="46BB36F0" w14:textId="77777777" w:rsidTr="004C7B45">
        <w:trPr>
          <w:trHeight w:val="57"/>
        </w:trPr>
        <w:tc>
          <w:tcPr>
            <w:tcW w:w="961" w:type="dxa"/>
            <w:vMerge w:val="restart"/>
            <w:tcBorders>
              <w:top w:val="single" w:sz="4" w:space="0" w:color="auto"/>
              <w:left w:val="single" w:sz="4" w:space="0" w:color="auto"/>
              <w:right w:val="single" w:sz="4" w:space="0" w:color="auto"/>
            </w:tcBorders>
            <w:shd w:val="clear" w:color="auto" w:fill="FFFFFF"/>
          </w:tcPr>
          <w:p w14:paraId="0317D501" w14:textId="77777777" w:rsidR="00F36BAC" w:rsidRDefault="00F36BAC" w:rsidP="004E22F3">
            <w:pPr>
              <w:spacing w:after="0"/>
              <w:jc w:val="left"/>
            </w:pPr>
            <w:r>
              <w:rPr>
                <w:rFonts w:ascii="Calibri" w:eastAsia="Calibri" w:hAnsi="Calibri" w:cs="Calibri"/>
                <w:b/>
                <w:sz w:val="20"/>
                <w:szCs w:val="20"/>
              </w:rPr>
              <w:t>2.</w:t>
            </w:r>
          </w:p>
          <w:p w14:paraId="44534302" w14:textId="77777777" w:rsidR="00F36BAC" w:rsidRDefault="00F36BAC" w:rsidP="004E22F3">
            <w:pPr>
              <w:spacing w:after="0"/>
              <w:jc w:val="left"/>
            </w:pPr>
            <w:r>
              <w:rPr>
                <w:rFonts w:ascii="Calibri" w:eastAsia="Calibri" w:hAnsi="Calibri" w:cs="Calibri"/>
                <w:b/>
                <w:sz w:val="20"/>
                <w:szCs w:val="20"/>
              </w:rPr>
              <w:t>Quality</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93E6DAF" w14:textId="77777777" w:rsidR="00F36BAC" w:rsidRDefault="00F36BAC" w:rsidP="004E22F3">
            <w:pPr>
              <w:spacing w:after="0"/>
              <w:jc w:val="left"/>
            </w:pPr>
            <w:r>
              <w:rPr>
                <w:rFonts w:ascii="Calibri" w:eastAsia="Calibri" w:hAnsi="Calibri" w:cs="Calibri"/>
                <w:b/>
                <w:sz w:val="20"/>
                <w:szCs w:val="20"/>
              </w:rPr>
              <w:t>2.1  Solution design compliance</w:t>
            </w:r>
          </w:p>
          <w:p w14:paraId="7B02A7C4" w14:textId="77777777" w:rsidR="00F36BAC" w:rsidRDefault="00F36BAC" w:rsidP="004E22F3">
            <w:pPr>
              <w:spacing w:after="0"/>
              <w:jc w:val="left"/>
            </w:pPr>
            <w:r>
              <w:rPr>
                <w:rFonts w:ascii="Calibri" w:eastAsia="Calibri" w:hAnsi="Calibri" w:cs="Calibri"/>
                <w:sz w:val="20"/>
                <w:szCs w:val="20"/>
              </w:rPr>
              <w:t>Bidders will be assessed on whether the Solution is NGA Technology compliant.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EAF833" w14:textId="77777777" w:rsidR="00F36BAC" w:rsidRDefault="00F36BAC" w:rsidP="004E22F3">
            <w:pPr>
              <w:spacing w:after="0" w:line="240" w:lineRule="auto"/>
              <w:jc w:val="left"/>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44088E1" w14:textId="77777777" w:rsidR="00F36BAC" w:rsidRDefault="00F36BAC" w:rsidP="004E22F3">
            <w:pPr>
              <w:spacing w:after="0"/>
              <w:jc w:val="left"/>
              <w:rPr>
                <w:rFonts w:ascii="Calibri" w:eastAsia="Calibri" w:hAnsi="Calibri" w:cs="Calibri"/>
                <w:sz w:val="20"/>
                <w:szCs w:val="20"/>
              </w:rPr>
            </w:pPr>
            <w:r>
              <w:rPr>
                <w:rFonts w:ascii="Calibri" w:eastAsia="Calibri" w:hAnsi="Calibri" w:cs="Calibri"/>
                <w:sz w:val="20"/>
                <w:szCs w:val="20"/>
              </w:rPr>
              <w:t>2.1.1</w:t>
            </w:r>
          </w:p>
          <w:p w14:paraId="1ACFFD1A" w14:textId="4BE245F2" w:rsidR="00F36BAC" w:rsidRDefault="00F36BAC" w:rsidP="004E22F3">
            <w:pPr>
              <w:spacing w:after="0"/>
              <w:jc w:val="left"/>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501E2E27" w14:textId="77777777" w:rsidR="00F36BAC" w:rsidRDefault="00F36BAC" w:rsidP="004E22F3">
            <w:pPr>
              <w:spacing w:after="0"/>
              <w:jc w:val="left"/>
              <w:rPr>
                <w:rFonts w:ascii="Calibri" w:eastAsia="Calibri" w:hAnsi="Calibri" w:cs="Calibri"/>
                <w:sz w:val="20"/>
                <w:szCs w:val="20"/>
              </w:rPr>
            </w:pPr>
            <w:r>
              <w:rPr>
                <w:rFonts w:ascii="Calibri" w:eastAsia="Calibri" w:hAnsi="Calibri" w:cs="Calibri"/>
                <w:sz w:val="20"/>
                <w:szCs w:val="20"/>
              </w:rPr>
              <w:t xml:space="preserve">Pass/Fail </w:t>
            </w:r>
          </w:p>
          <w:p w14:paraId="382D8E5C" w14:textId="4729471A" w:rsidR="00F36BAC" w:rsidRDefault="00F36BAC" w:rsidP="004E22F3">
            <w:pPr>
              <w:spacing w:after="0"/>
              <w:jc w:val="left"/>
            </w:pPr>
            <w:r>
              <w:rPr>
                <w:rFonts w:ascii="Calibri" w:eastAsia="Calibri" w:hAnsi="Calibri" w:cs="Calibri"/>
                <w:sz w:val="20"/>
                <w:szCs w:val="20"/>
              </w:rPr>
              <w:t>Based on response within NGA Assessment Template under 2.1.1 of Appendix 2 part 2</w:t>
            </w:r>
          </w:p>
        </w:tc>
      </w:tr>
      <w:tr w:rsidR="00F36BAC" w14:paraId="34C0BD9F" w14:textId="77777777" w:rsidTr="004C7B45">
        <w:trPr>
          <w:trHeight w:val="57"/>
        </w:trPr>
        <w:tc>
          <w:tcPr>
            <w:tcW w:w="961" w:type="dxa"/>
            <w:vMerge/>
            <w:tcBorders>
              <w:left w:val="single" w:sz="4" w:space="0" w:color="auto"/>
              <w:right w:val="single" w:sz="4" w:space="0" w:color="auto"/>
            </w:tcBorders>
            <w:shd w:val="clear" w:color="auto" w:fill="FFFFFF"/>
          </w:tcPr>
          <w:p w14:paraId="17377506" w14:textId="77777777" w:rsidR="00F36BAC" w:rsidRDefault="00F36BAC" w:rsidP="004E22F3">
            <w:pPr>
              <w:jc w:val="left"/>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459126DE" w14:textId="77777777" w:rsidR="00F36BAC" w:rsidRDefault="00F36BAC" w:rsidP="004E22F3">
            <w:pPr>
              <w:spacing w:after="0"/>
              <w:jc w:val="left"/>
            </w:pPr>
            <w:r>
              <w:rPr>
                <w:rFonts w:ascii="Calibri" w:eastAsia="Calibri" w:hAnsi="Calibri" w:cs="Calibri"/>
                <w:b/>
                <w:sz w:val="20"/>
                <w:szCs w:val="20"/>
              </w:rPr>
              <w:t xml:space="preserve">2.2  Solution design quality </w:t>
            </w:r>
          </w:p>
          <w:p w14:paraId="6C8CFB9F" w14:textId="77777777" w:rsidR="00F36BAC" w:rsidRDefault="00F36BAC" w:rsidP="004E22F3">
            <w:pPr>
              <w:spacing w:after="0"/>
              <w:jc w:val="left"/>
            </w:pPr>
            <w:r>
              <w:rPr>
                <w:rFonts w:ascii="Calibri" w:eastAsia="Calibri" w:hAnsi="Calibri" w:cs="Calibri"/>
                <w:sz w:val="20"/>
                <w:szCs w:val="20"/>
              </w:rPr>
              <w:t xml:space="preserve">[Baseline Capability] The Bidder adequately describes its Solution, including the service management processes for the support of the Solution and has adequate design principles including considering reuse of infrastructure, mitigating environmental </w:t>
            </w:r>
            <w:r>
              <w:rPr>
                <w:rFonts w:ascii="Calibri" w:eastAsia="Calibri" w:hAnsi="Calibri" w:cs="Calibri"/>
                <w:sz w:val="20"/>
                <w:szCs w:val="20"/>
              </w:rPr>
              <w:lastRenderedPageBreak/>
              <w:t>impacts and minimising single points of failure). Each of the underlying infrastructures in the Bidder’s solution also meets baseline standards for jitter, latency, committed information rate, and service levels for installation and fix (as set out in tender documents).</w:t>
            </w:r>
          </w:p>
          <w:p w14:paraId="779DEEF5" w14:textId="7C85ED37" w:rsidR="00F36BAC" w:rsidRDefault="00F36BAC" w:rsidP="006D4EA5">
            <w:pPr>
              <w:spacing w:after="0"/>
              <w:jc w:val="left"/>
            </w:pPr>
            <w:r>
              <w:rPr>
                <w:rFonts w:ascii="Calibri" w:eastAsia="Calibri" w:hAnsi="Calibri" w:cs="Calibri"/>
                <w:sz w:val="20"/>
                <w:szCs w:val="20"/>
              </w:rPr>
              <w:t>[Maximum Capability] In addition to the baseline capability, each of the underlying infrastructures in the Bidder’s Solution significantly exceed baseline standards for jitter, latency, committed information rate, and service levels for installation and fix. The Bidder provides evidence and reasonable confidence that an upgrade path is achievable in the future (e.g. to ultrafast speeds or higher), and is designed to facilitate access and extension to the network to reduce the barriers to incremental coverage (up to 100% coverage of speeds of at least 30 Mbps) in the area (either from the selected supplier or from other access seekers).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E511F0" w14:textId="77777777" w:rsidR="00F36BAC" w:rsidRDefault="00F36BAC" w:rsidP="004E22F3">
            <w:pPr>
              <w:spacing w:after="0" w:line="240" w:lineRule="auto"/>
              <w:jc w:val="left"/>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EEDCB13"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SSD2.1</w:t>
            </w:r>
          </w:p>
          <w:p w14:paraId="33947C29"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SSD2.2.1</w:t>
            </w:r>
          </w:p>
          <w:p w14:paraId="626BF142" w14:textId="666CF49B" w:rsidR="00F36BAC" w:rsidRDefault="00F36BAC" w:rsidP="004E22F3">
            <w:pPr>
              <w:spacing w:after="0"/>
              <w:jc w:val="left"/>
              <w:rPr>
                <w:rFonts w:asciiTheme="minorHAnsi" w:hAnsiTheme="minorHAnsi"/>
                <w:sz w:val="20"/>
                <w:szCs w:val="20"/>
              </w:rPr>
            </w:pPr>
            <w:r>
              <w:rPr>
                <w:rFonts w:asciiTheme="minorHAnsi" w:hAnsiTheme="minorHAnsi"/>
                <w:sz w:val="20"/>
                <w:szCs w:val="20"/>
              </w:rPr>
              <w:t>SSD3.1.1</w:t>
            </w:r>
          </w:p>
          <w:p w14:paraId="62134BF0"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SSD4.1.1</w:t>
            </w:r>
          </w:p>
          <w:p w14:paraId="195523A9"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SSD5.1</w:t>
            </w:r>
          </w:p>
          <w:p w14:paraId="7245CC54"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SSD5.2</w:t>
            </w:r>
          </w:p>
          <w:p w14:paraId="7ABCACB8"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SSD5.3.1</w:t>
            </w:r>
          </w:p>
          <w:p w14:paraId="333B18F0"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SSD5.4</w:t>
            </w:r>
          </w:p>
          <w:p w14:paraId="7D388008"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lastRenderedPageBreak/>
              <w:t>SSD5.5</w:t>
            </w:r>
          </w:p>
          <w:p w14:paraId="7B94B2BB"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SSD7.1</w:t>
            </w:r>
          </w:p>
          <w:p w14:paraId="1299ABA5"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SSD7.2</w:t>
            </w:r>
          </w:p>
          <w:p w14:paraId="2C5A8839" w14:textId="77777777" w:rsidR="00F36BAC" w:rsidRDefault="00F36BAC" w:rsidP="004E22F3">
            <w:pPr>
              <w:spacing w:after="0"/>
              <w:jc w:val="left"/>
              <w:rPr>
                <w:rFonts w:asciiTheme="minorHAnsi" w:hAnsiTheme="minorHAnsi"/>
                <w:sz w:val="20"/>
                <w:szCs w:val="20"/>
              </w:rPr>
            </w:pPr>
          </w:p>
          <w:p w14:paraId="2828BDC9" w14:textId="77777777" w:rsidR="00F36BAC" w:rsidRDefault="00F36BAC" w:rsidP="004E22F3">
            <w:pPr>
              <w:spacing w:after="0"/>
              <w:jc w:val="left"/>
              <w:rPr>
                <w:rFonts w:asciiTheme="minorHAnsi" w:hAnsiTheme="minorHAnsi"/>
                <w:sz w:val="20"/>
                <w:szCs w:val="20"/>
              </w:rPr>
            </w:pPr>
          </w:p>
          <w:p w14:paraId="3E05A202"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2.1.2</w:t>
            </w:r>
          </w:p>
          <w:p w14:paraId="79250655"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3.1</w:t>
            </w:r>
          </w:p>
          <w:p w14:paraId="1C70E264"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3.2</w:t>
            </w:r>
          </w:p>
          <w:p w14:paraId="31A9E561"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3.3</w:t>
            </w:r>
          </w:p>
          <w:p w14:paraId="5DD185EA"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3.4</w:t>
            </w:r>
          </w:p>
          <w:p w14:paraId="4A0B4D61"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3.5</w:t>
            </w:r>
          </w:p>
          <w:p w14:paraId="2EA4673E"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3.6</w:t>
            </w:r>
          </w:p>
          <w:p w14:paraId="741989AA"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3.7</w:t>
            </w:r>
          </w:p>
          <w:p w14:paraId="12C33E4A"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3.8</w:t>
            </w:r>
          </w:p>
          <w:p w14:paraId="6739565A"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4.1.1</w:t>
            </w:r>
          </w:p>
          <w:p w14:paraId="1DB2A0C0" w14:textId="77777777" w:rsidR="00F36BAC" w:rsidRPr="00C870A3" w:rsidRDefault="00F36BAC" w:rsidP="004E22F3">
            <w:pPr>
              <w:spacing w:after="0"/>
              <w:jc w:val="left"/>
              <w:rPr>
                <w:rFonts w:asciiTheme="minorHAnsi" w:hAnsiTheme="minorHAnsi"/>
                <w:sz w:val="20"/>
                <w:szCs w:val="20"/>
              </w:rPr>
            </w:pPr>
            <w:r>
              <w:rPr>
                <w:rFonts w:asciiTheme="minorHAnsi" w:hAnsiTheme="minorHAnsi"/>
                <w:sz w:val="20"/>
                <w:szCs w:val="20"/>
              </w:rPr>
              <w:t>8.1.1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8CDA85C" w14:textId="77777777" w:rsidR="00F36BAC" w:rsidRDefault="00F36BAC" w:rsidP="004E22F3">
            <w:pPr>
              <w:spacing w:after="0"/>
              <w:jc w:val="left"/>
            </w:pPr>
            <w:r>
              <w:rPr>
                <w:rFonts w:ascii="Calibri" w:eastAsia="Calibri" w:hAnsi="Calibri" w:cs="Calibri"/>
                <w:sz w:val="20"/>
                <w:szCs w:val="20"/>
              </w:rPr>
              <w:lastRenderedPageBreak/>
              <w:t xml:space="preserve">Judgement Based Scored Evaluation Criteria </w:t>
            </w:r>
            <w:r w:rsidRPr="00DD129C">
              <w:rPr>
                <w:rFonts w:ascii="Calibri" w:eastAsia="Calibri" w:hAnsi="Calibri" w:cs="Calibri"/>
                <w:sz w:val="20"/>
                <w:szCs w:val="20"/>
              </w:rPr>
              <w:t>as set out in A1.4.2 of ITT Part 2</w:t>
            </w:r>
          </w:p>
        </w:tc>
      </w:tr>
      <w:tr w:rsidR="00F36BAC" w14:paraId="76665D09" w14:textId="77777777" w:rsidTr="004C7B45">
        <w:trPr>
          <w:trHeight w:val="57"/>
        </w:trPr>
        <w:tc>
          <w:tcPr>
            <w:tcW w:w="961" w:type="dxa"/>
            <w:vMerge/>
            <w:tcBorders>
              <w:left w:val="single" w:sz="4" w:space="0" w:color="auto"/>
              <w:right w:val="single" w:sz="4" w:space="0" w:color="auto"/>
            </w:tcBorders>
            <w:shd w:val="clear" w:color="auto" w:fill="FFFFFF"/>
          </w:tcPr>
          <w:p w14:paraId="61373B53" w14:textId="77777777" w:rsidR="00F36BAC" w:rsidRDefault="00F36BAC" w:rsidP="004E22F3">
            <w:pPr>
              <w:jc w:val="left"/>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7FEAD96" w14:textId="53E98E49" w:rsidR="00F36BAC" w:rsidRDefault="00F36BAC" w:rsidP="004E22F3">
            <w:pPr>
              <w:spacing w:after="0"/>
              <w:jc w:val="left"/>
            </w:pPr>
            <w:r>
              <w:rPr>
                <w:rFonts w:ascii="Calibri" w:eastAsia="Calibri" w:hAnsi="Calibri" w:cs="Calibri"/>
                <w:b/>
                <w:sz w:val="20"/>
                <w:szCs w:val="20"/>
              </w:rPr>
              <w:t>2.3  Wholesale network design / Wholesale and retail pricing</w:t>
            </w:r>
          </w:p>
          <w:p w14:paraId="605632CD" w14:textId="77777777" w:rsidR="00F36BAC" w:rsidRDefault="00F36BAC" w:rsidP="004E22F3">
            <w:pPr>
              <w:spacing w:after="0"/>
              <w:jc w:val="left"/>
            </w:pPr>
            <w:r>
              <w:rPr>
                <w:rFonts w:ascii="Calibri" w:eastAsia="Calibri" w:hAnsi="Calibri" w:cs="Calibri"/>
                <w:sz w:val="20"/>
                <w:szCs w:val="20"/>
              </w:rPr>
              <w:t>[Baseline Capability] The Bidder has documented its wholesale products and services and provided a high degree of confidence that at least one ISP (which may be the Bidder itself) will be ready to provide broadband services over the NGA infrastructure to all premises in the intervention area, and have adequately documented how their wholesale pricing is compliant with the benchmarking principles.</w:t>
            </w:r>
          </w:p>
          <w:p w14:paraId="65E7BE1C" w14:textId="77777777" w:rsidR="00F36BAC" w:rsidRDefault="00F36BAC" w:rsidP="004E22F3">
            <w:pPr>
              <w:spacing w:after="0"/>
              <w:jc w:val="left"/>
            </w:pPr>
            <w:r>
              <w:rPr>
                <w:rFonts w:ascii="Calibri" w:eastAsia="Calibri" w:hAnsi="Calibri" w:cs="Calibri"/>
                <w:sz w:val="20"/>
                <w:szCs w:val="20"/>
              </w:rPr>
              <w:t>[Maximum Capability] In addition to the baseline capability, the Bidder’s wholesale offering meets a wide range of retail and end user requirements, and has optimised its approach to attract and bring on-board ISPs to use wholesale products. The Bidder provides a high degree of confidence that it is able to attract a large number of ISPs (including major ISPs) who offer a wide breadth of services using the network.</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7517A2" w14:textId="77777777" w:rsidR="00F36BAC" w:rsidRPr="000F3CC5" w:rsidRDefault="00F36BAC" w:rsidP="004E22F3">
            <w:pPr>
              <w:spacing w:after="0" w:line="240" w:lineRule="auto"/>
              <w:jc w:val="left"/>
              <w:rPr>
                <w:rFonts w:asciiTheme="minorHAnsi" w:hAnsiTheme="minorHAnsi"/>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5186510" w14:textId="77777777" w:rsidR="00F36BAC" w:rsidRPr="00DB1C7C" w:rsidRDefault="00F36BAC" w:rsidP="004E22F3">
            <w:pPr>
              <w:spacing w:after="0" w:line="240" w:lineRule="auto"/>
              <w:jc w:val="left"/>
              <w:rPr>
                <w:rFonts w:asciiTheme="minorHAnsi" w:hAnsiTheme="minorHAnsi"/>
                <w:sz w:val="20"/>
                <w:szCs w:val="20"/>
              </w:rPr>
            </w:pPr>
            <w:r>
              <w:rPr>
                <w:rFonts w:asciiTheme="minorHAnsi" w:hAnsiTheme="minorHAnsi"/>
                <w:sz w:val="20"/>
                <w:szCs w:val="20"/>
              </w:rPr>
              <w:t>SSD8.1</w:t>
            </w:r>
          </w:p>
          <w:p w14:paraId="23E9EE08" w14:textId="77777777" w:rsidR="00F36BAC" w:rsidRDefault="00F36BAC" w:rsidP="004E22F3">
            <w:pPr>
              <w:spacing w:after="0" w:line="240" w:lineRule="auto"/>
              <w:jc w:val="left"/>
            </w:pPr>
          </w:p>
          <w:p w14:paraId="7B2650D2" w14:textId="16116DCF" w:rsidR="00F36BAC" w:rsidRDefault="00F36BAC" w:rsidP="004E22F3">
            <w:pPr>
              <w:spacing w:after="0" w:line="240" w:lineRule="auto"/>
              <w:jc w:val="left"/>
              <w:rPr>
                <w:rFonts w:asciiTheme="minorHAnsi" w:hAnsiTheme="minorHAnsi"/>
              </w:rPr>
            </w:pPr>
            <w:r w:rsidRPr="00DB1C7C">
              <w:rPr>
                <w:rFonts w:asciiTheme="minorHAnsi" w:hAnsiTheme="minorHAnsi"/>
              </w:rPr>
              <w:t>5.1.1</w:t>
            </w:r>
          </w:p>
          <w:p w14:paraId="07F76FC5" w14:textId="7FF907F6" w:rsidR="008F341B" w:rsidRDefault="00F36BAC" w:rsidP="004E22F3">
            <w:pPr>
              <w:spacing w:after="0"/>
              <w:jc w:val="left"/>
            </w:pPr>
            <w:r>
              <w:rPr>
                <w:rFonts w:asciiTheme="minorHAnsi" w:hAnsiTheme="minorHAnsi"/>
              </w:rPr>
              <w:t>6.1.1</w:t>
            </w:r>
          </w:p>
          <w:p w14:paraId="0345AC37" w14:textId="77777777" w:rsidR="008F341B" w:rsidRPr="008F341B" w:rsidRDefault="008F341B" w:rsidP="00187D29"/>
          <w:p w14:paraId="623E7E0A" w14:textId="77777777" w:rsidR="008F341B" w:rsidRPr="008F341B" w:rsidRDefault="008F341B" w:rsidP="00187D29"/>
          <w:p w14:paraId="5C25EE26" w14:textId="77777777" w:rsidR="008F341B" w:rsidRPr="008F341B" w:rsidRDefault="008F341B" w:rsidP="00187D29"/>
          <w:p w14:paraId="201B706E" w14:textId="77777777" w:rsidR="008F341B" w:rsidRPr="008F341B" w:rsidRDefault="008F341B" w:rsidP="00187D29"/>
          <w:p w14:paraId="5619C1BD" w14:textId="77777777" w:rsidR="008F341B" w:rsidRPr="008F341B" w:rsidRDefault="008F341B" w:rsidP="00187D29"/>
          <w:p w14:paraId="35018644" w14:textId="77777777" w:rsidR="008F341B" w:rsidRPr="008F341B" w:rsidRDefault="008F341B" w:rsidP="00187D29"/>
          <w:p w14:paraId="122B8B90" w14:textId="77777777" w:rsidR="008F341B" w:rsidRPr="008F341B" w:rsidRDefault="008F341B" w:rsidP="00187D29"/>
          <w:p w14:paraId="2FF47725" w14:textId="77777777" w:rsidR="008F341B" w:rsidRPr="008F341B" w:rsidRDefault="008F341B" w:rsidP="00187D29"/>
          <w:p w14:paraId="0FB35371" w14:textId="2B95E164" w:rsidR="00F36BAC" w:rsidRPr="00187D29" w:rsidRDefault="00F36BAC" w:rsidP="00187D29"/>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A878633" w14:textId="77777777" w:rsidR="00F36BAC" w:rsidRDefault="00F36BAC" w:rsidP="004E22F3">
            <w:pPr>
              <w:spacing w:after="0"/>
              <w:jc w:val="left"/>
            </w:pPr>
            <w:r>
              <w:rPr>
                <w:rFonts w:ascii="Calibri" w:eastAsia="Calibri" w:hAnsi="Calibri" w:cs="Calibri"/>
                <w:sz w:val="20"/>
                <w:szCs w:val="20"/>
              </w:rPr>
              <w:t xml:space="preserve">Judgement Based Scored Evaluation Criteria </w:t>
            </w:r>
            <w:r w:rsidRPr="00DD129C">
              <w:rPr>
                <w:rFonts w:ascii="Calibri" w:eastAsia="Calibri" w:hAnsi="Calibri" w:cs="Calibri"/>
                <w:sz w:val="20"/>
                <w:szCs w:val="20"/>
              </w:rPr>
              <w:t>as set out in A1.4.2 of ITT Part 2</w:t>
            </w:r>
          </w:p>
          <w:p w14:paraId="7C341DC1" w14:textId="77777777" w:rsidR="00F36BAC" w:rsidRDefault="00F36BAC" w:rsidP="004E22F3">
            <w:pPr>
              <w:spacing w:after="0"/>
              <w:jc w:val="left"/>
            </w:pPr>
          </w:p>
        </w:tc>
      </w:tr>
      <w:tr w:rsidR="00F36BAC" w14:paraId="0891DE45" w14:textId="77777777" w:rsidTr="004C7B45">
        <w:trPr>
          <w:trHeight w:val="57"/>
        </w:trPr>
        <w:tc>
          <w:tcPr>
            <w:tcW w:w="961" w:type="dxa"/>
            <w:vMerge/>
            <w:tcBorders>
              <w:left w:val="single" w:sz="4" w:space="0" w:color="auto"/>
              <w:right w:val="single" w:sz="4" w:space="0" w:color="auto"/>
            </w:tcBorders>
            <w:shd w:val="clear" w:color="auto" w:fill="FFFFFF"/>
          </w:tcPr>
          <w:p w14:paraId="500C2013" w14:textId="77777777" w:rsidR="00F36BAC" w:rsidRDefault="00F36BAC" w:rsidP="004E22F3">
            <w:pPr>
              <w:jc w:val="left"/>
            </w:pPr>
          </w:p>
        </w:tc>
        <w:tc>
          <w:tcPr>
            <w:tcW w:w="3544" w:type="dxa"/>
            <w:tcBorders>
              <w:top w:val="single" w:sz="4" w:space="0" w:color="auto"/>
              <w:left w:val="single" w:sz="4" w:space="0" w:color="auto"/>
              <w:bottom w:val="single" w:sz="4" w:space="0" w:color="auto"/>
              <w:right w:val="single" w:sz="4" w:space="0" w:color="000000"/>
            </w:tcBorders>
            <w:shd w:val="clear" w:color="auto" w:fill="FFFFFF"/>
          </w:tcPr>
          <w:p w14:paraId="7C3751D7" w14:textId="77777777" w:rsidR="00F36BAC" w:rsidRDefault="00F36BAC" w:rsidP="004E22F3">
            <w:pPr>
              <w:spacing w:after="0"/>
              <w:jc w:val="left"/>
            </w:pPr>
            <w:r>
              <w:rPr>
                <w:rFonts w:ascii="Calibri" w:eastAsia="Calibri" w:hAnsi="Calibri" w:cs="Calibri"/>
                <w:b/>
                <w:sz w:val="20"/>
                <w:szCs w:val="20"/>
              </w:rPr>
              <w:t>2.4  Economic Value Add</w:t>
            </w:r>
          </w:p>
          <w:p w14:paraId="714B963F" w14:textId="77777777" w:rsidR="00F36BAC" w:rsidRDefault="00F36BAC" w:rsidP="004E22F3">
            <w:pPr>
              <w:spacing w:after="0"/>
              <w:jc w:val="left"/>
            </w:pPr>
            <w:r>
              <w:rPr>
                <w:rFonts w:ascii="Calibri" w:eastAsia="Calibri" w:hAnsi="Calibri" w:cs="Calibri"/>
                <w:sz w:val="20"/>
                <w:szCs w:val="20"/>
              </w:rPr>
              <w:t>Bidders will be assessed on the extent to which they have provided credible evidence of their ability to create/safeguard jobs within the Bidder’s organisation or supply chain, to create apprenticeships and/or to create opportunities for the long-term unemployed.</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14:paraId="7BCFD383" w14:textId="77777777" w:rsidR="00F36BAC" w:rsidRDefault="00F36BAC" w:rsidP="004E22F3">
            <w:pPr>
              <w:spacing w:after="0" w:line="240" w:lineRule="auto"/>
              <w:jc w:val="left"/>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14:paraId="6EF246B1" w14:textId="77777777" w:rsidR="00F36BAC" w:rsidRDefault="00F36BAC" w:rsidP="004E22F3">
            <w:pPr>
              <w:spacing w:after="0"/>
              <w:jc w:val="left"/>
            </w:pPr>
          </w:p>
        </w:tc>
        <w:tc>
          <w:tcPr>
            <w:tcW w:w="3685" w:type="dxa"/>
            <w:gridSpan w:val="2"/>
            <w:tcBorders>
              <w:top w:val="single" w:sz="4" w:space="0" w:color="auto"/>
              <w:left w:val="single" w:sz="4" w:space="0" w:color="000000"/>
              <w:bottom w:val="single" w:sz="4" w:space="0" w:color="auto"/>
              <w:right w:val="single" w:sz="4" w:space="0" w:color="000000"/>
            </w:tcBorders>
            <w:shd w:val="clear" w:color="auto" w:fill="FFFFFF"/>
          </w:tcPr>
          <w:p w14:paraId="5F8EE91D" w14:textId="77777777" w:rsidR="00F36BAC" w:rsidRDefault="00F36BAC" w:rsidP="004E22F3">
            <w:pPr>
              <w:spacing w:after="0"/>
              <w:jc w:val="left"/>
            </w:pPr>
            <w:r>
              <w:rPr>
                <w:rFonts w:ascii="Calibri" w:eastAsia="Calibri" w:hAnsi="Calibri" w:cs="Calibri"/>
                <w:b/>
                <w:sz w:val="20"/>
                <w:szCs w:val="20"/>
              </w:rPr>
              <w:t>For information only</w:t>
            </w:r>
            <w:r>
              <w:rPr>
                <w:rFonts w:ascii="Calibri" w:eastAsia="Calibri" w:hAnsi="Calibri" w:cs="Calibri"/>
                <w:b/>
                <w:sz w:val="20"/>
                <w:szCs w:val="20"/>
                <w:vertAlign w:val="superscript"/>
              </w:rPr>
              <w:footnoteReference w:id="54"/>
            </w:r>
          </w:p>
        </w:tc>
      </w:tr>
      <w:tr w:rsidR="00F36BAC" w14:paraId="2724A7A2" w14:textId="77777777" w:rsidTr="004C7B45">
        <w:trPr>
          <w:trHeight w:val="4494"/>
        </w:trPr>
        <w:tc>
          <w:tcPr>
            <w:tcW w:w="961" w:type="dxa"/>
            <w:vMerge/>
            <w:tcBorders>
              <w:left w:val="single" w:sz="4" w:space="0" w:color="auto"/>
              <w:right w:val="single" w:sz="4" w:space="0" w:color="auto"/>
            </w:tcBorders>
            <w:shd w:val="clear" w:color="auto" w:fill="FFFFFF"/>
          </w:tcPr>
          <w:p w14:paraId="5F08C3A6" w14:textId="77777777" w:rsidR="00F36BAC" w:rsidRDefault="00F36BAC" w:rsidP="004E22F3">
            <w:pPr>
              <w:jc w:val="left"/>
            </w:pPr>
          </w:p>
        </w:tc>
        <w:tc>
          <w:tcPr>
            <w:tcW w:w="3544" w:type="dxa"/>
            <w:vMerge w:val="restart"/>
            <w:tcBorders>
              <w:top w:val="single" w:sz="4" w:space="0" w:color="auto"/>
              <w:left w:val="single" w:sz="4" w:space="0" w:color="auto"/>
              <w:right w:val="single" w:sz="4" w:space="0" w:color="auto"/>
            </w:tcBorders>
            <w:shd w:val="clear" w:color="auto" w:fill="FFFFFF"/>
          </w:tcPr>
          <w:p w14:paraId="6E469530" w14:textId="77777777" w:rsidR="00F36BAC" w:rsidRDefault="00F36BAC" w:rsidP="004E22F3">
            <w:pPr>
              <w:spacing w:after="0"/>
              <w:jc w:val="left"/>
            </w:pPr>
            <w:r>
              <w:rPr>
                <w:rFonts w:ascii="Calibri" w:eastAsia="Calibri" w:hAnsi="Calibri" w:cs="Calibri"/>
                <w:b/>
                <w:sz w:val="20"/>
                <w:szCs w:val="20"/>
              </w:rPr>
              <w:t>2.5   Implementation Plan</w:t>
            </w:r>
          </w:p>
          <w:p w14:paraId="24D64322" w14:textId="77777777" w:rsidR="00F36BAC" w:rsidRDefault="00F36BAC" w:rsidP="004E22F3">
            <w:pPr>
              <w:spacing w:after="0"/>
              <w:jc w:val="left"/>
            </w:pPr>
            <w:r>
              <w:rPr>
                <w:rFonts w:ascii="Calibri" w:eastAsia="Calibri" w:hAnsi="Calibri" w:cs="Calibri"/>
                <w:sz w:val="20"/>
                <w:szCs w:val="20"/>
              </w:rPr>
              <w:t>[Baseline Capability] The Bidder has provided a compliant Implementation Plan, which meets specified delivery dates for completion of network deployment (if any), and is consistent with the speeds and coverage outputs and the Bid Project Model. The Bidder has documented an acceptable approach to deployment.</w:t>
            </w:r>
          </w:p>
          <w:p w14:paraId="4ADA2A05" w14:textId="77777777" w:rsidR="00F36BAC" w:rsidRDefault="00F36BAC" w:rsidP="004E22F3">
            <w:pPr>
              <w:spacing w:after="0"/>
              <w:jc w:val="left"/>
            </w:pPr>
            <w:r>
              <w:rPr>
                <w:rFonts w:ascii="Calibri" w:eastAsia="Calibri" w:hAnsi="Calibri" w:cs="Calibri"/>
                <w:sz w:val="20"/>
                <w:szCs w:val="20"/>
              </w:rPr>
              <w:t xml:space="preserve">[Maximum Capability] In addition to the baseline capability, the Bidder has in its proposal allowed for appropriate resources and has provided confidence to the Implementing Body in describing its approach to planning, deployment, </w:t>
            </w:r>
            <w:r>
              <w:rPr>
                <w:rFonts w:ascii="Calibri" w:eastAsia="Calibri" w:hAnsi="Calibri" w:cs="Calibri"/>
                <w:sz w:val="20"/>
                <w:szCs w:val="20"/>
              </w:rPr>
              <w:lastRenderedPageBreak/>
              <w:t>testing and overall project management. The Bidder in its proposal provides confidence in its approach to including sufficient contingency in its Implementation Plan and has aligned it with the Implementing Body’s priorities in the coverage area, including sequencing and pace of delivery.</w:t>
            </w:r>
          </w:p>
        </w:tc>
        <w:tc>
          <w:tcPr>
            <w:tcW w:w="1559" w:type="dxa"/>
            <w:tcBorders>
              <w:top w:val="single" w:sz="4" w:space="0" w:color="auto"/>
              <w:left w:val="single" w:sz="4" w:space="0" w:color="auto"/>
              <w:right w:val="single" w:sz="4" w:space="0" w:color="auto"/>
            </w:tcBorders>
            <w:shd w:val="clear" w:color="auto" w:fill="FFFFFF"/>
          </w:tcPr>
          <w:p w14:paraId="17CFA8A2" w14:textId="77777777" w:rsidR="00F36BAC" w:rsidRDefault="00F36BAC" w:rsidP="00F36BAC">
            <w:pPr>
              <w:spacing w:after="0" w:line="240" w:lineRule="auto"/>
              <w:jc w:val="left"/>
              <w:rPr>
                <w:rFonts w:asciiTheme="minorHAnsi" w:hAnsiTheme="minorHAnsi" w:cstheme="minorHAnsi"/>
                <w:sz w:val="20"/>
                <w:szCs w:val="20"/>
              </w:rPr>
            </w:pPr>
            <w:r>
              <w:rPr>
                <w:rFonts w:asciiTheme="minorHAnsi" w:hAnsiTheme="minorHAnsi" w:cstheme="minorHAnsi"/>
                <w:sz w:val="20"/>
                <w:szCs w:val="20"/>
              </w:rPr>
              <w:lastRenderedPageBreak/>
              <w:t>2.5.1 Implementation Plan Timescales:</w:t>
            </w:r>
          </w:p>
          <w:p w14:paraId="2E8AE446" w14:textId="77777777" w:rsidR="00F36BAC" w:rsidRDefault="00F36BAC" w:rsidP="004E22F3">
            <w:pPr>
              <w:spacing w:after="0" w:line="240" w:lineRule="auto"/>
              <w:jc w:val="left"/>
            </w:pPr>
          </w:p>
        </w:tc>
        <w:tc>
          <w:tcPr>
            <w:tcW w:w="2977" w:type="dxa"/>
            <w:tcBorders>
              <w:top w:val="single" w:sz="4" w:space="0" w:color="auto"/>
              <w:left w:val="single" w:sz="4" w:space="0" w:color="auto"/>
              <w:right w:val="single" w:sz="4" w:space="0" w:color="auto"/>
            </w:tcBorders>
            <w:shd w:val="clear" w:color="auto" w:fill="FFFFFF"/>
          </w:tcPr>
          <w:p w14:paraId="16E6C4E3" w14:textId="77777777" w:rsidR="00A72A68" w:rsidRDefault="00F36BAC" w:rsidP="004E22F3">
            <w:pPr>
              <w:spacing w:after="0"/>
              <w:jc w:val="left"/>
              <w:rPr>
                <w:rFonts w:ascii="Calibri" w:eastAsia="Calibri" w:hAnsi="Calibri" w:cs="Calibri"/>
                <w:sz w:val="20"/>
                <w:szCs w:val="20"/>
              </w:rPr>
            </w:pPr>
            <w:r>
              <w:rPr>
                <w:rFonts w:ascii="Calibri" w:eastAsia="Calibri" w:hAnsi="Calibri" w:cs="Calibri"/>
                <w:sz w:val="20"/>
                <w:szCs w:val="20"/>
              </w:rPr>
              <w:t>11.1</w:t>
            </w:r>
          </w:p>
          <w:p w14:paraId="2E1BF7DB" w14:textId="77777777" w:rsidR="001E5BBA" w:rsidRDefault="001E5BBA" w:rsidP="004E22F3">
            <w:pPr>
              <w:spacing w:after="0"/>
              <w:jc w:val="left"/>
              <w:rPr>
                <w:rFonts w:ascii="Calibri" w:eastAsia="Calibri" w:hAnsi="Calibri" w:cs="Calibri"/>
                <w:sz w:val="20"/>
                <w:szCs w:val="20"/>
              </w:rPr>
            </w:pPr>
          </w:p>
          <w:p w14:paraId="5E78C62D" w14:textId="51280769" w:rsidR="00F36BAC" w:rsidRPr="005F7690" w:rsidRDefault="00F36BAC" w:rsidP="004E22F3">
            <w:pPr>
              <w:spacing w:after="0"/>
              <w:jc w:val="left"/>
              <w:rPr>
                <w:rFonts w:ascii="Calibri" w:eastAsia="Calibri" w:hAnsi="Calibri" w:cs="Calibri"/>
                <w:sz w:val="20"/>
                <w:szCs w:val="20"/>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3119F7D" w14:textId="77777777" w:rsidR="00F36BAC" w:rsidRDefault="00F36BAC" w:rsidP="00F36BAC">
            <w:pPr>
              <w:spacing w:after="0"/>
              <w:jc w:val="left"/>
              <w:rPr>
                <w:rFonts w:asciiTheme="minorHAnsi" w:hAnsiTheme="minorHAnsi" w:cstheme="minorHAnsi"/>
                <w:sz w:val="20"/>
                <w:szCs w:val="20"/>
              </w:rPr>
            </w:pPr>
            <w:r>
              <w:rPr>
                <w:rFonts w:asciiTheme="minorHAnsi" w:eastAsia="Calibri" w:hAnsiTheme="minorHAnsi" w:cstheme="minorHAnsi"/>
                <w:sz w:val="20"/>
                <w:szCs w:val="20"/>
              </w:rPr>
              <w:t>Judgement Based Scored Evaluation Criteria as set out in A1.4.2 of ITT Part 2</w:t>
            </w:r>
          </w:p>
          <w:p w14:paraId="46205E65" w14:textId="77777777" w:rsidR="00F36BAC" w:rsidRDefault="00F36BAC" w:rsidP="00F36BAC">
            <w:pPr>
              <w:spacing w:after="0"/>
              <w:jc w:val="left"/>
              <w:rPr>
                <w:rFonts w:asciiTheme="minorHAnsi" w:hAnsiTheme="minorHAnsi" w:cstheme="minorHAnsi"/>
                <w:sz w:val="20"/>
                <w:szCs w:val="20"/>
              </w:rPr>
            </w:pPr>
          </w:p>
          <w:p w14:paraId="62D21651" w14:textId="77777777" w:rsidR="00F36BAC" w:rsidRDefault="00F36BAC" w:rsidP="00F36BAC">
            <w:pPr>
              <w:spacing w:after="0"/>
              <w:jc w:val="left"/>
              <w:rPr>
                <w:rFonts w:asciiTheme="minorHAnsi" w:hAnsiTheme="minorHAnsi" w:cstheme="minorHAnsi"/>
                <w:sz w:val="20"/>
                <w:szCs w:val="20"/>
              </w:rPr>
            </w:pPr>
            <w:r>
              <w:rPr>
                <w:rFonts w:asciiTheme="minorHAnsi" w:hAnsiTheme="minorHAnsi" w:cstheme="minorHAnsi"/>
                <w:sz w:val="20"/>
                <w:szCs w:val="20"/>
              </w:rPr>
              <w:t>Implementation Plans will score more highly the earlier coverage is deployed, with premises deployed by December 2017 scoring highest and premises deployed in 2018 scoring more highly than delivery which extends beyond 2018.</w:t>
            </w:r>
          </w:p>
          <w:p w14:paraId="6D53139F" w14:textId="77777777" w:rsidR="00F36BAC" w:rsidRDefault="00F36BAC" w:rsidP="004E22F3">
            <w:pPr>
              <w:spacing w:after="0"/>
              <w:jc w:val="left"/>
            </w:pPr>
          </w:p>
        </w:tc>
      </w:tr>
      <w:tr w:rsidR="00F36BAC" w14:paraId="65099CF9" w14:textId="77777777" w:rsidTr="004C7B45">
        <w:trPr>
          <w:trHeight w:val="4493"/>
        </w:trPr>
        <w:tc>
          <w:tcPr>
            <w:tcW w:w="961" w:type="dxa"/>
            <w:vMerge/>
            <w:tcBorders>
              <w:left w:val="single" w:sz="4" w:space="0" w:color="auto"/>
              <w:right w:val="single" w:sz="4" w:space="0" w:color="auto"/>
            </w:tcBorders>
            <w:shd w:val="clear" w:color="auto" w:fill="FFFFFF"/>
          </w:tcPr>
          <w:p w14:paraId="675FC344" w14:textId="77777777" w:rsidR="00F36BAC" w:rsidRDefault="00F36BAC" w:rsidP="004E22F3">
            <w:pPr>
              <w:jc w:val="left"/>
            </w:pPr>
          </w:p>
        </w:tc>
        <w:tc>
          <w:tcPr>
            <w:tcW w:w="3544" w:type="dxa"/>
            <w:vMerge/>
            <w:tcBorders>
              <w:left w:val="single" w:sz="4" w:space="0" w:color="auto"/>
              <w:bottom w:val="single" w:sz="4" w:space="0" w:color="auto"/>
              <w:right w:val="single" w:sz="4" w:space="0" w:color="auto"/>
            </w:tcBorders>
            <w:shd w:val="clear" w:color="auto" w:fill="FFFFFF"/>
          </w:tcPr>
          <w:p w14:paraId="5FD304D5" w14:textId="77777777" w:rsidR="00F36BAC" w:rsidRDefault="00F36BAC" w:rsidP="004E22F3">
            <w:pPr>
              <w:spacing w:after="0"/>
              <w:jc w:val="left"/>
              <w:rPr>
                <w:rFonts w:ascii="Calibri" w:eastAsia="Calibri" w:hAnsi="Calibri" w:cs="Calibri"/>
                <w:b/>
                <w:sz w:val="20"/>
                <w:szCs w:val="20"/>
              </w:rPr>
            </w:pPr>
          </w:p>
        </w:tc>
        <w:tc>
          <w:tcPr>
            <w:tcW w:w="1559" w:type="dxa"/>
            <w:tcBorders>
              <w:left w:val="single" w:sz="4" w:space="0" w:color="auto"/>
              <w:bottom w:val="single" w:sz="4" w:space="0" w:color="auto"/>
              <w:right w:val="single" w:sz="4" w:space="0" w:color="auto"/>
            </w:tcBorders>
            <w:shd w:val="clear" w:color="auto" w:fill="FFFFFF"/>
          </w:tcPr>
          <w:p w14:paraId="62C33CB9" w14:textId="77777777" w:rsidR="00F36BAC" w:rsidRDefault="00F36BAC" w:rsidP="00F36BAC">
            <w:pPr>
              <w:spacing w:after="0" w:line="240" w:lineRule="auto"/>
              <w:jc w:val="left"/>
              <w:rPr>
                <w:rFonts w:asciiTheme="minorHAnsi" w:hAnsiTheme="minorHAnsi" w:cstheme="minorHAnsi"/>
                <w:sz w:val="20"/>
                <w:szCs w:val="20"/>
              </w:rPr>
            </w:pPr>
            <w:r>
              <w:rPr>
                <w:rFonts w:asciiTheme="minorHAnsi" w:hAnsiTheme="minorHAnsi" w:cstheme="minorHAnsi"/>
                <w:sz w:val="20"/>
                <w:szCs w:val="20"/>
              </w:rPr>
              <w:t>2.5.2 All other Implementation Plan capabilities:</w:t>
            </w:r>
          </w:p>
          <w:p w14:paraId="3D6D4642" w14:textId="77777777" w:rsidR="00F36BAC" w:rsidRDefault="00F36BAC" w:rsidP="004E22F3">
            <w:pPr>
              <w:spacing w:after="0" w:line="240" w:lineRule="auto"/>
              <w:jc w:val="left"/>
            </w:pPr>
          </w:p>
        </w:tc>
        <w:tc>
          <w:tcPr>
            <w:tcW w:w="2977" w:type="dxa"/>
            <w:tcBorders>
              <w:left w:val="single" w:sz="4" w:space="0" w:color="auto"/>
              <w:bottom w:val="single" w:sz="4" w:space="0" w:color="auto"/>
              <w:right w:val="single" w:sz="4" w:space="0" w:color="auto"/>
            </w:tcBorders>
            <w:shd w:val="clear" w:color="auto" w:fill="FFFFFF"/>
          </w:tcPr>
          <w:p w14:paraId="17E4E6AA" w14:textId="77777777" w:rsidR="004C7B45" w:rsidRDefault="004C7B45" w:rsidP="004C7B45">
            <w:pPr>
              <w:spacing w:after="0"/>
              <w:jc w:val="left"/>
              <w:rPr>
                <w:rFonts w:ascii="Calibri" w:eastAsia="Calibri" w:hAnsi="Calibri" w:cs="Calibri"/>
                <w:sz w:val="20"/>
                <w:szCs w:val="20"/>
              </w:rPr>
            </w:pPr>
            <w:r>
              <w:rPr>
                <w:rFonts w:ascii="Calibri" w:eastAsia="Calibri" w:hAnsi="Calibri" w:cs="Calibri"/>
                <w:sz w:val="20"/>
                <w:szCs w:val="20"/>
              </w:rPr>
              <w:t>SSD6.1</w:t>
            </w:r>
          </w:p>
          <w:p w14:paraId="4371BDB5" w14:textId="77777777" w:rsidR="004C7B45" w:rsidRDefault="004C7B45" w:rsidP="004C7B45">
            <w:pPr>
              <w:spacing w:after="0"/>
              <w:jc w:val="left"/>
              <w:rPr>
                <w:rFonts w:ascii="Calibri" w:eastAsia="Calibri" w:hAnsi="Calibri" w:cs="Calibri"/>
                <w:sz w:val="20"/>
                <w:szCs w:val="20"/>
              </w:rPr>
            </w:pPr>
            <w:r>
              <w:rPr>
                <w:rFonts w:ascii="Calibri" w:eastAsia="Calibri" w:hAnsi="Calibri" w:cs="Calibri"/>
                <w:sz w:val="20"/>
                <w:szCs w:val="20"/>
              </w:rPr>
              <w:t>SSD6.2</w:t>
            </w:r>
          </w:p>
          <w:p w14:paraId="7D879A33" w14:textId="77777777" w:rsidR="004C7B45" w:rsidRDefault="004C7B45" w:rsidP="004C7B45">
            <w:pPr>
              <w:spacing w:after="0"/>
              <w:jc w:val="left"/>
              <w:rPr>
                <w:rFonts w:ascii="Calibri" w:eastAsia="Calibri" w:hAnsi="Calibri" w:cs="Calibri"/>
                <w:sz w:val="20"/>
                <w:szCs w:val="20"/>
              </w:rPr>
            </w:pPr>
            <w:r>
              <w:rPr>
                <w:rFonts w:ascii="Calibri" w:eastAsia="Calibri" w:hAnsi="Calibri" w:cs="Calibri"/>
                <w:sz w:val="20"/>
                <w:szCs w:val="20"/>
              </w:rPr>
              <w:t>SSD6.7</w:t>
            </w:r>
          </w:p>
          <w:p w14:paraId="56338160" w14:textId="77777777" w:rsidR="004C7B45" w:rsidRDefault="004C7B45" w:rsidP="004C7B45">
            <w:pPr>
              <w:spacing w:after="0"/>
              <w:jc w:val="left"/>
              <w:rPr>
                <w:rFonts w:ascii="Calibri" w:eastAsia="Calibri" w:hAnsi="Calibri" w:cs="Calibri"/>
                <w:sz w:val="20"/>
                <w:szCs w:val="20"/>
              </w:rPr>
            </w:pPr>
          </w:p>
          <w:p w14:paraId="10F71A9E" w14:textId="77777777" w:rsidR="004C7B45" w:rsidRDefault="004C7B45" w:rsidP="004C7B45">
            <w:pPr>
              <w:spacing w:after="0"/>
              <w:jc w:val="left"/>
              <w:rPr>
                <w:rFonts w:ascii="Calibri" w:eastAsia="Calibri" w:hAnsi="Calibri" w:cs="Calibri"/>
                <w:sz w:val="20"/>
                <w:szCs w:val="20"/>
              </w:rPr>
            </w:pPr>
            <w:r>
              <w:rPr>
                <w:rFonts w:ascii="Calibri" w:eastAsia="Calibri" w:hAnsi="Calibri" w:cs="Calibri"/>
                <w:sz w:val="20"/>
                <w:szCs w:val="20"/>
              </w:rPr>
              <w:t>SSD7.3.1</w:t>
            </w:r>
          </w:p>
          <w:p w14:paraId="72C4D199" w14:textId="77777777" w:rsidR="004C7B45" w:rsidRDefault="004C7B45" w:rsidP="004C7B45">
            <w:pPr>
              <w:spacing w:after="0"/>
              <w:jc w:val="left"/>
              <w:rPr>
                <w:rFonts w:ascii="Calibri" w:eastAsia="Calibri" w:hAnsi="Calibri" w:cs="Calibri"/>
                <w:sz w:val="20"/>
                <w:szCs w:val="20"/>
              </w:rPr>
            </w:pPr>
          </w:p>
          <w:p w14:paraId="03A9CF40" w14:textId="77777777" w:rsidR="004C7B45" w:rsidRDefault="004C7B45" w:rsidP="004C7B45">
            <w:pPr>
              <w:spacing w:after="0"/>
              <w:jc w:val="left"/>
              <w:rPr>
                <w:rFonts w:ascii="Calibri" w:eastAsia="Calibri" w:hAnsi="Calibri" w:cs="Calibri"/>
                <w:sz w:val="20"/>
                <w:szCs w:val="20"/>
              </w:rPr>
            </w:pPr>
            <w:r>
              <w:rPr>
                <w:rFonts w:ascii="Calibri" w:eastAsia="Calibri" w:hAnsi="Calibri" w:cs="Calibri"/>
                <w:sz w:val="20"/>
                <w:szCs w:val="20"/>
              </w:rPr>
              <w:t>SSD9.1</w:t>
            </w:r>
          </w:p>
          <w:p w14:paraId="248076AF" w14:textId="77777777" w:rsidR="004C7B45" w:rsidRDefault="004C7B45" w:rsidP="004C7B45">
            <w:pPr>
              <w:spacing w:after="0"/>
              <w:jc w:val="left"/>
              <w:rPr>
                <w:rFonts w:ascii="Calibri" w:eastAsia="Calibri" w:hAnsi="Calibri" w:cs="Calibri"/>
                <w:sz w:val="20"/>
                <w:szCs w:val="20"/>
              </w:rPr>
            </w:pPr>
            <w:r>
              <w:rPr>
                <w:rFonts w:ascii="Calibri" w:eastAsia="Calibri" w:hAnsi="Calibri" w:cs="Calibri"/>
                <w:sz w:val="20"/>
                <w:szCs w:val="20"/>
              </w:rPr>
              <w:t>SSD9.2</w:t>
            </w:r>
          </w:p>
          <w:p w14:paraId="6F55E665" w14:textId="77777777" w:rsidR="004C7B45" w:rsidRDefault="004C7B45" w:rsidP="004C7B45">
            <w:pPr>
              <w:spacing w:after="0"/>
              <w:jc w:val="left"/>
              <w:rPr>
                <w:rFonts w:ascii="Calibri" w:eastAsia="Calibri" w:hAnsi="Calibri" w:cs="Calibri"/>
                <w:sz w:val="20"/>
                <w:szCs w:val="20"/>
              </w:rPr>
            </w:pPr>
            <w:r>
              <w:rPr>
                <w:rFonts w:ascii="Calibri" w:eastAsia="Calibri" w:hAnsi="Calibri" w:cs="Calibri"/>
                <w:sz w:val="20"/>
                <w:szCs w:val="20"/>
              </w:rPr>
              <w:t>SSD9.3</w:t>
            </w:r>
          </w:p>
          <w:p w14:paraId="3862B3D5" w14:textId="77777777" w:rsidR="004C7B45" w:rsidRDefault="004C7B45" w:rsidP="004C7B45">
            <w:pPr>
              <w:spacing w:after="0"/>
              <w:jc w:val="left"/>
              <w:rPr>
                <w:rFonts w:ascii="Calibri" w:eastAsia="Calibri" w:hAnsi="Calibri" w:cs="Calibri"/>
                <w:sz w:val="20"/>
                <w:szCs w:val="20"/>
              </w:rPr>
            </w:pPr>
          </w:p>
          <w:p w14:paraId="7DD63117" w14:textId="77777777" w:rsidR="004C7B45" w:rsidRDefault="004C7B45" w:rsidP="004C7B45">
            <w:pPr>
              <w:spacing w:after="0"/>
              <w:jc w:val="left"/>
              <w:rPr>
                <w:rFonts w:ascii="Calibri" w:eastAsia="Calibri" w:hAnsi="Calibri" w:cs="Calibri"/>
                <w:sz w:val="20"/>
                <w:szCs w:val="20"/>
              </w:rPr>
            </w:pPr>
            <w:r>
              <w:rPr>
                <w:rFonts w:ascii="Calibri" w:eastAsia="Calibri" w:hAnsi="Calibri" w:cs="Calibri"/>
                <w:sz w:val="20"/>
                <w:szCs w:val="20"/>
              </w:rPr>
              <w:t>10.1</w:t>
            </w:r>
          </w:p>
          <w:p w14:paraId="0BCACAE4" w14:textId="3D99D25D" w:rsidR="004C7B45" w:rsidRDefault="004C7B45" w:rsidP="00F36BAC">
            <w:pPr>
              <w:spacing w:after="0"/>
              <w:jc w:val="left"/>
              <w:rPr>
                <w:rFonts w:ascii="Calibri" w:eastAsia="Calibri" w:hAnsi="Calibri" w:cs="Calibri"/>
                <w:sz w:val="20"/>
                <w:szCs w:val="20"/>
              </w:rPr>
            </w:pPr>
            <w:r>
              <w:rPr>
                <w:rFonts w:ascii="Calibri" w:eastAsia="Calibri" w:hAnsi="Calibri" w:cs="Calibri"/>
                <w:sz w:val="20"/>
                <w:szCs w:val="20"/>
              </w:rPr>
              <w:t>10.2</w:t>
            </w:r>
          </w:p>
          <w:p w14:paraId="27F8B9F9" w14:textId="77777777" w:rsidR="00F36BAC" w:rsidRDefault="00F36BAC" w:rsidP="00F36BAC">
            <w:pPr>
              <w:spacing w:after="0"/>
              <w:jc w:val="left"/>
              <w:rPr>
                <w:rFonts w:ascii="Calibri" w:eastAsia="Calibri" w:hAnsi="Calibri" w:cs="Calibri"/>
                <w:sz w:val="20"/>
                <w:szCs w:val="20"/>
              </w:rPr>
            </w:pPr>
            <w:r>
              <w:rPr>
                <w:rFonts w:ascii="Calibri" w:eastAsia="Calibri" w:hAnsi="Calibri" w:cs="Calibri"/>
                <w:sz w:val="20"/>
                <w:szCs w:val="20"/>
              </w:rPr>
              <w:t>11.1</w:t>
            </w:r>
          </w:p>
          <w:p w14:paraId="0C034573" w14:textId="77777777" w:rsidR="008317C4" w:rsidRDefault="008317C4" w:rsidP="00F36BAC">
            <w:pPr>
              <w:spacing w:after="0"/>
              <w:jc w:val="left"/>
              <w:rPr>
                <w:rFonts w:ascii="Calibri" w:eastAsia="Calibri" w:hAnsi="Calibri" w:cs="Calibri"/>
                <w:sz w:val="20"/>
                <w:szCs w:val="20"/>
              </w:rPr>
            </w:pPr>
          </w:p>
          <w:p w14:paraId="748C04E5" w14:textId="77777777" w:rsidR="008317C4" w:rsidRDefault="008317C4" w:rsidP="00F36BAC">
            <w:pPr>
              <w:spacing w:after="0"/>
              <w:jc w:val="left"/>
              <w:rPr>
                <w:rFonts w:ascii="Calibri" w:eastAsia="Calibri" w:hAnsi="Calibri" w:cs="Calibri"/>
                <w:sz w:val="20"/>
                <w:szCs w:val="20"/>
              </w:rPr>
            </w:pPr>
            <w:r>
              <w:rPr>
                <w:rFonts w:ascii="Calibri" w:eastAsia="Calibri" w:hAnsi="Calibri" w:cs="Calibri"/>
                <w:sz w:val="20"/>
                <w:szCs w:val="20"/>
              </w:rPr>
              <w:t>C6.1</w:t>
            </w:r>
          </w:p>
          <w:p w14:paraId="242D1484" w14:textId="5E7D6221" w:rsidR="008317C4" w:rsidRDefault="008317C4" w:rsidP="00F36BAC">
            <w:pPr>
              <w:spacing w:after="0"/>
              <w:jc w:val="left"/>
              <w:rPr>
                <w:rFonts w:ascii="Calibri" w:eastAsia="Calibri" w:hAnsi="Calibri" w:cs="Calibri"/>
                <w:sz w:val="20"/>
                <w:szCs w:val="20"/>
              </w:rPr>
            </w:pPr>
            <w:r>
              <w:rPr>
                <w:rFonts w:ascii="Calibri" w:eastAsia="Calibri" w:hAnsi="Calibri" w:cs="Calibri"/>
                <w:sz w:val="20"/>
                <w:szCs w:val="20"/>
              </w:rPr>
              <w:t>C8.1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00D88E6E" w14:textId="77777777" w:rsidR="00F36BAC" w:rsidRDefault="00F36BAC" w:rsidP="00F36BAC">
            <w:pPr>
              <w:spacing w:after="0"/>
              <w:jc w:val="left"/>
              <w:rPr>
                <w:rFonts w:asciiTheme="minorHAnsi" w:hAnsiTheme="minorHAnsi" w:cstheme="minorHAnsi"/>
                <w:sz w:val="20"/>
                <w:szCs w:val="20"/>
              </w:rPr>
            </w:pPr>
            <w:r>
              <w:rPr>
                <w:rFonts w:asciiTheme="minorHAnsi" w:eastAsia="Calibri" w:hAnsiTheme="minorHAnsi" w:cstheme="minorHAnsi"/>
                <w:sz w:val="20"/>
                <w:szCs w:val="20"/>
              </w:rPr>
              <w:t>Judgement Based Scored Evaluation Criteria as set out in A1.4.2 of ITT Part 2</w:t>
            </w:r>
          </w:p>
          <w:p w14:paraId="07B127E1" w14:textId="77777777" w:rsidR="00F36BAC" w:rsidRDefault="00F36BAC" w:rsidP="004E22F3">
            <w:pPr>
              <w:spacing w:after="0"/>
              <w:jc w:val="left"/>
              <w:rPr>
                <w:rFonts w:ascii="Calibri" w:eastAsia="Calibri" w:hAnsi="Calibri" w:cs="Calibri"/>
                <w:sz w:val="20"/>
                <w:szCs w:val="20"/>
              </w:rPr>
            </w:pPr>
          </w:p>
          <w:p w14:paraId="4E938CAC" w14:textId="77777777" w:rsidR="004C7B45" w:rsidRDefault="004C7B45" w:rsidP="004E22F3">
            <w:pPr>
              <w:spacing w:after="0"/>
              <w:jc w:val="left"/>
              <w:rPr>
                <w:rFonts w:ascii="Calibri" w:eastAsia="Calibri" w:hAnsi="Calibri" w:cs="Calibri"/>
                <w:sz w:val="20"/>
                <w:szCs w:val="20"/>
              </w:rPr>
            </w:pPr>
          </w:p>
          <w:p w14:paraId="054D0F12" w14:textId="3048F55A" w:rsidR="004C7B45" w:rsidRDefault="004C7B45" w:rsidP="004E22F3">
            <w:pPr>
              <w:spacing w:after="0"/>
              <w:jc w:val="left"/>
              <w:rPr>
                <w:rFonts w:ascii="Calibri" w:eastAsia="Calibri" w:hAnsi="Calibri" w:cs="Calibri"/>
                <w:sz w:val="20"/>
                <w:szCs w:val="20"/>
              </w:rPr>
            </w:pPr>
            <w:r>
              <w:rPr>
                <w:rFonts w:ascii="Calibri" w:eastAsia="Calibri" w:hAnsi="Calibri" w:cs="Calibri"/>
                <w:sz w:val="20"/>
                <w:szCs w:val="20"/>
              </w:rPr>
              <w:t xml:space="preserve">For C6.1, evaluation will be made against any additional relief events proposed under contract. </w:t>
            </w:r>
          </w:p>
          <w:p w14:paraId="7847CB13" w14:textId="77777777" w:rsidR="004C7B45" w:rsidRDefault="004C7B45" w:rsidP="004E22F3">
            <w:pPr>
              <w:spacing w:after="0"/>
              <w:jc w:val="left"/>
              <w:rPr>
                <w:rFonts w:ascii="Calibri" w:eastAsia="Calibri" w:hAnsi="Calibri" w:cs="Calibri"/>
                <w:sz w:val="20"/>
                <w:szCs w:val="20"/>
              </w:rPr>
            </w:pPr>
          </w:p>
          <w:p w14:paraId="7078CAD1" w14:textId="79F95309" w:rsidR="004C7B45" w:rsidRDefault="004C7B45" w:rsidP="004E22F3">
            <w:pPr>
              <w:spacing w:after="0"/>
              <w:jc w:val="left"/>
              <w:rPr>
                <w:rFonts w:ascii="Calibri" w:eastAsia="Calibri" w:hAnsi="Calibri" w:cs="Calibri"/>
                <w:sz w:val="20"/>
                <w:szCs w:val="20"/>
              </w:rPr>
            </w:pPr>
            <w:r>
              <w:rPr>
                <w:rFonts w:ascii="Calibri" w:eastAsia="Calibri" w:hAnsi="Calibri" w:cs="Calibri"/>
                <w:sz w:val="20"/>
                <w:szCs w:val="20"/>
              </w:rPr>
              <w:t xml:space="preserve">For C8.1, evaluation will be made against level and type of survey assumptions proposed under contract. </w:t>
            </w:r>
          </w:p>
        </w:tc>
      </w:tr>
      <w:tr w:rsidR="00F36BAC" w14:paraId="7BC7CFDF" w14:textId="77777777" w:rsidTr="004C7B45">
        <w:trPr>
          <w:trHeight w:val="57"/>
        </w:trPr>
        <w:tc>
          <w:tcPr>
            <w:tcW w:w="961" w:type="dxa"/>
            <w:vMerge/>
            <w:tcBorders>
              <w:left w:val="single" w:sz="4" w:space="0" w:color="auto"/>
              <w:bottom w:val="single" w:sz="4" w:space="0" w:color="auto"/>
              <w:right w:val="single" w:sz="4" w:space="0" w:color="auto"/>
            </w:tcBorders>
            <w:shd w:val="clear" w:color="auto" w:fill="FFFFFF"/>
          </w:tcPr>
          <w:p w14:paraId="443FC8D8" w14:textId="7546982D" w:rsidR="00F36BAC" w:rsidRDefault="00F36BAC" w:rsidP="004E22F3">
            <w:pPr>
              <w:jc w:val="left"/>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E08DBE3" w14:textId="77777777" w:rsidR="00F36BAC" w:rsidRDefault="00F36BAC" w:rsidP="004E22F3">
            <w:pPr>
              <w:spacing w:after="0"/>
              <w:jc w:val="left"/>
            </w:pPr>
            <w:r>
              <w:rPr>
                <w:rFonts w:ascii="Calibri" w:eastAsia="Calibri" w:hAnsi="Calibri" w:cs="Calibri"/>
                <w:b/>
                <w:sz w:val="20"/>
                <w:szCs w:val="20"/>
              </w:rPr>
              <w:t>2.6</w:t>
            </w:r>
          </w:p>
          <w:p w14:paraId="14E87001" w14:textId="77777777" w:rsidR="00F36BAC" w:rsidRDefault="00F36BAC" w:rsidP="004E22F3">
            <w:pPr>
              <w:spacing w:after="0"/>
              <w:jc w:val="left"/>
            </w:pPr>
            <w:r>
              <w:rPr>
                <w:rFonts w:ascii="Calibri" w:eastAsia="Calibri" w:hAnsi="Calibri" w:cs="Calibri"/>
                <w:b/>
                <w:sz w:val="20"/>
                <w:szCs w:val="20"/>
              </w:rPr>
              <w:t>Contract and stakeholder management</w:t>
            </w:r>
          </w:p>
          <w:p w14:paraId="341D965A" w14:textId="77777777" w:rsidR="00F36BAC" w:rsidRDefault="00F36BAC" w:rsidP="004E22F3">
            <w:pPr>
              <w:spacing w:after="0"/>
              <w:jc w:val="left"/>
            </w:pPr>
            <w:r>
              <w:rPr>
                <w:rFonts w:ascii="Calibri" w:eastAsia="Calibri" w:hAnsi="Calibri" w:cs="Calibri"/>
                <w:sz w:val="20"/>
                <w:szCs w:val="20"/>
              </w:rPr>
              <w:t xml:space="preserve">[Baseline Capability] The Bidder has provided an adequate description of how it will comply with the contract management requirements for Reporting and Financial transparency, including how it will meet the </w:t>
            </w:r>
            <w:r>
              <w:rPr>
                <w:rFonts w:ascii="Calibri" w:eastAsia="Calibri" w:hAnsi="Calibri" w:cs="Calibri"/>
                <w:sz w:val="20"/>
                <w:szCs w:val="20"/>
              </w:rPr>
              <w:lastRenderedPageBreak/>
              <w:t xml:space="preserve">obligations set out under the Milestone Claims process and how it will interface </w:t>
            </w:r>
          </w:p>
          <w:p w14:paraId="6E1DD92D" w14:textId="33454CBA" w:rsidR="00F36BAC" w:rsidRDefault="00F36BAC" w:rsidP="004E22F3">
            <w:pPr>
              <w:spacing w:after="0"/>
              <w:jc w:val="left"/>
            </w:pPr>
            <w:r>
              <w:rPr>
                <w:rFonts w:ascii="Calibri" w:eastAsia="Calibri" w:hAnsi="Calibri" w:cs="Calibri"/>
                <w:sz w:val="20"/>
                <w:szCs w:val="20"/>
              </w:rPr>
              <w:t>with the Local Body at the programme level. The Bidder has also included sufficient costs for contract and stakeholder management in its Bid Project Model.</w:t>
            </w:r>
          </w:p>
          <w:p w14:paraId="0A21956D" w14:textId="77777777" w:rsidR="00F36BAC" w:rsidRDefault="00F36BAC" w:rsidP="004E22F3">
            <w:pPr>
              <w:spacing w:after="0"/>
              <w:jc w:val="left"/>
            </w:pPr>
            <w:r>
              <w:rPr>
                <w:rFonts w:ascii="Calibri" w:eastAsia="Calibri" w:hAnsi="Calibri" w:cs="Calibri"/>
                <w:sz w:val="20"/>
                <w:szCs w:val="20"/>
              </w:rPr>
              <w:t xml:space="preserve">[Maximum Capability] In addition to the baseline capability, the Bidder in its proposal has included appropriate resources and has provided confidence to the Implementing Body in describing its approach to engage with the Implementing Body and other stakeholders through the operation of the contract. This would include commitments to strong governance arrangements, to sharing data on its deployment plans to different audiences, to joint-working with Implementing Body project team, to community engagement (in particular priority areas), to demand stimulation to maximise coverage opportunities, and to </w:t>
            </w:r>
            <w:r>
              <w:rPr>
                <w:rFonts w:ascii="Calibri" w:eastAsia="Calibri" w:hAnsi="Calibri" w:cs="Calibri"/>
                <w:sz w:val="20"/>
                <w:szCs w:val="20"/>
              </w:rPr>
              <w:lastRenderedPageBreak/>
              <w:t>managing subcontractors (in particular SMEs).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6E36A9" w14:textId="77777777" w:rsidR="00F36BAC" w:rsidRDefault="00F36BAC" w:rsidP="004E22F3">
            <w:pPr>
              <w:spacing w:after="0" w:line="240" w:lineRule="auto"/>
              <w:jc w:val="left"/>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033D6D9"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SSD1</w:t>
            </w:r>
          </w:p>
          <w:p w14:paraId="4FC61A6C" w14:textId="3E086B1C" w:rsidR="00F36BAC" w:rsidRDefault="00F36BAC" w:rsidP="004E22F3">
            <w:pPr>
              <w:spacing w:after="0"/>
              <w:jc w:val="left"/>
              <w:rPr>
                <w:rFonts w:asciiTheme="minorHAnsi" w:hAnsiTheme="minorHAnsi"/>
                <w:sz w:val="20"/>
                <w:szCs w:val="20"/>
              </w:rPr>
            </w:pPr>
            <w:r>
              <w:rPr>
                <w:rFonts w:asciiTheme="minorHAnsi" w:hAnsiTheme="minorHAnsi"/>
                <w:sz w:val="20"/>
                <w:szCs w:val="20"/>
              </w:rPr>
              <w:t>SSD3.1.1</w:t>
            </w:r>
          </w:p>
          <w:p w14:paraId="7DF08808"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SSD6.3</w:t>
            </w:r>
          </w:p>
          <w:p w14:paraId="0F9FA334"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SSD6.4</w:t>
            </w:r>
          </w:p>
          <w:p w14:paraId="7A44C4F3"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SSD6.6</w:t>
            </w:r>
          </w:p>
          <w:p w14:paraId="3B448DEC"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SSD6.7</w:t>
            </w:r>
          </w:p>
          <w:p w14:paraId="50056316" w14:textId="77777777" w:rsidR="00F36BAC" w:rsidRDefault="00F36BAC" w:rsidP="004E22F3">
            <w:pPr>
              <w:spacing w:after="0"/>
              <w:jc w:val="left"/>
              <w:rPr>
                <w:rFonts w:asciiTheme="minorHAnsi" w:hAnsiTheme="minorHAnsi"/>
                <w:sz w:val="20"/>
                <w:szCs w:val="20"/>
              </w:rPr>
            </w:pPr>
          </w:p>
          <w:p w14:paraId="79B7205A"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4.1.1</w:t>
            </w:r>
          </w:p>
          <w:p w14:paraId="016102FA" w14:textId="77777777" w:rsidR="00F36BAC" w:rsidRDefault="00F36BAC" w:rsidP="004E22F3">
            <w:pPr>
              <w:spacing w:after="0"/>
              <w:jc w:val="left"/>
              <w:rPr>
                <w:rFonts w:asciiTheme="minorHAnsi" w:hAnsiTheme="minorHAnsi"/>
                <w:sz w:val="20"/>
                <w:szCs w:val="20"/>
              </w:rPr>
            </w:pPr>
          </w:p>
          <w:p w14:paraId="01BBE20D"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lastRenderedPageBreak/>
              <w:t>7.1</w:t>
            </w:r>
          </w:p>
          <w:p w14:paraId="1FDBCD2A"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7.2</w:t>
            </w:r>
          </w:p>
          <w:p w14:paraId="4E5A8B53" w14:textId="77777777" w:rsidR="00F36BAC" w:rsidRDefault="00F36BAC" w:rsidP="004E22F3">
            <w:pPr>
              <w:spacing w:after="0"/>
              <w:jc w:val="left"/>
              <w:rPr>
                <w:rFonts w:asciiTheme="minorHAnsi" w:hAnsiTheme="minorHAnsi"/>
                <w:sz w:val="20"/>
                <w:szCs w:val="20"/>
              </w:rPr>
            </w:pPr>
            <w:r>
              <w:rPr>
                <w:rFonts w:asciiTheme="minorHAnsi" w:hAnsiTheme="minorHAnsi"/>
                <w:sz w:val="20"/>
                <w:szCs w:val="20"/>
              </w:rPr>
              <w:t>7.3</w:t>
            </w:r>
          </w:p>
          <w:p w14:paraId="029FD027" w14:textId="77777777" w:rsidR="00F36BAC" w:rsidRPr="00EC5D9C" w:rsidRDefault="00F36BAC" w:rsidP="004E22F3">
            <w:pPr>
              <w:spacing w:after="0"/>
              <w:jc w:val="left"/>
              <w:rPr>
                <w:rFonts w:asciiTheme="minorHAnsi" w:hAnsiTheme="minorHAnsi"/>
                <w:sz w:val="20"/>
                <w:szCs w:val="20"/>
              </w:rPr>
            </w:pPr>
            <w:r>
              <w:rPr>
                <w:rFonts w:asciiTheme="minorHAnsi" w:hAnsiTheme="minorHAnsi"/>
                <w:sz w:val="20"/>
                <w:szCs w:val="20"/>
              </w:rPr>
              <w:t>9.1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8010DA2" w14:textId="77777777" w:rsidR="00F36BAC" w:rsidRDefault="00F36BAC" w:rsidP="004E22F3">
            <w:pPr>
              <w:spacing w:after="0"/>
              <w:jc w:val="left"/>
            </w:pPr>
            <w:r>
              <w:rPr>
                <w:rFonts w:ascii="Calibri" w:eastAsia="Calibri" w:hAnsi="Calibri" w:cs="Calibri"/>
                <w:sz w:val="20"/>
                <w:szCs w:val="20"/>
              </w:rPr>
              <w:lastRenderedPageBreak/>
              <w:t xml:space="preserve">Judgement Based Scored Evaluation Criteria </w:t>
            </w:r>
            <w:r w:rsidRPr="00DD129C">
              <w:rPr>
                <w:rFonts w:ascii="Calibri" w:eastAsia="Calibri" w:hAnsi="Calibri" w:cs="Calibri"/>
                <w:sz w:val="20"/>
                <w:szCs w:val="20"/>
              </w:rPr>
              <w:t>as set out in A1.4.2 of ITT Part 2</w:t>
            </w:r>
          </w:p>
          <w:p w14:paraId="6B74D2CC" w14:textId="77777777" w:rsidR="00F36BAC" w:rsidRDefault="00F36BAC" w:rsidP="004E22F3">
            <w:pPr>
              <w:spacing w:after="0"/>
              <w:jc w:val="left"/>
            </w:pPr>
          </w:p>
        </w:tc>
      </w:tr>
    </w:tbl>
    <w:p w14:paraId="196EEDAA" w14:textId="39C6C184" w:rsidR="008F341B" w:rsidRDefault="008F341B">
      <w:pPr>
        <w:rPr>
          <w:rFonts w:ascii="Calibri" w:eastAsia="Calibri" w:hAnsi="Calibri" w:cs="Calibri"/>
          <w:b/>
          <w:color w:val="1F497D"/>
          <w:sz w:val="40"/>
          <w:szCs w:val="40"/>
        </w:rPr>
      </w:pPr>
      <w:bookmarkStart w:id="91" w:name="h.ag9kjvpsfhwy" w:colFirst="0" w:colLast="0"/>
      <w:bookmarkStart w:id="92" w:name="h.d4kv2sh7yo6r" w:colFirst="0" w:colLast="0"/>
      <w:bookmarkEnd w:id="91"/>
      <w:bookmarkEnd w:id="92"/>
    </w:p>
    <w:p w14:paraId="78090BEC" w14:textId="77777777" w:rsidR="008F341B" w:rsidRPr="00187D29" w:rsidRDefault="008F341B" w:rsidP="008F341B">
      <w:pPr>
        <w:rPr>
          <w:rFonts w:ascii="Calibri" w:eastAsia="Calibri" w:hAnsi="Calibri" w:cs="Calibri"/>
          <w:sz w:val="40"/>
          <w:szCs w:val="40"/>
        </w:rPr>
      </w:pPr>
    </w:p>
    <w:p w14:paraId="49EEBEC3" w14:textId="77777777" w:rsidR="008F341B" w:rsidRPr="00187D29" w:rsidRDefault="008F341B" w:rsidP="008F341B">
      <w:pPr>
        <w:rPr>
          <w:rFonts w:ascii="Calibri" w:eastAsia="Calibri" w:hAnsi="Calibri" w:cs="Calibri"/>
          <w:sz w:val="40"/>
          <w:szCs w:val="40"/>
        </w:rPr>
      </w:pPr>
    </w:p>
    <w:p w14:paraId="18FAB0A2" w14:textId="6719257D" w:rsidR="008F341B" w:rsidRDefault="008F341B" w:rsidP="008F341B">
      <w:pPr>
        <w:rPr>
          <w:rFonts w:ascii="Calibri" w:eastAsia="Calibri" w:hAnsi="Calibri" w:cs="Calibri"/>
          <w:sz w:val="40"/>
          <w:szCs w:val="40"/>
        </w:rPr>
      </w:pPr>
    </w:p>
    <w:p w14:paraId="4AC026C5" w14:textId="489C1ECB" w:rsidR="008F341B" w:rsidRDefault="008F341B" w:rsidP="00187D29">
      <w:pPr>
        <w:jc w:val="right"/>
        <w:rPr>
          <w:rFonts w:ascii="Calibri" w:eastAsia="Calibri" w:hAnsi="Calibri" w:cs="Calibri"/>
          <w:sz w:val="40"/>
          <w:szCs w:val="40"/>
        </w:rPr>
      </w:pPr>
    </w:p>
    <w:p w14:paraId="285639AC" w14:textId="0EEF52DB" w:rsidR="008F341B" w:rsidRDefault="008F341B" w:rsidP="008F341B">
      <w:pPr>
        <w:rPr>
          <w:rFonts w:ascii="Calibri" w:eastAsia="Calibri" w:hAnsi="Calibri" w:cs="Calibri"/>
          <w:sz w:val="40"/>
          <w:szCs w:val="40"/>
        </w:rPr>
      </w:pPr>
    </w:p>
    <w:p w14:paraId="0E4A4718" w14:textId="77777777" w:rsidR="00063EF2" w:rsidRPr="00187D29" w:rsidRDefault="00063EF2" w:rsidP="00187D29">
      <w:pPr>
        <w:rPr>
          <w:rFonts w:ascii="Calibri" w:eastAsia="Calibri" w:hAnsi="Calibri" w:cs="Calibri"/>
          <w:sz w:val="40"/>
          <w:szCs w:val="40"/>
        </w:rPr>
        <w:sectPr w:rsidR="00063EF2" w:rsidRPr="00187D29" w:rsidSect="00187D29">
          <w:pgSz w:w="16838" w:h="11906" w:orient="landscape"/>
          <w:pgMar w:top="1440" w:right="1440" w:bottom="1440" w:left="1440" w:header="720" w:footer="720" w:gutter="0"/>
          <w:cols w:space="720"/>
          <w:docGrid w:linePitch="299"/>
        </w:sectPr>
      </w:pPr>
    </w:p>
    <w:p w14:paraId="2DE51535" w14:textId="2A4E5065" w:rsidR="00656438" w:rsidRDefault="00A26303">
      <w:r>
        <w:rPr>
          <w:rFonts w:ascii="Calibri" w:eastAsia="Calibri" w:hAnsi="Calibri" w:cs="Calibri"/>
          <w:b/>
          <w:color w:val="1F497D"/>
          <w:sz w:val="40"/>
          <w:szCs w:val="40"/>
        </w:rPr>
        <w:lastRenderedPageBreak/>
        <w:t>Appendix 2 Bidder Response to ITT</w:t>
      </w:r>
    </w:p>
    <w:p w14:paraId="486B680C" w14:textId="314BDFBD" w:rsidR="00656438" w:rsidRDefault="00AD3457">
      <w:bookmarkStart w:id="93" w:name="h.zgdwsk6ukyqq" w:colFirst="0" w:colLast="0"/>
      <w:bookmarkEnd w:id="93"/>
      <w:r>
        <w:rPr>
          <w:rFonts w:ascii="Calibri" w:eastAsia="Calibri" w:hAnsi="Calibri" w:cs="Calibri"/>
        </w:rPr>
        <w:t xml:space="preserve">This </w:t>
      </w:r>
      <w:r w:rsidR="00A26303" w:rsidRPr="00AD3457">
        <w:rPr>
          <w:rFonts w:ascii="Calibri" w:eastAsia="Calibri" w:hAnsi="Calibri" w:cs="Calibri"/>
        </w:rPr>
        <w:t xml:space="preserve">Appendix 2 </w:t>
      </w:r>
      <w:r w:rsidR="00A26303">
        <w:rPr>
          <w:rFonts w:ascii="Calibri" w:eastAsia="Calibri" w:hAnsi="Calibri" w:cs="Calibri"/>
        </w:rPr>
        <w:t xml:space="preserve">of Part 2 </w:t>
      </w:r>
      <w:r>
        <w:rPr>
          <w:rFonts w:ascii="Calibri" w:eastAsia="Calibri" w:hAnsi="Calibri" w:cs="Calibri"/>
        </w:rPr>
        <w:t xml:space="preserve">to this ITT </w:t>
      </w:r>
      <w:r w:rsidR="00A26303">
        <w:rPr>
          <w:rFonts w:ascii="Calibri" w:eastAsia="Calibri" w:hAnsi="Calibri" w:cs="Calibri"/>
        </w:rPr>
        <w:t>asks a set of specific questions which Bidders must answer in their bid responses</w:t>
      </w:r>
      <w:r>
        <w:rPr>
          <w:rFonts w:ascii="Calibri" w:eastAsia="Calibri" w:hAnsi="Calibri" w:cs="Calibri"/>
        </w:rPr>
        <w:t>:</w:t>
      </w:r>
      <w:r w:rsidR="006E6109">
        <w:rPr>
          <w:rFonts w:ascii="Calibri" w:eastAsia="Calibri" w:hAnsi="Calibri" w:cs="Calibri"/>
        </w:rPr>
        <w:t xml:space="preserve"> </w:t>
      </w:r>
    </w:p>
    <w:p w14:paraId="5B836D5F" w14:textId="15480BF1" w:rsidR="00656438" w:rsidRPr="00AD3457" w:rsidRDefault="00AD3457" w:rsidP="00AD3457">
      <w:pPr>
        <w:jc w:val="center"/>
        <w:rPr>
          <w:rFonts w:asciiTheme="minorHAnsi" w:hAnsiTheme="minorHAnsi"/>
        </w:rPr>
      </w:pPr>
      <w:bookmarkStart w:id="94" w:name="h.9mt9gsnqcl7m" w:colFirst="0" w:colLast="0"/>
      <w:bookmarkEnd w:id="94"/>
      <w:r w:rsidRPr="00AD3457">
        <w:rPr>
          <w:rFonts w:asciiTheme="minorHAnsi" w:eastAsia="Calibri" w:hAnsiTheme="minorHAnsi" w:cs="Calibri"/>
          <w:b/>
          <w:color w:val="auto"/>
        </w:rPr>
        <w:t>[</w:t>
      </w:r>
      <w:r w:rsidR="00BC52BA">
        <w:rPr>
          <w:rFonts w:asciiTheme="minorHAnsi" w:eastAsia="Calibri" w:hAnsiTheme="minorHAnsi" w:cs="Times New Roman"/>
          <w:b/>
          <w:i/>
          <w:color w:val="auto"/>
        </w:rPr>
        <w:t>insert B</w:t>
      </w:r>
      <w:r w:rsidRPr="00AD3457">
        <w:rPr>
          <w:rFonts w:asciiTheme="minorHAnsi" w:eastAsia="Calibri" w:hAnsiTheme="minorHAnsi" w:cs="Times New Roman"/>
          <w:b/>
          <w:i/>
          <w:color w:val="auto"/>
        </w:rPr>
        <w:t xml:space="preserve">idder </w:t>
      </w:r>
      <w:r w:rsidR="00BC52BA">
        <w:rPr>
          <w:rFonts w:asciiTheme="minorHAnsi" w:eastAsia="Calibri" w:hAnsiTheme="minorHAnsi" w:cs="Times New Roman"/>
          <w:b/>
          <w:i/>
          <w:color w:val="auto"/>
        </w:rPr>
        <w:t>R</w:t>
      </w:r>
      <w:r w:rsidRPr="00AD3457">
        <w:rPr>
          <w:rFonts w:asciiTheme="minorHAnsi" w:eastAsia="Calibri" w:hAnsiTheme="minorHAnsi" w:cs="Times New Roman"/>
          <w:b/>
          <w:i/>
          <w:color w:val="auto"/>
        </w:rPr>
        <w:t xml:space="preserve">esponse </w:t>
      </w:r>
      <w:r w:rsidR="00BC52BA">
        <w:rPr>
          <w:rFonts w:asciiTheme="minorHAnsi" w:eastAsia="Calibri" w:hAnsiTheme="minorHAnsi" w:cs="Times New Roman"/>
          <w:b/>
          <w:i/>
          <w:color w:val="auto"/>
        </w:rPr>
        <w:t>D</w:t>
      </w:r>
      <w:r w:rsidRPr="00AD3457">
        <w:rPr>
          <w:rFonts w:asciiTheme="minorHAnsi" w:eastAsia="Calibri" w:hAnsiTheme="minorHAnsi" w:cs="Times New Roman"/>
          <w:b/>
          <w:i/>
          <w:color w:val="auto"/>
        </w:rPr>
        <w:t>ocument or reference to separate document</w:t>
      </w:r>
      <w:r w:rsidR="007B4D7B" w:rsidRPr="00AD3457">
        <w:rPr>
          <w:rFonts w:asciiTheme="minorHAnsi" w:eastAsia="Calibri" w:hAnsiTheme="minorHAnsi" w:cs="Calibri"/>
          <w:b/>
          <w:color w:val="auto"/>
        </w:rPr>
        <w:t>]</w:t>
      </w:r>
    </w:p>
    <w:p w14:paraId="5C07CD9F" w14:textId="77777777" w:rsidR="00656438" w:rsidRDefault="00656438">
      <w:bookmarkStart w:id="95" w:name="h.34g0dwd" w:colFirst="0" w:colLast="0"/>
      <w:bookmarkEnd w:id="95"/>
    </w:p>
    <w:p w14:paraId="32682D1F" w14:textId="77777777" w:rsidR="00656438" w:rsidRDefault="00656438" w:rsidP="004C17AF">
      <w:pPr>
        <w:ind w:left="840" w:hanging="840"/>
      </w:pPr>
    </w:p>
    <w:p w14:paraId="719C2109" w14:textId="77777777" w:rsidR="00254080" w:rsidRDefault="00254080">
      <w:pPr>
        <w:rPr>
          <w:rFonts w:ascii="Calibri" w:eastAsia="Calibri" w:hAnsi="Calibri" w:cs="Calibri"/>
          <w:b/>
          <w:color w:val="1F497D"/>
          <w:sz w:val="40"/>
          <w:szCs w:val="40"/>
        </w:rPr>
      </w:pPr>
      <w:bookmarkStart w:id="96" w:name="h.1jlao46" w:colFirst="0" w:colLast="0"/>
      <w:bookmarkEnd w:id="96"/>
      <w:r>
        <w:rPr>
          <w:rFonts w:ascii="Calibri" w:eastAsia="Calibri" w:hAnsi="Calibri" w:cs="Calibri"/>
          <w:b/>
          <w:color w:val="1F497D"/>
          <w:sz w:val="40"/>
          <w:szCs w:val="40"/>
        </w:rPr>
        <w:br w:type="page"/>
      </w:r>
    </w:p>
    <w:p w14:paraId="7FCCF986" w14:textId="219BD08B" w:rsidR="00656438" w:rsidRDefault="00A26303">
      <w:r>
        <w:rPr>
          <w:rFonts w:ascii="Calibri" w:eastAsia="Calibri" w:hAnsi="Calibri" w:cs="Calibri"/>
          <w:b/>
          <w:color w:val="1F497D"/>
          <w:sz w:val="40"/>
          <w:szCs w:val="40"/>
        </w:rPr>
        <w:lastRenderedPageBreak/>
        <w:t>Appendix 3</w:t>
      </w:r>
      <w:r>
        <w:rPr>
          <w:rFonts w:ascii="Calibri" w:eastAsia="Calibri" w:hAnsi="Calibri" w:cs="Calibri"/>
          <w:color w:val="1F497D"/>
          <w:sz w:val="56"/>
          <w:szCs w:val="56"/>
        </w:rPr>
        <w:t xml:space="preserve"> </w:t>
      </w:r>
      <w:r>
        <w:rPr>
          <w:rFonts w:ascii="Calibri" w:eastAsia="Calibri" w:hAnsi="Calibri" w:cs="Calibri"/>
          <w:b/>
          <w:color w:val="1F497D"/>
          <w:sz w:val="40"/>
          <w:szCs w:val="40"/>
        </w:rPr>
        <w:t>Speed and Coverage Template</w:t>
      </w:r>
    </w:p>
    <w:p w14:paraId="758D866F" w14:textId="21CDF0E5" w:rsidR="00656438" w:rsidRDefault="00AD3457" w:rsidP="00AD3457">
      <w:r>
        <w:rPr>
          <w:rFonts w:ascii="Calibri" w:eastAsia="Calibri" w:hAnsi="Calibri" w:cs="Calibri"/>
        </w:rPr>
        <w:t>This Appendix 3 to Part 2 to this ITT set out t</w:t>
      </w:r>
      <w:r w:rsidR="00A26303">
        <w:rPr>
          <w:rFonts w:ascii="Calibri" w:eastAsia="Calibri" w:hAnsi="Calibri" w:cs="Calibri"/>
        </w:rPr>
        <w:t>he Speed and Coverage Template</w:t>
      </w:r>
      <w:r>
        <w:rPr>
          <w:rFonts w:ascii="Calibri" w:eastAsia="Calibri" w:hAnsi="Calibri" w:cs="Calibri"/>
        </w:rPr>
        <w:t>, to be completed by Bidders as part of their responses:</w:t>
      </w:r>
    </w:p>
    <w:p w14:paraId="4CB4C3B9" w14:textId="76B3D1D9" w:rsidR="00AD3457" w:rsidRPr="00AD3457" w:rsidRDefault="00AD3457" w:rsidP="00AD3457">
      <w:pPr>
        <w:jc w:val="center"/>
        <w:rPr>
          <w:rFonts w:asciiTheme="minorHAnsi" w:hAnsiTheme="minorHAnsi"/>
          <w:color w:val="auto"/>
        </w:rPr>
      </w:pPr>
      <w:r w:rsidRPr="00AD3457">
        <w:rPr>
          <w:rFonts w:asciiTheme="minorHAnsi" w:eastAsia="Calibri" w:hAnsiTheme="minorHAnsi" w:cs="Calibri"/>
          <w:b/>
          <w:color w:val="auto"/>
        </w:rPr>
        <w:t>[</w:t>
      </w:r>
      <w:r w:rsidRPr="00AD3457">
        <w:rPr>
          <w:rFonts w:asciiTheme="minorHAnsi" w:eastAsia="Calibri" w:hAnsiTheme="minorHAnsi" w:cs="Times New Roman"/>
          <w:b/>
          <w:i/>
          <w:color w:val="auto"/>
        </w:rPr>
        <w:t>insert SCT table or reference to separate document</w:t>
      </w:r>
      <w:r w:rsidRPr="00AD3457">
        <w:rPr>
          <w:rFonts w:asciiTheme="minorHAnsi" w:eastAsia="Calibri" w:hAnsiTheme="minorHAnsi" w:cs="Calibri"/>
          <w:b/>
          <w:color w:val="auto"/>
        </w:rPr>
        <w:t>]</w:t>
      </w:r>
    </w:p>
    <w:p w14:paraId="49825D73" w14:textId="77777777" w:rsidR="00656438" w:rsidRDefault="00A26303">
      <w:r>
        <w:br w:type="page"/>
      </w:r>
    </w:p>
    <w:p w14:paraId="43CFB51B" w14:textId="77777777" w:rsidR="00656438" w:rsidRDefault="00A26303">
      <w:pPr>
        <w:jc w:val="center"/>
      </w:pPr>
      <w:bookmarkStart w:id="97" w:name="h.2iq8gzs" w:colFirst="0" w:colLast="0"/>
      <w:bookmarkEnd w:id="97"/>
      <w:r>
        <w:rPr>
          <w:rFonts w:ascii="Calibri" w:eastAsia="Calibri" w:hAnsi="Calibri" w:cs="Calibri"/>
          <w:b/>
          <w:color w:val="1F497D"/>
          <w:sz w:val="40"/>
          <w:szCs w:val="40"/>
        </w:rPr>
        <w:lastRenderedPageBreak/>
        <w:t>Appendix 4 Supplier Solution Document</w:t>
      </w:r>
    </w:p>
    <w:p w14:paraId="1263B27D" w14:textId="76613532" w:rsidR="00656438" w:rsidRPr="00AD3457" w:rsidRDefault="00AD3457" w:rsidP="009023B1">
      <w:pPr>
        <w:jc w:val="center"/>
        <w:rPr>
          <w:rFonts w:asciiTheme="minorHAnsi" w:eastAsia="Calibri" w:hAnsiTheme="minorHAnsi" w:cs="Calibri"/>
          <w:b/>
          <w:color w:val="auto"/>
        </w:rPr>
      </w:pPr>
      <w:bookmarkStart w:id="98" w:name="h.xvir7l" w:colFirst="0" w:colLast="0"/>
      <w:bookmarkEnd w:id="98"/>
      <w:r>
        <w:rPr>
          <w:rFonts w:asciiTheme="minorHAnsi" w:eastAsia="Calibri" w:hAnsiTheme="minorHAnsi" w:cs="Calibri"/>
          <w:b/>
          <w:color w:val="auto"/>
        </w:rPr>
        <w:t>[</w:t>
      </w:r>
      <w:r w:rsidRPr="009023B1">
        <w:rPr>
          <w:rFonts w:asciiTheme="minorHAnsi" w:eastAsia="Calibri" w:hAnsiTheme="minorHAnsi" w:cs="Calibri"/>
          <w:b/>
          <w:i/>
          <w:color w:val="auto"/>
        </w:rPr>
        <w:t>i</w:t>
      </w:r>
      <w:r w:rsidR="00A26303" w:rsidRPr="009023B1">
        <w:rPr>
          <w:rFonts w:asciiTheme="minorHAnsi" w:eastAsia="Calibri" w:hAnsiTheme="minorHAnsi" w:cs="Calibri"/>
          <w:b/>
          <w:i/>
          <w:color w:val="auto"/>
        </w:rPr>
        <w:t xml:space="preserve">nsert </w:t>
      </w:r>
      <w:r w:rsidR="009023B1" w:rsidRPr="009023B1">
        <w:rPr>
          <w:rFonts w:asciiTheme="minorHAnsi" w:eastAsia="Calibri" w:hAnsiTheme="minorHAnsi" w:cs="Calibri"/>
          <w:b/>
          <w:i/>
          <w:color w:val="auto"/>
        </w:rPr>
        <w:t>s</w:t>
      </w:r>
      <w:r w:rsidR="00A26303" w:rsidRPr="009023B1">
        <w:rPr>
          <w:rFonts w:asciiTheme="minorHAnsi" w:eastAsia="Calibri" w:hAnsiTheme="minorHAnsi" w:cs="Calibri"/>
          <w:b/>
          <w:i/>
          <w:color w:val="auto"/>
        </w:rPr>
        <w:t xml:space="preserve">upplier </w:t>
      </w:r>
      <w:r w:rsidR="009023B1" w:rsidRPr="009023B1">
        <w:rPr>
          <w:rFonts w:asciiTheme="minorHAnsi" w:eastAsia="Calibri" w:hAnsiTheme="minorHAnsi" w:cs="Calibri"/>
          <w:b/>
          <w:i/>
          <w:color w:val="auto"/>
        </w:rPr>
        <w:t>s</w:t>
      </w:r>
      <w:r w:rsidR="00A26303" w:rsidRPr="009023B1">
        <w:rPr>
          <w:rFonts w:asciiTheme="minorHAnsi" w:eastAsia="Calibri" w:hAnsiTheme="minorHAnsi" w:cs="Calibri"/>
          <w:b/>
          <w:i/>
          <w:color w:val="auto"/>
        </w:rPr>
        <w:t xml:space="preserve">olution </w:t>
      </w:r>
      <w:r w:rsidR="009023B1" w:rsidRPr="009023B1">
        <w:rPr>
          <w:rFonts w:asciiTheme="minorHAnsi" w:eastAsia="Calibri" w:hAnsiTheme="minorHAnsi" w:cs="Calibri"/>
          <w:b/>
          <w:i/>
          <w:color w:val="auto"/>
        </w:rPr>
        <w:t>d</w:t>
      </w:r>
      <w:r w:rsidR="00A26303" w:rsidRPr="009023B1">
        <w:rPr>
          <w:rFonts w:asciiTheme="minorHAnsi" w:eastAsia="Calibri" w:hAnsiTheme="minorHAnsi" w:cs="Calibri"/>
          <w:b/>
          <w:i/>
          <w:color w:val="auto"/>
        </w:rPr>
        <w:t xml:space="preserve">ocument </w:t>
      </w:r>
      <w:r w:rsidR="009023B1" w:rsidRPr="009023B1">
        <w:rPr>
          <w:rFonts w:asciiTheme="minorHAnsi" w:eastAsia="Calibri" w:hAnsiTheme="minorHAnsi" w:cs="Calibri"/>
          <w:b/>
          <w:i/>
          <w:color w:val="auto"/>
        </w:rPr>
        <w:t>or reference to separate document</w:t>
      </w:r>
      <w:r w:rsidR="00A26303" w:rsidRPr="00AD3457">
        <w:rPr>
          <w:rFonts w:asciiTheme="minorHAnsi" w:eastAsia="Calibri" w:hAnsiTheme="minorHAnsi" w:cs="Calibri"/>
          <w:b/>
          <w:color w:val="auto"/>
        </w:rPr>
        <w:t>]</w:t>
      </w:r>
    </w:p>
    <w:p w14:paraId="15C32B8C" w14:textId="77777777" w:rsidR="00656438" w:rsidRDefault="00656438">
      <w:pPr>
        <w:ind w:left="432" w:hanging="432"/>
        <w:jc w:val="center"/>
      </w:pPr>
    </w:p>
    <w:p w14:paraId="7B6A4DEE" w14:textId="77777777" w:rsidR="00656438" w:rsidRDefault="00656438">
      <w:pPr>
        <w:ind w:left="432" w:hanging="432"/>
        <w:jc w:val="center"/>
      </w:pPr>
    </w:p>
    <w:p w14:paraId="383CACE1" w14:textId="77777777" w:rsidR="00656438" w:rsidRDefault="00656438">
      <w:pPr>
        <w:ind w:left="432" w:hanging="432"/>
        <w:jc w:val="center"/>
      </w:pPr>
    </w:p>
    <w:p w14:paraId="0AC112AD" w14:textId="77777777" w:rsidR="00656438" w:rsidRDefault="00656438">
      <w:pPr>
        <w:ind w:left="432" w:hanging="432"/>
        <w:jc w:val="center"/>
      </w:pPr>
    </w:p>
    <w:p w14:paraId="2BF62FA5" w14:textId="77777777" w:rsidR="00656438" w:rsidRDefault="00656438">
      <w:pPr>
        <w:ind w:left="432" w:hanging="432"/>
        <w:jc w:val="center"/>
      </w:pPr>
    </w:p>
    <w:p w14:paraId="1E8E9AA5" w14:textId="77777777" w:rsidR="00656438" w:rsidRDefault="00656438">
      <w:pPr>
        <w:ind w:left="432" w:hanging="432"/>
        <w:jc w:val="center"/>
      </w:pPr>
    </w:p>
    <w:p w14:paraId="5FCF6D47" w14:textId="77777777" w:rsidR="00656438" w:rsidRDefault="00656438">
      <w:pPr>
        <w:ind w:left="432" w:hanging="432"/>
        <w:jc w:val="center"/>
      </w:pPr>
    </w:p>
    <w:p w14:paraId="33A0259E" w14:textId="77777777" w:rsidR="00656438" w:rsidRDefault="00656438">
      <w:pPr>
        <w:ind w:left="432" w:hanging="432"/>
        <w:jc w:val="center"/>
      </w:pPr>
    </w:p>
    <w:p w14:paraId="21CFFCA9" w14:textId="77777777" w:rsidR="00656438" w:rsidRDefault="00656438">
      <w:pPr>
        <w:ind w:left="432" w:hanging="432"/>
        <w:jc w:val="center"/>
      </w:pPr>
    </w:p>
    <w:p w14:paraId="431CA634" w14:textId="77777777" w:rsidR="00656438" w:rsidRDefault="00656438">
      <w:pPr>
        <w:ind w:left="432" w:hanging="432"/>
        <w:jc w:val="center"/>
      </w:pPr>
    </w:p>
    <w:p w14:paraId="3D20E551" w14:textId="77777777" w:rsidR="00656438" w:rsidRDefault="00656438">
      <w:pPr>
        <w:ind w:left="432" w:hanging="432"/>
        <w:jc w:val="center"/>
      </w:pPr>
    </w:p>
    <w:p w14:paraId="320A38C2" w14:textId="77777777" w:rsidR="00656438" w:rsidRDefault="00656438">
      <w:pPr>
        <w:ind w:left="432" w:hanging="432"/>
        <w:jc w:val="center"/>
      </w:pPr>
    </w:p>
    <w:p w14:paraId="4D302645" w14:textId="77777777" w:rsidR="00656438" w:rsidRDefault="00656438">
      <w:pPr>
        <w:ind w:left="432" w:hanging="432"/>
        <w:jc w:val="center"/>
      </w:pPr>
    </w:p>
    <w:p w14:paraId="4B38FCF5" w14:textId="77777777" w:rsidR="00656438" w:rsidRDefault="00656438">
      <w:pPr>
        <w:ind w:left="432" w:hanging="432"/>
        <w:jc w:val="center"/>
      </w:pPr>
    </w:p>
    <w:p w14:paraId="644D1F50" w14:textId="77777777" w:rsidR="00656438" w:rsidRDefault="00656438">
      <w:pPr>
        <w:ind w:left="432" w:hanging="432"/>
        <w:jc w:val="center"/>
      </w:pPr>
    </w:p>
    <w:p w14:paraId="7DB737DF" w14:textId="77777777" w:rsidR="00656438" w:rsidRDefault="00656438">
      <w:pPr>
        <w:ind w:left="432" w:hanging="432"/>
        <w:jc w:val="center"/>
      </w:pPr>
    </w:p>
    <w:p w14:paraId="78E750DB" w14:textId="77777777" w:rsidR="00656438" w:rsidRDefault="00656438">
      <w:pPr>
        <w:ind w:left="432" w:hanging="432"/>
        <w:jc w:val="center"/>
      </w:pPr>
    </w:p>
    <w:p w14:paraId="5D15E2A9" w14:textId="77777777" w:rsidR="00656438" w:rsidRDefault="00656438">
      <w:pPr>
        <w:ind w:left="432" w:hanging="432"/>
        <w:jc w:val="center"/>
      </w:pPr>
    </w:p>
    <w:p w14:paraId="2BA54609" w14:textId="77777777" w:rsidR="00656438" w:rsidRDefault="00656438">
      <w:pPr>
        <w:ind w:left="432" w:hanging="432"/>
        <w:jc w:val="center"/>
      </w:pPr>
    </w:p>
    <w:p w14:paraId="3673AEE8" w14:textId="77777777" w:rsidR="009023B1" w:rsidRDefault="009023B1">
      <w:pPr>
        <w:rPr>
          <w:rFonts w:ascii="Calibri" w:eastAsia="Calibri" w:hAnsi="Calibri" w:cs="Calibri"/>
          <w:b/>
          <w:color w:val="1F497D"/>
          <w:sz w:val="40"/>
          <w:szCs w:val="40"/>
        </w:rPr>
      </w:pPr>
      <w:r>
        <w:rPr>
          <w:rFonts w:ascii="Calibri" w:eastAsia="Calibri" w:hAnsi="Calibri" w:cs="Calibri"/>
          <w:b/>
          <w:color w:val="1F497D"/>
          <w:sz w:val="40"/>
          <w:szCs w:val="40"/>
        </w:rPr>
        <w:br w:type="page"/>
      </w:r>
    </w:p>
    <w:p w14:paraId="7E7C9C89" w14:textId="09B9C2D2" w:rsidR="00656438" w:rsidRDefault="00A26303">
      <w:pPr>
        <w:jc w:val="center"/>
      </w:pPr>
      <w:r>
        <w:rPr>
          <w:rFonts w:ascii="Calibri" w:eastAsia="Calibri" w:hAnsi="Calibri" w:cs="Calibri"/>
          <w:b/>
          <w:color w:val="1F497D"/>
          <w:sz w:val="40"/>
          <w:szCs w:val="40"/>
        </w:rPr>
        <w:lastRenderedPageBreak/>
        <w:t>Appendix 5 Compliance Matrix</w:t>
      </w:r>
    </w:p>
    <w:p w14:paraId="0D8E28BC" w14:textId="72B6B5FD" w:rsidR="00656438" w:rsidRDefault="00A26303">
      <w:r>
        <w:br w:type="page"/>
      </w:r>
    </w:p>
    <w:p w14:paraId="21BD7C9B" w14:textId="77777777" w:rsidR="00656438" w:rsidRDefault="00656438">
      <w:pPr>
        <w:spacing w:after="0" w:line="240" w:lineRule="auto"/>
        <w:jc w:val="left"/>
      </w:pPr>
    </w:p>
    <w:p w14:paraId="7D6204A5" w14:textId="45B09229" w:rsidR="00656438" w:rsidRDefault="00A26303">
      <w:pPr>
        <w:ind w:left="431"/>
      </w:pPr>
      <w:bookmarkStart w:id="99" w:name="h.t14kmfdxs146" w:colFirst="0" w:colLast="0"/>
      <w:bookmarkEnd w:id="99"/>
      <w:r>
        <w:rPr>
          <w:rFonts w:ascii="Calibri" w:eastAsia="Calibri" w:hAnsi="Calibri" w:cs="Calibri"/>
          <w:b/>
          <w:color w:val="1F497D"/>
          <w:sz w:val="40"/>
          <w:szCs w:val="40"/>
        </w:rPr>
        <w:t>Appendix 6 Bidder Completion Check</w:t>
      </w:r>
      <w:r w:rsidR="00A72A68">
        <w:rPr>
          <w:rFonts w:ascii="Calibri" w:eastAsia="Calibri" w:hAnsi="Calibri" w:cs="Calibri"/>
          <w:b/>
          <w:color w:val="1F497D"/>
          <w:sz w:val="40"/>
          <w:szCs w:val="40"/>
        </w:rPr>
        <w:t>list</w:t>
      </w:r>
    </w:p>
    <w:tbl>
      <w:tblPr>
        <w:tblStyle w:val="af0"/>
        <w:tblW w:w="844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0"/>
        <w:gridCol w:w="1365"/>
      </w:tblGrid>
      <w:tr w:rsidR="00800096" w14:paraId="43EC0108" w14:textId="77777777" w:rsidTr="00800096">
        <w:trPr>
          <w:tblHeader/>
        </w:trPr>
        <w:tc>
          <w:tcPr>
            <w:tcW w:w="7080" w:type="dxa"/>
            <w:tcBorders>
              <w:top w:val="single" w:sz="8" w:space="0" w:color="A6A6A6"/>
              <w:left w:val="single" w:sz="8" w:space="0" w:color="A6A6A6"/>
              <w:bottom w:val="single" w:sz="8" w:space="0" w:color="A6A6A6"/>
              <w:right w:val="single" w:sz="8" w:space="0" w:color="A6A6A6"/>
            </w:tcBorders>
            <w:shd w:val="clear" w:color="auto" w:fill="95B3D7"/>
            <w:tcMar>
              <w:top w:w="100" w:type="dxa"/>
              <w:left w:w="100" w:type="dxa"/>
              <w:bottom w:w="100" w:type="dxa"/>
              <w:right w:w="100" w:type="dxa"/>
            </w:tcMar>
          </w:tcPr>
          <w:p w14:paraId="0E3A074C" w14:textId="78DA34C1" w:rsidR="00800096" w:rsidRDefault="00800096" w:rsidP="00A468D9">
            <w:pPr>
              <w:pStyle w:val="Heading3"/>
              <w:keepNext w:val="0"/>
              <w:keepLines w:val="0"/>
              <w:spacing w:before="280" w:after="80" w:line="276" w:lineRule="auto"/>
              <w:ind w:left="431" w:firstLine="0"/>
              <w:jc w:val="left"/>
            </w:pPr>
            <w:r>
              <w:rPr>
                <w:b/>
                <w:color w:val="1F497D"/>
                <w:sz w:val="18"/>
                <w:szCs w:val="18"/>
              </w:rPr>
              <w:t>Response</w:t>
            </w:r>
          </w:p>
        </w:tc>
        <w:tc>
          <w:tcPr>
            <w:tcW w:w="1365" w:type="dxa"/>
            <w:tcBorders>
              <w:top w:val="single" w:sz="8" w:space="0" w:color="A6A6A6"/>
              <w:bottom w:val="single" w:sz="8" w:space="0" w:color="A6A6A6"/>
              <w:right w:val="single" w:sz="8" w:space="0" w:color="A6A6A6"/>
            </w:tcBorders>
            <w:shd w:val="clear" w:color="auto" w:fill="95B3D7"/>
            <w:tcMar>
              <w:top w:w="100" w:type="dxa"/>
              <w:left w:w="100" w:type="dxa"/>
              <w:bottom w:w="100" w:type="dxa"/>
              <w:right w:w="100" w:type="dxa"/>
            </w:tcMar>
          </w:tcPr>
          <w:p w14:paraId="6336AF32" w14:textId="65C0C735" w:rsidR="00800096" w:rsidRDefault="00800096" w:rsidP="00A468D9">
            <w:pPr>
              <w:pStyle w:val="Heading3"/>
              <w:keepNext w:val="0"/>
              <w:keepLines w:val="0"/>
              <w:spacing w:before="280" w:after="80" w:line="276" w:lineRule="auto"/>
              <w:ind w:left="0" w:firstLine="0"/>
              <w:jc w:val="left"/>
            </w:pPr>
            <w:bookmarkStart w:id="100" w:name="h.fbj9ngwlfoom" w:colFirst="0" w:colLast="0"/>
            <w:bookmarkEnd w:id="100"/>
            <w:r>
              <w:rPr>
                <w:b/>
                <w:color w:val="1F497D"/>
                <w:sz w:val="18"/>
                <w:szCs w:val="18"/>
              </w:rPr>
              <w:t>Complete?</w:t>
            </w:r>
          </w:p>
        </w:tc>
      </w:tr>
      <w:tr w:rsidR="00800096" w14:paraId="0B8C7E00"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6BDF45E7" w14:textId="68CEB3B6" w:rsidR="00800096" w:rsidRDefault="00800096" w:rsidP="00A468D9">
            <w:pPr>
              <w:pStyle w:val="Heading3"/>
              <w:keepNext w:val="0"/>
              <w:keepLines w:val="0"/>
              <w:spacing w:before="280" w:after="80" w:line="276" w:lineRule="auto"/>
              <w:ind w:left="431" w:firstLine="0"/>
              <w:jc w:val="left"/>
            </w:pPr>
            <w:r>
              <w:rPr>
                <w:b/>
                <w:color w:val="1F497D"/>
                <w:sz w:val="18"/>
                <w:szCs w:val="18"/>
              </w:rPr>
              <w:t>Part 1, Appendix 3: Certificate of Non Collusion</w:t>
            </w:r>
          </w:p>
        </w:tc>
        <w:tc>
          <w:tcPr>
            <w:tcW w:w="1365" w:type="dxa"/>
            <w:tcBorders>
              <w:bottom w:val="single" w:sz="8" w:space="0" w:color="A6A6A6"/>
              <w:right w:val="single" w:sz="8" w:space="0" w:color="A6A6A6"/>
            </w:tcBorders>
            <w:tcMar>
              <w:top w:w="100" w:type="dxa"/>
              <w:left w:w="100" w:type="dxa"/>
              <w:bottom w:w="100" w:type="dxa"/>
              <w:right w:w="100" w:type="dxa"/>
            </w:tcMar>
          </w:tcPr>
          <w:p w14:paraId="6F8990FF" w14:textId="77777777" w:rsidR="00800096" w:rsidRDefault="00800096" w:rsidP="00A468D9">
            <w:pPr>
              <w:pStyle w:val="Heading3"/>
              <w:keepNext w:val="0"/>
              <w:keepLines w:val="0"/>
              <w:spacing w:before="280" w:after="80" w:line="276" w:lineRule="auto"/>
              <w:ind w:left="431" w:firstLine="0"/>
              <w:jc w:val="center"/>
            </w:pPr>
            <w:bookmarkStart w:id="101" w:name="h.qncq2xgs52dp" w:colFirst="0" w:colLast="0"/>
            <w:bookmarkEnd w:id="101"/>
          </w:p>
        </w:tc>
      </w:tr>
      <w:tr w:rsidR="00800096" w14:paraId="799247C3"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27CA871D" w14:textId="594B7892" w:rsidR="00800096" w:rsidRDefault="00800096" w:rsidP="00A468D9">
            <w:pPr>
              <w:pStyle w:val="Heading3"/>
              <w:keepNext w:val="0"/>
              <w:keepLines w:val="0"/>
              <w:spacing w:before="280" w:after="80" w:line="276" w:lineRule="auto"/>
              <w:ind w:left="431" w:firstLine="0"/>
              <w:jc w:val="left"/>
            </w:pPr>
            <w:bookmarkStart w:id="102" w:name="h.iy6vx4ms9lfb" w:colFirst="0" w:colLast="0"/>
            <w:bookmarkEnd w:id="102"/>
            <w:r>
              <w:rPr>
                <w:b/>
                <w:color w:val="1F497D"/>
                <w:sz w:val="18"/>
                <w:szCs w:val="18"/>
              </w:rPr>
              <w:t>Part 1, Appendix 4: Code of conduct, Use of Existing Infrastructure</w:t>
            </w:r>
          </w:p>
        </w:tc>
        <w:tc>
          <w:tcPr>
            <w:tcW w:w="1365" w:type="dxa"/>
            <w:tcBorders>
              <w:bottom w:val="single" w:sz="8" w:space="0" w:color="A6A6A6"/>
              <w:right w:val="single" w:sz="8" w:space="0" w:color="A6A6A6"/>
            </w:tcBorders>
            <w:tcMar>
              <w:top w:w="100" w:type="dxa"/>
              <w:left w:w="100" w:type="dxa"/>
              <w:bottom w:w="100" w:type="dxa"/>
              <w:right w:w="100" w:type="dxa"/>
            </w:tcMar>
          </w:tcPr>
          <w:p w14:paraId="1FAE3775" w14:textId="77777777" w:rsidR="00800096" w:rsidRDefault="00800096" w:rsidP="00A468D9">
            <w:pPr>
              <w:pStyle w:val="Heading3"/>
              <w:keepNext w:val="0"/>
              <w:keepLines w:val="0"/>
              <w:spacing w:before="280" w:after="80" w:line="276" w:lineRule="auto"/>
              <w:ind w:left="431" w:firstLine="0"/>
              <w:jc w:val="center"/>
            </w:pPr>
            <w:bookmarkStart w:id="103" w:name="h.m1ceiq3264ff" w:colFirst="0" w:colLast="0"/>
            <w:bookmarkEnd w:id="103"/>
          </w:p>
        </w:tc>
      </w:tr>
      <w:tr w:rsidR="00800096" w14:paraId="68A953BC"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7BD7EFE2" w14:textId="3F5D513B" w:rsidR="00800096" w:rsidRDefault="00800096" w:rsidP="00A468D9">
            <w:pPr>
              <w:pStyle w:val="Heading3"/>
              <w:keepNext w:val="0"/>
              <w:keepLines w:val="0"/>
              <w:spacing w:before="280" w:after="80" w:line="276" w:lineRule="auto"/>
              <w:ind w:left="431" w:firstLine="0"/>
              <w:jc w:val="left"/>
            </w:pPr>
            <w:bookmarkStart w:id="104" w:name="h.x3441mxpdyws" w:colFirst="0" w:colLast="0"/>
            <w:bookmarkEnd w:id="104"/>
            <w:r>
              <w:rPr>
                <w:b/>
                <w:color w:val="1F497D"/>
                <w:sz w:val="18"/>
                <w:szCs w:val="18"/>
              </w:rPr>
              <w:t>Part 1, Appendix 5: Expression of Interest Form</w:t>
            </w:r>
          </w:p>
        </w:tc>
        <w:tc>
          <w:tcPr>
            <w:tcW w:w="1365" w:type="dxa"/>
            <w:tcBorders>
              <w:bottom w:val="single" w:sz="8" w:space="0" w:color="A6A6A6"/>
              <w:right w:val="single" w:sz="8" w:space="0" w:color="A6A6A6"/>
            </w:tcBorders>
            <w:tcMar>
              <w:top w:w="100" w:type="dxa"/>
              <w:left w:w="100" w:type="dxa"/>
              <w:bottom w:w="100" w:type="dxa"/>
              <w:right w:w="100" w:type="dxa"/>
            </w:tcMar>
          </w:tcPr>
          <w:p w14:paraId="261AAE9C" w14:textId="77777777" w:rsidR="00800096" w:rsidRDefault="00800096" w:rsidP="00A468D9">
            <w:pPr>
              <w:pStyle w:val="Heading3"/>
              <w:keepNext w:val="0"/>
              <w:keepLines w:val="0"/>
              <w:spacing w:before="280" w:after="80" w:line="276" w:lineRule="auto"/>
              <w:ind w:left="431" w:firstLine="0"/>
              <w:jc w:val="center"/>
            </w:pPr>
            <w:bookmarkStart w:id="105" w:name="h.6v2dv0v9s7ez" w:colFirst="0" w:colLast="0"/>
            <w:bookmarkEnd w:id="105"/>
          </w:p>
        </w:tc>
      </w:tr>
      <w:tr w:rsidR="00800096" w14:paraId="2EE3784C"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42FE54EC" w14:textId="7A021641" w:rsidR="00800096" w:rsidRDefault="00800096" w:rsidP="00A468D9">
            <w:pPr>
              <w:pStyle w:val="Heading3"/>
              <w:keepNext w:val="0"/>
              <w:keepLines w:val="0"/>
              <w:spacing w:before="280" w:after="80" w:line="276" w:lineRule="auto"/>
              <w:ind w:left="431" w:firstLine="0"/>
              <w:jc w:val="left"/>
            </w:pPr>
            <w:bookmarkStart w:id="106" w:name="h.g8mgd14o05f7" w:colFirst="0" w:colLast="0"/>
            <w:bookmarkEnd w:id="106"/>
            <w:r>
              <w:rPr>
                <w:b/>
                <w:color w:val="1F497D"/>
                <w:sz w:val="18"/>
                <w:szCs w:val="18"/>
              </w:rPr>
              <w:t>Part 2, Appendix 2: Bidder Response to ITT [for each lot bid for]</w:t>
            </w:r>
          </w:p>
        </w:tc>
        <w:tc>
          <w:tcPr>
            <w:tcW w:w="1365" w:type="dxa"/>
            <w:tcBorders>
              <w:bottom w:val="single" w:sz="8" w:space="0" w:color="A6A6A6"/>
              <w:right w:val="single" w:sz="8" w:space="0" w:color="A6A6A6"/>
            </w:tcBorders>
            <w:tcMar>
              <w:top w:w="100" w:type="dxa"/>
              <w:left w:w="100" w:type="dxa"/>
              <w:bottom w:w="100" w:type="dxa"/>
              <w:right w:w="100" w:type="dxa"/>
            </w:tcMar>
          </w:tcPr>
          <w:p w14:paraId="320CC4B7" w14:textId="77777777" w:rsidR="00800096" w:rsidRDefault="00800096" w:rsidP="00A468D9">
            <w:pPr>
              <w:pStyle w:val="Heading3"/>
              <w:keepNext w:val="0"/>
              <w:keepLines w:val="0"/>
              <w:spacing w:before="280" w:after="80" w:line="276" w:lineRule="auto"/>
              <w:ind w:left="431" w:firstLine="0"/>
              <w:jc w:val="center"/>
            </w:pPr>
            <w:bookmarkStart w:id="107" w:name="h.22npdno3g3z2" w:colFirst="0" w:colLast="0"/>
            <w:bookmarkEnd w:id="107"/>
          </w:p>
        </w:tc>
      </w:tr>
      <w:tr w:rsidR="00800096" w14:paraId="48B839BA"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678AD0F3" w14:textId="3D1CA2F1" w:rsidR="00800096" w:rsidRDefault="00800096" w:rsidP="00A468D9">
            <w:pPr>
              <w:pStyle w:val="Heading3"/>
              <w:keepNext w:val="0"/>
              <w:keepLines w:val="0"/>
              <w:spacing w:before="280" w:after="80" w:line="276" w:lineRule="auto"/>
              <w:ind w:left="431" w:firstLine="0"/>
              <w:jc w:val="left"/>
            </w:pPr>
            <w:bookmarkStart w:id="108" w:name="h.i51p7ajni6th" w:colFirst="0" w:colLast="0"/>
            <w:bookmarkEnd w:id="108"/>
            <w:r>
              <w:rPr>
                <w:b/>
                <w:color w:val="1F497D"/>
                <w:sz w:val="18"/>
                <w:szCs w:val="18"/>
              </w:rPr>
              <w:t>Part 2, Appendix 2: NGA Technical Assessment Template [for each lot bid for]</w:t>
            </w:r>
          </w:p>
        </w:tc>
        <w:tc>
          <w:tcPr>
            <w:tcW w:w="1365" w:type="dxa"/>
            <w:tcBorders>
              <w:bottom w:val="single" w:sz="8" w:space="0" w:color="A6A6A6"/>
              <w:right w:val="single" w:sz="8" w:space="0" w:color="A6A6A6"/>
            </w:tcBorders>
            <w:tcMar>
              <w:top w:w="100" w:type="dxa"/>
              <w:left w:w="100" w:type="dxa"/>
              <w:bottom w:w="100" w:type="dxa"/>
              <w:right w:w="100" w:type="dxa"/>
            </w:tcMar>
          </w:tcPr>
          <w:p w14:paraId="537EF635" w14:textId="77777777" w:rsidR="00800096" w:rsidRDefault="00800096" w:rsidP="00A468D9">
            <w:pPr>
              <w:pStyle w:val="Heading3"/>
              <w:keepNext w:val="0"/>
              <w:keepLines w:val="0"/>
              <w:spacing w:before="280" w:after="80" w:line="276" w:lineRule="auto"/>
              <w:ind w:left="431" w:firstLine="0"/>
              <w:jc w:val="center"/>
            </w:pPr>
            <w:bookmarkStart w:id="109" w:name="h.qu7kfqdzg83v" w:colFirst="0" w:colLast="0"/>
            <w:bookmarkEnd w:id="109"/>
          </w:p>
        </w:tc>
      </w:tr>
      <w:tr w:rsidR="00800096" w14:paraId="7CD65614"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5E8B72AE" w14:textId="0EA3BD9D" w:rsidR="00800096" w:rsidRDefault="00800096" w:rsidP="00A468D9">
            <w:pPr>
              <w:pStyle w:val="Heading3"/>
              <w:keepNext w:val="0"/>
              <w:keepLines w:val="0"/>
              <w:spacing w:before="280" w:after="80" w:line="276" w:lineRule="auto"/>
              <w:ind w:left="431" w:firstLine="0"/>
              <w:jc w:val="left"/>
            </w:pPr>
            <w:bookmarkStart w:id="110" w:name="h.ns0r8zyqtvbp" w:colFirst="0" w:colLast="0"/>
            <w:bookmarkEnd w:id="110"/>
            <w:r>
              <w:rPr>
                <w:b/>
                <w:color w:val="1F497D"/>
                <w:sz w:val="18"/>
                <w:szCs w:val="18"/>
              </w:rPr>
              <w:t>Part 2, Appendix 3: Speed and Coverage Template [for each lot bid for]</w:t>
            </w:r>
          </w:p>
        </w:tc>
        <w:tc>
          <w:tcPr>
            <w:tcW w:w="1365" w:type="dxa"/>
            <w:tcBorders>
              <w:bottom w:val="single" w:sz="8" w:space="0" w:color="A6A6A6"/>
              <w:right w:val="single" w:sz="8" w:space="0" w:color="A6A6A6"/>
            </w:tcBorders>
            <w:tcMar>
              <w:top w:w="100" w:type="dxa"/>
              <w:left w:w="100" w:type="dxa"/>
              <w:bottom w:w="100" w:type="dxa"/>
              <w:right w:w="100" w:type="dxa"/>
            </w:tcMar>
          </w:tcPr>
          <w:p w14:paraId="26BB5C72" w14:textId="77777777" w:rsidR="00800096" w:rsidRDefault="00800096" w:rsidP="00A468D9">
            <w:pPr>
              <w:pStyle w:val="Heading3"/>
              <w:keepNext w:val="0"/>
              <w:keepLines w:val="0"/>
              <w:spacing w:before="280" w:after="80" w:line="276" w:lineRule="auto"/>
              <w:ind w:left="431" w:firstLine="0"/>
              <w:jc w:val="center"/>
            </w:pPr>
            <w:bookmarkStart w:id="111" w:name="h.coudgck5ioko" w:colFirst="0" w:colLast="0"/>
            <w:bookmarkEnd w:id="111"/>
          </w:p>
        </w:tc>
      </w:tr>
      <w:tr w:rsidR="00800096" w14:paraId="6C5175D5"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380F988C" w14:textId="32A65567" w:rsidR="00800096" w:rsidRDefault="00800096" w:rsidP="00A468D9">
            <w:pPr>
              <w:pStyle w:val="Heading3"/>
              <w:keepNext w:val="0"/>
              <w:keepLines w:val="0"/>
              <w:spacing w:before="280" w:after="80" w:line="276" w:lineRule="auto"/>
              <w:ind w:left="431" w:firstLine="0"/>
              <w:jc w:val="left"/>
            </w:pPr>
            <w:r>
              <w:rPr>
                <w:b/>
                <w:color w:val="1F497D"/>
                <w:sz w:val="18"/>
                <w:szCs w:val="18"/>
              </w:rPr>
              <w:t>Part 2, Appendix 4: Supplier Solution Document [for each lot bid for, if responses for each lot differ]</w:t>
            </w:r>
          </w:p>
        </w:tc>
        <w:tc>
          <w:tcPr>
            <w:tcW w:w="1365" w:type="dxa"/>
            <w:tcBorders>
              <w:bottom w:val="single" w:sz="8" w:space="0" w:color="A6A6A6"/>
              <w:right w:val="single" w:sz="8" w:space="0" w:color="A6A6A6"/>
            </w:tcBorders>
            <w:tcMar>
              <w:top w:w="100" w:type="dxa"/>
              <w:left w:w="100" w:type="dxa"/>
              <w:bottom w:w="100" w:type="dxa"/>
              <w:right w:w="100" w:type="dxa"/>
            </w:tcMar>
          </w:tcPr>
          <w:p w14:paraId="495C12FE" w14:textId="77777777" w:rsidR="00800096" w:rsidRDefault="00800096" w:rsidP="00A468D9">
            <w:pPr>
              <w:pStyle w:val="Heading3"/>
              <w:keepNext w:val="0"/>
              <w:keepLines w:val="0"/>
              <w:spacing w:before="280" w:after="80" w:line="276" w:lineRule="auto"/>
              <w:ind w:left="431" w:firstLine="0"/>
              <w:jc w:val="center"/>
            </w:pPr>
            <w:bookmarkStart w:id="112" w:name="h.qwzswrmhu3jf" w:colFirst="0" w:colLast="0"/>
            <w:bookmarkEnd w:id="112"/>
          </w:p>
        </w:tc>
      </w:tr>
      <w:tr w:rsidR="00800096" w14:paraId="72403CB3"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0C226B3C" w14:textId="32271727" w:rsidR="00800096" w:rsidRDefault="00800096" w:rsidP="00A468D9">
            <w:pPr>
              <w:pStyle w:val="Heading3"/>
              <w:keepNext w:val="0"/>
              <w:keepLines w:val="0"/>
              <w:spacing w:before="280" w:after="80" w:line="276" w:lineRule="auto"/>
              <w:ind w:left="431" w:firstLine="0"/>
              <w:jc w:val="left"/>
            </w:pPr>
            <w:bookmarkStart w:id="113" w:name="h.qybnp3gk63zh" w:colFirst="0" w:colLast="0"/>
            <w:bookmarkStart w:id="114" w:name="h.seffk31z1nx8" w:colFirst="0" w:colLast="0"/>
            <w:bookmarkEnd w:id="113"/>
            <w:bookmarkEnd w:id="114"/>
            <w:r>
              <w:rPr>
                <w:b/>
                <w:color w:val="1F497D"/>
                <w:sz w:val="18"/>
                <w:szCs w:val="18"/>
              </w:rPr>
              <w:t>Solution Component Template(s)</w:t>
            </w:r>
          </w:p>
        </w:tc>
        <w:tc>
          <w:tcPr>
            <w:tcW w:w="1365" w:type="dxa"/>
            <w:tcBorders>
              <w:bottom w:val="single" w:sz="8" w:space="0" w:color="A6A6A6"/>
              <w:right w:val="single" w:sz="8" w:space="0" w:color="A6A6A6"/>
            </w:tcBorders>
            <w:tcMar>
              <w:top w:w="100" w:type="dxa"/>
              <w:left w:w="100" w:type="dxa"/>
              <w:bottom w:w="100" w:type="dxa"/>
              <w:right w:w="100" w:type="dxa"/>
            </w:tcMar>
          </w:tcPr>
          <w:p w14:paraId="1F78A435" w14:textId="77777777" w:rsidR="00800096" w:rsidRDefault="00800096" w:rsidP="00A468D9">
            <w:pPr>
              <w:pStyle w:val="Heading3"/>
              <w:keepNext w:val="0"/>
              <w:keepLines w:val="0"/>
              <w:spacing w:before="280" w:after="80" w:line="276" w:lineRule="auto"/>
              <w:ind w:left="431" w:firstLine="0"/>
              <w:jc w:val="center"/>
            </w:pPr>
            <w:bookmarkStart w:id="115" w:name="h.cqtw3rd587pz" w:colFirst="0" w:colLast="0"/>
            <w:bookmarkEnd w:id="115"/>
          </w:p>
        </w:tc>
      </w:tr>
      <w:tr w:rsidR="00800096" w14:paraId="72B0E9DE"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256588C1" w14:textId="20AFF8A1" w:rsidR="00800096" w:rsidRDefault="00800096" w:rsidP="00A468D9">
            <w:pPr>
              <w:pStyle w:val="Heading3"/>
              <w:keepNext w:val="0"/>
              <w:keepLines w:val="0"/>
              <w:spacing w:before="280" w:after="80" w:line="276" w:lineRule="auto"/>
              <w:ind w:left="431" w:firstLine="0"/>
              <w:jc w:val="left"/>
            </w:pPr>
            <w:bookmarkStart w:id="116" w:name="h.asde2vanri3m" w:colFirst="0" w:colLast="0"/>
            <w:bookmarkEnd w:id="116"/>
            <w:r>
              <w:rPr>
                <w:b/>
                <w:color w:val="1F497D"/>
                <w:sz w:val="18"/>
                <w:szCs w:val="18"/>
              </w:rPr>
              <w:t>Wholesale Product Template</w:t>
            </w:r>
          </w:p>
        </w:tc>
        <w:tc>
          <w:tcPr>
            <w:tcW w:w="1365" w:type="dxa"/>
            <w:tcBorders>
              <w:bottom w:val="single" w:sz="8" w:space="0" w:color="A6A6A6"/>
              <w:right w:val="single" w:sz="8" w:space="0" w:color="A6A6A6"/>
            </w:tcBorders>
            <w:tcMar>
              <w:top w:w="100" w:type="dxa"/>
              <w:left w:w="100" w:type="dxa"/>
              <w:bottom w:w="100" w:type="dxa"/>
              <w:right w:w="100" w:type="dxa"/>
            </w:tcMar>
          </w:tcPr>
          <w:p w14:paraId="433C12FA" w14:textId="77777777" w:rsidR="00800096" w:rsidRDefault="00800096" w:rsidP="00A468D9">
            <w:pPr>
              <w:pStyle w:val="Heading3"/>
              <w:keepNext w:val="0"/>
              <w:keepLines w:val="0"/>
              <w:spacing w:before="280" w:after="80" w:line="276" w:lineRule="auto"/>
              <w:ind w:left="431" w:firstLine="0"/>
              <w:jc w:val="center"/>
            </w:pPr>
            <w:bookmarkStart w:id="117" w:name="h.e2gi6pu36e3a" w:colFirst="0" w:colLast="0"/>
            <w:bookmarkEnd w:id="117"/>
          </w:p>
        </w:tc>
      </w:tr>
      <w:tr w:rsidR="00800096" w14:paraId="014701F0"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0808DCD1" w14:textId="19E1FA94" w:rsidR="00800096" w:rsidRDefault="00800096" w:rsidP="00A468D9">
            <w:pPr>
              <w:pStyle w:val="Heading3"/>
              <w:keepNext w:val="0"/>
              <w:keepLines w:val="0"/>
              <w:spacing w:before="280" w:after="80" w:line="276" w:lineRule="auto"/>
              <w:ind w:left="431" w:firstLine="0"/>
              <w:jc w:val="left"/>
            </w:pPr>
            <w:bookmarkStart w:id="118" w:name="h.p9uddjs21cj6" w:colFirst="0" w:colLast="0"/>
            <w:bookmarkEnd w:id="118"/>
            <w:r>
              <w:rPr>
                <w:b/>
                <w:color w:val="1F497D"/>
                <w:sz w:val="18"/>
                <w:szCs w:val="18"/>
              </w:rPr>
              <w:t>Part 2, Appendix 5: Compliance Matrix</w:t>
            </w:r>
          </w:p>
        </w:tc>
        <w:tc>
          <w:tcPr>
            <w:tcW w:w="1365" w:type="dxa"/>
            <w:tcBorders>
              <w:bottom w:val="single" w:sz="8" w:space="0" w:color="A6A6A6"/>
              <w:right w:val="single" w:sz="8" w:space="0" w:color="A6A6A6"/>
            </w:tcBorders>
            <w:tcMar>
              <w:top w:w="100" w:type="dxa"/>
              <w:left w:w="100" w:type="dxa"/>
              <w:bottom w:w="100" w:type="dxa"/>
              <w:right w:w="100" w:type="dxa"/>
            </w:tcMar>
          </w:tcPr>
          <w:p w14:paraId="570BF872" w14:textId="77777777" w:rsidR="00800096" w:rsidRDefault="00800096" w:rsidP="00A468D9">
            <w:pPr>
              <w:pStyle w:val="Heading3"/>
              <w:keepNext w:val="0"/>
              <w:keepLines w:val="0"/>
              <w:spacing w:before="280" w:after="80" w:line="276" w:lineRule="auto"/>
              <w:ind w:left="431" w:firstLine="0"/>
              <w:jc w:val="center"/>
            </w:pPr>
            <w:bookmarkStart w:id="119" w:name="h.wl7phmliu1hp" w:colFirst="0" w:colLast="0"/>
            <w:bookmarkEnd w:id="119"/>
          </w:p>
        </w:tc>
      </w:tr>
      <w:tr w:rsidR="00800096" w14:paraId="76A3F4F9"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1C220378" w14:textId="0D56BB30" w:rsidR="00800096" w:rsidRDefault="00800096" w:rsidP="00A468D9">
            <w:pPr>
              <w:pStyle w:val="Heading3"/>
              <w:keepNext w:val="0"/>
              <w:keepLines w:val="0"/>
              <w:spacing w:before="280" w:after="80" w:line="276" w:lineRule="auto"/>
              <w:ind w:left="431" w:firstLine="0"/>
              <w:jc w:val="left"/>
            </w:pPr>
            <w:bookmarkStart w:id="120" w:name="h.dqmiwzf5crtc" w:colFirst="0" w:colLast="0"/>
            <w:bookmarkEnd w:id="120"/>
            <w:r>
              <w:rPr>
                <w:b/>
                <w:color w:val="1F497D"/>
                <w:sz w:val="18"/>
                <w:szCs w:val="18"/>
              </w:rPr>
              <w:t>Part 2, Appendix 6: Bidder Completion Checklist</w:t>
            </w:r>
          </w:p>
        </w:tc>
        <w:tc>
          <w:tcPr>
            <w:tcW w:w="1365" w:type="dxa"/>
            <w:tcBorders>
              <w:bottom w:val="single" w:sz="8" w:space="0" w:color="A6A6A6"/>
              <w:right w:val="single" w:sz="8" w:space="0" w:color="A6A6A6"/>
            </w:tcBorders>
            <w:tcMar>
              <w:top w:w="100" w:type="dxa"/>
              <w:left w:w="100" w:type="dxa"/>
              <w:bottom w:w="100" w:type="dxa"/>
              <w:right w:w="100" w:type="dxa"/>
            </w:tcMar>
          </w:tcPr>
          <w:p w14:paraId="5FEBDDAC" w14:textId="77777777" w:rsidR="00800096" w:rsidRDefault="00800096" w:rsidP="00A468D9">
            <w:pPr>
              <w:pStyle w:val="Heading3"/>
              <w:keepNext w:val="0"/>
              <w:keepLines w:val="0"/>
              <w:spacing w:before="280" w:after="80" w:line="276" w:lineRule="auto"/>
              <w:ind w:left="431" w:firstLine="0"/>
              <w:jc w:val="center"/>
            </w:pPr>
            <w:bookmarkStart w:id="121" w:name="h.4121ovhwkfhw" w:colFirst="0" w:colLast="0"/>
            <w:bookmarkEnd w:id="121"/>
          </w:p>
        </w:tc>
      </w:tr>
    </w:tbl>
    <w:tbl>
      <w:tblPr>
        <w:tblW w:w="844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0"/>
        <w:gridCol w:w="1365"/>
      </w:tblGrid>
      <w:tr w:rsidR="00437647" w14:paraId="0F4B73DF"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64CA7C32" w14:textId="77777777" w:rsidR="00437647" w:rsidRPr="00437647" w:rsidRDefault="00437647" w:rsidP="00A468D9">
            <w:pPr>
              <w:pStyle w:val="Heading3"/>
              <w:keepNext w:val="0"/>
              <w:keepLines w:val="0"/>
              <w:spacing w:before="280" w:after="80" w:line="276" w:lineRule="auto"/>
              <w:ind w:left="431" w:firstLine="0"/>
              <w:jc w:val="left"/>
              <w:rPr>
                <w:rFonts w:asciiTheme="minorHAnsi" w:hAnsiTheme="minorHAnsi"/>
                <w:b/>
                <w:color w:val="1F497D"/>
                <w:sz w:val="18"/>
                <w:szCs w:val="18"/>
              </w:rPr>
            </w:pPr>
            <w:bookmarkStart w:id="122" w:name="h.josncev13sxe" w:colFirst="0" w:colLast="0"/>
            <w:bookmarkEnd w:id="122"/>
            <w:r w:rsidRPr="00437647">
              <w:rPr>
                <w:rFonts w:asciiTheme="minorHAnsi" w:hAnsiTheme="minorHAnsi"/>
                <w:b/>
                <w:color w:val="1F497D"/>
                <w:sz w:val="18"/>
                <w:szCs w:val="18"/>
              </w:rPr>
              <w:t>Part 3, Terms &amp; Conditions of Contract: Completed Schedules</w:t>
            </w:r>
          </w:p>
          <w:p w14:paraId="470B7F21" w14:textId="77777777" w:rsidR="00E822C3" w:rsidRPr="00E822C3" w:rsidRDefault="00E822C3" w:rsidP="00437647">
            <w:pPr>
              <w:pStyle w:val="ListParagraph"/>
              <w:numPr>
                <w:ilvl w:val="0"/>
                <w:numId w:val="18"/>
              </w:numPr>
              <w:rPr>
                <w:rFonts w:asciiTheme="minorHAnsi" w:hAnsiTheme="minorHAnsi"/>
                <w:b/>
                <w:color w:val="1F4E79" w:themeColor="accent1" w:themeShade="80"/>
                <w:sz w:val="18"/>
                <w:szCs w:val="18"/>
              </w:rPr>
            </w:pPr>
            <w:r w:rsidRPr="00E822C3">
              <w:rPr>
                <w:rFonts w:asciiTheme="minorHAnsi" w:hAnsiTheme="minorHAnsi"/>
                <w:b/>
                <w:color w:val="1F4E79" w:themeColor="accent1" w:themeShade="80"/>
                <w:sz w:val="18"/>
                <w:szCs w:val="18"/>
              </w:rPr>
              <w:t>Schedule 3.1 – Supplier Solution – Test Strategy</w:t>
            </w:r>
          </w:p>
          <w:p w14:paraId="1F18DD39" w14:textId="77777777" w:rsidR="00437647" w:rsidRPr="00E822C3" w:rsidRDefault="00437647" w:rsidP="00437647">
            <w:pPr>
              <w:pStyle w:val="ListParagraph"/>
              <w:numPr>
                <w:ilvl w:val="0"/>
                <w:numId w:val="18"/>
              </w:numPr>
              <w:rPr>
                <w:b/>
                <w:sz w:val="18"/>
                <w:szCs w:val="18"/>
              </w:rPr>
            </w:pPr>
            <w:r w:rsidRPr="00E822C3">
              <w:rPr>
                <w:rFonts w:asciiTheme="minorHAnsi" w:hAnsiTheme="minorHAnsi"/>
                <w:b/>
                <w:color w:val="1F4E79" w:themeColor="accent1" w:themeShade="80"/>
                <w:sz w:val="18"/>
                <w:szCs w:val="18"/>
              </w:rPr>
              <w:t>Schedule 3.3 – Key Subcontractors</w:t>
            </w:r>
          </w:p>
          <w:p w14:paraId="17EB8B15" w14:textId="77777777" w:rsidR="00184C42" w:rsidRPr="00E822C3" w:rsidRDefault="00184C42" w:rsidP="00437647">
            <w:pPr>
              <w:pStyle w:val="ListParagraph"/>
              <w:numPr>
                <w:ilvl w:val="0"/>
                <w:numId w:val="18"/>
              </w:numPr>
              <w:rPr>
                <w:b/>
                <w:sz w:val="18"/>
                <w:szCs w:val="18"/>
              </w:rPr>
            </w:pPr>
            <w:r w:rsidRPr="00E822C3">
              <w:rPr>
                <w:rFonts w:asciiTheme="minorHAnsi" w:hAnsiTheme="minorHAnsi"/>
                <w:b/>
                <w:color w:val="1F4E79" w:themeColor="accent1" w:themeShade="80"/>
                <w:sz w:val="18"/>
                <w:szCs w:val="18"/>
              </w:rPr>
              <w:lastRenderedPageBreak/>
              <w:t>Schedule 3.4 – Key Personnel Appendix</w:t>
            </w:r>
          </w:p>
          <w:p w14:paraId="42436105" w14:textId="77777777" w:rsidR="00184C42" w:rsidRPr="00E822C3" w:rsidRDefault="00184C42" w:rsidP="00437647">
            <w:pPr>
              <w:pStyle w:val="ListParagraph"/>
              <w:numPr>
                <w:ilvl w:val="0"/>
                <w:numId w:val="18"/>
              </w:numPr>
              <w:rPr>
                <w:b/>
                <w:sz w:val="18"/>
                <w:szCs w:val="18"/>
              </w:rPr>
            </w:pPr>
            <w:r w:rsidRPr="00E822C3">
              <w:rPr>
                <w:rFonts w:asciiTheme="minorHAnsi" w:hAnsiTheme="minorHAnsi"/>
                <w:b/>
                <w:color w:val="1F4E79" w:themeColor="accent1" w:themeShade="80"/>
                <w:sz w:val="18"/>
                <w:szCs w:val="18"/>
              </w:rPr>
              <w:t>Schedule 4.1 – Implementation – Appendix 2 Implementation Plan and Project Plan</w:t>
            </w:r>
          </w:p>
          <w:p w14:paraId="2DEDE618" w14:textId="77777777" w:rsidR="00184C42" w:rsidRPr="00E822C3" w:rsidRDefault="00184C42" w:rsidP="00437647">
            <w:pPr>
              <w:pStyle w:val="ListParagraph"/>
              <w:numPr>
                <w:ilvl w:val="0"/>
                <w:numId w:val="18"/>
              </w:numPr>
              <w:rPr>
                <w:b/>
                <w:sz w:val="18"/>
                <w:szCs w:val="18"/>
              </w:rPr>
            </w:pPr>
            <w:r w:rsidRPr="00E822C3">
              <w:rPr>
                <w:rFonts w:asciiTheme="minorHAnsi" w:hAnsiTheme="minorHAnsi"/>
                <w:b/>
                <w:color w:val="1F4E79" w:themeColor="accent1" w:themeShade="80"/>
                <w:sz w:val="18"/>
                <w:szCs w:val="18"/>
              </w:rPr>
              <w:t xml:space="preserve">Schedule 4.1 – Implementation – Appendix 4 – </w:t>
            </w:r>
            <w:r w:rsidR="00E822C3" w:rsidRPr="00E822C3">
              <w:rPr>
                <w:rFonts w:asciiTheme="minorHAnsi" w:hAnsiTheme="minorHAnsi"/>
                <w:b/>
                <w:color w:val="1F4E79" w:themeColor="accent1" w:themeShade="80"/>
                <w:sz w:val="18"/>
                <w:szCs w:val="18"/>
              </w:rPr>
              <w:t>Survey Assumptions</w:t>
            </w:r>
          </w:p>
          <w:p w14:paraId="1AA0E211" w14:textId="77777777" w:rsidR="00E822C3" w:rsidRPr="007E6E50" w:rsidRDefault="00E822C3" w:rsidP="00437647">
            <w:pPr>
              <w:pStyle w:val="ListParagraph"/>
              <w:numPr>
                <w:ilvl w:val="0"/>
                <w:numId w:val="18"/>
              </w:numPr>
              <w:rPr>
                <w:b/>
                <w:sz w:val="18"/>
                <w:szCs w:val="18"/>
              </w:rPr>
            </w:pPr>
            <w:r w:rsidRPr="00E822C3">
              <w:rPr>
                <w:rFonts w:asciiTheme="minorHAnsi" w:hAnsiTheme="minorHAnsi"/>
                <w:b/>
                <w:color w:val="1F4E79" w:themeColor="accent1" w:themeShade="80"/>
                <w:sz w:val="18"/>
                <w:szCs w:val="18"/>
              </w:rPr>
              <w:t>Schedule 5.1 – Milestone Payments &amp; Claims Procedure – Appendix 1 – Milestone Payment table</w:t>
            </w:r>
          </w:p>
          <w:p w14:paraId="290D5442" w14:textId="77777777" w:rsidR="00184C42" w:rsidRPr="00437647" w:rsidRDefault="00184C42" w:rsidP="00E822C3">
            <w:pPr>
              <w:pStyle w:val="ListParagraph"/>
              <w:ind w:left="1440"/>
              <w:rPr>
                <w:sz w:val="18"/>
                <w:szCs w:val="18"/>
              </w:rPr>
            </w:pPr>
          </w:p>
        </w:tc>
        <w:tc>
          <w:tcPr>
            <w:tcW w:w="1365" w:type="dxa"/>
            <w:tcBorders>
              <w:bottom w:val="single" w:sz="8" w:space="0" w:color="A6A6A6"/>
              <w:right w:val="single" w:sz="8" w:space="0" w:color="A6A6A6"/>
            </w:tcBorders>
            <w:tcMar>
              <w:top w:w="100" w:type="dxa"/>
              <w:left w:w="100" w:type="dxa"/>
              <w:bottom w:w="100" w:type="dxa"/>
              <w:right w:w="100" w:type="dxa"/>
            </w:tcMar>
          </w:tcPr>
          <w:p w14:paraId="7F6636A6" w14:textId="77777777" w:rsidR="00437647" w:rsidRDefault="00437647" w:rsidP="00A468D9">
            <w:pPr>
              <w:pStyle w:val="Heading3"/>
              <w:keepNext w:val="0"/>
              <w:keepLines w:val="0"/>
              <w:spacing w:before="280" w:after="80" w:line="276" w:lineRule="auto"/>
              <w:ind w:left="431" w:firstLine="0"/>
              <w:jc w:val="center"/>
            </w:pPr>
          </w:p>
        </w:tc>
      </w:tr>
    </w:tbl>
    <w:tbl>
      <w:tblPr>
        <w:tblStyle w:val="af0"/>
        <w:tblW w:w="844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0"/>
        <w:gridCol w:w="1365"/>
      </w:tblGrid>
      <w:tr w:rsidR="00800096" w14:paraId="61108EB2"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0AF9E2C1" w14:textId="5357D57C" w:rsidR="00800096" w:rsidRDefault="00800096" w:rsidP="00A468D9">
            <w:pPr>
              <w:pStyle w:val="Heading3"/>
              <w:keepNext w:val="0"/>
              <w:keepLines w:val="0"/>
              <w:spacing w:before="280" w:after="80" w:line="276" w:lineRule="auto"/>
              <w:ind w:left="431" w:firstLine="0"/>
              <w:jc w:val="left"/>
            </w:pPr>
            <w:r>
              <w:rPr>
                <w:b/>
                <w:color w:val="1F497D"/>
                <w:sz w:val="18"/>
                <w:szCs w:val="18"/>
              </w:rPr>
              <w:t>Part 4: Financial Memoranda</w:t>
            </w:r>
          </w:p>
        </w:tc>
        <w:tc>
          <w:tcPr>
            <w:tcW w:w="1365" w:type="dxa"/>
            <w:tcBorders>
              <w:bottom w:val="single" w:sz="8" w:space="0" w:color="A6A6A6"/>
              <w:right w:val="single" w:sz="8" w:space="0" w:color="A6A6A6"/>
            </w:tcBorders>
            <w:tcMar>
              <w:top w:w="100" w:type="dxa"/>
              <w:left w:w="100" w:type="dxa"/>
              <w:bottom w:w="100" w:type="dxa"/>
              <w:right w:w="100" w:type="dxa"/>
            </w:tcMar>
          </w:tcPr>
          <w:p w14:paraId="2F7CC7FA" w14:textId="77777777" w:rsidR="00800096" w:rsidRDefault="00800096" w:rsidP="00A468D9">
            <w:pPr>
              <w:pStyle w:val="Heading3"/>
              <w:keepNext w:val="0"/>
              <w:keepLines w:val="0"/>
              <w:spacing w:before="280" w:after="80" w:line="276" w:lineRule="auto"/>
              <w:ind w:left="431" w:firstLine="0"/>
              <w:jc w:val="center"/>
            </w:pPr>
            <w:bookmarkStart w:id="123" w:name="h.t3yqnd1u66c4" w:colFirst="0" w:colLast="0"/>
            <w:bookmarkEnd w:id="123"/>
          </w:p>
        </w:tc>
      </w:tr>
      <w:tr w:rsidR="00800096" w14:paraId="32D51AD3"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533F2A70" w14:textId="6BA5E6F6" w:rsidR="00800096" w:rsidRDefault="00800096" w:rsidP="00A468D9">
            <w:pPr>
              <w:pStyle w:val="Heading3"/>
              <w:keepNext w:val="0"/>
              <w:keepLines w:val="0"/>
              <w:spacing w:before="280" w:after="80" w:line="276" w:lineRule="auto"/>
              <w:ind w:left="431" w:firstLine="0"/>
              <w:jc w:val="left"/>
            </w:pPr>
            <w:bookmarkStart w:id="124" w:name="h.op6z76yctueu" w:colFirst="0" w:colLast="0"/>
            <w:bookmarkEnd w:id="124"/>
            <w:r>
              <w:rPr>
                <w:b/>
                <w:color w:val="1F497D"/>
                <w:sz w:val="18"/>
                <w:szCs w:val="18"/>
              </w:rPr>
              <w:t>Part 4, Appendix 1: Bid Project Model [for each lot bid]</w:t>
            </w:r>
          </w:p>
        </w:tc>
        <w:tc>
          <w:tcPr>
            <w:tcW w:w="1365" w:type="dxa"/>
            <w:tcBorders>
              <w:bottom w:val="single" w:sz="8" w:space="0" w:color="A6A6A6"/>
              <w:right w:val="single" w:sz="8" w:space="0" w:color="A6A6A6"/>
            </w:tcBorders>
            <w:tcMar>
              <w:top w:w="100" w:type="dxa"/>
              <w:left w:w="100" w:type="dxa"/>
              <w:bottom w:w="100" w:type="dxa"/>
              <w:right w:w="100" w:type="dxa"/>
            </w:tcMar>
          </w:tcPr>
          <w:p w14:paraId="394BFA7B" w14:textId="77777777" w:rsidR="00800096" w:rsidRDefault="00800096" w:rsidP="00A468D9">
            <w:pPr>
              <w:pStyle w:val="Heading3"/>
              <w:keepNext w:val="0"/>
              <w:keepLines w:val="0"/>
              <w:spacing w:before="280" w:after="80" w:line="276" w:lineRule="auto"/>
              <w:ind w:left="431" w:firstLine="0"/>
              <w:jc w:val="center"/>
            </w:pPr>
            <w:bookmarkStart w:id="125" w:name="h.o0ybu2ovaqvv" w:colFirst="0" w:colLast="0"/>
            <w:bookmarkEnd w:id="125"/>
          </w:p>
        </w:tc>
      </w:tr>
      <w:tr w:rsidR="00800096" w14:paraId="02B2B108" w14:textId="77777777" w:rsidTr="00A468D9">
        <w:tc>
          <w:tcPr>
            <w:tcW w:w="7080" w:type="dxa"/>
            <w:tcBorders>
              <w:left w:val="single" w:sz="8" w:space="0" w:color="A6A6A6"/>
              <w:bottom w:val="single" w:sz="8" w:space="0" w:color="A6A6A6"/>
              <w:right w:val="single" w:sz="8" w:space="0" w:color="A6A6A6"/>
            </w:tcBorders>
            <w:tcMar>
              <w:top w:w="100" w:type="dxa"/>
              <w:left w:w="100" w:type="dxa"/>
              <w:bottom w:w="100" w:type="dxa"/>
              <w:right w:w="100" w:type="dxa"/>
            </w:tcMar>
          </w:tcPr>
          <w:p w14:paraId="3472D7D6" w14:textId="5CA8E556" w:rsidR="00800096" w:rsidRDefault="00800096" w:rsidP="00A468D9">
            <w:pPr>
              <w:pStyle w:val="Heading3"/>
              <w:keepNext w:val="0"/>
              <w:keepLines w:val="0"/>
              <w:spacing w:before="280" w:after="80" w:line="276" w:lineRule="auto"/>
              <w:ind w:left="431" w:firstLine="0"/>
              <w:jc w:val="left"/>
            </w:pPr>
            <w:bookmarkStart w:id="126" w:name="h.bni53030df3o" w:colFirst="0" w:colLast="0"/>
            <w:bookmarkEnd w:id="126"/>
            <w:r>
              <w:rPr>
                <w:b/>
                <w:color w:val="1F497D"/>
                <w:sz w:val="18"/>
                <w:szCs w:val="18"/>
              </w:rPr>
              <w:t>Part 4, Appendix 2: Statement of Assurance</w:t>
            </w:r>
            <w:r w:rsidR="00437647">
              <w:rPr>
                <w:b/>
                <w:color w:val="1F497D"/>
                <w:sz w:val="18"/>
                <w:szCs w:val="18"/>
              </w:rPr>
              <w:t xml:space="preserve"> [for each lot bid]</w:t>
            </w:r>
          </w:p>
        </w:tc>
        <w:tc>
          <w:tcPr>
            <w:tcW w:w="1365" w:type="dxa"/>
            <w:tcBorders>
              <w:bottom w:val="single" w:sz="8" w:space="0" w:color="A6A6A6"/>
              <w:right w:val="single" w:sz="8" w:space="0" w:color="A6A6A6"/>
            </w:tcBorders>
            <w:tcMar>
              <w:top w:w="100" w:type="dxa"/>
              <w:left w:w="100" w:type="dxa"/>
              <w:bottom w:w="100" w:type="dxa"/>
              <w:right w:w="100" w:type="dxa"/>
            </w:tcMar>
          </w:tcPr>
          <w:p w14:paraId="34CEF5A6" w14:textId="77777777" w:rsidR="00800096" w:rsidRDefault="00800096" w:rsidP="00A468D9">
            <w:pPr>
              <w:pStyle w:val="Heading3"/>
              <w:keepNext w:val="0"/>
              <w:keepLines w:val="0"/>
              <w:spacing w:before="280" w:after="80" w:line="276" w:lineRule="auto"/>
              <w:ind w:left="431" w:firstLine="0"/>
              <w:jc w:val="center"/>
            </w:pPr>
            <w:bookmarkStart w:id="127" w:name="h.7zdk0cvpgott" w:colFirst="0" w:colLast="0"/>
            <w:bookmarkEnd w:id="127"/>
          </w:p>
        </w:tc>
      </w:tr>
    </w:tbl>
    <w:p w14:paraId="02EBE038" w14:textId="77777777" w:rsidR="00656438" w:rsidRDefault="00656438">
      <w:pPr>
        <w:ind w:left="431"/>
        <w:jc w:val="left"/>
      </w:pPr>
      <w:bookmarkStart w:id="128" w:name="h.wb990m3bf77x" w:colFirst="0" w:colLast="0"/>
      <w:bookmarkStart w:id="129" w:name="h.lzg7kxajb3" w:colFirst="0" w:colLast="0"/>
      <w:bookmarkStart w:id="130" w:name="h.1x0gk37" w:colFirst="0" w:colLast="0"/>
      <w:bookmarkEnd w:id="128"/>
      <w:bookmarkEnd w:id="129"/>
      <w:bookmarkEnd w:id="130"/>
    </w:p>
    <w:p w14:paraId="2E0568C3" w14:textId="77777777" w:rsidR="00656438" w:rsidRDefault="00656438"/>
    <w:sectPr w:rsidR="00656438" w:rsidSect="00187D29">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0E35" w14:textId="77777777" w:rsidR="00292EF8" w:rsidRDefault="00292EF8">
      <w:pPr>
        <w:spacing w:after="0" w:line="240" w:lineRule="auto"/>
      </w:pPr>
      <w:r>
        <w:separator/>
      </w:r>
    </w:p>
    <w:p w14:paraId="019AE60B" w14:textId="77777777" w:rsidR="00292EF8" w:rsidRDefault="00292EF8"/>
  </w:endnote>
  <w:endnote w:type="continuationSeparator" w:id="0">
    <w:p w14:paraId="47AD4D81" w14:textId="77777777" w:rsidR="00292EF8" w:rsidRDefault="00292EF8">
      <w:pPr>
        <w:spacing w:after="0" w:line="240" w:lineRule="auto"/>
      </w:pPr>
      <w:r>
        <w:continuationSeparator/>
      </w:r>
    </w:p>
    <w:p w14:paraId="5E8319F4" w14:textId="77777777" w:rsidR="00292EF8" w:rsidRDefault="00292EF8"/>
  </w:endnote>
  <w:endnote w:type="continuationNotice" w:id="1">
    <w:p w14:paraId="76F04654" w14:textId="77777777" w:rsidR="00292EF8" w:rsidRDefault="00292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33A9" w14:textId="7E455CE6" w:rsidR="00803075" w:rsidRDefault="00803075">
    <w:pPr>
      <w:tabs>
        <w:tab w:val="center" w:pos="0"/>
        <w:tab w:val="center" w:pos="5956"/>
        <w:tab w:val="right" w:pos="9752"/>
      </w:tabs>
      <w:spacing w:after="709"/>
      <w:jc w:val="right"/>
    </w:pPr>
    <w:r>
      <w:rPr>
        <w:rFonts w:ascii="Calibri" w:eastAsia="Calibri" w:hAnsi="Calibri" w:cs="Calibri"/>
        <w:color w:val="A6A6A6"/>
      </w:rPr>
      <w:t>BDUK OJEU Part 2 Template V3.</w:t>
    </w:r>
    <w:r w:rsidR="008E0A69">
      <w:rPr>
        <w:rFonts w:ascii="Calibri" w:eastAsia="Calibri" w:hAnsi="Calibri" w:cs="Calibri"/>
        <w:color w:val="A6A6A6"/>
      </w:rPr>
      <w:t>2</w:t>
    </w:r>
    <w:r>
      <w:rPr>
        <w:rFonts w:ascii="Calibri" w:eastAsia="Calibri" w:hAnsi="Calibri" w:cs="Calibri"/>
        <w:color w:val="A6A6A6"/>
      </w:rPr>
      <w:t>a</w:t>
    </w:r>
    <w:r>
      <w:rPr>
        <w:rFonts w:ascii="Calibri" w:eastAsia="Calibri" w:hAnsi="Calibri" w:cs="Calibri"/>
        <w:color w:val="A6A6A6"/>
      </w:rPr>
      <w:tab/>
    </w:r>
    <w:r>
      <w:rPr>
        <w:rFonts w:ascii="Calibri" w:eastAsia="Calibri" w:hAnsi="Calibri" w:cs="Calibri"/>
        <w:color w:val="A6A6A6"/>
      </w:rPr>
      <w:tab/>
    </w:r>
    <w:r>
      <w:fldChar w:fldCharType="begin"/>
    </w:r>
    <w:r>
      <w:instrText>PAGE</w:instrText>
    </w:r>
    <w:r>
      <w:fldChar w:fldCharType="separate"/>
    </w:r>
    <w:r w:rsidR="00885B9F">
      <w:rPr>
        <w:noProof/>
      </w:rPr>
      <w:t>20</w:t>
    </w:r>
    <w:r>
      <w:fldChar w:fldCharType="end"/>
    </w:r>
  </w:p>
  <w:p w14:paraId="19DEC5A8" w14:textId="77777777" w:rsidR="00803075" w:rsidRDefault="008030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DE9F" w14:textId="77777777" w:rsidR="00803075" w:rsidRDefault="00803075">
    <w:pPr>
      <w:tabs>
        <w:tab w:val="center" w:pos="0"/>
      </w:tabs>
      <w:spacing w:after="7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4EF9A" w14:textId="77777777" w:rsidR="00292EF8" w:rsidRDefault="00292EF8">
      <w:pPr>
        <w:spacing w:after="0" w:line="240" w:lineRule="auto"/>
      </w:pPr>
      <w:r>
        <w:separator/>
      </w:r>
    </w:p>
    <w:p w14:paraId="1B68AEBB" w14:textId="77777777" w:rsidR="00292EF8" w:rsidRDefault="00292EF8"/>
  </w:footnote>
  <w:footnote w:type="continuationSeparator" w:id="0">
    <w:p w14:paraId="2415A00B" w14:textId="77777777" w:rsidR="00292EF8" w:rsidRDefault="00292EF8">
      <w:pPr>
        <w:spacing w:after="0" w:line="240" w:lineRule="auto"/>
      </w:pPr>
      <w:r>
        <w:continuationSeparator/>
      </w:r>
    </w:p>
    <w:p w14:paraId="6CA986A8" w14:textId="77777777" w:rsidR="00292EF8" w:rsidRDefault="00292EF8"/>
  </w:footnote>
  <w:footnote w:type="continuationNotice" w:id="1">
    <w:p w14:paraId="14430ECA" w14:textId="77777777" w:rsidR="00292EF8" w:rsidRDefault="00292EF8">
      <w:pPr>
        <w:spacing w:after="0" w:line="240" w:lineRule="auto"/>
      </w:pPr>
    </w:p>
  </w:footnote>
  <w:footnote w:id="2">
    <w:p w14:paraId="7A6E93A9" w14:textId="5FB913D1" w:rsidR="00803075" w:rsidRDefault="00803075">
      <w:r>
        <w:rPr>
          <w:vertAlign w:val="superscript"/>
        </w:rPr>
        <w:footnoteRef/>
      </w:r>
      <w:r>
        <w:rPr>
          <w:rFonts w:ascii="Calibri" w:eastAsia="Calibri" w:hAnsi="Calibri" w:cs="Calibri"/>
          <w:color w:val="FF0000"/>
          <w:sz w:val="16"/>
          <w:szCs w:val="16"/>
        </w:rPr>
        <w:t xml:space="preserve"> </w:t>
      </w:r>
      <w:r w:rsidRPr="001832B3">
        <w:rPr>
          <w:rFonts w:ascii="Calibri" w:eastAsia="Calibri" w:hAnsi="Calibri" w:cs="Calibri"/>
          <w:color w:val="FF0000"/>
          <w:sz w:val="16"/>
          <w:szCs w:val="16"/>
        </w:rPr>
        <w:t>Throughout this and other ITT template documents, where a section is not used by a specific Local Body, it is recommended that that the section title and numbering is left un-amended, but the section text is replaced with a note to Bidders such as 'section not applicable'.  This will, amongst other practical benefits, help to avoid a more widespread exercise in updating cross-references across the ITT documents etc.</w:t>
      </w:r>
    </w:p>
  </w:footnote>
  <w:footnote w:id="3">
    <w:p w14:paraId="7F23ABFB" w14:textId="77777777" w:rsidR="00803075" w:rsidRDefault="00803075">
      <w:r>
        <w:rPr>
          <w:vertAlign w:val="superscript"/>
        </w:rPr>
        <w:footnoteRef/>
      </w:r>
      <w:r>
        <w:rPr>
          <w:rFonts w:ascii="Calibri" w:eastAsia="Calibri" w:hAnsi="Calibri" w:cs="Calibri"/>
          <w:color w:val="FF0000"/>
          <w:sz w:val="16"/>
          <w:szCs w:val="16"/>
        </w:rPr>
        <w:t xml:space="preserve">  As with other square bracketed sections, sample wording is included in this Template by way of a general guide to population but this must be amended and tailored to show the specific Local Body’s circumstances, requirements etc.</w:t>
      </w:r>
    </w:p>
  </w:footnote>
  <w:footnote w:id="4">
    <w:p w14:paraId="1689CA7A" w14:textId="5436FB3F" w:rsidR="00803075" w:rsidRDefault="00803075" w:rsidP="00323655">
      <w:pPr>
        <w:spacing w:after="0"/>
      </w:pPr>
      <w:r>
        <w:rPr>
          <w:vertAlign w:val="superscript"/>
        </w:rPr>
        <w:footnoteRef/>
      </w:r>
      <w:r>
        <w:rPr>
          <w:rFonts w:ascii="Calibri" w:eastAsia="Calibri" w:hAnsi="Calibri" w:cs="Calibri"/>
          <w:color w:val="FF0000"/>
          <w:sz w:val="16"/>
          <w:szCs w:val="16"/>
        </w:rPr>
        <w:t xml:space="preserve"> The Local Body should amend this section to reflect its own locally developed strategy and requirements. The Local Body should, for relevant information, refer back to the BDUK delivery/funding model template, which it will have been completed as part of its early market engagement.</w:t>
      </w:r>
    </w:p>
  </w:footnote>
  <w:footnote w:id="5">
    <w:p w14:paraId="71CC4A1B" w14:textId="4C6DA04E" w:rsidR="00803075" w:rsidRPr="00323655" w:rsidRDefault="00803075">
      <w:pPr>
        <w:pStyle w:val="FootnoteText"/>
      </w:pPr>
      <w:r>
        <w:rPr>
          <w:rStyle w:val="FootnoteReference"/>
        </w:rPr>
        <w:footnoteRef/>
      </w:r>
      <w:r>
        <w:t xml:space="preserve"> </w:t>
      </w:r>
      <w:r w:rsidRPr="00323655">
        <w:rPr>
          <w:rFonts w:ascii="Calibri" w:eastAsia="Calibri" w:hAnsi="Calibri" w:cs="Calibri"/>
          <w:color w:val="FF0000"/>
          <w:sz w:val="16"/>
          <w:szCs w:val="16"/>
        </w:rPr>
        <w:t>The Local Body will need to adapt the ITT documents where a differing commercial model is being used.</w:t>
      </w:r>
    </w:p>
  </w:footnote>
  <w:footnote w:id="6">
    <w:p w14:paraId="3F295B66" w14:textId="7FFF8C37" w:rsidR="00803075" w:rsidRDefault="00803075">
      <w:r>
        <w:rPr>
          <w:vertAlign w:val="superscript"/>
        </w:rPr>
        <w:footnoteRef/>
      </w:r>
      <w:r>
        <w:rPr>
          <w:rFonts w:ascii="Calibri" w:eastAsia="Calibri" w:hAnsi="Calibri" w:cs="Calibri"/>
          <w:color w:val="FF0000"/>
          <w:sz w:val="16"/>
          <w:szCs w:val="16"/>
        </w:rPr>
        <w:t xml:space="preserve"> Text in this section is indicative only and should be changed to reflect local objectives and circumstances.</w:t>
      </w:r>
    </w:p>
  </w:footnote>
  <w:footnote w:id="7">
    <w:p w14:paraId="30A430EC" w14:textId="77777777" w:rsidR="00803075" w:rsidRDefault="00803075">
      <w:pPr>
        <w:spacing w:after="0" w:line="240" w:lineRule="auto"/>
      </w:pPr>
      <w:r>
        <w:rPr>
          <w:vertAlign w:val="superscript"/>
        </w:rPr>
        <w:footnoteRef/>
      </w:r>
      <w:r>
        <w:rPr>
          <w:sz w:val="20"/>
          <w:szCs w:val="20"/>
        </w:rPr>
        <w:t xml:space="preserve"> </w:t>
      </w:r>
      <w:r>
        <w:rPr>
          <w:rFonts w:ascii="Calibri" w:eastAsia="Calibri" w:hAnsi="Calibri" w:cs="Calibri"/>
          <w:color w:val="FF0000"/>
          <w:sz w:val="16"/>
          <w:szCs w:val="16"/>
        </w:rPr>
        <w:t>The purpose of the section is to give an overview of the geography of the area covered by the project. This should include the number of residential and business premises in the geographical area.</w:t>
      </w:r>
    </w:p>
  </w:footnote>
  <w:footnote w:id="8">
    <w:p w14:paraId="25F5918C" w14:textId="77777777" w:rsidR="00803075" w:rsidRDefault="00803075">
      <w:pPr>
        <w:spacing w:after="0" w:line="240" w:lineRule="auto"/>
      </w:pPr>
      <w:r>
        <w:rPr>
          <w:vertAlign w:val="superscript"/>
        </w:rPr>
        <w:footnoteRef/>
      </w:r>
      <w:r>
        <w:rPr>
          <w:color w:val="FF0000"/>
          <w:sz w:val="16"/>
          <w:szCs w:val="16"/>
        </w:rPr>
        <w:t xml:space="preserve"> </w:t>
      </w:r>
      <w:r>
        <w:rPr>
          <w:rFonts w:ascii="Calibri" w:eastAsia="Calibri" w:hAnsi="Calibri" w:cs="Calibri"/>
          <w:color w:val="FF0000"/>
          <w:sz w:val="16"/>
          <w:szCs w:val="16"/>
        </w:rPr>
        <w:t>Local Body should describe their Lotting strategy here if applicable. If unsure of how to proceed with lotting please contact BDUK for further guidance. If no Lotting strategy is being used if agreed with BDUK, then this paragraph 1.5 can be deleted.</w:t>
      </w:r>
    </w:p>
  </w:footnote>
  <w:footnote w:id="9">
    <w:p w14:paraId="58DD6A18" w14:textId="6D0E5A27" w:rsidR="00803075" w:rsidRDefault="00803075">
      <w:r>
        <w:rPr>
          <w:vertAlign w:val="superscript"/>
        </w:rPr>
        <w:footnoteRef/>
      </w:r>
      <w:r>
        <w:rPr>
          <w:rFonts w:ascii="Calibri" w:eastAsia="Calibri" w:hAnsi="Calibri" w:cs="Calibri"/>
          <w:color w:val="FF0000"/>
          <w:sz w:val="16"/>
          <w:szCs w:val="16"/>
        </w:rPr>
        <w:t xml:space="preserve"> The purpose of this section is to highlight activity which is planned or has already occurred that will be of commercial interest to the supplier i.e. it will add to the attractiveness of bidding. Examples are: demand registration and demand stimulation activity, evidence of commercial interest from businesses including reasons / business requirements, other public organisations such as schools and interest from communities. In this section a Local Body should also signpost where the detailed evidence supporting each activity can be found (generally, the Data Room).</w:t>
      </w:r>
    </w:p>
  </w:footnote>
  <w:footnote w:id="10">
    <w:p w14:paraId="413C0A70" w14:textId="6DD517D4" w:rsidR="00803075" w:rsidRDefault="00803075">
      <w:r>
        <w:rPr>
          <w:vertAlign w:val="superscript"/>
        </w:rPr>
        <w:footnoteRef/>
      </w:r>
      <w:r>
        <w:rPr>
          <w:rFonts w:ascii="Calibri" w:eastAsia="Calibri" w:hAnsi="Calibri" w:cs="Calibri"/>
          <w:color w:val="FF0000"/>
          <w:sz w:val="16"/>
          <w:szCs w:val="16"/>
        </w:rPr>
        <w:t xml:space="preserve"> Certain elements of this 'Requirements' section are specifically included to support State aid compliance.  In particular, care must be taken to ensure compatibility with both the 2016 Commission Decision and 2013 Broadband Guidelines (e.g. the use of NGA and the definitions such as NGA Networks when discussing Intervention areas and requirements around outcomes). This section should also be updated to clarify whether the Local Body has any business, community or other target requirements.</w:t>
      </w:r>
    </w:p>
  </w:footnote>
  <w:footnote w:id="11">
    <w:p w14:paraId="7FC2CF6F" w14:textId="010980AC" w:rsidR="00803075" w:rsidRDefault="00803075">
      <w:pPr>
        <w:pStyle w:val="FootnoteText"/>
      </w:pPr>
      <w:r>
        <w:rPr>
          <w:rStyle w:val="FootnoteReference"/>
        </w:rPr>
        <w:footnoteRef/>
      </w:r>
      <w:r w:rsidRPr="00803075">
        <w:rPr>
          <w:rFonts w:asciiTheme="minorHAnsi" w:hAnsiTheme="minorHAnsi" w:cstheme="minorHAnsi"/>
          <w:color w:val="FF0000"/>
          <w:sz w:val="16"/>
          <w:szCs w:val="16"/>
        </w:rPr>
        <w:t>https://assets.publishing.service.gov.uk/government/uploads/system/uploads/attachment_data/file/732496/Future_Telecoms_Infrastructure_Review.pdf</w:t>
      </w:r>
    </w:p>
  </w:footnote>
  <w:footnote w:id="12">
    <w:p w14:paraId="5B76EC39" w14:textId="7D724324" w:rsidR="00803075" w:rsidRDefault="00803075">
      <w:r>
        <w:rPr>
          <w:vertAlign w:val="superscript"/>
        </w:rPr>
        <w:footnoteRef/>
      </w:r>
      <w:r>
        <w:rPr>
          <w:rFonts w:ascii="Calibri" w:eastAsia="Calibri" w:hAnsi="Calibri" w:cs="Calibri"/>
          <w:color w:val="FF0000"/>
          <w:sz w:val="16"/>
          <w:szCs w:val="16"/>
        </w:rPr>
        <w:t xml:space="preserve"> This section promotes faster speeds and places an emphasis on gigabit capable solutions. Local bodies will need to consider their requirements carefully in terms of budget available being mindful of current Government policies. </w:t>
      </w:r>
    </w:p>
  </w:footnote>
  <w:footnote w:id="13">
    <w:p w14:paraId="7C513599" w14:textId="5E02AF53" w:rsidR="00803075" w:rsidRDefault="00803075">
      <w:r>
        <w:rPr>
          <w:vertAlign w:val="superscript"/>
        </w:rPr>
        <w:footnoteRef/>
      </w:r>
      <w:r>
        <w:rPr>
          <w:rFonts w:ascii="Calibri" w:eastAsia="Calibri" w:hAnsi="Calibri" w:cs="Calibri"/>
          <w:color w:val="FF0000"/>
          <w:sz w:val="16"/>
          <w:szCs w:val="16"/>
        </w:rPr>
        <w:t xml:space="preserve"> </w:t>
      </w:r>
      <w:r w:rsidRPr="00F244D6">
        <w:rPr>
          <w:rFonts w:ascii="Calibri" w:eastAsia="Calibri" w:hAnsi="Calibri" w:cs="Calibri"/>
          <w:color w:val="FF0000"/>
          <w:sz w:val="16"/>
          <w:szCs w:val="16"/>
        </w:rPr>
        <w:t xml:space="preserve">The purpose of the section is to identify any additional Local Body priorities not already dealt with above: e.g. an enterprise zone which requires a minimum access line speed and should be prioritised during build in order to support achievement of GVA targets.  Additional priorities may constrain the Bidder’s ability to provide the most economically viable solutions, so the Local Body should ensure any additional priorities are key to the achievement of the Project’s aims.  There is no requirement to have any additional priorities. BDUK invites Local </w:t>
      </w:r>
      <w:r>
        <w:rPr>
          <w:rFonts w:ascii="Calibri" w:eastAsia="Calibri" w:hAnsi="Calibri" w:cs="Calibri"/>
          <w:color w:val="FF0000"/>
          <w:sz w:val="16"/>
          <w:szCs w:val="16"/>
        </w:rPr>
        <w:t>Bod</w:t>
      </w:r>
      <w:r w:rsidRPr="00F244D6">
        <w:rPr>
          <w:rFonts w:ascii="Calibri" w:eastAsia="Calibri" w:hAnsi="Calibri" w:cs="Calibri"/>
          <w:color w:val="FF0000"/>
          <w:sz w:val="16"/>
          <w:szCs w:val="16"/>
        </w:rPr>
        <w:t xml:space="preserve">ies to avoid setting additional priorities which are too rigid or restrictive. If additional priorities are included in the ITT, BDUK advises Local </w:t>
      </w:r>
      <w:r>
        <w:rPr>
          <w:rFonts w:ascii="Calibri" w:eastAsia="Calibri" w:hAnsi="Calibri" w:cs="Calibri"/>
          <w:color w:val="FF0000"/>
          <w:sz w:val="16"/>
          <w:szCs w:val="16"/>
        </w:rPr>
        <w:t>Bod</w:t>
      </w:r>
      <w:r w:rsidRPr="00F244D6">
        <w:rPr>
          <w:rFonts w:ascii="Calibri" w:eastAsia="Calibri" w:hAnsi="Calibri" w:cs="Calibri"/>
          <w:color w:val="FF0000"/>
          <w:sz w:val="16"/>
          <w:szCs w:val="16"/>
        </w:rPr>
        <w:t>ies to set them as a preference rather than a constraint, and retain the ability to evaluate the extent to which these areas are addressed in the implementation plan.</w:t>
      </w:r>
    </w:p>
  </w:footnote>
  <w:footnote w:id="14">
    <w:p w14:paraId="52822831" w14:textId="7CEECC60" w:rsidR="00803075" w:rsidRDefault="00803075">
      <w:r>
        <w:rPr>
          <w:vertAlign w:val="superscript"/>
        </w:rPr>
        <w:footnoteRef/>
      </w:r>
      <w:r>
        <w:rPr>
          <w:rFonts w:ascii="Calibri" w:eastAsia="Calibri" w:hAnsi="Calibri" w:cs="Calibri"/>
          <w:color w:val="FF0000"/>
          <w:sz w:val="16"/>
          <w:szCs w:val="16"/>
        </w:rPr>
        <w:t xml:space="preserve"> Where no Local Body assets are to be made available for reuse, the first statement should be used. </w:t>
      </w:r>
      <w:r w:rsidRPr="00F244D6">
        <w:rPr>
          <w:rFonts w:ascii="Calibri" w:eastAsia="Calibri" w:hAnsi="Calibri" w:cs="Calibri"/>
          <w:color w:val="FF0000"/>
          <w:sz w:val="16"/>
          <w:szCs w:val="16"/>
        </w:rPr>
        <w:t>B.2.1.2 in Appendix 2</w:t>
      </w:r>
      <w:r>
        <w:rPr>
          <w:rFonts w:ascii="Calibri" w:eastAsia="Calibri" w:hAnsi="Calibri" w:cs="Calibri"/>
          <w:color w:val="FF0000"/>
          <w:sz w:val="16"/>
          <w:szCs w:val="16"/>
        </w:rPr>
        <w:t xml:space="preserve"> should also be amended to reflect the specific circumstances. The text provided in this section is indicative only and should be adapted to reflect local circumstances.</w:t>
      </w:r>
    </w:p>
  </w:footnote>
  <w:footnote w:id="15">
    <w:p w14:paraId="664CB225" w14:textId="2EC875CA" w:rsidR="00803075" w:rsidRDefault="00803075">
      <w:r>
        <w:rPr>
          <w:vertAlign w:val="superscript"/>
        </w:rPr>
        <w:footnoteRef/>
      </w:r>
      <w:r>
        <w:rPr>
          <w:rFonts w:ascii="Calibri" w:eastAsia="Calibri" w:hAnsi="Calibri" w:cs="Calibri"/>
          <w:color w:val="FF0000"/>
          <w:sz w:val="16"/>
          <w:szCs w:val="16"/>
        </w:rPr>
        <w:t xml:space="preserve"> If there are community projects which are to be included in scope of the Contract at the outset, this section should be amended accordingly (summarising the requirements and signposting any detailed requirements in the Data Room).</w:t>
      </w:r>
    </w:p>
  </w:footnote>
  <w:footnote w:id="16">
    <w:p w14:paraId="275B272F" w14:textId="77777777" w:rsidR="00803075" w:rsidRDefault="00803075">
      <w:r>
        <w:rPr>
          <w:vertAlign w:val="superscript"/>
        </w:rPr>
        <w:footnoteRef/>
      </w:r>
      <w:r>
        <w:rPr>
          <w:rFonts w:ascii="Calibri" w:eastAsia="Calibri" w:hAnsi="Calibri" w:cs="Calibri"/>
          <w:color w:val="FF0000"/>
          <w:sz w:val="16"/>
          <w:szCs w:val="16"/>
        </w:rPr>
        <w:t xml:space="preserve"> The drafting in this section assumes a gap funding model has been selected as a result of your early market engagement and specific preferences. If another funding model has been selected the drafting in this section will need to be updated accordingly </w:t>
      </w:r>
    </w:p>
  </w:footnote>
  <w:footnote w:id="17">
    <w:p w14:paraId="6EFB0592" w14:textId="77777777" w:rsidR="00803075" w:rsidRDefault="00803075">
      <w:r>
        <w:rPr>
          <w:vertAlign w:val="superscript"/>
        </w:rPr>
        <w:footnoteRef/>
      </w:r>
      <w:r>
        <w:rPr>
          <w:rFonts w:ascii="Calibri" w:eastAsia="Calibri" w:hAnsi="Calibri" w:cs="Calibri"/>
          <w:color w:val="FF0000"/>
          <w:sz w:val="16"/>
          <w:szCs w:val="16"/>
          <w:vertAlign w:val="superscript"/>
        </w:rPr>
        <w:t xml:space="preserve"> </w:t>
      </w:r>
      <w:r>
        <w:rPr>
          <w:rFonts w:ascii="Calibri" w:eastAsia="Calibri" w:hAnsi="Calibri" w:cs="Calibri"/>
          <w:color w:val="FF0000"/>
          <w:sz w:val="16"/>
          <w:szCs w:val="16"/>
        </w:rPr>
        <w:t>The table should separately identify any revenue funding allocated by the Local Body specifically in relation to marketing.</w:t>
      </w:r>
    </w:p>
  </w:footnote>
  <w:footnote w:id="18">
    <w:p w14:paraId="2F11A787" w14:textId="77777777" w:rsidR="00803075" w:rsidRDefault="00803075">
      <w:r>
        <w:rPr>
          <w:vertAlign w:val="superscript"/>
        </w:rPr>
        <w:footnoteRef/>
      </w:r>
      <w:r>
        <w:rPr>
          <w:rFonts w:ascii="Calibri" w:eastAsia="Calibri" w:hAnsi="Calibri" w:cs="Calibri"/>
          <w:color w:val="FF0000"/>
          <w:sz w:val="16"/>
          <w:szCs w:val="16"/>
        </w:rPr>
        <w:t xml:space="preserve"> At the point of publishing the ITT, the status of this funding should be indicated (e.g. if pending approval and, if appropriate, what approval is dependent on).</w:t>
      </w:r>
    </w:p>
  </w:footnote>
  <w:footnote w:id="19">
    <w:p w14:paraId="5354B8B0" w14:textId="1B69F66C" w:rsidR="00803075" w:rsidRDefault="00803075">
      <w:r>
        <w:rPr>
          <w:vertAlign w:val="superscript"/>
        </w:rPr>
        <w:footnoteRef/>
      </w:r>
      <w:r>
        <w:rPr>
          <w:rFonts w:ascii="Calibri" w:eastAsia="Calibri" w:hAnsi="Calibri" w:cs="Calibri"/>
          <w:color w:val="FF0000"/>
          <w:sz w:val="16"/>
          <w:szCs w:val="16"/>
        </w:rPr>
        <w:t xml:space="preserve"> Use this column to identify any key restrictions or requirements on the funding e.g. expiry date of funds, last date to apply for the funding – this may have contractual application, so the column should be properly completed. Also explain where Bidders can find the full terms and conditions relating to the funding e.g. for ERDF refer the Bidders to Schedule 5.5 of the Contract and the Data Room for full requirements of the other funds.</w:t>
      </w:r>
    </w:p>
  </w:footnote>
  <w:footnote w:id="20">
    <w:p w14:paraId="743E1F30" w14:textId="05D11925" w:rsidR="00803075" w:rsidRDefault="00803075">
      <w:r>
        <w:rPr>
          <w:vertAlign w:val="superscript"/>
        </w:rPr>
        <w:footnoteRef/>
      </w:r>
      <w:r>
        <w:rPr>
          <w:rFonts w:ascii="Calibri" w:eastAsia="Calibri" w:hAnsi="Calibri" w:cs="Calibri"/>
          <w:color w:val="FF0000"/>
          <w:sz w:val="16"/>
          <w:szCs w:val="16"/>
        </w:rPr>
        <w:t xml:space="preserve"> This table should be removed if Lots are not applicable and replaced with ‘not used’.</w:t>
      </w:r>
    </w:p>
  </w:footnote>
  <w:footnote w:id="21">
    <w:p w14:paraId="0E3F59D2" w14:textId="6A5CD12A" w:rsidR="00803075" w:rsidRDefault="00803075">
      <w:pPr>
        <w:spacing w:after="0" w:line="240" w:lineRule="auto"/>
      </w:pPr>
      <w:r>
        <w:rPr>
          <w:vertAlign w:val="superscript"/>
        </w:rPr>
        <w:footnoteRef/>
      </w:r>
      <w:r>
        <w:rPr>
          <w:rFonts w:ascii="Calibri" w:eastAsia="Calibri" w:hAnsi="Calibri" w:cs="Calibri"/>
          <w:color w:val="FF0000"/>
          <w:sz w:val="16"/>
          <w:szCs w:val="16"/>
        </w:rPr>
        <w:t xml:space="preserve"> If the Local Body intends to include a contingency sum on a Lot by Lot basis it should be included in the total funding column and explicitly identified to Bidders.</w:t>
      </w:r>
    </w:p>
    <w:p w14:paraId="2F6577A0" w14:textId="77777777" w:rsidR="00803075" w:rsidRDefault="00803075">
      <w:pPr>
        <w:spacing w:after="0" w:line="240" w:lineRule="auto"/>
      </w:pPr>
    </w:p>
  </w:footnote>
  <w:footnote w:id="22">
    <w:p w14:paraId="62AB00A7" w14:textId="3C97B940" w:rsidR="00803075" w:rsidRDefault="00803075">
      <w:r>
        <w:rPr>
          <w:vertAlign w:val="superscript"/>
        </w:rPr>
        <w:footnoteRef/>
      </w:r>
      <w:r>
        <w:rPr>
          <w:rFonts w:ascii="Calibri" w:eastAsia="Calibri" w:hAnsi="Calibri" w:cs="Calibri"/>
          <w:color w:val="FF0000"/>
          <w:sz w:val="16"/>
          <w:szCs w:val="16"/>
        </w:rPr>
        <w:t xml:space="preserve"> Additional funding comprises funding which the Authority could bring into the Contract if certain conditions arise. Additional funding could be introduced in different scenarios. Examples include: (i) when the Bidder could identify additional cost-effective premises which could be included in the scope of the contract (e.g. with reference to the UK average public subsidy per premise to reach the 95% policy target); (ii) when the supplier could increase coverage introducing new solution components. When an additional funding scenario arises during the term the Contract, at the Local Body's request this would be addressed through the Change Control Procedure under the Contract.  </w:t>
      </w:r>
    </w:p>
  </w:footnote>
  <w:footnote w:id="23">
    <w:p w14:paraId="5544E41A" w14:textId="77777777" w:rsidR="00803075" w:rsidRDefault="00803075">
      <w:r>
        <w:rPr>
          <w:vertAlign w:val="superscript"/>
        </w:rPr>
        <w:footnoteRef/>
      </w:r>
      <w:r>
        <w:rPr>
          <w:rFonts w:ascii="Calibri" w:eastAsia="Calibri" w:hAnsi="Calibri" w:cs="Calibri"/>
          <w:color w:val="FF0000"/>
          <w:sz w:val="16"/>
          <w:szCs w:val="16"/>
        </w:rPr>
        <w:t xml:space="preserve"> At the point of publishing the ITT, the status of this funding should be indicated (e.g. if pending approval and, if appropriate, what approval is dependent on).</w:t>
      </w:r>
    </w:p>
  </w:footnote>
  <w:footnote w:id="24">
    <w:p w14:paraId="4EEFA6B1" w14:textId="77777777" w:rsidR="00803075" w:rsidRDefault="00803075">
      <w:r>
        <w:rPr>
          <w:vertAlign w:val="superscript"/>
        </w:rPr>
        <w:footnoteRef/>
      </w:r>
      <w:r>
        <w:rPr>
          <w:rFonts w:ascii="Calibri" w:eastAsia="Calibri" w:hAnsi="Calibri" w:cs="Calibri"/>
          <w:color w:val="FF0000"/>
          <w:sz w:val="16"/>
          <w:szCs w:val="16"/>
        </w:rPr>
        <w:t xml:space="preserve"> Please indicate when the funding is expected to be confirmed if depending on a third party other than BDUK.</w:t>
      </w:r>
    </w:p>
  </w:footnote>
  <w:footnote w:id="25">
    <w:p w14:paraId="5ADAA7B2" w14:textId="04DD5DC2" w:rsidR="00803075" w:rsidRDefault="00803075">
      <w:r>
        <w:rPr>
          <w:vertAlign w:val="superscript"/>
        </w:rPr>
        <w:footnoteRef/>
      </w:r>
      <w:r>
        <w:rPr>
          <w:rFonts w:ascii="Calibri" w:eastAsia="Calibri" w:hAnsi="Calibri" w:cs="Calibri"/>
          <w:color w:val="FF0000"/>
          <w:sz w:val="16"/>
          <w:szCs w:val="16"/>
        </w:rPr>
        <w:t xml:space="preserve"> Use this column to identify any key restrictions or requirements on the funding e.g. expiry date of funds, last date to apply for the funding. Also explain where Bidders can find the full terms and conditions relating to the funding e.g. for ERDF refer the Bidders to Schedule 5.5 of the Contract and see the data room for full requirements of the other funds.</w:t>
      </w:r>
    </w:p>
  </w:footnote>
  <w:footnote w:id="26">
    <w:p w14:paraId="116037E0" w14:textId="77777777" w:rsidR="00803075" w:rsidRDefault="00803075">
      <w:r>
        <w:rPr>
          <w:vertAlign w:val="superscript"/>
        </w:rPr>
        <w:footnoteRef/>
      </w:r>
      <w:r>
        <w:rPr>
          <w:rFonts w:ascii="Calibri" w:eastAsia="Calibri" w:hAnsi="Calibri" w:cs="Calibri"/>
          <w:color w:val="FF0000"/>
          <w:sz w:val="16"/>
          <w:szCs w:val="16"/>
        </w:rPr>
        <w:t xml:space="preserve"> Un-allocated funding is defined as any project budget funding which cannot be committed to a defined solution at the time of procurement. This section should be marked as ‘Not used’ if there is no un-allocated funding</w:t>
      </w:r>
    </w:p>
  </w:footnote>
  <w:footnote w:id="27">
    <w:p w14:paraId="334C488B" w14:textId="77777777" w:rsidR="00803075" w:rsidRDefault="00803075">
      <w:r>
        <w:rPr>
          <w:vertAlign w:val="superscript"/>
        </w:rPr>
        <w:footnoteRef/>
      </w:r>
      <w:r>
        <w:rPr>
          <w:rFonts w:ascii="Calibri" w:eastAsia="Calibri" w:hAnsi="Calibri" w:cs="Calibri"/>
          <w:color w:val="FF0000"/>
          <w:sz w:val="16"/>
          <w:szCs w:val="16"/>
        </w:rPr>
        <w:t xml:space="preserve"> The approach to contingency arrangements is subject to local determination. There is no requirement to have a contingency or to specify a contingency of any significant scale.  If the Local Body decides not to have a contractual contingency regime, this should be confirmed here. </w:t>
      </w:r>
    </w:p>
  </w:footnote>
  <w:footnote w:id="28">
    <w:p w14:paraId="1087D0DE" w14:textId="1A3EF4D9" w:rsidR="00803075" w:rsidRDefault="00803075">
      <w:r>
        <w:rPr>
          <w:vertAlign w:val="superscript"/>
        </w:rPr>
        <w:footnoteRef/>
      </w:r>
      <w:r>
        <w:rPr>
          <w:rFonts w:ascii="Calibri" w:eastAsia="Calibri" w:hAnsi="Calibri" w:cs="Calibri"/>
          <w:color w:val="FF0000"/>
          <w:sz w:val="16"/>
          <w:szCs w:val="16"/>
        </w:rPr>
        <w:t xml:space="preserve"> Enter any Local Body specific conditions of Milestone payments e.g. where a Local Body wishes to make the payment of a particular milestone, such as Milestone 2, dependent on achieving a minimum proportion of highly rural or difficult to reach premises.</w:t>
      </w:r>
    </w:p>
  </w:footnote>
  <w:footnote w:id="29">
    <w:p w14:paraId="45649C5B" w14:textId="6982E9E6" w:rsidR="00803075" w:rsidRDefault="00803075" w:rsidP="005C6FD0">
      <w:r>
        <w:rPr>
          <w:vertAlign w:val="superscript"/>
        </w:rPr>
        <w:footnoteRef/>
      </w:r>
      <w:r>
        <w:rPr>
          <w:rFonts w:ascii="Calibri" w:eastAsia="Calibri" w:hAnsi="Calibri" w:cs="Calibri"/>
          <w:color w:val="FF0000"/>
          <w:sz w:val="16"/>
          <w:szCs w:val="16"/>
        </w:rPr>
        <w:t xml:space="preserve"> The table should be adjusted/expanded in accordance with the Local Body’s requirements.</w:t>
      </w:r>
    </w:p>
  </w:footnote>
  <w:footnote w:id="30">
    <w:p w14:paraId="4F03DF33" w14:textId="53244113" w:rsidR="00803075" w:rsidRPr="005C6FD0" w:rsidRDefault="00803075" w:rsidP="005C6FD0">
      <w:pPr>
        <w:pStyle w:val="FootnoteText"/>
        <w:spacing w:after="120"/>
      </w:pPr>
      <w:r>
        <w:rPr>
          <w:rStyle w:val="FootnoteReference"/>
        </w:rPr>
        <w:footnoteRef/>
      </w:r>
      <w:r>
        <w:t xml:space="preserve"> </w:t>
      </w:r>
      <w:r w:rsidRPr="005C6FD0">
        <w:rPr>
          <w:rFonts w:ascii="Calibri" w:eastAsia="Calibri" w:hAnsi="Calibri" w:cs="Calibri"/>
          <w:color w:val="FF0000"/>
          <w:sz w:val="16"/>
          <w:szCs w:val="16"/>
        </w:rPr>
        <w:t>If the Local Body requires any variation from those arrangements set out in Schedule 6.1 it should detail those in this ITT.</w:t>
      </w:r>
    </w:p>
  </w:footnote>
  <w:footnote w:id="31">
    <w:p w14:paraId="0866BC7B" w14:textId="5E540C0C" w:rsidR="00803075" w:rsidRDefault="00803075">
      <w:r>
        <w:rPr>
          <w:vertAlign w:val="superscript"/>
        </w:rPr>
        <w:footnoteRef/>
      </w:r>
      <w:r>
        <w:rPr>
          <w:rFonts w:ascii="Calibri" w:eastAsia="Calibri" w:hAnsi="Calibri" w:cs="Calibri"/>
          <w:color w:val="FF0000"/>
          <w:sz w:val="16"/>
          <w:szCs w:val="16"/>
        </w:rPr>
        <w:t xml:space="preserve"> Local Bodies are able to tailor the demand stimulation requirements 9.5 and 9.6 in Schedule 2 if required.  The Local Body should only specify additional marketing and demand stimulation service requirements where it is prepared to fund such additional activities under this agreement and where the supplier has explained what value it would add to its solution (e.g. how it will impact take-up assumptions used within the Project Model).  </w:t>
      </w:r>
    </w:p>
  </w:footnote>
  <w:footnote w:id="32">
    <w:p w14:paraId="67D33625" w14:textId="77777777" w:rsidR="00803075" w:rsidRDefault="00803075" w:rsidP="009B7C2E">
      <w:pPr>
        <w:spacing w:after="0" w:line="240" w:lineRule="auto"/>
      </w:pPr>
      <w:r>
        <w:rPr>
          <w:vertAlign w:val="superscript"/>
        </w:rPr>
        <w:footnoteRef/>
      </w:r>
      <w:r>
        <w:rPr>
          <w:color w:val="FF0000"/>
          <w:sz w:val="20"/>
          <w:szCs w:val="20"/>
        </w:rPr>
        <w:t xml:space="preserve"> </w:t>
      </w:r>
      <w:r>
        <w:rPr>
          <w:rFonts w:ascii="Calibri" w:eastAsia="Calibri" w:hAnsi="Calibri" w:cs="Calibri"/>
          <w:color w:val="FF0000"/>
          <w:sz w:val="16"/>
          <w:szCs w:val="16"/>
        </w:rPr>
        <w:t>Selection criteria can be included here for the Open procedure. Replace with pre qualification if using procedure with this step.</w:t>
      </w:r>
      <w:r>
        <w:rPr>
          <w:rFonts w:ascii="Calibri" w:eastAsia="Calibri" w:hAnsi="Calibri" w:cs="Calibri"/>
          <w:sz w:val="16"/>
          <w:szCs w:val="16"/>
        </w:rPr>
        <w:t xml:space="preserve"> </w:t>
      </w:r>
    </w:p>
  </w:footnote>
  <w:footnote w:id="33">
    <w:p w14:paraId="4BCF7674" w14:textId="77777777" w:rsidR="00803075" w:rsidRDefault="00803075" w:rsidP="0076073B">
      <w:pPr>
        <w:spacing w:after="0"/>
      </w:pPr>
      <w:r>
        <w:rPr>
          <w:vertAlign w:val="superscript"/>
        </w:rPr>
        <w:footnoteRef/>
      </w:r>
      <w:r>
        <w:rPr>
          <w:rFonts w:ascii="Calibri" w:eastAsia="Calibri" w:hAnsi="Calibri" w:cs="Calibri"/>
          <w:color w:val="FF0000"/>
          <w:sz w:val="16"/>
          <w:szCs w:val="16"/>
        </w:rPr>
        <w:t xml:space="preserve"> This section has been developed considering the key requirements for State Aid. Certain aspects of this evaluation are </w:t>
      </w:r>
      <w:r>
        <w:rPr>
          <w:rFonts w:ascii="Calibri" w:eastAsia="Calibri" w:hAnsi="Calibri" w:cs="Calibri"/>
          <w:b/>
          <w:color w:val="FF0000"/>
          <w:sz w:val="16"/>
          <w:szCs w:val="16"/>
        </w:rPr>
        <w:t>mandatory</w:t>
      </w:r>
      <w:r>
        <w:rPr>
          <w:rFonts w:ascii="Calibri" w:eastAsia="Calibri" w:hAnsi="Calibri" w:cs="Calibri"/>
          <w:color w:val="FF0000"/>
          <w:sz w:val="16"/>
          <w:szCs w:val="16"/>
        </w:rPr>
        <w:t xml:space="preserve"> in order to comply with State Aid. These have been referenced in the text for clarity.</w:t>
      </w:r>
    </w:p>
  </w:footnote>
  <w:footnote w:id="34">
    <w:p w14:paraId="71000B5E" w14:textId="79D2122D" w:rsidR="00803075" w:rsidRDefault="00803075">
      <w:pPr>
        <w:spacing w:after="0" w:line="240" w:lineRule="auto"/>
      </w:pPr>
      <w:r>
        <w:rPr>
          <w:vertAlign w:val="superscript"/>
        </w:rPr>
        <w:footnoteRef/>
      </w:r>
      <w:r>
        <w:rPr>
          <w:rFonts w:ascii="Calibri" w:eastAsia="Calibri" w:hAnsi="Calibri" w:cs="Calibri"/>
          <w:color w:val="FF0000"/>
          <w:sz w:val="16"/>
          <w:szCs w:val="16"/>
        </w:rPr>
        <w:t xml:space="preserve"> This section assumes the use of the Open procedure.  If using the Restricted Procedure with a Pre-Qualification Questionnaire (PQQ), then this section should be replaced with a description of the PQQ selection process.</w:t>
      </w:r>
    </w:p>
  </w:footnote>
  <w:footnote w:id="35">
    <w:p w14:paraId="29C0FD13" w14:textId="77777777" w:rsidR="00803075" w:rsidRDefault="00803075">
      <w:r>
        <w:rPr>
          <w:vertAlign w:val="superscript"/>
        </w:rPr>
        <w:footnoteRef/>
      </w:r>
      <w:r>
        <w:rPr>
          <w:rFonts w:ascii="Calibri" w:eastAsia="Calibri" w:hAnsi="Calibri" w:cs="Calibri"/>
          <w:color w:val="FF0000"/>
          <w:sz w:val="16"/>
          <w:szCs w:val="16"/>
        </w:rPr>
        <w:t xml:space="preserve"> The Local Body may adopt a differing approach to moderating scores should it wish (e.g. taking an average score across evaluators), in which event this section should be adjusted accordingly.</w:t>
      </w:r>
    </w:p>
  </w:footnote>
  <w:footnote w:id="36">
    <w:p w14:paraId="1A45C9C1" w14:textId="77777777" w:rsidR="00803075" w:rsidRPr="007B593A" w:rsidRDefault="00803075">
      <w:pPr>
        <w:pStyle w:val="FootnoteText"/>
        <w:rPr>
          <w:rFonts w:asciiTheme="minorHAnsi" w:hAnsiTheme="minorHAnsi"/>
        </w:rPr>
      </w:pPr>
      <w:r w:rsidRPr="007B593A">
        <w:rPr>
          <w:rStyle w:val="FootnoteReference"/>
          <w:rFonts w:asciiTheme="minorHAnsi" w:hAnsiTheme="minorHAnsi"/>
        </w:rPr>
        <w:footnoteRef/>
      </w:r>
      <w:r w:rsidRPr="007B593A">
        <w:rPr>
          <w:rFonts w:asciiTheme="minorHAnsi" w:hAnsiTheme="minorHAnsi"/>
        </w:rPr>
        <w:t xml:space="preserve"> </w:t>
      </w:r>
      <w:r w:rsidRPr="007B593A">
        <w:rPr>
          <w:rFonts w:asciiTheme="minorHAnsi" w:hAnsiTheme="minorHAnsi"/>
          <w:color w:val="FF0000"/>
        </w:rPr>
        <w:t>Please select A1.3.6.2 for Open procedures or A1.3.6.3 for Restricted procedures</w:t>
      </w:r>
    </w:p>
  </w:footnote>
  <w:footnote w:id="37">
    <w:p w14:paraId="24C04E88" w14:textId="77777777" w:rsidR="00803075" w:rsidRPr="00EE37FA" w:rsidRDefault="00803075">
      <w:pPr>
        <w:pStyle w:val="FootnoteText"/>
        <w:rPr>
          <w:rFonts w:asciiTheme="minorHAnsi" w:hAnsiTheme="minorHAnsi"/>
        </w:rPr>
      </w:pPr>
      <w:r>
        <w:rPr>
          <w:rStyle w:val="FootnoteReference"/>
        </w:rPr>
        <w:footnoteRef/>
      </w:r>
      <w:r>
        <w:t xml:space="preserve"> </w:t>
      </w:r>
      <w:r w:rsidRPr="00EE37FA">
        <w:rPr>
          <w:rFonts w:asciiTheme="minorHAnsi" w:hAnsiTheme="minorHAnsi"/>
          <w:color w:val="FF0000"/>
        </w:rPr>
        <w:t>Amend as necessary dependent on procurement procedure Open or Restricted</w:t>
      </w:r>
    </w:p>
  </w:footnote>
  <w:footnote w:id="38">
    <w:p w14:paraId="6BB99957" w14:textId="77777777" w:rsidR="00803075" w:rsidRPr="00355499" w:rsidRDefault="00803075">
      <w:pPr>
        <w:pStyle w:val="FootnoteText"/>
        <w:rPr>
          <w:color w:val="FF0000"/>
        </w:rPr>
      </w:pPr>
      <w:r>
        <w:rPr>
          <w:rStyle w:val="FootnoteReference"/>
        </w:rPr>
        <w:footnoteRef/>
      </w:r>
      <w:r>
        <w:t xml:space="preserve"> </w:t>
      </w:r>
      <w:r w:rsidRPr="00355499">
        <w:rPr>
          <w:rFonts w:asciiTheme="minorHAnsi" w:hAnsiTheme="minorHAnsi"/>
          <w:color w:val="FF0000"/>
          <w:sz w:val="16"/>
          <w:szCs w:val="16"/>
        </w:rPr>
        <w:t xml:space="preserve">Local Bodies may choose Current Ratio and/or other financial ratios as set out in the European Single Procurement Document (ESPD) - </w:t>
      </w:r>
      <w:hyperlink r:id="rId1" w:tgtFrame="_blank" w:history="1">
        <w:r w:rsidRPr="00355499">
          <w:rPr>
            <w:rStyle w:val="Hyperlink"/>
            <w:rFonts w:asciiTheme="minorHAnsi" w:hAnsiTheme="minorHAnsi"/>
            <w:color w:val="FF0000"/>
            <w:sz w:val="16"/>
            <w:szCs w:val="16"/>
            <w:shd w:val="clear" w:color="auto" w:fill="FFFFFF"/>
          </w:rPr>
          <w:t>http://eur-lex.europa.eu/legal-content/EN/TXT/PDF/?uri=CELEX:32016R0007&amp;from=EN</w:t>
        </w:r>
      </w:hyperlink>
      <w:r>
        <w:rPr>
          <w:rFonts w:asciiTheme="minorHAnsi" w:hAnsiTheme="minorHAnsi"/>
          <w:color w:val="FF0000"/>
          <w:sz w:val="16"/>
          <w:szCs w:val="16"/>
        </w:rPr>
        <w:t xml:space="preserve"> as part of its financial assessment. Whatever ratio or method is chosen by the Local Bodies has to be detailed in this document in order to meet the obligation of transparency. </w:t>
      </w:r>
    </w:p>
  </w:footnote>
  <w:footnote w:id="39">
    <w:p w14:paraId="4A3C9DD5" w14:textId="2F6663F9" w:rsidR="00803075" w:rsidRPr="005B068F" w:rsidRDefault="00803075">
      <w:pPr>
        <w:pStyle w:val="FootnoteText"/>
        <w:rPr>
          <w:rFonts w:asciiTheme="minorHAnsi" w:hAnsiTheme="minorHAnsi"/>
          <w:sz w:val="16"/>
          <w:szCs w:val="16"/>
        </w:rPr>
      </w:pPr>
      <w:r w:rsidRPr="005B068F">
        <w:rPr>
          <w:rStyle w:val="FootnoteReference"/>
          <w:rFonts w:asciiTheme="minorHAnsi" w:hAnsiTheme="minorHAnsi"/>
          <w:color w:val="FF0000"/>
          <w:sz w:val="16"/>
          <w:szCs w:val="16"/>
        </w:rPr>
        <w:footnoteRef/>
      </w:r>
      <w:r w:rsidRPr="005B068F">
        <w:rPr>
          <w:rFonts w:asciiTheme="minorHAnsi" w:hAnsiTheme="minorHAnsi"/>
          <w:color w:val="FF0000"/>
          <w:sz w:val="16"/>
          <w:szCs w:val="16"/>
        </w:rPr>
        <w:t xml:space="preserve"> Local Bodies will need to select the publically available information which it will consider as part of its financial assessment prior to ITT launch</w:t>
      </w:r>
      <w:r>
        <w:rPr>
          <w:rFonts w:asciiTheme="minorHAnsi" w:hAnsiTheme="minorHAnsi"/>
          <w:color w:val="FF0000"/>
          <w:sz w:val="16"/>
          <w:szCs w:val="16"/>
        </w:rPr>
        <w:t>,</w:t>
      </w:r>
      <w:r w:rsidRPr="005B068F">
        <w:rPr>
          <w:rFonts w:asciiTheme="minorHAnsi" w:hAnsiTheme="minorHAnsi"/>
          <w:color w:val="FF0000"/>
          <w:sz w:val="16"/>
          <w:szCs w:val="16"/>
        </w:rPr>
        <w:t xml:space="preserve"> </w:t>
      </w:r>
      <w:r>
        <w:rPr>
          <w:rFonts w:asciiTheme="minorHAnsi" w:hAnsiTheme="minorHAnsi"/>
          <w:color w:val="FF0000"/>
          <w:sz w:val="16"/>
          <w:szCs w:val="16"/>
        </w:rPr>
        <w:t>s</w:t>
      </w:r>
      <w:r w:rsidRPr="005B068F">
        <w:rPr>
          <w:rFonts w:asciiTheme="minorHAnsi" w:hAnsiTheme="minorHAnsi"/>
          <w:color w:val="FF0000"/>
          <w:sz w:val="16"/>
          <w:szCs w:val="16"/>
        </w:rPr>
        <w:t xml:space="preserve">o this is transparent to Bidders. </w:t>
      </w:r>
      <w:r>
        <w:rPr>
          <w:rFonts w:asciiTheme="minorHAnsi" w:hAnsiTheme="minorHAnsi"/>
          <w:color w:val="FF0000"/>
          <w:sz w:val="16"/>
          <w:szCs w:val="16"/>
        </w:rPr>
        <w:t>This will need to be detailed in the ITT.</w:t>
      </w:r>
    </w:p>
  </w:footnote>
  <w:footnote w:id="40">
    <w:p w14:paraId="4F3661CA" w14:textId="77777777" w:rsidR="00803075" w:rsidRDefault="00803075">
      <w:pPr>
        <w:pStyle w:val="FootnoteText"/>
      </w:pPr>
      <w:r>
        <w:rPr>
          <w:rStyle w:val="FootnoteReference"/>
        </w:rPr>
        <w:footnoteRef/>
      </w:r>
      <w:r>
        <w:t xml:space="preserve"> </w:t>
      </w:r>
      <w:r w:rsidRPr="00303F56">
        <w:rPr>
          <w:rFonts w:asciiTheme="minorHAnsi" w:hAnsiTheme="minorHAnsi"/>
          <w:color w:val="FF0000"/>
          <w:sz w:val="16"/>
          <w:szCs w:val="16"/>
        </w:rPr>
        <w:t>Local body to ensure that the insurance amounts set out in section 8 of the Standard Selection Questionnaire in the Bidder Response Document aligned to the Required Insurance definition in Schedule 1 of the Contract.</w:t>
      </w:r>
      <w:r>
        <w:t xml:space="preserve"> </w:t>
      </w:r>
    </w:p>
  </w:footnote>
  <w:footnote w:id="41">
    <w:p w14:paraId="127FDEB5" w14:textId="77777777" w:rsidR="00803075" w:rsidRDefault="00803075">
      <w:r>
        <w:rPr>
          <w:vertAlign w:val="superscript"/>
        </w:rPr>
        <w:footnoteRef/>
      </w:r>
      <w:r>
        <w:rPr>
          <w:rFonts w:ascii="Calibri" w:eastAsia="Calibri" w:hAnsi="Calibri" w:cs="Calibri"/>
          <w:color w:val="FF0000"/>
          <w:sz w:val="16"/>
          <w:szCs w:val="16"/>
        </w:rPr>
        <w:t xml:space="preserve"> Whilst Local Body’s are required to use a scoring range of 1 to 10, the descriptions of capability, evidential requirements and remarks (as per table a3.1.1.1 can be adapted to Local Body requirements</w:t>
      </w:r>
    </w:p>
  </w:footnote>
  <w:footnote w:id="42">
    <w:p w14:paraId="4E8F6F90" w14:textId="77777777" w:rsidR="00803075" w:rsidRDefault="00803075">
      <w:pPr>
        <w:spacing w:after="0" w:line="240" w:lineRule="auto"/>
      </w:pPr>
      <w:r>
        <w:rPr>
          <w:vertAlign w:val="superscript"/>
        </w:rPr>
        <w:footnoteRef/>
      </w:r>
      <w:r>
        <w:rPr>
          <w:sz w:val="20"/>
          <w:szCs w:val="20"/>
        </w:rPr>
        <w:t xml:space="preserve"> </w:t>
      </w:r>
      <w:r>
        <w:rPr>
          <w:rFonts w:ascii="Calibri" w:eastAsia="Calibri" w:hAnsi="Calibri" w:cs="Calibri"/>
          <w:color w:val="FF0000"/>
          <w:sz w:val="16"/>
          <w:szCs w:val="16"/>
        </w:rPr>
        <w:t>Include where used as an evaluation criteria</w:t>
      </w:r>
    </w:p>
  </w:footnote>
  <w:footnote w:id="43">
    <w:p w14:paraId="6FB7CEC9" w14:textId="77777777" w:rsidR="00803075" w:rsidRDefault="00803075">
      <w:r>
        <w:rPr>
          <w:vertAlign w:val="superscript"/>
        </w:rPr>
        <w:footnoteRef/>
      </w:r>
      <w:r>
        <w:rPr>
          <w:rFonts w:ascii="Calibri" w:eastAsia="Calibri" w:hAnsi="Calibri" w:cs="Calibri"/>
          <w:color w:val="FF0000"/>
          <w:sz w:val="16"/>
          <w:szCs w:val="16"/>
        </w:rPr>
        <w:t xml:space="preserve"> A template SCT has been provided as part of the BDUK ITT suite of documents, Local Bodies should note that the text in this section reflects the methodology adopted in this SCT template. Should a different methodology be adopted the Local Body will need to amend the drafting in this section</w:t>
      </w:r>
    </w:p>
  </w:footnote>
  <w:footnote w:id="44">
    <w:p w14:paraId="7984EF4D" w14:textId="77777777" w:rsidR="00803075" w:rsidRDefault="00803075">
      <w:pPr>
        <w:spacing w:after="0" w:line="240" w:lineRule="auto"/>
      </w:pPr>
      <w:r>
        <w:rPr>
          <w:vertAlign w:val="superscript"/>
        </w:rPr>
        <w:footnoteRef/>
      </w:r>
      <w:r>
        <w:rPr>
          <w:rFonts w:ascii="Calibri" w:eastAsia="Calibri" w:hAnsi="Calibri" w:cs="Calibri"/>
          <w:color w:val="FF0000"/>
          <w:sz w:val="16"/>
          <w:szCs w:val="16"/>
        </w:rPr>
        <w:t xml:space="preserve"> These priorities are set by each Local Body and are envisaged to be based upon premise type and priority areas.</w:t>
      </w:r>
    </w:p>
  </w:footnote>
  <w:footnote w:id="45">
    <w:p w14:paraId="7BDD4798" w14:textId="77777777" w:rsidR="00803075" w:rsidRDefault="00803075">
      <w:pPr>
        <w:spacing w:after="0" w:line="240" w:lineRule="auto"/>
      </w:pPr>
      <w:r>
        <w:rPr>
          <w:vertAlign w:val="superscript"/>
        </w:rPr>
        <w:footnoteRef/>
      </w:r>
      <w:r>
        <w:rPr>
          <w:rFonts w:ascii="Calibri" w:eastAsia="Calibri" w:hAnsi="Calibri" w:cs="Calibri"/>
          <w:color w:val="FF0000"/>
          <w:sz w:val="16"/>
          <w:szCs w:val="16"/>
        </w:rPr>
        <w:t xml:space="preserve"> These weightings should reflect the Local Body priorities. Further instructions are contained in Appendix 3</w:t>
      </w:r>
    </w:p>
  </w:footnote>
  <w:footnote w:id="46">
    <w:p w14:paraId="73107E56" w14:textId="77777777" w:rsidR="00803075" w:rsidRDefault="00803075">
      <w:pPr>
        <w:spacing w:after="0" w:line="240" w:lineRule="auto"/>
      </w:pPr>
      <w:r w:rsidRPr="009E503F">
        <w:rPr>
          <w:color w:val="FF0000"/>
          <w:vertAlign w:val="superscript"/>
        </w:rPr>
        <w:footnoteRef/>
      </w:r>
      <w:r w:rsidRPr="009E503F">
        <w:rPr>
          <w:color w:val="FF0000"/>
          <w:sz w:val="20"/>
          <w:szCs w:val="20"/>
        </w:rPr>
        <w:t xml:space="preserve"> </w:t>
      </w:r>
      <w:r w:rsidRPr="009E503F">
        <w:rPr>
          <w:rFonts w:ascii="Calibri" w:eastAsia="Calibri" w:hAnsi="Calibri" w:cs="Calibri"/>
          <w:color w:val="FF0000"/>
          <w:sz w:val="16"/>
          <w:szCs w:val="16"/>
        </w:rPr>
        <w:t>Pass/fail criteria can only be those set out in the Commission Decision for level 2 criteria</w:t>
      </w:r>
    </w:p>
  </w:footnote>
  <w:footnote w:id="47">
    <w:p w14:paraId="5ACBADA4" w14:textId="77777777" w:rsidR="00803075" w:rsidRDefault="00803075">
      <w:pPr>
        <w:spacing w:after="0" w:line="240" w:lineRule="auto"/>
      </w:pPr>
      <w:r>
        <w:rPr>
          <w:vertAlign w:val="superscript"/>
        </w:rPr>
        <w:footnoteRef/>
      </w:r>
      <w:r>
        <w:rPr>
          <w:rFonts w:ascii="Calibri" w:eastAsia="Calibri" w:hAnsi="Calibri" w:cs="Calibri"/>
          <w:sz w:val="16"/>
          <w:szCs w:val="16"/>
        </w:rPr>
        <w:t xml:space="preserve"> For Open and Restricted procedures.</w:t>
      </w:r>
    </w:p>
  </w:footnote>
  <w:footnote w:id="48">
    <w:p w14:paraId="52D144EB" w14:textId="5BDBAA71" w:rsidR="00803075" w:rsidRDefault="00803075">
      <w:r>
        <w:rPr>
          <w:vertAlign w:val="superscript"/>
        </w:rPr>
        <w:footnoteRef/>
      </w:r>
      <w:r>
        <w:rPr>
          <w:rFonts w:ascii="Calibri" w:eastAsia="Calibri" w:hAnsi="Calibri" w:cs="Calibri"/>
          <w:color w:val="FF0000"/>
          <w:sz w:val="16"/>
          <w:szCs w:val="16"/>
        </w:rPr>
        <w:t xml:space="preserve"> The level 1 &amp; 2 evaluation criteria and weightings ranges specified in the Commission Decision and replicated here MUST be used..  However, Local Bodies are also able to set level 3 criteria if they wish.  Local Bodies will need to ensure that if they choose to include level 3 criteria then these are consistent with the level 2 criteria as specified in the Commission Decision.</w:t>
      </w:r>
    </w:p>
  </w:footnote>
  <w:footnote w:id="49">
    <w:p w14:paraId="414DCB21" w14:textId="2EBAFD0F" w:rsidR="00803075" w:rsidRDefault="00803075">
      <w:pPr>
        <w:spacing w:after="0" w:line="240" w:lineRule="auto"/>
      </w:pPr>
      <w:r>
        <w:rPr>
          <w:vertAlign w:val="superscript"/>
        </w:rPr>
        <w:footnoteRef/>
      </w:r>
      <w:r>
        <w:rPr>
          <w:rFonts w:ascii="Calibri" w:eastAsia="Calibri" w:hAnsi="Calibri" w:cs="Calibri"/>
          <w:color w:val="FF0000"/>
          <w:sz w:val="16"/>
          <w:szCs w:val="16"/>
        </w:rPr>
        <w:t>BDUK Note: (i) If an Implementing Body’s requirement is to maximise coverage exhausting the available budget, then it may apply zero weighting to 1.6 (given that Bidders would be unlikely to differentiate themselves on the overall funding requirement anyway) and allocate more weighting to criteria 1.7 instead. (ii) If an Implementing Body’s requirement is to optimise the project and the trade-off between increasing coverage and the increasing additional cost per premise, then it may allocate weighting to both criteria 1.6 and 1.7 to incentivise Bidders to propose the optimum efficient coverage for their solution design rather than the maximum possible coverage.</w:t>
      </w:r>
    </w:p>
  </w:footnote>
  <w:footnote w:id="50">
    <w:p w14:paraId="60769012" w14:textId="77777777" w:rsidR="00803075" w:rsidRDefault="00803075">
      <w:pPr>
        <w:spacing w:after="0" w:line="240" w:lineRule="auto"/>
      </w:pPr>
      <w:r>
        <w:rPr>
          <w:vertAlign w:val="superscript"/>
        </w:rPr>
        <w:footnoteRef/>
      </w:r>
      <w:r>
        <w:rPr>
          <w:rFonts w:ascii="Calibri" w:eastAsia="Calibri" w:hAnsi="Calibri" w:cs="Calibri"/>
          <w:color w:val="FF0000"/>
          <w:sz w:val="16"/>
          <w:szCs w:val="16"/>
        </w:rPr>
        <w:t xml:space="preserve"> Update as per chosen SCT approach</w:t>
      </w:r>
    </w:p>
  </w:footnote>
  <w:footnote w:id="51">
    <w:p w14:paraId="7DE11346" w14:textId="56B8406F" w:rsidR="00803075" w:rsidRPr="00A468D9" w:rsidRDefault="00803075">
      <w:pPr>
        <w:pStyle w:val="FootnoteText"/>
        <w:rPr>
          <w:rFonts w:asciiTheme="minorHAnsi" w:hAnsiTheme="minorHAnsi"/>
          <w:color w:val="FF0000"/>
          <w:sz w:val="16"/>
          <w:szCs w:val="16"/>
        </w:rPr>
      </w:pPr>
      <w:r>
        <w:rPr>
          <w:rStyle w:val="FootnoteReference"/>
        </w:rPr>
        <w:footnoteRef/>
      </w:r>
      <w:r>
        <w:t xml:space="preserve"> </w:t>
      </w:r>
      <w:r w:rsidRPr="00A468D9">
        <w:rPr>
          <w:rFonts w:asciiTheme="minorHAnsi" w:hAnsiTheme="minorHAnsi"/>
          <w:color w:val="FF0000"/>
          <w:sz w:val="16"/>
          <w:szCs w:val="16"/>
        </w:rPr>
        <w:t>Level 3 criteria may be set by Local bodies for Judgement Based Scored Evaluation only. There can be no level 3 criteria for pass/fail or any additional pass/fail criteria except those set out in the Commission Decision and the Award Criteria table.</w:t>
      </w:r>
    </w:p>
  </w:footnote>
  <w:footnote w:id="52">
    <w:p w14:paraId="05F05145" w14:textId="77777777" w:rsidR="00803075" w:rsidRDefault="00803075" w:rsidP="00A72A68">
      <w:pPr>
        <w:spacing w:after="0" w:line="240" w:lineRule="auto"/>
        <w:jc w:val="left"/>
      </w:pPr>
      <w:r>
        <w:rPr>
          <w:vertAlign w:val="superscript"/>
        </w:rPr>
        <w:footnoteRef/>
      </w:r>
      <w:r>
        <w:rPr>
          <w:rFonts w:ascii="Calibri" w:eastAsia="Calibri" w:hAnsi="Calibri" w:cs="Calibri"/>
          <w:color w:val="FF0000"/>
          <w:sz w:val="16"/>
          <w:szCs w:val="16"/>
        </w:rPr>
        <w:t xml:space="preserve"> 1.2 can be used for Competitive Dialogue or Competition with Negotiation only</w:t>
      </w:r>
    </w:p>
  </w:footnote>
  <w:footnote w:id="53">
    <w:p w14:paraId="6F6A6ED9" w14:textId="77777777" w:rsidR="00803075" w:rsidRDefault="00803075" w:rsidP="00A72A68">
      <w:pPr>
        <w:pStyle w:val="FootnoteText"/>
      </w:pPr>
      <w:r>
        <w:rPr>
          <w:rStyle w:val="FootnoteReference"/>
        </w:rPr>
        <w:footnoteRef/>
      </w:r>
      <w:r>
        <w:t xml:space="preserve"> </w:t>
      </w:r>
      <w:r w:rsidRPr="00A468D9">
        <w:rPr>
          <w:rFonts w:ascii="Calibri" w:eastAsia="Calibri" w:hAnsi="Calibri" w:cs="Calibri"/>
          <w:color w:val="FF0000"/>
        </w:rPr>
        <w:t>A local body would not score criteria 1.7 where it did not want to assess the funding levels.</w:t>
      </w:r>
    </w:p>
  </w:footnote>
  <w:footnote w:id="54">
    <w:p w14:paraId="612B7BAA" w14:textId="77777777" w:rsidR="00803075" w:rsidRDefault="00803075" w:rsidP="00A72A68">
      <w:pPr>
        <w:spacing w:after="0" w:line="240" w:lineRule="auto"/>
        <w:jc w:val="left"/>
      </w:pPr>
      <w:r>
        <w:rPr>
          <w:vertAlign w:val="superscript"/>
        </w:rPr>
        <w:footnoteRef/>
      </w:r>
      <w:r>
        <w:rPr>
          <w:rFonts w:ascii="Calibri" w:eastAsia="Calibri" w:hAnsi="Calibri" w:cs="Calibri"/>
          <w:color w:val="FF0000"/>
          <w:sz w:val="16"/>
          <w:szCs w:val="16"/>
        </w:rPr>
        <w:t xml:space="preserve"> This is optional and can be evaluated if required – see Level 1 and Level 2 Evaluation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73C6" w14:textId="77777777" w:rsidR="00803075" w:rsidRDefault="00803075">
    <w:pPr>
      <w:tabs>
        <w:tab w:val="center" w:pos="4513"/>
        <w:tab w:val="right" w:pos="9026"/>
      </w:tabs>
      <w:spacing w:before="851"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57A"/>
    <w:multiLevelType w:val="hybridMultilevel"/>
    <w:tmpl w:val="10E0C3BA"/>
    <w:lvl w:ilvl="0" w:tplc="469C5F14">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E07CB3"/>
    <w:multiLevelType w:val="multilevel"/>
    <w:tmpl w:val="86445EB4"/>
    <w:lvl w:ilvl="0">
      <w:start w:val="1"/>
      <w:numFmt w:val="decimal"/>
      <w:lvlText w:val="%1."/>
      <w:lvlJc w:val="left"/>
      <w:pPr>
        <w:ind w:left="1080" w:firstLine="720"/>
      </w:pPr>
    </w:lvl>
    <w:lvl w:ilvl="1">
      <w:start w:val="1"/>
      <w:numFmt w:val="decimal"/>
      <w:lvlText w:val="A%1.%2"/>
      <w:lvlJc w:val="left"/>
      <w:pPr>
        <w:ind w:left="720" w:firstLine="720"/>
      </w:pPr>
    </w:lvl>
    <w:lvl w:ilvl="2">
      <w:start w:val="1"/>
      <w:numFmt w:val="decimal"/>
      <w:lvlText w:val="A%1.%2.%3"/>
      <w:lvlJc w:val="left"/>
      <w:pPr>
        <w:ind w:left="1559" w:firstLine="839"/>
      </w:pPr>
      <w:rPr>
        <w:rFonts w:ascii="Calibri" w:eastAsia="Calibri" w:hAnsi="Calibri" w:cs="Calibri"/>
        <w:b w:val="0"/>
        <w:i w:val="0"/>
        <w:color w:val="000000"/>
        <w:sz w:val="22"/>
        <w:szCs w:val="22"/>
      </w:rPr>
    </w:lvl>
    <w:lvl w:ilvl="3">
      <w:start w:val="1"/>
      <w:numFmt w:val="decimal"/>
      <w:lvlText w:val="A%1.%2.%3.%4"/>
      <w:lvlJc w:val="left"/>
      <w:pPr>
        <w:ind w:left="1559" w:firstLine="839"/>
      </w:pPr>
      <w:rPr>
        <w:rFonts w:ascii="Calibri" w:eastAsia="Calibri" w:hAnsi="Calibri" w:cs="Calibri"/>
        <w:b w:val="0"/>
        <w:color w:val="000000"/>
        <w:sz w:val="22"/>
        <w:szCs w:val="22"/>
      </w:rPr>
    </w:lvl>
    <w:lvl w:ilvl="4">
      <w:start w:val="1"/>
      <w:numFmt w:val="decimal"/>
      <w:lvlText w:val="%1.%2.%3.%4.%5."/>
      <w:lvlJc w:val="left"/>
      <w:pPr>
        <w:ind w:left="2952" w:firstLine="2160"/>
      </w:pPr>
      <w:rPr>
        <w:rFonts w:ascii="Calibri" w:eastAsia="Calibri" w:hAnsi="Calibri" w:cs="Calibri"/>
        <w:u w:val="none"/>
      </w:rPr>
    </w:lvl>
    <w:lvl w:ilvl="5">
      <w:start w:val="1"/>
      <w:numFmt w:val="bullet"/>
      <w:lvlText w:val="■"/>
      <w:lvlJc w:val="left"/>
      <w:pPr>
        <w:ind w:left="3456" w:firstLine="2520"/>
      </w:pPr>
    </w:lvl>
    <w:lvl w:ilvl="6">
      <w:start w:val="1"/>
      <w:numFmt w:val="decimal"/>
      <w:lvlText w:val="%1.%2.%3.%4.%5.■.%7."/>
      <w:lvlJc w:val="left"/>
      <w:pPr>
        <w:ind w:left="3960" w:firstLine="2880"/>
      </w:pPr>
    </w:lvl>
    <w:lvl w:ilvl="7">
      <w:start w:val="1"/>
      <w:numFmt w:val="decimal"/>
      <w:lvlText w:val="%1.%2.%3.%4.%5.■.%7.%8."/>
      <w:lvlJc w:val="left"/>
      <w:pPr>
        <w:ind w:left="4464" w:firstLine="3240"/>
      </w:pPr>
    </w:lvl>
    <w:lvl w:ilvl="8">
      <w:start w:val="1"/>
      <w:numFmt w:val="decimal"/>
      <w:lvlText w:val="%1.%2.%3.%4.%5.■.%7.%8.%9."/>
      <w:lvlJc w:val="left"/>
      <w:pPr>
        <w:ind w:left="5040" w:firstLine="3600"/>
      </w:pPr>
    </w:lvl>
  </w:abstractNum>
  <w:abstractNum w:abstractNumId="2" w15:restartNumberingAfterBreak="0">
    <w:nsid w:val="1E88798A"/>
    <w:multiLevelType w:val="multilevel"/>
    <w:tmpl w:val="C7E2D2DC"/>
    <w:lvl w:ilvl="0">
      <w:start w:val="1"/>
      <w:numFmt w:val="bullet"/>
      <w:lvlText w:val="-"/>
      <w:lvlJc w:val="left"/>
      <w:pPr>
        <w:ind w:left="1200" w:firstLine="840"/>
      </w:pPr>
      <w:rPr>
        <w:rFonts w:ascii="Arial" w:eastAsia="Arial" w:hAnsi="Arial" w:cs="Arial"/>
      </w:rPr>
    </w:lvl>
    <w:lvl w:ilvl="1">
      <w:start w:val="1"/>
      <w:numFmt w:val="bullet"/>
      <w:lvlText w:val="o"/>
      <w:lvlJc w:val="left"/>
      <w:pPr>
        <w:ind w:left="2280" w:firstLine="1920"/>
      </w:pPr>
      <w:rPr>
        <w:rFonts w:ascii="Arial" w:eastAsia="Arial" w:hAnsi="Arial" w:cs="Arial"/>
      </w:rPr>
    </w:lvl>
    <w:lvl w:ilvl="2">
      <w:start w:val="1"/>
      <w:numFmt w:val="bullet"/>
      <w:lvlText w:val="▪"/>
      <w:lvlJc w:val="left"/>
      <w:pPr>
        <w:ind w:left="3000" w:firstLine="2640"/>
      </w:pPr>
      <w:rPr>
        <w:rFonts w:ascii="Arial" w:eastAsia="Arial" w:hAnsi="Arial" w:cs="Arial"/>
      </w:rPr>
    </w:lvl>
    <w:lvl w:ilvl="3">
      <w:start w:val="1"/>
      <w:numFmt w:val="bullet"/>
      <w:lvlText w:val="●"/>
      <w:lvlJc w:val="left"/>
      <w:pPr>
        <w:ind w:left="3720" w:firstLine="3360"/>
      </w:pPr>
      <w:rPr>
        <w:rFonts w:ascii="Arial" w:eastAsia="Arial" w:hAnsi="Arial" w:cs="Arial"/>
      </w:rPr>
    </w:lvl>
    <w:lvl w:ilvl="4">
      <w:start w:val="1"/>
      <w:numFmt w:val="bullet"/>
      <w:lvlText w:val="o"/>
      <w:lvlJc w:val="left"/>
      <w:pPr>
        <w:ind w:left="4440" w:firstLine="4080"/>
      </w:pPr>
      <w:rPr>
        <w:rFonts w:ascii="Arial" w:eastAsia="Arial" w:hAnsi="Arial" w:cs="Arial"/>
      </w:rPr>
    </w:lvl>
    <w:lvl w:ilvl="5">
      <w:start w:val="1"/>
      <w:numFmt w:val="bullet"/>
      <w:lvlText w:val="▪"/>
      <w:lvlJc w:val="left"/>
      <w:pPr>
        <w:ind w:left="5160" w:firstLine="4800"/>
      </w:pPr>
      <w:rPr>
        <w:rFonts w:ascii="Arial" w:eastAsia="Arial" w:hAnsi="Arial" w:cs="Arial"/>
      </w:rPr>
    </w:lvl>
    <w:lvl w:ilvl="6">
      <w:start w:val="1"/>
      <w:numFmt w:val="bullet"/>
      <w:lvlText w:val="●"/>
      <w:lvlJc w:val="left"/>
      <w:pPr>
        <w:ind w:left="5880" w:firstLine="5520"/>
      </w:pPr>
      <w:rPr>
        <w:rFonts w:ascii="Arial" w:eastAsia="Arial" w:hAnsi="Arial" w:cs="Arial"/>
      </w:rPr>
    </w:lvl>
    <w:lvl w:ilvl="7">
      <w:start w:val="1"/>
      <w:numFmt w:val="bullet"/>
      <w:lvlText w:val="o"/>
      <w:lvlJc w:val="left"/>
      <w:pPr>
        <w:ind w:left="6600" w:firstLine="6240"/>
      </w:pPr>
      <w:rPr>
        <w:rFonts w:ascii="Arial" w:eastAsia="Arial" w:hAnsi="Arial" w:cs="Arial"/>
      </w:rPr>
    </w:lvl>
    <w:lvl w:ilvl="8">
      <w:start w:val="1"/>
      <w:numFmt w:val="bullet"/>
      <w:lvlText w:val="▪"/>
      <w:lvlJc w:val="left"/>
      <w:pPr>
        <w:ind w:left="7320" w:firstLine="6960"/>
      </w:pPr>
      <w:rPr>
        <w:rFonts w:ascii="Arial" w:eastAsia="Arial" w:hAnsi="Arial" w:cs="Arial"/>
      </w:rPr>
    </w:lvl>
  </w:abstractNum>
  <w:abstractNum w:abstractNumId="3" w15:restartNumberingAfterBreak="0">
    <w:nsid w:val="22E3298F"/>
    <w:multiLevelType w:val="multilevel"/>
    <w:tmpl w:val="86445EB4"/>
    <w:lvl w:ilvl="0">
      <w:start w:val="1"/>
      <w:numFmt w:val="decimal"/>
      <w:lvlText w:val="%1."/>
      <w:lvlJc w:val="left"/>
      <w:pPr>
        <w:ind w:left="1080" w:firstLine="720"/>
      </w:pPr>
    </w:lvl>
    <w:lvl w:ilvl="1">
      <w:start w:val="1"/>
      <w:numFmt w:val="decimal"/>
      <w:lvlText w:val="A%1.%2"/>
      <w:lvlJc w:val="left"/>
      <w:pPr>
        <w:ind w:left="720" w:firstLine="720"/>
      </w:pPr>
    </w:lvl>
    <w:lvl w:ilvl="2">
      <w:start w:val="1"/>
      <w:numFmt w:val="decimal"/>
      <w:lvlText w:val="A%1.%2.%3"/>
      <w:lvlJc w:val="left"/>
      <w:pPr>
        <w:ind w:left="1559" w:firstLine="839"/>
      </w:pPr>
      <w:rPr>
        <w:rFonts w:ascii="Calibri" w:eastAsia="Calibri" w:hAnsi="Calibri" w:cs="Calibri"/>
        <w:b w:val="0"/>
        <w:i w:val="0"/>
        <w:color w:val="000000"/>
        <w:sz w:val="22"/>
        <w:szCs w:val="22"/>
      </w:rPr>
    </w:lvl>
    <w:lvl w:ilvl="3">
      <w:start w:val="1"/>
      <w:numFmt w:val="decimal"/>
      <w:lvlText w:val="A%1.%2.%3.%4"/>
      <w:lvlJc w:val="left"/>
      <w:pPr>
        <w:ind w:left="1559" w:firstLine="839"/>
      </w:pPr>
      <w:rPr>
        <w:rFonts w:ascii="Calibri" w:eastAsia="Calibri" w:hAnsi="Calibri" w:cs="Calibri"/>
        <w:b w:val="0"/>
        <w:color w:val="000000"/>
        <w:sz w:val="22"/>
        <w:szCs w:val="22"/>
      </w:rPr>
    </w:lvl>
    <w:lvl w:ilvl="4">
      <w:start w:val="1"/>
      <w:numFmt w:val="decimal"/>
      <w:lvlText w:val="%1.%2.%3.%4.%5."/>
      <w:lvlJc w:val="left"/>
      <w:pPr>
        <w:ind w:left="2952" w:firstLine="2160"/>
      </w:pPr>
      <w:rPr>
        <w:rFonts w:ascii="Calibri" w:eastAsia="Calibri" w:hAnsi="Calibri" w:cs="Calibri"/>
        <w:u w:val="none"/>
      </w:rPr>
    </w:lvl>
    <w:lvl w:ilvl="5">
      <w:start w:val="1"/>
      <w:numFmt w:val="bullet"/>
      <w:lvlText w:val="■"/>
      <w:lvlJc w:val="left"/>
      <w:pPr>
        <w:ind w:left="3456" w:firstLine="2520"/>
      </w:pPr>
    </w:lvl>
    <w:lvl w:ilvl="6">
      <w:start w:val="1"/>
      <w:numFmt w:val="decimal"/>
      <w:lvlText w:val="%1.%2.%3.%4.%5.■.%7."/>
      <w:lvlJc w:val="left"/>
      <w:pPr>
        <w:ind w:left="3960" w:firstLine="2880"/>
      </w:pPr>
    </w:lvl>
    <w:lvl w:ilvl="7">
      <w:start w:val="1"/>
      <w:numFmt w:val="decimal"/>
      <w:lvlText w:val="%1.%2.%3.%4.%5.■.%7.%8."/>
      <w:lvlJc w:val="left"/>
      <w:pPr>
        <w:ind w:left="4464" w:firstLine="3240"/>
      </w:pPr>
    </w:lvl>
    <w:lvl w:ilvl="8">
      <w:start w:val="1"/>
      <w:numFmt w:val="decimal"/>
      <w:lvlText w:val="%1.%2.%3.%4.%5.■.%7.%8.%9."/>
      <w:lvlJc w:val="left"/>
      <w:pPr>
        <w:ind w:left="5040" w:firstLine="3600"/>
      </w:pPr>
    </w:lvl>
  </w:abstractNum>
  <w:abstractNum w:abstractNumId="4" w15:restartNumberingAfterBreak="0">
    <w:nsid w:val="236637F2"/>
    <w:multiLevelType w:val="multilevel"/>
    <w:tmpl w:val="11F65B40"/>
    <w:lvl w:ilvl="0">
      <w:start w:val="1"/>
      <w:numFmt w:val="bullet"/>
      <w:lvlText w:val="●"/>
      <w:lvlJc w:val="left"/>
      <w:pPr>
        <w:ind w:left="912" w:firstLine="552"/>
      </w:pPr>
      <w:rPr>
        <w:rFonts w:ascii="Arial" w:eastAsia="Arial" w:hAnsi="Arial" w:cs="Arial"/>
      </w:rPr>
    </w:lvl>
    <w:lvl w:ilvl="1">
      <w:start w:val="1"/>
      <w:numFmt w:val="bullet"/>
      <w:lvlText w:val="o"/>
      <w:lvlJc w:val="left"/>
      <w:pPr>
        <w:ind w:left="1632" w:firstLine="1272"/>
      </w:pPr>
      <w:rPr>
        <w:rFonts w:ascii="Arial" w:eastAsia="Arial" w:hAnsi="Arial" w:cs="Arial"/>
      </w:rPr>
    </w:lvl>
    <w:lvl w:ilvl="2">
      <w:start w:val="1"/>
      <w:numFmt w:val="bullet"/>
      <w:lvlText w:val="▪"/>
      <w:lvlJc w:val="left"/>
      <w:pPr>
        <w:ind w:left="2352" w:firstLine="1992"/>
      </w:pPr>
      <w:rPr>
        <w:rFonts w:ascii="Arial" w:eastAsia="Arial" w:hAnsi="Arial" w:cs="Arial"/>
      </w:rPr>
    </w:lvl>
    <w:lvl w:ilvl="3">
      <w:start w:val="1"/>
      <w:numFmt w:val="bullet"/>
      <w:lvlText w:val="●"/>
      <w:lvlJc w:val="left"/>
      <w:pPr>
        <w:ind w:left="3072" w:firstLine="2712"/>
      </w:pPr>
      <w:rPr>
        <w:rFonts w:ascii="Arial" w:eastAsia="Arial" w:hAnsi="Arial" w:cs="Arial"/>
      </w:rPr>
    </w:lvl>
    <w:lvl w:ilvl="4">
      <w:start w:val="1"/>
      <w:numFmt w:val="bullet"/>
      <w:lvlText w:val="o"/>
      <w:lvlJc w:val="left"/>
      <w:pPr>
        <w:ind w:left="3792" w:firstLine="3432"/>
      </w:pPr>
      <w:rPr>
        <w:rFonts w:ascii="Arial" w:eastAsia="Arial" w:hAnsi="Arial" w:cs="Arial"/>
      </w:rPr>
    </w:lvl>
    <w:lvl w:ilvl="5">
      <w:start w:val="1"/>
      <w:numFmt w:val="bullet"/>
      <w:lvlText w:val="▪"/>
      <w:lvlJc w:val="left"/>
      <w:pPr>
        <w:ind w:left="4512" w:firstLine="4152"/>
      </w:pPr>
      <w:rPr>
        <w:rFonts w:ascii="Arial" w:eastAsia="Arial" w:hAnsi="Arial" w:cs="Arial"/>
      </w:rPr>
    </w:lvl>
    <w:lvl w:ilvl="6">
      <w:start w:val="1"/>
      <w:numFmt w:val="bullet"/>
      <w:lvlText w:val="●"/>
      <w:lvlJc w:val="left"/>
      <w:pPr>
        <w:ind w:left="5232" w:firstLine="4872"/>
      </w:pPr>
      <w:rPr>
        <w:rFonts w:ascii="Arial" w:eastAsia="Arial" w:hAnsi="Arial" w:cs="Arial"/>
      </w:rPr>
    </w:lvl>
    <w:lvl w:ilvl="7">
      <w:start w:val="1"/>
      <w:numFmt w:val="bullet"/>
      <w:lvlText w:val="o"/>
      <w:lvlJc w:val="left"/>
      <w:pPr>
        <w:ind w:left="5952" w:firstLine="5592"/>
      </w:pPr>
      <w:rPr>
        <w:rFonts w:ascii="Arial" w:eastAsia="Arial" w:hAnsi="Arial" w:cs="Arial"/>
      </w:rPr>
    </w:lvl>
    <w:lvl w:ilvl="8">
      <w:start w:val="1"/>
      <w:numFmt w:val="bullet"/>
      <w:lvlText w:val="▪"/>
      <w:lvlJc w:val="left"/>
      <w:pPr>
        <w:ind w:left="6672" w:firstLine="6312"/>
      </w:pPr>
      <w:rPr>
        <w:rFonts w:ascii="Arial" w:eastAsia="Arial" w:hAnsi="Arial" w:cs="Arial"/>
      </w:rPr>
    </w:lvl>
  </w:abstractNum>
  <w:abstractNum w:abstractNumId="5" w15:restartNumberingAfterBreak="0">
    <w:nsid w:val="266D5C52"/>
    <w:multiLevelType w:val="multilevel"/>
    <w:tmpl w:val="DCDA4016"/>
    <w:lvl w:ilvl="0">
      <w:start w:val="1"/>
      <w:numFmt w:val="decimal"/>
      <w:lvlText w:val="%1."/>
      <w:lvlJc w:val="left"/>
      <w:pPr>
        <w:ind w:left="360" w:firstLine="0"/>
      </w:pPr>
    </w:lvl>
    <w:lvl w:ilvl="1">
      <w:start w:val="1"/>
      <w:numFmt w:val="decimal"/>
      <w:lvlText w:val="1.3%2"/>
      <w:lvlJc w:val="left"/>
      <w:pPr>
        <w:ind w:left="576" w:firstLine="0"/>
      </w:pPr>
    </w:lvl>
    <w:lvl w:ilvl="2">
      <w:start w:val="1"/>
      <w:numFmt w:val="decimal"/>
      <w:lvlText w:val="%1.%2.%3"/>
      <w:lvlJc w:val="left"/>
      <w:pPr>
        <w:ind w:left="840" w:firstLine="12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6" w15:restartNumberingAfterBreak="0">
    <w:nsid w:val="4C006B24"/>
    <w:multiLevelType w:val="multilevel"/>
    <w:tmpl w:val="1BF26E0C"/>
    <w:lvl w:ilvl="0">
      <w:start w:val="1"/>
      <w:numFmt w:val="lowerLetter"/>
      <w:lvlText w:val="%1)"/>
      <w:lvlJc w:val="left"/>
      <w:pPr>
        <w:ind w:left="976" w:firstLine="616"/>
      </w:pPr>
    </w:lvl>
    <w:lvl w:ilvl="1">
      <w:start w:val="1"/>
      <w:numFmt w:val="lowerLetter"/>
      <w:lvlText w:val="%2."/>
      <w:lvlJc w:val="left"/>
      <w:pPr>
        <w:ind w:left="1696" w:firstLine="1336"/>
      </w:pPr>
    </w:lvl>
    <w:lvl w:ilvl="2">
      <w:start w:val="1"/>
      <w:numFmt w:val="lowerRoman"/>
      <w:lvlText w:val="%3."/>
      <w:lvlJc w:val="right"/>
      <w:pPr>
        <w:ind w:left="2416" w:firstLine="2236"/>
      </w:pPr>
    </w:lvl>
    <w:lvl w:ilvl="3">
      <w:start w:val="1"/>
      <w:numFmt w:val="decimal"/>
      <w:lvlText w:val="%4."/>
      <w:lvlJc w:val="left"/>
      <w:pPr>
        <w:ind w:left="3136" w:firstLine="2776"/>
      </w:pPr>
    </w:lvl>
    <w:lvl w:ilvl="4">
      <w:start w:val="1"/>
      <w:numFmt w:val="lowerLetter"/>
      <w:lvlText w:val="%5."/>
      <w:lvlJc w:val="left"/>
      <w:pPr>
        <w:ind w:left="3856" w:firstLine="3496"/>
      </w:pPr>
    </w:lvl>
    <w:lvl w:ilvl="5">
      <w:start w:val="1"/>
      <w:numFmt w:val="lowerRoman"/>
      <w:lvlText w:val="%6."/>
      <w:lvlJc w:val="right"/>
      <w:pPr>
        <w:ind w:left="4576" w:firstLine="4396"/>
      </w:pPr>
    </w:lvl>
    <w:lvl w:ilvl="6">
      <w:start w:val="1"/>
      <w:numFmt w:val="decimal"/>
      <w:lvlText w:val="%7."/>
      <w:lvlJc w:val="left"/>
      <w:pPr>
        <w:ind w:left="5296" w:firstLine="4936"/>
      </w:pPr>
    </w:lvl>
    <w:lvl w:ilvl="7">
      <w:start w:val="1"/>
      <w:numFmt w:val="lowerLetter"/>
      <w:lvlText w:val="%8."/>
      <w:lvlJc w:val="left"/>
      <w:pPr>
        <w:ind w:left="6016" w:firstLine="5656"/>
      </w:pPr>
    </w:lvl>
    <w:lvl w:ilvl="8">
      <w:start w:val="1"/>
      <w:numFmt w:val="lowerRoman"/>
      <w:lvlText w:val="%9."/>
      <w:lvlJc w:val="right"/>
      <w:pPr>
        <w:ind w:left="6736" w:firstLine="6556"/>
      </w:pPr>
    </w:lvl>
  </w:abstractNum>
  <w:abstractNum w:abstractNumId="7" w15:restartNumberingAfterBreak="0">
    <w:nsid w:val="4CBE5259"/>
    <w:multiLevelType w:val="multilevel"/>
    <w:tmpl w:val="DEFCF6C0"/>
    <w:lvl w:ilvl="0">
      <w:start w:val="1"/>
      <w:numFmt w:val="decimal"/>
      <w:lvlText w:val="Appendix 1:"/>
      <w:lvlJc w:val="left"/>
      <w:pPr>
        <w:ind w:left="432" w:firstLine="0"/>
      </w:pPr>
    </w:lvl>
    <w:lvl w:ilvl="1">
      <w:start w:val="1"/>
      <w:numFmt w:val="decimal"/>
      <w:lvlText w:val="Part %2:"/>
      <w:lvlJc w:val="left"/>
      <w:pPr>
        <w:ind w:left="576" w:firstLine="0"/>
      </w:pPr>
    </w:lvl>
    <w:lvl w:ilvl="2">
      <w:start w:val="1"/>
      <w:numFmt w:val="decimal"/>
      <w:lvlText w:val="%1A.%3"/>
      <w:lvlJc w:val="left"/>
      <w:pPr>
        <w:ind w:left="840" w:firstLine="0"/>
      </w:pPr>
    </w:lvl>
    <w:lvl w:ilvl="3">
      <w:start w:val="1"/>
      <w:numFmt w:val="decimal"/>
      <w:lvlText w:val="%1A.%3.%4"/>
      <w:lvlJc w:val="left"/>
      <w:pPr>
        <w:ind w:left="864" w:firstLine="0"/>
      </w:pPr>
      <w:rPr>
        <w:sz w:val="22"/>
        <w:szCs w:val="22"/>
      </w:r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8" w15:restartNumberingAfterBreak="0">
    <w:nsid w:val="5CE86B44"/>
    <w:multiLevelType w:val="multilevel"/>
    <w:tmpl w:val="DDBE47A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840" w:firstLine="12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9" w15:restartNumberingAfterBreak="0">
    <w:nsid w:val="5F0C1C02"/>
    <w:multiLevelType w:val="hybridMultilevel"/>
    <w:tmpl w:val="CB68CE64"/>
    <w:lvl w:ilvl="0" w:tplc="AF6EBF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2229E"/>
    <w:multiLevelType w:val="multilevel"/>
    <w:tmpl w:val="86A4A044"/>
    <w:lvl w:ilvl="0">
      <w:start w:val="1"/>
      <w:numFmt w:val="decimal"/>
      <w:lvlText w:val="%1."/>
      <w:lvlJc w:val="left"/>
      <w:pPr>
        <w:ind w:left="1080" w:firstLine="720"/>
      </w:pPr>
    </w:lvl>
    <w:lvl w:ilvl="1">
      <w:start w:val="1"/>
      <w:numFmt w:val="decimal"/>
      <w:lvlText w:val="A%1.%2"/>
      <w:lvlJc w:val="left"/>
      <w:pPr>
        <w:ind w:left="720" w:firstLine="720"/>
      </w:pPr>
    </w:lvl>
    <w:lvl w:ilvl="2">
      <w:start w:val="1"/>
      <w:numFmt w:val="decimal"/>
      <w:lvlText w:val="A%1.%2.%3"/>
      <w:lvlJc w:val="left"/>
      <w:pPr>
        <w:ind w:left="1559" w:firstLine="839"/>
      </w:pPr>
      <w:rPr>
        <w:rFonts w:ascii="Calibri" w:eastAsia="Calibri" w:hAnsi="Calibri" w:cs="Calibri"/>
        <w:b w:val="0"/>
        <w:i w:val="0"/>
        <w:color w:val="000000"/>
        <w:sz w:val="22"/>
        <w:szCs w:val="22"/>
      </w:rPr>
    </w:lvl>
    <w:lvl w:ilvl="3">
      <w:start w:val="1"/>
      <w:numFmt w:val="decimal"/>
      <w:lvlText w:val="A%1.%2.%3.%4"/>
      <w:lvlJc w:val="left"/>
      <w:pPr>
        <w:ind w:left="1559" w:firstLine="839"/>
      </w:pPr>
      <w:rPr>
        <w:rFonts w:ascii="Calibri" w:eastAsia="Calibri" w:hAnsi="Calibri" w:cs="Calibri"/>
        <w:b w:val="0"/>
        <w:color w:val="000000"/>
        <w:sz w:val="22"/>
        <w:szCs w:val="22"/>
      </w:rPr>
    </w:lvl>
    <w:lvl w:ilvl="4">
      <w:start w:val="1"/>
      <w:numFmt w:val="decimal"/>
      <w:lvlText w:val="%1.%2.%3.%4.%5."/>
      <w:lvlJc w:val="left"/>
      <w:pPr>
        <w:ind w:left="2952" w:firstLine="2160"/>
      </w:pPr>
      <w:rPr>
        <w:rFonts w:ascii="Calibri" w:eastAsia="Calibri" w:hAnsi="Calibri" w:cs="Calibri"/>
        <w:u w:val="none"/>
      </w:rPr>
    </w:lvl>
    <w:lvl w:ilvl="5">
      <w:start w:val="1"/>
      <w:numFmt w:val="bullet"/>
      <w:lvlText w:val=""/>
      <w:lvlJc w:val="left"/>
      <w:pPr>
        <w:ind w:left="3456" w:firstLine="2520"/>
      </w:pPr>
      <w:rPr>
        <w:rFonts w:ascii="Symbol" w:hAnsi="Symbol" w:hint="default"/>
      </w:rPr>
    </w:lvl>
    <w:lvl w:ilvl="6">
      <w:start w:val="1"/>
      <w:numFmt w:val="decimal"/>
      <w:lvlText w:val="%1.%2.%3.%4.%5.■.%7."/>
      <w:lvlJc w:val="left"/>
      <w:pPr>
        <w:ind w:left="3960" w:firstLine="2880"/>
      </w:pPr>
    </w:lvl>
    <w:lvl w:ilvl="7">
      <w:start w:val="1"/>
      <w:numFmt w:val="decimal"/>
      <w:lvlText w:val="%1.%2.%3.%4.%5.■.%7.%8."/>
      <w:lvlJc w:val="left"/>
      <w:pPr>
        <w:ind w:left="4464" w:firstLine="3240"/>
      </w:pPr>
    </w:lvl>
    <w:lvl w:ilvl="8">
      <w:start w:val="1"/>
      <w:numFmt w:val="decimal"/>
      <w:lvlText w:val="%1.%2.%3.%4.%5.■.%7.%8.%9."/>
      <w:lvlJc w:val="left"/>
      <w:pPr>
        <w:ind w:left="5040" w:firstLine="3600"/>
      </w:pPr>
    </w:lvl>
  </w:abstractNum>
  <w:abstractNum w:abstractNumId="11" w15:restartNumberingAfterBreak="0">
    <w:nsid w:val="6868222B"/>
    <w:multiLevelType w:val="multilevel"/>
    <w:tmpl w:val="19FA1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88924EE"/>
    <w:multiLevelType w:val="multilevel"/>
    <w:tmpl w:val="105E678E"/>
    <w:lvl w:ilvl="0">
      <w:start w:val="1"/>
      <w:numFmt w:val="bullet"/>
      <w:lvlText w:val="●"/>
      <w:lvlJc w:val="left"/>
      <w:pPr>
        <w:ind w:left="1429" w:firstLine="1072"/>
      </w:pPr>
      <w:rPr>
        <w:rFonts w:ascii="Arial" w:eastAsia="Arial" w:hAnsi="Arial" w:cs="Arial"/>
        <w:b w:val="0"/>
        <w:i w:val="0"/>
        <w:smallCaps w:val="0"/>
        <w:strike w:val="0"/>
        <w:u w:val="none"/>
        <w:vertAlign w:val="baseline"/>
      </w:rPr>
    </w:lvl>
    <w:lvl w:ilvl="1">
      <w:start w:val="1"/>
      <w:numFmt w:val="bullet"/>
      <w:lvlText w:val="o"/>
      <w:lvlJc w:val="left"/>
      <w:pPr>
        <w:ind w:left="1702" w:firstLine="851"/>
      </w:pPr>
      <w:rPr>
        <w:rFonts w:ascii="Arial" w:eastAsia="Arial" w:hAnsi="Arial" w:cs="Arial"/>
        <w:b w:val="0"/>
        <w:i w:val="0"/>
        <w:smallCaps w:val="0"/>
        <w:strike w:val="0"/>
        <w:color w:val="000000"/>
        <w:u w:val="none"/>
        <w:vertAlign w:val="baseline"/>
      </w:rPr>
    </w:lvl>
    <w:lvl w:ilvl="2">
      <w:start w:val="1"/>
      <w:numFmt w:val="bullet"/>
      <w:lvlText w:val="●"/>
      <w:lvlJc w:val="left"/>
      <w:pPr>
        <w:ind w:left="2553" w:firstLine="1702"/>
      </w:pPr>
      <w:rPr>
        <w:rFonts w:ascii="Arial" w:eastAsia="Arial" w:hAnsi="Arial" w:cs="Arial"/>
        <w:b w:val="0"/>
        <w:i w:val="0"/>
        <w:smallCaps w:val="0"/>
        <w:strike w:val="0"/>
        <w:color w:val="000000"/>
        <w:u w:val="none"/>
        <w:vertAlign w:val="baseline"/>
      </w:rPr>
    </w:lvl>
    <w:lvl w:ilvl="3">
      <w:start w:val="1"/>
      <w:numFmt w:val="bullet"/>
      <w:lvlText w:val="●"/>
      <w:lvlJc w:val="left"/>
      <w:pPr>
        <w:ind w:left="3404" w:firstLine="2553"/>
      </w:pPr>
      <w:rPr>
        <w:rFonts w:ascii="Arial" w:eastAsia="Arial" w:hAnsi="Arial" w:cs="Arial"/>
        <w:b w:val="0"/>
        <w:i w:val="0"/>
        <w:smallCaps w:val="0"/>
        <w:strike w:val="0"/>
        <w:color w:val="000000"/>
        <w:u w:val="none"/>
        <w:vertAlign w:val="baseline"/>
      </w:rPr>
    </w:lvl>
    <w:lvl w:ilvl="4">
      <w:start w:val="1"/>
      <w:numFmt w:val="decimal"/>
      <w:lvlText w:val="Not Defined"/>
      <w:lvlJc w:val="left"/>
      <w:pPr>
        <w:ind w:left="0" w:firstLine="0"/>
      </w:pPr>
      <w:rPr>
        <w:b w:val="0"/>
        <w:i w:val="0"/>
        <w:smallCaps w:val="0"/>
        <w:strike w:val="0"/>
        <w:color w:val="000000"/>
        <w:u w:val="none"/>
        <w:vertAlign w:val="baseline"/>
      </w:rPr>
    </w:lvl>
    <w:lvl w:ilvl="5">
      <w:start w:val="1"/>
      <w:numFmt w:val="decimal"/>
      <w:lvlText w:val="Not Defined"/>
      <w:lvlJc w:val="left"/>
      <w:pPr>
        <w:ind w:left="0" w:firstLine="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3" w15:restartNumberingAfterBreak="0">
    <w:nsid w:val="6E2A19A5"/>
    <w:multiLevelType w:val="multilevel"/>
    <w:tmpl w:val="F75889B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E7304B6"/>
    <w:multiLevelType w:val="hybridMultilevel"/>
    <w:tmpl w:val="9C7E0348"/>
    <w:lvl w:ilvl="0" w:tplc="5A725788">
      <w:start w:val="1"/>
      <w:numFmt w:val="bullet"/>
      <w:lvlText w:val=""/>
      <w:lvlJc w:val="left"/>
      <w:pPr>
        <w:ind w:left="1440" w:hanging="360"/>
      </w:pPr>
      <w:rPr>
        <w:rFonts w:ascii="Symbol" w:hAnsi="Symbol" w:hint="default"/>
        <w:color w:val="1F4E79" w:themeColor="accent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E43C9A"/>
    <w:multiLevelType w:val="multilevel"/>
    <w:tmpl w:val="58F66E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7BE95F03"/>
    <w:multiLevelType w:val="multilevel"/>
    <w:tmpl w:val="958CA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E3768FB"/>
    <w:multiLevelType w:val="multilevel"/>
    <w:tmpl w:val="5B3EE630"/>
    <w:lvl w:ilvl="0">
      <w:start w:val="1"/>
      <w:numFmt w:val="bullet"/>
      <w:lvlText w:val="●"/>
      <w:lvlJc w:val="left"/>
      <w:pPr>
        <w:ind w:left="666" w:firstLine="1440"/>
      </w:pPr>
      <w:rPr>
        <w:rFonts w:ascii="Arial" w:eastAsia="Arial" w:hAnsi="Arial" w:cs="Arial"/>
      </w:rPr>
    </w:lvl>
    <w:lvl w:ilvl="1">
      <w:start w:val="1"/>
      <w:numFmt w:val="bullet"/>
      <w:lvlText w:val="o"/>
      <w:lvlJc w:val="left"/>
      <w:pPr>
        <w:ind w:left="1386" w:firstLine="2160"/>
      </w:pPr>
      <w:rPr>
        <w:rFonts w:ascii="Arial" w:eastAsia="Arial" w:hAnsi="Arial" w:cs="Arial"/>
      </w:rPr>
    </w:lvl>
    <w:lvl w:ilvl="2">
      <w:start w:val="1"/>
      <w:numFmt w:val="bullet"/>
      <w:lvlText w:val="▪"/>
      <w:lvlJc w:val="left"/>
      <w:pPr>
        <w:ind w:left="2106" w:firstLine="2880"/>
      </w:pPr>
      <w:rPr>
        <w:rFonts w:ascii="Arial" w:eastAsia="Arial" w:hAnsi="Arial" w:cs="Arial"/>
      </w:rPr>
    </w:lvl>
    <w:lvl w:ilvl="3">
      <w:start w:val="1"/>
      <w:numFmt w:val="bullet"/>
      <w:lvlText w:val="●"/>
      <w:lvlJc w:val="left"/>
      <w:pPr>
        <w:ind w:left="2826" w:firstLine="3600"/>
      </w:pPr>
      <w:rPr>
        <w:rFonts w:ascii="Arial" w:eastAsia="Arial" w:hAnsi="Arial" w:cs="Arial"/>
      </w:rPr>
    </w:lvl>
    <w:lvl w:ilvl="4">
      <w:start w:val="1"/>
      <w:numFmt w:val="bullet"/>
      <w:lvlText w:val="o"/>
      <w:lvlJc w:val="left"/>
      <w:pPr>
        <w:ind w:left="3546" w:firstLine="4320"/>
      </w:pPr>
      <w:rPr>
        <w:rFonts w:ascii="Arial" w:eastAsia="Arial" w:hAnsi="Arial" w:cs="Arial"/>
      </w:rPr>
    </w:lvl>
    <w:lvl w:ilvl="5">
      <w:start w:val="1"/>
      <w:numFmt w:val="bullet"/>
      <w:lvlText w:val="▪"/>
      <w:lvlJc w:val="left"/>
      <w:pPr>
        <w:ind w:left="4266" w:firstLine="5040"/>
      </w:pPr>
      <w:rPr>
        <w:rFonts w:ascii="Arial" w:eastAsia="Arial" w:hAnsi="Arial" w:cs="Arial"/>
      </w:rPr>
    </w:lvl>
    <w:lvl w:ilvl="6">
      <w:start w:val="1"/>
      <w:numFmt w:val="bullet"/>
      <w:lvlText w:val="●"/>
      <w:lvlJc w:val="left"/>
      <w:pPr>
        <w:ind w:left="4986" w:firstLine="5760"/>
      </w:pPr>
      <w:rPr>
        <w:rFonts w:ascii="Arial" w:eastAsia="Arial" w:hAnsi="Arial" w:cs="Arial"/>
      </w:rPr>
    </w:lvl>
    <w:lvl w:ilvl="7">
      <w:start w:val="1"/>
      <w:numFmt w:val="bullet"/>
      <w:lvlText w:val="o"/>
      <w:lvlJc w:val="left"/>
      <w:pPr>
        <w:ind w:left="5706" w:firstLine="6480"/>
      </w:pPr>
      <w:rPr>
        <w:rFonts w:ascii="Arial" w:eastAsia="Arial" w:hAnsi="Arial" w:cs="Arial"/>
      </w:rPr>
    </w:lvl>
    <w:lvl w:ilvl="8">
      <w:start w:val="1"/>
      <w:numFmt w:val="bullet"/>
      <w:lvlText w:val="▪"/>
      <w:lvlJc w:val="left"/>
      <w:pPr>
        <w:ind w:left="6426" w:firstLine="7200"/>
      </w:pPr>
      <w:rPr>
        <w:rFonts w:ascii="Arial" w:eastAsia="Arial" w:hAnsi="Arial" w:cs="Arial"/>
      </w:rPr>
    </w:lvl>
  </w:abstractNum>
  <w:num w:numId="1">
    <w:abstractNumId w:val="5"/>
  </w:num>
  <w:num w:numId="2">
    <w:abstractNumId w:val="13"/>
  </w:num>
  <w:num w:numId="3">
    <w:abstractNumId w:val="15"/>
  </w:num>
  <w:num w:numId="4">
    <w:abstractNumId w:val="12"/>
  </w:num>
  <w:num w:numId="5">
    <w:abstractNumId w:val="4"/>
  </w:num>
  <w:num w:numId="6">
    <w:abstractNumId w:val="1"/>
  </w:num>
  <w:num w:numId="7">
    <w:abstractNumId w:val="7"/>
  </w:num>
  <w:num w:numId="8">
    <w:abstractNumId w:val="8"/>
  </w:num>
  <w:num w:numId="9">
    <w:abstractNumId w:val="6"/>
  </w:num>
  <w:num w:numId="10">
    <w:abstractNumId w:val="2"/>
  </w:num>
  <w:num w:numId="11">
    <w:abstractNumId w:val="16"/>
  </w:num>
  <w:num w:numId="12">
    <w:abstractNumId w:val="11"/>
  </w:num>
  <w:num w:numId="13">
    <w:abstractNumId w:val="10"/>
  </w:num>
  <w:num w:numId="14">
    <w:abstractNumId w:val="3"/>
  </w:num>
  <w:num w:numId="15">
    <w:abstractNumId w:val="17"/>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656438"/>
    <w:rsid w:val="000003F0"/>
    <w:rsid w:val="00003215"/>
    <w:rsid w:val="00017DC8"/>
    <w:rsid w:val="000217B1"/>
    <w:rsid w:val="00023469"/>
    <w:rsid w:val="0002594C"/>
    <w:rsid w:val="00026B1C"/>
    <w:rsid w:val="00032807"/>
    <w:rsid w:val="000331DA"/>
    <w:rsid w:val="00040161"/>
    <w:rsid w:val="0004036C"/>
    <w:rsid w:val="000405A6"/>
    <w:rsid w:val="000433AA"/>
    <w:rsid w:val="000456D4"/>
    <w:rsid w:val="000456D5"/>
    <w:rsid w:val="00046DF9"/>
    <w:rsid w:val="00060890"/>
    <w:rsid w:val="00063EF2"/>
    <w:rsid w:val="000957E3"/>
    <w:rsid w:val="000A0FE0"/>
    <w:rsid w:val="000B0395"/>
    <w:rsid w:val="000B04EE"/>
    <w:rsid w:val="000B3820"/>
    <w:rsid w:val="000C0893"/>
    <w:rsid w:val="000C5B6E"/>
    <w:rsid w:val="000D29A2"/>
    <w:rsid w:val="000E3715"/>
    <w:rsid w:val="000F0031"/>
    <w:rsid w:val="001100DC"/>
    <w:rsid w:val="00131D06"/>
    <w:rsid w:val="0014493C"/>
    <w:rsid w:val="001508CB"/>
    <w:rsid w:val="001721F8"/>
    <w:rsid w:val="00173427"/>
    <w:rsid w:val="001808D0"/>
    <w:rsid w:val="001832B3"/>
    <w:rsid w:val="00184C42"/>
    <w:rsid w:val="00187D29"/>
    <w:rsid w:val="001A7FD8"/>
    <w:rsid w:val="001B3E33"/>
    <w:rsid w:val="001C0ACD"/>
    <w:rsid w:val="001C3131"/>
    <w:rsid w:val="001D592E"/>
    <w:rsid w:val="001E0CB7"/>
    <w:rsid w:val="001E3C5B"/>
    <w:rsid w:val="001E4C25"/>
    <w:rsid w:val="001E5BBA"/>
    <w:rsid w:val="001F1BCB"/>
    <w:rsid w:val="001F3452"/>
    <w:rsid w:val="001F38EE"/>
    <w:rsid w:val="001F3A0E"/>
    <w:rsid w:val="0020440B"/>
    <w:rsid w:val="0022068B"/>
    <w:rsid w:val="00241C28"/>
    <w:rsid w:val="00254080"/>
    <w:rsid w:val="00266667"/>
    <w:rsid w:val="00271451"/>
    <w:rsid w:val="0028793E"/>
    <w:rsid w:val="00292EF8"/>
    <w:rsid w:val="0029798A"/>
    <w:rsid w:val="002A6E02"/>
    <w:rsid w:val="002C092A"/>
    <w:rsid w:val="002D014D"/>
    <w:rsid w:val="002D2BE3"/>
    <w:rsid w:val="00301F19"/>
    <w:rsid w:val="00302A4E"/>
    <w:rsid w:val="00303F56"/>
    <w:rsid w:val="00323655"/>
    <w:rsid w:val="00355499"/>
    <w:rsid w:val="0035707C"/>
    <w:rsid w:val="0037057A"/>
    <w:rsid w:val="00376653"/>
    <w:rsid w:val="00377358"/>
    <w:rsid w:val="00392174"/>
    <w:rsid w:val="003935A6"/>
    <w:rsid w:val="003A46D6"/>
    <w:rsid w:val="003A51F8"/>
    <w:rsid w:val="003A67BB"/>
    <w:rsid w:val="003A714F"/>
    <w:rsid w:val="003B06F5"/>
    <w:rsid w:val="003B27E4"/>
    <w:rsid w:val="003B41CA"/>
    <w:rsid w:val="003B4B5F"/>
    <w:rsid w:val="003C2E77"/>
    <w:rsid w:val="003C3284"/>
    <w:rsid w:val="003D00A2"/>
    <w:rsid w:val="003E7A46"/>
    <w:rsid w:val="003F11CB"/>
    <w:rsid w:val="003F589E"/>
    <w:rsid w:val="00412522"/>
    <w:rsid w:val="004228DB"/>
    <w:rsid w:val="00423435"/>
    <w:rsid w:val="00431BC2"/>
    <w:rsid w:val="00437647"/>
    <w:rsid w:val="00451EE5"/>
    <w:rsid w:val="00452874"/>
    <w:rsid w:val="004535C3"/>
    <w:rsid w:val="00467ABC"/>
    <w:rsid w:val="00470ECB"/>
    <w:rsid w:val="00471C29"/>
    <w:rsid w:val="00471D5B"/>
    <w:rsid w:val="00496EE6"/>
    <w:rsid w:val="004A2648"/>
    <w:rsid w:val="004B6FEE"/>
    <w:rsid w:val="004C17AF"/>
    <w:rsid w:val="004C7B45"/>
    <w:rsid w:val="004E22F3"/>
    <w:rsid w:val="0050019F"/>
    <w:rsid w:val="00502099"/>
    <w:rsid w:val="00506723"/>
    <w:rsid w:val="00510E4D"/>
    <w:rsid w:val="0051113F"/>
    <w:rsid w:val="00512787"/>
    <w:rsid w:val="00525775"/>
    <w:rsid w:val="0053549B"/>
    <w:rsid w:val="005441E2"/>
    <w:rsid w:val="00564A0D"/>
    <w:rsid w:val="00572F5A"/>
    <w:rsid w:val="00582C87"/>
    <w:rsid w:val="0058497B"/>
    <w:rsid w:val="005904BA"/>
    <w:rsid w:val="00591790"/>
    <w:rsid w:val="00593BD4"/>
    <w:rsid w:val="00594C28"/>
    <w:rsid w:val="005A61C7"/>
    <w:rsid w:val="005B068F"/>
    <w:rsid w:val="005C3A57"/>
    <w:rsid w:val="005C6FD0"/>
    <w:rsid w:val="005D7C9D"/>
    <w:rsid w:val="00603447"/>
    <w:rsid w:val="0061428B"/>
    <w:rsid w:val="006162E9"/>
    <w:rsid w:val="00620B3C"/>
    <w:rsid w:val="0062395A"/>
    <w:rsid w:val="006331B9"/>
    <w:rsid w:val="00646A3C"/>
    <w:rsid w:val="00653953"/>
    <w:rsid w:val="00656438"/>
    <w:rsid w:val="0066252D"/>
    <w:rsid w:val="006631EA"/>
    <w:rsid w:val="006637DE"/>
    <w:rsid w:val="00682369"/>
    <w:rsid w:val="00682FAA"/>
    <w:rsid w:val="00691CA3"/>
    <w:rsid w:val="006B3389"/>
    <w:rsid w:val="006B57D8"/>
    <w:rsid w:val="006C114E"/>
    <w:rsid w:val="006C59A2"/>
    <w:rsid w:val="006C6DC8"/>
    <w:rsid w:val="006D3063"/>
    <w:rsid w:val="006D4EA5"/>
    <w:rsid w:val="006E4DE6"/>
    <w:rsid w:val="006E6109"/>
    <w:rsid w:val="00711D7B"/>
    <w:rsid w:val="00715A3D"/>
    <w:rsid w:val="00717175"/>
    <w:rsid w:val="007317ED"/>
    <w:rsid w:val="00732516"/>
    <w:rsid w:val="00733C00"/>
    <w:rsid w:val="0074155F"/>
    <w:rsid w:val="00741B3B"/>
    <w:rsid w:val="0076073B"/>
    <w:rsid w:val="007660EF"/>
    <w:rsid w:val="00766DB0"/>
    <w:rsid w:val="00773E45"/>
    <w:rsid w:val="00782F70"/>
    <w:rsid w:val="00785FF5"/>
    <w:rsid w:val="007907D1"/>
    <w:rsid w:val="00797AE1"/>
    <w:rsid w:val="007B4D7B"/>
    <w:rsid w:val="007B593A"/>
    <w:rsid w:val="007C3388"/>
    <w:rsid w:val="007E6E50"/>
    <w:rsid w:val="00800096"/>
    <w:rsid w:val="00803075"/>
    <w:rsid w:val="008041C0"/>
    <w:rsid w:val="0080597B"/>
    <w:rsid w:val="00820EEA"/>
    <w:rsid w:val="008317C4"/>
    <w:rsid w:val="008528A5"/>
    <w:rsid w:val="00866524"/>
    <w:rsid w:val="008803B7"/>
    <w:rsid w:val="00883E14"/>
    <w:rsid w:val="00885B9F"/>
    <w:rsid w:val="008A06F8"/>
    <w:rsid w:val="008C48D2"/>
    <w:rsid w:val="008D29A3"/>
    <w:rsid w:val="008D4775"/>
    <w:rsid w:val="008E0A69"/>
    <w:rsid w:val="008F341B"/>
    <w:rsid w:val="009023B1"/>
    <w:rsid w:val="0090272A"/>
    <w:rsid w:val="0094085E"/>
    <w:rsid w:val="00944A6B"/>
    <w:rsid w:val="00953966"/>
    <w:rsid w:val="00967E49"/>
    <w:rsid w:val="0099500F"/>
    <w:rsid w:val="009A5A4E"/>
    <w:rsid w:val="009B0AF7"/>
    <w:rsid w:val="009B7C2E"/>
    <w:rsid w:val="009C0AE8"/>
    <w:rsid w:val="009C0CF6"/>
    <w:rsid w:val="009C30A1"/>
    <w:rsid w:val="009C5714"/>
    <w:rsid w:val="009D0F35"/>
    <w:rsid w:val="009E503F"/>
    <w:rsid w:val="009E568B"/>
    <w:rsid w:val="009F094D"/>
    <w:rsid w:val="009F0C78"/>
    <w:rsid w:val="009F4BC6"/>
    <w:rsid w:val="00A143C6"/>
    <w:rsid w:val="00A26303"/>
    <w:rsid w:val="00A32880"/>
    <w:rsid w:val="00A409B6"/>
    <w:rsid w:val="00A426CD"/>
    <w:rsid w:val="00A468D9"/>
    <w:rsid w:val="00A50605"/>
    <w:rsid w:val="00A54C96"/>
    <w:rsid w:val="00A64C52"/>
    <w:rsid w:val="00A70A2A"/>
    <w:rsid w:val="00A712C3"/>
    <w:rsid w:val="00A719A0"/>
    <w:rsid w:val="00A72A68"/>
    <w:rsid w:val="00A7461F"/>
    <w:rsid w:val="00A8213B"/>
    <w:rsid w:val="00AA2EC2"/>
    <w:rsid w:val="00AC7FE8"/>
    <w:rsid w:val="00AD0FC3"/>
    <w:rsid w:val="00AD3441"/>
    <w:rsid w:val="00AD3457"/>
    <w:rsid w:val="00AE172A"/>
    <w:rsid w:val="00AE39EA"/>
    <w:rsid w:val="00AE7E66"/>
    <w:rsid w:val="00B24E0E"/>
    <w:rsid w:val="00B408BF"/>
    <w:rsid w:val="00B47EB1"/>
    <w:rsid w:val="00B621B3"/>
    <w:rsid w:val="00B63E25"/>
    <w:rsid w:val="00B64F50"/>
    <w:rsid w:val="00B67AE4"/>
    <w:rsid w:val="00B73D0C"/>
    <w:rsid w:val="00B74780"/>
    <w:rsid w:val="00B82245"/>
    <w:rsid w:val="00B83DBD"/>
    <w:rsid w:val="00B8463A"/>
    <w:rsid w:val="00B92FB0"/>
    <w:rsid w:val="00B94A99"/>
    <w:rsid w:val="00B94C44"/>
    <w:rsid w:val="00B95C18"/>
    <w:rsid w:val="00BA010D"/>
    <w:rsid w:val="00BA4169"/>
    <w:rsid w:val="00BB11C0"/>
    <w:rsid w:val="00BB51B7"/>
    <w:rsid w:val="00BB5A5D"/>
    <w:rsid w:val="00BB7A57"/>
    <w:rsid w:val="00BC250D"/>
    <w:rsid w:val="00BC428D"/>
    <w:rsid w:val="00BC52BA"/>
    <w:rsid w:val="00BD3137"/>
    <w:rsid w:val="00BE0006"/>
    <w:rsid w:val="00BE4231"/>
    <w:rsid w:val="00C015B1"/>
    <w:rsid w:val="00C03461"/>
    <w:rsid w:val="00C1551A"/>
    <w:rsid w:val="00C23E67"/>
    <w:rsid w:val="00C242B8"/>
    <w:rsid w:val="00C514E2"/>
    <w:rsid w:val="00C80B6D"/>
    <w:rsid w:val="00C92B57"/>
    <w:rsid w:val="00CA0DAF"/>
    <w:rsid w:val="00CA4A58"/>
    <w:rsid w:val="00CB1B18"/>
    <w:rsid w:val="00CC22F0"/>
    <w:rsid w:val="00CC680B"/>
    <w:rsid w:val="00CC71B5"/>
    <w:rsid w:val="00CD3D27"/>
    <w:rsid w:val="00CD45EC"/>
    <w:rsid w:val="00CE3834"/>
    <w:rsid w:val="00CE7703"/>
    <w:rsid w:val="00CF5969"/>
    <w:rsid w:val="00CF6519"/>
    <w:rsid w:val="00D000A6"/>
    <w:rsid w:val="00D0385B"/>
    <w:rsid w:val="00D12C05"/>
    <w:rsid w:val="00D15EA1"/>
    <w:rsid w:val="00D16991"/>
    <w:rsid w:val="00D35B4C"/>
    <w:rsid w:val="00D4091F"/>
    <w:rsid w:val="00D43D6B"/>
    <w:rsid w:val="00D47A88"/>
    <w:rsid w:val="00D61CEC"/>
    <w:rsid w:val="00D724C1"/>
    <w:rsid w:val="00D83DD5"/>
    <w:rsid w:val="00D9786E"/>
    <w:rsid w:val="00DA234A"/>
    <w:rsid w:val="00DA55B9"/>
    <w:rsid w:val="00DB04A4"/>
    <w:rsid w:val="00DC5744"/>
    <w:rsid w:val="00DE15D6"/>
    <w:rsid w:val="00DE6F8B"/>
    <w:rsid w:val="00DF218B"/>
    <w:rsid w:val="00DF4536"/>
    <w:rsid w:val="00E03522"/>
    <w:rsid w:val="00E07CB2"/>
    <w:rsid w:val="00E21FEB"/>
    <w:rsid w:val="00E32438"/>
    <w:rsid w:val="00E351D1"/>
    <w:rsid w:val="00E40C59"/>
    <w:rsid w:val="00E55019"/>
    <w:rsid w:val="00E64FF6"/>
    <w:rsid w:val="00E731B6"/>
    <w:rsid w:val="00E771F4"/>
    <w:rsid w:val="00E822C3"/>
    <w:rsid w:val="00E91BDD"/>
    <w:rsid w:val="00E92F48"/>
    <w:rsid w:val="00E96B31"/>
    <w:rsid w:val="00EC35DF"/>
    <w:rsid w:val="00EE37FA"/>
    <w:rsid w:val="00EE5CB7"/>
    <w:rsid w:val="00EE6757"/>
    <w:rsid w:val="00F03E39"/>
    <w:rsid w:val="00F10768"/>
    <w:rsid w:val="00F10D9B"/>
    <w:rsid w:val="00F115AB"/>
    <w:rsid w:val="00F115E1"/>
    <w:rsid w:val="00F160E7"/>
    <w:rsid w:val="00F244D6"/>
    <w:rsid w:val="00F2471F"/>
    <w:rsid w:val="00F2531A"/>
    <w:rsid w:val="00F2614B"/>
    <w:rsid w:val="00F30794"/>
    <w:rsid w:val="00F36BAC"/>
    <w:rsid w:val="00F46572"/>
    <w:rsid w:val="00F519D7"/>
    <w:rsid w:val="00F55B27"/>
    <w:rsid w:val="00F57E5D"/>
    <w:rsid w:val="00F650EE"/>
    <w:rsid w:val="00FA23D6"/>
    <w:rsid w:val="00FA24BA"/>
    <w:rsid w:val="00FB1A7E"/>
    <w:rsid w:val="00FB21F1"/>
    <w:rsid w:val="00FB6834"/>
    <w:rsid w:val="00FC1026"/>
    <w:rsid w:val="00FD214C"/>
    <w:rsid w:val="00FD4A91"/>
    <w:rsid w:val="00FE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77857"/>
  <w15:docId w15:val="{E60D0231-29C6-4D2C-A49A-EC879CEC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64"/>
      </w:tabs>
      <w:spacing w:line="240" w:lineRule="auto"/>
      <w:ind w:left="567" w:hanging="567"/>
      <w:jc w:val="left"/>
      <w:outlineLvl w:val="0"/>
    </w:pPr>
    <w:rPr>
      <w:rFonts w:ascii="Calibri" w:eastAsia="Calibri" w:hAnsi="Calibri" w:cs="Calibri"/>
      <w:b/>
      <w:color w:val="1F497D"/>
      <w:sz w:val="28"/>
      <w:szCs w:val="28"/>
    </w:rPr>
  </w:style>
  <w:style w:type="paragraph" w:styleId="Heading2">
    <w:name w:val="heading 2"/>
    <w:basedOn w:val="Normal"/>
    <w:next w:val="Normal"/>
    <w:pPr>
      <w:keepNext/>
      <w:keepLines/>
      <w:tabs>
        <w:tab w:val="left" w:pos="864"/>
      </w:tabs>
      <w:spacing w:before="360"/>
      <w:ind w:left="576" w:hanging="576"/>
      <w:jc w:val="left"/>
      <w:outlineLvl w:val="1"/>
    </w:pPr>
    <w:rPr>
      <w:rFonts w:ascii="Calibri" w:eastAsia="Calibri" w:hAnsi="Calibri" w:cs="Calibri"/>
      <w:b/>
      <w:color w:val="1F497D"/>
      <w:sz w:val="26"/>
      <w:szCs w:val="26"/>
    </w:rPr>
  </w:style>
  <w:style w:type="paragraph" w:styleId="Heading3">
    <w:name w:val="heading 3"/>
    <w:basedOn w:val="Normal"/>
    <w:next w:val="Normal"/>
    <w:link w:val="Heading3Char"/>
    <w:pPr>
      <w:keepNext/>
      <w:keepLines/>
      <w:tabs>
        <w:tab w:val="left" w:pos="864"/>
      </w:tabs>
      <w:spacing w:line="264" w:lineRule="auto"/>
      <w:ind w:left="1080" w:hanging="360"/>
      <w:outlineLvl w:val="2"/>
    </w:pPr>
    <w:rPr>
      <w:rFonts w:ascii="Calibri" w:eastAsia="Calibri" w:hAnsi="Calibri" w:cs="Calibri"/>
    </w:rPr>
  </w:style>
  <w:style w:type="paragraph" w:styleId="Heading4">
    <w:name w:val="heading 4"/>
    <w:basedOn w:val="Normal"/>
    <w:next w:val="Normal"/>
    <w:pPr>
      <w:keepNext/>
      <w:keepLines/>
      <w:tabs>
        <w:tab w:val="left" w:pos="864"/>
      </w:tabs>
      <w:spacing w:before="80" w:after="240" w:line="240" w:lineRule="auto"/>
      <w:ind w:left="576" w:hanging="576"/>
      <w:jc w:val="left"/>
      <w:outlineLvl w:val="3"/>
    </w:pPr>
    <w:rPr>
      <w:rFonts w:ascii="Calibri" w:eastAsia="Calibri" w:hAnsi="Calibri" w:cs="Calibri"/>
      <w:i/>
      <w:color w:val="1F497D"/>
      <w:sz w:val="26"/>
      <w:szCs w:val="26"/>
    </w:rPr>
  </w:style>
  <w:style w:type="paragraph" w:styleId="Heading5">
    <w:name w:val="heading 5"/>
    <w:basedOn w:val="Normal"/>
    <w:next w:val="Normal"/>
    <w:pPr>
      <w:keepNext/>
      <w:keepLines/>
      <w:spacing w:before="360" w:line="240" w:lineRule="auto"/>
      <w:outlineLvl w:val="4"/>
    </w:pPr>
    <w:rPr>
      <w:rFonts w:ascii="Calibri" w:eastAsia="Calibri" w:hAnsi="Calibri" w:cs="Calibri"/>
      <w:color w:val="1F497D"/>
      <w:sz w:val="24"/>
      <w:szCs w:val="24"/>
    </w:rPr>
  </w:style>
  <w:style w:type="paragraph" w:styleId="Heading6">
    <w:name w:val="heading 6"/>
    <w:basedOn w:val="Normal"/>
    <w:next w:val="Normal"/>
    <w:pPr>
      <w:keepNext/>
      <w:keepLines/>
      <w:spacing w:before="240" w:line="264" w:lineRule="auto"/>
      <w:outlineLvl w:val="5"/>
    </w:pPr>
    <w:rPr>
      <w:rFonts w:ascii="Calibri" w:eastAsia="Calibri" w:hAnsi="Calibri" w:cs="Calibri"/>
      <w:i/>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E0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C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4D7B"/>
    <w:rPr>
      <w:b/>
      <w:bCs/>
    </w:rPr>
  </w:style>
  <w:style w:type="character" w:customStyle="1" w:styleId="CommentSubjectChar">
    <w:name w:val="Comment Subject Char"/>
    <w:basedOn w:val="CommentTextChar"/>
    <w:link w:val="CommentSubject"/>
    <w:uiPriority w:val="99"/>
    <w:semiHidden/>
    <w:rsid w:val="007B4D7B"/>
    <w:rPr>
      <w:b/>
      <w:bCs/>
      <w:sz w:val="20"/>
      <w:szCs w:val="20"/>
    </w:rPr>
  </w:style>
  <w:style w:type="paragraph" w:styleId="Header">
    <w:name w:val="header"/>
    <w:basedOn w:val="Normal"/>
    <w:link w:val="HeaderChar"/>
    <w:uiPriority w:val="99"/>
    <w:unhideWhenUsed/>
    <w:rsid w:val="007B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D7B"/>
  </w:style>
  <w:style w:type="paragraph" w:styleId="Footer">
    <w:name w:val="footer"/>
    <w:basedOn w:val="Normal"/>
    <w:link w:val="FooterChar"/>
    <w:uiPriority w:val="99"/>
    <w:unhideWhenUsed/>
    <w:rsid w:val="007B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D7B"/>
  </w:style>
  <w:style w:type="paragraph" w:styleId="FootnoteText">
    <w:name w:val="footnote text"/>
    <w:basedOn w:val="Normal"/>
    <w:link w:val="FootnoteTextChar"/>
    <w:uiPriority w:val="99"/>
    <w:semiHidden/>
    <w:unhideWhenUsed/>
    <w:rsid w:val="00355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499"/>
    <w:rPr>
      <w:sz w:val="20"/>
      <w:szCs w:val="20"/>
    </w:rPr>
  </w:style>
  <w:style w:type="character" w:styleId="FootnoteReference">
    <w:name w:val="footnote reference"/>
    <w:basedOn w:val="DefaultParagraphFont"/>
    <w:uiPriority w:val="99"/>
    <w:semiHidden/>
    <w:unhideWhenUsed/>
    <w:rsid w:val="00355499"/>
    <w:rPr>
      <w:vertAlign w:val="superscript"/>
    </w:rPr>
  </w:style>
  <w:style w:type="character" w:styleId="Hyperlink">
    <w:name w:val="Hyperlink"/>
    <w:basedOn w:val="DefaultParagraphFont"/>
    <w:uiPriority w:val="99"/>
    <w:semiHidden/>
    <w:unhideWhenUsed/>
    <w:rsid w:val="00355499"/>
    <w:rPr>
      <w:color w:val="0000FF"/>
      <w:u w:val="single"/>
    </w:rPr>
  </w:style>
  <w:style w:type="paragraph" w:styleId="ListParagraph">
    <w:name w:val="List Paragraph"/>
    <w:basedOn w:val="Normal"/>
    <w:uiPriority w:val="34"/>
    <w:qFormat/>
    <w:rsid w:val="005A61C7"/>
    <w:pPr>
      <w:ind w:left="720"/>
      <w:contextualSpacing/>
    </w:pPr>
  </w:style>
  <w:style w:type="character" w:customStyle="1" w:styleId="Heading3Char">
    <w:name w:val="Heading 3 Char"/>
    <w:basedOn w:val="DefaultParagraphFont"/>
    <w:link w:val="Heading3"/>
    <w:rsid w:val="00A72A68"/>
    <w:rPr>
      <w:rFonts w:ascii="Calibri" w:eastAsia="Calibri" w:hAnsi="Calibri" w:cs="Calibri"/>
    </w:rPr>
  </w:style>
  <w:style w:type="paragraph" w:styleId="Revision">
    <w:name w:val="Revision"/>
    <w:hidden/>
    <w:uiPriority w:val="99"/>
    <w:semiHidden/>
    <w:rsid w:val="00572F5A"/>
    <w:pPr>
      <w:spacing w:after="0" w:line="240" w:lineRule="auto"/>
      <w:jc w:val="left"/>
    </w:pPr>
  </w:style>
  <w:style w:type="character" w:customStyle="1" w:styleId="il">
    <w:name w:val="il"/>
    <w:basedOn w:val="DefaultParagraphFont"/>
    <w:rsid w:val="004B6FEE"/>
  </w:style>
  <w:style w:type="paragraph" w:styleId="NormalWeb">
    <w:name w:val="Normal (Web)"/>
    <w:basedOn w:val="Normal"/>
    <w:uiPriority w:val="99"/>
    <w:semiHidden/>
    <w:unhideWhenUsed/>
    <w:rsid w:val="00803075"/>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1743">
      <w:bodyDiv w:val="1"/>
      <w:marLeft w:val="0"/>
      <w:marRight w:val="0"/>
      <w:marTop w:val="0"/>
      <w:marBottom w:val="0"/>
      <w:divBdr>
        <w:top w:val="none" w:sz="0" w:space="0" w:color="auto"/>
        <w:left w:val="none" w:sz="0" w:space="0" w:color="auto"/>
        <w:bottom w:val="none" w:sz="0" w:space="0" w:color="auto"/>
        <w:right w:val="none" w:sz="0" w:space="0" w:color="auto"/>
      </w:divBdr>
    </w:div>
    <w:div w:id="619382426">
      <w:bodyDiv w:val="1"/>
      <w:marLeft w:val="0"/>
      <w:marRight w:val="0"/>
      <w:marTop w:val="0"/>
      <w:marBottom w:val="0"/>
      <w:divBdr>
        <w:top w:val="none" w:sz="0" w:space="0" w:color="auto"/>
        <w:left w:val="none" w:sz="0" w:space="0" w:color="auto"/>
        <w:bottom w:val="none" w:sz="0" w:space="0" w:color="auto"/>
        <w:right w:val="none" w:sz="0" w:space="0" w:color="auto"/>
      </w:divBdr>
    </w:div>
    <w:div w:id="734164574">
      <w:bodyDiv w:val="1"/>
      <w:marLeft w:val="0"/>
      <w:marRight w:val="0"/>
      <w:marTop w:val="0"/>
      <w:marBottom w:val="0"/>
      <w:divBdr>
        <w:top w:val="none" w:sz="0" w:space="0" w:color="auto"/>
        <w:left w:val="none" w:sz="0" w:space="0" w:color="auto"/>
        <w:bottom w:val="none" w:sz="0" w:space="0" w:color="auto"/>
        <w:right w:val="none" w:sz="0" w:space="0" w:color="auto"/>
      </w:divBdr>
    </w:div>
    <w:div w:id="756100542">
      <w:bodyDiv w:val="1"/>
      <w:marLeft w:val="0"/>
      <w:marRight w:val="0"/>
      <w:marTop w:val="0"/>
      <w:marBottom w:val="0"/>
      <w:divBdr>
        <w:top w:val="none" w:sz="0" w:space="0" w:color="auto"/>
        <w:left w:val="none" w:sz="0" w:space="0" w:color="auto"/>
        <w:bottom w:val="none" w:sz="0" w:space="0" w:color="auto"/>
        <w:right w:val="none" w:sz="0" w:space="0" w:color="auto"/>
      </w:divBdr>
    </w:div>
    <w:div w:id="1008750032">
      <w:bodyDiv w:val="1"/>
      <w:marLeft w:val="0"/>
      <w:marRight w:val="0"/>
      <w:marTop w:val="0"/>
      <w:marBottom w:val="0"/>
      <w:divBdr>
        <w:top w:val="none" w:sz="0" w:space="0" w:color="auto"/>
        <w:left w:val="none" w:sz="0" w:space="0" w:color="auto"/>
        <w:bottom w:val="none" w:sz="0" w:space="0" w:color="auto"/>
        <w:right w:val="none" w:sz="0" w:space="0" w:color="auto"/>
      </w:divBdr>
    </w:div>
    <w:div w:id="1059093209">
      <w:bodyDiv w:val="1"/>
      <w:marLeft w:val="0"/>
      <w:marRight w:val="0"/>
      <w:marTop w:val="0"/>
      <w:marBottom w:val="0"/>
      <w:divBdr>
        <w:top w:val="none" w:sz="0" w:space="0" w:color="auto"/>
        <w:left w:val="none" w:sz="0" w:space="0" w:color="auto"/>
        <w:bottom w:val="none" w:sz="0" w:space="0" w:color="auto"/>
        <w:right w:val="none" w:sz="0" w:space="0" w:color="auto"/>
      </w:divBdr>
      <w:divsChild>
        <w:div w:id="81699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08546">
              <w:marLeft w:val="0"/>
              <w:marRight w:val="0"/>
              <w:marTop w:val="0"/>
              <w:marBottom w:val="0"/>
              <w:divBdr>
                <w:top w:val="none" w:sz="0" w:space="0" w:color="auto"/>
                <w:left w:val="none" w:sz="0" w:space="0" w:color="auto"/>
                <w:bottom w:val="none" w:sz="0" w:space="0" w:color="auto"/>
                <w:right w:val="none" w:sz="0" w:space="0" w:color="auto"/>
              </w:divBdr>
              <w:divsChild>
                <w:div w:id="119153151">
                  <w:marLeft w:val="0"/>
                  <w:marRight w:val="0"/>
                  <w:marTop w:val="0"/>
                  <w:marBottom w:val="0"/>
                  <w:divBdr>
                    <w:top w:val="none" w:sz="0" w:space="0" w:color="auto"/>
                    <w:left w:val="none" w:sz="0" w:space="0" w:color="auto"/>
                    <w:bottom w:val="none" w:sz="0" w:space="0" w:color="auto"/>
                    <w:right w:val="none" w:sz="0" w:space="0" w:color="auto"/>
                  </w:divBdr>
                  <w:divsChild>
                    <w:div w:id="66729823">
                      <w:marLeft w:val="0"/>
                      <w:marRight w:val="0"/>
                      <w:marTop w:val="0"/>
                      <w:marBottom w:val="0"/>
                      <w:divBdr>
                        <w:top w:val="none" w:sz="0" w:space="0" w:color="auto"/>
                        <w:left w:val="none" w:sz="0" w:space="0" w:color="auto"/>
                        <w:bottom w:val="none" w:sz="0" w:space="0" w:color="auto"/>
                        <w:right w:val="none" w:sz="0" w:space="0" w:color="auto"/>
                      </w:divBdr>
                    </w:div>
                    <w:div w:id="1076364932">
                      <w:marLeft w:val="0"/>
                      <w:marRight w:val="0"/>
                      <w:marTop w:val="0"/>
                      <w:marBottom w:val="0"/>
                      <w:divBdr>
                        <w:top w:val="none" w:sz="0" w:space="0" w:color="auto"/>
                        <w:left w:val="none" w:sz="0" w:space="0" w:color="auto"/>
                        <w:bottom w:val="none" w:sz="0" w:space="0" w:color="auto"/>
                        <w:right w:val="none" w:sz="0" w:space="0" w:color="auto"/>
                      </w:divBdr>
                    </w:div>
                    <w:div w:id="1937977679">
                      <w:marLeft w:val="0"/>
                      <w:marRight w:val="0"/>
                      <w:marTop w:val="0"/>
                      <w:marBottom w:val="0"/>
                      <w:divBdr>
                        <w:top w:val="none" w:sz="0" w:space="0" w:color="auto"/>
                        <w:left w:val="none" w:sz="0" w:space="0" w:color="auto"/>
                        <w:bottom w:val="none" w:sz="0" w:space="0" w:color="auto"/>
                        <w:right w:val="none" w:sz="0" w:space="0" w:color="auto"/>
                      </w:divBdr>
                    </w:div>
                    <w:div w:id="1260456006">
                      <w:marLeft w:val="0"/>
                      <w:marRight w:val="0"/>
                      <w:marTop w:val="0"/>
                      <w:marBottom w:val="0"/>
                      <w:divBdr>
                        <w:top w:val="none" w:sz="0" w:space="0" w:color="auto"/>
                        <w:left w:val="none" w:sz="0" w:space="0" w:color="auto"/>
                        <w:bottom w:val="none" w:sz="0" w:space="0" w:color="auto"/>
                        <w:right w:val="none" w:sz="0" w:space="0" w:color="auto"/>
                      </w:divBdr>
                    </w:div>
                    <w:div w:id="1655917167">
                      <w:marLeft w:val="0"/>
                      <w:marRight w:val="0"/>
                      <w:marTop w:val="0"/>
                      <w:marBottom w:val="0"/>
                      <w:divBdr>
                        <w:top w:val="none" w:sz="0" w:space="0" w:color="auto"/>
                        <w:left w:val="none" w:sz="0" w:space="0" w:color="auto"/>
                        <w:bottom w:val="none" w:sz="0" w:space="0" w:color="auto"/>
                        <w:right w:val="none" w:sz="0" w:space="0" w:color="auto"/>
                      </w:divBdr>
                    </w:div>
                    <w:div w:id="761726210">
                      <w:marLeft w:val="0"/>
                      <w:marRight w:val="0"/>
                      <w:marTop w:val="0"/>
                      <w:marBottom w:val="0"/>
                      <w:divBdr>
                        <w:top w:val="none" w:sz="0" w:space="0" w:color="auto"/>
                        <w:left w:val="none" w:sz="0" w:space="0" w:color="auto"/>
                        <w:bottom w:val="none" w:sz="0" w:space="0" w:color="auto"/>
                        <w:right w:val="none" w:sz="0" w:space="0" w:color="auto"/>
                      </w:divBdr>
                    </w:div>
                    <w:div w:id="665984337">
                      <w:marLeft w:val="0"/>
                      <w:marRight w:val="0"/>
                      <w:marTop w:val="0"/>
                      <w:marBottom w:val="0"/>
                      <w:divBdr>
                        <w:top w:val="none" w:sz="0" w:space="0" w:color="auto"/>
                        <w:left w:val="none" w:sz="0" w:space="0" w:color="auto"/>
                        <w:bottom w:val="none" w:sz="0" w:space="0" w:color="auto"/>
                        <w:right w:val="none" w:sz="0" w:space="0" w:color="auto"/>
                      </w:divBdr>
                    </w:div>
                    <w:div w:id="10213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8090">
      <w:bodyDiv w:val="1"/>
      <w:marLeft w:val="0"/>
      <w:marRight w:val="0"/>
      <w:marTop w:val="0"/>
      <w:marBottom w:val="0"/>
      <w:divBdr>
        <w:top w:val="none" w:sz="0" w:space="0" w:color="auto"/>
        <w:left w:val="none" w:sz="0" w:space="0" w:color="auto"/>
        <w:bottom w:val="none" w:sz="0" w:space="0" w:color="auto"/>
        <w:right w:val="none" w:sz="0" w:space="0" w:color="auto"/>
      </w:divBdr>
    </w:div>
    <w:div w:id="1375152545">
      <w:bodyDiv w:val="1"/>
      <w:marLeft w:val="0"/>
      <w:marRight w:val="0"/>
      <w:marTop w:val="0"/>
      <w:marBottom w:val="0"/>
      <w:divBdr>
        <w:top w:val="none" w:sz="0" w:space="0" w:color="auto"/>
        <w:left w:val="none" w:sz="0" w:space="0" w:color="auto"/>
        <w:bottom w:val="none" w:sz="0" w:space="0" w:color="auto"/>
        <w:right w:val="none" w:sz="0" w:space="0" w:color="auto"/>
      </w:divBdr>
    </w:div>
    <w:div w:id="1379278609">
      <w:bodyDiv w:val="1"/>
      <w:marLeft w:val="0"/>
      <w:marRight w:val="0"/>
      <w:marTop w:val="0"/>
      <w:marBottom w:val="0"/>
      <w:divBdr>
        <w:top w:val="none" w:sz="0" w:space="0" w:color="auto"/>
        <w:left w:val="none" w:sz="0" w:space="0" w:color="auto"/>
        <w:bottom w:val="none" w:sz="0" w:space="0" w:color="auto"/>
        <w:right w:val="none" w:sz="0" w:space="0" w:color="auto"/>
      </w:divBdr>
    </w:div>
    <w:div w:id="1417092165">
      <w:bodyDiv w:val="1"/>
      <w:marLeft w:val="0"/>
      <w:marRight w:val="0"/>
      <w:marTop w:val="0"/>
      <w:marBottom w:val="0"/>
      <w:divBdr>
        <w:top w:val="none" w:sz="0" w:space="0" w:color="auto"/>
        <w:left w:val="none" w:sz="0" w:space="0" w:color="auto"/>
        <w:bottom w:val="none" w:sz="0" w:space="0" w:color="auto"/>
        <w:right w:val="none" w:sz="0" w:space="0" w:color="auto"/>
      </w:divBdr>
    </w:div>
    <w:div w:id="1546259822">
      <w:bodyDiv w:val="1"/>
      <w:marLeft w:val="0"/>
      <w:marRight w:val="0"/>
      <w:marTop w:val="0"/>
      <w:marBottom w:val="0"/>
      <w:divBdr>
        <w:top w:val="none" w:sz="0" w:space="0" w:color="auto"/>
        <w:left w:val="none" w:sz="0" w:space="0" w:color="auto"/>
        <w:bottom w:val="none" w:sz="0" w:space="0" w:color="auto"/>
        <w:right w:val="none" w:sz="0" w:space="0" w:color="auto"/>
      </w:divBdr>
    </w:div>
    <w:div w:id="160504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16R0007&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7CC5-EE04-4A06-8308-9FFF36CC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10912</Words>
  <Characters>62200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72967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Pinsent Masons LLP</dc:creator>
  <cp:lastModifiedBy>Tom Conlon</cp:lastModifiedBy>
  <cp:revision>2</cp:revision>
  <dcterms:created xsi:type="dcterms:W3CDTF">2019-01-04T12:45:00Z</dcterms:created>
  <dcterms:modified xsi:type="dcterms:W3CDTF">2019-01-04T12:45:00Z</dcterms:modified>
</cp:coreProperties>
</file>