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44C16" w14:textId="77777777" w:rsidR="006A4F7A" w:rsidRDefault="006A4F7A" w:rsidP="00B974BE">
      <w:pPr>
        <w:jc w:val="left"/>
        <w:rPr>
          <w:bCs/>
        </w:rPr>
      </w:pPr>
    </w:p>
    <w:p w14:paraId="6007D370" w14:textId="77777777" w:rsidR="006A4F7A" w:rsidRDefault="006A4F7A" w:rsidP="00B974BE">
      <w:pPr>
        <w:jc w:val="left"/>
        <w:rPr>
          <w:bCs/>
        </w:rPr>
      </w:pPr>
    </w:p>
    <w:p w14:paraId="27475BA9" w14:textId="77777777" w:rsidR="00810AB4" w:rsidRDefault="007F1B4E" w:rsidP="00B974BE">
      <w:pPr>
        <w:jc w:val="left"/>
        <w:rPr>
          <w:bCs/>
        </w:rPr>
      </w:pPr>
      <w:r>
        <w:rPr>
          <w:bCs/>
          <w:noProof/>
        </w:rPr>
        <mc:AlternateContent>
          <mc:Choice Requires="wps">
            <w:drawing>
              <wp:inline distT="0" distB="0" distL="0" distR="0" wp14:anchorId="3DC12609" wp14:editId="35DD0887">
                <wp:extent cx="5720715" cy="1501140"/>
                <wp:effectExtent l="9525" t="6350" r="13335" b="6985"/>
                <wp:docPr id="3"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1501140"/>
                        </a:xfrm>
                        <a:prstGeom prst="rect">
                          <a:avLst/>
                        </a:prstGeom>
                        <a:solidFill>
                          <a:srgbClr val="FFFFFF"/>
                        </a:solidFill>
                        <a:ln w="12700">
                          <a:solidFill>
                            <a:srgbClr val="000000"/>
                          </a:solidFill>
                          <a:miter lim="800000"/>
                          <a:headEnd/>
                          <a:tailEnd/>
                        </a:ln>
                      </wps:spPr>
                      <wps:txbx>
                        <w:txbxContent>
                          <w:p w14:paraId="4D64D2F2" w14:textId="77777777" w:rsidR="00A71A23" w:rsidRPr="00690C9D" w:rsidRDefault="00A71A23" w:rsidP="00B326E5">
                            <w:pPr>
                              <w:pStyle w:val="NormalWeb"/>
                              <w:rPr>
                                <w:rFonts w:ascii="Calibri" w:hAnsi="Calibri"/>
                                <w:b/>
                                <w:bCs/>
                                <w:color w:val="000000"/>
                                <w:sz w:val="40"/>
                                <w:szCs w:val="28"/>
                              </w:rPr>
                            </w:pPr>
                            <w:r>
                              <w:rPr>
                                <w:b/>
                                <w:bCs/>
                                <w:color w:val="000000"/>
                                <w:sz w:val="40"/>
                                <w:szCs w:val="28"/>
                              </w:rPr>
                              <w:t>Fostering in England, 2015-16</w:t>
                            </w:r>
                          </w:p>
                          <w:p w14:paraId="2FFD5B77" w14:textId="77777777" w:rsidR="00A71A23" w:rsidRPr="00D04363" w:rsidRDefault="00A71A23" w:rsidP="00771A3A">
                            <w:pPr>
                              <w:pStyle w:val="NormalWeb"/>
                              <w:jc w:val="left"/>
                              <w:rPr>
                                <w:sz w:val="4"/>
                                <w:szCs w:val="4"/>
                              </w:rPr>
                            </w:pPr>
                          </w:p>
                          <w:p w14:paraId="25AABDFF" w14:textId="77777777" w:rsidR="00A71A23" w:rsidRPr="004520FF" w:rsidRDefault="00A71A23" w:rsidP="00771A3A">
                            <w:pPr>
                              <w:jc w:val="left"/>
                              <w:rPr>
                                <w:rFonts w:ascii="Times New Roman" w:hAnsi="Times New Roman"/>
                                <w:sz w:val="22"/>
                                <w:szCs w:val="22"/>
                              </w:rPr>
                            </w:pPr>
                            <w:r w:rsidRPr="004520FF">
                              <w:rPr>
                                <w:color w:val="000000"/>
                                <w:sz w:val="22"/>
                                <w:szCs w:val="22"/>
                              </w:rPr>
                              <w:t>This release covers:</w:t>
                            </w:r>
                          </w:p>
                          <w:p w14:paraId="2247AA58" w14:textId="77777777" w:rsidR="00A71A23" w:rsidRPr="004520FF" w:rsidRDefault="00A71A23" w:rsidP="00FA3ABF">
                            <w:pPr>
                              <w:numPr>
                                <w:ilvl w:val="0"/>
                                <w:numId w:val="3"/>
                              </w:numPr>
                              <w:ind w:left="709" w:hanging="283"/>
                              <w:contextualSpacing/>
                              <w:jc w:val="left"/>
                              <w:rPr>
                                <w:rFonts w:cs="Tahoma"/>
                                <w:sz w:val="22"/>
                                <w:szCs w:val="22"/>
                              </w:rPr>
                            </w:pPr>
                            <w:r w:rsidRPr="004520FF">
                              <w:rPr>
                                <w:rFonts w:eastAsia="Tahoma"/>
                                <w:color w:val="000000"/>
                                <w:sz w:val="22"/>
                                <w:szCs w:val="22"/>
                              </w:rPr>
                              <w:t xml:space="preserve">The numbers and profile of foster carers and foster places and placements, in both local </w:t>
                            </w:r>
                            <w:r w:rsidRPr="004520FF">
                              <w:rPr>
                                <w:rFonts w:eastAsia="Tahoma" w:cs="Tahoma"/>
                                <w:color w:val="000000"/>
                                <w:sz w:val="22"/>
                                <w:szCs w:val="22"/>
                              </w:rPr>
                              <w:t>authority (LA) and independent fostering agencies (IFA)</w:t>
                            </w:r>
                          </w:p>
                          <w:p w14:paraId="325EA91E" w14:textId="6A40A6C4" w:rsidR="00A71A23" w:rsidRPr="004520FF" w:rsidRDefault="00A71A23" w:rsidP="00FA3ABF">
                            <w:pPr>
                              <w:numPr>
                                <w:ilvl w:val="0"/>
                                <w:numId w:val="3"/>
                              </w:numPr>
                              <w:ind w:left="709" w:hanging="283"/>
                              <w:contextualSpacing/>
                              <w:jc w:val="left"/>
                              <w:rPr>
                                <w:rFonts w:cs="Tahoma"/>
                                <w:sz w:val="22"/>
                                <w:szCs w:val="22"/>
                              </w:rPr>
                            </w:pPr>
                            <w:r w:rsidRPr="004520FF">
                              <w:rPr>
                                <w:rFonts w:cs="Tahoma"/>
                                <w:sz w:val="22"/>
                                <w:szCs w:val="22"/>
                              </w:rPr>
                              <w:t>Data relating to types of foster care, registrations, de-registrations</w:t>
                            </w:r>
                            <w:r>
                              <w:rPr>
                                <w:rFonts w:cs="Tahoma"/>
                                <w:sz w:val="22"/>
                                <w:szCs w:val="22"/>
                              </w:rPr>
                              <w:t xml:space="preserve">, to fostered children, </w:t>
                            </w:r>
                            <w:r w:rsidRPr="004520FF">
                              <w:rPr>
                                <w:rFonts w:cs="Tahoma"/>
                                <w:sz w:val="22"/>
                                <w:szCs w:val="22"/>
                              </w:rPr>
                              <w:t>and a range of other subjects</w:t>
                            </w:r>
                            <w:r w:rsidRPr="004520FF">
                              <w:rPr>
                                <w:rFonts w:eastAsia="Tahoma" w:cs="Tahoma"/>
                                <w:color w:val="000000"/>
                                <w:sz w:val="22"/>
                                <w:szCs w:val="22"/>
                              </w:rPr>
                              <w:t xml:space="preserve"> </w:t>
                            </w:r>
                          </w:p>
                          <w:p w14:paraId="748AB1BF" w14:textId="77777777" w:rsidR="00A71A23" w:rsidRPr="004520FF" w:rsidRDefault="00A71A23" w:rsidP="00FA3ABF">
                            <w:pPr>
                              <w:numPr>
                                <w:ilvl w:val="0"/>
                                <w:numId w:val="3"/>
                              </w:numPr>
                              <w:ind w:left="709" w:hanging="283"/>
                              <w:contextualSpacing/>
                              <w:jc w:val="left"/>
                              <w:rPr>
                                <w:rFonts w:cs="Tahoma"/>
                                <w:sz w:val="22"/>
                                <w:szCs w:val="22"/>
                              </w:rPr>
                            </w:pPr>
                            <w:r w:rsidRPr="004520FF">
                              <w:rPr>
                                <w:rFonts w:cs="Tahoma"/>
                                <w:sz w:val="22"/>
                                <w:szCs w:val="22"/>
                              </w:rPr>
                              <w:t>T</w:t>
                            </w:r>
                            <w:r w:rsidRPr="004520FF">
                              <w:rPr>
                                <w:rFonts w:eastAsia="Tahoma" w:cs="Tahoma"/>
                                <w:color w:val="000000"/>
                                <w:sz w:val="22"/>
                                <w:szCs w:val="22"/>
                              </w:rPr>
                              <w:t>he period between 1 April 201</w:t>
                            </w:r>
                            <w:r>
                              <w:rPr>
                                <w:rFonts w:eastAsia="Tahoma" w:cs="Tahoma"/>
                                <w:color w:val="000000"/>
                                <w:sz w:val="22"/>
                                <w:szCs w:val="22"/>
                              </w:rPr>
                              <w:t>5</w:t>
                            </w:r>
                            <w:r w:rsidRPr="004520FF">
                              <w:rPr>
                                <w:rFonts w:eastAsia="Tahoma" w:cs="Tahoma"/>
                                <w:color w:val="000000"/>
                                <w:sz w:val="22"/>
                                <w:szCs w:val="22"/>
                              </w:rPr>
                              <w:t xml:space="preserve"> and 31 March 201</w:t>
                            </w:r>
                            <w:r>
                              <w:rPr>
                                <w:rFonts w:eastAsia="Tahoma" w:cs="Tahoma"/>
                                <w:color w:val="000000"/>
                                <w:sz w:val="22"/>
                                <w:szCs w:val="22"/>
                              </w:rPr>
                              <w:t>6</w:t>
                            </w:r>
                          </w:p>
                        </w:txbxContent>
                      </wps:txbx>
                      <wps:bodyPr rot="0" vert="horz" wrap="square" lIns="91440" tIns="45720" rIns="91440" bIns="45720" anchor="t" anchorCtr="0" upright="1">
                        <a:noAutofit/>
                      </wps:bodyPr>
                    </wps:wsp>
                  </a:graphicData>
                </a:graphic>
              </wp:inline>
            </w:drawing>
          </mc:Choice>
          <mc:Fallback>
            <w:pict>
              <v:shapetype w14:anchorId="3DC12609" id="_x0000_t202" coordsize="21600,21600" o:spt="202" path="m,l,21600r21600,l21600,xe">
                <v:stroke joinstyle="miter"/>
                <v:path gradientshapeok="t" o:connecttype="rect"/>
              </v:shapetype>
              <v:shape id="TextBox 1" o:spid="_x0000_s1026" type="#_x0000_t202" style="width:450.45pt;height:11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" strokeweight="1pt">
                <v:textbox>
                  <w:txbxContent>
                    <w:p w14:paraId="4D64D2F2" w14:textId="77777777" w:rsidR="00A71A23" w:rsidRPr="00690C9D" w:rsidRDefault="00A71A23" w:rsidP="00B326E5">
                      <w:pPr>
                        <w:pStyle w:val="NormalWeb"/>
                        <w:rPr>
                          <w:rFonts w:ascii="Calibri" w:hAnsi="Calibri"/>
                          <w:b/>
                          <w:bCs/>
                          <w:color w:val="000000"/>
                          <w:sz w:val="40"/>
                          <w:szCs w:val="28"/>
                        </w:rPr>
                      </w:pPr>
                      <w:r>
                        <w:rPr>
                          <w:b/>
                          <w:bCs/>
                          <w:color w:val="000000"/>
                          <w:sz w:val="40"/>
                          <w:szCs w:val="28"/>
                        </w:rPr>
                        <w:t>Fostering in England, 2015-16</w:t>
                      </w:r>
                    </w:p>
                    <w:p w14:paraId="2FFD5B77" w14:textId="77777777" w:rsidR="00A71A23" w:rsidRPr="00D04363" w:rsidRDefault="00A71A23" w:rsidP="00771A3A">
                      <w:pPr>
                        <w:pStyle w:val="NormalWeb"/>
                        <w:jc w:val="left"/>
                        <w:rPr>
                          <w:sz w:val="4"/>
                          <w:szCs w:val="4"/>
                        </w:rPr>
                      </w:pPr>
                    </w:p>
                    <w:p w14:paraId="25AABDFF" w14:textId="77777777" w:rsidR="00A71A23" w:rsidRPr="004520FF" w:rsidRDefault="00A71A23" w:rsidP="00771A3A">
                      <w:pPr>
                        <w:jc w:val="left"/>
                        <w:rPr>
                          <w:rFonts w:ascii="Times New Roman" w:hAnsi="Times New Roman"/>
                          <w:sz w:val="22"/>
                          <w:szCs w:val="22"/>
                        </w:rPr>
                      </w:pPr>
                      <w:r w:rsidRPr="004520FF">
                        <w:rPr>
                          <w:color w:val="000000"/>
                          <w:sz w:val="22"/>
                          <w:szCs w:val="22"/>
                        </w:rPr>
                        <w:t>This release covers:</w:t>
                      </w:r>
                    </w:p>
                    <w:p w14:paraId="2247AA58" w14:textId="77777777" w:rsidR="00A71A23" w:rsidRPr="004520FF" w:rsidRDefault="00A71A23" w:rsidP="00FA3ABF">
                      <w:pPr>
                        <w:numPr>
                          <w:ilvl w:val="0"/>
                          <w:numId w:val="3"/>
                        </w:numPr>
                        <w:ind w:left="709" w:hanging="283"/>
                        <w:contextualSpacing/>
                        <w:jc w:val="left"/>
                        <w:rPr>
                          <w:rFonts w:cs="Tahoma"/>
                          <w:sz w:val="22"/>
                          <w:szCs w:val="22"/>
                        </w:rPr>
                      </w:pPr>
                      <w:r w:rsidRPr="004520FF">
                        <w:rPr>
                          <w:rFonts w:eastAsia="Tahoma"/>
                          <w:color w:val="000000"/>
                          <w:sz w:val="22"/>
                          <w:szCs w:val="22"/>
                        </w:rPr>
                        <w:t xml:space="preserve">The numbers and profile of foster carers and foster places and placements, in both local </w:t>
                      </w:r>
                      <w:r w:rsidRPr="004520FF">
                        <w:rPr>
                          <w:rFonts w:eastAsia="Tahoma" w:cs="Tahoma"/>
                          <w:color w:val="000000"/>
                          <w:sz w:val="22"/>
                          <w:szCs w:val="22"/>
                        </w:rPr>
                        <w:t>authority (LA) and independent fostering agencies (IFA)</w:t>
                      </w:r>
                    </w:p>
                    <w:p w14:paraId="325EA91E" w14:textId="6A40A6C4" w:rsidR="00A71A23" w:rsidRPr="004520FF" w:rsidRDefault="00A71A23" w:rsidP="00FA3ABF">
                      <w:pPr>
                        <w:numPr>
                          <w:ilvl w:val="0"/>
                          <w:numId w:val="3"/>
                        </w:numPr>
                        <w:ind w:left="709" w:hanging="283"/>
                        <w:contextualSpacing/>
                        <w:jc w:val="left"/>
                        <w:rPr>
                          <w:rFonts w:cs="Tahoma"/>
                          <w:sz w:val="22"/>
                          <w:szCs w:val="22"/>
                        </w:rPr>
                      </w:pPr>
                      <w:r w:rsidRPr="004520FF">
                        <w:rPr>
                          <w:rFonts w:cs="Tahoma"/>
                          <w:sz w:val="22"/>
                          <w:szCs w:val="22"/>
                        </w:rPr>
                        <w:t>Data relating to types of foster care, registrations, de-registrations</w:t>
                      </w:r>
                      <w:r>
                        <w:rPr>
                          <w:rFonts w:cs="Tahoma"/>
                          <w:sz w:val="22"/>
                          <w:szCs w:val="22"/>
                        </w:rPr>
                        <w:t xml:space="preserve">, to fostered children, </w:t>
                      </w:r>
                      <w:r w:rsidRPr="004520FF">
                        <w:rPr>
                          <w:rFonts w:cs="Tahoma"/>
                          <w:sz w:val="22"/>
                          <w:szCs w:val="22"/>
                        </w:rPr>
                        <w:t>and a range of other subjects</w:t>
                      </w:r>
                      <w:r w:rsidRPr="004520FF">
                        <w:rPr>
                          <w:rFonts w:eastAsia="Tahoma" w:cs="Tahoma"/>
                          <w:color w:val="000000"/>
                          <w:sz w:val="22"/>
                          <w:szCs w:val="22"/>
                        </w:rPr>
                        <w:t xml:space="preserve"> </w:t>
                      </w:r>
                    </w:p>
                    <w:p w14:paraId="748AB1BF" w14:textId="77777777" w:rsidR="00A71A23" w:rsidRPr="004520FF" w:rsidRDefault="00A71A23" w:rsidP="00FA3ABF">
                      <w:pPr>
                        <w:numPr>
                          <w:ilvl w:val="0"/>
                          <w:numId w:val="3"/>
                        </w:numPr>
                        <w:ind w:left="709" w:hanging="283"/>
                        <w:contextualSpacing/>
                        <w:jc w:val="left"/>
                        <w:rPr>
                          <w:rFonts w:cs="Tahoma"/>
                          <w:sz w:val="22"/>
                          <w:szCs w:val="22"/>
                        </w:rPr>
                      </w:pPr>
                      <w:r w:rsidRPr="004520FF">
                        <w:rPr>
                          <w:rFonts w:cs="Tahoma"/>
                          <w:sz w:val="22"/>
                          <w:szCs w:val="22"/>
                        </w:rPr>
                        <w:t>T</w:t>
                      </w:r>
                      <w:r w:rsidRPr="004520FF">
                        <w:rPr>
                          <w:rFonts w:eastAsia="Tahoma" w:cs="Tahoma"/>
                          <w:color w:val="000000"/>
                          <w:sz w:val="22"/>
                          <w:szCs w:val="22"/>
                        </w:rPr>
                        <w:t>he period between 1 April 201</w:t>
                      </w:r>
                      <w:r>
                        <w:rPr>
                          <w:rFonts w:eastAsia="Tahoma" w:cs="Tahoma"/>
                          <w:color w:val="000000"/>
                          <w:sz w:val="22"/>
                          <w:szCs w:val="22"/>
                        </w:rPr>
                        <w:t>5</w:t>
                      </w:r>
                      <w:r w:rsidRPr="004520FF">
                        <w:rPr>
                          <w:rFonts w:eastAsia="Tahoma" w:cs="Tahoma"/>
                          <w:color w:val="000000"/>
                          <w:sz w:val="22"/>
                          <w:szCs w:val="22"/>
                        </w:rPr>
                        <w:t xml:space="preserve"> and 31 March 201</w:t>
                      </w:r>
                      <w:r>
                        <w:rPr>
                          <w:rFonts w:eastAsia="Tahoma" w:cs="Tahoma"/>
                          <w:color w:val="000000"/>
                          <w:sz w:val="22"/>
                          <w:szCs w:val="22"/>
                        </w:rPr>
                        <w:t>6</w:t>
                      </w:r>
                    </w:p>
                  </w:txbxContent>
                </v:textbox>
                <w10:anchorlock/>
              </v:shape>
            </w:pict>
          </mc:Fallback>
        </mc:AlternateContent>
      </w:r>
    </w:p>
    <w:p w14:paraId="7794326A" w14:textId="77777777" w:rsidR="006A4F7A" w:rsidRDefault="006A4F7A" w:rsidP="00B974BE">
      <w:pPr>
        <w:jc w:val="left"/>
        <w:rPr>
          <w:bCs/>
        </w:rPr>
      </w:pPr>
    </w:p>
    <w:p w14:paraId="0B5F0C6A" w14:textId="4F25709A" w:rsidR="006A4F7A" w:rsidRPr="003D43F5" w:rsidRDefault="00775D55" w:rsidP="00B974BE">
      <w:pPr>
        <w:jc w:val="left"/>
        <w:rPr>
          <w:b/>
          <w:color w:val="000000"/>
          <w:sz w:val="28"/>
          <w:szCs w:val="28"/>
        </w:rPr>
      </w:pPr>
      <w:r w:rsidRPr="003D43F5">
        <w:rPr>
          <w:b/>
          <w:color w:val="000000"/>
          <w:sz w:val="28"/>
          <w:szCs w:val="28"/>
        </w:rPr>
        <w:t>Key Points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690FB5" w:rsidRPr="009C6D49" w14:paraId="340DD43C" w14:textId="77777777" w:rsidTr="00690FB5">
        <w:trPr>
          <w:trHeight w:val="1010"/>
        </w:trPr>
        <w:tc>
          <w:tcPr>
            <w:tcW w:w="2660" w:type="dxa"/>
            <w:tcBorders>
              <w:top w:val="single" w:sz="12" w:space="0" w:color="A6A6A6"/>
              <w:left w:val="single" w:sz="12" w:space="0" w:color="FFFFFF"/>
              <w:bottom w:val="single" w:sz="12" w:space="0" w:color="A6A6A6"/>
              <w:right w:val="single" w:sz="12" w:space="0" w:color="FFFFFF"/>
            </w:tcBorders>
            <w:shd w:val="clear" w:color="auto" w:fill="auto"/>
            <w:vAlign w:val="center"/>
          </w:tcPr>
          <w:p w14:paraId="586BF461" w14:textId="4D76B1DD" w:rsidR="00690FB5" w:rsidRPr="005A6FC4" w:rsidRDefault="00CB3A11" w:rsidP="002E7970">
            <w:pPr>
              <w:spacing w:before="120" w:after="120"/>
              <w:jc w:val="left"/>
              <w:rPr>
                <w:rFonts w:cs="Tahoma"/>
              </w:rPr>
            </w:pPr>
            <w:r>
              <w:rPr>
                <w:rFonts w:cs="Tahoma"/>
              </w:rPr>
              <w:t>The</w:t>
            </w:r>
            <w:r w:rsidR="002E7970">
              <w:rPr>
                <w:rFonts w:cs="Tahoma"/>
              </w:rPr>
              <w:t>re has been little</w:t>
            </w:r>
            <w:r>
              <w:rPr>
                <w:rFonts w:cs="Tahoma"/>
              </w:rPr>
              <w:t xml:space="preserve"> </w:t>
            </w:r>
            <w:r w:rsidR="002E7970">
              <w:rPr>
                <w:rFonts w:cs="Tahoma"/>
              </w:rPr>
              <w:t xml:space="preserve">change in the </w:t>
            </w:r>
            <w:r>
              <w:rPr>
                <w:rFonts w:cs="Tahoma"/>
              </w:rPr>
              <w:t>number of fostering households and children in foster care</w:t>
            </w:r>
            <w:r w:rsidR="002E7970">
              <w:rPr>
                <w:rFonts w:cs="Tahoma"/>
              </w:rPr>
              <w:t>.</w:t>
            </w:r>
          </w:p>
        </w:tc>
        <w:tc>
          <w:tcPr>
            <w:tcW w:w="6662" w:type="dxa"/>
            <w:tcBorders>
              <w:top w:val="single" w:sz="12" w:space="0" w:color="A6A6A6"/>
              <w:left w:val="single" w:sz="12" w:space="0" w:color="FFFFFF"/>
              <w:bottom w:val="single" w:sz="12" w:space="0" w:color="A6A6A6"/>
              <w:right w:val="single" w:sz="12" w:space="0" w:color="FFFFFF"/>
            </w:tcBorders>
            <w:shd w:val="clear" w:color="auto" w:fill="auto"/>
            <w:vAlign w:val="center"/>
          </w:tcPr>
          <w:p w14:paraId="408B1E15" w14:textId="74601816" w:rsidR="00690FB5" w:rsidRPr="009C6D49" w:rsidRDefault="00CB3A11" w:rsidP="00775D55">
            <w:pPr>
              <w:spacing w:before="120" w:after="120"/>
              <w:jc w:val="left"/>
              <w:rPr>
                <w:rFonts w:eastAsiaTheme="minorHAnsi" w:cs="Tahoma"/>
                <w:szCs w:val="22"/>
                <w:lang w:eastAsia="en-US"/>
              </w:rPr>
            </w:pPr>
            <w:r w:rsidRPr="00CB3A11">
              <w:rPr>
                <w:rFonts w:eastAsiaTheme="minorHAnsi" w:cs="Tahoma"/>
                <w:szCs w:val="22"/>
                <w:lang w:eastAsia="en-US"/>
              </w:rPr>
              <w:t>There were 44,320 approved fostering households as at 31 March 2016, less than</w:t>
            </w:r>
            <w:r w:rsidR="00775D55">
              <w:rPr>
                <w:rFonts w:eastAsiaTheme="minorHAnsi" w:cs="Tahoma"/>
                <w:szCs w:val="22"/>
                <w:lang w:eastAsia="en-US"/>
              </w:rPr>
              <w:t xml:space="preserve"> a</w:t>
            </w:r>
            <w:r w:rsidRPr="00CB3A11">
              <w:rPr>
                <w:rFonts w:eastAsiaTheme="minorHAnsi" w:cs="Tahoma"/>
                <w:szCs w:val="22"/>
                <w:lang w:eastAsia="en-US"/>
              </w:rPr>
              <w:t xml:space="preserve"> 1% </w:t>
            </w:r>
            <w:r>
              <w:rPr>
                <w:rFonts w:eastAsiaTheme="minorHAnsi" w:cs="Tahoma"/>
                <w:szCs w:val="22"/>
                <w:lang w:eastAsia="en-US"/>
              </w:rPr>
              <w:t xml:space="preserve">fall </w:t>
            </w:r>
            <w:r w:rsidRPr="00CB3A11">
              <w:rPr>
                <w:rFonts w:eastAsiaTheme="minorHAnsi" w:cs="Tahoma"/>
                <w:szCs w:val="22"/>
                <w:lang w:eastAsia="en-US"/>
              </w:rPr>
              <w:t>from the previous year (44,625)</w:t>
            </w:r>
            <w:r w:rsidR="00775D55">
              <w:rPr>
                <w:rFonts w:eastAsiaTheme="minorHAnsi" w:cs="Tahoma"/>
                <w:szCs w:val="22"/>
                <w:lang w:eastAsia="en-US"/>
              </w:rPr>
              <w:t xml:space="preserve">. There were </w:t>
            </w:r>
            <w:r>
              <w:t xml:space="preserve">51,805 children and young people in placement on 31 March 2016, </w:t>
            </w:r>
            <w:r w:rsidR="007F2CD6">
              <w:t xml:space="preserve">the </w:t>
            </w:r>
            <w:r>
              <w:t>same as last year’s figure.</w:t>
            </w:r>
          </w:p>
        </w:tc>
      </w:tr>
      <w:tr w:rsidR="00453735" w:rsidRPr="007B33DD" w14:paraId="01106850" w14:textId="77777777" w:rsidTr="0003716C">
        <w:trPr>
          <w:trHeight w:val="1010"/>
        </w:trPr>
        <w:tc>
          <w:tcPr>
            <w:tcW w:w="2660" w:type="dxa"/>
            <w:tcBorders>
              <w:top w:val="single" w:sz="12" w:space="0" w:color="A6A6A6"/>
              <w:left w:val="single" w:sz="12" w:space="0" w:color="FFFFFF"/>
              <w:bottom w:val="single" w:sz="12" w:space="0" w:color="A6A6A6"/>
              <w:right w:val="single" w:sz="12" w:space="0" w:color="FFFFFF"/>
            </w:tcBorders>
            <w:shd w:val="clear" w:color="auto" w:fill="auto"/>
            <w:vAlign w:val="center"/>
          </w:tcPr>
          <w:p w14:paraId="1193DC04" w14:textId="0D2F3CFE" w:rsidR="00453735" w:rsidRPr="005A6FC4" w:rsidRDefault="00453735" w:rsidP="00453735">
            <w:pPr>
              <w:spacing w:before="120" w:after="120"/>
              <w:jc w:val="left"/>
              <w:rPr>
                <w:rFonts w:cs="Tahoma"/>
              </w:rPr>
            </w:pPr>
            <w:r w:rsidRPr="00690FB5">
              <w:rPr>
                <w:rFonts w:cs="Tahoma"/>
              </w:rPr>
              <w:t>There was a large drop in applications to be foster carers.</w:t>
            </w:r>
          </w:p>
        </w:tc>
        <w:tc>
          <w:tcPr>
            <w:tcW w:w="6662" w:type="dxa"/>
            <w:tcBorders>
              <w:top w:val="single" w:sz="12" w:space="0" w:color="A6A6A6"/>
              <w:left w:val="single" w:sz="12" w:space="0" w:color="FFFFFF"/>
              <w:bottom w:val="single" w:sz="12" w:space="0" w:color="A6A6A6"/>
              <w:right w:val="single" w:sz="12" w:space="0" w:color="FFFFFF"/>
            </w:tcBorders>
            <w:shd w:val="clear" w:color="auto" w:fill="auto"/>
            <w:vAlign w:val="center"/>
          </w:tcPr>
          <w:p w14:paraId="706C2D3D" w14:textId="32DD4B69" w:rsidR="00453735" w:rsidRPr="009C6D49" w:rsidRDefault="00453735" w:rsidP="00453735">
            <w:pPr>
              <w:jc w:val="left"/>
              <w:rPr>
                <w:rFonts w:eastAsiaTheme="minorHAnsi" w:cs="Tahoma"/>
                <w:szCs w:val="22"/>
                <w:lang w:eastAsia="en-US"/>
              </w:rPr>
            </w:pPr>
            <w:r w:rsidRPr="00690FB5">
              <w:rPr>
                <w:rFonts w:eastAsiaTheme="minorHAnsi" w:cs="Tahoma"/>
                <w:szCs w:val="22"/>
                <w:lang w:eastAsia="en-US"/>
              </w:rPr>
              <w:t xml:space="preserve">The </w:t>
            </w:r>
            <w:r>
              <w:rPr>
                <w:rFonts w:eastAsiaTheme="minorHAnsi" w:cs="Tahoma"/>
                <w:szCs w:val="22"/>
                <w:lang w:eastAsia="en-US"/>
              </w:rPr>
              <w:t xml:space="preserve">reported </w:t>
            </w:r>
            <w:r w:rsidRPr="00690FB5">
              <w:rPr>
                <w:rFonts w:eastAsiaTheme="minorHAnsi" w:cs="Tahoma"/>
                <w:szCs w:val="22"/>
                <w:lang w:eastAsia="en-US"/>
              </w:rPr>
              <w:t>number of applications fell by one third. There were 11,4</w:t>
            </w:r>
            <w:r>
              <w:rPr>
                <w:rFonts w:eastAsiaTheme="minorHAnsi" w:cs="Tahoma"/>
                <w:szCs w:val="22"/>
                <w:lang w:eastAsia="en-US"/>
              </w:rPr>
              <w:t>60</w:t>
            </w:r>
            <w:r w:rsidRPr="00690FB5">
              <w:rPr>
                <w:rFonts w:eastAsiaTheme="minorHAnsi" w:cs="Tahoma"/>
                <w:szCs w:val="22"/>
                <w:lang w:eastAsia="en-US"/>
              </w:rPr>
              <w:t xml:space="preserve"> applications in 2015-16, compared to 16,920 the previous year. </w:t>
            </w:r>
          </w:p>
        </w:tc>
      </w:tr>
      <w:tr w:rsidR="00453735" w:rsidRPr="007B33DD" w14:paraId="2AE02CC3" w14:textId="77777777" w:rsidTr="0003716C">
        <w:trPr>
          <w:trHeight w:val="1010"/>
        </w:trPr>
        <w:tc>
          <w:tcPr>
            <w:tcW w:w="2660" w:type="dxa"/>
            <w:tcBorders>
              <w:top w:val="single" w:sz="12" w:space="0" w:color="A6A6A6"/>
              <w:left w:val="single" w:sz="12" w:space="0" w:color="FFFFFF"/>
              <w:bottom w:val="single" w:sz="12" w:space="0" w:color="A6A6A6"/>
              <w:right w:val="single" w:sz="12" w:space="0" w:color="FFFFFF"/>
            </w:tcBorders>
            <w:shd w:val="clear" w:color="auto" w:fill="auto"/>
            <w:vAlign w:val="center"/>
          </w:tcPr>
          <w:p w14:paraId="6D7E6EF2" w14:textId="30BFD95E" w:rsidR="00453735" w:rsidRPr="009C6D49" w:rsidRDefault="00E430A0" w:rsidP="00453735">
            <w:pPr>
              <w:spacing w:before="120" w:after="120"/>
              <w:jc w:val="left"/>
              <w:rPr>
                <w:rFonts w:eastAsiaTheme="minorHAnsi" w:cs="Tahoma"/>
                <w:szCs w:val="22"/>
                <w:lang w:eastAsia="en-US"/>
              </w:rPr>
            </w:pPr>
            <w:r>
              <w:rPr>
                <w:rFonts w:cs="Tahoma"/>
              </w:rPr>
              <w:t xml:space="preserve">There are more approved family and friends </w:t>
            </w:r>
            <w:r w:rsidR="00CB3A11">
              <w:rPr>
                <w:rFonts w:cs="Tahoma"/>
              </w:rPr>
              <w:t>households this year.</w:t>
            </w:r>
            <w:r>
              <w:rPr>
                <w:rFonts w:cs="Tahoma"/>
              </w:rPr>
              <w:t xml:space="preserve"> </w:t>
            </w:r>
          </w:p>
        </w:tc>
        <w:tc>
          <w:tcPr>
            <w:tcW w:w="6662" w:type="dxa"/>
            <w:tcBorders>
              <w:top w:val="single" w:sz="12" w:space="0" w:color="A6A6A6"/>
              <w:left w:val="single" w:sz="12" w:space="0" w:color="FFFFFF"/>
              <w:bottom w:val="single" w:sz="12" w:space="0" w:color="A6A6A6"/>
              <w:right w:val="single" w:sz="12" w:space="0" w:color="FFFFFF"/>
            </w:tcBorders>
            <w:shd w:val="clear" w:color="auto" w:fill="auto"/>
            <w:vAlign w:val="center"/>
          </w:tcPr>
          <w:p w14:paraId="2673285D" w14:textId="4BA11F4E" w:rsidR="00453735" w:rsidRPr="009C6D49" w:rsidRDefault="00E430A0" w:rsidP="00453735">
            <w:pPr>
              <w:jc w:val="left"/>
              <w:rPr>
                <w:rFonts w:eastAsiaTheme="minorHAnsi" w:cs="Tahoma"/>
                <w:lang w:eastAsia="en-US"/>
              </w:rPr>
            </w:pPr>
            <w:r>
              <w:rPr>
                <w:rFonts w:eastAsiaTheme="minorHAnsi" w:cs="Tahoma"/>
                <w:szCs w:val="22"/>
                <w:lang w:eastAsia="en-US"/>
              </w:rPr>
              <w:t>There has been a 13% increase in the number of family and friends households from 4,145 on 31 March 2015 to 4,665 in 2016.</w:t>
            </w:r>
          </w:p>
        </w:tc>
      </w:tr>
      <w:tr w:rsidR="00453735" w:rsidRPr="007B33DD" w14:paraId="4E5D78B1" w14:textId="77777777" w:rsidTr="0003716C">
        <w:trPr>
          <w:trHeight w:val="1010"/>
        </w:trPr>
        <w:tc>
          <w:tcPr>
            <w:tcW w:w="2660" w:type="dxa"/>
            <w:tcBorders>
              <w:top w:val="single" w:sz="12" w:space="0" w:color="A6A6A6"/>
              <w:left w:val="single" w:sz="12" w:space="0" w:color="FFFFFF"/>
              <w:bottom w:val="single" w:sz="12" w:space="0" w:color="A6A6A6"/>
              <w:right w:val="single" w:sz="12" w:space="0" w:color="FFFFFF"/>
            </w:tcBorders>
            <w:shd w:val="clear" w:color="auto" w:fill="auto"/>
            <w:vAlign w:val="center"/>
          </w:tcPr>
          <w:p w14:paraId="6EB9C275" w14:textId="38F61DA8" w:rsidR="00453735" w:rsidRDefault="00453735" w:rsidP="00453735">
            <w:pPr>
              <w:spacing w:before="120" w:after="120"/>
              <w:jc w:val="left"/>
            </w:pPr>
            <w:r>
              <w:rPr>
                <w:rFonts w:eastAsiaTheme="minorHAnsi" w:cs="Tahoma"/>
                <w:szCs w:val="22"/>
                <w:lang w:eastAsia="en-US"/>
              </w:rPr>
              <w:t>A large minority of children who went missing had no RHI</w:t>
            </w:r>
            <w:r w:rsidR="00775D55">
              <w:rPr>
                <w:rFonts w:eastAsiaTheme="minorHAnsi" w:cs="Tahoma"/>
                <w:szCs w:val="22"/>
                <w:lang w:eastAsia="en-US"/>
              </w:rPr>
              <w:t>.</w:t>
            </w:r>
          </w:p>
        </w:tc>
        <w:tc>
          <w:tcPr>
            <w:tcW w:w="6662" w:type="dxa"/>
            <w:tcBorders>
              <w:top w:val="single" w:sz="12" w:space="0" w:color="A6A6A6"/>
              <w:left w:val="single" w:sz="12" w:space="0" w:color="FFFFFF"/>
              <w:bottom w:val="single" w:sz="12" w:space="0" w:color="A6A6A6"/>
              <w:right w:val="single" w:sz="12" w:space="0" w:color="FFFFFF"/>
            </w:tcBorders>
            <w:shd w:val="clear" w:color="auto" w:fill="auto"/>
            <w:vAlign w:val="center"/>
          </w:tcPr>
          <w:p w14:paraId="6765FB10" w14:textId="68110659" w:rsidR="00453735" w:rsidRDefault="00453735" w:rsidP="00453735">
            <w:pPr>
              <w:spacing w:before="120" w:after="120"/>
              <w:jc w:val="left"/>
            </w:pPr>
            <w:r>
              <w:t xml:space="preserve">Of the 3,055 children who went missing, 46% did not have a Return Home Interview (1,405). </w:t>
            </w:r>
          </w:p>
        </w:tc>
      </w:tr>
      <w:tr w:rsidR="00453735" w:rsidRPr="007B33DD" w14:paraId="293EBEF0" w14:textId="77777777" w:rsidTr="0003716C">
        <w:trPr>
          <w:trHeight w:val="1010"/>
        </w:trPr>
        <w:tc>
          <w:tcPr>
            <w:tcW w:w="2660" w:type="dxa"/>
            <w:tcBorders>
              <w:top w:val="single" w:sz="12" w:space="0" w:color="A6A6A6"/>
              <w:left w:val="single" w:sz="12" w:space="0" w:color="FFFFFF"/>
              <w:bottom w:val="single" w:sz="12" w:space="0" w:color="A6A6A6"/>
              <w:right w:val="single" w:sz="12" w:space="0" w:color="FFFFFF"/>
            </w:tcBorders>
            <w:shd w:val="clear" w:color="auto" w:fill="auto"/>
            <w:vAlign w:val="center"/>
          </w:tcPr>
          <w:p w14:paraId="1431F2E1" w14:textId="4B052540" w:rsidR="00453735" w:rsidRDefault="00453735" w:rsidP="00453735">
            <w:pPr>
              <w:spacing w:before="120" w:after="120"/>
              <w:jc w:val="left"/>
            </w:pPr>
            <w:r>
              <w:t>More care leave</w:t>
            </w:r>
            <w:r w:rsidR="00B45F75">
              <w:t>r</w:t>
            </w:r>
            <w:r>
              <w:t>s stayed living with their former foster carers.</w:t>
            </w:r>
          </w:p>
        </w:tc>
        <w:tc>
          <w:tcPr>
            <w:tcW w:w="6662" w:type="dxa"/>
            <w:tcBorders>
              <w:top w:val="single" w:sz="12" w:space="0" w:color="A6A6A6"/>
              <w:left w:val="single" w:sz="12" w:space="0" w:color="FFFFFF"/>
              <w:bottom w:val="single" w:sz="12" w:space="0" w:color="A6A6A6"/>
              <w:right w:val="single" w:sz="12" w:space="0" w:color="FFFFFF"/>
            </w:tcBorders>
            <w:shd w:val="clear" w:color="auto" w:fill="auto"/>
            <w:vAlign w:val="center"/>
          </w:tcPr>
          <w:p w14:paraId="5B3F5F7A" w14:textId="78EBF3F7" w:rsidR="008E0FF0" w:rsidRDefault="008E0FF0" w:rsidP="00453735">
            <w:pPr>
              <w:spacing w:before="120" w:after="120"/>
              <w:jc w:val="left"/>
            </w:pPr>
            <w:r w:rsidRPr="008E0FF0">
              <w:t xml:space="preserve">Although the number of care leavers went up 17% to 4,025, the number who stayed living with their former foster carers increased by a higher rate (22%) to </w:t>
            </w:r>
            <w:proofErr w:type="gramStart"/>
            <w:r w:rsidRPr="008E0FF0">
              <w:t>2,190.</w:t>
            </w:r>
            <w:proofErr w:type="gramEnd"/>
          </w:p>
        </w:tc>
      </w:tr>
      <w:tr w:rsidR="00453735" w:rsidRPr="007B33DD" w14:paraId="15158ACA" w14:textId="77777777" w:rsidTr="0003716C">
        <w:trPr>
          <w:trHeight w:val="1010"/>
        </w:trPr>
        <w:tc>
          <w:tcPr>
            <w:tcW w:w="2660" w:type="dxa"/>
            <w:tcBorders>
              <w:top w:val="single" w:sz="12" w:space="0" w:color="A6A6A6"/>
              <w:left w:val="single" w:sz="12" w:space="0" w:color="FFFFFF"/>
              <w:bottom w:val="single" w:sz="12" w:space="0" w:color="A6A6A6"/>
              <w:right w:val="single" w:sz="12" w:space="0" w:color="FFFFFF"/>
            </w:tcBorders>
            <w:shd w:val="clear" w:color="auto" w:fill="auto"/>
            <w:vAlign w:val="center"/>
          </w:tcPr>
          <w:p w14:paraId="28495972" w14:textId="54DC9052" w:rsidR="00453735" w:rsidRDefault="00453735" w:rsidP="00453735">
            <w:pPr>
              <w:spacing w:before="120" w:after="120"/>
              <w:jc w:val="left"/>
            </w:pPr>
            <w:r w:rsidRPr="00165392">
              <w:t>Children were more likely to experience a change in educational placement if they also experienced an unplanned ending</w:t>
            </w:r>
            <w:r w:rsidR="00775D55">
              <w:t>.</w:t>
            </w:r>
          </w:p>
        </w:tc>
        <w:tc>
          <w:tcPr>
            <w:tcW w:w="6662" w:type="dxa"/>
            <w:tcBorders>
              <w:top w:val="single" w:sz="12" w:space="0" w:color="A6A6A6"/>
              <w:left w:val="single" w:sz="12" w:space="0" w:color="FFFFFF"/>
              <w:bottom w:val="single" w:sz="12" w:space="0" w:color="A6A6A6"/>
              <w:right w:val="single" w:sz="12" w:space="0" w:color="FFFFFF"/>
            </w:tcBorders>
            <w:shd w:val="clear" w:color="auto" w:fill="auto"/>
            <w:vAlign w:val="center"/>
          </w:tcPr>
          <w:p w14:paraId="20F93FE9" w14:textId="46A72D1C" w:rsidR="00453735" w:rsidRDefault="00453735" w:rsidP="00453735">
            <w:pPr>
              <w:spacing w:before="120" w:after="120"/>
              <w:jc w:val="left"/>
            </w:pPr>
            <w:r>
              <w:t xml:space="preserve">Of the children who experienced at least one unplanned ending, 12% </w:t>
            </w:r>
            <w:r w:rsidRPr="00165392">
              <w:t>also experienced an education placement change, compared to 4% of those who had no unplanned endings.</w:t>
            </w:r>
          </w:p>
        </w:tc>
      </w:tr>
    </w:tbl>
    <w:p w14:paraId="293348A6" w14:textId="77777777" w:rsidR="002C192D" w:rsidRPr="00BB7E81" w:rsidRDefault="001C17A1" w:rsidP="00A71A23">
      <w:pPr>
        <w:spacing w:after="240"/>
        <w:jc w:val="left"/>
        <w:rPr>
          <w:b/>
          <w:noProof/>
          <w:color w:val="000000"/>
          <w:kern w:val="28"/>
          <w:sz w:val="28"/>
          <w:szCs w:val="28"/>
          <w:lang w:eastAsia="en-US"/>
        </w:rPr>
      </w:pPr>
      <w:bookmarkStart w:id="0" w:name="_Toc280878080"/>
      <w:bookmarkStart w:id="1" w:name="_Toc296347484"/>
      <w:bookmarkStart w:id="2" w:name="_Toc327345065"/>
      <w:r>
        <w:rPr>
          <w:b/>
          <w:noProof/>
          <w:color w:val="000000"/>
          <w:kern w:val="28"/>
          <w:sz w:val="28"/>
          <w:szCs w:val="28"/>
          <w:lang w:eastAsia="en-US"/>
        </w:rPr>
        <w:br w:type="page"/>
      </w:r>
      <w:r w:rsidR="00CC5FEB" w:rsidRPr="00BB7E81">
        <w:rPr>
          <w:b/>
          <w:noProof/>
          <w:color w:val="000000"/>
          <w:kern w:val="28"/>
          <w:sz w:val="28"/>
          <w:szCs w:val="28"/>
          <w:lang w:eastAsia="en-US"/>
        </w:rPr>
        <w:lastRenderedPageBreak/>
        <w:t>Contents</w:t>
      </w:r>
      <w:r w:rsidR="00906EE8">
        <w:rPr>
          <w:b/>
          <w:noProof/>
          <w:color w:val="000000"/>
          <w:kern w:val="28"/>
          <w:sz w:val="28"/>
          <w:szCs w:val="28"/>
          <w:lang w:eastAsia="en-US"/>
        </w:rPr>
        <w:t xml:space="preserve"> </w:t>
      </w:r>
    </w:p>
    <w:p w14:paraId="1604C86F" w14:textId="77777777" w:rsidR="00136668" w:rsidRPr="00136668" w:rsidRDefault="002C192D" w:rsidP="00A71A23">
      <w:pPr>
        <w:pStyle w:val="TOC2"/>
        <w:spacing w:line="240" w:lineRule="auto"/>
        <w:rPr>
          <w:rFonts w:eastAsiaTheme="minorEastAsia"/>
          <w:sz w:val="22"/>
          <w:szCs w:val="22"/>
          <w:lang w:val="en-GB" w:eastAsia="en-GB"/>
        </w:rPr>
      </w:pPr>
      <w:r w:rsidRPr="002C192D">
        <w:fldChar w:fldCharType="begin"/>
      </w:r>
      <w:r w:rsidRPr="002C192D">
        <w:instrText xml:space="preserve"> TOC \o "1-3" \h \z \u </w:instrText>
      </w:r>
      <w:r w:rsidRPr="002C192D">
        <w:fldChar w:fldCharType="separate"/>
      </w:r>
      <w:hyperlink w:anchor="_Toc474760669" w:history="1">
        <w:r w:rsidR="00136668" w:rsidRPr="00136668">
          <w:rPr>
            <w:rStyle w:val="Hyperlink"/>
          </w:rPr>
          <w:t>Introduction</w:t>
        </w:r>
        <w:r w:rsidR="00136668" w:rsidRPr="00136668">
          <w:rPr>
            <w:webHidden/>
          </w:rPr>
          <w:tab/>
        </w:r>
        <w:r w:rsidR="00136668" w:rsidRPr="00136668">
          <w:rPr>
            <w:webHidden/>
          </w:rPr>
          <w:fldChar w:fldCharType="begin"/>
        </w:r>
        <w:r w:rsidR="00136668" w:rsidRPr="00136668">
          <w:rPr>
            <w:webHidden/>
          </w:rPr>
          <w:instrText xml:space="preserve"> PAGEREF _Toc474760669 \h </w:instrText>
        </w:r>
        <w:r w:rsidR="00136668" w:rsidRPr="00136668">
          <w:rPr>
            <w:webHidden/>
          </w:rPr>
        </w:r>
        <w:r w:rsidR="00136668" w:rsidRPr="00136668">
          <w:rPr>
            <w:webHidden/>
          </w:rPr>
          <w:fldChar w:fldCharType="separate"/>
        </w:r>
        <w:r w:rsidR="00D95F31">
          <w:rPr>
            <w:webHidden/>
          </w:rPr>
          <w:t>4</w:t>
        </w:r>
        <w:r w:rsidR="00136668" w:rsidRPr="00136668">
          <w:rPr>
            <w:webHidden/>
          </w:rPr>
          <w:fldChar w:fldCharType="end"/>
        </w:r>
      </w:hyperlink>
    </w:p>
    <w:p w14:paraId="5B783503" w14:textId="77777777" w:rsidR="00136668" w:rsidRPr="00136668" w:rsidRDefault="007F2768" w:rsidP="00A71A23">
      <w:pPr>
        <w:pStyle w:val="TOC2"/>
        <w:spacing w:line="240" w:lineRule="auto"/>
        <w:rPr>
          <w:rFonts w:eastAsiaTheme="minorEastAsia"/>
          <w:sz w:val="22"/>
          <w:szCs w:val="22"/>
          <w:lang w:val="en-GB" w:eastAsia="en-GB"/>
        </w:rPr>
      </w:pPr>
      <w:hyperlink w:anchor="_Toc474760671" w:history="1">
        <w:r w:rsidR="00136668" w:rsidRPr="00136668">
          <w:rPr>
            <w:rStyle w:val="Hyperlink"/>
          </w:rPr>
          <w:t>Fostering households and carers</w:t>
        </w:r>
        <w:r w:rsidR="00136668" w:rsidRPr="00136668">
          <w:rPr>
            <w:webHidden/>
          </w:rPr>
          <w:tab/>
        </w:r>
        <w:r w:rsidR="00136668" w:rsidRPr="00136668">
          <w:rPr>
            <w:webHidden/>
          </w:rPr>
          <w:fldChar w:fldCharType="begin"/>
        </w:r>
        <w:r w:rsidR="00136668" w:rsidRPr="00136668">
          <w:rPr>
            <w:webHidden/>
          </w:rPr>
          <w:instrText xml:space="preserve"> PAGEREF _Toc474760671 \h </w:instrText>
        </w:r>
        <w:r w:rsidR="00136668" w:rsidRPr="00136668">
          <w:rPr>
            <w:webHidden/>
          </w:rPr>
        </w:r>
        <w:r w:rsidR="00136668" w:rsidRPr="00136668">
          <w:rPr>
            <w:webHidden/>
          </w:rPr>
          <w:fldChar w:fldCharType="separate"/>
        </w:r>
        <w:r w:rsidR="00D95F31">
          <w:rPr>
            <w:webHidden/>
          </w:rPr>
          <w:t>5</w:t>
        </w:r>
        <w:r w:rsidR="00136668" w:rsidRPr="00136668">
          <w:rPr>
            <w:webHidden/>
          </w:rPr>
          <w:fldChar w:fldCharType="end"/>
        </w:r>
      </w:hyperlink>
    </w:p>
    <w:p w14:paraId="2D968C5B" w14:textId="77777777" w:rsidR="00136668" w:rsidRPr="00136668" w:rsidRDefault="007F2768" w:rsidP="00126572">
      <w:pPr>
        <w:pStyle w:val="TOC3"/>
        <w:spacing w:line="240" w:lineRule="auto"/>
        <w:rPr>
          <w:rFonts w:eastAsiaTheme="minorEastAsia"/>
          <w:noProof/>
          <w:lang w:val="en-GB" w:eastAsia="en-GB"/>
        </w:rPr>
      </w:pPr>
      <w:hyperlink w:anchor="_Toc474760672" w:history="1">
        <w:r w:rsidR="00136668" w:rsidRPr="00136668">
          <w:rPr>
            <w:rStyle w:val="Hyperlink"/>
            <w:rFonts w:ascii="Tahoma" w:hAnsi="Tahoma" w:cs="Tahoma"/>
            <w:noProof/>
          </w:rPr>
          <w:t>Fostering Households</w:t>
        </w:r>
        <w:r w:rsidR="00136668" w:rsidRPr="00136668">
          <w:rPr>
            <w:noProof/>
            <w:webHidden/>
          </w:rPr>
          <w:tab/>
        </w:r>
        <w:r w:rsidR="00136668" w:rsidRPr="00136668">
          <w:rPr>
            <w:noProof/>
            <w:webHidden/>
          </w:rPr>
          <w:fldChar w:fldCharType="begin"/>
        </w:r>
        <w:r w:rsidR="00136668" w:rsidRPr="00136668">
          <w:rPr>
            <w:noProof/>
            <w:webHidden/>
          </w:rPr>
          <w:instrText xml:space="preserve"> PAGEREF _Toc474760672 \h </w:instrText>
        </w:r>
        <w:r w:rsidR="00136668" w:rsidRPr="00136668">
          <w:rPr>
            <w:noProof/>
            <w:webHidden/>
          </w:rPr>
        </w:r>
        <w:r w:rsidR="00136668" w:rsidRPr="00136668">
          <w:rPr>
            <w:noProof/>
            <w:webHidden/>
          </w:rPr>
          <w:fldChar w:fldCharType="separate"/>
        </w:r>
        <w:r w:rsidR="00D95F31">
          <w:rPr>
            <w:noProof/>
            <w:webHidden/>
          </w:rPr>
          <w:t>5</w:t>
        </w:r>
        <w:r w:rsidR="00136668" w:rsidRPr="00136668">
          <w:rPr>
            <w:noProof/>
            <w:webHidden/>
          </w:rPr>
          <w:fldChar w:fldCharType="end"/>
        </w:r>
      </w:hyperlink>
    </w:p>
    <w:p w14:paraId="039357DA" w14:textId="77777777" w:rsidR="00136668" w:rsidRPr="00136668" w:rsidRDefault="007F2768" w:rsidP="001E2175">
      <w:pPr>
        <w:pStyle w:val="TOC3"/>
        <w:spacing w:line="240" w:lineRule="auto"/>
        <w:rPr>
          <w:rFonts w:eastAsiaTheme="minorEastAsia"/>
          <w:noProof/>
          <w:lang w:val="en-GB" w:eastAsia="en-GB"/>
        </w:rPr>
      </w:pPr>
      <w:hyperlink w:anchor="_Toc474760673" w:history="1">
        <w:r w:rsidR="00136668" w:rsidRPr="00136668">
          <w:rPr>
            <w:rStyle w:val="Hyperlink"/>
            <w:rFonts w:ascii="Tahoma" w:hAnsi="Tahoma" w:cs="Tahoma"/>
            <w:noProof/>
          </w:rPr>
          <w:t>Types of placements</w:t>
        </w:r>
        <w:r w:rsidR="00136668" w:rsidRPr="00136668">
          <w:rPr>
            <w:noProof/>
            <w:webHidden/>
          </w:rPr>
          <w:tab/>
        </w:r>
        <w:r w:rsidR="00136668" w:rsidRPr="00136668">
          <w:rPr>
            <w:noProof/>
            <w:webHidden/>
          </w:rPr>
          <w:fldChar w:fldCharType="begin"/>
        </w:r>
        <w:r w:rsidR="00136668" w:rsidRPr="00136668">
          <w:rPr>
            <w:noProof/>
            <w:webHidden/>
          </w:rPr>
          <w:instrText xml:space="preserve"> PAGEREF _Toc474760673 \h </w:instrText>
        </w:r>
        <w:r w:rsidR="00136668" w:rsidRPr="00136668">
          <w:rPr>
            <w:noProof/>
            <w:webHidden/>
          </w:rPr>
        </w:r>
        <w:r w:rsidR="00136668" w:rsidRPr="00136668">
          <w:rPr>
            <w:noProof/>
            <w:webHidden/>
          </w:rPr>
          <w:fldChar w:fldCharType="separate"/>
        </w:r>
        <w:r w:rsidR="00D95F31">
          <w:rPr>
            <w:noProof/>
            <w:webHidden/>
          </w:rPr>
          <w:t>5</w:t>
        </w:r>
        <w:r w:rsidR="00136668" w:rsidRPr="00136668">
          <w:rPr>
            <w:noProof/>
            <w:webHidden/>
          </w:rPr>
          <w:fldChar w:fldCharType="end"/>
        </w:r>
      </w:hyperlink>
    </w:p>
    <w:p w14:paraId="469E0309" w14:textId="77777777" w:rsidR="00136668" w:rsidRPr="00136668" w:rsidRDefault="007F2768" w:rsidP="001E2175">
      <w:pPr>
        <w:pStyle w:val="TOC3"/>
        <w:spacing w:line="240" w:lineRule="auto"/>
        <w:rPr>
          <w:rFonts w:eastAsiaTheme="minorEastAsia"/>
          <w:noProof/>
          <w:lang w:val="en-GB" w:eastAsia="en-GB"/>
        </w:rPr>
      </w:pPr>
      <w:hyperlink w:anchor="_Toc474760674" w:history="1">
        <w:r w:rsidR="00136668" w:rsidRPr="00136668">
          <w:rPr>
            <w:rStyle w:val="Hyperlink"/>
            <w:rFonts w:ascii="Tahoma" w:hAnsi="Tahoma" w:cs="Tahoma"/>
            <w:noProof/>
          </w:rPr>
          <w:t>Capacity</w:t>
        </w:r>
        <w:r w:rsidR="00136668" w:rsidRPr="00136668">
          <w:rPr>
            <w:noProof/>
            <w:webHidden/>
          </w:rPr>
          <w:tab/>
        </w:r>
        <w:r w:rsidR="00136668" w:rsidRPr="00136668">
          <w:rPr>
            <w:noProof/>
            <w:webHidden/>
          </w:rPr>
          <w:fldChar w:fldCharType="begin"/>
        </w:r>
        <w:r w:rsidR="00136668" w:rsidRPr="00136668">
          <w:rPr>
            <w:noProof/>
            <w:webHidden/>
          </w:rPr>
          <w:instrText xml:space="preserve"> PAGEREF _Toc474760674 \h </w:instrText>
        </w:r>
        <w:r w:rsidR="00136668" w:rsidRPr="00136668">
          <w:rPr>
            <w:noProof/>
            <w:webHidden/>
          </w:rPr>
        </w:r>
        <w:r w:rsidR="00136668" w:rsidRPr="00136668">
          <w:rPr>
            <w:noProof/>
            <w:webHidden/>
          </w:rPr>
          <w:fldChar w:fldCharType="separate"/>
        </w:r>
        <w:r w:rsidR="00D95F31">
          <w:rPr>
            <w:noProof/>
            <w:webHidden/>
          </w:rPr>
          <w:t>6</w:t>
        </w:r>
        <w:r w:rsidR="00136668" w:rsidRPr="00136668">
          <w:rPr>
            <w:noProof/>
            <w:webHidden/>
          </w:rPr>
          <w:fldChar w:fldCharType="end"/>
        </w:r>
      </w:hyperlink>
    </w:p>
    <w:p w14:paraId="36E75CFE" w14:textId="77777777" w:rsidR="00136668" w:rsidRPr="00136668" w:rsidRDefault="007F2768" w:rsidP="001E2175">
      <w:pPr>
        <w:pStyle w:val="TOC3"/>
        <w:spacing w:line="240" w:lineRule="auto"/>
        <w:rPr>
          <w:rFonts w:eastAsiaTheme="minorEastAsia"/>
          <w:noProof/>
          <w:lang w:val="en-GB" w:eastAsia="en-GB"/>
        </w:rPr>
      </w:pPr>
      <w:hyperlink w:anchor="_Toc474760675" w:history="1">
        <w:r w:rsidR="00136668" w:rsidRPr="00136668">
          <w:rPr>
            <w:rStyle w:val="Hyperlink"/>
            <w:rFonts w:ascii="Tahoma" w:hAnsi="Tahoma" w:cs="Tahoma"/>
            <w:noProof/>
          </w:rPr>
          <w:t>Occupancy</w:t>
        </w:r>
        <w:r w:rsidR="00136668" w:rsidRPr="00136668">
          <w:rPr>
            <w:noProof/>
            <w:webHidden/>
          </w:rPr>
          <w:tab/>
        </w:r>
        <w:r w:rsidR="00136668" w:rsidRPr="00136668">
          <w:rPr>
            <w:noProof/>
            <w:webHidden/>
          </w:rPr>
          <w:fldChar w:fldCharType="begin"/>
        </w:r>
        <w:r w:rsidR="00136668" w:rsidRPr="00136668">
          <w:rPr>
            <w:noProof/>
            <w:webHidden/>
          </w:rPr>
          <w:instrText xml:space="preserve"> PAGEREF _Toc474760675 \h </w:instrText>
        </w:r>
        <w:r w:rsidR="00136668" w:rsidRPr="00136668">
          <w:rPr>
            <w:noProof/>
            <w:webHidden/>
          </w:rPr>
        </w:r>
        <w:r w:rsidR="00136668" w:rsidRPr="00136668">
          <w:rPr>
            <w:noProof/>
            <w:webHidden/>
          </w:rPr>
          <w:fldChar w:fldCharType="separate"/>
        </w:r>
        <w:r w:rsidR="00D95F31">
          <w:rPr>
            <w:noProof/>
            <w:webHidden/>
          </w:rPr>
          <w:t>7</w:t>
        </w:r>
        <w:r w:rsidR="00136668" w:rsidRPr="00136668">
          <w:rPr>
            <w:noProof/>
            <w:webHidden/>
          </w:rPr>
          <w:fldChar w:fldCharType="end"/>
        </w:r>
      </w:hyperlink>
    </w:p>
    <w:p w14:paraId="64E74540" w14:textId="77777777" w:rsidR="00136668" w:rsidRPr="00136668" w:rsidRDefault="007F2768" w:rsidP="00A71A23">
      <w:pPr>
        <w:pStyle w:val="TOC2"/>
        <w:spacing w:line="240" w:lineRule="auto"/>
        <w:rPr>
          <w:rFonts w:eastAsiaTheme="minorEastAsia"/>
          <w:sz w:val="22"/>
          <w:szCs w:val="22"/>
          <w:lang w:val="en-GB" w:eastAsia="en-GB"/>
        </w:rPr>
      </w:pPr>
      <w:hyperlink w:anchor="_Toc474760676" w:history="1">
        <w:r w:rsidR="00136668" w:rsidRPr="00136668">
          <w:rPr>
            <w:rStyle w:val="Hyperlink"/>
          </w:rPr>
          <w:t>Foster carer profile</w:t>
        </w:r>
        <w:r w:rsidR="00136668" w:rsidRPr="00136668">
          <w:rPr>
            <w:webHidden/>
          </w:rPr>
          <w:tab/>
        </w:r>
        <w:r w:rsidR="00136668" w:rsidRPr="00136668">
          <w:rPr>
            <w:webHidden/>
          </w:rPr>
          <w:fldChar w:fldCharType="begin"/>
        </w:r>
        <w:r w:rsidR="00136668" w:rsidRPr="00136668">
          <w:rPr>
            <w:webHidden/>
          </w:rPr>
          <w:instrText xml:space="preserve"> PAGEREF _Toc474760676 \h </w:instrText>
        </w:r>
        <w:r w:rsidR="00136668" w:rsidRPr="00136668">
          <w:rPr>
            <w:webHidden/>
          </w:rPr>
        </w:r>
        <w:r w:rsidR="00136668" w:rsidRPr="00136668">
          <w:rPr>
            <w:webHidden/>
          </w:rPr>
          <w:fldChar w:fldCharType="separate"/>
        </w:r>
        <w:r w:rsidR="00D95F31">
          <w:rPr>
            <w:webHidden/>
          </w:rPr>
          <w:t>8</w:t>
        </w:r>
        <w:r w:rsidR="00136668" w:rsidRPr="00136668">
          <w:rPr>
            <w:webHidden/>
          </w:rPr>
          <w:fldChar w:fldCharType="end"/>
        </w:r>
      </w:hyperlink>
    </w:p>
    <w:p w14:paraId="1758A54F" w14:textId="77777777" w:rsidR="00136668" w:rsidRPr="00136668" w:rsidRDefault="007F2768" w:rsidP="001E2175">
      <w:pPr>
        <w:pStyle w:val="TOC3"/>
        <w:spacing w:line="240" w:lineRule="auto"/>
        <w:rPr>
          <w:rFonts w:eastAsiaTheme="minorEastAsia"/>
          <w:noProof/>
          <w:lang w:val="en-GB" w:eastAsia="en-GB"/>
        </w:rPr>
      </w:pPr>
      <w:hyperlink w:anchor="_Toc474760677" w:history="1">
        <w:r w:rsidR="00136668" w:rsidRPr="00136668">
          <w:rPr>
            <w:rStyle w:val="Hyperlink"/>
            <w:rFonts w:ascii="Tahoma" w:hAnsi="Tahoma" w:cs="Tahoma"/>
            <w:noProof/>
          </w:rPr>
          <w:t>Approved foster carers</w:t>
        </w:r>
        <w:r w:rsidR="00136668" w:rsidRPr="00136668">
          <w:rPr>
            <w:noProof/>
            <w:webHidden/>
          </w:rPr>
          <w:tab/>
        </w:r>
        <w:r w:rsidR="00136668" w:rsidRPr="00136668">
          <w:rPr>
            <w:noProof/>
            <w:webHidden/>
          </w:rPr>
          <w:fldChar w:fldCharType="begin"/>
        </w:r>
        <w:r w:rsidR="00136668" w:rsidRPr="00136668">
          <w:rPr>
            <w:noProof/>
            <w:webHidden/>
          </w:rPr>
          <w:instrText xml:space="preserve"> PAGEREF _Toc474760677 \h </w:instrText>
        </w:r>
        <w:r w:rsidR="00136668" w:rsidRPr="00136668">
          <w:rPr>
            <w:noProof/>
            <w:webHidden/>
          </w:rPr>
        </w:r>
        <w:r w:rsidR="00136668" w:rsidRPr="00136668">
          <w:rPr>
            <w:noProof/>
            <w:webHidden/>
          </w:rPr>
          <w:fldChar w:fldCharType="separate"/>
        </w:r>
        <w:r w:rsidR="00D95F31">
          <w:rPr>
            <w:noProof/>
            <w:webHidden/>
          </w:rPr>
          <w:t>8</w:t>
        </w:r>
        <w:r w:rsidR="00136668" w:rsidRPr="00136668">
          <w:rPr>
            <w:noProof/>
            <w:webHidden/>
          </w:rPr>
          <w:fldChar w:fldCharType="end"/>
        </w:r>
      </w:hyperlink>
    </w:p>
    <w:p w14:paraId="3ECA813F" w14:textId="77777777" w:rsidR="00136668" w:rsidRPr="00136668" w:rsidRDefault="007F2768" w:rsidP="001E2175">
      <w:pPr>
        <w:pStyle w:val="TOC3"/>
        <w:spacing w:line="240" w:lineRule="auto"/>
        <w:rPr>
          <w:rFonts w:eastAsiaTheme="minorEastAsia"/>
          <w:noProof/>
          <w:lang w:val="en-GB" w:eastAsia="en-GB"/>
        </w:rPr>
      </w:pPr>
      <w:hyperlink w:anchor="_Toc474760678" w:history="1">
        <w:r w:rsidR="00136668" w:rsidRPr="00136668">
          <w:rPr>
            <w:rStyle w:val="Hyperlink"/>
            <w:rFonts w:ascii="Tahoma" w:hAnsi="Tahoma" w:cs="Tahoma"/>
            <w:noProof/>
          </w:rPr>
          <w:t>Ethnicity</w:t>
        </w:r>
        <w:r w:rsidR="00136668" w:rsidRPr="00136668">
          <w:rPr>
            <w:noProof/>
            <w:webHidden/>
          </w:rPr>
          <w:tab/>
        </w:r>
        <w:r w:rsidR="00136668" w:rsidRPr="00136668">
          <w:rPr>
            <w:noProof/>
            <w:webHidden/>
          </w:rPr>
          <w:fldChar w:fldCharType="begin"/>
        </w:r>
        <w:r w:rsidR="00136668" w:rsidRPr="00136668">
          <w:rPr>
            <w:noProof/>
            <w:webHidden/>
          </w:rPr>
          <w:instrText xml:space="preserve"> PAGEREF _Toc474760678 \h </w:instrText>
        </w:r>
        <w:r w:rsidR="00136668" w:rsidRPr="00136668">
          <w:rPr>
            <w:noProof/>
            <w:webHidden/>
          </w:rPr>
        </w:r>
        <w:r w:rsidR="00136668" w:rsidRPr="00136668">
          <w:rPr>
            <w:noProof/>
            <w:webHidden/>
          </w:rPr>
          <w:fldChar w:fldCharType="separate"/>
        </w:r>
        <w:r w:rsidR="00D95F31">
          <w:rPr>
            <w:noProof/>
            <w:webHidden/>
          </w:rPr>
          <w:t>8</w:t>
        </w:r>
        <w:r w:rsidR="00136668" w:rsidRPr="00136668">
          <w:rPr>
            <w:noProof/>
            <w:webHidden/>
          </w:rPr>
          <w:fldChar w:fldCharType="end"/>
        </w:r>
      </w:hyperlink>
    </w:p>
    <w:p w14:paraId="79CD148A" w14:textId="77777777" w:rsidR="00136668" w:rsidRPr="00136668" w:rsidRDefault="007F2768" w:rsidP="001E2175">
      <w:pPr>
        <w:pStyle w:val="TOC3"/>
        <w:spacing w:line="240" w:lineRule="auto"/>
        <w:rPr>
          <w:rFonts w:eastAsiaTheme="minorEastAsia"/>
          <w:noProof/>
          <w:lang w:val="en-GB" w:eastAsia="en-GB"/>
        </w:rPr>
      </w:pPr>
      <w:hyperlink w:anchor="_Toc474760679" w:history="1">
        <w:r w:rsidR="00136668" w:rsidRPr="00136668">
          <w:rPr>
            <w:rStyle w:val="Hyperlink"/>
            <w:rFonts w:ascii="Tahoma" w:hAnsi="Tahoma" w:cs="Tahoma"/>
            <w:noProof/>
          </w:rPr>
          <w:t>Post approval training</w:t>
        </w:r>
        <w:r w:rsidR="00136668" w:rsidRPr="00136668">
          <w:rPr>
            <w:noProof/>
            <w:webHidden/>
          </w:rPr>
          <w:tab/>
        </w:r>
        <w:r w:rsidR="00136668" w:rsidRPr="00136668">
          <w:rPr>
            <w:noProof/>
            <w:webHidden/>
          </w:rPr>
          <w:fldChar w:fldCharType="begin"/>
        </w:r>
        <w:r w:rsidR="00136668" w:rsidRPr="00136668">
          <w:rPr>
            <w:noProof/>
            <w:webHidden/>
          </w:rPr>
          <w:instrText xml:space="preserve"> PAGEREF _Toc474760679 \h </w:instrText>
        </w:r>
        <w:r w:rsidR="00136668" w:rsidRPr="00136668">
          <w:rPr>
            <w:noProof/>
            <w:webHidden/>
          </w:rPr>
        </w:r>
        <w:r w:rsidR="00136668" w:rsidRPr="00136668">
          <w:rPr>
            <w:noProof/>
            <w:webHidden/>
          </w:rPr>
          <w:fldChar w:fldCharType="separate"/>
        </w:r>
        <w:r w:rsidR="00D95F31">
          <w:rPr>
            <w:noProof/>
            <w:webHidden/>
          </w:rPr>
          <w:t>9</w:t>
        </w:r>
        <w:r w:rsidR="00136668" w:rsidRPr="00136668">
          <w:rPr>
            <w:noProof/>
            <w:webHidden/>
          </w:rPr>
          <w:fldChar w:fldCharType="end"/>
        </w:r>
      </w:hyperlink>
    </w:p>
    <w:p w14:paraId="4B99FD59" w14:textId="77777777" w:rsidR="00136668" w:rsidRPr="00136668" w:rsidRDefault="007F2768" w:rsidP="00A71A23">
      <w:pPr>
        <w:pStyle w:val="TOC2"/>
        <w:spacing w:line="240" w:lineRule="auto"/>
        <w:rPr>
          <w:rFonts w:eastAsiaTheme="minorEastAsia"/>
          <w:sz w:val="22"/>
          <w:szCs w:val="22"/>
          <w:lang w:val="en-GB" w:eastAsia="en-GB"/>
        </w:rPr>
      </w:pPr>
      <w:hyperlink w:anchor="_Toc474760680" w:history="1">
        <w:r w:rsidR="00136668" w:rsidRPr="00136668">
          <w:rPr>
            <w:rStyle w:val="Hyperlink"/>
          </w:rPr>
          <w:t>Recruitment and retention</w:t>
        </w:r>
        <w:r w:rsidR="00136668" w:rsidRPr="00136668">
          <w:rPr>
            <w:webHidden/>
          </w:rPr>
          <w:tab/>
        </w:r>
        <w:r w:rsidR="00136668" w:rsidRPr="00136668">
          <w:rPr>
            <w:webHidden/>
          </w:rPr>
          <w:fldChar w:fldCharType="begin"/>
        </w:r>
        <w:r w:rsidR="00136668" w:rsidRPr="00136668">
          <w:rPr>
            <w:webHidden/>
          </w:rPr>
          <w:instrText xml:space="preserve"> PAGEREF _Toc474760680 \h </w:instrText>
        </w:r>
        <w:r w:rsidR="00136668" w:rsidRPr="00136668">
          <w:rPr>
            <w:webHidden/>
          </w:rPr>
        </w:r>
        <w:r w:rsidR="00136668" w:rsidRPr="00136668">
          <w:rPr>
            <w:webHidden/>
          </w:rPr>
          <w:fldChar w:fldCharType="separate"/>
        </w:r>
        <w:r w:rsidR="00D95F31">
          <w:rPr>
            <w:webHidden/>
          </w:rPr>
          <w:t>10</w:t>
        </w:r>
        <w:r w:rsidR="00136668" w:rsidRPr="00136668">
          <w:rPr>
            <w:webHidden/>
          </w:rPr>
          <w:fldChar w:fldCharType="end"/>
        </w:r>
      </w:hyperlink>
    </w:p>
    <w:p w14:paraId="6D992C0D" w14:textId="77777777" w:rsidR="00136668" w:rsidRPr="00136668" w:rsidRDefault="007F2768" w:rsidP="001E2175">
      <w:pPr>
        <w:pStyle w:val="TOC3"/>
        <w:spacing w:line="240" w:lineRule="auto"/>
        <w:rPr>
          <w:rFonts w:eastAsiaTheme="minorEastAsia"/>
          <w:noProof/>
          <w:lang w:val="en-GB" w:eastAsia="en-GB"/>
        </w:rPr>
      </w:pPr>
      <w:hyperlink w:anchor="_Toc474760681" w:history="1">
        <w:r w:rsidR="00136668" w:rsidRPr="00136668">
          <w:rPr>
            <w:rStyle w:val="Hyperlink"/>
            <w:rFonts w:ascii="Tahoma" w:hAnsi="Tahoma" w:cs="Tahoma"/>
            <w:noProof/>
          </w:rPr>
          <w:t>Overview of recruitment in the year</w:t>
        </w:r>
        <w:r w:rsidR="00136668" w:rsidRPr="00136668">
          <w:rPr>
            <w:noProof/>
            <w:webHidden/>
          </w:rPr>
          <w:tab/>
        </w:r>
        <w:r w:rsidR="00136668" w:rsidRPr="00136668">
          <w:rPr>
            <w:noProof/>
            <w:webHidden/>
          </w:rPr>
          <w:fldChar w:fldCharType="begin"/>
        </w:r>
        <w:r w:rsidR="00136668" w:rsidRPr="00136668">
          <w:rPr>
            <w:noProof/>
            <w:webHidden/>
          </w:rPr>
          <w:instrText xml:space="preserve"> PAGEREF _Toc474760681 \h </w:instrText>
        </w:r>
        <w:r w:rsidR="00136668" w:rsidRPr="00136668">
          <w:rPr>
            <w:noProof/>
            <w:webHidden/>
          </w:rPr>
        </w:r>
        <w:r w:rsidR="00136668" w:rsidRPr="00136668">
          <w:rPr>
            <w:noProof/>
            <w:webHidden/>
          </w:rPr>
          <w:fldChar w:fldCharType="separate"/>
        </w:r>
        <w:r w:rsidR="00D95F31">
          <w:rPr>
            <w:noProof/>
            <w:webHidden/>
          </w:rPr>
          <w:t>10</w:t>
        </w:r>
        <w:r w:rsidR="00136668" w:rsidRPr="00136668">
          <w:rPr>
            <w:noProof/>
            <w:webHidden/>
          </w:rPr>
          <w:fldChar w:fldCharType="end"/>
        </w:r>
      </w:hyperlink>
    </w:p>
    <w:p w14:paraId="283BDE11" w14:textId="77777777" w:rsidR="00136668" w:rsidRPr="00136668" w:rsidRDefault="007F2768" w:rsidP="001E2175">
      <w:pPr>
        <w:pStyle w:val="TOC3"/>
        <w:spacing w:line="240" w:lineRule="auto"/>
        <w:rPr>
          <w:rFonts w:eastAsiaTheme="minorEastAsia"/>
          <w:noProof/>
          <w:lang w:val="en-GB" w:eastAsia="en-GB"/>
        </w:rPr>
      </w:pPr>
      <w:hyperlink w:anchor="_Toc474760682" w:history="1">
        <w:r w:rsidR="00136668" w:rsidRPr="00136668">
          <w:rPr>
            <w:rStyle w:val="Hyperlink"/>
            <w:rFonts w:ascii="Tahoma" w:hAnsi="Tahoma" w:cs="Tahoma"/>
            <w:noProof/>
          </w:rPr>
          <w:t>Application outcomes</w:t>
        </w:r>
        <w:r w:rsidR="00136668" w:rsidRPr="00136668">
          <w:rPr>
            <w:noProof/>
            <w:webHidden/>
          </w:rPr>
          <w:tab/>
        </w:r>
        <w:r w:rsidR="00136668" w:rsidRPr="00136668">
          <w:rPr>
            <w:noProof/>
            <w:webHidden/>
          </w:rPr>
          <w:fldChar w:fldCharType="begin"/>
        </w:r>
        <w:r w:rsidR="00136668" w:rsidRPr="00136668">
          <w:rPr>
            <w:noProof/>
            <w:webHidden/>
          </w:rPr>
          <w:instrText xml:space="preserve"> PAGEREF _Toc474760682 \h </w:instrText>
        </w:r>
        <w:r w:rsidR="00136668" w:rsidRPr="00136668">
          <w:rPr>
            <w:noProof/>
            <w:webHidden/>
          </w:rPr>
        </w:r>
        <w:r w:rsidR="00136668" w:rsidRPr="00136668">
          <w:rPr>
            <w:noProof/>
            <w:webHidden/>
          </w:rPr>
          <w:fldChar w:fldCharType="separate"/>
        </w:r>
        <w:r w:rsidR="00D95F31">
          <w:rPr>
            <w:noProof/>
            <w:webHidden/>
          </w:rPr>
          <w:t>11</w:t>
        </w:r>
        <w:r w:rsidR="00136668" w:rsidRPr="00136668">
          <w:rPr>
            <w:noProof/>
            <w:webHidden/>
          </w:rPr>
          <w:fldChar w:fldCharType="end"/>
        </w:r>
      </w:hyperlink>
    </w:p>
    <w:p w14:paraId="1BC30905" w14:textId="77777777" w:rsidR="00136668" w:rsidRPr="00136668" w:rsidRDefault="007F2768" w:rsidP="001E2175">
      <w:pPr>
        <w:pStyle w:val="TOC3"/>
        <w:spacing w:line="240" w:lineRule="auto"/>
        <w:rPr>
          <w:rFonts w:eastAsiaTheme="minorEastAsia"/>
          <w:noProof/>
          <w:lang w:val="en-GB" w:eastAsia="en-GB"/>
        </w:rPr>
      </w:pPr>
      <w:hyperlink w:anchor="_Toc474760683" w:history="1">
        <w:r w:rsidR="00136668" w:rsidRPr="00136668">
          <w:rPr>
            <w:rStyle w:val="Hyperlink"/>
            <w:rFonts w:ascii="Tahoma" w:hAnsi="Tahoma" w:cs="Tahoma"/>
            <w:noProof/>
          </w:rPr>
          <w:t>De-registration of fostering households</w:t>
        </w:r>
        <w:r w:rsidR="00136668" w:rsidRPr="00136668">
          <w:rPr>
            <w:noProof/>
            <w:webHidden/>
          </w:rPr>
          <w:tab/>
        </w:r>
        <w:r w:rsidR="00136668" w:rsidRPr="00136668">
          <w:rPr>
            <w:noProof/>
            <w:webHidden/>
          </w:rPr>
          <w:fldChar w:fldCharType="begin"/>
        </w:r>
        <w:r w:rsidR="00136668" w:rsidRPr="00136668">
          <w:rPr>
            <w:noProof/>
            <w:webHidden/>
          </w:rPr>
          <w:instrText xml:space="preserve"> PAGEREF _Toc474760683 \h </w:instrText>
        </w:r>
        <w:r w:rsidR="00136668" w:rsidRPr="00136668">
          <w:rPr>
            <w:noProof/>
            <w:webHidden/>
          </w:rPr>
        </w:r>
        <w:r w:rsidR="00136668" w:rsidRPr="00136668">
          <w:rPr>
            <w:noProof/>
            <w:webHidden/>
          </w:rPr>
          <w:fldChar w:fldCharType="separate"/>
        </w:r>
        <w:r w:rsidR="00D95F31">
          <w:rPr>
            <w:noProof/>
            <w:webHidden/>
          </w:rPr>
          <w:t>12</w:t>
        </w:r>
        <w:r w:rsidR="00136668" w:rsidRPr="00136668">
          <w:rPr>
            <w:noProof/>
            <w:webHidden/>
          </w:rPr>
          <w:fldChar w:fldCharType="end"/>
        </w:r>
      </w:hyperlink>
    </w:p>
    <w:p w14:paraId="243DCC4D" w14:textId="77777777" w:rsidR="00136668" w:rsidRPr="00136668" w:rsidRDefault="007F2768" w:rsidP="001E2175">
      <w:pPr>
        <w:pStyle w:val="TOC3"/>
        <w:spacing w:line="240" w:lineRule="auto"/>
        <w:rPr>
          <w:rFonts w:eastAsiaTheme="minorEastAsia"/>
          <w:noProof/>
          <w:lang w:val="en-GB" w:eastAsia="en-GB"/>
        </w:rPr>
      </w:pPr>
      <w:hyperlink w:anchor="_Toc474760684" w:history="1">
        <w:r w:rsidR="00136668" w:rsidRPr="00136668">
          <w:rPr>
            <w:rStyle w:val="Hyperlink"/>
            <w:rFonts w:ascii="Tahoma" w:hAnsi="Tahoma" w:cs="Tahoma"/>
            <w:noProof/>
          </w:rPr>
          <w:t>Retention</w:t>
        </w:r>
        <w:r w:rsidR="00136668" w:rsidRPr="00136668">
          <w:rPr>
            <w:noProof/>
            <w:webHidden/>
          </w:rPr>
          <w:tab/>
        </w:r>
        <w:r w:rsidR="00136668" w:rsidRPr="00136668">
          <w:rPr>
            <w:noProof/>
            <w:webHidden/>
          </w:rPr>
          <w:fldChar w:fldCharType="begin"/>
        </w:r>
        <w:r w:rsidR="00136668" w:rsidRPr="00136668">
          <w:rPr>
            <w:noProof/>
            <w:webHidden/>
          </w:rPr>
          <w:instrText xml:space="preserve"> PAGEREF _Toc474760684 \h </w:instrText>
        </w:r>
        <w:r w:rsidR="00136668" w:rsidRPr="00136668">
          <w:rPr>
            <w:noProof/>
            <w:webHidden/>
          </w:rPr>
        </w:r>
        <w:r w:rsidR="00136668" w:rsidRPr="00136668">
          <w:rPr>
            <w:noProof/>
            <w:webHidden/>
          </w:rPr>
          <w:fldChar w:fldCharType="separate"/>
        </w:r>
        <w:r w:rsidR="00D95F31">
          <w:rPr>
            <w:noProof/>
            <w:webHidden/>
          </w:rPr>
          <w:t>13</w:t>
        </w:r>
        <w:r w:rsidR="00136668" w:rsidRPr="00136668">
          <w:rPr>
            <w:noProof/>
            <w:webHidden/>
          </w:rPr>
          <w:fldChar w:fldCharType="end"/>
        </w:r>
      </w:hyperlink>
    </w:p>
    <w:p w14:paraId="71D36463" w14:textId="528AF912" w:rsidR="00136668" w:rsidRPr="00136668" w:rsidRDefault="007F2768" w:rsidP="001E2175">
      <w:pPr>
        <w:pStyle w:val="TOC1"/>
        <w:rPr>
          <w:rFonts w:eastAsiaTheme="minorEastAsia" w:cs="Tahoma"/>
          <w:noProof/>
          <w:sz w:val="22"/>
          <w:szCs w:val="22"/>
        </w:rPr>
      </w:pPr>
      <w:hyperlink w:anchor="_Toc474760685" w:history="1">
        <w:r w:rsidR="00136668" w:rsidRPr="00136668">
          <w:rPr>
            <w:rStyle w:val="Hyperlink"/>
            <w:rFonts w:cs="Tahoma"/>
            <w:noProof/>
          </w:rPr>
          <w:t>Family and friends/ temporarily approved connected people</w:t>
        </w:r>
        <w:r w:rsidR="00C707BF">
          <w:rPr>
            <w:rStyle w:val="Hyperlink"/>
            <w:rFonts w:cs="Tahoma"/>
            <w:noProof/>
          </w:rPr>
          <w:t>……………………………….</w:t>
        </w:r>
        <w:r w:rsidR="00136668" w:rsidRPr="00136668">
          <w:rPr>
            <w:rFonts w:cs="Tahoma"/>
            <w:noProof/>
            <w:webHidden/>
          </w:rPr>
          <w:tab/>
        </w:r>
        <w:r w:rsidR="00136668" w:rsidRPr="00136668">
          <w:rPr>
            <w:rFonts w:cs="Tahoma"/>
            <w:noProof/>
            <w:webHidden/>
          </w:rPr>
          <w:fldChar w:fldCharType="begin"/>
        </w:r>
        <w:r w:rsidR="00136668" w:rsidRPr="00136668">
          <w:rPr>
            <w:rFonts w:cs="Tahoma"/>
            <w:noProof/>
            <w:webHidden/>
          </w:rPr>
          <w:instrText xml:space="preserve"> PAGEREF _Toc474760685 \h </w:instrText>
        </w:r>
        <w:r w:rsidR="00136668" w:rsidRPr="00136668">
          <w:rPr>
            <w:rFonts w:cs="Tahoma"/>
            <w:noProof/>
            <w:webHidden/>
          </w:rPr>
        </w:r>
        <w:r w:rsidR="00136668" w:rsidRPr="00136668">
          <w:rPr>
            <w:rFonts w:cs="Tahoma"/>
            <w:noProof/>
            <w:webHidden/>
          </w:rPr>
          <w:fldChar w:fldCharType="separate"/>
        </w:r>
        <w:r w:rsidR="00D95F31">
          <w:rPr>
            <w:rFonts w:cs="Tahoma"/>
            <w:noProof/>
            <w:webHidden/>
          </w:rPr>
          <w:t>14</w:t>
        </w:r>
        <w:r w:rsidR="00136668" w:rsidRPr="00136668">
          <w:rPr>
            <w:rFonts w:cs="Tahoma"/>
            <w:noProof/>
            <w:webHidden/>
          </w:rPr>
          <w:fldChar w:fldCharType="end"/>
        </w:r>
      </w:hyperlink>
    </w:p>
    <w:p w14:paraId="55BF0F91" w14:textId="77777777" w:rsidR="00136668" w:rsidRPr="00136668" w:rsidRDefault="007F2768" w:rsidP="00A71A23">
      <w:pPr>
        <w:pStyle w:val="TOC2"/>
        <w:spacing w:line="240" w:lineRule="auto"/>
        <w:rPr>
          <w:rFonts w:eastAsiaTheme="minorEastAsia"/>
          <w:sz w:val="22"/>
          <w:szCs w:val="22"/>
          <w:lang w:val="en-GB" w:eastAsia="en-GB"/>
        </w:rPr>
      </w:pPr>
      <w:hyperlink w:anchor="_Toc474760686" w:history="1">
        <w:r w:rsidR="00136668" w:rsidRPr="00136668">
          <w:rPr>
            <w:rStyle w:val="Hyperlink"/>
          </w:rPr>
          <w:t>Short breaks households</w:t>
        </w:r>
        <w:r w:rsidR="00136668" w:rsidRPr="00136668">
          <w:rPr>
            <w:webHidden/>
          </w:rPr>
          <w:tab/>
        </w:r>
        <w:r w:rsidR="00136668" w:rsidRPr="00136668">
          <w:rPr>
            <w:webHidden/>
          </w:rPr>
          <w:fldChar w:fldCharType="begin"/>
        </w:r>
        <w:r w:rsidR="00136668" w:rsidRPr="00136668">
          <w:rPr>
            <w:webHidden/>
          </w:rPr>
          <w:instrText xml:space="preserve"> PAGEREF _Toc474760686 \h </w:instrText>
        </w:r>
        <w:r w:rsidR="00136668" w:rsidRPr="00136668">
          <w:rPr>
            <w:webHidden/>
          </w:rPr>
        </w:r>
        <w:r w:rsidR="00136668" w:rsidRPr="00136668">
          <w:rPr>
            <w:webHidden/>
          </w:rPr>
          <w:fldChar w:fldCharType="separate"/>
        </w:r>
        <w:r w:rsidR="00D95F31">
          <w:rPr>
            <w:webHidden/>
          </w:rPr>
          <w:t>14</w:t>
        </w:r>
        <w:r w:rsidR="00136668" w:rsidRPr="00136668">
          <w:rPr>
            <w:webHidden/>
          </w:rPr>
          <w:fldChar w:fldCharType="end"/>
        </w:r>
      </w:hyperlink>
    </w:p>
    <w:p w14:paraId="1DC51335" w14:textId="77777777" w:rsidR="00136668" w:rsidRPr="00136668" w:rsidRDefault="007F2768" w:rsidP="00A71A23">
      <w:pPr>
        <w:pStyle w:val="TOC2"/>
        <w:spacing w:line="240" w:lineRule="auto"/>
        <w:rPr>
          <w:rFonts w:eastAsiaTheme="minorEastAsia"/>
          <w:sz w:val="22"/>
          <w:szCs w:val="22"/>
          <w:lang w:val="en-GB" w:eastAsia="en-GB"/>
        </w:rPr>
      </w:pPr>
      <w:hyperlink w:anchor="_Toc474760687" w:history="1">
        <w:r w:rsidR="00136668" w:rsidRPr="00136668">
          <w:rPr>
            <w:rStyle w:val="Hyperlink"/>
          </w:rPr>
          <w:t>Children and young people</w:t>
        </w:r>
        <w:r w:rsidR="00136668" w:rsidRPr="00136668">
          <w:rPr>
            <w:webHidden/>
          </w:rPr>
          <w:tab/>
        </w:r>
        <w:r w:rsidR="00136668" w:rsidRPr="00136668">
          <w:rPr>
            <w:webHidden/>
          </w:rPr>
          <w:fldChar w:fldCharType="begin"/>
        </w:r>
        <w:r w:rsidR="00136668" w:rsidRPr="00136668">
          <w:rPr>
            <w:webHidden/>
          </w:rPr>
          <w:instrText xml:space="preserve"> PAGEREF _Toc474760687 \h </w:instrText>
        </w:r>
        <w:r w:rsidR="00136668" w:rsidRPr="00136668">
          <w:rPr>
            <w:webHidden/>
          </w:rPr>
        </w:r>
        <w:r w:rsidR="00136668" w:rsidRPr="00136668">
          <w:rPr>
            <w:webHidden/>
          </w:rPr>
          <w:fldChar w:fldCharType="separate"/>
        </w:r>
        <w:r w:rsidR="00D95F31">
          <w:rPr>
            <w:webHidden/>
          </w:rPr>
          <w:t>15</w:t>
        </w:r>
        <w:r w:rsidR="00136668" w:rsidRPr="00136668">
          <w:rPr>
            <w:webHidden/>
          </w:rPr>
          <w:fldChar w:fldCharType="end"/>
        </w:r>
      </w:hyperlink>
    </w:p>
    <w:p w14:paraId="2C7E9074" w14:textId="77777777" w:rsidR="00136668" w:rsidRPr="00136668" w:rsidRDefault="007F2768" w:rsidP="001E2175">
      <w:pPr>
        <w:pStyle w:val="TOC3"/>
        <w:spacing w:line="240" w:lineRule="auto"/>
        <w:rPr>
          <w:rFonts w:eastAsiaTheme="minorEastAsia"/>
          <w:noProof/>
          <w:lang w:val="en-GB" w:eastAsia="en-GB"/>
        </w:rPr>
      </w:pPr>
      <w:hyperlink w:anchor="_Toc474760688" w:history="1">
        <w:r w:rsidR="00136668" w:rsidRPr="00136668">
          <w:rPr>
            <w:rStyle w:val="Hyperlink"/>
            <w:rFonts w:ascii="Tahoma" w:hAnsi="Tahoma" w:cs="Tahoma"/>
            <w:noProof/>
          </w:rPr>
          <w:t>Number of children fostered</w:t>
        </w:r>
        <w:r w:rsidR="00136668" w:rsidRPr="00136668">
          <w:rPr>
            <w:noProof/>
            <w:webHidden/>
          </w:rPr>
          <w:tab/>
        </w:r>
        <w:r w:rsidR="00136668" w:rsidRPr="00136668">
          <w:rPr>
            <w:noProof/>
            <w:webHidden/>
          </w:rPr>
          <w:fldChar w:fldCharType="begin"/>
        </w:r>
        <w:r w:rsidR="00136668" w:rsidRPr="00136668">
          <w:rPr>
            <w:noProof/>
            <w:webHidden/>
          </w:rPr>
          <w:instrText xml:space="preserve"> PAGEREF _Toc474760688 \h </w:instrText>
        </w:r>
        <w:r w:rsidR="00136668" w:rsidRPr="00136668">
          <w:rPr>
            <w:noProof/>
            <w:webHidden/>
          </w:rPr>
        </w:r>
        <w:r w:rsidR="00136668" w:rsidRPr="00136668">
          <w:rPr>
            <w:noProof/>
            <w:webHidden/>
          </w:rPr>
          <w:fldChar w:fldCharType="separate"/>
        </w:r>
        <w:r w:rsidR="00D95F31">
          <w:rPr>
            <w:noProof/>
            <w:webHidden/>
          </w:rPr>
          <w:t>15</w:t>
        </w:r>
        <w:r w:rsidR="00136668" w:rsidRPr="00136668">
          <w:rPr>
            <w:noProof/>
            <w:webHidden/>
          </w:rPr>
          <w:fldChar w:fldCharType="end"/>
        </w:r>
      </w:hyperlink>
    </w:p>
    <w:p w14:paraId="0E786E76" w14:textId="77777777" w:rsidR="00136668" w:rsidRPr="00136668" w:rsidRDefault="007F2768" w:rsidP="001E2175">
      <w:pPr>
        <w:pStyle w:val="TOC3"/>
        <w:spacing w:line="240" w:lineRule="auto"/>
        <w:rPr>
          <w:rFonts w:eastAsiaTheme="minorEastAsia"/>
          <w:noProof/>
          <w:lang w:val="en-GB" w:eastAsia="en-GB"/>
        </w:rPr>
      </w:pPr>
      <w:hyperlink w:anchor="_Toc474760689" w:history="1">
        <w:r w:rsidR="00136668" w:rsidRPr="00136668">
          <w:rPr>
            <w:rStyle w:val="Hyperlink"/>
            <w:rFonts w:ascii="Tahoma" w:hAnsi="Tahoma" w:cs="Tahoma"/>
            <w:noProof/>
          </w:rPr>
          <w:t>Characteristics of children</w:t>
        </w:r>
        <w:r w:rsidR="00136668" w:rsidRPr="00136668">
          <w:rPr>
            <w:noProof/>
            <w:webHidden/>
          </w:rPr>
          <w:tab/>
        </w:r>
        <w:r w:rsidR="00136668" w:rsidRPr="00136668">
          <w:rPr>
            <w:noProof/>
            <w:webHidden/>
          </w:rPr>
          <w:fldChar w:fldCharType="begin"/>
        </w:r>
        <w:r w:rsidR="00136668" w:rsidRPr="00136668">
          <w:rPr>
            <w:noProof/>
            <w:webHidden/>
          </w:rPr>
          <w:instrText xml:space="preserve"> PAGEREF _Toc474760689 \h </w:instrText>
        </w:r>
        <w:r w:rsidR="00136668" w:rsidRPr="00136668">
          <w:rPr>
            <w:noProof/>
            <w:webHidden/>
          </w:rPr>
        </w:r>
        <w:r w:rsidR="00136668" w:rsidRPr="00136668">
          <w:rPr>
            <w:noProof/>
            <w:webHidden/>
          </w:rPr>
          <w:fldChar w:fldCharType="separate"/>
        </w:r>
        <w:r w:rsidR="00D95F31">
          <w:rPr>
            <w:noProof/>
            <w:webHidden/>
          </w:rPr>
          <w:t>15</w:t>
        </w:r>
        <w:r w:rsidR="00136668" w:rsidRPr="00136668">
          <w:rPr>
            <w:noProof/>
            <w:webHidden/>
          </w:rPr>
          <w:fldChar w:fldCharType="end"/>
        </w:r>
      </w:hyperlink>
    </w:p>
    <w:p w14:paraId="3D3260CF" w14:textId="77777777" w:rsidR="00136668" w:rsidRPr="00136668" w:rsidRDefault="007F2768" w:rsidP="001E2175">
      <w:pPr>
        <w:pStyle w:val="TOC3"/>
        <w:spacing w:line="240" w:lineRule="auto"/>
        <w:rPr>
          <w:rFonts w:eastAsiaTheme="minorEastAsia"/>
          <w:noProof/>
          <w:lang w:val="en-GB" w:eastAsia="en-GB"/>
        </w:rPr>
      </w:pPr>
      <w:hyperlink w:anchor="_Toc474760690" w:history="1">
        <w:r w:rsidR="00136668" w:rsidRPr="00136668">
          <w:rPr>
            <w:rStyle w:val="Hyperlink"/>
            <w:rFonts w:ascii="Tahoma" w:hAnsi="Tahoma" w:cs="Tahoma"/>
            <w:noProof/>
          </w:rPr>
          <w:t>Children’s experiences</w:t>
        </w:r>
        <w:r w:rsidR="00136668" w:rsidRPr="00136668">
          <w:rPr>
            <w:noProof/>
            <w:webHidden/>
          </w:rPr>
          <w:tab/>
        </w:r>
        <w:r w:rsidR="00136668" w:rsidRPr="00136668">
          <w:rPr>
            <w:noProof/>
            <w:webHidden/>
          </w:rPr>
          <w:fldChar w:fldCharType="begin"/>
        </w:r>
        <w:r w:rsidR="00136668" w:rsidRPr="00136668">
          <w:rPr>
            <w:noProof/>
            <w:webHidden/>
          </w:rPr>
          <w:instrText xml:space="preserve"> PAGEREF _Toc474760690 \h </w:instrText>
        </w:r>
        <w:r w:rsidR="00136668" w:rsidRPr="00136668">
          <w:rPr>
            <w:noProof/>
            <w:webHidden/>
          </w:rPr>
        </w:r>
        <w:r w:rsidR="00136668" w:rsidRPr="00136668">
          <w:rPr>
            <w:noProof/>
            <w:webHidden/>
          </w:rPr>
          <w:fldChar w:fldCharType="separate"/>
        </w:r>
        <w:r w:rsidR="00D95F31">
          <w:rPr>
            <w:noProof/>
            <w:webHidden/>
          </w:rPr>
          <w:t>16</w:t>
        </w:r>
        <w:r w:rsidR="00136668" w:rsidRPr="00136668">
          <w:rPr>
            <w:noProof/>
            <w:webHidden/>
          </w:rPr>
          <w:fldChar w:fldCharType="end"/>
        </w:r>
      </w:hyperlink>
    </w:p>
    <w:p w14:paraId="50B8CB07" w14:textId="77777777" w:rsidR="00136668" w:rsidRPr="00136668" w:rsidRDefault="007F2768" w:rsidP="00A71A23">
      <w:pPr>
        <w:pStyle w:val="TOC2"/>
        <w:spacing w:line="240" w:lineRule="auto"/>
        <w:rPr>
          <w:rFonts w:eastAsiaTheme="minorEastAsia"/>
          <w:sz w:val="22"/>
          <w:szCs w:val="22"/>
          <w:lang w:val="en-GB" w:eastAsia="en-GB"/>
        </w:rPr>
      </w:pPr>
      <w:hyperlink w:anchor="_Toc474760691" w:history="1">
        <w:r w:rsidR="00136668" w:rsidRPr="00136668">
          <w:rPr>
            <w:rStyle w:val="Hyperlink"/>
          </w:rPr>
          <w:t>Safeguarding</w:t>
        </w:r>
        <w:r w:rsidR="00136668" w:rsidRPr="00136668">
          <w:rPr>
            <w:webHidden/>
          </w:rPr>
          <w:tab/>
        </w:r>
        <w:r w:rsidR="00136668" w:rsidRPr="00136668">
          <w:rPr>
            <w:webHidden/>
          </w:rPr>
          <w:fldChar w:fldCharType="begin"/>
        </w:r>
        <w:r w:rsidR="00136668" w:rsidRPr="00136668">
          <w:rPr>
            <w:webHidden/>
          </w:rPr>
          <w:instrText xml:space="preserve"> PAGEREF _Toc474760691 \h </w:instrText>
        </w:r>
        <w:r w:rsidR="00136668" w:rsidRPr="00136668">
          <w:rPr>
            <w:webHidden/>
          </w:rPr>
        </w:r>
        <w:r w:rsidR="00136668" w:rsidRPr="00136668">
          <w:rPr>
            <w:webHidden/>
          </w:rPr>
          <w:fldChar w:fldCharType="separate"/>
        </w:r>
        <w:r w:rsidR="00D95F31">
          <w:rPr>
            <w:webHidden/>
          </w:rPr>
          <w:t>19</w:t>
        </w:r>
        <w:r w:rsidR="00136668" w:rsidRPr="00136668">
          <w:rPr>
            <w:webHidden/>
          </w:rPr>
          <w:fldChar w:fldCharType="end"/>
        </w:r>
      </w:hyperlink>
    </w:p>
    <w:p w14:paraId="5C519F9C" w14:textId="77777777" w:rsidR="00136668" w:rsidRPr="00136668" w:rsidRDefault="007F2768" w:rsidP="001E2175">
      <w:pPr>
        <w:pStyle w:val="TOC3"/>
        <w:spacing w:line="240" w:lineRule="auto"/>
        <w:rPr>
          <w:rFonts w:eastAsiaTheme="minorEastAsia"/>
          <w:noProof/>
          <w:lang w:val="en-GB" w:eastAsia="en-GB"/>
        </w:rPr>
      </w:pPr>
      <w:hyperlink w:anchor="_Toc474760692" w:history="1">
        <w:r w:rsidR="00136668" w:rsidRPr="00136668">
          <w:rPr>
            <w:rStyle w:val="Hyperlink"/>
            <w:rFonts w:ascii="Tahoma" w:hAnsi="Tahoma" w:cs="Tahoma"/>
            <w:noProof/>
          </w:rPr>
          <w:t>Child sexual exploitation</w:t>
        </w:r>
        <w:r w:rsidR="00136668" w:rsidRPr="00136668">
          <w:rPr>
            <w:noProof/>
            <w:webHidden/>
          </w:rPr>
          <w:tab/>
        </w:r>
        <w:r w:rsidR="00136668" w:rsidRPr="00136668">
          <w:rPr>
            <w:noProof/>
            <w:webHidden/>
          </w:rPr>
          <w:fldChar w:fldCharType="begin"/>
        </w:r>
        <w:r w:rsidR="00136668" w:rsidRPr="00136668">
          <w:rPr>
            <w:noProof/>
            <w:webHidden/>
          </w:rPr>
          <w:instrText xml:space="preserve"> PAGEREF _Toc474760692 \h </w:instrText>
        </w:r>
        <w:r w:rsidR="00136668" w:rsidRPr="00136668">
          <w:rPr>
            <w:noProof/>
            <w:webHidden/>
          </w:rPr>
        </w:r>
        <w:r w:rsidR="00136668" w:rsidRPr="00136668">
          <w:rPr>
            <w:noProof/>
            <w:webHidden/>
          </w:rPr>
          <w:fldChar w:fldCharType="separate"/>
        </w:r>
        <w:r w:rsidR="00D95F31">
          <w:rPr>
            <w:noProof/>
            <w:webHidden/>
          </w:rPr>
          <w:t>20</w:t>
        </w:r>
        <w:r w:rsidR="00136668" w:rsidRPr="00136668">
          <w:rPr>
            <w:noProof/>
            <w:webHidden/>
          </w:rPr>
          <w:fldChar w:fldCharType="end"/>
        </w:r>
      </w:hyperlink>
    </w:p>
    <w:p w14:paraId="42651C3B" w14:textId="77777777" w:rsidR="00136668" w:rsidRPr="00136668" w:rsidRDefault="007F2768" w:rsidP="001E2175">
      <w:pPr>
        <w:pStyle w:val="TOC3"/>
        <w:spacing w:line="240" w:lineRule="auto"/>
        <w:rPr>
          <w:rFonts w:eastAsiaTheme="minorEastAsia"/>
          <w:noProof/>
          <w:lang w:val="en-GB" w:eastAsia="en-GB"/>
        </w:rPr>
      </w:pPr>
      <w:hyperlink w:anchor="_Toc474760693" w:history="1">
        <w:r w:rsidR="00136668" w:rsidRPr="00136668">
          <w:rPr>
            <w:rStyle w:val="Hyperlink"/>
            <w:rFonts w:ascii="Tahoma" w:hAnsi="Tahoma" w:cs="Tahoma"/>
            <w:noProof/>
          </w:rPr>
          <w:t>Children going missing</w:t>
        </w:r>
        <w:r w:rsidR="00136668" w:rsidRPr="00136668">
          <w:rPr>
            <w:noProof/>
            <w:webHidden/>
          </w:rPr>
          <w:tab/>
        </w:r>
        <w:r w:rsidR="00136668" w:rsidRPr="00136668">
          <w:rPr>
            <w:noProof/>
            <w:webHidden/>
          </w:rPr>
          <w:fldChar w:fldCharType="begin"/>
        </w:r>
        <w:r w:rsidR="00136668" w:rsidRPr="00136668">
          <w:rPr>
            <w:noProof/>
            <w:webHidden/>
          </w:rPr>
          <w:instrText xml:space="preserve"> PAGEREF _Toc474760693 \h </w:instrText>
        </w:r>
        <w:r w:rsidR="00136668" w:rsidRPr="00136668">
          <w:rPr>
            <w:noProof/>
            <w:webHidden/>
          </w:rPr>
        </w:r>
        <w:r w:rsidR="00136668" w:rsidRPr="00136668">
          <w:rPr>
            <w:noProof/>
            <w:webHidden/>
          </w:rPr>
          <w:fldChar w:fldCharType="separate"/>
        </w:r>
        <w:r w:rsidR="00D95F31">
          <w:rPr>
            <w:noProof/>
            <w:webHidden/>
          </w:rPr>
          <w:t>20</w:t>
        </w:r>
        <w:r w:rsidR="00136668" w:rsidRPr="00136668">
          <w:rPr>
            <w:noProof/>
            <w:webHidden/>
          </w:rPr>
          <w:fldChar w:fldCharType="end"/>
        </w:r>
      </w:hyperlink>
    </w:p>
    <w:p w14:paraId="3BF8E73D" w14:textId="77777777" w:rsidR="00136668" w:rsidRPr="00136668" w:rsidRDefault="007F2768" w:rsidP="001E2175">
      <w:pPr>
        <w:pStyle w:val="TOC3"/>
        <w:spacing w:line="240" w:lineRule="auto"/>
        <w:rPr>
          <w:rFonts w:eastAsiaTheme="minorEastAsia"/>
          <w:noProof/>
          <w:lang w:val="en-GB" w:eastAsia="en-GB"/>
        </w:rPr>
      </w:pPr>
      <w:hyperlink w:anchor="_Toc474760694" w:history="1">
        <w:r w:rsidR="00136668" w:rsidRPr="00136668">
          <w:rPr>
            <w:rStyle w:val="Hyperlink"/>
            <w:rFonts w:ascii="Tahoma" w:hAnsi="Tahoma" w:cs="Tahoma"/>
            <w:noProof/>
          </w:rPr>
          <w:t>Missing and child sexual exploitation – links to children’s experiences</w:t>
        </w:r>
        <w:r w:rsidR="00136668" w:rsidRPr="00136668">
          <w:rPr>
            <w:noProof/>
            <w:webHidden/>
          </w:rPr>
          <w:tab/>
        </w:r>
        <w:r w:rsidR="00136668" w:rsidRPr="00136668">
          <w:rPr>
            <w:noProof/>
            <w:webHidden/>
          </w:rPr>
          <w:fldChar w:fldCharType="begin"/>
        </w:r>
        <w:r w:rsidR="00136668" w:rsidRPr="00136668">
          <w:rPr>
            <w:noProof/>
            <w:webHidden/>
          </w:rPr>
          <w:instrText xml:space="preserve"> PAGEREF _Toc474760694 \h </w:instrText>
        </w:r>
        <w:r w:rsidR="00136668" w:rsidRPr="00136668">
          <w:rPr>
            <w:noProof/>
            <w:webHidden/>
          </w:rPr>
        </w:r>
        <w:r w:rsidR="00136668" w:rsidRPr="00136668">
          <w:rPr>
            <w:noProof/>
            <w:webHidden/>
          </w:rPr>
          <w:fldChar w:fldCharType="separate"/>
        </w:r>
        <w:r w:rsidR="00D95F31">
          <w:rPr>
            <w:noProof/>
            <w:webHidden/>
          </w:rPr>
          <w:t>22</w:t>
        </w:r>
        <w:r w:rsidR="00136668" w:rsidRPr="00136668">
          <w:rPr>
            <w:noProof/>
            <w:webHidden/>
          </w:rPr>
          <w:fldChar w:fldCharType="end"/>
        </w:r>
      </w:hyperlink>
    </w:p>
    <w:p w14:paraId="56CBE6E6" w14:textId="77777777" w:rsidR="00136668" w:rsidRDefault="007F2768" w:rsidP="001E2175">
      <w:pPr>
        <w:pStyle w:val="TOC3"/>
        <w:spacing w:line="240" w:lineRule="auto"/>
        <w:rPr>
          <w:rFonts w:asciiTheme="minorHAnsi" w:eastAsiaTheme="minorEastAsia" w:hAnsiTheme="minorHAnsi" w:cstheme="minorBidi"/>
          <w:noProof/>
          <w:lang w:val="en-GB" w:eastAsia="en-GB"/>
        </w:rPr>
      </w:pPr>
      <w:hyperlink w:anchor="_Toc474760695" w:history="1">
        <w:r w:rsidR="00136668" w:rsidRPr="00136668">
          <w:rPr>
            <w:rStyle w:val="Hyperlink"/>
            <w:rFonts w:ascii="Tahoma" w:hAnsi="Tahoma" w:cs="Tahoma"/>
            <w:noProof/>
          </w:rPr>
          <w:t>Allegations of abuse</w:t>
        </w:r>
        <w:r w:rsidR="00136668" w:rsidRPr="00136668">
          <w:rPr>
            <w:noProof/>
            <w:webHidden/>
          </w:rPr>
          <w:tab/>
        </w:r>
        <w:r w:rsidR="00136668" w:rsidRPr="00136668">
          <w:rPr>
            <w:noProof/>
            <w:webHidden/>
          </w:rPr>
          <w:fldChar w:fldCharType="begin"/>
        </w:r>
        <w:r w:rsidR="00136668" w:rsidRPr="00136668">
          <w:rPr>
            <w:noProof/>
            <w:webHidden/>
          </w:rPr>
          <w:instrText xml:space="preserve"> PAGEREF _Toc474760695 \h </w:instrText>
        </w:r>
        <w:r w:rsidR="00136668" w:rsidRPr="00136668">
          <w:rPr>
            <w:noProof/>
            <w:webHidden/>
          </w:rPr>
        </w:r>
        <w:r w:rsidR="00136668" w:rsidRPr="00136668">
          <w:rPr>
            <w:noProof/>
            <w:webHidden/>
          </w:rPr>
          <w:fldChar w:fldCharType="separate"/>
        </w:r>
        <w:r w:rsidR="00D95F31">
          <w:rPr>
            <w:noProof/>
            <w:webHidden/>
          </w:rPr>
          <w:t>25</w:t>
        </w:r>
        <w:r w:rsidR="00136668" w:rsidRPr="00136668">
          <w:rPr>
            <w:noProof/>
            <w:webHidden/>
          </w:rPr>
          <w:fldChar w:fldCharType="end"/>
        </w:r>
      </w:hyperlink>
    </w:p>
    <w:p w14:paraId="6765FA4A" w14:textId="77777777" w:rsidR="00136668" w:rsidRDefault="007F2768" w:rsidP="00A71A23">
      <w:pPr>
        <w:pStyle w:val="TOC2"/>
        <w:spacing w:line="240" w:lineRule="auto"/>
        <w:rPr>
          <w:rFonts w:asciiTheme="minorHAnsi" w:eastAsiaTheme="minorEastAsia" w:hAnsiTheme="minorHAnsi" w:cstheme="minorBidi"/>
          <w:sz w:val="22"/>
          <w:szCs w:val="22"/>
          <w:lang w:val="en-GB" w:eastAsia="en-GB"/>
        </w:rPr>
      </w:pPr>
      <w:hyperlink w:anchor="_Toc474760696" w:history="1">
        <w:r w:rsidR="00136668" w:rsidRPr="00967753">
          <w:rPr>
            <w:rStyle w:val="Hyperlink"/>
          </w:rPr>
          <w:t>List of charts</w:t>
        </w:r>
        <w:r w:rsidR="00136668">
          <w:rPr>
            <w:webHidden/>
          </w:rPr>
          <w:tab/>
        </w:r>
        <w:r w:rsidR="00136668">
          <w:rPr>
            <w:webHidden/>
          </w:rPr>
          <w:fldChar w:fldCharType="begin"/>
        </w:r>
        <w:r w:rsidR="00136668">
          <w:rPr>
            <w:webHidden/>
          </w:rPr>
          <w:instrText xml:space="preserve"> PAGEREF _Toc474760696 \h </w:instrText>
        </w:r>
        <w:r w:rsidR="00136668">
          <w:rPr>
            <w:webHidden/>
          </w:rPr>
        </w:r>
        <w:r w:rsidR="00136668">
          <w:rPr>
            <w:webHidden/>
          </w:rPr>
          <w:fldChar w:fldCharType="separate"/>
        </w:r>
        <w:r w:rsidR="00D95F31">
          <w:rPr>
            <w:webHidden/>
          </w:rPr>
          <w:t>26</w:t>
        </w:r>
        <w:r w:rsidR="00136668">
          <w:rPr>
            <w:webHidden/>
          </w:rPr>
          <w:fldChar w:fldCharType="end"/>
        </w:r>
      </w:hyperlink>
    </w:p>
    <w:p w14:paraId="4E3FE8EF" w14:textId="77777777" w:rsidR="00136668" w:rsidRDefault="007F2768" w:rsidP="00A71A23">
      <w:pPr>
        <w:pStyle w:val="TOC2"/>
        <w:spacing w:line="240" w:lineRule="auto"/>
        <w:rPr>
          <w:rFonts w:asciiTheme="minorHAnsi" w:eastAsiaTheme="minorEastAsia" w:hAnsiTheme="minorHAnsi" w:cstheme="minorBidi"/>
          <w:sz w:val="22"/>
          <w:szCs w:val="22"/>
          <w:lang w:val="en-GB" w:eastAsia="en-GB"/>
        </w:rPr>
      </w:pPr>
      <w:hyperlink w:anchor="_Toc474760697" w:history="1">
        <w:r w:rsidR="00136668" w:rsidRPr="00967753">
          <w:rPr>
            <w:rStyle w:val="Hyperlink"/>
          </w:rPr>
          <w:t>Revisions to previous release</w:t>
        </w:r>
        <w:r w:rsidR="00136668">
          <w:rPr>
            <w:webHidden/>
          </w:rPr>
          <w:tab/>
        </w:r>
        <w:r w:rsidR="00136668">
          <w:rPr>
            <w:webHidden/>
          </w:rPr>
          <w:fldChar w:fldCharType="begin"/>
        </w:r>
        <w:r w:rsidR="00136668">
          <w:rPr>
            <w:webHidden/>
          </w:rPr>
          <w:instrText xml:space="preserve"> PAGEREF _Toc474760697 \h </w:instrText>
        </w:r>
        <w:r w:rsidR="00136668">
          <w:rPr>
            <w:webHidden/>
          </w:rPr>
        </w:r>
        <w:r w:rsidR="00136668">
          <w:rPr>
            <w:webHidden/>
          </w:rPr>
          <w:fldChar w:fldCharType="separate"/>
        </w:r>
        <w:r w:rsidR="00D95F31">
          <w:rPr>
            <w:webHidden/>
          </w:rPr>
          <w:t>26</w:t>
        </w:r>
        <w:r w:rsidR="00136668">
          <w:rPr>
            <w:webHidden/>
          </w:rPr>
          <w:fldChar w:fldCharType="end"/>
        </w:r>
      </w:hyperlink>
    </w:p>
    <w:p w14:paraId="04D802ED" w14:textId="77777777" w:rsidR="00136668" w:rsidRDefault="007F2768" w:rsidP="00A71A23">
      <w:pPr>
        <w:pStyle w:val="TOC2"/>
        <w:spacing w:line="240" w:lineRule="auto"/>
        <w:rPr>
          <w:rFonts w:asciiTheme="minorHAnsi" w:eastAsiaTheme="minorEastAsia" w:hAnsiTheme="minorHAnsi" w:cstheme="minorBidi"/>
          <w:sz w:val="22"/>
          <w:szCs w:val="22"/>
          <w:lang w:val="en-GB" w:eastAsia="en-GB"/>
        </w:rPr>
      </w:pPr>
      <w:hyperlink w:anchor="_Toc474760698" w:history="1">
        <w:r w:rsidR="00136668" w:rsidRPr="00967753">
          <w:rPr>
            <w:rStyle w:val="Hyperlink"/>
          </w:rPr>
          <w:t>Notes</w:t>
        </w:r>
        <w:r w:rsidR="00136668">
          <w:rPr>
            <w:webHidden/>
          </w:rPr>
          <w:tab/>
        </w:r>
        <w:r w:rsidR="00136668">
          <w:rPr>
            <w:webHidden/>
          </w:rPr>
          <w:fldChar w:fldCharType="begin"/>
        </w:r>
        <w:r w:rsidR="00136668">
          <w:rPr>
            <w:webHidden/>
          </w:rPr>
          <w:instrText xml:space="preserve"> PAGEREF _Toc474760698 \h </w:instrText>
        </w:r>
        <w:r w:rsidR="00136668">
          <w:rPr>
            <w:webHidden/>
          </w:rPr>
        </w:r>
        <w:r w:rsidR="00136668">
          <w:rPr>
            <w:webHidden/>
          </w:rPr>
          <w:fldChar w:fldCharType="separate"/>
        </w:r>
        <w:r w:rsidR="00D95F31">
          <w:rPr>
            <w:webHidden/>
          </w:rPr>
          <w:t>26</w:t>
        </w:r>
        <w:r w:rsidR="00136668">
          <w:rPr>
            <w:webHidden/>
          </w:rPr>
          <w:fldChar w:fldCharType="end"/>
        </w:r>
      </w:hyperlink>
    </w:p>
    <w:p w14:paraId="6DF4F95D" w14:textId="77777777" w:rsidR="00136668" w:rsidRDefault="007F2768" w:rsidP="00A71A23">
      <w:pPr>
        <w:pStyle w:val="TOC2"/>
        <w:spacing w:line="240" w:lineRule="auto"/>
        <w:rPr>
          <w:rFonts w:asciiTheme="minorHAnsi" w:eastAsiaTheme="minorEastAsia" w:hAnsiTheme="minorHAnsi" w:cstheme="minorBidi"/>
          <w:sz w:val="22"/>
          <w:szCs w:val="22"/>
          <w:lang w:val="en-GB" w:eastAsia="en-GB"/>
        </w:rPr>
      </w:pPr>
      <w:hyperlink w:anchor="_Toc474760699" w:history="1">
        <w:r w:rsidR="00136668" w:rsidRPr="00967753">
          <w:rPr>
            <w:rStyle w:val="Hyperlink"/>
          </w:rPr>
          <w:t>Glossary</w:t>
        </w:r>
        <w:r w:rsidR="00136668">
          <w:rPr>
            <w:webHidden/>
          </w:rPr>
          <w:tab/>
        </w:r>
        <w:r w:rsidR="00136668">
          <w:rPr>
            <w:webHidden/>
          </w:rPr>
          <w:fldChar w:fldCharType="begin"/>
        </w:r>
        <w:r w:rsidR="00136668">
          <w:rPr>
            <w:webHidden/>
          </w:rPr>
          <w:instrText xml:space="preserve"> PAGEREF _Toc474760699 \h </w:instrText>
        </w:r>
        <w:r w:rsidR="00136668">
          <w:rPr>
            <w:webHidden/>
          </w:rPr>
        </w:r>
        <w:r w:rsidR="00136668">
          <w:rPr>
            <w:webHidden/>
          </w:rPr>
          <w:fldChar w:fldCharType="separate"/>
        </w:r>
        <w:r w:rsidR="00D95F31">
          <w:rPr>
            <w:webHidden/>
          </w:rPr>
          <w:t>27</w:t>
        </w:r>
        <w:r w:rsidR="00136668">
          <w:rPr>
            <w:webHidden/>
          </w:rPr>
          <w:fldChar w:fldCharType="end"/>
        </w:r>
      </w:hyperlink>
    </w:p>
    <w:p w14:paraId="3AA9382F" w14:textId="667C1835" w:rsidR="00724D6B" w:rsidRDefault="002C192D" w:rsidP="009A6870">
      <w:pPr>
        <w:spacing w:after="120"/>
        <w:rPr>
          <w:noProof/>
        </w:rPr>
      </w:pPr>
      <w:r w:rsidRPr="002C192D">
        <w:rPr>
          <w:noProof/>
        </w:rPr>
        <w:fldChar w:fldCharType="end"/>
      </w:r>
      <w:bookmarkStart w:id="3" w:name="Key_findings"/>
      <w:bookmarkEnd w:id="0"/>
      <w:bookmarkEnd w:id="1"/>
      <w:bookmarkEnd w:id="2"/>
    </w:p>
    <w:p w14:paraId="08DD2E61" w14:textId="2CDB042A" w:rsidR="00724D6B" w:rsidRDefault="00724D6B" w:rsidP="009A6870">
      <w:pPr>
        <w:spacing w:after="120"/>
        <w:rPr>
          <w:noProof/>
        </w:rPr>
      </w:pPr>
    </w:p>
    <w:p w14:paraId="284907C5" w14:textId="45564B14" w:rsidR="00724D6B" w:rsidRDefault="00724D6B" w:rsidP="009A6870">
      <w:pPr>
        <w:spacing w:after="120"/>
        <w:rPr>
          <w:noProof/>
        </w:rPr>
      </w:pPr>
    </w:p>
    <w:p w14:paraId="14BBE3D1" w14:textId="2CAEBD4E" w:rsidR="00724D6B" w:rsidRDefault="00724D6B" w:rsidP="009A6870">
      <w:pPr>
        <w:spacing w:after="120"/>
        <w:rPr>
          <w:noProof/>
        </w:rPr>
      </w:pPr>
    </w:p>
    <w:p w14:paraId="071F74D6" w14:textId="7FF54A6E" w:rsidR="00724D6B" w:rsidRDefault="00724D6B" w:rsidP="009A6870">
      <w:pPr>
        <w:spacing w:after="120"/>
        <w:rPr>
          <w:noProof/>
        </w:rPr>
      </w:pPr>
    </w:p>
    <w:p w14:paraId="5CD1FA26" w14:textId="4FB5C5F2" w:rsidR="00906EE8" w:rsidRDefault="00906EE8" w:rsidP="009A6870">
      <w:pPr>
        <w:spacing w:after="120"/>
        <w:rPr>
          <w:noProof/>
        </w:rPr>
      </w:pPr>
    </w:p>
    <w:p w14:paraId="7E767DC9" w14:textId="1C36B311" w:rsidR="00906EE8" w:rsidRDefault="00906EE8" w:rsidP="009A6870">
      <w:pPr>
        <w:spacing w:after="120"/>
        <w:rPr>
          <w:noProof/>
        </w:rPr>
      </w:pPr>
    </w:p>
    <w:p w14:paraId="22C47D22" w14:textId="77777777" w:rsidR="00906EE8" w:rsidRDefault="00906EE8" w:rsidP="009A6870">
      <w:pPr>
        <w:spacing w:after="120"/>
        <w:rPr>
          <w:noProof/>
        </w:rPr>
      </w:pPr>
    </w:p>
    <w:p w14:paraId="67015798" w14:textId="77777777" w:rsidR="00906EE8" w:rsidRDefault="00906EE8" w:rsidP="009A6870">
      <w:pPr>
        <w:spacing w:after="120"/>
        <w:rPr>
          <w:noProof/>
        </w:rPr>
      </w:pPr>
    </w:p>
    <w:p w14:paraId="398A3EAE" w14:textId="77777777" w:rsidR="00906EE8" w:rsidRDefault="00906EE8" w:rsidP="009A6870">
      <w:pPr>
        <w:spacing w:after="120"/>
        <w:rPr>
          <w:noProof/>
        </w:rPr>
      </w:pPr>
    </w:p>
    <w:p w14:paraId="07937899" w14:textId="77777777" w:rsidR="00906EE8" w:rsidRDefault="00906EE8" w:rsidP="009A6870">
      <w:pPr>
        <w:spacing w:after="120"/>
        <w:rPr>
          <w:noProof/>
        </w:rPr>
      </w:pPr>
    </w:p>
    <w:p w14:paraId="3F8641D3" w14:textId="77777777" w:rsidR="00906EE8" w:rsidRDefault="00906EE8" w:rsidP="009A6870">
      <w:pPr>
        <w:spacing w:after="120"/>
        <w:rPr>
          <w:noProof/>
        </w:rPr>
      </w:pPr>
    </w:p>
    <w:p w14:paraId="1C9816FE" w14:textId="77777777" w:rsidR="00906EE8" w:rsidRDefault="00906EE8" w:rsidP="009A6870">
      <w:pPr>
        <w:spacing w:after="120"/>
        <w:rPr>
          <w:noProof/>
        </w:rPr>
      </w:pPr>
    </w:p>
    <w:p w14:paraId="11B6D1DD" w14:textId="77777777" w:rsidR="00906EE8" w:rsidRDefault="00906EE8" w:rsidP="009A6870">
      <w:pPr>
        <w:spacing w:after="120"/>
        <w:rPr>
          <w:noProof/>
        </w:rPr>
      </w:pPr>
    </w:p>
    <w:p w14:paraId="2D9DB89E" w14:textId="77777777" w:rsidR="00906EE8" w:rsidRDefault="00906EE8" w:rsidP="009A6870">
      <w:pPr>
        <w:spacing w:after="120"/>
        <w:rPr>
          <w:noProof/>
        </w:rPr>
      </w:pPr>
    </w:p>
    <w:p w14:paraId="16C05B1F" w14:textId="77777777" w:rsidR="00906EE8" w:rsidRDefault="00906EE8" w:rsidP="009A6870">
      <w:pPr>
        <w:spacing w:after="120"/>
        <w:rPr>
          <w:noProof/>
        </w:rPr>
      </w:pPr>
    </w:p>
    <w:p w14:paraId="6C745FF1" w14:textId="77777777" w:rsidR="00906EE8" w:rsidRDefault="00906EE8" w:rsidP="009A6870">
      <w:pPr>
        <w:spacing w:after="120"/>
        <w:rPr>
          <w:noProof/>
        </w:rPr>
      </w:pPr>
    </w:p>
    <w:p w14:paraId="14EA7DAA" w14:textId="77777777" w:rsidR="00CF11A8" w:rsidRDefault="00CF11A8" w:rsidP="001C17A1">
      <w:pPr>
        <w:spacing w:after="120"/>
        <w:jc w:val="left"/>
        <w:rPr>
          <w:b/>
          <w:sz w:val="28"/>
        </w:rPr>
      </w:pPr>
    </w:p>
    <w:p w14:paraId="02E395B7" w14:textId="77777777" w:rsidR="00CF11A8" w:rsidRDefault="00CF11A8" w:rsidP="001C17A1">
      <w:pPr>
        <w:spacing w:after="120"/>
        <w:jc w:val="left"/>
        <w:rPr>
          <w:b/>
          <w:sz w:val="28"/>
        </w:rPr>
      </w:pPr>
    </w:p>
    <w:p w14:paraId="6FF32E5F" w14:textId="77777777" w:rsidR="00CF11A8" w:rsidRDefault="00CF11A8" w:rsidP="001C17A1">
      <w:pPr>
        <w:spacing w:after="120"/>
        <w:jc w:val="left"/>
        <w:rPr>
          <w:b/>
          <w:sz w:val="28"/>
        </w:rPr>
      </w:pPr>
    </w:p>
    <w:p w14:paraId="01989F83" w14:textId="77777777" w:rsidR="000300AB" w:rsidRDefault="000300AB" w:rsidP="001C17A1">
      <w:pPr>
        <w:spacing w:after="120"/>
        <w:jc w:val="left"/>
        <w:rPr>
          <w:b/>
          <w:sz w:val="28"/>
        </w:rPr>
      </w:pPr>
    </w:p>
    <w:p w14:paraId="3DB87B76" w14:textId="77777777" w:rsidR="00D716C1" w:rsidRDefault="00D716C1" w:rsidP="001C17A1">
      <w:pPr>
        <w:spacing w:after="120"/>
        <w:jc w:val="left"/>
        <w:rPr>
          <w:b/>
          <w:sz w:val="28"/>
        </w:rPr>
      </w:pPr>
    </w:p>
    <w:p w14:paraId="69653096" w14:textId="77777777" w:rsidR="00D716C1" w:rsidRDefault="00D716C1" w:rsidP="001C17A1">
      <w:pPr>
        <w:spacing w:after="120"/>
        <w:jc w:val="left"/>
        <w:rPr>
          <w:b/>
          <w:sz w:val="28"/>
        </w:rPr>
      </w:pPr>
    </w:p>
    <w:p w14:paraId="6B4B14F1" w14:textId="77777777" w:rsidR="009A6870" w:rsidRPr="009A6870" w:rsidRDefault="009A6870" w:rsidP="001C17A1">
      <w:pPr>
        <w:spacing w:after="120"/>
        <w:jc w:val="left"/>
        <w:rPr>
          <w:b/>
          <w:sz w:val="28"/>
        </w:rPr>
      </w:pPr>
      <w:r w:rsidRPr="009A6870">
        <w:rPr>
          <w:b/>
          <w:sz w:val="28"/>
        </w:rPr>
        <w:t>Acknowledgements</w:t>
      </w:r>
      <w:r w:rsidR="00724D6B">
        <w:rPr>
          <w:b/>
          <w:sz w:val="28"/>
        </w:rPr>
        <w:t xml:space="preserve"> </w:t>
      </w:r>
    </w:p>
    <w:p w14:paraId="3A6F6068" w14:textId="77777777" w:rsidR="009A6870" w:rsidRDefault="009A6870" w:rsidP="001C17A1">
      <w:pPr>
        <w:jc w:val="left"/>
      </w:pPr>
      <w:r w:rsidRPr="009A6870">
        <w:t xml:space="preserve">Thanks to the following for their contribution to this statistical release: </w:t>
      </w:r>
      <w:r w:rsidR="00683DBC">
        <w:t>Anna Otczyk</w:t>
      </w:r>
      <w:r w:rsidR="006A2A63">
        <w:t xml:space="preserve"> and</w:t>
      </w:r>
      <w:r w:rsidR="00683DBC">
        <w:t xml:space="preserve"> Emily Moreton.</w:t>
      </w:r>
    </w:p>
    <w:p w14:paraId="14DDE47A" w14:textId="77777777" w:rsidR="00CF11A8" w:rsidRDefault="00CF11A8" w:rsidP="001C17A1">
      <w:pPr>
        <w:jc w:val="left"/>
      </w:pPr>
    </w:p>
    <w:p w14:paraId="15990CB1" w14:textId="77777777" w:rsidR="00CF11A8" w:rsidRPr="00A206DE" w:rsidRDefault="00CF11A8" w:rsidP="00CF11A8">
      <w:pPr>
        <w:jc w:val="left"/>
        <w:rPr>
          <w:rFonts w:cs="Tahoma"/>
        </w:rPr>
      </w:pPr>
      <w:r>
        <w:rPr>
          <w:rFonts w:cs="Tahoma"/>
        </w:rPr>
        <w:t xml:space="preserve">If you have any comments or feedback on this publication, please contact </w:t>
      </w:r>
      <w:r w:rsidRPr="00A206DE">
        <w:rPr>
          <w:rFonts w:cs="Tahoma"/>
        </w:rPr>
        <w:t xml:space="preserve">Adam King on 03000 130020 or </w:t>
      </w:r>
      <w:hyperlink r:id="rId12" w:history="1">
        <w:r w:rsidRPr="004D404F">
          <w:rPr>
            <w:rStyle w:val="Hyperlink"/>
            <w:rFonts w:cs="Tahoma"/>
            <w:u w:val="none"/>
          </w:rPr>
          <w:t>socialcaredata@ofsted.gov.uk</w:t>
        </w:r>
      </w:hyperlink>
      <w:r>
        <w:rPr>
          <w:rFonts w:cs="Tahoma"/>
        </w:rPr>
        <w:t xml:space="preserve"> </w:t>
      </w:r>
    </w:p>
    <w:p w14:paraId="317CA37F" w14:textId="77777777" w:rsidR="00CF11A8" w:rsidRPr="009A6870" w:rsidRDefault="00CF11A8" w:rsidP="001C17A1">
      <w:pPr>
        <w:jc w:val="left"/>
      </w:pPr>
    </w:p>
    <w:p w14:paraId="5DD23D30" w14:textId="77777777" w:rsidR="005F24F0" w:rsidRDefault="00416DE7" w:rsidP="00C30E37">
      <w:pPr>
        <w:pStyle w:val="Heading2"/>
        <w:spacing w:after="120"/>
        <w:jc w:val="left"/>
      </w:pPr>
      <w:r w:rsidRPr="009A6870">
        <w:br w:type="page"/>
      </w:r>
      <w:bookmarkStart w:id="4" w:name="_Toc474760669"/>
      <w:r w:rsidR="005F24F0">
        <w:lastRenderedPageBreak/>
        <w:t>Introduction</w:t>
      </w:r>
      <w:bookmarkEnd w:id="4"/>
    </w:p>
    <w:p w14:paraId="6582383F" w14:textId="77777777" w:rsidR="002F1871" w:rsidRDefault="005F24F0" w:rsidP="006F0AEE">
      <w:pPr>
        <w:jc w:val="left"/>
      </w:pPr>
      <w:r>
        <w:t xml:space="preserve">This statistical release covers </w:t>
      </w:r>
      <w:r w:rsidR="00533647">
        <w:t>local authority (LA) fostering agencies and independent fostering agencies (IFAs)</w:t>
      </w:r>
      <w:r>
        <w:t xml:space="preserve"> in England in the year </w:t>
      </w:r>
      <w:r w:rsidR="00BD660A">
        <w:t xml:space="preserve">1 </w:t>
      </w:r>
      <w:r>
        <w:t>April 201</w:t>
      </w:r>
      <w:r w:rsidR="00C77B71">
        <w:t>5</w:t>
      </w:r>
      <w:r>
        <w:t xml:space="preserve"> to </w:t>
      </w:r>
      <w:r w:rsidR="00BD660A">
        <w:t xml:space="preserve">31 </w:t>
      </w:r>
      <w:r>
        <w:t>March 201</w:t>
      </w:r>
      <w:r w:rsidR="00C77B71">
        <w:t>6</w:t>
      </w:r>
      <w:r w:rsidR="002F1871">
        <w:t>.</w:t>
      </w:r>
      <w:r w:rsidR="00844E5F">
        <w:t xml:space="preserve"> It includes data about</w:t>
      </w:r>
      <w:r w:rsidR="002F1871">
        <w:t xml:space="preserve"> fostered children, foster carers, recruitment, and capacity of providers.</w:t>
      </w:r>
      <w:r w:rsidR="00780435">
        <w:t xml:space="preserve"> </w:t>
      </w:r>
    </w:p>
    <w:p w14:paraId="4FB4B29C" w14:textId="77777777" w:rsidR="006E40FB" w:rsidRDefault="006E40FB" w:rsidP="006F0AEE">
      <w:pPr>
        <w:jc w:val="left"/>
      </w:pPr>
    </w:p>
    <w:p w14:paraId="6234EFD3" w14:textId="4F49624A" w:rsidR="006E40FB" w:rsidRDefault="006E40FB" w:rsidP="006F0AEE">
      <w:pPr>
        <w:jc w:val="left"/>
      </w:pPr>
      <w:r>
        <w:t xml:space="preserve">This </w:t>
      </w:r>
      <w:r w:rsidR="00775D55">
        <w:t xml:space="preserve">release </w:t>
      </w:r>
      <w:r>
        <w:t xml:space="preserve">uses data returned to Ofsted by the agencies, and so may reflect both changes </w:t>
      </w:r>
      <w:r w:rsidR="005C5548">
        <w:t xml:space="preserve">that have </w:t>
      </w:r>
      <w:r>
        <w:t>happen</w:t>
      </w:r>
      <w:r w:rsidR="005C5548">
        <w:t>ed</w:t>
      </w:r>
      <w:r>
        <w:t xml:space="preserve"> in the sector and changes </w:t>
      </w:r>
      <w:r w:rsidR="005C5548">
        <w:t xml:space="preserve">that have happened </w:t>
      </w:r>
      <w:r>
        <w:t>in how this is being recorded and reported</w:t>
      </w:r>
      <w:r w:rsidR="00952E70">
        <w:t xml:space="preserve"> by the agencies</w:t>
      </w:r>
      <w:r>
        <w:t xml:space="preserve">. </w:t>
      </w:r>
    </w:p>
    <w:p w14:paraId="23E153BC" w14:textId="380B6349" w:rsidR="00780435" w:rsidRDefault="00952E70" w:rsidP="006F0AEE">
      <w:pPr>
        <w:jc w:val="left"/>
      </w:pPr>
      <w:r>
        <w:t xml:space="preserve"> </w:t>
      </w:r>
    </w:p>
    <w:p w14:paraId="16562439" w14:textId="77777777" w:rsidR="00953C52" w:rsidRDefault="00953C52" w:rsidP="006F0AEE">
      <w:pPr>
        <w:jc w:val="left"/>
      </w:pPr>
      <w:r>
        <w:t xml:space="preserve">As </w:t>
      </w:r>
      <w:r w:rsidR="00EA1971">
        <w:t xml:space="preserve">the data collection does not indicate the location of foster carers and children, </w:t>
      </w:r>
      <w:r>
        <w:t xml:space="preserve">IFAs cannot be </w:t>
      </w:r>
      <w:r w:rsidR="001827AC">
        <w:t xml:space="preserve">neatly </w:t>
      </w:r>
      <w:r>
        <w:t>attached to regions</w:t>
      </w:r>
      <w:r w:rsidR="00EA1971">
        <w:t>; therefore,</w:t>
      </w:r>
      <w:r w:rsidR="001827AC">
        <w:t xml:space="preserve"> </w:t>
      </w:r>
      <w:r>
        <w:t xml:space="preserve">any regional analysis refers only to </w:t>
      </w:r>
      <w:r w:rsidR="001827AC">
        <w:t xml:space="preserve">LA </w:t>
      </w:r>
      <w:r>
        <w:t>fostering agencies within that region.</w:t>
      </w:r>
    </w:p>
    <w:p w14:paraId="01B858C8" w14:textId="77777777" w:rsidR="005048FF" w:rsidRDefault="005048FF" w:rsidP="006F0AEE">
      <w:pPr>
        <w:jc w:val="left"/>
      </w:pPr>
    </w:p>
    <w:p w14:paraId="18329B5E" w14:textId="4D4C89AD" w:rsidR="005048FF" w:rsidRDefault="005048FF" w:rsidP="006F0AEE">
      <w:pPr>
        <w:jc w:val="left"/>
      </w:pPr>
      <w:r>
        <w:t>Following the introduction of the Ofsted URNs into the Department for Education’s (</w:t>
      </w:r>
      <w:proofErr w:type="spellStart"/>
      <w:r>
        <w:t>DfE</w:t>
      </w:r>
      <w:proofErr w:type="spellEnd"/>
      <w:r>
        <w:t xml:space="preserve">) statutory </w:t>
      </w:r>
      <w:r w:rsidR="005C5548">
        <w:t>SSDA</w:t>
      </w:r>
      <w:r>
        <w:t>903 data return for all looked after children, the Ofsted fostering dataset was reviewed to reduce duplication of data being collected and to make the data more accurate. As a result, a total of 40 data items were removed from the fostering dataset collection, relating to characteristics of children, children’s placement types, and education.</w:t>
      </w:r>
      <w:r w:rsidR="00D32750">
        <w:t xml:space="preserve"> </w:t>
      </w:r>
      <w:r w:rsidR="005C5548">
        <w:t xml:space="preserve">The original intention was to include data from the </w:t>
      </w:r>
      <w:r w:rsidR="00014B28">
        <w:t>S</w:t>
      </w:r>
      <w:r w:rsidR="00775D55">
        <w:t>S</w:t>
      </w:r>
      <w:r w:rsidR="00453735">
        <w:t>DA</w:t>
      </w:r>
      <w:r w:rsidR="005C5548">
        <w:t>903</w:t>
      </w:r>
      <w:r w:rsidR="00952E70">
        <w:t xml:space="preserve"> </w:t>
      </w:r>
      <w:r w:rsidR="00453735">
        <w:t xml:space="preserve">data collection </w:t>
      </w:r>
      <w:r w:rsidR="00952E70">
        <w:t>in this report</w:t>
      </w:r>
      <w:r w:rsidR="005C5548">
        <w:t>, but</w:t>
      </w:r>
      <w:r w:rsidR="00A338C4">
        <w:t>, unfortunately,</w:t>
      </w:r>
      <w:r w:rsidR="005C5548">
        <w:t xml:space="preserve"> the </w:t>
      </w:r>
      <w:r w:rsidR="00952E70">
        <w:t xml:space="preserve">data was </w:t>
      </w:r>
      <w:r w:rsidR="005C5548">
        <w:t xml:space="preserve">not </w:t>
      </w:r>
      <w:r w:rsidR="00952E70">
        <w:t xml:space="preserve">available </w:t>
      </w:r>
      <w:r w:rsidR="005C5548">
        <w:t>in time to be included in this release</w:t>
      </w:r>
      <w:r w:rsidR="008539FC">
        <w:t>.</w:t>
      </w:r>
    </w:p>
    <w:p w14:paraId="687F2D28" w14:textId="77777777" w:rsidR="005048FF" w:rsidRDefault="005048FF" w:rsidP="006F0AEE">
      <w:pPr>
        <w:jc w:val="left"/>
      </w:pPr>
    </w:p>
    <w:p w14:paraId="71F4375D" w14:textId="432AF93E" w:rsidR="005048FF" w:rsidRDefault="005048FF" w:rsidP="006F0AEE">
      <w:pPr>
        <w:jc w:val="left"/>
      </w:pPr>
      <w:r>
        <w:t>The data collection also changed from being at aggregate level to being at household and child level for key data items</w:t>
      </w:r>
      <w:r w:rsidR="00B3648D">
        <w:t>, based on th</w:t>
      </w:r>
      <w:r w:rsidR="00952E70">
        <w:t xml:space="preserve">ose </w:t>
      </w:r>
      <w:r w:rsidR="00B3648D">
        <w:t>place</w:t>
      </w:r>
      <w:r w:rsidR="00952E70">
        <w:t>d</w:t>
      </w:r>
      <w:r w:rsidR="00B3648D">
        <w:t xml:space="preserve"> as at 31 March, looking back </w:t>
      </w:r>
      <w:r w:rsidR="00952E70">
        <w:t xml:space="preserve">over </w:t>
      </w:r>
      <w:r w:rsidR="00B3648D">
        <w:t>the previous 12 months</w:t>
      </w:r>
      <w:r>
        <w:t xml:space="preserve">. </w:t>
      </w:r>
      <w:r w:rsidR="00952E70">
        <w:t xml:space="preserve">As a </w:t>
      </w:r>
      <w:r>
        <w:t>result</w:t>
      </w:r>
      <w:r w:rsidR="00952E70">
        <w:t xml:space="preserve"> </w:t>
      </w:r>
      <w:r>
        <w:t>there is limited comparability with previous years for these data items:</w:t>
      </w:r>
    </w:p>
    <w:p w14:paraId="40FCD0D6" w14:textId="08A04B92" w:rsidR="005048FF" w:rsidRDefault="005048FF" w:rsidP="003A644C">
      <w:pPr>
        <w:pStyle w:val="ListParagraph"/>
        <w:numPr>
          <w:ilvl w:val="0"/>
          <w:numId w:val="14"/>
        </w:numPr>
        <w:ind w:left="426"/>
        <w:jc w:val="left"/>
      </w:pPr>
      <w:r>
        <w:t xml:space="preserve">Child data: collected </w:t>
      </w:r>
      <w:r w:rsidR="00E970F7">
        <w:t xml:space="preserve">primarily </w:t>
      </w:r>
      <w:r>
        <w:t>only for children in placement with the agency as at 31 March</w:t>
      </w:r>
      <w:r w:rsidR="00A06463">
        <w:t xml:space="preserve"> </w:t>
      </w:r>
      <w:r w:rsidR="00A06463" w:rsidRPr="00F502DF">
        <w:t>2016</w:t>
      </w:r>
      <w:r>
        <w:t xml:space="preserve">; </w:t>
      </w:r>
      <w:r w:rsidR="00E970F7">
        <w:t>apart from a small number of data items collected at aggregate level, data on children who left the agency during the year was not collected</w:t>
      </w:r>
      <w:r>
        <w:t>;</w:t>
      </w:r>
    </w:p>
    <w:p w14:paraId="3DE48ADE" w14:textId="77777777" w:rsidR="005048FF" w:rsidRDefault="005048FF" w:rsidP="003A644C">
      <w:pPr>
        <w:pStyle w:val="ListParagraph"/>
        <w:numPr>
          <w:ilvl w:val="0"/>
          <w:numId w:val="14"/>
        </w:numPr>
        <w:ind w:left="426"/>
        <w:jc w:val="left"/>
      </w:pPr>
      <w:r>
        <w:t>Primary placement offer: collected at household rather than agency level;</w:t>
      </w:r>
    </w:p>
    <w:p w14:paraId="03B03A6C" w14:textId="77777777" w:rsidR="005048FF" w:rsidRDefault="005048FF" w:rsidP="003A644C">
      <w:pPr>
        <w:pStyle w:val="ListParagraph"/>
        <w:numPr>
          <w:ilvl w:val="0"/>
          <w:numId w:val="14"/>
        </w:numPr>
        <w:ind w:left="426"/>
        <w:jc w:val="left"/>
      </w:pPr>
      <w:r>
        <w:t>Reasons children went missing: collected as one primary reason per child, rather than per incident.</w:t>
      </w:r>
    </w:p>
    <w:p w14:paraId="1ABDF78F" w14:textId="77777777" w:rsidR="005048FF" w:rsidRDefault="005048FF" w:rsidP="005048FF">
      <w:pPr>
        <w:jc w:val="left"/>
      </w:pPr>
    </w:p>
    <w:p w14:paraId="04CEF6E1" w14:textId="21F7BAF5" w:rsidR="005048FF" w:rsidRDefault="005048FF" w:rsidP="005048FF">
      <w:pPr>
        <w:jc w:val="left"/>
      </w:pPr>
      <w:r>
        <w:t xml:space="preserve">Agencies were also asked to supply the child’s local authority identifier, so that data could be matched from the </w:t>
      </w:r>
      <w:proofErr w:type="spellStart"/>
      <w:r>
        <w:t>DfE</w:t>
      </w:r>
      <w:proofErr w:type="spellEnd"/>
      <w:r>
        <w:t xml:space="preserve"> return. </w:t>
      </w:r>
    </w:p>
    <w:p w14:paraId="7C8536D2" w14:textId="77777777" w:rsidR="00D95F31" w:rsidRDefault="00D95F31" w:rsidP="005048FF">
      <w:pPr>
        <w:jc w:val="left"/>
      </w:pPr>
    </w:p>
    <w:p w14:paraId="2536CCA4" w14:textId="729ABF27" w:rsidR="00B3648D" w:rsidRDefault="00006D0D">
      <w:pPr>
        <w:jc w:val="left"/>
        <w:rPr>
          <w:b/>
          <w:sz w:val="28"/>
        </w:rPr>
      </w:pPr>
      <w:r w:rsidRPr="008C19C3">
        <w:t>The full t</w:t>
      </w:r>
      <w:r w:rsidR="00FD1CAA">
        <w:t>ext of the questions in the 2015</w:t>
      </w:r>
      <w:r w:rsidRPr="008C19C3">
        <w:t>-1</w:t>
      </w:r>
      <w:r w:rsidR="00FD1CAA">
        <w:t>6</w:t>
      </w:r>
      <w:r w:rsidRPr="008C19C3">
        <w:t xml:space="preserve"> survey can also be found </w:t>
      </w:r>
      <w:r w:rsidR="00FD1CAA">
        <w:t xml:space="preserve">here: </w:t>
      </w:r>
      <w:hyperlink r:id="rId13" w:history="1">
        <w:r w:rsidR="009C1E09" w:rsidRPr="00F41098">
          <w:rPr>
            <w:rStyle w:val="Hyperlink"/>
            <w:u w:val="none"/>
          </w:rPr>
          <w:t>www.gov.uk/government/publications/ofsted-annual-fostering-data-collection-2015-to-2016-form</w:t>
        </w:r>
      </w:hyperlink>
      <w:r w:rsidRPr="008C19C3">
        <w:t>.</w:t>
      </w:r>
      <w:bookmarkStart w:id="5" w:name="_Toc470096874"/>
      <w:bookmarkStart w:id="6" w:name="_Toc471901603"/>
    </w:p>
    <w:p w14:paraId="607E494E" w14:textId="7645A01A" w:rsidR="00F158AC" w:rsidRDefault="002C192D" w:rsidP="00EA1971">
      <w:pPr>
        <w:pStyle w:val="Heading2"/>
      </w:pPr>
      <w:bookmarkStart w:id="7" w:name="_Toc473625251"/>
      <w:bookmarkStart w:id="8" w:name="_Toc474760670"/>
      <w:r w:rsidRPr="002C192D">
        <w:lastRenderedPageBreak/>
        <w:t>Key findings</w:t>
      </w:r>
      <w:bookmarkEnd w:id="5"/>
      <w:bookmarkEnd w:id="6"/>
      <w:bookmarkEnd w:id="7"/>
      <w:bookmarkEnd w:id="8"/>
      <w:r w:rsidRPr="002C192D">
        <w:t xml:space="preserve"> </w:t>
      </w:r>
    </w:p>
    <w:p w14:paraId="6D496C3C" w14:textId="0493302C" w:rsidR="00F502DF" w:rsidRDefault="0046647F" w:rsidP="00F502DF">
      <w:pPr>
        <w:pStyle w:val="Heading2"/>
        <w:jc w:val="left"/>
      </w:pPr>
      <w:bookmarkStart w:id="9" w:name="_Toc474760671"/>
      <w:r>
        <w:t>F</w:t>
      </w:r>
      <w:r w:rsidR="00F502DF" w:rsidRPr="007919A2">
        <w:t xml:space="preserve">ostering </w:t>
      </w:r>
      <w:r>
        <w:t>households and carers</w:t>
      </w:r>
      <w:bookmarkEnd w:id="9"/>
    </w:p>
    <w:p w14:paraId="34CA34C1" w14:textId="488B685E" w:rsidR="00F502DF" w:rsidRDefault="00A338C4" w:rsidP="00F502DF">
      <w:pPr>
        <w:jc w:val="left"/>
      </w:pPr>
      <w:r>
        <w:t>On the surface, the fostering picture seems little changed from the previous year</w:t>
      </w:r>
      <w:r w:rsidR="000300AB">
        <w:t xml:space="preserve">, but there is perceptible movement beneath. </w:t>
      </w:r>
      <w:r w:rsidR="00F502DF">
        <w:t xml:space="preserve">Overall there were </w:t>
      </w:r>
      <w:r w:rsidR="000300AB">
        <w:t xml:space="preserve">very </w:t>
      </w:r>
      <w:r w:rsidR="00F502DF">
        <w:t>slightly fewer fostering households as at 31 March 2016 compared to the previous year. The exception to this was family and friends households, which increased</w:t>
      </w:r>
      <w:r w:rsidR="00CB3A11">
        <w:t xml:space="preserve"> leading to an increase in the number of approved places in the LA sector.</w:t>
      </w:r>
      <w:r w:rsidR="00F502DF">
        <w:t xml:space="preserve"> The provision of short breaks</w:t>
      </w:r>
      <w:r w:rsidR="00E211C5">
        <w:t>-</w:t>
      </w:r>
      <w:r w:rsidR="00F502DF">
        <w:t>only households continue</w:t>
      </w:r>
      <w:r w:rsidR="00E211C5">
        <w:t>d</w:t>
      </w:r>
      <w:r w:rsidR="00EB195C">
        <w:t xml:space="preserve"> to fall</w:t>
      </w:r>
      <w:r w:rsidR="000300AB">
        <w:t xml:space="preserve">. </w:t>
      </w:r>
      <w:r w:rsidR="00F502DF">
        <w:t>The majority of short</w:t>
      </w:r>
      <w:r w:rsidR="00E211C5">
        <w:t>-</w:t>
      </w:r>
      <w:r w:rsidR="00F502DF">
        <w:t>term, short breaks</w:t>
      </w:r>
      <w:r w:rsidR="000300AB">
        <w:t>-</w:t>
      </w:r>
      <w:r w:rsidR="00F502DF">
        <w:t>only</w:t>
      </w:r>
      <w:r w:rsidR="00E211C5">
        <w:t>,</w:t>
      </w:r>
      <w:r w:rsidR="00F502DF">
        <w:t xml:space="preserve"> and long</w:t>
      </w:r>
      <w:r w:rsidR="00E211C5">
        <w:t>-</w:t>
      </w:r>
      <w:r w:rsidR="00F502DF">
        <w:t>term/permanent placements were offered by LAs while IFAs offered most emergency, parent and child, and multi-dimensional treatment placements.</w:t>
      </w:r>
      <w:r w:rsidR="00F502DF">
        <w:rPr>
          <w:rStyle w:val="FootnoteReference"/>
        </w:rPr>
        <w:footnoteReference w:id="1"/>
      </w:r>
      <w:r w:rsidR="00F502DF">
        <w:t xml:space="preserve"> IFAs were more likely to have larger households than LAs with half of all newly approved LA households being approved for one child only. LAs had </w:t>
      </w:r>
      <w:r w:rsidR="00CB3A11">
        <w:t xml:space="preserve">more </w:t>
      </w:r>
      <w:r w:rsidR="00F502DF">
        <w:t xml:space="preserve">fostering places than last year </w:t>
      </w:r>
      <w:r w:rsidR="00CB3A11">
        <w:t xml:space="preserve">but </w:t>
      </w:r>
      <w:r w:rsidR="00F502DF">
        <w:t>fewer of them were filled as at 31 March 2016.</w:t>
      </w:r>
    </w:p>
    <w:p w14:paraId="4C56ACCD" w14:textId="77777777" w:rsidR="00F502DF" w:rsidRDefault="00F502DF" w:rsidP="00F502DF">
      <w:pPr>
        <w:jc w:val="left"/>
      </w:pPr>
    </w:p>
    <w:p w14:paraId="34300266" w14:textId="77777777" w:rsidR="00F502DF" w:rsidRDefault="00F502DF" w:rsidP="00F502DF">
      <w:pPr>
        <w:pStyle w:val="Heading3"/>
      </w:pPr>
      <w:bookmarkStart w:id="10" w:name="_Toc470097319"/>
      <w:bookmarkStart w:id="11" w:name="_Toc474760672"/>
      <w:r>
        <w:t xml:space="preserve">Fostering </w:t>
      </w:r>
      <w:r w:rsidRPr="00841804">
        <w:t>Households</w:t>
      </w:r>
      <w:bookmarkEnd w:id="10"/>
      <w:bookmarkEnd w:id="11"/>
    </w:p>
    <w:p w14:paraId="30D8D94C" w14:textId="67D1A792" w:rsidR="00F502DF" w:rsidRDefault="00F502DF" w:rsidP="00F502DF">
      <w:pPr>
        <w:pStyle w:val="ListParagraph"/>
        <w:numPr>
          <w:ilvl w:val="0"/>
          <w:numId w:val="6"/>
        </w:numPr>
        <w:ind w:left="426"/>
      </w:pPr>
      <w:r>
        <w:t>There were 44</w:t>
      </w:r>
      <w:r w:rsidRPr="00F2250D">
        <w:t>,</w:t>
      </w:r>
      <w:r>
        <w:t>320</w:t>
      </w:r>
      <w:r w:rsidRPr="00F2250D">
        <w:t xml:space="preserve"> </w:t>
      </w:r>
      <w:r>
        <w:t xml:space="preserve">approved </w:t>
      </w:r>
      <w:r w:rsidRPr="00EA1793">
        <w:t xml:space="preserve">fostering households </w:t>
      </w:r>
      <w:r>
        <w:t xml:space="preserve">as at 31 March 2016, a </w:t>
      </w:r>
      <w:r w:rsidR="000300AB">
        <w:t xml:space="preserve">small </w:t>
      </w:r>
      <w:r>
        <w:t xml:space="preserve">decrease of less than 1% from the previous year (44,625). </w:t>
      </w:r>
    </w:p>
    <w:p w14:paraId="0A151513" w14:textId="66395BF1" w:rsidR="00F502DF" w:rsidRDefault="00F502DF" w:rsidP="00F502DF">
      <w:pPr>
        <w:pStyle w:val="ListParagraph"/>
        <w:numPr>
          <w:ilvl w:val="0"/>
          <w:numId w:val="6"/>
        </w:numPr>
        <w:ind w:left="426"/>
        <w:jc w:val="left"/>
      </w:pPr>
      <w:r>
        <w:t>The number of family and friends households</w:t>
      </w:r>
      <w:r w:rsidR="000300AB">
        <w:t xml:space="preserve">, though, rose to </w:t>
      </w:r>
      <w:r w:rsidR="00D84302">
        <w:t>4,665</w:t>
      </w:r>
      <w:r>
        <w:t xml:space="preserve"> on 31 March 2016, an increase of</w:t>
      </w:r>
      <w:r w:rsidR="00D84302">
        <w:t xml:space="preserve"> 13% (4,145)</w:t>
      </w:r>
      <w:r>
        <w:t xml:space="preserve"> from 2015.</w:t>
      </w:r>
      <w:r>
        <w:rPr>
          <w:rStyle w:val="FootnoteReference"/>
        </w:rPr>
        <w:footnoteReference w:id="2"/>
      </w:r>
      <w:r>
        <w:t xml:space="preserve"> </w:t>
      </w:r>
    </w:p>
    <w:p w14:paraId="65D632EC" w14:textId="77777777" w:rsidR="00F502DF" w:rsidRDefault="00F502DF" w:rsidP="00F502DF">
      <w:pPr>
        <w:pStyle w:val="ListParagraph"/>
        <w:numPr>
          <w:ilvl w:val="0"/>
          <w:numId w:val="6"/>
        </w:numPr>
        <w:ind w:left="426"/>
        <w:jc w:val="left"/>
      </w:pPr>
      <w:r>
        <w:t xml:space="preserve">As at 31 March 2016 there were 1,850 households who exclusively provided short breaks, a decrease of 8% from 2,000 in 2015. </w:t>
      </w:r>
    </w:p>
    <w:p w14:paraId="656C6A57" w14:textId="77777777" w:rsidR="00F502DF" w:rsidRDefault="00F502DF" w:rsidP="00F502DF">
      <w:pPr>
        <w:pStyle w:val="ListParagraph"/>
        <w:ind w:left="426"/>
        <w:jc w:val="left"/>
      </w:pPr>
    </w:p>
    <w:p w14:paraId="0B3866F2" w14:textId="77777777" w:rsidR="00F502DF" w:rsidRDefault="00F502DF" w:rsidP="00F502DF">
      <w:pPr>
        <w:pStyle w:val="Heading3"/>
      </w:pPr>
      <w:bookmarkStart w:id="12" w:name="_Toc408930052"/>
      <w:bookmarkStart w:id="13" w:name="_Toc436837604"/>
      <w:bookmarkStart w:id="14" w:name="_Toc470097320"/>
      <w:bookmarkStart w:id="15" w:name="_Toc474760673"/>
      <w:r>
        <w:t>Types of placements</w:t>
      </w:r>
      <w:bookmarkEnd w:id="12"/>
      <w:bookmarkEnd w:id="13"/>
      <w:r>
        <w:rPr>
          <w:rStyle w:val="FootnoteReference"/>
        </w:rPr>
        <w:footnoteReference w:id="3"/>
      </w:r>
      <w:bookmarkEnd w:id="14"/>
      <w:bookmarkEnd w:id="15"/>
    </w:p>
    <w:p w14:paraId="0DD21581" w14:textId="17F393E9" w:rsidR="00F502DF" w:rsidRDefault="00F502DF" w:rsidP="00F502DF">
      <w:pPr>
        <w:pStyle w:val="ListParagraph"/>
        <w:numPr>
          <w:ilvl w:val="0"/>
          <w:numId w:val="5"/>
        </w:numPr>
        <w:ind w:left="426"/>
        <w:jc w:val="left"/>
      </w:pPr>
      <w:r>
        <w:t xml:space="preserve">Over half of </w:t>
      </w:r>
      <w:r w:rsidR="00E211C5">
        <w:t xml:space="preserve">all </w:t>
      </w:r>
      <w:r>
        <w:t>long-term fostering households (or 18,890) active at 31 March 2016 were providing short</w:t>
      </w:r>
      <w:r w:rsidR="006D7101">
        <w:t>-</w:t>
      </w:r>
      <w:r>
        <w:t xml:space="preserve">term care as </w:t>
      </w:r>
      <w:r w:rsidR="006D7101">
        <w:t xml:space="preserve">their </w:t>
      </w:r>
      <w:r>
        <w:t xml:space="preserve">primary designation and over two fifths (15,025 households) were offering </w:t>
      </w:r>
      <w:r w:rsidR="006D7101">
        <w:t xml:space="preserve">either </w:t>
      </w:r>
      <w:r>
        <w:t>permanent or long term placements.</w:t>
      </w:r>
      <w:r>
        <w:rPr>
          <w:rStyle w:val="FootnoteReference"/>
        </w:rPr>
        <w:footnoteReference w:id="4"/>
      </w:r>
    </w:p>
    <w:p w14:paraId="4F8FA332" w14:textId="77777777" w:rsidR="00F502DF" w:rsidRDefault="00F502DF" w:rsidP="00F502DF">
      <w:pPr>
        <w:pStyle w:val="ListParagraph"/>
        <w:numPr>
          <w:ilvl w:val="0"/>
          <w:numId w:val="5"/>
        </w:numPr>
        <w:ind w:left="426"/>
        <w:jc w:val="left"/>
      </w:pPr>
      <w:r>
        <w:lastRenderedPageBreak/>
        <w:t>In addition to 1,850 households who exclusively provide short breaks, 390 long-term fostering households were also providing short breaks as a primary placement offer.</w:t>
      </w:r>
    </w:p>
    <w:p w14:paraId="54748AE2" w14:textId="7132F225" w:rsidR="00F502DF" w:rsidRDefault="00F502DF" w:rsidP="00F502DF">
      <w:pPr>
        <w:pStyle w:val="ListParagraph"/>
        <w:numPr>
          <w:ilvl w:val="0"/>
          <w:numId w:val="5"/>
        </w:numPr>
        <w:ind w:left="426"/>
        <w:jc w:val="left"/>
      </w:pPr>
      <w:r>
        <w:t>Two thirds of long-term fostering households offering short term placements as a primary offer (12,555) were in the LA sector. The majority of households offering</w:t>
      </w:r>
      <w:r w:rsidR="00A4754C">
        <w:t xml:space="preserve"> either</w:t>
      </w:r>
      <w:r>
        <w:t xml:space="preserve"> long term or permanent placements (8,280 households) were also in the LA sector.</w:t>
      </w:r>
    </w:p>
    <w:p w14:paraId="1600D227" w14:textId="7FC16F40" w:rsidR="00F502DF" w:rsidRDefault="00F502DF" w:rsidP="00F502DF">
      <w:pPr>
        <w:pStyle w:val="ListParagraph"/>
        <w:numPr>
          <w:ilvl w:val="0"/>
          <w:numId w:val="5"/>
        </w:numPr>
        <w:ind w:left="426"/>
        <w:jc w:val="left"/>
      </w:pPr>
      <w:r>
        <w:t xml:space="preserve">Looking at the placement offer in each sector, 47% of all IFA long-term households offered permanent or long term placements in comparison with 38% of LA households. </w:t>
      </w:r>
    </w:p>
    <w:p w14:paraId="388AD1AC" w14:textId="1951F854" w:rsidR="00F502DF" w:rsidRDefault="00F502DF" w:rsidP="00F502DF">
      <w:pPr>
        <w:pStyle w:val="ListParagraph"/>
        <w:numPr>
          <w:ilvl w:val="0"/>
          <w:numId w:val="5"/>
        </w:numPr>
        <w:ind w:left="426"/>
        <w:jc w:val="left"/>
      </w:pPr>
      <w:r>
        <w:t>Three quarters of long-term households (415 households) which provided multi-dimensional treatment placements as a primary offer were in</w:t>
      </w:r>
      <w:r w:rsidR="00775D55">
        <w:t xml:space="preserve"> the</w:t>
      </w:r>
      <w:r>
        <w:t xml:space="preserve"> IFA sector. </w:t>
      </w:r>
    </w:p>
    <w:p w14:paraId="409A9378" w14:textId="77777777" w:rsidR="00F502DF" w:rsidRDefault="00F502DF" w:rsidP="00F502DF">
      <w:pPr>
        <w:jc w:val="left"/>
      </w:pPr>
    </w:p>
    <w:p w14:paraId="0F65083D" w14:textId="77777777" w:rsidR="00126572" w:rsidRDefault="00126572" w:rsidP="00F502DF">
      <w:pPr>
        <w:jc w:val="left"/>
      </w:pPr>
    </w:p>
    <w:p w14:paraId="443F4E08" w14:textId="77777777" w:rsidR="00126572" w:rsidRDefault="00126572" w:rsidP="00F502DF">
      <w:pPr>
        <w:jc w:val="left"/>
      </w:pPr>
    </w:p>
    <w:p w14:paraId="31F9C70E" w14:textId="77777777" w:rsidR="00126572" w:rsidRDefault="00126572" w:rsidP="00F502DF">
      <w:pPr>
        <w:jc w:val="left"/>
      </w:pPr>
    </w:p>
    <w:p w14:paraId="05183039" w14:textId="4A807ABD" w:rsidR="00F502DF" w:rsidRPr="0046474B" w:rsidRDefault="00F502DF" w:rsidP="00F502DF">
      <w:pPr>
        <w:jc w:val="left"/>
      </w:pPr>
      <w:r w:rsidRPr="0046474B">
        <w:t>The following sections, unless specified otherwise, include analysis of all fostering households and foster carers excluding family and friends househ</w:t>
      </w:r>
      <w:r w:rsidRPr="008E0FF0">
        <w:t>olds, temporarily approved connected people households, and short breaks</w:t>
      </w:r>
      <w:r w:rsidR="000300AB" w:rsidRPr="0046474B">
        <w:t>-</w:t>
      </w:r>
      <w:r w:rsidRPr="0046474B">
        <w:t>only carers. The analysis of those three distinctive types of foster care is provided at the end of this chapter.</w:t>
      </w:r>
    </w:p>
    <w:p w14:paraId="0BFEB514" w14:textId="77777777" w:rsidR="00F502DF" w:rsidRDefault="00F502DF" w:rsidP="00F502DF">
      <w:pPr>
        <w:jc w:val="left"/>
        <w:rPr>
          <w:rFonts w:cs="Tahoma"/>
        </w:rPr>
      </w:pPr>
    </w:p>
    <w:p w14:paraId="56563515" w14:textId="77777777" w:rsidR="00126572" w:rsidRDefault="00126572" w:rsidP="00F502DF">
      <w:pPr>
        <w:jc w:val="left"/>
        <w:rPr>
          <w:rFonts w:cs="Tahoma"/>
        </w:rPr>
      </w:pPr>
    </w:p>
    <w:p w14:paraId="457586D9" w14:textId="77777777" w:rsidR="00F502DF" w:rsidRPr="00A87E89" w:rsidRDefault="00F502DF" w:rsidP="00F502DF">
      <w:pPr>
        <w:pStyle w:val="Heading3"/>
      </w:pPr>
      <w:bookmarkStart w:id="16" w:name="_Toc470097321"/>
      <w:bookmarkStart w:id="17" w:name="_Toc474760674"/>
      <w:r w:rsidRPr="00A87E89">
        <w:t>Capacity</w:t>
      </w:r>
      <w:bookmarkEnd w:id="16"/>
      <w:bookmarkEnd w:id="17"/>
    </w:p>
    <w:p w14:paraId="48C310B8" w14:textId="7E9F9E6C" w:rsidR="00F502DF" w:rsidRDefault="00F502DF" w:rsidP="00F502DF">
      <w:pPr>
        <w:pStyle w:val="ListParagraph"/>
        <w:numPr>
          <w:ilvl w:val="0"/>
          <w:numId w:val="6"/>
        </w:numPr>
        <w:ind w:left="426"/>
        <w:jc w:val="left"/>
      </w:pPr>
      <w:r>
        <w:t xml:space="preserve">In total, the highest proportion of </w:t>
      </w:r>
      <w:r w:rsidR="00F15AA6">
        <w:t xml:space="preserve">long–term </w:t>
      </w:r>
      <w:r>
        <w:t xml:space="preserve">households were approved for two children (14,525 households), followed by </w:t>
      </w:r>
      <w:r w:rsidR="009D2BFB">
        <w:t>31%</w:t>
      </w:r>
      <w:r>
        <w:t xml:space="preserve"> of households approved for three or more children (11,475 households) and </w:t>
      </w:r>
      <w:r w:rsidR="009D2BFB">
        <w:t>29%</w:t>
      </w:r>
      <w:r>
        <w:t xml:space="preserve"> approved for one child (10,465 households). </w:t>
      </w:r>
    </w:p>
    <w:p w14:paraId="7E652D2B" w14:textId="3EC2B2E4" w:rsidR="00F502DF" w:rsidRDefault="00F502DF" w:rsidP="00F502DF">
      <w:pPr>
        <w:pStyle w:val="ListParagraph"/>
        <w:numPr>
          <w:ilvl w:val="0"/>
          <w:numId w:val="6"/>
        </w:numPr>
        <w:ind w:left="426"/>
        <w:jc w:val="left"/>
      </w:pPr>
      <w:r>
        <w:t xml:space="preserve">IFAs were more likely to have larger households than LAs: </w:t>
      </w:r>
      <w:r w:rsidR="009D2BFB">
        <w:t>39%</w:t>
      </w:r>
      <w:r>
        <w:t xml:space="preserve"> of IFA households were approved for three or more children (5,645 households) compared to </w:t>
      </w:r>
      <w:r w:rsidR="009D2BFB">
        <w:t>26%</w:t>
      </w:r>
      <w:r>
        <w:t xml:space="preserve"> of LA households (5,825 households). Both sectors saw a three percentage point increase from last year.</w:t>
      </w:r>
      <w:r w:rsidR="003D43F5">
        <w:t xml:space="preserve"> </w:t>
      </w:r>
      <w:r w:rsidR="009D2BFB">
        <w:t>(Chart 1)</w:t>
      </w:r>
    </w:p>
    <w:p w14:paraId="0A82D205" w14:textId="202A7906" w:rsidR="00F502DF" w:rsidRDefault="00F502DF" w:rsidP="00F502DF">
      <w:pPr>
        <w:pStyle w:val="ListParagraph"/>
        <w:numPr>
          <w:ilvl w:val="0"/>
          <w:numId w:val="6"/>
        </w:numPr>
        <w:ind w:left="426"/>
        <w:jc w:val="left"/>
      </w:pPr>
      <w:r w:rsidRPr="00A72F04">
        <w:t xml:space="preserve">Of the newly approved households in 2015-16, </w:t>
      </w:r>
      <w:r>
        <w:t>25% of</w:t>
      </w:r>
      <w:r w:rsidRPr="00A72F04">
        <w:t xml:space="preserve"> IFA households were approved for three or mor</w:t>
      </w:r>
      <w:r>
        <w:t>e children in comparison with 15</w:t>
      </w:r>
      <w:r w:rsidRPr="00A72F04">
        <w:t xml:space="preserve">% of LA households. </w:t>
      </w:r>
      <w:r w:rsidR="0046474B">
        <w:t>Of</w:t>
      </w:r>
      <w:r w:rsidRPr="00A72F04">
        <w:t xml:space="preserve"> LA households approved during 2015-16 </w:t>
      </w:r>
      <w:r w:rsidR="0046474B">
        <w:t xml:space="preserve">50% </w:t>
      </w:r>
      <w:r w:rsidRPr="00A72F04">
        <w:t>were approved for one child.</w:t>
      </w:r>
      <w:r>
        <w:rPr>
          <w:rStyle w:val="FootnoteReference"/>
        </w:rPr>
        <w:footnoteReference w:id="5"/>
      </w:r>
    </w:p>
    <w:p w14:paraId="57BFC5FC" w14:textId="77777777" w:rsidR="00F502DF" w:rsidRDefault="00F502DF" w:rsidP="00F502DF">
      <w:pPr>
        <w:pStyle w:val="ListParagraph"/>
        <w:jc w:val="left"/>
      </w:pPr>
    </w:p>
    <w:p w14:paraId="6EA0EDF8" w14:textId="77777777" w:rsidR="00F502DF" w:rsidRDefault="00F502DF" w:rsidP="00F502DF">
      <w:pPr>
        <w:pStyle w:val="ListParagraph"/>
        <w:jc w:val="left"/>
      </w:pPr>
    </w:p>
    <w:p w14:paraId="2ED63702" w14:textId="77777777" w:rsidR="00F502DF" w:rsidRDefault="00F502DF" w:rsidP="00F502DF">
      <w:pPr>
        <w:pStyle w:val="ListParagraph"/>
        <w:jc w:val="left"/>
      </w:pPr>
    </w:p>
    <w:p w14:paraId="7DF6F4DE" w14:textId="77777777" w:rsidR="00F502DF" w:rsidRDefault="00F502DF" w:rsidP="006B1DEA">
      <w:pPr>
        <w:jc w:val="left"/>
      </w:pPr>
    </w:p>
    <w:p w14:paraId="731B28EA" w14:textId="2F6E950D" w:rsidR="00F502DF" w:rsidRDefault="00F502DF" w:rsidP="00311B08">
      <w:pPr>
        <w:pStyle w:val="Table"/>
      </w:pPr>
      <w:bookmarkStart w:id="18" w:name="_Toc472088366"/>
      <w:bookmarkStart w:id="19" w:name="_Toc475440559"/>
      <w:r w:rsidRPr="00F502DF">
        <w:lastRenderedPageBreak/>
        <w:t xml:space="preserve">Chart </w:t>
      </w:r>
      <w:r w:rsidR="009C794A">
        <w:t>1</w:t>
      </w:r>
      <w:r w:rsidRPr="00F502DF">
        <w:t>: Capacity of long-term fostering households as at 31 March 2016</w:t>
      </w:r>
      <w:bookmarkEnd w:id="18"/>
      <w:r w:rsidRPr="00F502DF">
        <w:t xml:space="preserve"> by sector</w:t>
      </w:r>
      <w:bookmarkEnd w:id="19"/>
      <w:r w:rsidR="0068152D">
        <w:t xml:space="preserve"> </w:t>
      </w:r>
    </w:p>
    <w:p w14:paraId="73FD8713" w14:textId="77777777" w:rsidR="00F502DF" w:rsidRPr="003C60C6" w:rsidRDefault="00F502DF" w:rsidP="00F502DF">
      <w:pPr>
        <w:rPr>
          <w:lang w:eastAsia="en-US"/>
        </w:rPr>
      </w:pPr>
      <w:r>
        <w:rPr>
          <w:noProof/>
        </w:rPr>
        <w:drawing>
          <wp:inline distT="0" distB="0" distL="0" distR="0" wp14:anchorId="66C126EB" wp14:editId="27849F13">
            <wp:extent cx="4246301" cy="2167467"/>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8692" cy="2189105"/>
                    </a:xfrm>
                    <a:prstGeom prst="rect">
                      <a:avLst/>
                    </a:prstGeom>
                  </pic:spPr>
                </pic:pic>
              </a:graphicData>
            </a:graphic>
          </wp:inline>
        </w:drawing>
      </w:r>
    </w:p>
    <w:p w14:paraId="48278BE4" w14:textId="77777777" w:rsidR="00204791" w:rsidRDefault="00204791" w:rsidP="00E87060">
      <w:bookmarkStart w:id="20" w:name="_Toc470097322"/>
      <w:bookmarkStart w:id="21" w:name="_Toc436837605"/>
    </w:p>
    <w:p w14:paraId="6033DDA9" w14:textId="77777777" w:rsidR="00F502DF" w:rsidRDefault="00F502DF" w:rsidP="00F502DF">
      <w:pPr>
        <w:pStyle w:val="Heading3"/>
      </w:pPr>
      <w:bookmarkStart w:id="22" w:name="_Toc474760675"/>
      <w:r>
        <w:t>Occupancy</w:t>
      </w:r>
      <w:r>
        <w:rPr>
          <w:rStyle w:val="FootnoteReference"/>
        </w:rPr>
        <w:footnoteReference w:id="6"/>
      </w:r>
      <w:bookmarkEnd w:id="20"/>
      <w:bookmarkEnd w:id="22"/>
      <w:r>
        <w:t xml:space="preserve"> </w:t>
      </w:r>
      <w:bookmarkEnd w:id="21"/>
    </w:p>
    <w:p w14:paraId="40CB7CAD" w14:textId="0C131DAC" w:rsidR="00F502DF" w:rsidRDefault="00F502DF" w:rsidP="00F502DF">
      <w:pPr>
        <w:pStyle w:val="ListParagraph"/>
        <w:numPr>
          <w:ilvl w:val="0"/>
          <w:numId w:val="6"/>
        </w:numPr>
        <w:ind w:left="426"/>
        <w:jc w:val="left"/>
      </w:pPr>
      <w:r>
        <w:t xml:space="preserve">In total, there were </w:t>
      </w:r>
      <w:r w:rsidR="002E47EC">
        <w:t>83,175</w:t>
      </w:r>
      <w:r>
        <w:t xml:space="preserve"> approved fostering places in England as at 31 March 2016, a </w:t>
      </w:r>
      <w:r w:rsidR="002E47EC">
        <w:t>3</w:t>
      </w:r>
      <w:r>
        <w:t xml:space="preserve">% </w:t>
      </w:r>
      <w:r w:rsidR="002E47EC">
        <w:t xml:space="preserve">increase </w:t>
      </w:r>
      <w:r>
        <w:t xml:space="preserve">from the same </w:t>
      </w:r>
      <w:r w:rsidR="00775D55">
        <w:t xml:space="preserve">point </w:t>
      </w:r>
      <w:r>
        <w:t xml:space="preserve">in the previous year. For LAs the number </w:t>
      </w:r>
      <w:r w:rsidR="002E47EC">
        <w:t xml:space="preserve">rose </w:t>
      </w:r>
      <w:r>
        <w:t xml:space="preserve">by </w:t>
      </w:r>
      <w:r w:rsidR="002E47EC">
        <w:t>5</w:t>
      </w:r>
      <w:r>
        <w:t xml:space="preserve">% from 49,080 in 2015 to </w:t>
      </w:r>
      <w:r w:rsidR="002E47EC">
        <w:t>51,665</w:t>
      </w:r>
      <w:r>
        <w:t xml:space="preserve"> in 2016 and for IFAs it decreased by less than 1% from 31,585 to 31,</w:t>
      </w:r>
      <w:r w:rsidR="002E47EC">
        <w:t>510</w:t>
      </w:r>
      <w:r>
        <w:t>.</w:t>
      </w:r>
      <w:r>
        <w:rPr>
          <w:rStyle w:val="FootnoteReference"/>
        </w:rPr>
        <w:footnoteReference w:id="7"/>
      </w:r>
      <w:r w:rsidR="00775D55">
        <w:t xml:space="preserve"> </w:t>
      </w:r>
      <w:r w:rsidR="002E47EC">
        <w:t>The rise in number of plac</w:t>
      </w:r>
      <w:r w:rsidR="009E7484">
        <w:t>es in the LA sector could</w:t>
      </w:r>
      <w:r w:rsidR="002E47EC">
        <w:t xml:space="preserve"> be attributed to the increase in the number of family and friends households. </w:t>
      </w:r>
    </w:p>
    <w:p w14:paraId="6914BD66" w14:textId="0A956D3F" w:rsidR="0046474B" w:rsidRDefault="009D2BFB" w:rsidP="00A71A23">
      <w:pPr>
        <w:pStyle w:val="ListParagraph"/>
        <w:numPr>
          <w:ilvl w:val="0"/>
          <w:numId w:val="6"/>
        </w:numPr>
        <w:ind w:left="426"/>
        <w:jc w:val="left"/>
      </w:pPr>
      <w:r>
        <w:t xml:space="preserve">As at 31 March 2016, 61% </w:t>
      </w:r>
      <w:r w:rsidR="00F502DF">
        <w:t>of fostering places were filled</w:t>
      </w:r>
      <w:r>
        <w:t xml:space="preserve"> and 23%</w:t>
      </w:r>
      <w:r w:rsidR="00F502DF">
        <w:t xml:space="preserve"> were vacant</w:t>
      </w:r>
      <w:r w:rsidR="000300AB">
        <w:t>. T</w:t>
      </w:r>
      <w:r w:rsidR="00F502DF">
        <w:t>he remainder were not available</w:t>
      </w:r>
      <w:r>
        <w:t>.</w:t>
      </w:r>
      <w:r w:rsidR="006B1DEA">
        <w:rPr>
          <w:rStyle w:val="FootnoteReference"/>
        </w:rPr>
        <w:footnoteReference w:id="8"/>
      </w:r>
      <w:r w:rsidR="006B1DEA">
        <w:t xml:space="preserve"> </w:t>
      </w:r>
      <w:r w:rsidR="0046474B">
        <w:t>The percentage of places that were filled decreased from 64% in 2015 to 61% in 2016. The change was similar in both sectors. (Chart 2)</w:t>
      </w:r>
    </w:p>
    <w:p w14:paraId="6D9C5C35" w14:textId="65D13FFC" w:rsidR="00F502DF" w:rsidRDefault="00F502DF" w:rsidP="00F502DF">
      <w:pPr>
        <w:pStyle w:val="ListParagraph"/>
        <w:numPr>
          <w:ilvl w:val="0"/>
          <w:numId w:val="6"/>
        </w:numPr>
        <w:ind w:left="426"/>
        <w:jc w:val="left"/>
      </w:pPr>
      <w:r>
        <w:t>The</w:t>
      </w:r>
      <w:r w:rsidR="000300AB">
        <w:t>re were more vacancies in 2016 (</w:t>
      </w:r>
      <w:r w:rsidR="007D5242">
        <w:t>19,480</w:t>
      </w:r>
      <w:r w:rsidR="000300AB">
        <w:t xml:space="preserve">), than in the previous two years. </w:t>
      </w:r>
    </w:p>
    <w:p w14:paraId="0BBE7740" w14:textId="77777777" w:rsidR="00311B08" w:rsidRDefault="00311B08" w:rsidP="00F502DF">
      <w:pPr>
        <w:jc w:val="left"/>
        <w:rPr>
          <w:noProof/>
          <w:sz w:val="20"/>
          <w:szCs w:val="20"/>
          <w:lang w:eastAsia="en-US"/>
        </w:rPr>
      </w:pPr>
    </w:p>
    <w:p w14:paraId="24F19670" w14:textId="77777777" w:rsidR="00311B08" w:rsidRDefault="00311B08" w:rsidP="00F502DF">
      <w:pPr>
        <w:jc w:val="left"/>
        <w:rPr>
          <w:noProof/>
          <w:sz w:val="20"/>
          <w:szCs w:val="20"/>
          <w:lang w:eastAsia="en-US"/>
        </w:rPr>
      </w:pPr>
    </w:p>
    <w:p w14:paraId="63250567" w14:textId="77777777" w:rsidR="00311B08" w:rsidRDefault="00311B08" w:rsidP="00F502DF">
      <w:pPr>
        <w:jc w:val="left"/>
        <w:rPr>
          <w:noProof/>
          <w:sz w:val="20"/>
          <w:szCs w:val="20"/>
          <w:lang w:eastAsia="en-US"/>
        </w:rPr>
      </w:pPr>
    </w:p>
    <w:p w14:paraId="1E4D1B88" w14:textId="77777777" w:rsidR="00311B08" w:rsidRDefault="00311B08" w:rsidP="00F502DF">
      <w:pPr>
        <w:jc w:val="left"/>
        <w:rPr>
          <w:noProof/>
          <w:sz w:val="20"/>
          <w:szCs w:val="20"/>
          <w:lang w:eastAsia="en-US"/>
        </w:rPr>
      </w:pPr>
    </w:p>
    <w:p w14:paraId="0F260574" w14:textId="77777777" w:rsidR="00311B08" w:rsidRDefault="00311B08" w:rsidP="00F502DF">
      <w:pPr>
        <w:jc w:val="left"/>
        <w:rPr>
          <w:noProof/>
          <w:sz w:val="20"/>
          <w:szCs w:val="20"/>
          <w:lang w:eastAsia="en-US"/>
        </w:rPr>
      </w:pPr>
    </w:p>
    <w:p w14:paraId="40ABECD6" w14:textId="77777777" w:rsidR="00311B08" w:rsidRDefault="00311B08" w:rsidP="00F502DF">
      <w:pPr>
        <w:jc w:val="left"/>
        <w:rPr>
          <w:b/>
          <w:bCs/>
          <w:noProof/>
          <w:sz w:val="20"/>
          <w:szCs w:val="20"/>
          <w:lang w:eastAsia="en-US"/>
        </w:rPr>
      </w:pPr>
    </w:p>
    <w:p w14:paraId="5726420A" w14:textId="77777777" w:rsidR="00E87060" w:rsidRDefault="00E87060">
      <w:pPr>
        <w:jc w:val="left"/>
        <w:rPr>
          <w:b/>
          <w:bCs/>
          <w:noProof/>
          <w:sz w:val="20"/>
          <w:szCs w:val="20"/>
          <w:lang w:eastAsia="en-US"/>
        </w:rPr>
      </w:pPr>
      <w:bookmarkStart w:id="24" w:name="_Toc472088367"/>
      <w:r>
        <w:br w:type="page"/>
      </w:r>
    </w:p>
    <w:p w14:paraId="2FAEF495" w14:textId="2753DBDC" w:rsidR="00F502DF" w:rsidRDefault="00F502DF" w:rsidP="00014B28">
      <w:pPr>
        <w:pStyle w:val="Table"/>
      </w:pPr>
      <w:bookmarkStart w:id="25" w:name="_Toc475440560"/>
      <w:r w:rsidRPr="00FC6DFA">
        <w:lastRenderedPageBreak/>
        <w:t xml:space="preserve">Chart </w:t>
      </w:r>
      <w:r w:rsidR="009C794A">
        <w:t>2</w:t>
      </w:r>
      <w:r w:rsidRPr="00FC6DFA">
        <w:t>: Occupancy by sector as at 31 March</w:t>
      </w:r>
      <w:bookmarkEnd w:id="24"/>
      <w:bookmarkEnd w:id="25"/>
    </w:p>
    <w:p w14:paraId="1279D092" w14:textId="179CF956" w:rsidR="007D5242" w:rsidRDefault="00F15AA6" w:rsidP="00F502DF">
      <w:bookmarkStart w:id="26" w:name="_Toc408930055"/>
      <w:bookmarkStart w:id="27" w:name="_Toc436837608"/>
      <w:r>
        <w:rPr>
          <w:noProof/>
        </w:rPr>
        <w:drawing>
          <wp:inline distT="0" distB="0" distL="0" distR="0" wp14:anchorId="6EFC6DDB" wp14:editId="3C1AC1CF">
            <wp:extent cx="4465320" cy="2262204"/>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87723" cy="2273554"/>
                    </a:xfrm>
                    <a:prstGeom prst="rect">
                      <a:avLst/>
                    </a:prstGeom>
                  </pic:spPr>
                </pic:pic>
              </a:graphicData>
            </a:graphic>
          </wp:inline>
        </w:drawing>
      </w:r>
    </w:p>
    <w:p w14:paraId="4CECC182" w14:textId="77777777" w:rsidR="009C794A" w:rsidRDefault="009C794A" w:rsidP="00F502DF"/>
    <w:p w14:paraId="6B2042F9" w14:textId="77777777" w:rsidR="00F502DF" w:rsidRDefault="00F502DF" w:rsidP="00F502DF">
      <w:pPr>
        <w:pStyle w:val="Heading2"/>
      </w:pPr>
      <w:bookmarkStart w:id="28" w:name="_Toc470097323"/>
      <w:bookmarkStart w:id="29" w:name="_Toc474760676"/>
      <w:r w:rsidRPr="00841804">
        <w:t>Foster carer profile</w:t>
      </w:r>
      <w:bookmarkEnd w:id="26"/>
      <w:bookmarkEnd w:id="27"/>
      <w:bookmarkEnd w:id="28"/>
      <w:bookmarkEnd w:id="29"/>
      <w:r>
        <w:t xml:space="preserve"> </w:t>
      </w:r>
    </w:p>
    <w:p w14:paraId="4FB6383A" w14:textId="04195182" w:rsidR="00F502DF" w:rsidRPr="00DE46F7" w:rsidRDefault="00F502DF" w:rsidP="00F502DF">
      <w:pPr>
        <w:jc w:val="left"/>
      </w:pPr>
      <w:r>
        <w:t xml:space="preserve">There was a slight fall in the overall number of foster carers as at 31 March 2016. Most carers were White, but increasing numbers </w:t>
      </w:r>
      <w:r w:rsidR="000300AB">
        <w:t xml:space="preserve">of carers </w:t>
      </w:r>
      <w:r>
        <w:t xml:space="preserve">from minority ethnic groups were approved to foster, mostly in the IFA sector. More carers had completed their post-approval training across all household types than in the previous year. </w:t>
      </w:r>
    </w:p>
    <w:p w14:paraId="1C97E6F5" w14:textId="77777777" w:rsidR="00F502DF" w:rsidRPr="003C60C6" w:rsidRDefault="00F502DF" w:rsidP="00F502DF"/>
    <w:p w14:paraId="0A840F56" w14:textId="77777777" w:rsidR="00F502DF" w:rsidRDefault="00F502DF" w:rsidP="00F502DF">
      <w:pPr>
        <w:pStyle w:val="Heading3"/>
      </w:pPr>
      <w:bookmarkStart w:id="30" w:name="_Toc436837609"/>
      <w:bookmarkStart w:id="31" w:name="_Toc470097324"/>
      <w:bookmarkStart w:id="32" w:name="_Toc474760677"/>
      <w:bookmarkStart w:id="33" w:name="_Toc408930056"/>
      <w:r>
        <w:t>Approved foster carers</w:t>
      </w:r>
      <w:bookmarkEnd w:id="30"/>
      <w:bookmarkEnd w:id="31"/>
      <w:bookmarkEnd w:id="32"/>
    </w:p>
    <w:p w14:paraId="074D10EA" w14:textId="157BF126" w:rsidR="00F502DF" w:rsidRDefault="00F502DF" w:rsidP="00F502DF">
      <w:pPr>
        <w:pStyle w:val="ListParagraph"/>
        <w:numPr>
          <w:ilvl w:val="0"/>
          <w:numId w:val="7"/>
        </w:numPr>
        <w:ind w:left="426"/>
      </w:pPr>
      <w:r>
        <w:t>Similar to the previous year, the number of approved foster carers decreased by less than 1% from 62,625 at 31 March 2015 to 62,365 at 31 March 2016.</w:t>
      </w:r>
    </w:p>
    <w:p w14:paraId="328E9D1A" w14:textId="738B607D" w:rsidR="00F502DF" w:rsidRDefault="00F502DF" w:rsidP="00F502DF">
      <w:pPr>
        <w:pStyle w:val="ListParagraph"/>
        <w:numPr>
          <w:ilvl w:val="0"/>
          <w:numId w:val="7"/>
        </w:numPr>
        <w:ind w:left="426"/>
        <w:jc w:val="left"/>
      </w:pPr>
      <w:r>
        <w:t>There were slightly fewer long-term foster carers</w:t>
      </w:r>
      <w:r w:rsidR="000300AB">
        <w:t xml:space="preserve"> approved</w:t>
      </w:r>
      <w:r w:rsidR="00043459">
        <w:t>,</w:t>
      </w:r>
      <w:r>
        <w:t xml:space="preserve"> </w:t>
      </w:r>
      <w:r w:rsidR="000300AB">
        <w:t xml:space="preserve">as well as </w:t>
      </w:r>
      <w:r>
        <w:t>those who provide short breaks</w:t>
      </w:r>
      <w:r w:rsidR="000300AB">
        <w:t>-</w:t>
      </w:r>
      <w:r>
        <w:t>only</w:t>
      </w:r>
      <w:r w:rsidR="000300AB">
        <w:t xml:space="preserve"> </w:t>
      </w:r>
      <w:r>
        <w:t>family and friends households.</w:t>
      </w:r>
    </w:p>
    <w:p w14:paraId="242DBBD9" w14:textId="77777777" w:rsidR="00F502DF" w:rsidRPr="00006BD3" w:rsidRDefault="00F502DF" w:rsidP="00F502DF"/>
    <w:p w14:paraId="098C3FAA" w14:textId="77777777" w:rsidR="00F502DF" w:rsidRPr="003B7857" w:rsidRDefault="00F502DF" w:rsidP="00F502DF">
      <w:pPr>
        <w:pStyle w:val="Heading3"/>
      </w:pPr>
      <w:bookmarkStart w:id="34" w:name="_Toc436837610"/>
      <w:bookmarkStart w:id="35" w:name="_Toc470097325"/>
      <w:bookmarkStart w:id="36" w:name="_Toc474760678"/>
      <w:r>
        <w:t>Ethnicity</w:t>
      </w:r>
      <w:bookmarkEnd w:id="33"/>
      <w:bookmarkEnd w:id="34"/>
      <w:bookmarkEnd w:id="35"/>
      <w:bookmarkEnd w:id="36"/>
    </w:p>
    <w:p w14:paraId="500057C3" w14:textId="4BA35AC5" w:rsidR="00F502DF" w:rsidRDefault="00F502DF" w:rsidP="00F502DF">
      <w:pPr>
        <w:pStyle w:val="Caption"/>
        <w:numPr>
          <w:ilvl w:val="0"/>
          <w:numId w:val="8"/>
        </w:numPr>
        <w:ind w:left="426"/>
        <w:rPr>
          <w:b w:val="0"/>
          <w:sz w:val="24"/>
          <w:szCs w:val="24"/>
        </w:rPr>
      </w:pPr>
      <w:bookmarkStart w:id="37" w:name="_Toc433382403"/>
      <w:r w:rsidRPr="005865C5">
        <w:rPr>
          <w:b w:val="0"/>
          <w:sz w:val="24"/>
          <w:szCs w:val="24"/>
        </w:rPr>
        <w:t xml:space="preserve">Most </w:t>
      </w:r>
      <w:r>
        <w:rPr>
          <w:b w:val="0"/>
          <w:sz w:val="24"/>
          <w:szCs w:val="24"/>
        </w:rPr>
        <w:t xml:space="preserve">long-term </w:t>
      </w:r>
      <w:r w:rsidRPr="005865C5">
        <w:rPr>
          <w:b w:val="0"/>
          <w:sz w:val="24"/>
          <w:szCs w:val="24"/>
        </w:rPr>
        <w:t>foster carers</w:t>
      </w:r>
      <w:r>
        <w:rPr>
          <w:b w:val="0"/>
          <w:sz w:val="24"/>
          <w:szCs w:val="24"/>
        </w:rPr>
        <w:t xml:space="preserve"> were White: 84% compared to 85% in the previous year, </w:t>
      </w:r>
      <w:r w:rsidR="004C713B" w:rsidRPr="00C0208A">
        <w:rPr>
          <w:b w:val="0"/>
          <w:sz w:val="24"/>
          <w:szCs w:val="24"/>
        </w:rPr>
        <w:t>s</w:t>
      </w:r>
      <w:r w:rsidR="004C713B">
        <w:rPr>
          <w:b w:val="0"/>
          <w:sz w:val="24"/>
          <w:szCs w:val="24"/>
        </w:rPr>
        <w:t>lightly</w:t>
      </w:r>
      <w:r w:rsidR="004C713B" w:rsidRPr="00C0208A">
        <w:rPr>
          <w:b w:val="0"/>
          <w:sz w:val="24"/>
          <w:szCs w:val="24"/>
        </w:rPr>
        <w:t xml:space="preserve"> </w:t>
      </w:r>
      <w:r w:rsidR="004C713B">
        <w:rPr>
          <w:b w:val="0"/>
          <w:sz w:val="24"/>
          <w:szCs w:val="24"/>
        </w:rPr>
        <w:t>below</w:t>
      </w:r>
      <w:r w:rsidR="004C713B" w:rsidRPr="00C0208A">
        <w:rPr>
          <w:b w:val="0"/>
          <w:sz w:val="24"/>
          <w:szCs w:val="24"/>
        </w:rPr>
        <w:t xml:space="preserve"> </w:t>
      </w:r>
      <w:r w:rsidRPr="00C0208A">
        <w:rPr>
          <w:b w:val="0"/>
          <w:sz w:val="24"/>
          <w:szCs w:val="24"/>
        </w:rPr>
        <w:t xml:space="preserve">the </w:t>
      </w:r>
      <w:r w:rsidR="004C713B">
        <w:rPr>
          <w:b w:val="0"/>
          <w:sz w:val="24"/>
          <w:szCs w:val="24"/>
        </w:rPr>
        <w:t>national level</w:t>
      </w:r>
      <w:r w:rsidRPr="00C0208A">
        <w:rPr>
          <w:b w:val="0"/>
          <w:sz w:val="24"/>
          <w:szCs w:val="24"/>
        </w:rPr>
        <w:t xml:space="preserve"> among the adult (aged </w:t>
      </w:r>
      <w:r w:rsidR="004C713B" w:rsidRPr="00C0208A">
        <w:rPr>
          <w:b w:val="0"/>
          <w:sz w:val="24"/>
          <w:szCs w:val="24"/>
        </w:rPr>
        <w:t>2</w:t>
      </w:r>
      <w:r w:rsidR="004C713B">
        <w:rPr>
          <w:b w:val="0"/>
          <w:sz w:val="24"/>
          <w:szCs w:val="24"/>
        </w:rPr>
        <w:t>5</w:t>
      </w:r>
      <w:r w:rsidR="004C713B" w:rsidRPr="00C0208A">
        <w:rPr>
          <w:b w:val="0"/>
          <w:sz w:val="24"/>
          <w:szCs w:val="24"/>
        </w:rPr>
        <w:t xml:space="preserve"> </w:t>
      </w:r>
      <w:r w:rsidRPr="00C0208A">
        <w:rPr>
          <w:b w:val="0"/>
          <w:sz w:val="24"/>
          <w:szCs w:val="24"/>
        </w:rPr>
        <w:t>and older) population in the 2011 census (</w:t>
      </w:r>
      <w:r w:rsidR="004C713B" w:rsidRPr="00C0208A">
        <w:rPr>
          <w:b w:val="0"/>
          <w:sz w:val="24"/>
          <w:szCs w:val="24"/>
        </w:rPr>
        <w:t>8</w:t>
      </w:r>
      <w:r w:rsidR="004C713B">
        <w:rPr>
          <w:b w:val="0"/>
          <w:sz w:val="24"/>
          <w:szCs w:val="24"/>
        </w:rPr>
        <w:t>8</w:t>
      </w:r>
      <w:r w:rsidRPr="00C0208A">
        <w:rPr>
          <w:b w:val="0"/>
          <w:sz w:val="24"/>
          <w:szCs w:val="24"/>
        </w:rPr>
        <w:t>%).</w:t>
      </w:r>
      <w:r>
        <w:rPr>
          <w:rStyle w:val="FootnoteReference"/>
          <w:b w:val="0"/>
          <w:sz w:val="24"/>
          <w:szCs w:val="24"/>
        </w:rPr>
        <w:footnoteReference w:id="9"/>
      </w:r>
      <w:r w:rsidR="0035368F">
        <w:rPr>
          <w:b w:val="0"/>
          <w:sz w:val="24"/>
          <w:szCs w:val="24"/>
        </w:rPr>
        <w:t xml:space="preserve"> (Chart 3)</w:t>
      </w:r>
    </w:p>
    <w:p w14:paraId="3B240189" w14:textId="4EDEE8EA" w:rsidR="00F502DF" w:rsidRPr="00F502DF" w:rsidRDefault="00F502DF" w:rsidP="00F502DF">
      <w:pPr>
        <w:pStyle w:val="Caption"/>
        <w:numPr>
          <w:ilvl w:val="0"/>
          <w:numId w:val="8"/>
        </w:numPr>
        <w:ind w:left="426"/>
        <w:rPr>
          <w:b w:val="0"/>
          <w:sz w:val="24"/>
          <w:szCs w:val="24"/>
        </w:rPr>
      </w:pPr>
      <w:r w:rsidRPr="00F502DF">
        <w:rPr>
          <w:b w:val="0"/>
          <w:sz w:val="24"/>
          <w:szCs w:val="24"/>
        </w:rPr>
        <w:t xml:space="preserve">Nine local authorities reported having no </w:t>
      </w:r>
      <w:r w:rsidR="00816686">
        <w:rPr>
          <w:b w:val="0"/>
          <w:sz w:val="24"/>
          <w:szCs w:val="24"/>
        </w:rPr>
        <w:t xml:space="preserve">long-term </w:t>
      </w:r>
      <w:r w:rsidRPr="00F502DF">
        <w:rPr>
          <w:b w:val="0"/>
          <w:sz w:val="24"/>
          <w:szCs w:val="24"/>
        </w:rPr>
        <w:t>foster carers from minority ethnic groups but all reported placing minority ethnic children with their fostering service.</w:t>
      </w:r>
      <w:r w:rsidR="0035368F">
        <w:rPr>
          <w:rStyle w:val="FootnoteReference"/>
          <w:b w:val="0"/>
          <w:sz w:val="24"/>
          <w:szCs w:val="24"/>
        </w:rPr>
        <w:footnoteReference w:id="10"/>
      </w:r>
    </w:p>
    <w:p w14:paraId="1EA9A257" w14:textId="77777777" w:rsidR="00311B08" w:rsidRDefault="00311B08" w:rsidP="00F502DF">
      <w:pPr>
        <w:pStyle w:val="Table"/>
      </w:pPr>
      <w:bookmarkStart w:id="38" w:name="_Toc472088368"/>
      <w:bookmarkEnd w:id="37"/>
    </w:p>
    <w:p w14:paraId="33229A1E" w14:textId="504244B2" w:rsidR="00F502DF" w:rsidRDefault="00F502DF" w:rsidP="00F502DF">
      <w:pPr>
        <w:pStyle w:val="Table"/>
      </w:pPr>
      <w:bookmarkStart w:id="39" w:name="_Toc475440561"/>
      <w:r w:rsidRPr="00751F67">
        <w:lastRenderedPageBreak/>
        <w:t>Chart</w:t>
      </w:r>
      <w:r>
        <w:t xml:space="preserve"> </w:t>
      </w:r>
      <w:r w:rsidR="0035368F">
        <w:t>3</w:t>
      </w:r>
      <w:r w:rsidRPr="00751F67">
        <w:t xml:space="preserve">: Ethnicity of </w:t>
      </w:r>
      <w:r>
        <w:t>long-term f</w:t>
      </w:r>
      <w:r w:rsidRPr="00751F67">
        <w:t>oster carers by sector, as at 31 March 2016</w:t>
      </w:r>
      <w:bookmarkEnd w:id="38"/>
      <w:bookmarkEnd w:id="39"/>
    </w:p>
    <w:p w14:paraId="517F4DBC" w14:textId="54DE0A96" w:rsidR="00F502DF" w:rsidRDefault="0068152D" w:rsidP="00EB195C">
      <w:pPr>
        <w:jc w:val="left"/>
        <w:rPr>
          <w:b/>
          <w:noProof/>
          <w:sz w:val="20"/>
          <w:szCs w:val="20"/>
        </w:rPr>
      </w:pPr>
      <w:r>
        <w:rPr>
          <w:b/>
          <w:noProof/>
          <w:sz w:val="20"/>
          <w:szCs w:val="20"/>
        </w:rPr>
        <w:t xml:space="preserve"> </w:t>
      </w:r>
      <w:r w:rsidR="00672CEA">
        <w:rPr>
          <w:noProof/>
        </w:rPr>
        <w:drawing>
          <wp:inline distT="0" distB="0" distL="0" distR="0" wp14:anchorId="0E6656B0" wp14:editId="775EB4A0">
            <wp:extent cx="3762375" cy="199385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71809" cy="1998853"/>
                    </a:xfrm>
                    <a:prstGeom prst="rect">
                      <a:avLst/>
                    </a:prstGeom>
                  </pic:spPr>
                </pic:pic>
              </a:graphicData>
            </a:graphic>
          </wp:inline>
        </w:drawing>
      </w:r>
    </w:p>
    <w:p w14:paraId="187308F7" w14:textId="77777777" w:rsidR="002C2E6B" w:rsidRPr="00751F67" w:rsidRDefault="002C2E6B" w:rsidP="00F502DF">
      <w:pPr>
        <w:rPr>
          <w:b/>
          <w:noProof/>
          <w:sz w:val="20"/>
          <w:szCs w:val="20"/>
        </w:rPr>
      </w:pPr>
    </w:p>
    <w:p w14:paraId="1BD60129" w14:textId="77777777" w:rsidR="00F502DF" w:rsidRDefault="00F502DF" w:rsidP="00F502DF">
      <w:pPr>
        <w:pStyle w:val="ListParagraph"/>
        <w:numPr>
          <w:ilvl w:val="0"/>
          <w:numId w:val="8"/>
        </w:numPr>
        <w:ind w:left="426"/>
        <w:jc w:val="left"/>
        <w:rPr>
          <w:lang w:eastAsia="en-US"/>
        </w:rPr>
      </w:pPr>
      <w:r>
        <w:rPr>
          <w:lang w:eastAsia="en-US"/>
        </w:rPr>
        <w:t>Of those foster carers approved in 2015-16, 83% were White and 15% were from minority ethnic groups.</w:t>
      </w:r>
      <w:r>
        <w:rPr>
          <w:rStyle w:val="FootnoteReference"/>
          <w:lang w:eastAsia="en-US"/>
        </w:rPr>
        <w:footnoteReference w:id="11"/>
      </w:r>
      <w:r>
        <w:rPr>
          <w:lang w:eastAsia="en-US"/>
        </w:rPr>
        <w:t xml:space="preserve"> </w:t>
      </w:r>
    </w:p>
    <w:p w14:paraId="22964AA6" w14:textId="10EF1FAF" w:rsidR="00136668" w:rsidRDefault="00F502DF" w:rsidP="008D3F40">
      <w:pPr>
        <w:pStyle w:val="ListParagraph"/>
        <w:numPr>
          <w:ilvl w:val="0"/>
          <w:numId w:val="8"/>
        </w:numPr>
        <w:ind w:left="426"/>
        <w:jc w:val="left"/>
        <w:rPr>
          <w:lang w:eastAsia="en-US"/>
        </w:rPr>
      </w:pPr>
      <w:r>
        <w:rPr>
          <w:lang w:eastAsia="en-US"/>
        </w:rPr>
        <w:t>In the LA sector, 85% of newly approved carers were White</w:t>
      </w:r>
      <w:r w:rsidR="004874A6">
        <w:rPr>
          <w:lang w:eastAsia="en-US"/>
        </w:rPr>
        <w:t>,</w:t>
      </w:r>
      <w:r>
        <w:rPr>
          <w:lang w:eastAsia="en-US"/>
        </w:rPr>
        <w:t xml:space="preserve"> in comparison with 82% in IFAs. </w:t>
      </w:r>
      <w:bookmarkStart w:id="40" w:name="_Toc408930057"/>
      <w:bookmarkStart w:id="41" w:name="_Toc436837611"/>
      <w:bookmarkStart w:id="42" w:name="_Toc470097326"/>
    </w:p>
    <w:p w14:paraId="409F464E" w14:textId="77777777" w:rsidR="00960352" w:rsidRPr="008D3F40" w:rsidRDefault="00960352" w:rsidP="00960352">
      <w:pPr>
        <w:pStyle w:val="ListParagraph"/>
        <w:ind w:left="426"/>
        <w:jc w:val="left"/>
        <w:rPr>
          <w:lang w:eastAsia="en-US"/>
        </w:rPr>
      </w:pPr>
    </w:p>
    <w:p w14:paraId="579404C2" w14:textId="398A9307" w:rsidR="00F502DF" w:rsidRPr="003B7857" w:rsidRDefault="00F502DF" w:rsidP="00F502DF">
      <w:pPr>
        <w:pStyle w:val="Heading3"/>
      </w:pPr>
      <w:bookmarkStart w:id="43" w:name="_Toc474760679"/>
      <w:r>
        <w:t>Post approval training</w:t>
      </w:r>
      <w:bookmarkEnd w:id="40"/>
      <w:bookmarkEnd w:id="41"/>
      <w:bookmarkEnd w:id="42"/>
      <w:bookmarkEnd w:id="43"/>
    </w:p>
    <w:p w14:paraId="6487663C" w14:textId="3A6D894D" w:rsidR="00F502DF" w:rsidRDefault="00F502DF" w:rsidP="00F502DF">
      <w:pPr>
        <w:pStyle w:val="ListParagraph"/>
        <w:numPr>
          <w:ilvl w:val="0"/>
          <w:numId w:val="30"/>
        </w:numPr>
        <w:ind w:left="426"/>
        <w:jc w:val="left"/>
      </w:pPr>
      <w:bookmarkStart w:id="44" w:name="_Toc408930058"/>
      <w:bookmarkStart w:id="45" w:name="_Toc436837612"/>
      <w:r w:rsidRPr="00751F67">
        <w:t>There has been an increase in the proportion of foster carers</w:t>
      </w:r>
      <w:r>
        <w:t>, of all types,</w:t>
      </w:r>
      <w:r w:rsidRPr="00751F67">
        <w:t xml:space="preserve"> who had completed their Training, Support and Development (TSD) workbooks at some point since their approval. The biggest increase was </w:t>
      </w:r>
      <w:r>
        <w:t>for IFA</w:t>
      </w:r>
      <w:r w:rsidRPr="00751F67">
        <w:t xml:space="preserve"> short breaks carers where 6</w:t>
      </w:r>
      <w:r>
        <w:t>4</w:t>
      </w:r>
      <w:r w:rsidRPr="00751F67">
        <w:t>% were reported to have completed their training</w:t>
      </w:r>
      <w:r>
        <w:t xml:space="preserve"> as at 31 March 2016</w:t>
      </w:r>
      <w:r w:rsidRPr="00751F67">
        <w:t>, 2</w:t>
      </w:r>
      <w:r>
        <w:t xml:space="preserve">6 </w:t>
      </w:r>
      <w:r w:rsidRPr="00751F67">
        <w:t>percentage points higher than in the previous year.</w:t>
      </w:r>
      <w:r>
        <w:t xml:space="preserve"> </w:t>
      </w:r>
      <w:r w:rsidR="0035368F">
        <w:t>(Chart 4)</w:t>
      </w:r>
    </w:p>
    <w:p w14:paraId="3969EAE2" w14:textId="77777777" w:rsidR="00F502DF" w:rsidRPr="002A28C4" w:rsidRDefault="00F502DF" w:rsidP="00F502DF">
      <w:pPr>
        <w:pStyle w:val="ListParagraph"/>
        <w:ind w:left="426"/>
      </w:pPr>
    </w:p>
    <w:p w14:paraId="5854AE40" w14:textId="68A55898" w:rsidR="00F502DF" w:rsidRPr="000606D5" w:rsidRDefault="00F502DF" w:rsidP="00F502DF">
      <w:pPr>
        <w:pStyle w:val="Table"/>
      </w:pPr>
      <w:bookmarkStart w:id="46" w:name="_Toc472088369"/>
      <w:bookmarkStart w:id="47" w:name="_Toc475440562"/>
      <w:r w:rsidRPr="00751F67">
        <w:t>Chart</w:t>
      </w:r>
      <w:r>
        <w:t xml:space="preserve"> </w:t>
      </w:r>
      <w:r w:rsidR="0035368F">
        <w:t>4</w:t>
      </w:r>
      <w:r w:rsidRPr="00751F67">
        <w:t>: Percentage of approved carers with completed workbooks, 2012-2016</w:t>
      </w:r>
      <w:bookmarkEnd w:id="46"/>
      <w:bookmarkEnd w:id="47"/>
    </w:p>
    <w:p w14:paraId="6BD5C5C2" w14:textId="65490038" w:rsidR="00B6554D" w:rsidRDefault="008E0FF0" w:rsidP="0035368F">
      <w:pPr>
        <w:ind w:hanging="11"/>
      </w:pPr>
      <w:r w:rsidRPr="008E0FF0">
        <w:rPr>
          <w:noProof/>
        </w:rPr>
        <w:t xml:space="preserve"> </w:t>
      </w:r>
      <w:r w:rsidR="00AA5A3C">
        <w:rPr>
          <w:noProof/>
        </w:rPr>
        <w:drawing>
          <wp:inline distT="0" distB="0" distL="0" distR="0" wp14:anchorId="0E833DE1" wp14:editId="52A4884F">
            <wp:extent cx="4067175" cy="254774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94463" cy="2564834"/>
                    </a:xfrm>
                    <a:prstGeom prst="rect">
                      <a:avLst/>
                    </a:prstGeom>
                  </pic:spPr>
                </pic:pic>
              </a:graphicData>
            </a:graphic>
          </wp:inline>
        </w:drawing>
      </w:r>
    </w:p>
    <w:p w14:paraId="3908419A" w14:textId="77777777" w:rsidR="00F502DF" w:rsidRDefault="00F502DF" w:rsidP="00F502DF">
      <w:pPr>
        <w:pStyle w:val="Heading2"/>
      </w:pPr>
      <w:bookmarkStart w:id="48" w:name="_Toc470097327"/>
      <w:bookmarkStart w:id="49" w:name="_Toc474760680"/>
      <w:r w:rsidRPr="00B04B44">
        <w:lastRenderedPageBreak/>
        <w:t>Recruitment and retention</w:t>
      </w:r>
      <w:bookmarkEnd w:id="44"/>
      <w:bookmarkEnd w:id="45"/>
      <w:bookmarkEnd w:id="48"/>
      <w:bookmarkEnd w:id="49"/>
    </w:p>
    <w:p w14:paraId="0CC98C5D" w14:textId="4502634B" w:rsidR="00F502DF" w:rsidRDefault="00573D14" w:rsidP="00F502DF">
      <w:pPr>
        <w:jc w:val="left"/>
      </w:pPr>
      <w:r>
        <w:t xml:space="preserve">There was a small fall in initial enquiries compared to the previous year, continuing a trend over the past few years. There were considerably fewer applications </w:t>
      </w:r>
      <w:r w:rsidR="0012090F">
        <w:t xml:space="preserve">reported </w:t>
      </w:r>
      <w:r>
        <w:t xml:space="preserve">than in the previous year: </w:t>
      </w:r>
      <w:r w:rsidR="0012090F">
        <w:t>a</w:t>
      </w:r>
      <w:r>
        <w:t xml:space="preserve"> drop of one third. Fewer applications were considered and completed in the year, but, perhaps as a result, a greater proportion resulted in approval than in the previous years. </w:t>
      </w:r>
      <w:r w:rsidR="00F502DF">
        <w:t>More fostering households were approved than were de-registered in 2015-16. White applicants whose applications were completed in the year were more likely to get approved than those from minority ethnic groups, and</w:t>
      </w:r>
      <w:r w:rsidR="00B64296">
        <w:t xml:space="preserve"> were</w:t>
      </w:r>
      <w:r w:rsidR="00F502DF">
        <w:t xml:space="preserve"> less likely to withdraw their applications. Fewer fostering households ceased to provide foster care in 2015-16 than in the previous year with vast majority of de-registrations being initiated by foster carers.</w:t>
      </w:r>
      <w:r w:rsidR="009769B6">
        <w:t xml:space="preserve"> There were fewer households and fewer carers for short-break provision.</w:t>
      </w:r>
    </w:p>
    <w:p w14:paraId="2B1A7B71" w14:textId="77777777" w:rsidR="00F502DF" w:rsidRPr="00751F67" w:rsidRDefault="00F502DF" w:rsidP="00F502DF"/>
    <w:p w14:paraId="31FE659C" w14:textId="77777777" w:rsidR="00F502DF" w:rsidRDefault="00F502DF" w:rsidP="00F502DF">
      <w:pPr>
        <w:pStyle w:val="Heading3"/>
      </w:pPr>
      <w:bookmarkStart w:id="50" w:name="_Toc408930059"/>
      <w:bookmarkStart w:id="51" w:name="_Toc436837613"/>
      <w:bookmarkStart w:id="52" w:name="_Toc470097328"/>
      <w:bookmarkStart w:id="53" w:name="_Toc474760681"/>
      <w:r w:rsidRPr="006F0AEE">
        <w:t>Overview of recruitment in the year</w:t>
      </w:r>
      <w:bookmarkEnd w:id="50"/>
      <w:bookmarkEnd w:id="51"/>
      <w:bookmarkEnd w:id="52"/>
      <w:bookmarkEnd w:id="53"/>
    </w:p>
    <w:p w14:paraId="3BDBCDB1" w14:textId="454A9198" w:rsidR="0092381E" w:rsidRDefault="00F502DF" w:rsidP="00B6554D">
      <w:pPr>
        <w:pStyle w:val="ListParagraph"/>
        <w:numPr>
          <w:ilvl w:val="0"/>
          <w:numId w:val="8"/>
        </w:numPr>
        <w:ind w:left="426"/>
        <w:jc w:val="left"/>
        <w:rPr>
          <w:lang w:eastAsia="en-US"/>
        </w:rPr>
      </w:pPr>
      <w:r>
        <w:rPr>
          <w:lang w:eastAsia="en-US"/>
        </w:rPr>
        <w:t>The number of initial enquiries continued to fall: there was a decrease of 2% (from 103,355 in 2014-15 to 101,795 in 2015-16). The number of applications fell by one third. The</w:t>
      </w:r>
      <w:r w:rsidR="0092381E">
        <w:rPr>
          <w:lang w:eastAsia="en-US"/>
        </w:rPr>
        <w:t xml:space="preserve"> agencies reported </w:t>
      </w:r>
      <w:r w:rsidRPr="00A92F42">
        <w:rPr>
          <w:lang w:eastAsia="en-US"/>
        </w:rPr>
        <w:t>11</w:t>
      </w:r>
      <w:r w:rsidR="00B6554D">
        <w:rPr>
          <w:lang w:eastAsia="en-US"/>
        </w:rPr>
        <w:t>,</w:t>
      </w:r>
      <w:r w:rsidR="009A00FE" w:rsidRPr="00A92F42">
        <w:rPr>
          <w:lang w:eastAsia="en-US"/>
        </w:rPr>
        <w:t>4</w:t>
      </w:r>
      <w:r w:rsidR="009A00FE">
        <w:rPr>
          <w:lang w:eastAsia="en-US"/>
        </w:rPr>
        <w:t>60</w:t>
      </w:r>
      <w:r w:rsidR="009A00FE" w:rsidRPr="00A92F42">
        <w:rPr>
          <w:lang w:eastAsia="en-US"/>
        </w:rPr>
        <w:t xml:space="preserve"> </w:t>
      </w:r>
      <w:r>
        <w:rPr>
          <w:lang w:eastAsia="en-US"/>
        </w:rPr>
        <w:t xml:space="preserve">applications in 2015-16, compared to 16,920 the previous year. </w:t>
      </w:r>
      <w:bookmarkStart w:id="54" w:name="_Toc408930060"/>
      <w:bookmarkStart w:id="55" w:name="_Toc436837614"/>
    </w:p>
    <w:p w14:paraId="37C72312" w14:textId="1B02C481" w:rsidR="00CC4051" w:rsidRDefault="00CC4051" w:rsidP="00B6554D">
      <w:pPr>
        <w:pStyle w:val="ListParagraph"/>
        <w:numPr>
          <w:ilvl w:val="0"/>
          <w:numId w:val="8"/>
        </w:numPr>
        <w:ind w:left="426"/>
        <w:jc w:val="left"/>
        <w:rPr>
          <w:lang w:eastAsia="en-US"/>
        </w:rPr>
      </w:pPr>
      <w:r>
        <w:rPr>
          <w:lang w:eastAsia="en-US"/>
        </w:rPr>
        <w:t>It should be noted, however,</w:t>
      </w:r>
      <w:r w:rsidR="00104698">
        <w:rPr>
          <w:lang w:eastAsia="en-US"/>
        </w:rPr>
        <w:t xml:space="preserve"> that the drop in application</w:t>
      </w:r>
      <w:r w:rsidR="00573D14">
        <w:rPr>
          <w:lang w:eastAsia="en-US"/>
        </w:rPr>
        <w:t>s</w:t>
      </w:r>
      <w:r w:rsidR="00104698">
        <w:rPr>
          <w:lang w:eastAsia="en-US"/>
        </w:rPr>
        <w:t xml:space="preserve"> </w:t>
      </w:r>
      <w:r w:rsidR="00090500">
        <w:rPr>
          <w:lang w:eastAsia="en-US"/>
        </w:rPr>
        <w:t>could be</w:t>
      </w:r>
      <w:r w:rsidR="00104698">
        <w:rPr>
          <w:lang w:eastAsia="en-US"/>
        </w:rPr>
        <w:t xml:space="preserve"> </w:t>
      </w:r>
      <w:r w:rsidR="00365E34">
        <w:rPr>
          <w:lang w:eastAsia="en-US"/>
        </w:rPr>
        <w:t>partially explained</w:t>
      </w:r>
      <w:r w:rsidR="00104698">
        <w:rPr>
          <w:lang w:eastAsia="en-US"/>
        </w:rPr>
        <w:t xml:space="preserve"> by the fact </w:t>
      </w:r>
      <w:r>
        <w:rPr>
          <w:lang w:eastAsia="en-US"/>
        </w:rPr>
        <w:t xml:space="preserve">that </w:t>
      </w:r>
      <w:r w:rsidR="00573D14">
        <w:rPr>
          <w:lang w:eastAsia="en-US"/>
        </w:rPr>
        <w:t xml:space="preserve">almost one quarter of </w:t>
      </w:r>
      <w:r w:rsidR="0092381E" w:rsidRPr="0092381E">
        <w:rPr>
          <w:lang w:eastAsia="en-US"/>
        </w:rPr>
        <w:t>agencies (</w:t>
      </w:r>
      <w:r w:rsidR="00573D14" w:rsidRPr="0092381E">
        <w:rPr>
          <w:lang w:eastAsia="en-US"/>
        </w:rPr>
        <w:t>105</w:t>
      </w:r>
      <w:r w:rsidR="00573D14">
        <w:rPr>
          <w:lang w:eastAsia="en-US"/>
        </w:rPr>
        <w:t>)</w:t>
      </w:r>
      <w:r w:rsidR="0092381E">
        <w:rPr>
          <w:lang w:eastAsia="en-US"/>
        </w:rPr>
        <w:t xml:space="preserve"> did not submit data about their prospective households</w:t>
      </w:r>
      <w:r w:rsidR="00104698">
        <w:rPr>
          <w:lang w:eastAsia="en-US"/>
        </w:rPr>
        <w:t>. While some agencies might not have recruited any foster carers,</w:t>
      </w:r>
      <w:r w:rsidR="0092381E">
        <w:rPr>
          <w:lang w:eastAsia="en-US"/>
        </w:rPr>
        <w:t xml:space="preserve"> 69 </w:t>
      </w:r>
      <w:r w:rsidR="00104698">
        <w:rPr>
          <w:lang w:eastAsia="en-US"/>
        </w:rPr>
        <w:t>agencies</w:t>
      </w:r>
      <w:r w:rsidR="0092381E">
        <w:rPr>
          <w:lang w:eastAsia="en-US"/>
        </w:rPr>
        <w:t xml:space="preserve"> (</w:t>
      </w:r>
      <w:r w:rsidR="00104698">
        <w:rPr>
          <w:lang w:eastAsia="en-US"/>
        </w:rPr>
        <w:t>16%</w:t>
      </w:r>
      <w:r w:rsidR="00573D14">
        <w:rPr>
          <w:lang w:eastAsia="en-US"/>
        </w:rPr>
        <w:t xml:space="preserve"> of the total</w:t>
      </w:r>
      <w:r w:rsidR="00104698">
        <w:rPr>
          <w:lang w:eastAsia="en-US"/>
        </w:rPr>
        <w:t>)</w:t>
      </w:r>
      <w:r w:rsidR="0092381E">
        <w:rPr>
          <w:lang w:eastAsia="en-US"/>
        </w:rPr>
        <w:t xml:space="preserve"> had </w:t>
      </w:r>
      <w:r w:rsidR="0092381E" w:rsidRPr="0092381E">
        <w:rPr>
          <w:lang w:eastAsia="en-US"/>
        </w:rPr>
        <w:t xml:space="preserve">approved 10% or more of their households during the year </w:t>
      </w:r>
      <w:r w:rsidR="0092381E">
        <w:rPr>
          <w:lang w:eastAsia="en-US"/>
        </w:rPr>
        <w:t>which suggests they were actively recruiting in 2015-16. T</w:t>
      </w:r>
      <w:r w:rsidR="0092381E" w:rsidRPr="0092381E">
        <w:rPr>
          <w:lang w:eastAsia="en-US"/>
        </w:rPr>
        <w:t xml:space="preserve">hese </w:t>
      </w:r>
      <w:r w:rsidR="0012090F">
        <w:rPr>
          <w:lang w:eastAsia="en-US"/>
        </w:rPr>
        <w:t xml:space="preserve">69 </w:t>
      </w:r>
      <w:r w:rsidR="0092381E">
        <w:rPr>
          <w:lang w:eastAsia="en-US"/>
        </w:rPr>
        <w:t xml:space="preserve">agencies </w:t>
      </w:r>
      <w:r w:rsidR="0012090F">
        <w:rPr>
          <w:lang w:eastAsia="en-US"/>
        </w:rPr>
        <w:t xml:space="preserve">which did not report any prospective households </w:t>
      </w:r>
      <w:r w:rsidR="0092381E" w:rsidRPr="0092381E">
        <w:rPr>
          <w:lang w:eastAsia="en-US"/>
        </w:rPr>
        <w:t>accounted for around 9% of all approved households</w:t>
      </w:r>
      <w:r w:rsidR="009769B6">
        <w:rPr>
          <w:lang w:eastAsia="en-US"/>
        </w:rPr>
        <w:t>, so can only be the partial cause of the substantial fall</w:t>
      </w:r>
      <w:r w:rsidR="0092381E" w:rsidRPr="0092381E">
        <w:rPr>
          <w:lang w:eastAsia="en-US"/>
        </w:rPr>
        <w:t xml:space="preserve">. </w:t>
      </w:r>
    </w:p>
    <w:p w14:paraId="369228F4" w14:textId="0874CE07" w:rsidR="0092381E" w:rsidRDefault="00126572" w:rsidP="00B6554D">
      <w:pPr>
        <w:pStyle w:val="ListParagraph"/>
        <w:numPr>
          <w:ilvl w:val="0"/>
          <w:numId w:val="8"/>
        </w:numPr>
        <w:ind w:left="426"/>
        <w:jc w:val="left"/>
        <w:rPr>
          <w:lang w:eastAsia="en-US"/>
        </w:rPr>
      </w:pPr>
      <w:r>
        <w:rPr>
          <w:lang w:eastAsia="en-US"/>
        </w:rPr>
        <w:t>As well as</w:t>
      </w:r>
      <w:r w:rsidR="008A1482">
        <w:rPr>
          <w:lang w:eastAsia="en-US"/>
        </w:rPr>
        <w:t xml:space="preserve"> 4,650 long term fostering households approved in 2015-16,</w:t>
      </w:r>
      <w:r w:rsidR="0092381E">
        <w:rPr>
          <w:lang w:eastAsia="en-US"/>
        </w:rPr>
        <w:t xml:space="preserve"> agencies also approved 1,810 family and friends households, 1,515 connected people households and 185 short breaks</w:t>
      </w:r>
      <w:r w:rsidR="000300AB">
        <w:rPr>
          <w:lang w:eastAsia="en-US"/>
        </w:rPr>
        <w:t>-</w:t>
      </w:r>
      <w:r w:rsidR="0092381E">
        <w:rPr>
          <w:lang w:eastAsia="en-US"/>
        </w:rPr>
        <w:t>only households.</w:t>
      </w:r>
      <w:r w:rsidR="0092381E">
        <w:rPr>
          <w:rStyle w:val="FootnoteReference"/>
          <w:lang w:eastAsia="en-US"/>
        </w:rPr>
        <w:footnoteReference w:id="12"/>
      </w:r>
      <w:r w:rsidR="0092381E">
        <w:rPr>
          <w:lang w:eastAsia="en-US"/>
        </w:rPr>
        <w:t xml:space="preserve"> </w:t>
      </w:r>
    </w:p>
    <w:p w14:paraId="303F3A2B" w14:textId="57B59063" w:rsidR="006C351E" w:rsidRDefault="00F502DF" w:rsidP="00E87060">
      <w:pPr>
        <w:pStyle w:val="ListParagraph"/>
        <w:numPr>
          <w:ilvl w:val="0"/>
          <w:numId w:val="8"/>
        </w:numPr>
        <w:ind w:left="426"/>
        <w:jc w:val="left"/>
        <w:rPr>
          <w:lang w:eastAsia="en-US"/>
        </w:rPr>
      </w:pPr>
      <w:r>
        <w:t>More long-term fostering households were approved than de-registered within 2015-16 leading to a net gain of 295 households.</w:t>
      </w:r>
      <w:r>
        <w:rPr>
          <w:rStyle w:val="FootnoteReference"/>
        </w:rPr>
        <w:footnoteReference w:id="13"/>
      </w:r>
      <w:r>
        <w:t xml:space="preserve"> </w:t>
      </w:r>
      <w:r w:rsidRPr="001B70C5">
        <w:t>Family and friends</w:t>
      </w:r>
      <w:r>
        <w:t xml:space="preserve"> households</w:t>
      </w:r>
      <w:r w:rsidRPr="001B70C5">
        <w:t xml:space="preserve"> saw a net gain of 52</w:t>
      </w:r>
      <w:r>
        <w:t>5, while short break households experienced a net loss of 70 households.</w:t>
      </w:r>
      <w:r>
        <w:rPr>
          <w:rStyle w:val="FootnoteReference"/>
        </w:rPr>
        <w:footnoteReference w:id="14"/>
      </w:r>
      <w:r>
        <w:t xml:space="preserve"> </w:t>
      </w:r>
      <w:r w:rsidR="0035368F">
        <w:t>(Chart 5)</w:t>
      </w:r>
    </w:p>
    <w:p w14:paraId="4F097B7E" w14:textId="77777777" w:rsidR="00E87060" w:rsidRDefault="00E87060" w:rsidP="00382C32">
      <w:pPr>
        <w:pStyle w:val="Table"/>
      </w:pPr>
    </w:p>
    <w:p w14:paraId="657C9DFC" w14:textId="45B0F1F6" w:rsidR="00F502DF" w:rsidRDefault="00F502DF" w:rsidP="00382C32">
      <w:pPr>
        <w:pStyle w:val="Table"/>
      </w:pPr>
      <w:bookmarkStart w:id="56" w:name="_Toc475440563"/>
      <w:r w:rsidRPr="006F187A">
        <w:t xml:space="preserve">Chart </w:t>
      </w:r>
      <w:r w:rsidR="0035368F">
        <w:t>5</w:t>
      </w:r>
      <w:r w:rsidRPr="006F187A">
        <w:t>: Net change in the number of households in 2015-16</w:t>
      </w:r>
      <w:bookmarkEnd w:id="56"/>
    </w:p>
    <w:p w14:paraId="78C5B7B1" w14:textId="77777777" w:rsidR="00F502DF" w:rsidRPr="000469FB" w:rsidRDefault="00F502DF" w:rsidP="00B6554D">
      <w:pPr>
        <w:jc w:val="left"/>
      </w:pPr>
      <w:r>
        <w:rPr>
          <w:noProof/>
        </w:rPr>
        <w:drawing>
          <wp:inline distT="0" distB="0" distL="0" distR="0" wp14:anchorId="006D37D3" wp14:editId="37300977">
            <wp:extent cx="3537244" cy="202882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92887" cy="2060739"/>
                    </a:xfrm>
                    <a:prstGeom prst="rect">
                      <a:avLst/>
                    </a:prstGeom>
                  </pic:spPr>
                </pic:pic>
              </a:graphicData>
            </a:graphic>
          </wp:inline>
        </w:drawing>
      </w:r>
    </w:p>
    <w:p w14:paraId="5424F7C3" w14:textId="77777777" w:rsidR="00F502DF" w:rsidRDefault="00F502DF" w:rsidP="00F502DF">
      <w:pPr>
        <w:pStyle w:val="Heading3"/>
      </w:pPr>
    </w:p>
    <w:p w14:paraId="2941D46D" w14:textId="77777777" w:rsidR="00F502DF" w:rsidRDefault="00F502DF" w:rsidP="00F502DF">
      <w:pPr>
        <w:pStyle w:val="Heading3"/>
      </w:pPr>
      <w:bookmarkStart w:id="57" w:name="_Toc470097329"/>
      <w:bookmarkStart w:id="58" w:name="_Toc474760682"/>
      <w:r>
        <w:t>Application outcomes</w:t>
      </w:r>
      <w:bookmarkEnd w:id="54"/>
      <w:bookmarkEnd w:id="55"/>
      <w:bookmarkEnd w:id="57"/>
      <w:bookmarkEnd w:id="58"/>
    </w:p>
    <w:p w14:paraId="5D7F123E" w14:textId="59E29803" w:rsidR="00F502DF" w:rsidRPr="00C63D63" w:rsidRDefault="00F502DF" w:rsidP="00B6554D">
      <w:pPr>
        <w:pStyle w:val="ListParagraph"/>
        <w:numPr>
          <w:ilvl w:val="0"/>
          <w:numId w:val="31"/>
        </w:numPr>
        <w:ind w:left="426"/>
        <w:jc w:val="left"/>
        <w:rPr>
          <w:b/>
        </w:rPr>
      </w:pPr>
      <w:bookmarkStart w:id="59" w:name="_Toc408930061"/>
      <w:bookmarkStart w:id="60" w:name="_Toc436837615"/>
      <w:r w:rsidRPr="00A92F42">
        <w:t xml:space="preserve">The number of applications that were completed </w:t>
      </w:r>
      <w:r>
        <w:t>during the year decreased from 12,795 in 2015 to 8,</w:t>
      </w:r>
      <w:r w:rsidR="009A00FE">
        <w:t xml:space="preserve">185 </w:t>
      </w:r>
      <w:r>
        <w:t>in 2016. At 71%, it was the lowest completion rate in the last four years</w:t>
      </w:r>
      <w:r w:rsidR="0012090F">
        <w:t xml:space="preserve"> but it could be a result of the overall fall in the number of applications reported this year</w:t>
      </w:r>
      <w:r>
        <w:t xml:space="preserve"> </w:t>
      </w:r>
    </w:p>
    <w:p w14:paraId="6EEBBAA6" w14:textId="2E025B10" w:rsidR="00F502DF" w:rsidRPr="00C63D63" w:rsidRDefault="0012090F" w:rsidP="00B6554D">
      <w:pPr>
        <w:pStyle w:val="ListParagraph"/>
        <w:numPr>
          <w:ilvl w:val="0"/>
          <w:numId w:val="31"/>
        </w:numPr>
        <w:ind w:left="426"/>
        <w:jc w:val="left"/>
        <w:rPr>
          <w:b/>
        </w:rPr>
      </w:pPr>
      <w:r>
        <w:t>With fewer applications reported to have been considered in year</w:t>
      </w:r>
      <w:r w:rsidR="008A1482">
        <w:t>,</w:t>
      </w:r>
      <w:r>
        <w:t xml:space="preserve"> a</w:t>
      </w:r>
      <w:r w:rsidR="00F502DF">
        <w:t xml:space="preserve"> higher percentage of completed applications resulted in approval: 57% were approved in 2015-16 in comparison with 44% in 2014-15. This is the highest approval rate for completed applications in the last four years. </w:t>
      </w:r>
      <w:r w:rsidR="0035368F">
        <w:t>(Chart 6)</w:t>
      </w:r>
    </w:p>
    <w:p w14:paraId="6464623F" w14:textId="74E5F9B9" w:rsidR="00F502DF" w:rsidRDefault="00F502DF" w:rsidP="00B6554D">
      <w:pPr>
        <w:pStyle w:val="ListParagraph"/>
        <w:numPr>
          <w:ilvl w:val="0"/>
          <w:numId w:val="31"/>
        </w:numPr>
        <w:ind w:left="426"/>
        <w:jc w:val="left"/>
      </w:pPr>
      <w:r>
        <w:t>Both sectors saw a large increase in approved applications: for LAs, this was an increase from 48% in 2014-15</w:t>
      </w:r>
      <w:r w:rsidR="00BC03E2">
        <w:t xml:space="preserve"> to 57% in 2015-16</w:t>
      </w:r>
      <w:r>
        <w:t>, while IFAs increased from 40%</w:t>
      </w:r>
      <w:r w:rsidR="00BC03E2">
        <w:t xml:space="preserve"> to 56%</w:t>
      </w:r>
      <w:r>
        <w:t xml:space="preserve">. </w:t>
      </w:r>
    </w:p>
    <w:p w14:paraId="04A74842" w14:textId="77777777" w:rsidR="006C351E" w:rsidRDefault="006C351E" w:rsidP="00136668"/>
    <w:p w14:paraId="50906C69" w14:textId="3D23CE3D" w:rsidR="00F502DF" w:rsidRDefault="00F502DF" w:rsidP="00F502DF">
      <w:pPr>
        <w:pStyle w:val="Table"/>
      </w:pPr>
      <w:bookmarkStart w:id="61" w:name="_Toc472088370"/>
      <w:bookmarkStart w:id="62" w:name="_Toc475440564"/>
      <w:r>
        <w:t xml:space="preserve">Chart </w:t>
      </w:r>
      <w:r w:rsidR="0035368F">
        <w:t>6</w:t>
      </w:r>
      <w:r w:rsidRPr="0083107A">
        <w:t>: Applications completed and approved in year</w:t>
      </w:r>
      <w:bookmarkEnd w:id="61"/>
      <w:bookmarkEnd w:id="62"/>
    </w:p>
    <w:p w14:paraId="29EFE9E8" w14:textId="7638E669" w:rsidR="00F502DF" w:rsidRPr="007D63C1" w:rsidRDefault="00F502DF" w:rsidP="00F502DF">
      <w:r w:rsidRPr="00EF74F4">
        <w:rPr>
          <w:noProof/>
        </w:rPr>
        <w:t xml:space="preserve"> </w:t>
      </w:r>
      <w:r w:rsidR="007F2768">
        <w:rPr>
          <w:noProof/>
        </w:rPr>
        <w:drawing>
          <wp:inline distT="0" distB="0" distL="0" distR="0" wp14:anchorId="7FEC3DD5" wp14:editId="6671A217">
            <wp:extent cx="3552825" cy="205088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66283" cy="2058649"/>
                    </a:xfrm>
                    <a:prstGeom prst="rect">
                      <a:avLst/>
                    </a:prstGeom>
                  </pic:spPr>
                </pic:pic>
              </a:graphicData>
            </a:graphic>
          </wp:inline>
        </w:drawing>
      </w:r>
    </w:p>
    <w:p w14:paraId="6F041BA4" w14:textId="0D0E3251" w:rsidR="00F502DF" w:rsidRDefault="00F502DF" w:rsidP="00F502DF">
      <w:pPr>
        <w:pStyle w:val="ListParagraph"/>
        <w:numPr>
          <w:ilvl w:val="0"/>
          <w:numId w:val="9"/>
        </w:numPr>
        <w:ind w:left="426"/>
        <w:jc w:val="left"/>
      </w:pPr>
      <w:r>
        <w:t xml:space="preserve">A smaller percentage of applications completed in 2015-16 were rejected or withdrawn by the service (overall, 13% in comparison with 23% in 2014-15). This was a big change from the last year when </w:t>
      </w:r>
      <w:r w:rsidR="00B12403">
        <w:t>25% of</w:t>
      </w:r>
      <w:r w:rsidR="00A334FF">
        <w:t xml:space="preserve"> </w:t>
      </w:r>
      <w:r>
        <w:t>applicants were rejected or withdrawn by the IFA</w:t>
      </w:r>
      <w:r w:rsidR="008A1482">
        <w:t>s</w:t>
      </w:r>
      <w:r>
        <w:t xml:space="preserve"> and </w:t>
      </w:r>
      <w:r w:rsidR="00B12403">
        <w:t>19%</w:t>
      </w:r>
      <w:r>
        <w:t xml:space="preserve"> by LAs. </w:t>
      </w:r>
    </w:p>
    <w:p w14:paraId="0BA54ACF" w14:textId="6554E782" w:rsidR="00F502DF" w:rsidRDefault="00B12403" w:rsidP="00F502DF">
      <w:pPr>
        <w:pStyle w:val="ListParagraph"/>
        <w:numPr>
          <w:ilvl w:val="0"/>
          <w:numId w:val="9"/>
        </w:numPr>
        <w:ind w:left="426"/>
        <w:jc w:val="left"/>
      </w:pPr>
      <w:r>
        <w:lastRenderedPageBreak/>
        <w:t>Thirty percent</w:t>
      </w:r>
      <w:r w:rsidR="00F502DF">
        <w:t xml:space="preserve"> of applications (2,</w:t>
      </w:r>
      <w:r w:rsidR="009A00FE">
        <w:t>485</w:t>
      </w:r>
      <w:r w:rsidR="00F502DF">
        <w:t xml:space="preserve">) were withdrawn by applicants, compared to </w:t>
      </w:r>
      <w:r>
        <w:t>34%</w:t>
      </w:r>
      <w:r w:rsidR="00F502DF">
        <w:t xml:space="preserve"> (4,295) the previous year. This fall was mostly accounted for by IFA applications.</w:t>
      </w:r>
      <w:r w:rsidR="0035368F">
        <w:t xml:space="preserve"> (Chart 7)</w:t>
      </w:r>
    </w:p>
    <w:p w14:paraId="5F338DC9" w14:textId="77777777" w:rsidR="00F502DF" w:rsidRDefault="00F502DF" w:rsidP="00F502DF">
      <w:pPr>
        <w:jc w:val="left"/>
        <w:rPr>
          <w:b/>
          <w:sz w:val="20"/>
          <w:szCs w:val="20"/>
        </w:rPr>
      </w:pPr>
    </w:p>
    <w:p w14:paraId="57D346C3" w14:textId="03E06CAB" w:rsidR="00F502DF" w:rsidRPr="00C974C3" w:rsidRDefault="00F502DF" w:rsidP="00F502DF">
      <w:pPr>
        <w:pStyle w:val="Table"/>
      </w:pPr>
      <w:bookmarkStart w:id="63" w:name="_Toc472088371"/>
      <w:bookmarkStart w:id="64" w:name="_Toc475440565"/>
      <w:r w:rsidRPr="00C974C3">
        <w:t xml:space="preserve">Chart </w:t>
      </w:r>
      <w:r w:rsidR="0035368F">
        <w:t>7</w:t>
      </w:r>
      <w:r w:rsidRPr="00C974C3">
        <w:t xml:space="preserve">: Applications considered </w:t>
      </w:r>
      <w:r>
        <w:t xml:space="preserve">and completed </w:t>
      </w:r>
      <w:r w:rsidRPr="00C974C3">
        <w:t>in year as at 31 March</w:t>
      </w:r>
      <w:bookmarkEnd w:id="63"/>
      <w:bookmarkEnd w:id="64"/>
    </w:p>
    <w:p w14:paraId="6457861A" w14:textId="2614C7EF" w:rsidR="00F502DF" w:rsidRDefault="006C351E" w:rsidP="009C794A">
      <w:r>
        <w:rPr>
          <w:noProof/>
        </w:rPr>
        <w:drawing>
          <wp:inline distT="0" distB="0" distL="0" distR="0" wp14:anchorId="52355A3D" wp14:editId="786F4F82">
            <wp:extent cx="3977640" cy="2110585"/>
            <wp:effectExtent l="0" t="0" r="381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08291" cy="2126849"/>
                    </a:xfrm>
                    <a:prstGeom prst="rect">
                      <a:avLst/>
                    </a:prstGeom>
                  </pic:spPr>
                </pic:pic>
              </a:graphicData>
            </a:graphic>
          </wp:inline>
        </w:drawing>
      </w:r>
    </w:p>
    <w:p w14:paraId="2E62B6F7" w14:textId="77777777" w:rsidR="0035368F" w:rsidRDefault="0035368F" w:rsidP="009C794A"/>
    <w:p w14:paraId="0CC07D79" w14:textId="77777777" w:rsidR="00F502DF" w:rsidRDefault="00F502DF" w:rsidP="00F502DF">
      <w:pPr>
        <w:pStyle w:val="ListParagraph"/>
        <w:numPr>
          <w:ilvl w:val="0"/>
          <w:numId w:val="9"/>
        </w:numPr>
        <w:ind w:left="426"/>
        <w:jc w:val="left"/>
      </w:pPr>
      <w:r>
        <w:t>For White applicants, whose applications were completed during 2015-16, 64% were approved and 10% withdrawn by the service. For minority ethnic applicants, 58% were approved and 13% had their applications withdrawn by the service. Applicants from minority ethnic groups were also more likely to withdraw themselves from the process, 27% in comparison with 25% of White applicants.</w:t>
      </w:r>
    </w:p>
    <w:p w14:paraId="4F9A3F42" w14:textId="77777777" w:rsidR="00F502DF" w:rsidRDefault="00F502DF" w:rsidP="00F502DF">
      <w:pPr>
        <w:jc w:val="left"/>
      </w:pPr>
    </w:p>
    <w:p w14:paraId="32DF11D3" w14:textId="77777777" w:rsidR="00F502DF" w:rsidRDefault="00F502DF" w:rsidP="00F502DF">
      <w:pPr>
        <w:pStyle w:val="Heading3"/>
      </w:pPr>
      <w:bookmarkStart w:id="65" w:name="_Toc470097330"/>
      <w:bookmarkStart w:id="66" w:name="_Toc474760683"/>
      <w:r w:rsidRPr="00D312CB">
        <w:t xml:space="preserve">De-registration of fostering </w:t>
      </w:r>
      <w:r w:rsidRPr="00C63D63">
        <w:t>households</w:t>
      </w:r>
      <w:bookmarkEnd w:id="59"/>
      <w:bookmarkEnd w:id="60"/>
      <w:bookmarkEnd w:id="65"/>
      <w:bookmarkEnd w:id="66"/>
    </w:p>
    <w:p w14:paraId="549D567D" w14:textId="1D61A7DA" w:rsidR="0012090F" w:rsidRDefault="0012090F" w:rsidP="00A71A23">
      <w:pPr>
        <w:jc w:val="left"/>
      </w:pPr>
      <w:r>
        <w:t>For the first time this year Ofsted collected household level data on de-registrations and the following analysis focuses on the reasons for de-registrations for long-term and short breaks-only households</w:t>
      </w:r>
      <w:r w:rsidR="008A1482">
        <w:t>.</w:t>
      </w:r>
    </w:p>
    <w:p w14:paraId="330BD3C6" w14:textId="77777777" w:rsidR="0012090F" w:rsidRPr="0012090F" w:rsidRDefault="0012090F" w:rsidP="00EB195C"/>
    <w:p w14:paraId="08FE24CB" w14:textId="5CEFA6B1" w:rsidR="009602A9" w:rsidRDefault="009602A9" w:rsidP="009602A9">
      <w:pPr>
        <w:pStyle w:val="ListParagraph"/>
        <w:numPr>
          <w:ilvl w:val="0"/>
          <w:numId w:val="10"/>
        </w:numPr>
        <w:ind w:left="426"/>
        <w:jc w:val="left"/>
      </w:pPr>
      <w:r>
        <w:t>Overall, de-registrations decreased by 14% from 2014-15 (5,380) to 2015-16 (4,610).</w:t>
      </w:r>
      <w:r>
        <w:rPr>
          <w:rStyle w:val="FootnoteReference"/>
        </w:rPr>
        <w:footnoteReference w:id="15"/>
      </w:r>
      <w:r w:rsidR="008A1482">
        <w:t xml:space="preserve"> </w:t>
      </w:r>
      <w:r w:rsidR="00365E34">
        <w:t>Th</w:t>
      </w:r>
      <w:r>
        <w:t>is</w:t>
      </w:r>
      <w:r w:rsidR="00365E34">
        <w:t xml:space="preserve"> drop</w:t>
      </w:r>
      <w:r w:rsidR="0068152D">
        <w:t xml:space="preserve"> </w:t>
      </w:r>
      <w:r w:rsidR="00365E34">
        <w:t xml:space="preserve">could be partially explained by the fact that </w:t>
      </w:r>
      <w:r w:rsidR="002557DC">
        <w:t>a number of</w:t>
      </w:r>
      <w:r w:rsidR="00365E34">
        <w:t xml:space="preserve"> agencies did not report any de-registrations in 2015-16. </w:t>
      </w:r>
    </w:p>
    <w:p w14:paraId="368166E2" w14:textId="18D647E8" w:rsidR="00365E34" w:rsidRDefault="00365E34" w:rsidP="009602A9">
      <w:pPr>
        <w:pStyle w:val="ListParagraph"/>
        <w:numPr>
          <w:ilvl w:val="0"/>
          <w:numId w:val="10"/>
        </w:numPr>
        <w:ind w:left="426"/>
        <w:jc w:val="left"/>
      </w:pPr>
      <w:r>
        <w:t>There were 43 agencies (10% of all agencies) which</w:t>
      </w:r>
      <w:r w:rsidRPr="00365E34">
        <w:t xml:space="preserve"> did not report any de-registrations in </w:t>
      </w:r>
      <w:r>
        <w:t>20</w:t>
      </w:r>
      <w:r w:rsidRPr="00365E34">
        <w:t>15</w:t>
      </w:r>
      <w:r>
        <w:t>-16 but reported three</w:t>
      </w:r>
      <w:r w:rsidRPr="00365E34">
        <w:t xml:space="preserve"> or more de-registrations in </w:t>
      </w:r>
      <w:r>
        <w:t>20</w:t>
      </w:r>
      <w:r w:rsidRPr="00365E34">
        <w:t>14</w:t>
      </w:r>
      <w:r>
        <w:t>-</w:t>
      </w:r>
      <w:r w:rsidRPr="00365E34">
        <w:t>15</w:t>
      </w:r>
      <w:r>
        <w:t xml:space="preserve">; </w:t>
      </w:r>
      <w:r w:rsidRPr="00365E34">
        <w:t>these accounted for 2,555 of 40,560 (6%) approved long-term households.</w:t>
      </w:r>
    </w:p>
    <w:p w14:paraId="32BB9E00" w14:textId="03200C91" w:rsidR="00F502DF" w:rsidRDefault="00F502DF" w:rsidP="00F502DF">
      <w:pPr>
        <w:pStyle w:val="ListParagraph"/>
        <w:numPr>
          <w:ilvl w:val="0"/>
          <w:numId w:val="10"/>
        </w:numPr>
        <w:ind w:left="426"/>
        <w:jc w:val="left"/>
      </w:pPr>
      <w:r>
        <w:lastRenderedPageBreak/>
        <w:t xml:space="preserve">There was an equal split between the LA and IFA sector in terms of de-registrations of long-term fostering households in 2015-16. </w:t>
      </w:r>
      <w:r w:rsidR="009602A9">
        <w:t xml:space="preserve">However, within </w:t>
      </w:r>
      <w:r w:rsidR="000300AB">
        <w:t>short breaks-only</w:t>
      </w:r>
      <w:r>
        <w:t xml:space="preserve"> households, 90% of de-registrations were in </w:t>
      </w:r>
      <w:r w:rsidR="009602A9">
        <w:t xml:space="preserve">the </w:t>
      </w:r>
      <w:r>
        <w:t>LA sector.</w:t>
      </w:r>
    </w:p>
    <w:p w14:paraId="70DAC19E" w14:textId="77777777" w:rsidR="008A1482" w:rsidRDefault="00F502DF" w:rsidP="00F502DF">
      <w:pPr>
        <w:pStyle w:val="ListParagraph"/>
        <w:numPr>
          <w:ilvl w:val="0"/>
          <w:numId w:val="10"/>
        </w:numPr>
        <w:ind w:left="426"/>
        <w:jc w:val="left"/>
      </w:pPr>
      <w:r>
        <w:t>The majority of de-registrations (74%) were initiated by the foster carers themselves</w:t>
      </w:r>
      <w:r w:rsidR="009602A9">
        <w:t>; f</w:t>
      </w:r>
      <w:r>
        <w:t xml:space="preserve">or LAs the proportion at 82% remained in line with the previous year (83%). </w:t>
      </w:r>
    </w:p>
    <w:p w14:paraId="0FD825BE" w14:textId="10EC6AA1" w:rsidR="00F502DF" w:rsidRDefault="00F502DF" w:rsidP="00A71A23">
      <w:pPr>
        <w:pStyle w:val="ListParagraph"/>
        <w:numPr>
          <w:ilvl w:val="0"/>
          <w:numId w:val="10"/>
        </w:numPr>
        <w:ind w:left="426"/>
        <w:jc w:val="left"/>
      </w:pPr>
      <w:r>
        <w:t>Slightly more LA households de-registered to transfer to another fostering service (4% in 2015-16 in comparison with 3% in 2014-15).</w:t>
      </w:r>
      <w:r w:rsidR="00B64296" w:rsidRPr="00B64296">
        <w:t xml:space="preserve"> </w:t>
      </w:r>
      <w:r w:rsidR="00B64296">
        <w:t>Most of those moving to another service, though, were IFA carers</w:t>
      </w:r>
      <w:r w:rsidR="00CF11A8">
        <w:t xml:space="preserve"> (Chart 8)</w:t>
      </w:r>
      <w:r>
        <w:t>.</w:t>
      </w:r>
    </w:p>
    <w:p w14:paraId="722C92C8" w14:textId="77777777" w:rsidR="00F502DF" w:rsidRDefault="00F502DF" w:rsidP="00F502DF">
      <w:pPr>
        <w:jc w:val="left"/>
      </w:pPr>
    </w:p>
    <w:p w14:paraId="3307FBAB" w14:textId="16E21D9F" w:rsidR="00F502DF" w:rsidRPr="00D22DEB" w:rsidRDefault="00F502DF" w:rsidP="00382C32">
      <w:pPr>
        <w:pStyle w:val="Table"/>
      </w:pPr>
      <w:bookmarkStart w:id="67" w:name="_Toc475440566"/>
      <w:r w:rsidRPr="00D22DEB">
        <w:t xml:space="preserve">Chart </w:t>
      </w:r>
      <w:r w:rsidR="0035368F">
        <w:t>8</w:t>
      </w:r>
      <w:r w:rsidRPr="00D22DEB">
        <w:t xml:space="preserve">: De-registrations </w:t>
      </w:r>
      <w:r>
        <w:t xml:space="preserve">of long term and </w:t>
      </w:r>
      <w:r w:rsidR="000300AB">
        <w:t>short breaks-only</w:t>
      </w:r>
      <w:r>
        <w:t xml:space="preserve"> households </w:t>
      </w:r>
      <w:r w:rsidRPr="00D22DEB">
        <w:t>by reason and sector, 2015-16</w:t>
      </w:r>
      <w:bookmarkEnd w:id="67"/>
    </w:p>
    <w:p w14:paraId="544E9015" w14:textId="285C19D2" w:rsidR="00F502DF" w:rsidRDefault="00BC5C7F" w:rsidP="00F502DF">
      <w:r w:rsidRPr="00BC5C7F">
        <w:rPr>
          <w:noProof/>
        </w:rPr>
        <w:t xml:space="preserve"> </w:t>
      </w:r>
      <w:r>
        <w:rPr>
          <w:noProof/>
        </w:rPr>
        <w:drawing>
          <wp:inline distT="0" distB="0" distL="0" distR="0" wp14:anchorId="3BB94CDF" wp14:editId="7BFCF423">
            <wp:extent cx="3906325" cy="1790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41827" cy="1806974"/>
                    </a:xfrm>
                    <a:prstGeom prst="rect">
                      <a:avLst/>
                    </a:prstGeom>
                  </pic:spPr>
                </pic:pic>
              </a:graphicData>
            </a:graphic>
          </wp:inline>
        </w:drawing>
      </w:r>
    </w:p>
    <w:p w14:paraId="0646E03D" w14:textId="77777777" w:rsidR="006C351E" w:rsidRDefault="006C351E" w:rsidP="00F502DF"/>
    <w:p w14:paraId="7380B515" w14:textId="05A89EF2" w:rsidR="00F502DF" w:rsidRPr="00844D1E" w:rsidRDefault="00F502DF" w:rsidP="00B6554D">
      <w:pPr>
        <w:pStyle w:val="Heading3"/>
      </w:pPr>
      <w:bookmarkStart w:id="68" w:name="_Toc470097331"/>
      <w:bookmarkStart w:id="69" w:name="_Toc474760684"/>
      <w:r w:rsidRPr="00D04264">
        <w:t>Retention</w:t>
      </w:r>
      <w:bookmarkEnd w:id="68"/>
      <w:bookmarkEnd w:id="69"/>
    </w:p>
    <w:p w14:paraId="2BAFEB07" w14:textId="20003A14" w:rsidR="00F502DF" w:rsidRDefault="00F502DF" w:rsidP="00136668">
      <w:pPr>
        <w:pStyle w:val="ListParagraph"/>
        <w:numPr>
          <w:ilvl w:val="0"/>
          <w:numId w:val="36"/>
        </w:numPr>
        <w:ind w:left="426" w:hanging="426"/>
        <w:jc w:val="left"/>
      </w:pPr>
      <w:r w:rsidRPr="00D04264">
        <w:t xml:space="preserve">Short breaks households were approved for the longest period on </w:t>
      </w:r>
      <w:r>
        <w:t>average before de-registration (</w:t>
      </w:r>
      <w:r w:rsidRPr="00D04264">
        <w:t>7.7 years</w:t>
      </w:r>
      <w:r>
        <w:t>), followed by</w:t>
      </w:r>
      <w:r w:rsidRPr="00D04264">
        <w:t xml:space="preserve"> </w:t>
      </w:r>
      <w:r>
        <w:t>long-term</w:t>
      </w:r>
      <w:r w:rsidRPr="00D04264">
        <w:t xml:space="preserve"> </w:t>
      </w:r>
      <w:r>
        <w:t>fostering households (</w:t>
      </w:r>
      <w:r w:rsidRPr="00D04264">
        <w:t>5.</w:t>
      </w:r>
      <w:r>
        <w:t>9</w:t>
      </w:r>
      <w:r w:rsidRPr="00D04264">
        <w:t xml:space="preserve"> years</w:t>
      </w:r>
      <w:r>
        <w:t>)</w:t>
      </w:r>
      <w:r w:rsidRPr="00D04264">
        <w:t>,</w:t>
      </w:r>
      <w:r>
        <w:t xml:space="preserve"> and</w:t>
      </w:r>
      <w:r w:rsidRPr="00D04264">
        <w:t xml:space="preserve"> </w:t>
      </w:r>
      <w:r>
        <w:t>f</w:t>
      </w:r>
      <w:r w:rsidRPr="00D04264">
        <w:t>amily and friends and connected pe</w:t>
      </w:r>
      <w:r>
        <w:t>ople households (</w:t>
      </w:r>
      <w:r w:rsidRPr="00D04264">
        <w:t>1.7 years)</w:t>
      </w:r>
      <w:r>
        <w:t>.</w:t>
      </w:r>
      <w:r w:rsidR="008D26DC">
        <w:t xml:space="preserve"> This </w:t>
      </w:r>
      <w:r w:rsidR="00E87060">
        <w:t>is likely due to</w:t>
      </w:r>
      <w:r w:rsidR="00BC5C7F">
        <w:t xml:space="preserve"> family and friends and connected people households </w:t>
      </w:r>
      <w:r w:rsidR="00E87060">
        <w:t xml:space="preserve">being approved to </w:t>
      </w:r>
      <w:r w:rsidR="00BC5C7F">
        <w:t>look after the specific child they know for a short period of time.</w:t>
      </w:r>
      <w:r w:rsidR="00CF11A8">
        <w:t xml:space="preserve"> (Chart 9)</w:t>
      </w:r>
    </w:p>
    <w:p w14:paraId="16D843E3" w14:textId="77777777" w:rsidR="00F502DF" w:rsidRDefault="00F502DF" w:rsidP="00F502DF"/>
    <w:p w14:paraId="01B114DD" w14:textId="52BFB455" w:rsidR="00F502DF" w:rsidRDefault="00F502DF" w:rsidP="00F502DF">
      <w:pPr>
        <w:pStyle w:val="Table"/>
      </w:pPr>
      <w:bookmarkStart w:id="70" w:name="_Toc472088372"/>
      <w:bookmarkStart w:id="71" w:name="_Toc475440567"/>
      <w:r w:rsidRPr="00ED7A16">
        <w:t xml:space="preserve">Chart </w:t>
      </w:r>
      <w:r w:rsidR="00CF11A8">
        <w:t>9</w:t>
      </w:r>
      <w:r w:rsidRPr="00ED7A16">
        <w:t xml:space="preserve">: </w:t>
      </w:r>
      <w:r>
        <w:t>The aggregated period of service before de-registration in 2015-16 by</w:t>
      </w:r>
      <w:r w:rsidR="0068152D">
        <w:t xml:space="preserve"> </w:t>
      </w:r>
      <w:r>
        <w:t>household type</w:t>
      </w:r>
      <w:bookmarkEnd w:id="70"/>
      <w:bookmarkEnd w:id="71"/>
    </w:p>
    <w:p w14:paraId="446AE276" w14:textId="58C35B82" w:rsidR="00F502DF" w:rsidRPr="00AB6709" w:rsidRDefault="00A335FB" w:rsidP="00F502DF">
      <w:pPr>
        <w:pStyle w:val="ListParagraph"/>
        <w:ind w:left="0" w:hanging="11"/>
        <w:rPr>
          <w:b/>
        </w:rPr>
      </w:pPr>
      <w:bookmarkStart w:id="72" w:name="_Toc470097332"/>
      <w:r>
        <w:rPr>
          <w:noProof/>
        </w:rPr>
        <w:drawing>
          <wp:inline distT="0" distB="0" distL="0" distR="0" wp14:anchorId="7ECC9643" wp14:editId="7F0EEA01">
            <wp:extent cx="3687416" cy="2019300"/>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06930" cy="2029986"/>
                    </a:xfrm>
                    <a:prstGeom prst="rect">
                      <a:avLst/>
                    </a:prstGeom>
                  </pic:spPr>
                </pic:pic>
              </a:graphicData>
            </a:graphic>
          </wp:inline>
        </w:drawing>
      </w:r>
    </w:p>
    <w:p w14:paraId="5B70AB5A" w14:textId="77777777" w:rsidR="00F502DF" w:rsidRPr="00B3711F" w:rsidRDefault="00F502DF" w:rsidP="00F502DF">
      <w:pPr>
        <w:pStyle w:val="Heading1"/>
        <w:rPr>
          <w:sz w:val="28"/>
          <w:szCs w:val="28"/>
        </w:rPr>
      </w:pPr>
      <w:bookmarkStart w:id="73" w:name="_Toc474760685"/>
      <w:r w:rsidRPr="00B3711F">
        <w:rPr>
          <w:sz w:val="28"/>
          <w:szCs w:val="28"/>
        </w:rPr>
        <w:lastRenderedPageBreak/>
        <w:t xml:space="preserve">Family and </w:t>
      </w:r>
      <w:r>
        <w:rPr>
          <w:sz w:val="28"/>
          <w:szCs w:val="28"/>
        </w:rPr>
        <w:t>f</w:t>
      </w:r>
      <w:r w:rsidRPr="00B3711F">
        <w:rPr>
          <w:sz w:val="28"/>
          <w:szCs w:val="28"/>
        </w:rPr>
        <w:t xml:space="preserve">riends/ </w:t>
      </w:r>
      <w:r>
        <w:rPr>
          <w:sz w:val="28"/>
          <w:szCs w:val="28"/>
        </w:rPr>
        <w:t>t</w:t>
      </w:r>
      <w:r w:rsidRPr="00B3711F">
        <w:rPr>
          <w:sz w:val="28"/>
          <w:szCs w:val="28"/>
        </w:rPr>
        <w:t>emporarily approved connected people</w:t>
      </w:r>
      <w:bookmarkEnd w:id="72"/>
      <w:bookmarkEnd w:id="73"/>
      <w:r w:rsidRPr="00B3711F">
        <w:rPr>
          <w:sz w:val="28"/>
          <w:szCs w:val="28"/>
        </w:rPr>
        <w:t xml:space="preserve"> </w:t>
      </w:r>
    </w:p>
    <w:p w14:paraId="0C6A8619" w14:textId="3EA9C537" w:rsidR="00F502DF" w:rsidRDefault="00F502DF" w:rsidP="00F502DF">
      <w:pPr>
        <w:pStyle w:val="ListParagraph"/>
        <w:numPr>
          <w:ilvl w:val="0"/>
          <w:numId w:val="5"/>
        </w:numPr>
        <w:ind w:left="426"/>
        <w:jc w:val="left"/>
      </w:pPr>
      <w:r>
        <w:t>The agencies reported there were 5,985 family and friends and connected people households</w:t>
      </w:r>
      <w:r w:rsidRPr="0088088E">
        <w:t xml:space="preserve"> </w:t>
      </w:r>
      <w:r>
        <w:t>as at 31 March 2016, an increase of 4% from 5,735 on 31 March 2015. These households made up 13% of all active fostering households as at 31 March 2016.</w:t>
      </w:r>
      <w:r w:rsidR="003C1A5A">
        <w:t xml:space="preserve"> The</w:t>
      </w:r>
      <w:r w:rsidR="00BC5C7F">
        <w:t xml:space="preserve"> increase in the number of </w:t>
      </w:r>
      <w:r w:rsidR="003C1A5A">
        <w:t xml:space="preserve">family and friends </w:t>
      </w:r>
      <w:r w:rsidR="00CA16D9">
        <w:t>households could</w:t>
      </w:r>
      <w:r w:rsidR="008A1482">
        <w:t xml:space="preserve"> possibly</w:t>
      </w:r>
      <w:r w:rsidR="00CA16D9">
        <w:t xml:space="preserve"> be </w:t>
      </w:r>
      <w:r w:rsidR="003C1A5A">
        <w:t>linked to</w:t>
      </w:r>
      <w:r w:rsidR="00BF4498">
        <w:t xml:space="preserve"> LA</w:t>
      </w:r>
      <w:r w:rsidR="00CA16D9">
        <w:t>s</w:t>
      </w:r>
      <w:r w:rsidR="00BF4498">
        <w:t xml:space="preserve"> trying to reduce the cost of</w:t>
      </w:r>
      <w:r w:rsidR="003C1A5A">
        <w:t xml:space="preserve"> in house fostering</w:t>
      </w:r>
      <w:r w:rsidR="00CA16D9">
        <w:t>.</w:t>
      </w:r>
    </w:p>
    <w:p w14:paraId="6DA71DDC" w14:textId="0FCB106F" w:rsidR="00F502DF" w:rsidRDefault="00F502DF" w:rsidP="00F502DF">
      <w:pPr>
        <w:pStyle w:val="ListParagraph"/>
        <w:numPr>
          <w:ilvl w:val="0"/>
          <w:numId w:val="11"/>
        </w:numPr>
        <w:ind w:left="426"/>
        <w:jc w:val="left"/>
      </w:pPr>
      <w:r>
        <w:t xml:space="preserve">Family and friends and connected people households were made up of 9,525 foster carers. 85% of carers were White and 10% were from minority ethnic groups. </w:t>
      </w:r>
    </w:p>
    <w:p w14:paraId="1F080ED6" w14:textId="07F01177" w:rsidR="00F502DF" w:rsidRPr="00855666" w:rsidRDefault="00F502DF" w:rsidP="00CA16D9">
      <w:pPr>
        <w:pStyle w:val="ListParagraph"/>
        <w:numPr>
          <w:ilvl w:val="0"/>
          <w:numId w:val="11"/>
        </w:numPr>
        <w:ind w:left="426"/>
        <w:jc w:val="left"/>
        <w:rPr>
          <w:lang w:eastAsia="en-US"/>
        </w:rPr>
      </w:pPr>
      <w:r>
        <w:t>The agencies reported 3,325 households approved in 2015-16, an increase of 42% on 2014-15 when 2,335 family and friends and connected people households were approved.</w:t>
      </w:r>
      <w:r>
        <w:rPr>
          <w:rStyle w:val="FootnoteReference"/>
        </w:rPr>
        <w:footnoteReference w:id="16"/>
      </w:r>
      <w:r>
        <w:rPr>
          <w:lang w:eastAsia="en-US"/>
        </w:rPr>
        <w:t xml:space="preserve"> </w:t>
      </w:r>
    </w:p>
    <w:p w14:paraId="132DF6F2" w14:textId="77777777" w:rsidR="00F502DF" w:rsidRDefault="00F502DF" w:rsidP="00F502DF"/>
    <w:p w14:paraId="6567552A" w14:textId="77777777" w:rsidR="00F502DF" w:rsidRPr="0071248F" w:rsidRDefault="00F502DF" w:rsidP="00F502DF">
      <w:pPr>
        <w:pStyle w:val="Heading2"/>
      </w:pPr>
      <w:bookmarkStart w:id="74" w:name="_Toc470097333"/>
      <w:bookmarkStart w:id="75" w:name="_Toc474760686"/>
      <w:r w:rsidRPr="0071248F">
        <w:t xml:space="preserve">Short breaks </w:t>
      </w:r>
      <w:r>
        <w:t>households</w:t>
      </w:r>
      <w:bookmarkEnd w:id="74"/>
      <w:bookmarkEnd w:id="75"/>
    </w:p>
    <w:p w14:paraId="483B0F63" w14:textId="5D5E1090" w:rsidR="00F502DF" w:rsidRDefault="00F502DF" w:rsidP="00F502DF">
      <w:pPr>
        <w:pStyle w:val="ListParagraph"/>
        <w:numPr>
          <w:ilvl w:val="0"/>
          <w:numId w:val="12"/>
        </w:numPr>
        <w:ind w:left="426"/>
        <w:jc w:val="left"/>
      </w:pPr>
      <w:r>
        <w:t xml:space="preserve">The agencies reported 1,850 households which were approved to provide short breaks </w:t>
      </w:r>
      <w:r w:rsidR="009769B6">
        <w:t xml:space="preserve">only, </w:t>
      </w:r>
      <w:r>
        <w:t>as at 31 March 2016</w:t>
      </w:r>
      <w:r w:rsidR="009769B6">
        <w:t xml:space="preserve">, </w:t>
      </w:r>
      <w:r>
        <w:t xml:space="preserve">a decrease from last year </w:t>
      </w:r>
      <w:r w:rsidR="009769B6">
        <w:t>(</w:t>
      </w:r>
      <w:r>
        <w:t>2,000</w:t>
      </w:r>
      <w:r w:rsidR="009769B6">
        <w:t>)</w:t>
      </w:r>
      <w:r>
        <w:t>.</w:t>
      </w:r>
      <w:r>
        <w:rPr>
          <w:rStyle w:val="FootnoteReference"/>
        </w:rPr>
        <w:footnoteReference w:id="17"/>
      </w:r>
    </w:p>
    <w:p w14:paraId="4D5E5C07" w14:textId="77777777" w:rsidR="009769B6" w:rsidRDefault="009769B6" w:rsidP="009769B6">
      <w:pPr>
        <w:pStyle w:val="ListParagraph"/>
        <w:numPr>
          <w:ilvl w:val="0"/>
          <w:numId w:val="12"/>
        </w:numPr>
        <w:ind w:left="426"/>
        <w:jc w:val="left"/>
      </w:pPr>
      <w:r>
        <w:t>The majority of short breaks households (89% or 1,655) were in the LA sector with only 11% (195) in IFAs; a small change from the last year when 13% of short breaks households were registered with IFAs.</w:t>
      </w:r>
    </w:p>
    <w:p w14:paraId="1CCA2EB8" w14:textId="77777777" w:rsidR="00F502DF" w:rsidRDefault="00F502DF" w:rsidP="00F502DF">
      <w:pPr>
        <w:pStyle w:val="ListParagraph"/>
        <w:numPr>
          <w:ilvl w:val="0"/>
          <w:numId w:val="12"/>
        </w:numPr>
        <w:ind w:left="426"/>
        <w:jc w:val="left"/>
      </w:pPr>
      <w:r>
        <w:t>The number of short breaks carers decreased from 3,020 in 2015 to 2,795 in 2016. The number of short breaks carers in IFAs continued to decrease from 395 in 2015 to 295 in 2016 and there were fewer short breaks carers working for LA agencies (2,500), a decrease of 5% on the previous year.</w:t>
      </w:r>
    </w:p>
    <w:p w14:paraId="3580A9DD" w14:textId="625C7B33" w:rsidR="00F502DF" w:rsidRDefault="00F502DF" w:rsidP="00F502DF">
      <w:pPr>
        <w:pStyle w:val="ListParagraph"/>
        <w:numPr>
          <w:ilvl w:val="0"/>
          <w:numId w:val="12"/>
        </w:numPr>
        <w:ind w:left="426"/>
        <w:jc w:val="left"/>
      </w:pPr>
      <w:r w:rsidRPr="00855666">
        <w:t xml:space="preserve">LA </w:t>
      </w:r>
      <w:r w:rsidR="000300AB">
        <w:t>short breaks-only</w:t>
      </w:r>
      <w:r w:rsidRPr="00855666">
        <w:t xml:space="preserve"> households made up 6% of all LA households while IFA </w:t>
      </w:r>
      <w:r w:rsidR="000300AB">
        <w:t>short breaks-only</w:t>
      </w:r>
      <w:r>
        <w:t xml:space="preserve"> </w:t>
      </w:r>
      <w:r w:rsidRPr="00855666">
        <w:t xml:space="preserve">households constituted only </w:t>
      </w:r>
      <w:r>
        <w:t>1</w:t>
      </w:r>
      <w:r w:rsidRPr="00855666">
        <w:t>% of all IFA households.</w:t>
      </w:r>
    </w:p>
    <w:p w14:paraId="24015E8D" w14:textId="25822688" w:rsidR="00F502DF" w:rsidRDefault="00F502DF" w:rsidP="00F502DF">
      <w:pPr>
        <w:pStyle w:val="ListParagraph"/>
        <w:numPr>
          <w:ilvl w:val="0"/>
          <w:numId w:val="12"/>
        </w:numPr>
        <w:ind w:left="426"/>
        <w:jc w:val="left"/>
      </w:pPr>
      <w:r w:rsidRPr="00F502DF">
        <w:t xml:space="preserve">Of the </w:t>
      </w:r>
      <w:r w:rsidR="000300AB">
        <w:t>short breaks-only</w:t>
      </w:r>
      <w:r w:rsidRPr="00F502DF">
        <w:t xml:space="preserve"> foster carers 91%</w:t>
      </w:r>
      <w:r>
        <w:t xml:space="preserve"> were White and 8% were from minority ethnic groups. </w:t>
      </w:r>
      <w:r>
        <w:rPr>
          <w:lang w:eastAsia="en-US"/>
        </w:rPr>
        <w:t>Of newly approved carers in 2015-16 93% were White and 5% were from minority ethnic groups.</w:t>
      </w:r>
    </w:p>
    <w:p w14:paraId="639503D6" w14:textId="77777777" w:rsidR="00F502DF" w:rsidRDefault="00F502DF" w:rsidP="00F502DF">
      <w:pPr>
        <w:jc w:val="left"/>
      </w:pPr>
    </w:p>
    <w:p w14:paraId="6713D22F" w14:textId="017D8E58" w:rsidR="00CA37DE" w:rsidRDefault="00CA37DE">
      <w:pPr>
        <w:jc w:val="left"/>
        <w:rPr>
          <w:b/>
          <w:sz w:val="28"/>
        </w:rPr>
      </w:pPr>
      <w:bookmarkStart w:id="76" w:name="_Toc408930044"/>
      <w:bookmarkEnd w:id="3"/>
    </w:p>
    <w:p w14:paraId="2F5AFB65" w14:textId="77777777" w:rsidR="00311B08" w:rsidRDefault="00311B08">
      <w:pPr>
        <w:jc w:val="left"/>
        <w:rPr>
          <w:b/>
          <w:sz w:val="28"/>
        </w:rPr>
      </w:pPr>
      <w:bookmarkStart w:id="77" w:name="_Toc474760687"/>
      <w:r>
        <w:br w:type="page"/>
      </w:r>
    </w:p>
    <w:p w14:paraId="67CF1804" w14:textId="73AC2D83" w:rsidR="00A206DE" w:rsidRPr="00A206DE" w:rsidRDefault="00A206DE" w:rsidP="00A206DE">
      <w:pPr>
        <w:pStyle w:val="Heading2"/>
      </w:pPr>
      <w:r w:rsidRPr="00A206DE">
        <w:lastRenderedPageBreak/>
        <w:t>Children and young people</w:t>
      </w:r>
      <w:bookmarkEnd w:id="76"/>
      <w:bookmarkEnd w:id="77"/>
    </w:p>
    <w:p w14:paraId="0ED933C3" w14:textId="3BE72549" w:rsidR="00D35327" w:rsidRDefault="00D35327" w:rsidP="003224A7">
      <w:pPr>
        <w:jc w:val="left"/>
      </w:pPr>
      <w:bookmarkStart w:id="78" w:name="_Toc408930045"/>
      <w:r>
        <w:t>As a child in foster care, you were more likely to be placed with a local authority</w:t>
      </w:r>
      <w:r w:rsidR="00CA1B2B">
        <w:t xml:space="preserve"> than with an </w:t>
      </w:r>
      <w:r w:rsidR="001E2175">
        <w:t>independent fostering agency (IFA)</w:t>
      </w:r>
      <w:r>
        <w:t>.</w:t>
      </w:r>
      <w:r w:rsidR="00F00B5B">
        <w:t xml:space="preserve"> Although the ethnicity breakdown of fostered children is very similar to the breakdown for all children in England, children from minority ethnic groups made up a slightly bigger percentage of fostered children than of all children. In 2015-16, </w:t>
      </w:r>
      <w:r w:rsidR="00311B08">
        <w:t>a greater proportion of fostered children were disabled</w:t>
      </w:r>
      <w:r w:rsidR="00F00B5B">
        <w:t xml:space="preserve"> than in any previous year of the collection.</w:t>
      </w:r>
    </w:p>
    <w:p w14:paraId="3DA37F4E" w14:textId="2AF95032" w:rsidR="00D35327" w:rsidRDefault="00D35327" w:rsidP="003224A7">
      <w:pPr>
        <w:jc w:val="left"/>
      </w:pPr>
    </w:p>
    <w:p w14:paraId="4457A768" w14:textId="77777777" w:rsidR="00A206DE" w:rsidRPr="00A206DE" w:rsidRDefault="00A206DE" w:rsidP="00A206DE">
      <w:pPr>
        <w:pStyle w:val="Heading3"/>
      </w:pPr>
      <w:bookmarkStart w:id="79" w:name="_Toc474760688"/>
      <w:r w:rsidRPr="00A206DE">
        <w:t>Number of children fostered</w:t>
      </w:r>
      <w:bookmarkEnd w:id="78"/>
      <w:r w:rsidR="00EA1971">
        <w:rPr>
          <w:rStyle w:val="FootnoteReference"/>
        </w:rPr>
        <w:footnoteReference w:id="18"/>
      </w:r>
      <w:bookmarkEnd w:id="79"/>
    </w:p>
    <w:p w14:paraId="71BE12FA" w14:textId="1904C772" w:rsidR="00FD1CAA" w:rsidRPr="00FD1CAA" w:rsidRDefault="003E372B" w:rsidP="00EA1971">
      <w:pPr>
        <w:pStyle w:val="ListParagraph"/>
        <w:numPr>
          <w:ilvl w:val="0"/>
          <w:numId w:val="15"/>
        </w:numPr>
        <w:ind w:left="425" w:hanging="357"/>
        <w:jc w:val="left"/>
        <w:rPr>
          <w:rFonts w:cs="Tahoma"/>
          <w:sz w:val="22"/>
          <w:szCs w:val="22"/>
        </w:rPr>
      </w:pPr>
      <w:r>
        <w:t>In total, agencies reported 51,805 children and young people in placement on 31 March 2016</w:t>
      </w:r>
      <w:r w:rsidR="005A7F89">
        <w:t xml:space="preserve">; </w:t>
      </w:r>
      <w:r w:rsidR="00CA1B2B">
        <w:t xml:space="preserve">very similar to </w:t>
      </w:r>
      <w:proofErr w:type="gramStart"/>
      <w:r w:rsidR="005A7F89">
        <w:t>2015</w:t>
      </w:r>
      <w:r>
        <w:t>.</w:t>
      </w:r>
      <w:r w:rsidR="009C1E09">
        <w:rPr>
          <w:rStyle w:val="FootnoteReference"/>
        </w:rPr>
        <w:footnoteReference w:id="19"/>
      </w:r>
      <w:r w:rsidR="009C1E09" w:rsidRPr="00BE0CE2">
        <w:rPr>
          <w:vertAlign w:val="superscript"/>
        </w:rPr>
        <w:t>,</w:t>
      </w:r>
      <w:proofErr w:type="gramEnd"/>
      <w:r w:rsidR="005A7F89">
        <w:rPr>
          <w:rStyle w:val="FootnoteReference"/>
        </w:rPr>
        <w:footnoteReference w:id="20"/>
      </w:r>
      <w:r>
        <w:t xml:space="preserve"> </w:t>
      </w:r>
    </w:p>
    <w:p w14:paraId="23EAE4A0" w14:textId="72FF5C9B" w:rsidR="00A206DE" w:rsidRPr="00FD1CAA" w:rsidRDefault="003E372B" w:rsidP="00EA1971">
      <w:pPr>
        <w:pStyle w:val="ListParagraph"/>
        <w:numPr>
          <w:ilvl w:val="0"/>
          <w:numId w:val="15"/>
        </w:numPr>
        <w:ind w:left="425" w:hanging="357"/>
        <w:jc w:val="left"/>
        <w:rPr>
          <w:rFonts w:cs="Tahoma"/>
          <w:sz w:val="22"/>
          <w:szCs w:val="22"/>
        </w:rPr>
      </w:pPr>
      <w:r>
        <w:t xml:space="preserve">Two thirds of these were </w:t>
      </w:r>
      <w:r w:rsidR="004E6C9D">
        <w:t xml:space="preserve">in </w:t>
      </w:r>
      <w:r>
        <w:t>LA</w:t>
      </w:r>
      <w:r w:rsidR="004E6C9D">
        <w:t xml:space="preserve"> </w:t>
      </w:r>
      <w:r>
        <w:t xml:space="preserve">fostering </w:t>
      </w:r>
      <w:r w:rsidR="004E6C9D">
        <w:t>places</w:t>
      </w:r>
      <w:r w:rsidR="00975355">
        <w:t xml:space="preserve"> (34,395)</w:t>
      </w:r>
      <w:r>
        <w:t xml:space="preserve">, and the remainder </w:t>
      </w:r>
      <w:r w:rsidR="00975355">
        <w:t xml:space="preserve">(17,410) </w:t>
      </w:r>
      <w:r w:rsidR="004E6C9D">
        <w:t xml:space="preserve">were placed </w:t>
      </w:r>
      <w:r>
        <w:t>through independent fostering agencies</w:t>
      </w:r>
      <w:r w:rsidR="004E6C9D">
        <w:t xml:space="preserve">, </w:t>
      </w:r>
      <w:r w:rsidR="005A7F89">
        <w:t>in line with 2015.</w:t>
      </w:r>
    </w:p>
    <w:p w14:paraId="0873454F" w14:textId="77777777" w:rsidR="00391674" w:rsidRDefault="00391674" w:rsidP="00A206DE">
      <w:pPr>
        <w:pStyle w:val="Heading3"/>
      </w:pPr>
      <w:bookmarkStart w:id="80" w:name="_Toc408930046"/>
    </w:p>
    <w:p w14:paraId="28550406" w14:textId="77777777" w:rsidR="00A206DE" w:rsidRPr="00837DCC" w:rsidRDefault="00A206DE" w:rsidP="00A206DE">
      <w:pPr>
        <w:pStyle w:val="Heading3"/>
      </w:pPr>
      <w:bookmarkStart w:id="81" w:name="_Toc474760689"/>
      <w:r w:rsidRPr="00837DCC">
        <w:t>Characteristics of children</w:t>
      </w:r>
      <w:bookmarkEnd w:id="80"/>
      <w:bookmarkEnd w:id="81"/>
    </w:p>
    <w:p w14:paraId="608833DE" w14:textId="77777777" w:rsidR="00A206DE" w:rsidRPr="00533647" w:rsidRDefault="00A206DE" w:rsidP="00607865">
      <w:pPr>
        <w:pStyle w:val="Heading4"/>
        <w:spacing w:after="0"/>
        <w:ind w:left="425" w:hanging="425"/>
        <w:jc w:val="left"/>
        <w:rPr>
          <w:b w:val="0"/>
          <w:u w:val="single"/>
        </w:rPr>
      </w:pPr>
      <w:r w:rsidRPr="00533647">
        <w:rPr>
          <w:b w:val="0"/>
          <w:u w:val="single"/>
        </w:rPr>
        <w:t>Ethnicity</w:t>
      </w:r>
    </w:p>
    <w:p w14:paraId="643AB5BF" w14:textId="04E2CE2A" w:rsidR="00975355" w:rsidRDefault="003E372B" w:rsidP="00607865">
      <w:pPr>
        <w:pStyle w:val="ListParagraph"/>
        <w:numPr>
          <w:ilvl w:val="0"/>
          <w:numId w:val="35"/>
        </w:numPr>
        <w:ind w:left="426"/>
        <w:jc w:val="left"/>
      </w:pPr>
      <w:r>
        <w:t xml:space="preserve">Around </w:t>
      </w:r>
      <w:r w:rsidR="00DE75C1">
        <w:t>77</w:t>
      </w:r>
      <w:r>
        <w:t xml:space="preserve">% of fostered children were White, with </w:t>
      </w:r>
      <w:r w:rsidR="00CA37DE">
        <w:t>22</w:t>
      </w:r>
      <w:r>
        <w:t xml:space="preserve">% of children </w:t>
      </w:r>
      <w:r w:rsidR="00602CA4">
        <w:t>belonging to minority ethnic groups</w:t>
      </w:r>
      <w:r w:rsidR="00DE75C1">
        <w:t>; again, this was in line with 20</w:t>
      </w:r>
      <w:r w:rsidR="00607865">
        <w:t>1</w:t>
      </w:r>
      <w:r w:rsidR="00DE75C1">
        <w:t>5</w:t>
      </w:r>
      <w:r>
        <w:t>.</w:t>
      </w:r>
    </w:p>
    <w:p w14:paraId="3B5B4205" w14:textId="6D86672D" w:rsidR="003E372B" w:rsidRPr="003E372B" w:rsidRDefault="00311B08" w:rsidP="00311B08">
      <w:pPr>
        <w:pStyle w:val="ListParagraph"/>
        <w:numPr>
          <w:ilvl w:val="0"/>
          <w:numId w:val="35"/>
        </w:numPr>
        <w:ind w:left="426"/>
        <w:jc w:val="left"/>
      </w:pPr>
      <w:r>
        <w:t xml:space="preserve">Children from minority ethnic groups were therefore slightly under-represented compared to the </w:t>
      </w:r>
      <w:proofErr w:type="spellStart"/>
      <w:r>
        <w:t>DfE’s</w:t>
      </w:r>
      <w:proofErr w:type="spellEnd"/>
      <w:r>
        <w:t xml:space="preserve"> figures for all children looked after (24% of whom are from minority ethnic groups), and very slightly over-represented compared to </w:t>
      </w:r>
      <w:r>
        <w:lastRenderedPageBreak/>
        <w:t>the national figures</w:t>
      </w:r>
      <w:r w:rsidR="003E372B">
        <w:t xml:space="preserve"> (according to the 2011 census, </w:t>
      </w:r>
      <w:r w:rsidR="009C1E09">
        <w:t>21</w:t>
      </w:r>
      <w:r w:rsidR="003E372B">
        <w:t>% of</w:t>
      </w:r>
      <w:r w:rsidR="005429B9">
        <w:t xml:space="preserve"> </w:t>
      </w:r>
      <w:r w:rsidR="003E372B">
        <w:t xml:space="preserve">children in England are </w:t>
      </w:r>
      <w:r w:rsidR="00DE75C1">
        <w:t>from minority ethnic groups</w:t>
      </w:r>
      <w:r w:rsidR="003E372B">
        <w:t>)</w:t>
      </w:r>
      <w:proofErr w:type="gramStart"/>
      <w:r w:rsidR="00BD57D5">
        <w:t>.</w:t>
      </w:r>
      <w:r w:rsidR="00F552C9" w:rsidRPr="00607865">
        <w:rPr>
          <w:rStyle w:val="FootnoteReference"/>
        </w:rPr>
        <w:footnoteReference w:id="21"/>
      </w:r>
      <w:r w:rsidR="00BD57D5" w:rsidRPr="00AC034C">
        <w:rPr>
          <w:vertAlign w:val="superscript"/>
        </w:rPr>
        <w:t>,</w:t>
      </w:r>
      <w:r w:rsidR="00BD57D5" w:rsidRPr="00607865">
        <w:rPr>
          <w:rStyle w:val="FootnoteReference"/>
        </w:rPr>
        <w:footnoteReference w:id="22"/>
      </w:r>
      <w:r w:rsidR="003D7E13">
        <w:rPr>
          <w:vertAlign w:val="superscript"/>
        </w:rPr>
        <w:t>,</w:t>
      </w:r>
      <w:proofErr w:type="gramEnd"/>
      <w:r w:rsidR="003D7E13">
        <w:rPr>
          <w:rStyle w:val="FootnoteReference"/>
        </w:rPr>
        <w:footnoteReference w:id="23"/>
      </w:r>
    </w:p>
    <w:p w14:paraId="5DEFC260" w14:textId="77777777" w:rsidR="003D7E13" w:rsidRDefault="003D7E13" w:rsidP="001747C9">
      <w:pPr>
        <w:pStyle w:val="Heading4"/>
        <w:spacing w:after="0"/>
        <w:rPr>
          <w:b w:val="0"/>
          <w:u w:val="single"/>
        </w:rPr>
      </w:pPr>
    </w:p>
    <w:p w14:paraId="2A531B0B" w14:textId="77777777" w:rsidR="00A206DE" w:rsidRDefault="007F1B4E" w:rsidP="001747C9">
      <w:pPr>
        <w:pStyle w:val="Heading4"/>
        <w:spacing w:after="0"/>
        <w:rPr>
          <w:b w:val="0"/>
          <w:u w:val="single"/>
        </w:rPr>
      </w:pPr>
      <w:r>
        <w:rPr>
          <w:b w:val="0"/>
          <w:u w:val="single"/>
        </w:rPr>
        <w:t>D</w:t>
      </w:r>
      <w:r w:rsidR="00A206DE" w:rsidRPr="003C41EE">
        <w:rPr>
          <w:b w:val="0"/>
          <w:u w:val="single"/>
        </w:rPr>
        <w:t>isability</w:t>
      </w:r>
    </w:p>
    <w:p w14:paraId="514143D2" w14:textId="0C0BCD8B" w:rsidR="00FF3210" w:rsidRDefault="003E372B" w:rsidP="001747C9">
      <w:pPr>
        <w:pStyle w:val="ListParagraph"/>
        <w:numPr>
          <w:ilvl w:val="0"/>
          <w:numId w:val="17"/>
        </w:numPr>
        <w:ind w:left="426"/>
        <w:jc w:val="left"/>
      </w:pPr>
      <w:r>
        <w:t xml:space="preserve">Just under 10% of </w:t>
      </w:r>
      <w:r w:rsidR="00A8268B">
        <w:t xml:space="preserve">children </w:t>
      </w:r>
      <w:r>
        <w:t>were reported to be disabled</w:t>
      </w:r>
      <w:r w:rsidR="00D60FE7">
        <w:t xml:space="preserve"> (</w:t>
      </w:r>
      <w:r w:rsidR="00975355">
        <w:t>4,855</w:t>
      </w:r>
      <w:r w:rsidR="00DE75C1">
        <w:t xml:space="preserve"> children</w:t>
      </w:r>
      <w:r w:rsidR="00D60FE7">
        <w:t>)</w:t>
      </w:r>
      <w:r w:rsidR="00975355">
        <w:t>.</w:t>
      </w:r>
      <w:r w:rsidR="00F80E76">
        <w:t xml:space="preserve"> </w:t>
      </w:r>
      <w:r w:rsidR="00652F01">
        <w:t>Although t</w:t>
      </w:r>
      <w:r w:rsidR="00F80E76">
        <w:t>his was a</w:t>
      </w:r>
      <w:r w:rsidR="00652F01">
        <w:t xml:space="preserve"> small </w:t>
      </w:r>
      <w:r w:rsidR="00DE75C1">
        <w:t>(three</w:t>
      </w:r>
      <w:r w:rsidR="00F80E76">
        <w:t xml:space="preserve"> percentage point</w:t>
      </w:r>
      <w:r w:rsidR="00BE6DBC">
        <w:t>s</w:t>
      </w:r>
      <w:r w:rsidR="00DE75C1">
        <w:t xml:space="preserve">) </w:t>
      </w:r>
      <w:r w:rsidR="00652F01">
        <w:t>increa</w:t>
      </w:r>
      <w:r w:rsidR="00F80E76">
        <w:t>s</w:t>
      </w:r>
      <w:r w:rsidR="00652F01">
        <w:t>e</w:t>
      </w:r>
      <w:r w:rsidR="00F80E76">
        <w:t xml:space="preserve"> from </w:t>
      </w:r>
      <w:r w:rsidR="00A8268B">
        <w:t xml:space="preserve">7% in </w:t>
      </w:r>
      <w:r w:rsidR="004E6C9D">
        <w:t>the previous year</w:t>
      </w:r>
      <w:r w:rsidR="00F80E76">
        <w:t xml:space="preserve">, </w:t>
      </w:r>
      <w:r w:rsidR="00652F01">
        <w:t xml:space="preserve">it was </w:t>
      </w:r>
      <w:r w:rsidR="00F80E76">
        <w:t>the largest increase since the collection started.</w:t>
      </w:r>
      <w:r w:rsidR="00CD22DD">
        <w:rPr>
          <w:rStyle w:val="FootnoteReference"/>
        </w:rPr>
        <w:footnoteReference w:id="24"/>
      </w:r>
    </w:p>
    <w:p w14:paraId="77AFF4CD" w14:textId="6323C520" w:rsidR="00F33347" w:rsidRPr="00165392" w:rsidRDefault="003E372B" w:rsidP="00607865">
      <w:pPr>
        <w:pStyle w:val="ListParagraph"/>
        <w:numPr>
          <w:ilvl w:val="0"/>
          <w:numId w:val="19"/>
        </w:numPr>
        <w:ind w:left="426"/>
        <w:jc w:val="left"/>
      </w:pPr>
      <w:r>
        <w:t xml:space="preserve">IFAs </w:t>
      </w:r>
      <w:r w:rsidR="008A6A9B">
        <w:t xml:space="preserve">reported </w:t>
      </w:r>
      <w:r>
        <w:t>slightly higher percentages of</w:t>
      </w:r>
      <w:r w:rsidR="00D60FE7">
        <w:t xml:space="preserve"> </w:t>
      </w:r>
      <w:r w:rsidR="00A8268B">
        <w:t xml:space="preserve">children </w:t>
      </w:r>
      <w:r w:rsidR="00D60FE7">
        <w:t>with disabilities (1</w:t>
      </w:r>
      <w:r w:rsidR="008A6A9B">
        <w:t>1</w:t>
      </w:r>
      <w:r>
        <w:t>%</w:t>
      </w:r>
      <w:r w:rsidR="001B6A1C">
        <w:t xml:space="preserve"> or</w:t>
      </w:r>
      <w:r w:rsidR="00975355">
        <w:t xml:space="preserve"> </w:t>
      </w:r>
      <w:r w:rsidR="00FA3ABF">
        <w:t xml:space="preserve">1,890) </w:t>
      </w:r>
      <w:r>
        <w:t xml:space="preserve">compared to </w:t>
      </w:r>
      <w:r w:rsidR="008A6A9B">
        <w:t>9</w:t>
      </w:r>
      <w:r>
        <w:t>%</w:t>
      </w:r>
      <w:r w:rsidR="00975355">
        <w:t xml:space="preserve"> </w:t>
      </w:r>
      <w:r w:rsidR="00FA3ABF">
        <w:t xml:space="preserve">(2,960) </w:t>
      </w:r>
      <w:r>
        <w:t>for LAs.</w:t>
      </w:r>
      <w:bookmarkStart w:id="82" w:name="_Toc408930047"/>
    </w:p>
    <w:p w14:paraId="344F5928" w14:textId="77777777" w:rsidR="00A84063" w:rsidRDefault="00A84063" w:rsidP="00607865">
      <w:pPr>
        <w:jc w:val="left"/>
      </w:pPr>
    </w:p>
    <w:p w14:paraId="631C1099" w14:textId="77777777" w:rsidR="00A206DE" w:rsidRPr="003B7857" w:rsidRDefault="00A206DE" w:rsidP="001C28C0">
      <w:pPr>
        <w:pStyle w:val="Heading3"/>
      </w:pPr>
      <w:bookmarkStart w:id="83" w:name="_Toc474760690"/>
      <w:r w:rsidRPr="004F5846">
        <w:t>Children’s experiences</w:t>
      </w:r>
      <w:bookmarkEnd w:id="82"/>
      <w:bookmarkEnd w:id="83"/>
    </w:p>
    <w:p w14:paraId="3A308B35" w14:textId="58312906" w:rsidR="00386057" w:rsidRDefault="00386057" w:rsidP="00607865">
      <w:pPr>
        <w:pStyle w:val="Heading4"/>
        <w:jc w:val="left"/>
        <w:rPr>
          <w:b w:val="0"/>
        </w:rPr>
      </w:pPr>
      <w:r>
        <w:rPr>
          <w:b w:val="0"/>
        </w:rPr>
        <w:t xml:space="preserve">Children’s experiences include education, unplanned endings, Staying Put, and physical restraint. As a child, you were more likely than not to Stay Put with your former foster carers after turning 18. Children were also more likely to experience physical restraint if </w:t>
      </w:r>
      <w:r w:rsidR="003D7E13">
        <w:rPr>
          <w:b w:val="0"/>
        </w:rPr>
        <w:t xml:space="preserve">they </w:t>
      </w:r>
      <w:r>
        <w:rPr>
          <w:b w:val="0"/>
        </w:rPr>
        <w:t xml:space="preserve">were placed with an IFA than an LA; but this might be </w:t>
      </w:r>
      <w:r w:rsidR="00FB135A">
        <w:rPr>
          <w:b w:val="0"/>
        </w:rPr>
        <w:t xml:space="preserve">partially </w:t>
      </w:r>
      <w:r>
        <w:rPr>
          <w:b w:val="0"/>
        </w:rPr>
        <w:t>because children with higher needs are more likely to be placed with IFAs.</w:t>
      </w:r>
    </w:p>
    <w:p w14:paraId="3FB57973" w14:textId="77777777" w:rsidR="00F7546E" w:rsidRPr="00F7546E" w:rsidRDefault="00F7546E" w:rsidP="00607865">
      <w:pPr>
        <w:pStyle w:val="Heading4"/>
        <w:spacing w:after="0"/>
        <w:jc w:val="left"/>
        <w:rPr>
          <w:b w:val="0"/>
          <w:u w:val="single"/>
        </w:rPr>
      </w:pPr>
      <w:r w:rsidRPr="00F7546E">
        <w:rPr>
          <w:b w:val="0"/>
          <w:u w:val="single"/>
        </w:rPr>
        <w:t>Placement stability</w:t>
      </w:r>
      <w:r w:rsidR="000D47A3" w:rsidRPr="00A71A23">
        <w:rPr>
          <w:rStyle w:val="FootnoteReference"/>
          <w:b w:val="0"/>
        </w:rPr>
        <w:footnoteReference w:id="25"/>
      </w:r>
    </w:p>
    <w:p w14:paraId="30010898" w14:textId="4790D735" w:rsidR="000D47A3" w:rsidRDefault="000F1182" w:rsidP="00607865">
      <w:pPr>
        <w:pStyle w:val="ListParagraph"/>
        <w:numPr>
          <w:ilvl w:val="0"/>
          <w:numId w:val="20"/>
        </w:numPr>
        <w:ind w:left="426" w:hanging="426"/>
        <w:jc w:val="left"/>
      </w:pPr>
      <w:r w:rsidRPr="00950B5C">
        <w:t xml:space="preserve">In total, </w:t>
      </w:r>
      <w:r w:rsidR="00776AAD" w:rsidRPr="00950B5C">
        <w:t xml:space="preserve">2,910 children experienced </w:t>
      </w:r>
      <w:r w:rsidR="000D47A3">
        <w:t>unplanned endings</w:t>
      </w:r>
      <w:r w:rsidR="004E6C9D">
        <w:t xml:space="preserve"> and stayed with the same agency</w:t>
      </w:r>
      <w:r w:rsidR="000D47A3">
        <w:t>.</w:t>
      </w:r>
      <w:r w:rsidR="00DB0E2C">
        <w:rPr>
          <w:rStyle w:val="FootnoteReference"/>
        </w:rPr>
        <w:footnoteReference w:id="26"/>
      </w:r>
      <w:r w:rsidR="000D47A3">
        <w:t xml:space="preserve"> The majority of these children (75%</w:t>
      </w:r>
      <w:r w:rsidR="001B6A1C">
        <w:t xml:space="preserve"> or</w:t>
      </w:r>
      <w:r w:rsidR="000D47A3">
        <w:t xml:space="preserve"> 2,175 children) were placed with LA fostering agencies</w:t>
      </w:r>
      <w:r w:rsidR="00FB135A">
        <w:t xml:space="preserve"> at the time of the unplanned ending</w:t>
      </w:r>
      <w:r w:rsidR="000D47A3">
        <w:t xml:space="preserve">. </w:t>
      </w:r>
      <w:r w:rsidR="004E6C9D">
        <w:t>These figures, h</w:t>
      </w:r>
      <w:r w:rsidR="000D47A3">
        <w:t xml:space="preserve">owever, may be partly </w:t>
      </w:r>
      <w:r w:rsidR="004E6C9D">
        <w:t xml:space="preserve">explained by </w:t>
      </w:r>
      <w:r w:rsidR="000D47A3">
        <w:t xml:space="preserve">the change in </w:t>
      </w:r>
      <w:r w:rsidR="004E6C9D">
        <w:t xml:space="preserve">the method of </w:t>
      </w:r>
      <w:r w:rsidR="000D47A3">
        <w:t>data collection</w:t>
      </w:r>
      <w:r w:rsidR="004E6C9D">
        <w:t xml:space="preserve"> this year.</w:t>
      </w:r>
      <w:r w:rsidR="0068152D">
        <w:t xml:space="preserve"> </w:t>
      </w:r>
      <w:r w:rsidR="004E6C9D">
        <w:t>C</w:t>
      </w:r>
      <w:r w:rsidR="000D47A3">
        <w:t xml:space="preserve">hildren experiencing unplanned endings </w:t>
      </w:r>
      <w:r w:rsidR="00DB0E2C">
        <w:t xml:space="preserve">while placed with LA carers </w:t>
      </w:r>
      <w:r w:rsidR="000D47A3">
        <w:t xml:space="preserve">are more likely to </w:t>
      </w:r>
      <w:r w:rsidR="00DB0E2C">
        <w:t>be placed with another LA carer</w:t>
      </w:r>
      <w:r w:rsidR="004E6C9D">
        <w:t xml:space="preserve"> in the same agency</w:t>
      </w:r>
      <w:r w:rsidR="00DB0E2C">
        <w:t xml:space="preserve">; children placed with IFA carers, however, may be more likely to be moved by their LA </w:t>
      </w:r>
      <w:r w:rsidR="004E6C9D">
        <w:t xml:space="preserve">either </w:t>
      </w:r>
      <w:r w:rsidR="00DB0E2C">
        <w:t xml:space="preserve">to in-house carers, or </w:t>
      </w:r>
      <w:r w:rsidR="004E6C9D">
        <w:t xml:space="preserve">to </w:t>
      </w:r>
      <w:r w:rsidR="00DB0E2C">
        <w:t>a different IFA.</w:t>
      </w:r>
    </w:p>
    <w:p w14:paraId="32B38490" w14:textId="77777777" w:rsidR="00504434" w:rsidRDefault="000D47A3" w:rsidP="00607865">
      <w:pPr>
        <w:pStyle w:val="ListParagraph"/>
        <w:numPr>
          <w:ilvl w:val="0"/>
          <w:numId w:val="20"/>
        </w:numPr>
        <w:ind w:left="426" w:hanging="426"/>
        <w:jc w:val="left"/>
      </w:pPr>
      <w:r>
        <w:t xml:space="preserve">In total, these </w:t>
      </w:r>
      <w:r w:rsidR="00717D94">
        <w:t xml:space="preserve">2,910 </w:t>
      </w:r>
      <w:r>
        <w:t xml:space="preserve">children experienced </w:t>
      </w:r>
      <w:r w:rsidR="00776AAD" w:rsidRPr="00950B5C">
        <w:t>3,</w:t>
      </w:r>
      <w:r w:rsidR="00717D94" w:rsidRPr="00950B5C">
        <w:t>4</w:t>
      </w:r>
      <w:r w:rsidR="00AD70D4">
        <w:t>90</w:t>
      </w:r>
      <w:r w:rsidR="00717D94" w:rsidRPr="00950B5C">
        <w:t xml:space="preserve"> </w:t>
      </w:r>
      <w:r w:rsidR="00776AAD" w:rsidRPr="00950B5C">
        <w:t>unplanned endings</w:t>
      </w:r>
      <w:r w:rsidR="00504434">
        <w:t>. The majority of children (86%</w:t>
      </w:r>
      <w:r w:rsidR="001B6A1C">
        <w:t xml:space="preserve"> or</w:t>
      </w:r>
      <w:r w:rsidR="00504434">
        <w:t xml:space="preserve"> 2,495) experienced a single unplanned ending</w:t>
      </w:r>
      <w:r w:rsidR="00B82441">
        <w:t xml:space="preserve">, </w:t>
      </w:r>
      <w:r w:rsidR="00B82441">
        <w:lastRenderedPageBreak/>
        <w:t xml:space="preserve">though there were a small number of children (15) who experienced five or more unplanned endings. </w:t>
      </w:r>
    </w:p>
    <w:p w14:paraId="2BF15DE2" w14:textId="30DC26D6" w:rsidR="00B82441" w:rsidRDefault="00B82441" w:rsidP="00607865">
      <w:pPr>
        <w:pStyle w:val="ListParagraph"/>
        <w:numPr>
          <w:ilvl w:val="0"/>
          <w:numId w:val="20"/>
        </w:numPr>
        <w:ind w:left="426" w:hanging="426"/>
        <w:jc w:val="left"/>
      </w:pPr>
      <w:r>
        <w:t>Overall, children were slightly more likely to experience an unplanned ending at the foster carers’ request (</w:t>
      </w:r>
      <w:r w:rsidR="001B6A1C">
        <w:t>55% or</w:t>
      </w:r>
      <w:r>
        <w:t xml:space="preserve"> 1,</w:t>
      </w:r>
      <w:r w:rsidR="00717D94">
        <w:t>610</w:t>
      </w:r>
      <w:r>
        <w:t>) than for other reasons</w:t>
      </w:r>
      <w:proofErr w:type="gramStart"/>
      <w:r>
        <w:t>.</w:t>
      </w:r>
      <w:r w:rsidR="009C1E09">
        <w:rPr>
          <w:rStyle w:val="FootnoteReference"/>
        </w:rPr>
        <w:footnoteReference w:id="27"/>
      </w:r>
      <w:r w:rsidR="009C1E09" w:rsidRPr="00F502DF">
        <w:rPr>
          <w:vertAlign w:val="superscript"/>
        </w:rPr>
        <w:t>,</w:t>
      </w:r>
      <w:proofErr w:type="gramEnd"/>
      <w:r w:rsidR="00FB135A">
        <w:rPr>
          <w:rStyle w:val="FootnoteReference"/>
        </w:rPr>
        <w:footnoteReference w:id="28"/>
      </w:r>
    </w:p>
    <w:p w14:paraId="65AB6B36" w14:textId="02E97E22" w:rsidR="00717D94" w:rsidRDefault="00E9340A" w:rsidP="00607865">
      <w:pPr>
        <w:pStyle w:val="ListParagraph"/>
        <w:numPr>
          <w:ilvl w:val="0"/>
          <w:numId w:val="20"/>
        </w:numPr>
        <w:ind w:left="426" w:hanging="426"/>
        <w:jc w:val="left"/>
      </w:pPr>
      <w:r w:rsidRPr="00F502DF">
        <w:t xml:space="preserve">A higher percentage of </w:t>
      </w:r>
      <w:r w:rsidR="00AC034C">
        <w:t>W</w:t>
      </w:r>
      <w:r w:rsidRPr="00F502DF">
        <w:t xml:space="preserve">hite children with unplanned endings experienced these at the foster carers’ request: 57%, compared to </w:t>
      </w:r>
      <w:r w:rsidR="00CB405E">
        <w:t>49</w:t>
      </w:r>
      <w:r w:rsidRPr="00F502DF">
        <w:t>% of children from minority ethnicities with unplanned endings</w:t>
      </w:r>
      <w:r>
        <w:t>.</w:t>
      </w:r>
      <w:r w:rsidR="00717D94">
        <w:rPr>
          <w:rStyle w:val="FootnoteReference"/>
        </w:rPr>
        <w:footnoteReference w:id="29"/>
      </w:r>
    </w:p>
    <w:p w14:paraId="44B9C2CE" w14:textId="4C65968E" w:rsidR="002357BC" w:rsidRDefault="00B82441" w:rsidP="00607865">
      <w:pPr>
        <w:pStyle w:val="ListParagraph"/>
        <w:numPr>
          <w:ilvl w:val="0"/>
          <w:numId w:val="20"/>
        </w:numPr>
        <w:ind w:left="426" w:hanging="426"/>
        <w:jc w:val="left"/>
      </w:pPr>
      <w:r>
        <w:t xml:space="preserve">Around 20% of children (590) experienced at least one move within 24 hours of the decision to end the placement early. </w:t>
      </w:r>
    </w:p>
    <w:p w14:paraId="25732D95" w14:textId="21E4FA09" w:rsidR="00BA0FBD" w:rsidRDefault="00BA0FBD" w:rsidP="001C28C0">
      <w:pPr>
        <w:pStyle w:val="ListParagraph"/>
        <w:numPr>
          <w:ilvl w:val="0"/>
          <w:numId w:val="20"/>
        </w:numPr>
        <w:ind w:left="426" w:hanging="426"/>
        <w:jc w:val="left"/>
      </w:pPr>
      <w:r>
        <w:t xml:space="preserve">White </w:t>
      </w:r>
      <w:r w:rsidR="00A8268B">
        <w:t>children</w:t>
      </w:r>
      <w:r>
        <w:t xml:space="preserve"> were slightly less likely than </w:t>
      </w:r>
      <w:r w:rsidR="00A8268B">
        <w:t>children</w:t>
      </w:r>
      <w:r w:rsidR="00602CA4">
        <w:t xml:space="preserve"> from minority ethnic groups </w:t>
      </w:r>
      <w:r>
        <w:t xml:space="preserve">to move within 24 hours of the unplanned ending: </w:t>
      </w:r>
      <w:r w:rsidR="00CB405E">
        <w:t>19</w:t>
      </w:r>
      <w:r>
        <w:t>% (435 of 2,230) compared to 23% (</w:t>
      </w:r>
      <w:r w:rsidR="00CB405E">
        <w:t xml:space="preserve">155 </w:t>
      </w:r>
      <w:r>
        <w:t xml:space="preserve">of </w:t>
      </w:r>
      <w:r w:rsidR="00CB405E">
        <w:t>660</w:t>
      </w:r>
      <w:r>
        <w:t>).</w:t>
      </w:r>
    </w:p>
    <w:p w14:paraId="43997E05" w14:textId="77777777" w:rsidR="00386057" w:rsidRDefault="00386057" w:rsidP="00792ED0">
      <w:pPr>
        <w:jc w:val="left"/>
      </w:pPr>
    </w:p>
    <w:p w14:paraId="36BCD936" w14:textId="77777777" w:rsidR="00386057" w:rsidRDefault="00386057" w:rsidP="00607865">
      <w:pPr>
        <w:pStyle w:val="Heading4"/>
        <w:spacing w:after="0"/>
        <w:jc w:val="left"/>
        <w:rPr>
          <w:b w:val="0"/>
          <w:u w:val="single"/>
        </w:rPr>
      </w:pPr>
      <w:r w:rsidRPr="00802E80">
        <w:rPr>
          <w:b w:val="0"/>
          <w:u w:val="single"/>
        </w:rPr>
        <w:t>Education</w:t>
      </w:r>
      <w:r w:rsidRPr="00A71A23">
        <w:rPr>
          <w:rStyle w:val="FootnoteReference"/>
          <w:b w:val="0"/>
        </w:rPr>
        <w:footnoteReference w:id="30"/>
      </w:r>
    </w:p>
    <w:p w14:paraId="05E5C2F0" w14:textId="376E3424" w:rsidR="00386057" w:rsidRDefault="00386057" w:rsidP="00607865">
      <w:pPr>
        <w:pStyle w:val="ListParagraph"/>
        <w:numPr>
          <w:ilvl w:val="0"/>
          <w:numId w:val="19"/>
        </w:numPr>
        <w:ind w:left="426"/>
        <w:jc w:val="left"/>
      </w:pPr>
      <w:r>
        <w:t>A total of 2,295 children experienced at least one educational placement change as a result of a fostering place</w:t>
      </w:r>
      <w:r w:rsidRPr="00165392">
        <w:t xml:space="preserve">ment change during 2015-16. </w:t>
      </w:r>
      <w:r w:rsidR="006D7BBB">
        <w:t>Children in IFA placements made up a higher percentage of children experiencing an educational placement change (47%) than they did of all children (34% of fostered children were in IFA placements).</w:t>
      </w:r>
      <w:r w:rsidR="00981621">
        <w:t xml:space="preserve"> Although detailed reasons for changes of educational placement are not collected, the higher percentage for IFAs may be because children are more likely</w:t>
      </w:r>
      <w:r w:rsidR="009F2F66">
        <w:t>, due to their level of need that the IFA placement meets,</w:t>
      </w:r>
      <w:r w:rsidR="00981621">
        <w:t xml:space="preserve"> to be placed further away to find an IFA placement, and therefore outside of their original educational area.</w:t>
      </w:r>
      <w:r w:rsidR="009C1E09">
        <w:rPr>
          <w:rStyle w:val="FootnoteReference"/>
        </w:rPr>
        <w:footnoteReference w:id="31"/>
      </w:r>
      <w:r>
        <w:t xml:space="preserve"> </w:t>
      </w:r>
      <w:r w:rsidR="009F2F66">
        <w:t xml:space="preserve">Consequently, they are more likely to change educational placement should the IFA placement end. </w:t>
      </w:r>
      <w:r>
        <w:t xml:space="preserve">(Chart </w:t>
      </w:r>
      <w:r w:rsidR="00CF11A8">
        <w:t>10</w:t>
      </w:r>
      <w:r>
        <w:t>)</w:t>
      </w:r>
    </w:p>
    <w:p w14:paraId="5A742E41" w14:textId="77777777" w:rsidR="00386057" w:rsidRDefault="00386057" w:rsidP="00607865">
      <w:pPr>
        <w:jc w:val="left"/>
      </w:pPr>
    </w:p>
    <w:p w14:paraId="01F26C15" w14:textId="77777777" w:rsidR="00E87060" w:rsidRDefault="00E87060">
      <w:pPr>
        <w:jc w:val="left"/>
        <w:rPr>
          <w:b/>
          <w:bCs/>
          <w:noProof/>
          <w:sz w:val="20"/>
          <w:szCs w:val="20"/>
          <w:lang w:eastAsia="en-US"/>
        </w:rPr>
      </w:pPr>
      <w:r>
        <w:br w:type="page"/>
      </w:r>
    </w:p>
    <w:p w14:paraId="361F4EE0" w14:textId="39D3806B" w:rsidR="00386057" w:rsidRDefault="00386057" w:rsidP="001C28C0">
      <w:pPr>
        <w:pStyle w:val="Table"/>
      </w:pPr>
      <w:bookmarkStart w:id="84" w:name="_Toc475440568"/>
      <w:r>
        <w:lastRenderedPageBreak/>
        <w:t>Chart 1</w:t>
      </w:r>
      <w:r w:rsidR="00CF11A8">
        <w:t>0</w:t>
      </w:r>
      <w:r>
        <w:t>: Percentage of children placed, compared to percentage experiencing an educational placement change, by sector</w:t>
      </w:r>
      <w:r w:rsidR="00874FE7">
        <w:t xml:space="preserve"> </w:t>
      </w:r>
      <w:r w:rsidR="00874FE7" w:rsidRPr="00F502DF">
        <w:t>as at 31 March 2016</w:t>
      </w:r>
      <w:bookmarkEnd w:id="84"/>
    </w:p>
    <w:p w14:paraId="6A21CA5A" w14:textId="67642067" w:rsidR="00386057" w:rsidRDefault="001634C2" w:rsidP="00386057">
      <w:r>
        <w:rPr>
          <w:noProof/>
        </w:rPr>
        <w:drawing>
          <wp:inline distT="0" distB="0" distL="0" distR="0" wp14:anchorId="2366B781" wp14:editId="4A31E5D5">
            <wp:extent cx="4487333" cy="2699212"/>
            <wp:effectExtent l="0" t="0" r="889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95645" cy="2704212"/>
                    </a:xfrm>
                    <a:prstGeom prst="rect">
                      <a:avLst/>
                    </a:prstGeom>
                  </pic:spPr>
                </pic:pic>
              </a:graphicData>
            </a:graphic>
          </wp:inline>
        </w:drawing>
      </w:r>
    </w:p>
    <w:p w14:paraId="34FFE44E" w14:textId="77777777" w:rsidR="00E87060" w:rsidRPr="00165392" w:rsidRDefault="00E87060" w:rsidP="00386057"/>
    <w:p w14:paraId="328BC2CC" w14:textId="19D32252" w:rsidR="00386057" w:rsidRPr="00F502DF" w:rsidRDefault="006D7BBB" w:rsidP="00F502DF">
      <w:pPr>
        <w:pStyle w:val="ListParagraph"/>
        <w:numPr>
          <w:ilvl w:val="0"/>
          <w:numId w:val="37"/>
        </w:numPr>
        <w:ind w:left="426"/>
        <w:jc w:val="left"/>
      </w:pPr>
      <w:r w:rsidRPr="00F502DF">
        <w:t>A higher percentage of children who had an unplanned ending also had a change of educational placement (12%) compared to children with no unplanned endings who had a change of educational placements (4%)</w:t>
      </w:r>
      <w:r w:rsidR="00386057" w:rsidRPr="00F502DF">
        <w:t>.</w:t>
      </w:r>
    </w:p>
    <w:p w14:paraId="4EA87150" w14:textId="77777777" w:rsidR="00776AAD" w:rsidRPr="00776AAD" w:rsidRDefault="00776AAD" w:rsidP="000D47A3"/>
    <w:p w14:paraId="2F0FEF24" w14:textId="70FFB8CC" w:rsidR="00A206DE" w:rsidRDefault="00A206DE" w:rsidP="00607865">
      <w:pPr>
        <w:pStyle w:val="Heading4"/>
        <w:spacing w:after="0"/>
        <w:jc w:val="left"/>
        <w:rPr>
          <w:b w:val="0"/>
          <w:u w:val="single"/>
        </w:rPr>
      </w:pPr>
      <w:r w:rsidRPr="00F7546E">
        <w:rPr>
          <w:b w:val="0"/>
          <w:u w:val="single"/>
        </w:rPr>
        <w:t xml:space="preserve">Staying </w:t>
      </w:r>
      <w:r w:rsidR="003D7E13">
        <w:rPr>
          <w:b w:val="0"/>
          <w:u w:val="single"/>
        </w:rPr>
        <w:t>P</w:t>
      </w:r>
      <w:r w:rsidR="003D7E13" w:rsidRPr="00F7546E">
        <w:rPr>
          <w:b w:val="0"/>
          <w:u w:val="single"/>
        </w:rPr>
        <w:t>ut</w:t>
      </w:r>
      <w:r w:rsidR="00400012" w:rsidRPr="00215509">
        <w:rPr>
          <w:rStyle w:val="FootnoteReference"/>
          <w:rFonts w:cs="Tahoma"/>
          <w:b w:val="0"/>
        </w:rPr>
        <w:footnoteReference w:id="32"/>
      </w:r>
    </w:p>
    <w:p w14:paraId="11561332" w14:textId="5D917D46" w:rsidR="00950B5C" w:rsidRDefault="00BD7F2F" w:rsidP="00607865">
      <w:pPr>
        <w:pStyle w:val="ListParagraph"/>
        <w:numPr>
          <w:ilvl w:val="0"/>
          <w:numId w:val="21"/>
        </w:numPr>
        <w:ind w:left="426" w:hanging="426"/>
        <w:jc w:val="left"/>
      </w:pPr>
      <w:r>
        <w:t>A total of 4,025 young people</w:t>
      </w:r>
      <w:r w:rsidR="00874FE7">
        <w:t xml:space="preserve"> </w:t>
      </w:r>
      <w:r w:rsidR="00874FE7" w:rsidRPr="00F502DF">
        <w:t>in foster placements</w:t>
      </w:r>
      <w:r>
        <w:t xml:space="preserve"> </w:t>
      </w:r>
      <w:r w:rsidR="00607865">
        <w:t xml:space="preserve">became </w:t>
      </w:r>
      <w:r w:rsidR="00950B5C">
        <w:t>18 during the year 2015-16</w:t>
      </w:r>
      <w:r w:rsidR="009934A8">
        <w:t xml:space="preserve"> (a 17% increase from 3,435 the previous year)</w:t>
      </w:r>
      <w:r w:rsidR="00950B5C">
        <w:t>.</w:t>
      </w:r>
    </w:p>
    <w:p w14:paraId="2E2B13D9" w14:textId="53D86414" w:rsidR="00303A78" w:rsidRDefault="002E0564" w:rsidP="00607865">
      <w:pPr>
        <w:pStyle w:val="ListParagraph"/>
        <w:numPr>
          <w:ilvl w:val="0"/>
          <w:numId w:val="21"/>
        </w:numPr>
        <w:ind w:left="426" w:hanging="426"/>
        <w:jc w:val="left"/>
      </w:pPr>
      <w:r>
        <w:t>Of the</w:t>
      </w:r>
      <w:r w:rsidR="009C1E09">
        <w:t>se</w:t>
      </w:r>
      <w:r>
        <w:t xml:space="preserve"> 4,025 </w:t>
      </w:r>
      <w:r w:rsidR="00981621">
        <w:t>care leavers</w:t>
      </w:r>
      <w:r>
        <w:t xml:space="preserve">, </w:t>
      </w:r>
      <w:r w:rsidR="00981621">
        <w:t>54%</w:t>
      </w:r>
      <w:r>
        <w:t xml:space="preserve"> (2,190) </w:t>
      </w:r>
      <w:r w:rsidR="009C1E09">
        <w:t xml:space="preserve">were still </w:t>
      </w:r>
      <w:r>
        <w:t>living with their former foster carers</w:t>
      </w:r>
      <w:r w:rsidR="009C1E09">
        <w:t xml:space="preserve"> in 2015-16</w:t>
      </w:r>
      <w:r>
        <w:t>, an increase from 2014-15</w:t>
      </w:r>
      <w:r w:rsidR="009934A8">
        <w:t xml:space="preserve"> of 22% (1,790)</w:t>
      </w:r>
      <w:r w:rsidR="00BD7F2F">
        <w:t>.</w:t>
      </w:r>
      <w:r w:rsidR="009934A8">
        <w:t xml:space="preserve"> </w:t>
      </w:r>
      <w:r w:rsidR="00530262">
        <w:t xml:space="preserve">This is in line with the findings of the </w:t>
      </w:r>
      <w:r w:rsidR="00A06463" w:rsidRPr="00F502DF">
        <w:t>Association of Directors of Children’s Services (</w:t>
      </w:r>
      <w:r w:rsidR="00530262" w:rsidRPr="00F502DF">
        <w:t>ADCS</w:t>
      </w:r>
      <w:r w:rsidR="00A06463" w:rsidRPr="00F502DF">
        <w:t>)</w:t>
      </w:r>
      <w:r w:rsidR="00530262">
        <w:t xml:space="preserve"> Safeguarding Pressures research project</w:t>
      </w:r>
      <w:r w:rsidR="00981621">
        <w:t>, and t</w:t>
      </w:r>
      <w:r w:rsidR="00C04449">
        <w:t xml:space="preserve">he percentage is also in line with the </w:t>
      </w:r>
      <w:proofErr w:type="spellStart"/>
      <w:r w:rsidR="00C04449">
        <w:t>DfE</w:t>
      </w:r>
      <w:proofErr w:type="spellEnd"/>
      <w:r w:rsidR="00C04449">
        <w:t xml:space="preserve"> SSDA903 returns</w:t>
      </w:r>
      <w:r w:rsidR="00530262">
        <w:t>.</w:t>
      </w:r>
      <w:r w:rsidR="00530262" w:rsidRPr="00685530">
        <w:rPr>
          <w:rStyle w:val="FootnoteReference"/>
        </w:rPr>
        <w:footnoteReference w:id="33"/>
      </w:r>
      <w:r w:rsidR="00C04449" w:rsidRPr="00690BB0">
        <w:rPr>
          <w:vertAlign w:val="superscript"/>
        </w:rPr>
        <w:t>,</w:t>
      </w:r>
      <w:r w:rsidR="00C04449">
        <w:rPr>
          <w:rStyle w:val="FootnoteReference"/>
        </w:rPr>
        <w:footnoteReference w:id="34"/>
      </w:r>
    </w:p>
    <w:p w14:paraId="45A52587" w14:textId="3F9A9C53" w:rsidR="00303A78" w:rsidRDefault="00303A78" w:rsidP="00607865">
      <w:pPr>
        <w:pStyle w:val="ListParagraph"/>
        <w:numPr>
          <w:ilvl w:val="0"/>
          <w:numId w:val="21"/>
        </w:numPr>
        <w:ind w:left="426" w:hanging="426"/>
        <w:jc w:val="left"/>
      </w:pPr>
      <w:r>
        <w:t>The percentage of young people who “Stayed Put” with IFA carers rose by five percentage points from the previous year</w:t>
      </w:r>
      <w:r w:rsidR="00685530">
        <w:t>. This took it closer to</w:t>
      </w:r>
      <w:r w:rsidR="00981621">
        <w:t xml:space="preserve"> the LA percentage, and to</w:t>
      </w:r>
      <w:r w:rsidR="00685530">
        <w:t xml:space="preserve"> the 2013-14 level of 54%, so</w:t>
      </w:r>
      <w:r>
        <w:t xml:space="preserve"> 2014-15 may have been an isolated dip.</w:t>
      </w:r>
      <w:r w:rsidR="002E0564">
        <w:t xml:space="preserve"> (Chart </w:t>
      </w:r>
      <w:r w:rsidR="00CF11A8">
        <w:t>11</w:t>
      </w:r>
      <w:r w:rsidR="002E0564">
        <w:t>)</w:t>
      </w:r>
    </w:p>
    <w:p w14:paraId="6B9D80A2" w14:textId="77777777" w:rsidR="001B6A1C" w:rsidRDefault="001B6A1C" w:rsidP="00303A78">
      <w:pPr>
        <w:pStyle w:val="Table"/>
      </w:pPr>
    </w:p>
    <w:p w14:paraId="61F63BDC" w14:textId="77777777" w:rsidR="00E87060" w:rsidRDefault="00E87060">
      <w:pPr>
        <w:jc w:val="left"/>
        <w:rPr>
          <w:b/>
          <w:bCs/>
          <w:noProof/>
          <w:sz w:val="20"/>
          <w:szCs w:val="20"/>
          <w:lang w:eastAsia="en-US"/>
        </w:rPr>
      </w:pPr>
      <w:r>
        <w:br w:type="page"/>
      </w:r>
    </w:p>
    <w:p w14:paraId="145CC9D4" w14:textId="5FB5F148" w:rsidR="00303A78" w:rsidRDefault="00303A78" w:rsidP="00303A78">
      <w:pPr>
        <w:pStyle w:val="Table"/>
      </w:pPr>
      <w:bookmarkStart w:id="85" w:name="_Toc475440569"/>
      <w:r>
        <w:lastRenderedPageBreak/>
        <w:t xml:space="preserve">Chart </w:t>
      </w:r>
      <w:r w:rsidR="00CF11A8">
        <w:t>11</w:t>
      </w:r>
      <w:r>
        <w:t xml:space="preserve">: Percentage of </w:t>
      </w:r>
      <w:r w:rsidR="00874FE7">
        <w:t>care leavers</w:t>
      </w:r>
      <w:r>
        <w:t xml:space="preserve"> who remained with former foster carers after </w:t>
      </w:r>
      <w:r w:rsidR="004E6C9D">
        <w:t xml:space="preserve">becoming </w:t>
      </w:r>
      <w:r>
        <w:t>18, by sector</w:t>
      </w:r>
      <w:r w:rsidR="002E0564">
        <w:t>, 2014-16</w:t>
      </w:r>
      <w:bookmarkEnd w:id="85"/>
    </w:p>
    <w:p w14:paraId="46B790F9" w14:textId="21535579" w:rsidR="00303A78" w:rsidRDefault="0060201D" w:rsidP="00303A78">
      <w:r w:rsidRPr="0060201D">
        <w:rPr>
          <w:noProof/>
        </w:rPr>
        <w:t xml:space="preserve"> </w:t>
      </w:r>
      <w:r w:rsidR="001634C2">
        <w:rPr>
          <w:noProof/>
        </w:rPr>
        <w:drawing>
          <wp:inline distT="0" distB="0" distL="0" distR="0" wp14:anchorId="1E32DC38" wp14:editId="20371282">
            <wp:extent cx="4038600" cy="2628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38600" cy="2628900"/>
                    </a:xfrm>
                    <a:prstGeom prst="rect">
                      <a:avLst/>
                    </a:prstGeom>
                  </pic:spPr>
                </pic:pic>
              </a:graphicData>
            </a:graphic>
          </wp:inline>
        </w:drawing>
      </w:r>
    </w:p>
    <w:p w14:paraId="0B417AD3" w14:textId="77777777" w:rsidR="00BD7F2F" w:rsidRPr="00BD7F2F" w:rsidRDefault="00BD7F2F" w:rsidP="00303A78"/>
    <w:p w14:paraId="6A11A660" w14:textId="77777777" w:rsidR="00935C35" w:rsidRDefault="00935C35" w:rsidP="00607865">
      <w:pPr>
        <w:pStyle w:val="Heading4"/>
        <w:spacing w:after="0"/>
        <w:ind w:left="425" w:hanging="425"/>
        <w:jc w:val="left"/>
        <w:rPr>
          <w:b w:val="0"/>
          <w:u w:val="single"/>
        </w:rPr>
      </w:pPr>
      <w:r w:rsidRPr="00F7546E">
        <w:rPr>
          <w:b w:val="0"/>
          <w:u w:val="single"/>
        </w:rPr>
        <w:t>Restraint</w:t>
      </w:r>
    </w:p>
    <w:p w14:paraId="422893C8" w14:textId="59997E5B" w:rsidR="00CD3B4E" w:rsidRDefault="00CD3B4E" w:rsidP="00607865">
      <w:pPr>
        <w:pStyle w:val="ListParagraph"/>
        <w:numPr>
          <w:ilvl w:val="0"/>
          <w:numId w:val="22"/>
        </w:numPr>
        <w:ind w:left="425" w:hanging="425"/>
        <w:jc w:val="left"/>
        <w:rPr>
          <w:lang w:eastAsia="en-US"/>
        </w:rPr>
      </w:pPr>
      <w:bookmarkStart w:id="86" w:name="_Toc408930048"/>
      <w:r>
        <w:rPr>
          <w:lang w:eastAsia="en-US"/>
        </w:rPr>
        <w:t>In 2015-16, there were 1,040 incidents of physical restraint</w:t>
      </w:r>
      <w:r w:rsidR="00F80E76">
        <w:rPr>
          <w:lang w:eastAsia="en-US"/>
        </w:rPr>
        <w:t xml:space="preserve">, in line with the previous year. These </w:t>
      </w:r>
      <w:r w:rsidR="00981621">
        <w:rPr>
          <w:lang w:eastAsia="en-US"/>
        </w:rPr>
        <w:t>affected</w:t>
      </w:r>
      <w:r>
        <w:rPr>
          <w:lang w:eastAsia="en-US"/>
        </w:rPr>
        <w:t xml:space="preserve"> 580 children and young people, which equated to an average of 1.</w:t>
      </w:r>
      <w:r w:rsidR="00685530">
        <w:rPr>
          <w:lang w:eastAsia="en-US"/>
        </w:rPr>
        <w:t xml:space="preserve">8 </w:t>
      </w:r>
      <w:r>
        <w:rPr>
          <w:lang w:eastAsia="en-US"/>
        </w:rPr>
        <w:t>incidents per child</w:t>
      </w:r>
      <w:r w:rsidR="00981621">
        <w:rPr>
          <w:lang w:eastAsia="en-US"/>
        </w:rPr>
        <w:t xml:space="preserve"> who experienced restraint</w:t>
      </w:r>
      <w:r>
        <w:rPr>
          <w:lang w:eastAsia="en-US"/>
        </w:rPr>
        <w:t>.</w:t>
      </w:r>
    </w:p>
    <w:p w14:paraId="29BA3081" w14:textId="362FAF56" w:rsidR="00CD3B4E" w:rsidRDefault="00CD3B4E" w:rsidP="00607865">
      <w:pPr>
        <w:pStyle w:val="ListParagraph"/>
        <w:numPr>
          <w:ilvl w:val="0"/>
          <w:numId w:val="22"/>
        </w:numPr>
        <w:ind w:left="425" w:hanging="425"/>
        <w:jc w:val="left"/>
      </w:pPr>
      <w:r>
        <w:t xml:space="preserve">The number of children </w:t>
      </w:r>
      <w:r w:rsidR="002E0564">
        <w:t xml:space="preserve">experiencing restraint </w:t>
      </w:r>
      <w:r w:rsidR="00685530">
        <w:t>once again diverged</w:t>
      </w:r>
      <w:r>
        <w:t xml:space="preserve"> between the two sectors</w:t>
      </w:r>
      <w:r w:rsidR="00685530">
        <w:t>, as happened in each year except 2014-15</w:t>
      </w:r>
      <w:r w:rsidR="001B6A1C">
        <w:t>:</w:t>
      </w:r>
      <w:r>
        <w:t xml:space="preserve"> </w:t>
      </w:r>
      <w:r w:rsidR="00C32D1A">
        <w:t>t</w:t>
      </w:r>
      <w:r>
        <w:t xml:space="preserve">he number in </w:t>
      </w:r>
      <w:r w:rsidR="003D7E13">
        <w:t xml:space="preserve">LA foster care </w:t>
      </w:r>
      <w:r>
        <w:t>dropped</w:t>
      </w:r>
      <w:r w:rsidR="00CE59B0">
        <w:t xml:space="preserve"> by 13%</w:t>
      </w:r>
      <w:r>
        <w:t xml:space="preserve"> </w:t>
      </w:r>
      <w:r w:rsidR="002E0564">
        <w:t xml:space="preserve">from 155 </w:t>
      </w:r>
      <w:r>
        <w:t xml:space="preserve">to 135 children, while in IFAs it </w:t>
      </w:r>
      <w:r w:rsidR="002E0564">
        <w:t xml:space="preserve">rose </w:t>
      </w:r>
      <w:r w:rsidR="00CE59B0">
        <w:t xml:space="preserve">by 7% </w:t>
      </w:r>
      <w:r w:rsidR="002E0564">
        <w:t>from 415 to 445</w:t>
      </w:r>
      <w:r>
        <w:t>.</w:t>
      </w:r>
      <w:r w:rsidR="0068152D">
        <w:t xml:space="preserve"> </w:t>
      </w:r>
      <w:r w:rsidR="009F2F66">
        <w:t xml:space="preserve">The preponderance of IFA placed children </w:t>
      </w:r>
      <w:r w:rsidR="003D7E13">
        <w:t xml:space="preserve">experiencing restraint </w:t>
      </w:r>
      <w:r w:rsidR="00C86039">
        <w:t xml:space="preserve">may, again, be a result of the level and particular nature of the </w:t>
      </w:r>
      <w:r w:rsidR="001634C2">
        <w:t xml:space="preserve">child’s </w:t>
      </w:r>
      <w:r w:rsidR="00C86039">
        <w:t>need being met by those IFAs.</w:t>
      </w:r>
    </w:p>
    <w:p w14:paraId="66E39E53" w14:textId="77777777" w:rsidR="00F21E30" w:rsidRDefault="00F21E30" w:rsidP="00607865">
      <w:pPr>
        <w:jc w:val="left"/>
        <w:rPr>
          <w:lang w:eastAsia="en-US"/>
        </w:rPr>
      </w:pPr>
    </w:p>
    <w:p w14:paraId="453DD1B6" w14:textId="77777777" w:rsidR="00A206DE" w:rsidRDefault="00A206DE" w:rsidP="00607865">
      <w:pPr>
        <w:pStyle w:val="Heading2"/>
        <w:jc w:val="left"/>
      </w:pPr>
      <w:bookmarkStart w:id="87" w:name="_Toc474760691"/>
      <w:r w:rsidRPr="00A206DE">
        <w:t>Safeguarding</w:t>
      </w:r>
      <w:bookmarkEnd w:id="86"/>
      <w:bookmarkEnd w:id="87"/>
    </w:p>
    <w:p w14:paraId="34891908" w14:textId="59BB137D" w:rsidR="00981621" w:rsidRDefault="00981621" w:rsidP="00607865">
      <w:pPr>
        <w:jc w:val="left"/>
      </w:pPr>
      <w:r>
        <w:t xml:space="preserve">Safeguarding includes child sexual exploitation, going missing, and allegations of misconduct. </w:t>
      </w:r>
      <w:r w:rsidR="001F117F">
        <w:t xml:space="preserve">In a lot of ways, safeguarding had not changed from 2015: children were no more likely in 2016 than in 2015 to be at risk of or subject to </w:t>
      </w:r>
      <w:r w:rsidR="00F41098">
        <w:t>child sexual exploitation</w:t>
      </w:r>
      <w:r w:rsidR="001F117F">
        <w:t>; and children still most commonly went missing due to contact (or avoiding contact) with family and friends. There were also some changes, including IFA investigations into allegations being quicker than those by LAs, and more likely to result in no further action. For the first time, we also know about Return Home Interviews (RHI): children were more likely than not to have at least one RHI if they went missing.</w:t>
      </w:r>
    </w:p>
    <w:p w14:paraId="5A7A641A" w14:textId="77777777" w:rsidR="00D35327" w:rsidRPr="00D35327" w:rsidRDefault="00D35327" w:rsidP="00607865">
      <w:pPr>
        <w:jc w:val="left"/>
      </w:pPr>
    </w:p>
    <w:p w14:paraId="245F16E2" w14:textId="77777777" w:rsidR="00A206DE" w:rsidRDefault="00A206DE" w:rsidP="001C28C0">
      <w:pPr>
        <w:pStyle w:val="Heading3"/>
      </w:pPr>
      <w:bookmarkStart w:id="88" w:name="_Toc474760692"/>
      <w:r w:rsidRPr="005E65AB">
        <w:lastRenderedPageBreak/>
        <w:t>Child sexual exploitation</w:t>
      </w:r>
      <w:bookmarkEnd w:id="88"/>
    </w:p>
    <w:p w14:paraId="6EFDA2FB" w14:textId="062F099B" w:rsidR="00CE59B0" w:rsidRDefault="003F7660" w:rsidP="00607865">
      <w:pPr>
        <w:pStyle w:val="ListParagraph"/>
        <w:numPr>
          <w:ilvl w:val="0"/>
          <w:numId w:val="23"/>
        </w:numPr>
        <w:ind w:left="425" w:hanging="425"/>
        <w:jc w:val="left"/>
      </w:pPr>
      <w:r>
        <w:t xml:space="preserve">In 2015-16, there were 1,725 </w:t>
      </w:r>
      <w:r w:rsidR="00646F69">
        <w:t xml:space="preserve">(3%) </w:t>
      </w:r>
      <w:r>
        <w:t xml:space="preserve">children and young people </w:t>
      </w:r>
      <w:r w:rsidR="001F117F">
        <w:t xml:space="preserve">in foster care </w:t>
      </w:r>
      <w:r>
        <w:t xml:space="preserve">considered to be at risk of </w:t>
      </w:r>
      <w:r w:rsidR="00F41098">
        <w:t>child sexual exploitation</w:t>
      </w:r>
      <w:r>
        <w:t xml:space="preserve"> and 500 </w:t>
      </w:r>
      <w:r w:rsidR="00646F69">
        <w:t xml:space="preserve">(1%) </w:t>
      </w:r>
      <w:r>
        <w:t xml:space="preserve">considered to be subject to </w:t>
      </w:r>
      <w:r w:rsidR="00F41098">
        <w:t>child sexual exploitation</w:t>
      </w:r>
      <w:r w:rsidR="001B6A1C">
        <w:t xml:space="preserve">, </w:t>
      </w:r>
      <w:r w:rsidR="00CE59B0">
        <w:t>both in line with 2014-15.</w:t>
      </w:r>
    </w:p>
    <w:p w14:paraId="136270F2" w14:textId="0BC90AB0" w:rsidR="00CE59B0" w:rsidRDefault="00CE59B0" w:rsidP="00607865">
      <w:pPr>
        <w:pStyle w:val="ListParagraph"/>
        <w:numPr>
          <w:ilvl w:val="0"/>
          <w:numId w:val="23"/>
        </w:numPr>
        <w:ind w:left="425" w:hanging="425"/>
        <w:jc w:val="left"/>
      </w:pPr>
      <w:r>
        <w:t xml:space="preserve">There was a slight increase in the percentage of children placed through IFAs at risk of </w:t>
      </w:r>
      <w:r w:rsidR="00F41098">
        <w:t>child sexual exploitation</w:t>
      </w:r>
      <w:r>
        <w:t xml:space="preserve"> (from </w:t>
      </w:r>
      <w:r w:rsidR="001634C2">
        <w:t>4</w:t>
      </w:r>
      <w:r>
        <w:t xml:space="preserve">% to </w:t>
      </w:r>
      <w:r w:rsidR="001634C2">
        <w:t>5</w:t>
      </w:r>
      <w:r>
        <w:t xml:space="preserve">%). The percentage for LAs remained stable at around </w:t>
      </w:r>
      <w:r w:rsidR="001634C2">
        <w:t>3</w:t>
      </w:r>
      <w:r>
        <w:t>%.</w:t>
      </w:r>
    </w:p>
    <w:p w14:paraId="4293ADD5" w14:textId="66DD2661" w:rsidR="006501C3" w:rsidRDefault="006501C3" w:rsidP="00607865">
      <w:pPr>
        <w:pStyle w:val="ListParagraph"/>
        <w:numPr>
          <w:ilvl w:val="0"/>
          <w:numId w:val="23"/>
        </w:numPr>
        <w:ind w:left="425" w:hanging="425"/>
        <w:jc w:val="left"/>
      </w:pPr>
      <w:r>
        <w:t xml:space="preserve">At a regional level, the percentage of children at risk of </w:t>
      </w:r>
      <w:r w:rsidR="00F41098">
        <w:t>child sexual exploitation</w:t>
      </w:r>
      <w:r>
        <w:t xml:space="preserve"> varied from </w:t>
      </w:r>
      <w:r w:rsidR="001634C2">
        <w:t>6</w:t>
      </w:r>
      <w:r>
        <w:t>% in the South West to 1% in the West Midlands.</w:t>
      </w:r>
      <w:r w:rsidR="00F128AD">
        <w:t xml:space="preserve"> The ADCS Safeguarding Pressures research also indicates that some of the areas with highest numbers of children at risk were coastal towns.</w:t>
      </w:r>
      <w:r w:rsidR="00F128AD">
        <w:rPr>
          <w:rStyle w:val="FootnoteReference"/>
        </w:rPr>
        <w:footnoteReference w:id="35"/>
      </w:r>
      <w:r>
        <w:t xml:space="preserve"> (Map </w:t>
      </w:r>
      <w:r w:rsidR="00AE43D9">
        <w:t xml:space="preserve">1 </w:t>
      </w:r>
      <w:r w:rsidR="00F80E76">
        <w:t xml:space="preserve">in </w:t>
      </w:r>
      <w:r w:rsidR="00C86039">
        <w:t>u</w:t>
      </w:r>
      <w:r w:rsidR="00F80E76">
        <w:t>nderlying data tables</w:t>
      </w:r>
      <w:r>
        <w:t>)</w:t>
      </w:r>
    </w:p>
    <w:p w14:paraId="3680ADE1" w14:textId="127C9C38" w:rsidR="00974025" w:rsidRPr="00974025" w:rsidRDefault="006A36D8" w:rsidP="00607865">
      <w:pPr>
        <w:pStyle w:val="ListParagraph"/>
        <w:numPr>
          <w:ilvl w:val="0"/>
          <w:numId w:val="23"/>
        </w:numPr>
        <w:ind w:left="425" w:hanging="425"/>
        <w:jc w:val="left"/>
      </w:pPr>
      <w:r>
        <w:t>Ten local authorities reported</w:t>
      </w:r>
      <w:r w:rsidR="001F117F">
        <w:t xml:space="preserve"> that, of the children placed with their own approved foster carers on 31 March 2016, none were known to be</w:t>
      </w:r>
      <w:r>
        <w:t xml:space="preserve"> either at risk of or subject to </w:t>
      </w:r>
      <w:r w:rsidR="00F41098">
        <w:t>child sexual exploitation</w:t>
      </w:r>
      <w:r>
        <w:t>.</w:t>
      </w:r>
      <w:r w:rsidR="00F80E76">
        <w:rPr>
          <w:rStyle w:val="FootnoteReference"/>
        </w:rPr>
        <w:footnoteReference w:id="36"/>
      </w:r>
      <w:r>
        <w:t xml:space="preserve"> </w:t>
      </w:r>
    </w:p>
    <w:p w14:paraId="019B60FE" w14:textId="77777777" w:rsidR="00C07D1C" w:rsidRDefault="00C07D1C" w:rsidP="00607865">
      <w:pPr>
        <w:jc w:val="left"/>
        <w:rPr>
          <w:color w:val="FF0000"/>
        </w:rPr>
      </w:pPr>
    </w:p>
    <w:p w14:paraId="40E491FE" w14:textId="77777777" w:rsidR="00A206DE" w:rsidRDefault="00A206DE" w:rsidP="001C28C0">
      <w:pPr>
        <w:pStyle w:val="Heading3"/>
      </w:pPr>
      <w:bookmarkStart w:id="89" w:name="_Toc408930049"/>
      <w:bookmarkStart w:id="90" w:name="_Toc474760693"/>
      <w:r w:rsidRPr="007D279A">
        <w:t>Children going missing</w:t>
      </w:r>
      <w:bookmarkEnd w:id="89"/>
      <w:bookmarkEnd w:id="90"/>
    </w:p>
    <w:p w14:paraId="1BC18D13" w14:textId="259F49D5" w:rsidR="007D279A" w:rsidRDefault="00646F69" w:rsidP="00607865">
      <w:pPr>
        <w:pStyle w:val="ListParagraph"/>
        <w:numPr>
          <w:ilvl w:val="0"/>
          <w:numId w:val="24"/>
        </w:numPr>
        <w:ind w:left="425" w:hanging="425"/>
        <w:jc w:val="left"/>
      </w:pPr>
      <w:bookmarkStart w:id="91" w:name="_Toc408930050"/>
      <w:r>
        <w:t>In 2015-16, a total of 3,055 children (6%</w:t>
      </w:r>
      <w:r w:rsidR="009C1E09">
        <w:t xml:space="preserve"> of all fostered children</w:t>
      </w:r>
      <w:r>
        <w:t>) went missing, a total of 10,640 times, which equate</w:t>
      </w:r>
      <w:r w:rsidR="00C86039">
        <w:t>d</w:t>
      </w:r>
      <w:r>
        <w:t xml:space="preserve"> to</w:t>
      </w:r>
      <w:r w:rsidR="009D39CE">
        <w:t xml:space="preserve"> an average of</w:t>
      </w:r>
      <w:r>
        <w:t xml:space="preserve"> 3.5 missing incidents per </w:t>
      </w:r>
      <w:r w:rsidR="001F117F">
        <w:t xml:space="preserve">missing </w:t>
      </w:r>
      <w:r>
        <w:t>child.</w:t>
      </w:r>
      <w:r w:rsidR="001B6A1C">
        <w:rPr>
          <w:rStyle w:val="FootnoteReference"/>
        </w:rPr>
        <w:footnoteReference w:id="37"/>
      </w:r>
      <w:r w:rsidR="00F128AD">
        <w:t xml:space="preserve"> </w:t>
      </w:r>
    </w:p>
    <w:p w14:paraId="6B4DE200" w14:textId="43B212AD" w:rsidR="007D279A" w:rsidRDefault="007D279A" w:rsidP="00607865">
      <w:pPr>
        <w:pStyle w:val="ListParagraph"/>
        <w:numPr>
          <w:ilvl w:val="0"/>
          <w:numId w:val="24"/>
        </w:numPr>
        <w:ind w:left="425" w:hanging="425"/>
        <w:jc w:val="left"/>
      </w:pPr>
      <w:r>
        <w:t>The percentage of children going missing across England has not changed from 2014-15, while the percentage in LA placements has increased from 4% to 5%.</w:t>
      </w:r>
      <w:r w:rsidR="001B6A1C">
        <w:t xml:space="preserve"> </w:t>
      </w:r>
      <w:r>
        <w:t xml:space="preserve">The percentage of children going missing </w:t>
      </w:r>
      <w:r w:rsidR="003D7E13">
        <w:t>from IFA placements</w:t>
      </w:r>
      <w:r>
        <w:t xml:space="preserve"> has dropped from 10% to 7%,</w:t>
      </w:r>
      <w:r w:rsidR="00F935F1">
        <w:t xml:space="preserve"> though this may be an isolated dip, or a result of the chang</w:t>
      </w:r>
      <w:r>
        <w:t>e in data collection.</w:t>
      </w:r>
    </w:p>
    <w:p w14:paraId="25E3FA82" w14:textId="121221FF" w:rsidR="007D279A" w:rsidRDefault="00A14BE7" w:rsidP="00607865">
      <w:pPr>
        <w:pStyle w:val="ListParagraph"/>
        <w:numPr>
          <w:ilvl w:val="0"/>
          <w:numId w:val="24"/>
        </w:numPr>
        <w:ind w:left="425" w:hanging="425"/>
        <w:jc w:val="left"/>
      </w:pPr>
      <w:r>
        <w:t xml:space="preserve">Black and Black British children were slightly over-represented in missing figures compared to all fostered children: 7% of fostered children were Black/Black British, but </w:t>
      </w:r>
      <w:r w:rsidR="00C86039">
        <w:t xml:space="preserve">accounted for </w:t>
      </w:r>
      <w:r>
        <w:t>10% of all missing children.</w:t>
      </w:r>
    </w:p>
    <w:p w14:paraId="360E2545" w14:textId="69E1531B" w:rsidR="00F935F1" w:rsidRDefault="00F935F1" w:rsidP="00607865">
      <w:pPr>
        <w:pStyle w:val="ListParagraph"/>
        <w:numPr>
          <w:ilvl w:val="0"/>
          <w:numId w:val="24"/>
        </w:numPr>
        <w:ind w:left="425" w:hanging="425"/>
        <w:jc w:val="left"/>
      </w:pPr>
      <w:r>
        <w:t>Just over 50% of all missing children went missing primarily due to contact, including avoiding contact, with family and friends (1,610, 53%).</w:t>
      </w:r>
      <w:r w:rsidR="001F117F">
        <w:rPr>
          <w:rStyle w:val="FootnoteReference"/>
        </w:rPr>
        <w:footnoteReference w:id="38"/>
      </w:r>
      <w:r>
        <w:t xml:space="preserve"> </w:t>
      </w:r>
      <w:r w:rsidR="0066482F">
        <w:t xml:space="preserve">(Chart </w:t>
      </w:r>
      <w:r w:rsidR="00CF11A8">
        <w:t>12</w:t>
      </w:r>
      <w:r w:rsidR="0066482F">
        <w:t>)</w:t>
      </w:r>
    </w:p>
    <w:p w14:paraId="5DDDD8D8" w14:textId="3E63458F" w:rsidR="0066482F" w:rsidRDefault="0066482F" w:rsidP="00851FB7">
      <w:pPr>
        <w:pStyle w:val="Table"/>
      </w:pPr>
      <w:bookmarkStart w:id="92" w:name="_Toc475440570"/>
      <w:r>
        <w:lastRenderedPageBreak/>
        <w:t xml:space="preserve">Chart </w:t>
      </w:r>
      <w:r w:rsidR="00CF11A8">
        <w:t>12</w:t>
      </w:r>
      <w:r>
        <w:t>: Number of children missing by primary reason, by sector</w:t>
      </w:r>
      <w:r w:rsidR="00874FE7">
        <w:t>, 2016</w:t>
      </w:r>
      <w:bookmarkEnd w:id="92"/>
    </w:p>
    <w:p w14:paraId="22D4C211" w14:textId="68FAEBB3" w:rsidR="0066482F" w:rsidRDefault="00507B5F" w:rsidP="0066482F">
      <w:r w:rsidRPr="00507B5F">
        <w:rPr>
          <w:noProof/>
        </w:rPr>
        <w:t xml:space="preserve"> </w:t>
      </w:r>
      <w:r w:rsidR="00851FB7">
        <w:rPr>
          <w:noProof/>
        </w:rPr>
        <w:drawing>
          <wp:inline distT="0" distB="0" distL="0" distR="0" wp14:anchorId="1CDFE346" wp14:editId="5565200F">
            <wp:extent cx="4622800" cy="2689139"/>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640488" cy="2699428"/>
                    </a:xfrm>
                    <a:prstGeom prst="rect">
                      <a:avLst/>
                    </a:prstGeom>
                  </pic:spPr>
                </pic:pic>
              </a:graphicData>
            </a:graphic>
          </wp:inline>
        </w:drawing>
      </w:r>
    </w:p>
    <w:p w14:paraId="5725D9B8" w14:textId="77777777" w:rsidR="000A09E6" w:rsidRDefault="000A09E6" w:rsidP="0066482F"/>
    <w:p w14:paraId="621E55FD" w14:textId="30480B21" w:rsidR="006C7E53" w:rsidRDefault="006C7E53" w:rsidP="00607865">
      <w:pPr>
        <w:pStyle w:val="ListParagraph"/>
        <w:numPr>
          <w:ilvl w:val="0"/>
          <w:numId w:val="25"/>
        </w:numPr>
        <w:ind w:left="425" w:hanging="357"/>
        <w:jc w:val="left"/>
      </w:pPr>
      <w:r>
        <w:t xml:space="preserve">The majority of </w:t>
      </w:r>
      <w:r w:rsidR="008539FC">
        <w:t xml:space="preserve">those </w:t>
      </w:r>
      <w:r>
        <w:t>missing (8</w:t>
      </w:r>
      <w:r w:rsidR="008E790F">
        <w:t>5</w:t>
      </w:r>
      <w:r>
        <w:t>%</w:t>
      </w:r>
      <w:r w:rsidR="008539FC">
        <w:t xml:space="preserve"> or </w:t>
      </w:r>
      <w:r>
        <w:t xml:space="preserve">2,605) were missing for less than one week. The </w:t>
      </w:r>
      <w:proofErr w:type="spellStart"/>
      <w:r>
        <w:t>DfE</w:t>
      </w:r>
      <w:proofErr w:type="spellEnd"/>
      <w:r>
        <w:t xml:space="preserve"> also reported the majority of all missing </w:t>
      </w:r>
      <w:r w:rsidR="00851FB7">
        <w:t xml:space="preserve">children looked after </w:t>
      </w:r>
      <w:r>
        <w:t>being missing for less than a week, though their percentage was higher at 97% (41,650 of 43,0</w:t>
      </w:r>
      <w:r w:rsidR="00280FAE">
        <w:t>0</w:t>
      </w:r>
      <w:r>
        <w:t xml:space="preserve">0 </w:t>
      </w:r>
      <w:r w:rsidR="00A8268B">
        <w:t>children</w:t>
      </w:r>
      <w:r>
        <w:t>).</w:t>
      </w:r>
      <w:r>
        <w:rPr>
          <w:rStyle w:val="FootnoteReference"/>
        </w:rPr>
        <w:footnoteReference w:id="39"/>
      </w:r>
    </w:p>
    <w:p w14:paraId="40D5A533" w14:textId="41BAD9D5" w:rsidR="007778D9" w:rsidRDefault="00BB1219" w:rsidP="00607865">
      <w:pPr>
        <w:pStyle w:val="ListParagraph"/>
        <w:numPr>
          <w:ilvl w:val="0"/>
          <w:numId w:val="25"/>
        </w:numPr>
        <w:ind w:left="425" w:hanging="357"/>
        <w:jc w:val="left"/>
      </w:pPr>
      <w:r>
        <w:t xml:space="preserve">IFAs had a higher percentage of children missing for a total period of less than 24 hours, compared to LAs. (Chart </w:t>
      </w:r>
      <w:r w:rsidR="00CF11A8">
        <w:t>13</w:t>
      </w:r>
      <w:r>
        <w:t>)</w:t>
      </w:r>
    </w:p>
    <w:p w14:paraId="5F2F6AA5" w14:textId="77777777" w:rsidR="001B6A1C" w:rsidRDefault="001B6A1C" w:rsidP="001747C9"/>
    <w:p w14:paraId="391B22F8" w14:textId="76593763" w:rsidR="00BB1219" w:rsidRDefault="00BB1219" w:rsidP="001B6A1C">
      <w:pPr>
        <w:pStyle w:val="Table"/>
      </w:pPr>
      <w:bookmarkStart w:id="93" w:name="_Toc475440571"/>
      <w:r>
        <w:t>Chart</w:t>
      </w:r>
      <w:r w:rsidR="00CF11A8">
        <w:t xml:space="preserve"> 13</w:t>
      </w:r>
      <w:r>
        <w:t>: Children missing by total duration, by sector, 2016</w:t>
      </w:r>
      <w:bookmarkEnd w:id="93"/>
    </w:p>
    <w:p w14:paraId="61195491" w14:textId="62F652DE" w:rsidR="00BB1219" w:rsidRDefault="00851FB7" w:rsidP="00BB1219">
      <w:r>
        <w:rPr>
          <w:noProof/>
        </w:rPr>
        <w:drawing>
          <wp:inline distT="0" distB="0" distL="0" distR="0" wp14:anchorId="2F9B20BB" wp14:editId="5C16AF6F">
            <wp:extent cx="4241800" cy="2387708"/>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49155" cy="2391848"/>
                    </a:xfrm>
                    <a:prstGeom prst="rect">
                      <a:avLst/>
                    </a:prstGeom>
                  </pic:spPr>
                </pic:pic>
              </a:graphicData>
            </a:graphic>
          </wp:inline>
        </w:drawing>
      </w:r>
    </w:p>
    <w:p w14:paraId="23CE1BAA" w14:textId="77777777" w:rsidR="008303CB" w:rsidRDefault="008303CB" w:rsidP="00BB1219"/>
    <w:p w14:paraId="35080C32" w14:textId="1027EADE" w:rsidR="008303CB" w:rsidRDefault="008303CB" w:rsidP="00607865">
      <w:pPr>
        <w:pStyle w:val="ListParagraph"/>
        <w:numPr>
          <w:ilvl w:val="0"/>
          <w:numId w:val="26"/>
        </w:numPr>
        <w:ind w:left="425"/>
        <w:jc w:val="left"/>
      </w:pPr>
      <w:r>
        <w:lastRenderedPageBreak/>
        <w:t>A total of 4,135 RHI took place, covering around 40% of missing incidents.</w:t>
      </w:r>
      <w:r w:rsidR="009B242B">
        <w:rPr>
          <w:rStyle w:val="FootnoteReference"/>
        </w:rPr>
        <w:footnoteReference w:id="40"/>
      </w:r>
    </w:p>
    <w:p w14:paraId="10C89FED" w14:textId="77777777" w:rsidR="008303CB" w:rsidRDefault="008303CB" w:rsidP="00607865">
      <w:pPr>
        <w:pStyle w:val="ListParagraph"/>
        <w:numPr>
          <w:ilvl w:val="0"/>
          <w:numId w:val="26"/>
        </w:numPr>
        <w:ind w:left="425"/>
        <w:jc w:val="left"/>
      </w:pPr>
      <w:r>
        <w:t xml:space="preserve">These RHI were conducted for 1,650 </w:t>
      </w:r>
      <w:r w:rsidR="00A8268B">
        <w:t>children</w:t>
      </w:r>
      <w:r>
        <w:t xml:space="preserve"> who went missing</w:t>
      </w:r>
      <w:r w:rsidR="009678A3">
        <w:t xml:space="preserve">, around </w:t>
      </w:r>
      <w:r w:rsidR="00AD70D4">
        <w:t>55</w:t>
      </w:r>
      <w:r w:rsidR="009678A3">
        <w:t>% of the 3,055 total missing children. Those children who had an RHI had an average of 2.5 per child.</w:t>
      </w:r>
      <w:r>
        <w:t xml:space="preserve"> </w:t>
      </w:r>
    </w:p>
    <w:p w14:paraId="7BABFEB1" w14:textId="51940F74" w:rsidR="00F80E76" w:rsidRDefault="008303CB" w:rsidP="00607865">
      <w:pPr>
        <w:pStyle w:val="ListParagraph"/>
        <w:numPr>
          <w:ilvl w:val="0"/>
          <w:numId w:val="26"/>
        </w:numPr>
        <w:ind w:left="425"/>
        <w:jc w:val="left"/>
      </w:pPr>
      <w:r>
        <w:t xml:space="preserve">Children fostered through LAs were more likely to have at least one RHI (61%, compared to 43% of </w:t>
      </w:r>
      <w:r w:rsidR="009678A3">
        <w:t xml:space="preserve">children fostered through </w:t>
      </w:r>
      <w:r>
        <w:t xml:space="preserve">IFAs). </w:t>
      </w:r>
    </w:p>
    <w:p w14:paraId="1056C3F7" w14:textId="77777777" w:rsidR="000C4F7F" w:rsidRDefault="00E819DF" w:rsidP="00607865">
      <w:pPr>
        <w:pStyle w:val="ListParagraph"/>
        <w:numPr>
          <w:ilvl w:val="0"/>
          <w:numId w:val="26"/>
        </w:numPr>
        <w:ind w:left="425"/>
        <w:jc w:val="left"/>
      </w:pPr>
      <w:r>
        <w:t>Ofsted also coordinates a survey of children in foster care every year, which includes a question about children who go missing having a chance to talk to someone independent on their return. Although the percentage of children who said they did get a chance was higher (66%)</w:t>
      </w:r>
      <w:r w:rsidR="009678A3">
        <w:t xml:space="preserve"> than those who did not</w:t>
      </w:r>
      <w:r>
        <w:t xml:space="preserve">, only 170 </w:t>
      </w:r>
      <w:r w:rsidR="00A8268B">
        <w:t>children</w:t>
      </w:r>
      <w:r>
        <w:t xml:space="preserve"> responded to the question. The percentage of </w:t>
      </w:r>
      <w:r w:rsidR="00A8268B">
        <w:t>children</w:t>
      </w:r>
      <w:r>
        <w:t xml:space="preserve"> in children’s homes was higher, at 81% (of 454 </w:t>
      </w:r>
      <w:r w:rsidR="00A8268B">
        <w:t>children</w:t>
      </w:r>
      <w:r>
        <w:t>).</w:t>
      </w:r>
      <w:r>
        <w:rPr>
          <w:rStyle w:val="FootnoteReference"/>
        </w:rPr>
        <w:footnoteReference w:id="41"/>
      </w:r>
    </w:p>
    <w:p w14:paraId="6BA8915A" w14:textId="3821C6F5" w:rsidR="000A09E6" w:rsidRDefault="001F117F" w:rsidP="00607865">
      <w:pPr>
        <w:pStyle w:val="ListBullet"/>
        <w:numPr>
          <w:ilvl w:val="0"/>
          <w:numId w:val="26"/>
        </w:numPr>
        <w:ind w:left="425"/>
        <w:jc w:val="left"/>
      </w:pPr>
      <w:r>
        <w:t>There were eight LAs which reported that no children in placement with the LA</w:t>
      </w:r>
      <w:r w:rsidR="00851FB7">
        <w:t>’</w:t>
      </w:r>
      <w:r>
        <w:t>s approved foster carers on 31 March 2016 received return home interviews</w:t>
      </w:r>
      <w:r w:rsidR="000A09E6">
        <w:t>.</w:t>
      </w:r>
      <w:r w:rsidR="000A09E6">
        <w:rPr>
          <w:rStyle w:val="FootnoteReference"/>
        </w:rPr>
        <w:footnoteReference w:id="42"/>
      </w:r>
    </w:p>
    <w:p w14:paraId="3CDD137F" w14:textId="5B003251" w:rsidR="000A09E6" w:rsidRDefault="000A09E6" w:rsidP="00607865">
      <w:pPr>
        <w:pStyle w:val="ListBullet"/>
        <w:numPr>
          <w:ilvl w:val="0"/>
          <w:numId w:val="26"/>
        </w:numPr>
        <w:ind w:left="425"/>
        <w:jc w:val="left"/>
      </w:pPr>
      <w:r>
        <w:t>Children who went missing due to being asylum seekers were least likely to have an RHI (2</w:t>
      </w:r>
      <w:r w:rsidR="009678A3">
        <w:t>5</w:t>
      </w:r>
      <w:r>
        <w:t xml:space="preserve"> of </w:t>
      </w:r>
      <w:r w:rsidR="009678A3">
        <w:t>35</w:t>
      </w:r>
      <w:r>
        <w:t xml:space="preserve">), followed by </w:t>
      </w:r>
      <w:r w:rsidR="00A8268B">
        <w:t>children</w:t>
      </w:r>
      <w:r>
        <w:t xml:space="preserve"> with a reported reason for going missing of “unknown” (61%</w:t>
      </w:r>
      <w:r w:rsidR="001B6A1C">
        <w:t xml:space="preserve"> or</w:t>
      </w:r>
      <w:r>
        <w:t xml:space="preserve"> </w:t>
      </w:r>
      <w:r w:rsidR="009678A3">
        <w:t>235</w:t>
      </w:r>
      <w:r>
        <w:t xml:space="preserve">). Children missing due to substance misuse were most likely to have an RHI (only </w:t>
      </w:r>
      <w:r w:rsidR="009678A3">
        <w:t>18</w:t>
      </w:r>
      <w:r>
        <w:t xml:space="preserve">% of this group had no RHI, </w:t>
      </w:r>
      <w:r w:rsidR="009678A3">
        <w:t xml:space="preserve">10 </w:t>
      </w:r>
      <w:r>
        <w:t>of 5</w:t>
      </w:r>
      <w:r w:rsidR="009678A3">
        <w:t>5</w:t>
      </w:r>
      <w:r>
        <w:t xml:space="preserve"> </w:t>
      </w:r>
      <w:r w:rsidR="00A8268B">
        <w:t>children</w:t>
      </w:r>
      <w:r>
        <w:t>).</w:t>
      </w:r>
      <w:r w:rsidR="001F117F">
        <w:rPr>
          <w:rStyle w:val="FootnoteReference"/>
        </w:rPr>
        <w:footnoteReference w:id="43"/>
      </w:r>
      <w:r>
        <w:t xml:space="preserve"> </w:t>
      </w:r>
    </w:p>
    <w:p w14:paraId="0841B4E6" w14:textId="77777777" w:rsidR="000C2159" w:rsidRDefault="000C2159" w:rsidP="00607865">
      <w:pPr>
        <w:pStyle w:val="ListBullet"/>
        <w:numPr>
          <w:ilvl w:val="0"/>
          <w:numId w:val="0"/>
        </w:numPr>
        <w:jc w:val="left"/>
      </w:pPr>
    </w:p>
    <w:p w14:paraId="5BC59326" w14:textId="7D447E4C" w:rsidR="00A206DE" w:rsidRDefault="00A84063" w:rsidP="001C28C0">
      <w:pPr>
        <w:pStyle w:val="Heading3"/>
      </w:pPr>
      <w:bookmarkStart w:id="94" w:name="_Toc474760694"/>
      <w:bookmarkEnd w:id="91"/>
      <w:r>
        <w:t xml:space="preserve">Missing and </w:t>
      </w:r>
      <w:r w:rsidR="00F41098">
        <w:t>child sexual exploitation</w:t>
      </w:r>
      <w:r>
        <w:t xml:space="preserve"> – links to children’s experiences</w:t>
      </w:r>
      <w:bookmarkEnd w:id="94"/>
    </w:p>
    <w:p w14:paraId="45AB1077" w14:textId="5B4E278C" w:rsidR="009E1D06" w:rsidRDefault="009E1D06" w:rsidP="00607865">
      <w:pPr>
        <w:jc w:val="left"/>
      </w:pPr>
      <w:r>
        <w:t xml:space="preserve">With data available at child level for the first time, </w:t>
      </w:r>
      <w:r w:rsidR="00C86039">
        <w:t xml:space="preserve">it is possible </w:t>
      </w:r>
      <w:r>
        <w:t xml:space="preserve">to do some analysis relating to the links between children going missing and/or being at risk of </w:t>
      </w:r>
      <w:r w:rsidR="00F41098">
        <w:t>child sexual exploitation</w:t>
      </w:r>
      <w:r>
        <w:t xml:space="preserve"> and other factors in their lives.</w:t>
      </w:r>
      <w:r w:rsidR="00DF01BE">
        <w:t xml:space="preserve"> </w:t>
      </w:r>
    </w:p>
    <w:p w14:paraId="1AC0D58B" w14:textId="0C15F2FE" w:rsidR="00C86039" w:rsidRDefault="00C86039" w:rsidP="00607865">
      <w:pPr>
        <w:pStyle w:val="ListParagraph"/>
        <w:numPr>
          <w:ilvl w:val="0"/>
          <w:numId w:val="27"/>
        </w:numPr>
        <w:ind w:left="426"/>
        <w:jc w:val="left"/>
      </w:pPr>
      <w:r>
        <w:t>Not all children at risk of sexual exploitation went missing during the year. Some, though, having gone missing in the previous year, will have been iden</w:t>
      </w:r>
      <w:r w:rsidR="0046647F">
        <w:t>ti</w:t>
      </w:r>
      <w:r>
        <w:t xml:space="preserve">fied as being </w:t>
      </w:r>
      <w:r w:rsidR="00851FB7">
        <w:t xml:space="preserve">at </w:t>
      </w:r>
      <w:r>
        <w:t xml:space="preserve">risk because they went missing. </w:t>
      </w:r>
    </w:p>
    <w:p w14:paraId="4EA38224" w14:textId="48809B97" w:rsidR="009E1D06" w:rsidRDefault="00BC607B" w:rsidP="00607865">
      <w:pPr>
        <w:pStyle w:val="ListParagraph"/>
        <w:numPr>
          <w:ilvl w:val="0"/>
          <w:numId w:val="27"/>
        </w:numPr>
        <w:ind w:left="426"/>
        <w:jc w:val="left"/>
      </w:pPr>
      <w:r>
        <w:t xml:space="preserve">A higher percentage of </w:t>
      </w:r>
      <w:r w:rsidR="00CF72BF">
        <w:t xml:space="preserve">children at risk of </w:t>
      </w:r>
      <w:r w:rsidR="00F41098">
        <w:t>child sexual exploitation</w:t>
      </w:r>
      <w:r w:rsidR="00CF72BF">
        <w:t xml:space="preserve"> went missing, than of children not at risk of </w:t>
      </w:r>
      <w:r w:rsidR="00F41098">
        <w:t>child sexual exploitation</w:t>
      </w:r>
      <w:r w:rsidR="00CF72BF">
        <w:t>:</w:t>
      </w:r>
      <w:r w:rsidR="009E1D06">
        <w:t xml:space="preserve"> 40% of children at risk of </w:t>
      </w:r>
      <w:r w:rsidR="00F41098">
        <w:t>child sexual exploitation</w:t>
      </w:r>
      <w:r w:rsidR="009E1D06">
        <w:t xml:space="preserve"> had at least one missing incident, compared to 5% of children not at risk.</w:t>
      </w:r>
      <w:r w:rsidR="007F6B60">
        <w:t xml:space="preserve"> The link between missing and </w:t>
      </w:r>
      <w:r w:rsidR="00F41098">
        <w:t>child sexual exploitation</w:t>
      </w:r>
      <w:r w:rsidR="007F6B60">
        <w:t xml:space="preserve"> risk was also highlighted in the recent </w:t>
      </w:r>
      <w:r w:rsidR="007F6B60" w:rsidRPr="009C794A">
        <w:t>H</w:t>
      </w:r>
      <w:r w:rsidR="00A06463" w:rsidRPr="009C794A">
        <w:t xml:space="preserve">er </w:t>
      </w:r>
      <w:r w:rsidR="007F6B60" w:rsidRPr="009C794A">
        <w:t>M</w:t>
      </w:r>
      <w:r w:rsidR="00A06463" w:rsidRPr="009C794A">
        <w:t xml:space="preserve">ajesty’s </w:t>
      </w:r>
      <w:r w:rsidR="007F6B60" w:rsidRPr="009C794A">
        <w:t>I</w:t>
      </w:r>
      <w:r w:rsidR="00A06463" w:rsidRPr="009C794A">
        <w:t xml:space="preserve">nspectorate of </w:t>
      </w:r>
      <w:r w:rsidR="007F6B60" w:rsidRPr="009C794A">
        <w:t>C</w:t>
      </w:r>
      <w:r w:rsidR="00A06463" w:rsidRPr="009C794A">
        <w:t>onstabulary (HMIC)</w:t>
      </w:r>
      <w:r w:rsidR="007F6B60">
        <w:t xml:space="preserve"> investigation of the Metropolitan Police Service, whose missing policy includes classifying all children at risk of </w:t>
      </w:r>
      <w:r w:rsidR="00F41098">
        <w:t>child sexual exploitation</w:t>
      </w:r>
      <w:r w:rsidR="007F6B60">
        <w:t xml:space="preserve"> as missing </w:t>
      </w:r>
      <w:r w:rsidR="007F6B60">
        <w:lastRenderedPageBreak/>
        <w:t>(rather than absent) if they are away from home, resulting in a police investigation to find the child.</w:t>
      </w:r>
      <w:r w:rsidR="009E1D06" w:rsidRPr="007F6B60">
        <w:rPr>
          <w:rStyle w:val="FootnoteReference"/>
        </w:rPr>
        <w:footnoteReference w:id="44"/>
      </w:r>
      <w:r w:rsidR="009E1D06">
        <w:t xml:space="preserve"> </w:t>
      </w:r>
    </w:p>
    <w:p w14:paraId="71C481E8" w14:textId="1C5A2100" w:rsidR="00E35AA9" w:rsidRDefault="00CF72BF" w:rsidP="00607865">
      <w:pPr>
        <w:pStyle w:val="ListParagraph"/>
        <w:numPr>
          <w:ilvl w:val="0"/>
          <w:numId w:val="27"/>
        </w:numPr>
        <w:ind w:left="426"/>
        <w:jc w:val="left"/>
      </w:pPr>
      <w:r>
        <w:t>There was also a higher percentage of c</w:t>
      </w:r>
      <w:r w:rsidR="009E1D06">
        <w:t xml:space="preserve">hildren at risk of </w:t>
      </w:r>
      <w:r w:rsidR="00F41098">
        <w:t>child sexual exploitation</w:t>
      </w:r>
      <w:r w:rsidR="009E1D06">
        <w:t xml:space="preserve"> </w:t>
      </w:r>
      <w:r>
        <w:t>going</w:t>
      </w:r>
      <w:r w:rsidR="009E1D06">
        <w:t xml:space="preserve"> missing for reasons related to their </w:t>
      </w:r>
      <w:r w:rsidR="00F41098">
        <w:t xml:space="preserve">child sexual </w:t>
      </w:r>
      <w:r w:rsidR="009C794A">
        <w:t>exploitation</w:t>
      </w:r>
      <w:r w:rsidR="009C794A" w:rsidDel="00F41098">
        <w:t xml:space="preserve"> </w:t>
      </w:r>
      <w:r w:rsidR="009C794A">
        <w:t>risk</w:t>
      </w:r>
      <w:r w:rsidR="009E1D06">
        <w:t xml:space="preserve">, with 15% of </w:t>
      </w:r>
      <w:r w:rsidR="00A8268B">
        <w:t>children</w:t>
      </w:r>
      <w:r w:rsidR="009E1D06">
        <w:t xml:space="preserve"> at risk of </w:t>
      </w:r>
      <w:r w:rsidR="00F41098">
        <w:t>child sexual exploitation</w:t>
      </w:r>
      <w:r w:rsidR="00F41098" w:rsidDel="00F41098">
        <w:t xml:space="preserve"> </w:t>
      </w:r>
      <w:r w:rsidR="009E1D06">
        <w:t xml:space="preserve">going missing for this reason, compared </w:t>
      </w:r>
      <w:r w:rsidR="00897382">
        <w:t xml:space="preserve">with </w:t>
      </w:r>
      <w:r w:rsidR="009E1D06">
        <w:t xml:space="preserve">2% of </w:t>
      </w:r>
      <w:r w:rsidR="00A8268B">
        <w:t xml:space="preserve">children </w:t>
      </w:r>
      <w:r w:rsidR="009E1D06">
        <w:t xml:space="preserve">not at risk. </w:t>
      </w:r>
    </w:p>
    <w:p w14:paraId="1AB89187" w14:textId="69961847" w:rsidR="009E1D06" w:rsidRDefault="00CF72BF" w:rsidP="00607865">
      <w:pPr>
        <w:pStyle w:val="ListParagraph"/>
        <w:numPr>
          <w:ilvl w:val="0"/>
          <w:numId w:val="27"/>
        </w:numPr>
        <w:ind w:left="426"/>
        <w:jc w:val="left"/>
      </w:pPr>
      <w:r>
        <w:t xml:space="preserve">A lower percentage of children at risk of </w:t>
      </w:r>
      <w:r w:rsidR="00F41098">
        <w:t>child sexual exploitation</w:t>
      </w:r>
      <w:r>
        <w:t xml:space="preserve"> than of those not at risk went</w:t>
      </w:r>
      <w:r w:rsidR="009E1D06">
        <w:t xml:space="preserve"> missing for unknown reasons (9% compared to 14%), possibly because they were already at higher risk, so might be more likely to receive more attention on their return.</w:t>
      </w:r>
    </w:p>
    <w:p w14:paraId="35B39F6A" w14:textId="77777777" w:rsidR="00FF17BC" w:rsidRDefault="00FF17BC" w:rsidP="00607865">
      <w:pPr>
        <w:pStyle w:val="ListParagraph"/>
        <w:ind w:left="426"/>
        <w:jc w:val="left"/>
        <w:sectPr w:rsidR="00FF17BC" w:rsidSect="001747C9">
          <w:headerReference w:type="even" r:id="rId27"/>
          <w:headerReference w:type="default" r:id="rId28"/>
          <w:footerReference w:type="even" r:id="rId29"/>
          <w:footerReference w:type="default" r:id="rId30"/>
          <w:headerReference w:type="first" r:id="rId31"/>
          <w:footerReference w:type="first" r:id="rId32"/>
          <w:pgSz w:w="11906" w:h="16838" w:code="9"/>
          <w:pgMar w:top="356" w:right="1440" w:bottom="1440" w:left="1440" w:header="284" w:footer="202" w:gutter="0"/>
          <w:cols w:space="708"/>
          <w:docGrid w:linePitch="360"/>
        </w:sectPr>
      </w:pPr>
    </w:p>
    <w:p w14:paraId="46F78843" w14:textId="462C1C81" w:rsidR="00FF17BC" w:rsidRDefault="00CF72BF" w:rsidP="00607865">
      <w:pPr>
        <w:pStyle w:val="ListParagraph"/>
        <w:numPr>
          <w:ilvl w:val="0"/>
          <w:numId w:val="27"/>
        </w:numPr>
        <w:ind w:left="426"/>
        <w:jc w:val="left"/>
      </w:pPr>
      <w:r>
        <w:t xml:space="preserve">There was also a higher percentage of children at risk of </w:t>
      </w:r>
      <w:r w:rsidR="00F41098">
        <w:t>child sexual exploitation</w:t>
      </w:r>
      <w:r>
        <w:t xml:space="preserve"> who also went missing who had at least one </w:t>
      </w:r>
      <w:r w:rsidR="006801F6">
        <w:t>RHI</w:t>
      </w:r>
      <w:r>
        <w:t xml:space="preserve">, compared to children not at risk of </w:t>
      </w:r>
      <w:r w:rsidR="00F41098">
        <w:t>child sexual exploitation</w:t>
      </w:r>
      <w:r>
        <w:t xml:space="preserve"> who went missing. However, when looking at children at risk of </w:t>
      </w:r>
      <w:r w:rsidR="00F41098">
        <w:t>child sexual exploitation</w:t>
      </w:r>
      <w:r>
        <w:t xml:space="preserve"> who also went missing, by their primary reason for going missing, children who went missing because of their risk of </w:t>
      </w:r>
      <w:r w:rsidR="00F41098">
        <w:t>child sexual exploitation</w:t>
      </w:r>
      <w:r>
        <w:t xml:space="preserve"> had the lowest percentage of missing incidents with an RHI: 37% of these incidents had an RHI, compared to 44% when looking at all missing incidents.</w:t>
      </w:r>
      <w:r w:rsidR="00874FE7">
        <w:t xml:space="preserve"> </w:t>
      </w:r>
      <w:r w:rsidR="00874FE7" w:rsidRPr="00CF11A8">
        <w:t xml:space="preserve">(Chart </w:t>
      </w:r>
      <w:r w:rsidR="00CF11A8" w:rsidRPr="00CF11A8">
        <w:t>14</w:t>
      </w:r>
      <w:r w:rsidR="00874FE7" w:rsidRPr="00CF11A8">
        <w:t>)</w:t>
      </w:r>
    </w:p>
    <w:p w14:paraId="21335B9E" w14:textId="77777777" w:rsidR="003B2414" w:rsidRDefault="003B2414" w:rsidP="006A786D">
      <w:pPr>
        <w:pStyle w:val="Table"/>
      </w:pPr>
    </w:p>
    <w:p w14:paraId="4A4E77BE" w14:textId="02C198C4" w:rsidR="006A786D" w:rsidRDefault="006A786D" w:rsidP="006A786D">
      <w:pPr>
        <w:pStyle w:val="Table"/>
      </w:pPr>
      <w:bookmarkStart w:id="95" w:name="_Toc475440572"/>
      <w:r>
        <w:t xml:space="preserve">Chart </w:t>
      </w:r>
      <w:r w:rsidR="00CF11A8">
        <w:t>14</w:t>
      </w:r>
      <w:r>
        <w:t xml:space="preserve">: Missing children and Return Home Interviews, compared by </w:t>
      </w:r>
      <w:r w:rsidR="00F41098">
        <w:t>child sexual exploitation</w:t>
      </w:r>
      <w:r>
        <w:t xml:space="preserve"> risk</w:t>
      </w:r>
      <w:r w:rsidR="00874FE7">
        <w:t>, 2016</w:t>
      </w:r>
      <w:bookmarkEnd w:id="95"/>
    </w:p>
    <w:p w14:paraId="3F548878" w14:textId="254E6BCA" w:rsidR="006A786D" w:rsidRDefault="00851FB7" w:rsidP="006A786D">
      <w:r>
        <w:rPr>
          <w:noProof/>
        </w:rPr>
        <w:drawing>
          <wp:inline distT="0" distB="0" distL="0" distR="0" wp14:anchorId="55DEBE4F" wp14:editId="5D37BA22">
            <wp:extent cx="3943350" cy="26384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943350" cy="2638425"/>
                    </a:xfrm>
                    <a:prstGeom prst="rect">
                      <a:avLst/>
                    </a:prstGeom>
                  </pic:spPr>
                </pic:pic>
              </a:graphicData>
            </a:graphic>
          </wp:inline>
        </w:drawing>
      </w:r>
      <w:r w:rsidR="00267B4C" w:rsidRPr="00267B4C">
        <w:rPr>
          <w:noProof/>
        </w:rPr>
        <w:t xml:space="preserve"> </w:t>
      </w:r>
    </w:p>
    <w:p w14:paraId="29043245" w14:textId="77777777" w:rsidR="006A786D" w:rsidRDefault="006A786D" w:rsidP="006A786D">
      <w:pPr>
        <w:ind w:left="66"/>
      </w:pPr>
    </w:p>
    <w:p w14:paraId="21095045" w14:textId="28A58FBB" w:rsidR="00FF17BC" w:rsidRDefault="00CF72BF" w:rsidP="00607865">
      <w:pPr>
        <w:pStyle w:val="ListParagraph"/>
        <w:numPr>
          <w:ilvl w:val="0"/>
          <w:numId w:val="28"/>
        </w:numPr>
        <w:ind w:left="425" w:hanging="357"/>
        <w:jc w:val="left"/>
      </w:pPr>
      <w:r>
        <w:t>A higher percentage of c</w:t>
      </w:r>
      <w:r w:rsidR="00A8268B">
        <w:t xml:space="preserve">hildren </w:t>
      </w:r>
      <w:r w:rsidR="00FF17BC">
        <w:t xml:space="preserve">at risk of </w:t>
      </w:r>
      <w:r w:rsidR="00F41098">
        <w:t>child sexual exploitation</w:t>
      </w:r>
      <w:r w:rsidR="00FF17BC">
        <w:t xml:space="preserve">, and </w:t>
      </w:r>
      <w:r>
        <w:t xml:space="preserve">of </w:t>
      </w:r>
      <w:r w:rsidR="00A8268B">
        <w:t>children</w:t>
      </w:r>
      <w:r w:rsidR="00FF17BC">
        <w:t xml:space="preserve"> who went missing, </w:t>
      </w:r>
      <w:r>
        <w:t xml:space="preserve">had </w:t>
      </w:r>
      <w:r w:rsidR="00FF17BC">
        <w:t>unplanned endings</w:t>
      </w:r>
      <w:r>
        <w:t xml:space="preserve">, compared to children who either were not at risk of </w:t>
      </w:r>
      <w:r w:rsidR="00F41098">
        <w:t>child sexual exploitation</w:t>
      </w:r>
      <w:r>
        <w:t xml:space="preserve"> or did not go missing</w:t>
      </w:r>
      <w:r w:rsidR="00FF17BC">
        <w:t>.</w:t>
      </w:r>
      <w:r w:rsidR="00C50285" w:rsidRPr="00C50285">
        <w:rPr>
          <w:noProof/>
        </w:rPr>
        <w:t xml:space="preserve"> </w:t>
      </w:r>
      <w:r w:rsidR="00874FE7" w:rsidRPr="00CF11A8">
        <w:rPr>
          <w:noProof/>
        </w:rPr>
        <w:t xml:space="preserve">(Chart </w:t>
      </w:r>
      <w:r w:rsidR="00CF11A8" w:rsidRPr="00CF11A8">
        <w:rPr>
          <w:noProof/>
        </w:rPr>
        <w:t>15</w:t>
      </w:r>
      <w:r w:rsidR="00874FE7" w:rsidRPr="00CF11A8">
        <w:rPr>
          <w:noProof/>
        </w:rPr>
        <w:t>)</w:t>
      </w:r>
    </w:p>
    <w:p w14:paraId="7D591A50" w14:textId="77777777" w:rsidR="003B2414" w:rsidRDefault="003B2414" w:rsidP="001C28C0">
      <w:pPr>
        <w:pStyle w:val="Table"/>
      </w:pPr>
    </w:p>
    <w:p w14:paraId="5E53788E" w14:textId="0E8B8E4B" w:rsidR="006A786D" w:rsidRDefault="006A786D" w:rsidP="001C28C0">
      <w:pPr>
        <w:pStyle w:val="Table"/>
      </w:pPr>
      <w:bookmarkStart w:id="96" w:name="_Toc475440573"/>
      <w:r>
        <w:t xml:space="preserve">Chart </w:t>
      </w:r>
      <w:r w:rsidR="00CF11A8">
        <w:t>15</w:t>
      </w:r>
      <w:r>
        <w:t xml:space="preserve">: Unplanned endings, compared by </w:t>
      </w:r>
      <w:r w:rsidR="00F41098">
        <w:t>child sexual exploitation</w:t>
      </w:r>
      <w:r>
        <w:t xml:space="preserve"> risk, and by missing</w:t>
      </w:r>
      <w:r w:rsidR="00874FE7">
        <w:t>, 2016</w:t>
      </w:r>
      <w:bookmarkEnd w:id="96"/>
    </w:p>
    <w:p w14:paraId="4344C56A" w14:textId="287B44C6" w:rsidR="006A786D" w:rsidRDefault="00851FB7" w:rsidP="00607865">
      <w:pPr>
        <w:jc w:val="left"/>
      </w:pPr>
      <w:r>
        <w:rPr>
          <w:noProof/>
        </w:rPr>
        <w:drawing>
          <wp:inline distT="0" distB="0" distL="0" distR="0" wp14:anchorId="4E2930E7" wp14:editId="1D45EF2D">
            <wp:extent cx="4552950" cy="26098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552950" cy="2609850"/>
                    </a:xfrm>
                    <a:prstGeom prst="rect">
                      <a:avLst/>
                    </a:prstGeom>
                  </pic:spPr>
                </pic:pic>
              </a:graphicData>
            </a:graphic>
          </wp:inline>
        </w:drawing>
      </w:r>
      <w:r w:rsidR="00267B4C" w:rsidRPr="00267B4C">
        <w:rPr>
          <w:noProof/>
        </w:rPr>
        <w:t xml:space="preserve"> </w:t>
      </w:r>
    </w:p>
    <w:p w14:paraId="40564794" w14:textId="77777777" w:rsidR="006A786D" w:rsidRDefault="006A786D" w:rsidP="00607865">
      <w:pPr>
        <w:jc w:val="left"/>
      </w:pPr>
    </w:p>
    <w:p w14:paraId="4904CAF6" w14:textId="7A99A7BB" w:rsidR="00C50285" w:rsidRDefault="008E6656" w:rsidP="00607865">
      <w:pPr>
        <w:pStyle w:val="ListParagraph"/>
        <w:numPr>
          <w:ilvl w:val="0"/>
          <w:numId w:val="28"/>
        </w:numPr>
        <w:ind w:left="425" w:hanging="357"/>
        <w:jc w:val="left"/>
      </w:pPr>
      <w:r>
        <w:rPr>
          <w:noProof/>
        </w:rPr>
        <w:t xml:space="preserve">For children who </w:t>
      </w:r>
      <w:r w:rsidR="00C86039">
        <w:rPr>
          <w:noProof/>
        </w:rPr>
        <w:t xml:space="preserve">either </w:t>
      </w:r>
      <w:r>
        <w:rPr>
          <w:noProof/>
        </w:rPr>
        <w:t xml:space="preserve">went missing or were at risk of </w:t>
      </w:r>
      <w:r w:rsidR="00F41098">
        <w:t>child sexual exploitation</w:t>
      </w:r>
      <w:r>
        <w:rPr>
          <w:noProof/>
        </w:rPr>
        <w:t xml:space="preserve">, a </w:t>
      </w:r>
      <w:r w:rsidR="00C86039">
        <w:rPr>
          <w:noProof/>
        </w:rPr>
        <w:t xml:space="preserve">slightly </w:t>
      </w:r>
      <w:r>
        <w:rPr>
          <w:noProof/>
        </w:rPr>
        <w:t>higher percentage of their unplanned endings were</w:t>
      </w:r>
      <w:r w:rsidR="00C50285">
        <w:rPr>
          <w:noProof/>
        </w:rPr>
        <w:t xml:space="preserve"> at the foster carers’ request (60% of </w:t>
      </w:r>
      <w:r w:rsidR="00A8268B">
        <w:t>children</w:t>
      </w:r>
      <w:r w:rsidR="00C50285">
        <w:rPr>
          <w:noProof/>
        </w:rPr>
        <w:t xml:space="preserve"> who went missing </w:t>
      </w:r>
      <w:r w:rsidR="001B66BD">
        <w:rPr>
          <w:noProof/>
        </w:rPr>
        <w:t>and of those who</w:t>
      </w:r>
      <w:r w:rsidR="00C50285">
        <w:rPr>
          <w:noProof/>
        </w:rPr>
        <w:t xml:space="preserve"> were at risk of </w:t>
      </w:r>
      <w:r w:rsidR="00F41098">
        <w:t>child sexual exploitation</w:t>
      </w:r>
      <w:r w:rsidR="00C50285">
        <w:rPr>
          <w:noProof/>
        </w:rPr>
        <w:t xml:space="preserve">, compared to </w:t>
      </w:r>
      <w:r w:rsidR="001B66BD">
        <w:rPr>
          <w:noProof/>
        </w:rPr>
        <w:t xml:space="preserve">around </w:t>
      </w:r>
      <w:r w:rsidR="00C50285">
        <w:rPr>
          <w:noProof/>
        </w:rPr>
        <w:t xml:space="preserve">55% of </w:t>
      </w:r>
      <w:r w:rsidR="00A8268B">
        <w:t>children</w:t>
      </w:r>
      <w:r w:rsidR="00C50285">
        <w:rPr>
          <w:noProof/>
        </w:rPr>
        <w:t xml:space="preserve"> who did not go missing or have a risk of </w:t>
      </w:r>
      <w:r w:rsidR="00F41098">
        <w:t>child sexual exploitation</w:t>
      </w:r>
      <w:r w:rsidR="00C50285">
        <w:rPr>
          <w:noProof/>
        </w:rPr>
        <w:t>).</w:t>
      </w:r>
    </w:p>
    <w:p w14:paraId="57EB232C" w14:textId="5BBCD4FE" w:rsidR="00FF17BC" w:rsidRPr="00CF11A8" w:rsidRDefault="008E6656" w:rsidP="00607865">
      <w:pPr>
        <w:pStyle w:val="ListParagraph"/>
        <w:numPr>
          <w:ilvl w:val="0"/>
          <w:numId w:val="28"/>
        </w:numPr>
        <w:ind w:left="425" w:hanging="357"/>
        <w:jc w:val="left"/>
      </w:pPr>
      <w:r>
        <w:t>A higher percentage of children in these two groups also had educational placement changes, compared to children not in one of these two groups.</w:t>
      </w:r>
      <w:r w:rsidR="00B61D4E">
        <w:t xml:space="preserve"> </w:t>
      </w:r>
      <w:r w:rsidR="00874FE7" w:rsidRPr="00CF11A8">
        <w:t xml:space="preserve">(Chart </w:t>
      </w:r>
      <w:r w:rsidR="00CF11A8" w:rsidRPr="00CF11A8">
        <w:t>16</w:t>
      </w:r>
      <w:r w:rsidR="00874FE7" w:rsidRPr="00CF11A8">
        <w:t>)</w:t>
      </w:r>
    </w:p>
    <w:p w14:paraId="280D2CF8" w14:textId="77777777" w:rsidR="009C794A" w:rsidRDefault="009C794A">
      <w:pPr>
        <w:pStyle w:val="Table"/>
      </w:pPr>
    </w:p>
    <w:p w14:paraId="11277BF3" w14:textId="4EC270F2" w:rsidR="006A786D" w:rsidRDefault="006A786D">
      <w:pPr>
        <w:pStyle w:val="Table"/>
      </w:pPr>
      <w:bookmarkStart w:id="97" w:name="_Toc475440574"/>
      <w:r>
        <w:t xml:space="preserve">Chart </w:t>
      </w:r>
      <w:r w:rsidR="00CF11A8">
        <w:t>16</w:t>
      </w:r>
      <w:r>
        <w:t xml:space="preserve">: Education placement changes, compared by </w:t>
      </w:r>
      <w:r w:rsidR="00F41098">
        <w:t>child sexual exploitation</w:t>
      </w:r>
      <w:r>
        <w:t xml:space="preserve"> risk, and by missing</w:t>
      </w:r>
      <w:r w:rsidR="00874FE7">
        <w:t>, 2016</w:t>
      </w:r>
      <w:bookmarkEnd w:id="97"/>
    </w:p>
    <w:p w14:paraId="32CACCC1" w14:textId="57D7029B" w:rsidR="00FF17BC" w:rsidRDefault="00851FB7" w:rsidP="00607865">
      <w:pPr>
        <w:spacing w:after="240"/>
        <w:jc w:val="left"/>
        <w:sectPr w:rsidR="00FF17BC" w:rsidSect="00FF17BC">
          <w:type w:val="continuous"/>
          <w:pgSz w:w="11906" w:h="16838" w:code="9"/>
          <w:pgMar w:top="356" w:right="1440" w:bottom="1440" w:left="1440" w:header="284" w:footer="709" w:gutter="0"/>
          <w:cols w:space="708"/>
          <w:docGrid w:linePitch="360"/>
        </w:sectPr>
      </w:pPr>
      <w:r>
        <w:rPr>
          <w:noProof/>
        </w:rPr>
        <w:drawing>
          <wp:inline distT="0" distB="0" distL="0" distR="0" wp14:anchorId="10A6E220" wp14:editId="43D978BA">
            <wp:extent cx="4370857" cy="233680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385328" cy="2344536"/>
                    </a:xfrm>
                    <a:prstGeom prst="rect">
                      <a:avLst/>
                    </a:prstGeom>
                  </pic:spPr>
                </pic:pic>
              </a:graphicData>
            </a:graphic>
          </wp:inline>
        </w:drawing>
      </w:r>
    </w:p>
    <w:p w14:paraId="291DD9C9" w14:textId="79A0D5B8" w:rsidR="00A206DE" w:rsidRDefault="00C469CF" w:rsidP="001C28C0">
      <w:pPr>
        <w:pStyle w:val="Heading3"/>
      </w:pPr>
      <w:bookmarkStart w:id="98" w:name="_Toc408930062"/>
      <w:bookmarkStart w:id="99" w:name="_Toc474760695"/>
      <w:r>
        <w:lastRenderedPageBreak/>
        <w:t>A</w:t>
      </w:r>
      <w:r w:rsidR="00A206DE" w:rsidRPr="00A206DE">
        <w:t xml:space="preserve">llegations of </w:t>
      </w:r>
      <w:bookmarkEnd w:id="98"/>
      <w:r w:rsidR="00AE43D9">
        <w:t>abuse</w:t>
      </w:r>
      <w:r w:rsidR="006A786D">
        <w:rPr>
          <w:rStyle w:val="FootnoteReference"/>
        </w:rPr>
        <w:footnoteReference w:id="45"/>
      </w:r>
      <w:bookmarkEnd w:id="99"/>
    </w:p>
    <w:p w14:paraId="7938CD68" w14:textId="77777777" w:rsidR="00F2125E" w:rsidRDefault="00F2125E" w:rsidP="00607865">
      <w:pPr>
        <w:pStyle w:val="ListParagraph"/>
        <w:numPr>
          <w:ilvl w:val="0"/>
          <w:numId w:val="29"/>
        </w:numPr>
        <w:ind w:left="425" w:hanging="357"/>
        <w:jc w:val="left"/>
        <w:rPr>
          <w:lang w:eastAsia="en-US"/>
        </w:rPr>
      </w:pPr>
      <w:r>
        <w:rPr>
          <w:lang w:eastAsia="en-US"/>
        </w:rPr>
        <w:t>During 2015-16, there were 2,450 allegations made against foster carers. Just under two thirds of these (63%</w:t>
      </w:r>
      <w:r w:rsidR="001B6A1C">
        <w:rPr>
          <w:lang w:eastAsia="en-US"/>
        </w:rPr>
        <w:t xml:space="preserve"> or</w:t>
      </w:r>
      <w:r>
        <w:rPr>
          <w:lang w:eastAsia="en-US"/>
        </w:rPr>
        <w:t xml:space="preserve"> 1,550) were made by fostered children. </w:t>
      </w:r>
    </w:p>
    <w:p w14:paraId="132D035F" w14:textId="2934EA18" w:rsidR="00A910F6" w:rsidRDefault="00A910F6" w:rsidP="00607865">
      <w:pPr>
        <w:pStyle w:val="ListParagraph"/>
        <w:numPr>
          <w:ilvl w:val="0"/>
          <w:numId w:val="29"/>
        </w:numPr>
        <w:ind w:left="425" w:hanging="357"/>
        <w:jc w:val="left"/>
        <w:rPr>
          <w:lang w:eastAsia="en-US"/>
        </w:rPr>
      </w:pPr>
      <w:r>
        <w:rPr>
          <w:lang w:eastAsia="en-US"/>
        </w:rPr>
        <w:t>Although the total number of allegations increased by 1% (from 2,420 to 2,450) from 2014-15,</w:t>
      </w:r>
      <w:r w:rsidR="008E6656">
        <w:rPr>
          <w:lang w:eastAsia="en-US"/>
        </w:rPr>
        <w:t xml:space="preserve"> these came from a smaller number of children:</w:t>
      </w:r>
      <w:r>
        <w:rPr>
          <w:lang w:eastAsia="en-US"/>
        </w:rPr>
        <w:t xml:space="preserve"> the number from children decreased by 5% (from 1,640 to 1,550).</w:t>
      </w:r>
    </w:p>
    <w:p w14:paraId="40E71F44" w14:textId="77777777" w:rsidR="00A910F6" w:rsidRDefault="00A910F6" w:rsidP="00607865">
      <w:pPr>
        <w:pStyle w:val="ListParagraph"/>
        <w:numPr>
          <w:ilvl w:val="0"/>
          <w:numId w:val="29"/>
        </w:numPr>
        <w:ind w:left="425" w:hanging="357"/>
        <w:jc w:val="left"/>
        <w:rPr>
          <w:lang w:eastAsia="en-US"/>
        </w:rPr>
      </w:pPr>
      <w:r>
        <w:rPr>
          <w:lang w:eastAsia="en-US"/>
        </w:rPr>
        <w:t xml:space="preserve">The number of allegations from other sources increased by 15% (from 785 to 900). Most of this was accounted for by LAs, where the number increased by 19% (from 560 to 665). </w:t>
      </w:r>
    </w:p>
    <w:p w14:paraId="7DA73FAD" w14:textId="77777777" w:rsidR="00F2125E" w:rsidRDefault="00F2125E" w:rsidP="00607865">
      <w:pPr>
        <w:pStyle w:val="ListParagraph"/>
        <w:numPr>
          <w:ilvl w:val="0"/>
          <w:numId w:val="29"/>
        </w:numPr>
        <w:ind w:left="425" w:hanging="357"/>
        <w:jc w:val="left"/>
      </w:pPr>
      <w:r>
        <w:rPr>
          <w:lang w:eastAsia="en-US"/>
        </w:rPr>
        <w:t xml:space="preserve">Allegations against IFA foster carers were more likely to come from fostered children (75%) than in LAs, where the gap between allegations by fostered children (56%) and other sources (44%) was much smaller. </w:t>
      </w:r>
    </w:p>
    <w:p w14:paraId="1442D719" w14:textId="77777777" w:rsidR="002E1402" w:rsidRDefault="00F2125E" w:rsidP="00607865">
      <w:pPr>
        <w:pStyle w:val="ListParagraph"/>
        <w:numPr>
          <w:ilvl w:val="0"/>
          <w:numId w:val="29"/>
        </w:numPr>
        <w:ind w:left="425" w:hanging="357"/>
        <w:jc w:val="left"/>
      </w:pPr>
      <w:r>
        <w:t>Over half of all allegations were related to physical abuse, with allegations of sexual abuse being least comm</w:t>
      </w:r>
      <w:r w:rsidR="002E1402">
        <w:t xml:space="preserve">on, much the same as in 2014-15. </w:t>
      </w:r>
    </w:p>
    <w:p w14:paraId="63428850" w14:textId="77777777" w:rsidR="00A910F6" w:rsidRDefault="002E1402" w:rsidP="00607865">
      <w:pPr>
        <w:pStyle w:val="ListParagraph"/>
        <w:numPr>
          <w:ilvl w:val="0"/>
          <w:numId w:val="29"/>
        </w:numPr>
        <w:ind w:left="425" w:hanging="357"/>
        <w:jc w:val="left"/>
      </w:pPr>
      <w:r>
        <w:t xml:space="preserve">However, there has been a shift in outcomes from 2014-15 to 2015-16, with allegations being more likely this year (20%) than last (17%) to result in continued monitoring. </w:t>
      </w:r>
    </w:p>
    <w:p w14:paraId="0A7441AD" w14:textId="77777777" w:rsidR="00D37C8A" w:rsidRDefault="002E1402" w:rsidP="00607865">
      <w:pPr>
        <w:pStyle w:val="ListParagraph"/>
        <w:numPr>
          <w:ilvl w:val="0"/>
          <w:numId w:val="29"/>
        </w:numPr>
        <w:ind w:left="425" w:hanging="357"/>
        <w:jc w:val="left"/>
      </w:pPr>
      <w:r>
        <w:t>Continued monitoring was also more common for LAs</w:t>
      </w:r>
      <w:r w:rsidR="00E767CC">
        <w:t xml:space="preserve"> (23% of allegations)</w:t>
      </w:r>
      <w:r>
        <w:t xml:space="preserve">, than for IFAs (15%). </w:t>
      </w:r>
    </w:p>
    <w:p w14:paraId="290850CE" w14:textId="77777777" w:rsidR="00A910F6" w:rsidRDefault="00D37C8A" w:rsidP="00607865">
      <w:pPr>
        <w:pStyle w:val="ListParagraph"/>
        <w:numPr>
          <w:ilvl w:val="0"/>
          <w:numId w:val="29"/>
        </w:numPr>
        <w:ind w:left="425" w:hanging="357"/>
        <w:jc w:val="left"/>
      </w:pPr>
      <w:r>
        <w:t xml:space="preserve">As well as allegations against LA foster carers </w:t>
      </w:r>
      <w:r w:rsidR="0081262B">
        <w:t>being</w:t>
      </w:r>
      <w:r>
        <w:t xml:space="preserve"> more likely to result in continu</w:t>
      </w:r>
      <w:r w:rsidR="00E767CC">
        <w:t>ed</w:t>
      </w:r>
      <w:r>
        <w:t xml:space="preserve"> monitoring, they also took longer to conduct the investigations. </w:t>
      </w:r>
    </w:p>
    <w:p w14:paraId="3F10C933" w14:textId="5D550B08" w:rsidR="00D37C8A" w:rsidRDefault="00897382" w:rsidP="00607865">
      <w:pPr>
        <w:pStyle w:val="ListParagraph"/>
        <w:numPr>
          <w:ilvl w:val="0"/>
          <w:numId w:val="29"/>
        </w:numPr>
        <w:ind w:left="425" w:hanging="357"/>
        <w:jc w:val="left"/>
      </w:pPr>
      <w:r>
        <w:t>Just under</w:t>
      </w:r>
      <w:r w:rsidR="00D37C8A">
        <w:t xml:space="preserve"> </w:t>
      </w:r>
      <w:r w:rsidR="00311B08">
        <w:t xml:space="preserve">50% </w:t>
      </w:r>
      <w:r w:rsidR="00D37C8A">
        <w:t xml:space="preserve">of all LA investigations took less than 21 working days (47%) compared to over </w:t>
      </w:r>
      <w:r w:rsidR="00311B08">
        <w:t xml:space="preserve">50% </w:t>
      </w:r>
      <w:r w:rsidR="00D37C8A">
        <w:t xml:space="preserve">of those conducted by IFAs (59%). (Chart </w:t>
      </w:r>
      <w:r w:rsidR="00CF11A8">
        <w:t>17</w:t>
      </w:r>
      <w:r w:rsidR="00D37C8A">
        <w:t>)</w:t>
      </w:r>
    </w:p>
    <w:p w14:paraId="0203859E" w14:textId="77777777" w:rsidR="006A786D" w:rsidRDefault="006A786D" w:rsidP="001C28C0">
      <w:pPr>
        <w:pStyle w:val="Table"/>
      </w:pPr>
    </w:p>
    <w:p w14:paraId="5C29BAF0" w14:textId="4ED0C34C" w:rsidR="00D37C8A" w:rsidRDefault="00D37C8A" w:rsidP="00D37C8A">
      <w:pPr>
        <w:pStyle w:val="Table"/>
      </w:pPr>
      <w:bookmarkStart w:id="100" w:name="_Toc475440575"/>
      <w:r>
        <w:t xml:space="preserve">Chart </w:t>
      </w:r>
      <w:r w:rsidR="00CF11A8">
        <w:t>17</w:t>
      </w:r>
      <w:r>
        <w:t>: Timescale for investigations of allegations by sector</w:t>
      </w:r>
      <w:r w:rsidR="00874FE7">
        <w:t>, 2016</w:t>
      </w:r>
      <w:bookmarkEnd w:id="100"/>
    </w:p>
    <w:p w14:paraId="47F58067" w14:textId="26317134" w:rsidR="00D37C8A" w:rsidRDefault="00C351D6" w:rsidP="00D37C8A">
      <w:r w:rsidRPr="00C351D6">
        <w:rPr>
          <w:noProof/>
        </w:rPr>
        <w:t xml:space="preserve"> </w:t>
      </w:r>
      <w:r w:rsidR="00851FB7">
        <w:rPr>
          <w:noProof/>
        </w:rPr>
        <w:drawing>
          <wp:inline distT="0" distB="0" distL="0" distR="0" wp14:anchorId="6A2C1B00" wp14:editId="5E2D8A51">
            <wp:extent cx="4199849" cy="2396067"/>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279817" cy="2441690"/>
                    </a:xfrm>
                    <a:prstGeom prst="rect">
                      <a:avLst/>
                    </a:prstGeom>
                  </pic:spPr>
                </pic:pic>
              </a:graphicData>
            </a:graphic>
          </wp:inline>
        </w:drawing>
      </w:r>
    </w:p>
    <w:p w14:paraId="6ADE0029" w14:textId="747ED9F5" w:rsidR="00CF65FF" w:rsidRDefault="00CF65FF" w:rsidP="00AB6709">
      <w:pPr>
        <w:pStyle w:val="Heading2"/>
        <w:spacing w:after="120"/>
        <w:jc w:val="left"/>
      </w:pPr>
      <w:bookmarkStart w:id="101" w:name="_Toc474760696"/>
      <w:r>
        <w:lastRenderedPageBreak/>
        <w:t>List of charts</w:t>
      </w:r>
      <w:bookmarkEnd w:id="101"/>
    </w:p>
    <w:p w14:paraId="721FB211" w14:textId="77777777" w:rsidR="00E87060" w:rsidRDefault="00C63D63">
      <w:pPr>
        <w:pStyle w:val="TableofFigures"/>
        <w:tabs>
          <w:tab w:val="right" w:leader="dot" w:pos="9016"/>
        </w:tabs>
        <w:rPr>
          <w:rFonts w:asciiTheme="minorHAnsi" w:eastAsiaTheme="minorEastAsia" w:hAnsiTheme="minorHAnsi" w:cstheme="minorBidi"/>
          <w:noProof/>
          <w:szCs w:val="22"/>
        </w:rPr>
      </w:pPr>
      <w:r>
        <w:fldChar w:fldCharType="begin"/>
      </w:r>
      <w:r>
        <w:instrText xml:space="preserve"> TOC \h \z \t "Table" \c </w:instrText>
      </w:r>
      <w:r>
        <w:fldChar w:fldCharType="separate"/>
      </w:r>
      <w:hyperlink w:anchor="_Toc475440559" w:history="1">
        <w:r w:rsidR="00E87060" w:rsidRPr="008B0907">
          <w:rPr>
            <w:rStyle w:val="Hyperlink"/>
            <w:noProof/>
          </w:rPr>
          <w:t>Chart 1: Capacity of long-term fostering households as at 31 March 2016 by sector</w:t>
        </w:r>
        <w:r w:rsidR="00E87060">
          <w:rPr>
            <w:noProof/>
            <w:webHidden/>
          </w:rPr>
          <w:tab/>
        </w:r>
        <w:r w:rsidR="00E87060">
          <w:rPr>
            <w:noProof/>
            <w:webHidden/>
          </w:rPr>
          <w:fldChar w:fldCharType="begin"/>
        </w:r>
        <w:r w:rsidR="00E87060">
          <w:rPr>
            <w:noProof/>
            <w:webHidden/>
          </w:rPr>
          <w:instrText xml:space="preserve"> PAGEREF _Toc475440559 \h </w:instrText>
        </w:r>
        <w:r w:rsidR="00E87060">
          <w:rPr>
            <w:noProof/>
            <w:webHidden/>
          </w:rPr>
        </w:r>
        <w:r w:rsidR="00E87060">
          <w:rPr>
            <w:noProof/>
            <w:webHidden/>
          </w:rPr>
          <w:fldChar w:fldCharType="separate"/>
        </w:r>
        <w:r w:rsidR="00851FB7">
          <w:rPr>
            <w:noProof/>
            <w:webHidden/>
          </w:rPr>
          <w:t>7</w:t>
        </w:r>
        <w:r w:rsidR="00E87060">
          <w:rPr>
            <w:noProof/>
            <w:webHidden/>
          </w:rPr>
          <w:fldChar w:fldCharType="end"/>
        </w:r>
      </w:hyperlink>
    </w:p>
    <w:p w14:paraId="44FF22E6" w14:textId="77777777" w:rsidR="00E87060" w:rsidRDefault="007F2768">
      <w:pPr>
        <w:pStyle w:val="TableofFigures"/>
        <w:tabs>
          <w:tab w:val="right" w:leader="dot" w:pos="9016"/>
        </w:tabs>
        <w:rPr>
          <w:rFonts w:asciiTheme="minorHAnsi" w:eastAsiaTheme="minorEastAsia" w:hAnsiTheme="minorHAnsi" w:cstheme="minorBidi"/>
          <w:noProof/>
          <w:szCs w:val="22"/>
        </w:rPr>
      </w:pPr>
      <w:hyperlink w:anchor="_Toc475440560" w:history="1">
        <w:r w:rsidR="00E87060" w:rsidRPr="008B0907">
          <w:rPr>
            <w:rStyle w:val="Hyperlink"/>
            <w:noProof/>
          </w:rPr>
          <w:t>Chart 2: Occupancy by sector as at 31 March</w:t>
        </w:r>
        <w:r w:rsidR="00E87060">
          <w:rPr>
            <w:noProof/>
            <w:webHidden/>
          </w:rPr>
          <w:tab/>
        </w:r>
        <w:r w:rsidR="00E87060">
          <w:rPr>
            <w:noProof/>
            <w:webHidden/>
          </w:rPr>
          <w:fldChar w:fldCharType="begin"/>
        </w:r>
        <w:r w:rsidR="00E87060">
          <w:rPr>
            <w:noProof/>
            <w:webHidden/>
          </w:rPr>
          <w:instrText xml:space="preserve"> PAGEREF _Toc475440560 \h </w:instrText>
        </w:r>
        <w:r w:rsidR="00E87060">
          <w:rPr>
            <w:noProof/>
            <w:webHidden/>
          </w:rPr>
        </w:r>
        <w:r w:rsidR="00E87060">
          <w:rPr>
            <w:noProof/>
            <w:webHidden/>
          </w:rPr>
          <w:fldChar w:fldCharType="separate"/>
        </w:r>
        <w:r w:rsidR="00851FB7">
          <w:rPr>
            <w:noProof/>
            <w:webHidden/>
          </w:rPr>
          <w:t>8</w:t>
        </w:r>
        <w:r w:rsidR="00E87060">
          <w:rPr>
            <w:noProof/>
            <w:webHidden/>
          </w:rPr>
          <w:fldChar w:fldCharType="end"/>
        </w:r>
      </w:hyperlink>
    </w:p>
    <w:p w14:paraId="0AEA9A9D" w14:textId="77777777" w:rsidR="00E87060" w:rsidRDefault="007F2768">
      <w:pPr>
        <w:pStyle w:val="TableofFigures"/>
        <w:tabs>
          <w:tab w:val="right" w:leader="dot" w:pos="9016"/>
        </w:tabs>
        <w:rPr>
          <w:rFonts w:asciiTheme="minorHAnsi" w:eastAsiaTheme="minorEastAsia" w:hAnsiTheme="minorHAnsi" w:cstheme="minorBidi"/>
          <w:noProof/>
          <w:szCs w:val="22"/>
        </w:rPr>
      </w:pPr>
      <w:hyperlink w:anchor="_Toc475440561" w:history="1">
        <w:r w:rsidR="00E87060" w:rsidRPr="008B0907">
          <w:rPr>
            <w:rStyle w:val="Hyperlink"/>
            <w:noProof/>
          </w:rPr>
          <w:t>Chart 3: Ethnicity of long-term foster carers by sector, as at 31 March 2016</w:t>
        </w:r>
        <w:r w:rsidR="00E87060">
          <w:rPr>
            <w:noProof/>
            <w:webHidden/>
          </w:rPr>
          <w:tab/>
        </w:r>
        <w:r w:rsidR="00E87060">
          <w:rPr>
            <w:noProof/>
            <w:webHidden/>
          </w:rPr>
          <w:fldChar w:fldCharType="begin"/>
        </w:r>
        <w:r w:rsidR="00E87060">
          <w:rPr>
            <w:noProof/>
            <w:webHidden/>
          </w:rPr>
          <w:instrText xml:space="preserve"> PAGEREF _Toc475440561 \h </w:instrText>
        </w:r>
        <w:r w:rsidR="00E87060">
          <w:rPr>
            <w:noProof/>
            <w:webHidden/>
          </w:rPr>
        </w:r>
        <w:r w:rsidR="00E87060">
          <w:rPr>
            <w:noProof/>
            <w:webHidden/>
          </w:rPr>
          <w:fldChar w:fldCharType="separate"/>
        </w:r>
        <w:r w:rsidR="00851FB7">
          <w:rPr>
            <w:noProof/>
            <w:webHidden/>
          </w:rPr>
          <w:t>9</w:t>
        </w:r>
        <w:r w:rsidR="00E87060">
          <w:rPr>
            <w:noProof/>
            <w:webHidden/>
          </w:rPr>
          <w:fldChar w:fldCharType="end"/>
        </w:r>
      </w:hyperlink>
    </w:p>
    <w:p w14:paraId="653A3055" w14:textId="77777777" w:rsidR="00E87060" w:rsidRDefault="007F2768">
      <w:pPr>
        <w:pStyle w:val="TableofFigures"/>
        <w:tabs>
          <w:tab w:val="right" w:leader="dot" w:pos="9016"/>
        </w:tabs>
        <w:rPr>
          <w:rFonts w:asciiTheme="minorHAnsi" w:eastAsiaTheme="minorEastAsia" w:hAnsiTheme="minorHAnsi" w:cstheme="minorBidi"/>
          <w:noProof/>
          <w:szCs w:val="22"/>
        </w:rPr>
      </w:pPr>
      <w:hyperlink w:anchor="_Toc475440562" w:history="1">
        <w:r w:rsidR="00E87060" w:rsidRPr="008B0907">
          <w:rPr>
            <w:rStyle w:val="Hyperlink"/>
            <w:noProof/>
          </w:rPr>
          <w:t>Chart 4: Percentage of approved carers with completed workbooks, 2012-2016</w:t>
        </w:r>
        <w:r w:rsidR="00E87060">
          <w:rPr>
            <w:noProof/>
            <w:webHidden/>
          </w:rPr>
          <w:tab/>
        </w:r>
        <w:r w:rsidR="00E87060">
          <w:rPr>
            <w:noProof/>
            <w:webHidden/>
          </w:rPr>
          <w:fldChar w:fldCharType="begin"/>
        </w:r>
        <w:r w:rsidR="00E87060">
          <w:rPr>
            <w:noProof/>
            <w:webHidden/>
          </w:rPr>
          <w:instrText xml:space="preserve"> PAGEREF _Toc475440562 \h </w:instrText>
        </w:r>
        <w:r w:rsidR="00E87060">
          <w:rPr>
            <w:noProof/>
            <w:webHidden/>
          </w:rPr>
        </w:r>
        <w:r w:rsidR="00E87060">
          <w:rPr>
            <w:noProof/>
            <w:webHidden/>
          </w:rPr>
          <w:fldChar w:fldCharType="separate"/>
        </w:r>
        <w:r w:rsidR="00851FB7">
          <w:rPr>
            <w:noProof/>
            <w:webHidden/>
          </w:rPr>
          <w:t>9</w:t>
        </w:r>
        <w:r w:rsidR="00E87060">
          <w:rPr>
            <w:noProof/>
            <w:webHidden/>
          </w:rPr>
          <w:fldChar w:fldCharType="end"/>
        </w:r>
      </w:hyperlink>
    </w:p>
    <w:p w14:paraId="045D08AC" w14:textId="77777777" w:rsidR="00E87060" w:rsidRDefault="007F2768">
      <w:pPr>
        <w:pStyle w:val="TableofFigures"/>
        <w:tabs>
          <w:tab w:val="right" w:leader="dot" w:pos="9016"/>
        </w:tabs>
        <w:rPr>
          <w:rFonts w:asciiTheme="minorHAnsi" w:eastAsiaTheme="minorEastAsia" w:hAnsiTheme="minorHAnsi" w:cstheme="minorBidi"/>
          <w:noProof/>
          <w:szCs w:val="22"/>
        </w:rPr>
      </w:pPr>
      <w:hyperlink w:anchor="_Toc475440563" w:history="1">
        <w:r w:rsidR="00E87060" w:rsidRPr="008B0907">
          <w:rPr>
            <w:rStyle w:val="Hyperlink"/>
            <w:noProof/>
          </w:rPr>
          <w:t>Chart 5: Net change in the number of households in 2015-16</w:t>
        </w:r>
        <w:r w:rsidR="00E87060">
          <w:rPr>
            <w:noProof/>
            <w:webHidden/>
          </w:rPr>
          <w:tab/>
        </w:r>
        <w:r w:rsidR="00E87060">
          <w:rPr>
            <w:noProof/>
            <w:webHidden/>
          </w:rPr>
          <w:fldChar w:fldCharType="begin"/>
        </w:r>
        <w:r w:rsidR="00E87060">
          <w:rPr>
            <w:noProof/>
            <w:webHidden/>
          </w:rPr>
          <w:instrText xml:space="preserve"> PAGEREF _Toc475440563 \h </w:instrText>
        </w:r>
        <w:r w:rsidR="00E87060">
          <w:rPr>
            <w:noProof/>
            <w:webHidden/>
          </w:rPr>
        </w:r>
        <w:r w:rsidR="00E87060">
          <w:rPr>
            <w:noProof/>
            <w:webHidden/>
          </w:rPr>
          <w:fldChar w:fldCharType="separate"/>
        </w:r>
        <w:r w:rsidR="00851FB7">
          <w:rPr>
            <w:noProof/>
            <w:webHidden/>
          </w:rPr>
          <w:t>11</w:t>
        </w:r>
        <w:r w:rsidR="00E87060">
          <w:rPr>
            <w:noProof/>
            <w:webHidden/>
          </w:rPr>
          <w:fldChar w:fldCharType="end"/>
        </w:r>
      </w:hyperlink>
    </w:p>
    <w:p w14:paraId="00224F28" w14:textId="77777777" w:rsidR="00E87060" w:rsidRDefault="007F2768">
      <w:pPr>
        <w:pStyle w:val="TableofFigures"/>
        <w:tabs>
          <w:tab w:val="right" w:leader="dot" w:pos="9016"/>
        </w:tabs>
        <w:rPr>
          <w:rFonts w:asciiTheme="minorHAnsi" w:eastAsiaTheme="minorEastAsia" w:hAnsiTheme="minorHAnsi" w:cstheme="minorBidi"/>
          <w:noProof/>
          <w:szCs w:val="22"/>
        </w:rPr>
      </w:pPr>
      <w:hyperlink w:anchor="_Toc475440564" w:history="1">
        <w:r w:rsidR="00E87060" w:rsidRPr="008B0907">
          <w:rPr>
            <w:rStyle w:val="Hyperlink"/>
            <w:noProof/>
          </w:rPr>
          <w:t>Chart 6: Applications completed and approved in year</w:t>
        </w:r>
        <w:r w:rsidR="00E87060">
          <w:rPr>
            <w:noProof/>
            <w:webHidden/>
          </w:rPr>
          <w:tab/>
        </w:r>
        <w:r w:rsidR="00E87060">
          <w:rPr>
            <w:noProof/>
            <w:webHidden/>
          </w:rPr>
          <w:fldChar w:fldCharType="begin"/>
        </w:r>
        <w:r w:rsidR="00E87060">
          <w:rPr>
            <w:noProof/>
            <w:webHidden/>
          </w:rPr>
          <w:instrText xml:space="preserve"> PAGEREF _Toc475440564 \h </w:instrText>
        </w:r>
        <w:r w:rsidR="00E87060">
          <w:rPr>
            <w:noProof/>
            <w:webHidden/>
          </w:rPr>
        </w:r>
        <w:r w:rsidR="00E87060">
          <w:rPr>
            <w:noProof/>
            <w:webHidden/>
          </w:rPr>
          <w:fldChar w:fldCharType="separate"/>
        </w:r>
        <w:r w:rsidR="00851FB7">
          <w:rPr>
            <w:noProof/>
            <w:webHidden/>
          </w:rPr>
          <w:t>11</w:t>
        </w:r>
        <w:r w:rsidR="00E87060">
          <w:rPr>
            <w:noProof/>
            <w:webHidden/>
          </w:rPr>
          <w:fldChar w:fldCharType="end"/>
        </w:r>
      </w:hyperlink>
    </w:p>
    <w:p w14:paraId="3F436C80" w14:textId="77777777" w:rsidR="00E87060" w:rsidRDefault="007F2768">
      <w:pPr>
        <w:pStyle w:val="TableofFigures"/>
        <w:tabs>
          <w:tab w:val="right" w:leader="dot" w:pos="9016"/>
        </w:tabs>
        <w:rPr>
          <w:rFonts w:asciiTheme="minorHAnsi" w:eastAsiaTheme="minorEastAsia" w:hAnsiTheme="minorHAnsi" w:cstheme="minorBidi"/>
          <w:noProof/>
          <w:szCs w:val="22"/>
        </w:rPr>
      </w:pPr>
      <w:hyperlink w:anchor="_Toc475440565" w:history="1">
        <w:r w:rsidR="00E87060" w:rsidRPr="008B0907">
          <w:rPr>
            <w:rStyle w:val="Hyperlink"/>
            <w:noProof/>
          </w:rPr>
          <w:t>Chart 7: Applications considered and completed in year as at 31 March</w:t>
        </w:r>
        <w:r w:rsidR="00E87060">
          <w:rPr>
            <w:noProof/>
            <w:webHidden/>
          </w:rPr>
          <w:tab/>
        </w:r>
        <w:r w:rsidR="00E87060">
          <w:rPr>
            <w:noProof/>
            <w:webHidden/>
          </w:rPr>
          <w:fldChar w:fldCharType="begin"/>
        </w:r>
        <w:r w:rsidR="00E87060">
          <w:rPr>
            <w:noProof/>
            <w:webHidden/>
          </w:rPr>
          <w:instrText xml:space="preserve"> PAGEREF _Toc475440565 \h </w:instrText>
        </w:r>
        <w:r w:rsidR="00E87060">
          <w:rPr>
            <w:noProof/>
            <w:webHidden/>
          </w:rPr>
        </w:r>
        <w:r w:rsidR="00E87060">
          <w:rPr>
            <w:noProof/>
            <w:webHidden/>
          </w:rPr>
          <w:fldChar w:fldCharType="separate"/>
        </w:r>
        <w:r w:rsidR="00851FB7">
          <w:rPr>
            <w:noProof/>
            <w:webHidden/>
          </w:rPr>
          <w:t>12</w:t>
        </w:r>
        <w:r w:rsidR="00E87060">
          <w:rPr>
            <w:noProof/>
            <w:webHidden/>
          </w:rPr>
          <w:fldChar w:fldCharType="end"/>
        </w:r>
      </w:hyperlink>
    </w:p>
    <w:p w14:paraId="18A64278" w14:textId="77777777" w:rsidR="00E87060" w:rsidRDefault="007F2768">
      <w:pPr>
        <w:pStyle w:val="TableofFigures"/>
        <w:tabs>
          <w:tab w:val="right" w:leader="dot" w:pos="9016"/>
        </w:tabs>
        <w:rPr>
          <w:rFonts w:asciiTheme="minorHAnsi" w:eastAsiaTheme="minorEastAsia" w:hAnsiTheme="minorHAnsi" w:cstheme="minorBidi"/>
          <w:noProof/>
          <w:szCs w:val="22"/>
        </w:rPr>
      </w:pPr>
      <w:hyperlink w:anchor="_Toc475440566" w:history="1">
        <w:r w:rsidR="00E87060" w:rsidRPr="008B0907">
          <w:rPr>
            <w:rStyle w:val="Hyperlink"/>
            <w:noProof/>
          </w:rPr>
          <w:t>Chart 8: De-registrations of long term and short breaks-only households by reason and sector, 2015-16</w:t>
        </w:r>
        <w:r w:rsidR="00E87060">
          <w:rPr>
            <w:noProof/>
            <w:webHidden/>
          </w:rPr>
          <w:tab/>
        </w:r>
        <w:r w:rsidR="00E87060">
          <w:rPr>
            <w:noProof/>
            <w:webHidden/>
          </w:rPr>
          <w:fldChar w:fldCharType="begin"/>
        </w:r>
        <w:r w:rsidR="00E87060">
          <w:rPr>
            <w:noProof/>
            <w:webHidden/>
          </w:rPr>
          <w:instrText xml:space="preserve"> PAGEREF _Toc475440566 \h </w:instrText>
        </w:r>
        <w:r w:rsidR="00E87060">
          <w:rPr>
            <w:noProof/>
            <w:webHidden/>
          </w:rPr>
        </w:r>
        <w:r w:rsidR="00E87060">
          <w:rPr>
            <w:noProof/>
            <w:webHidden/>
          </w:rPr>
          <w:fldChar w:fldCharType="separate"/>
        </w:r>
        <w:r w:rsidR="00851FB7">
          <w:rPr>
            <w:noProof/>
            <w:webHidden/>
          </w:rPr>
          <w:t>13</w:t>
        </w:r>
        <w:r w:rsidR="00E87060">
          <w:rPr>
            <w:noProof/>
            <w:webHidden/>
          </w:rPr>
          <w:fldChar w:fldCharType="end"/>
        </w:r>
      </w:hyperlink>
    </w:p>
    <w:p w14:paraId="3D50C0E6" w14:textId="7D342BB4" w:rsidR="00E87060" w:rsidRDefault="007F2768">
      <w:pPr>
        <w:pStyle w:val="TableofFigures"/>
        <w:tabs>
          <w:tab w:val="right" w:leader="dot" w:pos="9016"/>
        </w:tabs>
        <w:rPr>
          <w:rFonts w:asciiTheme="minorHAnsi" w:eastAsiaTheme="minorEastAsia" w:hAnsiTheme="minorHAnsi" w:cstheme="minorBidi"/>
          <w:noProof/>
          <w:szCs w:val="22"/>
        </w:rPr>
      </w:pPr>
      <w:hyperlink w:anchor="_Toc475440567" w:history="1">
        <w:r w:rsidR="00E87060" w:rsidRPr="008B0907">
          <w:rPr>
            <w:rStyle w:val="Hyperlink"/>
            <w:noProof/>
          </w:rPr>
          <w:t>Chart 9: The aggregated period of service before de-registration in 2015-16 by</w:t>
        </w:r>
        <w:r w:rsidR="0068152D">
          <w:rPr>
            <w:rStyle w:val="Hyperlink"/>
            <w:noProof/>
          </w:rPr>
          <w:t xml:space="preserve"> </w:t>
        </w:r>
        <w:r w:rsidR="00E87060" w:rsidRPr="008B0907">
          <w:rPr>
            <w:rStyle w:val="Hyperlink"/>
            <w:noProof/>
          </w:rPr>
          <w:t>household type</w:t>
        </w:r>
        <w:r w:rsidR="00E87060">
          <w:rPr>
            <w:noProof/>
            <w:webHidden/>
          </w:rPr>
          <w:tab/>
        </w:r>
        <w:r w:rsidR="00E87060">
          <w:rPr>
            <w:noProof/>
            <w:webHidden/>
          </w:rPr>
          <w:fldChar w:fldCharType="begin"/>
        </w:r>
        <w:r w:rsidR="00E87060">
          <w:rPr>
            <w:noProof/>
            <w:webHidden/>
          </w:rPr>
          <w:instrText xml:space="preserve"> PAGEREF _Toc475440567 \h </w:instrText>
        </w:r>
        <w:r w:rsidR="00E87060">
          <w:rPr>
            <w:noProof/>
            <w:webHidden/>
          </w:rPr>
        </w:r>
        <w:r w:rsidR="00E87060">
          <w:rPr>
            <w:noProof/>
            <w:webHidden/>
          </w:rPr>
          <w:fldChar w:fldCharType="separate"/>
        </w:r>
        <w:r w:rsidR="00851FB7">
          <w:rPr>
            <w:noProof/>
            <w:webHidden/>
          </w:rPr>
          <w:t>13</w:t>
        </w:r>
        <w:r w:rsidR="00E87060">
          <w:rPr>
            <w:noProof/>
            <w:webHidden/>
          </w:rPr>
          <w:fldChar w:fldCharType="end"/>
        </w:r>
      </w:hyperlink>
    </w:p>
    <w:p w14:paraId="5E050015" w14:textId="2DFCDD14" w:rsidR="00E87060" w:rsidRDefault="007F2768">
      <w:pPr>
        <w:pStyle w:val="TableofFigures"/>
        <w:tabs>
          <w:tab w:val="right" w:leader="dot" w:pos="9016"/>
        </w:tabs>
        <w:rPr>
          <w:rFonts w:asciiTheme="minorHAnsi" w:eastAsiaTheme="minorEastAsia" w:hAnsiTheme="minorHAnsi" w:cstheme="minorBidi"/>
          <w:noProof/>
          <w:szCs w:val="22"/>
        </w:rPr>
      </w:pPr>
      <w:hyperlink w:anchor="_Toc475440568" w:history="1">
        <w:r w:rsidR="00E87060" w:rsidRPr="008B0907">
          <w:rPr>
            <w:rStyle w:val="Hyperlink"/>
            <w:noProof/>
          </w:rPr>
          <w:t>Chart 10: Percentage of children placed, compared to percentage experiencing an educational placement change, by sector as at 31 March 2016</w:t>
        </w:r>
        <w:r w:rsidR="00E87060">
          <w:rPr>
            <w:noProof/>
            <w:webHidden/>
          </w:rPr>
          <w:tab/>
        </w:r>
        <w:r w:rsidR="00E87060">
          <w:rPr>
            <w:noProof/>
            <w:webHidden/>
          </w:rPr>
          <w:fldChar w:fldCharType="begin"/>
        </w:r>
        <w:r w:rsidR="00E87060">
          <w:rPr>
            <w:noProof/>
            <w:webHidden/>
          </w:rPr>
          <w:instrText xml:space="preserve"> PAGEREF _Toc475440568 \h </w:instrText>
        </w:r>
        <w:r w:rsidR="00E87060">
          <w:rPr>
            <w:noProof/>
            <w:webHidden/>
          </w:rPr>
        </w:r>
        <w:r w:rsidR="00E87060">
          <w:rPr>
            <w:noProof/>
            <w:webHidden/>
          </w:rPr>
          <w:fldChar w:fldCharType="separate"/>
        </w:r>
        <w:r w:rsidR="00851FB7">
          <w:rPr>
            <w:noProof/>
            <w:webHidden/>
          </w:rPr>
          <w:t>19</w:t>
        </w:r>
        <w:r w:rsidR="00E87060">
          <w:rPr>
            <w:noProof/>
            <w:webHidden/>
          </w:rPr>
          <w:fldChar w:fldCharType="end"/>
        </w:r>
      </w:hyperlink>
    </w:p>
    <w:p w14:paraId="00E11F3E" w14:textId="58BA119F" w:rsidR="00E87060" w:rsidRDefault="007F2768">
      <w:pPr>
        <w:pStyle w:val="TableofFigures"/>
        <w:tabs>
          <w:tab w:val="right" w:leader="dot" w:pos="9016"/>
        </w:tabs>
        <w:rPr>
          <w:rFonts w:asciiTheme="minorHAnsi" w:eastAsiaTheme="minorEastAsia" w:hAnsiTheme="minorHAnsi" w:cstheme="minorBidi"/>
          <w:noProof/>
          <w:szCs w:val="22"/>
        </w:rPr>
      </w:pPr>
      <w:hyperlink w:anchor="_Toc475440569" w:history="1">
        <w:r w:rsidR="00E87060" w:rsidRPr="008B0907">
          <w:rPr>
            <w:rStyle w:val="Hyperlink"/>
            <w:noProof/>
          </w:rPr>
          <w:t>Chart 11: Percentage of care leavers who remained with former foster carers after becoming 18, by sector, 2014-16</w:t>
        </w:r>
        <w:r w:rsidR="00E87060">
          <w:rPr>
            <w:noProof/>
            <w:webHidden/>
          </w:rPr>
          <w:tab/>
        </w:r>
        <w:r w:rsidR="00E87060">
          <w:rPr>
            <w:noProof/>
            <w:webHidden/>
          </w:rPr>
          <w:fldChar w:fldCharType="begin"/>
        </w:r>
        <w:r w:rsidR="00E87060">
          <w:rPr>
            <w:noProof/>
            <w:webHidden/>
          </w:rPr>
          <w:instrText xml:space="preserve"> PAGEREF _Toc475440569 \h </w:instrText>
        </w:r>
        <w:r w:rsidR="00E87060">
          <w:rPr>
            <w:noProof/>
            <w:webHidden/>
          </w:rPr>
        </w:r>
        <w:r w:rsidR="00E87060">
          <w:rPr>
            <w:noProof/>
            <w:webHidden/>
          </w:rPr>
          <w:fldChar w:fldCharType="separate"/>
        </w:r>
        <w:r w:rsidR="00851FB7">
          <w:rPr>
            <w:noProof/>
            <w:webHidden/>
          </w:rPr>
          <w:t>20</w:t>
        </w:r>
        <w:r w:rsidR="00E87060">
          <w:rPr>
            <w:noProof/>
            <w:webHidden/>
          </w:rPr>
          <w:fldChar w:fldCharType="end"/>
        </w:r>
      </w:hyperlink>
    </w:p>
    <w:p w14:paraId="5778396E" w14:textId="7542D3EE" w:rsidR="00E87060" w:rsidRDefault="007F2768">
      <w:pPr>
        <w:pStyle w:val="TableofFigures"/>
        <w:tabs>
          <w:tab w:val="right" w:leader="dot" w:pos="9016"/>
        </w:tabs>
        <w:rPr>
          <w:rFonts w:asciiTheme="minorHAnsi" w:eastAsiaTheme="minorEastAsia" w:hAnsiTheme="minorHAnsi" w:cstheme="minorBidi"/>
          <w:noProof/>
          <w:szCs w:val="22"/>
        </w:rPr>
      </w:pPr>
      <w:hyperlink w:anchor="_Toc475440570" w:history="1">
        <w:r w:rsidR="00E87060" w:rsidRPr="008B0907">
          <w:rPr>
            <w:rStyle w:val="Hyperlink"/>
            <w:noProof/>
          </w:rPr>
          <w:t>Chart 12: Number of children missing by primary reason, by sector, 2016</w:t>
        </w:r>
        <w:r w:rsidR="00E87060">
          <w:rPr>
            <w:noProof/>
            <w:webHidden/>
          </w:rPr>
          <w:tab/>
        </w:r>
        <w:r w:rsidR="00E87060">
          <w:rPr>
            <w:noProof/>
            <w:webHidden/>
          </w:rPr>
          <w:fldChar w:fldCharType="begin"/>
        </w:r>
        <w:r w:rsidR="00E87060">
          <w:rPr>
            <w:noProof/>
            <w:webHidden/>
          </w:rPr>
          <w:instrText xml:space="preserve"> PAGEREF _Toc475440570 \h </w:instrText>
        </w:r>
        <w:r w:rsidR="00E87060">
          <w:rPr>
            <w:noProof/>
            <w:webHidden/>
          </w:rPr>
        </w:r>
        <w:r w:rsidR="00E87060">
          <w:rPr>
            <w:noProof/>
            <w:webHidden/>
          </w:rPr>
          <w:fldChar w:fldCharType="separate"/>
        </w:r>
        <w:r w:rsidR="00851FB7">
          <w:rPr>
            <w:noProof/>
            <w:webHidden/>
          </w:rPr>
          <w:t>22</w:t>
        </w:r>
        <w:r w:rsidR="00E87060">
          <w:rPr>
            <w:noProof/>
            <w:webHidden/>
          </w:rPr>
          <w:fldChar w:fldCharType="end"/>
        </w:r>
      </w:hyperlink>
    </w:p>
    <w:p w14:paraId="3A401BBC" w14:textId="1FC94321" w:rsidR="00E87060" w:rsidRDefault="007F2768">
      <w:pPr>
        <w:pStyle w:val="TableofFigures"/>
        <w:tabs>
          <w:tab w:val="right" w:leader="dot" w:pos="9016"/>
        </w:tabs>
        <w:rPr>
          <w:rFonts w:asciiTheme="minorHAnsi" w:eastAsiaTheme="minorEastAsia" w:hAnsiTheme="minorHAnsi" w:cstheme="minorBidi"/>
          <w:noProof/>
          <w:szCs w:val="22"/>
        </w:rPr>
      </w:pPr>
      <w:hyperlink w:anchor="_Toc475440571" w:history="1">
        <w:r w:rsidR="00E87060" w:rsidRPr="008B0907">
          <w:rPr>
            <w:rStyle w:val="Hyperlink"/>
            <w:noProof/>
          </w:rPr>
          <w:t>Chart 13: Children missing by total duration, by sector, 2016</w:t>
        </w:r>
        <w:r w:rsidR="00E87060">
          <w:rPr>
            <w:noProof/>
            <w:webHidden/>
          </w:rPr>
          <w:tab/>
        </w:r>
        <w:r w:rsidR="00E87060">
          <w:rPr>
            <w:noProof/>
            <w:webHidden/>
          </w:rPr>
          <w:fldChar w:fldCharType="begin"/>
        </w:r>
        <w:r w:rsidR="00E87060">
          <w:rPr>
            <w:noProof/>
            <w:webHidden/>
          </w:rPr>
          <w:instrText xml:space="preserve"> PAGEREF _Toc475440571 \h </w:instrText>
        </w:r>
        <w:r w:rsidR="00E87060">
          <w:rPr>
            <w:noProof/>
            <w:webHidden/>
          </w:rPr>
        </w:r>
        <w:r w:rsidR="00E87060">
          <w:rPr>
            <w:noProof/>
            <w:webHidden/>
          </w:rPr>
          <w:fldChar w:fldCharType="separate"/>
        </w:r>
        <w:r w:rsidR="00851FB7">
          <w:rPr>
            <w:noProof/>
            <w:webHidden/>
          </w:rPr>
          <w:t>22</w:t>
        </w:r>
        <w:r w:rsidR="00E87060">
          <w:rPr>
            <w:noProof/>
            <w:webHidden/>
          </w:rPr>
          <w:fldChar w:fldCharType="end"/>
        </w:r>
      </w:hyperlink>
    </w:p>
    <w:p w14:paraId="4874DA61" w14:textId="07211199" w:rsidR="00E87060" w:rsidRDefault="007F2768">
      <w:pPr>
        <w:pStyle w:val="TableofFigures"/>
        <w:tabs>
          <w:tab w:val="right" w:leader="dot" w:pos="9016"/>
        </w:tabs>
        <w:rPr>
          <w:rFonts w:asciiTheme="minorHAnsi" w:eastAsiaTheme="minorEastAsia" w:hAnsiTheme="minorHAnsi" w:cstheme="minorBidi"/>
          <w:noProof/>
          <w:szCs w:val="22"/>
        </w:rPr>
      </w:pPr>
      <w:hyperlink w:anchor="_Toc475440572" w:history="1">
        <w:r w:rsidR="00E87060" w:rsidRPr="008B0907">
          <w:rPr>
            <w:rStyle w:val="Hyperlink"/>
            <w:noProof/>
          </w:rPr>
          <w:t>Chart 14: Missing children and Return Home Interviews, compared by child sexual exploitation risk, 2016</w:t>
        </w:r>
        <w:r w:rsidR="00E87060">
          <w:rPr>
            <w:noProof/>
            <w:webHidden/>
          </w:rPr>
          <w:tab/>
        </w:r>
        <w:r w:rsidR="00E87060">
          <w:rPr>
            <w:noProof/>
            <w:webHidden/>
          </w:rPr>
          <w:fldChar w:fldCharType="begin"/>
        </w:r>
        <w:r w:rsidR="00E87060">
          <w:rPr>
            <w:noProof/>
            <w:webHidden/>
          </w:rPr>
          <w:instrText xml:space="preserve"> PAGEREF _Toc475440572 \h </w:instrText>
        </w:r>
        <w:r w:rsidR="00E87060">
          <w:rPr>
            <w:noProof/>
            <w:webHidden/>
          </w:rPr>
        </w:r>
        <w:r w:rsidR="00E87060">
          <w:rPr>
            <w:noProof/>
            <w:webHidden/>
          </w:rPr>
          <w:fldChar w:fldCharType="separate"/>
        </w:r>
        <w:r w:rsidR="00851FB7">
          <w:rPr>
            <w:noProof/>
            <w:webHidden/>
          </w:rPr>
          <w:t>24</w:t>
        </w:r>
        <w:r w:rsidR="00E87060">
          <w:rPr>
            <w:noProof/>
            <w:webHidden/>
          </w:rPr>
          <w:fldChar w:fldCharType="end"/>
        </w:r>
      </w:hyperlink>
    </w:p>
    <w:p w14:paraId="45EAA855" w14:textId="1AACCE6F" w:rsidR="00E87060" w:rsidRDefault="007F2768">
      <w:pPr>
        <w:pStyle w:val="TableofFigures"/>
        <w:tabs>
          <w:tab w:val="right" w:leader="dot" w:pos="9016"/>
        </w:tabs>
        <w:rPr>
          <w:rFonts w:asciiTheme="minorHAnsi" w:eastAsiaTheme="minorEastAsia" w:hAnsiTheme="minorHAnsi" w:cstheme="minorBidi"/>
          <w:noProof/>
          <w:szCs w:val="22"/>
        </w:rPr>
      </w:pPr>
      <w:hyperlink w:anchor="_Toc475440573" w:history="1">
        <w:r w:rsidR="00E87060" w:rsidRPr="008B0907">
          <w:rPr>
            <w:rStyle w:val="Hyperlink"/>
            <w:noProof/>
          </w:rPr>
          <w:t>Chart 15: Unplanned endings, compared by child sexual exploitation risk, and by missing, 2016</w:t>
        </w:r>
        <w:r w:rsidR="00E87060">
          <w:rPr>
            <w:noProof/>
            <w:webHidden/>
          </w:rPr>
          <w:tab/>
        </w:r>
        <w:r w:rsidR="00E87060">
          <w:rPr>
            <w:noProof/>
            <w:webHidden/>
          </w:rPr>
          <w:fldChar w:fldCharType="begin"/>
        </w:r>
        <w:r w:rsidR="00E87060">
          <w:rPr>
            <w:noProof/>
            <w:webHidden/>
          </w:rPr>
          <w:instrText xml:space="preserve"> PAGEREF _Toc475440573 \h </w:instrText>
        </w:r>
        <w:r w:rsidR="00E87060">
          <w:rPr>
            <w:noProof/>
            <w:webHidden/>
          </w:rPr>
        </w:r>
        <w:r w:rsidR="00E87060">
          <w:rPr>
            <w:noProof/>
            <w:webHidden/>
          </w:rPr>
          <w:fldChar w:fldCharType="separate"/>
        </w:r>
        <w:r w:rsidR="00851FB7">
          <w:rPr>
            <w:noProof/>
            <w:webHidden/>
          </w:rPr>
          <w:t>25</w:t>
        </w:r>
        <w:r w:rsidR="00E87060">
          <w:rPr>
            <w:noProof/>
            <w:webHidden/>
          </w:rPr>
          <w:fldChar w:fldCharType="end"/>
        </w:r>
      </w:hyperlink>
    </w:p>
    <w:p w14:paraId="5648B0B3" w14:textId="72784679" w:rsidR="00E87060" w:rsidRDefault="007F2768">
      <w:pPr>
        <w:pStyle w:val="TableofFigures"/>
        <w:tabs>
          <w:tab w:val="right" w:leader="dot" w:pos="9016"/>
        </w:tabs>
        <w:rPr>
          <w:rFonts w:asciiTheme="minorHAnsi" w:eastAsiaTheme="minorEastAsia" w:hAnsiTheme="minorHAnsi" w:cstheme="minorBidi"/>
          <w:noProof/>
          <w:szCs w:val="22"/>
        </w:rPr>
      </w:pPr>
      <w:hyperlink w:anchor="_Toc475440574" w:history="1">
        <w:r w:rsidR="00E87060" w:rsidRPr="008B0907">
          <w:rPr>
            <w:rStyle w:val="Hyperlink"/>
            <w:noProof/>
          </w:rPr>
          <w:t>Chart 16: Education placement changes, compared by child sexual exploitation risk, and by missing, 2016</w:t>
        </w:r>
        <w:r w:rsidR="00E87060">
          <w:rPr>
            <w:noProof/>
            <w:webHidden/>
          </w:rPr>
          <w:tab/>
        </w:r>
        <w:r w:rsidR="00E87060">
          <w:rPr>
            <w:noProof/>
            <w:webHidden/>
          </w:rPr>
          <w:fldChar w:fldCharType="begin"/>
        </w:r>
        <w:r w:rsidR="00E87060">
          <w:rPr>
            <w:noProof/>
            <w:webHidden/>
          </w:rPr>
          <w:instrText xml:space="preserve"> PAGEREF _Toc475440574 \h </w:instrText>
        </w:r>
        <w:r w:rsidR="00E87060">
          <w:rPr>
            <w:noProof/>
            <w:webHidden/>
          </w:rPr>
        </w:r>
        <w:r w:rsidR="00E87060">
          <w:rPr>
            <w:noProof/>
            <w:webHidden/>
          </w:rPr>
          <w:fldChar w:fldCharType="separate"/>
        </w:r>
        <w:r w:rsidR="00851FB7">
          <w:rPr>
            <w:noProof/>
            <w:webHidden/>
          </w:rPr>
          <w:t>25</w:t>
        </w:r>
        <w:r w:rsidR="00E87060">
          <w:rPr>
            <w:noProof/>
            <w:webHidden/>
          </w:rPr>
          <w:fldChar w:fldCharType="end"/>
        </w:r>
      </w:hyperlink>
    </w:p>
    <w:p w14:paraId="3DAFAB7A" w14:textId="0B347B1C" w:rsidR="00E87060" w:rsidRDefault="007F2768">
      <w:pPr>
        <w:pStyle w:val="TableofFigures"/>
        <w:tabs>
          <w:tab w:val="right" w:leader="dot" w:pos="9016"/>
        </w:tabs>
        <w:rPr>
          <w:rFonts w:asciiTheme="minorHAnsi" w:eastAsiaTheme="minorEastAsia" w:hAnsiTheme="minorHAnsi" w:cstheme="minorBidi"/>
          <w:noProof/>
          <w:szCs w:val="22"/>
        </w:rPr>
      </w:pPr>
      <w:hyperlink w:anchor="_Toc475440575" w:history="1">
        <w:r w:rsidR="00E87060" w:rsidRPr="008B0907">
          <w:rPr>
            <w:rStyle w:val="Hyperlink"/>
            <w:noProof/>
          </w:rPr>
          <w:t>Chart 17: Timescale for investigations of allegations by sector, 2016</w:t>
        </w:r>
        <w:r w:rsidR="00E87060">
          <w:rPr>
            <w:noProof/>
            <w:webHidden/>
          </w:rPr>
          <w:tab/>
        </w:r>
        <w:r w:rsidR="00E87060">
          <w:rPr>
            <w:noProof/>
            <w:webHidden/>
          </w:rPr>
          <w:fldChar w:fldCharType="begin"/>
        </w:r>
        <w:r w:rsidR="00E87060">
          <w:rPr>
            <w:noProof/>
            <w:webHidden/>
          </w:rPr>
          <w:instrText xml:space="preserve"> PAGEREF _Toc475440575 \h </w:instrText>
        </w:r>
        <w:r w:rsidR="00E87060">
          <w:rPr>
            <w:noProof/>
            <w:webHidden/>
          </w:rPr>
        </w:r>
        <w:r w:rsidR="00E87060">
          <w:rPr>
            <w:noProof/>
            <w:webHidden/>
          </w:rPr>
          <w:fldChar w:fldCharType="separate"/>
        </w:r>
        <w:r w:rsidR="00851FB7">
          <w:rPr>
            <w:noProof/>
            <w:webHidden/>
          </w:rPr>
          <w:t>26</w:t>
        </w:r>
        <w:r w:rsidR="00E87060">
          <w:rPr>
            <w:noProof/>
            <w:webHidden/>
          </w:rPr>
          <w:fldChar w:fldCharType="end"/>
        </w:r>
      </w:hyperlink>
    </w:p>
    <w:p w14:paraId="4ACB45DC" w14:textId="77777777" w:rsidR="00E87060" w:rsidRDefault="00C63D63" w:rsidP="00E87060">
      <w:pPr>
        <w:pStyle w:val="Heading2"/>
        <w:spacing w:after="0"/>
      </w:pPr>
      <w:r>
        <w:fldChar w:fldCharType="end"/>
      </w:r>
      <w:bookmarkStart w:id="102" w:name="_Toc474760697"/>
    </w:p>
    <w:p w14:paraId="359C9287" w14:textId="7343D379" w:rsidR="00F66EB2" w:rsidRDefault="00F66EB2" w:rsidP="00F66EB2">
      <w:pPr>
        <w:pStyle w:val="Heading2"/>
      </w:pPr>
      <w:r w:rsidRPr="00730187">
        <w:t>Revisions to previous release</w:t>
      </w:r>
      <w:bookmarkEnd w:id="102"/>
      <w:r w:rsidRPr="00730187">
        <w:t xml:space="preserve"> </w:t>
      </w:r>
    </w:p>
    <w:p w14:paraId="52AE17FD" w14:textId="77777777" w:rsidR="00F66EB2" w:rsidRPr="002D6886" w:rsidRDefault="00F66EB2" w:rsidP="00F66EB2">
      <w:r>
        <w:t>This is the first release of this</w:t>
      </w:r>
      <w:r w:rsidRPr="002D6886">
        <w:t xml:space="preserve"> </w:t>
      </w:r>
      <w:r>
        <w:t>data for the period 1 April 2015 – 31 March 2016</w:t>
      </w:r>
      <w:r w:rsidRPr="002D6886">
        <w:t>. Th</w:t>
      </w:r>
      <w:r>
        <w:t>is</w:t>
      </w:r>
      <w:r w:rsidRPr="002D6886">
        <w:t xml:space="preserve"> data </w:t>
      </w:r>
      <w:r>
        <w:t xml:space="preserve">is </w:t>
      </w:r>
      <w:r w:rsidRPr="002D6886">
        <w:t xml:space="preserve">fixed point in time </w:t>
      </w:r>
      <w:r>
        <w:t>d</w:t>
      </w:r>
      <w:r w:rsidRPr="002D6886">
        <w:t>ata and will not be revised.</w:t>
      </w:r>
    </w:p>
    <w:p w14:paraId="7BDB21AB" w14:textId="77777777" w:rsidR="00F66EB2" w:rsidRPr="00730187" w:rsidRDefault="00F66EB2" w:rsidP="00F66EB2">
      <w:pPr>
        <w:ind w:left="360"/>
        <w:rPr>
          <w:sz w:val="22"/>
          <w:szCs w:val="22"/>
        </w:rPr>
      </w:pPr>
    </w:p>
    <w:p w14:paraId="20A79861" w14:textId="77777777" w:rsidR="00F66EB2" w:rsidRDefault="00F66EB2" w:rsidP="00F66EB2">
      <w:pPr>
        <w:pStyle w:val="Heading2"/>
        <w:spacing w:after="120"/>
        <w:jc w:val="left"/>
      </w:pPr>
      <w:bookmarkStart w:id="103" w:name="_Toc473625279"/>
      <w:bookmarkStart w:id="104" w:name="_Toc474760698"/>
      <w:r w:rsidRPr="009E3299">
        <w:t>Notes</w:t>
      </w:r>
      <w:bookmarkEnd w:id="103"/>
      <w:bookmarkEnd w:id="104"/>
    </w:p>
    <w:p w14:paraId="3C569A05" w14:textId="77777777" w:rsidR="005F0382" w:rsidRPr="00AE58B6" w:rsidRDefault="005F0382" w:rsidP="00540F27">
      <w:pPr>
        <w:spacing w:after="240"/>
        <w:jc w:val="left"/>
        <w:rPr>
          <w:rFonts w:cs="Tahoma"/>
        </w:rPr>
      </w:pPr>
      <w:r w:rsidRPr="00AE58B6">
        <w:rPr>
          <w:rFonts w:cs="Tahoma"/>
        </w:rPr>
        <w:t xml:space="preserve">The aggregated data at England, total LA, and total IFA levels, and at individual LA and regional total levels, </w:t>
      </w:r>
      <w:r>
        <w:rPr>
          <w:rFonts w:cs="Tahoma"/>
        </w:rPr>
        <w:t>is</w:t>
      </w:r>
      <w:r w:rsidRPr="00AE58B6">
        <w:rPr>
          <w:rFonts w:cs="Tahoma"/>
        </w:rPr>
        <w:t xml:space="preserve"> available in Excel format </w:t>
      </w:r>
      <w:r w:rsidRPr="00496E9B">
        <w:rPr>
          <w:rFonts w:cs="Tahoma"/>
        </w:rPr>
        <w:t xml:space="preserve">on the Ofsted website </w:t>
      </w:r>
      <w:hyperlink r:id="rId37" w:history="1">
        <w:r w:rsidRPr="004D404F">
          <w:rPr>
            <w:rStyle w:val="Hyperlink"/>
            <w:szCs w:val="22"/>
            <w:u w:val="none"/>
          </w:rPr>
          <w:t>www.gov.uk/government/collections/childrens-social-care-statistics</w:t>
        </w:r>
      </w:hyperlink>
      <w:r w:rsidRPr="004D3EA6">
        <w:rPr>
          <w:szCs w:val="22"/>
        </w:rPr>
        <w:t xml:space="preserve"> under the </w:t>
      </w:r>
      <w:r w:rsidRPr="00D95D9D">
        <w:rPr>
          <w:szCs w:val="22"/>
        </w:rPr>
        <w:t>heading ‘Fostering in England’.</w:t>
      </w:r>
    </w:p>
    <w:p w14:paraId="588D936F" w14:textId="77777777" w:rsidR="00F66EB2" w:rsidRDefault="00F66EB2" w:rsidP="00F66EB2">
      <w:pPr>
        <w:spacing w:after="240"/>
        <w:jc w:val="left"/>
        <w:rPr>
          <w:rFonts w:cs="Tahoma"/>
        </w:rPr>
      </w:pPr>
      <w:r w:rsidRPr="00B87973">
        <w:rPr>
          <w:rFonts w:cs="Tahoma"/>
        </w:rPr>
        <w:t>An explanation about key uses of th</w:t>
      </w:r>
      <w:r>
        <w:rPr>
          <w:rFonts w:cs="Tahoma"/>
        </w:rPr>
        <w:t>is</w:t>
      </w:r>
      <w:r w:rsidRPr="00B87973">
        <w:rPr>
          <w:rFonts w:cs="Tahoma"/>
        </w:rPr>
        <w:t xml:space="preserve"> data and further contextual information </w:t>
      </w:r>
      <w:r>
        <w:rPr>
          <w:rFonts w:cs="Tahoma"/>
        </w:rPr>
        <w:t xml:space="preserve">and </w:t>
      </w:r>
      <w:r w:rsidRPr="00B87973">
        <w:rPr>
          <w:rFonts w:cs="Tahoma"/>
        </w:rPr>
        <w:t xml:space="preserve">the arrangements for quality assurance </w:t>
      </w:r>
      <w:r>
        <w:rPr>
          <w:rFonts w:cs="Tahoma"/>
        </w:rPr>
        <w:t>is</w:t>
      </w:r>
      <w:r w:rsidRPr="00B87973">
        <w:rPr>
          <w:rFonts w:cs="Tahoma"/>
        </w:rPr>
        <w:t xml:space="preserve"> provided in the accompanying Quality and Methodology report. </w:t>
      </w:r>
    </w:p>
    <w:p w14:paraId="105EE2BC" w14:textId="31FE4A9D" w:rsidR="00F66EB2" w:rsidRPr="007E1785" w:rsidRDefault="00F66EB2" w:rsidP="00E87060">
      <w:pPr>
        <w:spacing w:after="240"/>
        <w:jc w:val="left"/>
      </w:pPr>
      <w:r w:rsidRPr="004D3EA6">
        <w:rPr>
          <w:szCs w:val="22"/>
        </w:rPr>
        <w:t xml:space="preserve">The Quality and Methodology report can be found at the following webpage: </w:t>
      </w:r>
      <w:hyperlink r:id="rId38" w:history="1">
        <w:r w:rsidRPr="004D404F">
          <w:rPr>
            <w:rStyle w:val="Hyperlink"/>
            <w:szCs w:val="22"/>
            <w:u w:val="none"/>
          </w:rPr>
          <w:t>www.gov.uk/government/collections/childrens-social-care-statistics</w:t>
        </w:r>
      </w:hyperlink>
      <w:r w:rsidRPr="004D3EA6">
        <w:rPr>
          <w:szCs w:val="22"/>
        </w:rPr>
        <w:t xml:space="preserve"> under the </w:t>
      </w:r>
      <w:r w:rsidRPr="00D95D9D">
        <w:rPr>
          <w:szCs w:val="22"/>
        </w:rPr>
        <w:t>heading ‘Fostering in England’.</w:t>
      </w:r>
      <w:r w:rsidR="00E87060">
        <w:rPr>
          <w:szCs w:val="22"/>
        </w:rPr>
        <w:t xml:space="preserve"> </w:t>
      </w:r>
      <w:r w:rsidRPr="00B87973">
        <w:t xml:space="preserve">The report </w:t>
      </w:r>
      <w:r>
        <w:t>also provides information about</w:t>
      </w:r>
      <w:r w:rsidRPr="00B87973">
        <w:t xml:space="preserve"> strengths and limitations of the </w:t>
      </w:r>
      <w:r w:rsidRPr="007E1785">
        <w:t xml:space="preserve">statistics. </w:t>
      </w:r>
    </w:p>
    <w:p w14:paraId="6024C675" w14:textId="16603FB5" w:rsidR="00F66EB2" w:rsidRDefault="00F66EB2" w:rsidP="00F66EB2">
      <w:pPr>
        <w:pStyle w:val="Heading2"/>
        <w:spacing w:after="120"/>
        <w:jc w:val="left"/>
      </w:pPr>
      <w:bookmarkStart w:id="105" w:name="_Toc474760699"/>
      <w:r w:rsidRPr="009E6F79">
        <w:lastRenderedPageBreak/>
        <w:t>Glossary</w:t>
      </w:r>
      <w:bookmarkEnd w:id="105"/>
      <w:r w:rsidRPr="009E6F79">
        <w:t xml:space="preserve"> </w:t>
      </w:r>
    </w:p>
    <w:p w14:paraId="7DDE6685" w14:textId="62A9C9DD" w:rsidR="00F66EB2" w:rsidRDefault="00F66EB2" w:rsidP="00D716C1">
      <w:pPr>
        <w:jc w:val="left"/>
      </w:pPr>
      <w:r>
        <w:t>A full definition of the terms below is available within the Dataset Excel file</w:t>
      </w:r>
      <w:r w:rsidR="00D716C1">
        <w:t xml:space="preserve">, available here: </w:t>
      </w:r>
      <w:hyperlink r:id="rId39" w:history="1">
        <w:r w:rsidR="00C93AF0" w:rsidRPr="003E1DDA">
          <w:rPr>
            <w:rStyle w:val="Hyperlink"/>
            <w:u w:val="none"/>
          </w:rPr>
          <w:t>www.gov.uk/government/statistics/fostering-in-england-1-april-2015-to-31-march-2016</w:t>
        </w:r>
      </w:hyperlink>
      <w:r>
        <w:t>.</w:t>
      </w:r>
    </w:p>
    <w:p w14:paraId="580FEB5C" w14:textId="77777777" w:rsidR="00F66EB2" w:rsidRPr="00631A4D" w:rsidRDefault="00F66EB2" w:rsidP="00F66EB2"/>
    <w:p w14:paraId="75C509C0" w14:textId="77777777" w:rsidR="00F66EB2" w:rsidRPr="003A7F04" w:rsidRDefault="00F66EB2" w:rsidP="00F66EB2">
      <w:pPr>
        <w:autoSpaceDE w:val="0"/>
        <w:autoSpaceDN w:val="0"/>
        <w:adjustRightInd w:val="0"/>
        <w:spacing w:before="240"/>
        <w:contextualSpacing/>
        <w:jc w:val="left"/>
        <w:rPr>
          <w:rFonts w:cs="Tahoma"/>
          <w:b/>
          <w:color w:val="000000"/>
        </w:rPr>
      </w:pPr>
      <w:r w:rsidRPr="003A7F04">
        <w:rPr>
          <w:rFonts w:cs="Tahoma"/>
          <w:b/>
          <w:color w:val="000000"/>
        </w:rPr>
        <w:t>Approved foster carers</w:t>
      </w:r>
    </w:p>
    <w:p w14:paraId="23140915" w14:textId="26B21840" w:rsidR="00F66EB2" w:rsidRDefault="00F66EB2" w:rsidP="00F66EB2">
      <w:pPr>
        <w:autoSpaceDE w:val="0"/>
        <w:autoSpaceDN w:val="0"/>
        <w:adjustRightInd w:val="0"/>
        <w:contextualSpacing/>
        <w:jc w:val="left"/>
        <w:rPr>
          <w:rFonts w:cs="Tahoma"/>
        </w:rPr>
      </w:pPr>
      <w:r w:rsidRPr="003A7F04">
        <w:rPr>
          <w:rFonts w:cs="Tahoma"/>
        </w:rPr>
        <w:t xml:space="preserve">These are individual foster carers who </w:t>
      </w:r>
      <w:r w:rsidR="003E1DDA">
        <w:rPr>
          <w:rFonts w:cs="Tahoma"/>
        </w:rPr>
        <w:t>we</w:t>
      </w:r>
      <w:r w:rsidR="003E1DDA" w:rsidRPr="003A7F04">
        <w:rPr>
          <w:rFonts w:cs="Tahoma"/>
        </w:rPr>
        <w:t xml:space="preserve">re </w:t>
      </w:r>
      <w:r w:rsidRPr="003A7F04">
        <w:rPr>
          <w:rFonts w:cs="Tahoma"/>
        </w:rPr>
        <w:t xml:space="preserve">currently approved by a fostering service as at 31 March </w:t>
      </w:r>
      <w:r>
        <w:rPr>
          <w:rFonts w:cs="Tahoma"/>
        </w:rPr>
        <w:t>2016</w:t>
      </w:r>
      <w:r w:rsidRPr="003A7F04">
        <w:rPr>
          <w:rFonts w:cs="Tahoma"/>
        </w:rPr>
        <w:t xml:space="preserve">. </w:t>
      </w:r>
    </w:p>
    <w:p w14:paraId="52AD27B2" w14:textId="77777777" w:rsidR="00F66EB2" w:rsidRDefault="00F66EB2" w:rsidP="00F66EB2">
      <w:pPr>
        <w:autoSpaceDE w:val="0"/>
        <w:autoSpaceDN w:val="0"/>
        <w:adjustRightInd w:val="0"/>
        <w:contextualSpacing/>
        <w:jc w:val="left"/>
        <w:rPr>
          <w:rFonts w:cs="Tahoma"/>
        </w:rPr>
      </w:pPr>
    </w:p>
    <w:p w14:paraId="57D8B2ED" w14:textId="3EEFB8A1" w:rsidR="00F66EB2" w:rsidRDefault="00F66EB2" w:rsidP="00F66EB2">
      <w:pPr>
        <w:autoSpaceDE w:val="0"/>
        <w:autoSpaceDN w:val="0"/>
        <w:adjustRightInd w:val="0"/>
        <w:contextualSpacing/>
        <w:jc w:val="left"/>
        <w:rPr>
          <w:rFonts w:cs="Tahoma"/>
          <w:b/>
        </w:rPr>
      </w:pPr>
      <w:r>
        <w:rPr>
          <w:rFonts w:cs="Tahoma"/>
          <w:b/>
        </w:rPr>
        <w:t xml:space="preserve">At risk (of </w:t>
      </w:r>
      <w:r w:rsidR="007A21C8">
        <w:rPr>
          <w:rFonts w:cs="Tahoma"/>
          <w:b/>
        </w:rPr>
        <w:t>child sexual exploitation</w:t>
      </w:r>
      <w:r>
        <w:rPr>
          <w:rFonts w:cs="Tahoma"/>
          <w:b/>
        </w:rPr>
        <w:t>)</w:t>
      </w:r>
    </w:p>
    <w:p w14:paraId="2F551114" w14:textId="1959177C" w:rsidR="00F66EB2" w:rsidRPr="003A7F04" w:rsidRDefault="00F66EB2" w:rsidP="00F66EB2">
      <w:pPr>
        <w:autoSpaceDE w:val="0"/>
        <w:autoSpaceDN w:val="0"/>
        <w:adjustRightInd w:val="0"/>
        <w:contextualSpacing/>
        <w:jc w:val="left"/>
        <w:rPr>
          <w:rFonts w:cs="Tahoma"/>
        </w:rPr>
      </w:pPr>
      <w:r>
        <w:rPr>
          <w:rFonts w:cs="Tahoma"/>
        </w:rPr>
        <w:t xml:space="preserve">This </w:t>
      </w:r>
      <w:r w:rsidR="003E1DDA">
        <w:rPr>
          <w:rFonts w:cs="Tahoma"/>
        </w:rPr>
        <w:t>is</w:t>
      </w:r>
      <w:r>
        <w:rPr>
          <w:rFonts w:cs="Tahoma"/>
        </w:rPr>
        <w:t xml:space="preserve"> any child where there is a concern that they will become subject to </w:t>
      </w:r>
      <w:r w:rsidR="007A21C8">
        <w:rPr>
          <w:rFonts w:cs="Tahoma"/>
        </w:rPr>
        <w:t>child sexual exploitation</w:t>
      </w:r>
      <w:r>
        <w:rPr>
          <w:rFonts w:cs="Tahoma"/>
        </w:rPr>
        <w:t xml:space="preserve"> at some point, but this </w:t>
      </w:r>
      <w:r w:rsidR="003E1DDA">
        <w:rPr>
          <w:rFonts w:cs="Tahoma"/>
        </w:rPr>
        <w:t xml:space="preserve">exploitation </w:t>
      </w:r>
      <w:r>
        <w:rPr>
          <w:rFonts w:cs="Tahoma"/>
        </w:rPr>
        <w:t>has not yet happened. The risk does not need to have been confirmed by other professionals.</w:t>
      </w:r>
    </w:p>
    <w:p w14:paraId="6D7D0414" w14:textId="77777777" w:rsidR="00F66EB2" w:rsidRPr="003A7F04" w:rsidRDefault="00F66EB2" w:rsidP="00F66EB2">
      <w:pPr>
        <w:autoSpaceDE w:val="0"/>
        <w:autoSpaceDN w:val="0"/>
        <w:adjustRightInd w:val="0"/>
        <w:contextualSpacing/>
        <w:jc w:val="left"/>
        <w:rPr>
          <w:rFonts w:cs="Tahoma"/>
        </w:rPr>
      </w:pPr>
    </w:p>
    <w:p w14:paraId="70126EF8" w14:textId="77777777" w:rsidR="00F66EB2" w:rsidRPr="003A7F04" w:rsidRDefault="00F66EB2" w:rsidP="00F66EB2">
      <w:pPr>
        <w:autoSpaceDE w:val="0"/>
        <w:autoSpaceDN w:val="0"/>
        <w:adjustRightInd w:val="0"/>
        <w:spacing w:before="240"/>
        <w:contextualSpacing/>
        <w:jc w:val="left"/>
        <w:rPr>
          <w:rFonts w:cs="Tahoma"/>
          <w:b/>
          <w:color w:val="000000"/>
        </w:rPr>
      </w:pPr>
      <w:r w:rsidRPr="003A7F04">
        <w:rPr>
          <w:rFonts w:cs="Tahoma"/>
          <w:b/>
          <w:color w:val="000000"/>
        </w:rPr>
        <w:t>Child Sexual Exploitation</w:t>
      </w:r>
    </w:p>
    <w:p w14:paraId="0E381C1A" w14:textId="4F403E66" w:rsidR="00F66EB2" w:rsidRDefault="006505BB" w:rsidP="00F66EB2">
      <w:pPr>
        <w:autoSpaceDE w:val="0"/>
        <w:autoSpaceDN w:val="0"/>
        <w:adjustRightInd w:val="0"/>
        <w:spacing w:before="240"/>
        <w:contextualSpacing/>
        <w:jc w:val="left"/>
        <w:rPr>
          <w:rFonts w:cs="Tahoma"/>
          <w:color w:val="000000"/>
        </w:rPr>
      </w:pPr>
      <w:r>
        <w:rPr>
          <w:rFonts w:cs="Tahoma"/>
          <w:color w:val="000000"/>
        </w:rPr>
        <w:t>A form of child sexual abuse occurring when an individual or group takes advantage of an imbalance in power to coerce a child into sexual activity in exchange for something the victim needs or wants, or to increase the status or financial advantage of the perpetrator</w:t>
      </w:r>
      <w:r w:rsidR="00F66EB2">
        <w:rPr>
          <w:rFonts w:cs="Tahoma"/>
          <w:color w:val="000000"/>
        </w:rPr>
        <w:t>.</w:t>
      </w:r>
    </w:p>
    <w:p w14:paraId="199ADC9A" w14:textId="77777777" w:rsidR="00F66EB2" w:rsidRPr="003A7F04" w:rsidRDefault="00F66EB2" w:rsidP="00F66EB2">
      <w:pPr>
        <w:autoSpaceDE w:val="0"/>
        <w:autoSpaceDN w:val="0"/>
        <w:adjustRightInd w:val="0"/>
        <w:spacing w:before="240"/>
        <w:contextualSpacing/>
        <w:jc w:val="left"/>
        <w:rPr>
          <w:rFonts w:cs="Tahoma"/>
          <w:b/>
          <w:color w:val="000000"/>
        </w:rPr>
      </w:pPr>
    </w:p>
    <w:p w14:paraId="650DBA8A" w14:textId="77777777" w:rsidR="00F66EB2" w:rsidRPr="003A7F04" w:rsidRDefault="00F66EB2" w:rsidP="00F66EB2">
      <w:pPr>
        <w:autoSpaceDE w:val="0"/>
        <w:autoSpaceDN w:val="0"/>
        <w:adjustRightInd w:val="0"/>
        <w:spacing w:before="240"/>
        <w:contextualSpacing/>
        <w:jc w:val="left"/>
        <w:rPr>
          <w:rFonts w:cs="Tahoma"/>
          <w:b/>
          <w:color w:val="000000"/>
        </w:rPr>
      </w:pPr>
      <w:r w:rsidRPr="003A7F04">
        <w:rPr>
          <w:rFonts w:cs="Tahoma"/>
          <w:b/>
          <w:color w:val="000000"/>
        </w:rPr>
        <w:t xml:space="preserve">Complaints not upheld </w:t>
      </w:r>
    </w:p>
    <w:p w14:paraId="5ABA1B9E" w14:textId="77777777" w:rsidR="00F66EB2" w:rsidRPr="003A7F04" w:rsidRDefault="00F66EB2" w:rsidP="00F66EB2">
      <w:pPr>
        <w:autoSpaceDE w:val="0"/>
        <w:autoSpaceDN w:val="0"/>
        <w:adjustRightInd w:val="0"/>
        <w:contextualSpacing/>
        <w:jc w:val="left"/>
        <w:rPr>
          <w:rFonts w:cs="Tahoma"/>
        </w:rPr>
      </w:pPr>
      <w:r w:rsidRPr="003A7F04">
        <w:rPr>
          <w:rFonts w:cs="Tahoma"/>
        </w:rPr>
        <w:t>This only includes those complaints where no action on any aspect was necessary.</w:t>
      </w:r>
    </w:p>
    <w:p w14:paraId="30C27449" w14:textId="77777777" w:rsidR="00F66EB2" w:rsidRPr="003A7F04" w:rsidRDefault="00F66EB2" w:rsidP="00F66EB2">
      <w:pPr>
        <w:autoSpaceDE w:val="0"/>
        <w:autoSpaceDN w:val="0"/>
        <w:adjustRightInd w:val="0"/>
        <w:contextualSpacing/>
        <w:jc w:val="left"/>
        <w:rPr>
          <w:rFonts w:cs="Tahoma"/>
          <w:b/>
          <w:bCs/>
          <w:color w:val="000000"/>
        </w:rPr>
      </w:pPr>
    </w:p>
    <w:p w14:paraId="2EF3DFF9" w14:textId="77777777" w:rsidR="00F66EB2" w:rsidRDefault="00F66EB2" w:rsidP="00F66EB2">
      <w:pPr>
        <w:autoSpaceDE w:val="0"/>
        <w:autoSpaceDN w:val="0"/>
        <w:adjustRightInd w:val="0"/>
        <w:spacing w:before="240"/>
        <w:contextualSpacing/>
        <w:jc w:val="left"/>
        <w:rPr>
          <w:rFonts w:cs="Tahoma"/>
          <w:b/>
          <w:color w:val="000000"/>
        </w:rPr>
      </w:pPr>
      <w:r>
        <w:rPr>
          <w:rFonts w:cs="Tahoma"/>
          <w:b/>
          <w:color w:val="000000"/>
        </w:rPr>
        <w:t>Connected persons foster care</w:t>
      </w:r>
    </w:p>
    <w:p w14:paraId="5CE429EC" w14:textId="77777777" w:rsidR="00F66EB2" w:rsidRPr="003E0A03" w:rsidRDefault="00F66EB2" w:rsidP="00F66EB2">
      <w:pPr>
        <w:autoSpaceDE w:val="0"/>
        <w:autoSpaceDN w:val="0"/>
        <w:adjustRightInd w:val="0"/>
        <w:spacing w:before="240"/>
        <w:contextualSpacing/>
        <w:jc w:val="left"/>
        <w:rPr>
          <w:rFonts w:cs="Tahoma"/>
          <w:color w:val="000000"/>
        </w:rPr>
      </w:pPr>
      <w:r w:rsidRPr="003E0A03">
        <w:rPr>
          <w:rFonts w:cs="Tahoma"/>
          <w:color w:val="000000"/>
        </w:rPr>
        <w:t xml:space="preserve">Foster care provided for a looked after </w:t>
      </w:r>
      <w:proofErr w:type="gramStart"/>
      <w:r w:rsidRPr="003E0A03">
        <w:rPr>
          <w:rFonts w:cs="Tahoma"/>
          <w:color w:val="000000"/>
        </w:rPr>
        <w:t>child(</w:t>
      </w:r>
      <w:proofErr w:type="spellStart"/>
      <w:proofErr w:type="gramEnd"/>
      <w:r w:rsidRPr="003E0A03">
        <w:rPr>
          <w:rFonts w:cs="Tahoma"/>
          <w:color w:val="000000"/>
        </w:rPr>
        <w:t>ren</w:t>
      </w:r>
      <w:proofErr w:type="spellEnd"/>
      <w:r w:rsidRPr="003E0A03">
        <w:rPr>
          <w:rFonts w:cs="Tahoma"/>
          <w:color w:val="000000"/>
        </w:rPr>
        <w:t>) by a relative, friend, or connected person who is approved on a temporary basis to foster that particular child(</w:t>
      </w:r>
      <w:proofErr w:type="spellStart"/>
      <w:r w:rsidRPr="003E0A03">
        <w:rPr>
          <w:rFonts w:cs="Tahoma"/>
          <w:color w:val="000000"/>
        </w:rPr>
        <w:t>ren</w:t>
      </w:r>
      <w:proofErr w:type="spellEnd"/>
      <w:r w:rsidRPr="003E0A03">
        <w:rPr>
          <w:rFonts w:cs="Tahoma"/>
          <w:color w:val="000000"/>
        </w:rPr>
        <w:t>).</w:t>
      </w:r>
    </w:p>
    <w:p w14:paraId="3829341A" w14:textId="77777777" w:rsidR="00F66EB2" w:rsidRDefault="00F66EB2" w:rsidP="00F66EB2">
      <w:pPr>
        <w:autoSpaceDE w:val="0"/>
        <w:autoSpaceDN w:val="0"/>
        <w:adjustRightInd w:val="0"/>
        <w:spacing w:before="240"/>
        <w:contextualSpacing/>
        <w:jc w:val="left"/>
        <w:rPr>
          <w:rFonts w:cs="Tahoma"/>
          <w:b/>
          <w:color w:val="000000"/>
        </w:rPr>
      </w:pPr>
    </w:p>
    <w:p w14:paraId="1FC09C78" w14:textId="77777777" w:rsidR="00F66EB2" w:rsidRPr="003A7F04" w:rsidRDefault="00F66EB2" w:rsidP="00F66EB2">
      <w:pPr>
        <w:autoSpaceDE w:val="0"/>
        <w:autoSpaceDN w:val="0"/>
        <w:adjustRightInd w:val="0"/>
        <w:spacing w:before="240"/>
        <w:contextualSpacing/>
        <w:jc w:val="left"/>
        <w:rPr>
          <w:rFonts w:cs="Tahoma"/>
          <w:b/>
          <w:color w:val="000000"/>
        </w:rPr>
      </w:pPr>
      <w:r w:rsidRPr="003A7F04">
        <w:rPr>
          <w:rFonts w:cs="Tahoma"/>
          <w:b/>
          <w:color w:val="000000"/>
        </w:rPr>
        <w:t>Disabled</w:t>
      </w:r>
    </w:p>
    <w:p w14:paraId="3B3F64F6" w14:textId="77777777" w:rsidR="00F66EB2" w:rsidRPr="003A7F04" w:rsidRDefault="00F66EB2" w:rsidP="00F66EB2">
      <w:pPr>
        <w:autoSpaceDE w:val="0"/>
        <w:autoSpaceDN w:val="0"/>
        <w:adjustRightInd w:val="0"/>
        <w:contextualSpacing/>
        <w:jc w:val="left"/>
        <w:rPr>
          <w:rFonts w:cs="Tahoma"/>
          <w:color w:val="000000"/>
        </w:rPr>
      </w:pPr>
      <w:r w:rsidRPr="003A7F04">
        <w:rPr>
          <w:rFonts w:cs="Tahoma"/>
        </w:rPr>
        <w:t xml:space="preserve">Section 6 of the Equality Act 2010 defines a disabled person as someone who has a physical or mental impairment which has a substantial and long term adverse effect on his or her ability to carry out normal day to day activities. </w:t>
      </w:r>
    </w:p>
    <w:p w14:paraId="0A110225" w14:textId="77777777" w:rsidR="00F66EB2" w:rsidRDefault="00F66EB2" w:rsidP="00F66EB2">
      <w:pPr>
        <w:autoSpaceDE w:val="0"/>
        <w:autoSpaceDN w:val="0"/>
        <w:adjustRightInd w:val="0"/>
        <w:spacing w:before="240"/>
        <w:contextualSpacing/>
        <w:jc w:val="left"/>
        <w:rPr>
          <w:rFonts w:cs="Tahoma"/>
          <w:b/>
          <w:color w:val="000000"/>
        </w:rPr>
      </w:pPr>
    </w:p>
    <w:p w14:paraId="498BF193" w14:textId="77777777" w:rsidR="00F66EB2" w:rsidRPr="003A7F04" w:rsidRDefault="00F66EB2" w:rsidP="00F66EB2">
      <w:pPr>
        <w:autoSpaceDE w:val="0"/>
        <w:autoSpaceDN w:val="0"/>
        <w:adjustRightInd w:val="0"/>
        <w:spacing w:before="240"/>
        <w:contextualSpacing/>
        <w:jc w:val="left"/>
        <w:rPr>
          <w:rFonts w:cs="Tahoma"/>
          <w:b/>
          <w:color w:val="000000"/>
        </w:rPr>
      </w:pPr>
      <w:r w:rsidRPr="003A7F04">
        <w:rPr>
          <w:rFonts w:cs="Tahoma"/>
          <w:b/>
          <w:color w:val="000000"/>
        </w:rPr>
        <w:t>Exemption</w:t>
      </w:r>
    </w:p>
    <w:p w14:paraId="18BF6DB8" w14:textId="77777777" w:rsidR="00F66EB2" w:rsidRPr="003A7F04" w:rsidRDefault="00F66EB2" w:rsidP="00F66EB2">
      <w:pPr>
        <w:autoSpaceDE w:val="0"/>
        <w:autoSpaceDN w:val="0"/>
        <w:adjustRightInd w:val="0"/>
        <w:contextualSpacing/>
        <w:jc w:val="left"/>
        <w:rPr>
          <w:rFonts w:cs="Tahoma"/>
        </w:rPr>
      </w:pPr>
      <w:r w:rsidRPr="003A7F04">
        <w:rPr>
          <w:rFonts w:cs="Tahoma"/>
        </w:rPr>
        <w:t>An exemption is required in the specific situation in which a foster carer is asked to look after more than three children who are not all part of a sibling group, under sections 63(12) and Schedule 7(2) of the Children Act 1989.</w:t>
      </w:r>
    </w:p>
    <w:p w14:paraId="02E0F31B" w14:textId="77777777" w:rsidR="00F66EB2" w:rsidRPr="003A7F04" w:rsidRDefault="00F66EB2" w:rsidP="00F66EB2">
      <w:pPr>
        <w:autoSpaceDE w:val="0"/>
        <w:autoSpaceDN w:val="0"/>
        <w:adjustRightInd w:val="0"/>
        <w:contextualSpacing/>
        <w:jc w:val="left"/>
        <w:rPr>
          <w:rFonts w:cs="Tahoma"/>
        </w:rPr>
      </w:pPr>
    </w:p>
    <w:p w14:paraId="0ADAFC53" w14:textId="77777777" w:rsidR="00F66EB2" w:rsidRDefault="00F66EB2" w:rsidP="00F66EB2">
      <w:pPr>
        <w:autoSpaceDE w:val="0"/>
        <w:autoSpaceDN w:val="0"/>
        <w:adjustRightInd w:val="0"/>
        <w:spacing w:before="240"/>
        <w:contextualSpacing/>
        <w:jc w:val="left"/>
        <w:rPr>
          <w:rFonts w:cs="Tahoma"/>
          <w:b/>
          <w:color w:val="000000"/>
        </w:rPr>
      </w:pPr>
      <w:r>
        <w:rPr>
          <w:rFonts w:cs="Tahoma"/>
          <w:b/>
          <w:color w:val="000000"/>
        </w:rPr>
        <w:t>Family and friends foster care</w:t>
      </w:r>
    </w:p>
    <w:p w14:paraId="0E0EA166" w14:textId="77777777" w:rsidR="00F66EB2" w:rsidRDefault="00F66EB2" w:rsidP="00F66EB2">
      <w:pPr>
        <w:autoSpaceDE w:val="0"/>
        <w:autoSpaceDN w:val="0"/>
        <w:adjustRightInd w:val="0"/>
        <w:spacing w:before="240"/>
        <w:contextualSpacing/>
        <w:jc w:val="left"/>
        <w:rPr>
          <w:rFonts w:cs="Tahoma"/>
        </w:rPr>
      </w:pPr>
      <w:r w:rsidRPr="00C53FED">
        <w:rPr>
          <w:rFonts w:cs="Tahoma"/>
        </w:rPr>
        <w:t xml:space="preserve">Foster care provided for a looked after </w:t>
      </w:r>
      <w:proofErr w:type="gramStart"/>
      <w:r w:rsidRPr="00C53FED">
        <w:rPr>
          <w:rFonts w:cs="Tahoma"/>
        </w:rPr>
        <w:t>child(</w:t>
      </w:r>
      <w:proofErr w:type="spellStart"/>
      <w:proofErr w:type="gramEnd"/>
      <w:r w:rsidRPr="00C53FED">
        <w:rPr>
          <w:rFonts w:cs="Tahoma"/>
        </w:rPr>
        <w:t>ren</w:t>
      </w:r>
      <w:proofErr w:type="spellEnd"/>
      <w:r w:rsidRPr="00C53FED">
        <w:rPr>
          <w:rFonts w:cs="Tahoma"/>
        </w:rPr>
        <w:t>) by a relative or friend who is approved by a fostering service to foster that particular child(</w:t>
      </w:r>
      <w:proofErr w:type="spellStart"/>
      <w:r w:rsidRPr="00C53FED">
        <w:rPr>
          <w:rFonts w:cs="Tahoma"/>
        </w:rPr>
        <w:t>ren</w:t>
      </w:r>
      <w:proofErr w:type="spellEnd"/>
      <w:r w:rsidRPr="00C53FED">
        <w:rPr>
          <w:rFonts w:cs="Tahoma"/>
        </w:rPr>
        <w:t xml:space="preserve">). </w:t>
      </w:r>
    </w:p>
    <w:p w14:paraId="625274B9" w14:textId="77777777" w:rsidR="00F66EB2" w:rsidRDefault="00F66EB2" w:rsidP="00F66EB2">
      <w:pPr>
        <w:autoSpaceDE w:val="0"/>
        <w:autoSpaceDN w:val="0"/>
        <w:adjustRightInd w:val="0"/>
        <w:spacing w:before="240"/>
        <w:contextualSpacing/>
        <w:jc w:val="left"/>
        <w:rPr>
          <w:rFonts w:cs="Tahoma"/>
          <w:b/>
          <w:color w:val="000000"/>
        </w:rPr>
      </w:pPr>
    </w:p>
    <w:p w14:paraId="1051442A" w14:textId="77777777" w:rsidR="00E87060" w:rsidRDefault="00E87060">
      <w:pPr>
        <w:jc w:val="left"/>
        <w:rPr>
          <w:rFonts w:cs="Tahoma"/>
          <w:b/>
          <w:color w:val="000000"/>
        </w:rPr>
      </w:pPr>
      <w:r>
        <w:rPr>
          <w:rFonts w:cs="Tahoma"/>
          <w:b/>
          <w:color w:val="000000"/>
        </w:rPr>
        <w:br w:type="page"/>
      </w:r>
    </w:p>
    <w:p w14:paraId="1054D462" w14:textId="03813EC2" w:rsidR="00F66EB2" w:rsidRPr="003A7F04" w:rsidRDefault="00F66EB2" w:rsidP="00607865">
      <w:pPr>
        <w:jc w:val="left"/>
        <w:rPr>
          <w:rFonts w:cs="Tahoma"/>
          <w:b/>
          <w:color w:val="000000"/>
        </w:rPr>
      </w:pPr>
      <w:r w:rsidRPr="003A7F04">
        <w:rPr>
          <w:rFonts w:cs="Tahoma"/>
          <w:b/>
          <w:color w:val="000000"/>
        </w:rPr>
        <w:lastRenderedPageBreak/>
        <w:t xml:space="preserve">Fostering </w:t>
      </w:r>
      <w:r>
        <w:rPr>
          <w:rFonts w:cs="Tahoma"/>
          <w:b/>
          <w:color w:val="000000"/>
        </w:rPr>
        <w:t>agencies</w:t>
      </w:r>
      <w:r w:rsidRPr="003A7F04">
        <w:rPr>
          <w:rFonts w:cs="Tahoma"/>
          <w:b/>
          <w:color w:val="000000"/>
        </w:rPr>
        <w:t xml:space="preserve"> </w:t>
      </w:r>
    </w:p>
    <w:p w14:paraId="21647671" w14:textId="77777777" w:rsidR="00F66EB2" w:rsidRDefault="00F66EB2" w:rsidP="00F66EB2">
      <w:pPr>
        <w:autoSpaceDE w:val="0"/>
        <w:autoSpaceDN w:val="0"/>
        <w:adjustRightInd w:val="0"/>
        <w:contextualSpacing/>
        <w:jc w:val="left"/>
        <w:rPr>
          <w:rFonts w:cs="Tahoma"/>
        </w:rPr>
      </w:pPr>
      <w:r>
        <w:rPr>
          <w:rFonts w:cs="Tahoma"/>
        </w:rPr>
        <w:t>Fo</w:t>
      </w:r>
      <w:r w:rsidRPr="003A7F04">
        <w:rPr>
          <w:rFonts w:cs="Tahoma"/>
        </w:rPr>
        <w:t xml:space="preserve">stering </w:t>
      </w:r>
      <w:r>
        <w:rPr>
          <w:rFonts w:cs="Tahoma"/>
        </w:rPr>
        <w:t>agen</w:t>
      </w:r>
      <w:r w:rsidRPr="003A7F04">
        <w:rPr>
          <w:rFonts w:cs="Tahoma"/>
        </w:rPr>
        <w:t>c</w:t>
      </w:r>
      <w:r>
        <w:rPr>
          <w:rFonts w:cs="Tahoma"/>
        </w:rPr>
        <w:t>i</w:t>
      </w:r>
      <w:r w:rsidRPr="003A7F04">
        <w:rPr>
          <w:rFonts w:cs="Tahoma"/>
        </w:rPr>
        <w:t>es recruit, prepare, assess, train and support foster carers</w:t>
      </w:r>
      <w:r>
        <w:rPr>
          <w:rFonts w:cs="Tahoma"/>
        </w:rPr>
        <w:t>; they can be local authority, or independent (private companies or charities)</w:t>
      </w:r>
      <w:r w:rsidRPr="003A7F04">
        <w:rPr>
          <w:rFonts w:cs="Tahoma"/>
        </w:rPr>
        <w:t>.</w:t>
      </w:r>
    </w:p>
    <w:p w14:paraId="45B9938C" w14:textId="77777777" w:rsidR="00F66EB2" w:rsidRDefault="00F66EB2" w:rsidP="00F66EB2">
      <w:pPr>
        <w:autoSpaceDE w:val="0"/>
        <w:autoSpaceDN w:val="0"/>
        <w:adjustRightInd w:val="0"/>
        <w:contextualSpacing/>
        <w:jc w:val="left"/>
        <w:rPr>
          <w:rFonts w:cs="Tahoma"/>
        </w:rPr>
      </w:pPr>
    </w:p>
    <w:p w14:paraId="7CD11564" w14:textId="6F0E6619" w:rsidR="00F66EB2" w:rsidRDefault="00F66EB2" w:rsidP="00F66EB2">
      <w:pPr>
        <w:autoSpaceDE w:val="0"/>
        <w:autoSpaceDN w:val="0"/>
        <w:adjustRightInd w:val="0"/>
        <w:contextualSpacing/>
        <w:jc w:val="left"/>
        <w:rPr>
          <w:rFonts w:cs="Tahoma"/>
          <w:b/>
        </w:rPr>
      </w:pPr>
      <w:r>
        <w:rPr>
          <w:rFonts w:cs="Tahoma"/>
          <w:b/>
        </w:rPr>
        <w:t>Fostering for Adoption</w:t>
      </w:r>
    </w:p>
    <w:p w14:paraId="6B427760" w14:textId="6874799B" w:rsidR="00F66EB2" w:rsidRPr="00F66EB2" w:rsidRDefault="0013525C" w:rsidP="00F66EB2">
      <w:pPr>
        <w:autoSpaceDE w:val="0"/>
        <w:autoSpaceDN w:val="0"/>
        <w:adjustRightInd w:val="0"/>
        <w:contextualSpacing/>
        <w:jc w:val="left"/>
        <w:rPr>
          <w:rFonts w:cs="Tahoma"/>
        </w:rPr>
      </w:pPr>
      <w:r w:rsidRPr="0013525C">
        <w:rPr>
          <w:rFonts w:cs="Tahoma"/>
        </w:rPr>
        <w:t>‘Fostering for adoption’ is used for babies and children who are in local authority care where the plan is likely to be adoption, but who still have a chance of being reunited with their birth family.</w:t>
      </w:r>
    </w:p>
    <w:p w14:paraId="2620816D" w14:textId="77777777" w:rsidR="00F66EB2" w:rsidRPr="003A7F04" w:rsidRDefault="00F66EB2" w:rsidP="00F66EB2">
      <w:pPr>
        <w:autoSpaceDE w:val="0"/>
        <w:autoSpaceDN w:val="0"/>
        <w:adjustRightInd w:val="0"/>
        <w:contextualSpacing/>
        <w:jc w:val="left"/>
        <w:rPr>
          <w:rFonts w:cs="Tahoma"/>
          <w:color w:val="000000"/>
        </w:rPr>
      </w:pPr>
    </w:p>
    <w:p w14:paraId="48120B2A" w14:textId="77777777" w:rsidR="00F66EB2" w:rsidRPr="003A7F04" w:rsidRDefault="00F66EB2" w:rsidP="00F66EB2">
      <w:pPr>
        <w:autoSpaceDE w:val="0"/>
        <w:autoSpaceDN w:val="0"/>
        <w:adjustRightInd w:val="0"/>
        <w:spacing w:before="240"/>
        <w:contextualSpacing/>
        <w:jc w:val="left"/>
        <w:rPr>
          <w:rFonts w:cs="Tahoma"/>
          <w:b/>
          <w:color w:val="000000"/>
        </w:rPr>
      </w:pPr>
      <w:r w:rsidRPr="003A7F04">
        <w:rPr>
          <w:rFonts w:cs="Tahoma"/>
          <w:b/>
          <w:color w:val="000000"/>
        </w:rPr>
        <w:t>Foster places</w:t>
      </w:r>
    </w:p>
    <w:p w14:paraId="7743188E" w14:textId="77777777" w:rsidR="00F66EB2" w:rsidRPr="003A7F04" w:rsidRDefault="00F66EB2" w:rsidP="00F66EB2">
      <w:pPr>
        <w:autoSpaceDE w:val="0"/>
        <w:autoSpaceDN w:val="0"/>
        <w:adjustRightInd w:val="0"/>
        <w:contextualSpacing/>
        <w:jc w:val="left"/>
        <w:rPr>
          <w:rFonts w:cs="Tahoma"/>
        </w:rPr>
      </w:pPr>
      <w:r w:rsidRPr="003A7F04">
        <w:rPr>
          <w:rFonts w:cs="Tahoma"/>
        </w:rPr>
        <w:t>Foster places refers to the total number of places that foster carers are approved to provide, whether occupied or not; it relates to the capacity of foster care in England.</w:t>
      </w:r>
    </w:p>
    <w:p w14:paraId="6411F8AB" w14:textId="77777777" w:rsidR="00F66EB2" w:rsidRPr="003A7F04" w:rsidRDefault="00F66EB2" w:rsidP="00F66EB2">
      <w:pPr>
        <w:autoSpaceDE w:val="0"/>
        <w:autoSpaceDN w:val="0"/>
        <w:adjustRightInd w:val="0"/>
        <w:contextualSpacing/>
        <w:jc w:val="left"/>
        <w:rPr>
          <w:rFonts w:cs="Tahoma"/>
        </w:rPr>
      </w:pPr>
    </w:p>
    <w:p w14:paraId="207DA658" w14:textId="77777777" w:rsidR="00F66EB2" w:rsidRPr="003A7F04" w:rsidRDefault="00F66EB2" w:rsidP="00F66EB2">
      <w:pPr>
        <w:autoSpaceDE w:val="0"/>
        <w:autoSpaceDN w:val="0"/>
        <w:adjustRightInd w:val="0"/>
        <w:spacing w:before="240"/>
        <w:contextualSpacing/>
        <w:jc w:val="left"/>
        <w:rPr>
          <w:rFonts w:cs="Tahoma"/>
          <w:b/>
          <w:color w:val="000000"/>
        </w:rPr>
      </w:pPr>
      <w:r w:rsidRPr="003A7F04">
        <w:rPr>
          <w:rFonts w:cs="Tahoma"/>
          <w:b/>
          <w:color w:val="000000"/>
        </w:rPr>
        <w:t>Foster placements</w:t>
      </w:r>
    </w:p>
    <w:p w14:paraId="0F6338DE" w14:textId="77777777" w:rsidR="00F66EB2" w:rsidRPr="003A7F04" w:rsidRDefault="00F66EB2" w:rsidP="00F66EB2">
      <w:pPr>
        <w:autoSpaceDE w:val="0"/>
        <w:autoSpaceDN w:val="0"/>
        <w:adjustRightInd w:val="0"/>
        <w:contextualSpacing/>
        <w:jc w:val="left"/>
        <w:rPr>
          <w:rFonts w:cs="Tahoma"/>
        </w:rPr>
      </w:pPr>
      <w:r w:rsidRPr="003A7F04">
        <w:rPr>
          <w:rFonts w:cs="Tahoma"/>
        </w:rPr>
        <w:t>Foster placements refers to arrangements made for children to be looked after, in this context living with foster carers.</w:t>
      </w:r>
    </w:p>
    <w:p w14:paraId="6C894748" w14:textId="77777777" w:rsidR="00F66EB2" w:rsidRDefault="00F66EB2" w:rsidP="00F66EB2">
      <w:pPr>
        <w:autoSpaceDE w:val="0"/>
        <w:autoSpaceDN w:val="0"/>
        <w:adjustRightInd w:val="0"/>
        <w:spacing w:before="240"/>
        <w:contextualSpacing/>
        <w:jc w:val="left"/>
        <w:rPr>
          <w:rFonts w:cs="Tahoma"/>
          <w:b/>
          <w:color w:val="000000"/>
        </w:rPr>
      </w:pPr>
    </w:p>
    <w:p w14:paraId="69807C8E" w14:textId="77777777" w:rsidR="00F66EB2" w:rsidRPr="003A7F04" w:rsidRDefault="00F66EB2" w:rsidP="00F66EB2">
      <w:pPr>
        <w:autoSpaceDE w:val="0"/>
        <w:autoSpaceDN w:val="0"/>
        <w:adjustRightInd w:val="0"/>
        <w:spacing w:before="240"/>
        <w:contextualSpacing/>
        <w:jc w:val="left"/>
        <w:rPr>
          <w:rFonts w:cs="Tahoma"/>
          <w:b/>
          <w:color w:val="000000"/>
        </w:rPr>
      </w:pPr>
      <w:r w:rsidRPr="003A7F04">
        <w:rPr>
          <w:rFonts w:cs="Tahoma"/>
          <w:b/>
          <w:color w:val="000000"/>
        </w:rPr>
        <w:t>Missing</w:t>
      </w:r>
    </w:p>
    <w:p w14:paraId="013746E8" w14:textId="77777777" w:rsidR="00F66EB2" w:rsidRDefault="00F66EB2" w:rsidP="00F66EB2">
      <w:pPr>
        <w:autoSpaceDE w:val="0"/>
        <w:autoSpaceDN w:val="0"/>
        <w:adjustRightInd w:val="0"/>
        <w:contextualSpacing/>
        <w:jc w:val="left"/>
        <w:rPr>
          <w:rFonts w:cs="Tahoma"/>
        </w:rPr>
      </w:pPr>
      <w:r w:rsidRPr="003A7F04">
        <w:rPr>
          <w:rFonts w:cs="Tahoma"/>
        </w:rPr>
        <w:t>In this context refer</w:t>
      </w:r>
      <w:r>
        <w:rPr>
          <w:rFonts w:cs="Tahoma"/>
        </w:rPr>
        <w:t>s</w:t>
      </w:r>
      <w:r w:rsidRPr="003A7F04">
        <w:rPr>
          <w:rFonts w:cs="Tahoma"/>
        </w:rPr>
        <w:t xml:space="preserve"> to children up to the age of 18 who have run away from their foster placement, have been abducted, or whose whereabouts </w:t>
      </w:r>
      <w:r>
        <w:rPr>
          <w:rFonts w:cs="Tahoma"/>
        </w:rPr>
        <w:t>are</w:t>
      </w:r>
      <w:r w:rsidRPr="003A7F04">
        <w:rPr>
          <w:rFonts w:cs="Tahoma"/>
        </w:rPr>
        <w:t xml:space="preserve"> unknown</w:t>
      </w:r>
      <w:r>
        <w:rPr>
          <w:rFonts w:cs="Tahoma"/>
        </w:rPr>
        <w:t>; it does not include unauthorised absence where a child’s whereabouts are (thought to be) known</w:t>
      </w:r>
      <w:r w:rsidRPr="003A7F04">
        <w:rPr>
          <w:rFonts w:cs="Tahoma"/>
        </w:rPr>
        <w:t xml:space="preserve">. </w:t>
      </w:r>
    </w:p>
    <w:p w14:paraId="40A7D44D" w14:textId="77777777" w:rsidR="00F66EB2" w:rsidRDefault="00F66EB2" w:rsidP="00F66EB2">
      <w:pPr>
        <w:autoSpaceDE w:val="0"/>
        <w:autoSpaceDN w:val="0"/>
        <w:adjustRightInd w:val="0"/>
        <w:contextualSpacing/>
        <w:jc w:val="left"/>
        <w:rPr>
          <w:rFonts w:cs="Tahoma"/>
        </w:rPr>
      </w:pPr>
    </w:p>
    <w:p w14:paraId="01885349" w14:textId="1DD1DA9D" w:rsidR="00F66EB2" w:rsidRPr="003A7F04" w:rsidRDefault="00F66EB2" w:rsidP="00F66EB2">
      <w:pPr>
        <w:autoSpaceDE w:val="0"/>
        <w:autoSpaceDN w:val="0"/>
        <w:adjustRightInd w:val="0"/>
        <w:contextualSpacing/>
        <w:jc w:val="left"/>
        <w:rPr>
          <w:rFonts w:cs="Tahoma"/>
          <w:b/>
        </w:rPr>
      </w:pPr>
      <w:r w:rsidRPr="003A7F04">
        <w:rPr>
          <w:rFonts w:cs="Tahoma"/>
          <w:b/>
        </w:rPr>
        <w:t>Multi-dimensional treatment foster care</w:t>
      </w:r>
      <w:r w:rsidR="003E1DDA">
        <w:rPr>
          <w:rFonts w:cs="Tahoma"/>
          <w:b/>
        </w:rPr>
        <w:t xml:space="preserve"> (MTFC)</w:t>
      </w:r>
      <w:r w:rsidRPr="003A7F04">
        <w:rPr>
          <w:rFonts w:cs="Tahoma"/>
          <w:b/>
        </w:rPr>
        <w:t xml:space="preserve"> under the Department for Education scheme</w:t>
      </w:r>
    </w:p>
    <w:p w14:paraId="65EFD722" w14:textId="77777777" w:rsidR="00F66EB2" w:rsidRPr="003A7F04" w:rsidRDefault="00F66EB2" w:rsidP="00F66EB2">
      <w:pPr>
        <w:autoSpaceDE w:val="0"/>
        <w:autoSpaceDN w:val="0"/>
        <w:adjustRightInd w:val="0"/>
        <w:contextualSpacing/>
        <w:jc w:val="left"/>
        <w:rPr>
          <w:rFonts w:cs="Tahoma"/>
          <w:color w:val="000000"/>
        </w:rPr>
      </w:pPr>
      <w:r w:rsidRPr="00C53FED">
        <w:rPr>
          <w:rFonts w:cs="Tahoma"/>
        </w:rPr>
        <w:t>MTFC is a highly structured behavioural programme, providing wraparound multi-professional support and including daily communication between carers, the team and school</w:t>
      </w:r>
      <w:r>
        <w:rPr>
          <w:rFonts w:cs="Tahoma"/>
        </w:rPr>
        <w:t xml:space="preserve"> aimed at diverting young people from anti-social peers</w:t>
      </w:r>
      <w:r w:rsidRPr="00C53FED">
        <w:rPr>
          <w:rFonts w:cs="Tahoma"/>
        </w:rPr>
        <w:t>.</w:t>
      </w:r>
    </w:p>
    <w:p w14:paraId="3D1D155C" w14:textId="77777777" w:rsidR="00F66EB2" w:rsidRPr="003A7F04" w:rsidRDefault="00F66EB2" w:rsidP="00F66EB2">
      <w:pPr>
        <w:autoSpaceDE w:val="0"/>
        <w:autoSpaceDN w:val="0"/>
        <w:adjustRightInd w:val="0"/>
        <w:contextualSpacing/>
        <w:jc w:val="left"/>
        <w:rPr>
          <w:rFonts w:cs="Tahoma"/>
          <w:color w:val="000000"/>
        </w:rPr>
      </w:pPr>
    </w:p>
    <w:p w14:paraId="1FC93FD8" w14:textId="77777777" w:rsidR="00F66EB2" w:rsidRDefault="00F66EB2" w:rsidP="00F66EB2">
      <w:pPr>
        <w:autoSpaceDE w:val="0"/>
        <w:autoSpaceDN w:val="0"/>
        <w:adjustRightInd w:val="0"/>
        <w:spacing w:before="240"/>
        <w:contextualSpacing/>
        <w:jc w:val="left"/>
        <w:rPr>
          <w:rFonts w:cs="Tahoma"/>
          <w:b/>
          <w:color w:val="000000"/>
        </w:rPr>
      </w:pPr>
      <w:r>
        <w:rPr>
          <w:rFonts w:cs="Tahoma"/>
          <w:b/>
          <w:color w:val="000000"/>
        </w:rPr>
        <w:t>Parent and child placements</w:t>
      </w:r>
    </w:p>
    <w:p w14:paraId="06A2F7A5" w14:textId="77777777" w:rsidR="00F66EB2" w:rsidRDefault="00F66EB2" w:rsidP="00F66EB2">
      <w:pPr>
        <w:autoSpaceDE w:val="0"/>
        <w:autoSpaceDN w:val="0"/>
        <w:adjustRightInd w:val="0"/>
        <w:spacing w:before="240"/>
        <w:contextualSpacing/>
        <w:jc w:val="left"/>
        <w:rPr>
          <w:rFonts w:cs="Tahoma"/>
          <w:b/>
          <w:color w:val="000000"/>
        </w:rPr>
      </w:pPr>
      <w:r w:rsidRPr="00C53FED">
        <w:rPr>
          <w:rFonts w:cs="Tahoma"/>
        </w:rPr>
        <w:t>Foster care provided with approved foster carers in a family setting for a parent together with her/his child where at least one of them is looked after.</w:t>
      </w:r>
      <w:r>
        <w:rPr>
          <w:rFonts w:cs="Tahoma"/>
        </w:rPr>
        <w:t xml:space="preserve"> </w:t>
      </w:r>
    </w:p>
    <w:p w14:paraId="350334EE" w14:textId="77777777" w:rsidR="00F66EB2" w:rsidRDefault="00F66EB2" w:rsidP="00F66EB2">
      <w:pPr>
        <w:autoSpaceDE w:val="0"/>
        <w:autoSpaceDN w:val="0"/>
        <w:adjustRightInd w:val="0"/>
        <w:spacing w:before="240"/>
        <w:contextualSpacing/>
        <w:jc w:val="left"/>
        <w:rPr>
          <w:rFonts w:cs="Tahoma"/>
          <w:b/>
          <w:color w:val="000000"/>
        </w:rPr>
      </w:pPr>
    </w:p>
    <w:p w14:paraId="57126CF2" w14:textId="77777777" w:rsidR="00F66EB2" w:rsidRPr="003A7F04" w:rsidRDefault="00F66EB2" w:rsidP="00F66EB2">
      <w:pPr>
        <w:autoSpaceDE w:val="0"/>
        <w:autoSpaceDN w:val="0"/>
        <w:adjustRightInd w:val="0"/>
        <w:spacing w:before="240"/>
        <w:contextualSpacing/>
        <w:jc w:val="left"/>
        <w:rPr>
          <w:rFonts w:cs="Tahoma"/>
          <w:b/>
          <w:color w:val="000000"/>
        </w:rPr>
      </w:pPr>
      <w:r w:rsidRPr="003A7F04">
        <w:rPr>
          <w:rFonts w:cs="Tahoma"/>
          <w:b/>
          <w:color w:val="000000"/>
        </w:rPr>
        <w:t>Physical restraint</w:t>
      </w:r>
    </w:p>
    <w:p w14:paraId="78EA5BA0" w14:textId="77777777" w:rsidR="00F66EB2" w:rsidRPr="003A7F04" w:rsidRDefault="00F66EB2" w:rsidP="00F66EB2">
      <w:pPr>
        <w:autoSpaceDE w:val="0"/>
        <w:autoSpaceDN w:val="0"/>
        <w:adjustRightInd w:val="0"/>
        <w:contextualSpacing/>
        <w:jc w:val="left"/>
        <w:rPr>
          <w:rFonts w:cs="Tahoma"/>
        </w:rPr>
      </w:pPr>
      <w:r>
        <w:rPr>
          <w:rFonts w:cs="Tahoma"/>
        </w:rPr>
        <w:t>S</w:t>
      </w:r>
      <w:r w:rsidRPr="003A7F04">
        <w:rPr>
          <w:rFonts w:cs="Tahoma"/>
        </w:rPr>
        <w:t>topping a foster child/young person from doing something they appear to want to do by physical means</w:t>
      </w:r>
      <w:r>
        <w:rPr>
          <w:rFonts w:cs="Tahoma"/>
        </w:rPr>
        <w:t xml:space="preserve"> including to stop them hurting themselves</w:t>
      </w:r>
      <w:r w:rsidRPr="003A7F04">
        <w:rPr>
          <w:rFonts w:cs="Tahoma"/>
        </w:rPr>
        <w:t>.</w:t>
      </w:r>
    </w:p>
    <w:p w14:paraId="51C9EF8D" w14:textId="77777777" w:rsidR="00F66EB2" w:rsidRPr="003A7F04" w:rsidRDefault="00F66EB2" w:rsidP="00F66EB2">
      <w:pPr>
        <w:autoSpaceDE w:val="0"/>
        <w:autoSpaceDN w:val="0"/>
        <w:adjustRightInd w:val="0"/>
        <w:contextualSpacing/>
        <w:jc w:val="left"/>
        <w:rPr>
          <w:rFonts w:cs="Tahoma"/>
        </w:rPr>
      </w:pPr>
    </w:p>
    <w:p w14:paraId="4AF7D9C0" w14:textId="77777777" w:rsidR="00F66EB2" w:rsidRDefault="00F66EB2" w:rsidP="00F66EB2">
      <w:pPr>
        <w:autoSpaceDE w:val="0"/>
        <w:autoSpaceDN w:val="0"/>
        <w:adjustRightInd w:val="0"/>
        <w:spacing w:before="240"/>
        <w:contextualSpacing/>
        <w:jc w:val="left"/>
        <w:rPr>
          <w:rFonts w:cs="Tahoma"/>
          <w:b/>
          <w:color w:val="000000"/>
        </w:rPr>
      </w:pPr>
      <w:r>
        <w:rPr>
          <w:rFonts w:cs="Tahoma"/>
          <w:b/>
          <w:color w:val="000000"/>
        </w:rPr>
        <w:t>Remained in progress</w:t>
      </w:r>
    </w:p>
    <w:p w14:paraId="21697950" w14:textId="77777777" w:rsidR="00F66EB2" w:rsidRPr="002210C3" w:rsidRDefault="00F66EB2" w:rsidP="00F66EB2">
      <w:pPr>
        <w:autoSpaceDE w:val="0"/>
        <w:autoSpaceDN w:val="0"/>
        <w:adjustRightInd w:val="0"/>
        <w:spacing w:before="240"/>
        <w:contextualSpacing/>
        <w:jc w:val="left"/>
        <w:rPr>
          <w:rFonts w:cs="Tahoma"/>
          <w:color w:val="000000"/>
        </w:rPr>
      </w:pPr>
      <w:r>
        <w:rPr>
          <w:rFonts w:cs="Tahoma"/>
          <w:color w:val="000000"/>
        </w:rPr>
        <w:t>Any applications which were still in progress as at 31 March, having not either reached the decision stage or been stopped by the applicant.</w:t>
      </w:r>
    </w:p>
    <w:p w14:paraId="665FAE61" w14:textId="77777777" w:rsidR="00F66EB2" w:rsidRDefault="00F66EB2" w:rsidP="00F66EB2">
      <w:pPr>
        <w:autoSpaceDE w:val="0"/>
        <w:autoSpaceDN w:val="0"/>
        <w:adjustRightInd w:val="0"/>
        <w:spacing w:before="240"/>
        <w:contextualSpacing/>
        <w:jc w:val="left"/>
        <w:rPr>
          <w:rFonts w:cs="Tahoma"/>
          <w:b/>
          <w:color w:val="000000"/>
        </w:rPr>
      </w:pPr>
    </w:p>
    <w:p w14:paraId="4D2D4ED3" w14:textId="77777777" w:rsidR="00E87060" w:rsidRDefault="00E87060">
      <w:pPr>
        <w:jc w:val="left"/>
        <w:rPr>
          <w:rFonts w:cs="Tahoma"/>
          <w:b/>
          <w:color w:val="000000"/>
        </w:rPr>
      </w:pPr>
      <w:r>
        <w:rPr>
          <w:rFonts w:cs="Tahoma"/>
          <w:b/>
          <w:color w:val="000000"/>
        </w:rPr>
        <w:br w:type="page"/>
      </w:r>
    </w:p>
    <w:p w14:paraId="7FB1A18A" w14:textId="18B0AEC4" w:rsidR="00F66EB2" w:rsidRDefault="00F66EB2" w:rsidP="00D716C1">
      <w:pPr>
        <w:jc w:val="left"/>
        <w:rPr>
          <w:rFonts w:cs="Tahoma"/>
          <w:b/>
          <w:color w:val="000000"/>
        </w:rPr>
      </w:pPr>
      <w:r>
        <w:rPr>
          <w:rFonts w:cs="Tahoma"/>
          <w:b/>
          <w:color w:val="000000"/>
        </w:rPr>
        <w:lastRenderedPageBreak/>
        <w:t>Remand foster care</w:t>
      </w:r>
    </w:p>
    <w:p w14:paraId="5C8F3752" w14:textId="67EC6166" w:rsidR="00F66EB2" w:rsidRDefault="00F66EB2" w:rsidP="00F66EB2">
      <w:pPr>
        <w:autoSpaceDE w:val="0"/>
        <w:autoSpaceDN w:val="0"/>
        <w:adjustRightInd w:val="0"/>
        <w:spacing w:before="240"/>
        <w:contextualSpacing/>
        <w:jc w:val="left"/>
        <w:rPr>
          <w:rFonts w:cs="Tahoma"/>
        </w:rPr>
      </w:pPr>
      <w:r w:rsidRPr="00C53FED">
        <w:rPr>
          <w:rFonts w:cs="Tahoma"/>
        </w:rPr>
        <w:t xml:space="preserve">Foster care provided for children on remand, or committed for trial or sentence under </w:t>
      </w:r>
      <w:r w:rsidR="003E1DDA">
        <w:rPr>
          <w:rFonts w:cs="Tahoma"/>
        </w:rPr>
        <w:t>the Children and Young Persons Act</w:t>
      </w:r>
      <w:r w:rsidR="003E1DDA" w:rsidRPr="00C53FED">
        <w:rPr>
          <w:rFonts w:cs="Tahoma"/>
        </w:rPr>
        <w:t xml:space="preserve"> </w:t>
      </w:r>
      <w:r w:rsidRPr="00C53FED">
        <w:rPr>
          <w:rFonts w:cs="Tahoma"/>
        </w:rPr>
        <w:t xml:space="preserve">or </w:t>
      </w:r>
      <w:r w:rsidR="003E1DDA">
        <w:rPr>
          <w:rFonts w:cs="Tahoma"/>
        </w:rPr>
        <w:t>the Crime and Disorder Act</w:t>
      </w:r>
      <w:r w:rsidRPr="00C53FED">
        <w:rPr>
          <w:rFonts w:cs="Tahoma"/>
        </w:rPr>
        <w:t xml:space="preserve">, or detained in local authority accommodation under </w:t>
      </w:r>
      <w:r w:rsidR="003E1DDA">
        <w:rPr>
          <w:rFonts w:cs="Tahoma"/>
        </w:rPr>
        <w:t>the Police and Criminal Evidence Act</w:t>
      </w:r>
      <w:r w:rsidRPr="00C53FED">
        <w:rPr>
          <w:rFonts w:cs="Tahoma"/>
        </w:rPr>
        <w:t>, or subject to a supervision order with residence requirement.</w:t>
      </w:r>
    </w:p>
    <w:p w14:paraId="4D39F543" w14:textId="77777777" w:rsidR="00AE43D9" w:rsidRDefault="00AE43D9" w:rsidP="00F66EB2">
      <w:pPr>
        <w:autoSpaceDE w:val="0"/>
        <w:autoSpaceDN w:val="0"/>
        <w:adjustRightInd w:val="0"/>
        <w:spacing w:before="240"/>
        <w:contextualSpacing/>
        <w:jc w:val="left"/>
        <w:rPr>
          <w:rFonts w:cs="Tahoma"/>
          <w:b/>
        </w:rPr>
      </w:pPr>
    </w:p>
    <w:p w14:paraId="32C2B751" w14:textId="17F605AC" w:rsidR="00F66EB2" w:rsidRDefault="00F66EB2" w:rsidP="00F66EB2">
      <w:pPr>
        <w:autoSpaceDE w:val="0"/>
        <w:autoSpaceDN w:val="0"/>
        <w:adjustRightInd w:val="0"/>
        <w:spacing w:before="240"/>
        <w:contextualSpacing/>
        <w:jc w:val="left"/>
        <w:rPr>
          <w:rFonts w:cs="Tahoma"/>
          <w:b/>
        </w:rPr>
      </w:pPr>
      <w:r>
        <w:rPr>
          <w:rFonts w:cs="Tahoma"/>
          <w:b/>
        </w:rPr>
        <w:t>Return Home Interview</w:t>
      </w:r>
    </w:p>
    <w:p w14:paraId="0701001E" w14:textId="728E4024" w:rsidR="00F66EB2" w:rsidRPr="00F66EB2" w:rsidRDefault="0013525C" w:rsidP="00F66EB2">
      <w:pPr>
        <w:autoSpaceDE w:val="0"/>
        <w:autoSpaceDN w:val="0"/>
        <w:adjustRightInd w:val="0"/>
        <w:spacing w:before="240"/>
        <w:contextualSpacing/>
        <w:jc w:val="left"/>
        <w:rPr>
          <w:rFonts w:cs="Tahoma"/>
          <w:color w:val="000000"/>
        </w:rPr>
      </w:pPr>
      <w:r>
        <w:rPr>
          <w:rFonts w:cs="Tahoma"/>
          <w:color w:val="000000"/>
        </w:rPr>
        <w:t>An in-depth discussion of their reasons for running away offered to all children who go missing, by an independent person, usually the local authority, to try to prevent further missing episodes.</w:t>
      </w:r>
    </w:p>
    <w:p w14:paraId="7D4A3F4B" w14:textId="77777777" w:rsidR="00F66EB2" w:rsidRDefault="00F66EB2" w:rsidP="00F66EB2">
      <w:pPr>
        <w:autoSpaceDE w:val="0"/>
        <w:autoSpaceDN w:val="0"/>
        <w:adjustRightInd w:val="0"/>
        <w:spacing w:before="240"/>
        <w:contextualSpacing/>
        <w:jc w:val="left"/>
        <w:rPr>
          <w:rFonts w:cs="Tahoma"/>
          <w:b/>
          <w:color w:val="000000"/>
        </w:rPr>
      </w:pPr>
    </w:p>
    <w:p w14:paraId="246B1FC7" w14:textId="77777777" w:rsidR="00F66EB2" w:rsidRPr="003A7F04" w:rsidRDefault="00F66EB2" w:rsidP="00F66EB2">
      <w:pPr>
        <w:autoSpaceDE w:val="0"/>
        <w:autoSpaceDN w:val="0"/>
        <w:adjustRightInd w:val="0"/>
        <w:spacing w:before="240"/>
        <w:contextualSpacing/>
        <w:jc w:val="left"/>
        <w:rPr>
          <w:rFonts w:cs="Tahoma"/>
          <w:b/>
          <w:color w:val="000000"/>
        </w:rPr>
      </w:pPr>
      <w:r w:rsidRPr="003A7F04">
        <w:rPr>
          <w:rFonts w:cs="Tahoma"/>
          <w:b/>
          <w:color w:val="000000"/>
        </w:rPr>
        <w:t>Section 47</w:t>
      </w:r>
    </w:p>
    <w:p w14:paraId="3CAECEC3" w14:textId="77777777" w:rsidR="00F66EB2" w:rsidRPr="003A7F04" w:rsidRDefault="00F66EB2" w:rsidP="00F66EB2">
      <w:pPr>
        <w:autoSpaceDE w:val="0"/>
        <w:autoSpaceDN w:val="0"/>
        <w:adjustRightInd w:val="0"/>
        <w:contextualSpacing/>
        <w:jc w:val="left"/>
        <w:rPr>
          <w:rFonts w:cs="Tahoma"/>
        </w:rPr>
      </w:pPr>
      <w:r w:rsidRPr="003A7F04">
        <w:rPr>
          <w:rFonts w:cs="Tahoma"/>
        </w:rPr>
        <w:t>Refers to section 47 of the Children Act 1989 and relates to the local authority's duty to investigate child protection concerns.</w:t>
      </w:r>
    </w:p>
    <w:p w14:paraId="193EF4E5" w14:textId="77777777" w:rsidR="00F66EB2" w:rsidRPr="003A7F04" w:rsidRDefault="00F66EB2" w:rsidP="00F66EB2">
      <w:pPr>
        <w:autoSpaceDE w:val="0"/>
        <w:autoSpaceDN w:val="0"/>
        <w:adjustRightInd w:val="0"/>
        <w:contextualSpacing/>
        <w:jc w:val="left"/>
        <w:rPr>
          <w:rFonts w:cs="Tahoma"/>
        </w:rPr>
      </w:pPr>
    </w:p>
    <w:p w14:paraId="1F45B7CE" w14:textId="77777777" w:rsidR="00F66EB2" w:rsidRDefault="00F66EB2" w:rsidP="00F66EB2">
      <w:pPr>
        <w:autoSpaceDE w:val="0"/>
        <w:autoSpaceDN w:val="0"/>
        <w:adjustRightInd w:val="0"/>
        <w:contextualSpacing/>
        <w:jc w:val="left"/>
        <w:rPr>
          <w:rFonts w:cs="Tahoma"/>
          <w:b/>
        </w:rPr>
      </w:pPr>
      <w:r w:rsidRPr="004B360B">
        <w:rPr>
          <w:rFonts w:cs="Tahoma"/>
          <w:b/>
        </w:rPr>
        <w:t>Staying Put</w:t>
      </w:r>
    </w:p>
    <w:p w14:paraId="50A91FAB" w14:textId="77777777" w:rsidR="00F66EB2" w:rsidRDefault="00F66EB2" w:rsidP="00F66EB2">
      <w:pPr>
        <w:autoSpaceDE w:val="0"/>
        <w:autoSpaceDN w:val="0"/>
        <w:adjustRightInd w:val="0"/>
        <w:contextualSpacing/>
        <w:jc w:val="left"/>
        <w:rPr>
          <w:rFonts w:cs="Tahoma"/>
        </w:rPr>
      </w:pPr>
      <w:r>
        <w:rPr>
          <w:rFonts w:cs="Tahoma"/>
        </w:rPr>
        <w:t>A duty on local authorities to facilitate and support fostered young people remaining with their former foster carers, if this is what both parties want.</w:t>
      </w:r>
    </w:p>
    <w:p w14:paraId="0330C80E" w14:textId="77777777" w:rsidR="00F66EB2" w:rsidRPr="003A7F04" w:rsidRDefault="00F66EB2" w:rsidP="00F66EB2">
      <w:pPr>
        <w:autoSpaceDE w:val="0"/>
        <w:autoSpaceDN w:val="0"/>
        <w:adjustRightInd w:val="0"/>
        <w:contextualSpacing/>
        <w:jc w:val="left"/>
        <w:rPr>
          <w:rFonts w:cs="Tahoma"/>
          <w:b/>
          <w:color w:val="000000"/>
        </w:rPr>
      </w:pPr>
    </w:p>
    <w:p w14:paraId="017767E7" w14:textId="38B9AC87" w:rsidR="00F66EB2" w:rsidRDefault="00F66EB2" w:rsidP="00F66EB2">
      <w:pPr>
        <w:autoSpaceDE w:val="0"/>
        <w:autoSpaceDN w:val="0"/>
        <w:adjustRightInd w:val="0"/>
        <w:spacing w:before="240"/>
        <w:contextualSpacing/>
        <w:jc w:val="left"/>
        <w:rPr>
          <w:rFonts w:cs="Tahoma"/>
          <w:b/>
          <w:color w:val="000000"/>
        </w:rPr>
      </w:pPr>
      <w:r>
        <w:rPr>
          <w:rFonts w:cs="Tahoma"/>
          <w:b/>
          <w:color w:val="000000"/>
        </w:rPr>
        <w:t>Subject to (</w:t>
      </w:r>
      <w:r w:rsidR="007A21C8">
        <w:rPr>
          <w:rFonts w:cs="Tahoma"/>
          <w:b/>
          <w:color w:val="000000"/>
        </w:rPr>
        <w:t>child sexual exploitation</w:t>
      </w:r>
      <w:r>
        <w:rPr>
          <w:rFonts w:cs="Tahoma"/>
          <w:b/>
          <w:color w:val="000000"/>
        </w:rPr>
        <w:t>)</w:t>
      </w:r>
    </w:p>
    <w:p w14:paraId="5CD9BFD7" w14:textId="77777777" w:rsidR="00F66EB2" w:rsidRPr="003A7F04" w:rsidRDefault="00F66EB2" w:rsidP="00F66EB2">
      <w:pPr>
        <w:autoSpaceDE w:val="0"/>
        <w:autoSpaceDN w:val="0"/>
        <w:adjustRightInd w:val="0"/>
        <w:spacing w:before="240"/>
        <w:contextualSpacing/>
        <w:jc w:val="left"/>
        <w:rPr>
          <w:rFonts w:cs="Tahoma"/>
          <w:color w:val="000000"/>
        </w:rPr>
      </w:pPr>
      <w:r>
        <w:rPr>
          <w:rFonts w:cs="Tahoma"/>
          <w:color w:val="000000"/>
        </w:rPr>
        <w:t>This refers to any child considered to have experienced child sexual exploitation. This does not have to have been confirmed by other professionals.</w:t>
      </w:r>
    </w:p>
    <w:p w14:paraId="28A1916A" w14:textId="77777777" w:rsidR="00F66EB2" w:rsidRDefault="00F66EB2" w:rsidP="00F66EB2">
      <w:pPr>
        <w:autoSpaceDE w:val="0"/>
        <w:autoSpaceDN w:val="0"/>
        <w:adjustRightInd w:val="0"/>
        <w:spacing w:before="240"/>
        <w:contextualSpacing/>
        <w:jc w:val="left"/>
        <w:rPr>
          <w:rFonts w:cs="Tahoma"/>
          <w:b/>
          <w:color w:val="000000"/>
        </w:rPr>
      </w:pPr>
    </w:p>
    <w:p w14:paraId="59544EF9" w14:textId="77777777" w:rsidR="00F66EB2" w:rsidRPr="002210C3" w:rsidRDefault="00F66EB2" w:rsidP="00F66EB2">
      <w:pPr>
        <w:autoSpaceDE w:val="0"/>
        <w:autoSpaceDN w:val="0"/>
        <w:adjustRightInd w:val="0"/>
        <w:spacing w:before="240"/>
        <w:contextualSpacing/>
        <w:jc w:val="left"/>
        <w:rPr>
          <w:rFonts w:cs="Tahoma"/>
          <w:b/>
          <w:color w:val="000000"/>
        </w:rPr>
      </w:pPr>
      <w:r w:rsidRPr="002210C3">
        <w:rPr>
          <w:rFonts w:cs="Tahoma"/>
          <w:b/>
        </w:rPr>
        <w:t>Training, Support and Development (TSD) Standards</w:t>
      </w:r>
      <w:r w:rsidRPr="002210C3">
        <w:rPr>
          <w:rFonts w:cs="Tahoma"/>
          <w:b/>
          <w:color w:val="000000"/>
        </w:rPr>
        <w:t xml:space="preserve"> </w:t>
      </w:r>
    </w:p>
    <w:p w14:paraId="12667A88" w14:textId="77777777" w:rsidR="00F66EB2" w:rsidRPr="002210C3" w:rsidRDefault="00F66EB2" w:rsidP="00F66EB2">
      <w:pPr>
        <w:autoSpaceDE w:val="0"/>
        <w:autoSpaceDN w:val="0"/>
        <w:adjustRightInd w:val="0"/>
        <w:spacing w:before="240"/>
        <w:contextualSpacing/>
        <w:jc w:val="left"/>
        <w:rPr>
          <w:rFonts w:cs="Tahoma"/>
          <w:color w:val="000000"/>
        </w:rPr>
      </w:pPr>
      <w:r w:rsidRPr="002210C3">
        <w:rPr>
          <w:rFonts w:cs="Tahoma"/>
          <w:color w:val="000000"/>
        </w:rPr>
        <w:t>This is post-approval training for foster carers, including evidence workbooks</w:t>
      </w:r>
      <w:r w:rsidRPr="00C53FED">
        <w:rPr>
          <w:rFonts w:cs="Tahoma"/>
        </w:rPr>
        <w:t xml:space="preserve">, published by the </w:t>
      </w:r>
      <w:proofErr w:type="spellStart"/>
      <w:r w:rsidRPr="00C53FED">
        <w:rPr>
          <w:rFonts w:cs="Tahoma"/>
        </w:rPr>
        <w:t>DfE</w:t>
      </w:r>
      <w:proofErr w:type="spellEnd"/>
      <w:r>
        <w:rPr>
          <w:rFonts w:cs="Tahoma"/>
        </w:rPr>
        <w:t>.</w:t>
      </w:r>
    </w:p>
    <w:p w14:paraId="00775F3E" w14:textId="77777777" w:rsidR="00F66EB2" w:rsidRDefault="00F66EB2" w:rsidP="00F66EB2">
      <w:pPr>
        <w:autoSpaceDE w:val="0"/>
        <w:autoSpaceDN w:val="0"/>
        <w:adjustRightInd w:val="0"/>
        <w:spacing w:before="240"/>
        <w:contextualSpacing/>
        <w:jc w:val="left"/>
        <w:rPr>
          <w:rFonts w:cs="Tahoma"/>
          <w:b/>
          <w:color w:val="000000"/>
        </w:rPr>
      </w:pPr>
    </w:p>
    <w:p w14:paraId="7E8D8AF6" w14:textId="77777777" w:rsidR="00F66EB2" w:rsidRDefault="00F66EB2" w:rsidP="00F66EB2">
      <w:pPr>
        <w:autoSpaceDE w:val="0"/>
        <w:autoSpaceDN w:val="0"/>
        <w:adjustRightInd w:val="0"/>
        <w:spacing w:before="240"/>
        <w:contextualSpacing/>
        <w:jc w:val="left"/>
        <w:rPr>
          <w:rFonts w:cs="Tahoma"/>
          <w:b/>
          <w:color w:val="000000"/>
        </w:rPr>
      </w:pPr>
      <w:r>
        <w:rPr>
          <w:rFonts w:cs="Tahoma"/>
          <w:b/>
          <w:color w:val="000000"/>
        </w:rPr>
        <w:t>Unplanned endings</w:t>
      </w:r>
    </w:p>
    <w:p w14:paraId="1718FD7A" w14:textId="77777777" w:rsidR="00F66EB2" w:rsidRDefault="00F66EB2" w:rsidP="00F66EB2">
      <w:pPr>
        <w:jc w:val="left"/>
        <w:rPr>
          <w:rFonts w:cs="Tahoma"/>
        </w:rPr>
      </w:pPr>
      <w:r>
        <w:rPr>
          <w:rFonts w:cs="Tahoma"/>
          <w:color w:val="000000"/>
        </w:rPr>
        <w:t xml:space="preserve">This is </w:t>
      </w:r>
      <w:r w:rsidRPr="00C53FED">
        <w:rPr>
          <w:rFonts w:cs="Tahoma"/>
        </w:rPr>
        <w:t xml:space="preserve">a </w:t>
      </w:r>
      <w:r>
        <w:rPr>
          <w:rFonts w:cs="Tahoma"/>
        </w:rPr>
        <w:t>placement which ended earlier than the original planned end date; unplanned endings within 24 hours refers to when a child moves within 24 hours of the decision to end the placement early.</w:t>
      </w:r>
    </w:p>
    <w:p w14:paraId="34C0E4F2" w14:textId="77777777" w:rsidR="00F66EB2" w:rsidRDefault="00F66EB2" w:rsidP="00F66EB2">
      <w:pPr>
        <w:jc w:val="left"/>
        <w:rPr>
          <w:rFonts w:cs="Tahoma"/>
          <w:b/>
          <w:color w:val="000000"/>
        </w:rPr>
      </w:pPr>
    </w:p>
    <w:p w14:paraId="671BF785" w14:textId="77777777" w:rsidR="00F66EB2" w:rsidRPr="003A7F04" w:rsidRDefault="00F66EB2" w:rsidP="00F66EB2">
      <w:pPr>
        <w:autoSpaceDE w:val="0"/>
        <w:autoSpaceDN w:val="0"/>
        <w:adjustRightInd w:val="0"/>
        <w:spacing w:before="240"/>
        <w:contextualSpacing/>
        <w:jc w:val="left"/>
        <w:rPr>
          <w:rFonts w:cs="Tahoma"/>
          <w:b/>
          <w:color w:val="000000"/>
        </w:rPr>
      </w:pPr>
      <w:r w:rsidRPr="003A7F04">
        <w:rPr>
          <w:rFonts w:cs="Tahoma"/>
          <w:b/>
          <w:color w:val="000000"/>
        </w:rPr>
        <w:t>Withdrawn</w:t>
      </w:r>
    </w:p>
    <w:p w14:paraId="36F3A0D4" w14:textId="77777777" w:rsidR="00F66EB2" w:rsidRPr="003A7F04" w:rsidRDefault="00F66EB2" w:rsidP="00F66EB2">
      <w:pPr>
        <w:autoSpaceDE w:val="0"/>
        <w:autoSpaceDN w:val="0"/>
        <w:adjustRightInd w:val="0"/>
        <w:jc w:val="left"/>
      </w:pPr>
      <w:r>
        <w:rPr>
          <w:rFonts w:cs="Tahoma"/>
        </w:rPr>
        <w:t>Applications which are stopped by the applicant or by the service (after a decision prior to panel that the applicant is not suitable)</w:t>
      </w:r>
      <w:r w:rsidRPr="003A7F04">
        <w:rPr>
          <w:rFonts w:cs="Tahoma"/>
        </w:rPr>
        <w:t>.</w:t>
      </w:r>
    </w:p>
    <w:p w14:paraId="5C7D3FFC" w14:textId="77777777" w:rsidR="00F66EB2" w:rsidRDefault="00F66EB2" w:rsidP="00F66EB2">
      <w:pPr>
        <w:jc w:val="left"/>
        <w:rPr>
          <w:rFonts w:cs="Tahoma"/>
        </w:rPr>
      </w:pPr>
    </w:p>
    <w:p w14:paraId="09640E7B" w14:textId="77777777" w:rsidR="003E1DDA" w:rsidRDefault="003E1DDA" w:rsidP="00F66EB2">
      <w:pPr>
        <w:jc w:val="left"/>
        <w:rPr>
          <w:rFonts w:cs="Tahoma"/>
        </w:rPr>
      </w:pPr>
    </w:p>
    <w:p w14:paraId="5E8C4891" w14:textId="77777777" w:rsidR="003E1DDA" w:rsidRDefault="003E1DDA" w:rsidP="00F66EB2">
      <w:pPr>
        <w:jc w:val="left"/>
        <w:rPr>
          <w:rFonts w:cs="Tahoma"/>
        </w:rPr>
      </w:pPr>
    </w:p>
    <w:p w14:paraId="46C8D23E" w14:textId="77777777" w:rsidR="003E1DDA" w:rsidRDefault="003E1DDA" w:rsidP="00F66EB2">
      <w:pPr>
        <w:jc w:val="left"/>
        <w:rPr>
          <w:rFonts w:cs="Tahoma"/>
        </w:rPr>
      </w:pPr>
    </w:p>
    <w:p w14:paraId="4C0C9477" w14:textId="77777777" w:rsidR="00F66EB2" w:rsidRDefault="00F66EB2" w:rsidP="00F66EB2">
      <w:pPr>
        <w:jc w:val="left"/>
        <w:rPr>
          <w:rFonts w:cs="Tahoma"/>
        </w:rPr>
      </w:pPr>
      <w:r w:rsidRPr="00F779A5">
        <w:rPr>
          <w:rFonts w:cs="Tahoma"/>
        </w:rPr>
        <w:t>© Crown copyright</w:t>
      </w:r>
    </w:p>
    <w:p w14:paraId="1C59D806" w14:textId="0578B27D" w:rsidR="00B974BE" w:rsidRPr="004D404F" w:rsidRDefault="00F66EB2" w:rsidP="00607865">
      <w:pPr>
        <w:jc w:val="left"/>
        <w:rPr>
          <w:rFonts w:cs="Tahoma"/>
        </w:rPr>
      </w:pPr>
      <w:r w:rsidRPr="00F779A5">
        <w:rPr>
          <w:rFonts w:cs="Tahoma"/>
          <w:sz w:val="20"/>
          <w:szCs w:val="20"/>
        </w:rPr>
        <w:t>You may re-use this information (not including logos) free of charge in any format or medium, under the terms of the Open Government Licen</w:t>
      </w:r>
      <w:r>
        <w:rPr>
          <w:rFonts w:cs="Tahoma"/>
          <w:sz w:val="20"/>
          <w:szCs w:val="20"/>
        </w:rPr>
        <w:t xml:space="preserve">ce. To view this licence, visit </w:t>
      </w:r>
      <w:hyperlink r:id="rId40" w:history="1">
        <w:r w:rsidRPr="00EB18C1">
          <w:rPr>
            <w:rStyle w:val="Hyperlink"/>
            <w:rFonts w:cs="Tahoma"/>
            <w:sz w:val="20"/>
            <w:szCs w:val="20"/>
            <w:u w:val="none"/>
          </w:rPr>
          <w:t>www.nationalarchives.gov.uk/doc/open-government-licence/</w:t>
        </w:r>
      </w:hyperlink>
      <w:r w:rsidRPr="00F779A5">
        <w:rPr>
          <w:rFonts w:cs="Tahoma"/>
          <w:sz w:val="20"/>
          <w:szCs w:val="20"/>
        </w:rPr>
        <w:t xml:space="preserve"> or write to the Information Policy Team, The National Archives, </w:t>
      </w:r>
      <w:proofErr w:type="gramStart"/>
      <w:r w:rsidRPr="00F779A5">
        <w:rPr>
          <w:rFonts w:cs="Tahoma"/>
          <w:sz w:val="20"/>
          <w:szCs w:val="20"/>
        </w:rPr>
        <w:t>Kew</w:t>
      </w:r>
      <w:proofErr w:type="gramEnd"/>
      <w:r w:rsidRPr="00F779A5">
        <w:rPr>
          <w:rFonts w:cs="Tahoma"/>
          <w:sz w:val="20"/>
          <w:szCs w:val="20"/>
        </w:rPr>
        <w:t>, London, TW9 4DU</w:t>
      </w:r>
      <w:r>
        <w:rPr>
          <w:rFonts w:cs="Tahoma"/>
          <w:sz w:val="20"/>
          <w:szCs w:val="20"/>
        </w:rPr>
        <w:t xml:space="preserve"> </w:t>
      </w:r>
      <w:r w:rsidRPr="00F779A5">
        <w:rPr>
          <w:rFonts w:cs="Tahoma"/>
          <w:sz w:val="20"/>
          <w:szCs w:val="20"/>
        </w:rPr>
        <w:t xml:space="preserve">or e-mail: </w:t>
      </w:r>
      <w:hyperlink r:id="rId41" w:history="1">
        <w:r w:rsidRPr="004D404F">
          <w:rPr>
            <w:rStyle w:val="Hyperlink"/>
            <w:rFonts w:cs="Tahoma"/>
            <w:sz w:val="20"/>
            <w:szCs w:val="20"/>
            <w:u w:val="none"/>
          </w:rPr>
          <w:t>psi@nationalarchives.gsi.gov.uk</w:t>
        </w:r>
      </w:hyperlink>
      <w:bookmarkStart w:id="106" w:name="_Methodology"/>
      <w:bookmarkEnd w:id="106"/>
    </w:p>
    <w:sectPr w:rsidR="00B974BE" w:rsidRPr="004D404F" w:rsidSect="00FF17BC">
      <w:type w:val="continuous"/>
      <w:pgSz w:w="11906" w:h="16838" w:code="9"/>
      <w:pgMar w:top="356" w:right="1440" w:bottom="1440" w:left="144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485DB" w14:textId="77777777" w:rsidR="00A71A23" w:rsidRDefault="00A71A23">
      <w:r>
        <w:separator/>
      </w:r>
    </w:p>
    <w:p w14:paraId="00CFD417" w14:textId="77777777" w:rsidR="00A71A23" w:rsidRDefault="00A71A23"/>
    <w:p w14:paraId="40082C4E" w14:textId="77777777" w:rsidR="00A71A23" w:rsidRDefault="00A71A23"/>
  </w:endnote>
  <w:endnote w:type="continuationSeparator" w:id="0">
    <w:p w14:paraId="391E57F8" w14:textId="77777777" w:rsidR="00A71A23" w:rsidRDefault="00A71A23">
      <w:r>
        <w:continuationSeparator/>
      </w:r>
    </w:p>
    <w:p w14:paraId="5C2197AA" w14:textId="77777777" w:rsidR="00A71A23" w:rsidRDefault="00A71A23"/>
    <w:p w14:paraId="0FC4350B" w14:textId="77777777" w:rsidR="00A71A23" w:rsidRDefault="00A71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821D4" w14:textId="77777777" w:rsidR="00A71A23" w:rsidRDefault="00A71A23">
    <w:pPr>
      <w:pStyle w:val="Footer"/>
    </w:pPr>
  </w:p>
  <w:p w14:paraId="4CC69F87" w14:textId="77777777" w:rsidR="00A71A23" w:rsidRDefault="00A71A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4DF77" w14:textId="726167D5" w:rsidR="00A71A23" w:rsidRPr="001460CF" w:rsidRDefault="00A71A23" w:rsidP="001460CF">
    <w:pPr>
      <w:pStyle w:val="Footer-RHSOdd"/>
      <w:tabs>
        <w:tab w:val="right" w:pos="8460"/>
      </w:tabs>
      <w:rPr>
        <w:b w:val="0"/>
        <w:sz w:val="20"/>
      </w:rPr>
    </w:pPr>
    <w:r w:rsidRPr="001460CF">
      <w:rPr>
        <w:b w:val="0"/>
        <w:sz w:val="20"/>
      </w:rPr>
      <w:t xml:space="preserve">Responsible Statistician: </w:t>
    </w:r>
    <w:r>
      <w:rPr>
        <w:b w:val="0"/>
        <w:sz w:val="20"/>
      </w:rPr>
      <w:t>Adam King</w:t>
    </w:r>
    <w:r w:rsidRPr="001460CF">
      <w:rPr>
        <w:b w:val="0"/>
        <w:sz w:val="20"/>
      </w:rPr>
      <w:t xml:space="preserve">, </w:t>
    </w:r>
    <w:r>
      <w:rPr>
        <w:b w:val="0"/>
        <w:color w:val="0000FF"/>
        <w:sz w:val="20"/>
      </w:rPr>
      <w:t>socialcaredata</w:t>
    </w:r>
    <w:r w:rsidRPr="004D404F">
      <w:rPr>
        <w:b w:val="0"/>
        <w:color w:val="0000FF"/>
        <w:sz w:val="20"/>
      </w:rPr>
      <w:t>@ofsted.gov.uk</w:t>
    </w:r>
  </w:p>
  <w:p w14:paraId="5AEDB8F6" w14:textId="77777777" w:rsidR="00A71A23" w:rsidRPr="001460CF" w:rsidRDefault="00A71A23" w:rsidP="001460CF">
    <w:pPr>
      <w:pStyle w:val="Footer-RHSOdd"/>
      <w:tabs>
        <w:tab w:val="right" w:pos="8460"/>
      </w:tabs>
      <w:rPr>
        <w:b w:val="0"/>
        <w:sz w:val="20"/>
      </w:rPr>
    </w:pPr>
    <w:r w:rsidRPr="001460CF">
      <w:rPr>
        <w:b w:val="0"/>
        <w:sz w:val="20"/>
      </w:rPr>
      <w:t xml:space="preserve">Published on: </w:t>
    </w:r>
    <w:r>
      <w:rPr>
        <w:b w:val="0"/>
        <w:sz w:val="20"/>
      </w:rPr>
      <w:t>28 February 2017</w:t>
    </w:r>
    <w:r w:rsidRPr="00396E73">
      <w:rPr>
        <w:b w:val="0"/>
        <w:sz w:val="20"/>
      </w:rPr>
      <w:t xml:space="preserve">. Next publication: </w:t>
    </w:r>
    <w:r>
      <w:rPr>
        <w:b w:val="0"/>
        <w:sz w:val="20"/>
      </w:rPr>
      <w:t>February 2018</w:t>
    </w:r>
    <w:r w:rsidRPr="00396E73">
      <w:rPr>
        <w:b w:val="0"/>
        <w:sz w:val="20"/>
      </w:rPr>
      <w:t>.</w:t>
    </w:r>
    <w:r>
      <w:rPr>
        <w:b w:val="0"/>
        <w:sz w:val="20"/>
      </w:rPr>
      <w:tab/>
    </w:r>
    <w:r w:rsidRPr="00243CDA">
      <w:rPr>
        <w:b w:val="0"/>
        <w:sz w:val="20"/>
      </w:rPr>
      <w:fldChar w:fldCharType="begin"/>
    </w:r>
    <w:r w:rsidRPr="00243CDA">
      <w:rPr>
        <w:b w:val="0"/>
        <w:sz w:val="20"/>
      </w:rPr>
      <w:instrText xml:space="preserve"> PAGE   \* MERGEFORMAT </w:instrText>
    </w:r>
    <w:r w:rsidRPr="00243CDA">
      <w:rPr>
        <w:b w:val="0"/>
        <w:sz w:val="20"/>
      </w:rPr>
      <w:fldChar w:fldCharType="separate"/>
    </w:r>
    <w:r w:rsidR="007F2768" w:rsidRPr="007F2768">
      <w:rPr>
        <w:b w:val="0"/>
        <w:bCs/>
        <w:noProof/>
        <w:sz w:val="20"/>
      </w:rPr>
      <w:t>22</w:t>
    </w:r>
    <w:r w:rsidRPr="00243CDA">
      <w:rPr>
        <w:b w:val="0"/>
        <w:bCs/>
        <w:noProof/>
        <w:sz w:val="20"/>
      </w:rPr>
      <w:fldChar w:fldCharType="end"/>
    </w:r>
    <w:r w:rsidRPr="00243CDA">
      <w:rPr>
        <w:b w:val="0"/>
        <w:bCs/>
        <w:sz w:val="20"/>
      </w:rPr>
      <w:t xml:space="preserve"> </w:t>
    </w:r>
    <w:r w:rsidRPr="00243CDA">
      <w:rPr>
        <w:b w:val="0"/>
        <w:sz w:val="20"/>
      </w:rPr>
      <w:t>|</w:t>
    </w:r>
    <w:r w:rsidRPr="00243CDA">
      <w:rPr>
        <w:b w:val="0"/>
        <w:bCs/>
        <w:sz w:val="20"/>
      </w:rPr>
      <w:t xml:space="preserve"> </w:t>
    </w:r>
    <w:r w:rsidRPr="00243CDA">
      <w:rPr>
        <w:b w:val="0"/>
        <w:color w:val="808080"/>
        <w:spacing w:val="60"/>
        <w:sz w:val="20"/>
      </w:rPr>
      <w:t>Page</w:t>
    </w:r>
  </w:p>
  <w:p w14:paraId="6CDDA24F" w14:textId="77777777" w:rsidR="00A71A23" w:rsidRDefault="00A71A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60A31" w14:textId="77777777" w:rsidR="00A71A23" w:rsidRDefault="00A71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7CE1A" w14:textId="77777777" w:rsidR="00A71A23" w:rsidRDefault="00A71A23">
      <w:r>
        <w:separator/>
      </w:r>
    </w:p>
    <w:p w14:paraId="519A8925" w14:textId="77777777" w:rsidR="00A71A23" w:rsidRDefault="00A71A23"/>
    <w:p w14:paraId="308C3825" w14:textId="77777777" w:rsidR="00A71A23" w:rsidRDefault="00A71A23"/>
  </w:footnote>
  <w:footnote w:type="continuationSeparator" w:id="0">
    <w:p w14:paraId="13B36D2E" w14:textId="77777777" w:rsidR="00A71A23" w:rsidRDefault="00A71A23">
      <w:r>
        <w:continuationSeparator/>
      </w:r>
    </w:p>
    <w:p w14:paraId="65704484" w14:textId="77777777" w:rsidR="00A71A23" w:rsidRDefault="00A71A23"/>
    <w:p w14:paraId="1F016EBF" w14:textId="77777777" w:rsidR="00A71A23" w:rsidRDefault="00A71A23"/>
  </w:footnote>
  <w:footnote w:id="1">
    <w:p w14:paraId="644CE5AB" w14:textId="4E28B2D4" w:rsidR="00A71A23" w:rsidRPr="002B3A62" w:rsidRDefault="00A71A23" w:rsidP="00F502DF">
      <w:pPr>
        <w:pStyle w:val="FootnoteText"/>
        <w:jc w:val="left"/>
        <w:rPr>
          <w:sz w:val="16"/>
          <w:szCs w:val="16"/>
        </w:rPr>
      </w:pPr>
      <w:r w:rsidRPr="002B3A62">
        <w:rPr>
          <w:rStyle w:val="FootnoteReference"/>
          <w:sz w:val="16"/>
          <w:szCs w:val="16"/>
        </w:rPr>
        <w:footnoteRef/>
      </w:r>
      <w:r>
        <w:rPr>
          <w:sz w:val="16"/>
          <w:szCs w:val="16"/>
        </w:rPr>
        <w:t xml:space="preserve"> The numbers of households offering long term placements and those offering permanent placements were combined together as those two types of placements are very similar on a practical level. However, it should be noted that slightly more IFA households indicated long term fostering as a primary offer, than LA households. </w:t>
      </w:r>
    </w:p>
  </w:footnote>
  <w:footnote w:id="2">
    <w:p w14:paraId="7513C2C9" w14:textId="00E4B6CA" w:rsidR="00A71A23" w:rsidRDefault="00A71A23" w:rsidP="00F502DF">
      <w:pPr>
        <w:pStyle w:val="FootnoteText"/>
        <w:jc w:val="left"/>
      </w:pPr>
      <w:r w:rsidRPr="00ED0DCB">
        <w:rPr>
          <w:rStyle w:val="FootnoteReference"/>
          <w:sz w:val="16"/>
          <w:szCs w:val="16"/>
        </w:rPr>
        <w:footnoteRef/>
      </w:r>
      <w:r>
        <w:t xml:space="preserve"> </w:t>
      </w:r>
      <w:r>
        <w:rPr>
          <w:sz w:val="16"/>
          <w:szCs w:val="16"/>
        </w:rPr>
        <w:t xml:space="preserve">Another sub-group is temporarily approved “connected people” households; households </w:t>
      </w:r>
      <w:r w:rsidRPr="00ED0DCB">
        <w:rPr>
          <w:sz w:val="16"/>
          <w:szCs w:val="16"/>
        </w:rPr>
        <w:t xml:space="preserve">approved to provide foster care for </w:t>
      </w:r>
      <w:r w:rsidRPr="00ED0DCB">
        <w:rPr>
          <w:rFonts w:cs="Tahoma"/>
          <w:sz w:val="16"/>
          <w:szCs w:val="16"/>
        </w:rPr>
        <w:t>particular child</w:t>
      </w:r>
      <w:r>
        <w:rPr>
          <w:rFonts w:cs="Tahoma"/>
          <w:sz w:val="16"/>
          <w:szCs w:val="16"/>
        </w:rPr>
        <w:t xml:space="preserve">ren that </w:t>
      </w:r>
      <w:r w:rsidRPr="00ED0DCB">
        <w:rPr>
          <w:rFonts w:cs="Tahoma"/>
          <w:sz w:val="16"/>
          <w:szCs w:val="16"/>
        </w:rPr>
        <w:t>they know</w:t>
      </w:r>
      <w:r>
        <w:rPr>
          <w:rFonts w:cs="Tahoma"/>
          <w:sz w:val="16"/>
          <w:szCs w:val="16"/>
        </w:rPr>
        <w:t>, but approved for a very short time</w:t>
      </w:r>
      <w:r w:rsidRPr="00ED0DCB">
        <w:rPr>
          <w:rFonts w:cs="Tahoma"/>
          <w:sz w:val="16"/>
          <w:szCs w:val="16"/>
        </w:rPr>
        <w:t xml:space="preserve">. </w:t>
      </w:r>
      <w:r>
        <w:rPr>
          <w:rFonts w:cs="Tahoma"/>
          <w:sz w:val="16"/>
          <w:szCs w:val="16"/>
        </w:rPr>
        <w:t>T</w:t>
      </w:r>
      <w:r w:rsidRPr="00ED0DCB">
        <w:rPr>
          <w:sz w:val="16"/>
          <w:szCs w:val="16"/>
        </w:rPr>
        <w:t xml:space="preserve">he number of </w:t>
      </w:r>
      <w:r>
        <w:rPr>
          <w:sz w:val="16"/>
          <w:szCs w:val="16"/>
        </w:rPr>
        <w:t xml:space="preserve">this sub-group </w:t>
      </w:r>
      <w:r w:rsidRPr="00ED0DCB">
        <w:rPr>
          <w:sz w:val="16"/>
          <w:szCs w:val="16"/>
        </w:rPr>
        <w:t>decreased from 1</w:t>
      </w:r>
      <w:r>
        <w:rPr>
          <w:sz w:val="16"/>
          <w:szCs w:val="16"/>
        </w:rPr>
        <w:t>,</w:t>
      </w:r>
      <w:r w:rsidRPr="00ED0DCB">
        <w:rPr>
          <w:sz w:val="16"/>
          <w:szCs w:val="16"/>
        </w:rPr>
        <w:t>590 in 2015 to 1</w:t>
      </w:r>
      <w:r>
        <w:rPr>
          <w:sz w:val="16"/>
          <w:szCs w:val="16"/>
        </w:rPr>
        <w:t>,</w:t>
      </w:r>
      <w:r w:rsidRPr="00ED0DCB">
        <w:rPr>
          <w:sz w:val="16"/>
          <w:szCs w:val="16"/>
        </w:rPr>
        <w:t>320 in 2016.</w:t>
      </w:r>
      <w:r>
        <w:t xml:space="preserve"> </w:t>
      </w:r>
      <w:r w:rsidRPr="00744AE8">
        <w:rPr>
          <w:sz w:val="16"/>
          <w:szCs w:val="16"/>
        </w:rPr>
        <w:t>IFAs do not generally approve family and friends</w:t>
      </w:r>
      <w:r>
        <w:rPr>
          <w:sz w:val="16"/>
          <w:szCs w:val="16"/>
        </w:rPr>
        <w:t xml:space="preserve"> </w:t>
      </w:r>
      <w:r w:rsidRPr="00744AE8">
        <w:rPr>
          <w:sz w:val="16"/>
          <w:szCs w:val="16"/>
        </w:rPr>
        <w:t xml:space="preserve">/ connected people households, however IFAs </w:t>
      </w:r>
      <w:r>
        <w:rPr>
          <w:sz w:val="16"/>
          <w:szCs w:val="16"/>
        </w:rPr>
        <w:t xml:space="preserve">have </w:t>
      </w:r>
      <w:r w:rsidRPr="00744AE8">
        <w:rPr>
          <w:sz w:val="16"/>
          <w:szCs w:val="16"/>
        </w:rPr>
        <w:t xml:space="preserve">reported having 20 households </w:t>
      </w:r>
      <w:r>
        <w:rPr>
          <w:sz w:val="16"/>
          <w:szCs w:val="16"/>
        </w:rPr>
        <w:t>of these categories</w:t>
      </w:r>
      <w:r w:rsidRPr="00744AE8">
        <w:rPr>
          <w:sz w:val="16"/>
          <w:szCs w:val="16"/>
        </w:rPr>
        <w:t>.</w:t>
      </w:r>
    </w:p>
  </w:footnote>
  <w:footnote w:id="3">
    <w:p w14:paraId="122487EB" w14:textId="77777777" w:rsidR="00A71A23" w:rsidRPr="00CA7796" w:rsidRDefault="00A71A23" w:rsidP="00F502DF">
      <w:pPr>
        <w:pStyle w:val="FootnoteText"/>
        <w:jc w:val="left"/>
        <w:rPr>
          <w:sz w:val="16"/>
          <w:szCs w:val="16"/>
        </w:rPr>
      </w:pPr>
      <w:r w:rsidRPr="00CA7796">
        <w:rPr>
          <w:rStyle w:val="FootnoteReference"/>
          <w:sz w:val="16"/>
          <w:szCs w:val="16"/>
        </w:rPr>
        <w:footnoteRef/>
      </w:r>
      <w:r w:rsidRPr="00CA7796">
        <w:rPr>
          <w:sz w:val="16"/>
          <w:szCs w:val="16"/>
        </w:rPr>
        <w:t xml:space="preserve"> Ofsted introduced changes to the fostering dataset collection in 2015-16</w:t>
      </w:r>
      <w:r>
        <w:rPr>
          <w:sz w:val="16"/>
          <w:szCs w:val="16"/>
        </w:rPr>
        <w:t>, so that data was collected at fostering household instead of fostering agency level, including a primary and any additional placement offers. As a result, data is not comparable in this item to previous years. Unless otherwise indicated, only primary placement offer has been used for this analysis.</w:t>
      </w:r>
    </w:p>
  </w:footnote>
  <w:footnote w:id="4">
    <w:p w14:paraId="1E7EEF41" w14:textId="5360F67B" w:rsidR="00A71A23" w:rsidRPr="00855A31" w:rsidRDefault="00A71A23" w:rsidP="00F502DF">
      <w:pPr>
        <w:pStyle w:val="FootnoteText"/>
        <w:jc w:val="left"/>
        <w:rPr>
          <w:sz w:val="16"/>
          <w:szCs w:val="16"/>
        </w:rPr>
      </w:pPr>
      <w:r w:rsidRPr="00855A31">
        <w:rPr>
          <w:rStyle w:val="FootnoteReference"/>
          <w:sz w:val="16"/>
          <w:szCs w:val="16"/>
        </w:rPr>
        <w:footnoteRef/>
      </w:r>
      <w:r w:rsidRPr="00855A31">
        <w:rPr>
          <w:sz w:val="16"/>
          <w:szCs w:val="16"/>
        </w:rPr>
        <w:t xml:space="preserve"> </w:t>
      </w:r>
      <w:r>
        <w:rPr>
          <w:sz w:val="16"/>
          <w:szCs w:val="16"/>
        </w:rPr>
        <w:t>This analysis o</w:t>
      </w:r>
      <w:r w:rsidRPr="00855A31">
        <w:rPr>
          <w:sz w:val="16"/>
          <w:szCs w:val="16"/>
        </w:rPr>
        <w:t xml:space="preserve">nly </w:t>
      </w:r>
      <w:r>
        <w:rPr>
          <w:sz w:val="16"/>
          <w:szCs w:val="16"/>
        </w:rPr>
        <w:t xml:space="preserve">looks at </w:t>
      </w:r>
      <w:r w:rsidRPr="00855A31">
        <w:rPr>
          <w:sz w:val="16"/>
          <w:szCs w:val="16"/>
        </w:rPr>
        <w:t>long</w:t>
      </w:r>
      <w:r>
        <w:rPr>
          <w:sz w:val="16"/>
          <w:szCs w:val="16"/>
        </w:rPr>
        <w:t>-</w:t>
      </w:r>
      <w:r w:rsidRPr="00855A31">
        <w:rPr>
          <w:sz w:val="16"/>
          <w:szCs w:val="16"/>
        </w:rPr>
        <w:t>term fostering households</w:t>
      </w:r>
      <w:r>
        <w:rPr>
          <w:sz w:val="16"/>
          <w:szCs w:val="16"/>
        </w:rPr>
        <w:t xml:space="preserve">; </w:t>
      </w:r>
      <w:r w:rsidRPr="00855A31">
        <w:rPr>
          <w:sz w:val="16"/>
          <w:szCs w:val="16"/>
        </w:rPr>
        <w:t>family and friends, connected people</w:t>
      </w:r>
      <w:r>
        <w:rPr>
          <w:sz w:val="16"/>
          <w:szCs w:val="16"/>
        </w:rPr>
        <w:t>,</w:t>
      </w:r>
      <w:r w:rsidRPr="00855A31">
        <w:rPr>
          <w:sz w:val="16"/>
          <w:szCs w:val="16"/>
        </w:rPr>
        <w:t xml:space="preserve"> and short break</w:t>
      </w:r>
      <w:r>
        <w:rPr>
          <w:sz w:val="16"/>
          <w:szCs w:val="16"/>
        </w:rPr>
        <w:t>-</w:t>
      </w:r>
      <w:r w:rsidRPr="00855A31">
        <w:rPr>
          <w:sz w:val="16"/>
          <w:szCs w:val="16"/>
        </w:rPr>
        <w:t>only households</w:t>
      </w:r>
      <w:r>
        <w:rPr>
          <w:sz w:val="16"/>
          <w:szCs w:val="16"/>
        </w:rPr>
        <w:t xml:space="preserve"> were excluded as these are single choice placements. </w:t>
      </w:r>
    </w:p>
  </w:footnote>
  <w:footnote w:id="5">
    <w:p w14:paraId="06AD62E3" w14:textId="1DD95828" w:rsidR="00A71A23" w:rsidRPr="004865F8" w:rsidRDefault="00A71A23" w:rsidP="00F502DF">
      <w:pPr>
        <w:pStyle w:val="FootnoteText"/>
        <w:rPr>
          <w:sz w:val="16"/>
          <w:szCs w:val="16"/>
        </w:rPr>
      </w:pPr>
      <w:r w:rsidRPr="004865F8">
        <w:rPr>
          <w:rStyle w:val="FootnoteReference"/>
          <w:sz w:val="16"/>
          <w:szCs w:val="16"/>
        </w:rPr>
        <w:footnoteRef/>
      </w:r>
      <w:r w:rsidRPr="004865F8">
        <w:rPr>
          <w:sz w:val="16"/>
          <w:szCs w:val="16"/>
        </w:rPr>
        <w:t xml:space="preserve"> For 165 </w:t>
      </w:r>
      <w:r>
        <w:rPr>
          <w:sz w:val="16"/>
          <w:szCs w:val="16"/>
        </w:rPr>
        <w:t xml:space="preserve">out of 4,650 </w:t>
      </w:r>
      <w:r w:rsidRPr="004865F8">
        <w:rPr>
          <w:sz w:val="16"/>
          <w:szCs w:val="16"/>
        </w:rPr>
        <w:t>households approve</w:t>
      </w:r>
      <w:r>
        <w:rPr>
          <w:sz w:val="16"/>
          <w:szCs w:val="16"/>
        </w:rPr>
        <w:t>d</w:t>
      </w:r>
      <w:r w:rsidRPr="004865F8">
        <w:rPr>
          <w:sz w:val="16"/>
          <w:szCs w:val="16"/>
        </w:rPr>
        <w:t xml:space="preserve"> in 2015-16 agencies did not provide the </w:t>
      </w:r>
      <w:r>
        <w:rPr>
          <w:sz w:val="16"/>
          <w:szCs w:val="16"/>
        </w:rPr>
        <w:t xml:space="preserve">data on </w:t>
      </w:r>
      <w:r w:rsidRPr="004865F8">
        <w:rPr>
          <w:sz w:val="16"/>
          <w:szCs w:val="16"/>
        </w:rPr>
        <w:t>maximum number of children the fostering households were approved to care for.</w:t>
      </w:r>
    </w:p>
  </w:footnote>
  <w:footnote w:id="6">
    <w:p w14:paraId="44B762E0" w14:textId="1C254AFF" w:rsidR="00A71A23" w:rsidRPr="00CA7796" w:rsidRDefault="00A71A23" w:rsidP="00F502DF">
      <w:pPr>
        <w:jc w:val="left"/>
        <w:rPr>
          <w:sz w:val="16"/>
          <w:szCs w:val="16"/>
        </w:rPr>
      </w:pPr>
      <w:r w:rsidRPr="00CA7796">
        <w:rPr>
          <w:rStyle w:val="FootnoteReference"/>
          <w:sz w:val="16"/>
          <w:szCs w:val="16"/>
        </w:rPr>
        <w:footnoteRef/>
      </w:r>
      <w:r w:rsidRPr="00CA7796">
        <w:rPr>
          <w:sz w:val="16"/>
          <w:szCs w:val="16"/>
        </w:rPr>
        <w:t xml:space="preserve"> The 2015-16 fostering dataset collection asked for data on all fostering households registered with the agency during 2015-16 and the number of children placed in each household on 31 March 2016.</w:t>
      </w:r>
      <w:r>
        <w:rPr>
          <w:sz w:val="16"/>
          <w:szCs w:val="16"/>
        </w:rPr>
        <w:t xml:space="preserve"> This analysis includes all household types apart from short breaks only to make it comparable with last year’s figures.</w:t>
      </w:r>
    </w:p>
  </w:footnote>
  <w:footnote w:id="7">
    <w:p w14:paraId="4A58FEFF" w14:textId="3617C116" w:rsidR="00A71A23" w:rsidRDefault="00A71A23" w:rsidP="00F502DF">
      <w:pPr>
        <w:pStyle w:val="FootnoteText"/>
        <w:jc w:val="left"/>
      </w:pPr>
      <w:r w:rsidRPr="00D8067E">
        <w:rPr>
          <w:rStyle w:val="FootnoteReference"/>
          <w:sz w:val="16"/>
        </w:rPr>
        <w:footnoteRef/>
      </w:r>
      <w:r w:rsidRPr="00D8067E">
        <w:rPr>
          <w:sz w:val="16"/>
        </w:rPr>
        <w:t xml:space="preserve"> </w:t>
      </w:r>
      <w:r>
        <w:rPr>
          <w:sz w:val="16"/>
          <w:szCs w:val="16"/>
        </w:rPr>
        <w:t>The fostering agencies did not provide data for 21 households on the maximum number of children that may be accommodated in these households, however they provided data on the number of filled and vacant places for 14 of these 21 households. Also a number of households had exemptions in place which allowed them to accommodate more children than they were approved for. As a result a slightly larger number of places were reported as filled, vacant or unavailable (83,590) than the number of approved places (</w:t>
      </w:r>
      <w:r w:rsidRPr="00A10264">
        <w:rPr>
          <w:sz w:val="16"/>
          <w:szCs w:val="16"/>
        </w:rPr>
        <w:t>83</w:t>
      </w:r>
      <w:r>
        <w:rPr>
          <w:sz w:val="16"/>
          <w:szCs w:val="16"/>
        </w:rPr>
        <w:t>,</w:t>
      </w:r>
      <w:r w:rsidRPr="00A10264">
        <w:rPr>
          <w:sz w:val="16"/>
          <w:szCs w:val="16"/>
        </w:rPr>
        <w:t>175</w:t>
      </w:r>
      <w:r>
        <w:rPr>
          <w:sz w:val="16"/>
          <w:szCs w:val="16"/>
        </w:rPr>
        <w:t xml:space="preserve">). </w:t>
      </w:r>
    </w:p>
  </w:footnote>
  <w:footnote w:id="8">
    <w:p w14:paraId="0DB4D5CD" w14:textId="43DE98F3" w:rsidR="006B1DEA" w:rsidRPr="007F2768" w:rsidRDefault="006B1DEA" w:rsidP="006B1DEA">
      <w:pPr>
        <w:pStyle w:val="FootnoteText"/>
        <w:jc w:val="left"/>
        <w:rPr>
          <w:sz w:val="16"/>
          <w:szCs w:val="16"/>
        </w:rPr>
      </w:pPr>
      <w:r w:rsidRPr="007F2768">
        <w:rPr>
          <w:rStyle w:val="FootnoteReference"/>
          <w:sz w:val="16"/>
          <w:szCs w:val="16"/>
        </w:rPr>
        <w:footnoteRef/>
      </w:r>
      <w:r w:rsidRPr="007F2768">
        <w:rPr>
          <w:sz w:val="16"/>
          <w:szCs w:val="16"/>
        </w:rPr>
        <w:t xml:space="preserve"> Not available places included those occupied by care leavers under “Staying Put” arrangements and those only available for siblings. Places were also unavailable for reasons relating to foster carers (for example, on hold due to personal and medical reasons) or the needs of children already in placement, for example, a requirement for solo placements.</w:t>
      </w:r>
      <w:bookmarkStart w:id="23" w:name="_GoBack"/>
      <w:bookmarkEnd w:id="23"/>
    </w:p>
  </w:footnote>
  <w:footnote w:id="9">
    <w:p w14:paraId="7B7132BE" w14:textId="77777777" w:rsidR="00A71A23" w:rsidRPr="002A28C4" w:rsidRDefault="00A71A23" w:rsidP="001C28C0">
      <w:pPr>
        <w:pStyle w:val="FootnoteText"/>
        <w:jc w:val="left"/>
        <w:rPr>
          <w:sz w:val="16"/>
          <w:szCs w:val="16"/>
        </w:rPr>
      </w:pPr>
      <w:r w:rsidRPr="002A28C4">
        <w:rPr>
          <w:rStyle w:val="FootnoteReference"/>
          <w:sz w:val="16"/>
          <w:szCs w:val="16"/>
        </w:rPr>
        <w:footnoteRef/>
      </w:r>
      <w:r w:rsidRPr="002A28C4">
        <w:rPr>
          <w:sz w:val="16"/>
          <w:szCs w:val="16"/>
        </w:rPr>
        <w:t xml:space="preserve"> Office for National Statistics (ONS) 2011 census, </w:t>
      </w:r>
      <w:hyperlink r:id="rId1" w:history="1">
        <w:r w:rsidRPr="00CF6ADC">
          <w:rPr>
            <w:rStyle w:val="Hyperlink"/>
            <w:sz w:val="16"/>
            <w:szCs w:val="16"/>
            <w:u w:val="none"/>
          </w:rPr>
          <w:t>www.nomisweb.co.uk/</w:t>
        </w:r>
        <w:r w:rsidRPr="005D368C">
          <w:rPr>
            <w:rStyle w:val="Hyperlink"/>
            <w:sz w:val="16"/>
            <w:szCs w:val="16"/>
            <w:u w:val="none"/>
          </w:rPr>
          <w:t>census</w:t>
        </w:r>
        <w:r w:rsidRPr="00CF6ADC">
          <w:rPr>
            <w:rStyle w:val="Hyperlink"/>
            <w:sz w:val="16"/>
            <w:szCs w:val="16"/>
            <w:u w:val="none"/>
          </w:rPr>
          <w:t>/2011/DC2101EW/view/2092957699?rows=c_age&amp;cols=c_ethpuk11</w:t>
        </w:r>
      </w:hyperlink>
      <w:r w:rsidRPr="002A28C4">
        <w:rPr>
          <w:sz w:val="16"/>
          <w:szCs w:val="16"/>
        </w:rPr>
        <w:t xml:space="preserve"> </w:t>
      </w:r>
    </w:p>
  </w:footnote>
  <w:footnote w:id="10">
    <w:p w14:paraId="21F3DB1D" w14:textId="4B7E2512" w:rsidR="00A71A23" w:rsidRPr="007F2768" w:rsidRDefault="00A71A23" w:rsidP="00A4754C">
      <w:pPr>
        <w:pStyle w:val="FootnoteText"/>
        <w:jc w:val="left"/>
        <w:rPr>
          <w:sz w:val="16"/>
          <w:szCs w:val="16"/>
        </w:rPr>
      </w:pPr>
      <w:r w:rsidRPr="007F2768">
        <w:rPr>
          <w:rStyle w:val="FootnoteReference"/>
          <w:sz w:val="16"/>
          <w:szCs w:val="16"/>
        </w:rPr>
        <w:footnoteRef/>
      </w:r>
      <w:r w:rsidRPr="007F2768">
        <w:rPr>
          <w:sz w:val="16"/>
          <w:szCs w:val="16"/>
        </w:rPr>
        <w:t xml:space="preserve"> </w:t>
      </w:r>
      <w:proofErr w:type="spellStart"/>
      <w:r w:rsidRPr="007F2768">
        <w:rPr>
          <w:sz w:val="16"/>
          <w:szCs w:val="16"/>
        </w:rPr>
        <w:t>Knowsley</w:t>
      </w:r>
      <w:proofErr w:type="spellEnd"/>
      <w:r w:rsidRPr="007F2768">
        <w:rPr>
          <w:sz w:val="16"/>
          <w:szCs w:val="16"/>
        </w:rPr>
        <w:t xml:space="preserve">, North East Lincolnshire, North Somerset, Redcar and Cleveland, Rutland, Sefton, Shropshire, St Helens, West Berkshire. </w:t>
      </w:r>
      <w:proofErr w:type="spellStart"/>
      <w:r w:rsidRPr="007F2768">
        <w:rPr>
          <w:sz w:val="16"/>
          <w:szCs w:val="16"/>
        </w:rPr>
        <w:t>Knowsley</w:t>
      </w:r>
      <w:proofErr w:type="spellEnd"/>
      <w:r w:rsidRPr="007F2768">
        <w:rPr>
          <w:sz w:val="16"/>
          <w:szCs w:val="16"/>
        </w:rPr>
        <w:t xml:space="preserve"> reported 13% of carers with ethnicity marked as ‘unknown’. However, it should be noted that the proportion of minority ethnic residents in the adult (aged 25 and older) population in those LAs does not exceed 5%</w:t>
      </w:r>
      <w:r w:rsidR="007F2768">
        <w:rPr>
          <w:sz w:val="16"/>
          <w:szCs w:val="16"/>
        </w:rPr>
        <w:t>.</w:t>
      </w:r>
    </w:p>
  </w:footnote>
  <w:footnote w:id="11">
    <w:p w14:paraId="6854DDF9" w14:textId="7C825009" w:rsidR="00A71A23" w:rsidRPr="00F502DF" w:rsidRDefault="00A71A23" w:rsidP="00F502DF">
      <w:pPr>
        <w:pStyle w:val="FootnoteText"/>
        <w:rPr>
          <w:sz w:val="16"/>
          <w:szCs w:val="16"/>
        </w:rPr>
      </w:pPr>
      <w:r w:rsidRPr="00F502DF">
        <w:rPr>
          <w:rStyle w:val="FootnoteReference"/>
          <w:sz w:val="16"/>
          <w:szCs w:val="16"/>
        </w:rPr>
        <w:footnoteRef/>
      </w:r>
      <w:r w:rsidRPr="00F502DF">
        <w:rPr>
          <w:sz w:val="16"/>
          <w:szCs w:val="16"/>
        </w:rPr>
        <w:t xml:space="preserve"> </w:t>
      </w:r>
      <w:r>
        <w:rPr>
          <w:sz w:val="16"/>
          <w:szCs w:val="16"/>
          <w:lang w:eastAsia="en-US"/>
        </w:rPr>
        <w:t>Two percent</w:t>
      </w:r>
      <w:r w:rsidRPr="00F502DF">
        <w:rPr>
          <w:sz w:val="16"/>
          <w:szCs w:val="16"/>
          <w:lang w:eastAsia="en-US"/>
        </w:rPr>
        <w:t xml:space="preserve"> of new carers were reported, </w:t>
      </w:r>
      <w:r>
        <w:rPr>
          <w:sz w:val="16"/>
          <w:szCs w:val="16"/>
          <w:lang w:eastAsia="en-US"/>
        </w:rPr>
        <w:t>the</w:t>
      </w:r>
      <w:r w:rsidRPr="00F502DF">
        <w:rPr>
          <w:sz w:val="16"/>
          <w:szCs w:val="16"/>
          <w:lang w:eastAsia="en-US"/>
        </w:rPr>
        <w:t xml:space="preserve"> majority by LA agencies, with ethnicity marked as ‘unknown’.</w:t>
      </w:r>
    </w:p>
  </w:footnote>
  <w:footnote w:id="12">
    <w:p w14:paraId="7CF2135F" w14:textId="77777777" w:rsidR="00A71A23" w:rsidRPr="00744013" w:rsidRDefault="00A71A23" w:rsidP="0092381E">
      <w:pPr>
        <w:pStyle w:val="FootnoteText"/>
        <w:jc w:val="left"/>
        <w:rPr>
          <w:sz w:val="16"/>
          <w:szCs w:val="16"/>
        </w:rPr>
      </w:pPr>
      <w:r w:rsidRPr="00744013">
        <w:rPr>
          <w:rStyle w:val="FootnoteReference"/>
          <w:sz w:val="16"/>
          <w:szCs w:val="16"/>
        </w:rPr>
        <w:footnoteRef/>
      </w:r>
      <w:r w:rsidRPr="00744013">
        <w:rPr>
          <w:sz w:val="16"/>
          <w:szCs w:val="16"/>
        </w:rPr>
        <w:t xml:space="preserve"> Ofsted did not collect recruitment data for family and friends and connect people households</w:t>
      </w:r>
      <w:r>
        <w:rPr>
          <w:sz w:val="16"/>
          <w:szCs w:val="16"/>
        </w:rPr>
        <w:t>, because they do not go through the two stage recruitment process,</w:t>
      </w:r>
      <w:r w:rsidRPr="00744013">
        <w:rPr>
          <w:sz w:val="16"/>
          <w:szCs w:val="16"/>
        </w:rPr>
        <w:t xml:space="preserve"> so these types of households were not included in application outcomes analysis. </w:t>
      </w:r>
    </w:p>
  </w:footnote>
  <w:footnote w:id="13">
    <w:p w14:paraId="1AD47BB1" w14:textId="668F66E4" w:rsidR="00A71A23" w:rsidRPr="00A71A23" w:rsidRDefault="00A71A23" w:rsidP="00B6554D">
      <w:pPr>
        <w:pStyle w:val="FootnoteText"/>
        <w:jc w:val="left"/>
        <w:rPr>
          <w:sz w:val="16"/>
          <w:szCs w:val="16"/>
        </w:rPr>
      </w:pPr>
      <w:r w:rsidRPr="00A71A23">
        <w:rPr>
          <w:rStyle w:val="FootnoteReference"/>
          <w:sz w:val="16"/>
          <w:szCs w:val="16"/>
        </w:rPr>
        <w:footnoteRef/>
      </w:r>
      <w:r w:rsidRPr="00A71A23">
        <w:rPr>
          <w:sz w:val="16"/>
          <w:szCs w:val="16"/>
        </w:rPr>
        <w:t xml:space="preserve"> </w:t>
      </w:r>
      <w:r w:rsidRPr="00FC5E2A">
        <w:rPr>
          <w:sz w:val="16"/>
          <w:szCs w:val="16"/>
        </w:rPr>
        <w:t>Although there was a net gain of 295 households in 2015-16, the</w:t>
      </w:r>
      <w:r w:rsidRPr="008A1482">
        <w:rPr>
          <w:sz w:val="16"/>
          <w:szCs w:val="16"/>
        </w:rPr>
        <w:t xml:space="preserve">re were 305 fewer long-term fostering households reported </w:t>
      </w:r>
      <w:r w:rsidRPr="00FC5E2A">
        <w:rPr>
          <w:sz w:val="16"/>
          <w:szCs w:val="16"/>
        </w:rPr>
        <w:t>at 31 March 2016 than at the same time last year. The reason for this difference can be accounted for by the change in the cohort of the agencies completing the survey this year: a number of agencies de-registered during the year therefore they did not complete the data collection; the other reasons are changes in the household types (for example long-term households becoming short breaks only) as well as inconsistencies in data recording.</w:t>
      </w:r>
    </w:p>
  </w:footnote>
  <w:footnote w:id="14">
    <w:p w14:paraId="6499EDCB" w14:textId="77777777" w:rsidR="00A71A23" w:rsidRPr="002A28C4" w:rsidRDefault="00A71A23" w:rsidP="00B6554D">
      <w:pPr>
        <w:pStyle w:val="FootnoteText"/>
        <w:jc w:val="left"/>
        <w:rPr>
          <w:sz w:val="16"/>
          <w:szCs w:val="16"/>
        </w:rPr>
      </w:pPr>
      <w:r w:rsidRPr="002A28C4">
        <w:rPr>
          <w:rStyle w:val="FootnoteReference"/>
          <w:sz w:val="16"/>
          <w:szCs w:val="16"/>
        </w:rPr>
        <w:footnoteRef/>
      </w:r>
      <w:r w:rsidRPr="002A28C4">
        <w:rPr>
          <w:sz w:val="16"/>
          <w:szCs w:val="16"/>
        </w:rPr>
        <w:t xml:space="preserve"> Temporary approved connected people households were excluded from this analysis as they only provide temporary fostering for up to 16 weeks to a specific child.</w:t>
      </w:r>
      <w:r>
        <w:rPr>
          <w:sz w:val="16"/>
          <w:szCs w:val="16"/>
        </w:rPr>
        <w:t xml:space="preserve"> </w:t>
      </w:r>
    </w:p>
  </w:footnote>
  <w:footnote w:id="15">
    <w:p w14:paraId="79DDB63D" w14:textId="2E457204" w:rsidR="00A71A23" w:rsidRPr="00A71A23" w:rsidRDefault="00A71A23" w:rsidP="00A71A23">
      <w:pPr>
        <w:pStyle w:val="FootnoteText"/>
        <w:jc w:val="left"/>
        <w:rPr>
          <w:sz w:val="16"/>
          <w:szCs w:val="16"/>
        </w:rPr>
      </w:pPr>
      <w:r w:rsidRPr="00A71A23">
        <w:rPr>
          <w:rStyle w:val="FootnoteReference"/>
          <w:sz w:val="16"/>
          <w:szCs w:val="16"/>
        </w:rPr>
        <w:footnoteRef/>
      </w:r>
      <w:r w:rsidRPr="00A71A23">
        <w:rPr>
          <w:sz w:val="16"/>
          <w:szCs w:val="16"/>
        </w:rPr>
        <w:t xml:space="preserve"> </w:t>
      </w:r>
      <w:r w:rsidRPr="00BA3FB7">
        <w:rPr>
          <w:sz w:val="16"/>
          <w:szCs w:val="16"/>
        </w:rPr>
        <w:t xml:space="preserve">The agencies reported the reasons for de-registration for 99% of those households (45 de-registrations were reported without the reason). </w:t>
      </w:r>
      <w:r w:rsidRPr="008E0FF0">
        <w:rPr>
          <w:sz w:val="16"/>
          <w:szCs w:val="16"/>
        </w:rPr>
        <w:t>Family and friends and connected people households were excluded from this analysis as these types of households are approved to care for a specific child</w:t>
      </w:r>
      <w:r w:rsidRPr="00BA3FB7">
        <w:rPr>
          <w:sz w:val="16"/>
          <w:szCs w:val="16"/>
        </w:rPr>
        <w:t>(</w:t>
      </w:r>
      <w:proofErr w:type="spellStart"/>
      <w:r w:rsidRPr="00BA3FB7">
        <w:rPr>
          <w:sz w:val="16"/>
          <w:szCs w:val="16"/>
        </w:rPr>
        <w:t>ren</w:t>
      </w:r>
      <w:proofErr w:type="spellEnd"/>
      <w:r w:rsidRPr="00BA3FB7">
        <w:rPr>
          <w:sz w:val="16"/>
          <w:szCs w:val="16"/>
        </w:rPr>
        <w:t xml:space="preserve">) and usually for a short period of time (under 16 weeks for connected people households) so including them in the analysis is likely to skew the data. </w:t>
      </w:r>
    </w:p>
  </w:footnote>
  <w:footnote w:id="16">
    <w:p w14:paraId="5F6DF2CB" w14:textId="3933C9F6" w:rsidR="00A71A23" w:rsidRPr="002A28C4" w:rsidRDefault="00A71A23" w:rsidP="00F502DF">
      <w:pPr>
        <w:pStyle w:val="FootnoteText"/>
        <w:jc w:val="left"/>
        <w:rPr>
          <w:sz w:val="16"/>
          <w:szCs w:val="16"/>
        </w:rPr>
      </w:pPr>
      <w:r w:rsidRPr="002A28C4">
        <w:rPr>
          <w:rStyle w:val="FootnoteReference"/>
          <w:sz w:val="16"/>
          <w:szCs w:val="16"/>
        </w:rPr>
        <w:footnoteRef/>
      </w:r>
      <w:r w:rsidRPr="002A28C4">
        <w:rPr>
          <w:sz w:val="16"/>
          <w:szCs w:val="16"/>
        </w:rPr>
        <w:t xml:space="preserve"> Ofsted did not collect recruitment data for </w:t>
      </w:r>
      <w:r>
        <w:rPr>
          <w:sz w:val="16"/>
          <w:szCs w:val="16"/>
        </w:rPr>
        <w:t>f</w:t>
      </w:r>
      <w:r w:rsidRPr="002A28C4">
        <w:rPr>
          <w:sz w:val="16"/>
          <w:szCs w:val="16"/>
        </w:rPr>
        <w:t xml:space="preserve">amily and </w:t>
      </w:r>
      <w:r>
        <w:rPr>
          <w:sz w:val="16"/>
          <w:szCs w:val="16"/>
        </w:rPr>
        <w:t>f</w:t>
      </w:r>
      <w:r w:rsidRPr="002A28C4">
        <w:rPr>
          <w:sz w:val="16"/>
          <w:szCs w:val="16"/>
        </w:rPr>
        <w:t xml:space="preserve">riends or temporarily approved fostering households as the approval process is different than for </w:t>
      </w:r>
      <w:r>
        <w:rPr>
          <w:sz w:val="16"/>
          <w:szCs w:val="16"/>
        </w:rPr>
        <w:t>long-term</w:t>
      </w:r>
      <w:r w:rsidRPr="002A28C4">
        <w:rPr>
          <w:sz w:val="16"/>
          <w:szCs w:val="16"/>
        </w:rPr>
        <w:t xml:space="preserve"> foster carers</w:t>
      </w:r>
      <w:r>
        <w:rPr>
          <w:sz w:val="16"/>
          <w:szCs w:val="16"/>
        </w:rPr>
        <w:t>, therefore it is not known how many of these two types of households withdrew or were rejected in the process.</w:t>
      </w:r>
    </w:p>
  </w:footnote>
  <w:footnote w:id="17">
    <w:p w14:paraId="18083D14" w14:textId="77777777" w:rsidR="00A71A23" w:rsidRDefault="00A71A23" w:rsidP="00F502DF">
      <w:pPr>
        <w:pStyle w:val="FootnoteText"/>
        <w:jc w:val="left"/>
      </w:pPr>
      <w:r w:rsidRPr="002A28C4">
        <w:rPr>
          <w:rStyle w:val="FootnoteReference"/>
          <w:sz w:val="16"/>
          <w:szCs w:val="16"/>
        </w:rPr>
        <w:footnoteRef/>
      </w:r>
      <w:r w:rsidRPr="002A28C4">
        <w:rPr>
          <w:sz w:val="16"/>
          <w:szCs w:val="16"/>
        </w:rPr>
        <w:t xml:space="preserve"> Although there was a net loss of 70 short breaks households in 2015-16, the difference between the numbers of households at 31 March this year and the last year is greater as the cohort of agencies has changed. A number of fostering agencies de-registered and registered in year which could have impacted on number of short break households reported this year.</w:t>
      </w:r>
    </w:p>
  </w:footnote>
  <w:footnote w:id="18">
    <w:p w14:paraId="2997B164" w14:textId="77777777" w:rsidR="00A71A23" w:rsidRPr="00BD57D5" w:rsidRDefault="00A71A23" w:rsidP="00607865">
      <w:pPr>
        <w:pStyle w:val="FootnoteText"/>
        <w:jc w:val="left"/>
        <w:rPr>
          <w:sz w:val="16"/>
          <w:szCs w:val="16"/>
        </w:rPr>
      </w:pPr>
      <w:r w:rsidRPr="00BD57D5">
        <w:rPr>
          <w:rStyle w:val="FootnoteReference"/>
          <w:sz w:val="16"/>
          <w:szCs w:val="16"/>
        </w:rPr>
        <w:footnoteRef/>
      </w:r>
      <w:r w:rsidRPr="00BD57D5">
        <w:rPr>
          <w:sz w:val="16"/>
          <w:szCs w:val="16"/>
        </w:rPr>
        <w:t xml:space="preserve"> </w:t>
      </w:r>
      <w:r w:rsidRPr="001D07E2">
        <w:rPr>
          <w:sz w:val="16"/>
          <w:szCs w:val="16"/>
        </w:rPr>
        <w:t xml:space="preserve">The 2015-16 fostering dataset collection asked for data on all children still in placement on 31 March 2016, looking back at the 12 months before this date (or whatever portion of the year the child was in placement with the agency). </w:t>
      </w:r>
      <w:r w:rsidRPr="005429B9">
        <w:rPr>
          <w:sz w:val="16"/>
          <w:szCs w:val="16"/>
        </w:rPr>
        <w:t>This was a change from previous years, when data was collected about all children in placement at any point during the year, and so the numbers are not comparable between years. However, where possible, we have compared percentages as an indication of how the current data compares to previous years.</w:t>
      </w:r>
      <w:r w:rsidRPr="005429B9">
        <w:t xml:space="preserve"> </w:t>
      </w:r>
      <w:r w:rsidRPr="005429B9">
        <w:rPr>
          <w:sz w:val="16"/>
          <w:szCs w:val="16"/>
        </w:rPr>
        <w:t>As the quality report explains in more detail, we are aware that some agencies have likely provided information about children</w:t>
      </w:r>
      <w:r w:rsidRPr="00BD57D5">
        <w:rPr>
          <w:sz w:val="16"/>
          <w:szCs w:val="16"/>
        </w:rPr>
        <w:t xml:space="preserve"> who were in placements during the year but left the agency before 31 March. As we are unable to distinguish between the two groups, we have included all children for the purposes of this report, unless stated otherwise.</w:t>
      </w:r>
    </w:p>
  </w:footnote>
  <w:footnote w:id="19">
    <w:p w14:paraId="66B4E2E0" w14:textId="02640D93" w:rsidR="00A71A23" w:rsidRDefault="00A71A23" w:rsidP="00607865">
      <w:pPr>
        <w:pStyle w:val="FootnoteText"/>
        <w:jc w:val="left"/>
      </w:pPr>
      <w:r w:rsidRPr="00BE0CE2">
        <w:rPr>
          <w:rStyle w:val="FootnoteReference"/>
          <w:sz w:val="16"/>
          <w:szCs w:val="16"/>
        </w:rPr>
        <w:footnoteRef/>
      </w:r>
      <w:r w:rsidRPr="00BE0CE2">
        <w:rPr>
          <w:sz w:val="16"/>
          <w:szCs w:val="16"/>
        </w:rPr>
        <w:t xml:space="preserve"> The </w:t>
      </w:r>
      <w:proofErr w:type="spellStart"/>
      <w:r w:rsidRPr="00BE0CE2">
        <w:rPr>
          <w:sz w:val="16"/>
          <w:szCs w:val="16"/>
        </w:rPr>
        <w:t>DfE</w:t>
      </w:r>
      <w:proofErr w:type="spellEnd"/>
      <w:r w:rsidRPr="00BE0CE2">
        <w:rPr>
          <w:sz w:val="16"/>
          <w:szCs w:val="16"/>
        </w:rPr>
        <w:t xml:space="preserve"> reported that there were 70,440 children looked after </w:t>
      </w:r>
      <w:r>
        <w:rPr>
          <w:sz w:val="16"/>
          <w:szCs w:val="16"/>
        </w:rPr>
        <w:t xml:space="preserve">in total </w:t>
      </w:r>
      <w:r w:rsidRPr="00BE0CE2">
        <w:rPr>
          <w:sz w:val="16"/>
          <w:szCs w:val="16"/>
        </w:rPr>
        <w:t>as at 31 March 2016; 74% (51,850) were fostered. Of the remainder: 11% (7,600) were in secure units, children’s homes or hostels; 5% (3,810) were placed with parents; 4% (3,040) were in other community placements; 4% (2,940) were placed for adoption; and 3% were in residential schools, other residential settings, or other placements not specified.</w:t>
      </w:r>
      <w:r>
        <w:t xml:space="preserve"> </w:t>
      </w:r>
      <w:r w:rsidRPr="005A7F89">
        <w:rPr>
          <w:sz w:val="16"/>
          <w:szCs w:val="16"/>
        </w:rPr>
        <w:t>(</w:t>
      </w:r>
      <w:r w:rsidRPr="002A28C4">
        <w:rPr>
          <w:sz w:val="16"/>
          <w:szCs w:val="16"/>
        </w:rPr>
        <w:t>Children looked after in England (including adoption) ye</w:t>
      </w:r>
      <w:r>
        <w:rPr>
          <w:sz w:val="16"/>
          <w:szCs w:val="16"/>
        </w:rPr>
        <w:t>ar ending 31 March 2016 Table A2</w:t>
      </w:r>
      <w:r w:rsidRPr="002A28C4">
        <w:rPr>
          <w:sz w:val="16"/>
          <w:szCs w:val="16"/>
        </w:rPr>
        <w:t xml:space="preserve">, available here: </w:t>
      </w:r>
      <w:hyperlink r:id="rId2" w:history="1">
        <w:r w:rsidRPr="004D404F">
          <w:rPr>
            <w:rStyle w:val="Hyperlink"/>
            <w:sz w:val="16"/>
            <w:szCs w:val="16"/>
            <w:u w:val="none"/>
          </w:rPr>
          <w:t>www.gov.uk\\government\\statistics\\children-looked-after-in-england-including-adoption-2015-to-2016</w:t>
        </w:r>
      </w:hyperlink>
      <w:r w:rsidRPr="00CA1B2B">
        <w:rPr>
          <w:rStyle w:val="Hyperlink"/>
          <w:sz w:val="16"/>
          <w:szCs w:val="16"/>
          <w:u w:val="none"/>
        </w:rPr>
        <w:t>)</w:t>
      </w:r>
    </w:p>
  </w:footnote>
  <w:footnote w:id="20">
    <w:p w14:paraId="3B7D19E0" w14:textId="11A0389F" w:rsidR="00A71A23" w:rsidRPr="00CA1B2B" w:rsidRDefault="00A71A23" w:rsidP="00607865">
      <w:pPr>
        <w:pStyle w:val="FootnoteText"/>
        <w:jc w:val="left"/>
        <w:rPr>
          <w:sz w:val="16"/>
          <w:szCs w:val="16"/>
        </w:rPr>
      </w:pPr>
      <w:r w:rsidRPr="00A8268B">
        <w:rPr>
          <w:rStyle w:val="FootnoteReference"/>
          <w:sz w:val="16"/>
          <w:szCs w:val="16"/>
        </w:rPr>
        <w:footnoteRef/>
      </w:r>
      <w:r w:rsidRPr="00A8268B">
        <w:rPr>
          <w:sz w:val="16"/>
          <w:szCs w:val="16"/>
        </w:rPr>
        <w:t xml:space="preserve"> The </w:t>
      </w:r>
      <w:proofErr w:type="spellStart"/>
      <w:r w:rsidRPr="00A8268B">
        <w:rPr>
          <w:sz w:val="16"/>
          <w:szCs w:val="16"/>
        </w:rPr>
        <w:t>DfE</w:t>
      </w:r>
      <w:proofErr w:type="spellEnd"/>
      <w:r w:rsidRPr="00A8268B">
        <w:rPr>
          <w:sz w:val="16"/>
          <w:szCs w:val="16"/>
        </w:rPr>
        <w:t xml:space="preserve"> reported a slightly higher figure for both years: 51,</w:t>
      </w:r>
      <w:r w:rsidRPr="005A7F89">
        <w:rPr>
          <w:sz w:val="16"/>
          <w:szCs w:val="16"/>
        </w:rPr>
        <w:t>850 in 2016, and 51,590 in 2015</w:t>
      </w:r>
      <w:r>
        <w:rPr>
          <w:sz w:val="16"/>
          <w:szCs w:val="16"/>
        </w:rPr>
        <w:t>.</w:t>
      </w:r>
      <w:r w:rsidRPr="005A7F89">
        <w:rPr>
          <w:sz w:val="16"/>
          <w:szCs w:val="16"/>
        </w:rPr>
        <w:t xml:space="preserve"> </w:t>
      </w:r>
      <w:r>
        <w:rPr>
          <w:sz w:val="16"/>
          <w:szCs w:val="16"/>
        </w:rPr>
        <w:t xml:space="preserve">Source: </w:t>
      </w:r>
      <w:r w:rsidRPr="002A28C4">
        <w:rPr>
          <w:sz w:val="16"/>
          <w:szCs w:val="16"/>
        </w:rPr>
        <w:t>Children looked after in England (including adoption) ye</w:t>
      </w:r>
      <w:r>
        <w:rPr>
          <w:sz w:val="16"/>
          <w:szCs w:val="16"/>
        </w:rPr>
        <w:t>ar ending 31 March 2016 Table A2</w:t>
      </w:r>
      <w:r w:rsidRPr="002A28C4">
        <w:rPr>
          <w:sz w:val="16"/>
          <w:szCs w:val="16"/>
        </w:rPr>
        <w:t xml:space="preserve">, available here: </w:t>
      </w:r>
      <w:hyperlink r:id="rId3" w:history="1">
        <w:r w:rsidRPr="004D404F">
          <w:rPr>
            <w:rStyle w:val="Hyperlink"/>
            <w:sz w:val="16"/>
            <w:szCs w:val="16"/>
            <w:u w:val="none"/>
          </w:rPr>
          <w:t>www.gov.uk\\government\\statistics\\children-looked-after-in-england-including-adoption-2015-to-2016</w:t>
        </w:r>
      </w:hyperlink>
    </w:p>
  </w:footnote>
  <w:footnote w:id="21">
    <w:p w14:paraId="49568A54" w14:textId="370D5C09" w:rsidR="00A71A23" w:rsidRPr="002A28C4" w:rsidRDefault="00A71A23" w:rsidP="001C28C0">
      <w:pPr>
        <w:pStyle w:val="FootnoteText"/>
        <w:jc w:val="left"/>
        <w:rPr>
          <w:sz w:val="16"/>
          <w:szCs w:val="16"/>
        </w:rPr>
      </w:pPr>
      <w:r w:rsidRPr="002A28C4">
        <w:rPr>
          <w:rStyle w:val="FootnoteReference"/>
          <w:sz w:val="16"/>
          <w:szCs w:val="16"/>
        </w:rPr>
        <w:footnoteRef/>
      </w:r>
      <w:r w:rsidRPr="002A28C4">
        <w:rPr>
          <w:sz w:val="16"/>
          <w:szCs w:val="16"/>
        </w:rPr>
        <w:t xml:space="preserve"> Please see </w:t>
      </w:r>
      <w:r w:rsidRPr="00BE0CE2">
        <w:rPr>
          <w:sz w:val="16"/>
          <w:szCs w:val="16"/>
        </w:rPr>
        <w:t>www.ons.gov.uk/peoplepopulationandcommunity/culturalidentity/ethnicity/adhocs/005378ct05702011censussexbyagebyimd2004byethnicgroup</w:t>
      </w:r>
      <w:r w:rsidRPr="002A28C4">
        <w:rPr>
          <w:sz w:val="16"/>
          <w:szCs w:val="16"/>
        </w:rPr>
        <w:t xml:space="preserve"> for the full 2011 census data breakdown.</w:t>
      </w:r>
    </w:p>
  </w:footnote>
  <w:footnote w:id="22">
    <w:p w14:paraId="18059E32" w14:textId="77777777" w:rsidR="00A71A23" w:rsidRPr="004D404F" w:rsidRDefault="00A71A23" w:rsidP="00607865">
      <w:pPr>
        <w:pStyle w:val="FootnoteText"/>
        <w:jc w:val="left"/>
        <w:rPr>
          <w:sz w:val="16"/>
          <w:szCs w:val="16"/>
        </w:rPr>
      </w:pPr>
      <w:r w:rsidRPr="002A28C4">
        <w:rPr>
          <w:rStyle w:val="FootnoteReference"/>
          <w:sz w:val="16"/>
          <w:szCs w:val="16"/>
        </w:rPr>
        <w:footnoteRef/>
      </w:r>
      <w:r w:rsidRPr="002A28C4">
        <w:rPr>
          <w:sz w:val="16"/>
          <w:szCs w:val="16"/>
        </w:rPr>
        <w:t xml:space="preserve"> Children looked after in England (including adoption) year ending 31 March 2016 Table A1, available here: </w:t>
      </w:r>
      <w:hyperlink r:id="rId4" w:history="1">
        <w:r w:rsidRPr="004D404F">
          <w:rPr>
            <w:rStyle w:val="Hyperlink"/>
            <w:sz w:val="16"/>
            <w:szCs w:val="16"/>
            <w:u w:val="none"/>
          </w:rPr>
          <w:t>www.gov.uk\\government\\statistics\\children-looked-after-in-england-including-adoption-2015-to-2016</w:t>
        </w:r>
      </w:hyperlink>
      <w:r>
        <w:rPr>
          <w:sz w:val="16"/>
          <w:szCs w:val="16"/>
        </w:rPr>
        <w:t xml:space="preserve"> </w:t>
      </w:r>
    </w:p>
  </w:footnote>
  <w:footnote w:id="23">
    <w:p w14:paraId="7B74E925" w14:textId="5C2A94C0" w:rsidR="00A71A23" w:rsidRPr="00EB195C" w:rsidRDefault="00A71A23" w:rsidP="00A71A23">
      <w:pPr>
        <w:pStyle w:val="FootnoteText"/>
        <w:jc w:val="left"/>
        <w:rPr>
          <w:sz w:val="16"/>
          <w:szCs w:val="16"/>
        </w:rPr>
      </w:pPr>
      <w:r w:rsidRPr="00EB195C">
        <w:rPr>
          <w:rStyle w:val="FootnoteReference"/>
          <w:sz w:val="16"/>
          <w:szCs w:val="16"/>
        </w:rPr>
        <w:footnoteRef/>
      </w:r>
      <w:r w:rsidRPr="00EB195C">
        <w:rPr>
          <w:sz w:val="16"/>
          <w:szCs w:val="16"/>
        </w:rPr>
        <w:t xml:space="preserve"> The difference between fostered children and all children looked after maybe be partially explained by the over-representation of children from minority ethnic groups in other types of looked after placement, including secure units, young offender institutes and prison; and independent living. Child looked after placements as at 31 March 2015, Ofsted: www.gov.uk/government/statistics/children-looked-after-placements-as-at-31-march-2015</w:t>
      </w:r>
    </w:p>
  </w:footnote>
  <w:footnote w:id="24">
    <w:p w14:paraId="2A92AA4C" w14:textId="4A83649A" w:rsidR="00A71A23" w:rsidRDefault="00A71A23" w:rsidP="00607865">
      <w:pPr>
        <w:pStyle w:val="FootnoteText"/>
        <w:jc w:val="left"/>
      </w:pPr>
      <w:r w:rsidRPr="00D32750">
        <w:rPr>
          <w:rStyle w:val="FootnoteReference"/>
          <w:sz w:val="16"/>
          <w:szCs w:val="16"/>
        </w:rPr>
        <w:footnoteRef/>
      </w:r>
      <w:r w:rsidRPr="00D32750">
        <w:rPr>
          <w:sz w:val="16"/>
          <w:szCs w:val="16"/>
        </w:rPr>
        <w:t xml:space="preserve"> </w:t>
      </w:r>
      <w:r>
        <w:rPr>
          <w:sz w:val="16"/>
          <w:szCs w:val="16"/>
        </w:rPr>
        <w:t xml:space="preserve">This was also higher than the 7% for all children reported in the 2014-15 </w:t>
      </w:r>
      <w:r w:rsidRPr="00D32750">
        <w:rPr>
          <w:sz w:val="16"/>
          <w:szCs w:val="16"/>
        </w:rPr>
        <w:t>Family Resources Survey, published June 201</w:t>
      </w:r>
      <w:r w:rsidRPr="00CD22DD">
        <w:rPr>
          <w:sz w:val="16"/>
          <w:szCs w:val="16"/>
        </w:rPr>
        <w:t>6</w:t>
      </w:r>
      <w:r w:rsidRPr="00D32750">
        <w:rPr>
          <w:sz w:val="16"/>
          <w:szCs w:val="16"/>
        </w:rPr>
        <w:t xml:space="preserve">, available here: </w:t>
      </w:r>
      <w:hyperlink r:id="rId5" w:history="1">
        <w:r w:rsidRPr="004D404F">
          <w:rPr>
            <w:rStyle w:val="Hyperlink"/>
            <w:sz w:val="16"/>
            <w:szCs w:val="16"/>
            <w:u w:val="none"/>
          </w:rPr>
          <w:t>www.gov.uk/government/statistics/family-resources-survey-financial-year-201415</w:t>
        </w:r>
      </w:hyperlink>
      <w:r>
        <w:rPr>
          <w:rStyle w:val="Hyperlink"/>
          <w:sz w:val="16"/>
          <w:szCs w:val="16"/>
          <w:u w:val="none"/>
        </w:rPr>
        <w:t xml:space="preserve">. </w:t>
      </w:r>
      <w:r w:rsidRPr="00607865">
        <w:rPr>
          <w:rStyle w:val="Hyperlink"/>
          <w:color w:val="auto"/>
          <w:sz w:val="16"/>
          <w:szCs w:val="16"/>
          <w:u w:val="none"/>
        </w:rPr>
        <w:t>This is the most up-to-date data on disabled children in England available at the time of publication</w:t>
      </w:r>
      <w:r>
        <w:rPr>
          <w:rStyle w:val="Hyperlink"/>
          <w:color w:val="auto"/>
          <w:sz w:val="16"/>
          <w:szCs w:val="16"/>
          <w:u w:val="none"/>
        </w:rPr>
        <w:t>.</w:t>
      </w:r>
    </w:p>
  </w:footnote>
  <w:footnote w:id="25">
    <w:p w14:paraId="16BAAF6B" w14:textId="77777777" w:rsidR="00A71A23" w:rsidRPr="000D47A3" w:rsidRDefault="00A71A23" w:rsidP="00607865">
      <w:pPr>
        <w:pStyle w:val="FootnoteText"/>
        <w:jc w:val="left"/>
        <w:rPr>
          <w:sz w:val="16"/>
          <w:szCs w:val="16"/>
        </w:rPr>
      </w:pPr>
      <w:r w:rsidRPr="000D47A3">
        <w:rPr>
          <w:rStyle w:val="FootnoteReference"/>
          <w:sz w:val="16"/>
          <w:szCs w:val="16"/>
        </w:rPr>
        <w:footnoteRef/>
      </w:r>
      <w:r w:rsidRPr="000D47A3">
        <w:rPr>
          <w:sz w:val="16"/>
          <w:szCs w:val="16"/>
        </w:rPr>
        <w:t xml:space="preserve"> Data on unplanned endings is not comparable to previous years, as this year’s data was collected at child and incident level, while in previous years it was only collected at incident level.</w:t>
      </w:r>
    </w:p>
  </w:footnote>
  <w:footnote w:id="26">
    <w:p w14:paraId="12E8544C" w14:textId="77777777" w:rsidR="00A71A23" w:rsidRPr="004D404F" w:rsidRDefault="00A71A23" w:rsidP="00607865">
      <w:pPr>
        <w:pStyle w:val="FootnoteText"/>
        <w:jc w:val="left"/>
        <w:rPr>
          <w:sz w:val="16"/>
          <w:szCs w:val="16"/>
        </w:rPr>
      </w:pPr>
      <w:r w:rsidRPr="004D404F">
        <w:rPr>
          <w:rStyle w:val="FootnoteReference"/>
          <w:sz w:val="16"/>
          <w:szCs w:val="16"/>
        </w:rPr>
        <w:footnoteRef/>
      </w:r>
      <w:r w:rsidRPr="004D404F">
        <w:rPr>
          <w:sz w:val="16"/>
          <w:szCs w:val="16"/>
        </w:rPr>
        <w:t xml:space="preserve"> Because data is collected only on children still in placement with the agency as at 31 March 2016, unplanned endings are only counted here if the child remains placed with the same agency e.g. they move from one fostering household to another, both approved by the same agency. Unplanned endings where a child changed agency as a result (for example, moving from an IFA fostering household to an LA fostering household) were not counted.</w:t>
      </w:r>
    </w:p>
  </w:footnote>
  <w:footnote w:id="27">
    <w:p w14:paraId="55E653EF" w14:textId="2DB738B8" w:rsidR="00A71A23" w:rsidRPr="00BE0CE2" w:rsidRDefault="00A71A23" w:rsidP="00607865">
      <w:pPr>
        <w:pStyle w:val="FootnoteText"/>
        <w:jc w:val="left"/>
        <w:rPr>
          <w:sz w:val="16"/>
          <w:szCs w:val="16"/>
        </w:rPr>
      </w:pPr>
      <w:r w:rsidRPr="00BE0CE2">
        <w:rPr>
          <w:rStyle w:val="FootnoteReference"/>
          <w:sz w:val="16"/>
          <w:szCs w:val="16"/>
        </w:rPr>
        <w:footnoteRef/>
      </w:r>
      <w:r w:rsidRPr="00BE0CE2">
        <w:rPr>
          <w:sz w:val="16"/>
          <w:szCs w:val="16"/>
        </w:rPr>
        <w:t xml:space="preserve"> A total of 1,455 children (50%) experienced unplanned endings for other reasons; because some children experience unplanned endings for more than one reasons, the total percentage does not equal 100%. When looking at incidents, 53% (1,860) were at the foster carers’ request, and 4</w:t>
      </w:r>
      <w:r>
        <w:rPr>
          <w:sz w:val="16"/>
          <w:szCs w:val="16"/>
        </w:rPr>
        <w:t>7</w:t>
      </w:r>
      <w:r w:rsidRPr="00BE0CE2">
        <w:rPr>
          <w:sz w:val="16"/>
          <w:szCs w:val="16"/>
        </w:rPr>
        <w:t>% (1,630) for other reasons.</w:t>
      </w:r>
    </w:p>
  </w:footnote>
  <w:footnote w:id="28">
    <w:p w14:paraId="612736D8" w14:textId="12D7B949" w:rsidR="00A71A23" w:rsidRPr="00F502DF" w:rsidRDefault="00A71A23" w:rsidP="00607865">
      <w:pPr>
        <w:pStyle w:val="FootnoteText"/>
        <w:jc w:val="left"/>
        <w:rPr>
          <w:sz w:val="16"/>
          <w:szCs w:val="16"/>
        </w:rPr>
      </w:pPr>
      <w:r w:rsidRPr="00F502DF">
        <w:rPr>
          <w:rStyle w:val="FootnoteReference"/>
          <w:sz w:val="16"/>
          <w:szCs w:val="16"/>
        </w:rPr>
        <w:footnoteRef/>
      </w:r>
      <w:r w:rsidRPr="00F502DF">
        <w:rPr>
          <w:sz w:val="16"/>
          <w:szCs w:val="16"/>
        </w:rPr>
        <w:t xml:space="preserve"> Agencies are asked to report the number of unplanned endings at the foster carers’ request (which could include an issue in the carers’ life such as a </w:t>
      </w:r>
      <w:r>
        <w:rPr>
          <w:sz w:val="16"/>
          <w:szCs w:val="16"/>
        </w:rPr>
        <w:t>bereavement</w:t>
      </w:r>
      <w:r w:rsidRPr="00F502DF">
        <w:rPr>
          <w:sz w:val="16"/>
          <w:szCs w:val="16"/>
        </w:rPr>
        <w:t>, as well as because the carer no longer feels the placement is the best fit for the child); and the number for other reasons (which is a catch-all for anything else and might include a change in the child’s circumstances, or a decision by the social worker, for example)</w:t>
      </w:r>
      <w:r>
        <w:rPr>
          <w:sz w:val="16"/>
          <w:szCs w:val="16"/>
        </w:rPr>
        <w:t>.</w:t>
      </w:r>
    </w:p>
  </w:footnote>
  <w:footnote w:id="29">
    <w:p w14:paraId="75F69277" w14:textId="77777777" w:rsidR="00A71A23" w:rsidRPr="004D404F" w:rsidRDefault="00A71A23" w:rsidP="00607865">
      <w:pPr>
        <w:pStyle w:val="FootnoteText"/>
        <w:jc w:val="left"/>
        <w:rPr>
          <w:sz w:val="16"/>
          <w:szCs w:val="16"/>
        </w:rPr>
      </w:pPr>
      <w:r w:rsidRPr="004D404F">
        <w:rPr>
          <w:rStyle w:val="FootnoteReference"/>
          <w:sz w:val="16"/>
          <w:szCs w:val="16"/>
        </w:rPr>
        <w:footnoteRef/>
      </w:r>
      <w:r w:rsidRPr="004D404F">
        <w:rPr>
          <w:sz w:val="16"/>
          <w:szCs w:val="16"/>
        </w:rPr>
        <w:t xml:space="preserve"> Percentages will not always total 100%, as some children experience unplanned endings at both the foster carers’ request and for other reasons, and so are counted in both groups.</w:t>
      </w:r>
    </w:p>
  </w:footnote>
  <w:footnote w:id="30">
    <w:p w14:paraId="19B0335A" w14:textId="77777777" w:rsidR="00A71A23" w:rsidRPr="000D47A3" w:rsidRDefault="00A71A23" w:rsidP="00607865">
      <w:pPr>
        <w:pStyle w:val="FootnoteText"/>
        <w:jc w:val="left"/>
        <w:rPr>
          <w:sz w:val="16"/>
          <w:szCs w:val="16"/>
        </w:rPr>
      </w:pPr>
      <w:r w:rsidRPr="000D47A3">
        <w:rPr>
          <w:rStyle w:val="FootnoteReference"/>
          <w:sz w:val="16"/>
          <w:szCs w:val="16"/>
        </w:rPr>
        <w:footnoteRef/>
      </w:r>
      <w:r w:rsidRPr="000D47A3">
        <w:rPr>
          <w:sz w:val="16"/>
          <w:szCs w:val="16"/>
        </w:rPr>
        <w:t xml:space="preserve"> In 2015-16, only data on children with an educational placement change was collected. </w:t>
      </w:r>
    </w:p>
  </w:footnote>
  <w:footnote w:id="31">
    <w:p w14:paraId="725DFC75" w14:textId="77777777" w:rsidR="00A71A23" w:rsidRPr="00BE0CE2" w:rsidRDefault="00A71A23" w:rsidP="00607865">
      <w:pPr>
        <w:pStyle w:val="FootnoteText"/>
        <w:jc w:val="left"/>
        <w:rPr>
          <w:sz w:val="16"/>
          <w:szCs w:val="16"/>
        </w:rPr>
      </w:pPr>
      <w:r w:rsidRPr="00BE0CE2">
        <w:rPr>
          <w:rStyle w:val="FootnoteReference"/>
          <w:sz w:val="16"/>
          <w:szCs w:val="16"/>
        </w:rPr>
        <w:footnoteRef/>
      </w:r>
      <w:r w:rsidRPr="00BE0CE2">
        <w:rPr>
          <w:sz w:val="16"/>
          <w:szCs w:val="16"/>
        </w:rPr>
        <w:t xml:space="preserve"> When comparing the number of educational placement changes by sector, the two have moved progressively closer over the last three years, and in 2015-16, 53% (1,210) of educational placement changes were for children placed with LAs, compared to 47% (1,080) for children placed with IFAs. </w:t>
      </w:r>
    </w:p>
  </w:footnote>
  <w:footnote w:id="32">
    <w:p w14:paraId="0F5DDB8A" w14:textId="77777777" w:rsidR="00A71A23" w:rsidRPr="002A28C4" w:rsidRDefault="00A71A23" w:rsidP="00BB244F">
      <w:pPr>
        <w:pStyle w:val="FootnoteText"/>
        <w:jc w:val="left"/>
        <w:rPr>
          <w:sz w:val="16"/>
          <w:szCs w:val="16"/>
        </w:rPr>
      </w:pPr>
      <w:r w:rsidRPr="002A28C4">
        <w:rPr>
          <w:rStyle w:val="FootnoteReference"/>
          <w:sz w:val="16"/>
          <w:szCs w:val="16"/>
        </w:rPr>
        <w:footnoteRef/>
      </w:r>
      <w:r w:rsidRPr="002A28C4">
        <w:rPr>
          <w:sz w:val="16"/>
          <w:szCs w:val="16"/>
        </w:rPr>
        <w:t xml:space="preserve"> Please refer to the glossary for a full definition of the Staying Put scheme.</w:t>
      </w:r>
    </w:p>
  </w:footnote>
  <w:footnote w:id="33">
    <w:p w14:paraId="1EBBFDCC" w14:textId="77777777" w:rsidR="00A71A23" w:rsidRPr="00530262" w:rsidRDefault="00A71A23">
      <w:pPr>
        <w:pStyle w:val="FootnoteText"/>
        <w:rPr>
          <w:rFonts w:cs="Tahoma"/>
          <w:sz w:val="16"/>
          <w:szCs w:val="16"/>
        </w:rPr>
      </w:pPr>
      <w:r w:rsidRPr="002A28C4">
        <w:rPr>
          <w:rStyle w:val="FootnoteReference"/>
          <w:sz w:val="16"/>
          <w:szCs w:val="16"/>
        </w:rPr>
        <w:footnoteRef/>
      </w:r>
      <w:r w:rsidRPr="002A28C4">
        <w:rPr>
          <w:sz w:val="16"/>
          <w:szCs w:val="16"/>
        </w:rPr>
        <w:t xml:space="preserve"> </w:t>
      </w:r>
      <w:hyperlink r:id="rId6" w:history="1">
        <w:r w:rsidRPr="004D404F">
          <w:rPr>
            <w:rStyle w:val="Hyperlink"/>
            <w:sz w:val="16"/>
            <w:szCs w:val="16"/>
            <w:u w:val="none"/>
          </w:rPr>
          <w:t>www.adcs.org.uk/safeguarding/article/safeguarding-pressures-phase-5</w:t>
        </w:r>
      </w:hyperlink>
      <w:r w:rsidRPr="002A28C4">
        <w:rPr>
          <w:sz w:val="16"/>
          <w:szCs w:val="16"/>
        </w:rPr>
        <w:t xml:space="preserve"> </w:t>
      </w:r>
      <w:hyperlink r:id="rId7" w:tgtFrame="_blank" w:history="1">
        <w:r w:rsidRPr="002A28C4">
          <w:rPr>
            <w:rStyle w:val="Hyperlink"/>
            <w:rFonts w:cs="Tahoma"/>
            <w:bCs/>
            <w:color w:val="auto"/>
            <w:sz w:val="16"/>
            <w:szCs w:val="16"/>
            <w:u w:val="none"/>
            <w:bdr w:val="none" w:sz="0" w:space="0" w:color="auto" w:frame="1"/>
          </w:rPr>
          <w:t>Safeguarding Pressures Phase 5 – Report</w:t>
        </w:r>
      </w:hyperlink>
      <w:r w:rsidRPr="002A28C4">
        <w:rPr>
          <w:rFonts w:cs="Tahoma"/>
          <w:sz w:val="16"/>
          <w:szCs w:val="16"/>
        </w:rPr>
        <w:t xml:space="preserve"> p. 62</w:t>
      </w:r>
    </w:p>
  </w:footnote>
  <w:footnote w:id="34">
    <w:p w14:paraId="2D044B95" w14:textId="6907BD56" w:rsidR="00A71A23" w:rsidRPr="002A28C4" w:rsidRDefault="00A71A23" w:rsidP="00C04449">
      <w:pPr>
        <w:pStyle w:val="FootnoteText"/>
        <w:rPr>
          <w:sz w:val="16"/>
          <w:szCs w:val="16"/>
        </w:rPr>
      </w:pPr>
      <w:r w:rsidRPr="004D404F">
        <w:rPr>
          <w:rStyle w:val="FootnoteReference"/>
          <w:sz w:val="16"/>
          <w:szCs w:val="16"/>
        </w:rPr>
        <w:footnoteRef/>
      </w:r>
      <w:r w:rsidRPr="004D404F">
        <w:rPr>
          <w:sz w:val="16"/>
          <w:szCs w:val="16"/>
        </w:rPr>
        <w:t xml:space="preserve"> </w:t>
      </w:r>
      <w:r w:rsidRPr="00F502DF">
        <w:rPr>
          <w:sz w:val="16"/>
          <w:szCs w:val="16"/>
        </w:rPr>
        <w:t xml:space="preserve">However, the </w:t>
      </w:r>
      <w:proofErr w:type="spellStart"/>
      <w:r w:rsidRPr="00F502DF">
        <w:rPr>
          <w:sz w:val="16"/>
          <w:szCs w:val="16"/>
        </w:rPr>
        <w:t>DfE</w:t>
      </w:r>
      <w:proofErr w:type="spellEnd"/>
      <w:r w:rsidRPr="00F502DF">
        <w:rPr>
          <w:sz w:val="16"/>
          <w:szCs w:val="16"/>
        </w:rPr>
        <w:t xml:space="preserve"> reported a substantially different number of both young people </w:t>
      </w:r>
      <w:r>
        <w:rPr>
          <w:sz w:val="16"/>
          <w:szCs w:val="16"/>
        </w:rPr>
        <w:t>becoming</w:t>
      </w:r>
      <w:r w:rsidRPr="00F502DF">
        <w:rPr>
          <w:sz w:val="16"/>
          <w:szCs w:val="16"/>
        </w:rPr>
        <w:t xml:space="preserve"> 18 (2,670) and as a result staying with their former foster carers (1,440); the reasons for this difference are not clear. </w:t>
      </w:r>
      <w:r w:rsidRPr="002A28C4">
        <w:rPr>
          <w:sz w:val="16"/>
          <w:szCs w:val="16"/>
        </w:rPr>
        <w:t xml:space="preserve">Children looked after in England (including adoption) year ending 31 March 2016 Table </w:t>
      </w:r>
      <w:r>
        <w:rPr>
          <w:sz w:val="16"/>
          <w:szCs w:val="16"/>
        </w:rPr>
        <w:t>F1d</w:t>
      </w:r>
      <w:r w:rsidRPr="002A28C4">
        <w:rPr>
          <w:sz w:val="16"/>
          <w:szCs w:val="16"/>
        </w:rPr>
        <w:t xml:space="preserve">, available here: </w:t>
      </w:r>
    </w:p>
    <w:p w14:paraId="18D4701E" w14:textId="77777777" w:rsidR="00A71A23" w:rsidRPr="008E790F" w:rsidRDefault="007F2768" w:rsidP="00C04449">
      <w:pPr>
        <w:pStyle w:val="FootnoteText"/>
      </w:pPr>
      <w:hyperlink r:id="rId8" w:history="1">
        <w:r w:rsidR="00A71A23" w:rsidRPr="00101567">
          <w:rPr>
            <w:rStyle w:val="Hyperlink"/>
            <w:sz w:val="16"/>
            <w:szCs w:val="16"/>
            <w:u w:val="none"/>
          </w:rPr>
          <w:t>www.gov.uk/government/statistics/children-looked-after-in-england-including-adoption-2015-to-2016</w:t>
        </w:r>
      </w:hyperlink>
    </w:p>
  </w:footnote>
  <w:footnote w:id="35">
    <w:p w14:paraId="28DDF256" w14:textId="0DB7B456" w:rsidR="00A71A23" w:rsidRPr="00607865" w:rsidRDefault="00A71A23" w:rsidP="00607865">
      <w:pPr>
        <w:pStyle w:val="FootnoteText"/>
        <w:jc w:val="left"/>
        <w:rPr>
          <w:sz w:val="16"/>
          <w:szCs w:val="16"/>
        </w:rPr>
      </w:pPr>
      <w:r w:rsidRPr="002A28C4">
        <w:rPr>
          <w:rStyle w:val="FootnoteReference"/>
          <w:sz w:val="16"/>
          <w:szCs w:val="16"/>
        </w:rPr>
        <w:footnoteRef/>
      </w:r>
      <w:r w:rsidRPr="002A28C4">
        <w:rPr>
          <w:sz w:val="16"/>
          <w:szCs w:val="16"/>
        </w:rPr>
        <w:t xml:space="preserve"> Safeguarding Pressures report p.65</w:t>
      </w:r>
      <w:r w:rsidRPr="00607865">
        <w:rPr>
          <w:sz w:val="16"/>
          <w:szCs w:val="16"/>
        </w:rPr>
        <w:t>; www.adcs.org.uk/safeguarding/article/safeguarding-pressures-phase-5</w:t>
      </w:r>
    </w:p>
  </w:footnote>
  <w:footnote w:id="36">
    <w:p w14:paraId="65A69300" w14:textId="10DA395E" w:rsidR="00A71A23" w:rsidRPr="002A28C4" w:rsidRDefault="00A71A23" w:rsidP="00607865">
      <w:pPr>
        <w:pStyle w:val="FootnoteText"/>
        <w:jc w:val="left"/>
        <w:rPr>
          <w:sz w:val="16"/>
          <w:szCs w:val="16"/>
        </w:rPr>
      </w:pPr>
      <w:r w:rsidRPr="002A28C4">
        <w:rPr>
          <w:rStyle w:val="FootnoteReference"/>
          <w:sz w:val="16"/>
          <w:szCs w:val="16"/>
        </w:rPr>
        <w:footnoteRef/>
      </w:r>
      <w:r w:rsidRPr="002A28C4">
        <w:rPr>
          <w:sz w:val="16"/>
          <w:szCs w:val="16"/>
        </w:rPr>
        <w:t xml:space="preserve"> The 10 local authorities were: Enfield, Kingston upon Thames, Lancashire, Middlesbrough, Nottingham, Peterborough, Rutland, Torbay, </w:t>
      </w:r>
      <w:proofErr w:type="spellStart"/>
      <w:r w:rsidRPr="002A28C4">
        <w:rPr>
          <w:sz w:val="16"/>
          <w:szCs w:val="16"/>
        </w:rPr>
        <w:t>Wandsworth</w:t>
      </w:r>
      <w:proofErr w:type="spellEnd"/>
      <w:r w:rsidRPr="002A28C4">
        <w:rPr>
          <w:sz w:val="16"/>
          <w:szCs w:val="16"/>
        </w:rPr>
        <w:t xml:space="preserve">, and Westminster. An additional seven LAs reported children subject to </w:t>
      </w:r>
      <w:r w:rsidRPr="00F41098">
        <w:rPr>
          <w:sz w:val="16"/>
          <w:szCs w:val="16"/>
        </w:rPr>
        <w:t>child sexual exploitation</w:t>
      </w:r>
      <w:r w:rsidRPr="002A28C4">
        <w:rPr>
          <w:sz w:val="16"/>
          <w:szCs w:val="16"/>
        </w:rPr>
        <w:t xml:space="preserve"> but none at risk: Derby, Greenwich, Hillingdon, Shropshire, Staffordshire, Telford and Wrekin, and Windsor and Maidenhead.</w:t>
      </w:r>
    </w:p>
  </w:footnote>
  <w:footnote w:id="37">
    <w:p w14:paraId="4EFC62AA" w14:textId="54A74387" w:rsidR="00A71A23" w:rsidRPr="008E790F" w:rsidRDefault="00A71A23" w:rsidP="00607865">
      <w:pPr>
        <w:pStyle w:val="FootnoteText"/>
        <w:jc w:val="left"/>
        <w:rPr>
          <w:sz w:val="16"/>
          <w:szCs w:val="16"/>
        </w:rPr>
      </w:pPr>
      <w:r w:rsidRPr="001747C9">
        <w:rPr>
          <w:rStyle w:val="FootnoteReference"/>
          <w:sz w:val="16"/>
          <w:szCs w:val="16"/>
        </w:rPr>
        <w:footnoteRef/>
      </w:r>
      <w:r w:rsidRPr="001747C9">
        <w:rPr>
          <w:sz w:val="16"/>
          <w:szCs w:val="16"/>
        </w:rPr>
        <w:t xml:space="preserve"> This was slightly lower than the 9% for all looked after children reported by the </w:t>
      </w:r>
      <w:proofErr w:type="spellStart"/>
      <w:r w:rsidRPr="001747C9">
        <w:rPr>
          <w:sz w:val="16"/>
          <w:szCs w:val="16"/>
        </w:rPr>
        <w:t>DfE</w:t>
      </w:r>
      <w:proofErr w:type="spellEnd"/>
      <w:r w:rsidRPr="001747C9">
        <w:rPr>
          <w:sz w:val="16"/>
          <w:szCs w:val="16"/>
        </w:rPr>
        <w:t xml:space="preserve">; however, their figure is likely to be impacted by including all types of placements. </w:t>
      </w:r>
      <w:proofErr w:type="spellStart"/>
      <w:r w:rsidRPr="001747C9">
        <w:rPr>
          <w:sz w:val="16"/>
          <w:szCs w:val="16"/>
        </w:rPr>
        <w:t>DfE</w:t>
      </w:r>
      <w:proofErr w:type="spellEnd"/>
      <w:r w:rsidRPr="001747C9">
        <w:rPr>
          <w:sz w:val="16"/>
          <w:szCs w:val="16"/>
        </w:rPr>
        <w:t xml:space="preserve"> data on children missing from foster placements is not available.</w:t>
      </w:r>
      <w:r>
        <w:rPr>
          <w:sz w:val="16"/>
          <w:szCs w:val="16"/>
        </w:rPr>
        <w:t xml:space="preserve"> The </w:t>
      </w:r>
      <w:proofErr w:type="spellStart"/>
      <w:r>
        <w:rPr>
          <w:sz w:val="16"/>
          <w:szCs w:val="16"/>
        </w:rPr>
        <w:t>DfE</w:t>
      </w:r>
      <w:proofErr w:type="spellEnd"/>
      <w:r>
        <w:rPr>
          <w:sz w:val="16"/>
          <w:szCs w:val="16"/>
        </w:rPr>
        <w:t xml:space="preserve"> also reported a higher average number of </w:t>
      </w:r>
      <w:r w:rsidRPr="00F502DF">
        <w:rPr>
          <w:sz w:val="16"/>
          <w:szCs w:val="16"/>
        </w:rPr>
        <w:t>incidents per missing</w:t>
      </w:r>
      <w:r>
        <w:rPr>
          <w:sz w:val="16"/>
          <w:szCs w:val="16"/>
        </w:rPr>
        <w:t xml:space="preserve"> child (5.0). </w:t>
      </w:r>
      <w:r w:rsidRPr="002A28C4">
        <w:rPr>
          <w:sz w:val="16"/>
          <w:szCs w:val="16"/>
        </w:rPr>
        <w:t xml:space="preserve">Children looked after in England (including adoption) year ending 31 March 2016 Table </w:t>
      </w:r>
      <w:r>
        <w:rPr>
          <w:sz w:val="16"/>
          <w:szCs w:val="16"/>
        </w:rPr>
        <w:t>G1</w:t>
      </w:r>
      <w:r w:rsidRPr="002A28C4">
        <w:rPr>
          <w:sz w:val="16"/>
          <w:szCs w:val="16"/>
        </w:rPr>
        <w:t xml:space="preserve">, available here: </w:t>
      </w:r>
      <w:hyperlink r:id="rId9" w:history="1">
        <w:r w:rsidRPr="00540F27">
          <w:rPr>
            <w:rStyle w:val="Hyperlink"/>
            <w:sz w:val="16"/>
            <w:szCs w:val="16"/>
            <w:u w:val="none"/>
          </w:rPr>
          <w:t>www.gov.uk\\government\\statistics\\children-looked-after-in-england-including-adoption-2015-to-2016</w:t>
        </w:r>
      </w:hyperlink>
      <w:r>
        <w:rPr>
          <w:sz w:val="16"/>
          <w:szCs w:val="16"/>
        </w:rPr>
        <w:t xml:space="preserve"> </w:t>
      </w:r>
    </w:p>
  </w:footnote>
  <w:footnote w:id="38">
    <w:p w14:paraId="55B8BD49" w14:textId="22C48195" w:rsidR="00A71A23" w:rsidRPr="00CB05C9" w:rsidRDefault="00A71A23" w:rsidP="00607865">
      <w:pPr>
        <w:pStyle w:val="FootnoteText"/>
        <w:jc w:val="left"/>
        <w:rPr>
          <w:sz w:val="16"/>
          <w:szCs w:val="16"/>
        </w:rPr>
      </w:pPr>
      <w:r w:rsidRPr="00CB05C9">
        <w:rPr>
          <w:rStyle w:val="FootnoteReference"/>
          <w:sz w:val="16"/>
          <w:szCs w:val="16"/>
        </w:rPr>
        <w:footnoteRef/>
      </w:r>
      <w:r w:rsidRPr="00CB05C9">
        <w:rPr>
          <w:sz w:val="16"/>
          <w:szCs w:val="16"/>
        </w:rPr>
        <w:t xml:space="preserve"> The fostering form includes the following options for recording the primary reason a child went missing: Bullying</w:t>
      </w:r>
      <w:r>
        <w:rPr>
          <w:sz w:val="16"/>
          <w:szCs w:val="16"/>
        </w:rPr>
        <w:t>*</w:t>
      </w:r>
      <w:r w:rsidRPr="00CB05C9">
        <w:rPr>
          <w:sz w:val="16"/>
          <w:szCs w:val="16"/>
        </w:rPr>
        <w:t>; involvement in offending behaviour</w:t>
      </w:r>
      <w:r>
        <w:rPr>
          <w:sz w:val="16"/>
          <w:szCs w:val="16"/>
        </w:rPr>
        <w:t>*</w:t>
      </w:r>
      <w:r w:rsidRPr="00CB05C9">
        <w:rPr>
          <w:sz w:val="16"/>
          <w:szCs w:val="16"/>
        </w:rPr>
        <w:t>; substance misuse</w:t>
      </w:r>
      <w:r>
        <w:rPr>
          <w:sz w:val="16"/>
          <w:szCs w:val="16"/>
        </w:rPr>
        <w:t>*</w:t>
      </w:r>
      <w:r w:rsidRPr="00CB05C9">
        <w:rPr>
          <w:sz w:val="16"/>
          <w:szCs w:val="16"/>
        </w:rPr>
        <w:t>; contact with, including avoiding contact with, family and friends; alleged abuse within the foster home</w:t>
      </w:r>
      <w:r>
        <w:rPr>
          <w:sz w:val="16"/>
          <w:szCs w:val="16"/>
        </w:rPr>
        <w:t>*</w:t>
      </w:r>
      <w:r w:rsidRPr="00CB05C9">
        <w:rPr>
          <w:sz w:val="16"/>
          <w:szCs w:val="16"/>
        </w:rPr>
        <w:t>; they are an asylum seeker</w:t>
      </w:r>
      <w:r>
        <w:rPr>
          <w:sz w:val="16"/>
          <w:szCs w:val="16"/>
        </w:rPr>
        <w:t xml:space="preserve">*; suspected to be at risk of </w:t>
      </w:r>
      <w:r w:rsidRPr="00F41098">
        <w:rPr>
          <w:sz w:val="16"/>
          <w:szCs w:val="16"/>
        </w:rPr>
        <w:t>child sexual exploitation</w:t>
      </w:r>
      <w:r w:rsidRPr="00CB05C9">
        <w:rPr>
          <w:sz w:val="16"/>
          <w:szCs w:val="16"/>
        </w:rPr>
        <w:t>; any other known reason</w:t>
      </w:r>
      <w:r>
        <w:rPr>
          <w:sz w:val="16"/>
          <w:szCs w:val="16"/>
        </w:rPr>
        <w:t>*</w:t>
      </w:r>
      <w:r w:rsidRPr="00CB05C9">
        <w:rPr>
          <w:sz w:val="16"/>
          <w:szCs w:val="16"/>
        </w:rPr>
        <w:t>; reason unknown.</w:t>
      </w:r>
      <w:r>
        <w:rPr>
          <w:sz w:val="16"/>
          <w:szCs w:val="16"/>
        </w:rPr>
        <w:t xml:space="preserve"> Reasons marked with * are included in “All other known reasons” in Chart 3.</w:t>
      </w:r>
    </w:p>
  </w:footnote>
  <w:footnote w:id="39">
    <w:p w14:paraId="4361F0AB" w14:textId="77777777" w:rsidR="00A71A23" w:rsidRPr="002A28C4" w:rsidRDefault="00A71A23" w:rsidP="006C7E53">
      <w:pPr>
        <w:pStyle w:val="FootnoteText"/>
        <w:rPr>
          <w:sz w:val="16"/>
          <w:szCs w:val="16"/>
        </w:rPr>
      </w:pPr>
      <w:r w:rsidRPr="002A28C4">
        <w:rPr>
          <w:rStyle w:val="FootnoteReference"/>
          <w:sz w:val="16"/>
          <w:szCs w:val="16"/>
        </w:rPr>
        <w:footnoteRef/>
      </w:r>
      <w:r w:rsidRPr="002A28C4">
        <w:rPr>
          <w:sz w:val="16"/>
          <w:szCs w:val="16"/>
        </w:rPr>
        <w:t xml:space="preserve"> Children looked after in England (including adoption) year ending 31 March 2016 Table G1, available here: </w:t>
      </w:r>
    </w:p>
    <w:p w14:paraId="1F5AB2F4" w14:textId="77777777" w:rsidR="00A71A23" w:rsidRPr="008E790F" w:rsidRDefault="007F2768" w:rsidP="006C7E53">
      <w:pPr>
        <w:pStyle w:val="FootnoteText"/>
        <w:rPr>
          <w:sz w:val="16"/>
          <w:szCs w:val="16"/>
        </w:rPr>
      </w:pPr>
      <w:hyperlink r:id="rId10" w:history="1">
        <w:r w:rsidR="00A71A23" w:rsidRPr="004D404F">
          <w:rPr>
            <w:rStyle w:val="Hyperlink"/>
            <w:sz w:val="16"/>
            <w:szCs w:val="16"/>
            <w:u w:val="none"/>
          </w:rPr>
          <w:t>www.gov.uk/government/statistics/children-looked-after-in-england-including-adoption-2015-to-2016</w:t>
        </w:r>
      </w:hyperlink>
    </w:p>
  </w:footnote>
  <w:footnote w:id="40">
    <w:p w14:paraId="75900484" w14:textId="77777777" w:rsidR="00A71A23" w:rsidRPr="00107FB3" w:rsidRDefault="00A71A23" w:rsidP="00607865">
      <w:pPr>
        <w:jc w:val="left"/>
        <w:rPr>
          <w:sz w:val="16"/>
          <w:szCs w:val="16"/>
        </w:rPr>
      </w:pPr>
      <w:r w:rsidRPr="00107FB3">
        <w:rPr>
          <w:rStyle w:val="FootnoteReference"/>
          <w:sz w:val="16"/>
          <w:szCs w:val="16"/>
        </w:rPr>
        <w:footnoteRef/>
      </w:r>
      <w:r w:rsidRPr="00107FB3">
        <w:rPr>
          <w:sz w:val="16"/>
          <w:szCs w:val="16"/>
        </w:rPr>
        <w:t xml:space="preserve"> For the first time this year, Ofsted collected data on how many return home interviews (RHI) were conducted. </w:t>
      </w:r>
    </w:p>
  </w:footnote>
  <w:footnote w:id="41">
    <w:p w14:paraId="310A3FE7" w14:textId="77777777" w:rsidR="00A71A23" w:rsidRPr="002A28C4" w:rsidRDefault="00A71A23" w:rsidP="00607865">
      <w:pPr>
        <w:pStyle w:val="FootnoteText"/>
        <w:jc w:val="left"/>
        <w:rPr>
          <w:sz w:val="16"/>
          <w:szCs w:val="16"/>
        </w:rPr>
      </w:pPr>
      <w:r w:rsidRPr="002A28C4">
        <w:rPr>
          <w:rStyle w:val="FootnoteReference"/>
          <w:sz w:val="16"/>
          <w:szCs w:val="16"/>
        </w:rPr>
        <w:footnoteRef/>
      </w:r>
      <w:r w:rsidRPr="002A28C4">
        <w:rPr>
          <w:sz w:val="16"/>
          <w:szCs w:val="16"/>
        </w:rPr>
        <w:t xml:space="preserve"> </w:t>
      </w:r>
      <w:hyperlink r:id="rId11" w:history="1">
        <w:r w:rsidRPr="004D404F">
          <w:rPr>
            <w:rStyle w:val="Hyperlink"/>
            <w:sz w:val="16"/>
            <w:szCs w:val="16"/>
            <w:u w:val="none"/>
          </w:rPr>
          <w:t>www.gov.uk/government/publications/social-care-questionnaires-2016-what-children-and-young-people-told-ofsted</w:t>
        </w:r>
      </w:hyperlink>
      <w:r w:rsidRPr="002A28C4">
        <w:rPr>
          <w:sz w:val="16"/>
          <w:szCs w:val="16"/>
        </w:rPr>
        <w:t xml:space="preserve"> </w:t>
      </w:r>
    </w:p>
  </w:footnote>
  <w:footnote w:id="42">
    <w:p w14:paraId="714255CF" w14:textId="77777777" w:rsidR="00A71A23" w:rsidRDefault="00A71A23" w:rsidP="00607865">
      <w:pPr>
        <w:pStyle w:val="FootnoteText"/>
        <w:jc w:val="left"/>
      </w:pPr>
      <w:r w:rsidRPr="002A28C4">
        <w:rPr>
          <w:rStyle w:val="FootnoteReference"/>
          <w:sz w:val="16"/>
          <w:szCs w:val="16"/>
        </w:rPr>
        <w:footnoteRef/>
      </w:r>
      <w:r w:rsidRPr="002A28C4">
        <w:rPr>
          <w:sz w:val="16"/>
          <w:szCs w:val="16"/>
        </w:rPr>
        <w:t xml:space="preserve"> These eight LAs were: Barnet, Buckinghamshire, Croydon, Hackney, </w:t>
      </w:r>
      <w:proofErr w:type="gramStart"/>
      <w:r w:rsidRPr="002A28C4">
        <w:rPr>
          <w:sz w:val="16"/>
          <w:szCs w:val="16"/>
        </w:rPr>
        <w:t>Kingston</w:t>
      </w:r>
      <w:proofErr w:type="gramEnd"/>
      <w:r w:rsidRPr="002A28C4">
        <w:rPr>
          <w:sz w:val="16"/>
          <w:szCs w:val="16"/>
        </w:rPr>
        <w:t xml:space="preserve"> upon Thames, Lewisham, Walsall, and Wokingham.</w:t>
      </w:r>
      <w:r>
        <w:rPr>
          <w:sz w:val="16"/>
          <w:szCs w:val="16"/>
        </w:rPr>
        <w:t xml:space="preserve"> In total, these LAs had 100 children reported missing at least once over the year, with Croydon reporting the highest number (55). </w:t>
      </w:r>
    </w:p>
  </w:footnote>
  <w:footnote w:id="43">
    <w:p w14:paraId="148A2C77" w14:textId="77777777" w:rsidR="00A71A23" w:rsidRPr="00CB05C9" w:rsidRDefault="00A71A23" w:rsidP="00607865">
      <w:pPr>
        <w:pStyle w:val="FootnoteText"/>
        <w:jc w:val="left"/>
        <w:rPr>
          <w:sz w:val="16"/>
          <w:szCs w:val="16"/>
        </w:rPr>
      </w:pPr>
      <w:r w:rsidRPr="00CB05C9">
        <w:rPr>
          <w:rStyle w:val="FootnoteReference"/>
          <w:sz w:val="16"/>
          <w:szCs w:val="16"/>
        </w:rPr>
        <w:footnoteRef/>
      </w:r>
      <w:r w:rsidRPr="00CB05C9">
        <w:rPr>
          <w:sz w:val="16"/>
          <w:szCs w:val="16"/>
        </w:rPr>
        <w:t xml:space="preserve"> Ofsted does not collect data on whether children were still missing at the time of the collection; this may account for some children who did not receive RHI, or whose reason for going missing was unknown, where this will change once they return to their foster carers.</w:t>
      </w:r>
    </w:p>
  </w:footnote>
  <w:footnote w:id="44">
    <w:p w14:paraId="18E2DEB0" w14:textId="77777777" w:rsidR="00A71A23" w:rsidRPr="002A28C4" w:rsidRDefault="00A71A23" w:rsidP="00607865">
      <w:pPr>
        <w:jc w:val="left"/>
        <w:rPr>
          <w:rFonts w:cs="Tahoma"/>
          <w:color w:val="000000"/>
          <w:sz w:val="16"/>
          <w:szCs w:val="16"/>
        </w:rPr>
      </w:pPr>
      <w:r w:rsidRPr="002A28C4">
        <w:rPr>
          <w:rStyle w:val="FootnoteReference"/>
          <w:sz w:val="16"/>
          <w:szCs w:val="16"/>
        </w:rPr>
        <w:footnoteRef/>
      </w:r>
      <w:r w:rsidRPr="002A28C4">
        <w:rPr>
          <w:sz w:val="16"/>
          <w:szCs w:val="16"/>
        </w:rPr>
        <w:t xml:space="preserve"> </w:t>
      </w:r>
      <w:hyperlink r:id="rId12" w:history="1">
        <w:r w:rsidRPr="004D404F">
          <w:rPr>
            <w:rStyle w:val="Hyperlink"/>
            <w:sz w:val="16"/>
            <w:szCs w:val="16"/>
            <w:u w:val="none"/>
          </w:rPr>
          <w:t>www.justiceinspectorates.gov.uk/hmic/publications/metropolitan-police-service-national-child-protection-inspection/</w:t>
        </w:r>
      </w:hyperlink>
      <w:r w:rsidRPr="004D404F">
        <w:rPr>
          <w:sz w:val="16"/>
          <w:szCs w:val="16"/>
        </w:rPr>
        <w:t xml:space="preserve"> </w:t>
      </w:r>
    </w:p>
  </w:footnote>
  <w:footnote w:id="45">
    <w:p w14:paraId="39EF32DB" w14:textId="77777777" w:rsidR="00A71A23" w:rsidRPr="006A786D" w:rsidRDefault="00A71A23">
      <w:pPr>
        <w:pStyle w:val="FootnoteText"/>
        <w:rPr>
          <w:sz w:val="16"/>
          <w:szCs w:val="16"/>
        </w:rPr>
      </w:pPr>
      <w:r w:rsidRPr="006A786D">
        <w:rPr>
          <w:rStyle w:val="FootnoteReference"/>
          <w:sz w:val="16"/>
          <w:szCs w:val="16"/>
        </w:rPr>
        <w:footnoteRef/>
      </w:r>
      <w:r w:rsidRPr="006A786D">
        <w:rPr>
          <w:sz w:val="16"/>
          <w:szCs w:val="16"/>
        </w:rPr>
        <w:t xml:space="preserve"> Data on complaints received, including source and whether they were upheld, is available in the underlying data tables.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2AA99" w14:textId="77777777" w:rsidR="00A71A23" w:rsidRDefault="00A71A23">
    <w:pPr>
      <w:pStyle w:val="Header"/>
    </w:pPr>
  </w:p>
  <w:p w14:paraId="19279E1B" w14:textId="77777777" w:rsidR="00A71A23" w:rsidRDefault="00A71A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6549"/>
      <w:gridCol w:w="2477"/>
    </w:tblGrid>
    <w:tr w:rsidR="00A71A23" w14:paraId="67D25E6C" w14:textId="77777777" w:rsidTr="00CA37DE">
      <w:trPr>
        <w:trHeight w:val="1843"/>
      </w:trPr>
      <w:tc>
        <w:tcPr>
          <w:tcW w:w="3628" w:type="pct"/>
          <w:shd w:val="clear" w:color="auto" w:fill="auto"/>
        </w:tcPr>
        <w:p w14:paraId="4DD2587E" w14:textId="77777777" w:rsidR="00A71A23" w:rsidRDefault="00A71A23" w:rsidP="00F953E2">
          <w:pPr>
            <w:pStyle w:val="Header"/>
            <w:jc w:val="left"/>
          </w:pPr>
          <w:r>
            <w:rPr>
              <w:noProof/>
            </w:rPr>
            <mc:AlternateContent>
              <mc:Choice Requires="wps">
                <w:drawing>
                  <wp:anchor distT="0" distB="0" distL="114300" distR="114300" simplePos="0" relativeHeight="251657728" behindDoc="0" locked="0" layoutInCell="1" allowOverlap="1" wp14:anchorId="4BD1CA0D" wp14:editId="4A41335B">
                    <wp:simplePos x="0" y="0"/>
                    <wp:positionH relativeFrom="column">
                      <wp:posOffset>-68580</wp:posOffset>
                    </wp:positionH>
                    <wp:positionV relativeFrom="paragraph">
                      <wp:posOffset>116840</wp:posOffset>
                    </wp:positionV>
                    <wp:extent cx="1783080" cy="347980"/>
                    <wp:effectExtent l="0" t="0" r="2667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347980"/>
                            </a:xfrm>
                            <a:prstGeom prst="rect">
                              <a:avLst/>
                            </a:prstGeom>
                            <a:solidFill>
                              <a:srgbClr val="FFFFFF"/>
                            </a:solidFill>
                            <a:ln w="12700">
                              <a:solidFill>
                                <a:srgbClr val="000000"/>
                              </a:solidFill>
                              <a:miter lim="800000"/>
                              <a:headEnd/>
                              <a:tailEnd/>
                            </a:ln>
                          </wps:spPr>
                          <wps:txbx>
                            <w:txbxContent>
                              <w:p w14:paraId="30393797" w14:textId="77777777" w:rsidR="00A71A23" w:rsidRPr="00033909" w:rsidRDefault="00A71A23" w:rsidP="00F953E2">
                                <w:pPr>
                                  <w:rPr>
                                    <w:sz w:val="32"/>
                                    <w:szCs w:val="32"/>
                                  </w:rPr>
                                </w:pPr>
                                <w:r>
                                  <w:rPr>
                                    <w:sz w:val="32"/>
                                    <w:szCs w:val="32"/>
                                  </w:rPr>
                                  <w:t>National s</w:t>
                                </w:r>
                                <w:r w:rsidRPr="00033909">
                                  <w:rPr>
                                    <w:sz w:val="32"/>
                                    <w:szCs w:val="32"/>
                                  </w:rPr>
                                  <w:t>tatistic</w:t>
                                </w:r>
                                <w:r>
                                  <w:rPr>
                                    <w:sz w:val="32"/>
                                    <w:szCs w:val="32"/>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D1CA0D" id="_x0000_t202" coordsize="21600,21600" o:spt="202" path="m,l,21600r21600,l21600,xe">
                    <v:stroke joinstyle="miter"/>
                    <v:path gradientshapeok="t" o:connecttype="rect"/>
                  </v:shapetype>
                  <v:shape id="Text Box 2" o:spid="_x0000_s1027" type="#_x0000_t202" style="position:absolute;margin-left:-5.4pt;margin-top:9.2pt;width:140.4pt;height:2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" strokeweight="1pt">
                    <v:textbox>
                      <w:txbxContent>
                        <w:p w14:paraId="30393797" w14:textId="77777777" w:rsidR="00A71A23" w:rsidRPr="00033909" w:rsidRDefault="00A71A23" w:rsidP="00F953E2">
                          <w:pPr>
                            <w:rPr>
                              <w:sz w:val="32"/>
                              <w:szCs w:val="32"/>
                            </w:rPr>
                          </w:pPr>
                          <w:r>
                            <w:rPr>
                              <w:sz w:val="32"/>
                              <w:szCs w:val="32"/>
                            </w:rPr>
                            <w:t>National s</w:t>
                          </w:r>
                          <w:r w:rsidRPr="00033909">
                            <w:rPr>
                              <w:sz w:val="32"/>
                              <w:szCs w:val="32"/>
                            </w:rPr>
                            <w:t>tatistic</w:t>
                          </w:r>
                          <w:r>
                            <w:rPr>
                              <w:sz w:val="32"/>
                              <w:szCs w:val="32"/>
                            </w:rPr>
                            <w:t>s</w:t>
                          </w:r>
                        </w:p>
                      </w:txbxContent>
                    </v:textbox>
                  </v:shape>
                </w:pict>
              </mc:Fallback>
            </mc:AlternateContent>
          </w:r>
        </w:p>
        <w:p w14:paraId="1999C2AD" w14:textId="77777777" w:rsidR="00A71A23" w:rsidRDefault="00A71A23" w:rsidP="00490F9F">
          <w:pPr>
            <w:pStyle w:val="Header"/>
            <w:jc w:val="right"/>
          </w:pPr>
        </w:p>
      </w:tc>
      <w:tc>
        <w:tcPr>
          <w:tcW w:w="1372" w:type="pct"/>
          <w:shd w:val="clear" w:color="auto" w:fill="auto"/>
        </w:tcPr>
        <w:p w14:paraId="3ACE25B7" w14:textId="77777777" w:rsidR="00A71A23" w:rsidRDefault="00A71A23" w:rsidP="00490F9F">
          <w:pPr>
            <w:pStyle w:val="Header"/>
            <w:jc w:val="right"/>
          </w:pPr>
        </w:p>
        <w:p w14:paraId="1189A02B" w14:textId="77777777" w:rsidR="00A71A23" w:rsidRDefault="00A71A23" w:rsidP="00490F9F">
          <w:pPr>
            <w:pStyle w:val="Header"/>
            <w:jc w:val="right"/>
          </w:pPr>
          <w:r>
            <w:rPr>
              <w:noProof/>
            </w:rPr>
            <w:drawing>
              <wp:inline distT="0" distB="0" distL="0" distR="0" wp14:anchorId="425C13B5" wp14:editId="52F89F86">
                <wp:extent cx="1075267" cy="906369"/>
                <wp:effectExtent l="0" t="0" r="0" b="8255"/>
                <wp:docPr id="20" name="Picture 20" descr="ofs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472" cy="912443"/>
                        </a:xfrm>
                        <a:prstGeom prst="rect">
                          <a:avLst/>
                        </a:prstGeom>
                        <a:noFill/>
                        <a:ln>
                          <a:noFill/>
                        </a:ln>
                      </pic:spPr>
                    </pic:pic>
                  </a:graphicData>
                </a:graphic>
              </wp:inline>
            </w:drawing>
          </w:r>
        </w:p>
      </w:tc>
    </w:tr>
  </w:tbl>
  <w:p w14:paraId="0C7D360C" w14:textId="77777777" w:rsidR="00A71A23" w:rsidRPr="007E785D" w:rsidRDefault="00A71A23" w:rsidP="007E785D">
    <w:pPr>
      <w:pStyle w:val="Header"/>
      <w:rPr>
        <w:sz w:val="14"/>
        <w:szCs w:val="8"/>
      </w:rPr>
    </w:pPr>
  </w:p>
  <w:p w14:paraId="3A8F118C" w14:textId="77777777" w:rsidR="00A71A23" w:rsidRDefault="00A71A2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8FD44" w14:textId="77777777" w:rsidR="00A71A23" w:rsidRDefault="00A71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EF6E5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600B1"/>
    <w:multiLevelType w:val="hybridMultilevel"/>
    <w:tmpl w:val="839EED24"/>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C6B96"/>
    <w:multiLevelType w:val="hybridMultilevel"/>
    <w:tmpl w:val="31C482BA"/>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1037C"/>
    <w:multiLevelType w:val="hybridMultilevel"/>
    <w:tmpl w:val="ADA2963C"/>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47885"/>
    <w:multiLevelType w:val="hybridMultilevel"/>
    <w:tmpl w:val="3B58EBE6"/>
    <w:lvl w:ilvl="0" w:tplc="6EFADFBC">
      <w:start w:val="1"/>
      <w:numFmt w:val="bullet"/>
      <w:pStyle w:val="Bulletsspaced"/>
      <w:lvlText w:val=""/>
      <w:lvlJc w:val="left"/>
      <w:pPr>
        <w:tabs>
          <w:tab w:val="num" w:pos="1386"/>
        </w:tabs>
        <w:ind w:left="1386" w:hanging="360"/>
      </w:pPr>
      <w:rPr>
        <w:rFonts w:ascii="Wingdings" w:hAnsi="Wingdings" w:hint="default"/>
      </w:rPr>
    </w:lvl>
    <w:lvl w:ilvl="1" w:tplc="08090003">
      <w:start w:val="1"/>
      <w:numFmt w:val="bullet"/>
      <w:lvlText w:val="o"/>
      <w:lvlJc w:val="left"/>
      <w:pPr>
        <w:tabs>
          <w:tab w:val="num" w:pos="1899"/>
        </w:tabs>
        <w:ind w:left="1899" w:hanging="360"/>
      </w:pPr>
      <w:rPr>
        <w:rFonts w:ascii="Courier New" w:hAnsi="Courier New" w:cs="Courier New" w:hint="default"/>
      </w:rPr>
    </w:lvl>
    <w:lvl w:ilvl="2" w:tplc="08090005">
      <w:start w:val="1"/>
      <w:numFmt w:val="bullet"/>
      <w:lvlText w:val=""/>
      <w:lvlJc w:val="left"/>
      <w:pPr>
        <w:tabs>
          <w:tab w:val="num" w:pos="2619"/>
        </w:tabs>
        <w:ind w:left="2619" w:hanging="360"/>
      </w:pPr>
      <w:rPr>
        <w:rFonts w:ascii="Wingdings" w:hAnsi="Wingdings" w:hint="default"/>
      </w:rPr>
    </w:lvl>
    <w:lvl w:ilvl="3" w:tplc="08090001">
      <w:start w:val="1"/>
      <w:numFmt w:val="bullet"/>
      <w:lvlText w:val=""/>
      <w:lvlJc w:val="left"/>
      <w:pPr>
        <w:tabs>
          <w:tab w:val="num" w:pos="3339"/>
        </w:tabs>
        <w:ind w:left="3339" w:hanging="360"/>
      </w:pPr>
      <w:rPr>
        <w:rFonts w:ascii="Symbol" w:hAnsi="Symbol" w:hint="default"/>
      </w:rPr>
    </w:lvl>
    <w:lvl w:ilvl="4" w:tplc="08090003" w:tentative="1">
      <w:start w:val="1"/>
      <w:numFmt w:val="bullet"/>
      <w:lvlText w:val="o"/>
      <w:lvlJc w:val="left"/>
      <w:pPr>
        <w:tabs>
          <w:tab w:val="num" w:pos="4059"/>
        </w:tabs>
        <w:ind w:left="4059" w:hanging="360"/>
      </w:pPr>
      <w:rPr>
        <w:rFonts w:ascii="Courier New" w:hAnsi="Courier New" w:cs="Courier New" w:hint="default"/>
      </w:rPr>
    </w:lvl>
    <w:lvl w:ilvl="5" w:tplc="08090005" w:tentative="1">
      <w:start w:val="1"/>
      <w:numFmt w:val="bullet"/>
      <w:lvlText w:val=""/>
      <w:lvlJc w:val="left"/>
      <w:pPr>
        <w:tabs>
          <w:tab w:val="num" w:pos="4779"/>
        </w:tabs>
        <w:ind w:left="4779" w:hanging="360"/>
      </w:pPr>
      <w:rPr>
        <w:rFonts w:ascii="Wingdings" w:hAnsi="Wingdings" w:hint="default"/>
      </w:rPr>
    </w:lvl>
    <w:lvl w:ilvl="6" w:tplc="08090001" w:tentative="1">
      <w:start w:val="1"/>
      <w:numFmt w:val="bullet"/>
      <w:lvlText w:val=""/>
      <w:lvlJc w:val="left"/>
      <w:pPr>
        <w:tabs>
          <w:tab w:val="num" w:pos="5499"/>
        </w:tabs>
        <w:ind w:left="5499" w:hanging="360"/>
      </w:pPr>
      <w:rPr>
        <w:rFonts w:ascii="Symbol" w:hAnsi="Symbol" w:hint="default"/>
      </w:rPr>
    </w:lvl>
    <w:lvl w:ilvl="7" w:tplc="08090003" w:tentative="1">
      <w:start w:val="1"/>
      <w:numFmt w:val="bullet"/>
      <w:lvlText w:val="o"/>
      <w:lvlJc w:val="left"/>
      <w:pPr>
        <w:tabs>
          <w:tab w:val="num" w:pos="6219"/>
        </w:tabs>
        <w:ind w:left="6219" w:hanging="360"/>
      </w:pPr>
      <w:rPr>
        <w:rFonts w:ascii="Courier New" w:hAnsi="Courier New" w:cs="Courier New" w:hint="default"/>
      </w:rPr>
    </w:lvl>
    <w:lvl w:ilvl="8" w:tplc="08090005" w:tentative="1">
      <w:start w:val="1"/>
      <w:numFmt w:val="bullet"/>
      <w:lvlText w:val=""/>
      <w:lvlJc w:val="left"/>
      <w:pPr>
        <w:tabs>
          <w:tab w:val="num" w:pos="6939"/>
        </w:tabs>
        <w:ind w:left="6939" w:hanging="360"/>
      </w:pPr>
      <w:rPr>
        <w:rFonts w:ascii="Wingdings" w:hAnsi="Wingdings" w:hint="default"/>
      </w:rPr>
    </w:lvl>
  </w:abstractNum>
  <w:abstractNum w:abstractNumId="5" w15:restartNumberingAfterBreak="0">
    <w:nsid w:val="0C176DEE"/>
    <w:multiLevelType w:val="hybridMultilevel"/>
    <w:tmpl w:val="366E8DC0"/>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A0431"/>
    <w:multiLevelType w:val="hybridMultilevel"/>
    <w:tmpl w:val="16CCD28C"/>
    <w:lvl w:ilvl="0" w:tplc="E822DE34">
      <w:start w:val="1"/>
      <w:numFmt w:val="bullet"/>
      <w:lvlText w:val=""/>
      <w:lvlJc w:val="left"/>
      <w:pPr>
        <w:tabs>
          <w:tab w:val="num" w:pos="-790"/>
        </w:tabs>
        <w:ind w:left="-790" w:hanging="360"/>
      </w:pPr>
      <w:rPr>
        <w:rFonts w:ascii="Symbol" w:hAnsi="Symbol" w:hint="default"/>
      </w:rPr>
    </w:lvl>
    <w:lvl w:ilvl="1" w:tplc="024C9834" w:tentative="1">
      <w:start w:val="1"/>
      <w:numFmt w:val="bullet"/>
      <w:lvlText w:val=""/>
      <w:lvlJc w:val="left"/>
      <w:pPr>
        <w:tabs>
          <w:tab w:val="num" w:pos="-70"/>
        </w:tabs>
        <w:ind w:left="-70" w:hanging="360"/>
      </w:pPr>
      <w:rPr>
        <w:rFonts w:ascii="Symbol" w:hAnsi="Symbol" w:hint="default"/>
      </w:rPr>
    </w:lvl>
    <w:lvl w:ilvl="2" w:tplc="A1B64292" w:tentative="1">
      <w:start w:val="1"/>
      <w:numFmt w:val="bullet"/>
      <w:lvlText w:val=""/>
      <w:lvlJc w:val="left"/>
      <w:pPr>
        <w:tabs>
          <w:tab w:val="num" w:pos="650"/>
        </w:tabs>
        <w:ind w:left="650" w:hanging="360"/>
      </w:pPr>
      <w:rPr>
        <w:rFonts w:ascii="Symbol" w:hAnsi="Symbol" w:hint="default"/>
      </w:rPr>
    </w:lvl>
    <w:lvl w:ilvl="3" w:tplc="55841EB4" w:tentative="1">
      <w:start w:val="1"/>
      <w:numFmt w:val="bullet"/>
      <w:lvlText w:val=""/>
      <w:lvlJc w:val="left"/>
      <w:pPr>
        <w:tabs>
          <w:tab w:val="num" w:pos="1370"/>
        </w:tabs>
        <w:ind w:left="1370" w:hanging="360"/>
      </w:pPr>
      <w:rPr>
        <w:rFonts w:ascii="Symbol" w:hAnsi="Symbol" w:hint="default"/>
      </w:rPr>
    </w:lvl>
    <w:lvl w:ilvl="4" w:tplc="3D625440" w:tentative="1">
      <w:start w:val="1"/>
      <w:numFmt w:val="bullet"/>
      <w:lvlText w:val=""/>
      <w:lvlJc w:val="left"/>
      <w:pPr>
        <w:tabs>
          <w:tab w:val="num" w:pos="2090"/>
        </w:tabs>
        <w:ind w:left="2090" w:hanging="360"/>
      </w:pPr>
      <w:rPr>
        <w:rFonts w:ascii="Symbol" w:hAnsi="Symbol" w:hint="default"/>
      </w:rPr>
    </w:lvl>
    <w:lvl w:ilvl="5" w:tplc="A6FA6E18" w:tentative="1">
      <w:start w:val="1"/>
      <w:numFmt w:val="bullet"/>
      <w:lvlText w:val=""/>
      <w:lvlJc w:val="left"/>
      <w:pPr>
        <w:tabs>
          <w:tab w:val="num" w:pos="2810"/>
        </w:tabs>
        <w:ind w:left="2810" w:hanging="360"/>
      </w:pPr>
      <w:rPr>
        <w:rFonts w:ascii="Symbol" w:hAnsi="Symbol" w:hint="default"/>
      </w:rPr>
    </w:lvl>
    <w:lvl w:ilvl="6" w:tplc="070CD096" w:tentative="1">
      <w:start w:val="1"/>
      <w:numFmt w:val="bullet"/>
      <w:lvlText w:val=""/>
      <w:lvlJc w:val="left"/>
      <w:pPr>
        <w:tabs>
          <w:tab w:val="num" w:pos="3530"/>
        </w:tabs>
        <w:ind w:left="3530" w:hanging="360"/>
      </w:pPr>
      <w:rPr>
        <w:rFonts w:ascii="Symbol" w:hAnsi="Symbol" w:hint="default"/>
      </w:rPr>
    </w:lvl>
    <w:lvl w:ilvl="7" w:tplc="A76E90AA" w:tentative="1">
      <w:start w:val="1"/>
      <w:numFmt w:val="bullet"/>
      <w:lvlText w:val=""/>
      <w:lvlJc w:val="left"/>
      <w:pPr>
        <w:tabs>
          <w:tab w:val="num" w:pos="4250"/>
        </w:tabs>
        <w:ind w:left="4250" w:hanging="360"/>
      </w:pPr>
      <w:rPr>
        <w:rFonts w:ascii="Symbol" w:hAnsi="Symbol" w:hint="default"/>
      </w:rPr>
    </w:lvl>
    <w:lvl w:ilvl="8" w:tplc="6D3ABFBA" w:tentative="1">
      <w:start w:val="1"/>
      <w:numFmt w:val="bullet"/>
      <w:lvlText w:val=""/>
      <w:lvlJc w:val="left"/>
      <w:pPr>
        <w:tabs>
          <w:tab w:val="num" w:pos="4970"/>
        </w:tabs>
        <w:ind w:left="4970" w:hanging="360"/>
      </w:pPr>
      <w:rPr>
        <w:rFonts w:ascii="Symbol" w:hAnsi="Symbol" w:hint="default"/>
      </w:rPr>
    </w:lvl>
  </w:abstractNum>
  <w:abstractNum w:abstractNumId="7" w15:restartNumberingAfterBreak="0">
    <w:nsid w:val="0F600413"/>
    <w:multiLevelType w:val="hybridMultilevel"/>
    <w:tmpl w:val="F7701B2E"/>
    <w:lvl w:ilvl="0" w:tplc="F06AB9D2">
      <w:start w:val="1"/>
      <w:numFmt w:val="bullet"/>
      <w:lvlText w:val=""/>
      <w:lvlJc w:val="left"/>
      <w:pPr>
        <w:ind w:left="1077" w:hanging="360"/>
      </w:pPr>
      <w:rPr>
        <w:rFonts w:ascii="Wingdings" w:hAnsi="Wingdings" w:hint="default"/>
        <w:color w:val="auto"/>
        <w:sz w:val="3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40C502A"/>
    <w:multiLevelType w:val="hybridMultilevel"/>
    <w:tmpl w:val="79BC91AA"/>
    <w:lvl w:ilvl="0" w:tplc="C5AA9008">
      <w:start w:val="1"/>
      <w:numFmt w:val="decimal"/>
      <w:pStyle w:val="Numberedparagraph"/>
      <w:lvlText w:val="%1."/>
      <w:lvlJc w:val="left"/>
      <w:pPr>
        <w:tabs>
          <w:tab w:val="num" w:pos="1107"/>
        </w:tabs>
        <w:ind w:left="540" w:firstLine="0"/>
      </w:pPr>
      <w:rPr>
        <w:rFonts w:ascii="Tahoma" w:hAnsi="Tahoma" w:hint="default"/>
        <w:b w:val="0"/>
        <w:i w:val="0"/>
        <w:color w:val="auto"/>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6EB7B58"/>
    <w:multiLevelType w:val="hybridMultilevel"/>
    <w:tmpl w:val="56880830"/>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21866"/>
    <w:multiLevelType w:val="hybridMultilevel"/>
    <w:tmpl w:val="75164A5C"/>
    <w:lvl w:ilvl="0" w:tplc="F06AB9D2">
      <w:start w:val="1"/>
      <w:numFmt w:val="bullet"/>
      <w:lvlText w:val=""/>
      <w:lvlJc w:val="left"/>
      <w:pPr>
        <w:ind w:left="1077" w:hanging="360"/>
      </w:pPr>
      <w:rPr>
        <w:rFonts w:ascii="Wingdings" w:hAnsi="Wingdings" w:hint="default"/>
        <w:color w:val="auto"/>
        <w:sz w:val="3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1EED1753"/>
    <w:multiLevelType w:val="hybridMultilevel"/>
    <w:tmpl w:val="E3E42804"/>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87B91"/>
    <w:multiLevelType w:val="hybridMultilevel"/>
    <w:tmpl w:val="762AA638"/>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C3B84"/>
    <w:multiLevelType w:val="hybridMultilevel"/>
    <w:tmpl w:val="D64A58BE"/>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9646C"/>
    <w:multiLevelType w:val="hybridMultilevel"/>
    <w:tmpl w:val="5C98CF0E"/>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27ED3"/>
    <w:multiLevelType w:val="hybridMultilevel"/>
    <w:tmpl w:val="82380488"/>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2507E"/>
    <w:multiLevelType w:val="hybridMultilevel"/>
    <w:tmpl w:val="7E68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425E18"/>
    <w:multiLevelType w:val="hybridMultilevel"/>
    <w:tmpl w:val="249C000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F95823"/>
    <w:multiLevelType w:val="hybridMultilevel"/>
    <w:tmpl w:val="0AF4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44212"/>
    <w:multiLevelType w:val="hybridMultilevel"/>
    <w:tmpl w:val="E1F2A7AA"/>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92447D"/>
    <w:multiLevelType w:val="hybridMultilevel"/>
    <w:tmpl w:val="508A494E"/>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BB51E6"/>
    <w:multiLevelType w:val="hybridMultilevel"/>
    <w:tmpl w:val="4CC208BE"/>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9F28C6"/>
    <w:multiLevelType w:val="hybridMultilevel"/>
    <w:tmpl w:val="C92C21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4F040F"/>
    <w:multiLevelType w:val="hybridMultilevel"/>
    <w:tmpl w:val="C3AE6D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B41DFF"/>
    <w:multiLevelType w:val="hybridMultilevel"/>
    <w:tmpl w:val="D06E96B6"/>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AE0144"/>
    <w:multiLevelType w:val="hybridMultilevel"/>
    <w:tmpl w:val="8F6EFBF2"/>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F3C9F"/>
    <w:multiLevelType w:val="hybridMultilevel"/>
    <w:tmpl w:val="D8C476D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6A00521"/>
    <w:multiLevelType w:val="hybridMultilevel"/>
    <w:tmpl w:val="04045428"/>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859A7"/>
    <w:multiLevelType w:val="hybridMultilevel"/>
    <w:tmpl w:val="3CDC0EA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0FE2F8A"/>
    <w:multiLevelType w:val="hybridMultilevel"/>
    <w:tmpl w:val="0C5A1A00"/>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7473DD"/>
    <w:multiLevelType w:val="hybridMultilevel"/>
    <w:tmpl w:val="A51A88D2"/>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091CD6"/>
    <w:multiLevelType w:val="hybridMultilevel"/>
    <w:tmpl w:val="E9E22C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EF5512"/>
    <w:multiLevelType w:val="hybridMultilevel"/>
    <w:tmpl w:val="D2FA4674"/>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2D4591"/>
    <w:multiLevelType w:val="hybridMultilevel"/>
    <w:tmpl w:val="13AADCB8"/>
    <w:lvl w:ilvl="0" w:tplc="F06AB9D2">
      <w:start w:val="1"/>
      <w:numFmt w:val="bullet"/>
      <w:lvlText w:val=""/>
      <w:lvlJc w:val="left"/>
      <w:pPr>
        <w:ind w:left="1077" w:hanging="360"/>
      </w:pPr>
      <w:rPr>
        <w:rFonts w:ascii="Wingdings" w:hAnsi="Wingdings" w:hint="default"/>
        <w:color w:val="auto"/>
        <w:sz w:val="3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6FBF3CC1"/>
    <w:multiLevelType w:val="hybridMultilevel"/>
    <w:tmpl w:val="E1482B08"/>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BB0937"/>
    <w:multiLevelType w:val="hybridMultilevel"/>
    <w:tmpl w:val="45D68946"/>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3C0C22"/>
    <w:multiLevelType w:val="hybridMultilevel"/>
    <w:tmpl w:val="42226182"/>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17193E"/>
    <w:multiLevelType w:val="hybridMultilevel"/>
    <w:tmpl w:val="2306EF98"/>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F4300E"/>
    <w:multiLevelType w:val="hybridMultilevel"/>
    <w:tmpl w:val="82543A62"/>
    <w:lvl w:ilvl="0" w:tplc="F06AB9D2">
      <w:start w:val="1"/>
      <w:numFmt w:val="bullet"/>
      <w:lvlText w:val=""/>
      <w:lvlJc w:val="left"/>
      <w:pPr>
        <w:ind w:left="720"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1B6BD5"/>
    <w:multiLevelType w:val="hybridMultilevel"/>
    <w:tmpl w:val="69FA22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0"/>
  </w:num>
  <w:num w:numId="5">
    <w:abstractNumId w:val="20"/>
  </w:num>
  <w:num w:numId="6">
    <w:abstractNumId w:val="35"/>
  </w:num>
  <w:num w:numId="7">
    <w:abstractNumId w:val="14"/>
  </w:num>
  <w:num w:numId="8">
    <w:abstractNumId w:val="2"/>
  </w:num>
  <w:num w:numId="9">
    <w:abstractNumId w:val="30"/>
  </w:num>
  <w:num w:numId="10">
    <w:abstractNumId w:val="21"/>
  </w:num>
  <w:num w:numId="11">
    <w:abstractNumId w:val="19"/>
  </w:num>
  <w:num w:numId="12">
    <w:abstractNumId w:val="29"/>
  </w:num>
  <w:num w:numId="13">
    <w:abstractNumId w:val="11"/>
  </w:num>
  <w:num w:numId="14">
    <w:abstractNumId w:val="28"/>
  </w:num>
  <w:num w:numId="15">
    <w:abstractNumId w:val="5"/>
  </w:num>
  <w:num w:numId="16">
    <w:abstractNumId w:val="32"/>
  </w:num>
  <w:num w:numId="17">
    <w:abstractNumId w:val="3"/>
  </w:num>
  <w:num w:numId="18">
    <w:abstractNumId w:val="12"/>
  </w:num>
  <w:num w:numId="19">
    <w:abstractNumId w:val="7"/>
  </w:num>
  <w:num w:numId="20">
    <w:abstractNumId w:val="10"/>
  </w:num>
  <w:num w:numId="21">
    <w:abstractNumId w:val="33"/>
  </w:num>
  <w:num w:numId="22">
    <w:abstractNumId w:val="13"/>
  </w:num>
  <w:num w:numId="23">
    <w:abstractNumId w:val="1"/>
  </w:num>
  <w:num w:numId="24">
    <w:abstractNumId w:val="27"/>
  </w:num>
  <w:num w:numId="25">
    <w:abstractNumId w:val="34"/>
  </w:num>
  <w:num w:numId="26">
    <w:abstractNumId w:val="9"/>
  </w:num>
  <w:num w:numId="27">
    <w:abstractNumId w:val="25"/>
  </w:num>
  <w:num w:numId="28">
    <w:abstractNumId w:val="15"/>
  </w:num>
  <w:num w:numId="29">
    <w:abstractNumId w:val="38"/>
  </w:num>
  <w:num w:numId="30">
    <w:abstractNumId w:val="37"/>
  </w:num>
  <w:num w:numId="31">
    <w:abstractNumId w:val="36"/>
  </w:num>
  <w:num w:numId="32">
    <w:abstractNumId w:val="26"/>
  </w:num>
  <w:num w:numId="33">
    <w:abstractNumId w:val="31"/>
  </w:num>
  <w:num w:numId="34">
    <w:abstractNumId w:val="18"/>
  </w:num>
  <w:num w:numId="35">
    <w:abstractNumId w:val="24"/>
  </w:num>
  <w:num w:numId="36">
    <w:abstractNumId w:val="39"/>
  </w:num>
  <w:num w:numId="37">
    <w:abstractNumId w:val="22"/>
  </w:num>
  <w:num w:numId="38">
    <w:abstractNumId w:val="23"/>
  </w:num>
  <w:num w:numId="39">
    <w:abstractNumId w:val="17"/>
  </w:num>
  <w:num w:numId="40">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9C"/>
    <w:rsid w:val="000019C5"/>
    <w:rsid w:val="00002335"/>
    <w:rsid w:val="000037E8"/>
    <w:rsid w:val="00003FC8"/>
    <w:rsid w:val="0000509C"/>
    <w:rsid w:val="000062A2"/>
    <w:rsid w:val="00006BD3"/>
    <w:rsid w:val="00006D0D"/>
    <w:rsid w:val="00007378"/>
    <w:rsid w:val="00007588"/>
    <w:rsid w:val="000101BB"/>
    <w:rsid w:val="00010456"/>
    <w:rsid w:val="00010F5F"/>
    <w:rsid w:val="0001126C"/>
    <w:rsid w:val="000117BB"/>
    <w:rsid w:val="00011E4E"/>
    <w:rsid w:val="000124BD"/>
    <w:rsid w:val="00013403"/>
    <w:rsid w:val="000134CE"/>
    <w:rsid w:val="00013BD7"/>
    <w:rsid w:val="00014B28"/>
    <w:rsid w:val="00016336"/>
    <w:rsid w:val="00020412"/>
    <w:rsid w:val="000206B1"/>
    <w:rsid w:val="0002189D"/>
    <w:rsid w:val="000228CA"/>
    <w:rsid w:val="00022E6C"/>
    <w:rsid w:val="000232F3"/>
    <w:rsid w:val="00023D41"/>
    <w:rsid w:val="000246BA"/>
    <w:rsid w:val="00024851"/>
    <w:rsid w:val="00026F4E"/>
    <w:rsid w:val="000300AB"/>
    <w:rsid w:val="00032234"/>
    <w:rsid w:val="00032C49"/>
    <w:rsid w:val="000339BC"/>
    <w:rsid w:val="00033E4E"/>
    <w:rsid w:val="00034A89"/>
    <w:rsid w:val="00035B5F"/>
    <w:rsid w:val="00036C7B"/>
    <w:rsid w:val="00036D4B"/>
    <w:rsid w:val="0003712C"/>
    <w:rsid w:val="0003716C"/>
    <w:rsid w:val="00037A56"/>
    <w:rsid w:val="00040A8F"/>
    <w:rsid w:val="000414E0"/>
    <w:rsid w:val="000431F4"/>
    <w:rsid w:val="00043459"/>
    <w:rsid w:val="0004366A"/>
    <w:rsid w:val="00045B29"/>
    <w:rsid w:val="0004714D"/>
    <w:rsid w:val="00050AB1"/>
    <w:rsid w:val="0005636C"/>
    <w:rsid w:val="000576BF"/>
    <w:rsid w:val="00060405"/>
    <w:rsid w:val="000620CB"/>
    <w:rsid w:val="00062188"/>
    <w:rsid w:val="000634E0"/>
    <w:rsid w:val="000635E4"/>
    <w:rsid w:val="00064279"/>
    <w:rsid w:val="00064A18"/>
    <w:rsid w:val="00065820"/>
    <w:rsid w:val="00065C14"/>
    <w:rsid w:val="0006764D"/>
    <w:rsid w:val="000678F1"/>
    <w:rsid w:val="000704DC"/>
    <w:rsid w:val="000704E8"/>
    <w:rsid w:val="0007232D"/>
    <w:rsid w:val="0007240C"/>
    <w:rsid w:val="00073038"/>
    <w:rsid w:val="00074F2D"/>
    <w:rsid w:val="00076AAF"/>
    <w:rsid w:val="00076E7B"/>
    <w:rsid w:val="000773D9"/>
    <w:rsid w:val="00077CA7"/>
    <w:rsid w:val="00081E8C"/>
    <w:rsid w:val="00082CA3"/>
    <w:rsid w:val="00082E77"/>
    <w:rsid w:val="000830D8"/>
    <w:rsid w:val="00083898"/>
    <w:rsid w:val="00083D53"/>
    <w:rsid w:val="00085784"/>
    <w:rsid w:val="00085DBB"/>
    <w:rsid w:val="00087CCE"/>
    <w:rsid w:val="00090500"/>
    <w:rsid w:val="0009188C"/>
    <w:rsid w:val="000930D3"/>
    <w:rsid w:val="00094070"/>
    <w:rsid w:val="00094BA6"/>
    <w:rsid w:val="00096AC8"/>
    <w:rsid w:val="0009754B"/>
    <w:rsid w:val="00097F29"/>
    <w:rsid w:val="000A00AD"/>
    <w:rsid w:val="000A09E6"/>
    <w:rsid w:val="000A1C7C"/>
    <w:rsid w:val="000A288A"/>
    <w:rsid w:val="000A332D"/>
    <w:rsid w:val="000A4824"/>
    <w:rsid w:val="000A543D"/>
    <w:rsid w:val="000A5A02"/>
    <w:rsid w:val="000A6AA9"/>
    <w:rsid w:val="000A742E"/>
    <w:rsid w:val="000A7EFC"/>
    <w:rsid w:val="000B3535"/>
    <w:rsid w:val="000B6B87"/>
    <w:rsid w:val="000B6C5F"/>
    <w:rsid w:val="000B7802"/>
    <w:rsid w:val="000C0259"/>
    <w:rsid w:val="000C122C"/>
    <w:rsid w:val="000C2159"/>
    <w:rsid w:val="000C2291"/>
    <w:rsid w:val="000C2B36"/>
    <w:rsid w:val="000C35DE"/>
    <w:rsid w:val="000C3C23"/>
    <w:rsid w:val="000C48A3"/>
    <w:rsid w:val="000C4F7F"/>
    <w:rsid w:val="000C5360"/>
    <w:rsid w:val="000C5FDC"/>
    <w:rsid w:val="000C7064"/>
    <w:rsid w:val="000C7E38"/>
    <w:rsid w:val="000D0BC9"/>
    <w:rsid w:val="000D10C5"/>
    <w:rsid w:val="000D1353"/>
    <w:rsid w:val="000D16D5"/>
    <w:rsid w:val="000D3827"/>
    <w:rsid w:val="000D47A3"/>
    <w:rsid w:val="000D47EB"/>
    <w:rsid w:val="000D605F"/>
    <w:rsid w:val="000D69B3"/>
    <w:rsid w:val="000D6FA8"/>
    <w:rsid w:val="000D7820"/>
    <w:rsid w:val="000E1171"/>
    <w:rsid w:val="000E131D"/>
    <w:rsid w:val="000E2B30"/>
    <w:rsid w:val="000E2E01"/>
    <w:rsid w:val="000E388B"/>
    <w:rsid w:val="000E3D6F"/>
    <w:rsid w:val="000E3FBC"/>
    <w:rsid w:val="000E4290"/>
    <w:rsid w:val="000E5040"/>
    <w:rsid w:val="000E5A94"/>
    <w:rsid w:val="000E5D39"/>
    <w:rsid w:val="000E797F"/>
    <w:rsid w:val="000F1182"/>
    <w:rsid w:val="000F12C7"/>
    <w:rsid w:val="000F3D9B"/>
    <w:rsid w:val="000F4454"/>
    <w:rsid w:val="000F5070"/>
    <w:rsid w:val="000F5DD2"/>
    <w:rsid w:val="000F60FF"/>
    <w:rsid w:val="000F7D0F"/>
    <w:rsid w:val="00101567"/>
    <w:rsid w:val="001023CB"/>
    <w:rsid w:val="001029FB"/>
    <w:rsid w:val="00102B5A"/>
    <w:rsid w:val="00103AB3"/>
    <w:rsid w:val="00103E5B"/>
    <w:rsid w:val="00104698"/>
    <w:rsid w:val="001056A5"/>
    <w:rsid w:val="00105CB4"/>
    <w:rsid w:val="00106622"/>
    <w:rsid w:val="001072E5"/>
    <w:rsid w:val="00107FB3"/>
    <w:rsid w:val="001103E0"/>
    <w:rsid w:val="0011080D"/>
    <w:rsid w:val="001116EF"/>
    <w:rsid w:val="00111EC2"/>
    <w:rsid w:val="001123ED"/>
    <w:rsid w:val="00114E22"/>
    <w:rsid w:val="00115050"/>
    <w:rsid w:val="00115671"/>
    <w:rsid w:val="00116FD0"/>
    <w:rsid w:val="00120410"/>
    <w:rsid w:val="0012090F"/>
    <w:rsid w:val="00121519"/>
    <w:rsid w:val="00121926"/>
    <w:rsid w:val="001245B9"/>
    <w:rsid w:val="00125D2E"/>
    <w:rsid w:val="00126572"/>
    <w:rsid w:val="00126A7B"/>
    <w:rsid w:val="00127679"/>
    <w:rsid w:val="00127728"/>
    <w:rsid w:val="00131A47"/>
    <w:rsid w:val="00131DAB"/>
    <w:rsid w:val="00133CF9"/>
    <w:rsid w:val="00133EBC"/>
    <w:rsid w:val="00134FB2"/>
    <w:rsid w:val="0013525C"/>
    <w:rsid w:val="0013565B"/>
    <w:rsid w:val="00136131"/>
    <w:rsid w:val="001361F5"/>
    <w:rsid w:val="00136668"/>
    <w:rsid w:val="0013726E"/>
    <w:rsid w:val="001373C1"/>
    <w:rsid w:val="00137744"/>
    <w:rsid w:val="001401C3"/>
    <w:rsid w:val="00140B9B"/>
    <w:rsid w:val="00142792"/>
    <w:rsid w:val="00145C08"/>
    <w:rsid w:val="001460CF"/>
    <w:rsid w:val="00146CB5"/>
    <w:rsid w:val="00147CE0"/>
    <w:rsid w:val="00147DB8"/>
    <w:rsid w:val="00147F03"/>
    <w:rsid w:val="0015055C"/>
    <w:rsid w:val="00150815"/>
    <w:rsid w:val="001514E3"/>
    <w:rsid w:val="00151BD6"/>
    <w:rsid w:val="001523BE"/>
    <w:rsid w:val="0015345F"/>
    <w:rsid w:val="00153DAC"/>
    <w:rsid w:val="0015618B"/>
    <w:rsid w:val="00157131"/>
    <w:rsid w:val="00157564"/>
    <w:rsid w:val="0016186A"/>
    <w:rsid w:val="001634C2"/>
    <w:rsid w:val="001637E2"/>
    <w:rsid w:val="0016524B"/>
    <w:rsid w:val="00165392"/>
    <w:rsid w:val="00165B5F"/>
    <w:rsid w:val="00166A60"/>
    <w:rsid w:val="0016772A"/>
    <w:rsid w:val="00170044"/>
    <w:rsid w:val="00171ECF"/>
    <w:rsid w:val="00172C56"/>
    <w:rsid w:val="00173C45"/>
    <w:rsid w:val="001747C9"/>
    <w:rsid w:val="00174E1B"/>
    <w:rsid w:val="00174F0C"/>
    <w:rsid w:val="001750E1"/>
    <w:rsid w:val="0017563A"/>
    <w:rsid w:val="00175D17"/>
    <w:rsid w:val="00176843"/>
    <w:rsid w:val="00177114"/>
    <w:rsid w:val="001773FA"/>
    <w:rsid w:val="00177AB6"/>
    <w:rsid w:val="00181811"/>
    <w:rsid w:val="001827AC"/>
    <w:rsid w:val="00182A1C"/>
    <w:rsid w:val="00184023"/>
    <w:rsid w:val="00184562"/>
    <w:rsid w:val="001847F2"/>
    <w:rsid w:val="00184B1F"/>
    <w:rsid w:val="00184B5B"/>
    <w:rsid w:val="00186741"/>
    <w:rsid w:val="00186FD8"/>
    <w:rsid w:val="00187EA8"/>
    <w:rsid w:val="00193485"/>
    <w:rsid w:val="001949D7"/>
    <w:rsid w:val="00194D27"/>
    <w:rsid w:val="00194EDD"/>
    <w:rsid w:val="0019565E"/>
    <w:rsid w:val="00197915"/>
    <w:rsid w:val="001A0F4A"/>
    <w:rsid w:val="001A1074"/>
    <w:rsid w:val="001A1D68"/>
    <w:rsid w:val="001A4C55"/>
    <w:rsid w:val="001A5174"/>
    <w:rsid w:val="001A74CA"/>
    <w:rsid w:val="001A7A1E"/>
    <w:rsid w:val="001B0D18"/>
    <w:rsid w:val="001B2C55"/>
    <w:rsid w:val="001B2EF8"/>
    <w:rsid w:val="001B3A03"/>
    <w:rsid w:val="001B3DD8"/>
    <w:rsid w:val="001B3F8F"/>
    <w:rsid w:val="001B566E"/>
    <w:rsid w:val="001B5791"/>
    <w:rsid w:val="001B599A"/>
    <w:rsid w:val="001B66BD"/>
    <w:rsid w:val="001B6802"/>
    <w:rsid w:val="001B6A1C"/>
    <w:rsid w:val="001B6F28"/>
    <w:rsid w:val="001C06E9"/>
    <w:rsid w:val="001C17A1"/>
    <w:rsid w:val="001C1D56"/>
    <w:rsid w:val="001C28C0"/>
    <w:rsid w:val="001C3B27"/>
    <w:rsid w:val="001C3C2F"/>
    <w:rsid w:val="001C5127"/>
    <w:rsid w:val="001C5A46"/>
    <w:rsid w:val="001C5FE4"/>
    <w:rsid w:val="001C7879"/>
    <w:rsid w:val="001D158C"/>
    <w:rsid w:val="001D19C8"/>
    <w:rsid w:val="001D22E5"/>
    <w:rsid w:val="001D2ECF"/>
    <w:rsid w:val="001D4093"/>
    <w:rsid w:val="001D5791"/>
    <w:rsid w:val="001D6D03"/>
    <w:rsid w:val="001D6D90"/>
    <w:rsid w:val="001E0617"/>
    <w:rsid w:val="001E2175"/>
    <w:rsid w:val="001E500B"/>
    <w:rsid w:val="001E51EE"/>
    <w:rsid w:val="001E5D6B"/>
    <w:rsid w:val="001E6390"/>
    <w:rsid w:val="001E67B2"/>
    <w:rsid w:val="001F04A6"/>
    <w:rsid w:val="001F0F18"/>
    <w:rsid w:val="001F117F"/>
    <w:rsid w:val="001F3130"/>
    <w:rsid w:val="001F31DF"/>
    <w:rsid w:val="001F33E2"/>
    <w:rsid w:val="001F364D"/>
    <w:rsid w:val="001F37D1"/>
    <w:rsid w:val="001F433B"/>
    <w:rsid w:val="001F465E"/>
    <w:rsid w:val="001F56A8"/>
    <w:rsid w:val="001F6922"/>
    <w:rsid w:val="00200B9E"/>
    <w:rsid w:val="00202EB7"/>
    <w:rsid w:val="00203EB5"/>
    <w:rsid w:val="0020413B"/>
    <w:rsid w:val="00204609"/>
    <w:rsid w:val="00204791"/>
    <w:rsid w:val="00204997"/>
    <w:rsid w:val="002049F0"/>
    <w:rsid w:val="00206FF7"/>
    <w:rsid w:val="0020794B"/>
    <w:rsid w:val="00207B0C"/>
    <w:rsid w:val="00210282"/>
    <w:rsid w:val="00210AF8"/>
    <w:rsid w:val="00211793"/>
    <w:rsid w:val="00212A16"/>
    <w:rsid w:val="002131E4"/>
    <w:rsid w:val="0021438C"/>
    <w:rsid w:val="00214FE1"/>
    <w:rsid w:val="00215509"/>
    <w:rsid w:val="00216C14"/>
    <w:rsid w:val="002176AF"/>
    <w:rsid w:val="00220B25"/>
    <w:rsid w:val="002210C3"/>
    <w:rsid w:val="00223F0C"/>
    <w:rsid w:val="00227A33"/>
    <w:rsid w:val="002314EB"/>
    <w:rsid w:val="00231CC7"/>
    <w:rsid w:val="00234B4B"/>
    <w:rsid w:val="00234E46"/>
    <w:rsid w:val="00234E8F"/>
    <w:rsid w:val="002357BC"/>
    <w:rsid w:val="00235C76"/>
    <w:rsid w:val="00236F6A"/>
    <w:rsid w:val="00237AF7"/>
    <w:rsid w:val="002415A2"/>
    <w:rsid w:val="00241A6A"/>
    <w:rsid w:val="00242A1E"/>
    <w:rsid w:val="00243709"/>
    <w:rsid w:val="00243CDA"/>
    <w:rsid w:val="00244BC8"/>
    <w:rsid w:val="00244D4F"/>
    <w:rsid w:val="00245FE3"/>
    <w:rsid w:val="00246C22"/>
    <w:rsid w:val="00246CCB"/>
    <w:rsid w:val="00247A8E"/>
    <w:rsid w:val="00247AE3"/>
    <w:rsid w:val="00250C3C"/>
    <w:rsid w:val="00251062"/>
    <w:rsid w:val="00252421"/>
    <w:rsid w:val="00252D8E"/>
    <w:rsid w:val="00253F9A"/>
    <w:rsid w:val="00254A64"/>
    <w:rsid w:val="00254D1B"/>
    <w:rsid w:val="00254E34"/>
    <w:rsid w:val="002557DC"/>
    <w:rsid w:val="0025609B"/>
    <w:rsid w:val="00256977"/>
    <w:rsid w:val="00256A42"/>
    <w:rsid w:val="00256F63"/>
    <w:rsid w:val="002603E0"/>
    <w:rsid w:val="0026196E"/>
    <w:rsid w:val="0026297B"/>
    <w:rsid w:val="002629E8"/>
    <w:rsid w:val="00263D0B"/>
    <w:rsid w:val="00264832"/>
    <w:rsid w:val="00264A5F"/>
    <w:rsid w:val="00266CB1"/>
    <w:rsid w:val="00267413"/>
    <w:rsid w:val="00267AAE"/>
    <w:rsid w:val="00267B4C"/>
    <w:rsid w:val="0027116D"/>
    <w:rsid w:val="00271BE7"/>
    <w:rsid w:val="00272AC7"/>
    <w:rsid w:val="00273B53"/>
    <w:rsid w:val="00274DF6"/>
    <w:rsid w:val="0027523F"/>
    <w:rsid w:val="0027593C"/>
    <w:rsid w:val="00275EC6"/>
    <w:rsid w:val="0028013D"/>
    <w:rsid w:val="002801CF"/>
    <w:rsid w:val="00280C2E"/>
    <w:rsid w:val="00280FAE"/>
    <w:rsid w:val="002817B1"/>
    <w:rsid w:val="00282AD7"/>
    <w:rsid w:val="00282E8F"/>
    <w:rsid w:val="0028415D"/>
    <w:rsid w:val="00285976"/>
    <w:rsid w:val="00285C51"/>
    <w:rsid w:val="00286E47"/>
    <w:rsid w:val="00290F2B"/>
    <w:rsid w:val="002913EB"/>
    <w:rsid w:val="00291D70"/>
    <w:rsid w:val="00291D8A"/>
    <w:rsid w:val="0029399E"/>
    <w:rsid w:val="002947B7"/>
    <w:rsid w:val="0029514E"/>
    <w:rsid w:val="002978A6"/>
    <w:rsid w:val="00297FAB"/>
    <w:rsid w:val="002A1F22"/>
    <w:rsid w:val="002A2129"/>
    <w:rsid w:val="002A28C4"/>
    <w:rsid w:val="002A2E83"/>
    <w:rsid w:val="002A33E7"/>
    <w:rsid w:val="002A3C45"/>
    <w:rsid w:val="002A57E8"/>
    <w:rsid w:val="002A5AAF"/>
    <w:rsid w:val="002A6D1E"/>
    <w:rsid w:val="002B0E60"/>
    <w:rsid w:val="002B2E10"/>
    <w:rsid w:val="002B318F"/>
    <w:rsid w:val="002B343A"/>
    <w:rsid w:val="002B358D"/>
    <w:rsid w:val="002B3783"/>
    <w:rsid w:val="002B48A0"/>
    <w:rsid w:val="002B685C"/>
    <w:rsid w:val="002B6EA1"/>
    <w:rsid w:val="002C02C1"/>
    <w:rsid w:val="002C05CF"/>
    <w:rsid w:val="002C192D"/>
    <w:rsid w:val="002C2E6B"/>
    <w:rsid w:val="002C3210"/>
    <w:rsid w:val="002C3534"/>
    <w:rsid w:val="002C36B5"/>
    <w:rsid w:val="002C4A9F"/>
    <w:rsid w:val="002C5989"/>
    <w:rsid w:val="002C716F"/>
    <w:rsid w:val="002C79E2"/>
    <w:rsid w:val="002C7E75"/>
    <w:rsid w:val="002D0CC5"/>
    <w:rsid w:val="002D229D"/>
    <w:rsid w:val="002D2911"/>
    <w:rsid w:val="002D2CC6"/>
    <w:rsid w:val="002D3253"/>
    <w:rsid w:val="002D6886"/>
    <w:rsid w:val="002D7495"/>
    <w:rsid w:val="002E032E"/>
    <w:rsid w:val="002E0506"/>
    <w:rsid w:val="002E0564"/>
    <w:rsid w:val="002E0928"/>
    <w:rsid w:val="002E1402"/>
    <w:rsid w:val="002E247A"/>
    <w:rsid w:val="002E2E44"/>
    <w:rsid w:val="002E31C7"/>
    <w:rsid w:val="002E3925"/>
    <w:rsid w:val="002E3AC4"/>
    <w:rsid w:val="002E47EC"/>
    <w:rsid w:val="002E530F"/>
    <w:rsid w:val="002E7970"/>
    <w:rsid w:val="002F1240"/>
    <w:rsid w:val="002F1622"/>
    <w:rsid w:val="002F1871"/>
    <w:rsid w:val="002F2371"/>
    <w:rsid w:val="002F2D93"/>
    <w:rsid w:val="002F32C5"/>
    <w:rsid w:val="002F379E"/>
    <w:rsid w:val="002F4945"/>
    <w:rsid w:val="002F55AE"/>
    <w:rsid w:val="002F6CFF"/>
    <w:rsid w:val="002F6F16"/>
    <w:rsid w:val="002F7BBC"/>
    <w:rsid w:val="003000A9"/>
    <w:rsid w:val="003004E6"/>
    <w:rsid w:val="00300F12"/>
    <w:rsid w:val="00302780"/>
    <w:rsid w:val="00302DA3"/>
    <w:rsid w:val="0030329B"/>
    <w:rsid w:val="003032DC"/>
    <w:rsid w:val="00303A78"/>
    <w:rsid w:val="003042DA"/>
    <w:rsid w:val="003068F4"/>
    <w:rsid w:val="003113C0"/>
    <w:rsid w:val="00311B08"/>
    <w:rsid w:val="00311C80"/>
    <w:rsid w:val="00313644"/>
    <w:rsid w:val="00314FF6"/>
    <w:rsid w:val="0031561B"/>
    <w:rsid w:val="003164EF"/>
    <w:rsid w:val="00322350"/>
    <w:rsid w:val="003224A7"/>
    <w:rsid w:val="003225DA"/>
    <w:rsid w:val="00322A08"/>
    <w:rsid w:val="00322CC2"/>
    <w:rsid w:val="00325C6F"/>
    <w:rsid w:val="00326678"/>
    <w:rsid w:val="0032720F"/>
    <w:rsid w:val="00327517"/>
    <w:rsid w:val="00327717"/>
    <w:rsid w:val="003304E1"/>
    <w:rsid w:val="00331C35"/>
    <w:rsid w:val="00332E10"/>
    <w:rsid w:val="00332F3B"/>
    <w:rsid w:val="003359EC"/>
    <w:rsid w:val="00335DBD"/>
    <w:rsid w:val="003364FF"/>
    <w:rsid w:val="00340AD1"/>
    <w:rsid w:val="00341410"/>
    <w:rsid w:val="00342603"/>
    <w:rsid w:val="00342FA0"/>
    <w:rsid w:val="00343E72"/>
    <w:rsid w:val="00344E78"/>
    <w:rsid w:val="00347676"/>
    <w:rsid w:val="0035098B"/>
    <w:rsid w:val="0035115B"/>
    <w:rsid w:val="00351690"/>
    <w:rsid w:val="003524E9"/>
    <w:rsid w:val="003526EC"/>
    <w:rsid w:val="0035368F"/>
    <w:rsid w:val="0035544D"/>
    <w:rsid w:val="003559FA"/>
    <w:rsid w:val="00356B62"/>
    <w:rsid w:val="00356C3D"/>
    <w:rsid w:val="00360C9A"/>
    <w:rsid w:val="00362B4A"/>
    <w:rsid w:val="0036371C"/>
    <w:rsid w:val="00363E91"/>
    <w:rsid w:val="00365276"/>
    <w:rsid w:val="00365E34"/>
    <w:rsid w:val="0036632F"/>
    <w:rsid w:val="003668C1"/>
    <w:rsid w:val="00366F95"/>
    <w:rsid w:val="0036704B"/>
    <w:rsid w:val="00367AC5"/>
    <w:rsid w:val="0037094D"/>
    <w:rsid w:val="00371365"/>
    <w:rsid w:val="00371B1F"/>
    <w:rsid w:val="003736F1"/>
    <w:rsid w:val="003756AE"/>
    <w:rsid w:val="00376E24"/>
    <w:rsid w:val="00376E7C"/>
    <w:rsid w:val="00377032"/>
    <w:rsid w:val="00381A18"/>
    <w:rsid w:val="0038214B"/>
    <w:rsid w:val="00382389"/>
    <w:rsid w:val="00382C32"/>
    <w:rsid w:val="003846CB"/>
    <w:rsid w:val="00384956"/>
    <w:rsid w:val="00385A09"/>
    <w:rsid w:val="00385BA5"/>
    <w:rsid w:val="00386057"/>
    <w:rsid w:val="00386F0C"/>
    <w:rsid w:val="003878CE"/>
    <w:rsid w:val="00387F6C"/>
    <w:rsid w:val="00390ED8"/>
    <w:rsid w:val="0039108E"/>
    <w:rsid w:val="00391674"/>
    <w:rsid w:val="00392BBF"/>
    <w:rsid w:val="00393494"/>
    <w:rsid w:val="003939DC"/>
    <w:rsid w:val="00393CE6"/>
    <w:rsid w:val="003943C2"/>
    <w:rsid w:val="00395130"/>
    <w:rsid w:val="00395794"/>
    <w:rsid w:val="00395A74"/>
    <w:rsid w:val="00395AA4"/>
    <w:rsid w:val="00395FD5"/>
    <w:rsid w:val="003961CE"/>
    <w:rsid w:val="00396E73"/>
    <w:rsid w:val="00397807"/>
    <w:rsid w:val="0039789F"/>
    <w:rsid w:val="003978C9"/>
    <w:rsid w:val="003A03C1"/>
    <w:rsid w:val="003A2D76"/>
    <w:rsid w:val="003A3C40"/>
    <w:rsid w:val="003A454F"/>
    <w:rsid w:val="003A548D"/>
    <w:rsid w:val="003A644C"/>
    <w:rsid w:val="003A6923"/>
    <w:rsid w:val="003A6D78"/>
    <w:rsid w:val="003A7F04"/>
    <w:rsid w:val="003B0A82"/>
    <w:rsid w:val="003B2414"/>
    <w:rsid w:val="003B32DF"/>
    <w:rsid w:val="003B3526"/>
    <w:rsid w:val="003B3E99"/>
    <w:rsid w:val="003B44F5"/>
    <w:rsid w:val="003B4C81"/>
    <w:rsid w:val="003B5D6A"/>
    <w:rsid w:val="003B6ECD"/>
    <w:rsid w:val="003C0D17"/>
    <w:rsid w:val="003C1A5A"/>
    <w:rsid w:val="003C2154"/>
    <w:rsid w:val="003C2BA8"/>
    <w:rsid w:val="003C41EE"/>
    <w:rsid w:val="003D1743"/>
    <w:rsid w:val="003D207C"/>
    <w:rsid w:val="003D2D83"/>
    <w:rsid w:val="003D43F5"/>
    <w:rsid w:val="003D4AEF"/>
    <w:rsid w:val="003D61CD"/>
    <w:rsid w:val="003D7E13"/>
    <w:rsid w:val="003E0B75"/>
    <w:rsid w:val="003E186F"/>
    <w:rsid w:val="003E18D5"/>
    <w:rsid w:val="003E1D72"/>
    <w:rsid w:val="003E1DDA"/>
    <w:rsid w:val="003E2E9A"/>
    <w:rsid w:val="003E34BF"/>
    <w:rsid w:val="003E372B"/>
    <w:rsid w:val="003E4731"/>
    <w:rsid w:val="003E4982"/>
    <w:rsid w:val="003E5DE8"/>
    <w:rsid w:val="003E6950"/>
    <w:rsid w:val="003E6BB4"/>
    <w:rsid w:val="003E7013"/>
    <w:rsid w:val="003E7FCE"/>
    <w:rsid w:val="003F14A0"/>
    <w:rsid w:val="003F1BFA"/>
    <w:rsid w:val="003F2737"/>
    <w:rsid w:val="003F4E20"/>
    <w:rsid w:val="003F5161"/>
    <w:rsid w:val="003F56A6"/>
    <w:rsid w:val="003F5F4A"/>
    <w:rsid w:val="003F6F13"/>
    <w:rsid w:val="003F7660"/>
    <w:rsid w:val="00400012"/>
    <w:rsid w:val="004009F2"/>
    <w:rsid w:val="004010C6"/>
    <w:rsid w:val="00402E62"/>
    <w:rsid w:val="00404E1B"/>
    <w:rsid w:val="00405382"/>
    <w:rsid w:val="00406D07"/>
    <w:rsid w:val="00407386"/>
    <w:rsid w:val="00410386"/>
    <w:rsid w:val="00410C0B"/>
    <w:rsid w:val="0041316F"/>
    <w:rsid w:val="0041459B"/>
    <w:rsid w:val="004154DE"/>
    <w:rsid w:val="00415EC4"/>
    <w:rsid w:val="00416733"/>
    <w:rsid w:val="004167AC"/>
    <w:rsid w:val="00416DE7"/>
    <w:rsid w:val="00417D99"/>
    <w:rsid w:val="00422314"/>
    <w:rsid w:val="00422DA1"/>
    <w:rsid w:val="00423E30"/>
    <w:rsid w:val="004244EA"/>
    <w:rsid w:val="00424615"/>
    <w:rsid w:val="00424832"/>
    <w:rsid w:val="00424FCF"/>
    <w:rsid w:val="00425B46"/>
    <w:rsid w:val="00425CAE"/>
    <w:rsid w:val="0042733D"/>
    <w:rsid w:val="004307DE"/>
    <w:rsid w:val="00432031"/>
    <w:rsid w:val="00432B4F"/>
    <w:rsid w:val="004336D5"/>
    <w:rsid w:val="00435B07"/>
    <w:rsid w:val="0043683B"/>
    <w:rsid w:val="00437192"/>
    <w:rsid w:val="00441087"/>
    <w:rsid w:val="0044350F"/>
    <w:rsid w:val="00443696"/>
    <w:rsid w:val="00443B8E"/>
    <w:rsid w:val="004472FD"/>
    <w:rsid w:val="0044746B"/>
    <w:rsid w:val="00447F2C"/>
    <w:rsid w:val="0045047C"/>
    <w:rsid w:val="004520FF"/>
    <w:rsid w:val="00452AF8"/>
    <w:rsid w:val="00452D8E"/>
    <w:rsid w:val="00453023"/>
    <w:rsid w:val="00453403"/>
    <w:rsid w:val="00453735"/>
    <w:rsid w:val="0045384D"/>
    <w:rsid w:val="004549E0"/>
    <w:rsid w:val="00457D76"/>
    <w:rsid w:val="00461630"/>
    <w:rsid w:val="004629C0"/>
    <w:rsid w:val="004632F4"/>
    <w:rsid w:val="004639F7"/>
    <w:rsid w:val="00463B81"/>
    <w:rsid w:val="0046474B"/>
    <w:rsid w:val="00465A7E"/>
    <w:rsid w:val="0046647F"/>
    <w:rsid w:val="00467B2F"/>
    <w:rsid w:val="00467DC3"/>
    <w:rsid w:val="00467EC4"/>
    <w:rsid w:val="0047044B"/>
    <w:rsid w:val="00470674"/>
    <w:rsid w:val="00471BC2"/>
    <w:rsid w:val="0047236D"/>
    <w:rsid w:val="00472FC3"/>
    <w:rsid w:val="0047347C"/>
    <w:rsid w:val="00474C84"/>
    <w:rsid w:val="00474D2E"/>
    <w:rsid w:val="0047544D"/>
    <w:rsid w:val="00475C7E"/>
    <w:rsid w:val="004773B0"/>
    <w:rsid w:val="0047797E"/>
    <w:rsid w:val="00481807"/>
    <w:rsid w:val="00481827"/>
    <w:rsid w:val="00481E1E"/>
    <w:rsid w:val="00482720"/>
    <w:rsid w:val="00482DAF"/>
    <w:rsid w:val="004830B8"/>
    <w:rsid w:val="00483B3E"/>
    <w:rsid w:val="00484F22"/>
    <w:rsid w:val="004857FD"/>
    <w:rsid w:val="00485FB1"/>
    <w:rsid w:val="004874A6"/>
    <w:rsid w:val="00490F9F"/>
    <w:rsid w:val="0049266F"/>
    <w:rsid w:val="00495258"/>
    <w:rsid w:val="00495D21"/>
    <w:rsid w:val="00496E9B"/>
    <w:rsid w:val="004970A8"/>
    <w:rsid w:val="00497819"/>
    <w:rsid w:val="004A00C2"/>
    <w:rsid w:val="004A0CCF"/>
    <w:rsid w:val="004A0DE2"/>
    <w:rsid w:val="004A1543"/>
    <w:rsid w:val="004A1577"/>
    <w:rsid w:val="004A2BC9"/>
    <w:rsid w:val="004A3875"/>
    <w:rsid w:val="004A3AE2"/>
    <w:rsid w:val="004A3B89"/>
    <w:rsid w:val="004A440D"/>
    <w:rsid w:val="004A5E5F"/>
    <w:rsid w:val="004A670B"/>
    <w:rsid w:val="004A6C99"/>
    <w:rsid w:val="004A794B"/>
    <w:rsid w:val="004B14AF"/>
    <w:rsid w:val="004B2983"/>
    <w:rsid w:val="004B2F3E"/>
    <w:rsid w:val="004B360B"/>
    <w:rsid w:val="004B3FB5"/>
    <w:rsid w:val="004B4861"/>
    <w:rsid w:val="004B7EB4"/>
    <w:rsid w:val="004B7F5C"/>
    <w:rsid w:val="004C0A95"/>
    <w:rsid w:val="004C2B28"/>
    <w:rsid w:val="004C2E83"/>
    <w:rsid w:val="004C3694"/>
    <w:rsid w:val="004C52C0"/>
    <w:rsid w:val="004C55FB"/>
    <w:rsid w:val="004C5D93"/>
    <w:rsid w:val="004C5EAA"/>
    <w:rsid w:val="004C64B9"/>
    <w:rsid w:val="004C6A05"/>
    <w:rsid w:val="004C6D79"/>
    <w:rsid w:val="004C713B"/>
    <w:rsid w:val="004C7B8A"/>
    <w:rsid w:val="004C7C14"/>
    <w:rsid w:val="004C7D8C"/>
    <w:rsid w:val="004D0224"/>
    <w:rsid w:val="004D0821"/>
    <w:rsid w:val="004D0DC4"/>
    <w:rsid w:val="004D25C0"/>
    <w:rsid w:val="004D2DBA"/>
    <w:rsid w:val="004D403D"/>
    <w:rsid w:val="004D404F"/>
    <w:rsid w:val="004D4E9D"/>
    <w:rsid w:val="004D513C"/>
    <w:rsid w:val="004D5D82"/>
    <w:rsid w:val="004D6195"/>
    <w:rsid w:val="004D785F"/>
    <w:rsid w:val="004E066E"/>
    <w:rsid w:val="004E0B53"/>
    <w:rsid w:val="004E1B55"/>
    <w:rsid w:val="004E1FAF"/>
    <w:rsid w:val="004E201B"/>
    <w:rsid w:val="004E441B"/>
    <w:rsid w:val="004E447A"/>
    <w:rsid w:val="004E48C7"/>
    <w:rsid w:val="004E4B81"/>
    <w:rsid w:val="004E5C80"/>
    <w:rsid w:val="004E5DA5"/>
    <w:rsid w:val="004E6C9D"/>
    <w:rsid w:val="004E6F29"/>
    <w:rsid w:val="004F001B"/>
    <w:rsid w:val="004F00E8"/>
    <w:rsid w:val="004F074E"/>
    <w:rsid w:val="004F083A"/>
    <w:rsid w:val="004F1A79"/>
    <w:rsid w:val="004F4942"/>
    <w:rsid w:val="004F567C"/>
    <w:rsid w:val="004F5846"/>
    <w:rsid w:val="004F648B"/>
    <w:rsid w:val="004F7098"/>
    <w:rsid w:val="00500601"/>
    <w:rsid w:val="0050337D"/>
    <w:rsid w:val="00503E09"/>
    <w:rsid w:val="0050409C"/>
    <w:rsid w:val="00504434"/>
    <w:rsid w:val="005048FF"/>
    <w:rsid w:val="005052F1"/>
    <w:rsid w:val="00505C59"/>
    <w:rsid w:val="0050697B"/>
    <w:rsid w:val="005069A1"/>
    <w:rsid w:val="005070BA"/>
    <w:rsid w:val="00507908"/>
    <w:rsid w:val="00507B5F"/>
    <w:rsid w:val="00507DAE"/>
    <w:rsid w:val="00512197"/>
    <w:rsid w:val="005124B5"/>
    <w:rsid w:val="00512643"/>
    <w:rsid w:val="005126FE"/>
    <w:rsid w:val="00512A25"/>
    <w:rsid w:val="00512E51"/>
    <w:rsid w:val="00513C1E"/>
    <w:rsid w:val="00513DD4"/>
    <w:rsid w:val="00516975"/>
    <w:rsid w:val="00516A3B"/>
    <w:rsid w:val="005178F7"/>
    <w:rsid w:val="00520EF8"/>
    <w:rsid w:val="0052162C"/>
    <w:rsid w:val="00521A76"/>
    <w:rsid w:val="00521B38"/>
    <w:rsid w:val="00522454"/>
    <w:rsid w:val="0052249A"/>
    <w:rsid w:val="005224D3"/>
    <w:rsid w:val="0052720B"/>
    <w:rsid w:val="00530262"/>
    <w:rsid w:val="00530E00"/>
    <w:rsid w:val="005310D8"/>
    <w:rsid w:val="00532819"/>
    <w:rsid w:val="005328AE"/>
    <w:rsid w:val="0053336C"/>
    <w:rsid w:val="00533647"/>
    <w:rsid w:val="005347B8"/>
    <w:rsid w:val="00535C7E"/>
    <w:rsid w:val="00536FE8"/>
    <w:rsid w:val="0053700F"/>
    <w:rsid w:val="005374F0"/>
    <w:rsid w:val="00537872"/>
    <w:rsid w:val="00540A93"/>
    <w:rsid w:val="00540F27"/>
    <w:rsid w:val="00541383"/>
    <w:rsid w:val="005429B9"/>
    <w:rsid w:val="00542F7F"/>
    <w:rsid w:val="005437C7"/>
    <w:rsid w:val="00544234"/>
    <w:rsid w:val="00545689"/>
    <w:rsid w:val="00547442"/>
    <w:rsid w:val="005515CB"/>
    <w:rsid w:val="0055288E"/>
    <w:rsid w:val="00552957"/>
    <w:rsid w:val="00552A96"/>
    <w:rsid w:val="00554985"/>
    <w:rsid w:val="00554AED"/>
    <w:rsid w:val="00555249"/>
    <w:rsid w:val="0055612F"/>
    <w:rsid w:val="005577D2"/>
    <w:rsid w:val="00557BD0"/>
    <w:rsid w:val="00561737"/>
    <w:rsid w:val="00561A20"/>
    <w:rsid w:val="005629C8"/>
    <w:rsid w:val="00562BB4"/>
    <w:rsid w:val="005630E9"/>
    <w:rsid w:val="00564B76"/>
    <w:rsid w:val="005655A1"/>
    <w:rsid w:val="00566A95"/>
    <w:rsid w:val="005707C5"/>
    <w:rsid w:val="005714D7"/>
    <w:rsid w:val="00573D14"/>
    <w:rsid w:val="00573E4E"/>
    <w:rsid w:val="00575757"/>
    <w:rsid w:val="005757BA"/>
    <w:rsid w:val="00577040"/>
    <w:rsid w:val="00577E41"/>
    <w:rsid w:val="00580BF9"/>
    <w:rsid w:val="00581441"/>
    <w:rsid w:val="0058182F"/>
    <w:rsid w:val="00581849"/>
    <w:rsid w:val="00581898"/>
    <w:rsid w:val="00581D6D"/>
    <w:rsid w:val="0058244A"/>
    <w:rsid w:val="00583980"/>
    <w:rsid w:val="00584292"/>
    <w:rsid w:val="00585D1C"/>
    <w:rsid w:val="005879F7"/>
    <w:rsid w:val="005904B9"/>
    <w:rsid w:val="0059582F"/>
    <w:rsid w:val="00595C4E"/>
    <w:rsid w:val="0059662E"/>
    <w:rsid w:val="005967F3"/>
    <w:rsid w:val="005A119E"/>
    <w:rsid w:val="005A3B90"/>
    <w:rsid w:val="005A5C17"/>
    <w:rsid w:val="005A5C72"/>
    <w:rsid w:val="005A6243"/>
    <w:rsid w:val="005A663D"/>
    <w:rsid w:val="005A673C"/>
    <w:rsid w:val="005A6FC4"/>
    <w:rsid w:val="005A7185"/>
    <w:rsid w:val="005A7F89"/>
    <w:rsid w:val="005B1AEE"/>
    <w:rsid w:val="005B1ED3"/>
    <w:rsid w:val="005B1F2C"/>
    <w:rsid w:val="005B362D"/>
    <w:rsid w:val="005B36CF"/>
    <w:rsid w:val="005B6BBA"/>
    <w:rsid w:val="005B7350"/>
    <w:rsid w:val="005B7DF8"/>
    <w:rsid w:val="005B7EB2"/>
    <w:rsid w:val="005C1268"/>
    <w:rsid w:val="005C2D27"/>
    <w:rsid w:val="005C5548"/>
    <w:rsid w:val="005D0DD8"/>
    <w:rsid w:val="005D1966"/>
    <w:rsid w:val="005D2461"/>
    <w:rsid w:val="005D3F81"/>
    <w:rsid w:val="005D559F"/>
    <w:rsid w:val="005D7036"/>
    <w:rsid w:val="005D7322"/>
    <w:rsid w:val="005D7B09"/>
    <w:rsid w:val="005D7FFE"/>
    <w:rsid w:val="005E16A3"/>
    <w:rsid w:val="005E18A9"/>
    <w:rsid w:val="005E1954"/>
    <w:rsid w:val="005E1D11"/>
    <w:rsid w:val="005E1FDD"/>
    <w:rsid w:val="005E2BE4"/>
    <w:rsid w:val="005E3FB2"/>
    <w:rsid w:val="005E44EB"/>
    <w:rsid w:val="005E4AA8"/>
    <w:rsid w:val="005E4D08"/>
    <w:rsid w:val="005E65AB"/>
    <w:rsid w:val="005E66ED"/>
    <w:rsid w:val="005E6AA8"/>
    <w:rsid w:val="005E71EE"/>
    <w:rsid w:val="005F0382"/>
    <w:rsid w:val="005F0D41"/>
    <w:rsid w:val="005F1461"/>
    <w:rsid w:val="005F24F0"/>
    <w:rsid w:val="005F2DE3"/>
    <w:rsid w:val="005F3821"/>
    <w:rsid w:val="005F4ADE"/>
    <w:rsid w:val="005F515D"/>
    <w:rsid w:val="005F600A"/>
    <w:rsid w:val="005F6E1E"/>
    <w:rsid w:val="005F6FCA"/>
    <w:rsid w:val="005F7F36"/>
    <w:rsid w:val="005F7F5A"/>
    <w:rsid w:val="0060201D"/>
    <w:rsid w:val="00602CA4"/>
    <w:rsid w:val="00602D25"/>
    <w:rsid w:val="00605851"/>
    <w:rsid w:val="00606F80"/>
    <w:rsid w:val="00607865"/>
    <w:rsid w:val="006104EA"/>
    <w:rsid w:val="006106AC"/>
    <w:rsid w:val="00610ACD"/>
    <w:rsid w:val="00610BEB"/>
    <w:rsid w:val="0061232C"/>
    <w:rsid w:val="00614DFB"/>
    <w:rsid w:val="00615107"/>
    <w:rsid w:val="006159B1"/>
    <w:rsid w:val="006162F6"/>
    <w:rsid w:val="0061764E"/>
    <w:rsid w:val="00620132"/>
    <w:rsid w:val="00620960"/>
    <w:rsid w:val="006211D4"/>
    <w:rsid w:val="00624041"/>
    <w:rsid w:val="0062509D"/>
    <w:rsid w:val="0062652E"/>
    <w:rsid w:val="00626FB0"/>
    <w:rsid w:val="00627184"/>
    <w:rsid w:val="00627B79"/>
    <w:rsid w:val="00630B20"/>
    <w:rsid w:val="00631AAB"/>
    <w:rsid w:val="00631DF7"/>
    <w:rsid w:val="006326A1"/>
    <w:rsid w:val="00632760"/>
    <w:rsid w:val="00632A02"/>
    <w:rsid w:val="00632C37"/>
    <w:rsid w:val="006336B7"/>
    <w:rsid w:val="006352E6"/>
    <w:rsid w:val="006357CD"/>
    <w:rsid w:val="006367E4"/>
    <w:rsid w:val="00636CC5"/>
    <w:rsid w:val="00641C2A"/>
    <w:rsid w:val="006428E7"/>
    <w:rsid w:val="00643083"/>
    <w:rsid w:val="00644F04"/>
    <w:rsid w:val="00645559"/>
    <w:rsid w:val="006463F0"/>
    <w:rsid w:val="00646F69"/>
    <w:rsid w:val="006471CC"/>
    <w:rsid w:val="0064733C"/>
    <w:rsid w:val="0064736D"/>
    <w:rsid w:val="006477A1"/>
    <w:rsid w:val="006501C3"/>
    <w:rsid w:val="006505BB"/>
    <w:rsid w:val="00651B5C"/>
    <w:rsid w:val="00652231"/>
    <w:rsid w:val="006526E0"/>
    <w:rsid w:val="00652845"/>
    <w:rsid w:val="00652898"/>
    <w:rsid w:val="00652F01"/>
    <w:rsid w:val="00653898"/>
    <w:rsid w:val="00654ECA"/>
    <w:rsid w:val="006551CC"/>
    <w:rsid w:val="006568A3"/>
    <w:rsid w:val="006574E6"/>
    <w:rsid w:val="00660A4F"/>
    <w:rsid w:val="0066436B"/>
    <w:rsid w:val="0066482F"/>
    <w:rsid w:val="006652F3"/>
    <w:rsid w:val="00665833"/>
    <w:rsid w:val="006662B0"/>
    <w:rsid w:val="00671A97"/>
    <w:rsid w:val="00671F4D"/>
    <w:rsid w:val="00672CEA"/>
    <w:rsid w:val="00674304"/>
    <w:rsid w:val="00674323"/>
    <w:rsid w:val="0067654E"/>
    <w:rsid w:val="00676FBD"/>
    <w:rsid w:val="006776B2"/>
    <w:rsid w:val="006801F6"/>
    <w:rsid w:val="00681244"/>
    <w:rsid w:val="0068152D"/>
    <w:rsid w:val="00683DBC"/>
    <w:rsid w:val="006848F2"/>
    <w:rsid w:val="0068529E"/>
    <w:rsid w:val="00685530"/>
    <w:rsid w:val="006869E8"/>
    <w:rsid w:val="00690BB0"/>
    <w:rsid w:val="00690C9D"/>
    <w:rsid w:val="00690FB5"/>
    <w:rsid w:val="00691127"/>
    <w:rsid w:val="00691658"/>
    <w:rsid w:val="00691C8B"/>
    <w:rsid w:val="00692347"/>
    <w:rsid w:val="00692591"/>
    <w:rsid w:val="006927D0"/>
    <w:rsid w:val="00693610"/>
    <w:rsid w:val="00693812"/>
    <w:rsid w:val="00693AA1"/>
    <w:rsid w:val="00695181"/>
    <w:rsid w:val="00697681"/>
    <w:rsid w:val="0069785B"/>
    <w:rsid w:val="006A1265"/>
    <w:rsid w:val="006A1805"/>
    <w:rsid w:val="006A2939"/>
    <w:rsid w:val="006A2A63"/>
    <w:rsid w:val="006A2B7B"/>
    <w:rsid w:val="006A3410"/>
    <w:rsid w:val="006A36D8"/>
    <w:rsid w:val="006A3E73"/>
    <w:rsid w:val="006A4F7A"/>
    <w:rsid w:val="006A55EA"/>
    <w:rsid w:val="006A77AE"/>
    <w:rsid w:val="006A786D"/>
    <w:rsid w:val="006A78D7"/>
    <w:rsid w:val="006B138C"/>
    <w:rsid w:val="006B1DEA"/>
    <w:rsid w:val="006B4AB2"/>
    <w:rsid w:val="006B4D10"/>
    <w:rsid w:val="006B5561"/>
    <w:rsid w:val="006B5630"/>
    <w:rsid w:val="006B61D1"/>
    <w:rsid w:val="006B6FD6"/>
    <w:rsid w:val="006B7B44"/>
    <w:rsid w:val="006C0232"/>
    <w:rsid w:val="006C21D9"/>
    <w:rsid w:val="006C2727"/>
    <w:rsid w:val="006C351E"/>
    <w:rsid w:val="006C3BE6"/>
    <w:rsid w:val="006C555E"/>
    <w:rsid w:val="006C6608"/>
    <w:rsid w:val="006C6C3A"/>
    <w:rsid w:val="006C7620"/>
    <w:rsid w:val="006C79C2"/>
    <w:rsid w:val="006C7A94"/>
    <w:rsid w:val="006C7AB2"/>
    <w:rsid w:val="006C7E53"/>
    <w:rsid w:val="006C7F2C"/>
    <w:rsid w:val="006D1752"/>
    <w:rsid w:val="006D1BBF"/>
    <w:rsid w:val="006D21E5"/>
    <w:rsid w:val="006D23A6"/>
    <w:rsid w:val="006D4F90"/>
    <w:rsid w:val="006D5796"/>
    <w:rsid w:val="006D5B18"/>
    <w:rsid w:val="006D665A"/>
    <w:rsid w:val="006D67CC"/>
    <w:rsid w:val="006D7101"/>
    <w:rsid w:val="006D721F"/>
    <w:rsid w:val="006D7460"/>
    <w:rsid w:val="006D7BBB"/>
    <w:rsid w:val="006E05D6"/>
    <w:rsid w:val="006E0ED2"/>
    <w:rsid w:val="006E3A59"/>
    <w:rsid w:val="006E40FB"/>
    <w:rsid w:val="006E4756"/>
    <w:rsid w:val="006E53F3"/>
    <w:rsid w:val="006E79C6"/>
    <w:rsid w:val="006F0AEE"/>
    <w:rsid w:val="006F18B4"/>
    <w:rsid w:val="006F1DF6"/>
    <w:rsid w:val="006F23FB"/>
    <w:rsid w:val="006F27B7"/>
    <w:rsid w:val="006F2973"/>
    <w:rsid w:val="006F30C7"/>
    <w:rsid w:val="006F3779"/>
    <w:rsid w:val="006F3B6D"/>
    <w:rsid w:val="006F7641"/>
    <w:rsid w:val="006F76ED"/>
    <w:rsid w:val="006F7AA8"/>
    <w:rsid w:val="006F7B15"/>
    <w:rsid w:val="007005C8"/>
    <w:rsid w:val="00700E3F"/>
    <w:rsid w:val="00702379"/>
    <w:rsid w:val="0070258A"/>
    <w:rsid w:val="00702ACA"/>
    <w:rsid w:val="00703E3E"/>
    <w:rsid w:val="007045C1"/>
    <w:rsid w:val="00705F74"/>
    <w:rsid w:val="00706452"/>
    <w:rsid w:val="007064D6"/>
    <w:rsid w:val="007067E3"/>
    <w:rsid w:val="007070E4"/>
    <w:rsid w:val="00707F67"/>
    <w:rsid w:val="007103AA"/>
    <w:rsid w:val="0071043F"/>
    <w:rsid w:val="00710A77"/>
    <w:rsid w:val="007126E3"/>
    <w:rsid w:val="007136DA"/>
    <w:rsid w:val="00713B61"/>
    <w:rsid w:val="007149D5"/>
    <w:rsid w:val="00717A4A"/>
    <w:rsid w:val="00717D94"/>
    <w:rsid w:val="00722BAD"/>
    <w:rsid w:val="00724519"/>
    <w:rsid w:val="00724CAB"/>
    <w:rsid w:val="00724D6B"/>
    <w:rsid w:val="007257D6"/>
    <w:rsid w:val="00725878"/>
    <w:rsid w:val="00726708"/>
    <w:rsid w:val="00726912"/>
    <w:rsid w:val="00730187"/>
    <w:rsid w:val="00730743"/>
    <w:rsid w:val="00731CBD"/>
    <w:rsid w:val="007333C8"/>
    <w:rsid w:val="007337A0"/>
    <w:rsid w:val="007342B2"/>
    <w:rsid w:val="007346E3"/>
    <w:rsid w:val="0073487C"/>
    <w:rsid w:val="00734BE1"/>
    <w:rsid w:val="00734DE5"/>
    <w:rsid w:val="0073565A"/>
    <w:rsid w:val="007358F1"/>
    <w:rsid w:val="007419A8"/>
    <w:rsid w:val="007441CE"/>
    <w:rsid w:val="007448B3"/>
    <w:rsid w:val="00745825"/>
    <w:rsid w:val="0074669A"/>
    <w:rsid w:val="00750A3B"/>
    <w:rsid w:val="00751881"/>
    <w:rsid w:val="00751A37"/>
    <w:rsid w:val="00751F24"/>
    <w:rsid w:val="00752502"/>
    <w:rsid w:val="0075695E"/>
    <w:rsid w:val="0076052E"/>
    <w:rsid w:val="0076158D"/>
    <w:rsid w:val="00762E33"/>
    <w:rsid w:val="00762ED2"/>
    <w:rsid w:val="0076510C"/>
    <w:rsid w:val="0076792C"/>
    <w:rsid w:val="007702F1"/>
    <w:rsid w:val="00770D25"/>
    <w:rsid w:val="00771A3A"/>
    <w:rsid w:val="00771CE6"/>
    <w:rsid w:val="00771E6A"/>
    <w:rsid w:val="0077251E"/>
    <w:rsid w:val="007728DF"/>
    <w:rsid w:val="00772CB9"/>
    <w:rsid w:val="00772FCF"/>
    <w:rsid w:val="00773095"/>
    <w:rsid w:val="007733C6"/>
    <w:rsid w:val="007741D8"/>
    <w:rsid w:val="0077483D"/>
    <w:rsid w:val="00775812"/>
    <w:rsid w:val="00775D55"/>
    <w:rsid w:val="00776932"/>
    <w:rsid w:val="00776AAD"/>
    <w:rsid w:val="00777701"/>
    <w:rsid w:val="00777815"/>
    <w:rsid w:val="00777854"/>
    <w:rsid w:val="007778D9"/>
    <w:rsid w:val="00780435"/>
    <w:rsid w:val="00780DAD"/>
    <w:rsid w:val="00781776"/>
    <w:rsid w:val="00781792"/>
    <w:rsid w:val="00781F86"/>
    <w:rsid w:val="00782A21"/>
    <w:rsid w:val="00783D42"/>
    <w:rsid w:val="00783FBE"/>
    <w:rsid w:val="007851D2"/>
    <w:rsid w:val="0078569A"/>
    <w:rsid w:val="0078678C"/>
    <w:rsid w:val="00787CFC"/>
    <w:rsid w:val="00790BD4"/>
    <w:rsid w:val="00791203"/>
    <w:rsid w:val="00791299"/>
    <w:rsid w:val="00791575"/>
    <w:rsid w:val="007919A2"/>
    <w:rsid w:val="007926F7"/>
    <w:rsid w:val="00792ED0"/>
    <w:rsid w:val="0079430F"/>
    <w:rsid w:val="00794C4A"/>
    <w:rsid w:val="00795DBD"/>
    <w:rsid w:val="007977B6"/>
    <w:rsid w:val="007A0034"/>
    <w:rsid w:val="007A03EB"/>
    <w:rsid w:val="007A102E"/>
    <w:rsid w:val="007A21C8"/>
    <w:rsid w:val="007A2B92"/>
    <w:rsid w:val="007A492E"/>
    <w:rsid w:val="007A54D2"/>
    <w:rsid w:val="007A6344"/>
    <w:rsid w:val="007A6507"/>
    <w:rsid w:val="007A69E0"/>
    <w:rsid w:val="007A7707"/>
    <w:rsid w:val="007B002C"/>
    <w:rsid w:val="007B0B83"/>
    <w:rsid w:val="007B10C2"/>
    <w:rsid w:val="007B26FA"/>
    <w:rsid w:val="007B33DD"/>
    <w:rsid w:val="007B3BFE"/>
    <w:rsid w:val="007B42A8"/>
    <w:rsid w:val="007B4B1B"/>
    <w:rsid w:val="007B4C67"/>
    <w:rsid w:val="007B76F7"/>
    <w:rsid w:val="007C01EA"/>
    <w:rsid w:val="007C2A22"/>
    <w:rsid w:val="007C3391"/>
    <w:rsid w:val="007C3735"/>
    <w:rsid w:val="007C3DF4"/>
    <w:rsid w:val="007C6692"/>
    <w:rsid w:val="007D0B46"/>
    <w:rsid w:val="007D279A"/>
    <w:rsid w:val="007D3046"/>
    <w:rsid w:val="007D49E8"/>
    <w:rsid w:val="007D4B7E"/>
    <w:rsid w:val="007D5242"/>
    <w:rsid w:val="007D572A"/>
    <w:rsid w:val="007D6401"/>
    <w:rsid w:val="007D65D2"/>
    <w:rsid w:val="007E239E"/>
    <w:rsid w:val="007E4402"/>
    <w:rsid w:val="007E4EFA"/>
    <w:rsid w:val="007E4F49"/>
    <w:rsid w:val="007E6F05"/>
    <w:rsid w:val="007E785D"/>
    <w:rsid w:val="007F1B4E"/>
    <w:rsid w:val="007F2768"/>
    <w:rsid w:val="007F2CD6"/>
    <w:rsid w:val="007F3651"/>
    <w:rsid w:val="007F486B"/>
    <w:rsid w:val="007F54F3"/>
    <w:rsid w:val="007F6B60"/>
    <w:rsid w:val="007F756B"/>
    <w:rsid w:val="00800A8C"/>
    <w:rsid w:val="00801B1E"/>
    <w:rsid w:val="0080256D"/>
    <w:rsid w:val="00802E80"/>
    <w:rsid w:val="008031C1"/>
    <w:rsid w:val="00803CA7"/>
    <w:rsid w:val="008056ED"/>
    <w:rsid w:val="0080635D"/>
    <w:rsid w:val="00806C05"/>
    <w:rsid w:val="008071CA"/>
    <w:rsid w:val="00807D3D"/>
    <w:rsid w:val="008103C9"/>
    <w:rsid w:val="00810AB4"/>
    <w:rsid w:val="0081262B"/>
    <w:rsid w:val="00812948"/>
    <w:rsid w:val="00813001"/>
    <w:rsid w:val="008154B9"/>
    <w:rsid w:val="00816124"/>
    <w:rsid w:val="00816686"/>
    <w:rsid w:val="008174B0"/>
    <w:rsid w:val="00817730"/>
    <w:rsid w:val="00821E8F"/>
    <w:rsid w:val="0082227C"/>
    <w:rsid w:val="008239A6"/>
    <w:rsid w:val="00825DC2"/>
    <w:rsid w:val="00826611"/>
    <w:rsid w:val="008270F7"/>
    <w:rsid w:val="00827653"/>
    <w:rsid w:val="008303CB"/>
    <w:rsid w:val="00830565"/>
    <w:rsid w:val="00832099"/>
    <w:rsid w:val="00832E0A"/>
    <w:rsid w:val="00835B13"/>
    <w:rsid w:val="00835F0A"/>
    <w:rsid w:val="00836627"/>
    <w:rsid w:val="00836778"/>
    <w:rsid w:val="008414CE"/>
    <w:rsid w:val="00841804"/>
    <w:rsid w:val="0084225B"/>
    <w:rsid w:val="008429BE"/>
    <w:rsid w:val="00842CD2"/>
    <w:rsid w:val="00843289"/>
    <w:rsid w:val="00843F01"/>
    <w:rsid w:val="00844E5F"/>
    <w:rsid w:val="00845750"/>
    <w:rsid w:val="008461B8"/>
    <w:rsid w:val="00846660"/>
    <w:rsid w:val="00847CAC"/>
    <w:rsid w:val="008501FF"/>
    <w:rsid w:val="00851441"/>
    <w:rsid w:val="00851EBC"/>
    <w:rsid w:val="00851FA3"/>
    <w:rsid w:val="00851FB7"/>
    <w:rsid w:val="008538AB"/>
    <w:rsid w:val="008539FC"/>
    <w:rsid w:val="00857965"/>
    <w:rsid w:val="0086024F"/>
    <w:rsid w:val="00861330"/>
    <w:rsid w:val="0086166B"/>
    <w:rsid w:val="00862454"/>
    <w:rsid w:val="008626BF"/>
    <w:rsid w:val="00864842"/>
    <w:rsid w:val="00866613"/>
    <w:rsid w:val="0086719C"/>
    <w:rsid w:val="008715E1"/>
    <w:rsid w:val="00871E22"/>
    <w:rsid w:val="00872459"/>
    <w:rsid w:val="008729C4"/>
    <w:rsid w:val="00873330"/>
    <w:rsid w:val="00874F95"/>
    <w:rsid w:val="00874FA6"/>
    <w:rsid w:val="00874FE7"/>
    <w:rsid w:val="008760B6"/>
    <w:rsid w:val="00876290"/>
    <w:rsid w:val="0087651C"/>
    <w:rsid w:val="00876AAD"/>
    <w:rsid w:val="00876DF6"/>
    <w:rsid w:val="00880D85"/>
    <w:rsid w:val="00883D10"/>
    <w:rsid w:val="00884AF0"/>
    <w:rsid w:val="00884C69"/>
    <w:rsid w:val="00891255"/>
    <w:rsid w:val="008916D5"/>
    <w:rsid w:val="00891840"/>
    <w:rsid w:val="00892019"/>
    <w:rsid w:val="00892C78"/>
    <w:rsid w:val="00895882"/>
    <w:rsid w:val="008960CD"/>
    <w:rsid w:val="00896932"/>
    <w:rsid w:val="00897382"/>
    <w:rsid w:val="00897608"/>
    <w:rsid w:val="008A1482"/>
    <w:rsid w:val="008A289F"/>
    <w:rsid w:val="008A5950"/>
    <w:rsid w:val="008A5D0B"/>
    <w:rsid w:val="008A6861"/>
    <w:rsid w:val="008A6A9B"/>
    <w:rsid w:val="008A74DB"/>
    <w:rsid w:val="008A7E63"/>
    <w:rsid w:val="008B2D70"/>
    <w:rsid w:val="008B2F00"/>
    <w:rsid w:val="008B3829"/>
    <w:rsid w:val="008B60E9"/>
    <w:rsid w:val="008B6403"/>
    <w:rsid w:val="008B6A94"/>
    <w:rsid w:val="008B7872"/>
    <w:rsid w:val="008B7992"/>
    <w:rsid w:val="008B7CD9"/>
    <w:rsid w:val="008C076F"/>
    <w:rsid w:val="008C109D"/>
    <w:rsid w:val="008C12E4"/>
    <w:rsid w:val="008C15F3"/>
    <w:rsid w:val="008C19C3"/>
    <w:rsid w:val="008C3327"/>
    <w:rsid w:val="008C40C4"/>
    <w:rsid w:val="008C4DB0"/>
    <w:rsid w:val="008C7274"/>
    <w:rsid w:val="008C73BC"/>
    <w:rsid w:val="008C7454"/>
    <w:rsid w:val="008C77C2"/>
    <w:rsid w:val="008C77C4"/>
    <w:rsid w:val="008D014D"/>
    <w:rsid w:val="008D0657"/>
    <w:rsid w:val="008D26DC"/>
    <w:rsid w:val="008D2DFC"/>
    <w:rsid w:val="008D38EF"/>
    <w:rsid w:val="008D3F40"/>
    <w:rsid w:val="008D4484"/>
    <w:rsid w:val="008D4B21"/>
    <w:rsid w:val="008D5116"/>
    <w:rsid w:val="008D51D3"/>
    <w:rsid w:val="008D64EB"/>
    <w:rsid w:val="008E0FF0"/>
    <w:rsid w:val="008E16EA"/>
    <w:rsid w:val="008E1C8C"/>
    <w:rsid w:val="008E24F6"/>
    <w:rsid w:val="008E31B3"/>
    <w:rsid w:val="008E5D72"/>
    <w:rsid w:val="008E6656"/>
    <w:rsid w:val="008E790F"/>
    <w:rsid w:val="008F1079"/>
    <w:rsid w:val="008F2833"/>
    <w:rsid w:val="008F657A"/>
    <w:rsid w:val="0090163F"/>
    <w:rsid w:val="00903A9D"/>
    <w:rsid w:val="00904101"/>
    <w:rsid w:val="00906EE8"/>
    <w:rsid w:val="009073CC"/>
    <w:rsid w:val="00910D2E"/>
    <w:rsid w:val="00910ECA"/>
    <w:rsid w:val="00910F4C"/>
    <w:rsid w:val="00911305"/>
    <w:rsid w:val="00911676"/>
    <w:rsid w:val="009118E4"/>
    <w:rsid w:val="00912934"/>
    <w:rsid w:val="00914301"/>
    <w:rsid w:val="0091473D"/>
    <w:rsid w:val="00916E97"/>
    <w:rsid w:val="009204AC"/>
    <w:rsid w:val="009205FF"/>
    <w:rsid w:val="0092126C"/>
    <w:rsid w:val="00923560"/>
    <w:rsid w:val="0092381E"/>
    <w:rsid w:val="00924057"/>
    <w:rsid w:val="00924393"/>
    <w:rsid w:val="009252F2"/>
    <w:rsid w:val="0092552C"/>
    <w:rsid w:val="00926DBD"/>
    <w:rsid w:val="00930EA9"/>
    <w:rsid w:val="009310B3"/>
    <w:rsid w:val="009312F7"/>
    <w:rsid w:val="00931913"/>
    <w:rsid w:val="009331A4"/>
    <w:rsid w:val="00934303"/>
    <w:rsid w:val="0093463E"/>
    <w:rsid w:val="00935ABA"/>
    <w:rsid w:val="00935C35"/>
    <w:rsid w:val="0093763A"/>
    <w:rsid w:val="00937C0D"/>
    <w:rsid w:val="00940854"/>
    <w:rsid w:val="00941AAC"/>
    <w:rsid w:val="00941D13"/>
    <w:rsid w:val="00941D37"/>
    <w:rsid w:val="00943248"/>
    <w:rsid w:val="00943E45"/>
    <w:rsid w:val="00945ADB"/>
    <w:rsid w:val="00945AF7"/>
    <w:rsid w:val="00945E01"/>
    <w:rsid w:val="009467C9"/>
    <w:rsid w:val="0094761E"/>
    <w:rsid w:val="00947B90"/>
    <w:rsid w:val="00950B5C"/>
    <w:rsid w:val="00951450"/>
    <w:rsid w:val="009519DF"/>
    <w:rsid w:val="009521ED"/>
    <w:rsid w:val="0095259B"/>
    <w:rsid w:val="00952754"/>
    <w:rsid w:val="00952E70"/>
    <w:rsid w:val="00953C52"/>
    <w:rsid w:val="00954027"/>
    <w:rsid w:val="0095456A"/>
    <w:rsid w:val="009547B0"/>
    <w:rsid w:val="00955D0D"/>
    <w:rsid w:val="009577E0"/>
    <w:rsid w:val="00957DED"/>
    <w:rsid w:val="009602A9"/>
    <w:rsid w:val="00960352"/>
    <w:rsid w:val="009607BA"/>
    <w:rsid w:val="009608B7"/>
    <w:rsid w:val="00960B96"/>
    <w:rsid w:val="00964CB1"/>
    <w:rsid w:val="00964F6E"/>
    <w:rsid w:val="00966F1F"/>
    <w:rsid w:val="00966FD6"/>
    <w:rsid w:val="009671F0"/>
    <w:rsid w:val="009675D2"/>
    <w:rsid w:val="009678A3"/>
    <w:rsid w:val="0097040E"/>
    <w:rsid w:val="0097114A"/>
    <w:rsid w:val="0097215C"/>
    <w:rsid w:val="00972F33"/>
    <w:rsid w:val="00974025"/>
    <w:rsid w:val="00975355"/>
    <w:rsid w:val="00975C28"/>
    <w:rsid w:val="009769B6"/>
    <w:rsid w:val="00976FC1"/>
    <w:rsid w:val="0097764C"/>
    <w:rsid w:val="0098031A"/>
    <w:rsid w:val="0098137A"/>
    <w:rsid w:val="00981621"/>
    <w:rsid w:val="009834D1"/>
    <w:rsid w:val="00984C52"/>
    <w:rsid w:val="00985A2C"/>
    <w:rsid w:val="0098689D"/>
    <w:rsid w:val="00986DD1"/>
    <w:rsid w:val="00987A0B"/>
    <w:rsid w:val="00987F15"/>
    <w:rsid w:val="009906BD"/>
    <w:rsid w:val="009910BC"/>
    <w:rsid w:val="00992663"/>
    <w:rsid w:val="009934A8"/>
    <w:rsid w:val="009937EA"/>
    <w:rsid w:val="00993899"/>
    <w:rsid w:val="00994711"/>
    <w:rsid w:val="00994C2C"/>
    <w:rsid w:val="009A00FE"/>
    <w:rsid w:val="009A0128"/>
    <w:rsid w:val="009A0C27"/>
    <w:rsid w:val="009A0DD3"/>
    <w:rsid w:val="009A1321"/>
    <w:rsid w:val="009A208E"/>
    <w:rsid w:val="009A26F2"/>
    <w:rsid w:val="009A29ED"/>
    <w:rsid w:val="009A4000"/>
    <w:rsid w:val="009A4E9F"/>
    <w:rsid w:val="009A6631"/>
    <w:rsid w:val="009A6708"/>
    <w:rsid w:val="009A6870"/>
    <w:rsid w:val="009B0037"/>
    <w:rsid w:val="009B0284"/>
    <w:rsid w:val="009B0E55"/>
    <w:rsid w:val="009B1AD4"/>
    <w:rsid w:val="009B242B"/>
    <w:rsid w:val="009B2435"/>
    <w:rsid w:val="009B291A"/>
    <w:rsid w:val="009B2F1E"/>
    <w:rsid w:val="009C00D0"/>
    <w:rsid w:val="009C03C3"/>
    <w:rsid w:val="009C0A83"/>
    <w:rsid w:val="009C1770"/>
    <w:rsid w:val="009C18CC"/>
    <w:rsid w:val="009C1A6F"/>
    <w:rsid w:val="009C1E09"/>
    <w:rsid w:val="009C2323"/>
    <w:rsid w:val="009C602D"/>
    <w:rsid w:val="009C678A"/>
    <w:rsid w:val="009C67A3"/>
    <w:rsid w:val="009C67C0"/>
    <w:rsid w:val="009C6D49"/>
    <w:rsid w:val="009C6E86"/>
    <w:rsid w:val="009C794A"/>
    <w:rsid w:val="009D0533"/>
    <w:rsid w:val="009D1413"/>
    <w:rsid w:val="009D1445"/>
    <w:rsid w:val="009D18CC"/>
    <w:rsid w:val="009D1A2E"/>
    <w:rsid w:val="009D1F2D"/>
    <w:rsid w:val="009D2BFB"/>
    <w:rsid w:val="009D30B6"/>
    <w:rsid w:val="009D39CE"/>
    <w:rsid w:val="009D43EF"/>
    <w:rsid w:val="009D45C3"/>
    <w:rsid w:val="009D45EA"/>
    <w:rsid w:val="009D60F3"/>
    <w:rsid w:val="009D6172"/>
    <w:rsid w:val="009E11B8"/>
    <w:rsid w:val="009E1CF4"/>
    <w:rsid w:val="009E1D06"/>
    <w:rsid w:val="009E2368"/>
    <w:rsid w:val="009E3299"/>
    <w:rsid w:val="009E3979"/>
    <w:rsid w:val="009E412F"/>
    <w:rsid w:val="009E4A75"/>
    <w:rsid w:val="009E50FE"/>
    <w:rsid w:val="009E5674"/>
    <w:rsid w:val="009E60E4"/>
    <w:rsid w:val="009E6893"/>
    <w:rsid w:val="009E6F79"/>
    <w:rsid w:val="009E7484"/>
    <w:rsid w:val="009E7825"/>
    <w:rsid w:val="009F130C"/>
    <w:rsid w:val="009F24F5"/>
    <w:rsid w:val="009F2F66"/>
    <w:rsid w:val="009F40A5"/>
    <w:rsid w:val="009F66D4"/>
    <w:rsid w:val="009F74B1"/>
    <w:rsid w:val="009F776B"/>
    <w:rsid w:val="00A005D6"/>
    <w:rsid w:val="00A00BB9"/>
    <w:rsid w:val="00A01941"/>
    <w:rsid w:val="00A021A7"/>
    <w:rsid w:val="00A0303C"/>
    <w:rsid w:val="00A04A3E"/>
    <w:rsid w:val="00A05039"/>
    <w:rsid w:val="00A0522A"/>
    <w:rsid w:val="00A05BD8"/>
    <w:rsid w:val="00A06463"/>
    <w:rsid w:val="00A06807"/>
    <w:rsid w:val="00A06B33"/>
    <w:rsid w:val="00A06CDE"/>
    <w:rsid w:val="00A07972"/>
    <w:rsid w:val="00A10264"/>
    <w:rsid w:val="00A10434"/>
    <w:rsid w:val="00A10FFB"/>
    <w:rsid w:val="00A11415"/>
    <w:rsid w:val="00A117FA"/>
    <w:rsid w:val="00A11E27"/>
    <w:rsid w:val="00A14BE7"/>
    <w:rsid w:val="00A17310"/>
    <w:rsid w:val="00A17710"/>
    <w:rsid w:val="00A177B8"/>
    <w:rsid w:val="00A17971"/>
    <w:rsid w:val="00A20534"/>
    <w:rsid w:val="00A206DE"/>
    <w:rsid w:val="00A22C14"/>
    <w:rsid w:val="00A2346A"/>
    <w:rsid w:val="00A23A35"/>
    <w:rsid w:val="00A2566A"/>
    <w:rsid w:val="00A26F99"/>
    <w:rsid w:val="00A27CE6"/>
    <w:rsid w:val="00A30828"/>
    <w:rsid w:val="00A30A4F"/>
    <w:rsid w:val="00A30EDC"/>
    <w:rsid w:val="00A31B57"/>
    <w:rsid w:val="00A324CA"/>
    <w:rsid w:val="00A32CEF"/>
    <w:rsid w:val="00A334FF"/>
    <w:rsid w:val="00A335FB"/>
    <w:rsid w:val="00A338C4"/>
    <w:rsid w:val="00A33E71"/>
    <w:rsid w:val="00A3400B"/>
    <w:rsid w:val="00A3425C"/>
    <w:rsid w:val="00A34576"/>
    <w:rsid w:val="00A40986"/>
    <w:rsid w:val="00A416B9"/>
    <w:rsid w:val="00A41CDA"/>
    <w:rsid w:val="00A42291"/>
    <w:rsid w:val="00A43351"/>
    <w:rsid w:val="00A43A70"/>
    <w:rsid w:val="00A44BFB"/>
    <w:rsid w:val="00A4754C"/>
    <w:rsid w:val="00A5059B"/>
    <w:rsid w:val="00A51694"/>
    <w:rsid w:val="00A529BF"/>
    <w:rsid w:val="00A551C0"/>
    <w:rsid w:val="00A554F8"/>
    <w:rsid w:val="00A566D6"/>
    <w:rsid w:val="00A56DA3"/>
    <w:rsid w:val="00A56E19"/>
    <w:rsid w:val="00A573AE"/>
    <w:rsid w:val="00A57DED"/>
    <w:rsid w:val="00A6125B"/>
    <w:rsid w:val="00A613AB"/>
    <w:rsid w:val="00A61622"/>
    <w:rsid w:val="00A65127"/>
    <w:rsid w:val="00A6549C"/>
    <w:rsid w:val="00A657C4"/>
    <w:rsid w:val="00A6591F"/>
    <w:rsid w:val="00A65F5A"/>
    <w:rsid w:val="00A66441"/>
    <w:rsid w:val="00A67425"/>
    <w:rsid w:val="00A70022"/>
    <w:rsid w:val="00A706FB"/>
    <w:rsid w:val="00A70DB1"/>
    <w:rsid w:val="00A71A23"/>
    <w:rsid w:val="00A735D7"/>
    <w:rsid w:val="00A73FDB"/>
    <w:rsid w:val="00A74B89"/>
    <w:rsid w:val="00A74CD5"/>
    <w:rsid w:val="00A74FD6"/>
    <w:rsid w:val="00A753F1"/>
    <w:rsid w:val="00A75537"/>
    <w:rsid w:val="00A778BC"/>
    <w:rsid w:val="00A81920"/>
    <w:rsid w:val="00A81BA6"/>
    <w:rsid w:val="00A8268B"/>
    <w:rsid w:val="00A84063"/>
    <w:rsid w:val="00A84EA8"/>
    <w:rsid w:val="00A86AFA"/>
    <w:rsid w:val="00A86E4E"/>
    <w:rsid w:val="00A90112"/>
    <w:rsid w:val="00A90E67"/>
    <w:rsid w:val="00A90EA0"/>
    <w:rsid w:val="00A910F6"/>
    <w:rsid w:val="00A926A7"/>
    <w:rsid w:val="00A93D27"/>
    <w:rsid w:val="00A94A89"/>
    <w:rsid w:val="00A94AB4"/>
    <w:rsid w:val="00A94BF4"/>
    <w:rsid w:val="00A96900"/>
    <w:rsid w:val="00A97664"/>
    <w:rsid w:val="00A978C2"/>
    <w:rsid w:val="00AA05C2"/>
    <w:rsid w:val="00AA21D4"/>
    <w:rsid w:val="00AA59B7"/>
    <w:rsid w:val="00AA5A3C"/>
    <w:rsid w:val="00AA6CD8"/>
    <w:rsid w:val="00AA7B1F"/>
    <w:rsid w:val="00AB0572"/>
    <w:rsid w:val="00AB1190"/>
    <w:rsid w:val="00AB315F"/>
    <w:rsid w:val="00AB4A1A"/>
    <w:rsid w:val="00AB507F"/>
    <w:rsid w:val="00AB6709"/>
    <w:rsid w:val="00AB7FCC"/>
    <w:rsid w:val="00AC034C"/>
    <w:rsid w:val="00AC1D8A"/>
    <w:rsid w:val="00AC22CB"/>
    <w:rsid w:val="00AC2B49"/>
    <w:rsid w:val="00AC2C10"/>
    <w:rsid w:val="00AC2E94"/>
    <w:rsid w:val="00AC3770"/>
    <w:rsid w:val="00AC4091"/>
    <w:rsid w:val="00AC4C46"/>
    <w:rsid w:val="00AC5171"/>
    <w:rsid w:val="00AC57F9"/>
    <w:rsid w:val="00AC7BD8"/>
    <w:rsid w:val="00AD0250"/>
    <w:rsid w:val="00AD1DC3"/>
    <w:rsid w:val="00AD2499"/>
    <w:rsid w:val="00AD3A62"/>
    <w:rsid w:val="00AD55D3"/>
    <w:rsid w:val="00AD70D4"/>
    <w:rsid w:val="00AE0EA8"/>
    <w:rsid w:val="00AE14E2"/>
    <w:rsid w:val="00AE2E8D"/>
    <w:rsid w:val="00AE2EB4"/>
    <w:rsid w:val="00AE3260"/>
    <w:rsid w:val="00AE3A96"/>
    <w:rsid w:val="00AE43D9"/>
    <w:rsid w:val="00AE5077"/>
    <w:rsid w:val="00AE5581"/>
    <w:rsid w:val="00AE58B6"/>
    <w:rsid w:val="00AE7D0D"/>
    <w:rsid w:val="00AF0076"/>
    <w:rsid w:val="00AF0293"/>
    <w:rsid w:val="00AF03FC"/>
    <w:rsid w:val="00AF0C19"/>
    <w:rsid w:val="00AF0E6E"/>
    <w:rsid w:val="00AF1810"/>
    <w:rsid w:val="00AF205E"/>
    <w:rsid w:val="00AF25AA"/>
    <w:rsid w:val="00AF27A4"/>
    <w:rsid w:val="00AF3F2C"/>
    <w:rsid w:val="00AF5235"/>
    <w:rsid w:val="00AF563B"/>
    <w:rsid w:val="00AF5707"/>
    <w:rsid w:val="00AF5AAE"/>
    <w:rsid w:val="00AF74C0"/>
    <w:rsid w:val="00B00BAD"/>
    <w:rsid w:val="00B02298"/>
    <w:rsid w:val="00B034F3"/>
    <w:rsid w:val="00B03F46"/>
    <w:rsid w:val="00B03F5E"/>
    <w:rsid w:val="00B0420E"/>
    <w:rsid w:val="00B04B44"/>
    <w:rsid w:val="00B057D2"/>
    <w:rsid w:val="00B06A6B"/>
    <w:rsid w:val="00B0728F"/>
    <w:rsid w:val="00B07683"/>
    <w:rsid w:val="00B104A2"/>
    <w:rsid w:val="00B108CC"/>
    <w:rsid w:val="00B109E2"/>
    <w:rsid w:val="00B1101C"/>
    <w:rsid w:val="00B12403"/>
    <w:rsid w:val="00B12D63"/>
    <w:rsid w:val="00B173E7"/>
    <w:rsid w:val="00B177D5"/>
    <w:rsid w:val="00B1786A"/>
    <w:rsid w:val="00B20695"/>
    <w:rsid w:val="00B20861"/>
    <w:rsid w:val="00B20CC7"/>
    <w:rsid w:val="00B211F3"/>
    <w:rsid w:val="00B21294"/>
    <w:rsid w:val="00B22A96"/>
    <w:rsid w:val="00B22B0B"/>
    <w:rsid w:val="00B243D9"/>
    <w:rsid w:val="00B248B4"/>
    <w:rsid w:val="00B25DF5"/>
    <w:rsid w:val="00B270D2"/>
    <w:rsid w:val="00B326E5"/>
    <w:rsid w:val="00B32C8C"/>
    <w:rsid w:val="00B32E41"/>
    <w:rsid w:val="00B33291"/>
    <w:rsid w:val="00B334AC"/>
    <w:rsid w:val="00B345C2"/>
    <w:rsid w:val="00B35B53"/>
    <w:rsid w:val="00B3648D"/>
    <w:rsid w:val="00B36BFA"/>
    <w:rsid w:val="00B36EE7"/>
    <w:rsid w:val="00B370DF"/>
    <w:rsid w:val="00B3711F"/>
    <w:rsid w:val="00B41207"/>
    <w:rsid w:val="00B416DC"/>
    <w:rsid w:val="00B4271E"/>
    <w:rsid w:val="00B42D18"/>
    <w:rsid w:val="00B44938"/>
    <w:rsid w:val="00B451AF"/>
    <w:rsid w:val="00B45F75"/>
    <w:rsid w:val="00B46327"/>
    <w:rsid w:val="00B46442"/>
    <w:rsid w:val="00B502FF"/>
    <w:rsid w:val="00B5064F"/>
    <w:rsid w:val="00B525D5"/>
    <w:rsid w:val="00B53040"/>
    <w:rsid w:val="00B538C1"/>
    <w:rsid w:val="00B54092"/>
    <w:rsid w:val="00B54332"/>
    <w:rsid w:val="00B54763"/>
    <w:rsid w:val="00B56A3B"/>
    <w:rsid w:val="00B56C4D"/>
    <w:rsid w:val="00B56F6A"/>
    <w:rsid w:val="00B602AC"/>
    <w:rsid w:val="00B604A2"/>
    <w:rsid w:val="00B61403"/>
    <w:rsid w:val="00B61D4E"/>
    <w:rsid w:val="00B61FFD"/>
    <w:rsid w:val="00B63213"/>
    <w:rsid w:val="00B633D1"/>
    <w:rsid w:val="00B63986"/>
    <w:rsid w:val="00B63D8C"/>
    <w:rsid w:val="00B64296"/>
    <w:rsid w:val="00B6472F"/>
    <w:rsid w:val="00B65164"/>
    <w:rsid w:val="00B6554D"/>
    <w:rsid w:val="00B656C0"/>
    <w:rsid w:val="00B656F5"/>
    <w:rsid w:val="00B666FF"/>
    <w:rsid w:val="00B67D7F"/>
    <w:rsid w:val="00B67EA6"/>
    <w:rsid w:val="00B70196"/>
    <w:rsid w:val="00B71D3F"/>
    <w:rsid w:val="00B7213F"/>
    <w:rsid w:val="00B727A6"/>
    <w:rsid w:val="00B747BA"/>
    <w:rsid w:val="00B74DB3"/>
    <w:rsid w:val="00B75556"/>
    <w:rsid w:val="00B757B4"/>
    <w:rsid w:val="00B75F3D"/>
    <w:rsid w:val="00B76E00"/>
    <w:rsid w:val="00B7730A"/>
    <w:rsid w:val="00B77A46"/>
    <w:rsid w:val="00B804B0"/>
    <w:rsid w:val="00B81E56"/>
    <w:rsid w:val="00B82441"/>
    <w:rsid w:val="00B843DB"/>
    <w:rsid w:val="00B844DE"/>
    <w:rsid w:val="00B8468E"/>
    <w:rsid w:val="00B84ABA"/>
    <w:rsid w:val="00B871FD"/>
    <w:rsid w:val="00B912F8"/>
    <w:rsid w:val="00B914A1"/>
    <w:rsid w:val="00B939D5"/>
    <w:rsid w:val="00B9567A"/>
    <w:rsid w:val="00B9738E"/>
    <w:rsid w:val="00B974BE"/>
    <w:rsid w:val="00BA0C1A"/>
    <w:rsid w:val="00BA0FBD"/>
    <w:rsid w:val="00BA1041"/>
    <w:rsid w:val="00BA2429"/>
    <w:rsid w:val="00BA2767"/>
    <w:rsid w:val="00BA283F"/>
    <w:rsid w:val="00BA3FB7"/>
    <w:rsid w:val="00BA628A"/>
    <w:rsid w:val="00BA7D2F"/>
    <w:rsid w:val="00BB09CD"/>
    <w:rsid w:val="00BB1219"/>
    <w:rsid w:val="00BB1CE8"/>
    <w:rsid w:val="00BB22DA"/>
    <w:rsid w:val="00BB244F"/>
    <w:rsid w:val="00BB2904"/>
    <w:rsid w:val="00BB3E06"/>
    <w:rsid w:val="00BB4251"/>
    <w:rsid w:val="00BB427D"/>
    <w:rsid w:val="00BB548C"/>
    <w:rsid w:val="00BB5710"/>
    <w:rsid w:val="00BB6DB9"/>
    <w:rsid w:val="00BB6EED"/>
    <w:rsid w:val="00BB7452"/>
    <w:rsid w:val="00BB7E81"/>
    <w:rsid w:val="00BC03E2"/>
    <w:rsid w:val="00BC075F"/>
    <w:rsid w:val="00BC0DFD"/>
    <w:rsid w:val="00BC1047"/>
    <w:rsid w:val="00BC23E8"/>
    <w:rsid w:val="00BC274B"/>
    <w:rsid w:val="00BC299B"/>
    <w:rsid w:val="00BC370A"/>
    <w:rsid w:val="00BC453A"/>
    <w:rsid w:val="00BC4F01"/>
    <w:rsid w:val="00BC5B1D"/>
    <w:rsid w:val="00BC5C7F"/>
    <w:rsid w:val="00BC607B"/>
    <w:rsid w:val="00BD0C49"/>
    <w:rsid w:val="00BD29E2"/>
    <w:rsid w:val="00BD4DAE"/>
    <w:rsid w:val="00BD5754"/>
    <w:rsid w:val="00BD57D5"/>
    <w:rsid w:val="00BD660A"/>
    <w:rsid w:val="00BD6C6C"/>
    <w:rsid w:val="00BD7F2F"/>
    <w:rsid w:val="00BE1168"/>
    <w:rsid w:val="00BE1C8B"/>
    <w:rsid w:val="00BE2021"/>
    <w:rsid w:val="00BE2292"/>
    <w:rsid w:val="00BE56E3"/>
    <w:rsid w:val="00BE6DBC"/>
    <w:rsid w:val="00BF02B6"/>
    <w:rsid w:val="00BF02BC"/>
    <w:rsid w:val="00BF03D0"/>
    <w:rsid w:val="00BF2403"/>
    <w:rsid w:val="00BF26E3"/>
    <w:rsid w:val="00BF3E43"/>
    <w:rsid w:val="00BF4498"/>
    <w:rsid w:val="00BF452A"/>
    <w:rsid w:val="00BF4825"/>
    <w:rsid w:val="00BF5865"/>
    <w:rsid w:val="00BF5FA7"/>
    <w:rsid w:val="00C009EB"/>
    <w:rsid w:val="00C00FCB"/>
    <w:rsid w:val="00C020EF"/>
    <w:rsid w:val="00C04449"/>
    <w:rsid w:val="00C048BC"/>
    <w:rsid w:val="00C04C7D"/>
    <w:rsid w:val="00C06748"/>
    <w:rsid w:val="00C07D1C"/>
    <w:rsid w:val="00C108E0"/>
    <w:rsid w:val="00C10C10"/>
    <w:rsid w:val="00C126FE"/>
    <w:rsid w:val="00C133A4"/>
    <w:rsid w:val="00C16FD9"/>
    <w:rsid w:val="00C179F3"/>
    <w:rsid w:val="00C17A54"/>
    <w:rsid w:val="00C17C32"/>
    <w:rsid w:val="00C2029A"/>
    <w:rsid w:val="00C20594"/>
    <w:rsid w:val="00C20896"/>
    <w:rsid w:val="00C21211"/>
    <w:rsid w:val="00C22375"/>
    <w:rsid w:val="00C23765"/>
    <w:rsid w:val="00C24294"/>
    <w:rsid w:val="00C243D5"/>
    <w:rsid w:val="00C24718"/>
    <w:rsid w:val="00C25629"/>
    <w:rsid w:val="00C25C0D"/>
    <w:rsid w:val="00C278FE"/>
    <w:rsid w:val="00C27A6E"/>
    <w:rsid w:val="00C30E37"/>
    <w:rsid w:val="00C31064"/>
    <w:rsid w:val="00C31F17"/>
    <w:rsid w:val="00C32705"/>
    <w:rsid w:val="00C32D1A"/>
    <w:rsid w:val="00C330BD"/>
    <w:rsid w:val="00C344FF"/>
    <w:rsid w:val="00C345D5"/>
    <w:rsid w:val="00C351D6"/>
    <w:rsid w:val="00C361E1"/>
    <w:rsid w:val="00C3630B"/>
    <w:rsid w:val="00C36C4F"/>
    <w:rsid w:val="00C37796"/>
    <w:rsid w:val="00C37B5C"/>
    <w:rsid w:val="00C40840"/>
    <w:rsid w:val="00C41091"/>
    <w:rsid w:val="00C411F5"/>
    <w:rsid w:val="00C4149D"/>
    <w:rsid w:val="00C41EBE"/>
    <w:rsid w:val="00C41F05"/>
    <w:rsid w:val="00C429E5"/>
    <w:rsid w:val="00C430B7"/>
    <w:rsid w:val="00C45682"/>
    <w:rsid w:val="00C45757"/>
    <w:rsid w:val="00C45CEC"/>
    <w:rsid w:val="00C4628A"/>
    <w:rsid w:val="00C469CF"/>
    <w:rsid w:val="00C47920"/>
    <w:rsid w:val="00C50285"/>
    <w:rsid w:val="00C502E7"/>
    <w:rsid w:val="00C503C2"/>
    <w:rsid w:val="00C515D2"/>
    <w:rsid w:val="00C517DC"/>
    <w:rsid w:val="00C52321"/>
    <w:rsid w:val="00C5509E"/>
    <w:rsid w:val="00C55E33"/>
    <w:rsid w:val="00C5624C"/>
    <w:rsid w:val="00C608B7"/>
    <w:rsid w:val="00C60AD6"/>
    <w:rsid w:val="00C63004"/>
    <w:rsid w:val="00C638A9"/>
    <w:rsid w:val="00C63D63"/>
    <w:rsid w:val="00C646CA"/>
    <w:rsid w:val="00C652B4"/>
    <w:rsid w:val="00C67436"/>
    <w:rsid w:val="00C67C40"/>
    <w:rsid w:val="00C707BF"/>
    <w:rsid w:val="00C70F5A"/>
    <w:rsid w:val="00C71AAC"/>
    <w:rsid w:val="00C71B99"/>
    <w:rsid w:val="00C71DAF"/>
    <w:rsid w:val="00C724AC"/>
    <w:rsid w:val="00C733A3"/>
    <w:rsid w:val="00C73441"/>
    <w:rsid w:val="00C74033"/>
    <w:rsid w:val="00C741D6"/>
    <w:rsid w:val="00C74212"/>
    <w:rsid w:val="00C76073"/>
    <w:rsid w:val="00C77B71"/>
    <w:rsid w:val="00C80481"/>
    <w:rsid w:val="00C80A23"/>
    <w:rsid w:val="00C810BC"/>
    <w:rsid w:val="00C81434"/>
    <w:rsid w:val="00C8148F"/>
    <w:rsid w:val="00C821C1"/>
    <w:rsid w:val="00C82F80"/>
    <w:rsid w:val="00C86039"/>
    <w:rsid w:val="00C86799"/>
    <w:rsid w:val="00C8733B"/>
    <w:rsid w:val="00C87593"/>
    <w:rsid w:val="00C9320B"/>
    <w:rsid w:val="00C9392A"/>
    <w:rsid w:val="00C93AF0"/>
    <w:rsid w:val="00C955E8"/>
    <w:rsid w:val="00C95DDD"/>
    <w:rsid w:val="00C96603"/>
    <w:rsid w:val="00C971F6"/>
    <w:rsid w:val="00CA122D"/>
    <w:rsid w:val="00CA16D9"/>
    <w:rsid w:val="00CA1B2B"/>
    <w:rsid w:val="00CA20F0"/>
    <w:rsid w:val="00CA2987"/>
    <w:rsid w:val="00CA329A"/>
    <w:rsid w:val="00CA37DE"/>
    <w:rsid w:val="00CA3A59"/>
    <w:rsid w:val="00CA3F22"/>
    <w:rsid w:val="00CA4D72"/>
    <w:rsid w:val="00CA528B"/>
    <w:rsid w:val="00CA5F65"/>
    <w:rsid w:val="00CA6BC0"/>
    <w:rsid w:val="00CA70E1"/>
    <w:rsid w:val="00CA7796"/>
    <w:rsid w:val="00CB011B"/>
    <w:rsid w:val="00CB0352"/>
    <w:rsid w:val="00CB1A55"/>
    <w:rsid w:val="00CB1CEA"/>
    <w:rsid w:val="00CB2C78"/>
    <w:rsid w:val="00CB335A"/>
    <w:rsid w:val="00CB3A11"/>
    <w:rsid w:val="00CB3E0A"/>
    <w:rsid w:val="00CB405E"/>
    <w:rsid w:val="00CB4B19"/>
    <w:rsid w:val="00CB5267"/>
    <w:rsid w:val="00CB70D5"/>
    <w:rsid w:val="00CB7249"/>
    <w:rsid w:val="00CB79C3"/>
    <w:rsid w:val="00CB7D65"/>
    <w:rsid w:val="00CC051A"/>
    <w:rsid w:val="00CC18FC"/>
    <w:rsid w:val="00CC1999"/>
    <w:rsid w:val="00CC1B00"/>
    <w:rsid w:val="00CC2F61"/>
    <w:rsid w:val="00CC3CAF"/>
    <w:rsid w:val="00CC4051"/>
    <w:rsid w:val="00CC5FEB"/>
    <w:rsid w:val="00CC6154"/>
    <w:rsid w:val="00CC7F28"/>
    <w:rsid w:val="00CD0320"/>
    <w:rsid w:val="00CD045F"/>
    <w:rsid w:val="00CD0AA4"/>
    <w:rsid w:val="00CD22DD"/>
    <w:rsid w:val="00CD2888"/>
    <w:rsid w:val="00CD3B4E"/>
    <w:rsid w:val="00CD3F24"/>
    <w:rsid w:val="00CD53F8"/>
    <w:rsid w:val="00CE082B"/>
    <w:rsid w:val="00CE290A"/>
    <w:rsid w:val="00CE39D2"/>
    <w:rsid w:val="00CE40A4"/>
    <w:rsid w:val="00CE416D"/>
    <w:rsid w:val="00CE431B"/>
    <w:rsid w:val="00CE4BF7"/>
    <w:rsid w:val="00CE5793"/>
    <w:rsid w:val="00CE59B0"/>
    <w:rsid w:val="00CE6459"/>
    <w:rsid w:val="00CE7328"/>
    <w:rsid w:val="00CF05BD"/>
    <w:rsid w:val="00CF11A8"/>
    <w:rsid w:val="00CF139D"/>
    <w:rsid w:val="00CF2910"/>
    <w:rsid w:val="00CF33F4"/>
    <w:rsid w:val="00CF33F7"/>
    <w:rsid w:val="00CF409F"/>
    <w:rsid w:val="00CF4658"/>
    <w:rsid w:val="00CF65FF"/>
    <w:rsid w:val="00CF669C"/>
    <w:rsid w:val="00CF72BF"/>
    <w:rsid w:val="00CF7E3E"/>
    <w:rsid w:val="00D04363"/>
    <w:rsid w:val="00D045D2"/>
    <w:rsid w:val="00D053E1"/>
    <w:rsid w:val="00D056B3"/>
    <w:rsid w:val="00D05B41"/>
    <w:rsid w:val="00D0661F"/>
    <w:rsid w:val="00D06CF6"/>
    <w:rsid w:val="00D07515"/>
    <w:rsid w:val="00D076F0"/>
    <w:rsid w:val="00D07737"/>
    <w:rsid w:val="00D1089B"/>
    <w:rsid w:val="00D109B2"/>
    <w:rsid w:val="00D11B91"/>
    <w:rsid w:val="00D11E41"/>
    <w:rsid w:val="00D132AB"/>
    <w:rsid w:val="00D15472"/>
    <w:rsid w:val="00D16D9B"/>
    <w:rsid w:val="00D16F5C"/>
    <w:rsid w:val="00D20FDA"/>
    <w:rsid w:val="00D214B1"/>
    <w:rsid w:val="00D223B8"/>
    <w:rsid w:val="00D22936"/>
    <w:rsid w:val="00D22DEB"/>
    <w:rsid w:val="00D22EAA"/>
    <w:rsid w:val="00D23F2C"/>
    <w:rsid w:val="00D24880"/>
    <w:rsid w:val="00D24C0E"/>
    <w:rsid w:val="00D258E2"/>
    <w:rsid w:val="00D25EF9"/>
    <w:rsid w:val="00D261F5"/>
    <w:rsid w:val="00D264E9"/>
    <w:rsid w:val="00D2720C"/>
    <w:rsid w:val="00D278B5"/>
    <w:rsid w:val="00D2792F"/>
    <w:rsid w:val="00D312CB"/>
    <w:rsid w:val="00D31586"/>
    <w:rsid w:val="00D32673"/>
    <w:rsid w:val="00D32750"/>
    <w:rsid w:val="00D333D5"/>
    <w:rsid w:val="00D34402"/>
    <w:rsid w:val="00D35327"/>
    <w:rsid w:val="00D36F92"/>
    <w:rsid w:val="00D37C8A"/>
    <w:rsid w:val="00D402CC"/>
    <w:rsid w:val="00D41060"/>
    <w:rsid w:val="00D41E7B"/>
    <w:rsid w:val="00D428C6"/>
    <w:rsid w:val="00D44071"/>
    <w:rsid w:val="00D444E3"/>
    <w:rsid w:val="00D44711"/>
    <w:rsid w:val="00D449F5"/>
    <w:rsid w:val="00D44F6C"/>
    <w:rsid w:val="00D46071"/>
    <w:rsid w:val="00D463B3"/>
    <w:rsid w:val="00D46C14"/>
    <w:rsid w:val="00D47381"/>
    <w:rsid w:val="00D502C6"/>
    <w:rsid w:val="00D51CCB"/>
    <w:rsid w:val="00D521BE"/>
    <w:rsid w:val="00D541ED"/>
    <w:rsid w:val="00D54B53"/>
    <w:rsid w:val="00D56FFB"/>
    <w:rsid w:val="00D60D3A"/>
    <w:rsid w:val="00D60FE7"/>
    <w:rsid w:val="00D615EF"/>
    <w:rsid w:val="00D61BD4"/>
    <w:rsid w:val="00D62DB6"/>
    <w:rsid w:val="00D63D80"/>
    <w:rsid w:val="00D64ABF"/>
    <w:rsid w:val="00D64C14"/>
    <w:rsid w:val="00D662FF"/>
    <w:rsid w:val="00D66848"/>
    <w:rsid w:val="00D66906"/>
    <w:rsid w:val="00D676DD"/>
    <w:rsid w:val="00D716C1"/>
    <w:rsid w:val="00D71C11"/>
    <w:rsid w:val="00D72BA5"/>
    <w:rsid w:val="00D736CC"/>
    <w:rsid w:val="00D73848"/>
    <w:rsid w:val="00D74128"/>
    <w:rsid w:val="00D74CA6"/>
    <w:rsid w:val="00D75C61"/>
    <w:rsid w:val="00D76908"/>
    <w:rsid w:val="00D8053C"/>
    <w:rsid w:val="00D81720"/>
    <w:rsid w:val="00D825A3"/>
    <w:rsid w:val="00D83A99"/>
    <w:rsid w:val="00D84302"/>
    <w:rsid w:val="00D84949"/>
    <w:rsid w:val="00D853C3"/>
    <w:rsid w:val="00D8541E"/>
    <w:rsid w:val="00D87C50"/>
    <w:rsid w:val="00D87EE7"/>
    <w:rsid w:val="00D900DE"/>
    <w:rsid w:val="00D90D85"/>
    <w:rsid w:val="00D91D47"/>
    <w:rsid w:val="00D92C43"/>
    <w:rsid w:val="00D94108"/>
    <w:rsid w:val="00D94E62"/>
    <w:rsid w:val="00D957AC"/>
    <w:rsid w:val="00D95D9D"/>
    <w:rsid w:val="00D95F31"/>
    <w:rsid w:val="00D96325"/>
    <w:rsid w:val="00D965F8"/>
    <w:rsid w:val="00DA17A8"/>
    <w:rsid w:val="00DA1EA2"/>
    <w:rsid w:val="00DA252A"/>
    <w:rsid w:val="00DA28A9"/>
    <w:rsid w:val="00DA3CEB"/>
    <w:rsid w:val="00DA47F5"/>
    <w:rsid w:val="00DA58CD"/>
    <w:rsid w:val="00DA6143"/>
    <w:rsid w:val="00DA79F8"/>
    <w:rsid w:val="00DA7F7F"/>
    <w:rsid w:val="00DB0E2C"/>
    <w:rsid w:val="00DB1BBF"/>
    <w:rsid w:val="00DB2D35"/>
    <w:rsid w:val="00DB30E2"/>
    <w:rsid w:val="00DB37BF"/>
    <w:rsid w:val="00DB42C3"/>
    <w:rsid w:val="00DB48B3"/>
    <w:rsid w:val="00DB4B20"/>
    <w:rsid w:val="00DB6404"/>
    <w:rsid w:val="00DB6FD1"/>
    <w:rsid w:val="00DC0C08"/>
    <w:rsid w:val="00DC161D"/>
    <w:rsid w:val="00DC223F"/>
    <w:rsid w:val="00DC3215"/>
    <w:rsid w:val="00DC45A4"/>
    <w:rsid w:val="00DC576F"/>
    <w:rsid w:val="00DD3DCD"/>
    <w:rsid w:val="00DD6358"/>
    <w:rsid w:val="00DD63F0"/>
    <w:rsid w:val="00DD6724"/>
    <w:rsid w:val="00DD67EC"/>
    <w:rsid w:val="00DD7383"/>
    <w:rsid w:val="00DD7564"/>
    <w:rsid w:val="00DD783A"/>
    <w:rsid w:val="00DD7AC6"/>
    <w:rsid w:val="00DE022C"/>
    <w:rsid w:val="00DE123A"/>
    <w:rsid w:val="00DE1F0B"/>
    <w:rsid w:val="00DE20D5"/>
    <w:rsid w:val="00DE31FC"/>
    <w:rsid w:val="00DE44C2"/>
    <w:rsid w:val="00DE598F"/>
    <w:rsid w:val="00DE633E"/>
    <w:rsid w:val="00DE6852"/>
    <w:rsid w:val="00DE75C1"/>
    <w:rsid w:val="00DF01BE"/>
    <w:rsid w:val="00DF0A66"/>
    <w:rsid w:val="00DF0B58"/>
    <w:rsid w:val="00DF1304"/>
    <w:rsid w:val="00DF22BB"/>
    <w:rsid w:val="00DF297D"/>
    <w:rsid w:val="00DF3180"/>
    <w:rsid w:val="00DF3314"/>
    <w:rsid w:val="00DF33D4"/>
    <w:rsid w:val="00DF7DD9"/>
    <w:rsid w:val="00E004D4"/>
    <w:rsid w:val="00E00FEC"/>
    <w:rsid w:val="00E02E2E"/>
    <w:rsid w:val="00E05E03"/>
    <w:rsid w:val="00E064F9"/>
    <w:rsid w:val="00E104B0"/>
    <w:rsid w:val="00E10971"/>
    <w:rsid w:val="00E11B0C"/>
    <w:rsid w:val="00E12A65"/>
    <w:rsid w:val="00E12BB6"/>
    <w:rsid w:val="00E12FA9"/>
    <w:rsid w:val="00E138DB"/>
    <w:rsid w:val="00E15F98"/>
    <w:rsid w:val="00E15FCD"/>
    <w:rsid w:val="00E16D86"/>
    <w:rsid w:val="00E16EAD"/>
    <w:rsid w:val="00E208FF"/>
    <w:rsid w:val="00E211C5"/>
    <w:rsid w:val="00E240A6"/>
    <w:rsid w:val="00E252A2"/>
    <w:rsid w:val="00E26DD6"/>
    <w:rsid w:val="00E305BA"/>
    <w:rsid w:val="00E30D9A"/>
    <w:rsid w:val="00E318B7"/>
    <w:rsid w:val="00E32365"/>
    <w:rsid w:val="00E33126"/>
    <w:rsid w:val="00E336C4"/>
    <w:rsid w:val="00E34CE1"/>
    <w:rsid w:val="00E35AA9"/>
    <w:rsid w:val="00E37881"/>
    <w:rsid w:val="00E40747"/>
    <w:rsid w:val="00E40B8B"/>
    <w:rsid w:val="00E42AED"/>
    <w:rsid w:val="00E430A0"/>
    <w:rsid w:val="00E44D84"/>
    <w:rsid w:val="00E45451"/>
    <w:rsid w:val="00E46748"/>
    <w:rsid w:val="00E473C3"/>
    <w:rsid w:val="00E4788A"/>
    <w:rsid w:val="00E50124"/>
    <w:rsid w:val="00E50292"/>
    <w:rsid w:val="00E502B1"/>
    <w:rsid w:val="00E50973"/>
    <w:rsid w:val="00E516FC"/>
    <w:rsid w:val="00E51997"/>
    <w:rsid w:val="00E52497"/>
    <w:rsid w:val="00E524A6"/>
    <w:rsid w:val="00E52E8D"/>
    <w:rsid w:val="00E54284"/>
    <w:rsid w:val="00E54E12"/>
    <w:rsid w:val="00E5552A"/>
    <w:rsid w:val="00E556AE"/>
    <w:rsid w:val="00E55C10"/>
    <w:rsid w:val="00E56087"/>
    <w:rsid w:val="00E561B3"/>
    <w:rsid w:val="00E56BA1"/>
    <w:rsid w:val="00E57127"/>
    <w:rsid w:val="00E5748F"/>
    <w:rsid w:val="00E57E36"/>
    <w:rsid w:val="00E6003D"/>
    <w:rsid w:val="00E63218"/>
    <w:rsid w:val="00E64065"/>
    <w:rsid w:val="00E6436B"/>
    <w:rsid w:val="00E64501"/>
    <w:rsid w:val="00E65322"/>
    <w:rsid w:val="00E65FF0"/>
    <w:rsid w:val="00E665F3"/>
    <w:rsid w:val="00E66F6A"/>
    <w:rsid w:val="00E67F1C"/>
    <w:rsid w:val="00E7016C"/>
    <w:rsid w:val="00E704F7"/>
    <w:rsid w:val="00E70694"/>
    <w:rsid w:val="00E710DB"/>
    <w:rsid w:val="00E71319"/>
    <w:rsid w:val="00E72BA8"/>
    <w:rsid w:val="00E73399"/>
    <w:rsid w:val="00E74939"/>
    <w:rsid w:val="00E74A78"/>
    <w:rsid w:val="00E767CC"/>
    <w:rsid w:val="00E80BF6"/>
    <w:rsid w:val="00E80E6D"/>
    <w:rsid w:val="00E81486"/>
    <w:rsid w:val="00E81588"/>
    <w:rsid w:val="00E819DF"/>
    <w:rsid w:val="00E81E53"/>
    <w:rsid w:val="00E82F22"/>
    <w:rsid w:val="00E83CDF"/>
    <w:rsid w:val="00E85108"/>
    <w:rsid w:val="00E8636D"/>
    <w:rsid w:val="00E87060"/>
    <w:rsid w:val="00E90452"/>
    <w:rsid w:val="00E909A6"/>
    <w:rsid w:val="00E90C9F"/>
    <w:rsid w:val="00E911D9"/>
    <w:rsid w:val="00E9125E"/>
    <w:rsid w:val="00E91580"/>
    <w:rsid w:val="00E91A73"/>
    <w:rsid w:val="00E927FF"/>
    <w:rsid w:val="00E92BF0"/>
    <w:rsid w:val="00E92C48"/>
    <w:rsid w:val="00E93247"/>
    <w:rsid w:val="00E9340A"/>
    <w:rsid w:val="00E938C0"/>
    <w:rsid w:val="00E94091"/>
    <w:rsid w:val="00E941AE"/>
    <w:rsid w:val="00E968BE"/>
    <w:rsid w:val="00E970F7"/>
    <w:rsid w:val="00E97D64"/>
    <w:rsid w:val="00EA037C"/>
    <w:rsid w:val="00EA1971"/>
    <w:rsid w:val="00EA4840"/>
    <w:rsid w:val="00EA7677"/>
    <w:rsid w:val="00EB18C1"/>
    <w:rsid w:val="00EB195C"/>
    <w:rsid w:val="00EB2A87"/>
    <w:rsid w:val="00EB31E8"/>
    <w:rsid w:val="00EB568C"/>
    <w:rsid w:val="00EB6336"/>
    <w:rsid w:val="00EB700B"/>
    <w:rsid w:val="00EB7FD4"/>
    <w:rsid w:val="00EC0484"/>
    <w:rsid w:val="00EC0549"/>
    <w:rsid w:val="00EC15D6"/>
    <w:rsid w:val="00EC1956"/>
    <w:rsid w:val="00EC1B4F"/>
    <w:rsid w:val="00EC3425"/>
    <w:rsid w:val="00EC39F4"/>
    <w:rsid w:val="00EC4FB6"/>
    <w:rsid w:val="00EC6243"/>
    <w:rsid w:val="00EC6311"/>
    <w:rsid w:val="00EC773B"/>
    <w:rsid w:val="00EC77E9"/>
    <w:rsid w:val="00ED0784"/>
    <w:rsid w:val="00ED0F93"/>
    <w:rsid w:val="00ED13A1"/>
    <w:rsid w:val="00ED14A9"/>
    <w:rsid w:val="00ED1CCF"/>
    <w:rsid w:val="00ED20D9"/>
    <w:rsid w:val="00ED28ED"/>
    <w:rsid w:val="00ED418B"/>
    <w:rsid w:val="00ED5E89"/>
    <w:rsid w:val="00ED68BC"/>
    <w:rsid w:val="00ED75A7"/>
    <w:rsid w:val="00ED7D7E"/>
    <w:rsid w:val="00EE15B4"/>
    <w:rsid w:val="00EE1CCE"/>
    <w:rsid w:val="00EE207F"/>
    <w:rsid w:val="00EE2B45"/>
    <w:rsid w:val="00EE2E4E"/>
    <w:rsid w:val="00EE3860"/>
    <w:rsid w:val="00EE5ABE"/>
    <w:rsid w:val="00EE5D89"/>
    <w:rsid w:val="00EE5F06"/>
    <w:rsid w:val="00EE6D11"/>
    <w:rsid w:val="00EF1FF1"/>
    <w:rsid w:val="00EF20EA"/>
    <w:rsid w:val="00EF351B"/>
    <w:rsid w:val="00EF4710"/>
    <w:rsid w:val="00EF57E1"/>
    <w:rsid w:val="00EF64DD"/>
    <w:rsid w:val="00EF65DF"/>
    <w:rsid w:val="00EF6C3E"/>
    <w:rsid w:val="00EF7C9A"/>
    <w:rsid w:val="00F00B5B"/>
    <w:rsid w:val="00F02746"/>
    <w:rsid w:val="00F03940"/>
    <w:rsid w:val="00F0415F"/>
    <w:rsid w:val="00F05610"/>
    <w:rsid w:val="00F0598C"/>
    <w:rsid w:val="00F05C00"/>
    <w:rsid w:val="00F10985"/>
    <w:rsid w:val="00F10B44"/>
    <w:rsid w:val="00F10B7E"/>
    <w:rsid w:val="00F128AD"/>
    <w:rsid w:val="00F143C1"/>
    <w:rsid w:val="00F158AC"/>
    <w:rsid w:val="00F15AA6"/>
    <w:rsid w:val="00F1766B"/>
    <w:rsid w:val="00F2020F"/>
    <w:rsid w:val="00F2125E"/>
    <w:rsid w:val="00F2142E"/>
    <w:rsid w:val="00F21C82"/>
    <w:rsid w:val="00F21E30"/>
    <w:rsid w:val="00F2486D"/>
    <w:rsid w:val="00F24E59"/>
    <w:rsid w:val="00F26EC4"/>
    <w:rsid w:val="00F270BF"/>
    <w:rsid w:val="00F27609"/>
    <w:rsid w:val="00F302C2"/>
    <w:rsid w:val="00F313DD"/>
    <w:rsid w:val="00F31734"/>
    <w:rsid w:val="00F321F6"/>
    <w:rsid w:val="00F330B2"/>
    <w:rsid w:val="00F33207"/>
    <w:rsid w:val="00F33347"/>
    <w:rsid w:val="00F3349C"/>
    <w:rsid w:val="00F34DE2"/>
    <w:rsid w:val="00F36269"/>
    <w:rsid w:val="00F37244"/>
    <w:rsid w:val="00F41098"/>
    <w:rsid w:val="00F416F5"/>
    <w:rsid w:val="00F43FD4"/>
    <w:rsid w:val="00F457C7"/>
    <w:rsid w:val="00F46C77"/>
    <w:rsid w:val="00F502DF"/>
    <w:rsid w:val="00F52E1E"/>
    <w:rsid w:val="00F532B3"/>
    <w:rsid w:val="00F53D08"/>
    <w:rsid w:val="00F53FE2"/>
    <w:rsid w:val="00F552C9"/>
    <w:rsid w:val="00F55B4E"/>
    <w:rsid w:val="00F55E9D"/>
    <w:rsid w:val="00F57228"/>
    <w:rsid w:val="00F572C0"/>
    <w:rsid w:val="00F62911"/>
    <w:rsid w:val="00F649E5"/>
    <w:rsid w:val="00F649FB"/>
    <w:rsid w:val="00F65CC4"/>
    <w:rsid w:val="00F65CCB"/>
    <w:rsid w:val="00F661F4"/>
    <w:rsid w:val="00F66EB2"/>
    <w:rsid w:val="00F67784"/>
    <w:rsid w:val="00F67D9F"/>
    <w:rsid w:val="00F67F46"/>
    <w:rsid w:val="00F70E71"/>
    <w:rsid w:val="00F71D3C"/>
    <w:rsid w:val="00F72C44"/>
    <w:rsid w:val="00F73237"/>
    <w:rsid w:val="00F73A5A"/>
    <w:rsid w:val="00F73E9A"/>
    <w:rsid w:val="00F73FE4"/>
    <w:rsid w:val="00F747E6"/>
    <w:rsid w:val="00F7546E"/>
    <w:rsid w:val="00F75B3F"/>
    <w:rsid w:val="00F763AB"/>
    <w:rsid w:val="00F76F7D"/>
    <w:rsid w:val="00F770F8"/>
    <w:rsid w:val="00F770FA"/>
    <w:rsid w:val="00F779A5"/>
    <w:rsid w:val="00F8028A"/>
    <w:rsid w:val="00F80E76"/>
    <w:rsid w:val="00F8109E"/>
    <w:rsid w:val="00F825ED"/>
    <w:rsid w:val="00F827D2"/>
    <w:rsid w:val="00F83151"/>
    <w:rsid w:val="00F833D0"/>
    <w:rsid w:val="00F83897"/>
    <w:rsid w:val="00F84A31"/>
    <w:rsid w:val="00F8501C"/>
    <w:rsid w:val="00F854B3"/>
    <w:rsid w:val="00F85C94"/>
    <w:rsid w:val="00F8683E"/>
    <w:rsid w:val="00F869E3"/>
    <w:rsid w:val="00F8736C"/>
    <w:rsid w:val="00F8749C"/>
    <w:rsid w:val="00F87983"/>
    <w:rsid w:val="00F90F48"/>
    <w:rsid w:val="00F916BB"/>
    <w:rsid w:val="00F91AFF"/>
    <w:rsid w:val="00F92362"/>
    <w:rsid w:val="00F92A65"/>
    <w:rsid w:val="00F935F1"/>
    <w:rsid w:val="00F937DF"/>
    <w:rsid w:val="00F948AE"/>
    <w:rsid w:val="00F94DC1"/>
    <w:rsid w:val="00F953E2"/>
    <w:rsid w:val="00F955EE"/>
    <w:rsid w:val="00F9571D"/>
    <w:rsid w:val="00F957D0"/>
    <w:rsid w:val="00F9617E"/>
    <w:rsid w:val="00F964E6"/>
    <w:rsid w:val="00F97890"/>
    <w:rsid w:val="00FA2727"/>
    <w:rsid w:val="00FA2C80"/>
    <w:rsid w:val="00FA2CB9"/>
    <w:rsid w:val="00FA2CEC"/>
    <w:rsid w:val="00FA3A01"/>
    <w:rsid w:val="00FA3ABF"/>
    <w:rsid w:val="00FA43E7"/>
    <w:rsid w:val="00FA52C0"/>
    <w:rsid w:val="00FA52FB"/>
    <w:rsid w:val="00FA532D"/>
    <w:rsid w:val="00FA6AE5"/>
    <w:rsid w:val="00FA7641"/>
    <w:rsid w:val="00FB06F9"/>
    <w:rsid w:val="00FB1150"/>
    <w:rsid w:val="00FB12F1"/>
    <w:rsid w:val="00FB135A"/>
    <w:rsid w:val="00FB3A02"/>
    <w:rsid w:val="00FB5CF8"/>
    <w:rsid w:val="00FC0815"/>
    <w:rsid w:val="00FC0B63"/>
    <w:rsid w:val="00FC0CB7"/>
    <w:rsid w:val="00FC0F2F"/>
    <w:rsid w:val="00FC1F87"/>
    <w:rsid w:val="00FC4238"/>
    <w:rsid w:val="00FC49B8"/>
    <w:rsid w:val="00FC5157"/>
    <w:rsid w:val="00FC5E2A"/>
    <w:rsid w:val="00FC6369"/>
    <w:rsid w:val="00FC7CA3"/>
    <w:rsid w:val="00FD03D2"/>
    <w:rsid w:val="00FD0EB4"/>
    <w:rsid w:val="00FD1CAA"/>
    <w:rsid w:val="00FD2467"/>
    <w:rsid w:val="00FD788F"/>
    <w:rsid w:val="00FD7B0A"/>
    <w:rsid w:val="00FD7DCC"/>
    <w:rsid w:val="00FE029A"/>
    <w:rsid w:val="00FE088E"/>
    <w:rsid w:val="00FE12D2"/>
    <w:rsid w:val="00FE1504"/>
    <w:rsid w:val="00FE1CBF"/>
    <w:rsid w:val="00FE4B22"/>
    <w:rsid w:val="00FE63A6"/>
    <w:rsid w:val="00FE67F3"/>
    <w:rsid w:val="00FE7595"/>
    <w:rsid w:val="00FE76B6"/>
    <w:rsid w:val="00FE7EBF"/>
    <w:rsid w:val="00FF07D4"/>
    <w:rsid w:val="00FF0FCD"/>
    <w:rsid w:val="00FF17BC"/>
    <w:rsid w:val="00FF3210"/>
    <w:rsid w:val="00FF3A1B"/>
    <w:rsid w:val="00FF3A1C"/>
    <w:rsid w:val="00FF4900"/>
    <w:rsid w:val="00FF4964"/>
    <w:rsid w:val="00FF5034"/>
    <w:rsid w:val="00FF60C9"/>
    <w:rsid w:val="00FF7053"/>
    <w:rsid w:val="00FF7119"/>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2A2544C6"/>
  <w15:chartTrackingRefBased/>
  <w15:docId w15:val="{B7993D68-3BC3-46A8-8D78-201C2AA2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9D5"/>
    <w:pPr>
      <w:jc w:val="both"/>
    </w:pPr>
    <w:rPr>
      <w:rFonts w:ascii="Tahoma" w:hAnsi="Tahoma"/>
      <w:sz w:val="24"/>
      <w:szCs w:val="24"/>
    </w:rPr>
  </w:style>
  <w:style w:type="paragraph" w:styleId="Heading1">
    <w:name w:val="heading 1"/>
    <w:basedOn w:val="Normal"/>
    <w:next w:val="Normal"/>
    <w:qFormat/>
    <w:rsid w:val="007B26FA"/>
    <w:pPr>
      <w:keepNext/>
      <w:spacing w:after="240"/>
      <w:jc w:val="left"/>
      <w:outlineLvl w:val="0"/>
    </w:pPr>
    <w:rPr>
      <w:b/>
      <w:kern w:val="28"/>
      <w:sz w:val="32"/>
    </w:rPr>
  </w:style>
  <w:style w:type="paragraph" w:styleId="Heading2">
    <w:name w:val="heading 2"/>
    <w:basedOn w:val="Normal"/>
    <w:next w:val="Normal"/>
    <w:qFormat/>
    <w:rsid w:val="002C192D"/>
    <w:pPr>
      <w:keepNext/>
      <w:spacing w:after="240"/>
      <w:outlineLvl w:val="1"/>
    </w:pPr>
    <w:rPr>
      <w:b/>
      <w:sz w:val="28"/>
    </w:rPr>
  </w:style>
  <w:style w:type="paragraph" w:styleId="Heading3">
    <w:name w:val="heading 3"/>
    <w:basedOn w:val="Heading2"/>
    <w:next w:val="Normal"/>
    <w:qFormat/>
    <w:rsid w:val="00E6436B"/>
    <w:pPr>
      <w:spacing w:after="120"/>
      <w:jc w:val="left"/>
      <w:outlineLvl w:val="2"/>
    </w:pPr>
    <w:rPr>
      <w:rFonts w:cs="Tahoma"/>
      <w:bCs/>
      <w:sz w:val="24"/>
    </w:rPr>
  </w:style>
  <w:style w:type="paragraph" w:styleId="Heading4">
    <w:name w:val="heading 4"/>
    <w:basedOn w:val="Normal"/>
    <w:next w:val="Normal"/>
    <w:link w:val="Heading4Char"/>
    <w:qFormat/>
    <w:rsid w:val="00B0728F"/>
    <w:pPr>
      <w:keepNext/>
      <w:spacing w:after="240"/>
      <w:outlineLvl w:val="3"/>
    </w:pPr>
    <w:rPr>
      <w:b/>
    </w:rPr>
  </w:style>
  <w:style w:type="paragraph" w:styleId="Heading5">
    <w:name w:val="heading 5"/>
    <w:basedOn w:val="Normal"/>
    <w:next w:val="Normal"/>
    <w:qFormat/>
    <w:rsid w:val="00B0728F"/>
    <w:pPr>
      <w:keepNext/>
      <w:spacing w:after="240"/>
      <w:ind w:left="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28F"/>
    <w:pPr>
      <w:tabs>
        <w:tab w:val="center" w:pos="4320"/>
        <w:tab w:val="right" w:pos="8640"/>
      </w:tabs>
    </w:pPr>
  </w:style>
  <w:style w:type="paragraph" w:styleId="Footer">
    <w:name w:val="footer"/>
    <w:basedOn w:val="Normal"/>
    <w:link w:val="FooterChar"/>
    <w:uiPriority w:val="99"/>
    <w:rsid w:val="00B0728F"/>
    <w:pPr>
      <w:tabs>
        <w:tab w:val="center" w:pos="4320"/>
        <w:tab w:val="right" w:pos="8640"/>
      </w:tabs>
    </w:pPr>
  </w:style>
  <w:style w:type="table" w:styleId="TableGrid">
    <w:name w:val="Table Grid"/>
    <w:basedOn w:val="TableNormal"/>
    <w:rsid w:val="0000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0509C"/>
    <w:rPr>
      <w:color w:val="0000FF"/>
      <w:u w:val="single"/>
    </w:rPr>
  </w:style>
  <w:style w:type="paragraph" w:customStyle="1" w:styleId="Heading1SFR">
    <w:name w:val="Heading 1 SFR"/>
    <w:basedOn w:val="Heading3"/>
    <w:next w:val="Heading1"/>
    <w:link w:val="Heading1SFRChar"/>
    <w:rsid w:val="0000509C"/>
    <w:pPr>
      <w:outlineLvl w:val="0"/>
    </w:pPr>
    <w:rPr>
      <w:bCs w:val="0"/>
    </w:rPr>
  </w:style>
  <w:style w:type="paragraph" w:styleId="TOC1">
    <w:name w:val="toc 1"/>
    <w:basedOn w:val="Normal"/>
    <w:next w:val="Normal"/>
    <w:autoRedefine/>
    <w:uiPriority w:val="39"/>
    <w:qFormat/>
    <w:rsid w:val="0078569A"/>
    <w:pPr>
      <w:tabs>
        <w:tab w:val="right" w:pos="9016"/>
      </w:tabs>
    </w:pPr>
  </w:style>
  <w:style w:type="paragraph" w:styleId="Caption">
    <w:name w:val="caption"/>
    <w:basedOn w:val="Normal"/>
    <w:next w:val="Normal"/>
    <w:link w:val="CaptionChar"/>
    <w:uiPriority w:val="35"/>
    <w:qFormat/>
    <w:rsid w:val="006B6FD6"/>
    <w:pPr>
      <w:jc w:val="left"/>
    </w:pPr>
    <w:rPr>
      <w:b/>
      <w:bCs/>
      <w:noProof/>
      <w:sz w:val="20"/>
      <w:szCs w:val="20"/>
      <w:lang w:eastAsia="en-US"/>
    </w:rPr>
  </w:style>
  <w:style w:type="character" w:styleId="FollowedHyperlink">
    <w:name w:val="FollowedHyperlink"/>
    <w:rsid w:val="00F779A5"/>
    <w:rPr>
      <w:color w:val="800080"/>
      <w:u w:val="single"/>
    </w:rPr>
  </w:style>
  <w:style w:type="character" w:styleId="CommentReference">
    <w:name w:val="annotation reference"/>
    <w:uiPriority w:val="99"/>
    <w:semiHidden/>
    <w:rsid w:val="00C87593"/>
    <w:rPr>
      <w:sz w:val="16"/>
      <w:szCs w:val="16"/>
    </w:rPr>
  </w:style>
  <w:style w:type="paragraph" w:styleId="CommentText">
    <w:name w:val="annotation text"/>
    <w:basedOn w:val="Normal"/>
    <w:link w:val="CommentTextChar"/>
    <w:uiPriority w:val="99"/>
    <w:semiHidden/>
    <w:rsid w:val="00C87593"/>
    <w:rPr>
      <w:sz w:val="20"/>
      <w:szCs w:val="20"/>
    </w:rPr>
  </w:style>
  <w:style w:type="paragraph" w:styleId="CommentSubject">
    <w:name w:val="annotation subject"/>
    <w:basedOn w:val="CommentText"/>
    <w:next w:val="CommentText"/>
    <w:semiHidden/>
    <w:rsid w:val="00C87593"/>
    <w:rPr>
      <w:b/>
      <w:bCs/>
    </w:rPr>
  </w:style>
  <w:style w:type="paragraph" w:styleId="BalloonText">
    <w:name w:val="Balloon Text"/>
    <w:basedOn w:val="Normal"/>
    <w:semiHidden/>
    <w:rsid w:val="00C87593"/>
    <w:rPr>
      <w:rFonts w:cs="Tahoma"/>
      <w:sz w:val="16"/>
      <w:szCs w:val="16"/>
    </w:rPr>
  </w:style>
  <w:style w:type="paragraph" w:styleId="NormalWeb">
    <w:name w:val="Normal (Web)"/>
    <w:basedOn w:val="Normal"/>
    <w:uiPriority w:val="99"/>
    <w:rsid w:val="00512A25"/>
  </w:style>
  <w:style w:type="paragraph" w:styleId="Title">
    <w:name w:val="Title"/>
    <w:basedOn w:val="Normal"/>
    <w:qFormat/>
    <w:rsid w:val="002C3210"/>
    <w:pPr>
      <w:spacing w:before="240" w:after="60"/>
      <w:jc w:val="center"/>
      <w:outlineLvl w:val="0"/>
    </w:pPr>
    <w:rPr>
      <w:rFonts w:ascii="Arial" w:hAnsi="Arial" w:cs="Arial"/>
      <w:b/>
      <w:bCs/>
      <w:kern w:val="28"/>
      <w:sz w:val="32"/>
      <w:szCs w:val="32"/>
    </w:rPr>
  </w:style>
  <w:style w:type="character" w:styleId="FootnoteReference">
    <w:name w:val="footnote reference"/>
    <w:uiPriority w:val="99"/>
    <w:rsid w:val="002C3210"/>
    <w:rPr>
      <w:vertAlign w:val="superscript"/>
    </w:rPr>
  </w:style>
  <w:style w:type="paragraph" w:styleId="FootnoteText">
    <w:name w:val="footnote text"/>
    <w:basedOn w:val="Normal"/>
    <w:link w:val="FootnoteTextChar"/>
    <w:rsid w:val="007B42A8"/>
    <w:rPr>
      <w:sz w:val="20"/>
      <w:szCs w:val="20"/>
    </w:rPr>
  </w:style>
  <w:style w:type="character" w:customStyle="1" w:styleId="NumberedparagraphChar">
    <w:name w:val="Numbered paragraph Char"/>
    <w:link w:val="Numberedparagraph"/>
    <w:locked/>
    <w:rsid w:val="007B42A8"/>
    <w:rPr>
      <w:rFonts w:ascii="Tahoma" w:hAnsi="Tahoma"/>
      <w:color w:val="000000"/>
      <w:sz w:val="24"/>
      <w:szCs w:val="24"/>
      <w:lang w:eastAsia="en-US"/>
    </w:rPr>
  </w:style>
  <w:style w:type="paragraph" w:customStyle="1" w:styleId="Bulletsspaced">
    <w:name w:val="Bullets (spaced)"/>
    <w:basedOn w:val="Normal"/>
    <w:link w:val="BulletsspacedChar"/>
    <w:autoRedefine/>
    <w:rsid w:val="00231CC7"/>
    <w:pPr>
      <w:numPr>
        <w:numId w:val="2"/>
      </w:numPr>
      <w:tabs>
        <w:tab w:val="clear" w:pos="1386"/>
        <w:tab w:val="left" w:pos="709"/>
        <w:tab w:val="num" w:pos="993"/>
      </w:tabs>
      <w:spacing w:after="120"/>
      <w:ind w:left="993" w:hanging="284"/>
      <w:jc w:val="left"/>
    </w:pPr>
    <w:rPr>
      <w:color w:val="000000"/>
      <w:lang w:eastAsia="en-US"/>
    </w:rPr>
  </w:style>
  <w:style w:type="paragraph" w:customStyle="1" w:styleId="Bulletsspaced-lastbullet">
    <w:name w:val="Bullets (spaced) - last bullet"/>
    <w:basedOn w:val="Bulletsspaced"/>
    <w:next w:val="Numberedparagraph"/>
    <w:link w:val="Bulletsspaced-lastbulletChar"/>
    <w:rsid w:val="007B42A8"/>
    <w:pPr>
      <w:spacing w:after="240"/>
    </w:pPr>
  </w:style>
  <w:style w:type="paragraph" w:customStyle="1" w:styleId="Numberedparagraph">
    <w:name w:val="Numbered paragraph"/>
    <w:basedOn w:val="Normal"/>
    <w:link w:val="NumberedparagraphChar"/>
    <w:rsid w:val="007B42A8"/>
    <w:pPr>
      <w:numPr>
        <w:numId w:val="1"/>
      </w:numPr>
      <w:spacing w:after="240"/>
    </w:pPr>
    <w:rPr>
      <w:color w:val="000000"/>
      <w:lang w:eastAsia="en-US"/>
    </w:rPr>
  </w:style>
  <w:style w:type="character" w:customStyle="1" w:styleId="BulletsspacedChar">
    <w:name w:val="Bullets (spaced) Char"/>
    <w:link w:val="Bulletsspaced"/>
    <w:rsid w:val="00231CC7"/>
    <w:rPr>
      <w:rFonts w:ascii="Tahoma" w:hAnsi="Tahoma"/>
      <w:color w:val="000000"/>
      <w:sz w:val="24"/>
      <w:szCs w:val="24"/>
      <w:lang w:eastAsia="en-US"/>
    </w:rPr>
  </w:style>
  <w:style w:type="character" w:customStyle="1" w:styleId="Bulletsspaced-lastbulletChar">
    <w:name w:val="Bullets (spaced) - last bullet Char"/>
    <w:basedOn w:val="BulletsspacedChar"/>
    <w:link w:val="Bulletsspaced-lastbullet"/>
    <w:rsid w:val="007B42A8"/>
    <w:rPr>
      <w:rFonts w:ascii="Tahoma" w:hAnsi="Tahoma"/>
      <w:color w:val="000000"/>
      <w:sz w:val="24"/>
      <w:szCs w:val="24"/>
      <w:lang w:eastAsia="en-US"/>
    </w:rPr>
  </w:style>
  <w:style w:type="paragraph" w:styleId="BodyText">
    <w:name w:val="Body Text"/>
    <w:basedOn w:val="Normal"/>
    <w:rsid w:val="00B0728F"/>
    <w:pPr>
      <w:spacing w:after="120"/>
    </w:pPr>
  </w:style>
  <w:style w:type="paragraph" w:styleId="TOC9">
    <w:name w:val="toc 9"/>
    <w:basedOn w:val="Normal"/>
    <w:next w:val="Normal"/>
    <w:autoRedefine/>
    <w:semiHidden/>
    <w:rsid w:val="004336D5"/>
    <w:pPr>
      <w:ind w:left="1920"/>
    </w:pPr>
  </w:style>
  <w:style w:type="paragraph" w:customStyle="1" w:styleId="LetterBodyText">
    <w:name w:val="Letter Body Text"/>
    <w:basedOn w:val="LetterText"/>
    <w:rsid w:val="00B0728F"/>
    <w:pPr>
      <w:spacing w:after="120"/>
    </w:pPr>
  </w:style>
  <w:style w:type="paragraph" w:customStyle="1" w:styleId="LetterText">
    <w:name w:val="Letter Text"/>
    <w:basedOn w:val="Normal"/>
    <w:rsid w:val="00B0728F"/>
  </w:style>
  <w:style w:type="paragraph" w:styleId="PlainText">
    <w:name w:val="Plain Text"/>
    <w:basedOn w:val="Normal"/>
    <w:rsid w:val="00B0728F"/>
    <w:rPr>
      <w:rFonts w:ascii="Courier New" w:hAnsi="Courier New"/>
    </w:rPr>
  </w:style>
  <w:style w:type="paragraph" w:customStyle="1" w:styleId="Unnumberedparagraph">
    <w:name w:val="Unnumbered paragraph"/>
    <w:basedOn w:val="Normal"/>
    <w:link w:val="UnnumberedparagraphChar"/>
    <w:rsid w:val="00F10985"/>
    <w:pPr>
      <w:spacing w:after="240"/>
      <w:jc w:val="left"/>
    </w:pPr>
    <w:rPr>
      <w:color w:val="000000"/>
      <w:lang w:eastAsia="en-US"/>
    </w:rPr>
  </w:style>
  <w:style w:type="character" w:customStyle="1" w:styleId="UnnumberedparagraphChar">
    <w:name w:val="Unnumbered paragraph Char"/>
    <w:link w:val="Unnumberedparagraph"/>
    <w:rsid w:val="00F10985"/>
    <w:rPr>
      <w:rFonts w:ascii="Tahoma" w:hAnsi="Tahoma"/>
      <w:color w:val="000000"/>
      <w:sz w:val="24"/>
      <w:szCs w:val="24"/>
      <w:lang w:val="en-GB" w:eastAsia="en-US" w:bidi="ar-SA"/>
    </w:rPr>
  </w:style>
  <w:style w:type="character" w:styleId="PageNumber">
    <w:name w:val="page number"/>
    <w:basedOn w:val="DefaultParagraphFont"/>
    <w:rsid w:val="00CB7D65"/>
  </w:style>
  <w:style w:type="character" w:customStyle="1" w:styleId="Heading1SFRChar">
    <w:name w:val="Heading 1 SFR Char"/>
    <w:link w:val="Heading1SFR"/>
    <w:rsid w:val="00F43FD4"/>
    <w:rPr>
      <w:rFonts w:ascii="Tahoma" w:hAnsi="Tahoma"/>
      <w:b/>
      <w:bCs/>
      <w:caps/>
      <w:sz w:val="24"/>
      <w:szCs w:val="24"/>
      <w:lang w:val="en-GB" w:eastAsia="en-GB" w:bidi="ar-SA"/>
    </w:rPr>
  </w:style>
  <w:style w:type="paragraph" w:customStyle="1" w:styleId="Default">
    <w:name w:val="Default"/>
    <w:rsid w:val="003526EC"/>
    <w:pPr>
      <w:autoSpaceDE w:val="0"/>
      <w:autoSpaceDN w:val="0"/>
      <w:adjustRightInd w:val="0"/>
    </w:pPr>
    <w:rPr>
      <w:rFonts w:ascii="Tahoma" w:hAnsi="Tahoma" w:cs="Tahoma"/>
      <w:color w:val="000000"/>
      <w:sz w:val="24"/>
      <w:szCs w:val="24"/>
    </w:rPr>
  </w:style>
  <w:style w:type="paragraph" w:customStyle="1" w:styleId="xmsonormal">
    <w:name w:val="x_msonormal"/>
    <w:basedOn w:val="Normal"/>
    <w:rsid w:val="009F66D4"/>
    <w:pPr>
      <w:spacing w:before="100" w:beforeAutospacing="1" w:after="100" w:afterAutospacing="1"/>
      <w:jc w:val="left"/>
    </w:pPr>
    <w:rPr>
      <w:rFonts w:ascii="Times New Roman" w:hAnsi="Times New Roman"/>
    </w:rPr>
  </w:style>
  <w:style w:type="paragraph" w:customStyle="1" w:styleId="xbulletsspaced">
    <w:name w:val="x_bulletsspaced"/>
    <w:basedOn w:val="Normal"/>
    <w:rsid w:val="009F66D4"/>
    <w:pPr>
      <w:spacing w:before="100" w:beforeAutospacing="1" w:after="100" w:afterAutospacing="1"/>
      <w:jc w:val="left"/>
    </w:pPr>
    <w:rPr>
      <w:rFonts w:ascii="Times New Roman" w:hAnsi="Times New Roman"/>
    </w:rPr>
  </w:style>
  <w:style w:type="character" w:styleId="Emphasis">
    <w:name w:val="Emphasis"/>
    <w:qFormat/>
    <w:rsid w:val="009F66D4"/>
    <w:rPr>
      <w:i/>
      <w:iCs/>
    </w:rPr>
  </w:style>
  <w:style w:type="paragraph" w:styleId="ListParagraph">
    <w:name w:val="List Paragraph"/>
    <w:basedOn w:val="Normal"/>
    <w:uiPriority w:val="34"/>
    <w:qFormat/>
    <w:rsid w:val="00F8749C"/>
    <w:pPr>
      <w:ind w:left="720"/>
    </w:pPr>
  </w:style>
  <w:style w:type="character" w:customStyle="1" w:styleId="FootnoteTextChar">
    <w:name w:val="Footnote Text Char"/>
    <w:link w:val="FootnoteText"/>
    <w:uiPriority w:val="99"/>
    <w:semiHidden/>
    <w:rsid w:val="008538AB"/>
    <w:rPr>
      <w:rFonts w:ascii="Tahoma" w:hAnsi="Tahoma"/>
    </w:rPr>
  </w:style>
  <w:style w:type="paragraph" w:styleId="Revision">
    <w:name w:val="Revision"/>
    <w:hidden/>
    <w:uiPriority w:val="99"/>
    <w:semiHidden/>
    <w:rsid w:val="00545689"/>
    <w:rPr>
      <w:rFonts w:ascii="Tahoma" w:hAnsi="Tahoma"/>
      <w:sz w:val="24"/>
      <w:szCs w:val="24"/>
    </w:rPr>
  </w:style>
  <w:style w:type="paragraph" w:styleId="NoSpacing">
    <w:name w:val="No Spacing"/>
    <w:uiPriority w:val="1"/>
    <w:qFormat/>
    <w:rsid w:val="00690C9D"/>
    <w:pPr>
      <w:jc w:val="both"/>
    </w:pPr>
    <w:rPr>
      <w:rFonts w:ascii="Tahoma" w:hAnsi="Tahoma"/>
      <w:sz w:val="24"/>
      <w:szCs w:val="24"/>
    </w:rPr>
  </w:style>
  <w:style w:type="paragraph" w:customStyle="1" w:styleId="Footer-RHSOdd">
    <w:name w:val="Footer - RHS Odd"/>
    <w:basedOn w:val="Normal"/>
    <w:rsid w:val="001460CF"/>
    <w:pPr>
      <w:pBdr>
        <w:top w:val="single" w:sz="4" w:space="6" w:color="auto"/>
      </w:pBdr>
      <w:tabs>
        <w:tab w:val="left" w:pos="567"/>
      </w:tabs>
      <w:jc w:val="left"/>
    </w:pPr>
    <w:rPr>
      <w:b/>
      <w:color w:val="000000"/>
      <w:sz w:val="16"/>
      <w:szCs w:val="20"/>
      <w:lang w:eastAsia="en-US"/>
    </w:rPr>
  </w:style>
  <w:style w:type="character" w:customStyle="1" w:styleId="FooterChar">
    <w:name w:val="Footer Char"/>
    <w:link w:val="Footer"/>
    <w:uiPriority w:val="99"/>
    <w:rsid w:val="00243CDA"/>
    <w:rPr>
      <w:rFonts w:ascii="Tahoma" w:hAnsi="Tahoma"/>
      <w:sz w:val="24"/>
      <w:szCs w:val="24"/>
    </w:rPr>
  </w:style>
  <w:style w:type="paragraph" w:styleId="TOCHeading">
    <w:name w:val="TOC Heading"/>
    <w:basedOn w:val="Heading1"/>
    <w:next w:val="Normal"/>
    <w:uiPriority w:val="39"/>
    <w:unhideWhenUsed/>
    <w:qFormat/>
    <w:rsid w:val="00B109E2"/>
    <w:pPr>
      <w:keepLines/>
      <w:spacing w:before="480" w:after="0" w:line="276" w:lineRule="auto"/>
      <w:outlineLvl w:val="9"/>
    </w:pPr>
    <w:rPr>
      <w:rFonts w:ascii="Cambria" w:eastAsia="MS Gothic" w:hAnsi="Cambria"/>
      <w:bCs/>
      <w:color w:val="365F91"/>
      <w:kern w:val="0"/>
      <w:sz w:val="28"/>
      <w:szCs w:val="28"/>
      <w:lang w:val="en-US" w:eastAsia="ja-JP"/>
    </w:rPr>
  </w:style>
  <w:style w:type="paragraph" w:styleId="TOC2">
    <w:name w:val="toc 2"/>
    <w:basedOn w:val="Normal"/>
    <w:next w:val="Normal"/>
    <w:autoRedefine/>
    <w:uiPriority w:val="39"/>
    <w:unhideWhenUsed/>
    <w:qFormat/>
    <w:rsid w:val="00C93AF0"/>
    <w:pPr>
      <w:tabs>
        <w:tab w:val="right" w:leader="dot" w:pos="9016"/>
      </w:tabs>
      <w:spacing w:after="100" w:line="276" w:lineRule="auto"/>
      <w:jc w:val="left"/>
    </w:pPr>
    <w:rPr>
      <w:rFonts w:eastAsia="MS Mincho" w:cs="Tahoma"/>
      <w:noProof/>
      <w:lang w:val="en-US" w:eastAsia="ja-JP"/>
    </w:rPr>
  </w:style>
  <w:style w:type="paragraph" w:styleId="TOC3">
    <w:name w:val="toc 3"/>
    <w:basedOn w:val="Normal"/>
    <w:next w:val="Normal"/>
    <w:autoRedefine/>
    <w:uiPriority w:val="39"/>
    <w:unhideWhenUsed/>
    <w:qFormat/>
    <w:rsid w:val="001E2175"/>
    <w:pPr>
      <w:tabs>
        <w:tab w:val="right" w:leader="dot" w:pos="9016"/>
      </w:tabs>
      <w:spacing w:after="100" w:line="276" w:lineRule="auto"/>
      <w:ind w:left="567"/>
      <w:jc w:val="left"/>
    </w:pPr>
    <w:rPr>
      <w:rFonts w:ascii="Calibri" w:eastAsia="MS Mincho" w:hAnsi="Calibri" w:cs="Arial"/>
      <w:sz w:val="22"/>
      <w:szCs w:val="22"/>
      <w:lang w:val="en-US" w:eastAsia="ja-JP"/>
    </w:rPr>
  </w:style>
  <w:style w:type="character" w:customStyle="1" w:styleId="Heading4Char">
    <w:name w:val="Heading 4 Char"/>
    <w:link w:val="Heading4"/>
    <w:rsid w:val="00A206DE"/>
    <w:rPr>
      <w:rFonts w:ascii="Tahoma" w:hAnsi="Tahoma"/>
      <w:b/>
      <w:sz w:val="24"/>
      <w:szCs w:val="24"/>
    </w:rPr>
  </w:style>
  <w:style w:type="character" w:customStyle="1" w:styleId="CommentTextChar">
    <w:name w:val="Comment Text Char"/>
    <w:link w:val="CommentText"/>
    <w:uiPriority w:val="99"/>
    <w:semiHidden/>
    <w:rsid w:val="00A206DE"/>
    <w:rPr>
      <w:rFonts w:ascii="Tahoma" w:hAnsi="Tahoma"/>
    </w:rPr>
  </w:style>
  <w:style w:type="paragraph" w:styleId="Subtitle">
    <w:name w:val="Subtitle"/>
    <w:basedOn w:val="Normal"/>
    <w:next w:val="Normal"/>
    <w:link w:val="SubtitleChar"/>
    <w:qFormat/>
    <w:rsid w:val="00FB3A02"/>
    <w:pPr>
      <w:spacing w:after="60"/>
      <w:jc w:val="center"/>
      <w:outlineLvl w:val="1"/>
    </w:pPr>
    <w:rPr>
      <w:rFonts w:ascii="Cambria" w:hAnsi="Cambria"/>
    </w:rPr>
  </w:style>
  <w:style w:type="paragraph" w:styleId="TableofFigures">
    <w:name w:val="table of figures"/>
    <w:basedOn w:val="Normal"/>
    <w:next w:val="Normal"/>
    <w:uiPriority w:val="99"/>
    <w:rsid w:val="00CF65FF"/>
    <w:rPr>
      <w:rFonts w:ascii="Arial" w:hAnsi="Arial"/>
      <w:sz w:val="22"/>
    </w:rPr>
  </w:style>
  <w:style w:type="character" w:customStyle="1" w:styleId="SubtitleChar">
    <w:name w:val="Subtitle Char"/>
    <w:link w:val="Subtitle"/>
    <w:rsid w:val="00FB3A02"/>
    <w:rPr>
      <w:rFonts w:ascii="Cambria" w:eastAsia="Times New Roman" w:hAnsi="Cambria" w:cs="Times New Roman"/>
      <w:sz w:val="24"/>
      <w:szCs w:val="24"/>
    </w:rPr>
  </w:style>
  <w:style w:type="paragraph" w:customStyle="1" w:styleId="Table">
    <w:name w:val="Table"/>
    <w:basedOn w:val="Caption"/>
    <w:link w:val="TableChar"/>
    <w:qFormat/>
    <w:rsid w:val="00211793"/>
  </w:style>
  <w:style w:type="character" w:customStyle="1" w:styleId="FootnoteCharacters">
    <w:name w:val="Footnote Characters"/>
    <w:rsid w:val="00C23765"/>
    <w:rPr>
      <w:vertAlign w:val="superscript"/>
    </w:rPr>
  </w:style>
  <w:style w:type="character" w:customStyle="1" w:styleId="CaptionChar">
    <w:name w:val="Caption Char"/>
    <w:link w:val="Caption"/>
    <w:uiPriority w:val="35"/>
    <w:rsid w:val="00211793"/>
    <w:rPr>
      <w:rFonts w:ascii="Tahoma" w:hAnsi="Tahoma"/>
      <w:b/>
      <w:bCs/>
      <w:noProof/>
      <w:lang w:eastAsia="en-US"/>
    </w:rPr>
  </w:style>
  <w:style w:type="character" w:customStyle="1" w:styleId="TableChar">
    <w:name w:val="Table Char"/>
    <w:basedOn w:val="CaptionChar"/>
    <w:link w:val="Table"/>
    <w:rsid w:val="00211793"/>
    <w:rPr>
      <w:rFonts w:ascii="Tahoma" w:hAnsi="Tahoma"/>
      <w:b/>
      <w:bCs/>
      <w:noProof/>
      <w:lang w:eastAsia="en-US"/>
    </w:rPr>
  </w:style>
  <w:style w:type="paragraph" w:styleId="ListBullet">
    <w:name w:val="List Bullet"/>
    <w:basedOn w:val="Normal"/>
    <w:rsid w:val="000C4F7F"/>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849">
      <w:bodyDiv w:val="1"/>
      <w:marLeft w:val="0"/>
      <w:marRight w:val="0"/>
      <w:marTop w:val="0"/>
      <w:marBottom w:val="0"/>
      <w:divBdr>
        <w:top w:val="none" w:sz="0" w:space="0" w:color="auto"/>
        <w:left w:val="none" w:sz="0" w:space="0" w:color="auto"/>
        <w:bottom w:val="none" w:sz="0" w:space="0" w:color="auto"/>
        <w:right w:val="none" w:sz="0" w:space="0" w:color="auto"/>
      </w:divBdr>
    </w:div>
    <w:div w:id="18825559">
      <w:bodyDiv w:val="1"/>
      <w:marLeft w:val="0"/>
      <w:marRight w:val="0"/>
      <w:marTop w:val="0"/>
      <w:marBottom w:val="0"/>
      <w:divBdr>
        <w:top w:val="none" w:sz="0" w:space="0" w:color="auto"/>
        <w:left w:val="none" w:sz="0" w:space="0" w:color="auto"/>
        <w:bottom w:val="none" w:sz="0" w:space="0" w:color="auto"/>
        <w:right w:val="none" w:sz="0" w:space="0" w:color="auto"/>
      </w:divBdr>
    </w:div>
    <w:div w:id="30543941">
      <w:bodyDiv w:val="1"/>
      <w:marLeft w:val="0"/>
      <w:marRight w:val="0"/>
      <w:marTop w:val="0"/>
      <w:marBottom w:val="0"/>
      <w:divBdr>
        <w:top w:val="none" w:sz="0" w:space="0" w:color="auto"/>
        <w:left w:val="none" w:sz="0" w:space="0" w:color="auto"/>
        <w:bottom w:val="none" w:sz="0" w:space="0" w:color="auto"/>
        <w:right w:val="none" w:sz="0" w:space="0" w:color="auto"/>
      </w:divBdr>
    </w:div>
    <w:div w:id="60711335">
      <w:bodyDiv w:val="1"/>
      <w:marLeft w:val="0"/>
      <w:marRight w:val="0"/>
      <w:marTop w:val="0"/>
      <w:marBottom w:val="0"/>
      <w:divBdr>
        <w:top w:val="none" w:sz="0" w:space="0" w:color="auto"/>
        <w:left w:val="none" w:sz="0" w:space="0" w:color="auto"/>
        <w:bottom w:val="none" w:sz="0" w:space="0" w:color="auto"/>
        <w:right w:val="none" w:sz="0" w:space="0" w:color="auto"/>
      </w:divBdr>
    </w:div>
    <w:div w:id="88817126">
      <w:bodyDiv w:val="1"/>
      <w:marLeft w:val="0"/>
      <w:marRight w:val="0"/>
      <w:marTop w:val="0"/>
      <w:marBottom w:val="0"/>
      <w:divBdr>
        <w:top w:val="none" w:sz="0" w:space="0" w:color="auto"/>
        <w:left w:val="none" w:sz="0" w:space="0" w:color="auto"/>
        <w:bottom w:val="none" w:sz="0" w:space="0" w:color="auto"/>
        <w:right w:val="none" w:sz="0" w:space="0" w:color="auto"/>
      </w:divBdr>
    </w:div>
    <w:div w:id="100734219">
      <w:bodyDiv w:val="1"/>
      <w:marLeft w:val="0"/>
      <w:marRight w:val="0"/>
      <w:marTop w:val="0"/>
      <w:marBottom w:val="0"/>
      <w:divBdr>
        <w:top w:val="none" w:sz="0" w:space="0" w:color="auto"/>
        <w:left w:val="none" w:sz="0" w:space="0" w:color="auto"/>
        <w:bottom w:val="none" w:sz="0" w:space="0" w:color="auto"/>
        <w:right w:val="none" w:sz="0" w:space="0" w:color="auto"/>
      </w:divBdr>
    </w:div>
    <w:div w:id="127018654">
      <w:bodyDiv w:val="1"/>
      <w:marLeft w:val="0"/>
      <w:marRight w:val="0"/>
      <w:marTop w:val="0"/>
      <w:marBottom w:val="0"/>
      <w:divBdr>
        <w:top w:val="none" w:sz="0" w:space="0" w:color="auto"/>
        <w:left w:val="none" w:sz="0" w:space="0" w:color="auto"/>
        <w:bottom w:val="none" w:sz="0" w:space="0" w:color="auto"/>
        <w:right w:val="none" w:sz="0" w:space="0" w:color="auto"/>
      </w:divBdr>
    </w:div>
    <w:div w:id="146361949">
      <w:bodyDiv w:val="1"/>
      <w:marLeft w:val="0"/>
      <w:marRight w:val="0"/>
      <w:marTop w:val="0"/>
      <w:marBottom w:val="0"/>
      <w:divBdr>
        <w:top w:val="none" w:sz="0" w:space="0" w:color="auto"/>
        <w:left w:val="none" w:sz="0" w:space="0" w:color="auto"/>
        <w:bottom w:val="none" w:sz="0" w:space="0" w:color="auto"/>
        <w:right w:val="none" w:sz="0" w:space="0" w:color="auto"/>
      </w:divBdr>
    </w:div>
    <w:div w:id="219749313">
      <w:bodyDiv w:val="1"/>
      <w:marLeft w:val="0"/>
      <w:marRight w:val="0"/>
      <w:marTop w:val="0"/>
      <w:marBottom w:val="0"/>
      <w:divBdr>
        <w:top w:val="none" w:sz="0" w:space="0" w:color="auto"/>
        <w:left w:val="none" w:sz="0" w:space="0" w:color="auto"/>
        <w:bottom w:val="none" w:sz="0" w:space="0" w:color="auto"/>
        <w:right w:val="none" w:sz="0" w:space="0" w:color="auto"/>
      </w:divBdr>
    </w:div>
    <w:div w:id="248200340">
      <w:bodyDiv w:val="1"/>
      <w:marLeft w:val="0"/>
      <w:marRight w:val="0"/>
      <w:marTop w:val="0"/>
      <w:marBottom w:val="0"/>
      <w:divBdr>
        <w:top w:val="none" w:sz="0" w:space="0" w:color="auto"/>
        <w:left w:val="none" w:sz="0" w:space="0" w:color="auto"/>
        <w:bottom w:val="none" w:sz="0" w:space="0" w:color="auto"/>
        <w:right w:val="none" w:sz="0" w:space="0" w:color="auto"/>
      </w:divBdr>
    </w:div>
    <w:div w:id="256184175">
      <w:bodyDiv w:val="1"/>
      <w:marLeft w:val="0"/>
      <w:marRight w:val="0"/>
      <w:marTop w:val="0"/>
      <w:marBottom w:val="0"/>
      <w:divBdr>
        <w:top w:val="none" w:sz="0" w:space="0" w:color="auto"/>
        <w:left w:val="none" w:sz="0" w:space="0" w:color="auto"/>
        <w:bottom w:val="none" w:sz="0" w:space="0" w:color="auto"/>
        <w:right w:val="none" w:sz="0" w:space="0" w:color="auto"/>
      </w:divBdr>
    </w:div>
    <w:div w:id="274168492">
      <w:bodyDiv w:val="1"/>
      <w:marLeft w:val="0"/>
      <w:marRight w:val="0"/>
      <w:marTop w:val="0"/>
      <w:marBottom w:val="0"/>
      <w:divBdr>
        <w:top w:val="none" w:sz="0" w:space="0" w:color="auto"/>
        <w:left w:val="none" w:sz="0" w:space="0" w:color="auto"/>
        <w:bottom w:val="none" w:sz="0" w:space="0" w:color="auto"/>
        <w:right w:val="none" w:sz="0" w:space="0" w:color="auto"/>
      </w:divBdr>
    </w:div>
    <w:div w:id="283272970">
      <w:bodyDiv w:val="1"/>
      <w:marLeft w:val="0"/>
      <w:marRight w:val="0"/>
      <w:marTop w:val="0"/>
      <w:marBottom w:val="0"/>
      <w:divBdr>
        <w:top w:val="none" w:sz="0" w:space="0" w:color="auto"/>
        <w:left w:val="none" w:sz="0" w:space="0" w:color="auto"/>
        <w:bottom w:val="none" w:sz="0" w:space="0" w:color="auto"/>
        <w:right w:val="none" w:sz="0" w:space="0" w:color="auto"/>
      </w:divBdr>
    </w:div>
    <w:div w:id="300886813">
      <w:bodyDiv w:val="1"/>
      <w:marLeft w:val="0"/>
      <w:marRight w:val="0"/>
      <w:marTop w:val="0"/>
      <w:marBottom w:val="0"/>
      <w:divBdr>
        <w:top w:val="none" w:sz="0" w:space="0" w:color="auto"/>
        <w:left w:val="none" w:sz="0" w:space="0" w:color="auto"/>
        <w:bottom w:val="none" w:sz="0" w:space="0" w:color="auto"/>
        <w:right w:val="none" w:sz="0" w:space="0" w:color="auto"/>
      </w:divBdr>
    </w:div>
    <w:div w:id="310788621">
      <w:bodyDiv w:val="1"/>
      <w:marLeft w:val="0"/>
      <w:marRight w:val="0"/>
      <w:marTop w:val="0"/>
      <w:marBottom w:val="0"/>
      <w:divBdr>
        <w:top w:val="none" w:sz="0" w:space="0" w:color="auto"/>
        <w:left w:val="none" w:sz="0" w:space="0" w:color="auto"/>
        <w:bottom w:val="none" w:sz="0" w:space="0" w:color="auto"/>
        <w:right w:val="none" w:sz="0" w:space="0" w:color="auto"/>
      </w:divBdr>
    </w:div>
    <w:div w:id="314991378">
      <w:bodyDiv w:val="1"/>
      <w:marLeft w:val="0"/>
      <w:marRight w:val="0"/>
      <w:marTop w:val="0"/>
      <w:marBottom w:val="0"/>
      <w:divBdr>
        <w:top w:val="none" w:sz="0" w:space="0" w:color="auto"/>
        <w:left w:val="none" w:sz="0" w:space="0" w:color="auto"/>
        <w:bottom w:val="none" w:sz="0" w:space="0" w:color="auto"/>
        <w:right w:val="none" w:sz="0" w:space="0" w:color="auto"/>
      </w:divBdr>
    </w:div>
    <w:div w:id="315842134">
      <w:bodyDiv w:val="1"/>
      <w:marLeft w:val="0"/>
      <w:marRight w:val="0"/>
      <w:marTop w:val="0"/>
      <w:marBottom w:val="0"/>
      <w:divBdr>
        <w:top w:val="none" w:sz="0" w:space="0" w:color="auto"/>
        <w:left w:val="none" w:sz="0" w:space="0" w:color="auto"/>
        <w:bottom w:val="none" w:sz="0" w:space="0" w:color="auto"/>
        <w:right w:val="none" w:sz="0" w:space="0" w:color="auto"/>
      </w:divBdr>
    </w:div>
    <w:div w:id="326330372">
      <w:bodyDiv w:val="1"/>
      <w:marLeft w:val="0"/>
      <w:marRight w:val="0"/>
      <w:marTop w:val="0"/>
      <w:marBottom w:val="0"/>
      <w:divBdr>
        <w:top w:val="none" w:sz="0" w:space="0" w:color="auto"/>
        <w:left w:val="none" w:sz="0" w:space="0" w:color="auto"/>
        <w:bottom w:val="none" w:sz="0" w:space="0" w:color="auto"/>
        <w:right w:val="none" w:sz="0" w:space="0" w:color="auto"/>
      </w:divBdr>
    </w:div>
    <w:div w:id="340620846">
      <w:bodyDiv w:val="1"/>
      <w:marLeft w:val="0"/>
      <w:marRight w:val="0"/>
      <w:marTop w:val="0"/>
      <w:marBottom w:val="0"/>
      <w:divBdr>
        <w:top w:val="none" w:sz="0" w:space="0" w:color="auto"/>
        <w:left w:val="none" w:sz="0" w:space="0" w:color="auto"/>
        <w:bottom w:val="none" w:sz="0" w:space="0" w:color="auto"/>
        <w:right w:val="none" w:sz="0" w:space="0" w:color="auto"/>
      </w:divBdr>
    </w:div>
    <w:div w:id="387997311">
      <w:bodyDiv w:val="1"/>
      <w:marLeft w:val="0"/>
      <w:marRight w:val="0"/>
      <w:marTop w:val="0"/>
      <w:marBottom w:val="0"/>
      <w:divBdr>
        <w:top w:val="none" w:sz="0" w:space="0" w:color="auto"/>
        <w:left w:val="none" w:sz="0" w:space="0" w:color="auto"/>
        <w:bottom w:val="none" w:sz="0" w:space="0" w:color="auto"/>
        <w:right w:val="none" w:sz="0" w:space="0" w:color="auto"/>
      </w:divBdr>
    </w:div>
    <w:div w:id="391004890">
      <w:bodyDiv w:val="1"/>
      <w:marLeft w:val="0"/>
      <w:marRight w:val="0"/>
      <w:marTop w:val="0"/>
      <w:marBottom w:val="0"/>
      <w:divBdr>
        <w:top w:val="none" w:sz="0" w:space="0" w:color="auto"/>
        <w:left w:val="none" w:sz="0" w:space="0" w:color="auto"/>
        <w:bottom w:val="none" w:sz="0" w:space="0" w:color="auto"/>
        <w:right w:val="none" w:sz="0" w:space="0" w:color="auto"/>
      </w:divBdr>
    </w:div>
    <w:div w:id="418864901">
      <w:bodyDiv w:val="1"/>
      <w:marLeft w:val="0"/>
      <w:marRight w:val="0"/>
      <w:marTop w:val="0"/>
      <w:marBottom w:val="0"/>
      <w:divBdr>
        <w:top w:val="none" w:sz="0" w:space="0" w:color="auto"/>
        <w:left w:val="none" w:sz="0" w:space="0" w:color="auto"/>
        <w:bottom w:val="none" w:sz="0" w:space="0" w:color="auto"/>
        <w:right w:val="none" w:sz="0" w:space="0" w:color="auto"/>
      </w:divBdr>
    </w:div>
    <w:div w:id="446004394">
      <w:bodyDiv w:val="1"/>
      <w:marLeft w:val="0"/>
      <w:marRight w:val="0"/>
      <w:marTop w:val="0"/>
      <w:marBottom w:val="0"/>
      <w:divBdr>
        <w:top w:val="none" w:sz="0" w:space="0" w:color="auto"/>
        <w:left w:val="none" w:sz="0" w:space="0" w:color="auto"/>
        <w:bottom w:val="none" w:sz="0" w:space="0" w:color="auto"/>
        <w:right w:val="none" w:sz="0" w:space="0" w:color="auto"/>
      </w:divBdr>
    </w:div>
    <w:div w:id="446042314">
      <w:bodyDiv w:val="1"/>
      <w:marLeft w:val="0"/>
      <w:marRight w:val="0"/>
      <w:marTop w:val="0"/>
      <w:marBottom w:val="0"/>
      <w:divBdr>
        <w:top w:val="none" w:sz="0" w:space="0" w:color="auto"/>
        <w:left w:val="none" w:sz="0" w:space="0" w:color="auto"/>
        <w:bottom w:val="none" w:sz="0" w:space="0" w:color="auto"/>
        <w:right w:val="none" w:sz="0" w:space="0" w:color="auto"/>
      </w:divBdr>
    </w:div>
    <w:div w:id="453259616">
      <w:bodyDiv w:val="1"/>
      <w:marLeft w:val="0"/>
      <w:marRight w:val="0"/>
      <w:marTop w:val="0"/>
      <w:marBottom w:val="0"/>
      <w:divBdr>
        <w:top w:val="none" w:sz="0" w:space="0" w:color="auto"/>
        <w:left w:val="none" w:sz="0" w:space="0" w:color="auto"/>
        <w:bottom w:val="none" w:sz="0" w:space="0" w:color="auto"/>
        <w:right w:val="none" w:sz="0" w:space="0" w:color="auto"/>
      </w:divBdr>
    </w:div>
    <w:div w:id="490685099">
      <w:bodyDiv w:val="1"/>
      <w:marLeft w:val="0"/>
      <w:marRight w:val="0"/>
      <w:marTop w:val="0"/>
      <w:marBottom w:val="0"/>
      <w:divBdr>
        <w:top w:val="none" w:sz="0" w:space="0" w:color="auto"/>
        <w:left w:val="none" w:sz="0" w:space="0" w:color="auto"/>
        <w:bottom w:val="none" w:sz="0" w:space="0" w:color="auto"/>
        <w:right w:val="none" w:sz="0" w:space="0" w:color="auto"/>
      </w:divBdr>
    </w:div>
    <w:div w:id="506335059">
      <w:bodyDiv w:val="1"/>
      <w:marLeft w:val="0"/>
      <w:marRight w:val="0"/>
      <w:marTop w:val="0"/>
      <w:marBottom w:val="0"/>
      <w:divBdr>
        <w:top w:val="none" w:sz="0" w:space="0" w:color="auto"/>
        <w:left w:val="none" w:sz="0" w:space="0" w:color="auto"/>
        <w:bottom w:val="none" w:sz="0" w:space="0" w:color="auto"/>
        <w:right w:val="none" w:sz="0" w:space="0" w:color="auto"/>
      </w:divBdr>
    </w:div>
    <w:div w:id="522206620">
      <w:bodyDiv w:val="1"/>
      <w:marLeft w:val="0"/>
      <w:marRight w:val="0"/>
      <w:marTop w:val="0"/>
      <w:marBottom w:val="0"/>
      <w:divBdr>
        <w:top w:val="none" w:sz="0" w:space="0" w:color="auto"/>
        <w:left w:val="none" w:sz="0" w:space="0" w:color="auto"/>
        <w:bottom w:val="none" w:sz="0" w:space="0" w:color="auto"/>
        <w:right w:val="none" w:sz="0" w:space="0" w:color="auto"/>
      </w:divBdr>
    </w:div>
    <w:div w:id="531115818">
      <w:bodyDiv w:val="1"/>
      <w:marLeft w:val="0"/>
      <w:marRight w:val="0"/>
      <w:marTop w:val="0"/>
      <w:marBottom w:val="0"/>
      <w:divBdr>
        <w:top w:val="none" w:sz="0" w:space="0" w:color="auto"/>
        <w:left w:val="none" w:sz="0" w:space="0" w:color="auto"/>
        <w:bottom w:val="none" w:sz="0" w:space="0" w:color="auto"/>
        <w:right w:val="none" w:sz="0" w:space="0" w:color="auto"/>
      </w:divBdr>
    </w:div>
    <w:div w:id="543446553">
      <w:bodyDiv w:val="1"/>
      <w:marLeft w:val="0"/>
      <w:marRight w:val="0"/>
      <w:marTop w:val="0"/>
      <w:marBottom w:val="0"/>
      <w:divBdr>
        <w:top w:val="none" w:sz="0" w:space="0" w:color="auto"/>
        <w:left w:val="none" w:sz="0" w:space="0" w:color="auto"/>
        <w:bottom w:val="none" w:sz="0" w:space="0" w:color="auto"/>
        <w:right w:val="none" w:sz="0" w:space="0" w:color="auto"/>
      </w:divBdr>
    </w:div>
    <w:div w:id="571551666">
      <w:bodyDiv w:val="1"/>
      <w:marLeft w:val="0"/>
      <w:marRight w:val="0"/>
      <w:marTop w:val="0"/>
      <w:marBottom w:val="0"/>
      <w:divBdr>
        <w:top w:val="none" w:sz="0" w:space="0" w:color="auto"/>
        <w:left w:val="none" w:sz="0" w:space="0" w:color="auto"/>
        <w:bottom w:val="none" w:sz="0" w:space="0" w:color="auto"/>
        <w:right w:val="none" w:sz="0" w:space="0" w:color="auto"/>
      </w:divBdr>
    </w:div>
    <w:div w:id="587233708">
      <w:bodyDiv w:val="1"/>
      <w:marLeft w:val="0"/>
      <w:marRight w:val="0"/>
      <w:marTop w:val="0"/>
      <w:marBottom w:val="0"/>
      <w:divBdr>
        <w:top w:val="none" w:sz="0" w:space="0" w:color="auto"/>
        <w:left w:val="none" w:sz="0" w:space="0" w:color="auto"/>
        <w:bottom w:val="none" w:sz="0" w:space="0" w:color="auto"/>
        <w:right w:val="none" w:sz="0" w:space="0" w:color="auto"/>
      </w:divBdr>
    </w:div>
    <w:div w:id="629634967">
      <w:bodyDiv w:val="1"/>
      <w:marLeft w:val="0"/>
      <w:marRight w:val="0"/>
      <w:marTop w:val="0"/>
      <w:marBottom w:val="0"/>
      <w:divBdr>
        <w:top w:val="none" w:sz="0" w:space="0" w:color="auto"/>
        <w:left w:val="none" w:sz="0" w:space="0" w:color="auto"/>
        <w:bottom w:val="none" w:sz="0" w:space="0" w:color="auto"/>
        <w:right w:val="none" w:sz="0" w:space="0" w:color="auto"/>
      </w:divBdr>
    </w:div>
    <w:div w:id="644159306">
      <w:bodyDiv w:val="1"/>
      <w:marLeft w:val="0"/>
      <w:marRight w:val="0"/>
      <w:marTop w:val="0"/>
      <w:marBottom w:val="0"/>
      <w:divBdr>
        <w:top w:val="none" w:sz="0" w:space="0" w:color="auto"/>
        <w:left w:val="none" w:sz="0" w:space="0" w:color="auto"/>
        <w:bottom w:val="none" w:sz="0" w:space="0" w:color="auto"/>
        <w:right w:val="none" w:sz="0" w:space="0" w:color="auto"/>
      </w:divBdr>
    </w:div>
    <w:div w:id="671493627">
      <w:bodyDiv w:val="1"/>
      <w:marLeft w:val="0"/>
      <w:marRight w:val="0"/>
      <w:marTop w:val="0"/>
      <w:marBottom w:val="0"/>
      <w:divBdr>
        <w:top w:val="none" w:sz="0" w:space="0" w:color="auto"/>
        <w:left w:val="none" w:sz="0" w:space="0" w:color="auto"/>
        <w:bottom w:val="none" w:sz="0" w:space="0" w:color="auto"/>
        <w:right w:val="none" w:sz="0" w:space="0" w:color="auto"/>
      </w:divBdr>
    </w:div>
    <w:div w:id="675109712">
      <w:bodyDiv w:val="1"/>
      <w:marLeft w:val="0"/>
      <w:marRight w:val="0"/>
      <w:marTop w:val="0"/>
      <w:marBottom w:val="0"/>
      <w:divBdr>
        <w:top w:val="none" w:sz="0" w:space="0" w:color="auto"/>
        <w:left w:val="none" w:sz="0" w:space="0" w:color="auto"/>
        <w:bottom w:val="none" w:sz="0" w:space="0" w:color="auto"/>
        <w:right w:val="none" w:sz="0" w:space="0" w:color="auto"/>
      </w:divBdr>
    </w:div>
    <w:div w:id="679087218">
      <w:bodyDiv w:val="1"/>
      <w:marLeft w:val="0"/>
      <w:marRight w:val="0"/>
      <w:marTop w:val="0"/>
      <w:marBottom w:val="0"/>
      <w:divBdr>
        <w:top w:val="none" w:sz="0" w:space="0" w:color="auto"/>
        <w:left w:val="none" w:sz="0" w:space="0" w:color="auto"/>
        <w:bottom w:val="none" w:sz="0" w:space="0" w:color="auto"/>
        <w:right w:val="none" w:sz="0" w:space="0" w:color="auto"/>
      </w:divBdr>
    </w:div>
    <w:div w:id="682171733">
      <w:bodyDiv w:val="1"/>
      <w:marLeft w:val="0"/>
      <w:marRight w:val="0"/>
      <w:marTop w:val="0"/>
      <w:marBottom w:val="0"/>
      <w:divBdr>
        <w:top w:val="none" w:sz="0" w:space="0" w:color="auto"/>
        <w:left w:val="none" w:sz="0" w:space="0" w:color="auto"/>
        <w:bottom w:val="none" w:sz="0" w:space="0" w:color="auto"/>
        <w:right w:val="none" w:sz="0" w:space="0" w:color="auto"/>
      </w:divBdr>
    </w:div>
    <w:div w:id="682518674">
      <w:bodyDiv w:val="1"/>
      <w:marLeft w:val="0"/>
      <w:marRight w:val="0"/>
      <w:marTop w:val="0"/>
      <w:marBottom w:val="0"/>
      <w:divBdr>
        <w:top w:val="none" w:sz="0" w:space="0" w:color="auto"/>
        <w:left w:val="none" w:sz="0" w:space="0" w:color="auto"/>
        <w:bottom w:val="none" w:sz="0" w:space="0" w:color="auto"/>
        <w:right w:val="none" w:sz="0" w:space="0" w:color="auto"/>
      </w:divBdr>
    </w:div>
    <w:div w:id="697000497">
      <w:bodyDiv w:val="1"/>
      <w:marLeft w:val="0"/>
      <w:marRight w:val="0"/>
      <w:marTop w:val="0"/>
      <w:marBottom w:val="0"/>
      <w:divBdr>
        <w:top w:val="none" w:sz="0" w:space="0" w:color="auto"/>
        <w:left w:val="none" w:sz="0" w:space="0" w:color="auto"/>
        <w:bottom w:val="none" w:sz="0" w:space="0" w:color="auto"/>
        <w:right w:val="none" w:sz="0" w:space="0" w:color="auto"/>
      </w:divBdr>
    </w:div>
    <w:div w:id="698356553">
      <w:bodyDiv w:val="1"/>
      <w:marLeft w:val="0"/>
      <w:marRight w:val="0"/>
      <w:marTop w:val="0"/>
      <w:marBottom w:val="0"/>
      <w:divBdr>
        <w:top w:val="none" w:sz="0" w:space="0" w:color="auto"/>
        <w:left w:val="none" w:sz="0" w:space="0" w:color="auto"/>
        <w:bottom w:val="none" w:sz="0" w:space="0" w:color="auto"/>
        <w:right w:val="none" w:sz="0" w:space="0" w:color="auto"/>
      </w:divBdr>
    </w:div>
    <w:div w:id="710500951">
      <w:bodyDiv w:val="1"/>
      <w:marLeft w:val="0"/>
      <w:marRight w:val="0"/>
      <w:marTop w:val="0"/>
      <w:marBottom w:val="0"/>
      <w:divBdr>
        <w:top w:val="none" w:sz="0" w:space="0" w:color="auto"/>
        <w:left w:val="none" w:sz="0" w:space="0" w:color="auto"/>
        <w:bottom w:val="none" w:sz="0" w:space="0" w:color="auto"/>
        <w:right w:val="none" w:sz="0" w:space="0" w:color="auto"/>
      </w:divBdr>
    </w:div>
    <w:div w:id="742945761">
      <w:bodyDiv w:val="1"/>
      <w:marLeft w:val="0"/>
      <w:marRight w:val="0"/>
      <w:marTop w:val="0"/>
      <w:marBottom w:val="0"/>
      <w:divBdr>
        <w:top w:val="none" w:sz="0" w:space="0" w:color="auto"/>
        <w:left w:val="none" w:sz="0" w:space="0" w:color="auto"/>
        <w:bottom w:val="none" w:sz="0" w:space="0" w:color="auto"/>
        <w:right w:val="none" w:sz="0" w:space="0" w:color="auto"/>
      </w:divBdr>
    </w:div>
    <w:div w:id="753284088">
      <w:bodyDiv w:val="1"/>
      <w:marLeft w:val="0"/>
      <w:marRight w:val="0"/>
      <w:marTop w:val="0"/>
      <w:marBottom w:val="0"/>
      <w:divBdr>
        <w:top w:val="none" w:sz="0" w:space="0" w:color="auto"/>
        <w:left w:val="none" w:sz="0" w:space="0" w:color="auto"/>
        <w:bottom w:val="none" w:sz="0" w:space="0" w:color="auto"/>
        <w:right w:val="none" w:sz="0" w:space="0" w:color="auto"/>
      </w:divBdr>
    </w:div>
    <w:div w:id="767966479">
      <w:bodyDiv w:val="1"/>
      <w:marLeft w:val="0"/>
      <w:marRight w:val="0"/>
      <w:marTop w:val="0"/>
      <w:marBottom w:val="0"/>
      <w:divBdr>
        <w:top w:val="none" w:sz="0" w:space="0" w:color="auto"/>
        <w:left w:val="none" w:sz="0" w:space="0" w:color="auto"/>
        <w:bottom w:val="none" w:sz="0" w:space="0" w:color="auto"/>
        <w:right w:val="none" w:sz="0" w:space="0" w:color="auto"/>
      </w:divBdr>
    </w:div>
    <w:div w:id="815099890">
      <w:bodyDiv w:val="1"/>
      <w:marLeft w:val="0"/>
      <w:marRight w:val="0"/>
      <w:marTop w:val="0"/>
      <w:marBottom w:val="0"/>
      <w:divBdr>
        <w:top w:val="none" w:sz="0" w:space="0" w:color="auto"/>
        <w:left w:val="none" w:sz="0" w:space="0" w:color="auto"/>
        <w:bottom w:val="none" w:sz="0" w:space="0" w:color="auto"/>
        <w:right w:val="none" w:sz="0" w:space="0" w:color="auto"/>
      </w:divBdr>
    </w:div>
    <w:div w:id="840588518">
      <w:bodyDiv w:val="1"/>
      <w:marLeft w:val="0"/>
      <w:marRight w:val="0"/>
      <w:marTop w:val="0"/>
      <w:marBottom w:val="0"/>
      <w:divBdr>
        <w:top w:val="none" w:sz="0" w:space="0" w:color="auto"/>
        <w:left w:val="none" w:sz="0" w:space="0" w:color="auto"/>
        <w:bottom w:val="none" w:sz="0" w:space="0" w:color="auto"/>
        <w:right w:val="none" w:sz="0" w:space="0" w:color="auto"/>
      </w:divBdr>
    </w:div>
    <w:div w:id="845094289">
      <w:bodyDiv w:val="1"/>
      <w:marLeft w:val="0"/>
      <w:marRight w:val="0"/>
      <w:marTop w:val="0"/>
      <w:marBottom w:val="0"/>
      <w:divBdr>
        <w:top w:val="none" w:sz="0" w:space="0" w:color="auto"/>
        <w:left w:val="none" w:sz="0" w:space="0" w:color="auto"/>
        <w:bottom w:val="none" w:sz="0" w:space="0" w:color="auto"/>
        <w:right w:val="none" w:sz="0" w:space="0" w:color="auto"/>
      </w:divBdr>
    </w:div>
    <w:div w:id="876743931">
      <w:bodyDiv w:val="1"/>
      <w:marLeft w:val="0"/>
      <w:marRight w:val="0"/>
      <w:marTop w:val="0"/>
      <w:marBottom w:val="0"/>
      <w:divBdr>
        <w:top w:val="none" w:sz="0" w:space="0" w:color="auto"/>
        <w:left w:val="none" w:sz="0" w:space="0" w:color="auto"/>
        <w:bottom w:val="none" w:sz="0" w:space="0" w:color="auto"/>
        <w:right w:val="none" w:sz="0" w:space="0" w:color="auto"/>
      </w:divBdr>
    </w:div>
    <w:div w:id="897322513">
      <w:bodyDiv w:val="1"/>
      <w:marLeft w:val="0"/>
      <w:marRight w:val="0"/>
      <w:marTop w:val="0"/>
      <w:marBottom w:val="0"/>
      <w:divBdr>
        <w:top w:val="none" w:sz="0" w:space="0" w:color="auto"/>
        <w:left w:val="none" w:sz="0" w:space="0" w:color="auto"/>
        <w:bottom w:val="none" w:sz="0" w:space="0" w:color="auto"/>
        <w:right w:val="none" w:sz="0" w:space="0" w:color="auto"/>
      </w:divBdr>
    </w:div>
    <w:div w:id="929971280">
      <w:bodyDiv w:val="1"/>
      <w:marLeft w:val="0"/>
      <w:marRight w:val="0"/>
      <w:marTop w:val="0"/>
      <w:marBottom w:val="0"/>
      <w:divBdr>
        <w:top w:val="none" w:sz="0" w:space="0" w:color="auto"/>
        <w:left w:val="none" w:sz="0" w:space="0" w:color="auto"/>
        <w:bottom w:val="none" w:sz="0" w:space="0" w:color="auto"/>
        <w:right w:val="none" w:sz="0" w:space="0" w:color="auto"/>
      </w:divBdr>
    </w:div>
    <w:div w:id="962539678">
      <w:bodyDiv w:val="1"/>
      <w:marLeft w:val="0"/>
      <w:marRight w:val="0"/>
      <w:marTop w:val="0"/>
      <w:marBottom w:val="0"/>
      <w:divBdr>
        <w:top w:val="none" w:sz="0" w:space="0" w:color="auto"/>
        <w:left w:val="none" w:sz="0" w:space="0" w:color="auto"/>
        <w:bottom w:val="none" w:sz="0" w:space="0" w:color="auto"/>
        <w:right w:val="none" w:sz="0" w:space="0" w:color="auto"/>
      </w:divBdr>
    </w:div>
    <w:div w:id="971135273">
      <w:bodyDiv w:val="1"/>
      <w:marLeft w:val="0"/>
      <w:marRight w:val="0"/>
      <w:marTop w:val="0"/>
      <w:marBottom w:val="0"/>
      <w:divBdr>
        <w:top w:val="none" w:sz="0" w:space="0" w:color="auto"/>
        <w:left w:val="none" w:sz="0" w:space="0" w:color="auto"/>
        <w:bottom w:val="none" w:sz="0" w:space="0" w:color="auto"/>
        <w:right w:val="none" w:sz="0" w:space="0" w:color="auto"/>
      </w:divBdr>
    </w:div>
    <w:div w:id="983120263">
      <w:bodyDiv w:val="1"/>
      <w:marLeft w:val="0"/>
      <w:marRight w:val="0"/>
      <w:marTop w:val="0"/>
      <w:marBottom w:val="0"/>
      <w:divBdr>
        <w:top w:val="none" w:sz="0" w:space="0" w:color="auto"/>
        <w:left w:val="none" w:sz="0" w:space="0" w:color="auto"/>
        <w:bottom w:val="none" w:sz="0" w:space="0" w:color="auto"/>
        <w:right w:val="none" w:sz="0" w:space="0" w:color="auto"/>
      </w:divBdr>
    </w:div>
    <w:div w:id="983924011">
      <w:bodyDiv w:val="1"/>
      <w:marLeft w:val="0"/>
      <w:marRight w:val="0"/>
      <w:marTop w:val="0"/>
      <w:marBottom w:val="0"/>
      <w:divBdr>
        <w:top w:val="none" w:sz="0" w:space="0" w:color="auto"/>
        <w:left w:val="none" w:sz="0" w:space="0" w:color="auto"/>
        <w:bottom w:val="none" w:sz="0" w:space="0" w:color="auto"/>
        <w:right w:val="none" w:sz="0" w:space="0" w:color="auto"/>
      </w:divBdr>
    </w:div>
    <w:div w:id="1001084795">
      <w:bodyDiv w:val="1"/>
      <w:marLeft w:val="0"/>
      <w:marRight w:val="0"/>
      <w:marTop w:val="0"/>
      <w:marBottom w:val="0"/>
      <w:divBdr>
        <w:top w:val="none" w:sz="0" w:space="0" w:color="auto"/>
        <w:left w:val="none" w:sz="0" w:space="0" w:color="auto"/>
        <w:bottom w:val="none" w:sz="0" w:space="0" w:color="auto"/>
        <w:right w:val="none" w:sz="0" w:space="0" w:color="auto"/>
      </w:divBdr>
    </w:div>
    <w:div w:id="1027146149">
      <w:bodyDiv w:val="1"/>
      <w:marLeft w:val="0"/>
      <w:marRight w:val="0"/>
      <w:marTop w:val="0"/>
      <w:marBottom w:val="0"/>
      <w:divBdr>
        <w:top w:val="none" w:sz="0" w:space="0" w:color="auto"/>
        <w:left w:val="none" w:sz="0" w:space="0" w:color="auto"/>
        <w:bottom w:val="none" w:sz="0" w:space="0" w:color="auto"/>
        <w:right w:val="none" w:sz="0" w:space="0" w:color="auto"/>
      </w:divBdr>
    </w:div>
    <w:div w:id="1030758711">
      <w:bodyDiv w:val="1"/>
      <w:marLeft w:val="0"/>
      <w:marRight w:val="0"/>
      <w:marTop w:val="0"/>
      <w:marBottom w:val="0"/>
      <w:divBdr>
        <w:top w:val="none" w:sz="0" w:space="0" w:color="auto"/>
        <w:left w:val="none" w:sz="0" w:space="0" w:color="auto"/>
        <w:bottom w:val="none" w:sz="0" w:space="0" w:color="auto"/>
        <w:right w:val="none" w:sz="0" w:space="0" w:color="auto"/>
      </w:divBdr>
    </w:div>
    <w:div w:id="1037782650">
      <w:bodyDiv w:val="1"/>
      <w:marLeft w:val="0"/>
      <w:marRight w:val="0"/>
      <w:marTop w:val="0"/>
      <w:marBottom w:val="0"/>
      <w:divBdr>
        <w:top w:val="none" w:sz="0" w:space="0" w:color="auto"/>
        <w:left w:val="none" w:sz="0" w:space="0" w:color="auto"/>
        <w:bottom w:val="none" w:sz="0" w:space="0" w:color="auto"/>
        <w:right w:val="none" w:sz="0" w:space="0" w:color="auto"/>
      </w:divBdr>
    </w:div>
    <w:div w:id="1075787770">
      <w:bodyDiv w:val="1"/>
      <w:marLeft w:val="0"/>
      <w:marRight w:val="0"/>
      <w:marTop w:val="0"/>
      <w:marBottom w:val="0"/>
      <w:divBdr>
        <w:top w:val="none" w:sz="0" w:space="0" w:color="auto"/>
        <w:left w:val="none" w:sz="0" w:space="0" w:color="auto"/>
        <w:bottom w:val="none" w:sz="0" w:space="0" w:color="auto"/>
        <w:right w:val="none" w:sz="0" w:space="0" w:color="auto"/>
      </w:divBdr>
    </w:div>
    <w:div w:id="1101222890">
      <w:bodyDiv w:val="1"/>
      <w:marLeft w:val="0"/>
      <w:marRight w:val="0"/>
      <w:marTop w:val="0"/>
      <w:marBottom w:val="0"/>
      <w:divBdr>
        <w:top w:val="none" w:sz="0" w:space="0" w:color="auto"/>
        <w:left w:val="none" w:sz="0" w:space="0" w:color="auto"/>
        <w:bottom w:val="none" w:sz="0" w:space="0" w:color="auto"/>
        <w:right w:val="none" w:sz="0" w:space="0" w:color="auto"/>
      </w:divBdr>
    </w:div>
    <w:div w:id="1105033807">
      <w:bodyDiv w:val="1"/>
      <w:marLeft w:val="0"/>
      <w:marRight w:val="0"/>
      <w:marTop w:val="0"/>
      <w:marBottom w:val="0"/>
      <w:divBdr>
        <w:top w:val="none" w:sz="0" w:space="0" w:color="auto"/>
        <w:left w:val="none" w:sz="0" w:space="0" w:color="auto"/>
        <w:bottom w:val="none" w:sz="0" w:space="0" w:color="auto"/>
        <w:right w:val="none" w:sz="0" w:space="0" w:color="auto"/>
      </w:divBdr>
    </w:div>
    <w:div w:id="1107848673">
      <w:bodyDiv w:val="1"/>
      <w:marLeft w:val="0"/>
      <w:marRight w:val="0"/>
      <w:marTop w:val="0"/>
      <w:marBottom w:val="0"/>
      <w:divBdr>
        <w:top w:val="none" w:sz="0" w:space="0" w:color="auto"/>
        <w:left w:val="none" w:sz="0" w:space="0" w:color="auto"/>
        <w:bottom w:val="none" w:sz="0" w:space="0" w:color="auto"/>
        <w:right w:val="none" w:sz="0" w:space="0" w:color="auto"/>
      </w:divBdr>
    </w:div>
    <w:div w:id="1123690090">
      <w:bodyDiv w:val="1"/>
      <w:marLeft w:val="0"/>
      <w:marRight w:val="0"/>
      <w:marTop w:val="0"/>
      <w:marBottom w:val="0"/>
      <w:divBdr>
        <w:top w:val="none" w:sz="0" w:space="0" w:color="auto"/>
        <w:left w:val="none" w:sz="0" w:space="0" w:color="auto"/>
        <w:bottom w:val="none" w:sz="0" w:space="0" w:color="auto"/>
        <w:right w:val="none" w:sz="0" w:space="0" w:color="auto"/>
      </w:divBdr>
    </w:div>
    <w:div w:id="1127821390">
      <w:bodyDiv w:val="1"/>
      <w:marLeft w:val="0"/>
      <w:marRight w:val="0"/>
      <w:marTop w:val="0"/>
      <w:marBottom w:val="0"/>
      <w:divBdr>
        <w:top w:val="none" w:sz="0" w:space="0" w:color="auto"/>
        <w:left w:val="none" w:sz="0" w:space="0" w:color="auto"/>
        <w:bottom w:val="none" w:sz="0" w:space="0" w:color="auto"/>
        <w:right w:val="none" w:sz="0" w:space="0" w:color="auto"/>
      </w:divBdr>
    </w:div>
    <w:div w:id="1131902339">
      <w:bodyDiv w:val="1"/>
      <w:marLeft w:val="0"/>
      <w:marRight w:val="0"/>
      <w:marTop w:val="0"/>
      <w:marBottom w:val="0"/>
      <w:divBdr>
        <w:top w:val="none" w:sz="0" w:space="0" w:color="auto"/>
        <w:left w:val="none" w:sz="0" w:space="0" w:color="auto"/>
        <w:bottom w:val="none" w:sz="0" w:space="0" w:color="auto"/>
        <w:right w:val="none" w:sz="0" w:space="0" w:color="auto"/>
      </w:divBdr>
    </w:div>
    <w:div w:id="1132864241">
      <w:bodyDiv w:val="1"/>
      <w:marLeft w:val="0"/>
      <w:marRight w:val="0"/>
      <w:marTop w:val="0"/>
      <w:marBottom w:val="0"/>
      <w:divBdr>
        <w:top w:val="none" w:sz="0" w:space="0" w:color="auto"/>
        <w:left w:val="none" w:sz="0" w:space="0" w:color="auto"/>
        <w:bottom w:val="none" w:sz="0" w:space="0" w:color="auto"/>
        <w:right w:val="none" w:sz="0" w:space="0" w:color="auto"/>
      </w:divBdr>
    </w:div>
    <w:div w:id="1153446285">
      <w:bodyDiv w:val="1"/>
      <w:marLeft w:val="0"/>
      <w:marRight w:val="0"/>
      <w:marTop w:val="0"/>
      <w:marBottom w:val="0"/>
      <w:divBdr>
        <w:top w:val="none" w:sz="0" w:space="0" w:color="auto"/>
        <w:left w:val="none" w:sz="0" w:space="0" w:color="auto"/>
        <w:bottom w:val="none" w:sz="0" w:space="0" w:color="auto"/>
        <w:right w:val="none" w:sz="0" w:space="0" w:color="auto"/>
      </w:divBdr>
    </w:div>
    <w:div w:id="1155880794">
      <w:bodyDiv w:val="1"/>
      <w:marLeft w:val="0"/>
      <w:marRight w:val="0"/>
      <w:marTop w:val="0"/>
      <w:marBottom w:val="0"/>
      <w:divBdr>
        <w:top w:val="none" w:sz="0" w:space="0" w:color="auto"/>
        <w:left w:val="none" w:sz="0" w:space="0" w:color="auto"/>
        <w:bottom w:val="none" w:sz="0" w:space="0" w:color="auto"/>
        <w:right w:val="none" w:sz="0" w:space="0" w:color="auto"/>
      </w:divBdr>
    </w:div>
    <w:div w:id="1171263282">
      <w:bodyDiv w:val="1"/>
      <w:marLeft w:val="0"/>
      <w:marRight w:val="0"/>
      <w:marTop w:val="0"/>
      <w:marBottom w:val="0"/>
      <w:divBdr>
        <w:top w:val="none" w:sz="0" w:space="0" w:color="auto"/>
        <w:left w:val="none" w:sz="0" w:space="0" w:color="auto"/>
        <w:bottom w:val="none" w:sz="0" w:space="0" w:color="auto"/>
        <w:right w:val="none" w:sz="0" w:space="0" w:color="auto"/>
      </w:divBdr>
    </w:div>
    <w:div w:id="1185053841">
      <w:bodyDiv w:val="1"/>
      <w:marLeft w:val="0"/>
      <w:marRight w:val="0"/>
      <w:marTop w:val="0"/>
      <w:marBottom w:val="0"/>
      <w:divBdr>
        <w:top w:val="none" w:sz="0" w:space="0" w:color="auto"/>
        <w:left w:val="none" w:sz="0" w:space="0" w:color="auto"/>
        <w:bottom w:val="none" w:sz="0" w:space="0" w:color="auto"/>
        <w:right w:val="none" w:sz="0" w:space="0" w:color="auto"/>
      </w:divBdr>
    </w:div>
    <w:div w:id="1223516602">
      <w:bodyDiv w:val="1"/>
      <w:marLeft w:val="0"/>
      <w:marRight w:val="0"/>
      <w:marTop w:val="0"/>
      <w:marBottom w:val="0"/>
      <w:divBdr>
        <w:top w:val="none" w:sz="0" w:space="0" w:color="auto"/>
        <w:left w:val="none" w:sz="0" w:space="0" w:color="auto"/>
        <w:bottom w:val="none" w:sz="0" w:space="0" w:color="auto"/>
        <w:right w:val="none" w:sz="0" w:space="0" w:color="auto"/>
      </w:divBdr>
    </w:div>
    <w:div w:id="1225531361">
      <w:bodyDiv w:val="1"/>
      <w:marLeft w:val="0"/>
      <w:marRight w:val="0"/>
      <w:marTop w:val="0"/>
      <w:marBottom w:val="0"/>
      <w:divBdr>
        <w:top w:val="none" w:sz="0" w:space="0" w:color="auto"/>
        <w:left w:val="none" w:sz="0" w:space="0" w:color="auto"/>
        <w:bottom w:val="none" w:sz="0" w:space="0" w:color="auto"/>
        <w:right w:val="none" w:sz="0" w:space="0" w:color="auto"/>
      </w:divBdr>
    </w:div>
    <w:div w:id="1236815921">
      <w:bodyDiv w:val="1"/>
      <w:marLeft w:val="0"/>
      <w:marRight w:val="0"/>
      <w:marTop w:val="0"/>
      <w:marBottom w:val="0"/>
      <w:divBdr>
        <w:top w:val="none" w:sz="0" w:space="0" w:color="auto"/>
        <w:left w:val="none" w:sz="0" w:space="0" w:color="auto"/>
        <w:bottom w:val="none" w:sz="0" w:space="0" w:color="auto"/>
        <w:right w:val="none" w:sz="0" w:space="0" w:color="auto"/>
      </w:divBdr>
    </w:div>
    <w:div w:id="1258096695">
      <w:bodyDiv w:val="1"/>
      <w:marLeft w:val="0"/>
      <w:marRight w:val="0"/>
      <w:marTop w:val="0"/>
      <w:marBottom w:val="0"/>
      <w:divBdr>
        <w:top w:val="none" w:sz="0" w:space="0" w:color="auto"/>
        <w:left w:val="none" w:sz="0" w:space="0" w:color="auto"/>
        <w:bottom w:val="none" w:sz="0" w:space="0" w:color="auto"/>
        <w:right w:val="none" w:sz="0" w:space="0" w:color="auto"/>
      </w:divBdr>
    </w:div>
    <w:div w:id="1279406613">
      <w:bodyDiv w:val="1"/>
      <w:marLeft w:val="0"/>
      <w:marRight w:val="0"/>
      <w:marTop w:val="0"/>
      <w:marBottom w:val="0"/>
      <w:divBdr>
        <w:top w:val="none" w:sz="0" w:space="0" w:color="auto"/>
        <w:left w:val="none" w:sz="0" w:space="0" w:color="auto"/>
        <w:bottom w:val="none" w:sz="0" w:space="0" w:color="auto"/>
        <w:right w:val="none" w:sz="0" w:space="0" w:color="auto"/>
      </w:divBdr>
    </w:div>
    <w:div w:id="1296714149">
      <w:bodyDiv w:val="1"/>
      <w:marLeft w:val="0"/>
      <w:marRight w:val="0"/>
      <w:marTop w:val="0"/>
      <w:marBottom w:val="0"/>
      <w:divBdr>
        <w:top w:val="none" w:sz="0" w:space="0" w:color="auto"/>
        <w:left w:val="none" w:sz="0" w:space="0" w:color="auto"/>
        <w:bottom w:val="none" w:sz="0" w:space="0" w:color="auto"/>
        <w:right w:val="none" w:sz="0" w:space="0" w:color="auto"/>
      </w:divBdr>
    </w:div>
    <w:div w:id="1320160316">
      <w:bodyDiv w:val="1"/>
      <w:marLeft w:val="0"/>
      <w:marRight w:val="0"/>
      <w:marTop w:val="0"/>
      <w:marBottom w:val="0"/>
      <w:divBdr>
        <w:top w:val="none" w:sz="0" w:space="0" w:color="auto"/>
        <w:left w:val="none" w:sz="0" w:space="0" w:color="auto"/>
        <w:bottom w:val="none" w:sz="0" w:space="0" w:color="auto"/>
        <w:right w:val="none" w:sz="0" w:space="0" w:color="auto"/>
      </w:divBdr>
    </w:div>
    <w:div w:id="1381707409">
      <w:bodyDiv w:val="1"/>
      <w:marLeft w:val="0"/>
      <w:marRight w:val="0"/>
      <w:marTop w:val="0"/>
      <w:marBottom w:val="0"/>
      <w:divBdr>
        <w:top w:val="none" w:sz="0" w:space="0" w:color="auto"/>
        <w:left w:val="none" w:sz="0" w:space="0" w:color="auto"/>
        <w:bottom w:val="none" w:sz="0" w:space="0" w:color="auto"/>
        <w:right w:val="none" w:sz="0" w:space="0" w:color="auto"/>
      </w:divBdr>
    </w:div>
    <w:div w:id="1401517820">
      <w:bodyDiv w:val="1"/>
      <w:marLeft w:val="0"/>
      <w:marRight w:val="0"/>
      <w:marTop w:val="0"/>
      <w:marBottom w:val="0"/>
      <w:divBdr>
        <w:top w:val="none" w:sz="0" w:space="0" w:color="auto"/>
        <w:left w:val="none" w:sz="0" w:space="0" w:color="auto"/>
        <w:bottom w:val="none" w:sz="0" w:space="0" w:color="auto"/>
        <w:right w:val="none" w:sz="0" w:space="0" w:color="auto"/>
      </w:divBdr>
    </w:div>
    <w:div w:id="1434086872">
      <w:bodyDiv w:val="1"/>
      <w:marLeft w:val="0"/>
      <w:marRight w:val="0"/>
      <w:marTop w:val="0"/>
      <w:marBottom w:val="0"/>
      <w:divBdr>
        <w:top w:val="none" w:sz="0" w:space="0" w:color="auto"/>
        <w:left w:val="none" w:sz="0" w:space="0" w:color="auto"/>
        <w:bottom w:val="none" w:sz="0" w:space="0" w:color="auto"/>
        <w:right w:val="none" w:sz="0" w:space="0" w:color="auto"/>
      </w:divBdr>
    </w:div>
    <w:div w:id="1442608445">
      <w:bodyDiv w:val="1"/>
      <w:marLeft w:val="0"/>
      <w:marRight w:val="0"/>
      <w:marTop w:val="0"/>
      <w:marBottom w:val="0"/>
      <w:divBdr>
        <w:top w:val="none" w:sz="0" w:space="0" w:color="auto"/>
        <w:left w:val="none" w:sz="0" w:space="0" w:color="auto"/>
        <w:bottom w:val="none" w:sz="0" w:space="0" w:color="auto"/>
        <w:right w:val="none" w:sz="0" w:space="0" w:color="auto"/>
      </w:divBdr>
    </w:div>
    <w:div w:id="1458254180">
      <w:bodyDiv w:val="1"/>
      <w:marLeft w:val="0"/>
      <w:marRight w:val="0"/>
      <w:marTop w:val="0"/>
      <w:marBottom w:val="0"/>
      <w:divBdr>
        <w:top w:val="none" w:sz="0" w:space="0" w:color="auto"/>
        <w:left w:val="none" w:sz="0" w:space="0" w:color="auto"/>
        <w:bottom w:val="none" w:sz="0" w:space="0" w:color="auto"/>
        <w:right w:val="none" w:sz="0" w:space="0" w:color="auto"/>
      </w:divBdr>
    </w:div>
    <w:div w:id="1509055880">
      <w:bodyDiv w:val="1"/>
      <w:marLeft w:val="0"/>
      <w:marRight w:val="0"/>
      <w:marTop w:val="0"/>
      <w:marBottom w:val="0"/>
      <w:divBdr>
        <w:top w:val="none" w:sz="0" w:space="0" w:color="auto"/>
        <w:left w:val="none" w:sz="0" w:space="0" w:color="auto"/>
        <w:bottom w:val="none" w:sz="0" w:space="0" w:color="auto"/>
        <w:right w:val="none" w:sz="0" w:space="0" w:color="auto"/>
      </w:divBdr>
    </w:div>
    <w:div w:id="1554776092">
      <w:bodyDiv w:val="1"/>
      <w:marLeft w:val="0"/>
      <w:marRight w:val="0"/>
      <w:marTop w:val="0"/>
      <w:marBottom w:val="0"/>
      <w:divBdr>
        <w:top w:val="none" w:sz="0" w:space="0" w:color="auto"/>
        <w:left w:val="none" w:sz="0" w:space="0" w:color="auto"/>
        <w:bottom w:val="none" w:sz="0" w:space="0" w:color="auto"/>
        <w:right w:val="none" w:sz="0" w:space="0" w:color="auto"/>
      </w:divBdr>
    </w:div>
    <w:div w:id="1571887699">
      <w:bodyDiv w:val="1"/>
      <w:marLeft w:val="0"/>
      <w:marRight w:val="0"/>
      <w:marTop w:val="0"/>
      <w:marBottom w:val="0"/>
      <w:divBdr>
        <w:top w:val="none" w:sz="0" w:space="0" w:color="auto"/>
        <w:left w:val="none" w:sz="0" w:space="0" w:color="auto"/>
        <w:bottom w:val="none" w:sz="0" w:space="0" w:color="auto"/>
        <w:right w:val="none" w:sz="0" w:space="0" w:color="auto"/>
      </w:divBdr>
    </w:div>
    <w:div w:id="1575511891">
      <w:bodyDiv w:val="1"/>
      <w:marLeft w:val="0"/>
      <w:marRight w:val="0"/>
      <w:marTop w:val="0"/>
      <w:marBottom w:val="0"/>
      <w:divBdr>
        <w:top w:val="none" w:sz="0" w:space="0" w:color="auto"/>
        <w:left w:val="none" w:sz="0" w:space="0" w:color="auto"/>
        <w:bottom w:val="none" w:sz="0" w:space="0" w:color="auto"/>
        <w:right w:val="none" w:sz="0" w:space="0" w:color="auto"/>
      </w:divBdr>
    </w:div>
    <w:div w:id="1577200739">
      <w:bodyDiv w:val="1"/>
      <w:marLeft w:val="0"/>
      <w:marRight w:val="0"/>
      <w:marTop w:val="0"/>
      <w:marBottom w:val="0"/>
      <w:divBdr>
        <w:top w:val="none" w:sz="0" w:space="0" w:color="auto"/>
        <w:left w:val="none" w:sz="0" w:space="0" w:color="auto"/>
        <w:bottom w:val="none" w:sz="0" w:space="0" w:color="auto"/>
        <w:right w:val="none" w:sz="0" w:space="0" w:color="auto"/>
      </w:divBdr>
    </w:div>
    <w:div w:id="1581254497">
      <w:bodyDiv w:val="1"/>
      <w:marLeft w:val="0"/>
      <w:marRight w:val="0"/>
      <w:marTop w:val="0"/>
      <w:marBottom w:val="0"/>
      <w:divBdr>
        <w:top w:val="none" w:sz="0" w:space="0" w:color="auto"/>
        <w:left w:val="none" w:sz="0" w:space="0" w:color="auto"/>
        <w:bottom w:val="none" w:sz="0" w:space="0" w:color="auto"/>
        <w:right w:val="none" w:sz="0" w:space="0" w:color="auto"/>
      </w:divBdr>
    </w:div>
    <w:div w:id="1615138947">
      <w:bodyDiv w:val="1"/>
      <w:marLeft w:val="0"/>
      <w:marRight w:val="0"/>
      <w:marTop w:val="0"/>
      <w:marBottom w:val="0"/>
      <w:divBdr>
        <w:top w:val="none" w:sz="0" w:space="0" w:color="auto"/>
        <w:left w:val="none" w:sz="0" w:space="0" w:color="auto"/>
        <w:bottom w:val="none" w:sz="0" w:space="0" w:color="auto"/>
        <w:right w:val="none" w:sz="0" w:space="0" w:color="auto"/>
      </w:divBdr>
    </w:div>
    <w:div w:id="1620650435">
      <w:bodyDiv w:val="1"/>
      <w:marLeft w:val="0"/>
      <w:marRight w:val="0"/>
      <w:marTop w:val="0"/>
      <w:marBottom w:val="0"/>
      <w:divBdr>
        <w:top w:val="none" w:sz="0" w:space="0" w:color="auto"/>
        <w:left w:val="none" w:sz="0" w:space="0" w:color="auto"/>
        <w:bottom w:val="none" w:sz="0" w:space="0" w:color="auto"/>
        <w:right w:val="none" w:sz="0" w:space="0" w:color="auto"/>
      </w:divBdr>
    </w:div>
    <w:div w:id="1629898123">
      <w:bodyDiv w:val="1"/>
      <w:marLeft w:val="0"/>
      <w:marRight w:val="0"/>
      <w:marTop w:val="0"/>
      <w:marBottom w:val="0"/>
      <w:divBdr>
        <w:top w:val="none" w:sz="0" w:space="0" w:color="auto"/>
        <w:left w:val="none" w:sz="0" w:space="0" w:color="auto"/>
        <w:bottom w:val="none" w:sz="0" w:space="0" w:color="auto"/>
        <w:right w:val="none" w:sz="0" w:space="0" w:color="auto"/>
      </w:divBdr>
    </w:div>
    <w:div w:id="1630011631">
      <w:bodyDiv w:val="1"/>
      <w:marLeft w:val="0"/>
      <w:marRight w:val="0"/>
      <w:marTop w:val="0"/>
      <w:marBottom w:val="0"/>
      <w:divBdr>
        <w:top w:val="none" w:sz="0" w:space="0" w:color="auto"/>
        <w:left w:val="none" w:sz="0" w:space="0" w:color="auto"/>
        <w:bottom w:val="none" w:sz="0" w:space="0" w:color="auto"/>
        <w:right w:val="none" w:sz="0" w:space="0" w:color="auto"/>
      </w:divBdr>
    </w:div>
    <w:div w:id="1654406951">
      <w:bodyDiv w:val="1"/>
      <w:marLeft w:val="0"/>
      <w:marRight w:val="0"/>
      <w:marTop w:val="0"/>
      <w:marBottom w:val="0"/>
      <w:divBdr>
        <w:top w:val="none" w:sz="0" w:space="0" w:color="auto"/>
        <w:left w:val="none" w:sz="0" w:space="0" w:color="auto"/>
        <w:bottom w:val="none" w:sz="0" w:space="0" w:color="auto"/>
        <w:right w:val="none" w:sz="0" w:space="0" w:color="auto"/>
      </w:divBdr>
    </w:div>
    <w:div w:id="1661736571">
      <w:bodyDiv w:val="1"/>
      <w:marLeft w:val="0"/>
      <w:marRight w:val="0"/>
      <w:marTop w:val="0"/>
      <w:marBottom w:val="0"/>
      <w:divBdr>
        <w:top w:val="none" w:sz="0" w:space="0" w:color="auto"/>
        <w:left w:val="none" w:sz="0" w:space="0" w:color="auto"/>
        <w:bottom w:val="none" w:sz="0" w:space="0" w:color="auto"/>
        <w:right w:val="none" w:sz="0" w:space="0" w:color="auto"/>
      </w:divBdr>
    </w:div>
    <w:div w:id="1676151716">
      <w:bodyDiv w:val="1"/>
      <w:marLeft w:val="0"/>
      <w:marRight w:val="0"/>
      <w:marTop w:val="0"/>
      <w:marBottom w:val="0"/>
      <w:divBdr>
        <w:top w:val="none" w:sz="0" w:space="0" w:color="auto"/>
        <w:left w:val="none" w:sz="0" w:space="0" w:color="auto"/>
        <w:bottom w:val="none" w:sz="0" w:space="0" w:color="auto"/>
        <w:right w:val="none" w:sz="0" w:space="0" w:color="auto"/>
      </w:divBdr>
    </w:div>
    <w:div w:id="1721975846">
      <w:bodyDiv w:val="1"/>
      <w:marLeft w:val="0"/>
      <w:marRight w:val="0"/>
      <w:marTop w:val="0"/>
      <w:marBottom w:val="0"/>
      <w:divBdr>
        <w:top w:val="none" w:sz="0" w:space="0" w:color="auto"/>
        <w:left w:val="none" w:sz="0" w:space="0" w:color="auto"/>
        <w:bottom w:val="none" w:sz="0" w:space="0" w:color="auto"/>
        <w:right w:val="none" w:sz="0" w:space="0" w:color="auto"/>
      </w:divBdr>
    </w:div>
    <w:div w:id="1750805336">
      <w:bodyDiv w:val="1"/>
      <w:marLeft w:val="0"/>
      <w:marRight w:val="0"/>
      <w:marTop w:val="0"/>
      <w:marBottom w:val="0"/>
      <w:divBdr>
        <w:top w:val="none" w:sz="0" w:space="0" w:color="auto"/>
        <w:left w:val="none" w:sz="0" w:space="0" w:color="auto"/>
        <w:bottom w:val="none" w:sz="0" w:space="0" w:color="auto"/>
        <w:right w:val="none" w:sz="0" w:space="0" w:color="auto"/>
      </w:divBdr>
      <w:divsChild>
        <w:div w:id="557865873">
          <w:marLeft w:val="0"/>
          <w:marRight w:val="0"/>
          <w:marTop w:val="0"/>
          <w:marBottom w:val="0"/>
          <w:divBdr>
            <w:top w:val="none" w:sz="0" w:space="0" w:color="auto"/>
            <w:left w:val="none" w:sz="0" w:space="0" w:color="auto"/>
            <w:bottom w:val="none" w:sz="0" w:space="0" w:color="auto"/>
            <w:right w:val="none" w:sz="0" w:space="0" w:color="auto"/>
          </w:divBdr>
          <w:divsChild>
            <w:div w:id="7756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6895">
      <w:bodyDiv w:val="1"/>
      <w:marLeft w:val="0"/>
      <w:marRight w:val="0"/>
      <w:marTop w:val="0"/>
      <w:marBottom w:val="0"/>
      <w:divBdr>
        <w:top w:val="none" w:sz="0" w:space="0" w:color="auto"/>
        <w:left w:val="none" w:sz="0" w:space="0" w:color="auto"/>
        <w:bottom w:val="none" w:sz="0" w:space="0" w:color="auto"/>
        <w:right w:val="none" w:sz="0" w:space="0" w:color="auto"/>
      </w:divBdr>
      <w:divsChild>
        <w:div w:id="700864364">
          <w:marLeft w:val="0"/>
          <w:marRight w:val="0"/>
          <w:marTop w:val="0"/>
          <w:marBottom w:val="0"/>
          <w:divBdr>
            <w:top w:val="none" w:sz="0" w:space="0" w:color="auto"/>
            <w:left w:val="none" w:sz="0" w:space="0" w:color="auto"/>
            <w:bottom w:val="none" w:sz="0" w:space="0" w:color="auto"/>
            <w:right w:val="none" w:sz="0" w:space="0" w:color="auto"/>
          </w:divBdr>
          <w:divsChild>
            <w:div w:id="75321184">
              <w:marLeft w:val="0"/>
              <w:marRight w:val="0"/>
              <w:marTop w:val="0"/>
              <w:marBottom w:val="0"/>
              <w:divBdr>
                <w:top w:val="none" w:sz="0" w:space="0" w:color="auto"/>
                <w:left w:val="none" w:sz="0" w:space="0" w:color="auto"/>
                <w:bottom w:val="none" w:sz="0" w:space="0" w:color="auto"/>
                <w:right w:val="none" w:sz="0" w:space="0" w:color="auto"/>
              </w:divBdr>
              <w:divsChild>
                <w:div w:id="1589462141">
                  <w:marLeft w:val="0"/>
                  <w:marRight w:val="0"/>
                  <w:marTop w:val="0"/>
                  <w:marBottom w:val="300"/>
                  <w:divBdr>
                    <w:top w:val="none" w:sz="0" w:space="0" w:color="auto"/>
                    <w:left w:val="none" w:sz="0" w:space="0" w:color="auto"/>
                    <w:bottom w:val="none" w:sz="0" w:space="0" w:color="auto"/>
                    <w:right w:val="none" w:sz="0" w:space="0" w:color="auto"/>
                  </w:divBdr>
                  <w:divsChild>
                    <w:div w:id="7863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35559">
      <w:bodyDiv w:val="1"/>
      <w:marLeft w:val="0"/>
      <w:marRight w:val="0"/>
      <w:marTop w:val="0"/>
      <w:marBottom w:val="0"/>
      <w:divBdr>
        <w:top w:val="none" w:sz="0" w:space="0" w:color="auto"/>
        <w:left w:val="none" w:sz="0" w:space="0" w:color="auto"/>
        <w:bottom w:val="none" w:sz="0" w:space="0" w:color="auto"/>
        <w:right w:val="none" w:sz="0" w:space="0" w:color="auto"/>
      </w:divBdr>
    </w:div>
    <w:div w:id="1770003221">
      <w:bodyDiv w:val="1"/>
      <w:marLeft w:val="0"/>
      <w:marRight w:val="0"/>
      <w:marTop w:val="0"/>
      <w:marBottom w:val="0"/>
      <w:divBdr>
        <w:top w:val="none" w:sz="0" w:space="0" w:color="auto"/>
        <w:left w:val="none" w:sz="0" w:space="0" w:color="auto"/>
        <w:bottom w:val="none" w:sz="0" w:space="0" w:color="auto"/>
        <w:right w:val="none" w:sz="0" w:space="0" w:color="auto"/>
      </w:divBdr>
    </w:div>
    <w:div w:id="1772621712">
      <w:bodyDiv w:val="1"/>
      <w:marLeft w:val="0"/>
      <w:marRight w:val="0"/>
      <w:marTop w:val="0"/>
      <w:marBottom w:val="0"/>
      <w:divBdr>
        <w:top w:val="none" w:sz="0" w:space="0" w:color="auto"/>
        <w:left w:val="none" w:sz="0" w:space="0" w:color="auto"/>
        <w:bottom w:val="none" w:sz="0" w:space="0" w:color="auto"/>
        <w:right w:val="none" w:sz="0" w:space="0" w:color="auto"/>
      </w:divBdr>
    </w:div>
    <w:div w:id="1791782574">
      <w:bodyDiv w:val="1"/>
      <w:marLeft w:val="0"/>
      <w:marRight w:val="0"/>
      <w:marTop w:val="0"/>
      <w:marBottom w:val="0"/>
      <w:divBdr>
        <w:top w:val="none" w:sz="0" w:space="0" w:color="auto"/>
        <w:left w:val="none" w:sz="0" w:space="0" w:color="auto"/>
        <w:bottom w:val="none" w:sz="0" w:space="0" w:color="auto"/>
        <w:right w:val="none" w:sz="0" w:space="0" w:color="auto"/>
      </w:divBdr>
    </w:div>
    <w:div w:id="1803301560">
      <w:bodyDiv w:val="1"/>
      <w:marLeft w:val="0"/>
      <w:marRight w:val="0"/>
      <w:marTop w:val="0"/>
      <w:marBottom w:val="0"/>
      <w:divBdr>
        <w:top w:val="none" w:sz="0" w:space="0" w:color="auto"/>
        <w:left w:val="none" w:sz="0" w:space="0" w:color="auto"/>
        <w:bottom w:val="none" w:sz="0" w:space="0" w:color="auto"/>
        <w:right w:val="none" w:sz="0" w:space="0" w:color="auto"/>
      </w:divBdr>
    </w:div>
    <w:div w:id="1820226029">
      <w:bodyDiv w:val="1"/>
      <w:marLeft w:val="0"/>
      <w:marRight w:val="0"/>
      <w:marTop w:val="0"/>
      <w:marBottom w:val="0"/>
      <w:divBdr>
        <w:top w:val="none" w:sz="0" w:space="0" w:color="auto"/>
        <w:left w:val="none" w:sz="0" w:space="0" w:color="auto"/>
        <w:bottom w:val="none" w:sz="0" w:space="0" w:color="auto"/>
        <w:right w:val="none" w:sz="0" w:space="0" w:color="auto"/>
      </w:divBdr>
    </w:div>
    <w:div w:id="1824155117">
      <w:bodyDiv w:val="1"/>
      <w:marLeft w:val="0"/>
      <w:marRight w:val="0"/>
      <w:marTop w:val="0"/>
      <w:marBottom w:val="0"/>
      <w:divBdr>
        <w:top w:val="none" w:sz="0" w:space="0" w:color="auto"/>
        <w:left w:val="none" w:sz="0" w:space="0" w:color="auto"/>
        <w:bottom w:val="none" w:sz="0" w:space="0" w:color="auto"/>
        <w:right w:val="none" w:sz="0" w:space="0" w:color="auto"/>
      </w:divBdr>
    </w:div>
    <w:div w:id="1870677011">
      <w:bodyDiv w:val="1"/>
      <w:marLeft w:val="0"/>
      <w:marRight w:val="0"/>
      <w:marTop w:val="0"/>
      <w:marBottom w:val="0"/>
      <w:divBdr>
        <w:top w:val="none" w:sz="0" w:space="0" w:color="auto"/>
        <w:left w:val="none" w:sz="0" w:space="0" w:color="auto"/>
        <w:bottom w:val="none" w:sz="0" w:space="0" w:color="auto"/>
        <w:right w:val="none" w:sz="0" w:space="0" w:color="auto"/>
      </w:divBdr>
    </w:div>
    <w:div w:id="1877236617">
      <w:bodyDiv w:val="1"/>
      <w:marLeft w:val="0"/>
      <w:marRight w:val="0"/>
      <w:marTop w:val="0"/>
      <w:marBottom w:val="0"/>
      <w:divBdr>
        <w:top w:val="none" w:sz="0" w:space="0" w:color="auto"/>
        <w:left w:val="none" w:sz="0" w:space="0" w:color="auto"/>
        <w:bottom w:val="none" w:sz="0" w:space="0" w:color="auto"/>
        <w:right w:val="none" w:sz="0" w:space="0" w:color="auto"/>
      </w:divBdr>
    </w:div>
    <w:div w:id="1879732433">
      <w:bodyDiv w:val="1"/>
      <w:marLeft w:val="0"/>
      <w:marRight w:val="0"/>
      <w:marTop w:val="0"/>
      <w:marBottom w:val="0"/>
      <w:divBdr>
        <w:top w:val="none" w:sz="0" w:space="0" w:color="auto"/>
        <w:left w:val="none" w:sz="0" w:space="0" w:color="auto"/>
        <w:bottom w:val="none" w:sz="0" w:space="0" w:color="auto"/>
        <w:right w:val="none" w:sz="0" w:space="0" w:color="auto"/>
      </w:divBdr>
    </w:div>
    <w:div w:id="1880702920">
      <w:bodyDiv w:val="1"/>
      <w:marLeft w:val="0"/>
      <w:marRight w:val="0"/>
      <w:marTop w:val="0"/>
      <w:marBottom w:val="0"/>
      <w:divBdr>
        <w:top w:val="none" w:sz="0" w:space="0" w:color="auto"/>
        <w:left w:val="none" w:sz="0" w:space="0" w:color="auto"/>
        <w:bottom w:val="none" w:sz="0" w:space="0" w:color="auto"/>
        <w:right w:val="none" w:sz="0" w:space="0" w:color="auto"/>
      </w:divBdr>
    </w:div>
    <w:div w:id="1886136587">
      <w:bodyDiv w:val="1"/>
      <w:marLeft w:val="0"/>
      <w:marRight w:val="0"/>
      <w:marTop w:val="0"/>
      <w:marBottom w:val="0"/>
      <w:divBdr>
        <w:top w:val="none" w:sz="0" w:space="0" w:color="auto"/>
        <w:left w:val="none" w:sz="0" w:space="0" w:color="auto"/>
        <w:bottom w:val="none" w:sz="0" w:space="0" w:color="auto"/>
        <w:right w:val="none" w:sz="0" w:space="0" w:color="auto"/>
      </w:divBdr>
      <w:divsChild>
        <w:div w:id="646669712">
          <w:marLeft w:val="547"/>
          <w:marRight w:val="0"/>
          <w:marTop w:val="0"/>
          <w:marBottom w:val="0"/>
          <w:divBdr>
            <w:top w:val="none" w:sz="0" w:space="0" w:color="auto"/>
            <w:left w:val="none" w:sz="0" w:space="0" w:color="auto"/>
            <w:bottom w:val="none" w:sz="0" w:space="0" w:color="auto"/>
            <w:right w:val="none" w:sz="0" w:space="0" w:color="auto"/>
          </w:divBdr>
        </w:div>
        <w:div w:id="829054688">
          <w:marLeft w:val="547"/>
          <w:marRight w:val="0"/>
          <w:marTop w:val="0"/>
          <w:marBottom w:val="0"/>
          <w:divBdr>
            <w:top w:val="none" w:sz="0" w:space="0" w:color="auto"/>
            <w:left w:val="none" w:sz="0" w:space="0" w:color="auto"/>
            <w:bottom w:val="none" w:sz="0" w:space="0" w:color="auto"/>
            <w:right w:val="none" w:sz="0" w:space="0" w:color="auto"/>
          </w:divBdr>
        </w:div>
        <w:div w:id="1239897844">
          <w:marLeft w:val="547"/>
          <w:marRight w:val="0"/>
          <w:marTop w:val="0"/>
          <w:marBottom w:val="0"/>
          <w:divBdr>
            <w:top w:val="none" w:sz="0" w:space="0" w:color="auto"/>
            <w:left w:val="none" w:sz="0" w:space="0" w:color="auto"/>
            <w:bottom w:val="none" w:sz="0" w:space="0" w:color="auto"/>
            <w:right w:val="none" w:sz="0" w:space="0" w:color="auto"/>
          </w:divBdr>
        </w:div>
      </w:divsChild>
    </w:div>
    <w:div w:id="1904487882">
      <w:bodyDiv w:val="1"/>
      <w:marLeft w:val="0"/>
      <w:marRight w:val="0"/>
      <w:marTop w:val="0"/>
      <w:marBottom w:val="0"/>
      <w:divBdr>
        <w:top w:val="none" w:sz="0" w:space="0" w:color="auto"/>
        <w:left w:val="none" w:sz="0" w:space="0" w:color="auto"/>
        <w:bottom w:val="none" w:sz="0" w:space="0" w:color="auto"/>
        <w:right w:val="none" w:sz="0" w:space="0" w:color="auto"/>
      </w:divBdr>
    </w:div>
    <w:div w:id="1915818021">
      <w:bodyDiv w:val="1"/>
      <w:marLeft w:val="0"/>
      <w:marRight w:val="0"/>
      <w:marTop w:val="0"/>
      <w:marBottom w:val="0"/>
      <w:divBdr>
        <w:top w:val="none" w:sz="0" w:space="0" w:color="auto"/>
        <w:left w:val="none" w:sz="0" w:space="0" w:color="auto"/>
        <w:bottom w:val="none" w:sz="0" w:space="0" w:color="auto"/>
        <w:right w:val="none" w:sz="0" w:space="0" w:color="auto"/>
      </w:divBdr>
    </w:div>
    <w:div w:id="1926262016">
      <w:bodyDiv w:val="1"/>
      <w:marLeft w:val="0"/>
      <w:marRight w:val="0"/>
      <w:marTop w:val="0"/>
      <w:marBottom w:val="0"/>
      <w:divBdr>
        <w:top w:val="none" w:sz="0" w:space="0" w:color="auto"/>
        <w:left w:val="none" w:sz="0" w:space="0" w:color="auto"/>
        <w:bottom w:val="none" w:sz="0" w:space="0" w:color="auto"/>
        <w:right w:val="none" w:sz="0" w:space="0" w:color="auto"/>
      </w:divBdr>
    </w:div>
    <w:div w:id="2008483306">
      <w:bodyDiv w:val="1"/>
      <w:marLeft w:val="0"/>
      <w:marRight w:val="0"/>
      <w:marTop w:val="0"/>
      <w:marBottom w:val="0"/>
      <w:divBdr>
        <w:top w:val="none" w:sz="0" w:space="0" w:color="auto"/>
        <w:left w:val="none" w:sz="0" w:space="0" w:color="auto"/>
        <w:bottom w:val="none" w:sz="0" w:space="0" w:color="auto"/>
        <w:right w:val="none" w:sz="0" w:space="0" w:color="auto"/>
      </w:divBdr>
    </w:div>
    <w:div w:id="2010207492">
      <w:bodyDiv w:val="1"/>
      <w:marLeft w:val="0"/>
      <w:marRight w:val="0"/>
      <w:marTop w:val="0"/>
      <w:marBottom w:val="0"/>
      <w:divBdr>
        <w:top w:val="none" w:sz="0" w:space="0" w:color="auto"/>
        <w:left w:val="none" w:sz="0" w:space="0" w:color="auto"/>
        <w:bottom w:val="none" w:sz="0" w:space="0" w:color="auto"/>
        <w:right w:val="none" w:sz="0" w:space="0" w:color="auto"/>
      </w:divBdr>
    </w:div>
    <w:div w:id="2011635278">
      <w:bodyDiv w:val="1"/>
      <w:marLeft w:val="0"/>
      <w:marRight w:val="0"/>
      <w:marTop w:val="0"/>
      <w:marBottom w:val="0"/>
      <w:divBdr>
        <w:top w:val="none" w:sz="0" w:space="0" w:color="auto"/>
        <w:left w:val="none" w:sz="0" w:space="0" w:color="auto"/>
        <w:bottom w:val="none" w:sz="0" w:space="0" w:color="auto"/>
        <w:right w:val="none" w:sz="0" w:space="0" w:color="auto"/>
      </w:divBdr>
    </w:div>
    <w:div w:id="2023706041">
      <w:bodyDiv w:val="1"/>
      <w:marLeft w:val="0"/>
      <w:marRight w:val="0"/>
      <w:marTop w:val="0"/>
      <w:marBottom w:val="0"/>
      <w:divBdr>
        <w:top w:val="none" w:sz="0" w:space="0" w:color="auto"/>
        <w:left w:val="none" w:sz="0" w:space="0" w:color="auto"/>
        <w:bottom w:val="none" w:sz="0" w:space="0" w:color="auto"/>
        <w:right w:val="none" w:sz="0" w:space="0" w:color="auto"/>
      </w:divBdr>
      <w:divsChild>
        <w:div w:id="332268327">
          <w:marLeft w:val="0"/>
          <w:marRight w:val="0"/>
          <w:marTop w:val="0"/>
          <w:marBottom w:val="0"/>
          <w:divBdr>
            <w:top w:val="none" w:sz="0" w:space="0" w:color="auto"/>
            <w:left w:val="none" w:sz="0" w:space="0" w:color="auto"/>
            <w:bottom w:val="none" w:sz="0" w:space="0" w:color="auto"/>
            <w:right w:val="none" w:sz="0" w:space="0" w:color="auto"/>
          </w:divBdr>
          <w:divsChild>
            <w:div w:id="8447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5882">
      <w:bodyDiv w:val="1"/>
      <w:marLeft w:val="0"/>
      <w:marRight w:val="0"/>
      <w:marTop w:val="0"/>
      <w:marBottom w:val="0"/>
      <w:divBdr>
        <w:top w:val="none" w:sz="0" w:space="0" w:color="auto"/>
        <w:left w:val="none" w:sz="0" w:space="0" w:color="auto"/>
        <w:bottom w:val="none" w:sz="0" w:space="0" w:color="auto"/>
        <w:right w:val="none" w:sz="0" w:space="0" w:color="auto"/>
      </w:divBdr>
    </w:div>
    <w:div w:id="2026201144">
      <w:bodyDiv w:val="1"/>
      <w:marLeft w:val="0"/>
      <w:marRight w:val="0"/>
      <w:marTop w:val="0"/>
      <w:marBottom w:val="0"/>
      <w:divBdr>
        <w:top w:val="none" w:sz="0" w:space="0" w:color="auto"/>
        <w:left w:val="none" w:sz="0" w:space="0" w:color="auto"/>
        <w:bottom w:val="none" w:sz="0" w:space="0" w:color="auto"/>
        <w:right w:val="none" w:sz="0" w:space="0" w:color="auto"/>
      </w:divBdr>
    </w:div>
    <w:div w:id="2034068946">
      <w:bodyDiv w:val="1"/>
      <w:marLeft w:val="0"/>
      <w:marRight w:val="0"/>
      <w:marTop w:val="0"/>
      <w:marBottom w:val="0"/>
      <w:divBdr>
        <w:top w:val="none" w:sz="0" w:space="0" w:color="auto"/>
        <w:left w:val="none" w:sz="0" w:space="0" w:color="auto"/>
        <w:bottom w:val="none" w:sz="0" w:space="0" w:color="auto"/>
        <w:right w:val="none" w:sz="0" w:space="0" w:color="auto"/>
      </w:divBdr>
    </w:div>
    <w:div w:id="2058624414">
      <w:bodyDiv w:val="1"/>
      <w:marLeft w:val="0"/>
      <w:marRight w:val="0"/>
      <w:marTop w:val="0"/>
      <w:marBottom w:val="0"/>
      <w:divBdr>
        <w:top w:val="none" w:sz="0" w:space="0" w:color="auto"/>
        <w:left w:val="none" w:sz="0" w:space="0" w:color="auto"/>
        <w:bottom w:val="none" w:sz="0" w:space="0" w:color="auto"/>
        <w:right w:val="none" w:sz="0" w:space="0" w:color="auto"/>
      </w:divBdr>
    </w:div>
    <w:div w:id="2059815377">
      <w:bodyDiv w:val="1"/>
      <w:marLeft w:val="0"/>
      <w:marRight w:val="0"/>
      <w:marTop w:val="0"/>
      <w:marBottom w:val="0"/>
      <w:divBdr>
        <w:top w:val="none" w:sz="0" w:space="0" w:color="auto"/>
        <w:left w:val="none" w:sz="0" w:space="0" w:color="auto"/>
        <w:bottom w:val="none" w:sz="0" w:space="0" w:color="auto"/>
        <w:right w:val="none" w:sz="0" w:space="0" w:color="auto"/>
      </w:divBdr>
    </w:div>
    <w:div w:id="2077362707">
      <w:bodyDiv w:val="1"/>
      <w:marLeft w:val="0"/>
      <w:marRight w:val="0"/>
      <w:marTop w:val="0"/>
      <w:marBottom w:val="0"/>
      <w:divBdr>
        <w:top w:val="none" w:sz="0" w:space="0" w:color="auto"/>
        <w:left w:val="none" w:sz="0" w:space="0" w:color="auto"/>
        <w:bottom w:val="none" w:sz="0" w:space="0" w:color="auto"/>
        <w:right w:val="none" w:sz="0" w:space="0" w:color="auto"/>
      </w:divBdr>
    </w:div>
    <w:div w:id="2079277795">
      <w:bodyDiv w:val="1"/>
      <w:marLeft w:val="0"/>
      <w:marRight w:val="0"/>
      <w:marTop w:val="0"/>
      <w:marBottom w:val="0"/>
      <w:divBdr>
        <w:top w:val="none" w:sz="0" w:space="0" w:color="auto"/>
        <w:left w:val="none" w:sz="0" w:space="0" w:color="auto"/>
        <w:bottom w:val="none" w:sz="0" w:space="0" w:color="auto"/>
        <w:right w:val="none" w:sz="0" w:space="0" w:color="auto"/>
      </w:divBdr>
    </w:div>
    <w:div w:id="2101634344">
      <w:bodyDiv w:val="1"/>
      <w:marLeft w:val="0"/>
      <w:marRight w:val="0"/>
      <w:marTop w:val="0"/>
      <w:marBottom w:val="0"/>
      <w:divBdr>
        <w:top w:val="none" w:sz="0" w:space="0" w:color="auto"/>
        <w:left w:val="none" w:sz="0" w:space="0" w:color="auto"/>
        <w:bottom w:val="none" w:sz="0" w:space="0" w:color="auto"/>
        <w:right w:val="none" w:sz="0" w:space="0" w:color="auto"/>
      </w:divBdr>
    </w:div>
    <w:div w:id="2103404601">
      <w:bodyDiv w:val="1"/>
      <w:marLeft w:val="0"/>
      <w:marRight w:val="0"/>
      <w:marTop w:val="0"/>
      <w:marBottom w:val="0"/>
      <w:divBdr>
        <w:top w:val="none" w:sz="0" w:space="0" w:color="auto"/>
        <w:left w:val="none" w:sz="0" w:space="0" w:color="auto"/>
        <w:bottom w:val="none" w:sz="0" w:space="0" w:color="auto"/>
        <w:right w:val="none" w:sz="0" w:space="0" w:color="auto"/>
      </w:divBdr>
    </w:div>
    <w:div w:id="2117869220">
      <w:bodyDiv w:val="1"/>
      <w:marLeft w:val="0"/>
      <w:marRight w:val="0"/>
      <w:marTop w:val="0"/>
      <w:marBottom w:val="0"/>
      <w:divBdr>
        <w:top w:val="none" w:sz="0" w:space="0" w:color="auto"/>
        <w:left w:val="none" w:sz="0" w:space="0" w:color="auto"/>
        <w:bottom w:val="none" w:sz="0" w:space="0" w:color="auto"/>
        <w:right w:val="none" w:sz="0" w:space="0" w:color="auto"/>
      </w:divBdr>
    </w:div>
    <w:div w:id="2129160174">
      <w:bodyDiv w:val="1"/>
      <w:marLeft w:val="0"/>
      <w:marRight w:val="0"/>
      <w:marTop w:val="0"/>
      <w:marBottom w:val="0"/>
      <w:divBdr>
        <w:top w:val="none" w:sz="0" w:space="0" w:color="auto"/>
        <w:left w:val="none" w:sz="0" w:space="0" w:color="auto"/>
        <w:bottom w:val="none" w:sz="0" w:space="0" w:color="auto"/>
        <w:right w:val="none" w:sz="0" w:space="0" w:color="auto"/>
      </w:divBdr>
    </w:div>
    <w:div w:id="2141192321">
      <w:bodyDiv w:val="1"/>
      <w:marLeft w:val="0"/>
      <w:marRight w:val="0"/>
      <w:marTop w:val="0"/>
      <w:marBottom w:val="0"/>
      <w:divBdr>
        <w:top w:val="none" w:sz="0" w:space="0" w:color="auto"/>
        <w:left w:val="none" w:sz="0" w:space="0" w:color="auto"/>
        <w:bottom w:val="none" w:sz="0" w:space="0" w:color="auto"/>
        <w:right w:val="none" w:sz="0" w:space="0" w:color="auto"/>
      </w:divBdr>
    </w:div>
    <w:div w:id="21458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government/publications/ofsted-annual-fostering-data-collection-2015-to-2016-form"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hyperlink" Target="file:///\\FP5HQ\RestrictedSocialCare$\SFRs%20and%20published%20MI\Fostering\2016\Key%20findings\www.gov.uk\government\statistics\fostering-in-england-1-april-2015-to-31-march-2016"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16.png"/><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socialcaredata@ofsted.gov.uk"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15.png"/><Relationship Id="rId38" Type="http://schemas.openxmlformats.org/officeDocument/2006/relationships/hyperlink" Target="https://www.gov.uk/government/collections/childrens-social-care-statistic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1.xml"/><Relationship Id="rId41" Type="http://schemas.openxmlformats.org/officeDocument/2006/relationships/hyperlink" Target="mailto:psi@nationalarchives.gsi.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footer" Target="footer3.xml"/><Relationship Id="rId37" Type="http://schemas.openxmlformats.org/officeDocument/2006/relationships/hyperlink" Target="https://www.gov.uk/government/collections/childrens-social-care-statistics" TargetMode="External"/><Relationship Id="rId40" Type="http://schemas.openxmlformats.org/officeDocument/2006/relationships/hyperlink" Target="http://www.nationalarchives.gov.uk/doc/open-government-licence/"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eader" Target="header2.xml"/><Relationship Id="rId36" Type="http://schemas.openxmlformats.org/officeDocument/2006/relationships/image" Target="media/image18.png"/><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17.png"/><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file:///\\FP5HQ\RestrictedSocialCare$\SFRs%20and%20published%20MI\Fostering\2016\Key%20findings\www.gov.uk\government\statistics\children-looked-after-in-england-including-adoption-2015-to-2016" TargetMode="External"/><Relationship Id="rId3" Type="http://schemas.openxmlformats.org/officeDocument/2006/relationships/hyperlink" Target="http://www.gov.uk\\government\\statistics\\children-looked-after-in-england-including-adoption-2015-to-2016" TargetMode="External"/><Relationship Id="rId7" Type="http://schemas.openxmlformats.org/officeDocument/2006/relationships/hyperlink" Target="http://adcs.org.uk/assets/documentation/ADCS_Safeguarding_Pressures_P5_REPORT_Web_FINAL.pdf" TargetMode="External"/><Relationship Id="rId12" Type="http://schemas.openxmlformats.org/officeDocument/2006/relationships/hyperlink" Target="file:///\\FP5HQ\RestrictedSocialCare$\SFRs%20and%20published%20MI\Fostering\2016\Key%20findings\www.justiceinspectorates.gov.uk\hmic\publications\metropolitan-police-service-national-child-protection-inspection\" TargetMode="External"/><Relationship Id="rId2" Type="http://schemas.openxmlformats.org/officeDocument/2006/relationships/hyperlink" Target="http://www.gov.uk\\government\\statistics\\children-looked-after-in-england-including-adoption-2015-to-2016" TargetMode="External"/><Relationship Id="rId1" Type="http://schemas.openxmlformats.org/officeDocument/2006/relationships/hyperlink" Target="http://www.nomisweb.co.uk/census/2011/DC2101EW/view/2092957699?rows=c_age&amp;cols=c_ethpuk11" TargetMode="External"/><Relationship Id="rId6" Type="http://schemas.openxmlformats.org/officeDocument/2006/relationships/hyperlink" Target="http://www.adcs.org.uk/safeguarding/article/safeguarding-pressures-phase-5" TargetMode="External"/><Relationship Id="rId11" Type="http://schemas.openxmlformats.org/officeDocument/2006/relationships/hyperlink" Target="file:///\\FP5HQ\RestrictedSocialCare$\SFRs%20and%20published%20MI\Fostering\2016\Key%20findings\www.gov.uk\government\publications\social-care-questionnaires-2016-what-children-and-young-people-told-ofsted" TargetMode="External"/><Relationship Id="rId5" Type="http://schemas.openxmlformats.org/officeDocument/2006/relationships/hyperlink" Target="file:///\\FP5HQ\RestrictedSocialCare$\SFRs%20and%20published%20MI\Fostering\2016\Key%20findings\www.gov.uk\government\statistics\family-resources-survey-financial-year-201415" TargetMode="External"/><Relationship Id="rId10" Type="http://schemas.openxmlformats.org/officeDocument/2006/relationships/hyperlink" Target="file:///\\FP5HQ\RestrictedSocialCare$\SFRs%20and%20published%20MI\Fostering\2016\Key%20findings\www.gov.uk\government\statistics\children-looked-after-in-england-including-adoption-2015-to-2016" TargetMode="External"/><Relationship Id="rId4" Type="http://schemas.openxmlformats.org/officeDocument/2006/relationships/hyperlink" Target="http://www.gov.uk\\government\\statistics\\children-looked-after-in-england-including-adoption-2015-to-2016" TargetMode="External"/><Relationship Id="rId9" Type="http://schemas.openxmlformats.org/officeDocument/2006/relationships/hyperlink" Target="http://www.gov.uk\\government\\statistics\\children-looked-after-in-england-including-adoption-2015-to-20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82e30443-e738-45d7-be93-4e56ed5da66c">Official statistics</Sec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A3CE4FBE6E640B97C2EF975045949" ma:contentTypeVersion="1" ma:contentTypeDescription="Create a new document." ma:contentTypeScope="" ma:versionID="28b7fd17e8afe378b6fa854b24d5e079">
  <xsd:schema xmlns:xsd="http://www.w3.org/2001/XMLSchema" xmlns:p="http://schemas.microsoft.com/office/2006/metadata/properties" xmlns:ns2="82e30443-e738-45d7-be93-4e56ed5da66c" targetNamespace="http://schemas.microsoft.com/office/2006/metadata/properties" ma:root="true" ma:fieldsID="54c4cf72048c4f0fe38a457cb648c94b" ns2:_="">
    <xsd:import namespace="82e30443-e738-45d7-be93-4e56ed5da66c"/>
    <xsd:element name="properties">
      <xsd:complexType>
        <xsd:sequence>
          <xsd:element name="documentManagement">
            <xsd:complexType>
              <xsd:all>
                <xsd:element ref="ns2:Section" minOccurs="0"/>
              </xsd:all>
            </xsd:complexType>
          </xsd:element>
        </xsd:sequence>
      </xsd:complexType>
    </xsd:element>
  </xsd:schema>
  <xsd:schema xmlns:xsd="http://www.w3.org/2001/XMLSchema" xmlns:dms="http://schemas.microsoft.com/office/2006/documentManagement/types" targetNamespace="82e30443-e738-45d7-be93-4e56ed5da66c" elementFormDefault="qualified">
    <xsd:import namespace="http://schemas.microsoft.com/office/2006/documentManagement/types"/>
    <xsd:element name="Section" ma:index="8" nillable="true" ma:displayName="Section" ma:default="PLEASE SELECT" ma:format="Dropdown" ma:internalName="Section">
      <xsd:simpleType>
        <xsd:restriction base="dms:Choice">
          <xsd:enumeration value="PLEASE SELECT"/>
          <xsd:enumeration value="Desk Instructions and Checklists"/>
          <xsd:enumeration value="Project Templates"/>
          <xsd:enumeration value="Document Control Frontpage"/>
          <xsd:enumeration value="Sign- Off templates"/>
          <xsd:enumeration value="Customer Questionnaires"/>
          <xsd:enumeration value="Error Report"/>
          <xsd:enumeration value="StatisticsAuthority Code of Practice"/>
          <xsd:enumeration value="European Statistical system of Quality"/>
          <xsd:enumeration value="FOI,PQ,Lilac Cover QA Checklist"/>
          <xsd:enumeration value="Annual Report"/>
          <xsd:enumeration value="Briefing Note"/>
          <xsd:enumeration value="Service Level Agreement"/>
          <xsd:enumeration value="Data Sharing request form"/>
          <xsd:enumeration value="Terms of Reference"/>
          <xsd:enumeration value="Defect Log"/>
          <xsd:enumeration value="Official statistics"/>
          <xsd:enumeration value="Engaging with users"/>
          <xsd:enumeration value="Configuration manag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D7C02-BB8B-4623-9F97-351754495D46}">
  <ds:schemaRefs>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82e30443-e738-45d7-be93-4e56ed5da66c"/>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58C52C01-9954-4C30-B23C-9CBCEC116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30443-e738-45d7-be93-4e56ed5da6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530257B-9BFE-4DE9-8564-BC6E3EDA0F12}">
  <ds:schemaRefs>
    <ds:schemaRef ds:uri="http://schemas.microsoft.com/sharepoint/v3/contenttype/forms"/>
  </ds:schemaRefs>
</ds:datastoreItem>
</file>

<file path=customXml/itemProps4.xml><?xml version="1.0" encoding="utf-8"?>
<ds:datastoreItem xmlns:ds="http://schemas.openxmlformats.org/officeDocument/2006/customXml" ds:itemID="{09AD6E5F-F098-4143-8D80-1590E9B2014B}">
  <ds:schemaRefs>
    <ds:schemaRef ds:uri="http://schemas.microsoft.com/office/2006/metadata/longProperties"/>
  </ds:schemaRefs>
</ds:datastoreItem>
</file>

<file path=customXml/itemProps5.xml><?xml version="1.0" encoding="utf-8"?>
<ds:datastoreItem xmlns:ds="http://schemas.openxmlformats.org/officeDocument/2006/customXml" ds:itemID="{CABE9B53-9538-4E70-AF7C-941639EE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6857</Words>
  <Characters>39141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Official statistics - SFR release template</vt:lpstr>
    </vt:vector>
  </TitlesOfParts>
  <Company>Ofsted</Company>
  <LinksUpToDate>false</LinksUpToDate>
  <CharactersWithSpaces>45907</CharactersWithSpaces>
  <SharedDoc>false</SharedDoc>
  <HLinks>
    <vt:vector size="456" baseType="variant">
      <vt:variant>
        <vt:i4>3670022</vt:i4>
      </vt:variant>
      <vt:variant>
        <vt:i4>384</vt:i4>
      </vt:variant>
      <vt:variant>
        <vt:i4>0</vt:i4>
      </vt:variant>
      <vt:variant>
        <vt:i4>5</vt:i4>
      </vt:variant>
      <vt:variant>
        <vt:lpwstr>mailto:psi@nationalarchives.gsi.gov.uk</vt:lpwstr>
      </vt:variant>
      <vt:variant>
        <vt:lpwstr/>
      </vt:variant>
      <vt:variant>
        <vt:i4>6553714</vt:i4>
      </vt:variant>
      <vt:variant>
        <vt:i4>381</vt:i4>
      </vt:variant>
      <vt:variant>
        <vt:i4>0</vt:i4>
      </vt:variant>
      <vt:variant>
        <vt:i4>5</vt:i4>
      </vt:variant>
      <vt:variant>
        <vt:lpwstr>http://www.nationalarchives.gov.uk/doc/open-government-licence/</vt:lpwstr>
      </vt:variant>
      <vt:variant>
        <vt:lpwstr/>
      </vt:variant>
      <vt:variant>
        <vt:i4>4194354</vt:i4>
      </vt:variant>
      <vt:variant>
        <vt:i4>378</vt:i4>
      </vt:variant>
      <vt:variant>
        <vt:i4>0</vt:i4>
      </vt:variant>
      <vt:variant>
        <vt:i4>5</vt:i4>
      </vt:variant>
      <vt:variant>
        <vt:lpwstr>mailto:socialcaredata@ofsted.gov.uk</vt:lpwstr>
      </vt:variant>
      <vt:variant>
        <vt:lpwstr/>
      </vt:variant>
      <vt:variant>
        <vt:i4>4915244</vt:i4>
      </vt:variant>
      <vt:variant>
        <vt:i4>375</vt:i4>
      </vt:variant>
      <vt:variant>
        <vt:i4>0</vt:i4>
      </vt:variant>
      <vt:variant>
        <vt:i4>5</vt:i4>
      </vt:variant>
      <vt:variant>
        <vt:lpwstr>http://www.ncb.org.uk/media/1154341/staying_put.pdf</vt:lpwstr>
      </vt:variant>
      <vt:variant>
        <vt:lpwstr/>
      </vt:variant>
      <vt:variant>
        <vt:i4>3407909</vt:i4>
      </vt:variant>
      <vt:variant>
        <vt:i4>372</vt:i4>
      </vt:variant>
      <vt:variant>
        <vt:i4>0</vt:i4>
      </vt:variant>
      <vt:variant>
        <vt:i4>5</vt:i4>
      </vt:variant>
      <vt:variant>
        <vt:lpwstr>https://www.fostering.net/all-about-fostering/providers/staying-put-update</vt:lpwstr>
      </vt:variant>
      <vt:variant>
        <vt:lpwstr>.VknTO9LhCUk</vt:lpwstr>
      </vt:variant>
      <vt:variant>
        <vt:i4>6357046</vt:i4>
      </vt:variant>
      <vt:variant>
        <vt:i4>369</vt:i4>
      </vt:variant>
      <vt:variant>
        <vt:i4>0</vt:i4>
      </vt:variant>
      <vt:variant>
        <vt:i4>5</vt:i4>
      </vt:variant>
      <vt:variant>
        <vt:lpwstr>https://www.gov.uk/government/publications/2010-to-2015-government-policy-young-people/2010-to-2015-government-policy-young-people</vt:lpwstr>
      </vt:variant>
      <vt:variant>
        <vt:lpwstr>appendix-3-raising-the-participation-age</vt:lpwstr>
      </vt:variant>
      <vt:variant>
        <vt:i4>7733346</vt:i4>
      </vt:variant>
      <vt:variant>
        <vt:i4>366</vt:i4>
      </vt:variant>
      <vt:variant>
        <vt:i4>0</vt:i4>
      </vt:variant>
      <vt:variant>
        <vt:i4>5</vt:i4>
      </vt:variant>
      <vt:variant>
        <vt:lpwstr>https://www.gov.uk/government/publications/absence-statistics-guide</vt:lpwstr>
      </vt:variant>
      <vt:variant>
        <vt:lpwstr/>
      </vt:variant>
      <vt:variant>
        <vt:i4>7274544</vt:i4>
      </vt:variant>
      <vt:variant>
        <vt:i4>363</vt:i4>
      </vt:variant>
      <vt:variant>
        <vt:i4>0</vt:i4>
      </vt:variant>
      <vt:variant>
        <vt:i4>5</vt:i4>
      </vt:variant>
      <vt:variant>
        <vt:lpwstr>https://www.gov.uk/government/collections/childrens-social-care-statistics</vt:lpwstr>
      </vt:variant>
      <vt:variant>
        <vt:lpwstr/>
      </vt:variant>
      <vt:variant>
        <vt:i4>7274544</vt:i4>
      </vt:variant>
      <vt:variant>
        <vt:i4>360</vt:i4>
      </vt:variant>
      <vt:variant>
        <vt:i4>0</vt:i4>
      </vt:variant>
      <vt:variant>
        <vt:i4>5</vt:i4>
      </vt:variant>
      <vt:variant>
        <vt:lpwstr>https://www.gov.uk/government/collections/childrens-social-care-statistics</vt:lpwstr>
      </vt:variant>
      <vt:variant>
        <vt:lpwstr/>
      </vt:variant>
      <vt:variant>
        <vt:i4>1310782</vt:i4>
      </vt:variant>
      <vt:variant>
        <vt:i4>353</vt:i4>
      </vt:variant>
      <vt:variant>
        <vt:i4>0</vt:i4>
      </vt:variant>
      <vt:variant>
        <vt:i4>5</vt:i4>
      </vt:variant>
      <vt:variant>
        <vt:lpwstr/>
      </vt:variant>
      <vt:variant>
        <vt:lpwstr>_Toc436643855</vt:lpwstr>
      </vt:variant>
      <vt:variant>
        <vt:i4>1966133</vt:i4>
      </vt:variant>
      <vt:variant>
        <vt:i4>344</vt:i4>
      </vt:variant>
      <vt:variant>
        <vt:i4>0</vt:i4>
      </vt:variant>
      <vt:variant>
        <vt:i4>5</vt:i4>
      </vt:variant>
      <vt:variant>
        <vt:lpwstr/>
      </vt:variant>
      <vt:variant>
        <vt:lpwstr>_Toc437260089</vt:lpwstr>
      </vt:variant>
      <vt:variant>
        <vt:i4>1966133</vt:i4>
      </vt:variant>
      <vt:variant>
        <vt:i4>338</vt:i4>
      </vt:variant>
      <vt:variant>
        <vt:i4>0</vt:i4>
      </vt:variant>
      <vt:variant>
        <vt:i4>5</vt:i4>
      </vt:variant>
      <vt:variant>
        <vt:lpwstr/>
      </vt:variant>
      <vt:variant>
        <vt:lpwstr>_Toc437260088</vt:lpwstr>
      </vt:variant>
      <vt:variant>
        <vt:i4>1966133</vt:i4>
      </vt:variant>
      <vt:variant>
        <vt:i4>332</vt:i4>
      </vt:variant>
      <vt:variant>
        <vt:i4>0</vt:i4>
      </vt:variant>
      <vt:variant>
        <vt:i4>5</vt:i4>
      </vt:variant>
      <vt:variant>
        <vt:lpwstr/>
      </vt:variant>
      <vt:variant>
        <vt:lpwstr>_Toc437260087</vt:lpwstr>
      </vt:variant>
      <vt:variant>
        <vt:i4>1966133</vt:i4>
      </vt:variant>
      <vt:variant>
        <vt:i4>326</vt:i4>
      </vt:variant>
      <vt:variant>
        <vt:i4>0</vt:i4>
      </vt:variant>
      <vt:variant>
        <vt:i4>5</vt:i4>
      </vt:variant>
      <vt:variant>
        <vt:lpwstr/>
      </vt:variant>
      <vt:variant>
        <vt:lpwstr>_Toc437260086</vt:lpwstr>
      </vt:variant>
      <vt:variant>
        <vt:i4>1966133</vt:i4>
      </vt:variant>
      <vt:variant>
        <vt:i4>320</vt:i4>
      </vt:variant>
      <vt:variant>
        <vt:i4>0</vt:i4>
      </vt:variant>
      <vt:variant>
        <vt:i4>5</vt:i4>
      </vt:variant>
      <vt:variant>
        <vt:lpwstr/>
      </vt:variant>
      <vt:variant>
        <vt:lpwstr>_Toc437260085</vt:lpwstr>
      </vt:variant>
      <vt:variant>
        <vt:i4>1966133</vt:i4>
      </vt:variant>
      <vt:variant>
        <vt:i4>314</vt:i4>
      </vt:variant>
      <vt:variant>
        <vt:i4>0</vt:i4>
      </vt:variant>
      <vt:variant>
        <vt:i4>5</vt:i4>
      </vt:variant>
      <vt:variant>
        <vt:lpwstr/>
      </vt:variant>
      <vt:variant>
        <vt:lpwstr>_Toc437260084</vt:lpwstr>
      </vt:variant>
      <vt:variant>
        <vt:i4>1966133</vt:i4>
      </vt:variant>
      <vt:variant>
        <vt:i4>308</vt:i4>
      </vt:variant>
      <vt:variant>
        <vt:i4>0</vt:i4>
      </vt:variant>
      <vt:variant>
        <vt:i4>5</vt:i4>
      </vt:variant>
      <vt:variant>
        <vt:lpwstr/>
      </vt:variant>
      <vt:variant>
        <vt:lpwstr>_Toc437260083</vt:lpwstr>
      </vt:variant>
      <vt:variant>
        <vt:i4>1966133</vt:i4>
      </vt:variant>
      <vt:variant>
        <vt:i4>302</vt:i4>
      </vt:variant>
      <vt:variant>
        <vt:i4>0</vt:i4>
      </vt:variant>
      <vt:variant>
        <vt:i4>5</vt:i4>
      </vt:variant>
      <vt:variant>
        <vt:lpwstr/>
      </vt:variant>
      <vt:variant>
        <vt:lpwstr>_Toc437260082</vt:lpwstr>
      </vt:variant>
      <vt:variant>
        <vt:i4>1966133</vt:i4>
      </vt:variant>
      <vt:variant>
        <vt:i4>296</vt:i4>
      </vt:variant>
      <vt:variant>
        <vt:i4>0</vt:i4>
      </vt:variant>
      <vt:variant>
        <vt:i4>5</vt:i4>
      </vt:variant>
      <vt:variant>
        <vt:lpwstr/>
      </vt:variant>
      <vt:variant>
        <vt:lpwstr>_Toc437260081</vt:lpwstr>
      </vt:variant>
      <vt:variant>
        <vt:i4>1966133</vt:i4>
      </vt:variant>
      <vt:variant>
        <vt:i4>290</vt:i4>
      </vt:variant>
      <vt:variant>
        <vt:i4>0</vt:i4>
      </vt:variant>
      <vt:variant>
        <vt:i4>5</vt:i4>
      </vt:variant>
      <vt:variant>
        <vt:lpwstr/>
      </vt:variant>
      <vt:variant>
        <vt:lpwstr>_Toc437260080</vt:lpwstr>
      </vt:variant>
      <vt:variant>
        <vt:i4>1114165</vt:i4>
      </vt:variant>
      <vt:variant>
        <vt:i4>284</vt:i4>
      </vt:variant>
      <vt:variant>
        <vt:i4>0</vt:i4>
      </vt:variant>
      <vt:variant>
        <vt:i4>5</vt:i4>
      </vt:variant>
      <vt:variant>
        <vt:lpwstr/>
      </vt:variant>
      <vt:variant>
        <vt:lpwstr>_Toc437260079</vt:lpwstr>
      </vt:variant>
      <vt:variant>
        <vt:i4>1114165</vt:i4>
      </vt:variant>
      <vt:variant>
        <vt:i4>278</vt:i4>
      </vt:variant>
      <vt:variant>
        <vt:i4>0</vt:i4>
      </vt:variant>
      <vt:variant>
        <vt:i4>5</vt:i4>
      </vt:variant>
      <vt:variant>
        <vt:lpwstr/>
      </vt:variant>
      <vt:variant>
        <vt:lpwstr>_Toc437260078</vt:lpwstr>
      </vt:variant>
      <vt:variant>
        <vt:i4>1114165</vt:i4>
      </vt:variant>
      <vt:variant>
        <vt:i4>272</vt:i4>
      </vt:variant>
      <vt:variant>
        <vt:i4>0</vt:i4>
      </vt:variant>
      <vt:variant>
        <vt:i4>5</vt:i4>
      </vt:variant>
      <vt:variant>
        <vt:lpwstr/>
      </vt:variant>
      <vt:variant>
        <vt:lpwstr>_Toc437260077</vt:lpwstr>
      </vt:variant>
      <vt:variant>
        <vt:i4>1114165</vt:i4>
      </vt:variant>
      <vt:variant>
        <vt:i4>266</vt:i4>
      </vt:variant>
      <vt:variant>
        <vt:i4>0</vt:i4>
      </vt:variant>
      <vt:variant>
        <vt:i4>5</vt:i4>
      </vt:variant>
      <vt:variant>
        <vt:lpwstr/>
      </vt:variant>
      <vt:variant>
        <vt:lpwstr>_Toc437260076</vt:lpwstr>
      </vt:variant>
      <vt:variant>
        <vt:i4>1114165</vt:i4>
      </vt:variant>
      <vt:variant>
        <vt:i4>260</vt:i4>
      </vt:variant>
      <vt:variant>
        <vt:i4>0</vt:i4>
      </vt:variant>
      <vt:variant>
        <vt:i4>5</vt:i4>
      </vt:variant>
      <vt:variant>
        <vt:lpwstr/>
      </vt:variant>
      <vt:variant>
        <vt:lpwstr>_Toc437260075</vt:lpwstr>
      </vt:variant>
      <vt:variant>
        <vt:i4>1114165</vt:i4>
      </vt:variant>
      <vt:variant>
        <vt:i4>254</vt:i4>
      </vt:variant>
      <vt:variant>
        <vt:i4>0</vt:i4>
      </vt:variant>
      <vt:variant>
        <vt:i4>5</vt:i4>
      </vt:variant>
      <vt:variant>
        <vt:lpwstr/>
      </vt:variant>
      <vt:variant>
        <vt:lpwstr>_Toc437260074</vt:lpwstr>
      </vt:variant>
      <vt:variant>
        <vt:i4>1114165</vt:i4>
      </vt:variant>
      <vt:variant>
        <vt:i4>248</vt:i4>
      </vt:variant>
      <vt:variant>
        <vt:i4>0</vt:i4>
      </vt:variant>
      <vt:variant>
        <vt:i4>5</vt:i4>
      </vt:variant>
      <vt:variant>
        <vt:lpwstr/>
      </vt:variant>
      <vt:variant>
        <vt:lpwstr>_Toc437260073</vt:lpwstr>
      </vt:variant>
      <vt:variant>
        <vt:i4>1114165</vt:i4>
      </vt:variant>
      <vt:variant>
        <vt:i4>242</vt:i4>
      </vt:variant>
      <vt:variant>
        <vt:i4>0</vt:i4>
      </vt:variant>
      <vt:variant>
        <vt:i4>5</vt:i4>
      </vt:variant>
      <vt:variant>
        <vt:lpwstr/>
      </vt:variant>
      <vt:variant>
        <vt:lpwstr>_Toc437260072</vt:lpwstr>
      </vt:variant>
      <vt:variant>
        <vt:i4>1114165</vt:i4>
      </vt:variant>
      <vt:variant>
        <vt:i4>236</vt:i4>
      </vt:variant>
      <vt:variant>
        <vt:i4>0</vt:i4>
      </vt:variant>
      <vt:variant>
        <vt:i4>5</vt:i4>
      </vt:variant>
      <vt:variant>
        <vt:lpwstr/>
      </vt:variant>
      <vt:variant>
        <vt:lpwstr>_Toc437260071</vt:lpwstr>
      </vt:variant>
      <vt:variant>
        <vt:i4>1114165</vt:i4>
      </vt:variant>
      <vt:variant>
        <vt:i4>230</vt:i4>
      </vt:variant>
      <vt:variant>
        <vt:i4>0</vt:i4>
      </vt:variant>
      <vt:variant>
        <vt:i4>5</vt:i4>
      </vt:variant>
      <vt:variant>
        <vt:lpwstr/>
      </vt:variant>
      <vt:variant>
        <vt:lpwstr>_Toc437260070</vt:lpwstr>
      </vt:variant>
      <vt:variant>
        <vt:i4>1048629</vt:i4>
      </vt:variant>
      <vt:variant>
        <vt:i4>224</vt:i4>
      </vt:variant>
      <vt:variant>
        <vt:i4>0</vt:i4>
      </vt:variant>
      <vt:variant>
        <vt:i4>5</vt:i4>
      </vt:variant>
      <vt:variant>
        <vt:lpwstr/>
      </vt:variant>
      <vt:variant>
        <vt:lpwstr>_Toc437260069</vt:lpwstr>
      </vt:variant>
      <vt:variant>
        <vt:i4>1048629</vt:i4>
      </vt:variant>
      <vt:variant>
        <vt:i4>218</vt:i4>
      </vt:variant>
      <vt:variant>
        <vt:i4>0</vt:i4>
      </vt:variant>
      <vt:variant>
        <vt:i4>5</vt:i4>
      </vt:variant>
      <vt:variant>
        <vt:lpwstr/>
      </vt:variant>
      <vt:variant>
        <vt:lpwstr>_Toc437260068</vt:lpwstr>
      </vt:variant>
      <vt:variant>
        <vt:i4>1048629</vt:i4>
      </vt:variant>
      <vt:variant>
        <vt:i4>212</vt:i4>
      </vt:variant>
      <vt:variant>
        <vt:i4>0</vt:i4>
      </vt:variant>
      <vt:variant>
        <vt:i4>5</vt:i4>
      </vt:variant>
      <vt:variant>
        <vt:lpwstr/>
      </vt:variant>
      <vt:variant>
        <vt:lpwstr>_Toc437260067</vt:lpwstr>
      </vt:variant>
      <vt:variant>
        <vt:i4>1048629</vt:i4>
      </vt:variant>
      <vt:variant>
        <vt:i4>206</vt:i4>
      </vt:variant>
      <vt:variant>
        <vt:i4>0</vt:i4>
      </vt:variant>
      <vt:variant>
        <vt:i4>5</vt:i4>
      </vt:variant>
      <vt:variant>
        <vt:lpwstr/>
      </vt:variant>
      <vt:variant>
        <vt:lpwstr>_Toc437260066</vt:lpwstr>
      </vt:variant>
      <vt:variant>
        <vt:i4>1638455</vt:i4>
      </vt:variant>
      <vt:variant>
        <vt:i4>197</vt:i4>
      </vt:variant>
      <vt:variant>
        <vt:i4>0</vt:i4>
      </vt:variant>
      <vt:variant>
        <vt:i4>5</vt:i4>
      </vt:variant>
      <vt:variant>
        <vt:lpwstr/>
      </vt:variant>
      <vt:variant>
        <vt:lpwstr>_Toc436837625</vt:lpwstr>
      </vt:variant>
      <vt:variant>
        <vt:i4>1638455</vt:i4>
      </vt:variant>
      <vt:variant>
        <vt:i4>191</vt:i4>
      </vt:variant>
      <vt:variant>
        <vt:i4>0</vt:i4>
      </vt:variant>
      <vt:variant>
        <vt:i4>5</vt:i4>
      </vt:variant>
      <vt:variant>
        <vt:lpwstr/>
      </vt:variant>
      <vt:variant>
        <vt:lpwstr>_Toc436837624</vt:lpwstr>
      </vt:variant>
      <vt:variant>
        <vt:i4>1638455</vt:i4>
      </vt:variant>
      <vt:variant>
        <vt:i4>185</vt:i4>
      </vt:variant>
      <vt:variant>
        <vt:i4>0</vt:i4>
      </vt:variant>
      <vt:variant>
        <vt:i4>5</vt:i4>
      </vt:variant>
      <vt:variant>
        <vt:lpwstr/>
      </vt:variant>
      <vt:variant>
        <vt:lpwstr>_Toc436837623</vt:lpwstr>
      </vt:variant>
      <vt:variant>
        <vt:i4>1638455</vt:i4>
      </vt:variant>
      <vt:variant>
        <vt:i4>179</vt:i4>
      </vt:variant>
      <vt:variant>
        <vt:i4>0</vt:i4>
      </vt:variant>
      <vt:variant>
        <vt:i4>5</vt:i4>
      </vt:variant>
      <vt:variant>
        <vt:lpwstr/>
      </vt:variant>
      <vt:variant>
        <vt:lpwstr>_Toc436837622</vt:lpwstr>
      </vt:variant>
      <vt:variant>
        <vt:i4>1638455</vt:i4>
      </vt:variant>
      <vt:variant>
        <vt:i4>173</vt:i4>
      </vt:variant>
      <vt:variant>
        <vt:i4>0</vt:i4>
      </vt:variant>
      <vt:variant>
        <vt:i4>5</vt:i4>
      </vt:variant>
      <vt:variant>
        <vt:lpwstr/>
      </vt:variant>
      <vt:variant>
        <vt:lpwstr>_Toc436837621</vt:lpwstr>
      </vt:variant>
      <vt:variant>
        <vt:i4>1638455</vt:i4>
      </vt:variant>
      <vt:variant>
        <vt:i4>167</vt:i4>
      </vt:variant>
      <vt:variant>
        <vt:i4>0</vt:i4>
      </vt:variant>
      <vt:variant>
        <vt:i4>5</vt:i4>
      </vt:variant>
      <vt:variant>
        <vt:lpwstr/>
      </vt:variant>
      <vt:variant>
        <vt:lpwstr>_Toc436837620</vt:lpwstr>
      </vt:variant>
      <vt:variant>
        <vt:i4>1703991</vt:i4>
      </vt:variant>
      <vt:variant>
        <vt:i4>161</vt:i4>
      </vt:variant>
      <vt:variant>
        <vt:i4>0</vt:i4>
      </vt:variant>
      <vt:variant>
        <vt:i4>5</vt:i4>
      </vt:variant>
      <vt:variant>
        <vt:lpwstr/>
      </vt:variant>
      <vt:variant>
        <vt:lpwstr>_Toc436837619</vt:lpwstr>
      </vt:variant>
      <vt:variant>
        <vt:i4>1703991</vt:i4>
      </vt:variant>
      <vt:variant>
        <vt:i4>155</vt:i4>
      </vt:variant>
      <vt:variant>
        <vt:i4>0</vt:i4>
      </vt:variant>
      <vt:variant>
        <vt:i4>5</vt:i4>
      </vt:variant>
      <vt:variant>
        <vt:lpwstr/>
      </vt:variant>
      <vt:variant>
        <vt:lpwstr>_Toc436837618</vt:lpwstr>
      </vt:variant>
      <vt:variant>
        <vt:i4>1703991</vt:i4>
      </vt:variant>
      <vt:variant>
        <vt:i4>149</vt:i4>
      </vt:variant>
      <vt:variant>
        <vt:i4>0</vt:i4>
      </vt:variant>
      <vt:variant>
        <vt:i4>5</vt:i4>
      </vt:variant>
      <vt:variant>
        <vt:lpwstr/>
      </vt:variant>
      <vt:variant>
        <vt:lpwstr>_Toc436837617</vt:lpwstr>
      </vt:variant>
      <vt:variant>
        <vt:i4>1703991</vt:i4>
      </vt:variant>
      <vt:variant>
        <vt:i4>143</vt:i4>
      </vt:variant>
      <vt:variant>
        <vt:i4>0</vt:i4>
      </vt:variant>
      <vt:variant>
        <vt:i4>5</vt:i4>
      </vt:variant>
      <vt:variant>
        <vt:lpwstr/>
      </vt:variant>
      <vt:variant>
        <vt:lpwstr>_Toc436837616</vt:lpwstr>
      </vt:variant>
      <vt:variant>
        <vt:i4>1703991</vt:i4>
      </vt:variant>
      <vt:variant>
        <vt:i4>137</vt:i4>
      </vt:variant>
      <vt:variant>
        <vt:i4>0</vt:i4>
      </vt:variant>
      <vt:variant>
        <vt:i4>5</vt:i4>
      </vt:variant>
      <vt:variant>
        <vt:lpwstr/>
      </vt:variant>
      <vt:variant>
        <vt:lpwstr>_Toc436837615</vt:lpwstr>
      </vt:variant>
      <vt:variant>
        <vt:i4>1703991</vt:i4>
      </vt:variant>
      <vt:variant>
        <vt:i4>131</vt:i4>
      </vt:variant>
      <vt:variant>
        <vt:i4>0</vt:i4>
      </vt:variant>
      <vt:variant>
        <vt:i4>5</vt:i4>
      </vt:variant>
      <vt:variant>
        <vt:lpwstr/>
      </vt:variant>
      <vt:variant>
        <vt:lpwstr>_Toc436837614</vt:lpwstr>
      </vt:variant>
      <vt:variant>
        <vt:i4>1703991</vt:i4>
      </vt:variant>
      <vt:variant>
        <vt:i4>125</vt:i4>
      </vt:variant>
      <vt:variant>
        <vt:i4>0</vt:i4>
      </vt:variant>
      <vt:variant>
        <vt:i4>5</vt:i4>
      </vt:variant>
      <vt:variant>
        <vt:lpwstr/>
      </vt:variant>
      <vt:variant>
        <vt:lpwstr>_Toc436837613</vt:lpwstr>
      </vt:variant>
      <vt:variant>
        <vt:i4>1703991</vt:i4>
      </vt:variant>
      <vt:variant>
        <vt:i4>119</vt:i4>
      </vt:variant>
      <vt:variant>
        <vt:i4>0</vt:i4>
      </vt:variant>
      <vt:variant>
        <vt:i4>5</vt:i4>
      </vt:variant>
      <vt:variant>
        <vt:lpwstr/>
      </vt:variant>
      <vt:variant>
        <vt:lpwstr>_Toc436837612</vt:lpwstr>
      </vt:variant>
      <vt:variant>
        <vt:i4>1703991</vt:i4>
      </vt:variant>
      <vt:variant>
        <vt:i4>113</vt:i4>
      </vt:variant>
      <vt:variant>
        <vt:i4>0</vt:i4>
      </vt:variant>
      <vt:variant>
        <vt:i4>5</vt:i4>
      </vt:variant>
      <vt:variant>
        <vt:lpwstr/>
      </vt:variant>
      <vt:variant>
        <vt:lpwstr>_Toc436837611</vt:lpwstr>
      </vt:variant>
      <vt:variant>
        <vt:i4>1703991</vt:i4>
      </vt:variant>
      <vt:variant>
        <vt:i4>107</vt:i4>
      </vt:variant>
      <vt:variant>
        <vt:i4>0</vt:i4>
      </vt:variant>
      <vt:variant>
        <vt:i4>5</vt:i4>
      </vt:variant>
      <vt:variant>
        <vt:lpwstr/>
      </vt:variant>
      <vt:variant>
        <vt:lpwstr>_Toc436837610</vt:lpwstr>
      </vt:variant>
      <vt:variant>
        <vt:i4>1769527</vt:i4>
      </vt:variant>
      <vt:variant>
        <vt:i4>101</vt:i4>
      </vt:variant>
      <vt:variant>
        <vt:i4>0</vt:i4>
      </vt:variant>
      <vt:variant>
        <vt:i4>5</vt:i4>
      </vt:variant>
      <vt:variant>
        <vt:lpwstr/>
      </vt:variant>
      <vt:variant>
        <vt:lpwstr>_Toc436837609</vt:lpwstr>
      </vt:variant>
      <vt:variant>
        <vt:i4>1769527</vt:i4>
      </vt:variant>
      <vt:variant>
        <vt:i4>95</vt:i4>
      </vt:variant>
      <vt:variant>
        <vt:i4>0</vt:i4>
      </vt:variant>
      <vt:variant>
        <vt:i4>5</vt:i4>
      </vt:variant>
      <vt:variant>
        <vt:lpwstr/>
      </vt:variant>
      <vt:variant>
        <vt:lpwstr>_Toc436837608</vt:lpwstr>
      </vt:variant>
      <vt:variant>
        <vt:i4>1769527</vt:i4>
      </vt:variant>
      <vt:variant>
        <vt:i4>89</vt:i4>
      </vt:variant>
      <vt:variant>
        <vt:i4>0</vt:i4>
      </vt:variant>
      <vt:variant>
        <vt:i4>5</vt:i4>
      </vt:variant>
      <vt:variant>
        <vt:lpwstr/>
      </vt:variant>
      <vt:variant>
        <vt:lpwstr>_Toc436837607</vt:lpwstr>
      </vt:variant>
      <vt:variant>
        <vt:i4>1769527</vt:i4>
      </vt:variant>
      <vt:variant>
        <vt:i4>83</vt:i4>
      </vt:variant>
      <vt:variant>
        <vt:i4>0</vt:i4>
      </vt:variant>
      <vt:variant>
        <vt:i4>5</vt:i4>
      </vt:variant>
      <vt:variant>
        <vt:lpwstr/>
      </vt:variant>
      <vt:variant>
        <vt:lpwstr>_Toc436837606</vt:lpwstr>
      </vt:variant>
      <vt:variant>
        <vt:i4>1769527</vt:i4>
      </vt:variant>
      <vt:variant>
        <vt:i4>77</vt:i4>
      </vt:variant>
      <vt:variant>
        <vt:i4>0</vt:i4>
      </vt:variant>
      <vt:variant>
        <vt:i4>5</vt:i4>
      </vt:variant>
      <vt:variant>
        <vt:lpwstr/>
      </vt:variant>
      <vt:variant>
        <vt:lpwstr>_Toc436837605</vt:lpwstr>
      </vt:variant>
      <vt:variant>
        <vt:i4>1769527</vt:i4>
      </vt:variant>
      <vt:variant>
        <vt:i4>71</vt:i4>
      </vt:variant>
      <vt:variant>
        <vt:i4>0</vt:i4>
      </vt:variant>
      <vt:variant>
        <vt:i4>5</vt:i4>
      </vt:variant>
      <vt:variant>
        <vt:lpwstr/>
      </vt:variant>
      <vt:variant>
        <vt:lpwstr>_Toc436837604</vt:lpwstr>
      </vt:variant>
      <vt:variant>
        <vt:i4>1769527</vt:i4>
      </vt:variant>
      <vt:variant>
        <vt:i4>65</vt:i4>
      </vt:variant>
      <vt:variant>
        <vt:i4>0</vt:i4>
      </vt:variant>
      <vt:variant>
        <vt:i4>5</vt:i4>
      </vt:variant>
      <vt:variant>
        <vt:lpwstr/>
      </vt:variant>
      <vt:variant>
        <vt:lpwstr>_Toc436837603</vt:lpwstr>
      </vt:variant>
      <vt:variant>
        <vt:i4>1769527</vt:i4>
      </vt:variant>
      <vt:variant>
        <vt:i4>59</vt:i4>
      </vt:variant>
      <vt:variant>
        <vt:i4>0</vt:i4>
      </vt:variant>
      <vt:variant>
        <vt:i4>5</vt:i4>
      </vt:variant>
      <vt:variant>
        <vt:lpwstr/>
      </vt:variant>
      <vt:variant>
        <vt:lpwstr>_Toc436837602</vt:lpwstr>
      </vt:variant>
      <vt:variant>
        <vt:i4>1769527</vt:i4>
      </vt:variant>
      <vt:variant>
        <vt:i4>53</vt:i4>
      </vt:variant>
      <vt:variant>
        <vt:i4>0</vt:i4>
      </vt:variant>
      <vt:variant>
        <vt:i4>5</vt:i4>
      </vt:variant>
      <vt:variant>
        <vt:lpwstr/>
      </vt:variant>
      <vt:variant>
        <vt:lpwstr>_Toc436837601</vt:lpwstr>
      </vt:variant>
      <vt:variant>
        <vt:i4>1769527</vt:i4>
      </vt:variant>
      <vt:variant>
        <vt:i4>47</vt:i4>
      </vt:variant>
      <vt:variant>
        <vt:i4>0</vt:i4>
      </vt:variant>
      <vt:variant>
        <vt:i4>5</vt:i4>
      </vt:variant>
      <vt:variant>
        <vt:lpwstr/>
      </vt:variant>
      <vt:variant>
        <vt:lpwstr>_Toc436837600</vt:lpwstr>
      </vt:variant>
      <vt:variant>
        <vt:i4>1179700</vt:i4>
      </vt:variant>
      <vt:variant>
        <vt:i4>41</vt:i4>
      </vt:variant>
      <vt:variant>
        <vt:i4>0</vt:i4>
      </vt:variant>
      <vt:variant>
        <vt:i4>5</vt:i4>
      </vt:variant>
      <vt:variant>
        <vt:lpwstr/>
      </vt:variant>
      <vt:variant>
        <vt:lpwstr>_Toc436837599</vt:lpwstr>
      </vt:variant>
      <vt:variant>
        <vt:i4>1179700</vt:i4>
      </vt:variant>
      <vt:variant>
        <vt:i4>35</vt:i4>
      </vt:variant>
      <vt:variant>
        <vt:i4>0</vt:i4>
      </vt:variant>
      <vt:variant>
        <vt:i4>5</vt:i4>
      </vt:variant>
      <vt:variant>
        <vt:lpwstr/>
      </vt:variant>
      <vt:variant>
        <vt:lpwstr>_Toc436837598</vt:lpwstr>
      </vt:variant>
      <vt:variant>
        <vt:i4>1179700</vt:i4>
      </vt:variant>
      <vt:variant>
        <vt:i4>29</vt:i4>
      </vt:variant>
      <vt:variant>
        <vt:i4>0</vt:i4>
      </vt:variant>
      <vt:variant>
        <vt:i4>5</vt:i4>
      </vt:variant>
      <vt:variant>
        <vt:lpwstr/>
      </vt:variant>
      <vt:variant>
        <vt:lpwstr>_Toc436837597</vt:lpwstr>
      </vt:variant>
      <vt:variant>
        <vt:i4>1179700</vt:i4>
      </vt:variant>
      <vt:variant>
        <vt:i4>23</vt:i4>
      </vt:variant>
      <vt:variant>
        <vt:i4>0</vt:i4>
      </vt:variant>
      <vt:variant>
        <vt:i4>5</vt:i4>
      </vt:variant>
      <vt:variant>
        <vt:lpwstr/>
      </vt:variant>
      <vt:variant>
        <vt:lpwstr>_Toc436837596</vt:lpwstr>
      </vt:variant>
      <vt:variant>
        <vt:i4>1179700</vt:i4>
      </vt:variant>
      <vt:variant>
        <vt:i4>17</vt:i4>
      </vt:variant>
      <vt:variant>
        <vt:i4>0</vt:i4>
      </vt:variant>
      <vt:variant>
        <vt:i4>5</vt:i4>
      </vt:variant>
      <vt:variant>
        <vt:lpwstr/>
      </vt:variant>
      <vt:variant>
        <vt:lpwstr>_Toc436837595</vt:lpwstr>
      </vt:variant>
      <vt:variant>
        <vt:i4>1179700</vt:i4>
      </vt:variant>
      <vt:variant>
        <vt:i4>11</vt:i4>
      </vt:variant>
      <vt:variant>
        <vt:i4>0</vt:i4>
      </vt:variant>
      <vt:variant>
        <vt:i4>5</vt:i4>
      </vt:variant>
      <vt:variant>
        <vt:lpwstr/>
      </vt:variant>
      <vt:variant>
        <vt:lpwstr>_Toc436837594</vt:lpwstr>
      </vt:variant>
      <vt:variant>
        <vt:i4>1179700</vt:i4>
      </vt:variant>
      <vt:variant>
        <vt:i4>5</vt:i4>
      </vt:variant>
      <vt:variant>
        <vt:i4>0</vt:i4>
      </vt:variant>
      <vt:variant>
        <vt:i4>5</vt:i4>
      </vt:variant>
      <vt:variant>
        <vt:lpwstr/>
      </vt:variant>
      <vt:variant>
        <vt:lpwstr>_Toc436837593</vt:lpwstr>
      </vt:variant>
      <vt:variant>
        <vt:i4>7078011</vt:i4>
      </vt:variant>
      <vt:variant>
        <vt:i4>24</vt:i4>
      </vt:variant>
      <vt:variant>
        <vt:i4>0</vt:i4>
      </vt:variant>
      <vt:variant>
        <vt:i4>5</vt:i4>
      </vt:variant>
      <vt:variant>
        <vt:lpwstr>http://www.nomisweb.co.uk/census/2011/DC2101EW/view/2092957699?rows=c_age&amp;cols=c_ethpuk11</vt:lpwstr>
      </vt:variant>
      <vt:variant>
        <vt:lpwstr/>
      </vt:variant>
      <vt:variant>
        <vt:i4>2687008</vt:i4>
      </vt:variant>
      <vt:variant>
        <vt:i4>21</vt:i4>
      </vt:variant>
      <vt:variant>
        <vt:i4>0</vt:i4>
      </vt:variant>
      <vt:variant>
        <vt:i4>5</vt:i4>
      </vt:variant>
      <vt:variant>
        <vt:lpwstr>http://www.ecpat.org.uk/sites/default/files/trafficked_children_and_missing_2.pdf</vt:lpwstr>
      </vt:variant>
      <vt:variant>
        <vt:lpwstr/>
      </vt:variant>
      <vt:variant>
        <vt:i4>1310733</vt:i4>
      </vt:variant>
      <vt:variant>
        <vt:i4>18</vt:i4>
      </vt:variant>
      <vt:variant>
        <vt:i4>0</vt:i4>
      </vt:variant>
      <vt:variant>
        <vt:i4>5</vt:i4>
      </vt:variant>
      <vt:variant>
        <vt:lpwstr>https://www.gov.uk/government/statistics/children-looked-after-in-england-including-adoption-2014-to-2015</vt:lpwstr>
      </vt:variant>
      <vt:variant>
        <vt:lpwstr/>
      </vt:variant>
      <vt:variant>
        <vt:i4>8061024</vt:i4>
      </vt:variant>
      <vt:variant>
        <vt:i4>15</vt:i4>
      </vt:variant>
      <vt:variant>
        <vt:i4>0</vt:i4>
      </vt:variant>
      <vt:variant>
        <vt:i4>5</vt:i4>
      </vt:variant>
      <vt:variant>
        <vt:lpwstr>https://www.gov.uk/government/statistics/children-looked-after-in-england-including-adoption--2</vt:lpwstr>
      </vt:variant>
      <vt:variant>
        <vt:lpwstr/>
      </vt:variant>
      <vt:variant>
        <vt:i4>1245261</vt:i4>
      </vt:variant>
      <vt:variant>
        <vt:i4>12</vt:i4>
      </vt:variant>
      <vt:variant>
        <vt:i4>0</vt:i4>
      </vt:variant>
      <vt:variant>
        <vt:i4>5</vt:i4>
      </vt:variant>
      <vt:variant>
        <vt:lpwstr>http://www.nomisweb.co.uk/census/2011/LC3101EWLS/view/2092957699?rows=c_disability&amp;cols=c_age</vt:lpwstr>
      </vt:variant>
      <vt:variant>
        <vt:lpwstr/>
      </vt:variant>
      <vt:variant>
        <vt:i4>2293861</vt:i4>
      </vt:variant>
      <vt:variant>
        <vt:i4>9</vt:i4>
      </vt:variant>
      <vt:variant>
        <vt:i4>0</vt:i4>
      </vt:variant>
      <vt:variant>
        <vt:i4>5</vt:i4>
      </vt:variant>
      <vt:variant>
        <vt:lpwstr>https://www.nomisweb.co.uk/census/2011/lc1203ew</vt:lpwstr>
      </vt:variant>
      <vt:variant>
        <vt:lpwstr/>
      </vt:variant>
      <vt:variant>
        <vt:i4>1310733</vt:i4>
      </vt:variant>
      <vt:variant>
        <vt:i4>6</vt:i4>
      </vt:variant>
      <vt:variant>
        <vt:i4>0</vt:i4>
      </vt:variant>
      <vt:variant>
        <vt:i4>5</vt:i4>
      </vt:variant>
      <vt:variant>
        <vt:lpwstr>https://www.gov.uk/government/statistics/children-looked-after-in-england-including-adoption-2014-to-2015</vt:lpwstr>
      </vt:variant>
      <vt:variant>
        <vt:lpwstr/>
      </vt:variant>
      <vt:variant>
        <vt:i4>3080225</vt:i4>
      </vt:variant>
      <vt:variant>
        <vt:i4>3</vt:i4>
      </vt:variant>
      <vt:variant>
        <vt:i4>0</vt:i4>
      </vt:variant>
      <vt:variant>
        <vt:i4>5</vt:i4>
      </vt:variant>
      <vt:variant>
        <vt:lpwstr>https://www.nomisweb.co.uk/census/2011/qs103ew</vt:lpwstr>
      </vt:variant>
      <vt:variant>
        <vt:lpwstr/>
      </vt:variant>
      <vt:variant>
        <vt:i4>1310733</vt:i4>
      </vt:variant>
      <vt:variant>
        <vt:i4>0</vt:i4>
      </vt:variant>
      <vt:variant>
        <vt:i4>0</vt:i4>
      </vt:variant>
      <vt:variant>
        <vt:i4>5</vt:i4>
      </vt:variant>
      <vt:variant>
        <vt:lpwstr>https://www.gov.uk/government/statistics/children-looked-after-in-england-including-adoption-2014-to-2015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statistics - SFR release template</dc:title>
  <dc:subject/>
  <dc:creator>Alison Edwards (London)</dc:creator>
  <cp:keywords/>
  <dc:description/>
  <cp:lastModifiedBy>Anna Otczyk</cp:lastModifiedBy>
  <cp:revision>6</cp:revision>
  <cp:lastPrinted>2017-02-13T15:03:00Z</cp:lastPrinted>
  <dcterms:created xsi:type="dcterms:W3CDTF">2017-02-23T16:31:00Z</dcterms:created>
  <dcterms:modified xsi:type="dcterms:W3CDTF">2017-02-23T17:01:00Z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
  </property>
  <property fmtid="{D5CDD505-2E9C-101B-9397-08002B2CF9AE}" pid="3" name="OfstedESD">
    <vt:lpwstr/>
  </property>
  <property fmtid="{D5CDD505-2E9C-101B-9397-08002B2CF9AE}" pid="4" name="ContentType">
    <vt:lpwstr>Document</vt:lpwstr>
  </property>
  <property fmtid="{D5CDD505-2E9C-101B-9397-08002B2CF9AE}" pid="5" name="DatePublished">
    <vt:lpwstr>2012-06-01T18:00:00Z</vt:lpwstr>
  </property>
  <property fmtid="{D5CDD505-2E9C-101B-9397-08002B2CF9AE}" pid="6" name="RetentionPolicy">
    <vt:lpwstr>3</vt:lpwstr>
  </property>
  <property fmtid="{D5CDD505-2E9C-101B-9397-08002B2CF9AE}" pid="7" name="RightsManagementText">
    <vt:lpwstr>NOT PROTECTIVELY MARKED</vt:lpwstr>
  </property>
  <property fmtid="{D5CDD505-2E9C-101B-9397-08002B2CF9AE}" pid="8" name="Language">
    <vt:lpwstr>English</vt:lpwstr>
  </property>
  <property fmtid="{D5CDD505-2E9C-101B-9397-08002B2CF9AE}" pid="9" name="Subject">
    <vt:lpwstr/>
  </property>
  <property fmtid="{D5CDD505-2E9C-101B-9397-08002B2CF9AE}" pid="10" name="Keywords">
    <vt:lpwstr/>
  </property>
  <property fmtid="{D5CDD505-2E9C-101B-9397-08002B2CF9AE}" pid="11" name="_Author">
    <vt:lpwstr>opapps</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tistical content">
    <vt:lpwstr>Children's centres</vt:lpwstr>
  </property>
  <property fmtid="{D5CDD505-2E9C-101B-9397-08002B2CF9AE}" pid="18" name="Quarter">
    <vt:lpwstr>31 March 2012</vt:lpwstr>
  </property>
  <property fmtid="{D5CDD505-2E9C-101B-9397-08002B2CF9AE}" pid="19" name="Document type">
    <vt:lpwstr>Pre-release data</vt:lpwstr>
  </property>
  <property fmtid="{D5CDD505-2E9C-101B-9397-08002B2CF9AE}" pid="20" name="_DCDateModified">
    <vt:lpwstr/>
  </property>
  <property fmtid="{D5CDD505-2E9C-101B-9397-08002B2CF9AE}" pid="21" name="_DCDateCreated">
    <vt:lpwstr/>
  </property>
  <property fmtid="{D5CDD505-2E9C-101B-9397-08002B2CF9AE}" pid="22" name="_DocHome">
    <vt:lpwstr/>
  </property>
</Properties>
</file>