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085"/>
        <w:gridCol w:w="11089"/>
      </w:tblGrid>
      <w:tr w:rsidR="00377D30" w:rsidTr="002D0486">
        <w:tc>
          <w:tcPr>
            <w:tcW w:w="3085" w:type="dxa"/>
          </w:tcPr>
          <w:p w:rsidR="00377D30" w:rsidRPr="00377D30" w:rsidRDefault="002D0486" w:rsidP="00490802">
            <w:pPr>
              <w:autoSpaceDE w:val="0"/>
              <w:autoSpaceDN w:val="0"/>
              <w:adjustRightInd w:val="0"/>
              <w:rPr>
                <w:rFonts w:cs="Arial"/>
                <w:b/>
                <w:sz w:val="28"/>
                <w:szCs w:val="24"/>
              </w:rPr>
            </w:pPr>
            <w:bookmarkStart w:id="0" w:name="_GoBack"/>
            <w:bookmarkEnd w:id="0"/>
            <w:r>
              <w:rPr>
                <w:rFonts w:cs="Arial"/>
                <w:b/>
                <w:sz w:val="28"/>
                <w:szCs w:val="24"/>
              </w:rPr>
              <w:t>PROPOSAL NUMBER</w:t>
            </w:r>
          </w:p>
          <w:p w:rsidR="00377D30" w:rsidRDefault="00377D30" w:rsidP="00490802">
            <w:pPr>
              <w:autoSpaceDE w:val="0"/>
              <w:autoSpaceDN w:val="0"/>
              <w:adjustRightInd w:val="0"/>
              <w:rPr>
                <w:rFonts w:cs="Arial"/>
                <w:b/>
                <w:sz w:val="24"/>
                <w:szCs w:val="24"/>
              </w:rPr>
            </w:pPr>
          </w:p>
        </w:tc>
        <w:tc>
          <w:tcPr>
            <w:tcW w:w="11089" w:type="dxa"/>
          </w:tcPr>
          <w:p w:rsidR="00377D30" w:rsidRDefault="00377D30" w:rsidP="00490802">
            <w:pPr>
              <w:autoSpaceDE w:val="0"/>
              <w:autoSpaceDN w:val="0"/>
              <w:adjustRightInd w:val="0"/>
              <w:rPr>
                <w:rFonts w:cs="Arial"/>
                <w:b/>
                <w:sz w:val="24"/>
                <w:szCs w:val="24"/>
              </w:rPr>
            </w:pPr>
          </w:p>
        </w:tc>
      </w:tr>
      <w:tr w:rsidR="00377D30" w:rsidTr="002D0486">
        <w:tc>
          <w:tcPr>
            <w:tcW w:w="3085" w:type="dxa"/>
          </w:tcPr>
          <w:p w:rsidR="00377D30" w:rsidRPr="00377D30" w:rsidRDefault="002D0486" w:rsidP="00490802">
            <w:pPr>
              <w:autoSpaceDE w:val="0"/>
              <w:autoSpaceDN w:val="0"/>
              <w:adjustRightInd w:val="0"/>
              <w:rPr>
                <w:rFonts w:cs="Arial"/>
                <w:b/>
                <w:sz w:val="28"/>
                <w:szCs w:val="24"/>
              </w:rPr>
            </w:pPr>
            <w:r>
              <w:rPr>
                <w:rFonts w:cs="Arial"/>
                <w:b/>
                <w:sz w:val="28"/>
                <w:szCs w:val="24"/>
              </w:rPr>
              <w:t>PROPOSAL</w:t>
            </w:r>
            <w:r w:rsidR="00377D30" w:rsidRPr="00377D30">
              <w:rPr>
                <w:rFonts w:cs="Arial"/>
                <w:b/>
                <w:sz w:val="28"/>
                <w:szCs w:val="24"/>
              </w:rPr>
              <w:t xml:space="preserve"> TITLE</w:t>
            </w:r>
          </w:p>
          <w:p w:rsidR="00377D30" w:rsidRDefault="00377D30" w:rsidP="00490802">
            <w:pPr>
              <w:autoSpaceDE w:val="0"/>
              <w:autoSpaceDN w:val="0"/>
              <w:adjustRightInd w:val="0"/>
              <w:rPr>
                <w:rFonts w:cs="Arial"/>
                <w:b/>
                <w:sz w:val="24"/>
                <w:szCs w:val="24"/>
              </w:rPr>
            </w:pPr>
          </w:p>
        </w:tc>
        <w:tc>
          <w:tcPr>
            <w:tcW w:w="11089" w:type="dxa"/>
          </w:tcPr>
          <w:p w:rsidR="00377D30" w:rsidRDefault="00377D30" w:rsidP="00490802">
            <w:pPr>
              <w:autoSpaceDE w:val="0"/>
              <w:autoSpaceDN w:val="0"/>
              <w:adjustRightInd w:val="0"/>
              <w:rPr>
                <w:rFonts w:cs="Arial"/>
                <w:b/>
                <w:sz w:val="24"/>
                <w:szCs w:val="24"/>
              </w:rPr>
            </w:pPr>
          </w:p>
        </w:tc>
      </w:tr>
    </w:tbl>
    <w:p w:rsidR="005B77D0" w:rsidRDefault="005B77D0" w:rsidP="007E7835">
      <w:pPr>
        <w:autoSpaceDE w:val="0"/>
        <w:autoSpaceDN w:val="0"/>
        <w:adjustRightInd w:val="0"/>
        <w:rPr>
          <w:rFonts w:cs="Arial"/>
          <w:b/>
          <w:sz w:val="24"/>
          <w:szCs w:val="24"/>
        </w:rPr>
      </w:pPr>
    </w:p>
    <w:p w:rsidR="007E7835" w:rsidRPr="00D3492E" w:rsidRDefault="007E7835" w:rsidP="007E7835">
      <w:pPr>
        <w:autoSpaceDE w:val="0"/>
        <w:autoSpaceDN w:val="0"/>
        <w:adjustRightInd w:val="0"/>
        <w:rPr>
          <w:rFonts w:cs="Arial"/>
          <w:b/>
          <w:sz w:val="24"/>
          <w:szCs w:val="24"/>
          <w:u w:val="single"/>
        </w:rPr>
      </w:pPr>
      <w:r w:rsidRPr="00D3492E">
        <w:rPr>
          <w:rFonts w:cs="Arial"/>
          <w:b/>
          <w:sz w:val="24"/>
          <w:szCs w:val="24"/>
          <w:u w:val="single"/>
        </w:rPr>
        <w:t>Assessors scoring sheet for “Enabling commercial access to space: Initial call for grant proposals”</w:t>
      </w:r>
    </w:p>
    <w:p w:rsidR="007E7835" w:rsidRDefault="007E7835" w:rsidP="007E7835">
      <w:pPr>
        <w:autoSpaceDE w:val="0"/>
        <w:autoSpaceDN w:val="0"/>
        <w:adjustRightInd w:val="0"/>
        <w:rPr>
          <w:rFonts w:cs="Arial"/>
          <w:b/>
          <w:sz w:val="24"/>
          <w:szCs w:val="24"/>
        </w:rPr>
      </w:pPr>
    </w:p>
    <w:p w:rsidR="007E7835" w:rsidRPr="00685BED" w:rsidRDefault="007E7835" w:rsidP="007E7835">
      <w:pPr>
        <w:autoSpaceDE w:val="0"/>
        <w:autoSpaceDN w:val="0"/>
        <w:adjustRightInd w:val="0"/>
        <w:rPr>
          <w:rFonts w:cs="Arial"/>
          <w:sz w:val="24"/>
          <w:szCs w:val="24"/>
        </w:rPr>
      </w:pPr>
      <w:r w:rsidRPr="00C76B33">
        <w:rPr>
          <w:rFonts w:cs="Arial"/>
          <w:sz w:val="24"/>
          <w:szCs w:val="24"/>
        </w:rPr>
        <w:t>Proposals should be assessed using the criteria</w:t>
      </w:r>
      <w:r>
        <w:rPr>
          <w:rFonts w:cs="Arial"/>
          <w:sz w:val="24"/>
          <w:szCs w:val="24"/>
        </w:rPr>
        <w:t xml:space="preserve"> and scoring scale shown</w:t>
      </w:r>
      <w:r w:rsidRPr="00C76B33">
        <w:rPr>
          <w:rFonts w:cs="Arial"/>
          <w:sz w:val="24"/>
          <w:szCs w:val="24"/>
        </w:rPr>
        <w:t xml:space="preserve"> below</w:t>
      </w:r>
      <w:r w:rsidR="005C74F0">
        <w:rPr>
          <w:rFonts w:cs="Arial"/>
          <w:sz w:val="24"/>
          <w:szCs w:val="24"/>
        </w:rPr>
        <w:t>, designed to identify those proposals which offer the best Value for Money (VFM) overall</w:t>
      </w:r>
      <w:r w:rsidR="00362D84">
        <w:rPr>
          <w:rFonts w:cs="Arial"/>
          <w:sz w:val="24"/>
          <w:szCs w:val="24"/>
        </w:rPr>
        <w:t>.</w:t>
      </w:r>
      <w:r w:rsidRPr="00C76B33">
        <w:rPr>
          <w:rFonts w:cs="Arial"/>
          <w:sz w:val="24"/>
          <w:szCs w:val="24"/>
        </w:rPr>
        <w:t xml:space="preserve"> Assessors should complete the scoring sheet and provide a supporting narrative to justify their assessments</w:t>
      </w:r>
      <w:r>
        <w:rPr>
          <w:rFonts w:cs="Arial"/>
          <w:sz w:val="24"/>
          <w:szCs w:val="24"/>
        </w:rPr>
        <w:t xml:space="preserve"> against the following </w:t>
      </w:r>
      <w:r w:rsidRPr="00685BED">
        <w:rPr>
          <w:rFonts w:cs="Arial"/>
          <w:sz w:val="24"/>
          <w:szCs w:val="24"/>
        </w:rPr>
        <w:t xml:space="preserve">criteria:  </w:t>
      </w:r>
    </w:p>
    <w:p w:rsidR="007E7835" w:rsidRPr="00B42DD0" w:rsidRDefault="007E7835" w:rsidP="007E7835">
      <w:pPr>
        <w:pStyle w:val="ListParagraph"/>
        <w:numPr>
          <w:ilvl w:val="1"/>
          <w:numId w:val="5"/>
        </w:numPr>
        <w:jc w:val="both"/>
        <w:rPr>
          <w:i/>
          <w:sz w:val="24"/>
          <w:szCs w:val="24"/>
        </w:rPr>
      </w:pPr>
      <w:r w:rsidRPr="00685BED">
        <w:rPr>
          <w:sz w:val="24"/>
          <w:szCs w:val="24"/>
        </w:rPr>
        <w:t>Techni</w:t>
      </w:r>
      <w:r w:rsidRPr="004F138F">
        <w:rPr>
          <w:sz w:val="24"/>
          <w:szCs w:val="24"/>
        </w:rPr>
        <w:t xml:space="preserve">cal feasibility of proposed operations </w:t>
      </w:r>
      <w:r w:rsidR="001D263D">
        <w:rPr>
          <w:sz w:val="24"/>
          <w:szCs w:val="24"/>
        </w:rPr>
        <w:t>(</w:t>
      </w:r>
      <w:r w:rsidR="00135C91">
        <w:rPr>
          <w:sz w:val="24"/>
          <w:szCs w:val="24"/>
        </w:rPr>
        <w:t>30</w:t>
      </w:r>
      <w:r w:rsidR="001D263D">
        <w:rPr>
          <w:sz w:val="24"/>
          <w:szCs w:val="24"/>
        </w:rPr>
        <w:t>%</w:t>
      </w:r>
      <w:r w:rsidR="005C74F0">
        <w:rPr>
          <w:sz w:val="24"/>
          <w:szCs w:val="24"/>
        </w:rPr>
        <w:t xml:space="preserve"> weighting in overall score</w:t>
      </w:r>
      <w:r w:rsidR="001D263D">
        <w:rPr>
          <w:sz w:val="24"/>
          <w:szCs w:val="24"/>
        </w:rPr>
        <w:t>)</w:t>
      </w:r>
    </w:p>
    <w:p w:rsidR="007E7835" w:rsidRPr="004F138F" w:rsidRDefault="007E7835" w:rsidP="007E7835">
      <w:pPr>
        <w:pStyle w:val="ListParagraph"/>
        <w:numPr>
          <w:ilvl w:val="1"/>
          <w:numId w:val="5"/>
        </w:numPr>
        <w:jc w:val="both"/>
        <w:rPr>
          <w:sz w:val="24"/>
          <w:szCs w:val="24"/>
        </w:rPr>
      </w:pPr>
      <w:r w:rsidRPr="004F138F">
        <w:rPr>
          <w:sz w:val="24"/>
          <w:szCs w:val="24"/>
        </w:rPr>
        <w:t xml:space="preserve">Commercial </w:t>
      </w:r>
      <w:r>
        <w:rPr>
          <w:sz w:val="24"/>
          <w:szCs w:val="24"/>
        </w:rPr>
        <w:t xml:space="preserve">sustainability </w:t>
      </w:r>
      <w:r w:rsidRPr="004F138F">
        <w:rPr>
          <w:sz w:val="24"/>
          <w:szCs w:val="24"/>
        </w:rPr>
        <w:t>of proposed operations</w:t>
      </w:r>
      <w:r>
        <w:rPr>
          <w:sz w:val="24"/>
          <w:szCs w:val="24"/>
        </w:rPr>
        <w:t xml:space="preserve"> </w:t>
      </w:r>
      <w:r w:rsidR="001D263D">
        <w:rPr>
          <w:sz w:val="24"/>
          <w:szCs w:val="24"/>
        </w:rPr>
        <w:t>(</w:t>
      </w:r>
      <w:r w:rsidR="00135C91">
        <w:rPr>
          <w:sz w:val="24"/>
          <w:szCs w:val="24"/>
        </w:rPr>
        <w:t>30</w:t>
      </w:r>
      <w:r w:rsidR="001D263D">
        <w:rPr>
          <w:sz w:val="24"/>
          <w:szCs w:val="24"/>
        </w:rPr>
        <w:t>%</w:t>
      </w:r>
      <w:r w:rsidR="005C74F0">
        <w:rPr>
          <w:sz w:val="24"/>
          <w:szCs w:val="24"/>
        </w:rPr>
        <w:t xml:space="preserve"> weighting in overall score</w:t>
      </w:r>
      <w:r w:rsidR="001D263D">
        <w:rPr>
          <w:sz w:val="24"/>
          <w:szCs w:val="24"/>
        </w:rPr>
        <w:t>)</w:t>
      </w:r>
    </w:p>
    <w:p w:rsidR="007E7835" w:rsidRPr="004F138F" w:rsidRDefault="00FF3CDE" w:rsidP="007E7835">
      <w:pPr>
        <w:pStyle w:val="ListParagraph"/>
        <w:numPr>
          <w:ilvl w:val="1"/>
          <w:numId w:val="5"/>
        </w:numPr>
        <w:jc w:val="both"/>
        <w:rPr>
          <w:sz w:val="24"/>
          <w:szCs w:val="24"/>
        </w:rPr>
      </w:pPr>
      <w:r>
        <w:rPr>
          <w:sz w:val="24"/>
          <w:szCs w:val="24"/>
        </w:rPr>
        <w:t>B</w:t>
      </w:r>
      <w:r w:rsidR="007E7835" w:rsidRPr="00C76B33">
        <w:rPr>
          <w:sz w:val="24"/>
          <w:szCs w:val="24"/>
        </w:rPr>
        <w:t>enefit to the UK</w:t>
      </w:r>
      <w:r w:rsidR="001D263D">
        <w:rPr>
          <w:sz w:val="24"/>
          <w:szCs w:val="24"/>
        </w:rPr>
        <w:t xml:space="preserve"> (</w:t>
      </w:r>
      <w:r w:rsidR="00135C91">
        <w:rPr>
          <w:sz w:val="24"/>
          <w:szCs w:val="24"/>
        </w:rPr>
        <w:t>30</w:t>
      </w:r>
      <w:r w:rsidR="001D263D">
        <w:rPr>
          <w:sz w:val="24"/>
          <w:szCs w:val="24"/>
        </w:rPr>
        <w:t>%</w:t>
      </w:r>
      <w:r w:rsidR="005C74F0">
        <w:rPr>
          <w:sz w:val="24"/>
          <w:szCs w:val="24"/>
        </w:rPr>
        <w:t xml:space="preserve"> weighting in overall score</w:t>
      </w:r>
      <w:r w:rsidR="001D263D">
        <w:rPr>
          <w:sz w:val="24"/>
          <w:szCs w:val="24"/>
        </w:rPr>
        <w:t>)</w:t>
      </w:r>
    </w:p>
    <w:p w:rsidR="007E7835" w:rsidRPr="004F138F" w:rsidRDefault="007E7835" w:rsidP="007E7835">
      <w:pPr>
        <w:pStyle w:val="ListParagraph"/>
        <w:numPr>
          <w:ilvl w:val="1"/>
          <w:numId w:val="5"/>
        </w:numPr>
        <w:jc w:val="both"/>
        <w:rPr>
          <w:sz w:val="24"/>
          <w:szCs w:val="24"/>
        </w:rPr>
      </w:pPr>
      <w:r w:rsidRPr="004F138F">
        <w:rPr>
          <w:sz w:val="24"/>
          <w:szCs w:val="24"/>
        </w:rPr>
        <w:t>Sound management and planning</w:t>
      </w:r>
      <w:r>
        <w:rPr>
          <w:sz w:val="24"/>
          <w:szCs w:val="24"/>
        </w:rPr>
        <w:t xml:space="preserve"> </w:t>
      </w:r>
      <w:r w:rsidR="001D263D">
        <w:rPr>
          <w:sz w:val="24"/>
          <w:szCs w:val="24"/>
        </w:rPr>
        <w:t>(10%</w:t>
      </w:r>
      <w:r w:rsidR="005C74F0">
        <w:rPr>
          <w:sz w:val="24"/>
          <w:szCs w:val="24"/>
        </w:rPr>
        <w:t xml:space="preserve"> weighting in overall score</w:t>
      </w:r>
      <w:r w:rsidR="001D263D">
        <w:rPr>
          <w:sz w:val="24"/>
          <w:szCs w:val="24"/>
        </w:rPr>
        <w:t>)</w:t>
      </w:r>
    </w:p>
    <w:p w:rsidR="007E7835" w:rsidRPr="004F138F" w:rsidRDefault="007E7835" w:rsidP="007E7835">
      <w:pPr>
        <w:pStyle w:val="ListParagraph"/>
        <w:numPr>
          <w:ilvl w:val="1"/>
          <w:numId w:val="5"/>
        </w:numPr>
        <w:jc w:val="both"/>
        <w:rPr>
          <w:sz w:val="24"/>
          <w:szCs w:val="24"/>
        </w:rPr>
      </w:pPr>
      <w:r w:rsidRPr="004F138F">
        <w:rPr>
          <w:sz w:val="24"/>
          <w:szCs w:val="24"/>
        </w:rPr>
        <w:t xml:space="preserve">Financial viability of the organisations involved and their commitment to the success of the project </w:t>
      </w:r>
      <w:r w:rsidR="001D263D">
        <w:rPr>
          <w:sz w:val="24"/>
          <w:szCs w:val="24"/>
        </w:rPr>
        <w:t>(</w:t>
      </w:r>
      <w:r w:rsidR="00FF3CDE">
        <w:rPr>
          <w:sz w:val="24"/>
          <w:szCs w:val="24"/>
        </w:rPr>
        <w:t>PASS/FAIL Criterion)</w:t>
      </w:r>
    </w:p>
    <w:p w:rsidR="007E7835" w:rsidRDefault="007E7835" w:rsidP="007E7835">
      <w:pPr>
        <w:autoSpaceDE w:val="0"/>
        <w:autoSpaceDN w:val="0"/>
        <w:adjustRightInd w:val="0"/>
        <w:rPr>
          <w:rFonts w:cs="Arial"/>
          <w:b/>
          <w:i/>
          <w:sz w:val="20"/>
          <w:szCs w:val="20"/>
        </w:rPr>
      </w:pPr>
      <w:r w:rsidRPr="00C76B33">
        <w:rPr>
          <w:rFonts w:cs="Arial"/>
          <w:sz w:val="24"/>
          <w:szCs w:val="24"/>
        </w:rPr>
        <w:t>Although criteria weightings</w:t>
      </w:r>
      <w:r w:rsidR="001D263D">
        <w:rPr>
          <w:rFonts w:cs="Arial"/>
          <w:sz w:val="24"/>
          <w:szCs w:val="24"/>
        </w:rPr>
        <w:t xml:space="preserve"> above</w:t>
      </w:r>
      <w:r w:rsidRPr="00C76B33">
        <w:rPr>
          <w:rFonts w:cs="Arial"/>
          <w:sz w:val="24"/>
          <w:szCs w:val="24"/>
        </w:rPr>
        <w:t xml:space="preserve"> will apply once all proposals have been scored please do </w:t>
      </w:r>
      <w:r w:rsidRPr="00C76B33">
        <w:rPr>
          <w:rFonts w:cs="Arial"/>
          <w:sz w:val="24"/>
          <w:szCs w:val="24"/>
          <w:u w:val="single"/>
        </w:rPr>
        <w:t>not</w:t>
      </w:r>
      <w:r w:rsidRPr="00C76B33">
        <w:rPr>
          <w:rFonts w:cs="Arial"/>
          <w:sz w:val="24"/>
          <w:szCs w:val="24"/>
        </w:rPr>
        <w:t xml:space="preserve"> consider these when conducting your own assessment</w:t>
      </w:r>
      <w:r>
        <w:rPr>
          <w:rFonts w:cs="Arial"/>
          <w:sz w:val="24"/>
          <w:szCs w:val="24"/>
        </w:rPr>
        <w:t>.</w:t>
      </w:r>
    </w:p>
    <w:p w:rsidR="007E7835" w:rsidRPr="009F07EB" w:rsidRDefault="007E7835" w:rsidP="007E7835">
      <w:pPr>
        <w:autoSpaceDE w:val="0"/>
        <w:autoSpaceDN w:val="0"/>
        <w:adjustRightInd w:val="0"/>
        <w:rPr>
          <w:rFonts w:cs="Arial"/>
          <w:b/>
          <w:i/>
          <w:sz w:val="20"/>
          <w:szCs w:val="20"/>
        </w:rPr>
      </w:pPr>
    </w:p>
    <w:p w:rsidR="007E7835" w:rsidRDefault="007E7835" w:rsidP="007E7835">
      <w:r>
        <w:br w:type="page"/>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12048"/>
      </w:tblGrid>
      <w:tr w:rsidR="007E7835" w:rsidRPr="00E35FED" w:rsidTr="00A42A8F">
        <w:trPr>
          <w:trHeight w:val="522"/>
        </w:trPr>
        <w:tc>
          <w:tcPr>
            <w:tcW w:w="2235" w:type="dxa"/>
            <w:shd w:val="clear" w:color="auto" w:fill="auto"/>
          </w:tcPr>
          <w:p w:rsidR="007E7835" w:rsidRPr="0081016E" w:rsidRDefault="007E7835" w:rsidP="00A42A8F">
            <w:pPr>
              <w:autoSpaceDE w:val="0"/>
              <w:autoSpaceDN w:val="0"/>
              <w:adjustRightInd w:val="0"/>
              <w:rPr>
                <w:rFonts w:cs="Arial"/>
                <w:b/>
                <w:sz w:val="20"/>
                <w:szCs w:val="20"/>
              </w:rPr>
            </w:pPr>
            <w:r w:rsidRPr="0081016E">
              <w:rPr>
                <w:rFonts w:cs="Arial"/>
                <w:b/>
                <w:sz w:val="20"/>
                <w:szCs w:val="20"/>
              </w:rPr>
              <w:lastRenderedPageBreak/>
              <w:t>Criteria</w:t>
            </w:r>
          </w:p>
        </w:tc>
        <w:tc>
          <w:tcPr>
            <w:tcW w:w="12048" w:type="dxa"/>
            <w:shd w:val="clear" w:color="auto" w:fill="auto"/>
          </w:tcPr>
          <w:p w:rsidR="007E7835" w:rsidRPr="0081016E" w:rsidRDefault="007E7835" w:rsidP="00A42A8F">
            <w:pPr>
              <w:autoSpaceDE w:val="0"/>
              <w:autoSpaceDN w:val="0"/>
              <w:adjustRightInd w:val="0"/>
              <w:rPr>
                <w:rFonts w:cs="Arial"/>
                <w:b/>
                <w:sz w:val="20"/>
                <w:szCs w:val="20"/>
              </w:rPr>
            </w:pPr>
            <w:r w:rsidRPr="0081016E">
              <w:rPr>
                <w:rFonts w:cs="Arial"/>
                <w:b/>
                <w:sz w:val="20"/>
                <w:szCs w:val="20"/>
              </w:rPr>
              <w:t>Scoring criteria</w:t>
            </w:r>
          </w:p>
        </w:tc>
      </w:tr>
      <w:tr w:rsidR="007E7835" w:rsidRPr="00E35FED" w:rsidTr="00A42A8F">
        <w:trPr>
          <w:trHeight w:val="983"/>
        </w:trPr>
        <w:tc>
          <w:tcPr>
            <w:tcW w:w="2235" w:type="dxa"/>
            <w:shd w:val="clear" w:color="auto" w:fill="auto"/>
          </w:tcPr>
          <w:p w:rsidR="007E7835" w:rsidRPr="003357EA" w:rsidRDefault="007E7835" w:rsidP="00A42A8F">
            <w:pPr>
              <w:autoSpaceDE w:val="0"/>
              <w:autoSpaceDN w:val="0"/>
              <w:adjustRightInd w:val="0"/>
              <w:rPr>
                <w:rFonts w:cs="Arial"/>
                <w:b/>
                <w:sz w:val="20"/>
                <w:szCs w:val="20"/>
              </w:rPr>
            </w:pPr>
            <w:r w:rsidRPr="003357EA">
              <w:rPr>
                <w:rFonts w:cs="Arial"/>
                <w:b/>
                <w:sz w:val="20"/>
                <w:szCs w:val="20"/>
              </w:rPr>
              <w:t>1</w:t>
            </w:r>
            <w:bookmarkStart w:id="1" w:name="OLE_LINK1"/>
            <w:r w:rsidRPr="003357EA">
              <w:rPr>
                <w:rFonts w:cs="Arial"/>
                <w:b/>
                <w:sz w:val="20"/>
                <w:szCs w:val="20"/>
              </w:rPr>
              <w:t xml:space="preserve">. </w:t>
            </w:r>
            <w:bookmarkEnd w:id="1"/>
            <w:r w:rsidRPr="003357EA">
              <w:rPr>
                <w:rFonts w:cs="Arial"/>
                <w:b/>
                <w:sz w:val="20"/>
                <w:szCs w:val="20"/>
              </w:rPr>
              <w:t>Technical feasibility of proposed operations</w:t>
            </w:r>
          </w:p>
          <w:p w:rsidR="007E7835" w:rsidRDefault="007E7835" w:rsidP="00A42A8F">
            <w:pPr>
              <w:autoSpaceDE w:val="0"/>
              <w:autoSpaceDN w:val="0"/>
              <w:adjustRightInd w:val="0"/>
              <w:rPr>
                <w:rFonts w:cs="Arial"/>
                <w:sz w:val="20"/>
                <w:szCs w:val="20"/>
              </w:rPr>
            </w:pPr>
            <w:r>
              <w:rPr>
                <w:rFonts w:cs="Arial"/>
                <w:sz w:val="20"/>
                <w:szCs w:val="20"/>
              </w:rPr>
              <w:t xml:space="preserve">(Information for this criteria will be </w:t>
            </w:r>
            <w:r w:rsidRPr="00B42DD0">
              <w:rPr>
                <w:rFonts w:cs="Arial"/>
                <w:sz w:val="20"/>
                <w:szCs w:val="20"/>
              </w:rPr>
              <w:t xml:space="preserve">drawn </w:t>
            </w:r>
            <w:r>
              <w:rPr>
                <w:rFonts w:cs="Arial"/>
                <w:sz w:val="20"/>
                <w:szCs w:val="20"/>
              </w:rPr>
              <w:t xml:space="preserve">primarily </w:t>
            </w:r>
            <w:r w:rsidRPr="00B42DD0">
              <w:rPr>
                <w:rFonts w:cs="Arial"/>
                <w:sz w:val="20"/>
                <w:szCs w:val="20"/>
              </w:rPr>
              <w:t>from the ‘Technical Proposal’ section)</w:t>
            </w:r>
          </w:p>
        </w:tc>
        <w:tc>
          <w:tcPr>
            <w:tcW w:w="12048" w:type="dxa"/>
            <w:shd w:val="clear" w:color="auto" w:fill="auto"/>
          </w:tcPr>
          <w:p w:rsidR="007E7835" w:rsidRPr="006625D5" w:rsidRDefault="007E7835" w:rsidP="00A42A8F">
            <w:pPr>
              <w:autoSpaceDE w:val="0"/>
              <w:autoSpaceDN w:val="0"/>
              <w:adjustRightInd w:val="0"/>
              <w:rPr>
                <w:rFonts w:cs="Arial"/>
                <w:i/>
                <w:sz w:val="20"/>
                <w:szCs w:val="20"/>
                <w:u w:val="single"/>
              </w:rPr>
            </w:pPr>
            <w:r w:rsidRPr="006625D5">
              <w:rPr>
                <w:rFonts w:cs="Arial"/>
                <w:i/>
                <w:sz w:val="20"/>
                <w:szCs w:val="20"/>
                <w:u w:val="single"/>
              </w:rPr>
              <w:t>Proposals must be assessed against the technical feasibility of both the launch vehicle and the spaceport</w:t>
            </w:r>
            <w:r>
              <w:rPr>
                <w:rFonts w:cs="Arial"/>
                <w:i/>
                <w:sz w:val="20"/>
                <w:szCs w:val="20"/>
                <w:u w:val="single"/>
              </w:rPr>
              <w:t xml:space="preserve"> operation</w:t>
            </w:r>
            <w:r w:rsidRPr="006625D5">
              <w:rPr>
                <w:rFonts w:cs="Arial"/>
                <w:i/>
                <w:sz w:val="20"/>
                <w:szCs w:val="20"/>
                <w:u w:val="single"/>
              </w:rPr>
              <w:t xml:space="preserve">.  </w:t>
            </w:r>
            <w:r w:rsidRPr="006625D5">
              <w:rPr>
                <w:rFonts w:cs="Arial"/>
                <w:i/>
                <w:sz w:val="20"/>
                <w:szCs w:val="20"/>
              </w:rPr>
              <w:t xml:space="preserve">The scoring should reflect your assessment of whether there are any technical (or physical) barriers to the enterprise achieving </w:t>
            </w:r>
            <w:r>
              <w:rPr>
                <w:rFonts w:cs="Arial"/>
                <w:i/>
                <w:sz w:val="20"/>
                <w:szCs w:val="20"/>
              </w:rPr>
              <w:t xml:space="preserve">sustainable </w:t>
            </w:r>
            <w:r w:rsidRPr="006625D5">
              <w:rPr>
                <w:rFonts w:cs="Arial"/>
                <w:i/>
                <w:sz w:val="20"/>
                <w:szCs w:val="20"/>
              </w:rPr>
              <w:t xml:space="preserve">launch from the UK </w:t>
            </w:r>
            <w:r>
              <w:rPr>
                <w:rFonts w:cs="Arial"/>
                <w:i/>
                <w:sz w:val="20"/>
                <w:szCs w:val="20"/>
              </w:rPr>
              <w:t>from</w:t>
            </w:r>
            <w:r w:rsidRPr="006625D5">
              <w:rPr>
                <w:rFonts w:cs="Arial"/>
                <w:i/>
                <w:sz w:val="20"/>
                <w:szCs w:val="20"/>
              </w:rPr>
              <w:t xml:space="preserve"> 2020</w:t>
            </w:r>
            <w:r>
              <w:rPr>
                <w:rFonts w:cs="Arial"/>
                <w:i/>
                <w:sz w:val="20"/>
                <w:szCs w:val="20"/>
              </w:rPr>
              <w:t xml:space="preserve"> or soon after</w:t>
            </w:r>
            <w:r w:rsidRPr="006625D5">
              <w:rPr>
                <w:rFonts w:cs="Arial"/>
                <w:i/>
                <w:sz w:val="20"/>
                <w:szCs w:val="20"/>
              </w:rPr>
              <w:t>.</w:t>
            </w:r>
            <w:r w:rsidRPr="006625D5">
              <w:rPr>
                <w:rFonts w:cs="Arial"/>
                <w:i/>
                <w:sz w:val="20"/>
                <w:szCs w:val="20"/>
                <w:u w:val="single"/>
              </w:rPr>
              <w:t xml:space="preserve">  </w:t>
            </w:r>
          </w:p>
          <w:p w:rsidR="007E7835" w:rsidRDefault="007E7835" w:rsidP="00A42A8F">
            <w:pPr>
              <w:autoSpaceDE w:val="0"/>
              <w:autoSpaceDN w:val="0"/>
              <w:adjustRightInd w:val="0"/>
              <w:rPr>
                <w:rFonts w:cs="Arial"/>
                <w:i/>
                <w:sz w:val="20"/>
                <w:szCs w:val="20"/>
              </w:rPr>
            </w:pPr>
            <w:r>
              <w:rPr>
                <w:rFonts w:cs="Arial"/>
                <w:i/>
                <w:sz w:val="20"/>
                <w:szCs w:val="20"/>
              </w:rPr>
              <w:t xml:space="preserve">The </w:t>
            </w:r>
            <w:r w:rsidRPr="00484E1B">
              <w:rPr>
                <w:rFonts w:cs="Arial"/>
                <w:b/>
                <w:i/>
                <w:sz w:val="20"/>
                <w:szCs w:val="20"/>
              </w:rPr>
              <w:t>highest scoring</w:t>
            </w:r>
            <w:r>
              <w:rPr>
                <w:rFonts w:cs="Arial"/>
                <w:i/>
                <w:sz w:val="20"/>
                <w:szCs w:val="20"/>
              </w:rPr>
              <w:t xml:space="preserve"> projects will utilise a vehicle that could be launched regularly from the UK, with a first launch by the end of 2020</w:t>
            </w:r>
            <w:proofErr w:type="gramStart"/>
            <w:r>
              <w:rPr>
                <w:rFonts w:cs="Arial"/>
                <w:i/>
                <w:sz w:val="20"/>
                <w:szCs w:val="20"/>
              </w:rPr>
              <w:t>,  using</w:t>
            </w:r>
            <w:proofErr w:type="gramEnd"/>
            <w:r>
              <w:rPr>
                <w:rFonts w:cs="Arial"/>
                <w:i/>
                <w:sz w:val="20"/>
                <w:szCs w:val="20"/>
              </w:rPr>
              <w:t xml:space="preserve"> reliable technology that requires no new research or development work to establish its practicability or viability.  If it is a vehicle already in use in another launch setting, it will have a proven track record of successful operations and require no or minimal adaptation before it can be used commercially in the UK.  If it is a new vehicle, it will draw on established and proven design practices already in widespread use in successful launch operations, and use technology and components that are at a high level of technical readiness and/or flight heritage.  Safety critical subsystems are readily available, and can be shown to have been subjected to comprehensive and rigorous test and evaluation, including failure mode analysis.  </w:t>
            </w:r>
          </w:p>
          <w:p w:rsidR="007E7835" w:rsidRDefault="007E7835" w:rsidP="00A42A8F">
            <w:pPr>
              <w:autoSpaceDE w:val="0"/>
              <w:autoSpaceDN w:val="0"/>
              <w:adjustRightInd w:val="0"/>
              <w:rPr>
                <w:rFonts w:cs="Arial"/>
                <w:i/>
                <w:sz w:val="20"/>
                <w:szCs w:val="20"/>
              </w:rPr>
            </w:pPr>
            <w:r>
              <w:rPr>
                <w:rFonts w:cs="Arial"/>
                <w:i/>
                <w:sz w:val="20"/>
                <w:szCs w:val="20"/>
              </w:rPr>
              <w:t xml:space="preserve">These projects will also demonstrate the ability to launch from a UK spaceport that already has the majority of the required infrastructure in place and requires little to no major construction or development activity to build the necessary launch, accommodation, communications or transport infrastructure necessary before commencing commercial operations. </w:t>
            </w:r>
          </w:p>
          <w:p w:rsidR="007E7835" w:rsidRDefault="007E7835" w:rsidP="00A42A8F">
            <w:pPr>
              <w:autoSpaceDE w:val="0"/>
              <w:autoSpaceDN w:val="0"/>
              <w:adjustRightInd w:val="0"/>
              <w:rPr>
                <w:rFonts w:cs="Arial"/>
                <w:i/>
                <w:sz w:val="20"/>
                <w:szCs w:val="20"/>
              </w:rPr>
            </w:pPr>
            <w:r w:rsidRPr="0073538E">
              <w:rPr>
                <w:rFonts w:cs="Arial"/>
                <w:b/>
                <w:i/>
                <w:sz w:val="20"/>
                <w:szCs w:val="20"/>
              </w:rPr>
              <w:t>Moderate scoring</w:t>
            </w:r>
            <w:r>
              <w:rPr>
                <w:rFonts w:cs="Arial"/>
                <w:i/>
                <w:sz w:val="20"/>
                <w:szCs w:val="20"/>
              </w:rPr>
              <w:t xml:space="preserve"> projects</w:t>
            </w:r>
            <w:r w:rsidRPr="004B4820">
              <w:rPr>
                <w:rFonts w:cs="Arial"/>
                <w:i/>
                <w:sz w:val="20"/>
                <w:szCs w:val="20"/>
              </w:rPr>
              <w:t xml:space="preserve"> will </w:t>
            </w:r>
            <w:r>
              <w:rPr>
                <w:rFonts w:cs="Arial"/>
                <w:i/>
                <w:sz w:val="20"/>
                <w:szCs w:val="20"/>
              </w:rPr>
              <w:t xml:space="preserve">utilise a vehicle that requires some new research or development work to establish its practicability as a reliable launch system flying from the UK. If it is a vehicle already in use in another launch setting, it will have a successful, albeit limited track record of operations and/or require a small to moderate degree of adaptation and testing before it can be used commercially in the UK.  If aspects of </w:t>
            </w:r>
            <w:proofErr w:type="gramStart"/>
            <w:r>
              <w:rPr>
                <w:rFonts w:cs="Arial"/>
                <w:i/>
                <w:sz w:val="20"/>
                <w:szCs w:val="20"/>
              </w:rPr>
              <w:t>the  vehicle</w:t>
            </w:r>
            <w:proofErr w:type="gramEnd"/>
            <w:r>
              <w:rPr>
                <w:rFonts w:cs="Arial"/>
                <w:i/>
                <w:sz w:val="20"/>
                <w:szCs w:val="20"/>
              </w:rPr>
              <w:t xml:space="preserve"> are relatively new, its design will involve a limited degree of innovation or evolution which will have been successfully demonstrated during research and development phases but not in widespread operational use. </w:t>
            </w:r>
          </w:p>
          <w:p w:rsidR="007E7835" w:rsidRDefault="007E7835" w:rsidP="00A42A8F">
            <w:pPr>
              <w:autoSpaceDE w:val="0"/>
              <w:autoSpaceDN w:val="0"/>
              <w:adjustRightInd w:val="0"/>
              <w:rPr>
                <w:rFonts w:cs="Arial"/>
                <w:i/>
                <w:sz w:val="20"/>
                <w:szCs w:val="20"/>
              </w:rPr>
            </w:pPr>
            <w:r>
              <w:rPr>
                <w:rFonts w:cs="Arial"/>
                <w:i/>
                <w:sz w:val="20"/>
                <w:szCs w:val="20"/>
              </w:rPr>
              <w:t xml:space="preserve">These projects will utilise a spaceport site that has some of the necessary infrastructure in place already, and a comprehensive understanding of the elements that remains to be built in order to accommodate the flight vehicle and ensure its ability to fly safely in the UK   They will demonstrate a clear and achievable plan to construct the remaining infrastructure necessary to support commercial operations from 2020 or soon after, with substantial local support.  </w:t>
            </w:r>
          </w:p>
          <w:p w:rsidR="007E7835" w:rsidRDefault="007E7835" w:rsidP="00A42A8F">
            <w:pPr>
              <w:autoSpaceDE w:val="0"/>
              <w:autoSpaceDN w:val="0"/>
              <w:adjustRightInd w:val="0"/>
              <w:rPr>
                <w:rFonts w:cs="Arial"/>
                <w:i/>
                <w:sz w:val="20"/>
                <w:szCs w:val="20"/>
              </w:rPr>
            </w:pPr>
            <w:r w:rsidRPr="0073538E">
              <w:rPr>
                <w:rFonts w:cs="Arial"/>
                <w:b/>
                <w:i/>
                <w:sz w:val="20"/>
                <w:szCs w:val="20"/>
              </w:rPr>
              <w:t>Low scoring</w:t>
            </w:r>
            <w:r>
              <w:rPr>
                <w:rFonts w:cs="Arial"/>
                <w:i/>
                <w:sz w:val="20"/>
                <w:szCs w:val="20"/>
              </w:rPr>
              <w:t xml:space="preserve"> projects will rely on technology that is untested, requires significant research and development to establish its practicality, requires extensive remodelling or adaptation for use in the UK, or may not be readily available in the UK. These projects will propose launching from a spaceport location that has little to no relevant infrastructure in place. Their plans for developing the necessary infrastructure are immature and they provide only weak evidence that this will be in place to support commercial operations from later than 2020. </w:t>
            </w:r>
          </w:p>
        </w:tc>
      </w:tr>
      <w:tr w:rsidR="007E7835" w:rsidRPr="00E35FED" w:rsidTr="00A42A8F">
        <w:trPr>
          <w:trHeight w:val="1717"/>
        </w:trPr>
        <w:tc>
          <w:tcPr>
            <w:tcW w:w="2235" w:type="dxa"/>
            <w:shd w:val="clear" w:color="auto" w:fill="auto"/>
          </w:tcPr>
          <w:p w:rsidR="007E7835" w:rsidRPr="003357EA" w:rsidRDefault="007E7835" w:rsidP="00A42A8F">
            <w:pPr>
              <w:autoSpaceDE w:val="0"/>
              <w:autoSpaceDN w:val="0"/>
              <w:adjustRightInd w:val="0"/>
              <w:rPr>
                <w:rFonts w:cs="Arial"/>
                <w:b/>
                <w:sz w:val="20"/>
                <w:szCs w:val="20"/>
              </w:rPr>
            </w:pPr>
            <w:r>
              <w:rPr>
                <w:rFonts w:cs="Arial"/>
                <w:b/>
                <w:sz w:val="20"/>
                <w:szCs w:val="20"/>
              </w:rPr>
              <w:lastRenderedPageBreak/>
              <w:t xml:space="preserve">2. </w:t>
            </w:r>
            <w:r w:rsidRPr="003357EA">
              <w:rPr>
                <w:rFonts w:cs="Arial"/>
                <w:b/>
                <w:sz w:val="20"/>
                <w:szCs w:val="20"/>
              </w:rPr>
              <w:t xml:space="preserve">Commercial sustainability of proposed operations </w:t>
            </w:r>
          </w:p>
          <w:p w:rsidR="007E7835" w:rsidRPr="00B42DD0" w:rsidRDefault="007E7835" w:rsidP="00A42A8F">
            <w:pPr>
              <w:autoSpaceDE w:val="0"/>
              <w:autoSpaceDN w:val="0"/>
              <w:adjustRightInd w:val="0"/>
              <w:rPr>
                <w:rFonts w:cs="Arial"/>
                <w:sz w:val="20"/>
                <w:szCs w:val="20"/>
              </w:rPr>
            </w:pPr>
            <w:r>
              <w:rPr>
                <w:rFonts w:cs="Arial"/>
                <w:sz w:val="20"/>
                <w:szCs w:val="20"/>
              </w:rPr>
              <w:t xml:space="preserve">(Information for this criteria will be </w:t>
            </w:r>
            <w:r w:rsidRPr="00B42DD0">
              <w:rPr>
                <w:rFonts w:cs="Arial"/>
                <w:sz w:val="20"/>
                <w:szCs w:val="20"/>
              </w:rPr>
              <w:t xml:space="preserve">drawn </w:t>
            </w:r>
            <w:r>
              <w:rPr>
                <w:rFonts w:cs="Arial"/>
                <w:sz w:val="20"/>
                <w:szCs w:val="20"/>
              </w:rPr>
              <w:t xml:space="preserve">primarily </w:t>
            </w:r>
            <w:r w:rsidRPr="00B42DD0">
              <w:rPr>
                <w:rFonts w:cs="Arial"/>
                <w:sz w:val="20"/>
                <w:szCs w:val="20"/>
              </w:rPr>
              <w:t>from the ‘Commercial Case’ section)</w:t>
            </w:r>
          </w:p>
        </w:tc>
        <w:tc>
          <w:tcPr>
            <w:tcW w:w="12048" w:type="dxa"/>
            <w:shd w:val="clear" w:color="auto" w:fill="auto"/>
          </w:tcPr>
          <w:p w:rsidR="007E7835" w:rsidRPr="006625D5" w:rsidRDefault="007E7835" w:rsidP="00A42A8F">
            <w:pPr>
              <w:autoSpaceDE w:val="0"/>
              <w:autoSpaceDN w:val="0"/>
              <w:adjustRightInd w:val="0"/>
              <w:rPr>
                <w:rFonts w:cs="Arial"/>
                <w:i/>
                <w:sz w:val="20"/>
                <w:szCs w:val="20"/>
                <w:u w:val="single"/>
              </w:rPr>
            </w:pPr>
            <w:r w:rsidRPr="006625D5">
              <w:rPr>
                <w:rFonts w:cs="Arial"/>
                <w:i/>
                <w:sz w:val="20"/>
                <w:szCs w:val="20"/>
                <w:u w:val="single"/>
              </w:rPr>
              <w:t xml:space="preserve">Proposals must be assessed against the </w:t>
            </w:r>
            <w:r>
              <w:rPr>
                <w:rFonts w:cs="Arial"/>
                <w:i/>
                <w:sz w:val="20"/>
                <w:szCs w:val="20"/>
                <w:u w:val="single"/>
              </w:rPr>
              <w:t xml:space="preserve">commercial viability </w:t>
            </w:r>
            <w:r w:rsidRPr="006625D5">
              <w:rPr>
                <w:rFonts w:cs="Arial"/>
                <w:i/>
                <w:sz w:val="20"/>
                <w:szCs w:val="20"/>
                <w:u w:val="single"/>
              </w:rPr>
              <w:t>of both the launch vehicle and the spaceport</w:t>
            </w:r>
            <w:r>
              <w:rPr>
                <w:rFonts w:cs="Arial"/>
                <w:i/>
                <w:sz w:val="20"/>
                <w:szCs w:val="20"/>
                <w:u w:val="single"/>
              </w:rPr>
              <w:t xml:space="preserve"> to start and maintain operations in the UK</w:t>
            </w:r>
            <w:r w:rsidRPr="006625D5">
              <w:rPr>
                <w:rFonts w:cs="Arial"/>
                <w:i/>
                <w:sz w:val="20"/>
                <w:szCs w:val="20"/>
                <w:u w:val="single"/>
              </w:rPr>
              <w:t>.</w:t>
            </w:r>
            <w:r w:rsidRPr="00E317F3">
              <w:rPr>
                <w:rFonts w:cs="Arial"/>
                <w:i/>
                <w:sz w:val="20"/>
                <w:szCs w:val="20"/>
              </w:rPr>
              <w:t xml:space="preserve">  </w:t>
            </w:r>
            <w:r w:rsidRPr="006625D5">
              <w:rPr>
                <w:rFonts w:cs="Arial"/>
                <w:i/>
                <w:sz w:val="20"/>
                <w:szCs w:val="20"/>
              </w:rPr>
              <w:t xml:space="preserve">The scoring should reflect your assessment of whether the proposed activity would generate the necessary revenue for both the spaceport and launch vehicle </w:t>
            </w:r>
            <w:r>
              <w:rPr>
                <w:rFonts w:cs="Arial"/>
                <w:i/>
                <w:sz w:val="20"/>
                <w:szCs w:val="20"/>
              </w:rPr>
              <w:t>operator</w:t>
            </w:r>
            <w:r>
              <w:rPr>
                <w:i/>
                <w:sz w:val="20"/>
                <w:szCs w:val="20"/>
              </w:rPr>
              <w:t xml:space="preserve"> to sustain a long term service provision.</w:t>
            </w:r>
          </w:p>
          <w:p w:rsidR="007E7835" w:rsidRDefault="007E7835" w:rsidP="00A42A8F">
            <w:pPr>
              <w:autoSpaceDE w:val="0"/>
              <w:autoSpaceDN w:val="0"/>
              <w:adjustRightInd w:val="0"/>
              <w:rPr>
                <w:rFonts w:cs="Arial"/>
                <w:i/>
                <w:sz w:val="20"/>
                <w:szCs w:val="20"/>
              </w:rPr>
            </w:pPr>
            <w:r>
              <w:rPr>
                <w:rFonts w:cs="Arial"/>
                <w:i/>
                <w:sz w:val="20"/>
                <w:szCs w:val="20"/>
              </w:rPr>
              <w:t xml:space="preserve">The </w:t>
            </w:r>
            <w:r w:rsidRPr="00E73E49">
              <w:rPr>
                <w:rFonts w:cs="Arial"/>
                <w:b/>
                <w:i/>
                <w:sz w:val="20"/>
                <w:szCs w:val="20"/>
              </w:rPr>
              <w:t>highest scoring</w:t>
            </w:r>
            <w:r>
              <w:rPr>
                <w:rFonts w:cs="Arial"/>
                <w:i/>
                <w:sz w:val="20"/>
                <w:szCs w:val="20"/>
              </w:rPr>
              <w:t xml:space="preserve"> projects will provide reliable evidence that they will sustain operations until 2030 based on detailed market research and a forensic examination of the likely revenues and costs involved in operating a spaceport and launch vehicle.  These projects will demonstrate a strong understanding of their competition and a compelling strategy to sustain a leading position in the market.  They will have launch customers already committed to using their services and a strong understanding of their business models. They will have a reasonable and evidence-based expectation of the amount of the wider market they aim to capture and will have taken practical steps towards doing so.  </w:t>
            </w:r>
          </w:p>
          <w:p w:rsidR="007E7835" w:rsidRDefault="007E7835" w:rsidP="00A42A8F">
            <w:pPr>
              <w:autoSpaceDE w:val="0"/>
              <w:autoSpaceDN w:val="0"/>
              <w:adjustRightInd w:val="0"/>
              <w:rPr>
                <w:rFonts w:cs="Arial"/>
                <w:i/>
                <w:sz w:val="20"/>
                <w:szCs w:val="20"/>
              </w:rPr>
            </w:pPr>
            <w:r w:rsidRPr="00714E14">
              <w:rPr>
                <w:rFonts w:cs="Arial"/>
                <w:b/>
                <w:i/>
                <w:sz w:val="20"/>
                <w:szCs w:val="20"/>
              </w:rPr>
              <w:t xml:space="preserve">Moderate </w:t>
            </w:r>
            <w:r>
              <w:rPr>
                <w:rFonts w:cs="Arial"/>
                <w:i/>
                <w:sz w:val="20"/>
                <w:szCs w:val="20"/>
              </w:rPr>
              <w:t>scoring projects</w:t>
            </w:r>
            <w:r w:rsidRPr="004B4820">
              <w:rPr>
                <w:rFonts w:cs="Arial"/>
                <w:i/>
                <w:sz w:val="20"/>
                <w:szCs w:val="20"/>
              </w:rPr>
              <w:t xml:space="preserve"> will </w:t>
            </w:r>
            <w:r>
              <w:rPr>
                <w:rFonts w:cs="Arial"/>
                <w:i/>
                <w:sz w:val="20"/>
                <w:szCs w:val="20"/>
              </w:rPr>
              <w:t xml:space="preserve">provide reliable evidence that they will sustain operations for several years, based on a good understanding the likely market for their services and a reasonable analysis of the likely revenues and costs involved in operating a spaceport and launch vehicle.  These projects will demonstrate a good understanding of their competition and what they should do to protect their position in the market.  They will have a good understanding of their customers’ likely identities and business models, a reasonable and evidence-based expectation of the amount of the market they aim to capture and a clear strategy for doing so.  </w:t>
            </w:r>
          </w:p>
          <w:p w:rsidR="007E7835" w:rsidRDefault="007E7835" w:rsidP="00A42A8F">
            <w:pPr>
              <w:autoSpaceDE w:val="0"/>
              <w:autoSpaceDN w:val="0"/>
              <w:adjustRightInd w:val="0"/>
              <w:rPr>
                <w:rFonts w:cs="Arial"/>
                <w:i/>
                <w:sz w:val="20"/>
                <w:szCs w:val="20"/>
              </w:rPr>
            </w:pPr>
            <w:r w:rsidRPr="00714E14">
              <w:rPr>
                <w:rFonts w:cs="Arial"/>
                <w:b/>
                <w:i/>
                <w:sz w:val="20"/>
                <w:szCs w:val="20"/>
              </w:rPr>
              <w:t>Low scoring</w:t>
            </w:r>
            <w:r>
              <w:rPr>
                <w:rFonts w:cs="Arial"/>
                <w:i/>
                <w:sz w:val="20"/>
                <w:szCs w:val="20"/>
              </w:rPr>
              <w:t xml:space="preserve"> projects will be based on assumptions of the market for their services that are not supported by reliable evidence, or only look to the immediate future.  They will provide limited consideration of some of their likely revenues and costs and may use assumptions that do not withstand challenge.  They will demonstrate a limited understanding of their competition or what they should do to protect their position in the market.  They will have a limited understanding of their customers’ likely identities and business models, or may make unreasonable expectations about how much of the market they might serve. </w:t>
            </w:r>
          </w:p>
          <w:p w:rsidR="007E7835" w:rsidRDefault="007E7835" w:rsidP="00A42A8F">
            <w:pPr>
              <w:autoSpaceDE w:val="0"/>
              <w:autoSpaceDN w:val="0"/>
              <w:adjustRightInd w:val="0"/>
              <w:rPr>
                <w:rFonts w:cs="Arial"/>
                <w:i/>
                <w:sz w:val="20"/>
                <w:szCs w:val="20"/>
              </w:rPr>
            </w:pPr>
          </w:p>
        </w:tc>
      </w:tr>
      <w:tr w:rsidR="007E7835" w:rsidRPr="00E35FED" w:rsidTr="00A42A8F">
        <w:trPr>
          <w:trHeight w:val="1717"/>
        </w:trPr>
        <w:tc>
          <w:tcPr>
            <w:tcW w:w="2235" w:type="dxa"/>
            <w:shd w:val="clear" w:color="auto" w:fill="auto"/>
          </w:tcPr>
          <w:p w:rsidR="007E7835" w:rsidRDefault="007E7835" w:rsidP="00A42A8F">
            <w:pPr>
              <w:autoSpaceDE w:val="0"/>
              <w:autoSpaceDN w:val="0"/>
              <w:adjustRightInd w:val="0"/>
              <w:rPr>
                <w:rFonts w:cs="Arial"/>
                <w:b/>
                <w:sz w:val="20"/>
                <w:szCs w:val="20"/>
              </w:rPr>
            </w:pPr>
            <w:r w:rsidRPr="003357EA">
              <w:rPr>
                <w:rFonts w:cs="Arial"/>
                <w:b/>
                <w:sz w:val="20"/>
                <w:szCs w:val="20"/>
              </w:rPr>
              <w:t xml:space="preserve">3. </w:t>
            </w:r>
            <w:r w:rsidR="00135C91">
              <w:rPr>
                <w:rFonts w:cs="Arial"/>
                <w:b/>
                <w:sz w:val="20"/>
                <w:szCs w:val="20"/>
              </w:rPr>
              <w:t>B</w:t>
            </w:r>
            <w:r w:rsidRPr="003357EA">
              <w:rPr>
                <w:rFonts w:cs="Arial"/>
                <w:b/>
                <w:sz w:val="20"/>
                <w:szCs w:val="20"/>
              </w:rPr>
              <w:t>enefit to the UK.</w:t>
            </w:r>
          </w:p>
          <w:p w:rsidR="007E7835" w:rsidRPr="003357EA" w:rsidRDefault="007E7835" w:rsidP="00A42A8F">
            <w:pPr>
              <w:autoSpaceDE w:val="0"/>
              <w:autoSpaceDN w:val="0"/>
              <w:adjustRightInd w:val="0"/>
              <w:rPr>
                <w:rFonts w:cs="Arial"/>
                <w:b/>
                <w:sz w:val="20"/>
                <w:szCs w:val="20"/>
              </w:rPr>
            </w:pPr>
            <w:r>
              <w:rPr>
                <w:rFonts w:cs="Arial"/>
                <w:sz w:val="20"/>
                <w:szCs w:val="20"/>
              </w:rPr>
              <w:t xml:space="preserve">(Information for this criteria will be </w:t>
            </w:r>
            <w:r w:rsidRPr="00B42DD0">
              <w:rPr>
                <w:rFonts w:cs="Arial"/>
                <w:sz w:val="20"/>
                <w:szCs w:val="20"/>
              </w:rPr>
              <w:t xml:space="preserve">drawn </w:t>
            </w:r>
            <w:r>
              <w:rPr>
                <w:rFonts w:cs="Arial"/>
                <w:sz w:val="20"/>
                <w:szCs w:val="20"/>
              </w:rPr>
              <w:t xml:space="preserve">primarily </w:t>
            </w:r>
            <w:r w:rsidRPr="00B42DD0">
              <w:rPr>
                <w:rFonts w:cs="Arial"/>
                <w:sz w:val="20"/>
                <w:szCs w:val="20"/>
              </w:rPr>
              <w:t xml:space="preserve">from the </w:t>
            </w:r>
            <w:r w:rsidRPr="003357EA">
              <w:rPr>
                <w:rFonts w:cs="Arial"/>
                <w:sz w:val="20"/>
                <w:szCs w:val="20"/>
              </w:rPr>
              <w:t>‘UK benefits’ or ‘Financial and management information’ sections</w:t>
            </w:r>
            <w:r w:rsidRPr="00B42DD0">
              <w:rPr>
                <w:rFonts w:cs="Arial"/>
                <w:sz w:val="20"/>
                <w:szCs w:val="20"/>
              </w:rPr>
              <w:t>)</w:t>
            </w:r>
          </w:p>
        </w:tc>
        <w:tc>
          <w:tcPr>
            <w:tcW w:w="12048" w:type="dxa"/>
            <w:shd w:val="clear" w:color="auto" w:fill="auto"/>
          </w:tcPr>
          <w:p w:rsidR="007E7835" w:rsidRDefault="007E7835" w:rsidP="00A42A8F">
            <w:pPr>
              <w:autoSpaceDE w:val="0"/>
              <w:autoSpaceDN w:val="0"/>
              <w:adjustRightInd w:val="0"/>
              <w:rPr>
                <w:rFonts w:cs="Arial"/>
                <w:i/>
                <w:sz w:val="20"/>
                <w:szCs w:val="20"/>
              </w:rPr>
            </w:pPr>
            <w:r w:rsidRPr="00C53FA3">
              <w:rPr>
                <w:rFonts w:cs="Arial"/>
                <w:i/>
                <w:sz w:val="20"/>
                <w:szCs w:val="20"/>
              </w:rPr>
              <w:t>All projects will need to demonstrate that the</w:t>
            </w:r>
            <w:r>
              <w:rPr>
                <w:rFonts w:cs="Arial"/>
                <w:i/>
                <w:sz w:val="20"/>
                <w:szCs w:val="20"/>
              </w:rPr>
              <w:t xml:space="preserve"> investment sought from the UK Government</w:t>
            </w:r>
            <w:r w:rsidRPr="00C53FA3">
              <w:rPr>
                <w:rFonts w:cs="Arial"/>
                <w:i/>
                <w:sz w:val="20"/>
                <w:szCs w:val="20"/>
              </w:rPr>
              <w:t xml:space="preserve"> </w:t>
            </w:r>
            <w:r w:rsidR="002A71DE" w:rsidRPr="00C53FA3">
              <w:rPr>
                <w:rFonts w:cs="Arial"/>
                <w:i/>
                <w:sz w:val="20"/>
                <w:szCs w:val="20"/>
              </w:rPr>
              <w:t>represent</w:t>
            </w:r>
            <w:r w:rsidR="002A71DE">
              <w:rPr>
                <w:rFonts w:cs="Arial"/>
                <w:i/>
                <w:sz w:val="20"/>
                <w:szCs w:val="20"/>
              </w:rPr>
              <w:t>s</w:t>
            </w:r>
            <w:r w:rsidR="002A71DE" w:rsidRPr="00C53FA3">
              <w:rPr>
                <w:rFonts w:cs="Arial"/>
                <w:i/>
                <w:sz w:val="20"/>
                <w:szCs w:val="20"/>
              </w:rPr>
              <w:t xml:space="preserve"> </w:t>
            </w:r>
            <w:r w:rsidR="002A71DE">
              <w:rPr>
                <w:rFonts w:cs="Arial"/>
                <w:i/>
                <w:sz w:val="20"/>
                <w:szCs w:val="20"/>
              </w:rPr>
              <w:t xml:space="preserve">clear </w:t>
            </w:r>
            <w:r w:rsidR="002A71DE" w:rsidRPr="00C53FA3">
              <w:rPr>
                <w:rFonts w:cs="Arial"/>
                <w:i/>
                <w:sz w:val="20"/>
                <w:szCs w:val="20"/>
              </w:rPr>
              <w:t xml:space="preserve">value </w:t>
            </w:r>
            <w:r w:rsidR="002A71DE">
              <w:rPr>
                <w:rFonts w:cs="Arial"/>
                <w:i/>
                <w:sz w:val="20"/>
                <w:szCs w:val="20"/>
              </w:rPr>
              <w:t xml:space="preserve">for the UK </w:t>
            </w:r>
            <w:proofErr w:type="gramStart"/>
            <w:r w:rsidR="002A71DE">
              <w:rPr>
                <w:rFonts w:cs="Arial"/>
                <w:i/>
                <w:sz w:val="20"/>
                <w:szCs w:val="20"/>
              </w:rPr>
              <w:t>public ,</w:t>
            </w:r>
            <w:proofErr w:type="gramEnd"/>
            <w:r w:rsidR="002A71DE">
              <w:rPr>
                <w:rFonts w:cs="Arial"/>
                <w:i/>
                <w:sz w:val="20"/>
                <w:szCs w:val="20"/>
              </w:rPr>
              <w:t xml:space="preserve"> through </w:t>
            </w:r>
            <w:r w:rsidRPr="00C53FA3">
              <w:rPr>
                <w:rFonts w:cs="Arial"/>
                <w:i/>
                <w:sz w:val="20"/>
                <w:szCs w:val="20"/>
              </w:rPr>
              <w:t xml:space="preserve">measurable </w:t>
            </w:r>
            <w:r>
              <w:rPr>
                <w:rFonts w:cs="Arial"/>
                <w:i/>
                <w:sz w:val="20"/>
                <w:szCs w:val="20"/>
              </w:rPr>
              <w:t xml:space="preserve">benefits for </w:t>
            </w:r>
            <w:r w:rsidRPr="00C53FA3">
              <w:rPr>
                <w:rFonts w:cs="Arial"/>
                <w:i/>
                <w:sz w:val="20"/>
                <w:szCs w:val="20"/>
              </w:rPr>
              <w:t xml:space="preserve">the UK economy. </w:t>
            </w:r>
          </w:p>
          <w:p w:rsidR="007E7835" w:rsidRDefault="007E7835" w:rsidP="00A42A8F">
            <w:pPr>
              <w:autoSpaceDE w:val="0"/>
              <w:autoSpaceDN w:val="0"/>
              <w:adjustRightInd w:val="0"/>
              <w:rPr>
                <w:rFonts w:cs="Arial"/>
                <w:i/>
                <w:sz w:val="20"/>
                <w:szCs w:val="20"/>
              </w:rPr>
            </w:pPr>
            <w:r>
              <w:rPr>
                <w:rFonts w:cs="Arial"/>
                <w:b/>
                <w:i/>
                <w:sz w:val="20"/>
                <w:szCs w:val="20"/>
              </w:rPr>
              <w:t>The h</w:t>
            </w:r>
            <w:r w:rsidRPr="00A631AC">
              <w:rPr>
                <w:rFonts w:cs="Arial"/>
                <w:b/>
                <w:i/>
                <w:sz w:val="20"/>
                <w:szCs w:val="20"/>
              </w:rPr>
              <w:t>igh</w:t>
            </w:r>
            <w:r>
              <w:rPr>
                <w:rFonts w:cs="Arial"/>
                <w:b/>
                <w:i/>
                <w:sz w:val="20"/>
                <w:szCs w:val="20"/>
              </w:rPr>
              <w:t>est</w:t>
            </w:r>
            <w:r w:rsidRPr="00A631AC">
              <w:rPr>
                <w:rFonts w:cs="Arial"/>
                <w:b/>
                <w:i/>
                <w:sz w:val="20"/>
                <w:szCs w:val="20"/>
              </w:rPr>
              <w:t xml:space="preserve"> scoring</w:t>
            </w:r>
            <w:r w:rsidRPr="00C53FA3">
              <w:rPr>
                <w:rFonts w:cs="Arial"/>
                <w:i/>
                <w:sz w:val="20"/>
                <w:szCs w:val="20"/>
              </w:rPr>
              <w:t xml:space="preserve"> projects will </w:t>
            </w:r>
            <w:r>
              <w:rPr>
                <w:rFonts w:cs="Arial"/>
                <w:i/>
                <w:sz w:val="20"/>
                <w:szCs w:val="20"/>
              </w:rPr>
              <w:t xml:space="preserve">provide detailed evidence of the major benefits </w:t>
            </w:r>
            <w:r w:rsidR="00513B79">
              <w:rPr>
                <w:rFonts w:cs="Arial"/>
                <w:i/>
                <w:sz w:val="20"/>
                <w:szCs w:val="20"/>
              </w:rPr>
              <w:t xml:space="preserve">that the government funding would enable them to </w:t>
            </w:r>
            <w:r>
              <w:rPr>
                <w:rFonts w:cs="Arial"/>
                <w:i/>
                <w:sz w:val="20"/>
                <w:szCs w:val="20"/>
              </w:rPr>
              <w:t xml:space="preserve">provide to the UK economy. They </w:t>
            </w:r>
            <w:r w:rsidRPr="00C53FA3">
              <w:rPr>
                <w:rFonts w:cs="Arial"/>
                <w:i/>
                <w:sz w:val="20"/>
                <w:szCs w:val="20"/>
              </w:rPr>
              <w:t xml:space="preserve">will provide </w:t>
            </w:r>
            <w:r>
              <w:rPr>
                <w:rFonts w:cs="Arial"/>
                <w:i/>
                <w:sz w:val="20"/>
                <w:szCs w:val="20"/>
              </w:rPr>
              <w:t>a significant number of new UK-based employment and contract opportunities</w:t>
            </w:r>
            <w:r w:rsidRPr="00C53FA3">
              <w:rPr>
                <w:rFonts w:cs="Arial"/>
                <w:i/>
                <w:sz w:val="20"/>
                <w:szCs w:val="20"/>
              </w:rPr>
              <w:t xml:space="preserve">, spread </w:t>
            </w:r>
            <w:r>
              <w:rPr>
                <w:rFonts w:cs="Arial"/>
                <w:i/>
                <w:sz w:val="20"/>
                <w:szCs w:val="20"/>
              </w:rPr>
              <w:t>across a range of sectors along the end to end value chain for spaceport activitie</w:t>
            </w:r>
            <w:r w:rsidR="005318CB">
              <w:rPr>
                <w:rFonts w:cs="Arial"/>
                <w:i/>
                <w:sz w:val="20"/>
                <w:szCs w:val="20"/>
              </w:rPr>
              <w:t>s (including UK-based Research and Development activities)</w:t>
            </w:r>
            <w:r>
              <w:rPr>
                <w:rFonts w:cs="Arial"/>
                <w:i/>
                <w:sz w:val="20"/>
                <w:szCs w:val="20"/>
              </w:rPr>
              <w:t>, and in their totality lasting throughout the next decade (although some may be short term contracts).</w:t>
            </w:r>
            <w:r w:rsidR="00685BED">
              <w:rPr>
                <w:rFonts w:cs="Arial"/>
                <w:i/>
                <w:sz w:val="20"/>
                <w:szCs w:val="20"/>
              </w:rPr>
              <w:t xml:space="preserve">  The proposal will </w:t>
            </w:r>
            <w:r w:rsidR="00426152">
              <w:rPr>
                <w:rFonts w:cs="Arial"/>
                <w:i/>
                <w:sz w:val="20"/>
                <w:szCs w:val="20"/>
              </w:rPr>
              <w:t>rigorously identify a clear and</w:t>
            </w:r>
            <w:r w:rsidR="00685BED">
              <w:rPr>
                <w:rFonts w:cs="Arial"/>
                <w:i/>
                <w:sz w:val="20"/>
                <w:szCs w:val="20"/>
              </w:rPr>
              <w:t xml:space="preserve"> substantial </w:t>
            </w:r>
            <w:r w:rsidR="00426152">
              <w:rPr>
                <w:rFonts w:cs="Arial"/>
                <w:i/>
                <w:sz w:val="20"/>
                <w:szCs w:val="20"/>
              </w:rPr>
              <w:t xml:space="preserve">range of </w:t>
            </w:r>
            <w:proofErr w:type="spellStart"/>
            <w:r w:rsidR="00685BED">
              <w:rPr>
                <w:rFonts w:cs="Arial"/>
                <w:i/>
                <w:sz w:val="20"/>
                <w:szCs w:val="20"/>
              </w:rPr>
              <w:t>spillover</w:t>
            </w:r>
            <w:proofErr w:type="spellEnd"/>
            <w:r w:rsidR="00685BED">
              <w:rPr>
                <w:rFonts w:cs="Arial"/>
                <w:i/>
                <w:sz w:val="20"/>
                <w:szCs w:val="20"/>
              </w:rPr>
              <w:t xml:space="preserve"> benefits that will be created</w:t>
            </w:r>
            <w:r w:rsidR="00426152">
              <w:rPr>
                <w:rFonts w:cs="Arial"/>
                <w:i/>
                <w:sz w:val="20"/>
                <w:szCs w:val="20"/>
              </w:rPr>
              <w:t xml:space="preserve"> by their activity. </w:t>
            </w:r>
            <w:r>
              <w:rPr>
                <w:rFonts w:cs="Arial"/>
                <w:i/>
                <w:sz w:val="20"/>
                <w:szCs w:val="20"/>
              </w:rPr>
              <w:t xml:space="preserve">They will have identified specific companies that will be involved in the </w:t>
            </w:r>
            <w:r w:rsidRPr="00C53FA3">
              <w:rPr>
                <w:rFonts w:cs="Arial"/>
                <w:i/>
                <w:sz w:val="20"/>
                <w:szCs w:val="20"/>
              </w:rPr>
              <w:t>manufacturing, assembly or operation of a space vehicle</w:t>
            </w:r>
            <w:r>
              <w:rPr>
                <w:rFonts w:cs="Arial"/>
                <w:i/>
                <w:sz w:val="20"/>
                <w:szCs w:val="20"/>
              </w:rPr>
              <w:t xml:space="preserve"> launched from the UK. The costs of any activities proposed for grant funding will be justified</w:t>
            </w:r>
            <w:r w:rsidR="00591B7A">
              <w:rPr>
                <w:rFonts w:cs="Arial"/>
                <w:i/>
                <w:sz w:val="20"/>
                <w:szCs w:val="20"/>
              </w:rPr>
              <w:t xml:space="preserve"> </w:t>
            </w:r>
            <w:r>
              <w:rPr>
                <w:rFonts w:cs="Arial"/>
                <w:i/>
                <w:sz w:val="20"/>
                <w:szCs w:val="20"/>
              </w:rPr>
              <w:t>and strongly linked to outcomes and benefits.</w:t>
            </w:r>
          </w:p>
          <w:p w:rsidR="007E7835" w:rsidRDefault="007E7835" w:rsidP="00A42A8F">
            <w:pPr>
              <w:autoSpaceDE w:val="0"/>
              <w:autoSpaceDN w:val="0"/>
              <w:adjustRightInd w:val="0"/>
              <w:rPr>
                <w:rFonts w:cs="Arial"/>
                <w:i/>
                <w:sz w:val="20"/>
                <w:szCs w:val="20"/>
              </w:rPr>
            </w:pPr>
            <w:r w:rsidRPr="00711F50">
              <w:rPr>
                <w:rFonts w:cs="Arial"/>
                <w:b/>
                <w:i/>
                <w:sz w:val="20"/>
                <w:szCs w:val="20"/>
              </w:rPr>
              <w:t xml:space="preserve">Moderate scoring </w:t>
            </w:r>
            <w:r w:rsidRPr="00711F50">
              <w:rPr>
                <w:rFonts w:cs="Arial"/>
                <w:i/>
                <w:sz w:val="20"/>
                <w:szCs w:val="20"/>
              </w:rPr>
              <w:t xml:space="preserve">projects </w:t>
            </w:r>
            <w:r>
              <w:rPr>
                <w:rFonts w:cs="Arial"/>
                <w:i/>
                <w:sz w:val="20"/>
                <w:szCs w:val="20"/>
              </w:rPr>
              <w:t xml:space="preserve">will provide some evidence of the benefits </w:t>
            </w:r>
            <w:r w:rsidR="00513B79">
              <w:rPr>
                <w:rFonts w:cs="Arial"/>
                <w:i/>
                <w:sz w:val="20"/>
                <w:szCs w:val="20"/>
              </w:rPr>
              <w:t xml:space="preserve">that the government funding would enable them to </w:t>
            </w:r>
            <w:r>
              <w:rPr>
                <w:rFonts w:cs="Arial"/>
                <w:i/>
                <w:sz w:val="20"/>
                <w:szCs w:val="20"/>
              </w:rPr>
              <w:t xml:space="preserve">provide to the UK economy.  They will provide a substantial number of new employment and contract opportunities to UK firms primarily in the space sector, with </w:t>
            </w:r>
            <w:r>
              <w:rPr>
                <w:rFonts w:cs="Arial"/>
                <w:i/>
                <w:sz w:val="20"/>
                <w:szCs w:val="20"/>
              </w:rPr>
              <w:lastRenderedPageBreak/>
              <w:t>some consideration of the opportunities created in other sectors.</w:t>
            </w:r>
            <w:r w:rsidR="00426152">
              <w:rPr>
                <w:rFonts w:cs="Arial"/>
                <w:i/>
                <w:sz w:val="20"/>
                <w:szCs w:val="20"/>
              </w:rPr>
              <w:t xml:space="preserve">  Opportunities in other sectors are likely to lead to some </w:t>
            </w:r>
            <w:proofErr w:type="spellStart"/>
            <w:r w:rsidR="00426152">
              <w:rPr>
                <w:rFonts w:cs="Arial"/>
                <w:i/>
                <w:sz w:val="20"/>
                <w:szCs w:val="20"/>
              </w:rPr>
              <w:t>spillover</w:t>
            </w:r>
            <w:proofErr w:type="spellEnd"/>
            <w:r w:rsidR="00426152">
              <w:rPr>
                <w:rFonts w:cs="Arial"/>
                <w:i/>
                <w:sz w:val="20"/>
                <w:szCs w:val="20"/>
              </w:rPr>
              <w:t xml:space="preserve"> benefits, which will have been estimated in the proposal.</w:t>
            </w:r>
            <w:r>
              <w:rPr>
                <w:rFonts w:cs="Arial"/>
                <w:i/>
                <w:sz w:val="20"/>
                <w:szCs w:val="20"/>
              </w:rPr>
              <w:t xml:space="preserve">  There will be some lasting opportunities identified for UK suppliers, but further work will be needed to cement agreements for UK firms to be involved in the </w:t>
            </w:r>
            <w:r w:rsidRPr="00C53FA3">
              <w:rPr>
                <w:rFonts w:cs="Arial"/>
                <w:i/>
                <w:sz w:val="20"/>
                <w:szCs w:val="20"/>
              </w:rPr>
              <w:t>manufacturing, assembly or operation of a space vehicle</w:t>
            </w:r>
            <w:r>
              <w:rPr>
                <w:rFonts w:cs="Arial"/>
                <w:i/>
                <w:sz w:val="20"/>
                <w:szCs w:val="20"/>
              </w:rPr>
              <w:t xml:space="preserve"> launched from the UK.  Costs of any activities for grant funding will be reasonable, albeit with some potential for further savings, and can be linked to potential benefits.</w:t>
            </w:r>
            <w:r w:rsidR="007F7E91" w:rsidRPr="007F7E91">
              <w:rPr>
                <w:color w:val="1F497D"/>
              </w:rPr>
              <w:t xml:space="preserve"> </w:t>
            </w:r>
          </w:p>
          <w:p w:rsidR="007E7835" w:rsidRPr="00C53FA3" w:rsidRDefault="007E7835" w:rsidP="00A42A8F">
            <w:pPr>
              <w:autoSpaceDE w:val="0"/>
              <w:autoSpaceDN w:val="0"/>
              <w:adjustRightInd w:val="0"/>
              <w:rPr>
                <w:rFonts w:cs="Arial"/>
                <w:i/>
                <w:sz w:val="20"/>
                <w:szCs w:val="20"/>
              </w:rPr>
            </w:pPr>
            <w:r w:rsidRPr="00711F50">
              <w:rPr>
                <w:rFonts w:cs="Arial"/>
                <w:b/>
                <w:i/>
                <w:sz w:val="20"/>
                <w:szCs w:val="20"/>
              </w:rPr>
              <w:t xml:space="preserve">Low scoring </w:t>
            </w:r>
            <w:r w:rsidRPr="00711F50">
              <w:rPr>
                <w:rFonts w:cs="Arial"/>
                <w:i/>
                <w:sz w:val="20"/>
                <w:szCs w:val="20"/>
              </w:rPr>
              <w:t xml:space="preserve">projects </w:t>
            </w:r>
            <w:r>
              <w:rPr>
                <w:rFonts w:cs="Arial"/>
                <w:i/>
                <w:sz w:val="20"/>
                <w:szCs w:val="20"/>
              </w:rPr>
              <w:t xml:space="preserve">will only outline the benefits they expect </w:t>
            </w:r>
            <w:r w:rsidR="0048558A">
              <w:rPr>
                <w:rFonts w:cs="Arial"/>
                <w:i/>
                <w:sz w:val="20"/>
                <w:szCs w:val="20"/>
              </w:rPr>
              <w:t xml:space="preserve">that the government funding would enable them </w:t>
            </w:r>
            <w:r>
              <w:rPr>
                <w:rFonts w:cs="Arial"/>
                <w:i/>
                <w:sz w:val="20"/>
                <w:szCs w:val="20"/>
              </w:rPr>
              <w:t xml:space="preserve">to provide to the UK economy, or not consider their wider benefit at all.  Assumptions on the benefit they might create for the UK will not be supported by reliable evidence.  They will have little understanding of the potential UK supply chain, and have conducted only limited outreach (if any) to the UK space sector or other sectors.  </w:t>
            </w:r>
            <w:r w:rsidR="00426152">
              <w:rPr>
                <w:rFonts w:cs="Arial"/>
                <w:i/>
                <w:sz w:val="20"/>
                <w:szCs w:val="20"/>
              </w:rPr>
              <w:t xml:space="preserve">There will be little rigorous examination of the potential </w:t>
            </w:r>
            <w:proofErr w:type="spellStart"/>
            <w:r w:rsidR="00426152">
              <w:rPr>
                <w:rFonts w:cs="Arial"/>
                <w:i/>
                <w:sz w:val="20"/>
                <w:szCs w:val="20"/>
              </w:rPr>
              <w:t>spillover</w:t>
            </w:r>
            <w:proofErr w:type="spellEnd"/>
            <w:r w:rsidR="00426152">
              <w:rPr>
                <w:rFonts w:cs="Arial"/>
                <w:i/>
                <w:sz w:val="20"/>
                <w:szCs w:val="20"/>
              </w:rPr>
              <w:t xml:space="preserve"> benefits of the proposed </w:t>
            </w:r>
            <w:r w:rsidR="00C2307A">
              <w:rPr>
                <w:rFonts w:cs="Arial"/>
                <w:i/>
                <w:sz w:val="20"/>
                <w:szCs w:val="20"/>
              </w:rPr>
              <w:t>activit</w:t>
            </w:r>
            <w:r w:rsidR="00426152">
              <w:rPr>
                <w:rFonts w:cs="Arial"/>
                <w:i/>
                <w:sz w:val="20"/>
                <w:szCs w:val="20"/>
              </w:rPr>
              <w:t>y</w:t>
            </w:r>
            <w:r w:rsidR="00C2307A">
              <w:rPr>
                <w:rFonts w:cs="Arial"/>
                <w:i/>
                <w:sz w:val="20"/>
                <w:szCs w:val="20"/>
              </w:rPr>
              <w:t xml:space="preserve"> outside of the space sector.</w:t>
            </w:r>
            <w:r w:rsidR="00426152">
              <w:rPr>
                <w:rFonts w:cs="Arial"/>
                <w:i/>
                <w:sz w:val="20"/>
                <w:szCs w:val="20"/>
              </w:rPr>
              <w:t xml:space="preserve"> </w:t>
            </w:r>
            <w:r>
              <w:rPr>
                <w:rFonts w:cs="Arial"/>
                <w:i/>
                <w:sz w:val="20"/>
                <w:szCs w:val="20"/>
              </w:rPr>
              <w:t>Very few, if any, agreements will be in place for UK companies to be involved in their activities.  There will be little obvious link between benefits and costs for the activities that could be funded by the grant, and the costs themselves may seem unjustified or with scope for substantial further savings.</w:t>
            </w:r>
            <w:r w:rsidR="00426152">
              <w:rPr>
                <w:rFonts w:cs="Arial"/>
                <w:i/>
                <w:sz w:val="20"/>
                <w:szCs w:val="20"/>
              </w:rPr>
              <w:t xml:space="preserve"> </w:t>
            </w:r>
          </w:p>
          <w:p w:rsidR="007E7835" w:rsidRPr="00C53FA3" w:rsidRDefault="007E7835" w:rsidP="00A42A8F">
            <w:pPr>
              <w:pStyle w:val="ListParagraph"/>
              <w:autoSpaceDE w:val="0"/>
              <w:autoSpaceDN w:val="0"/>
              <w:adjustRightInd w:val="0"/>
              <w:rPr>
                <w:rFonts w:cs="Arial"/>
                <w:i/>
                <w:sz w:val="20"/>
                <w:szCs w:val="20"/>
              </w:rPr>
            </w:pPr>
          </w:p>
        </w:tc>
      </w:tr>
      <w:tr w:rsidR="007E7835" w:rsidRPr="00E35FED" w:rsidTr="00A42A8F">
        <w:trPr>
          <w:trHeight w:val="2189"/>
        </w:trPr>
        <w:tc>
          <w:tcPr>
            <w:tcW w:w="2235" w:type="dxa"/>
            <w:shd w:val="clear" w:color="auto" w:fill="auto"/>
          </w:tcPr>
          <w:p w:rsidR="007E7835" w:rsidRPr="009B2B51" w:rsidRDefault="007E7835" w:rsidP="00A42A8F">
            <w:pPr>
              <w:autoSpaceDE w:val="0"/>
              <w:autoSpaceDN w:val="0"/>
              <w:adjustRightInd w:val="0"/>
              <w:rPr>
                <w:rFonts w:cs="Arial"/>
                <w:b/>
                <w:sz w:val="20"/>
                <w:szCs w:val="20"/>
              </w:rPr>
            </w:pPr>
            <w:r w:rsidRPr="009B2B51">
              <w:rPr>
                <w:rFonts w:cs="Arial"/>
                <w:b/>
                <w:sz w:val="20"/>
                <w:szCs w:val="20"/>
              </w:rPr>
              <w:lastRenderedPageBreak/>
              <w:t>4. Sound management and planning</w:t>
            </w:r>
          </w:p>
          <w:p w:rsidR="007E7835" w:rsidRDefault="007E7835" w:rsidP="00A42A8F">
            <w:pPr>
              <w:autoSpaceDE w:val="0"/>
              <w:autoSpaceDN w:val="0"/>
              <w:adjustRightInd w:val="0"/>
              <w:rPr>
                <w:rFonts w:cs="Arial"/>
                <w:sz w:val="20"/>
                <w:szCs w:val="20"/>
              </w:rPr>
            </w:pPr>
          </w:p>
          <w:p w:rsidR="007E7835" w:rsidRPr="00EB02C0" w:rsidRDefault="007E7835" w:rsidP="00A42A8F">
            <w:pPr>
              <w:autoSpaceDE w:val="0"/>
              <w:autoSpaceDN w:val="0"/>
              <w:adjustRightInd w:val="0"/>
              <w:rPr>
                <w:rFonts w:cs="Arial"/>
                <w:sz w:val="28"/>
                <w:szCs w:val="28"/>
              </w:rPr>
            </w:pPr>
            <w:r>
              <w:rPr>
                <w:rFonts w:cs="Arial"/>
                <w:sz w:val="20"/>
                <w:szCs w:val="20"/>
              </w:rPr>
              <w:t xml:space="preserve">(Information for this criteria will be </w:t>
            </w:r>
            <w:r w:rsidRPr="00B42DD0">
              <w:rPr>
                <w:rFonts w:cs="Arial"/>
                <w:sz w:val="20"/>
                <w:szCs w:val="20"/>
              </w:rPr>
              <w:t xml:space="preserve">drawn </w:t>
            </w:r>
            <w:r>
              <w:rPr>
                <w:rFonts w:cs="Arial"/>
                <w:sz w:val="20"/>
                <w:szCs w:val="20"/>
              </w:rPr>
              <w:t xml:space="preserve">primarily </w:t>
            </w:r>
            <w:r w:rsidRPr="00B42DD0">
              <w:rPr>
                <w:rFonts w:cs="Arial"/>
                <w:sz w:val="20"/>
                <w:szCs w:val="20"/>
              </w:rPr>
              <w:t xml:space="preserve">from the </w:t>
            </w:r>
            <w:r>
              <w:rPr>
                <w:rFonts w:cs="Arial"/>
                <w:sz w:val="20"/>
                <w:szCs w:val="20"/>
              </w:rPr>
              <w:t>‘</w:t>
            </w:r>
            <w:r w:rsidRPr="003357EA">
              <w:rPr>
                <w:rFonts w:cs="Arial"/>
                <w:sz w:val="20"/>
                <w:szCs w:val="20"/>
              </w:rPr>
              <w:t>Company and organisation’ or ‘Financial and management information’ sections</w:t>
            </w:r>
            <w:r w:rsidRPr="00B42DD0">
              <w:rPr>
                <w:rFonts w:cs="Arial"/>
                <w:sz w:val="20"/>
                <w:szCs w:val="20"/>
              </w:rPr>
              <w:t>)</w:t>
            </w:r>
          </w:p>
        </w:tc>
        <w:tc>
          <w:tcPr>
            <w:tcW w:w="12048" w:type="dxa"/>
            <w:shd w:val="clear" w:color="auto" w:fill="auto"/>
          </w:tcPr>
          <w:p w:rsidR="007E7835" w:rsidRDefault="007E7835" w:rsidP="00A42A8F">
            <w:pPr>
              <w:autoSpaceDE w:val="0"/>
              <w:autoSpaceDN w:val="0"/>
              <w:adjustRightInd w:val="0"/>
              <w:spacing w:after="120"/>
              <w:rPr>
                <w:rFonts w:cs="Arial"/>
                <w:i/>
                <w:sz w:val="20"/>
                <w:szCs w:val="20"/>
              </w:rPr>
            </w:pPr>
            <w:r w:rsidRPr="00C53FA3">
              <w:rPr>
                <w:rFonts w:cs="Arial"/>
                <w:i/>
                <w:sz w:val="20"/>
                <w:szCs w:val="20"/>
              </w:rPr>
              <w:t xml:space="preserve">All projects will need to demonstrate that they have an effective structure in place for managing the administration of the grant requested, and demonstrate that they have a sound approach to planning </w:t>
            </w:r>
            <w:r>
              <w:rPr>
                <w:rFonts w:cs="Arial"/>
                <w:i/>
                <w:sz w:val="20"/>
                <w:szCs w:val="20"/>
              </w:rPr>
              <w:t>to achieve their programme aims on time and within budget</w:t>
            </w:r>
            <w:r w:rsidRPr="00C53FA3">
              <w:rPr>
                <w:rFonts w:cs="Arial"/>
                <w:i/>
                <w:sz w:val="20"/>
                <w:szCs w:val="20"/>
              </w:rPr>
              <w:t xml:space="preserve">. </w:t>
            </w:r>
          </w:p>
          <w:p w:rsidR="007E7835" w:rsidRPr="003654A8" w:rsidRDefault="007E7835" w:rsidP="00A42A8F">
            <w:pPr>
              <w:autoSpaceDE w:val="0"/>
              <w:autoSpaceDN w:val="0"/>
              <w:adjustRightInd w:val="0"/>
              <w:spacing w:after="120"/>
              <w:rPr>
                <w:rFonts w:cs="Arial"/>
                <w:b/>
                <w:i/>
                <w:sz w:val="20"/>
                <w:szCs w:val="20"/>
              </w:rPr>
            </w:pPr>
            <w:r>
              <w:rPr>
                <w:rFonts w:cs="Arial"/>
                <w:i/>
                <w:sz w:val="20"/>
                <w:szCs w:val="20"/>
              </w:rPr>
              <w:t xml:space="preserve">The </w:t>
            </w:r>
            <w:r>
              <w:rPr>
                <w:rFonts w:cs="Arial"/>
                <w:b/>
                <w:i/>
                <w:sz w:val="20"/>
                <w:szCs w:val="20"/>
              </w:rPr>
              <w:t xml:space="preserve">highest scoring </w:t>
            </w:r>
            <w:r>
              <w:rPr>
                <w:rFonts w:cs="Arial"/>
                <w:i/>
                <w:sz w:val="20"/>
                <w:szCs w:val="20"/>
              </w:rPr>
              <w:t xml:space="preserve">projects will demonstrate an approach to risk and programme management that is aligned with industry best practice. They demonstrate a comprehensive understanding of the third party approvals necessary for their vehicle and spaceport, and have taken practical steps towards securing these. </w:t>
            </w:r>
            <w:r>
              <w:rPr>
                <w:rFonts w:cs="Arial"/>
                <w:b/>
                <w:i/>
                <w:sz w:val="20"/>
                <w:szCs w:val="20"/>
              </w:rPr>
              <w:t xml:space="preserve"> </w:t>
            </w:r>
            <w:r w:rsidRPr="00AE59F6">
              <w:rPr>
                <w:rFonts w:cs="Arial"/>
                <w:i/>
                <w:sz w:val="20"/>
                <w:szCs w:val="20"/>
              </w:rPr>
              <w:t xml:space="preserve">A strong team will be identified and resourced </w:t>
            </w:r>
            <w:r>
              <w:rPr>
                <w:rFonts w:cs="Arial"/>
                <w:i/>
                <w:sz w:val="20"/>
                <w:szCs w:val="20"/>
              </w:rPr>
              <w:t xml:space="preserve">to enable the grant funding to be administered correctly.  </w:t>
            </w:r>
            <w:r w:rsidRPr="00C53FA3">
              <w:rPr>
                <w:rFonts w:cs="Arial"/>
                <w:i/>
                <w:sz w:val="20"/>
                <w:szCs w:val="20"/>
              </w:rPr>
              <w:t xml:space="preserve">Risks should be clearly identified </w:t>
            </w:r>
            <w:r>
              <w:rPr>
                <w:rFonts w:cs="Arial"/>
                <w:i/>
                <w:sz w:val="20"/>
                <w:szCs w:val="20"/>
              </w:rPr>
              <w:t xml:space="preserve">alongside </w:t>
            </w:r>
            <w:proofErr w:type="spellStart"/>
            <w:r>
              <w:rPr>
                <w:rFonts w:cs="Arial"/>
                <w:i/>
                <w:sz w:val="20"/>
                <w:szCs w:val="20"/>
              </w:rPr>
              <w:t>costed</w:t>
            </w:r>
            <w:proofErr w:type="spellEnd"/>
            <w:r>
              <w:rPr>
                <w:rFonts w:cs="Arial"/>
                <w:i/>
                <w:sz w:val="20"/>
                <w:szCs w:val="20"/>
              </w:rPr>
              <w:t xml:space="preserve"> and detailed mitigations, </w:t>
            </w:r>
            <w:r w:rsidRPr="00C53FA3">
              <w:rPr>
                <w:rFonts w:cs="Arial"/>
                <w:i/>
                <w:sz w:val="20"/>
                <w:szCs w:val="20"/>
              </w:rPr>
              <w:t>providing a clear picture of the practicality and viability of the proposal.</w:t>
            </w:r>
            <w:r>
              <w:rPr>
                <w:rFonts w:cs="Arial"/>
                <w:i/>
                <w:sz w:val="20"/>
                <w:szCs w:val="20"/>
              </w:rPr>
              <w:t xml:space="preserve"> </w:t>
            </w:r>
          </w:p>
          <w:p w:rsidR="007E7835" w:rsidRPr="00C53FA3" w:rsidRDefault="007E7835" w:rsidP="00A42A8F">
            <w:pPr>
              <w:autoSpaceDE w:val="0"/>
              <w:autoSpaceDN w:val="0"/>
              <w:adjustRightInd w:val="0"/>
              <w:spacing w:after="120"/>
              <w:rPr>
                <w:rFonts w:cs="Arial"/>
                <w:i/>
                <w:sz w:val="20"/>
                <w:szCs w:val="20"/>
              </w:rPr>
            </w:pPr>
            <w:r>
              <w:rPr>
                <w:rFonts w:cs="Arial"/>
                <w:b/>
                <w:i/>
                <w:sz w:val="20"/>
                <w:szCs w:val="20"/>
              </w:rPr>
              <w:t>Moderate</w:t>
            </w:r>
            <w:r w:rsidRPr="003654A8">
              <w:rPr>
                <w:rFonts w:cs="Arial"/>
                <w:b/>
                <w:i/>
                <w:sz w:val="20"/>
                <w:szCs w:val="20"/>
              </w:rPr>
              <w:t xml:space="preserve"> scoring</w:t>
            </w:r>
            <w:r w:rsidRPr="00C53FA3">
              <w:rPr>
                <w:rFonts w:cs="Arial"/>
                <w:i/>
                <w:sz w:val="20"/>
                <w:szCs w:val="20"/>
              </w:rPr>
              <w:t xml:space="preserve"> projects will show a mature approach to risk and programme management, with a number of processes identified and resourced appropriately.  </w:t>
            </w:r>
            <w:r>
              <w:rPr>
                <w:rFonts w:cs="Arial"/>
                <w:i/>
                <w:sz w:val="20"/>
                <w:szCs w:val="20"/>
              </w:rPr>
              <w:t>A number of key r</w:t>
            </w:r>
            <w:r w:rsidRPr="00C53FA3">
              <w:rPr>
                <w:rFonts w:cs="Arial"/>
                <w:i/>
                <w:sz w:val="20"/>
                <w:szCs w:val="20"/>
              </w:rPr>
              <w:t>isks should be identified</w:t>
            </w:r>
            <w:r>
              <w:rPr>
                <w:rFonts w:cs="Arial"/>
                <w:i/>
                <w:sz w:val="20"/>
                <w:szCs w:val="20"/>
              </w:rPr>
              <w:t xml:space="preserve"> alongside potential mitigations that will provide an emerging </w:t>
            </w:r>
            <w:r w:rsidRPr="00C53FA3">
              <w:rPr>
                <w:rFonts w:cs="Arial"/>
                <w:i/>
                <w:sz w:val="20"/>
                <w:szCs w:val="20"/>
              </w:rPr>
              <w:t>picture of the practicality and viability of the proposal.</w:t>
            </w:r>
            <w:r>
              <w:rPr>
                <w:rFonts w:cs="Arial"/>
                <w:i/>
                <w:sz w:val="20"/>
                <w:szCs w:val="20"/>
              </w:rPr>
              <w:t xml:space="preserve"> They will demonstrate an understanding of their programme dependencies, including the third party approvals necessary for their vehicle and spaceport, and a clear and achievable plan to secure these.</w:t>
            </w:r>
          </w:p>
          <w:p w:rsidR="007E7835" w:rsidRPr="00C53FA3" w:rsidRDefault="007E7835" w:rsidP="00A42A8F">
            <w:pPr>
              <w:autoSpaceDE w:val="0"/>
              <w:autoSpaceDN w:val="0"/>
              <w:adjustRightInd w:val="0"/>
              <w:spacing w:after="120"/>
              <w:rPr>
                <w:rFonts w:cs="Arial"/>
                <w:i/>
                <w:sz w:val="20"/>
                <w:szCs w:val="20"/>
              </w:rPr>
            </w:pPr>
            <w:r w:rsidRPr="003654A8">
              <w:rPr>
                <w:rFonts w:cs="Arial"/>
                <w:b/>
                <w:i/>
                <w:sz w:val="20"/>
                <w:szCs w:val="20"/>
              </w:rPr>
              <w:t>Low scoring</w:t>
            </w:r>
            <w:r w:rsidRPr="00C53FA3">
              <w:rPr>
                <w:rFonts w:cs="Arial"/>
                <w:i/>
                <w:sz w:val="20"/>
                <w:szCs w:val="20"/>
              </w:rPr>
              <w:t xml:space="preserve"> projects will demonstrate only a limited grasp of the management needed to successfully launch to space from the UK.  These projects will not have adequate processes in place to identify and manage any risks that may arise, leading to a lack of confidence that they would succeed.</w:t>
            </w:r>
            <w:r>
              <w:rPr>
                <w:rFonts w:cs="Arial"/>
                <w:i/>
                <w:sz w:val="20"/>
                <w:szCs w:val="20"/>
              </w:rPr>
              <w:t xml:space="preserve">  They demonstrate a limited understanding of the third party approvals necessary for their vehicle and spaceport before they commence commercial operations.</w:t>
            </w:r>
          </w:p>
          <w:p w:rsidR="007E7835" w:rsidRPr="00C53FA3" w:rsidRDefault="007E7835" w:rsidP="00A42A8F">
            <w:pPr>
              <w:autoSpaceDE w:val="0"/>
              <w:autoSpaceDN w:val="0"/>
              <w:adjustRightInd w:val="0"/>
              <w:spacing w:after="120"/>
              <w:rPr>
                <w:rFonts w:cs="Arial"/>
                <w:i/>
                <w:sz w:val="20"/>
                <w:szCs w:val="20"/>
              </w:rPr>
            </w:pPr>
          </w:p>
        </w:tc>
      </w:tr>
      <w:tr w:rsidR="007E7835" w:rsidRPr="00E35FED" w:rsidTr="00A42A8F">
        <w:tc>
          <w:tcPr>
            <w:tcW w:w="2235" w:type="dxa"/>
            <w:shd w:val="clear" w:color="auto" w:fill="auto"/>
          </w:tcPr>
          <w:p w:rsidR="007E7835" w:rsidRPr="009B2B51" w:rsidRDefault="007E7835" w:rsidP="00A42A8F">
            <w:pPr>
              <w:autoSpaceDE w:val="0"/>
              <w:autoSpaceDN w:val="0"/>
              <w:adjustRightInd w:val="0"/>
              <w:rPr>
                <w:rFonts w:cs="Arial"/>
                <w:b/>
                <w:sz w:val="20"/>
                <w:szCs w:val="20"/>
              </w:rPr>
            </w:pPr>
            <w:r w:rsidRPr="009B2B51">
              <w:rPr>
                <w:rFonts w:cs="Arial"/>
                <w:b/>
                <w:sz w:val="20"/>
                <w:szCs w:val="20"/>
              </w:rPr>
              <w:t xml:space="preserve">5. Financial viability of the organisations involved and their commitment to the </w:t>
            </w:r>
            <w:r w:rsidRPr="009B2B51">
              <w:rPr>
                <w:rFonts w:cs="Arial"/>
                <w:b/>
                <w:sz w:val="20"/>
                <w:szCs w:val="20"/>
              </w:rPr>
              <w:lastRenderedPageBreak/>
              <w:t>success of the project</w:t>
            </w:r>
          </w:p>
          <w:p w:rsidR="007E7835" w:rsidRDefault="007E7835" w:rsidP="00A42A8F">
            <w:pPr>
              <w:autoSpaceDE w:val="0"/>
              <w:autoSpaceDN w:val="0"/>
              <w:adjustRightInd w:val="0"/>
              <w:rPr>
                <w:rFonts w:cs="Arial"/>
                <w:sz w:val="20"/>
                <w:szCs w:val="20"/>
              </w:rPr>
            </w:pPr>
          </w:p>
          <w:p w:rsidR="007E7835" w:rsidRPr="00E35FED" w:rsidRDefault="007E7835" w:rsidP="00A42A8F">
            <w:pPr>
              <w:autoSpaceDE w:val="0"/>
              <w:autoSpaceDN w:val="0"/>
              <w:adjustRightInd w:val="0"/>
              <w:rPr>
                <w:rFonts w:cs="Arial"/>
                <w:sz w:val="20"/>
                <w:szCs w:val="20"/>
              </w:rPr>
            </w:pPr>
            <w:r>
              <w:rPr>
                <w:rFonts w:cs="Arial"/>
                <w:sz w:val="20"/>
                <w:szCs w:val="20"/>
              </w:rPr>
              <w:t xml:space="preserve">(Information for this criteria will be </w:t>
            </w:r>
            <w:r w:rsidRPr="00B42DD0">
              <w:rPr>
                <w:rFonts w:cs="Arial"/>
                <w:sz w:val="20"/>
                <w:szCs w:val="20"/>
              </w:rPr>
              <w:t xml:space="preserve">drawn </w:t>
            </w:r>
            <w:r>
              <w:rPr>
                <w:rFonts w:cs="Arial"/>
                <w:sz w:val="20"/>
                <w:szCs w:val="20"/>
              </w:rPr>
              <w:t xml:space="preserve">primarily </w:t>
            </w:r>
            <w:r w:rsidRPr="00B42DD0">
              <w:rPr>
                <w:rFonts w:cs="Arial"/>
                <w:sz w:val="20"/>
                <w:szCs w:val="20"/>
              </w:rPr>
              <w:t xml:space="preserve">from the </w:t>
            </w:r>
            <w:r>
              <w:rPr>
                <w:rFonts w:cs="Arial"/>
                <w:sz w:val="20"/>
                <w:szCs w:val="20"/>
              </w:rPr>
              <w:t>‘</w:t>
            </w:r>
            <w:r w:rsidRPr="003357EA">
              <w:rPr>
                <w:rFonts w:cs="Arial"/>
                <w:sz w:val="20"/>
                <w:szCs w:val="20"/>
              </w:rPr>
              <w:t>Company and organisation’ or ‘Financial and management information’ sections</w:t>
            </w:r>
            <w:r w:rsidRPr="00B42DD0">
              <w:rPr>
                <w:rFonts w:cs="Arial"/>
                <w:sz w:val="20"/>
                <w:szCs w:val="20"/>
              </w:rPr>
              <w:t>)</w:t>
            </w:r>
          </w:p>
        </w:tc>
        <w:tc>
          <w:tcPr>
            <w:tcW w:w="12048" w:type="dxa"/>
            <w:shd w:val="clear" w:color="auto" w:fill="auto"/>
          </w:tcPr>
          <w:p w:rsidR="00E635FB" w:rsidRDefault="00E635FB" w:rsidP="00A42A8F">
            <w:pPr>
              <w:autoSpaceDE w:val="0"/>
              <w:autoSpaceDN w:val="0"/>
              <w:adjustRightInd w:val="0"/>
              <w:spacing w:after="120"/>
              <w:rPr>
                <w:rFonts w:cs="Arial"/>
                <w:i/>
                <w:sz w:val="20"/>
                <w:szCs w:val="20"/>
              </w:rPr>
            </w:pPr>
          </w:p>
          <w:p w:rsidR="00E635FB" w:rsidRPr="00090775" w:rsidRDefault="00E635FB" w:rsidP="00A42A8F">
            <w:pPr>
              <w:autoSpaceDE w:val="0"/>
              <w:autoSpaceDN w:val="0"/>
              <w:adjustRightInd w:val="0"/>
              <w:spacing w:after="120"/>
              <w:rPr>
                <w:rFonts w:cs="Arial"/>
                <w:b/>
                <w:i/>
                <w:sz w:val="20"/>
                <w:szCs w:val="20"/>
              </w:rPr>
            </w:pPr>
            <w:r w:rsidRPr="00090775">
              <w:rPr>
                <w:rFonts w:cs="Arial"/>
                <w:b/>
                <w:i/>
                <w:sz w:val="20"/>
                <w:szCs w:val="20"/>
              </w:rPr>
              <w:t>This is a Pass/Fail criterion</w:t>
            </w:r>
          </w:p>
          <w:p w:rsidR="00E635FB" w:rsidRDefault="00E635FB" w:rsidP="00A42A8F">
            <w:pPr>
              <w:autoSpaceDE w:val="0"/>
              <w:autoSpaceDN w:val="0"/>
              <w:adjustRightInd w:val="0"/>
              <w:spacing w:after="120"/>
              <w:rPr>
                <w:rFonts w:cs="Arial"/>
                <w:i/>
                <w:sz w:val="20"/>
                <w:szCs w:val="20"/>
              </w:rPr>
            </w:pPr>
          </w:p>
          <w:p w:rsidR="007E7835" w:rsidRDefault="00E635FB" w:rsidP="00A42A8F">
            <w:pPr>
              <w:autoSpaceDE w:val="0"/>
              <w:autoSpaceDN w:val="0"/>
              <w:adjustRightInd w:val="0"/>
              <w:spacing w:after="120"/>
              <w:rPr>
                <w:rFonts w:cs="Arial"/>
                <w:i/>
                <w:sz w:val="20"/>
                <w:szCs w:val="20"/>
              </w:rPr>
            </w:pPr>
            <w:r w:rsidRPr="00E635FB">
              <w:rPr>
                <w:rFonts w:cs="Arial"/>
                <w:b/>
                <w:i/>
                <w:sz w:val="20"/>
                <w:szCs w:val="20"/>
              </w:rPr>
              <w:t>Pass:</w:t>
            </w:r>
            <w:r>
              <w:rPr>
                <w:rFonts w:cs="Arial"/>
                <w:i/>
                <w:sz w:val="20"/>
                <w:szCs w:val="20"/>
              </w:rPr>
              <w:t xml:space="preserve"> Proposals will contain </w:t>
            </w:r>
            <w:r w:rsidR="00493588">
              <w:rPr>
                <w:rFonts w:cs="Arial"/>
                <w:i/>
                <w:sz w:val="20"/>
                <w:szCs w:val="20"/>
              </w:rPr>
              <w:t xml:space="preserve">clear evidence that </w:t>
            </w:r>
            <w:r w:rsidR="0048558A">
              <w:rPr>
                <w:rFonts w:cs="Arial"/>
                <w:i/>
                <w:sz w:val="20"/>
                <w:szCs w:val="20"/>
              </w:rPr>
              <w:t>– while they require government funding in order to deliver their plans – with that</w:t>
            </w:r>
            <w:r w:rsidR="000D6C1A">
              <w:rPr>
                <w:rFonts w:cs="Arial"/>
                <w:i/>
                <w:sz w:val="20"/>
                <w:szCs w:val="20"/>
              </w:rPr>
              <w:t xml:space="preserve"> in place</w:t>
            </w:r>
            <w:r w:rsidR="0048558A">
              <w:rPr>
                <w:rFonts w:cs="Arial"/>
                <w:i/>
                <w:sz w:val="20"/>
                <w:szCs w:val="20"/>
              </w:rPr>
              <w:t xml:space="preserve">, </w:t>
            </w:r>
            <w:r w:rsidR="00493588">
              <w:rPr>
                <w:rFonts w:cs="Arial"/>
                <w:i/>
                <w:sz w:val="20"/>
                <w:szCs w:val="20"/>
              </w:rPr>
              <w:t>the</w:t>
            </w:r>
            <w:r w:rsidR="00A47D0B">
              <w:rPr>
                <w:rFonts w:cs="Arial"/>
                <w:i/>
                <w:sz w:val="20"/>
                <w:szCs w:val="20"/>
              </w:rPr>
              <w:t xml:space="preserve">y </w:t>
            </w:r>
            <w:r w:rsidR="00A47D0B">
              <w:rPr>
                <w:rFonts w:cs="Arial"/>
                <w:i/>
                <w:sz w:val="20"/>
                <w:szCs w:val="20"/>
              </w:rPr>
              <w:lastRenderedPageBreak/>
              <w:t>possess the</w:t>
            </w:r>
            <w:r w:rsidR="00493588">
              <w:rPr>
                <w:rFonts w:cs="Arial"/>
                <w:i/>
                <w:sz w:val="20"/>
                <w:szCs w:val="20"/>
              </w:rPr>
              <w:t xml:space="preserve"> resources </w:t>
            </w:r>
            <w:r w:rsidR="00A47D0B">
              <w:rPr>
                <w:rFonts w:cs="Arial"/>
                <w:i/>
                <w:sz w:val="20"/>
                <w:szCs w:val="20"/>
              </w:rPr>
              <w:t xml:space="preserve">needed to deliver the proposed activity and withstand potential eventualities.  Substantial investment into the project will have been made already, or will be made following signing of the grant agreement.  </w:t>
            </w:r>
            <w:r>
              <w:rPr>
                <w:rFonts w:cs="Arial"/>
                <w:i/>
                <w:sz w:val="20"/>
                <w:szCs w:val="20"/>
              </w:rPr>
              <w:t xml:space="preserve">Local, national and international partners will all be prepared to invest resources to make the project a success.   The advisory panel will be confident that the partners are committed to achieving successful launches from the UK. The respective roles of the various partners will be clearly defined and cover </w:t>
            </w:r>
            <w:r w:rsidRPr="00EA7DBA">
              <w:rPr>
                <w:rFonts w:cs="Arial"/>
                <w:i/>
                <w:sz w:val="20"/>
                <w:szCs w:val="20"/>
              </w:rPr>
              <w:t xml:space="preserve">all aspects of the proposed project.  </w:t>
            </w:r>
            <w:r>
              <w:rPr>
                <w:rFonts w:cs="Arial"/>
                <w:i/>
                <w:sz w:val="20"/>
                <w:szCs w:val="20"/>
              </w:rPr>
              <w:t xml:space="preserve">A </w:t>
            </w:r>
            <w:r w:rsidRPr="00EA7DBA">
              <w:rPr>
                <w:rFonts w:cs="Arial"/>
                <w:i/>
                <w:sz w:val="20"/>
                <w:szCs w:val="20"/>
              </w:rPr>
              <w:t xml:space="preserve">clear collaboration agreement </w:t>
            </w:r>
            <w:r>
              <w:rPr>
                <w:rFonts w:cs="Arial"/>
                <w:i/>
                <w:sz w:val="20"/>
                <w:szCs w:val="20"/>
              </w:rPr>
              <w:t>between parties should already be in place, or be imminent upon signing the grant agreement. Clear detail will be provided on the</w:t>
            </w:r>
            <w:r w:rsidR="00AD1154">
              <w:rPr>
                <w:rFonts w:cs="Arial"/>
                <w:i/>
                <w:sz w:val="20"/>
                <w:szCs w:val="20"/>
              </w:rPr>
              <w:t xml:space="preserve"> </w:t>
            </w:r>
            <w:r w:rsidR="007E7835">
              <w:rPr>
                <w:rFonts w:cs="Arial"/>
                <w:i/>
                <w:sz w:val="20"/>
                <w:szCs w:val="20"/>
              </w:rPr>
              <w:t xml:space="preserve">ownership, expertise and respective roles </w:t>
            </w:r>
            <w:r>
              <w:rPr>
                <w:rFonts w:cs="Arial"/>
                <w:i/>
                <w:sz w:val="20"/>
                <w:szCs w:val="20"/>
              </w:rPr>
              <w:t>of all parties</w:t>
            </w:r>
            <w:r w:rsidR="007E7835">
              <w:rPr>
                <w:rFonts w:cs="Arial"/>
                <w:i/>
                <w:sz w:val="20"/>
                <w:szCs w:val="20"/>
              </w:rPr>
              <w:t xml:space="preserve">. </w:t>
            </w:r>
          </w:p>
          <w:p w:rsidR="00E635FB" w:rsidRDefault="00E635FB" w:rsidP="00A42A8F">
            <w:pPr>
              <w:autoSpaceDE w:val="0"/>
              <w:autoSpaceDN w:val="0"/>
              <w:adjustRightInd w:val="0"/>
              <w:spacing w:after="120"/>
              <w:rPr>
                <w:rFonts w:cs="Arial"/>
                <w:i/>
                <w:sz w:val="20"/>
                <w:szCs w:val="20"/>
              </w:rPr>
            </w:pPr>
          </w:p>
          <w:p w:rsidR="00E635FB" w:rsidRPr="00090775" w:rsidRDefault="00E635FB" w:rsidP="00A42A8F">
            <w:pPr>
              <w:autoSpaceDE w:val="0"/>
              <w:autoSpaceDN w:val="0"/>
              <w:adjustRightInd w:val="0"/>
              <w:spacing w:after="120"/>
              <w:rPr>
                <w:rFonts w:cs="Arial"/>
                <w:b/>
                <w:i/>
                <w:sz w:val="20"/>
                <w:szCs w:val="20"/>
              </w:rPr>
            </w:pPr>
            <w:r w:rsidRPr="00090775">
              <w:rPr>
                <w:rFonts w:cs="Arial"/>
                <w:b/>
                <w:i/>
                <w:sz w:val="20"/>
                <w:szCs w:val="20"/>
              </w:rPr>
              <w:t xml:space="preserve">Fail: </w:t>
            </w:r>
            <w:r w:rsidRPr="00090775">
              <w:rPr>
                <w:rFonts w:cs="Arial"/>
                <w:i/>
                <w:sz w:val="20"/>
                <w:szCs w:val="20"/>
              </w:rPr>
              <w:t xml:space="preserve">Proposals will not give confidence that </w:t>
            </w:r>
            <w:r w:rsidR="000D6C1A">
              <w:rPr>
                <w:rFonts w:cs="Arial"/>
                <w:i/>
                <w:sz w:val="20"/>
                <w:szCs w:val="20"/>
              </w:rPr>
              <w:t xml:space="preserve">there is a defined plan or rationale for government funding, or that with this funding </w:t>
            </w:r>
            <w:r w:rsidRPr="00090775">
              <w:rPr>
                <w:rFonts w:cs="Arial"/>
                <w:i/>
                <w:sz w:val="20"/>
                <w:szCs w:val="20"/>
              </w:rPr>
              <w:t xml:space="preserve">the required resources or investment </w:t>
            </w:r>
            <w:r w:rsidR="000D6C1A">
              <w:rPr>
                <w:rFonts w:cs="Arial"/>
                <w:i/>
                <w:sz w:val="20"/>
                <w:szCs w:val="20"/>
              </w:rPr>
              <w:t>are</w:t>
            </w:r>
            <w:r w:rsidRPr="00090775">
              <w:rPr>
                <w:rFonts w:cs="Arial"/>
                <w:i/>
                <w:sz w:val="20"/>
                <w:szCs w:val="20"/>
              </w:rPr>
              <w:t xml:space="preserve"> in place to deliver the activities listed in the proposal.  </w:t>
            </w:r>
            <w:r w:rsidR="00090775" w:rsidRPr="00090775">
              <w:rPr>
                <w:rFonts w:cs="Arial"/>
                <w:i/>
                <w:sz w:val="20"/>
                <w:szCs w:val="20"/>
              </w:rPr>
              <w:t>The parties have not identified sources to cover the full cost of development and operation of the spaceport and vehicle, or the panel are not confident that the sources identified will reliably cover all costs</w:t>
            </w:r>
            <w:r w:rsidR="00090775">
              <w:rPr>
                <w:rFonts w:cs="Arial"/>
                <w:i/>
                <w:sz w:val="20"/>
                <w:szCs w:val="20"/>
              </w:rPr>
              <w:t xml:space="preserve">. </w:t>
            </w:r>
            <w:r w:rsidR="00AD1154">
              <w:rPr>
                <w:rFonts w:cs="Arial"/>
                <w:i/>
                <w:sz w:val="20"/>
                <w:szCs w:val="20"/>
              </w:rPr>
              <w:t>An informal arrangement to the consortium may be in place, or a collaboration agreement has yet to be initiated.  Some roles and responsibilities will not yet be clearly defined between party members.</w:t>
            </w:r>
          </w:p>
          <w:p w:rsidR="007E7835" w:rsidRPr="0003041F" w:rsidRDefault="007E7835">
            <w:pPr>
              <w:autoSpaceDE w:val="0"/>
              <w:autoSpaceDN w:val="0"/>
              <w:adjustRightInd w:val="0"/>
              <w:spacing w:after="120"/>
              <w:rPr>
                <w:rFonts w:cs="Arial"/>
                <w:i/>
                <w:sz w:val="20"/>
                <w:szCs w:val="20"/>
              </w:rPr>
            </w:pPr>
          </w:p>
        </w:tc>
      </w:tr>
    </w:tbl>
    <w:p w:rsidR="007E7835" w:rsidRDefault="007E7835" w:rsidP="007E7835">
      <w:pPr>
        <w:jc w:val="center"/>
        <w:rPr>
          <w:b/>
          <w:sz w:val="36"/>
        </w:rPr>
      </w:pPr>
    </w:p>
    <w:p w:rsidR="007E7835" w:rsidRDefault="007E7835" w:rsidP="007E7835">
      <w:pPr>
        <w:spacing w:after="0" w:line="240" w:lineRule="auto"/>
        <w:rPr>
          <w:b/>
          <w:sz w:val="24"/>
        </w:rPr>
      </w:pPr>
      <w:r>
        <w:rPr>
          <w:b/>
          <w:sz w:val="24"/>
        </w:rPr>
        <w:br w:type="page"/>
      </w:r>
    </w:p>
    <w:p w:rsidR="007E7835" w:rsidRPr="00342560" w:rsidRDefault="007E7835" w:rsidP="007E7835">
      <w:pPr>
        <w:rPr>
          <w:b/>
          <w:sz w:val="24"/>
        </w:rPr>
      </w:pPr>
      <w:r>
        <w:rPr>
          <w:b/>
          <w:sz w:val="24"/>
        </w:rPr>
        <w:lastRenderedPageBreak/>
        <w:t xml:space="preserve">Scoring Guidance </w:t>
      </w:r>
    </w:p>
    <w:p w:rsidR="007E7835" w:rsidRDefault="007E7835" w:rsidP="007E7835">
      <w:pPr>
        <w:rPr>
          <w:sz w:val="24"/>
        </w:rPr>
      </w:pPr>
      <w:r>
        <w:rPr>
          <w:sz w:val="24"/>
        </w:rPr>
        <w:t xml:space="preserve">The proposals should be scored on the scale of 1 to 10 for each </w:t>
      </w:r>
      <w:proofErr w:type="gramStart"/>
      <w:r>
        <w:rPr>
          <w:sz w:val="24"/>
        </w:rPr>
        <w:t>criteria</w:t>
      </w:r>
      <w:proofErr w:type="gramEnd"/>
      <w:r>
        <w:rPr>
          <w:sz w:val="24"/>
        </w:rPr>
        <w:t xml:space="preserve"> using the table below as a guide to the scale.  </w:t>
      </w:r>
    </w:p>
    <w:tbl>
      <w:tblPr>
        <w:tblStyle w:val="TableGrid111"/>
        <w:tblW w:w="0" w:type="auto"/>
        <w:tblLook w:val="04A0" w:firstRow="1" w:lastRow="0" w:firstColumn="1" w:lastColumn="0" w:noHBand="0" w:noVBand="1"/>
      </w:tblPr>
      <w:tblGrid>
        <w:gridCol w:w="1256"/>
        <w:gridCol w:w="12602"/>
      </w:tblGrid>
      <w:tr w:rsidR="007E7835" w:rsidRPr="007E7835" w:rsidTr="00A42A8F">
        <w:tc>
          <w:tcPr>
            <w:tcW w:w="1256" w:type="dxa"/>
          </w:tcPr>
          <w:p w:rsidR="007E7835" w:rsidRPr="007E7835" w:rsidRDefault="007E7835" w:rsidP="007E7835">
            <w:pPr>
              <w:spacing w:after="0" w:line="240" w:lineRule="auto"/>
              <w:jc w:val="center"/>
              <w:rPr>
                <w:b/>
                <w:sz w:val="24"/>
                <w:szCs w:val="24"/>
                <w:lang w:eastAsia="en-US"/>
              </w:rPr>
            </w:pPr>
            <w:r w:rsidRPr="007E7835">
              <w:rPr>
                <w:b/>
                <w:sz w:val="24"/>
                <w:szCs w:val="24"/>
                <w:lang w:eastAsia="en-US"/>
              </w:rPr>
              <w:t>Score</w:t>
            </w:r>
          </w:p>
        </w:tc>
        <w:tc>
          <w:tcPr>
            <w:tcW w:w="12602" w:type="dxa"/>
          </w:tcPr>
          <w:p w:rsidR="007E7835" w:rsidRPr="007E7835" w:rsidRDefault="007E7835" w:rsidP="007E7835">
            <w:pPr>
              <w:spacing w:after="0" w:line="240" w:lineRule="auto"/>
              <w:rPr>
                <w:b/>
                <w:sz w:val="24"/>
                <w:szCs w:val="24"/>
                <w:lang w:eastAsia="en-US"/>
              </w:rPr>
            </w:pPr>
            <w:r w:rsidRPr="007E7835">
              <w:rPr>
                <w:b/>
                <w:sz w:val="24"/>
                <w:szCs w:val="24"/>
                <w:lang w:eastAsia="en-US"/>
              </w:rPr>
              <w:t xml:space="preserve">Assessment </w:t>
            </w:r>
          </w:p>
        </w:tc>
      </w:tr>
      <w:tr w:rsidR="007E7835" w:rsidRPr="007E7835" w:rsidTr="00A42A8F">
        <w:tc>
          <w:tcPr>
            <w:tcW w:w="1256" w:type="dxa"/>
          </w:tcPr>
          <w:p w:rsidR="007E7835" w:rsidRPr="007E7835" w:rsidRDefault="007E7835" w:rsidP="007E7835">
            <w:pPr>
              <w:spacing w:after="0" w:line="240" w:lineRule="auto"/>
              <w:jc w:val="center"/>
              <w:rPr>
                <w:lang w:eastAsia="en-US"/>
              </w:rPr>
            </w:pPr>
            <w:r w:rsidRPr="007E7835">
              <w:rPr>
                <w:lang w:eastAsia="en-US"/>
              </w:rPr>
              <w:t>0</w:t>
            </w:r>
          </w:p>
        </w:tc>
        <w:tc>
          <w:tcPr>
            <w:tcW w:w="12602" w:type="dxa"/>
          </w:tcPr>
          <w:p w:rsidR="007E7835" w:rsidRPr="007E7835" w:rsidRDefault="007E7835" w:rsidP="007E7835">
            <w:pPr>
              <w:spacing w:after="0" w:line="240" w:lineRule="auto"/>
              <w:rPr>
                <w:rFonts w:ascii="Arial" w:hAnsi="Arial" w:cs="Arial"/>
                <w:color w:val="000000"/>
                <w:lang w:eastAsia="en-US"/>
              </w:rPr>
            </w:pPr>
            <w:r w:rsidRPr="007E7835">
              <w:rPr>
                <w:rFonts w:ascii="Arial" w:hAnsi="Arial" w:cs="Arial"/>
                <w:color w:val="000000"/>
                <w:lang w:eastAsia="en-US"/>
              </w:rPr>
              <w:t xml:space="preserve">No response is offered in respect of the criterion. </w:t>
            </w:r>
          </w:p>
          <w:p w:rsidR="007E7835" w:rsidRPr="007E7835" w:rsidRDefault="007E7835" w:rsidP="007E7835">
            <w:pPr>
              <w:spacing w:after="0" w:line="240" w:lineRule="auto"/>
              <w:rPr>
                <w:rFonts w:ascii="Arial" w:hAnsi="Arial" w:cs="Arial"/>
                <w:color w:val="000000"/>
                <w:lang w:eastAsia="en-US"/>
              </w:rPr>
            </w:pPr>
          </w:p>
        </w:tc>
      </w:tr>
      <w:tr w:rsidR="007E7835" w:rsidRPr="007E7835" w:rsidTr="00A42A8F">
        <w:tc>
          <w:tcPr>
            <w:tcW w:w="1256" w:type="dxa"/>
          </w:tcPr>
          <w:p w:rsidR="007E7835" w:rsidRPr="007E7835" w:rsidRDefault="007E7835" w:rsidP="007E7835">
            <w:pPr>
              <w:spacing w:after="0" w:line="240" w:lineRule="auto"/>
              <w:jc w:val="center"/>
              <w:rPr>
                <w:lang w:eastAsia="en-US"/>
              </w:rPr>
            </w:pPr>
            <w:r w:rsidRPr="007E7835">
              <w:rPr>
                <w:lang w:eastAsia="en-US"/>
              </w:rPr>
              <w:t>1</w:t>
            </w:r>
          </w:p>
        </w:tc>
        <w:tc>
          <w:tcPr>
            <w:tcW w:w="12602" w:type="dxa"/>
          </w:tcPr>
          <w:p w:rsidR="007E7835" w:rsidRPr="007E7835" w:rsidRDefault="007E7835" w:rsidP="007E7835">
            <w:pPr>
              <w:spacing w:after="0" w:line="240" w:lineRule="auto"/>
              <w:rPr>
                <w:rFonts w:ascii="Arial" w:hAnsi="Arial" w:cs="Arial"/>
                <w:color w:val="000000"/>
                <w:lang w:eastAsia="en-US"/>
              </w:rPr>
            </w:pPr>
            <w:r w:rsidRPr="007E7835">
              <w:rPr>
                <w:rFonts w:ascii="Arial" w:hAnsi="Arial" w:cs="Arial"/>
                <w:color w:val="000000"/>
                <w:lang w:eastAsia="en-US"/>
              </w:rPr>
              <w:t xml:space="preserve">An incomplete or </w:t>
            </w:r>
            <w:r w:rsidRPr="007E7835">
              <w:rPr>
                <w:rFonts w:ascii="Arial" w:hAnsi="Arial" w:cs="Arial"/>
                <w:color w:val="000000"/>
                <w:u w:val="single"/>
                <w:lang w:eastAsia="en-US"/>
              </w:rPr>
              <w:t>very poor</w:t>
            </w:r>
            <w:r w:rsidRPr="007E7835">
              <w:rPr>
                <w:rFonts w:ascii="Arial" w:hAnsi="Arial" w:cs="Arial"/>
                <w:color w:val="000000"/>
                <w:lang w:eastAsia="en-US"/>
              </w:rPr>
              <w:t xml:space="preserve"> response, which fails to address the criterion; and/or the response is not credible, with </w:t>
            </w:r>
            <w:r w:rsidRPr="007E7835">
              <w:rPr>
                <w:rFonts w:ascii="Arial" w:hAnsi="Arial" w:cs="Arial"/>
                <w:color w:val="000000"/>
                <w:u w:val="single"/>
                <w:lang w:eastAsia="en-US"/>
              </w:rPr>
              <w:t>no evidence</w:t>
            </w:r>
            <w:r w:rsidRPr="007E7835">
              <w:rPr>
                <w:rFonts w:ascii="Arial" w:hAnsi="Arial" w:cs="Arial"/>
                <w:color w:val="000000"/>
                <w:lang w:eastAsia="en-US"/>
              </w:rPr>
              <w:t xml:space="preserve"> to support the claims made meaning there is </w:t>
            </w:r>
            <w:r w:rsidRPr="007E7835">
              <w:rPr>
                <w:rFonts w:ascii="Arial" w:hAnsi="Arial" w:cs="Arial"/>
                <w:color w:val="000000"/>
                <w:u w:val="single"/>
                <w:lang w:eastAsia="en-US"/>
              </w:rPr>
              <w:t>no confidence</w:t>
            </w:r>
            <w:r w:rsidRPr="007E7835">
              <w:rPr>
                <w:rFonts w:ascii="Arial" w:hAnsi="Arial" w:cs="Arial"/>
                <w:color w:val="000000"/>
                <w:lang w:eastAsia="en-US"/>
              </w:rPr>
              <w:t xml:space="preserve"> of success; and/or the response is assessed as ‘</w:t>
            </w:r>
            <w:r w:rsidRPr="007E7835">
              <w:rPr>
                <w:rFonts w:ascii="Arial" w:hAnsi="Arial" w:cs="Arial"/>
                <w:color w:val="000000"/>
                <w:u w:val="single"/>
                <w:lang w:eastAsia="en-US"/>
              </w:rPr>
              <w:t>low scoring</w:t>
            </w:r>
            <w:r w:rsidRPr="007E7835">
              <w:rPr>
                <w:rFonts w:ascii="Arial" w:hAnsi="Arial" w:cs="Arial"/>
                <w:color w:val="000000"/>
                <w:lang w:eastAsia="en-US"/>
              </w:rPr>
              <w:t xml:space="preserve">’ against the detailed scoring criteria shown in the table above.    </w:t>
            </w:r>
          </w:p>
          <w:p w:rsidR="007E7835" w:rsidRPr="007E7835" w:rsidRDefault="007E7835" w:rsidP="007E7835">
            <w:pPr>
              <w:spacing w:after="0" w:line="240" w:lineRule="auto"/>
              <w:rPr>
                <w:rFonts w:ascii="Arial" w:hAnsi="Arial" w:cs="Arial"/>
                <w:color w:val="000000"/>
                <w:lang w:eastAsia="en-US"/>
              </w:rPr>
            </w:pPr>
            <w:r w:rsidRPr="007E7835">
              <w:rPr>
                <w:rFonts w:ascii="Arial" w:hAnsi="Arial" w:cs="Arial"/>
                <w:color w:val="000000"/>
                <w:lang w:eastAsia="en-US"/>
              </w:rPr>
              <w:t> </w:t>
            </w:r>
          </w:p>
        </w:tc>
      </w:tr>
      <w:tr w:rsidR="007E7835" w:rsidRPr="007E7835" w:rsidTr="00A42A8F">
        <w:tc>
          <w:tcPr>
            <w:tcW w:w="1256" w:type="dxa"/>
          </w:tcPr>
          <w:p w:rsidR="007E7835" w:rsidRPr="007E7835" w:rsidRDefault="007E7835" w:rsidP="007E7835">
            <w:pPr>
              <w:spacing w:after="0" w:line="240" w:lineRule="auto"/>
              <w:jc w:val="center"/>
              <w:rPr>
                <w:lang w:eastAsia="en-US"/>
              </w:rPr>
            </w:pPr>
            <w:r w:rsidRPr="007E7835">
              <w:rPr>
                <w:lang w:eastAsia="en-US"/>
              </w:rPr>
              <w:t>2</w:t>
            </w:r>
          </w:p>
        </w:tc>
        <w:tc>
          <w:tcPr>
            <w:tcW w:w="12602" w:type="dxa"/>
          </w:tcPr>
          <w:p w:rsidR="007E7835" w:rsidRPr="007E7835" w:rsidRDefault="007E7835" w:rsidP="007E7835">
            <w:pPr>
              <w:spacing w:after="0" w:line="240" w:lineRule="auto"/>
              <w:rPr>
                <w:rFonts w:ascii="Arial" w:hAnsi="Arial" w:cs="Arial"/>
                <w:color w:val="000000"/>
                <w:lang w:eastAsia="en-US"/>
              </w:rPr>
            </w:pPr>
            <w:r w:rsidRPr="007E7835">
              <w:rPr>
                <w:rFonts w:ascii="Arial" w:hAnsi="Arial" w:cs="Arial"/>
                <w:color w:val="000000"/>
                <w:lang w:eastAsia="en-US"/>
              </w:rPr>
              <w:t xml:space="preserve">A </w:t>
            </w:r>
            <w:r w:rsidRPr="007E7835">
              <w:rPr>
                <w:rFonts w:ascii="Arial" w:hAnsi="Arial" w:cs="Arial"/>
                <w:color w:val="000000"/>
                <w:u w:val="single"/>
                <w:lang w:eastAsia="en-US"/>
              </w:rPr>
              <w:t>poor</w:t>
            </w:r>
            <w:r w:rsidRPr="007E7835">
              <w:rPr>
                <w:rFonts w:ascii="Arial" w:hAnsi="Arial" w:cs="Arial"/>
                <w:color w:val="000000"/>
                <w:lang w:eastAsia="en-US"/>
              </w:rPr>
              <w:t xml:space="preserve"> response which only partially addresses the criterion and would require significant revision to become acceptable; and/or </w:t>
            </w:r>
            <w:r w:rsidRPr="007E7835">
              <w:rPr>
                <w:rFonts w:ascii="Arial" w:hAnsi="Arial" w:cs="Arial"/>
                <w:color w:val="000000"/>
                <w:u w:val="single"/>
                <w:lang w:eastAsia="en-US"/>
              </w:rPr>
              <w:t>very limited, and inadequate</w:t>
            </w:r>
            <w:r w:rsidRPr="007E7835">
              <w:rPr>
                <w:rFonts w:ascii="Arial" w:hAnsi="Arial" w:cs="Arial"/>
                <w:color w:val="000000"/>
                <w:lang w:eastAsia="en-US"/>
              </w:rPr>
              <w:t xml:space="preserve">, evidence to support the claims made meaning </w:t>
            </w:r>
            <w:r w:rsidRPr="007E7835">
              <w:rPr>
                <w:rFonts w:ascii="Arial" w:hAnsi="Arial" w:cs="Arial"/>
                <w:color w:val="000000"/>
                <w:u w:val="single"/>
                <w:lang w:eastAsia="en-US"/>
              </w:rPr>
              <w:t>low confidence</w:t>
            </w:r>
            <w:r w:rsidRPr="007E7835">
              <w:rPr>
                <w:rFonts w:ascii="Arial" w:hAnsi="Arial" w:cs="Arial"/>
                <w:color w:val="000000"/>
                <w:lang w:eastAsia="en-US"/>
              </w:rPr>
              <w:t xml:space="preserve"> of success; and/or the response is assessed as ‘</w:t>
            </w:r>
            <w:r w:rsidRPr="007E7835">
              <w:rPr>
                <w:rFonts w:ascii="Arial" w:hAnsi="Arial" w:cs="Arial"/>
                <w:color w:val="000000"/>
                <w:u w:val="single"/>
                <w:lang w:eastAsia="en-US"/>
              </w:rPr>
              <w:t>low scoring’</w:t>
            </w:r>
            <w:r w:rsidRPr="007E7835">
              <w:rPr>
                <w:rFonts w:ascii="Arial" w:hAnsi="Arial" w:cs="Arial"/>
                <w:color w:val="000000"/>
                <w:lang w:eastAsia="en-US"/>
              </w:rPr>
              <w:t xml:space="preserve"> against the detailed scoring criteria shown in the table above.</w:t>
            </w:r>
          </w:p>
          <w:p w:rsidR="007E7835" w:rsidRPr="007E7835" w:rsidRDefault="007E7835" w:rsidP="007E7835">
            <w:pPr>
              <w:spacing w:after="0" w:line="240" w:lineRule="auto"/>
              <w:rPr>
                <w:rFonts w:ascii="Arial" w:hAnsi="Arial" w:cs="Arial"/>
                <w:color w:val="000000"/>
                <w:lang w:eastAsia="en-US"/>
              </w:rPr>
            </w:pPr>
          </w:p>
        </w:tc>
      </w:tr>
      <w:tr w:rsidR="007E7835" w:rsidRPr="007E7835" w:rsidTr="00A42A8F">
        <w:tc>
          <w:tcPr>
            <w:tcW w:w="1256" w:type="dxa"/>
          </w:tcPr>
          <w:p w:rsidR="007E7835" w:rsidRPr="007E7835" w:rsidRDefault="007E7835" w:rsidP="007E7835">
            <w:pPr>
              <w:spacing w:after="0" w:line="240" w:lineRule="auto"/>
              <w:jc w:val="center"/>
              <w:rPr>
                <w:lang w:eastAsia="en-US"/>
              </w:rPr>
            </w:pPr>
            <w:r w:rsidRPr="007E7835">
              <w:rPr>
                <w:lang w:eastAsia="en-US"/>
              </w:rPr>
              <w:t>4</w:t>
            </w:r>
          </w:p>
        </w:tc>
        <w:tc>
          <w:tcPr>
            <w:tcW w:w="12602" w:type="dxa"/>
          </w:tcPr>
          <w:p w:rsidR="007E7835" w:rsidRPr="007E7835" w:rsidRDefault="007E7835" w:rsidP="007E7835">
            <w:pPr>
              <w:spacing w:after="0" w:line="240" w:lineRule="auto"/>
              <w:rPr>
                <w:rFonts w:ascii="Arial" w:hAnsi="Arial" w:cs="Arial"/>
                <w:color w:val="000000"/>
                <w:lang w:eastAsia="en-US"/>
              </w:rPr>
            </w:pPr>
            <w:r w:rsidRPr="007E7835">
              <w:rPr>
                <w:rFonts w:ascii="Arial" w:hAnsi="Arial" w:cs="Arial"/>
                <w:color w:val="000000"/>
                <w:lang w:eastAsia="en-US"/>
              </w:rPr>
              <w:t xml:space="preserve">A </w:t>
            </w:r>
            <w:r w:rsidRPr="007E7835">
              <w:rPr>
                <w:rFonts w:ascii="Arial" w:hAnsi="Arial" w:cs="Arial"/>
                <w:color w:val="000000"/>
                <w:u w:val="single"/>
                <w:lang w:eastAsia="en-US"/>
              </w:rPr>
              <w:t>limited</w:t>
            </w:r>
            <w:r w:rsidRPr="007E7835">
              <w:rPr>
                <w:rFonts w:ascii="Arial" w:hAnsi="Arial" w:cs="Arial"/>
                <w:color w:val="000000"/>
                <w:lang w:eastAsia="en-US"/>
              </w:rPr>
              <w:t xml:space="preserve"> response with deficiencies apparent against the criterion, requiring some revision to become acceptable; and/or </w:t>
            </w:r>
            <w:r w:rsidRPr="007E7835">
              <w:rPr>
                <w:rFonts w:ascii="Arial" w:hAnsi="Arial" w:cs="Arial"/>
                <w:color w:val="000000"/>
                <w:u w:val="single"/>
                <w:lang w:eastAsia="en-US"/>
              </w:rPr>
              <w:t>limited</w:t>
            </w:r>
            <w:r w:rsidRPr="007E7835">
              <w:rPr>
                <w:rFonts w:ascii="Arial" w:hAnsi="Arial" w:cs="Arial"/>
                <w:color w:val="000000"/>
                <w:lang w:eastAsia="en-US"/>
              </w:rPr>
              <w:t xml:space="preserve"> evidence provided supporting the claims made meaning </w:t>
            </w:r>
            <w:r w:rsidRPr="007E7835">
              <w:rPr>
                <w:rFonts w:ascii="Arial" w:hAnsi="Arial" w:cs="Arial"/>
                <w:color w:val="000000"/>
                <w:u w:val="single"/>
                <w:lang w:eastAsia="en-US"/>
              </w:rPr>
              <w:t>limited</w:t>
            </w:r>
            <w:r w:rsidRPr="007E7835">
              <w:rPr>
                <w:rFonts w:ascii="Arial" w:hAnsi="Arial" w:cs="Arial"/>
                <w:color w:val="000000"/>
                <w:lang w:eastAsia="en-US"/>
              </w:rPr>
              <w:t xml:space="preserve"> confidence of success;  and/or the response is assessed as ‘</w:t>
            </w:r>
            <w:r w:rsidRPr="007E7835">
              <w:rPr>
                <w:rFonts w:ascii="Arial" w:hAnsi="Arial" w:cs="Arial"/>
                <w:color w:val="000000"/>
                <w:u w:val="single"/>
                <w:lang w:eastAsia="en-US"/>
              </w:rPr>
              <w:t>low scoring</w:t>
            </w:r>
            <w:r w:rsidRPr="007E7835">
              <w:rPr>
                <w:rFonts w:ascii="Arial" w:hAnsi="Arial" w:cs="Arial"/>
                <w:color w:val="000000"/>
                <w:lang w:eastAsia="en-US"/>
              </w:rPr>
              <w:t>’ against the detailed scoring criteria shown in the table above.</w:t>
            </w:r>
          </w:p>
          <w:p w:rsidR="007E7835" w:rsidRPr="007E7835" w:rsidRDefault="007E7835" w:rsidP="007E7835">
            <w:pPr>
              <w:spacing w:after="0" w:line="240" w:lineRule="auto"/>
              <w:rPr>
                <w:rFonts w:ascii="Arial" w:hAnsi="Arial" w:cs="Arial"/>
                <w:color w:val="000000"/>
                <w:lang w:eastAsia="en-US"/>
              </w:rPr>
            </w:pPr>
          </w:p>
        </w:tc>
      </w:tr>
      <w:tr w:rsidR="007E7835" w:rsidRPr="007E7835" w:rsidTr="00A42A8F">
        <w:tc>
          <w:tcPr>
            <w:tcW w:w="1256" w:type="dxa"/>
          </w:tcPr>
          <w:p w:rsidR="007E7835" w:rsidRPr="007E7835" w:rsidRDefault="007E7835" w:rsidP="007E7835">
            <w:pPr>
              <w:spacing w:after="0" w:line="240" w:lineRule="auto"/>
              <w:jc w:val="center"/>
              <w:rPr>
                <w:lang w:eastAsia="en-US"/>
              </w:rPr>
            </w:pPr>
            <w:r w:rsidRPr="007E7835">
              <w:rPr>
                <w:lang w:eastAsia="en-US"/>
              </w:rPr>
              <w:t>5</w:t>
            </w:r>
          </w:p>
        </w:tc>
        <w:tc>
          <w:tcPr>
            <w:tcW w:w="12602" w:type="dxa"/>
          </w:tcPr>
          <w:p w:rsidR="007E7835" w:rsidRPr="007E7835" w:rsidRDefault="007E7835" w:rsidP="007E7835">
            <w:pPr>
              <w:spacing w:after="0" w:line="240" w:lineRule="auto"/>
              <w:rPr>
                <w:rFonts w:ascii="Arial" w:hAnsi="Arial" w:cs="Arial"/>
                <w:color w:val="000000"/>
                <w:lang w:eastAsia="en-US"/>
              </w:rPr>
            </w:pPr>
            <w:r w:rsidRPr="007E7835">
              <w:rPr>
                <w:rFonts w:ascii="Arial" w:hAnsi="Arial" w:cs="Arial"/>
                <w:color w:val="000000"/>
                <w:lang w:eastAsia="en-US"/>
              </w:rPr>
              <w:t xml:space="preserve">An </w:t>
            </w:r>
            <w:r w:rsidRPr="007E7835">
              <w:rPr>
                <w:rFonts w:ascii="Arial" w:hAnsi="Arial" w:cs="Arial"/>
                <w:color w:val="000000"/>
                <w:u w:val="single"/>
                <w:lang w:eastAsia="en-US"/>
              </w:rPr>
              <w:t>acceptable</w:t>
            </w:r>
            <w:r w:rsidRPr="007E7835">
              <w:rPr>
                <w:rFonts w:ascii="Arial" w:hAnsi="Arial" w:cs="Arial"/>
                <w:color w:val="000000"/>
                <w:lang w:eastAsia="en-US"/>
              </w:rPr>
              <w:t xml:space="preserve"> response which could have been expanded upon, with identified weaknesses correctable; and/or </w:t>
            </w:r>
            <w:r w:rsidRPr="007E7835">
              <w:rPr>
                <w:rFonts w:ascii="Arial" w:hAnsi="Arial" w:cs="Arial"/>
                <w:color w:val="000000"/>
                <w:u w:val="single"/>
                <w:lang w:eastAsia="en-US"/>
              </w:rPr>
              <w:t>just sufficient</w:t>
            </w:r>
            <w:r w:rsidRPr="007E7835">
              <w:rPr>
                <w:rFonts w:ascii="Arial" w:hAnsi="Arial" w:cs="Arial"/>
                <w:color w:val="000000"/>
                <w:lang w:eastAsia="en-US"/>
              </w:rPr>
              <w:t xml:space="preserve"> evidence provided in support of the claims made meaning a </w:t>
            </w:r>
            <w:r w:rsidRPr="007E7835">
              <w:rPr>
                <w:rFonts w:ascii="Arial" w:hAnsi="Arial" w:cs="Arial"/>
                <w:color w:val="000000"/>
                <w:u w:val="single"/>
                <w:lang w:eastAsia="en-US"/>
              </w:rPr>
              <w:t>reasonable</w:t>
            </w:r>
            <w:r w:rsidRPr="007E7835">
              <w:rPr>
                <w:rFonts w:ascii="Arial" w:hAnsi="Arial" w:cs="Arial"/>
                <w:color w:val="000000"/>
                <w:lang w:eastAsia="en-US"/>
              </w:rPr>
              <w:t xml:space="preserve"> confidence of success; and/or the response is assessed as ‘</w:t>
            </w:r>
            <w:r w:rsidRPr="007E7835">
              <w:rPr>
                <w:rFonts w:ascii="Arial" w:hAnsi="Arial" w:cs="Arial"/>
                <w:color w:val="000000"/>
                <w:u w:val="single"/>
                <w:lang w:eastAsia="en-US"/>
              </w:rPr>
              <w:t>moderate scoring’</w:t>
            </w:r>
            <w:r w:rsidRPr="007E7835">
              <w:rPr>
                <w:rFonts w:ascii="Arial" w:hAnsi="Arial" w:cs="Arial"/>
                <w:color w:val="000000"/>
                <w:lang w:eastAsia="en-US"/>
              </w:rPr>
              <w:t xml:space="preserve"> against the detailed scoring criteria shown in the table above.</w:t>
            </w:r>
          </w:p>
          <w:p w:rsidR="007E7835" w:rsidRPr="007E7835" w:rsidRDefault="007E7835" w:rsidP="007E7835">
            <w:pPr>
              <w:spacing w:after="0" w:line="240" w:lineRule="auto"/>
              <w:rPr>
                <w:rFonts w:ascii="Arial" w:hAnsi="Arial" w:cs="Arial"/>
                <w:color w:val="000000"/>
                <w:lang w:eastAsia="en-US"/>
              </w:rPr>
            </w:pPr>
          </w:p>
        </w:tc>
      </w:tr>
      <w:tr w:rsidR="007E7835" w:rsidRPr="007E7835" w:rsidTr="00A42A8F">
        <w:tc>
          <w:tcPr>
            <w:tcW w:w="1256" w:type="dxa"/>
          </w:tcPr>
          <w:p w:rsidR="007E7835" w:rsidRPr="007E7835" w:rsidRDefault="007E7835" w:rsidP="007E7835">
            <w:pPr>
              <w:spacing w:after="0" w:line="240" w:lineRule="auto"/>
              <w:jc w:val="center"/>
              <w:rPr>
                <w:lang w:eastAsia="en-US"/>
              </w:rPr>
            </w:pPr>
            <w:r w:rsidRPr="007E7835">
              <w:rPr>
                <w:lang w:eastAsia="en-US"/>
              </w:rPr>
              <w:t>7</w:t>
            </w:r>
          </w:p>
        </w:tc>
        <w:tc>
          <w:tcPr>
            <w:tcW w:w="12602" w:type="dxa"/>
          </w:tcPr>
          <w:p w:rsidR="007E7835" w:rsidRPr="007E7835" w:rsidRDefault="007E7835" w:rsidP="007E7835">
            <w:pPr>
              <w:spacing w:after="0" w:line="240" w:lineRule="auto"/>
              <w:rPr>
                <w:rFonts w:ascii="Arial" w:hAnsi="Arial" w:cs="Arial"/>
                <w:color w:val="000000"/>
                <w:lang w:eastAsia="en-US"/>
              </w:rPr>
            </w:pPr>
            <w:r w:rsidRPr="007E7835">
              <w:rPr>
                <w:rFonts w:ascii="Arial" w:hAnsi="Arial" w:cs="Arial"/>
                <w:color w:val="000000"/>
                <w:lang w:eastAsia="en-US"/>
              </w:rPr>
              <w:t xml:space="preserve">A </w:t>
            </w:r>
            <w:r w:rsidRPr="007E7835">
              <w:rPr>
                <w:rFonts w:ascii="Arial" w:hAnsi="Arial" w:cs="Arial"/>
                <w:color w:val="000000"/>
                <w:u w:val="single"/>
                <w:lang w:eastAsia="en-US"/>
              </w:rPr>
              <w:t>good</w:t>
            </w:r>
            <w:r w:rsidRPr="007E7835">
              <w:rPr>
                <w:rFonts w:ascii="Arial" w:hAnsi="Arial" w:cs="Arial"/>
                <w:color w:val="000000"/>
                <w:lang w:eastAsia="en-US"/>
              </w:rPr>
              <w:t xml:space="preserve"> response which addresses the criterion well, with identified weaknesses readily correctable; and/or </w:t>
            </w:r>
            <w:r w:rsidRPr="007E7835">
              <w:rPr>
                <w:rFonts w:ascii="Arial" w:hAnsi="Arial" w:cs="Arial"/>
                <w:color w:val="000000"/>
                <w:u w:val="single"/>
                <w:lang w:eastAsia="en-US"/>
              </w:rPr>
              <w:t>solid</w:t>
            </w:r>
            <w:r w:rsidRPr="007E7835">
              <w:rPr>
                <w:rFonts w:ascii="Arial" w:hAnsi="Arial" w:cs="Arial"/>
                <w:color w:val="000000"/>
                <w:lang w:eastAsia="en-US"/>
              </w:rPr>
              <w:t xml:space="preserve"> evidence provided in support of the claims made meaning a </w:t>
            </w:r>
            <w:r w:rsidRPr="007E7835">
              <w:rPr>
                <w:rFonts w:ascii="Arial" w:hAnsi="Arial" w:cs="Arial"/>
                <w:color w:val="000000"/>
                <w:u w:val="single"/>
                <w:lang w:eastAsia="en-US"/>
              </w:rPr>
              <w:t>solid</w:t>
            </w:r>
            <w:r w:rsidRPr="007E7835">
              <w:rPr>
                <w:rFonts w:ascii="Arial" w:hAnsi="Arial" w:cs="Arial"/>
                <w:color w:val="000000"/>
                <w:lang w:eastAsia="en-US"/>
              </w:rPr>
              <w:t xml:space="preserve"> level of confidence of success; and/or the response is assessed as ‘</w:t>
            </w:r>
            <w:r w:rsidRPr="007E7835">
              <w:rPr>
                <w:rFonts w:ascii="Arial" w:hAnsi="Arial" w:cs="Arial"/>
                <w:color w:val="000000"/>
                <w:u w:val="single"/>
                <w:lang w:eastAsia="en-US"/>
              </w:rPr>
              <w:t>moderate scoring’</w:t>
            </w:r>
            <w:r w:rsidRPr="007E7835">
              <w:rPr>
                <w:rFonts w:ascii="Arial" w:hAnsi="Arial" w:cs="Arial"/>
                <w:color w:val="000000"/>
                <w:lang w:eastAsia="en-US"/>
              </w:rPr>
              <w:t xml:space="preserve"> against the detailed scoring criteria shown in the table above.</w:t>
            </w:r>
          </w:p>
          <w:p w:rsidR="007E7835" w:rsidRPr="007E7835" w:rsidRDefault="007E7835" w:rsidP="007E7835">
            <w:pPr>
              <w:spacing w:after="0" w:line="240" w:lineRule="auto"/>
              <w:rPr>
                <w:rFonts w:ascii="Arial" w:hAnsi="Arial" w:cs="Arial"/>
                <w:color w:val="000000"/>
                <w:lang w:eastAsia="en-US"/>
              </w:rPr>
            </w:pPr>
          </w:p>
        </w:tc>
      </w:tr>
      <w:tr w:rsidR="007E7835" w:rsidRPr="007E7835" w:rsidTr="00A42A8F">
        <w:tc>
          <w:tcPr>
            <w:tcW w:w="1256" w:type="dxa"/>
          </w:tcPr>
          <w:p w:rsidR="007E7835" w:rsidRPr="007E7835" w:rsidRDefault="007E7835" w:rsidP="007E7835">
            <w:pPr>
              <w:spacing w:after="0" w:line="240" w:lineRule="auto"/>
              <w:jc w:val="center"/>
              <w:rPr>
                <w:lang w:eastAsia="en-US"/>
              </w:rPr>
            </w:pPr>
            <w:r w:rsidRPr="007E7835">
              <w:rPr>
                <w:lang w:eastAsia="en-US"/>
              </w:rPr>
              <w:t>9</w:t>
            </w:r>
          </w:p>
        </w:tc>
        <w:tc>
          <w:tcPr>
            <w:tcW w:w="12602" w:type="dxa"/>
          </w:tcPr>
          <w:p w:rsidR="007E7835" w:rsidRPr="007E7835" w:rsidRDefault="007E7835" w:rsidP="007E7835">
            <w:pPr>
              <w:spacing w:after="0" w:line="240" w:lineRule="auto"/>
              <w:rPr>
                <w:rFonts w:ascii="Arial" w:hAnsi="Arial" w:cs="Arial"/>
                <w:color w:val="000000"/>
                <w:lang w:eastAsia="en-US"/>
              </w:rPr>
            </w:pPr>
            <w:r w:rsidRPr="007E7835">
              <w:rPr>
                <w:rFonts w:ascii="Arial" w:hAnsi="Arial" w:cs="Arial"/>
                <w:color w:val="000000"/>
                <w:lang w:eastAsia="en-US"/>
              </w:rPr>
              <w:t xml:space="preserve">A </w:t>
            </w:r>
            <w:r w:rsidRPr="007E7835">
              <w:rPr>
                <w:rFonts w:ascii="Arial" w:hAnsi="Arial" w:cs="Arial"/>
                <w:color w:val="000000"/>
                <w:u w:val="single"/>
                <w:lang w:eastAsia="en-US"/>
              </w:rPr>
              <w:t>very good</w:t>
            </w:r>
            <w:r w:rsidRPr="007E7835">
              <w:rPr>
                <w:rFonts w:ascii="Arial" w:hAnsi="Arial" w:cs="Arial"/>
                <w:color w:val="000000"/>
                <w:lang w:eastAsia="en-US"/>
              </w:rPr>
              <w:t xml:space="preserve"> response which addresses the criterion very well with very few weaknesses; and/or </w:t>
            </w:r>
            <w:r w:rsidRPr="007E7835">
              <w:rPr>
                <w:rFonts w:ascii="Arial" w:hAnsi="Arial" w:cs="Arial"/>
                <w:color w:val="000000"/>
                <w:u w:val="single"/>
                <w:lang w:eastAsia="en-US"/>
              </w:rPr>
              <w:t>good evidence</w:t>
            </w:r>
            <w:r w:rsidRPr="007E7835">
              <w:rPr>
                <w:rFonts w:ascii="Arial" w:hAnsi="Arial" w:cs="Arial"/>
                <w:color w:val="000000"/>
                <w:lang w:eastAsia="en-US"/>
              </w:rPr>
              <w:t xml:space="preserve"> provided in support of the claims made meaning a </w:t>
            </w:r>
            <w:r w:rsidRPr="007E7835">
              <w:rPr>
                <w:rFonts w:ascii="Arial" w:hAnsi="Arial" w:cs="Arial"/>
                <w:color w:val="000000"/>
                <w:u w:val="single"/>
                <w:lang w:eastAsia="en-US"/>
              </w:rPr>
              <w:t>high</w:t>
            </w:r>
            <w:r w:rsidRPr="007E7835">
              <w:rPr>
                <w:rFonts w:ascii="Arial" w:hAnsi="Arial" w:cs="Arial"/>
                <w:color w:val="000000"/>
                <w:lang w:eastAsia="en-US"/>
              </w:rPr>
              <w:t xml:space="preserve"> level of confidence of success; and/or the response is assessed as ‘</w:t>
            </w:r>
            <w:r w:rsidRPr="007E7835">
              <w:rPr>
                <w:rFonts w:ascii="Arial" w:hAnsi="Arial" w:cs="Arial"/>
                <w:color w:val="000000"/>
                <w:u w:val="single"/>
                <w:lang w:eastAsia="en-US"/>
              </w:rPr>
              <w:t>highest scoring’</w:t>
            </w:r>
            <w:r w:rsidRPr="007E7835">
              <w:rPr>
                <w:rFonts w:ascii="Arial" w:hAnsi="Arial" w:cs="Arial"/>
                <w:color w:val="000000"/>
                <w:lang w:eastAsia="en-US"/>
              </w:rPr>
              <w:t xml:space="preserve"> against the detailed scoring criteria shown in the table above.</w:t>
            </w:r>
          </w:p>
          <w:p w:rsidR="007E7835" w:rsidRPr="007E7835" w:rsidRDefault="007E7835" w:rsidP="007E7835">
            <w:pPr>
              <w:spacing w:after="0" w:line="240" w:lineRule="auto"/>
              <w:rPr>
                <w:rFonts w:ascii="Arial" w:hAnsi="Arial" w:cs="Arial"/>
                <w:color w:val="000000"/>
                <w:lang w:eastAsia="en-US"/>
              </w:rPr>
            </w:pPr>
          </w:p>
        </w:tc>
      </w:tr>
      <w:tr w:rsidR="007E7835" w:rsidRPr="007E7835" w:rsidTr="00A42A8F">
        <w:tc>
          <w:tcPr>
            <w:tcW w:w="1256" w:type="dxa"/>
          </w:tcPr>
          <w:p w:rsidR="007E7835" w:rsidRPr="007E7835" w:rsidRDefault="007E7835" w:rsidP="007E7835">
            <w:pPr>
              <w:spacing w:after="0" w:line="240" w:lineRule="auto"/>
              <w:jc w:val="center"/>
              <w:rPr>
                <w:lang w:eastAsia="en-US"/>
              </w:rPr>
            </w:pPr>
            <w:r w:rsidRPr="007E7835">
              <w:rPr>
                <w:lang w:eastAsia="en-US"/>
              </w:rPr>
              <w:t>10</w:t>
            </w:r>
          </w:p>
        </w:tc>
        <w:tc>
          <w:tcPr>
            <w:tcW w:w="12602" w:type="dxa"/>
          </w:tcPr>
          <w:p w:rsidR="007E7835" w:rsidRPr="007E7835" w:rsidRDefault="007E7835" w:rsidP="007E7835">
            <w:pPr>
              <w:spacing w:after="0" w:line="240" w:lineRule="auto"/>
              <w:rPr>
                <w:rFonts w:ascii="Arial" w:hAnsi="Arial" w:cs="Arial"/>
                <w:color w:val="000000"/>
                <w:lang w:eastAsia="en-US"/>
              </w:rPr>
            </w:pPr>
            <w:r w:rsidRPr="007E7835">
              <w:rPr>
                <w:rFonts w:ascii="Arial" w:hAnsi="Arial" w:cs="Arial"/>
                <w:color w:val="000000"/>
                <w:lang w:eastAsia="en-US"/>
              </w:rPr>
              <w:t xml:space="preserve">An </w:t>
            </w:r>
            <w:r w:rsidRPr="007E7835">
              <w:rPr>
                <w:rFonts w:ascii="Arial" w:hAnsi="Arial" w:cs="Arial"/>
                <w:color w:val="000000"/>
                <w:u w:val="single"/>
                <w:lang w:eastAsia="en-US"/>
              </w:rPr>
              <w:t>excellent</w:t>
            </w:r>
            <w:r w:rsidRPr="007E7835">
              <w:rPr>
                <w:rFonts w:ascii="Arial" w:hAnsi="Arial" w:cs="Arial"/>
                <w:color w:val="000000"/>
                <w:lang w:eastAsia="en-US"/>
              </w:rPr>
              <w:t xml:space="preserve"> response which is considered to absolutely address the criterion without weakness; and/or </w:t>
            </w:r>
            <w:r w:rsidRPr="007E7835">
              <w:rPr>
                <w:rFonts w:ascii="Arial" w:hAnsi="Arial" w:cs="Arial"/>
                <w:color w:val="000000"/>
                <w:u w:val="single"/>
                <w:lang w:eastAsia="en-US"/>
              </w:rPr>
              <w:t>compelling</w:t>
            </w:r>
            <w:r w:rsidRPr="007E7835">
              <w:rPr>
                <w:rFonts w:ascii="Arial" w:hAnsi="Arial" w:cs="Arial"/>
                <w:color w:val="000000"/>
                <w:lang w:eastAsia="en-US"/>
              </w:rPr>
              <w:t xml:space="preserve"> evidence provided in support of the claims made meaning success is considered to be </w:t>
            </w:r>
            <w:r w:rsidRPr="007E7835">
              <w:rPr>
                <w:rFonts w:ascii="Arial" w:hAnsi="Arial" w:cs="Arial"/>
                <w:color w:val="000000"/>
                <w:u w:val="single"/>
                <w:lang w:eastAsia="en-US"/>
              </w:rPr>
              <w:t>virtually assured</w:t>
            </w:r>
            <w:r w:rsidRPr="007E7835">
              <w:rPr>
                <w:rFonts w:ascii="Arial" w:hAnsi="Arial" w:cs="Arial"/>
                <w:color w:val="000000"/>
                <w:lang w:eastAsia="en-US"/>
              </w:rPr>
              <w:t>; and/or the response is assessed as ‘</w:t>
            </w:r>
            <w:r w:rsidRPr="007E7835">
              <w:rPr>
                <w:rFonts w:ascii="Arial" w:hAnsi="Arial" w:cs="Arial"/>
                <w:color w:val="000000"/>
                <w:u w:val="single"/>
                <w:lang w:eastAsia="en-US"/>
              </w:rPr>
              <w:t>highest scoring’</w:t>
            </w:r>
            <w:r w:rsidRPr="007E7835">
              <w:rPr>
                <w:rFonts w:ascii="Arial" w:hAnsi="Arial" w:cs="Arial"/>
                <w:color w:val="000000"/>
                <w:lang w:eastAsia="en-US"/>
              </w:rPr>
              <w:t xml:space="preserve"> against the detailed scoring criteria shown in the table above.</w:t>
            </w:r>
          </w:p>
          <w:p w:rsidR="007E7835" w:rsidRPr="007E7835" w:rsidRDefault="007E7835" w:rsidP="007E7835">
            <w:pPr>
              <w:spacing w:after="0" w:line="240" w:lineRule="auto"/>
              <w:rPr>
                <w:rFonts w:ascii="Arial" w:hAnsi="Arial" w:cs="Arial"/>
                <w:color w:val="000000"/>
                <w:lang w:eastAsia="en-US"/>
              </w:rPr>
            </w:pPr>
          </w:p>
        </w:tc>
      </w:tr>
    </w:tbl>
    <w:p w:rsidR="007E7835" w:rsidRDefault="007E7835" w:rsidP="007E7835">
      <w:pPr>
        <w:rPr>
          <w:sz w:val="24"/>
        </w:rPr>
      </w:pPr>
    </w:p>
    <w:p w:rsidR="007E7835" w:rsidRDefault="007E7835" w:rsidP="007E7835">
      <w:pPr>
        <w:jc w:val="center"/>
        <w:rPr>
          <w:b/>
          <w:sz w:val="36"/>
        </w:rPr>
      </w:pPr>
    </w:p>
    <w:p w:rsidR="007E7835" w:rsidRDefault="007E7835">
      <w:pPr>
        <w:spacing w:after="0" w:line="240" w:lineRule="auto"/>
        <w:rPr>
          <w:b/>
          <w:sz w:val="36"/>
        </w:rPr>
      </w:pPr>
    </w:p>
    <w:p w:rsidR="007E7835" w:rsidRDefault="007E7835" w:rsidP="007E7835">
      <w:pPr>
        <w:jc w:val="center"/>
        <w:rPr>
          <w:b/>
          <w:sz w:val="36"/>
        </w:rPr>
      </w:pPr>
      <w:r>
        <w:rPr>
          <w:b/>
          <w:sz w:val="36"/>
        </w:rPr>
        <w:t>Assessors Criteria Scoring Sheet</w:t>
      </w:r>
    </w:p>
    <w:p w:rsidR="007E7835" w:rsidRPr="002E3BE2" w:rsidRDefault="007E7835" w:rsidP="007E7835">
      <w:pPr>
        <w:rPr>
          <w:b/>
          <w:sz w:val="28"/>
        </w:rPr>
      </w:pPr>
      <w:r>
        <w:rPr>
          <w:b/>
          <w:sz w:val="28"/>
        </w:rPr>
        <w:t>Proposal number and title:</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7E7835" w:rsidRPr="00F369D8" w:rsidRDefault="007E7835" w:rsidP="007E7835">
      <w:pPr>
        <w:rPr>
          <w:b/>
        </w:rPr>
      </w:pPr>
    </w:p>
    <w:tbl>
      <w:tblPr>
        <w:tblpPr w:leftFromText="180" w:rightFromText="180" w:vertAnchor="text" w:horzAnchor="margin" w:tblpY="109"/>
        <w:tblOverlap w:val="never"/>
        <w:tblW w:w="13611" w:type="dxa"/>
        <w:tblLayout w:type="fixed"/>
        <w:tblCellMar>
          <w:left w:w="57" w:type="dxa"/>
          <w:right w:w="57" w:type="dxa"/>
        </w:tblCellMar>
        <w:tblLook w:val="0600" w:firstRow="0" w:lastRow="0" w:firstColumn="0" w:lastColumn="0" w:noHBand="1" w:noVBand="1"/>
      </w:tblPr>
      <w:tblGrid>
        <w:gridCol w:w="1758"/>
        <w:gridCol w:w="2370"/>
        <w:gridCol w:w="2371"/>
        <w:gridCol w:w="2370"/>
        <w:gridCol w:w="2371"/>
        <w:gridCol w:w="2371"/>
      </w:tblGrid>
      <w:tr w:rsidR="007E7835" w:rsidRPr="00F369D8" w:rsidTr="00A42A8F">
        <w:trPr>
          <w:trHeight w:val="1190"/>
        </w:trPr>
        <w:tc>
          <w:tcPr>
            <w:tcW w:w="1758" w:type="dxa"/>
            <w:tcBorders>
              <w:top w:val="single" w:sz="8" w:space="0" w:color="000000"/>
              <w:left w:val="single" w:sz="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7835" w:rsidRPr="00F369D8" w:rsidRDefault="007E7835" w:rsidP="00A42A8F">
            <w:pPr>
              <w:rPr>
                <w:b/>
              </w:rPr>
            </w:pPr>
          </w:p>
        </w:tc>
        <w:tc>
          <w:tcPr>
            <w:tcW w:w="2370" w:type="dxa"/>
            <w:tcBorders>
              <w:top w:val="single" w:sz="8" w:space="0" w:color="000000"/>
              <w:left w:val="single" w:sz="8" w:space="0" w:color="000000"/>
              <w:bottom w:val="single" w:sz="8" w:space="0" w:color="000000"/>
              <w:right w:val="single" w:sz="8" w:space="0" w:color="000000"/>
            </w:tcBorders>
            <w:shd w:val="clear" w:color="auto" w:fill="FFFF00"/>
          </w:tcPr>
          <w:p w:rsidR="007E7835" w:rsidRPr="00F369D8" w:rsidRDefault="007E7835" w:rsidP="00A42A8F">
            <w:pPr>
              <w:rPr>
                <w:b/>
              </w:rPr>
            </w:pPr>
            <w:r>
              <w:rPr>
                <w:rFonts w:cs="Arial"/>
                <w:sz w:val="20"/>
                <w:szCs w:val="20"/>
              </w:rPr>
              <w:t>Technical feasibility of proposed operations</w:t>
            </w:r>
          </w:p>
        </w:tc>
        <w:tc>
          <w:tcPr>
            <w:tcW w:w="2371" w:type="dxa"/>
            <w:tcBorders>
              <w:top w:val="single" w:sz="8" w:space="0" w:color="000000"/>
              <w:left w:val="single" w:sz="8" w:space="0" w:color="000000"/>
              <w:bottom w:val="single" w:sz="8" w:space="0" w:color="000000"/>
              <w:right w:val="single" w:sz="8" w:space="0" w:color="000000"/>
            </w:tcBorders>
            <w:shd w:val="clear" w:color="auto" w:fill="66FFFF"/>
          </w:tcPr>
          <w:p w:rsidR="007E7835" w:rsidRPr="00186831" w:rsidRDefault="007E7835" w:rsidP="00A42A8F">
            <w:pPr>
              <w:rPr>
                <w:rFonts w:cs="Arial"/>
                <w:sz w:val="20"/>
                <w:szCs w:val="20"/>
              </w:rPr>
            </w:pPr>
            <w:r w:rsidRPr="00186831">
              <w:rPr>
                <w:rFonts w:cs="Arial"/>
                <w:sz w:val="20"/>
                <w:szCs w:val="20"/>
              </w:rPr>
              <w:t xml:space="preserve">Commercial sustainability of proposed operations </w:t>
            </w:r>
          </w:p>
        </w:tc>
        <w:tc>
          <w:tcPr>
            <w:tcW w:w="2370" w:type="dxa"/>
            <w:tcBorders>
              <w:top w:val="single" w:sz="8" w:space="0" w:color="000000"/>
              <w:left w:val="single" w:sz="8" w:space="0" w:color="000000"/>
              <w:bottom w:val="single" w:sz="8" w:space="0" w:color="000000"/>
              <w:right w:val="single" w:sz="8" w:space="0" w:color="000000"/>
            </w:tcBorders>
            <w:shd w:val="clear" w:color="auto" w:fill="66CCFF"/>
            <w:tcMar>
              <w:top w:w="72" w:type="dxa"/>
              <w:left w:w="144" w:type="dxa"/>
              <w:bottom w:w="72" w:type="dxa"/>
              <w:right w:w="144" w:type="dxa"/>
            </w:tcMar>
          </w:tcPr>
          <w:p w:rsidR="007E7835" w:rsidRPr="00F369D8" w:rsidRDefault="00090775" w:rsidP="00A42A8F">
            <w:pPr>
              <w:rPr>
                <w:b/>
              </w:rPr>
            </w:pPr>
            <w:r>
              <w:rPr>
                <w:rFonts w:cs="Arial"/>
                <w:sz w:val="20"/>
                <w:szCs w:val="20"/>
              </w:rPr>
              <w:t>B</w:t>
            </w:r>
            <w:r w:rsidR="007E7835" w:rsidRPr="00186831">
              <w:rPr>
                <w:rFonts w:cs="Arial"/>
                <w:sz w:val="20"/>
                <w:szCs w:val="20"/>
              </w:rPr>
              <w:t>enefit to the UK</w:t>
            </w:r>
            <w:r w:rsidR="007E7835">
              <w:rPr>
                <w:rFonts w:cs="Arial"/>
                <w:sz w:val="20"/>
                <w:szCs w:val="20"/>
              </w:rPr>
              <w:t xml:space="preserve"> </w:t>
            </w:r>
          </w:p>
        </w:tc>
        <w:tc>
          <w:tcPr>
            <w:tcW w:w="2371" w:type="dxa"/>
            <w:tcBorders>
              <w:top w:val="single" w:sz="8" w:space="0" w:color="000000"/>
              <w:left w:val="single" w:sz="8" w:space="0" w:color="000000"/>
              <w:bottom w:val="single" w:sz="8" w:space="0" w:color="000000"/>
              <w:right w:val="single" w:sz="8" w:space="0" w:color="000000"/>
            </w:tcBorders>
            <w:shd w:val="clear" w:color="auto" w:fill="E6E6A2"/>
          </w:tcPr>
          <w:p w:rsidR="007E7835" w:rsidRPr="00F369D8" w:rsidRDefault="007E7835" w:rsidP="00A42A8F">
            <w:pPr>
              <w:rPr>
                <w:b/>
              </w:rPr>
            </w:pPr>
            <w:r w:rsidRPr="00512866">
              <w:rPr>
                <w:rFonts w:cs="Arial"/>
                <w:sz w:val="20"/>
                <w:szCs w:val="20"/>
              </w:rPr>
              <w:t>Sound management and planning</w:t>
            </w:r>
          </w:p>
        </w:tc>
        <w:tc>
          <w:tcPr>
            <w:tcW w:w="2371" w:type="dxa"/>
            <w:tcBorders>
              <w:top w:val="single" w:sz="8" w:space="0" w:color="000000"/>
              <w:left w:val="single" w:sz="8" w:space="0" w:color="000000"/>
              <w:bottom w:val="single" w:sz="8" w:space="0" w:color="000000"/>
              <w:right w:val="single" w:sz="8" w:space="0" w:color="000000"/>
            </w:tcBorders>
            <w:shd w:val="clear" w:color="auto" w:fill="EDCBB1"/>
          </w:tcPr>
          <w:p w:rsidR="007E7835" w:rsidRPr="00F369D8" w:rsidRDefault="007E7835" w:rsidP="00A42A8F">
            <w:pPr>
              <w:rPr>
                <w:b/>
              </w:rPr>
            </w:pPr>
            <w:r w:rsidRPr="00C147DB">
              <w:rPr>
                <w:rFonts w:cs="Arial"/>
                <w:sz w:val="20"/>
                <w:szCs w:val="20"/>
              </w:rPr>
              <w:t>Financial viability of the organisations involved and their commitment to the success of the project</w:t>
            </w:r>
          </w:p>
        </w:tc>
      </w:tr>
      <w:tr w:rsidR="007E7835" w:rsidRPr="00F369D8" w:rsidTr="00A42A8F">
        <w:trPr>
          <w:cantSplit/>
          <w:trHeight w:val="677"/>
        </w:trPr>
        <w:tc>
          <w:tcPr>
            <w:tcW w:w="1758" w:type="dxa"/>
            <w:tcBorders>
              <w:top w:val="single" w:sz="8" w:space="0" w:color="000000"/>
              <w:left w:val="single" w:sz="4"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E7835" w:rsidRPr="00F369D8" w:rsidRDefault="007E7835" w:rsidP="00A42A8F">
            <w:pPr>
              <w:rPr>
                <w:b/>
              </w:rPr>
            </w:pPr>
            <w:r w:rsidRPr="00F369D8">
              <w:rPr>
                <w:b/>
              </w:rPr>
              <w:t>Score</w:t>
            </w:r>
          </w:p>
        </w:tc>
        <w:tc>
          <w:tcPr>
            <w:tcW w:w="2370" w:type="dxa"/>
            <w:tcBorders>
              <w:top w:val="single" w:sz="8" w:space="0" w:color="000000"/>
              <w:left w:val="single" w:sz="8" w:space="0" w:color="000000"/>
              <w:bottom w:val="single" w:sz="8" w:space="0" w:color="000000"/>
              <w:right w:val="single" w:sz="8" w:space="0" w:color="000000"/>
            </w:tcBorders>
          </w:tcPr>
          <w:p w:rsidR="007E7835" w:rsidRPr="00F369D8" w:rsidRDefault="007E7835" w:rsidP="00A42A8F"/>
        </w:tc>
        <w:tc>
          <w:tcPr>
            <w:tcW w:w="2371" w:type="dxa"/>
            <w:tcBorders>
              <w:top w:val="single" w:sz="8" w:space="0" w:color="000000"/>
              <w:left w:val="single" w:sz="8" w:space="0" w:color="000000"/>
              <w:bottom w:val="single" w:sz="8" w:space="0" w:color="000000"/>
              <w:right w:val="single" w:sz="8" w:space="0" w:color="000000"/>
            </w:tcBorders>
          </w:tcPr>
          <w:p w:rsidR="007E7835" w:rsidRPr="00F369D8" w:rsidRDefault="007E7835" w:rsidP="00A42A8F"/>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E7835" w:rsidRPr="00F369D8" w:rsidRDefault="007E7835" w:rsidP="00A42A8F"/>
        </w:tc>
        <w:tc>
          <w:tcPr>
            <w:tcW w:w="2371" w:type="dxa"/>
            <w:tcBorders>
              <w:top w:val="single" w:sz="8" w:space="0" w:color="000000"/>
              <w:left w:val="single" w:sz="8" w:space="0" w:color="000000"/>
              <w:bottom w:val="single" w:sz="8" w:space="0" w:color="000000"/>
              <w:right w:val="single" w:sz="8" w:space="0" w:color="000000"/>
            </w:tcBorders>
          </w:tcPr>
          <w:p w:rsidR="007E7835" w:rsidRPr="00F369D8" w:rsidRDefault="007E7835" w:rsidP="00A42A8F"/>
        </w:tc>
        <w:tc>
          <w:tcPr>
            <w:tcW w:w="2371" w:type="dxa"/>
            <w:tcBorders>
              <w:top w:val="single" w:sz="8" w:space="0" w:color="000000"/>
              <w:left w:val="single" w:sz="8" w:space="0" w:color="000000"/>
              <w:bottom w:val="single" w:sz="8" w:space="0" w:color="000000"/>
              <w:right w:val="single" w:sz="8" w:space="0" w:color="000000"/>
            </w:tcBorders>
          </w:tcPr>
          <w:p w:rsidR="007E7835" w:rsidRPr="00F369D8" w:rsidRDefault="00133026" w:rsidP="00090775">
            <w:pPr>
              <w:jc w:val="center"/>
            </w:pPr>
            <w:r>
              <w:t>PASS/FAIL</w:t>
            </w:r>
          </w:p>
        </w:tc>
      </w:tr>
      <w:tr w:rsidR="007E7835" w:rsidRPr="00F369D8" w:rsidTr="00A42A8F">
        <w:trPr>
          <w:cantSplit/>
          <w:trHeight w:val="2494"/>
        </w:trPr>
        <w:tc>
          <w:tcPr>
            <w:tcW w:w="1758" w:type="dxa"/>
            <w:tcBorders>
              <w:top w:val="single" w:sz="8" w:space="0" w:color="000000"/>
              <w:left w:val="single" w:sz="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E7835" w:rsidRPr="00F369D8" w:rsidRDefault="007E7835" w:rsidP="00A42A8F">
            <w:pPr>
              <w:rPr>
                <w:b/>
                <w:bCs/>
              </w:rPr>
            </w:pPr>
            <w:r w:rsidRPr="00F369D8">
              <w:rPr>
                <w:b/>
                <w:bCs/>
              </w:rPr>
              <w:t>Comments (Justification for the score in a few sentences)</w:t>
            </w:r>
          </w:p>
        </w:tc>
        <w:tc>
          <w:tcPr>
            <w:tcW w:w="2370" w:type="dxa"/>
            <w:tcBorders>
              <w:top w:val="single" w:sz="8" w:space="0" w:color="000000"/>
              <w:left w:val="single" w:sz="8" w:space="0" w:color="000000"/>
              <w:bottom w:val="single" w:sz="8" w:space="0" w:color="000000"/>
              <w:right w:val="single" w:sz="8" w:space="0" w:color="000000"/>
            </w:tcBorders>
          </w:tcPr>
          <w:p w:rsidR="007E7835" w:rsidRPr="00F369D8" w:rsidRDefault="007E7835" w:rsidP="00A42A8F"/>
        </w:tc>
        <w:tc>
          <w:tcPr>
            <w:tcW w:w="2371" w:type="dxa"/>
            <w:tcBorders>
              <w:top w:val="single" w:sz="8" w:space="0" w:color="000000"/>
              <w:left w:val="single" w:sz="8" w:space="0" w:color="000000"/>
              <w:bottom w:val="single" w:sz="8" w:space="0" w:color="000000"/>
              <w:right w:val="single" w:sz="8" w:space="0" w:color="000000"/>
            </w:tcBorders>
          </w:tcPr>
          <w:p w:rsidR="007E7835" w:rsidRPr="00F369D8" w:rsidRDefault="007E7835" w:rsidP="00A42A8F"/>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E7835" w:rsidRPr="00F369D8" w:rsidRDefault="007E7835" w:rsidP="00A42A8F"/>
        </w:tc>
        <w:tc>
          <w:tcPr>
            <w:tcW w:w="2371" w:type="dxa"/>
            <w:tcBorders>
              <w:top w:val="single" w:sz="8" w:space="0" w:color="000000"/>
              <w:left w:val="single" w:sz="8" w:space="0" w:color="000000"/>
              <w:bottom w:val="single" w:sz="8" w:space="0" w:color="000000"/>
              <w:right w:val="single" w:sz="8" w:space="0" w:color="000000"/>
            </w:tcBorders>
          </w:tcPr>
          <w:p w:rsidR="007E7835" w:rsidRPr="00F369D8" w:rsidRDefault="007E7835" w:rsidP="00A42A8F"/>
        </w:tc>
        <w:tc>
          <w:tcPr>
            <w:tcW w:w="2371" w:type="dxa"/>
            <w:tcBorders>
              <w:top w:val="single" w:sz="8" w:space="0" w:color="000000"/>
              <w:left w:val="single" w:sz="8" w:space="0" w:color="000000"/>
              <w:bottom w:val="single" w:sz="8" w:space="0" w:color="000000"/>
              <w:right w:val="single" w:sz="8" w:space="0" w:color="000000"/>
            </w:tcBorders>
          </w:tcPr>
          <w:p w:rsidR="007E7835" w:rsidRPr="00F369D8" w:rsidRDefault="007E7835" w:rsidP="00A42A8F"/>
        </w:tc>
      </w:tr>
    </w:tbl>
    <w:p w:rsidR="007E7835" w:rsidRDefault="007E7835" w:rsidP="007E7835">
      <w:pPr>
        <w:rPr>
          <w:b/>
        </w:rPr>
      </w:pPr>
    </w:p>
    <w:p w:rsidR="007E7835" w:rsidRPr="00F369D8" w:rsidRDefault="007E7835" w:rsidP="007E7835">
      <w:pPr>
        <w:rPr>
          <w:b/>
        </w:rPr>
      </w:pPr>
      <w:r w:rsidRPr="00F369D8">
        <w:rPr>
          <w:b/>
        </w:rPr>
        <w:t>Narrative justifying the assessment (200 words maximum):</w:t>
      </w:r>
    </w:p>
    <w:p w:rsidR="007E7835" w:rsidRDefault="007E7835" w:rsidP="007E7835"/>
    <w:p w:rsidR="007E7835" w:rsidRPr="000461C3" w:rsidRDefault="007E7835" w:rsidP="007E7835">
      <w:pPr>
        <w:rPr>
          <w:sz w:val="24"/>
          <w:szCs w:val="24"/>
        </w:rPr>
      </w:pPr>
    </w:p>
    <w:p w:rsidR="00253DD5" w:rsidRDefault="00253DD5" w:rsidP="007E7835">
      <w:pPr>
        <w:autoSpaceDE w:val="0"/>
        <w:autoSpaceDN w:val="0"/>
        <w:adjustRightInd w:val="0"/>
      </w:pPr>
    </w:p>
    <w:sectPr w:rsidR="00253DD5" w:rsidSect="00C514C3">
      <w:pgSz w:w="16838" w:h="11906" w:orient="landscape"/>
      <w:pgMar w:top="1418" w:right="1440" w:bottom="4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14B28"/>
    <w:multiLevelType w:val="hybridMultilevel"/>
    <w:tmpl w:val="570CE62C"/>
    <w:lvl w:ilvl="0" w:tplc="0809000F">
      <w:start w:val="1"/>
      <w:numFmt w:val="decimal"/>
      <w:lvlText w:val="%1."/>
      <w:lvlJc w:val="left"/>
      <w:pPr>
        <w:ind w:left="360" w:hanging="360"/>
      </w:pPr>
    </w:lvl>
    <w:lvl w:ilvl="1" w:tplc="CAA26816">
      <w:start w:val="1"/>
      <w:numFmt w:val="lowerLetter"/>
      <w:lvlText w:val="%2."/>
      <w:lvlJc w:val="left"/>
      <w:pPr>
        <w:ind w:left="1080" w:hanging="360"/>
      </w:pPr>
      <w:rPr>
        <w:b w:val="0"/>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AC24B12"/>
    <w:multiLevelType w:val="hybridMultilevel"/>
    <w:tmpl w:val="74BE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A67A9C"/>
    <w:multiLevelType w:val="hybridMultilevel"/>
    <w:tmpl w:val="F9FC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070E1C"/>
    <w:multiLevelType w:val="hybridMultilevel"/>
    <w:tmpl w:val="02109F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8B138C"/>
    <w:multiLevelType w:val="hybridMultilevel"/>
    <w:tmpl w:val="2D16F8E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F3"/>
    <w:rsid w:val="00000363"/>
    <w:rsid w:val="00002B16"/>
    <w:rsid w:val="0003041F"/>
    <w:rsid w:val="000373D0"/>
    <w:rsid w:val="00044B0D"/>
    <w:rsid w:val="00054DD2"/>
    <w:rsid w:val="0007164F"/>
    <w:rsid w:val="00071C31"/>
    <w:rsid w:val="0007720B"/>
    <w:rsid w:val="0008231C"/>
    <w:rsid w:val="00085CD6"/>
    <w:rsid w:val="00086F16"/>
    <w:rsid w:val="00090775"/>
    <w:rsid w:val="000A1A39"/>
    <w:rsid w:val="000A32D9"/>
    <w:rsid w:val="000A62FB"/>
    <w:rsid w:val="000B08DC"/>
    <w:rsid w:val="000B15FB"/>
    <w:rsid w:val="000C31D2"/>
    <w:rsid w:val="000C54E4"/>
    <w:rsid w:val="000D6C1A"/>
    <w:rsid w:val="000D7E80"/>
    <w:rsid w:val="000E435A"/>
    <w:rsid w:val="001005F6"/>
    <w:rsid w:val="00102DE6"/>
    <w:rsid w:val="001040A7"/>
    <w:rsid w:val="00111B8B"/>
    <w:rsid w:val="00111DFD"/>
    <w:rsid w:val="001278B7"/>
    <w:rsid w:val="001279A6"/>
    <w:rsid w:val="00133026"/>
    <w:rsid w:val="00135C91"/>
    <w:rsid w:val="00157566"/>
    <w:rsid w:val="00166899"/>
    <w:rsid w:val="00167410"/>
    <w:rsid w:val="00175B78"/>
    <w:rsid w:val="00186831"/>
    <w:rsid w:val="001A4469"/>
    <w:rsid w:val="001A60DC"/>
    <w:rsid w:val="001B676A"/>
    <w:rsid w:val="001C1C93"/>
    <w:rsid w:val="001C6DFB"/>
    <w:rsid w:val="001D02CE"/>
    <w:rsid w:val="001D263D"/>
    <w:rsid w:val="001F0DF9"/>
    <w:rsid w:val="001F2F60"/>
    <w:rsid w:val="00200EEF"/>
    <w:rsid w:val="002018D9"/>
    <w:rsid w:val="002212F0"/>
    <w:rsid w:val="002233B1"/>
    <w:rsid w:val="0022429B"/>
    <w:rsid w:val="002249E9"/>
    <w:rsid w:val="002328CC"/>
    <w:rsid w:val="002348E3"/>
    <w:rsid w:val="0023626A"/>
    <w:rsid w:val="00237EA4"/>
    <w:rsid w:val="00242D29"/>
    <w:rsid w:val="00245007"/>
    <w:rsid w:val="00253DD5"/>
    <w:rsid w:val="00261D53"/>
    <w:rsid w:val="00266DCB"/>
    <w:rsid w:val="00284AA6"/>
    <w:rsid w:val="002963CE"/>
    <w:rsid w:val="002A6530"/>
    <w:rsid w:val="002A71DE"/>
    <w:rsid w:val="002A7361"/>
    <w:rsid w:val="002B3843"/>
    <w:rsid w:val="002B7AB4"/>
    <w:rsid w:val="002C2E84"/>
    <w:rsid w:val="002D0486"/>
    <w:rsid w:val="002D24B5"/>
    <w:rsid w:val="002D28AB"/>
    <w:rsid w:val="002D42BF"/>
    <w:rsid w:val="002E0011"/>
    <w:rsid w:val="002E2121"/>
    <w:rsid w:val="002E3C9C"/>
    <w:rsid w:val="0031234E"/>
    <w:rsid w:val="00317928"/>
    <w:rsid w:val="00327341"/>
    <w:rsid w:val="0033518A"/>
    <w:rsid w:val="003357EA"/>
    <w:rsid w:val="00336709"/>
    <w:rsid w:val="00342291"/>
    <w:rsid w:val="00342560"/>
    <w:rsid w:val="00343BF7"/>
    <w:rsid w:val="00344670"/>
    <w:rsid w:val="003473DB"/>
    <w:rsid w:val="00350137"/>
    <w:rsid w:val="003517ED"/>
    <w:rsid w:val="00356493"/>
    <w:rsid w:val="00360C34"/>
    <w:rsid w:val="00362D84"/>
    <w:rsid w:val="003654A8"/>
    <w:rsid w:val="00377D30"/>
    <w:rsid w:val="00385597"/>
    <w:rsid w:val="00387C56"/>
    <w:rsid w:val="00390999"/>
    <w:rsid w:val="00394096"/>
    <w:rsid w:val="003946E9"/>
    <w:rsid w:val="00394778"/>
    <w:rsid w:val="00394813"/>
    <w:rsid w:val="00396275"/>
    <w:rsid w:val="003A17CD"/>
    <w:rsid w:val="003B0C60"/>
    <w:rsid w:val="003C67B7"/>
    <w:rsid w:val="003C6BD6"/>
    <w:rsid w:val="003D4469"/>
    <w:rsid w:val="003E1AE8"/>
    <w:rsid w:val="003E37E0"/>
    <w:rsid w:val="003E50DB"/>
    <w:rsid w:val="003F3206"/>
    <w:rsid w:val="00406561"/>
    <w:rsid w:val="00426152"/>
    <w:rsid w:val="004315B1"/>
    <w:rsid w:val="004402D9"/>
    <w:rsid w:val="0044043C"/>
    <w:rsid w:val="00442BFD"/>
    <w:rsid w:val="00455BC2"/>
    <w:rsid w:val="004606CD"/>
    <w:rsid w:val="00461DE7"/>
    <w:rsid w:val="0046303F"/>
    <w:rsid w:val="00477EB1"/>
    <w:rsid w:val="00484E1B"/>
    <w:rsid w:val="0048558A"/>
    <w:rsid w:val="0049008B"/>
    <w:rsid w:val="00490802"/>
    <w:rsid w:val="00493588"/>
    <w:rsid w:val="004B2B10"/>
    <w:rsid w:val="004B4647"/>
    <w:rsid w:val="004B4820"/>
    <w:rsid w:val="004C120C"/>
    <w:rsid w:val="004C5DFB"/>
    <w:rsid w:val="004D5E60"/>
    <w:rsid w:val="004E0235"/>
    <w:rsid w:val="004F138F"/>
    <w:rsid w:val="00512866"/>
    <w:rsid w:val="00513B79"/>
    <w:rsid w:val="005212E4"/>
    <w:rsid w:val="00521AE9"/>
    <w:rsid w:val="00523735"/>
    <w:rsid w:val="0052524E"/>
    <w:rsid w:val="005318CB"/>
    <w:rsid w:val="0054556D"/>
    <w:rsid w:val="00545859"/>
    <w:rsid w:val="00552780"/>
    <w:rsid w:val="00553D22"/>
    <w:rsid w:val="00554294"/>
    <w:rsid w:val="0056132A"/>
    <w:rsid w:val="00565B2D"/>
    <w:rsid w:val="00573592"/>
    <w:rsid w:val="00584270"/>
    <w:rsid w:val="00591B7A"/>
    <w:rsid w:val="00592C7E"/>
    <w:rsid w:val="005A385E"/>
    <w:rsid w:val="005B0179"/>
    <w:rsid w:val="005B1E7B"/>
    <w:rsid w:val="005B3D86"/>
    <w:rsid w:val="005B77D0"/>
    <w:rsid w:val="005C201D"/>
    <w:rsid w:val="005C37D7"/>
    <w:rsid w:val="005C3A34"/>
    <w:rsid w:val="005C3FD5"/>
    <w:rsid w:val="005C74F0"/>
    <w:rsid w:val="005D08D6"/>
    <w:rsid w:val="005D08E6"/>
    <w:rsid w:val="005D282B"/>
    <w:rsid w:val="005D5710"/>
    <w:rsid w:val="005E23BB"/>
    <w:rsid w:val="005E29D4"/>
    <w:rsid w:val="005E3C9C"/>
    <w:rsid w:val="005E4E7D"/>
    <w:rsid w:val="005E7915"/>
    <w:rsid w:val="005F0783"/>
    <w:rsid w:val="006013D2"/>
    <w:rsid w:val="00624EBE"/>
    <w:rsid w:val="00624FF6"/>
    <w:rsid w:val="00630763"/>
    <w:rsid w:val="00631259"/>
    <w:rsid w:val="006366E3"/>
    <w:rsid w:val="0064179E"/>
    <w:rsid w:val="00651394"/>
    <w:rsid w:val="00654424"/>
    <w:rsid w:val="006625D5"/>
    <w:rsid w:val="006653F3"/>
    <w:rsid w:val="00674439"/>
    <w:rsid w:val="006747F8"/>
    <w:rsid w:val="00685BED"/>
    <w:rsid w:val="00697A4F"/>
    <w:rsid w:val="006A61CC"/>
    <w:rsid w:val="006B415E"/>
    <w:rsid w:val="006B6AC6"/>
    <w:rsid w:val="006C240D"/>
    <w:rsid w:val="006C6CC9"/>
    <w:rsid w:val="006C7159"/>
    <w:rsid w:val="006D2BA1"/>
    <w:rsid w:val="00711F50"/>
    <w:rsid w:val="00714E14"/>
    <w:rsid w:val="00715B1B"/>
    <w:rsid w:val="0073538E"/>
    <w:rsid w:val="00735665"/>
    <w:rsid w:val="007456CF"/>
    <w:rsid w:val="00762FCF"/>
    <w:rsid w:val="007707CB"/>
    <w:rsid w:val="00773604"/>
    <w:rsid w:val="0077710F"/>
    <w:rsid w:val="0079705B"/>
    <w:rsid w:val="007A4A25"/>
    <w:rsid w:val="007C15E1"/>
    <w:rsid w:val="007D3415"/>
    <w:rsid w:val="007E1363"/>
    <w:rsid w:val="007E2950"/>
    <w:rsid w:val="007E3264"/>
    <w:rsid w:val="007E7835"/>
    <w:rsid w:val="007F0DDE"/>
    <w:rsid w:val="007F1351"/>
    <w:rsid w:val="007F7E70"/>
    <w:rsid w:val="007F7E91"/>
    <w:rsid w:val="0081016E"/>
    <w:rsid w:val="00816626"/>
    <w:rsid w:val="0083594B"/>
    <w:rsid w:val="00842493"/>
    <w:rsid w:val="00845AE6"/>
    <w:rsid w:val="00856084"/>
    <w:rsid w:val="00857A15"/>
    <w:rsid w:val="008600F6"/>
    <w:rsid w:val="0086051F"/>
    <w:rsid w:val="00862924"/>
    <w:rsid w:val="008764AC"/>
    <w:rsid w:val="00891595"/>
    <w:rsid w:val="008925F5"/>
    <w:rsid w:val="00896F75"/>
    <w:rsid w:val="00897DD1"/>
    <w:rsid w:val="008A3493"/>
    <w:rsid w:val="008A35F6"/>
    <w:rsid w:val="008A4659"/>
    <w:rsid w:val="008B6F2F"/>
    <w:rsid w:val="008B78D0"/>
    <w:rsid w:val="008C4346"/>
    <w:rsid w:val="008D0901"/>
    <w:rsid w:val="008D0D4E"/>
    <w:rsid w:val="008D4B4A"/>
    <w:rsid w:val="008E270E"/>
    <w:rsid w:val="008E3F51"/>
    <w:rsid w:val="008E73A5"/>
    <w:rsid w:val="008E77EC"/>
    <w:rsid w:val="00922E9F"/>
    <w:rsid w:val="00930C8F"/>
    <w:rsid w:val="00937E3C"/>
    <w:rsid w:val="00951790"/>
    <w:rsid w:val="00955554"/>
    <w:rsid w:val="00957738"/>
    <w:rsid w:val="009624D6"/>
    <w:rsid w:val="00987484"/>
    <w:rsid w:val="0099279C"/>
    <w:rsid w:val="00992CFA"/>
    <w:rsid w:val="009A6C77"/>
    <w:rsid w:val="009B0665"/>
    <w:rsid w:val="009B0E7F"/>
    <w:rsid w:val="009B1B33"/>
    <w:rsid w:val="009B49AA"/>
    <w:rsid w:val="009B6C3B"/>
    <w:rsid w:val="009D17F9"/>
    <w:rsid w:val="009E0B7E"/>
    <w:rsid w:val="009F07EB"/>
    <w:rsid w:val="00A016EC"/>
    <w:rsid w:val="00A03D4C"/>
    <w:rsid w:val="00A03E67"/>
    <w:rsid w:val="00A0612B"/>
    <w:rsid w:val="00A2077E"/>
    <w:rsid w:val="00A21C8E"/>
    <w:rsid w:val="00A23469"/>
    <w:rsid w:val="00A25A0A"/>
    <w:rsid w:val="00A26370"/>
    <w:rsid w:val="00A300D5"/>
    <w:rsid w:val="00A314AE"/>
    <w:rsid w:val="00A33E67"/>
    <w:rsid w:val="00A411D7"/>
    <w:rsid w:val="00A41420"/>
    <w:rsid w:val="00A47D0B"/>
    <w:rsid w:val="00A57C07"/>
    <w:rsid w:val="00A631AC"/>
    <w:rsid w:val="00A719A2"/>
    <w:rsid w:val="00A7217F"/>
    <w:rsid w:val="00A76CFE"/>
    <w:rsid w:val="00A77ADB"/>
    <w:rsid w:val="00A81FD9"/>
    <w:rsid w:val="00A86741"/>
    <w:rsid w:val="00A944D2"/>
    <w:rsid w:val="00AA3A15"/>
    <w:rsid w:val="00AA78BF"/>
    <w:rsid w:val="00AB0781"/>
    <w:rsid w:val="00AB549F"/>
    <w:rsid w:val="00AC283F"/>
    <w:rsid w:val="00AD1154"/>
    <w:rsid w:val="00AE59F6"/>
    <w:rsid w:val="00B03C4E"/>
    <w:rsid w:val="00B05557"/>
    <w:rsid w:val="00B061F3"/>
    <w:rsid w:val="00B31116"/>
    <w:rsid w:val="00B372FC"/>
    <w:rsid w:val="00B42DD0"/>
    <w:rsid w:val="00B501DF"/>
    <w:rsid w:val="00B56B25"/>
    <w:rsid w:val="00B57849"/>
    <w:rsid w:val="00B63DDC"/>
    <w:rsid w:val="00B64DD3"/>
    <w:rsid w:val="00B6510D"/>
    <w:rsid w:val="00B9008B"/>
    <w:rsid w:val="00B93C50"/>
    <w:rsid w:val="00BA334E"/>
    <w:rsid w:val="00BA4FE7"/>
    <w:rsid w:val="00BB2A46"/>
    <w:rsid w:val="00BB2F7B"/>
    <w:rsid w:val="00BB4B80"/>
    <w:rsid w:val="00BB4E92"/>
    <w:rsid w:val="00BC11BC"/>
    <w:rsid w:val="00BC5A08"/>
    <w:rsid w:val="00BC6372"/>
    <w:rsid w:val="00BE601E"/>
    <w:rsid w:val="00BE6FE8"/>
    <w:rsid w:val="00C01B35"/>
    <w:rsid w:val="00C147DB"/>
    <w:rsid w:val="00C2307A"/>
    <w:rsid w:val="00C242AA"/>
    <w:rsid w:val="00C2684B"/>
    <w:rsid w:val="00C270B0"/>
    <w:rsid w:val="00C32815"/>
    <w:rsid w:val="00C3532C"/>
    <w:rsid w:val="00C35D6F"/>
    <w:rsid w:val="00C41A5D"/>
    <w:rsid w:val="00C514C3"/>
    <w:rsid w:val="00C53FA3"/>
    <w:rsid w:val="00C54B10"/>
    <w:rsid w:val="00C64430"/>
    <w:rsid w:val="00C66787"/>
    <w:rsid w:val="00C75B46"/>
    <w:rsid w:val="00C76B33"/>
    <w:rsid w:val="00C85739"/>
    <w:rsid w:val="00C86731"/>
    <w:rsid w:val="00C97020"/>
    <w:rsid w:val="00CA2E58"/>
    <w:rsid w:val="00CA4DA6"/>
    <w:rsid w:val="00CC38C4"/>
    <w:rsid w:val="00CC5595"/>
    <w:rsid w:val="00CE2272"/>
    <w:rsid w:val="00CE2D40"/>
    <w:rsid w:val="00CE41E3"/>
    <w:rsid w:val="00CE6815"/>
    <w:rsid w:val="00CE6BE8"/>
    <w:rsid w:val="00CF05B6"/>
    <w:rsid w:val="00D00DEC"/>
    <w:rsid w:val="00D0379D"/>
    <w:rsid w:val="00D039DA"/>
    <w:rsid w:val="00D075A8"/>
    <w:rsid w:val="00D20E30"/>
    <w:rsid w:val="00D25F94"/>
    <w:rsid w:val="00D2719E"/>
    <w:rsid w:val="00D309B1"/>
    <w:rsid w:val="00D528B4"/>
    <w:rsid w:val="00D5383F"/>
    <w:rsid w:val="00D53C13"/>
    <w:rsid w:val="00D628DC"/>
    <w:rsid w:val="00D67D85"/>
    <w:rsid w:val="00D743CB"/>
    <w:rsid w:val="00D77BBA"/>
    <w:rsid w:val="00D8102D"/>
    <w:rsid w:val="00D92B4D"/>
    <w:rsid w:val="00D93922"/>
    <w:rsid w:val="00DA1D27"/>
    <w:rsid w:val="00DB0F06"/>
    <w:rsid w:val="00DB1C47"/>
    <w:rsid w:val="00DB48EA"/>
    <w:rsid w:val="00DB4A87"/>
    <w:rsid w:val="00DC780D"/>
    <w:rsid w:val="00DD59B9"/>
    <w:rsid w:val="00DE5E32"/>
    <w:rsid w:val="00DF4C7C"/>
    <w:rsid w:val="00E024C4"/>
    <w:rsid w:val="00E03E9E"/>
    <w:rsid w:val="00E11A0F"/>
    <w:rsid w:val="00E120C9"/>
    <w:rsid w:val="00E2423E"/>
    <w:rsid w:val="00E24402"/>
    <w:rsid w:val="00E2641B"/>
    <w:rsid w:val="00E317F3"/>
    <w:rsid w:val="00E35E6D"/>
    <w:rsid w:val="00E35FED"/>
    <w:rsid w:val="00E428F1"/>
    <w:rsid w:val="00E479DD"/>
    <w:rsid w:val="00E53E75"/>
    <w:rsid w:val="00E635FB"/>
    <w:rsid w:val="00E73E49"/>
    <w:rsid w:val="00E77834"/>
    <w:rsid w:val="00E91377"/>
    <w:rsid w:val="00E925B1"/>
    <w:rsid w:val="00E9568B"/>
    <w:rsid w:val="00EA401F"/>
    <w:rsid w:val="00EA657C"/>
    <w:rsid w:val="00EA7DBA"/>
    <w:rsid w:val="00EB02C0"/>
    <w:rsid w:val="00EB2A23"/>
    <w:rsid w:val="00EB643C"/>
    <w:rsid w:val="00ED4EF0"/>
    <w:rsid w:val="00EE44C4"/>
    <w:rsid w:val="00EE4E70"/>
    <w:rsid w:val="00EE528E"/>
    <w:rsid w:val="00EF2A80"/>
    <w:rsid w:val="00EF42C1"/>
    <w:rsid w:val="00F13278"/>
    <w:rsid w:val="00F2497B"/>
    <w:rsid w:val="00F369D8"/>
    <w:rsid w:val="00F37082"/>
    <w:rsid w:val="00F43DDF"/>
    <w:rsid w:val="00F57D0D"/>
    <w:rsid w:val="00F641AD"/>
    <w:rsid w:val="00F778A3"/>
    <w:rsid w:val="00F90AD2"/>
    <w:rsid w:val="00FA1885"/>
    <w:rsid w:val="00FB1CC7"/>
    <w:rsid w:val="00FC7E64"/>
    <w:rsid w:val="00FD6105"/>
    <w:rsid w:val="00FE353F"/>
    <w:rsid w:val="00FE4C32"/>
    <w:rsid w:val="00FE7DFC"/>
    <w:rsid w:val="00FF3C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3F3"/>
    <w:pPr>
      <w:spacing w:after="200" w:line="276" w:lineRule="auto"/>
    </w:pPr>
    <w:rPr>
      <w:rFonts w:ascii="Calibri" w:hAnsi="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53F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B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415E"/>
    <w:rPr>
      <w:rFonts w:ascii="Tahoma" w:hAnsi="Tahoma" w:cs="Tahoma"/>
      <w:sz w:val="16"/>
      <w:szCs w:val="16"/>
      <w:lang w:eastAsia="en-GB"/>
    </w:rPr>
  </w:style>
  <w:style w:type="character" w:styleId="CommentReference">
    <w:name w:val="annotation reference"/>
    <w:basedOn w:val="DefaultParagraphFont"/>
    <w:rsid w:val="004B4820"/>
    <w:rPr>
      <w:sz w:val="16"/>
      <w:szCs w:val="16"/>
    </w:rPr>
  </w:style>
  <w:style w:type="paragraph" w:styleId="CommentText">
    <w:name w:val="annotation text"/>
    <w:basedOn w:val="Normal"/>
    <w:link w:val="CommentTextChar"/>
    <w:rsid w:val="004B4820"/>
    <w:pPr>
      <w:spacing w:line="240" w:lineRule="auto"/>
    </w:pPr>
    <w:rPr>
      <w:sz w:val="20"/>
      <w:szCs w:val="20"/>
    </w:rPr>
  </w:style>
  <w:style w:type="character" w:customStyle="1" w:styleId="CommentTextChar">
    <w:name w:val="Comment Text Char"/>
    <w:basedOn w:val="DefaultParagraphFont"/>
    <w:link w:val="CommentText"/>
    <w:rsid w:val="004B4820"/>
    <w:rPr>
      <w:rFonts w:ascii="Calibri" w:hAnsi="Calibri"/>
      <w:lang w:eastAsia="en-GB"/>
    </w:rPr>
  </w:style>
  <w:style w:type="paragraph" w:styleId="CommentSubject">
    <w:name w:val="annotation subject"/>
    <w:basedOn w:val="CommentText"/>
    <w:next w:val="CommentText"/>
    <w:link w:val="CommentSubjectChar"/>
    <w:rsid w:val="004B4820"/>
    <w:rPr>
      <w:b/>
      <w:bCs/>
    </w:rPr>
  </w:style>
  <w:style w:type="character" w:customStyle="1" w:styleId="CommentSubjectChar">
    <w:name w:val="Comment Subject Char"/>
    <w:basedOn w:val="CommentTextChar"/>
    <w:link w:val="CommentSubject"/>
    <w:rsid w:val="004B4820"/>
    <w:rPr>
      <w:rFonts w:ascii="Calibri" w:hAnsi="Calibri"/>
      <w:b/>
      <w:bCs/>
      <w:lang w:eastAsia="en-GB"/>
    </w:rPr>
  </w:style>
  <w:style w:type="paragraph" w:styleId="ListParagraph">
    <w:name w:val="List Paragraph"/>
    <w:aliases w:val="Bullet"/>
    <w:basedOn w:val="Normal"/>
    <w:link w:val="ListParagraphChar"/>
    <w:uiPriority w:val="34"/>
    <w:qFormat/>
    <w:rsid w:val="00266DCB"/>
    <w:pPr>
      <w:ind w:left="720"/>
      <w:contextualSpacing/>
    </w:pPr>
  </w:style>
  <w:style w:type="character" w:styleId="Hyperlink">
    <w:name w:val="Hyperlink"/>
    <w:basedOn w:val="DefaultParagraphFont"/>
    <w:rsid w:val="00DA1D27"/>
    <w:rPr>
      <w:color w:val="0563C1" w:themeColor="hyperlink"/>
      <w:u w:val="single"/>
    </w:rPr>
  </w:style>
  <w:style w:type="paragraph" w:styleId="Revision">
    <w:name w:val="Revision"/>
    <w:hidden/>
    <w:uiPriority w:val="71"/>
    <w:rsid w:val="00344670"/>
    <w:rPr>
      <w:rFonts w:ascii="Calibri" w:hAnsi="Calibri"/>
      <w:sz w:val="22"/>
      <w:szCs w:val="22"/>
      <w:lang w:eastAsia="en-GB"/>
    </w:rPr>
  </w:style>
  <w:style w:type="table" w:customStyle="1" w:styleId="TableGrid1">
    <w:name w:val="Table Grid1"/>
    <w:basedOn w:val="TableNormal"/>
    <w:next w:val="TableGrid"/>
    <w:uiPriority w:val="59"/>
    <w:rsid w:val="00D039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
    <w:link w:val="ListParagraph"/>
    <w:uiPriority w:val="34"/>
    <w:rsid w:val="0008231C"/>
    <w:rPr>
      <w:rFonts w:ascii="Calibri" w:hAnsi="Calibri"/>
      <w:sz w:val="22"/>
      <w:szCs w:val="22"/>
      <w:lang w:eastAsia="en-GB"/>
    </w:rPr>
  </w:style>
  <w:style w:type="table" w:customStyle="1" w:styleId="TableGrid11">
    <w:name w:val="Table Grid11"/>
    <w:basedOn w:val="TableNormal"/>
    <w:next w:val="TableGrid"/>
    <w:uiPriority w:val="59"/>
    <w:rsid w:val="005E4E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E7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3F3"/>
    <w:pPr>
      <w:spacing w:after="200" w:line="276" w:lineRule="auto"/>
    </w:pPr>
    <w:rPr>
      <w:rFonts w:ascii="Calibri" w:hAnsi="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53F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B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415E"/>
    <w:rPr>
      <w:rFonts w:ascii="Tahoma" w:hAnsi="Tahoma" w:cs="Tahoma"/>
      <w:sz w:val="16"/>
      <w:szCs w:val="16"/>
      <w:lang w:eastAsia="en-GB"/>
    </w:rPr>
  </w:style>
  <w:style w:type="character" w:styleId="CommentReference">
    <w:name w:val="annotation reference"/>
    <w:basedOn w:val="DefaultParagraphFont"/>
    <w:rsid w:val="004B4820"/>
    <w:rPr>
      <w:sz w:val="16"/>
      <w:szCs w:val="16"/>
    </w:rPr>
  </w:style>
  <w:style w:type="paragraph" w:styleId="CommentText">
    <w:name w:val="annotation text"/>
    <w:basedOn w:val="Normal"/>
    <w:link w:val="CommentTextChar"/>
    <w:rsid w:val="004B4820"/>
    <w:pPr>
      <w:spacing w:line="240" w:lineRule="auto"/>
    </w:pPr>
    <w:rPr>
      <w:sz w:val="20"/>
      <w:szCs w:val="20"/>
    </w:rPr>
  </w:style>
  <w:style w:type="character" w:customStyle="1" w:styleId="CommentTextChar">
    <w:name w:val="Comment Text Char"/>
    <w:basedOn w:val="DefaultParagraphFont"/>
    <w:link w:val="CommentText"/>
    <w:rsid w:val="004B4820"/>
    <w:rPr>
      <w:rFonts w:ascii="Calibri" w:hAnsi="Calibri"/>
      <w:lang w:eastAsia="en-GB"/>
    </w:rPr>
  </w:style>
  <w:style w:type="paragraph" w:styleId="CommentSubject">
    <w:name w:val="annotation subject"/>
    <w:basedOn w:val="CommentText"/>
    <w:next w:val="CommentText"/>
    <w:link w:val="CommentSubjectChar"/>
    <w:rsid w:val="004B4820"/>
    <w:rPr>
      <w:b/>
      <w:bCs/>
    </w:rPr>
  </w:style>
  <w:style w:type="character" w:customStyle="1" w:styleId="CommentSubjectChar">
    <w:name w:val="Comment Subject Char"/>
    <w:basedOn w:val="CommentTextChar"/>
    <w:link w:val="CommentSubject"/>
    <w:rsid w:val="004B4820"/>
    <w:rPr>
      <w:rFonts w:ascii="Calibri" w:hAnsi="Calibri"/>
      <w:b/>
      <w:bCs/>
      <w:lang w:eastAsia="en-GB"/>
    </w:rPr>
  </w:style>
  <w:style w:type="paragraph" w:styleId="ListParagraph">
    <w:name w:val="List Paragraph"/>
    <w:aliases w:val="Bullet"/>
    <w:basedOn w:val="Normal"/>
    <w:link w:val="ListParagraphChar"/>
    <w:uiPriority w:val="34"/>
    <w:qFormat/>
    <w:rsid w:val="00266DCB"/>
    <w:pPr>
      <w:ind w:left="720"/>
      <w:contextualSpacing/>
    </w:pPr>
  </w:style>
  <w:style w:type="character" w:styleId="Hyperlink">
    <w:name w:val="Hyperlink"/>
    <w:basedOn w:val="DefaultParagraphFont"/>
    <w:rsid w:val="00DA1D27"/>
    <w:rPr>
      <w:color w:val="0563C1" w:themeColor="hyperlink"/>
      <w:u w:val="single"/>
    </w:rPr>
  </w:style>
  <w:style w:type="paragraph" w:styleId="Revision">
    <w:name w:val="Revision"/>
    <w:hidden/>
    <w:uiPriority w:val="71"/>
    <w:rsid w:val="00344670"/>
    <w:rPr>
      <w:rFonts w:ascii="Calibri" w:hAnsi="Calibri"/>
      <w:sz w:val="22"/>
      <w:szCs w:val="22"/>
      <w:lang w:eastAsia="en-GB"/>
    </w:rPr>
  </w:style>
  <w:style w:type="table" w:customStyle="1" w:styleId="TableGrid1">
    <w:name w:val="Table Grid1"/>
    <w:basedOn w:val="TableNormal"/>
    <w:next w:val="TableGrid"/>
    <w:uiPriority w:val="59"/>
    <w:rsid w:val="00D039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
    <w:link w:val="ListParagraph"/>
    <w:uiPriority w:val="34"/>
    <w:rsid w:val="0008231C"/>
    <w:rPr>
      <w:rFonts w:ascii="Calibri" w:hAnsi="Calibri"/>
      <w:sz w:val="22"/>
      <w:szCs w:val="22"/>
      <w:lang w:eastAsia="en-GB"/>
    </w:rPr>
  </w:style>
  <w:style w:type="table" w:customStyle="1" w:styleId="TableGrid11">
    <w:name w:val="Table Grid11"/>
    <w:basedOn w:val="TableNormal"/>
    <w:next w:val="TableGrid"/>
    <w:uiPriority w:val="59"/>
    <w:rsid w:val="005E4E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E7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07813">
      <w:bodyDiv w:val="1"/>
      <w:marLeft w:val="0"/>
      <w:marRight w:val="0"/>
      <w:marTop w:val="0"/>
      <w:marBottom w:val="0"/>
      <w:divBdr>
        <w:top w:val="none" w:sz="0" w:space="0" w:color="auto"/>
        <w:left w:val="none" w:sz="0" w:space="0" w:color="auto"/>
        <w:bottom w:val="none" w:sz="0" w:space="0" w:color="auto"/>
        <w:right w:val="none" w:sz="0" w:space="0" w:color="auto"/>
      </w:divBdr>
      <w:divsChild>
        <w:div w:id="11150989">
          <w:marLeft w:val="0"/>
          <w:marRight w:val="0"/>
          <w:marTop w:val="0"/>
          <w:marBottom w:val="0"/>
          <w:divBdr>
            <w:top w:val="none" w:sz="0" w:space="0" w:color="auto"/>
            <w:left w:val="none" w:sz="0" w:space="0" w:color="auto"/>
            <w:bottom w:val="none" w:sz="0" w:space="0" w:color="auto"/>
            <w:right w:val="none" w:sz="0" w:space="0" w:color="auto"/>
          </w:divBdr>
        </w:div>
        <w:div w:id="2041540736">
          <w:marLeft w:val="0"/>
          <w:marRight w:val="0"/>
          <w:marTop w:val="0"/>
          <w:marBottom w:val="0"/>
          <w:divBdr>
            <w:top w:val="none" w:sz="0" w:space="0" w:color="auto"/>
            <w:left w:val="none" w:sz="0" w:space="0" w:color="auto"/>
            <w:bottom w:val="none" w:sz="0" w:space="0" w:color="auto"/>
            <w:right w:val="none" w:sz="0" w:space="0" w:color="auto"/>
          </w:divBdr>
        </w:div>
        <w:div w:id="188378531">
          <w:marLeft w:val="0"/>
          <w:marRight w:val="0"/>
          <w:marTop w:val="0"/>
          <w:marBottom w:val="0"/>
          <w:divBdr>
            <w:top w:val="none" w:sz="0" w:space="0" w:color="auto"/>
            <w:left w:val="none" w:sz="0" w:space="0" w:color="auto"/>
            <w:bottom w:val="none" w:sz="0" w:space="0" w:color="auto"/>
            <w:right w:val="none" w:sz="0" w:space="0" w:color="auto"/>
          </w:divBdr>
        </w:div>
        <w:div w:id="835729655">
          <w:marLeft w:val="0"/>
          <w:marRight w:val="0"/>
          <w:marTop w:val="0"/>
          <w:marBottom w:val="0"/>
          <w:divBdr>
            <w:top w:val="none" w:sz="0" w:space="0" w:color="auto"/>
            <w:left w:val="none" w:sz="0" w:space="0" w:color="auto"/>
            <w:bottom w:val="none" w:sz="0" w:space="0" w:color="auto"/>
            <w:right w:val="none" w:sz="0" w:space="0" w:color="auto"/>
          </w:divBdr>
        </w:div>
        <w:div w:id="938004">
          <w:marLeft w:val="0"/>
          <w:marRight w:val="0"/>
          <w:marTop w:val="0"/>
          <w:marBottom w:val="0"/>
          <w:divBdr>
            <w:top w:val="none" w:sz="0" w:space="0" w:color="auto"/>
            <w:left w:val="none" w:sz="0" w:space="0" w:color="auto"/>
            <w:bottom w:val="none" w:sz="0" w:space="0" w:color="auto"/>
            <w:right w:val="none" w:sz="0" w:space="0" w:color="auto"/>
          </w:divBdr>
        </w:div>
        <w:div w:id="689260339">
          <w:marLeft w:val="0"/>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sChild>
        <w:div w:id="1360815182">
          <w:marLeft w:val="0"/>
          <w:marRight w:val="0"/>
          <w:marTop w:val="0"/>
          <w:marBottom w:val="0"/>
          <w:divBdr>
            <w:top w:val="none" w:sz="0" w:space="0" w:color="auto"/>
            <w:left w:val="none" w:sz="0" w:space="0" w:color="auto"/>
            <w:bottom w:val="none" w:sz="0" w:space="0" w:color="auto"/>
            <w:right w:val="none" w:sz="0" w:space="0" w:color="auto"/>
          </w:divBdr>
        </w:div>
        <w:div w:id="858664957">
          <w:marLeft w:val="0"/>
          <w:marRight w:val="0"/>
          <w:marTop w:val="0"/>
          <w:marBottom w:val="0"/>
          <w:divBdr>
            <w:top w:val="none" w:sz="0" w:space="0" w:color="auto"/>
            <w:left w:val="none" w:sz="0" w:space="0" w:color="auto"/>
            <w:bottom w:val="none" w:sz="0" w:space="0" w:color="auto"/>
            <w:right w:val="none" w:sz="0" w:space="0" w:color="auto"/>
          </w:divBdr>
        </w:div>
        <w:div w:id="572358039">
          <w:marLeft w:val="0"/>
          <w:marRight w:val="0"/>
          <w:marTop w:val="0"/>
          <w:marBottom w:val="0"/>
          <w:divBdr>
            <w:top w:val="none" w:sz="0" w:space="0" w:color="auto"/>
            <w:left w:val="none" w:sz="0" w:space="0" w:color="auto"/>
            <w:bottom w:val="none" w:sz="0" w:space="0" w:color="auto"/>
            <w:right w:val="none" w:sz="0" w:space="0" w:color="auto"/>
          </w:divBdr>
        </w:div>
        <w:div w:id="919217864">
          <w:marLeft w:val="0"/>
          <w:marRight w:val="0"/>
          <w:marTop w:val="0"/>
          <w:marBottom w:val="0"/>
          <w:divBdr>
            <w:top w:val="none" w:sz="0" w:space="0" w:color="auto"/>
            <w:left w:val="none" w:sz="0" w:space="0" w:color="auto"/>
            <w:bottom w:val="none" w:sz="0" w:space="0" w:color="auto"/>
            <w:right w:val="none" w:sz="0" w:space="0" w:color="auto"/>
          </w:divBdr>
        </w:div>
        <w:div w:id="15211672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2561</Words>
  <Characters>14188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ANNEX A: Assessment sheet for Space ODA Projects:</vt:lpstr>
    </vt:vector>
  </TitlesOfParts>
  <Company>BIS</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Assessment sheet for Space ODA Projects:</dc:title>
  <dc:creator>mkcody</dc:creator>
  <cp:lastModifiedBy>Watson Steven (UK SA)</cp:lastModifiedBy>
  <cp:revision>2</cp:revision>
  <cp:lastPrinted>2015-03-17T10:22:00Z</cp:lastPrinted>
  <dcterms:created xsi:type="dcterms:W3CDTF">2017-02-21T11:27:00Z</dcterms:created>
  <dcterms:modified xsi:type="dcterms:W3CDTF">2017-02-21T11:27:00Z</dcterms:modified>
</cp:coreProperties>
</file>