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106" w:type="dxa"/>
        <w:tblLayout w:type="fixed"/>
        <w:tblLook w:val="01E0" w:firstRow="1" w:lastRow="1" w:firstColumn="1" w:lastColumn="1" w:noHBand="0" w:noVBand="0"/>
      </w:tblPr>
      <w:tblGrid>
        <w:gridCol w:w="1106"/>
        <w:gridCol w:w="5868"/>
        <w:gridCol w:w="3685"/>
      </w:tblGrid>
      <w:tr w:rsidR="008F2174" w:rsidRPr="00DA623B" w:rsidTr="00E70ACD">
        <w:tblPrEx>
          <w:tblCellMar>
            <w:top w:w="0" w:type="dxa"/>
            <w:bottom w:w="0" w:type="dxa"/>
          </w:tblCellMar>
        </w:tblPrEx>
        <w:trPr>
          <w:cantSplit/>
          <w:trHeight w:val="1361"/>
        </w:trPr>
        <w:tc>
          <w:tcPr>
            <w:tcW w:w="6974" w:type="dxa"/>
            <w:gridSpan w:val="2"/>
          </w:tcPr>
          <w:p w:rsidR="008F2174" w:rsidRPr="001C37C7" w:rsidRDefault="004968DE" w:rsidP="00E70ACD">
            <w:pPr>
              <w:pStyle w:val="Heading2"/>
            </w:pPr>
            <w:r w:rsidRPr="001C37C7">
              <w:rPr>
                <w:noProof/>
              </w:rPr>
              <w:drawing>
                <wp:inline distT="0" distB="0" distL="0" distR="0">
                  <wp:extent cx="1981200" cy="619125"/>
                  <wp:effectExtent l="0" t="0" r="0" b="9525"/>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619125"/>
                          </a:xfrm>
                          <a:prstGeom prst="rect">
                            <a:avLst/>
                          </a:prstGeom>
                          <a:noFill/>
                          <a:ln>
                            <a:noFill/>
                          </a:ln>
                        </pic:spPr>
                      </pic:pic>
                    </a:graphicData>
                  </a:graphic>
                </wp:inline>
              </w:drawing>
            </w:r>
          </w:p>
        </w:tc>
        <w:tc>
          <w:tcPr>
            <w:tcW w:w="3685" w:type="dxa"/>
            <w:vMerge w:val="restart"/>
          </w:tcPr>
          <w:p w:rsidR="008F2174" w:rsidRPr="001C37C7" w:rsidRDefault="008F2174" w:rsidP="00E70ACD">
            <w:pPr>
              <w:pStyle w:val="MOJtext-otheraddress"/>
              <w:tabs>
                <w:tab w:val="clear" w:pos="170"/>
              </w:tabs>
              <w:rPr>
                <w:rFonts w:ascii="Arial Bold" w:hAnsi="Arial Bold"/>
                <w:sz w:val="20"/>
                <w:szCs w:val="20"/>
              </w:rPr>
            </w:pPr>
            <w:bookmarkStart w:id="0" w:name="bkOrgName"/>
            <w:bookmarkEnd w:id="0"/>
          </w:p>
          <w:p w:rsidR="008F2174" w:rsidRPr="00201B90" w:rsidRDefault="008F2174" w:rsidP="00E70ACD">
            <w:pPr>
              <w:pStyle w:val="MOJtext-otheraddress"/>
              <w:rPr>
                <w:color w:val="0000FF"/>
                <w:sz w:val="20"/>
                <w:szCs w:val="20"/>
                <w:lang w:val="fr-FR"/>
              </w:rPr>
            </w:pPr>
          </w:p>
          <w:p w:rsidR="008F2174" w:rsidRPr="00DA623B" w:rsidRDefault="008F2174" w:rsidP="00E70ACD">
            <w:pPr>
              <w:pStyle w:val="MOJtext-otheraddress"/>
              <w:rPr>
                <w:b/>
                <w:sz w:val="20"/>
                <w:szCs w:val="20"/>
                <w:lang w:val="fr-FR"/>
              </w:rPr>
            </w:pPr>
          </w:p>
        </w:tc>
      </w:tr>
      <w:tr w:rsidR="008F2174" w:rsidRPr="001C37C7" w:rsidTr="00E70ACD">
        <w:tblPrEx>
          <w:tblCellMar>
            <w:top w:w="0" w:type="dxa"/>
            <w:bottom w:w="0" w:type="dxa"/>
          </w:tblCellMar>
        </w:tblPrEx>
        <w:trPr>
          <w:cantSplit/>
          <w:trHeight w:val="1395"/>
        </w:trPr>
        <w:tc>
          <w:tcPr>
            <w:tcW w:w="1106" w:type="dxa"/>
          </w:tcPr>
          <w:p w:rsidR="008F2174" w:rsidRPr="00DA623B" w:rsidRDefault="008F2174" w:rsidP="00E70ACD">
            <w:pPr>
              <w:pStyle w:val="MOJtext-otheraddress"/>
              <w:rPr>
                <w:sz w:val="20"/>
                <w:szCs w:val="20"/>
                <w:lang w:val="fr-FR"/>
              </w:rPr>
            </w:pPr>
          </w:p>
        </w:tc>
        <w:tc>
          <w:tcPr>
            <w:tcW w:w="5868" w:type="dxa"/>
          </w:tcPr>
          <w:p w:rsidR="008F2174" w:rsidRDefault="008F2174" w:rsidP="00E70ACD">
            <w:bookmarkStart w:id="1" w:name="bkRecOrg"/>
            <w:bookmarkStart w:id="2" w:name="bkRecAddr1"/>
            <w:bookmarkEnd w:id="1"/>
            <w:bookmarkEnd w:id="2"/>
          </w:p>
          <w:p w:rsidR="008F2174" w:rsidRDefault="008F2174" w:rsidP="00E70ACD">
            <w:pPr>
              <w:rPr>
                <w:snapToGrid w:val="0"/>
                <w:szCs w:val="20"/>
              </w:rPr>
            </w:pPr>
          </w:p>
          <w:p w:rsidR="008F2174" w:rsidRDefault="008F2174" w:rsidP="00E70ACD">
            <w:pPr>
              <w:pStyle w:val="MOJnormal"/>
              <w:rPr>
                <w:szCs w:val="22"/>
              </w:rPr>
            </w:pPr>
          </w:p>
          <w:p w:rsidR="008F2174" w:rsidRPr="001C37C7" w:rsidRDefault="008F2174" w:rsidP="00E70ACD">
            <w:pPr>
              <w:pStyle w:val="MOJnormal"/>
              <w:rPr>
                <w:sz w:val="20"/>
                <w:szCs w:val="20"/>
              </w:rPr>
            </w:pPr>
          </w:p>
        </w:tc>
        <w:tc>
          <w:tcPr>
            <w:tcW w:w="3685" w:type="dxa"/>
            <w:vMerge/>
          </w:tcPr>
          <w:p w:rsidR="008F2174" w:rsidRPr="001C37C7" w:rsidRDefault="008F2174" w:rsidP="00E70ACD">
            <w:pPr>
              <w:pStyle w:val="MOJnormal"/>
              <w:rPr>
                <w:sz w:val="20"/>
                <w:szCs w:val="20"/>
              </w:rPr>
            </w:pPr>
          </w:p>
        </w:tc>
      </w:tr>
      <w:tr w:rsidR="008F2174" w:rsidRPr="00D33A43" w:rsidTr="00E70ACD">
        <w:tblPrEx>
          <w:tblCellMar>
            <w:top w:w="0" w:type="dxa"/>
            <w:bottom w:w="0" w:type="dxa"/>
          </w:tblCellMar>
        </w:tblPrEx>
        <w:trPr>
          <w:cantSplit/>
          <w:trHeight w:val="567"/>
        </w:trPr>
        <w:tc>
          <w:tcPr>
            <w:tcW w:w="1106" w:type="dxa"/>
          </w:tcPr>
          <w:p w:rsidR="008F2174" w:rsidRPr="00D33A43" w:rsidRDefault="008F2174" w:rsidP="00E70ACD">
            <w:pPr>
              <w:pStyle w:val="MOJnormal"/>
              <w:rPr>
                <w:szCs w:val="22"/>
              </w:rPr>
            </w:pPr>
          </w:p>
        </w:tc>
        <w:tc>
          <w:tcPr>
            <w:tcW w:w="5868" w:type="dxa"/>
          </w:tcPr>
          <w:p w:rsidR="008F2174" w:rsidRPr="00D33A43" w:rsidRDefault="008F2174" w:rsidP="00E70ACD">
            <w:pPr>
              <w:pStyle w:val="MOJnormal"/>
              <w:tabs>
                <w:tab w:val="left" w:pos="907"/>
              </w:tabs>
              <w:rPr>
                <w:szCs w:val="22"/>
              </w:rPr>
            </w:pPr>
            <w:bookmarkStart w:id="3" w:name="bkRef"/>
            <w:bookmarkEnd w:id="3"/>
            <w:r w:rsidRPr="00D33A43">
              <w:rPr>
                <w:szCs w:val="22"/>
              </w:rPr>
              <w:t xml:space="preserve">  </w:t>
            </w:r>
          </w:p>
          <w:p w:rsidR="008F2174" w:rsidRPr="00D33A43" w:rsidRDefault="008F2174" w:rsidP="00E70ACD">
            <w:pPr>
              <w:pStyle w:val="MOJnormal"/>
              <w:tabs>
                <w:tab w:val="left" w:pos="907"/>
              </w:tabs>
              <w:rPr>
                <w:szCs w:val="22"/>
              </w:rPr>
            </w:pPr>
            <w:r>
              <w:rPr>
                <w:szCs w:val="22"/>
              </w:rPr>
              <w:t>Our Ref: FOI/106632</w:t>
            </w:r>
          </w:p>
        </w:tc>
        <w:tc>
          <w:tcPr>
            <w:tcW w:w="3685" w:type="dxa"/>
          </w:tcPr>
          <w:p w:rsidR="008F2174" w:rsidRPr="00D33A43" w:rsidRDefault="008F2174" w:rsidP="00E70ACD">
            <w:pPr>
              <w:pStyle w:val="MOJnormal"/>
              <w:rPr>
                <w:szCs w:val="22"/>
              </w:rPr>
            </w:pPr>
            <w:bookmarkStart w:id="4" w:name="bkDate"/>
            <w:bookmarkEnd w:id="4"/>
          </w:p>
          <w:p w:rsidR="008F2174" w:rsidRPr="00D33A43" w:rsidRDefault="00721790" w:rsidP="00E70ACD">
            <w:pPr>
              <w:pStyle w:val="MOJnormal"/>
              <w:rPr>
                <w:szCs w:val="22"/>
              </w:rPr>
            </w:pPr>
            <w:r>
              <w:rPr>
                <w:szCs w:val="22"/>
              </w:rPr>
              <w:t xml:space="preserve">January </w:t>
            </w:r>
            <w:r w:rsidR="008F2174" w:rsidRPr="00D33A43">
              <w:rPr>
                <w:szCs w:val="22"/>
              </w:rPr>
              <w:t>201</w:t>
            </w:r>
            <w:r>
              <w:rPr>
                <w:szCs w:val="22"/>
              </w:rPr>
              <w:t>7</w:t>
            </w:r>
            <w:r w:rsidR="008F2174" w:rsidRPr="00D33A43">
              <w:rPr>
                <w:szCs w:val="22"/>
              </w:rPr>
              <w:t xml:space="preserve"> </w:t>
            </w:r>
          </w:p>
        </w:tc>
      </w:tr>
    </w:tbl>
    <w:p w:rsidR="008F2174" w:rsidRPr="00D33A43" w:rsidRDefault="008F2174" w:rsidP="008F2174">
      <w:pPr>
        <w:pStyle w:val="MOJnormal"/>
        <w:rPr>
          <w:szCs w:val="22"/>
        </w:rPr>
      </w:pPr>
    </w:p>
    <w:p w:rsidR="008F2174" w:rsidRDefault="008F2174" w:rsidP="008F2174">
      <w:pPr>
        <w:rPr>
          <w:rFonts w:ascii="Arial" w:hAnsi="Arial" w:cs="Arial"/>
        </w:rPr>
      </w:pPr>
    </w:p>
    <w:p w:rsidR="008F2174" w:rsidRDefault="008F2174" w:rsidP="008F2174">
      <w:pPr>
        <w:rPr>
          <w:rFonts w:ascii="Arial" w:hAnsi="Arial" w:cs="Arial"/>
        </w:rPr>
      </w:pPr>
    </w:p>
    <w:p w:rsidR="008F2174" w:rsidRPr="008F2174" w:rsidRDefault="00152DC8" w:rsidP="008F2174">
      <w:pPr>
        <w:rPr>
          <w:rFonts w:ascii="Arial" w:hAnsi="Arial" w:cs="Arial"/>
        </w:rPr>
      </w:pPr>
      <w:r>
        <w:rPr>
          <w:rFonts w:ascii="Arial" w:hAnsi="Arial" w:cs="Arial"/>
        </w:rPr>
        <w:t>Y</w:t>
      </w:r>
      <w:r w:rsidR="008F2174" w:rsidRPr="008F2174">
        <w:rPr>
          <w:rFonts w:ascii="Arial" w:hAnsi="Arial" w:cs="Arial"/>
        </w:rPr>
        <w:t xml:space="preserve">ou asked for the following information from the Ministry of Justice (MoJ). </w:t>
      </w:r>
    </w:p>
    <w:p w:rsidR="008F2174" w:rsidRPr="008F2174" w:rsidRDefault="008F2174" w:rsidP="008F2174">
      <w:pPr>
        <w:rPr>
          <w:rFonts w:ascii="Arial" w:hAnsi="Arial" w:cs="Arial"/>
          <w:b/>
          <w:i/>
        </w:rPr>
      </w:pPr>
      <w:r w:rsidRPr="008F2174">
        <w:rPr>
          <w:rFonts w:ascii="Arial" w:hAnsi="Arial" w:cs="Arial"/>
          <w:b/>
          <w:i/>
        </w:rPr>
        <w:t>How many residents were handed a jail sentence by a Bedfordshire court in the last twelve months?</w:t>
      </w:r>
    </w:p>
    <w:p w:rsidR="008F2174" w:rsidRPr="008F2174" w:rsidRDefault="008F2174" w:rsidP="008F2174">
      <w:pPr>
        <w:rPr>
          <w:rFonts w:ascii="Arial" w:hAnsi="Arial" w:cs="Arial"/>
          <w:b/>
          <w:i/>
        </w:rPr>
      </w:pPr>
      <w:r w:rsidRPr="008F2174">
        <w:rPr>
          <w:rFonts w:ascii="Arial" w:hAnsi="Arial" w:cs="Arial"/>
          <w:b/>
          <w:i/>
        </w:rPr>
        <w:t>How many suspended sentences did each jailed individual receive before they received a jail sentence? This question refers to suspen</w:t>
      </w:r>
      <w:bookmarkStart w:id="5" w:name="_GoBack"/>
      <w:bookmarkEnd w:id="5"/>
      <w:r w:rsidRPr="008F2174">
        <w:rPr>
          <w:rFonts w:ascii="Arial" w:hAnsi="Arial" w:cs="Arial"/>
          <w:b/>
          <w:i/>
        </w:rPr>
        <w:t xml:space="preserve">ded sentences individuals received throughout their lives, not just in the last twelve months? </w:t>
      </w:r>
    </w:p>
    <w:p w:rsidR="008F2174" w:rsidRPr="008F2174" w:rsidRDefault="008F2174" w:rsidP="008F2174">
      <w:pPr>
        <w:rPr>
          <w:rFonts w:ascii="Arial" w:hAnsi="Arial" w:cs="Arial"/>
          <w:b/>
          <w:i/>
          <w:color w:val="000000"/>
        </w:rPr>
      </w:pPr>
      <w:r w:rsidRPr="008F2174">
        <w:rPr>
          <w:rFonts w:ascii="Arial" w:hAnsi="Arial" w:cs="Arial"/>
          <w:b/>
          <w:i/>
        </w:rPr>
        <w:t>Please separate the data according to which individuals were sentenced in a Crown Court and which individuals were sentenced by a Magistrates Court. Please also indicate which criminals listed a Bedfordshire address. Please show the gender of each individual?</w:t>
      </w:r>
    </w:p>
    <w:p w:rsidR="008F2174" w:rsidRDefault="008F2174" w:rsidP="008F2174">
      <w:pPr>
        <w:rPr>
          <w:rFonts w:ascii="Arial" w:hAnsi="Arial" w:cs="Arial"/>
        </w:rPr>
      </w:pPr>
      <w:r w:rsidRPr="003C3213">
        <w:rPr>
          <w:rFonts w:ascii="Arial" w:hAnsi="Arial" w:cs="Arial"/>
        </w:rPr>
        <w:t>Your request has been handled under the Freedom of Information Act 2000</w:t>
      </w:r>
      <w:r w:rsidR="003C3213">
        <w:rPr>
          <w:rFonts w:ascii="Arial" w:hAnsi="Arial" w:cs="Arial"/>
        </w:rPr>
        <w:t xml:space="preserve"> (FOIA). </w:t>
      </w:r>
      <w:r w:rsidR="003C3213">
        <w:rPr>
          <w:rFonts w:ascii="Arial" w:hAnsi="Arial" w:cs="Arial"/>
        </w:rPr>
        <w:br/>
      </w:r>
      <w:r w:rsidR="003C3213">
        <w:rPr>
          <w:rFonts w:ascii="Arial" w:hAnsi="Arial" w:cs="Arial"/>
        </w:rPr>
        <w:br/>
      </w:r>
      <w:r w:rsidRPr="008F2174">
        <w:rPr>
          <w:rFonts w:ascii="Arial" w:hAnsi="Arial" w:cs="Arial"/>
        </w:rPr>
        <w:t xml:space="preserve">I can confirm that the department holds the information requested and </w:t>
      </w:r>
      <w:r w:rsidR="003C3213">
        <w:rPr>
          <w:rFonts w:ascii="Arial" w:hAnsi="Arial" w:cs="Arial"/>
        </w:rPr>
        <w:t>it is provided in the table at the end of this letter.</w:t>
      </w:r>
      <w:r w:rsidR="003C3213">
        <w:rPr>
          <w:rFonts w:ascii="Arial" w:hAnsi="Arial" w:cs="Arial"/>
        </w:rPr>
        <w:br/>
      </w:r>
      <w:r w:rsidR="003C3213">
        <w:rPr>
          <w:rFonts w:ascii="Arial" w:hAnsi="Arial" w:cs="Arial"/>
        </w:rPr>
        <w:br/>
      </w:r>
      <w:r w:rsidRPr="008F2174">
        <w:rPr>
          <w:rFonts w:ascii="Arial" w:hAnsi="Arial" w:cs="Arial"/>
          <w:color w:val="000000"/>
        </w:rPr>
        <w:t xml:space="preserve">Please note all offenders sentenced to immediate custody by a Bedfordshire court were all sentenced in a Magistrate court. In addition, the number of previous suspended sentences relates to the number of </w:t>
      </w:r>
      <w:r w:rsidRPr="008F2174">
        <w:rPr>
          <w:rFonts w:ascii="Arial" w:hAnsi="Arial" w:cs="Arial"/>
        </w:rPr>
        <w:t>occasions</w:t>
      </w:r>
      <w:r w:rsidRPr="008F2174">
        <w:rPr>
          <w:rStyle w:val="FootnoteReference"/>
          <w:rFonts w:ascii="Arial" w:hAnsi="Arial" w:cs="Arial"/>
        </w:rPr>
        <w:footnoteReference w:id="1"/>
      </w:r>
      <w:r w:rsidRPr="008F2174">
        <w:rPr>
          <w:rFonts w:ascii="Arial" w:hAnsi="Arial" w:cs="Arial"/>
        </w:rPr>
        <w:t xml:space="preserve"> </w:t>
      </w:r>
      <w:r w:rsidRPr="008F2174">
        <w:rPr>
          <w:rFonts w:ascii="Arial" w:hAnsi="Arial" w:cs="Arial"/>
          <w:i/>
        </w:rPr>
        <w:t xml:space="preserve"> </w:t>
      </w:r>
      <w:r w:rsidRPr="008F2174">
        <w:rPr>
          <w:rFonts w:ascii="Arial" w:hAnsi="Arial" w:cs="Arial"/>
        </w:rPr>
        <w:t>which offenders have previously received a suspended sentence.</w:t>
      </w:r>
    </w:p>
    <w:p w:rsidR="00305003" w:rsidRPr="008F68E5" w:rsidRDefault="003C3213" w:rsidP="008F2174">
      <w:pPr>
        <w:rPr>
          <w:rFonts w:ascii="Arial" w:hAnsi="Arial" w:cs="Arial"/>
        </w:rPr>
      </w:pPr>
      <w:r>
        <w:rPr>
          <w:rFonts w:ascii="Arial" w:hAnsi="Arial" w:cs="Arial"/>
        </w:rPr>
        <w:t>A</w:t>
      </w:r>
      <w:r w:rsidR="00305003" w:rsidRPr="008F68E5">
        <w:rPr>
          <w:rFonts w:ascii="Arial" w:hAnsi="Arial" w:cs="Arial"/>
        </w:rPr>
        <w:t xml:space="preserve">dults who are given a community or suspended sentence have a lower re-offending rate than those who serve less than 12 months. </w:t>
      </w:r>
    </w:p>
    <w:p w:rsidR="008F2174" w:rsidRPr="008F2174" w:rsidRDefault="003C3213" w:rsidP="00693647">
      <w:pPr>
        <w:rPr>
          <w:rFonts w:ascii="Arial" w:hAnsi="Arial" w:cs="Arial"/>
          <w:b/>
        </w:rPr>
      </w:pPr>
      <w:r>
        <w:rPr>
          <w:rFonts w:ascii="Arial" w:hAnsi="Arial" w:cs="Arial"/>
          <w:color w:val="000000"/>
        </w:rPr>
        <w:br/>
      </w:r>
      <w:r w:rsidR="008F2174" w:rsidRPr="008F2174">
        <w:rPr>
          <w:rFonts w:ascii="Arial" w:hAnsi="Arial" w:cs="Arial"/>
          <w:color w:val="000000"/>
        </w:rPr>
        <w:t xml:space="preserve">The figures provided have been drawn from an extract of the PNC data held by the </w:t>
      </w:r>
      <w:r>
        <w:rPr>
          <w:rFonts w:ascii="Arial" w:hAnsi="Arial" w:cs="Arial"/>
          <w:color w:val="000000"/>
        </w:rPr>
        <w:t>MoJ</w:t>
      </w:r>
      <w:r w:rsidR="008F2174" w:rsidRPr="008F2174">
        <w:rPr>
          <w:rFonts w:ascii="Arial" w:hAnsi="Arial" w:cs="Arial"/>
          <w:color w:val="000000"/>
        </w:rPr>
        <w:t xml:space="preserve">. The PNC holds details of all convictions and cautions given for recordable offences and include a number of offences where it is not possible for offenders to be given a custodial sentence. </w:t>
      </w:r>
      <w:r w:rsidR="008F2174" w:rsidRPr="008F2174">
        <w:rPr>
          <w:rFonts w:ascii="Arial" w:hAnsi="Arial" w:cs="Arial"/>
          <w:color w:val="000000"/>
        </w:rPr>
        <w:lastRenderedPageBreak/>
        <w:t xml:space="preserve">As with any large scale recording system the PNC is subject to possible errors with data entry and processing so data provided may be subject to revision. </w:t>
      </w:r>
      <w:r w:rsidR="008F2174" w:rsidRPr="008F2174">
        <w:rPr>
          <w:rFonts w:ascii="Arial" w:hAnsi="Arial" w:cs="Arial"/>
        </w:rPr>
        <w:t>Also to be aware there are known reliability issues with residential address or postcodes of offenders.</w:t>
      </w:r>
    </w:p>
    <w:p w:rsidR="008F2174" w:rsidRPr="000A439C" w:rsidRDefault="008F2174" w:rsidP="008F2174">
      <w:pPr>
        <w:autoSpaceDE w:val="0"/>
        <w:autoSpaceDN w:val="0"/>
        <w:adjustRightInd w:val="0"/>
        <w:spacing w:line="240" w:lineRule="auto"/>
        <w:rPr>
          <w:rFonts w:cs="Arial"/>
          <w:b/>
        </w:rPr>
      </w:pPr>
    </w:p>
    <w:p w:rsidR="008F2174" w:rsidRDefault="008F2174" w:rsidP="008F2174">
      <w:pPr>
        <w:autoSpaceDE w:val="0"/>
        <w:autoSpaceDN w:val="0"/>
        <w:adjustRightInd w:val="0"/>
        <w:spacing w:line="240" w:lineRule="auto"/>
        <w:rPr>
          <w:rFonts w:cs="Arial"/>
          <w:b/>
        </w:rPr>
      </w:pPr>
    </w:p>
    <w:p w:rsidR="008F2174" w:rsidRDefault="008F2174" w:rsidP="008F2174">
      <w:pPr>
        <w:autoSpaceDE w:val="0"/>
        <w:autoSpaceDN w:val="0"/>
        <w:adjustRightInd w:val="0"/>
        <w:spacing w:line="240" w:lineRule="auto"/>
        <w:rPr>
          <w:rFonts w:cs="Arial"/>
          <w:b/>
        </w:rPr>
      </w:pPr>
    </w:p>
    <w:p w:rsidR="008F2174" w:rsidRDefault="008F2174" w:rsidP="008F2174">
      <w:pPr>
        <w:autoSpaceDE w:val="0"/>
        <w:autoSpaceDN w:val="0"/>
        <w:adjustRightInd w:val="0"/>
        <w:spacing w:line="240" w:lineRule="auto"/>
        <w:rPr>
          <w:rFonts w:cs="Arial"/>
          <w:b/>
        </w:rPr>
      </w:pPr>
    </w:p>
    <w:p w:rsidR="008F2174" w:rsidRDefault="008F2174" w:rsidP="008F2174">
      <w:pPr>
        <w:autoSpaceDE w:val="0"/>
        <w:autoSpaceDN w:val="0"/>
        <w:adjustRightInd w:val="0"/>
        <w:spacing w:line="240" w:lineRule="auto"/>
        <w:rPr>
          <w:rFonts w:cs="Arial"/>
          <w:b/>
        </w:rPr>
      </w:pPr>
    </w:p>
    <w:p w:rsidR="008F2174" w:rsidRDefault="008F2174" w:rsidP="008F2174">
      <w:pPr>
        <w:autoSpaceDE w:val="0"/>
        <w:autoSpaceDN w:val="0"/>
        <w:adjustRightInd w:val="0"/>
        <w:spacing w:line="240" w:lineRule="auto"/>
        <w:rPr>
          <w:rFonts w:cs="Arial"/>
          <w:b/>
        </w:rPr>
      </w:pPr>
    </w:p>
    <w:p w:rsidR="008F2174" w:rsidRDefault="008F2174" w:rsidP="008F2174">
      <w:pPr>
        <w:autoSpaceDE w:val="0"/>
        <w:autoSpaceDN w:val="0"/>
        <w:adjustRightInd w:val="0"/>
        <w:spacing w:line="240" w:lineRule="auto"/>
        <w:rPr>
          <w:rFonts w:cs="Arial"/>
          <w:b/>
        </w:rPr>
      </w:pPr>
    </w:p>
    <w:p w:rsidR="008F2174" w:rsidRDefault="008F2174" w:rsidP="008F2174">
      <w:pPr>
        <w:autoSpaceDE w:val="0"/>
        <w:autoSpaceDN w:val="0"/>
        <w:adjustRightInd w:val="0"/>
        <w:spacing w:line="240" w:lineRule="auto"/>
        <w:rPr>
          <w:rFonts w:cs="Arial"/>
          <w:b/>
        </w:rPr>
      </w:pPr>
    </w:p>
    <w:p w:rsidR="008F2174" w:rsidRDefault="008F2174" w:rsidP="008F2174">
      <w:pPr>
        <w:autoSpaceDE w:val="0"/>
        <w:autoSpaceDN w:val="0"/>
        <w:adjustRightInd w:val="0"/>
        <w:spacing w:line="240" w:lineRule="auto"/>
        <w:rPr>
          <w:rFonts w:cs="Arial"/>
          <w:b/>
        </w:rPr>
      </w:pPr>
    </w:p>
    <w:p w:rsidR="008F2174" w:rsidRDefault="008F2174" w:rsidP="008F2174">
      <w:pPr>
        <w:autoSpaceDE w:val="0"/>
        <w:autoSpaceDN w:val="0"/>
        <w:adjustRightInd w:val="0"/>
        <w:spacing w:line="240" w:lineRule="auto"/>
        <w:rPr>
          <w:rFonts w:cs="Arial"/>
          <w:b/>
        </w:rPr>
      </w:pPr>
    </w:p>
    <w:p w:rsidR="00BA5FDC" w:rsidRDefault="00BA5FDC" w:rsidP="008F2174">
      <w:pPr>
        <w:autoSpaceDE w:val="0"/>
        <w:autoSpaceDN w:val="0"/>
        <w:adjustRightInd w:val="0"/>
        <w:spacing w:line="240" w:lineRule="auto"/>
        <w:rPr>
          <w:rFonts w:cs="Arial"/>
          <w:b/>
        </w:rPr>
      </w:pPr>
    </w:p>
    <w:p w:rsidR="00BA5FDC" w:rsidRDefault="00BA5FDC" w:rsidP="008F2174">
      <w:pPr>
        <w:autoSpaceDE w:val="0"/>
        <w:autoSpaceDN w:val="0"/>
        <w:adjustRightInd w:val="0"/>
        <w:spacing w:line="240" w:lineRule="auto"/>
        <w:rPr>
          <w:rFonts w:cs="Arial"/>
          <w:b/>
        </w:rPr>
      </w:pPr>
    </w:p>
    <w:p w:rsidR="00BA5FDC" w:rsidRDefault="00BA5FDC" w:rsidP="008F2174">
      <w:pPr>
        <w:autoSpaceDE w:val="0"/>
        <w:autoSpaceDN w:val="0"/>
        <w:adjustRightInd w:val="0"/>
        <w:spacing w:line="240" w:lineRule="auto"/>
        <w:rPr>
          <w:rFonts w:cs="Arial"/>
          <w:b/>
        </w:rPr>
      </w:pPr>
    </w:p>
    <w:p w:rsidR="00BA5FDC" w:rsidRDefault="00BA5FDC" w:rsidP="008F2174">
      <w:pPr>
        <w:autoSpaceDE w:val="0"/>
        <w:autoSpaceDN w:val="0"/>
        <w:adjustRightInd w:val="0"/>
        <w:spacing w:line="240" w:lineRule="auto"/>
        <w:rPr>
          <w:rFonts w:cs="Arial"/>
          <w:b/>
        </w:rPr>
      </w:pPr>
    </w:p>
    <w:p w:rsidR="00BA5FDC" w:rsidRDefault="00BA5FDC" w:rsidP="008F2174">
      <w:pPr>
        <w:autoSpaceDE w:val="0"/>
        <w:autoSpaceDN w:val="0"/>
        <w:adjustRightInd w:val="0"/>
        <w:spacing w:line="240" w:lineRule="auto"/>
        <w:rPr>
          <w:rFonts w:cs="Arial"/>
          <w:b/>
        </w:rPr>
      </w:pPr>
    </w:p>
    <w:p w:rsidR="00152DC8" w:rsidRDefault="00152DC8" w:rsidP="008F2174">
      <w:pPr>
        <w:spacing w:line="280" w:lineRule="atLeast"/>
        <w:rPr>
          <w:rFonts w:cs="Arial"/>
          <w:b/>
        </w:rPr>
      </w:pPr>
    </w:p>
    <w:p w:rsidR="00152DC8" w:rsidRDefault="00152DC8" w:rsidP="008F2174">
      <w:pPr>
        <w:spacing w:line="280" w:lineRule="atLeast"/>
        <w:rPr>
          <w:rFonts w:cs="Arial"/>
          <w:b/>
        </w:rPr>
      </w:pPr>
    </w:p>
    <w:p w:rsidR="00152DC8" w:rsidRDefault="00152DC8" w:rsidP="008F2174">
      <w:pPr>
        <w:spacing w:line="280" w:lineRule="atLeast"/>
        <w:rPr>
          <w:rFonts w:cs="Arial"/>
          <w:b/>
        </w:rPr>
      </w:pPr>
    </w:p>
    <w:p w:rsidR="00152DC8" w:rsidRDefault="00152DC8" w:rsidP="008F2174">
      <w:pPr>
        <w:spacing w:line="280" w:lineRule="atLeast"/>
        <w:rPr>
          <w:rFonts w:cs="Arial"/>
          <w:b/>
        </w:rPr>
      </w:pPr>
    </w:p>
    <w:p w:rsidR="00152DC8" w:rsidRDefault="00152DC8" w:rsidP="008F2174">
      <w:pPr>
        <w:spacing w:line="280" w:lineRule="atLeast"/>
        <w:rPr>
          <w:rFonts w:cs="Arial"/>
          <w:b/>
        </w:rPr>
      </w:pPr>
    </w:p>
    <w:p w:rsidR="00152DC8" w:rsidRDefault="00152DC8" w:rsidP="008F2174">
      <w:pPr>
        <w:spacing w:line="280" w:lineRule="atLeast"/>
        <w:rPr>
          <w:rFonts w:cs="Arial"/>
          <w:b/>
        </w:rPr>
      </w:pPr>
    </w:p>
    <w:p w:rsidR="00152DC8" w:rsidRDefault="00152DC8" w:rsidP="008F2174">
      <w:pPr>
        <w:spacing w:line="280" w:lineRule="atLeast"/>
        <w:rPr>
          <w:rFonts w:cs="Arial"/>
          <w:b/>
        </w:rPr>
      </w:pPr>
    </w:p>
    <w:p w:rsidR="00152DC8" w:rsidRDefault="00152DC8" w:rsidP="008F2174">
      <w:pPr>
        <w:spacing w:line="280" w:lineRule="atLeast"/>
        <w:rPr>
          <w:rFonts w:cs="Arial"/>
          <w:b/>
        </w:rPr>
      </w:pPr>
    </w:p>
    <w:p w:rsidR="00152DC8" w:rsidRDefault="00152DC8" w:rsidP="008F2174">
      <w:pPr>
        <w:spacing w:line="280" w:lineRule="atLeast"/>
        <w:rPr>
          <w:rFonts w:cs="Arial"/>
          <w:b/>
        </w:rPr>
      </w:pPr>
    </w:p>
    <w:p w:rsidR="00152DC8" w:rsidRDefault="00152DC8" w:rsidP="008F2174">
      <w:pPr>
        <w:spacing w:line="280" w:lineRule="atLeast"/>
        <w:rPr>
          <w:rFonts w:cs="Arial"/>
          <w:b/>
        </w:rPr>
      </w:pPr>
    </w:p>
    <w:p w:rsidR="008F2174" w:rsidRPr="00152DC8" w:rsidRDefault="004968DE" w:rsidP="008F2174">
      <w:pPr>
        <w:spacing w:line="280" w:lineRule="atLeast"/>
        <w:rPr>
          <w:rFonts w:ascii="Arial" w:hAnsi="Arial" w:cs="Arial"/>
          <w:b/>
          <w:snapToGrid w:val="0"/>
          <w:sz w:val="24"/>
          <w:u w:val="single"/>
        </w:rPr>
      </w:pPr>
      <w:r w:rsidRPr="008F2174">
        <w:rPr>
          <w:rFonts w:ascii="Arial" w:hAnsi="Arial" w:cs="Arial"/>
          <w:b/>
          <w:noProof/>
          <w:sz w:val="24"/>
          <w:u w:val="single"/>
          <w:lang w:eastAsia="en-GB"/>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314960</wp:posOffset>
            </wp:positionV>
            <wp:extent cx="6101715" cy="63392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1715" cy="633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174" w:rsidRPr="008F2174">
        <w:rPr>
          <w:rFonts w:ascii="Arial" w:hAnsi="Arial" w:cs="Arial"/>
          <w:b/>
          <w:snapToGrid w:val="0"/>
          <w:sz w:val="24"/>
          <w:u w:val="single"/>
        </w:rPr>
        <w:t>Annex A</w:t>
      </w:r>
    </w:p>
    <w:p w:rsidR="008F2174" w:rsidRPr="000A439C" w:rsidRDefault="008F2174" w:rsidP="008F2174">
      <w:pPr>
        <w:spacing w:line="280" w:lineRule="atLeast"/>
        <w:rPr>
          <w:rFonts w:ascii="Times New Roman" w:hAnsi="Times New Roman"/>
          <w:snapToGrid w:val="0"/>
          <w:sz w:val="24"/>
        </w:rPr>
      </w:pPr>
    </w:p>
    <w:p w:rsidR="008F2174" w:rsidRPr="000A439C" w:rsidRDefault="008F2174" w:rsidP="008F2174">
      <w:pPr>
        <w:spacing w:line="240" w:lineRule="auto"/>
        <w:rPr>
          <w:rFonts w:cs="Arial"/>
          <w:snapToGrid w:val="0"/>
        </w:rPr>
      </w:pPr>
    </w:p>
    <w:p w:rsidR="005F38EF" w:rsidRDefault="005F38EF"/>
    <w:sectPr w:rsidR="005F38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944" w:rsidRDefault="00A54944" w:rsidP="008F2174">
      <w:pPr>
        <w:spacing w:after="0" w:line="240" w:lineRule="auto"/>
      </w:pPr>
      <w:r>
        <w:separator/>
      </w:r>
    </w:p>
  </w:endnote>
  <w:endnote w:type="continuationSeparator" w:id="0">
    <w:p w:rsidR="00A54944" w:rsidRDefault="00A54944" w:rsidP="008F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944" w:rsidRDefault="00A54944" w:rsidP="008F2174">
      <w:pPr>
        <w:spacing w:after="0" w:line="240" w:lineRule="auto"/>
      </w:pPr>
      <w:r>
        <w:separator/>
      </w:r>
    </w:p>
  </w:footnote>
  <w:footnote w:type="continuationSeparator" w:id="0">
    <w:p w:rsidR="00A54944" w:rsidRDefault="00A54944" w:rsidP="008F2174">
      <w:pPr>
        <w:spacing w:after="0" w:line="240" w:lineRule="auto"/>
      </w:pPr>
      <w:r>
        <w:continuationSeparator/>
      </w:r>
    </w:p>
  </w:footnote>
  <w:footnote w:id="1">
    <w:p w:rsidR="008F2174" w:rsidRPr="00525AE1" w:rsidRDefault="008F2174" w:rsidP="008F2174">
      <w:pPr>
        <w:pStyle w:val="FootnoteText"/>
        <w:rPr>
          <w:i/>
          <w:sz w:val="16"/>
          <w:szCs w:val="16"/>
        </w:rPr>
      </w:pPr>
      <w:r>
        <w:rPr>
          <w:rStyle w:val="FootnoteReference"/>
        </w:rPr>
        <w:footnoteRef/>
      </w:r>
      <w:r>
        <w:t xml:space="preserve"> </w:t>
      </w:r>
      <w:r w:rsidRPr="00707C27">
        <w:rPr>
          <w:i/>
        </w:rPr>
        <w:t>B</w:t>
      </w:r>
      <w:r w:rsidRPr="00525AE1">
        <w:rPr>
          <w:i/>
          <w:sz w:val="16"/>
          <w:szCs w:val="16"/>
        </w:rPr>
        <w:t xml:space="preserve">ased on counting the number of </w:t>
      </w:r>
      <w:r>
        <w:rPr>
          <w:i/>
          <w:sz w:val="16"/>
          <w:szCs w:val="16"/>
        </w:rPr>
        <w:t xml:space="preserve">separate sentencing </w:t>
      </w:r>
      <w:r w:rsidRPr="00525AE1">
        <w:rPr>
          <w:i/>
          <w:sz w:val="16"/>
          <w:szCs w:val="16"/>
        </w:rPr>
        <w:t>occasions on which offenders have previously received a suspended sentence for any offence recorded on the Police National Computer, including some offences committed outside of England and Wales. This mean an offender will appear more than once in the total or across the two different court groups</w:t>
      </w:r>
      <w:r>
        <w:rPr>
          <w:i/>
          <w:sz w:val="16"/>
          <w:szCs w:val="16"/>
        </w:rPr>
        <w:t xml:space="preserve"> and will not match (equal) the number of individual offenders.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325"/>
    <w:multiLevelType w:val="hybridMultilevel"/>
    <w:tmpl w:val="6982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74"/>
    <w:rsid w:val="00152DC8"/>
    <w:rsid w:val="001F657A"/>
    <w:rsid w:val="00283ACB"/>
    <w:rsid w:val="00293B07"/>
    <w:rsid w:val="00305003"/>
    <w:rsid w:val="003339B6"/>
    <w:rsid w:val="00334AE8"/>
    <w:rsid w:val="0038477A"/>
    <w:rsid w:val="003C14C1"/>
    <w:rsid w:val="003C3213"/>
    <w:rsid w:val="004968DE"/>
    <w:rsid w:val="004E190F"/>
    <w:rsid w:val="005F38EF"/>
    <w:rsid w:val="00600DE8"/>
    <w:rsid w:val="00693647"/>
    <w:rsid w:val="00721790"/>
    <w:rsid w:val="008F2174"/>
    <w:rsid w:val="008F68E5"/>
    <w:rsid w:val="0099048D"/>
    <w:rsid w:val="00A54944"/>
    <w:rsid w:val="00BA5FDC"/>
    <w:rsid w:val="00CE08A0"/>
    <w:rsid w:val="00D07E59"/>
    <w:rsid w:val="00D94D82"/>
    <w:rsid w:val="00E70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B81F696-052C-434D-95D1-477489BF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link w:val="Heading2Char"/>
    <w:qFormat/>
    <w:rsid w:val="008F217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F2174"/>
    <w:rPr>
      <w:rFonts w:ascii="Times New Roman" w:eastAsia="Times New Roman" w:hAnsi="Times New Roman"/>
      <w:b/>
      <w:bCs/>
      <w:sz w:val="36"/>
      <w:szCs w:val="36"/>
    </w:rPr>
  </w:style>
  <w:style w:type="paragraph" w:customStyle="1" w:styleId="MOJtext-otheraddress">
    <w:name w:val="MOJ text - other address"/>
    <w:rsid w:val="008F2174"/>
    <w:pPr>
      <w:tabs>
        <w:tab w:val="left" w:pos="170"/>
      </w:tabs>
    </w:pPr>
    <w:rPr>
      <w:rFonts w:ascii="Arial" w:eastAsia="Times New Roman" w:hAnsi="Arial"/>
      <w:sz w:val="17"/>
      <w:szCs w:val="24"/>
    </w:rPr>
  </w:style>
  <w:style w:type="paragraph" w:customStyle="1" w:styleId="MOJnormal">
    <w:name w:val="MOJ normal"/>
    <w:rsid w:val="008F2174"/>
    <w:pPr>
      <w:spacing w:line="280" w:lineRule="exact"/>
    </w:pPr>
    <w:rPr>
      <w:rFonts w:ascii="Arial" w:eastAsia="Times New Roman" w:hAnsi="Arial"/>
      <w:sz w:val="22"/>
      <w:szCs w:val="24"/>
    </w:rPr>
  </w:style>
  <w:style w:type="character" w:styleId="Hyperlink">
    <w:name w:val="Hyperlink"/>
    <w:rsid w:val="008F2174"/>
    <w:rPr>
      <w:color w:val="0000FF"/>
      <w:u w:val="single"/>
    </w:rPr>
  </w:style>
  <w:style w:type="paragraph" w:styleId="FootnoteText">
    <w:name w:val="footnote text"/>
    <w:basedOn w:val="Normal"/>
    <w:link w:val="FootnoteTextChar"/>
    <w:uiPriority w:val="99"/>
    <w:semiHidden/>
    <w:rsid w:val="008F2174"/>
    <w:pPr>
      <w:spacing w:after="0" w:line="280" w:lineRule="exact"/>
    </w:pPr>
    <w:rPr>
      <w:rFonts w:ascii="Arial" w:eastAsia="Times New Roman" w:hAnsi="Arial"/>
      <w:sz w:val="20"/>
      <w:szCs w:val="20"/>
      <w:lang w:eastAsia="en-GB"/>
    </w:rPr>
  </w:style>
  <w:style w:type="character" w:customStyle="1" w:styleId="FootnoteTextChar">
    <w:name w:val="Footnote Text Char"/>
    <w:link w:val="FootnoteText"/>
    <w:uiPriority w:val="99"/>
    <w:semiHidden/>
    <w:rsid w:val="008F2174"/>
    <w:rPr>
      <w:rFonts w:ascii="Arial" w:eastAsia="Times New Roman" w:hAnsi="Arial"/>
    </w:rPr>
  </w:style>
  <w:style w:type="character" w:styleId="FootnoteReference">
    <w:name w:val="footnote reference"/>
    <w:uiPriority w:val="99"/>
    <w:semiHidden/>
    <w:rsid w:val="008F2174"/>
    <w:rPr>
      <w:vertAlign w:val="superscript"/>
    </w:rPr>
  </w:style>
  <w:style w:type="paragraph" w:styleId="BalloonText">
    <w:name w:val="Balloon Text"/>
    <w:basedOn w:val="Normal"/>
    <w:link w:val="BalloonTextChar"/>
    <w:uiPriority w:val="99"/>
    <w:semiHidden/>
    <w:unhideWhenUsed/>
    <w:rsid w:val="003C32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C321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C7407-81DA-42DC-A64D-73B351F4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Criminal history of offenders receiving custodial sentences at Bedfordshire courts.</vt:lpstr>
    </vt:vector>
  </TitlesOfParts>
  <Company>MOJ</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history of offenders receiving custodial sentences at Bedfordshire courts.</dc:title>
  <dc:subject>FOI release</dc:subject>
  <dc:creator>Ministry of Justice</dc:creator>
  <cp:keywords/>
  <dc:description/>
  <cp:lastModifiedBy>Cox, Allan</cp:lastModifiedBy>
  <cp:revision>2</cp:revision>
  <cp:lastPrinted>2017-01-23T17:19:00Z</cp:lastPrinted>
  <dcterms:created xsi:type="dcterms:W3CDTF">2017-02-16T17:52:00Z</dcterms:created>
  <dcterms:modified xsi:type="dcterms:W3CDTF">2017-02-16T17:52:00Z</dcterms:modified>
</cp:coreProperties>
</file>