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B70C24" w:rsidRDefault="00AF6F11" w:rsidP="00CF776B">
            <w:pPr>
              <w:rPr>
                <w:rFonts w:ascii="Arial" w:hAnsi="Arial"/>
                <w:sz w:val="22"/>
              </w:rPr>
            </w:pPr>
            <w:r w:rsidRPr="00B70C24">
              <w:rPr>
                <w:rFonts w:ascii="Arial" w:hAnsi="Arial"/>
                <w:sz w:val="22"/>
              </w:rPr>
              <w:t xml:space="preserve">   </w:t>
            </w:r>
            <w:r w:rsidR="00355704" w:rsidRPr="00644D84">
              <w:rPr>
                <w:rFonts w:ascii="Arial" w:hAnsi="Arial"/>
                <w:noProof/>
                <w:color w:val="000000"/>
                <w:sz w:val="22"/>
              </w:rPr>
              <w:drawing>
                <wp:inline distT="0" distB="0" distL="0" distR="0">
                  <wp:extent cx="1419225" cy="1114425"/>
                  <wp:effectExtent l="0" t="0" r="9525" b="9525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AF6F11" w:rsidRPr="009272F8" w:rsidRDefault="00AF6F11" w:rsidP="00355704">
            <w:pPr>
              <w:tabs>
                <w:tab w:val="left" w:pos="-1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Pr="00B70C24" w:rsidRDefault="00AF6F11" w:rsidP="00CF776B">
            <w:pPr>
              <w:pStyle w:val="MOJtext-otheraddress"/>
              <w:rPr>
                <w:sz w:val="22"/>
              </w:rPr>
            </w:pPr>
          </w:p>
        </w:tc>
        <w:tc>
          <w:tcPr>
            <w:tcW w:w="5220" w:type="dxa"/>
          </w:tcPr>
          <w:p w:rsidR="00617825" w:rsidRDefault="00617825" w:rsidP="0027487B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617825" w:rsidRDefault="00617825" w:rsidP="0027487B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CC73BF" w:rsidRDefault="00CC73BF" w:rsidP="0034001D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</w:p>
          <w:p w:rsidR="00650889" w:rsidRPr="00452E02" w:rsidRDefault="00650889" w:rsidP="0034001D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9272F8" w:rsidRDefault="00AF6F11" w:rsidP="00CF776B">
            <w:pPr>
              <w:pStyle w:val="MOJtext-otheraddress"/>
              <w:rPr>
                <w:sz w:val="22"/>
                <w:szCs w:val="22"/>
              </w:rPr>
            </w:pPr>
          </w:p>
        </w:tc>
      </w:tr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AF6F11" w:rsidRPr="00B70C24" w:rsidRDefault="00AF6F11" w:rsidP="00CF776B">
            <w:pPr>
              <w:pStyle w:val="MOJnormal"/>
              <w:rPr>
                <w:sz w:val="22"/>
              </w:rPr>
            </w:pPr>
          </w:p>
        </w:tc>
        <w:tc>
          <w:tcPr>
            <w:tcW w:w="5220" w:type="dxa"/>
          </w:tcPr>
          <w:p w:rsidR="00AF6F11" w:rsidRPr="00B70C24" w:rsidRDefault="00AF6F11" w:rsidP="00CC73BF">
            <w:pPr>
              <w:spacing w:line="280" w:lineRule="atLeast"/>
              <w:rPr>
                <w:rFonts w:ascii="Arial" w:hAnsi="Arial"/>
                <w:i/>
                <w:sz w:val="22"/>
                <w:szCs w:val="22"/>
              </w:rPr>
            </w:pPr>
            <w:r w:rsidRPr="00B70C24">
              <w:rPr>
                <w:rFonts w:ascii="Arial" w:hAnsi="Arial"/>
                <w:b/>
                <w:sz w:val="22"/>
                <w:szCs w:val="22"/>
              </w:rPr>
              <w:t>Our Reference:</w:t>
            </w:r>
            <w:r w:rsidRPr="00B70C24">
              <w:rPr>
                <w:rFonts w:ascii="Arial" w:hAnsi="Arial"/>
                <w:sz w:val="22"/>
                <w:szCs w:val="22"/>
              </w:rPr>
              <w:t xml:space="preserve"> </w:t>
            </w:r>
            <w:r w:rsidR="00CC73BF">
              <w:rPr>
                <w:rFonts w:ascii="Arial" w:hAnsi="Arial"/>
                <w:sz w:val="22"/>
                <w:szCs w:val="22"/>
              </w:rPr>
              <w:t>585</w:t>
            </w:r>
            <w:r w:rsidR="00D46BF1">
              <w:rPr>
                <w:rFonts w:ascii="Arial" w:hAnsi="Arial"/>
                <w:sz w:val="22"/>
                <w:szCs w:val="22"/>
              </w:rPr>
              <w:t>-16</w:t>
            </w:r>
            <w:r w:rsidR="0034001D">
              <w:rPr>
                <w:rFonts w:ascii="Arial" w:hAnsi="Arial"/>
                <w:sz w:val="22"/>
                <w:szCs w:val="22"/>
              </w:rPr>
              <w:t xml:space="preserve"> FOI </w:t>
            </w:r>
            <w:r w:rsidR="00CC73BF">
              <w:rPr>
                <w:rFonts w:ascii="Arial" w:hAnsi="Arial"/>
                <w:sz w:val="22"/>
                <w:szCs w:val="22"/>
              </w:rPr>
              <w:t>108157</w:t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B70C2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9272F8" w:rsidRDefault="00CC73BF" w:rsidP="00CF776B">
            <w:pPr>
              <w:pStyle w:val="MOJ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F7356B">
              <w:rPr>
                <w:sz w:val="22"/>
                <w:szCs w:val="22"/>
              </w:rPr>
              <w:t xml:space="preserve"> 2016</w:t>
            </w:r>
          </w:p>
        </w:tc>
      </w:tr>
    </w:tbl>
    <w:p w:rsidR="00E36BAC" w:rsidRPr="00B70C24" w:rsidRDefault="00E36BAC"/>
    <w:p w:rsidR="00837883" w:rsidRPr="00B70C24" w:rsidRDefault="00837883"/>
    <w:p w:rsidR="00837883" w:rsidRPr="00B70C24" w:rsidRDefault="00837883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B70C24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 w:rsidRPr="00B70C24">
        <w:rPr>
          <w:rFonts w:ascii="Arial" w:hAnsi="Arial" w:cs="Arial"/>
          <w:b/>
          <w:sz w:val="22"/>
          <w:szCs w:val="22"/>
        </w:rPr>
        <w:t xml:space="preserve">Request </w:t>
      </w:r>
    </w:p>
    <w:p w:rsidR="005D0A14" w:rsidRPr="00B70C24" w:rsidRDefault="005D0A14" w:rsidP="0081625B">
      <w:pPr>
        <w:rPr>
          <w:rFonts w:ascii="Arial" w:hAnsi="Arial" w:cs="Arial"/>
          <w:sz w:val="22"/>
          <w:szCs w:val="22"/>
        </w:rPr>
      </w:pPr>
    </w:p>
    <w:p w:rsidR="0081625B" w:rsidRPr="00B70C24" w:rsidRDefault="0081625B" w:rsidP="0081625B">
      <w:pPr>
        <w:rPr>
          <w:rFonts w:ascii="Arial" w:hAnsi="Arial" w:cs="Arial"/>
          <w:sz w:val="22"/>
          <w:szCs w:val="22"/>
        </w:rPr>
      </w:pPr>
    </w:p>
    <w:p w:rsidR="00B70C24" w:rsidRDefault="00355704" w:rsidP="00B70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70C24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="00B70C24">
        <w:rPr>
          <w:rFonts w:ascii="Arial" w:hAnsi="Arial" w:cs="Arial"/>
          <w:sz w:val="22"/>
          <w:szCs w:val="22"/>
        </w:rPr>
        <w:t xml:space="preserve"> for the following information from the </w:t>
      </w:r>
      <w:r w:rsidR="00B70C24" w:rsidRPr="0081625B">
        <w:rPr>
          <w:rFonts w:ascii="Arial" w:hAnsi="Arial" w:cs="Arial"/>
          <w:sz w:val="22"/>
          <w:szCs w:val="22"/>
        </w:rPr>
        <w:t>Ministry of Justice</w:t>
      </w:r>
      <w:r w:rsidR="00B70C24">
        <w:rPr>
          <w:rFonts w:ascii="Arial" w:hAnsi="Arial" w:cs="Arial"/>
          <w:sz w:val="22"/>
          <w:szCs w:val="22"/>
        </w:rPr>
        <w:t xml:space="preserve"> (MoJ):</w:t>
      </w:r>
    </w:p>
    <w:p w:rsidR="00B70C24" w:rsidRPr="0027487B" w:rsidRDefault="00B70C24" w:rsidP="00B70C24">
      <w:pPr>
        <w:rPr>
          <w:rFonts w:ascii="Arial" w:hAnsi="Arial" w:cs="Arial"/>
          <w:b/>
          <w:i/>
          <w:sz w:val="22"/>
          <w:szCs w:val="22"/>
        </w:rPr>
      </w:pPr>
    </w:p>
    <w:p w:rsidR="00CC73BF" w:rsidRPr="00CC73BF" w:rsidRDefault="00CC73BF" w:rsidP="00CC73BF">
      <w:pPr>
        <w:rPr>
          <w:rFonts w:ascii="Arial" w:hAnsi="Arial" w:cs="Arial"/>
          <w:b/>
          <w:sz w:val="22"/>
          <w:szCs w:val="22"/>
        </w:rPr>
      </w:pPr>
      <w:r w:rsidRPr="00CC73BF">
        <w:rPr>
          <w:rFonts w:ascii="Arial" w:hAnsi="Arial" w:cs="Arial"/>
          <w:b/>
          <w:sz w:val="22"/>
          <w:szCs w:val="22"/>
        </w:rPr>
        <w:t xml:space="preserve">I am currently conducting psychological research on perpetrators of animal abuse. I am interested in the Ministry of Justice’s statistics on offences against the Animal Welfare Act 2006. </w:t>
      </w:r>
    </w:p>
    <w:p w:rsidR="00CC73BF" w:rsidRPr="00CC73BF" w:rsidRDefault="00CC73BF" w:rsidP="00CC73BF">
      <w:pPr>
        <w:rPr>
          <w:rFonts w:ascii="Arial" w:hAnsi="Arial" w:cs="Arial"/>
          <w:b/>
          <w:sz w:val="22"/>
          <w:szCs w:val="22"/>
        </w:rPr>
      </w:pPr>
    </w:p>
    <w:p w:rsidR="00CC73BF" w:rsidRPr="00CC73BF" w:rsidRDefault="00CC73BF" w:rsidP="00CC73BF">
      <w:pPr>
        <w:rPr>
          <w:rFonts w:ascii="Arial" w:hAnsi="Arial" w:cs="Arial"/>
          <w:b/>
          <w:sz w:val="22"/>
          <w:szCs w:val="22"/>
        </w:rPr>
      </w:pPr>
      <w:r w:rsidRPr="00CC73BF">
        <w:rPr>
          <w:rFonts w:ascii="Arial" w:hAnsi="Arial" w:cs="Arial"/>
          <w:b/>
          <w:sz w:val="22"/>
          <w:szCs w:val="22"/>
        </w:rPr>
        <w:t>I would like to find out the number of individuals who were charged for animal welfare offences from 1 January 2010 to the most recent statistics held. I would like the statistics to be broken down by:</w:t>
      </w:r>
      <w:bookmarkStart w:id="0" w:name="_GoBack"/>
      <w:bookmarkEnd w:id="0"/>
    </w:p>
    <w:p w:rsidR="00CC73BF" w:rsidRPr="00CC73BF" w:rsidRDefault="00CC73BF" w:rsidP="00CC73BF">
      <w:pPr>
        <w:rPr>
          <w:rFonts w:ascii="Arial" w:hAnsi="Arial" w:cs="Arial"/>
          <w:b/>
          <w:sz w:val="22"/>
          <w:szCs w:val="22"/>
        </w:rPr>
      </w:pPr>
    </w:p>
    <w:p w:rsidR="00CC73BF" w:rsidRPr="00CC73BF" w:rsidRDefault="00CC73BF" w:rsidP="00CC73BF">
      <w:pPr>
        <w:rPr>
          <w:rFonts w:ascii="Arial" w:hAnsi="Arial" w:cs="Arial"/>
          <w:b/>
          <w:sz w:val="22"/>
          <w:szCs w:val="22"/>
        </w:rPr>
      </w:pPr>
      <w:r w:rsidRPr="00CC73BF">
        <w:rPr>
          <w:rFonts w:ascii="Arial" w:hAnsi="Arial" w:cs="Arial"/>
          <w:b/>
          <w:sz w:val="22"/>
          <w:szCs w:val="22"/>
        </w:rPr>
        <w:t>1.      Year</w:t>
      </w:r>
    </w:p>
    <w:p w:rsidR="00CC73BF" w:rsidRPr="00CC73BF" w:rsidRDefault="00CC73BF" w:rsidP="00CC73BF">
      <w:pPr>
        <w:rPr>
          <w:rFonts w:ascii="Arial" w:hAnsi="Arial" w:cs="Arial"/>
          <w:b/>
          <w:sz w:val="22"/>
          <w:szCs w:val="22"/>
        </w:rPr>
      </w:pPr>
      <w:r w:rsidRPr="00CC73BF">
        <w:rPr>
          <w:rFonts w:ascii="Arial" w:hAnsi="Arial" w:cs="Arial"/>
          <w:b/>
          <w:sz w:val="22"/>
          <w:szCs w:val="22"/>
        </w:rPr>
        <w:t>2.      Age of the accused</w:t>
      </w:r>
    </w:p>
    <w:p w:rsidR="00CC73BF" w:rsidRPr="00CC73BF" w:rsidRDefault="00CC73BF" w:rsidP="00CC73BF">
      <w:pPr>
        <w:rPr>
          <w:rFonts w:ascii="Arial" w:hAnsi="Arial" w:cs="Arial"/>
          <w:b/>
          <w:sz w:val="22"/>
          <w:szCs w:val="22"/>
        </w:rPr>
      </w:pPr>
      <w:r w:rsidRPr="00CC73BF">
        <w:rPr>
          <w:rFonts w:ascii="Arial" w:hAnsi="Arial" w:cs="Arial"/>
          <w:b/>
          <w:sz w:val="22"/>
          <w:szCs w:val="22"/>
        </w:rPr>
        <w:t>3.      Gender of the accused</w:t>
      </w:r>
    </w:p>
    <w:p w:rsidR="00CC73BF" w:rsidRPr="00CC73BF" w:rsidRDefault="00CC73BF" w:rsidP="00CC73BF">
      <w:pPr>
        <w:rPr>
          <w:rFonts w:ascii="Arial" w:hAnsi="Arial" w:cs="Arial"/>
          <w:b/>
          <w:sz w:val="22"/>
          <w:szCs w:val="22"/>
        </w:rPr>
      </w:pPr>
      <w:r w:rsidRPr="00CC73BF">
        <w:rPr>
          <w:rFonts w:ascii="Arial" w:hAnsi="Arial" w:cs="Arial"/>
          <w:b/>
          <w:sz w:val="22"/>
          <w:szCs w:val="22"/>
        </w:rPr>
        <w:t>4.      Ethnicity of the accused</w:t>
      </w:r>
    </w:p>
    <w:p w:rsidR="00CC73BF" w:rsidRPr="00CC73BF" w:rsidRDefault="00CC73BF" w:rsidP="00CC73BF">
      <w:pPr>
        <w:rPr>
          <w:rFonts w:ascii="Arial" w:hAnsi="Arial" w:cs="Arial"/>
          <w:b/>
          <w:sz w:val="22"/>
          <w:szCs w:val="22"/>
        </w:rPr>
      </w:pPr>
      <w:r w:rsidRPr="00CC73BF">
        <w:rPr>
          <w:rFonts w:ascii="Arial" w:hAnsi="Arial" w:cs="Arial"/>
          <w:b/>
          <w:sz w:val="22"/>
          <w:szCs w:val="22"/>
        </w:rPr>
        <w:t>5.      Outcome (i.e., conviction, sentence type [community, custodial, fine, etc.], and sentence/tariff length)</w:t>
      </w:r>
    </w:p>
    <w:p w:rsidR="00306F32" w:rsidRDefault="00306F32" w:rsidP="0081625B">
      <w:pPr>
        <w:rPr>
          <w:rFonts w:ascii="Arial" w:hAnsi="Arial" w:cs="Arial"/>
          <w:b/>
          <w:bCs/>
          <w:i/>
          <w:sz w:val="22"/>
          <w:szCs w:val="22"/>
        </w:rPr>
      </w:pPr>
    </w:p>
    <w:p w:rsidR="0081625B" w:rsidRPr="00B70C24" w:rsidRDefault="0081625B" w:rsidP="0081625B">
      <w:pPr>
        <w:rPr>
          <w:rFonts w:ascii="Arial" w:hAnsi="Arial" w:cs="Arial"/>
          <w:sz w:val="22"/>
          <w:szCs w:val="22"/>
        </w:rPr>
      </w:pPr>
      <w:r w:rsidRPr="00B70C24"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5A0A8F" w:rsidRPr="0021011C" w:rsidRDefault="005A0A8F" w:rsidP="00524A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5F8A" w:rsidRPr="00A84BCB" w:rsidRDefault="005A0A8F" w:rsidP="00DA5F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011C">
        <w:rPr>
          <w:rFonts w:ascii="Arial" w:hAnsi="Arial" w:cs="Arial"/>
          <w:sz w:val="22"/>
          <w:szCs w:val="22"/>
        </w:rPr>
        <w:t>I can confirm that the Department does not hold the information you requested</w:t>
      </w:r>
      <w:r w:rsidR="0021011C" w:rsidRPr="0021011C">
        <w:rPr>
          <w:rFonts w:ascii="Arial" w:hAnsi="Arial" w:cs="Arial"/>
          <w:sz w:val="22"/>
          <w:szCs w:val="22"/>
        </w:rPr>
        <w:t>.</w:t>
      </w:r>
      <w:r w:rsidR="00CA7307">
        <w:rPr>
          <w:rFonts w:ascii="Arial" w:hAnsi="Arial" w:cs="Arial"/>
          <w:sz w:val="22"/>
          <w:szCs w:val="22"/>
        </w:rPr>
        <w:t xml:space="preserve"> To establish whether the</w:t>
      </w:r>
      <w:r w:rsidR="00306F32">
        <w:rPr>
          <w:rFonts w:ascii="Arial" w:hAnsi="Arial" w:cs="Arial"/>
          <w:sz w:val="22"/>
          <w:szCs w:val="22"/>
        </w:rPr>
        <w:t xml:space="preserve"> requested</w:t>
      </w:r>
      <w:r w:rsidR="00CA7307">
        <w:rPr>
          <w:rFonts w:ascii="Arial" w:hAnsi="Arial" w:cs="Arial"/>
          <w:sz w:val="22"/>
          <w:szCs w:val="22"/>
        </w:rPr>
        <w:t xml:space="preserve"> information was held </w:t>
      </w:r>
      <w:r w:rsidR="00DA5F8A">
        <w:rPr>
          <w:rFonts w:ascii="Arial" w:hAnsi="Arial" w:cs="Arial"/>
          <w:sz w:val="22"/>
          <w:szCs w:val="22"/>
        </w:rPr>
        <w:t xml:space="preserve">I conducted a thorough search, and made enquiries within the Criminal Justice System </w:t>
      </w:r>
      <w:smartTag w:uri="urn:schemas-microsoft-com:office:smarttags" w:element="PersonName">
        <w:r w:rsidR="00DA5F8A">
          <w:rPr>
            <w:rFonts w:ascii="Arial" w:hAnsi="Arial" w:cs="Arial"/>
            <w:sz w:val="22"/>
            <w:szCs w:val="22"/>
          </w:rPr>
          <w:t>Statistics</w:t>
        </w:r>
      </w:smartTag>
      <w:r w:rsidR="00DA5F8A">
        <w:rPr>
          <w:rFonts w:ascii="Arial" w:hAnsi="Arial" w:cs="Arial"/>
          <w:sz w:val="22"/>
          <w:szCs w:val="22"/>
        </w:rPr>
        <w:t xml:space="preserve"> Team within Justice </w:t>
      </w:r>
      <w:smartTag w:uri="urn:schemas-microsoft-com:office:smarttags" w:element="PersonName">
        <w:r w:rsidR="00DA5F8A">
          <w:rPr>
            <w:rFonts w:ascii="Arial" w:hAnsi="Arial" w:cs="Arial"/>
            <w:sz w:val="22"/>
            <w:szCs w:val="22"/>
          </w:rPr>
          <w:t>Statistics</w:t>
        </w:r>
      </w:smartTag>
      <w:r w:rsidR="00DA5F8A">
        <w:rPr>
          <w:rFonts w:ascii="Arial" w:hAnsi="Arial" w:cs="Arial"/>
          <w:sz w:val="22"/>
          <w:szCs w:val="22"/>
        </w:rPr>
        <w:t xml:space="preserve"> </w:t>
      </w:r>
      <w:r w:rsidR="00DA5F8A" w:rsidRPr="00A84BCB">
        <w:rPr>
          <w:rFonts w:ascii="Arial" w:hAnsi="Arial" w:cs="Arial"/>
          <w:sz w:val="22"/>
          <w:szCs w:val="22"/>
        </w:rPr>
        <w:t>Analytical Services.</w:t>
      </w:r>
      <w:r w:rsidR="00DA5F8A">
        <w:rPr>
          <w:rFonts w:ascii="Arial" w:hAnsi="Arial" w:cs="Arial"/>
          <w:sz w:val="22"/>
          <w:szCs w:val="22"/>
        </w:rPr>
        <w:t xml:space="preserve"> </w:t>
      </w:r>
      <w:r w:rsidR="00DA5F8A" w:rsidRPr="00A84BCB">
        <w:rPr>
          <w:rFonts w:ascii="Arial" w:hAnsi="Arial" w:cs="Arial"/>
          <w:sz w:val="22"/>
          <w:szCs w:val="22"/>
        </w:rPr>
        <w:t xml:space="preserve">When assessing whether or not information was held </w:t>
      </w:r>
      <w:bookmarkStart w:id="1" w:name="OLE_LINK3"/>
      <w:bookmarkStart w:id="2" w:name="OLE_LINK4"/>
      <w:r w:rsidR="00DA5F8A" w:rsidRPr="00A84BCB">
        <w:rPr>
          <w:rFonts w:ascii="Arial" w:hAnsi="Arial" w:cs="Arial"/>
          <w:sz w:val="22"/>
          <w:szCs w:val="22"/>
        </w:rPr>
        <w:t xml:space="preserve">adequate and reasonable searches for the requested information were made </w:t>
      </w:r>
      <w:bookmarkEnd w:id="1"/>
      <w:bookmarkEnd w:id="2"/>
      <w:r w:rsidR="00DA5F8A" w:rsidRPr="00A84BCB">
        <w:rPr>
          <w:rFonts w:ascii="Arial" w:hAnsi="Arial" w:cs="Arial"/>
          <w:sz w:val="22"/>
          <w:szCs w:val="22"/>
        </w:rPr>
        <w:t>of:</w:t>
      </w:r>
    </w:p>
    <w:p w:rsidR="00DA5F8A" w:rsidRDefault="00DA5F8A" w:rsidP="00DA5F8A">
      <w:pPr>
        <w:rPr>
          <w:rFonts w:ascii="Arial" w:hAnsi="Arial" w:cs="Arial"/>
          <w:sz w:val="22"/>
          <w:szCs w:val="22"/>
        </w:rPr>
      </w:pPr>
    </w:p>
    <w:p w:rsidR="00DA5F8A" w:rsidRDefault="00DA5F8A" w:rsidP="00DA5F8A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records on the Ministry of Justice Court Proceedings Database.</w:t>
      </w:r>
    </w:p>
    <w:p w:rsidR="00DA5F8A" w:rsidRPr="004411A3" w:rsidRDefault="00DA5F8A" w:rsidP="00DA5F8A">
      <w:pPr>
        <w:ind w:left="360"/>
        <w:rPr>
          <w:rFonts w:ascii="Arial" w:hAnsi="Arial" w:cs="Arial"/>
          <w:b/>
          <w:sz w:val="22"/>
          <w:szCs w:val="22"/>
        </w:rPr>
      </w:pPr>
    </w:p>
    <w:p w:rsidR="00DA5F8A" w:rsidRDefault="00DA5F8A" w:rsidP="00DA5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information was held by MoJ it would be have to be held by the above mentioned business area. It may help if I clarify that information is not held by MoJ because there is no legal or business requirement for MoJ to hold the information being requested. </w:t>
      </w:r>
    </w:p>
    <w:p w:rsidR="00DA5F8A" w:rsidRPr="00B03BAF" w:rsidRDefault="00DA5F8A" w:rsidP="00B03BAF">
      <w:pPr>
        <w:pStyle w:val="Default"/>
        <w:rPr>
          <w:rFonts w:ascii="Verdana" w:hAnsi="Verdana" w:cs="Verdana"/>
          <w:sz w:val="22"/>
          <w:szCs w:val="22"/>
        </w:rPr>
      </w:pPr>
    </w:p>
    <w:p w:rsidR="005A367B" w:rsidRDefault="0050478C" w:rsidP="00524A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A0A8F">
        <w:rPr>
          <w:rFonts w:ascii="Arial" w:hAnsi="Arial" w:cs="Arial"/>
          <w:sz w:val="22"/>
          <w:szCs w:val="22"/>
        </w:rPr>
        <w:t xml:space="preserve">he MoJ Court Proceedings Database holds information on defendants proceeded against, found guilty and sentenced for criminal offences in England and Wales. </w:t>
      </w:r>
      <w:r w:rsidR="0093795D">
        <w:rPr>
          <w:rFonts w:ascii="Arial" w:hAnsi="Arial" w:cs="Arial"/>
          <w:sz w:val="22"/>
          <w:szCs w:val="22"/>
        </w:rPr>
        <w:t xml:space="preserve">Responsibility for </w:t>
      </w:r>
      <w:r w:rsidR="00A33C39">
        <w:rPr>
          <w:rFonts w:ascii="Arial" w:hAnsi="Arial" w:cs="Arial"/>
          <w:sz w:val="22"/>
          <w:szCs w:val="22"/>
        </w:rPr>
        <w:t>statistics</w:t>
      </w:r>
      <w:r w:rsidR="0093795D">
        <w:rPr>
          <w:rFonts w:ascii="Arial" w:hAnsi="Arial" w:cs="Arial"/>
          <w:sz w:val="22"/>
          <w:szCs w:val="22"/>
        </w:rPr>
        <w:t xml:space="preserve"> on</w:t>
      </w:r>
      <w:r w:rsidR="00306F32">
        <w:rPr>
          <w:rFonts w:ascii="Arial" w:hAnsi="Arial" w:cs="Arial"/>
          <w:sz w:val="22"/>
          <w:szCs w:val="22"/>
        </w:rPr>
        <w:t xml:space="preserve"> </w:t>
      </w:r>
      <w:r w:rsidR="00CC73BF">
        <w:rPr>
          <w:rFonts w:ascii="Arial" w:hAnsi="Arial" w:cs="Arial"/>
          <w:sz w:val="22"/>
          <w:szCs w:val="22"/>
        </w:rPr>
        <w:t>charging data, and outcomes based on that data</w:t>
      </w:r>
      <w:r w:rsidR="00B7761A">
        <w:rPr>
          <w:rFonts w:ascii="Arial" w:hAnsi="Arial" w:cs="Arial"/>
          <w:sz w:val="22"/>
          <w:szCs w:val="22"/>
        </w:rPr>
        <w:t xml:space="preserve"> falls within the remit of the Crown Prosecution Service</w:t>
      </w:r>
      <w:r w:rsidR="00CC73BF">
        <w:rPr>
          <w:rFonts w:ascii="Arial" w:hAnsi="Arial" w:cs="Arial"/>
          <w:sz w:val="22"/>
          <w:szCs w:val="22"/>
        </w:rPr>
        <w:t xml:space="preserve"> (CPS), and hence MoJ sentencing data would not be aligned with the data available from the CPS</w:t>
      </w:r>
      <w:r w:rsidR="005A367B">
        <w:rPr>
          <w:rFonts w:ascii="Arial" w:hAnsi="Arial" w:cs="Arial"/>
          <w:sz w:val="22"/>
          <w:szCs w:val="22"/>
        </w:rPr>
        <w:t>. You can contact or make a request to the Crown Prosecution Service by using the following link:</w:t>
      </w:r>
    </w:p>
    <w:p w:rsidR="005A367B" w:rsidRDefault="005A367B" w:rsidP="00524A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367B" w:rsidRDefault="005A367B" w:rsidP="005A36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Pr="00B7761A">
          <w:rPr>
            <w:rStyle w:val="Hyperlink"/>
            <w:rFonts w:ascii="Arial" w:hAnsi="Arial" w:cs="Arial"/>
            <w:sz w:val="22"/>
            <w:szCs w:val="22"/>
            <w:lang w:val="en"/>
          </w:rPr>
          <w:t>FOIUnit@cps.gsi.gov.uk</w:t>
        </w:r>
      </w:hyperlink>
    </w:p>
    <w:p w:rsidR="006656FB" w:rsidRDefault="006656FB" w:rsidP="00524A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656FB" w:rsidSect="002179DD">
      <w:footerReference w:type="default" r:id="rId9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23" w:rsidRDefault="004B4923">
      <w:r>
        <w:separator/>
      </w:r>
    </w:p>
  </w:endnote>
  <w:endnote w:type="continuationSeparator" w:id="0">
    <w:p w:rsidR="004B4923" w:rsidRDefault="004B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87" w:rsidRPr="002179DD" w:rsidRDefault="00E86687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23" w:rsidRDefault="004B4923">
      <w:r>
        <w:separator/>
      </w:r>
    </w:p>
  </w:footnote>
  <w:footnote w:type="continuationSeparator" w:id="0">
    <w:p w:rsidR="004B4923" w:rsidRDefault="004B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D20F0"/>
    <w:multiLevelType w:val="hybridMultilevel"/>
    <w:tmpl w:val="D83AA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266C1"/>
    <w:multiLevelType w:val="hybridMultilevel"/>
    <w:tmpl w:val="5C349F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20F94"/>
    <w:rsid w:val="00043C1B"/>
    <w:rsid w:val="00074DF8"/>
    <w:rsid w:val="00076AEF"/>
    <w:rsid w:val="000829FA"/>
    <w:rsid w:val="000900D8"/>
    <w:rsid w:val="000A2BCA"/>
    <w:rsid w:val="000B5E48"/>
    <w:rsid w:val="000C6C99"/>
    <w:rsid w:val="000D51A3"/>
    <w:rsid w:val="000F18AC"/>
    <w:rsid w:val="000F26B8"/>
    <w:rsid w:val="00101D6B"/>
    <w:rsid w:val="001048ED"/>
    <w:rsid w:val="001222A7"/>
    <w:rsid w:val="00135BCE"/>
    <w:rsid w:val="0013675E"/>
    <w:rsid w:val="00137DA9"/>
    <w:rsid w:val="00150A41"/>
    <w:rsid w:val="001A2BA5"/>
    <w:rsid w:val="001A485D"/>
    <w:rsid w:val="001A6C9B"/>
    <w:rsid w:val="001B53CD"/>
    <w:rsid w:val="001C27E9"/>
    <w:rsid w:val="001D01A8"/>
    <w:rsid w:val="001D0D46"/>
    <w:rsid w:val="001D7BC6"/>
    <w:rsid w:val="001E358B"/>
    <w:rsid w:val="0021011C"/>
    <w:rsid w:val="002141B6"/>
    <w:rsid w:val="00214B0A"/>
    <w:rsid w:val="002179DD"/>
    <w:rsid w:val="0022089E"/>
    <w:rsid w:val="00245FF0"/>
    <w:rsid w:val="002556A0"/>
    <w:rsid w:val="00255FED"/>
    <w:rsid w:val="00261B0E"/>
    <w:rsid w:val="00263E16"/>
    <w:rsid w:val="0027487B"/>
    <w:rsid w:val="00286313"/>
    <w:rsid w:val="002A20EF"/>
    <w:rsid w:val="002A3AA7"/>
    <w:rsid w:val="002A3C45"/>
    <w:rsid w:val="002B75AD"/>
    <w:rsid w:val="002C6D64"/>
    <w:rsid w:val="002F1E16"/>
    <w:rsid w:val="002F5F3E"/>
    <w:rsid w:val="00306F32"/>
    <w:rsid w:val="0034001D"/>
    <w:rsid w:val="0034084B"/>
    <w:rsid w:val="00347A9E"/>
    <w:rsid w:val="00355704"/>
    <w:rsid w:val="00377547"/>
    <w:rsid w:val="00386B33"/>
    <w:rsid w:val="003B1972"/>
    <w:rsid w:val="003B40A1"/>
    <w:rsid w:val="003C0D6F"/>
    <w:rsid w:val="003D0F2D"/>
    <w:rsid w:val="003E40EF"/>
    <w:rsid w:val="003F6C63"/>
    <w:rsid w:val="00404093"/>
    <w:rsid w:val="004253BB"/>
    <w:rsid w:val="00432657"/>
    <w:rsid w:val="00434DCA"/>
    <w:rsid w:val="00452E02"/>
    <w:rsid w:val="004734B5"/>
    <w:rsid w:val="00493AD7"/>
    <w:rsid w:val="0049497D"/>
    <w:rsid w:val="004B4923"/>
    <w:rsid w:val="004D569D"/>
    <w:rsid w:val="004E1E12"/>
    <w:rsid w:val="0050478C"/>
    <w:rsid w:val="00507D21"/>
    <w:rsid w:val="00516361"/>
    <w:rsid w:val="005202DD"/>
    <w:rsid w:val="00524A2C"/>
    <w:rsid w:val="00524D40"/>
    <w:rsid w:val="00540DB5"/>
    <w:rsid w:val="0054673A"/>
    <w:rsid w:val="00557E87"/>
    <w:rsid w:val="00562493"/>
    <w:rsid w:val="005846B4"/>
    <w:rsid w:val="005971BB"/>
    <w:rsid w:val="005A04DC"/>
    <w:rsid w:val="005A0A8F"/>
    <w:rsid w:val="005A367B"/>
    <w:rsid w:val="005B7296"/>
    <w:rsid w:val="005C28D7"/>
    <w:rsid w:val="005C2AFE"/>
    <w:rsid w:val="005C3805"/>
    <w:rsid w:val="005C3A12"/>
    <w:rsid w:val="005C675A"/>
    <w:rsid w:val="005C79D6"/>
    <w:rsid w:val="005D0A14"/>
    <w:rsid w:val="005E18D6"/>
    <w:rsid w:val="005E674D"/>
    <w:rsid w:val="005E7E18"/>
    <w:rsid w:val="00617825"/>
    <w:rsid w:val="006201B1"/>
    <w:rsid w:val="006208A5"/>
    <w:rsid w:val="006269C1"/>
    <w:rsid w:val="00630673"/>
    <w:rsid w:val="00633EBE"/>
    <w:rsid w:val="00650889"/>
    <w:rsid w:val="0066078E"/>
    <w:rsid w:val="00663C5A"/>
    <w:rsid w:val="006656FB"/>
    <w:rsid w:val="006663DB"/>
    <w:rsid w:val="00666AA0"/>
    <w:rsid w:val="00672C95"/>
    <w:rsid w:val="00690466"/>
    <w:rsid w:val="006C1247"/>
    <w:rsid w:val="006C5F8A"/>
    <w:rsid w:val="006E0113"/>
    <w:rsid w:val="006E4F5C"/>
    <w:rsid w:val="006E60A0"/>
    <w:rsid w:val="00707F63"/>
    <w:rsid w:val="00710A03"/>
    <w:rsid w:val="00715FB1"/>
    <w:rsid w:val="007209A7"/>
    <w:rsid w:val="007315A6"/>
    <w:rsid w:val="007334AE"/>
    <w:rsid w:val="00747668"/>
    <w:rsid w:val="007A53DB"/>
    <w:rsid w:val="007B643E"/>
    <w:rsid w:val="007C0BBC"/>
    <w:rsid w:val="007C3FF9"/>
    <w:rsid w:val="007E7BAF"/>
    <w:rsid w:val="007E7F0F"/>
    <w:rsid w:val="007F2CB3"/>
    <w:rsid w:val="0081414F"/>
    <w:rsid w:val="0081625B"/>
    <w:rsid w:val="00833691"/>
    <w:rsid w:val="00837883"/>
    <w:rsid w:val="00881630"/>
    <w:rsid w:val="008907A6"/>
    <w:rsid w:val="008B69CC"/>
    <w:rsid w:val="008E498A"/>
    <w:rsid w:val="00914667"/>
    <w:rsid w:val="009272F8"/>
    <w:rsid w:val="009303F3"/>
    <w:rsid w:val="00936939"/>
    <w:rsid w:val="0093795D"/>
    <w:rsid w:val="00943684"/>
    <w:rsid w:val="009848AD"/>
    <w:rsid w:val="0099365A"/>
    <w:rsid w:val="00993991"/>
    <w:rsid w:val="009A6CDE"/>
    <w:rsid w:val="009B267F"/>
    <w:rsid w:val="009B624A"/>
    <w:rsid w:val="009D4253"/>
    <w:rsid w:val="009D6DE9"/>
    <w:rsid w:val="009E501C"/>
    <w:rsid w:val="00A15836"/>
    <w:rsid w:val="00A33C39"/>
    <w:rsid w:val="00A34BEC"/>
    <w:rsid w:val="00A4070B"/>
    <w:rsid w:val="00A42355"/>
    <w:rsid w:val="00A665A8"/>
    <w:rsid w:val="00A66617"/>
    <w:rsid w:val="00AA3A3A"/>
    <w:rsid w:val="00AB3DC4"/>
    <w:rsid w:val="00AB700F"/>
    <w:rsid w:val="00AF6F11"/>
    <w:rsid w:val="00B03BAF"/>
    <w:rsid w:val="00B15857"/>
    <w:rsid w:val="00B27CC9"/>
    <w:rsid w:val="00B346AB"/>
    <w:rsid w:val="00B436CA"/>
    <w:rsid w:val="00B55A9E"/>
    <w:rsid w:val="00B70C24"/>
    <w:rsid w:val="00B7761A"/>
    <w:rsid w:val="00B81932"/>
    <w:rsid w:val="00BB16AF"/>
    <w:rsid w:val="00BC3D86"/>
    <w:rsid w:val="00BD1779"/>
    <w:rsid w:val="00BF1E18"/>
    <w:rsid w:val="00BF247F"/>
    <w:rsid w:val="00C00996"/>
    <w:rsid w:val="00C17FA3"/>
    <w:rsid w:val="00C21D91"/>
    <w:rsid w:val="00C442B9"/>
    <w:rsid w:val="00C448D0"/>
    <w:rsid w:val="00C519AC"/>
    <w:rsid w:val="00C96840"/>
    <w:rsid w:val="00C97C8D"/>
    <w:rsid w:val="00C97F31"/>
    <w:rsid w:val="00CA02D2"/>
    <w:rsid w:val="00CA03F9"/>
    <w:rsid w:val="00CA7307"/>
    <w:rsid w:val="00CB7109"/>
    <w:rsid w:val="00CC642D"/>
    <w:rsid w:val="00CC6F36"/>
    <w:rsid w:val="00CC73BF"/>
    <w:rsid w:val="00CE1523"/>
    <w:rsid w:val="00CF776B"/>
    <w:rsid w:val="00D02DEF"/>
    <w:rsid w:val="00D030F6"/>
    <w:rsid w:val="00D1279D"/>
    <w:rsid w:val="00D31A00"/>
    <w:rsid w:val="00D42A45"/>
    <w:rsid w:val="00D44F98"/>
    <w:rsid w:val="00D46459"/>
    <w:rsid w:val="00D46BF1"/>
    <w:rsid w:val="00D71F9D"/>
    <w:rsid w:val="00D77AA0"/>
    <w:rsid w:val="00D8325C"/>
    <w:rsid w:val="00D9292A"/>
    <w:rsid w:val="00DA0311"/>
    <w:rsid w:val="00DA5F8A"/>
    <w:rsid w:val="00DA70C2"/>
    <w:rsid w:val="00DE3A02"/>
    <w:rsid w:val="00DE78E2"/>
    <w:rsid w:val="00DE7938"/>
    <w:rsid w:val="00DF2387"/>
    <w:rsid w:val="00DF4FFE"/>
    <w:rsid w:val="00E015A9"/>
    <w:rsid w:val="00E03CFA"/>
    <w:rsid w:val="00E0591C"/>
    <w:rsid w:val="00E1544C"/>
    <w:rsid w:val="00E341FC"/>
    <w:rsid w:val="00E36BAC"/>
    <w:rsid w:val="00E55F22"/>
    <w:rsid w:val="00E70ED4"/>
    <w:rsid w:val="00E83A0A"/>
    <w:rsid w:val="00E86687"/>
    <w:rsid w:val="00E873AE"/>
    <w:rsid w:val="00E92498"/>
    <w:rsid w:val="00E9646D"/>
    <w:rsid w:val="00EB4FB8"/>
    <w:rsid w:val="00EB5EEF"/>
    <w:rsid w:val="00EC0299"/>
    <w:rsid w:val="00ED1E55"/>
    <w:rsid w:val="00ED7C29"/>
    <w:rsid w:val="00F13553"/>
    <w:rsid w:val="00F158B0"/>
    <w:rsid w:val="00F2523A"/>
    <w:rsid w:val="00F27D6B"/>
    <w:rsid w:val="00F317B0"/>
    <w:rsid w:val="00F35B4A"/>
    <w:rsid w:val="00F7356B"/>
    <w:rsid w:val="00F80D88"/>
    <w:rsid w:val="00F9166D"/>
    <w:rsid w:val="00FA05AE"/>
    <w:rsid w:val="00FE031F"/>
    <w:rsid w:val="00FE2A2E"/>
    <w:rsid w:val="00FE3912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2B74AC-1C5B-4EC9-A12F-5BA2384E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89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36939"/>
    <w:rPr>
      <w:sz w:val="16"/>
      <w:szCs w:val="16"/>
    </w:rPr>
  </w:style>
  <w:style w:type="paragraph" w:styleId="CommentText">
    <w:name w:val="annotation text"/>
    <w:basedOn w:val="Normal"/>
    <w:semiHidden/>
    <w:rsid w:val="009369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6939"/>
    <w:rPr>
      <w:b/>
      <w:bCs/>
    </w:rPr>
  </w:style>
  <w:style w:type="paragraph" w:customStyle="1" w:styleId="msolistparagraph0">
    <w:name w:val="msolistparagraph"/>
    <w:basedOn w:val="Normal"/>
    <w:rsid w:val="00747668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Unit@cps.gsi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108157 Charges for Animal Welfare Offences</vt:lpstr>
    </vt:vector>
  </TitlesOfParts>
  <Company>Ministry of Justice</Company>
  <LinksUpToDate>false</LinksUpToDate>
  <CharactersWithSpaces>2172</CharactersWithSpaces>
  <SharedDoc>false</SharedDoc>
  <HLinks>
    <vt:vector size="54" baseType="variant">
      <vt:variant>
        <vt:i4>2883679</vt:i4>
      </vt:variant>
      <vt:variant>
        <vt:i4>24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21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3932286</vt:i4>
      </vt:variant>
      <vt:variant>
        <vt:i4>18</vt:i4>
      </vt:variant>
      <vt:variant>
        <vt:i4>0</vt:i4>
      </vt:variant>
      <vt:variant>
        <vt:i4>5</vt:i4>
      </vt:variant>
      <vt:variant>
        <vt:lpwstr>http://www.justice.gov.uk/information-access-rights/foi-requests/latest-moj-disclosure-log</vt:lpwstr>
      </vt:variant>
      <vt:variant>
        <vt:lpwstr/>
      </vt:variant>
      <vt:variant>
        <vt:i4>4653132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https://www.gov.uk/government/statistics/criminal-justice-system-statistics-quarterly-december-2015</vt:lpwstr>
      </vt:variant>
      <vt:variant>
        <vt:lpwstr/>
      </vt:variant>
      <vt:variant>
        <vt:i4>852027</vt:i4>
      </vt:variant>
      <vt:variant>
        <vt:i4>9</vt:i4>
      </vt:variant>
      <vt:variant>
        <vt:i4>0</vt:i4>
      </vt:variant>
      <vt:variant>
        <vt:i4>5</vt:i4>
      </vt:variant>
      <vt:variant>
        <vt:lpwstr>mailto:FOIUnit@cps.gsi.gov.uk</vt:lpwstr>
      </vt:variant>
      <vt:variant>
        <vt:lpwstr/>
      </vt:variant>
      <vt:variant>
        <vt:i4>2162717</vt:i4>
      </vt:variant>
      <vt:variant>
        <vt:i4>6</vt:i4>
      </vt:variant>
      <vt:variant>
        <vt:i4>0</vt:i4>
      </vt:variant>
      <vt:variant>
        <vt:i4>5</vt:i4>
      </vt:variant>
      <vt:variant>
        <vt:lpwstr>mailto:E.K.A.Alleyne@kent.ac.uk</vt:lpwstr>
      </vt:variant>
      <vt:variant>
        <vt:lpwstr/>
      </vt:variant>
      <vt:variant>
        <vt:i4>6291578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108157 Charges for Animal Welfare Offences</dc:title>
  <dc:subject>FOI Release</dc:subject>
  <dc:creator>MOJ</dc:creator>
  <cp:keywords/>
  <dc:description/>
  <cp:lastModifiedBy>Cox, Allan</cp:lastModifiedBy>
  <cp:revision>2</cp:revision>
  <cp:lastPrinted>2014-02-12T14:31:00Z</cp:lastPrinted>
  <dcterms:created xsi:type="dcterms:W3CDTF">2017-01-18T17:07:00Z</dcterms:created>
  <dcterms:modified xsi:type="dcterms:W3CDTF">2017-01-18T17:07:00Z</dcterms:modified>
</cp:coreProperties>
</file>