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4"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420"/>
      </w:tblGrid>
      <w:tr w:rsidR="00AF6F11" w:rsidRPr="00ED0CEF" w:rsidTr="00A15DBA">
        <w:tblPrEx>
          <w:tblCellMar>
            <w:top w:w="0" w:type="dxa"/>
            <w:left w:w="0" w:type="dxa"/>
            <w:bottom w:w="0" w:type="dxa"/>
            <w:right w:w="0" w:type="dxa"/>
          </w:tblCellMar>
        </w:tblPrEx>
        <w:trPr>
          <w:cantSplit/>
          <w:trHeight w:val="1361"/>
        </w:trPr>
        <w:tc>
          <w:tcPr>
            <w:tcW w:w="7334" w:type="dxa"/>
            <w:gridSpan w:val="2"/>
            <w:tcBorders>
              <w:top w:val="nil"/>
            </w:tcBorders>
          </w:tcPr>
          <w:p w:rsidR="00AF6F11" w:rsidRPr="00ED0CEF" w:rsidRDefault="00AF6F11" w:rsidP="00B73437">
            <w:pPr>
              <w:ind w:left="720"/>
              <w:rPr>
                <w:rFonts w:ascii="Arial" w:hAnsi="Arial" w:cs="Arial"/>
                <w:color w:val="000000"/>
                <w:sz w:val="22"/>
                <w:szCs w:val="22"/>
              </w:rPr>
            </w:pPr>
            <w:r w:rsidRPr="00ED0CEF">
              <w:rPr>
                <w:rFonts w:ascii="Arial" w:hAnsi="Arial" w:cs="Arial"/>
                <w:color w:val="000000"/>
                <w:sz w:val="22"/>
                <w:szCs w:val="22"/>
              </w:rPr>
              <w:t xml:space="preserve">   </w:t>
            </w:r>
            <w:r w:rsidR="00AF5C62" w:rsidRPr="00ED0CEF">
              <w:rPr>
                <w:rFonts w:ascii="Arial" w:hAnsi="Arial" w:cs="Arial"/>
                <w:noProof/>
                <w:color w:val="000000"/>
                <w:sz w:val="22"/>
                <w:szCs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ED0CEF" w:rsidRDefault="00AF6F11" w:rsidP="00CF776B">
            <w:pPr>
              <w:pStyle w:val="MOJnormal"/>
              <w:rPr>
                <w:rFonts w:cs="Arial"/>
                <w:color w:val="000000"/>
                <w:sz w:val="22"/>
                <w:szCs w:val="22"/>
              </w:rPr>
            </w:pPr>
          </w:p>
        </w:tc>
        <w:tc>
          <w:tcPr>
            <w:tcW w:w="3420" w:type="dxa"/>
            <w:vMerge w:val="restart"/>
            <w:tcBorders>
              <w:top w:val="nil"/>
            </w:tcBorders>
          </w:tcPr>
          <w:p w:rsidR="00AF6F11" w:rsidRPr="00ED0CEF" w:rsidRDefault="00AF6F11" w:rsidP="00CF776B">
            <w:pPr>
              <w:tabs>
                <w:tab w:val="left" w:pos="170"/>
              </w:tabs>
              <w:rPr>
                <w:rFonts w:ascii="Arial" w:hAnsi="Arial" w:cs="Arial"/>
                <w:b/>
                <w:sz w:val="22"/>
                <w:szCs w:val="22"/>
              </w:rPr>
            </w:pPr>
          </w:p>
        </w:tc>
      </w:tr>
      <w:tr w:rsidR="00AF6F11" w:rsidRPr="00ED0CEF" w:rsidTr="00945E73">
        <w:tblPrEx>
          <w:tblCellMar>
            <w:top w:w="0" w:type="dxa"/>
            <w:left w:w="0" w:type="dxa"/>
            <w:bottom w:w="0" w:type="dxa"/>
            <w:right w:w="0" w:type="dxa"/>
          </w:tblCellMar>
        </w:tblPrEx>
        <w:trPr>
          <w:cantSplit/>
          <w:trHeight w:val="1326"/>
        </w:trPr>
        <w:tc>
          <w:tcPr>
            <w:tcW w:w="1214" w:type="dxa"/>
          </w:tcPr>
          <w:p w:rsidR="00AF6F11" w:rsidRPr="00ED0CEF" w:rsidRDefault="00AF6F11" w:rsidP="00CF776B">
            <w:pPr>
              <w:pStyle w:val="MOJtext-otheraddress"/>
              <w:rPr>
                <w:rFonts w:cs="Arial"/>
                <w:sz w:val="22"/>
                <w:szCs w:val="22"/>
              </w:rPr>
            </w:pPr>
          </w:p>
        </w:tc>
        <w:tc>
          <w:tcPr>
            <w:tcW w:w="6120" w:type="dxa"/>
          </w:tcPr>
          <w:p w:rsidR="00B73437" w:rsidRPr="00ED0CEF" w:rsidRDefault="00B73437" w:rsidP="009D7293">
            <w:pPr>
              <w:spacing w:line="280" w:lineRule="atLeast"/>
              <w:rPr>
                <w:rFonts w:ascii="Arial" w:hAnsi="Arial" w:cs="Arial"/>
                <w:sz w:val="22"/>
                <w:szCs w:val="22"/>
                <w:lang w:val="en-US"/>
              </w:rPr>
            </w:pPr>
          </w:p>
          <w:p w:rsidR="00B73437" w:rsidRPr="00ED0CEF" w:rsidRDefault="00B73437" w:rsidP="009D7293">
            <w:pPr>
              <w:spacing w:line="280" w:lineRule="atLeast"/>
              <w:rPr>
                <w:rFonts w:ascii="Arial" w:hAnsi="Arial" w:cs="Arial"/>
                <w:sz w:val="22"/>
                <w:szCs w:val="22"/>
                <w:lang w:val="en-US"/>
              </w:rPr>
            </w:pPr>
          </w:p>
          <w:p w:rsidR="0095421E" w:rsidRPr="00ED0CEF" w:rsidRDefault="0095421E" w:rsidP="0095421E">
            <w:pPr>
              <w:spacing w:line="280" w:lineRule="atLeast"/>
              <w:rPr>
                <w:rFonts w:ascii="Arial" w:hAnsi="Arial" w:cs="Arial"/>
                <w:color w:val="000000"/>
                <w:sz w:val="22"/>
                <w:szCs w:val="22"/>
                <w:lang w:val="en-US"/>
              </w:rPr>
            </w:pPr>
          </w:p>
          <w:p w:rsidR="00D32D0F" w:rsidRPr="00ED0CEF" w:rsidRDefault="00D32D0F" w:rsidP="005E73DE">
            <w:pPr>
              <w:spacing w:line="280" w:lineRule="atLeast"/>
              <w:rPr>
                <w:rFonts w:ascii="Arial" w:hAnsi="Arial" w:cs="Arial"/>
                <w:sz w:val="22"/>
                <w:szCs w:val="22"/>
              </w:rPr>
            </w:pPr>
          </w:p>
        </w:tc>
        <w:tc>
          <w:tcPr>
            <w:tcW w:w="180" w:type="dxa"/>
          </w:tcPr>
          <w:p w:rsidR="00AF6F11" w:rsidRPr="00ED0CEF" w:rsidRDefault="00AF6F11" w:rsidP="00CF776B">
            <w:pPr>
              <w:pStyle w:val="MOJnormal"/>
              <w:rPr>
                <w:rFonts w:cs="Arial"/>
                <w:color w:val="000000"/>
                <w:sz w:val="22"/>
                <w:szCs w:val="22"/>
              </w:rPr>
            </w:pPr>
          </w:p>
        </w:tc>
        <w:tc>
          <w:tcPr>
            <w:tcW w:w="3420" w:type="dxa"/>
            <w:vMerge/>
          </w:tcPr>
          <w:p w:rsidR="00AF6F11" w:rsidRPr="00ED0CEF" w:rsidRDefault="00AF6F11" w:rsidP="00CF776B">
            <w:pPr>
              <w:pStyle w:val="MOJtext-otheraddress"/>
              <w:rPr>
                <w:rFonts w:cs="Arial"/>
                <w:color w:val="000000"/>
                <w:sz w:val="22"/>
                <w:szCs w:val="22"/>
              </w:rPr>
            </w:pPr>
          </w:p>
        </w:tc>
      </w:tr>
      <w:tr w:rsidR="00AF6F11" w:rsidRPr="00ED0CEF" w:rsidTr="00A15DBA">
        <w:tblPrEx>
          <w:tblCellMar>
            <w:top w:w="0" w:type="dxa"/>
            <w:left w:w="0" w:type="dxa"/>
            <w:bottom w:w="0" w:type="dxa"/>
            <w:right w:w="0" w:type="dxa"/>
          </w:tblCellMar>
        </w:tblPrEx>
        <w:trPr>
          <w:cantSplit/>
          <w:trHeight w:val="73"/>
        </w:trPr>
        <w:tc>
          <w:tcPr>
            <w:tcW w:w="1214" w:type="dxa"/>
          </w:tcPr>
          <w:p w:rsidR="00AF6F11" w:rsidRPr="00ED0CEF" w:rsidRDefault="00AF6F11" w:rsidP="00CF776B">
            <w:pPr>
              <w:pStyle w:val="MOJnormal"/>
              <w:rPr>
                <w:rFonts w:cs="Arial"/>
                <w:color w:val="000000"/>
                <w:sz w:val="22"/>
                <w:szCs w:val="22"/>
              </w:rPr>
            </w:pPr>
          </w:p>
        </w:tc>
        <w:tc>
          <w:tcPr>
            <w:tcW w:w="6120" w:type="dxa"/>
          </w:tcPr>
          <w:p w:rsidR="00AF6F11" w:rsidRPr="00ED0CEF" w:rsidRDefault="00AF6F11" w:rsidP="00B57DA9">
            <w:pPr>
              <w:tabs>
                <w:tab w:val="left" w:pos="4080"/>
              </w:tabs>
              <w:spacing w:line="280" w:lineRule="atLeast"/>
              <w:rPr>
                <w:rFonts w:ascii="Arial" w:hAnsi="Arial" w:cs="Arial"/>
                <w:i/>
                <w:color w:val="000000"/>
                <w:sz w:val="22"/>
                <w:szCs w:val="22"/>
              </w:rPr>
            </w:pPr>
            <w:r w:rsidRPr="00ED0CEF">
              <w:rPr>
                <w:rFonts w:ascii="Arial" w:hAnsi="Arial" w:cs="Arial"/>
                <w:b/>
                <w:color w:val="000000"/>
                <w:sz w:val="22"/>
                <w:szCs w:val="22"/>
              </w:rPr>
              <w:t>Our Reference:</w:t>
            </w:r>
            <w:r w:rsidRPr="00ED0CEF">
              <w:rPr>
                <w:rFonts w:ascii="Arial" w:hAnsi="Arial" w:cs="Arial"/>
                <w:color w:val="000000"/>
                <w:sz w:val="22"/>
                <w:szCs w:val="22"/>
              </w:rPr>
              <w:t xml:space="preserve"> </w:t>
            </w:r>
            <w:r w:rsidR="0089382D" w:rsidRPr="00ED0CEF">
              <w:rPr>
                <w:rFonts w:ascii="Arial" w:hAnsi="Arial" w:cs="Arial"/>
                <w:color w:val="000000"/>
                <w:sz w:val="22"/>
                <w:szCs w:val="22"/>
              </w:rPr>
              <w:t>5</w:t>
            </w:r>
            <w:r w:rsidR="00B57DA9">
              <w:rPr>
                <w:rFonts w:ascii="Arial" w:hAnsi="Arial" w:cs="Arial"/>
                <w:color w:val="000000"/>
                <w:sz w:val="22"/>
                <w:szCs w:val="22"/>
              </w:rPr>
              <w:t>84</w:t>
            </w:r>
            <w:r w:rsidR="00B73437" w:rsidRPr="00ED0CEF">
              <w:rPr>
                <w:rFonts w:ascii="Arial" w:hAnsi="Arial" w:cs="Arial"/>
                <w:color w:val="000000"/>
                <w:sz w:val="22"/>
                <w:szCs w:val="22"/>
              </w:rPr>
              <w:t>-1</w:t>
            </w:r>
            <w:r w:rsidR="00965927">
              <w:rPr>
                <w:rFonts w:ascii="Arial" w:hAnsi="Arial" w:cs="Arial"/>
                <w:color w:val="000000"/>
                <w:sz w:val="22"/>
                <w:szCs w:val="22"/>
              </w:rPr>
              <w:t>6</w:t>
            </w:r>
            <w:r w:rsidR="00B73437" w:rsidRPr="00ED0CEF">
              <w:rPr>
                <w:rFonts w:ascii="Arial" w:hAnsi="Arial" w:cs="Arial"/>
                <w:color w:val="000000"/>
                <w:sz w:val="22"/>
                <w:szCs w:val="22"/>
              </w:rPr>
              <w:t xml:space="preserve"> FOI </w:t>
            </w:r>
            <w:r w:rsidR="0089382D" w:rsidRPr="00ED0CEF">
              <w:rPr>
                <w:rFonts w:ascii="Arial" w:hAnsi="Arial" w:cs="Arial"/>
                <w:color w:val="000000"/>
                <w:sz w:val="22"/>
                <w:szCs w:val="22"/>
              </w:rPr>
              <w:t>10</w:t>
            </w:r>
            <w:r w:rsidR="00B57DA9">
              <w:rPr>
                <w:rFonts w:ascii="Arial" w:hAnsi="Arial" w:cs="Arial"/>
                <w:color w:val="000000"/>
                <w:sz w:val="22"/>
                <w:szCs w:val="22"/>
              </w:rPr>
              <w:t>8152</w:t>
            </w:r>
            <w:r w:rsidR="0030269E" w:rsidRPr="00ED0CEF">
              <w:rPr>
                <w:rFonts w:ascii="Arial" w:hAnsi="Arial" w:cs="Arial"/>
                <w:color w:val="000000"/>
                <w:sz w:val="22"/>
                <w:szCs w:val="22"/>
              </w:rPr>
              <w:tab/>
            </w:r>
          </w:p>
        </w:tc>
        <w:tc>
          <w:tcPr>
            <w:tcW w:w="180" w:type="dxa"/>
          </w:tcPr>
          <w:p w:rsidR="00AF6F11" w:rsidRPr="00ED0CEF" w:rsidRDefault="00AF6F11" w:rsidP="00CF776B">
            <w:pPr>
              <w:spacing w:line="280" w:lineRule="atLeast"/>
              <w:rPr>
                <w:rFonts w:ascii="Arial" w:hAnsi="Arial" w:cs="Arial"/>
                <w:sz w:val="22"/>
                <w:szCs w:val="22"/>
              </w:rPr>
            </w:pPr>
            <w:r w:rsidRPr="00ED0CEF">
              <w:rPr>
                <w:rFonts w:ascii="Arial" w:hAnsi="Arial" w:cs="Arial"/>
                <w:sz w:val="22"/>
                <w:szCs w:val="22"/>
              </w:rPr>
              <w:tab/>
            </w:r>
          </w:p>
        </w:tc>
        <w:tc>
          <w:tcPr>
            <w:tcW w:w="3420" w:type="dxa"/>
          </w:tcPr>
          <w:p w:rsidR="00AF6F11" w:rsidRPr="00ED0CEF" w:rsidRDefault="00B57DA9" w:rsidP="00CF776B">
            <w:pPr>
              <w:pStyle w:val="MOJnormal"/>
              <w:rPr>
                <w:rFonts w:cs="Arial"/>
                <w:sz w:val="22"/>
                <w:szCs w:val="22"/>
              </w:rPr>
            </w:pPr>
            <w:r>
              <w:rPr>
                <w:rFonts w:cs="Arial"/>
                <w:sz w:val="22"/>
                <w:szCs w:val="22"/>
              </w:rPr>
              <w:t>November</w:t>
            </w:r>
            <w:r w:rsidR="0089382D" w:rsidRPr="00ED0CEF">
              <w:rPr>
                <w:rFonts w:cs="Arial"/>
                <w:sz w:val="22"/>
                <w:szCs w:val="22"/>
              </w:rPr>
              <w:t xml:space="preserve"> 2016</w:t>
            </w:r>
          </w:p>
          <w:p w:rsidR="001B42AD" w:rsidRPr="00ED0CEF" w:rsidRDefault="001B42AD" w:rsidP="001B42AD">
            <w:pPr>
              <w:rPr>
                <w:rFonts w:ascii="Arial" w:hAnsi="Arial" w:cs="Arial"/>
                <w:sz w:val="22"/>
                <w:szCs w:val="22"/>
                <w:lang w:eastAsia="en-US"/>
              </w:rPr>
            </w:pPr>
          </w:p>
        </w:tc>
      </w:tr>
    </w:tbl>
    <w:p w:rsidR="00837883" w:rsidRPr="00ED0CEF" w:rsidRDefault="00837883">
      <w:pPr>
        <w:rPr>
          <w:rFonts w:ascii="Arial" w:hAnsi="Arial" w:cs="Arial"/>
          <w:sz w:val="22"/>
          <w:szCs w:val="22"/>
        </w:rPr>
      </w:pPr>
    </w:p>
    <w:p w:rsidR="00837883" w:rsidRPr="00ED0CEF" w:rsidRDefault="00837883" w:rsidP="00570059">
      <w:pPr>
        <w:ind w:right="26"/>
        <w:jc w:val="center"/>
        <w:rPr>
          <w:rFonts w:ascii="Arial" w:hAnsi="Arial" w:cs="Arial"/>
          <w:b/>
          <w:sz w:val="22"/>
          <w:szCs w:val="22"/>
        </w:rPr>
      </w:pPr>
      <w:r w:rsidRPr="00ED0CEF">
        <w:rPr>
          <w:rFonts w:ascii="Arial" w:hAnsi="Arial" w:cs="Arial"/>
          <w:b/>
          <w:sz w:val="22"/>
          <w:szCs w:val="22"/>
        </w:rPr>
        <w:t xml:space="preserve">Freedom of Information </w:t>
      </w:r>
      <w:r w:rsidR="00672C95" w:rsidRPr="00ED0CEF">
        <w:rPr>
          <w:rFonts w:ascii="Arial" w:hAnsi="Arial" w:cs="Arial"/>
          <w:b/>
          <w:sz w:val="22"/>
          <w:szCs w:val="22"/>
        </w:rPr>
        <w:t xml:space="preserve">Request </w:t>
      </w:r>
    </w:p>
    <w:p w:rsidR="005D0A14" w:rsidRPr="00ED0CEF" w:rsidRDefault="005D0A14" w:rsidP="0081625B">
      <w:pPr>
        <w:rPr>
          <w:rFonts w:ascii="Arial" w:hAnsi="Arial" w:cs="Arial"/>
          <w:sz w:val="22"/>
          <w:szCs w:val="22"/>
        </w:rPr>
      </w:pPr>
    </w:p>
    <w:p w:rsidR="001B42AD" w:rsidRPr="00ED0CEF" w:rsidRDefault="001B42AD" w:rsidP="005E690C">
      <w:pPr>
        <w:rPr>
          <w:rFonts w:ascii="Arial" w:hAnsi="Arial" w:cs="Arial"/>
          <w:sz w:val="22"/>
          <w:szCs w:val="22"/>
        </w:rPr>
      </w:pPr>
    </w:p>
    <w:p w:rsidR="005E690C" w:rsidRPr="00ED0CEF" w:rsidRDefault="005E690C" w:rsidP="005E690C">
      <w:pPr>
        <w:rPr>
          <w:rFonts w:ascii="Arial" w:hAnsi="Arial" w:cs="Arial"/>
          <w:color w:val="0000FF"/>
          <w:sz w:val="22"/>
          <w:szCs w:val="22"/>
        </w:rPr>
      </w:pPr>
    </w:p>
    <w:p w:rsidR="005E690C" w:rsidRPr="00ED0CEF" w:rsidRDefault="00AF5C62" w:rsidP="005E690C">
      <w:pPr>
        <w:rPr>
          <w:rFonts w:ascii="Arial" w:hAnsi="Arial" w:cs="Arial"/>
          <w:sz w:val="22"/>
          <w:szCs w:val="22"/>
        </w:rPr>
      </w:pPr>
      <w:r>
        <w:rPr>
          <w:rFonts w:ascii="Arial" w:hAnsi="Arial" w:cs="Arial"/>
          <w:sz w:val="22"/>
          <w:szCs w:val="22"/>
        </w:rPr>
        <w:t>Y</w:t>
      </w:r>
      <w:r w:rsidR="005E690C" w:rsidRPr="00ED0CEF">
        <w:rPr>
          <w:rFonts w:ascii="Arial" w:hAnsi="Arial" w:cs="Arial"/>
          <w:sz w:val="22"/>
          <w:szCs w:val="22"/>
        </w:rPr>
        <w:t>ou asked for the following information from the Ministry of Justice (MoJ):</w:t>
      </w:r>
    </w:p>
    <w:p w:rsidR="0089382D" w:rsidRPr="00ED0CEF" w:rsidRDefault="0089382D" w:rsidP="005E690C">
      <w:pPr>
        <w:rPr>
          <w:rFonts w:ascii="Arial" w:hAnsi="Arial" w:cs="Arial"/>
          <w:sz w:val="22"/>
          <w:szCs w:val="22"/>
        </w:rPr>
      </w:pPr>
    </w:p>
    <w:p w:rsidR="0089382D" w:rsidRPr="00DB6761" w:rsidRDefault="00DB6761" w:rsidP="005E690C">
      <w:pPr>
        <w:rPr>
          <w:rFonts w:ascii="Arial" w:hAnsi="Arial" w:cs="Arial"/>
          <w:b/>
          <w:sz w:val="22"/>
          <w:szCs w:val="22"/>
        </w:rPr>
      </w:pPr>
      <w:r w:rsidRPr="00DB6761">
        <w:rPr>
          <w:rFonts w:ascii="Arial" w:hAnsi="Arial" w:cs="Arial"/>
          <w:b/>
          <w:sz w:val="22"/>
          <w:szCs w:val="22"/>
        </w:rPr>
        <w:t xml:space="preserve">Previous request: FOI 107869                         </w:t>
      </w:r>
    </w:p>
    <w:p w:rsidR="00DB6761" w:rsidRPr="00ED0CEF" w:rsidRDefault="00DB6761" w:rsidP="005E690C">
      <w:pPr>
        <w:rPr>
          <w:rFonts w:ascii="Arial" w:hAnsi="Arial" w:cs="Arial"/>
          <w:sz w:val="22"/>
          <w:szCs w:val="22"/>
        </w:rPr>
      </w:pPr>
    </w:p>
    <w:p w:rsidR="0089382D" w:rsidRPr="00DB6761" w:rsidRDefault="0089382D" w:rsidP="0089382D">
      <w:pPr>
        <w:rPr>
          <w:rFonts w:ascii="Arial" w:hAnsi="Arial" w:cs="Arial"/>
          <w:sz w:val="22"/>
          <w:szCs w:val="22"/>
        </w:rPr>
      </w:pPr>
      <w:r w:rsidRPr="00DB6761">
        <w:rPr>
          <w:rFonts w:ascii="Arial" w:hAnsi="Arial" w:cs="Arial"/>
          <w:sz w:val="22"/>
          <w:szCs w:val="22"/>
        </w:rPr>
        <w:t>Under the Safeguarding Vulnerable Groups Act 2006, chapter 47, section 7, paragraph 1(a), "An individual commits an offence if he (a) Seeks to engage in regulated activity from which he is barred."</w:t>
      </w:r>
    </w:p>
    <w:p w:rsidR="00A25E02" w:rsidRPr="00DB6761" w:rsidRDefault="00A25E02" w:rsidP="0089382D">
      <w:pPr>
        <w:rPr>
          <w:rFonts w:ascii="Arial" w:hAnsi="Arial" w:cs="Arial"/>
          <w:sz w:val="22"/>
          <w:szCs w:val="22"/>
        </w:rPr>
      </w:pPr>
    </w:p>
    <w:p w:rsidR="0089382D" w:rsidRPr="00DB6761" w:rsidRDefault="00D14CE4" w:rsidP="00D14CE4">
      <w:pPr>
        <w:ind w:left="720" w:hanging="720"/>
        <w:rPr>
          <w:rFonts w:ascii="Arial" w:hAnsi="Arial" w:cs="Arial"/>
          <w:sz w:val="22"/>
          <w:szCs w:val="22"/>
        </w:rPr>
      </w:pPr>
      <w:r w:rsidRPr="00DB6761">
        <w:rPr>
          <w:rFonts w:ascii="Arial" w:hAnsi="Arial" w:cs="Arial"/>
          <w:sz w:val="22"/>
          <w:szCs w:val="22"/>
        </w:rPr>
        <w:t xml:space="preserve">1. </w:t>
      </w:r>
      <w:r w:rsidRPr="00DB6761">
        <w:rPr>
          <w:rFonts w:ascii="Arial" w:hAnsi="Arial" w:cs="Arial"/>
          <w:sz w:val="22"/>
          <w:szCs w:val="22"/>
        </w:rPr>
        <w:tab/>
      </w:r>
      <w:r w:rsidR="0089382D" w:rsidRPr="00DB6761">
        <w:rPr>
          <w:rFonts w:ascii="Arial" w:hAnsi="Arial" w:cs="Arial"/>
          <w:sz w:val="22"/>
          <w:szCs w:val="22"/>
        </w:rPr>
        <w:t>Can you tell me, in 2015-16 how many individuals were found guilty of the above offence and where the defendants were from?</w:t>
      </w:r>
      <w:bookmarkStart w:id="0" w:name="_GoBack"/>
      <w:bookmarkEnd w:id="0"/>
    </w:p>
    <w:p w:rsidR="00A25E02" w:rsidRPr="00DB6761" w:rsidRDefault="00A25E02" w:rsidP="0089382D">
      <w:pPr>
        <w:rPr>
          <w:rFonts w:ascii="Arial" w:hAnsi="Arial" w:cs="Arial"/>
          <w:sz w:val="22"/>
          <w:szCs w:val="22"/>
        </w:rPr>
      </w:pPr>
    </w:p>
    <w:p w:rsidR="0089382D" w:rsidRPr="00DB6761" w:rsidRDefault="00D14CE4" w:rsidP="00D14CE4">
      <w:pPr>
        <w:ind w:left="720" w:hanging="720"/>
        <w:rPr>
          <w:rFonts w:ascii="Arial" w:hAnsi="Arial" w:cs="Arial"/>
          <w:sz w:val="22"/>
          <w:szCs w:val="22"/>
        </w:rPr>
      </w:pPr>
      <w:r w:rsidRPr="00DB6761">
        <w:rPr>
          <w:rFonts w:ascii="Arial" w:hAnsi="Arial" w:cs="Arial"/>
          <w:sz w:val="22"/>
          <w:szCs w:val="22"/>
        </w:rPr>
        <w:t>2.</w:t>
      </w:r>
      <w:r w:rsidRPr="00DB6761">
        <w:rPr>
          <w:rFonts w:ascii="Arial" w:hAnsi="Arial" w:cs="Arial"/>
          <w:sz w:val="22"/>
          <w:szCs w:val="22"/>
        </w:rPr>
        <w:tab/>
      </w:r>
      <w:r w:rsidR="0089382D" w:rsidRPr="00DB6761">
        <w:rPr>
          <w:rFonts w:ascii="Arial" w:hAnsi="Arial" w:cs="Arial"/>
          <w:sz w:val="22"/>
          <w:szCs w:val="22"/>
        </w:rPr>
        <w:t>If possible, could you tell me the lengths of the resulting convictions</w:t>
      </w:r>
      <w:r w:rsidR="00410709">
        <w:rPr>
          <w:rFonts w:ascii="Arial" w:hAnsi="Arial" w:cs="Arial"/>
          <w:sz w:val="22"/>
          <w:szCs w:val="22"/>
        </w:rPr>
        <w:t xml:space="preserve">. </w:t>
      </w:r>
      <w:r w:rsidR="0089382D" w:rsidRPr="00DB6761">
        <w:rPr>
          <w:rFonts w:ascii="Arial" w:hAnsi="Arial" w:cs="Arial"/>
          <w:sz w:val="22"/>
          <w:szCs w:val="22"/>
        </w:rPr>
        <w:t>If this is not possible, could you tell me how many were summary convictions and how many were convictions on indictment?</w:t>
      </w:r>
    </w:p>
    <w:p w:rsidR="0089382D" w:rsidRPr="00DB6761" w:rsidRDefault="0089382D" w:rsidP="005E690C">
      <w:pPr>
        <w:rPr>
          <w:rFonts w:ascii="Arial" w:hAnsi="Arial" w:cs="Arial"/>
          <w:sz w:val="22"/>
          <w:szCs w:val="22"/>
        </w:rPr>
      </w:pPr>
    </w:p>
    <w:p w:rsidR="00DB6761" w:rsidRDefault="00DB6761" w:rsidP="005E690C">
      <w:pPr>
        <w:rPr>
          <w:rFonts w:ascii="Arial" w:hAnsi="Arial" w:cs="Arial"/>
          <w:sz w:val="22"/>
          <w:szCs w:val="22"/>
        </w:rPr>
      </w:pPr>
      <w:r w:rsidRPr="00DB6761">
        <w:rPr>
          <w:rFonts w:ascii="Arial" w:hAnsi="Arial" w:cs="Arial"/>
          <w:b/>
          <w:sz w:val="22"/>
          <w:szCs w:val="22"/>
        </w:rPr>
        <w:t>Refined request</w:t>
      </w:r>
      <w:r>
        <w:rPr>
          <w:rFonts w:ascii="Arial" w:hAnsi="Arial" w:cs="Arial"/>
          <w:sz w:val="22"/>
          <w:szCs w:val="22"/>
        </w:rPr>
        <w:t>:</w:t>
      </w:r>
    </w:p>
    <w:p w:rsidR="005E3947" w:rsidRDefault="005E3947" w:rsidP="00DB6761">
      <w:pPr>
        <w:rPr>
          <w:rFonts w:ascii="Arial" w:hAnsi="Arial" w:cs="Arial"/>
          <w:sz w:val="22"/>
          <w:szCs w:val="22"/>
        </w:rPr>
      </w:pPr>
    </w:p>
    <w:p w:rsidR="00DB6761" w:rsidRPr="00DB6761" w:rsidRDefault="00DB6761" w:rsidP="00DB6761">
      <w:pPr>
        <w:rPr>
          <w:rFonts w:ascii="Arial" w:hAnsi="Arial" w:cs="Arial"/>
          <w:b/>
          <w:sz w:val="22"/>
          <w:szCs w:val="22"/>
        </w:rPr>
      </w:pPr>
      <w:r w:rsidRPr="00DB6761">
        <w:rPr>
          <w:rFonts w:ascii="Arial" w:hAnsi="Arial" w:cs="Arial"/>
          <w:b/>
          <w:sz w:val="22"/>
          <w:szCs w:val="22"/>
        </w:rPr>
        <w:t>With regard to point 1 of my request, in which I ask where the offenders were from, could you tell me the location of the courts where the defendant was proceeded against.</w:t>
      </w:r>
    </w:p>
    <w:p w:rsidR="00DB6761" w:rsidRPr="00DB6761" w:rsidRDefault="00DB6761" w:rsidP="00DB6761">
      <w:pPr>
        <w:rPr>
          <w:rFonts w:ascii="Arial" w:hAnsi="Arial" w:cs="Arial"/>
          <w:b/>
          <w:sz w:val="22"/>
          <w:szCs w:val="22"/>
        </w:rPr>
      </w:pPr>
      <w:r w:rsidRPr="00DB6761">
        <w:rPr>
          <w:rFonts w:ascii="Arial" w:hAnsi="Arial" w:cs="Arial"/>
          <w:b/>
          <w:sz w:val="22"/>
          <w:szCs w:val="22"/>
        </w:rPr>
        <w:t xml:space="preserve"> </w:t>
      </w:r>
    </w:p>
    <w:p w:rsidR="005E690C" w:rsidRDefault="00DB6761" w:rsidP="00DB6761">
      <w:pPr>
        <w:rPr>
          <w:rFonts w:ascii="Arial" w:hAnsi="Arial" w:cs="Arial"/>
          <w:b/>
          <w:sz w:val="22"/>
          <w:szCs w:val="22"/>
        </w:rPr>
      </w:pPr>
      <w:r w:rsidRPr="00DB6761">
        <w:rPr>
          <w:rFonts w:ascii="Arial" w:hAnsi="Arial" w:cs="Arial"/>
          <w:b/>
          <w:sz w:val="22"/>
          <w:szCs w:val="22"/>
        </w:rPr>
        <w:t>With regard to point 2 of my request, in which I ask the lengths of resulting convictions, I mean, could you tell me what sentences were handed down for people committing the offence in question (Safeguarding Vulnerable Groups Act 2006, chapter 47, section 7, paragraph 1(a), "An individual commits an offence if he (a) Seeks to engage in regulated activity from which he is barred.")</w:t>
      </w:r>
    </w:p>
    <w:p w:rsidR="00E31004" w:rsidRDefault="00E31004" w:rsidP="00DB6761">
      <w:pPr>
        <w:rPr>
          <w:rFonts w:ascii="Arial" w:hAnsi="Arial" w:cs="Arial"/>
          <w:b/>
          <w:sz w:val="22"/>
          <w:szCs w:val="22"/>
        </w:rPr>
      </w:pPr>
    </w:p>
    <w:p w:rsidR="00B23949" w:rsidRDefault="00B23949" w:rsidP="00DB6761">
      <w:pPr>
        <w:rPr>
          <w:rFonts w:ascii="Arial" w:hAnsi="Arial" w:cs="Arial"/>
          <w:b/>
          <w:sz w:val="22"/>
          <w:szCs w:val="22"/>
        </w:rPr>
      </w:pPr>
      <w:r w:rsidRPr="00B23949">
        <w:rPr>
          <w:rFonts w:ascii="Arial" w:hAnsi="Arial" w:cs="Arial"/>
          <w:b/>
          <w:sz w:val="22"/>
          <w:szCs w:val="22"/>
        </w:rPr>
        <w:t>I acknowledge that you cannot currently provide data for Quarter 1 2016 (January to March</w:t>
      </w:r>
      <w:r>
        <w:rPr>
          <w:rFonts w:ascii="Arial" w:hAnsi="Arial" w:cs="Arial"/>
          <w:b/>
          <w:sz w:val="22"/>
          <w:szCs w:val="22"/>
        </w:rPr>
        <w:t>)</w:t>
      </w:r>
    </w:p>
    <w:p w:rsidR="00AE0F76" w:rsidRDefault="00AE0F76" w:rsidP="00DB6761">
      <w:pPr>
        <w:rPr>
          <w:rFonts w:ascii="Arial" w:hAnsi="Arial" w:cs="Arial"/>
          <w:b/>
          <w:sz w:val="22"/>
          <w:szCs w:val="22"/>
        </w:rPr>
      </w:pPr>
    </w:p>
    <w:p w:rsidR="001A5CED" w:rsidRPr="005D4171" w:rsidRDefault="001A5CED" w:rsidP="001A5CED">
      <w:pPr>
        <w:rPr>
          <w:rFonts w:ascii="Arial" w:hAnsi="Arial" w:cs="Arial"/>
          <w:sz w:val="22"/>
          <w:szCs w:val="22"/>
        </w:rPr>
      </w:pPr>
      <w:r w:rsidRPr="005D4171">
        <w:rPr>
          <w:rFonts w:ascii="Arial" w:hAnsi="Arial" w:cs="Arial"/>
          <w:sz w:val="22"/>
          <w:szCs w:val="22"/>
        </w:rPr>
        <w:t>Your request has been handled under the Freedom of Information Act 2000 (FOIA).</w:t>
      </w:r>
    </w:p>
    <w:p w:rsidR="001A5CED" w:rsidRPr="005D4171" w:rsidRDefault="001A5CED" w:rsidP="001A5CED">
      <w:pPr>
        <w:rPr>
          <w:rFonts w:ascii="Arial" w:hAnsi="Arial" w:cs="Arial"/>
          <w:sz w:val="22"/>
          <w:szCs w:val="22"/>
        </w:rPr>
      </w:pPr>
    </w:p>
    <w:p w:rsidR="001A5CED" w:rsidRPr="005D4171" w:rsidRDefault="001A5CED" w:rsidP="001A5CED">
      <w:pPr>
        <w:rPr>
          <w:rFonts w:ascii="Arial" w:hAnsi="Arial" w:cs="Arial"/>
          <w:sz w:val="22"/>
          <w:szCs w:val="22"/>
        </w:rPr>
      </w:pPr>
      <w:r w:rsidRPr="005D4171">
        <w:rPr>
          <w:rFonts w:ascii="Arial" w:hAnsi="Arial" w:cs="Arial"/>
          <w:sz w:val="22"/>
          <w:szCs w:val="22"/>
        </w:rPr>
        <w:lastRenderedPageBreak/>
        <w:t xml:space="preserve">I can confirm that the department holds the information that you have asked for and </w:t>
      </w:r>
    </w:p>
    <w:p w:rsidR="001A5CED" w:rsidRPr="005D4171" w:rsidRDefault="001A5CED" w:rsidP="001A5CED">
      <w:pPr>
        <w:rPr>
          <w:rFonts w:ascii="Arial" w:hAnsi="Arial" w:cs="Arial"/>
          <w:sz w:val="22"/>
          <w:szCs w:val="22"/>
        </w:rPr>
      </w:pPr>
      <w:r w:rsidRPr="005D4171">
        <w:rPr>
          <w:rFonts w:ascii="Arial" w:hAnsi="Arial" w:cs="Arial"/>
          <w:sz w:val="22"/>
          <w:szCs w:val="22"/>
        </w:rPr>
        <w:t>I am pleased to provide you with the attached table as described below:</w:t>
      </w:r>
    </w:p>
    <w:p w:rsidR="001A5CED" w:rsidRPr="005D4171" w:rsidRDefault="001A5CED" w:rsidP="001A5CED">
      <w:pPr>
        <w:rPr>
          <w:rFonts w:ascii="Arial" w:hAnsi="Arial" w:cs="Arial"/>
          <w:sz w:val="22"/>
          <w:szCs w:val="22"/>
        </w:rPr>
      </w:pPr>
    </w:p>
    <w:p w:rsidR="001A5CED" w:rsidRPr="005D4171" w:rsidRDefault="001A5CED" w:rsidP="001A5CED">
      <w:pPr>
        <w:rPr>
          <w:rFonts w:ascii="Arial" w:hAnsi="Arial" w:cs="Arial"/>
          <w:sz w:val="22"/>
          <w:szCs w:val="22"/>
        </w:rPr>
      </w:pPr>
      <w:r w:rsidRPr="005D4171">
        <w:rPr>
          <w:rFonts w:ascii="Arial" w:hAnsi="Arial" w:cs="Arial"/>
          <w:sz w:val="22"/>
          <w:szCs w:val="22"/>
        </w:rPr>
        <w:t>The number of Persons proceeded found guilty and sentenced at all courts</w:t>
      </w:r>
      <w:r w:rsidR="00813C5D" w:rsidRPr="00813C5D">
        <w:t xml:space="preserve"> </w:t>
      </w:r>
      <w:r w:rsidR="00813C5D" w:rsidRPr="00813C5D">
        <w:rPr>
          <w:rFonts w:ascii="Arial" w:hAnsi="Arial" w:cs="Arial"/>
          <w:sz w:val="22"/>
          <w:szCs w:val="22"/>
        </w:rPr>
        <w:t xml:space="preserve">under </w:t>
      </w:r>
      <w:r w:rsidR="00813C5D">
        <w:rPr>
          <w:rFonts w:ascii="Arial" w:hAnsi="Arial" w:cs="Arial"/>
          <w:sz w:val="22"/>
          <w:szCs w:val="22"/>
        </w:rPr>
        <w:t>S</w:t>
      </w:r>
      <w:r w:rsidR="00813C5D" w:rsidRPr="00813C5D">
        <w:rPr>
          <w:rFonts w:ascii="Arial" w:hAnsi="Arial" w:cs="Arial"/>
          <w:sz w:val="22"/>
          <w:szCs w:val="22"/>
        </w:rPr>
        <w:t>afeguarding Vulnerable Groups Act 2006</w:t>
      </w:r>
      <w:r w:rsidRPr="005D4171">
        <w:rPr>
          <w:rFonts w:ascii="Arial" w:hAnsi="Arial" w:cs="Arial"/>
          <w:sz w:val="22"/>
          <w:szCs w:val="22"/>
        </w:rPr>
        <w:t xml:space="preserve"> by </w:t>
      </w:r>
      <w:r w:rsidR="00D13DEA">
        <w:rPr>
          <w:rFonts w:ascii="Arial" w:hAnsi="Arial" w:cs="Arial"/>
          <w:sz w:val="22"/>
          <w:szCs w:val="22"/>
        </w:rPr>
        <w:t>court and sentence type</w:t>
      </w:r>
      <w:r w:rsidR="001224E4">
        <w:rPr>
          <w:rFonts w:ascii="Arial" w:hAnsi="Arial" w:cs="Arial"/>
          <w:sz w:val="22"/>
          <w:szCs w:val="22"/>
        </w:rPr>
        <w:t xml:space="preserve"> </w:t>
      </w:r>
      <w:r w:rsidRPr="005D4171">
        <w:rPr>
          <w:rFonts w:ascii="Arial" w:hAnsi="Arial" w:cs="Arial"/>
          <w:sz w:val="22"/>
          <w:szCs w:val="22"/>
        </w:rPr>
        <w:t>in England and Wales</w:t>
      </w:r>
      <w:r w:rsidR="00227F5F">
        <w:rPr>
          <w:rFonts w:ascii="Arial" w:hAnsi="Arial" w:cs="Arial"/>
          <w:sz w:val="22"/>
          <w:szCs w:val="22"/>
        </w:rPr>
        <w:t>, in</w:t>
      </w:r>
      <w:r w:rsidRPr="005D4171">
        <w:rPr>
          <w:rFonts w:ascii="Arial" w:hAnsi="Arial" w:cs="Arial"/>
          <w:sz w:val="22"/>
          <w:szCs w:val="22"/>
        </w:rPr>
        <w:t xml:space="preserve"> 201</w:t>
      </w:r>
      <w:r w:rsidR="001224E4">
        <w:rPr>
          <w:rFonts w:ascii="Arial" w:hAnsi="Arial" w:cs="Arial"/>
          <w:sz w:val="22"/>
          <w:szCs w:val="22"/>
        </w:rPr>
        <w:t>5</w:t>
      </w:r>
      <w:r w:rsidRPr="005D4171">
        <w:rPr>
          <w:rFonts w:ascii="Arial" w:hAnsi="Arial" w:cs="Arial"/>
          <w:sz w:val="22"/>
          <w:szCs w:val="22"/>
        </w:rPr>
        <w:t>.</w:t>
      </w:r>
      <w:r w:rsidR="00D13DEA">
        <w:rPr>
          <w:rFonts w:ascii="Arial" w:hAnsi="Arial" w:cs="Arial"/>
          <w:sz w:val="22"/>
          <w:szCs w:val="22"/>
        </w:rPr>
        <w:t xml:space="preserve"> Please note the offences are triable-either-way meaning they can be convicted at the magistrates’ Courts </w:t>
      </w:r>
      <w:r w:rsidR="00DC4007">
        <w:rPr>
          <w:rFonts w:ascii="Arial" w:hAnsi="Arial" w:cs="Arial"/>
          <w:sz w:val="22"/>
          <w:szCs w:val="22"/>
        </w:rPr>
        <w:t xml:space="preserve">and Crown Court, and these are identifiable in the table. </w:t>
      </w:r>
    </w:p>
    <w:p w:rsidR="001A5CED" w:rsidRPr="005D4171" w:rsidRDefault="001A5CED" w:rsidP="001A5CED">
      <w:pPr>
        <w:rPr>
          <w:rFonts w:ascii="Arial" w:hAnsi="Arial" w:cs="Arial"/>
          <w:sz w:val="22"/>
          <w:szCs w:val="22"/>
        </w:rPr>
      </w:pPr>
    </w:p>
    <w:p w:rsidR="001A5CED" w:rsidRDefault="000048C2" w:rsidP="000048C2">
      <w:pPr>
        <w:rPr>
          <w:rFonts w:ascii="Arial" w:hAnsi="Arial" w:cs="Arial"/>
          <w:sz w:val="22"/>
          <w:szCs w:val="22"/>
        </w:rPr>
      </w:pPr>
      <w:r>
        <w:rPr>
          <w:rFonts w:ascii="Arial" w:hAnsi="Arial" w:cs="Arial"/>
          <w:sz w:val="22"/>
          <w:szCs w:val="22"/>
        </w:rPr>
        <w:t>The information you originally</w:t>
      </w:r>
      <w:r w:rsidR="001A5CED" w:rsidRPr="005D4171">
        <w:rPr>
          <w:rFonts w:ascii="Arial" w:hAnsi="Arial" w:cs="Arial"/>
          <w:sz w:val="22"/>
          <w:szCs w:val="22"/>
        </w:rPr>
        <w:t xml:space="preserve"> requested </w:t>
      </w:r>
      <w:r w:rsidR="001A5CED">
        <w:rPr>
          <w:rFonts w:ascii="Arial" w:hAnsi="Arial" w:cs="Arial"/>
          <w:sz w:val="22"/>
          <w:szCs w:val="22"/>
        </w:rPr>
        <w:t>for</w:t>
      </w:r>
      <w:r w:rsidR="001A5CED" w:rsidRPr="005D4171">
        <w:rPr>
          <w:rFonts w:ascii="Arial" w:hAnsi="Arial" w:cs="Arial"/>
          <w:sz w:val="22"/>
          <w:szCs w:val="22"/>
        </w:rPr>
        <w:t xml:space="preserve"> 201</w:t>
      </w:r>
      <w:r w:rsidR="001A5CED">
        <w:rPr>
          <w:rFonts w:ascii="Arial" w:hAnsi="Arial" w:cs="Arial"/>
          <w:sz w:val="22"/>
          <w:szCs w:val="22"/>
        </w:rPr>
        <w:t>6</w:t>
      </w:r>
      <w:r>
        <w:rPr>
          <w:rFonts w:ascii="Arial" w:hAnsi="Arial" w:cs="Arial"/>
          <w:sz w:val="22"/>
          <w:szCs w:val="22"/>
        </w:rPr>
        <w:t xml:space="preserve"> </w:t>
      </w:r>
      <w:r w:rsidR="001A5CED" w:rsidRPr="005D4171">
        <w:rPr>
          <w:rFonts w:ascii="Arial" w:hAnsi="Arial" w:cs="Arial"/>
          <w:sz w:val="22"/>
          <w:szCs w:val="22"/>
        </w:rPr>
        <w:t xml:space="preserve">is a subset of the </w:t>
      </w:r>
      <w:r w:rsidR="001A5CED">
        <w:rPr>
          <w:rFonts w:ascii="Arial" w:hAnsi="Arial" w:cs="Arial"/>
          <w:sz w:val="22"/>
          <w:szCs w:val="22"/>
        </w:rPr>
        <w:t xml:space="preserve">Criminal Justice Statistics </w:t>
      </w:r>
      <w:r w:rsidR="001A5CED" w:rsidRPr="005D4171">
        <w:rPr>
          <w:rFonts w:ascii="Arial" w:hAnsi="Arial" w:cs="Arial"/>
          <w:sz w:val="22"/>
          <w:szCs w:val="22"/>
        </w:rPr>
        <w:t xml:space="preserve">data held in its final form which we routinely publish. It is intended for publication </w:t>
      </w:r>
      <w:r w:rsidR="001A5CED">
        <w:rPr>
          <w:rFonts w:ascii="Arial" w:hAnsi="Arial" w:cs="Arial"/>
          <w:sz w:val="22"/>
          <w:szCs w:val="22"/>
        </w:rPr>
        <w:t xml:space="preserve">on the Ministry of Justice website </w:t>
      </w:r>
      <w:r w:rsidR="001A5CED" w:rsidRPr="005D4171">
        <w:rPr>
          <w:rFonts w:ascii="Arial" w:hAnsi="Arial" w:cs="Arial"/>
          <w:sz w:val="22"/>
          <w:szCs w:val="22"/>
        </w:rPr>
        <w:t xml:space="preserve">in </w:t>
      </w:r>
      <w:r w:rsidR="001A5CED">
        <w:rPr>
          <w:rFonts w:ascii="Arial" w:hAnsi="Arial" w:cs="Arial"/>
          <w:sz w:val="22"/>
          <w:szCs w:val="22"/>
        </w:rPr>
        <w:t xml:space="preserve">the summer </w:t>
      </w:r>
      <w:r w:rsidR="001A5CED" w:rsidRPr="005D4171">
        <w:rPr>
          <w:rFonts w:ascii="Arial" w:hAnsi="Arial" w:cs="Arial"/>
          <w:sz w:val="22"/>
          <w:szCs w:val="22"/>
        </w:rPr>
        <w:t>201</w:t>
      </w:r>
      <w:r w:rsidR="001A5CED">
        <w:rPr>
          <w:rFonts w:ascii="Arial" w:hAnsi="Arial" w:cs="Arial"/>
          <w:sz w:val="22"/>
          <w:szCs w:val="22"/>
        </w:rPr>
        <w:t>7</w:t>
      </w:r>
      <w:r>
        <w:rPr>
          <w:rFonts w:ascii="Arial" w:hAnsi="Arial" w:cs="Arial"/>
          <w:sz w:val="22"/>
          <w:szCs w:val="22"/>
        </w:rPr>
        <w:t>.</w:t>
      </w:r>
    </w:p>
    <w:p w:rsidR="00AF5C62" w:rsidRPr="005D4171" w:rsidRDefault="00AF5C62" w:rsidP="000048C2">
      <w:pPr>
        <w:rPr>
          <w:rFonts w:ascii="Arial" w:hAnsi="Arial" w:cs="Arial"/>
          <w:sz w:val="22"/>
          <w:szCs w:val="22"/>
        </w:rPr>
      </w:pPr>
    </w:p>
    <w:p w:rsidR="001A5CED" w:rsidRPr="005D4171" w:rsidRDefault="001A5CED" w:rsidP="001A5CED">
      <w:pPr>
        <w:autoSpaceDE w:val="0"/>
        <w:autoSpaceDN w:val="0"/>
        <w:adjustRightInd w:val="0"/>
        <w:rPr>
          <w:rFonts w:ascii="Arial" w:hAnsi="Arial" w:cs="Arial"/>
          <w:sz w:val="22"/>
          <w:szCs w:val="22"/>
        </w:rPr>
      </w:pPr>
    </w:p>
    <w:p w:rsidR="001A5CED" w:rsidRPr="005D4171" w:rsidRDefault="001A5CED" w:rsidP="001A5CED">
      <w:pPr>
        <w:jc w:val="center"/>
        <w:rPr>
          <w:rFonts w:ascii="Arial" w:hAnsi="Arial" w:cs="Arial"/>
          <w:b/>
          <w:sz w:val="22"/>
          <w:szCs w:val="22"/>
        </w:rPr>
      </w:pPr>
      <w:r w:rsidRPr="005D4171">
        <w:rPr>
          <w:rFonts w:ascii="Arial" w:hAnsi="Arial" w:cs="Arial"/>
          <w:b/>
          <w:sz w:val="22"/>
          <w:szCs w:val="22"/>
        </w:rPr>
        <w:br w:type="page"/>
        <w:t>How to Appeal</w:t>
      </w:r>
    </w:p>
    <w:p w:rsidR="001A5CED" w:rsidRPr="005D4171" w:rsidRDefault="001A5CED" w:rsidP="001A5CED">
      <w:pPr>
        <w:jc w:val="both"/>
        <w:rPr>
          <w:rFonts w:ascii="Arial" w:hAnsi="Arial" w:cs="Arial"/>
          <w:b/>
          <w:sz w:val="22"/>
          <w:szCs w:val="22"/>
        </w:rPr>
      </w:pPr>
    </w:p>
    <w:p w:rsidR="001A5CED" w:rsidRPr="005D4171" w:rsidRDefault="001A5CED" w:rsidP="001A5CED">
      <w:pPr>
        <w:jc w:val="both"/>
        <w:rPr>
          <w:rFonts w:ascii="Arial" w:hAnsi="Arial" w:cs="Arial"/>
          <w:b/>
          <w:sz w:val="22"/>
          <w:szCs w:val="22"/>
        </w:rPr>
      </w:pPr>
      <w:r w:rsidRPr="005D4171">
        <w:rPr>
          <w:rFonts w:ascii="Arial" w:hAnsi="Arial" w:cs="Arial"/>
          <w:b/>
          <w:sz w:val="22"/>
          <w:szCs w:val="22"/>
        </w:rPr>
        <w:t>Internal Review</w:t>
      </w:r>
    </w:p>
    <w:p w:rsidR="001A5CED" w:rsidRPr="005D4171" w:rsidRDefault="001A5CED" w:rsidP="001A5CED">
      <w:pPr>
        <w:jc w:val="both"/>
        <w:rPr>
          <w:rFonts w:ascii="Arial" w:hAnsi="Arial" w:cs="Arial"/>
          <w:sz w:val="22"/>
          <w:szCs w:val="22"/>
        </w:rPr>
      </w:pPr>
      <w:r w:rsidRPr="005D4171">
        <w:rPr>
          <w:rFonts w:ascii="Arial" w:hAnsi="Arial" w:cs="Arial"/>
          <w:sz w:val="22"/>
          <w:szCs w:val="22"/>
        </w:rPr>
        <w:t>If you are not satisfied with this response, you have the right to an internal review. The handling of your request will be looked at by someone who was not responsible for the original case, and they will make a decision as to whether we answered your request correctly.</w:t>
      </w:r>
    </w:p>
    <w:p w:rsidR="001A5CED" w:rsidRPr="005D4171" w:rsidRDefault="001A5CED" w:rsidP="001A5CED">
      <w:pPr>
        <w:jc w:val="both"/>
        <w:rPr>
          <w:rFonts w:ascii="Arial" w:hAnsi="Arial" w:cs="Arial"/>
          <w:sz w:val="22"/>
          <w:szCs w:val="22"/>
        </w:rPr>
      </w:pPr>
    </w:p>
    <w:p w:rsidR="001A5CED" w:rsidRPr="005D4171" w:rsidRDefault="001A5CED" w:rsidP="001A5CED">
      <w:pPr>
        <w:jc w:val="both"/>
        <w:rPr>
          <w:rFonts w:ascii="Arial" w:hAnsi="Arial" w:cs="Arial"/>
          <w:sz w:val="22"/>
          <w:szCs w:val="22"/>
        </w:rPr>
      </w:pPr>
      <w:r w:rsidRPr="005D4171">
        <w:rPr>
          <w:rFonts w:ascii="Arial" w:hAnsi="Arial" w:cs="Arial"/>
          <w:sz w:val="22"/>
          <w:szCs w:val="22"/>
        </w:rPr>
        <w:t xml:space="preserve">If you would like to request a review, please write or send an email to the Data Access and Compliance Unit within two months of the date of this letter, at the </w:t>
      </w:r>
    </w:p>
    <w:p w:rsidR="001A5CED" w:rsidRPr="005D4171" w:rsidRDefault="001A5CED" w:rsidP="001A5CED">
      <w:pPr>
        <w:jc w:val="both"/>
        <w:rPr>
          <w:rFonts w:ascii="Arial" w:hAnsi="Arial" w:cs="Arial"/>
          <w:sz w:val="22"/>
          <w:szCs w:val="22"/>
        </w:rPr>
      </w:pPr>
      <w:r w:rsidRPr="005D4171">
        <w:rPr>
          <w:rFonts w:ascii="Arial" w:hAnsi="Arial" w:cs="Arial"/>
          <w:sz w:val="22"/>
          <w:szCs w:val="22"/>
        </w:rPr>
        <w:t>following address:</w:t>
      </w:r>
    </w:p>
    <w:p w:rsidR="001A5CED" w:rsidRPr="005D4171" w:rsidRDefault="001A5CED" w:rsidP="001A5CED">
      <w:pPr>
        <w:jc w:val="both"/>
        <w:rPr>
          <w:rFonts w:ascii="Arial" w:hAnsi="Arial" w:cs="Arial"/>
          <w:sz w:val="22"/>
          <w:szCs w:val="22"/>
        </w:rPr>
      </w:pPr>
    </w:p>
    <w:p w:rsidR="001A5CED" w:rsidRPr="005D4171" w:rsidRDefault="001A5CED" w:rsidP="001A5CED">
      <w:pPr>
        <w:jc w:val="both"/>
        <w:rPr>
          <w:rFonts w:ascii="Arial" w:hAnsi="Arial" w:cs="Arial"/>
          <w:sz w:val="22"/>
          <w:szCs w:val="22"/>
        </w:rPr>
      </w:pPr>
      <w:r w:rsidRPr="005D4171">
        <w:rPr>
          <w:rFonts w:ascii="Arial" w:hAnsi="Arial" w:cs="Arial"/>
          <w:sz w:val="22"/>
          <w:szCs w:val="22"/>
        </w:rPr>
        <w:t>Data Access and Compliance Unit (10.34),</w:t>
      </w:r>
    </w:p>
    <w:p w:rsidR="001A5CED" w:rsidRPr="005D4171" w:rsidRDefault="001A5CED" w:rsidP="001A5CED">
      <w:pPr>
        <w:jc w:val="both"/>
        <w:rPr>
          <w:rFonts w:ascii="Arial" w:hAnsi="Arial" w:cs="Arial"/>
          <w:sz w:val="22"/>
          <w:szCs w:val="22"/>
        </w:rPr>
      </w:pPr>
      <w:r w:rsidRPr="005D4171">
        <w:rPr>
          <w:rFonts w:ascii="Arial" w:hAnsi="Arial" w:cs="Arial"/>
          <w:sz w:val="22"/>
          <w:szCs w:val="22"/>
        </w:rPr>
        <w:t>Information &amp; Communications Directorate,</w:t>
      </w:r>
    </w:p>
    <w:p w:rsidR="001A5CED" w:rsidRPr="005D4171" w:rsidRDefault="001A5CED" w:rsidP="001A5CED">
      <w:pPr>
        <w:jc w:val="both"/>
        <w:rPr>
          <w:rFonts w:ascii="Arial" w:hAnsi="Arial" w:cs="Arial"/>
          <w:sz w:val="22"/>
          <w:szCs w:val="22"/>
        </w:rPr>
      </w:pPr>
      <w:r w:rsidRPr="005D4171">
        <w:rPr>
          <w:rFonts w:ascii="Arial" w:hAnsi="Arial" w:cs="Arial"/>
          <w:sz w:val="22"/>
          <w:szCs w:val="22"/>
        </w:rPr>
        <w:t>Ministry of Justice,</w:t>
      </w:r>
    </w:p>
    <w:p w:rsidR="001A5CED" w:rsidRPr="005D4171" w:rsidRDefault="001A5CED" w:rsidP="001A5CED">
      <w:pPr>
        <w:jc w:val="both"/>
        <w:rPr>
          <w:rFonts w:ascii="Arial" w:hAnsi="Arial" w:cs="Arial"/>
          <w:sz w:val="22"/>
          <w:szCs w:val="22"/>
        </w:rPr>
      </w:pPr>
      <w:r w:rsidRPr="005D4171">
        <w:rPr>
          <w:rFonts w:ascii="Arial" w:hAnsi="Arial" w:cs="Arial"/>
          <w:sz w:val="22"/>
          <w:szCs w:val="22"/>
        </w:rPr>
        <w:t>102 Petty France,</w:t>
      </w:r>
    </w:p>
    <w:p w:rsidR="001A5CED" w:rsidRPr="005D4171" w:rsidRDefault="001A5CED" w:rsidP="001A5CED">
      <w:pPr>
        <w:jc w:val="both"/>
        <w:rPr>
          <w:rFonts w:ascii="Arial" w:hAnsi="Arial" w:cs="Arial"/>
          <w:sz w:val="22"/>
          <w:szCs w:val="22"/>
        </w:rPr>
      </w:pPr>
      <w:r w:rsidRPr="005D4171">
        <w:rPr>
          <w:rFonts w:ascii="Arial" w:hAnsi="Arial" w:cs="Arial"/>
          <w:sz w:val="22"/>
          <w:szCs w:val="22"/>
        </w:rPr>
        <w:t>London</w:t>
      </w:r>
    </w:p>
    <w:p w:rsidR="001A5CED" w:rsidRPr="005D4171" w:rsidRDefault="001A5CED" w:rsidP="001A5CED">
      <w:pPr>
        <w:jc w:val="both"/>
        <w:rPr>
          <w:rFonts w:ascii="Arial" w:hAnsi="Arial" w:cs="Arial"/>
          <w:sz w:val="22"/>
          <w:szCs w:val="22"/>
        </w:rPr>
      </w:pPr>
      <w:r w:rsidRPr="005D4171">
        <w:rPr>
          <w:rFonts w:ascii="Arial" w:hAnsi="Arial" w:cs="Arial"/>
          <w:sz w:val="22"/>
          <w:szCs w:val="22"/>
        </w:rPr>
        <w:t>SW1H 9AJ</w:t>
      </w:r>
    </w:p>
    <w:p w:rsidR="001A5CED" w:rsidRPr="005D4171" w:rsidRDefault="001A5CED" w:rsidP="001A5CED">
      <w:pPr>
        <w:jc w:val="both"/>
        <w:rPr>
          <w:rFonts w:ascii="Arial" w:hAnsi="Arial" w:cs="Arial"/>
          <w:sz w:val="22"/>
          <w:szCs w:val="22"/>
        </w:rPr>
      </w:pPr>
    </w:p>
    <w:p w:rsidR="001A5CED" w:rsidRPr="005D4171" w:rsidRDefault="001A5CED" w:rsidP="001A5CED">
      <w:pPr>
        <w:jc w:val="both"/>
        <w:rPr>
          <w:rFonts w:ascii="Arial" w:hAnsi="Arial" w:cs="Arial"/>
          <w:color w:val="000000"/>
          <w:sz w:val="22"/>
          <w:szCs w:val="22"/>
        </w:rPr>
      </w:pPr>
      <w:r w:rsidRPr="005D4171">
        <w:rPr>
          <w:rFonts w:ascii="Arial" w:hAnsi="Arial" w:cs="Arial"/>
          <w:sz w:val="22"/>
          <w:szCs w:val="22"/>
        </w:rPr>
        <w:t xml:space="preserve">E-mail: </w:t>
      </w:r>
      <w:hyperlink r:id="rId8" w:history="1">
        <w:r w:rsidRPr="005D4171">
          <w:rPr>
            <w:rStyle w:val="Hyperlink"/>
            <w:rFonts w:ascii="Arial" w:hAnsi="Arial" w:cs="Arial"/>
            <w:sz w:val="22"/>
            <w:szCs w:val="22"/>
          </w:rPr>
          <w:t>data.access@justice.gsi.gov.uk</w:t>
        </w:r>
      </w:hyperlink>
    </w:p>
    <w:p w:rsidR="001A5CED" w:rsidRPr="005D4171" w:rsidRDefault="001A5CED" w:rsidP="001A5CED">
      <w:pPr>
        <w:jc w:val="both"/>
        <w:rPr>
          <w:rFonts w:ascii="Arial" w:hAnsi="Arial" w:cs="Arial"/>
          <w:color w:val="000000"/>
          <w:sz w:val="22"/>
          <w:szCs w:val="22"/>
        </w:rPr>
      </w:pPr>
    </w:p>
    <w:p w:rsidR="001A5CED" w:rsidRPr="005D4171" w:rsidRDefault="001A5CED" w:rsidP="001A5CED">
      <w:pPr>
        <w:jc w:val="both"/>
        <w:rPr>
          <w:rFonts w:ascii="Arial" w:hAnsi="Arial" w:cs="Arial"/>
          <w:b/>
          <w:color w:val="000000"/>
          <w:sz w:val="22"/>
          <w:szCs w:val="22"/>
        </w:rPr>
      </w:pPr>
      <w:r w:rsidRPr="005D4171">
        <w:rPr>
          <w:rFonts w:ascii="Arial" w:hAnsi="Arial" w:cs="Arial"/>
          <w:b/>
          <w:color w:val="000000"/>
          <w:sz w:val="22"/>
          <w:szCs w:val="22"/>
        </w:rPr>
        <w:t>Information Commissioner’s Office</w:t>
      </w: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If you remain dissatisfied after an internal review decision, you have the right to apply to the Information Commissioner’s Office. The Commissioner is an independent regulator who has the power to direct us to respond to your request differently, if he considers that we have handled it incorrectly.</w:t>
      </w:r>
    </w:p>
    <w:p w:rsidR="001A5CED" w:rsidRPr="005D4171" w:rsidRDefault="001A5CED" w:rsidP="001A5CED">
      <w:pPr>
        <w:jc w:val="both"/>
        <w:rPr>
          <w:rFonts w:ascii="Arial" w:hAnsi="Arial" w:cs="Arial"/>
          <w:color w:val="000000"/>
          <w:sz w:val="22"/>
          <w:szCs w:val="22"/>
        </w:rPr>
      </w:pP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You can contact the Information Commissioner’s Office at the following address:</w:t>
      </w:r>
    </w:p>
    <w:p w:rsidR="001A5CED" w:rsidRPr="005D4171" w:rsidRDefault="001A5CED" w:rsidP="001A5CED">
      <w:pPr>
        <w:jc w:val="both"/>
        <w:rPr>
          <w:rFonts w:ascii="Arial" w:hAnsi="Arial" w:cs="Arial"/>
          <w:color w:val="000000"/>
          <w:sz w:val="22"/>
          <w:szCs w:val="22"/>
        </w:rPr>
      </w:pP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Information Commissioner’s Office,</w:t>
      </w: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Wycliffe House,</w:t>
      </w: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Water Lane,</w:t>
      </w: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Wilmslow,</w:t>
      </w: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Cheshire</w:t>
      </w: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SK9 5AF</w:t>
      </w:r>
    </w:p>
    <w:p w:rsidR="001A5CED" w:rsidRPr="005D4171" w:rsidRDefault="001A5CED" w:rsidP="001A5CED">
      <w:pPr>
        <w:jc w:val="both"/>
        <w:rPr>
          <w:rFonts w:ascii="Arial" w:hAnsi="Arial" w:cs="Arial"/>
          <w:color w:val="000000"/>
          <w:sz w:val="22"/>
          <w:szCs w:val="22"/>
        </w:rPr>
      </w:pPr>
      <w:r w:rsidRPr="005D4171">
        <w:rPr>
          <w:rFonts w:ascii="Arial" w:hAnsi="Arial" w:cs="Arial"/>
          <w:color w:val="000000"/>
          <w:sz w:val="22"/>
          <w:szCs w:val="22"/>
        </w:rPr>
        <w:t xml:space="preserve">Internet address: </w:t>
      </w:r>
      <w:hyperlink r:id="rId9" w:history="1">
        <w:r w:rsidRPr="005D4171">
          <w:rPr>
            <w:rStyle w:val="Hyperlink"/>
            <w:rFonts w:ascii="Arial" w:hAnsi="Arial" w:cs="Arial"/>
            <w:sz w:val="22"/>
            <w:szCs w:val="22"/>
          </w:rPr>
          <w:t>https://www.ico.gov.uk/Global/contact_us.aspx</w:t>
        </w:r>
      </w:hyperlink>
    </w:p>
    <w:p w:rsidR="001A5CED" w:rsidRPr="005D4171" w:rsidRDefault="001A5CED" w:rsidP="001A5CED">
      <w:pPr>
        <w:jc w:val="both"/>
        <w:rPr>
          <w:rFonts w:ascii="Arial" w:hAnsi="Arial" w:cs="Arial"/>
          <w:color w:val="000000"/>
          <w:sz w:val="22"/>
          <w:szCs w:val="22"/>
        </w:rPr>
      </w:pPr>
    </w:p>
    <w:p w:rsidR="001A5CED" w:rsidRPr="005D4171" w:rsidRDefault="001A5CED" w:rsidP="001A5CED">
      <w:pPr>
        <w:jc w:val="both"/>
        <w:rPr>
          <w:rFonts w:ascii="Arial" w:hAnsi="Arial" w:cs="Arial"/>
          <w:color w:val="000000"/>
          <w:sz w:val="22"/>
          <w:szCs w:val="22"/>
        </w:rPr>
      </w:pPr>
    </w:p>
    <w:p w:rsidR="001A5CED" w:rsidRPr="005D4171" w:rsidRDefault="001A5CED" w:rsidP="001A5CED">
      <w:pPr>
        <w:jc w:val="both"/>
        <w:rPr>
          <w:rFonts w:ascii="Arial" w:hAnsi="Arial" w:cs="Arial"/>
          <w:sz w:val="22"/>
          <w:szCs w:val="22"/>
        </w:rPr>
      </w:pPr>
      <w:r w:rsidRPr="005D4171">
        <w:rPr>
          <w:rFonts w:ascii="Arial" w:hAnsi="Arial" w:cs="Arial"/>
          <w:sz w:val="22"/>
          <w:szCs w:val="22"/>
        </w:rPr>
        <w:t xml:space="preserve"> </w:t>
      </w: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Default="001A5CED" w:rsidP="001A5CED">
      <w:pPr>
        <w:jc w:val="center"/>
        <w:rPr>
          <w:rFonts w:ascii="Arial" w:hAnsi="Arial" w:cs="Arial"/>
          <w:b/>
          <w:snapToGrid w:val="0"/>
          <w:sz w:val="22"/>
          <w:szCs w:val="22"/>
          <w:u w:val="single"/>
        </w:rPr>
      </w:pPr>
    </w:p>
    <w:p w:rsidR="004B0692" w:rsidRDefault="004B0692" w:rsidP="001A5CED">
      <w:pPr>
        <w:jc w:val="center"/>
        <w:rPr>
          <w:rFonts w:ascii="Arial" w:hAnsi="Arial" w:cs="Arial"/>
          <w:b/>
          <w:snapToGrid w:val="0"/>
          <w:sz w:val="22"/>
          <w:szCs w:val="22"/>
          <w:u w:val="single"/>
        </w:rPr>
      </w:pPr>
    </w:p>
    <w:p w:rsidR="004B0692" w:rsidRPr="005D4171" w:rsidRDefault="004B0692"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r w:rsidRPr="005D4171">
        <w:rPr>
          <w:rFonts w:ascii="Arial" w:hAnsi="Arial" w:cs="Arial"/>
          <w:b/>
          <w:snapToGrid w:val="0"/>
          <w:sz w:val="22"/>
          <w:szCs w:val="22"/>
          <w:u w:val="single"/>
        </w:rPr>
        <w:t xml:space="preserve">EXPLANATION OF FOIA - SECTION 22 – INFORMATION FOR FUTURE PUBLICATION </w:t>
      </w: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rPr>
          <w:rFonts w:ascii="Arial" w:hAnsi="Arial" w:cs="Arial"/>
          <w:color w:val="000000"/>
          <w:sz w:val="22"/>
          <w:szCs w:val="22"/>
        </w:rPr>
      </w:pPr>
      <w:r w:rsidRPr="005D4171">
        <w:rPr>
          <w:rFonts w:ascii="Arial" w:hAnsi="Arial" w:cs="Arial"/>
          <w:sz w:val="22"/>
          <w:szCs w:val="22"/>
        </w:rPr>
        <w:t>We</w:t>
      </w:r>
      <w:r w:rsidRPr="005D4171">
        <w:rPr>
          <w:rFonts w:ascii="Arial" w:hAnsi="Arial" w:cs="Arial"/>
          <w:color w:val="000000"/>
          <w:sz w:val="22"/>
          <w:szCs w:val="22"/>
        </w:rPr>
        <w:t xml:space="preserve"> have provided below additional information about Section 22 of the Freedom of Information Act. We have included some extracts from the legislation, as well as some of the guidance we use when applying it. We hope you find this information useful.</w:t>
      </w:r>
    </w:p>
    <w:p w:rsidR="001A5CED" w:rsidRPr="005D4171" w:rsidRDefault="001A5CED" w:rsidP="001A5CED">
      <w:pPr>
        <w:rPr>
          <w:rFonts w:ascii="Arial" w:hAnsi="Arial" w:cs="Arial"/>
          <w:color w:val="000000"/>
          <w:sz w:val="22"/>
          <w:szCs w:val="22"/>
        </w:rPr>
      </w:pPr>
    </w:p>
    <w:p w:rsidR="001A5CED" w:rsidRPr="005D4171" w:rsidRDefault="001A5CED" w:rsidP="001A5CED">
      <w:pPr>
        <w:rPr>
          <w:rFonts w:ascii="Arial" w:hAnsi="Arial" w:cs="Arial"/>
          <w:b/>
          <w:color w:val="000000"/>
          <w:sz w:val="22"/>
          <w:szCs w:val="22"/>
        </w:rPr>
      </w:pPr>
      <w:r w:rsidRPr="005D4171">
        <w:rPr>
          <w:rFonts w:ascii="Arial" w:hAnsi="Arial" w:cs="Arial"/>
          <w:b/>
          <w:color w:val="000000"/>
          <w:sz w:val="22"/>
          <w:szCs w:val="22"/>
        </w:rPr>
        <w:t>The legislation</w:t>
      </w:r>
    </w:p>
    <w:p w:rsidR="001A5CED" w:rsidRPr="005D4171" w:rsidRDefault="001A5CED" w:rsidP="001A5CED">
      <w:pPr>
        <w:rPr>
          <w:rFonts w:ascii="Arial" w:hAnsi="Arial" w:cs="Arial"/>
          <w:b/>
          <w:color w:val="000000"/>
          <w:sz w:val="22"/>
          <w:szCs w:val="22"/>
        </w:rPr>
      </w:pPr>
    </w:p>
    <w:p w:rsidR="001A5CED" w:rsidRPr="005D4171" w:rsidRDefault="001A5CED" w:rsidP="001A5CED">
      <w:pPr>
        <w:rPr>
          <w:rFonts w:ascii="Arial" w:hAnsi="Arial" w:cs="Arial"/>
          <w:b/>
          <w:snapToGrid w:val="0"/>
          <w:sz w:val="22"/>
          <w:szCs w:val="22"/>
        </w:rPr>
      </w:pPr>
      <w:r w:rsidRPr="005D4171">
        <w:rPr>
          <w:rFonts w:ascii="Arial" w:hAnsi="Arial" w:cs="Arial"/>
          <w:b/>
          <w:snapToGrid w:val="0"/>
          <w:sz w:val="22"/>
          <w:szCs w:val="22"/>
          <w:u w:val="single"/>
        </w:rPr>
        <w:t>Section 1:</w:t>
      </w:r>
      <w:r w:rsidRPr="005D4171">
        <w:rPr>
          <w:rFonts w:ascii="Arial" w:hAnsi="Arial" w:cs="Arial"/>
          <w:b/>
          <w:snapToGrid w:val="0"/>
          <w:sz w:val="22"/>
          <w:szCs w:val="22"/>
        </w:rPr>
        <w:t xml:space="preserve"> Right of Access to information held by public authorities</w:t>
      </w:r>
    </w:p>
    <w:p w:rsidR="001A5CED" w:rsidRPr="005D4171" w:rsidRDefault="001A5CED" w:rsidP="001A5CED">
      <w:pPr>
        <w:shd w:val="clear" w:color="auto" w:fill="FFFFFF"/>
        <w:spacing w:after="120"/>
        <w:rPr>
          <w:rFonts w:ascii="Arial" w:hAnsi="Arial" w:cs="Arial"/>
          <w:color w:val="000000"/>
          <w:sz w:val="22"/>
          <w:szCs w:val="22"/>
          <w:lang w:val="en"/>
        </w:rPr>
      </w:pPr>
    </w:p>
    <w:p w:rsidR="001A5CED" w:rsidRPr="005D4171" w:rsidRDefault="001A5CED" w:rsidP="001A5CED">
      <w:pPr>
        <w:shd w:val="clear" w:color="auto" w:fill="FFFFFF"/>
        <w:spacing w:after="120"/>
        <w:rPr>
          <w:rFonts w:ascii="Arial" w:hAnsi="Arial" w:cs="Arial"/>
          <w:color w:val="000000"/>
          <w:sz w:val="22"/>
          <w:szCs w:val="22"/>
          <w:lang w:val="en"/>
        </w:rPr>
      </w:pPr>
      <w:r w:rsidRPr="005D4171">
        <w:rPr>
          <w:rFonts w:ascii="Arial" w:hAnsi="Arial" w:cs="Arial"/>
          <w:color w:val="000000"/>
          <w:sz w:val="22"/>
          <w:szCs w:val="22"/>
          <w:lang w:val="en"/>
        </w:rPr>
        <w:t xml:space="preserve"> (1) Any person making a request for information to a public authority is entitled— </w:t>
      </w:r>
    </w:p>
    <w:p w:rsidR="001A5CED" w:rsidRPr="005D4171" w:rsidRDefault="001A5CED" w:rsidP="001A5CED">
      <w:pPr>
        <w:shd w:val="clear" w:color="auto" w:fill="FFFFFF"/>
        <w:spacing w:after="120"/>
        <w:ind w:left="1440" w:hanging="720"/>
        <w:rPr>
          <w:rFonts w:ascii="Arial" w:hAnsi="Arial" w:cs="Arial"/>
          <w:color w:val="000000"/>
          <w:sz w:val="22"/>
          <w:szCs w:val="22"/>
          <w:lang w:val="en"/>
        </w:rPr>
      </w:pPr>
      <w:r w:rsidRPr="005D4171">
        <w:rPr>
          <w:rFonts w:ascii="Arial" w:hAnsi="Arial" w:cs="Arial"/>
          <w:color w:val="000000"/>
          <w:sz w:val="22"/>
          <w:szCs w:val="22"/>
          <w:lang w:val="en"/>
        </w:rPr>
        <w:t>(a)</w:t>
      </w:r>
      <w:r w:rsidRPr="005D4171">
        <w:rPr>
          <w:rFonts w:ascii="Arial" w:hAnsi="Arial" w:cs="Arial"/>
          <w:color w:val="000000"/>
          <w:sz w:val="22"/>
          <w:szCs w:val="22"/>
          <w:lang w:val="en"/>
        </w:rPr>
        <w:tab/>
        <w:t xml:space="preserve">to be informed in writing by the public authority whether it holds information of the description specified in the request, and </w:t>
      </w:r>
    </w:p>
    <w:p w:rsidR="001A5CED" w:rsidRPr="005D4171" w:rsidRDefault="001A5CED" w:rsidP="001A5CED">
      <w:pPr>
        <w:shd w:val="clear" w:color="auto" w:fill="FFFFFF"/>
        <w:spacing w:after="120"/>
        <w:ind w:firstLine="720"/>
        <w:rPr>
          <w:rFonts w:ascii="Arial" w:hAnsi="Arial" w:cs="Arial"/>
          <w:color w:val="000000"/>
          <w:sz w:val="22"/>
          <w:szCs w:val="22"/>
          <w:lang w:val="en"/>
        </w:rPr>
      </w:pPr>
      <w:r w:rsidRPr="005D4171">
        <w:rPr>
          <w:rFonts w:ascii="Arial" w:hAnsi="Arial" w:cs="Arial"/>
          <w:color w:val="000000"/>
          <w:sz w:val="22"/>
          <w:szCs w:val="22"/>
          <w:lang w:val="en"/>
        </w:rPr>
        <w:t xml:space="preserve">(b) </w:t>
      </w:r>
      <w:r w:rsidRPr="005D4171">
        <w:rPr>
          <w:rFonts w:ascii="Arial" w:hAnsi="Arial" w:cs="Arial"/>
          <w:color w:val="000000"/>
          <w:sz w:val="22"/>
          <w:szCs w:val="22"/>
          <w:lang w:val="en"/>
        </w:rPr>
        <w:tab/>
        <w:t xml:space="preserve">if that is the case, to have that information communicated to him. </w:t>
      </w:r>
    </w:p>
    <w:p w:rsidR="001A5CED" w:rsidRPr="005D4171" w:rsidRDefault="001A5CED" w:rsidP="001A5CED">
      <w:pPr>
        <w:rPr>
          <w:rFonts w:ascii="Arial" w:hAnsi="Arial" w:cs="Arial"/>
          <w:b/>
          <w:snapToGrid w:val="0"/>
          <w:sz w:val="22"/>
          <w:szCs w:val="22"/>
        </w:rPr>
      </w:pPr>
    </w:p>
    <w:p w:rsidR="001A5CED" w:rsidRPr="005D4171" w:rsidRDefault="001A5CED" w:rsidP="001A5CED">
      <w:pPr>
        <w:rPr>
          <w:rFonts w:ascii="Arial" w:hAnsi="Arial" w:cs="Arial"/>
          <w:b/>
          <w:color w:val="000000"/>
          <w:sz w:val="22"/>
          <w:szCs w:val="22"/>
          <w:lang w:val="en"/>
        </w:rPr>
      </w:pPr>
      <w:r w:rsidRPr="005D4171">
        <w:rPr>
          <w:rFonts w:ascii="Arial" w:hAnsi="Arial" w:cs="Arial"/>
          <w:b/>
          <w:snapToGrid w:val="0"/>
          <w:sz w:val="22"/>
          <w:szCs w:val="22"/>
          <w:u w:val="single"/>
        </w:rPr>
        <w:t>Section 22:</w:t>
      </w:r>
      <w:r w:rsidRPr="005D4171">
        <w:rPr>
          <w:rFonts w:ascii="Arial" w:hAnsi="Arial" w:cs="Arial"/>
          <w:b/>
          <w:snapToGrid w:val="0"/>
          <w:sz w:val="22"/>
          <w:szCs w:val="22"/>
        </w:rPr>
        <w:t xml:space="preserve"> Information intended for future publication</w:t>
      </w:r>
      <w:r w:rsidRPr="005D4171">
        <w:rPr>
          <w:rFonts w:ascii="Arial" w:hAnsi="Arial" w:cs="Arial"/>
          <w:b/>
          <w:color w:val="000000"/>
          <w:sz w:val="22"/>
          <w:szCs w:val="22"/>
          <w:lang w:val="en"/>
        </w:rPr>
        <w:t xml:space="preserve"> </w:t>
      </w:r>
    </w:p>
    <w:p w:rsidR="001A5CED" w:rsidRPr="005D4171" w:rsidRDefault="001A5CED" w:rsidP="001A5CED">
      <w:pPr>
        <w:shd w:val="clear" w:color="auto" w:fill="FFFFFF"/>
        <w:spacing w:line="288" w:lineRule="atLeast"/>
        <w:outlineLvl w:val="4"/>
        <w:rPr>
          <w:rFonts w:ascii="Arial" w:hAnsi="Arial" w:cs="Arial"/>
          <w:color w:val="000000"/>
          <w:sz w:val="22"/>
          <w:szCs w:val="22"/>
          <w:lang w:val="en"/>
        </w:rPr>
      </w:pPr>
    </w:p>
    <w:p w:rsidR="001A5CED" w:rsidRPr="005D4171" w:rsidRDefault="001A5CED" w:rsidP="001A5CED">
      <w:pPr>
        <w:shd w:val="clear" w:color="auto" w:fill="FFFFFF"/>
        <w:spacing w:after="120"/>
        <w:rPr>
          <w:rFonts w:ascii="Arial" w:hAnsi="Arial" w:cs="Arial"/>
          <w:color w:val="000000"/>
          <w:sz w:val="22"/>
          <w:szCs w:val="22"/>
          <w:lang w:val="en"/>
        </w:rPr>
      </w:pPr>
      <w:r w:rsidRPr="005D4171">
        <w:rPr>
          <w:rFonts w:ascii="Arial" w:hAnsi="Arial" w:cs="Arial"/>
          <w:sz w:val="22"/>
          <w:szCs w:val="22"/>
        </w:rPr>
        <w:t>(1)Information is exempt information if—</w:t>
      </w:r>
    </w:p>
    <w:p w:rsidR="001A5CED" w:rsidRPr="005D4171" w:rsidRDefault="001A5CED" w:rsidP="001A5CED">
      <w:pPr>
        <w:shd w:val="clear" w:color="auto" w:fill="FFFFFF"/>
        <w:spacing w:after="120"/>
        <w:ind w:left="1440" w:hanging="720"/>
        <w:rPr>
          <w:rFonts w:ascii="Arial" w:hAnsi="Arial" w:cs="Arial"/>
          <w:color w:val="000000"/>
          <w:sz w:val="22"/>
          <w:szCs w:val="22"/>
          <w:lang w:val="en"/>
        </w:rPr>
      </w:pPr>
      <w:r w:rsidRPr="005D4171">
        <w:rPr>
          <w:rFonts w:ascii="Arial" w:hAnsi="Arial" w:cs="Arial"/>
          <w:sz w:val="22"/>
          <w:szCs w:val="22"/>
        </w:rPr>
        <w:t>(a)</w:t>
      </w:r>
      <w:r w:rsidRPr="005D4171">
        <w:rPr>
          <w:rFonts w:ascii="Arial" w:hAnsi="Arial" w:cs="Arial"/>
          <w:sz w:val="22"/>
          <w:szCs w:val="22"/>
        </w:rPr>
        <w:tab/>
        <w:t>the information is held by the public authority with a view to its publication, by the authority or any other person, at some future date (whether determined or not),</w:t>
      </w:r>
    </w:p>
    <w:p w:rsidR="001A5CED" w:rsidRPr="005D4171" w:rsidRDefault="001A5CED" w:rsidP="001A5CED">
      <w:pPr>
        <w:shd w:val="clear" w:color="auto" w:fill="FFFFFF"/>
        <w:spacing w:after="120"/>
        <w:ind w:left="1440" w:hanging="720"/>
        <w:rPr>
          <w:rFonts w:ascii="Arial" w:hAnsi="Arial" w:cs="Arial"/>
          <w:color w:val="000000"/>
          <w:sz w:val="22"/>
          <w:szCs w:val="22"/>
          <w:lang w:val="en"/>
        </w:rPr>
      </w:pPr>
      <w:r w:rsidRPr="005D4171">
        <w:rPr>
          <w:rFonts w:ascii="Arial" w:hAnsi="Arial" w:cs="Arial"/>
          <w:sz w:val="22"/>
          <w:szCs w:val="22"/>
        </w:rPr>
        <w:t>(b)</w:t>
      </w:r>
      <w:r w:rsidRPr="005D4171">
        <w:rPr>
          <w:rFonts w:ascii="Arial" w:hAnsi="Arial" w:cs="Arial"/>
          <w:sz w:val="22"/>
          <w:szCs w:val="22"/>
        </w:rPr>
        <w:tab/>
        <w:t>the information was already held with a view to such publication at the time when the request for information was made, and</w:t>
      </w:r>
    </w:p>
    <w:p w:rsidR="001A5CED" w:rsidRPr="005D4171" w:rsidRDefault="001A5CED" w:rsidP="001A5CED">
      <w:pPr>
        <w:shd w:val="clear" w:color="auto" w:fill="FFFFFF"/>
        <w:spacing w:after="120"/>
        <w:ind w:left="1440" w:hanging="720"/>
        <w:rPr>
          <w:rFonts w:ascii="Arial" w:hAnsi="Arial" w:cs="Arial"/>
          <w:color w:val="000000"/>
          <w:sz w:val="22"/>
          <w:szCs w:val="22"/>
          <w:lang w:val="en"/>
        </w:rPr>
      </w:pPr>
      <w:r w:rsidRPr="005D4171">
        <w:rPr>
          <w:rFonts w:ascii="Arial" w:hAnsi="Arial" w:cs="Arial"/>
          <w:sz w:val="22"/>
          <w:szCs w:val="22"/>
        </w:rPr>
        <w:t>(c)</w:t>
      </w:r>
      <w:r w:rsidRPr="005D4171">
        <w:rPr>
          <w:rFonts w:ascii="Arial" w:hAnsi="Arial" w:cs="Arial"/>
          <w:sz w:val="22"/>
          <w:szCs w:val="22"/>
        </w:rPr>
        <w:tab/>
        <w:t>it is reasonable in all the circumstances that the information should be withheld from disclosure until the date referred to in paragraph (a).</w:t>
      </w:r>
    </w:p>
    <w:p w:rsidR="001A5CED" w:rsidRPr="005D4171" w:rsidRDefault="001A5CED" w:rsidP="001A5CED">
      <w:pPr>
        <w:shd w:val="clear" w:color="auto" w:fill="FFFFFF"/>
        <w:spacing w:after="120"/>
        <w:rPr>
          <w:rFonts w:ascii="Arial" w:hAnsi="Arial" w:cs="Arial"/>
          <w:color w:val="000000"/>
          <w:sz w:val="22"/>
          <w:szCs w:val="22"/>
          <w:lang w:val="en"/>
        </w:rPr>
      </w:pPr>
      <w:r w:rsidRPr="005D4171">
        <w:rPr>
          <w:rFonts w:ascii="Arial" w:hAnsi="Arial" w:cs="Arial"/>
          <w:sz w:val="22"/>
          <w:szCs w:val="22"/>
        </w:rPr>
        <w:t>(2) The duty to confirm or deny does not arise if, or to the extent that, compliance with section 1(1) (a) would involve the disclosure of any information (whether or not already recorded) which falls within subsection (1).</w:t>
      </w:r>
    </w:p>
    <w:p w:rsidR="001A5CED" w:rsidRPr="005D4171" w:rsidRDefault="001A5CED" w:rsidP="001A5CED">
      <w:pPr>
        <w:pStyle w:val="Heading2"/>
        <w:spacing w:after="120" w:afterAutospacing="0"/>
        <w:rPr>
          <w:rFonts w:ascii="Arial" w:hAnsi="Arial" w:cs="Arial"/>
          <w:sz w:val="22"/>
          <w:szCs w:val="22"/>
          <w:lang w:val="en"/>
        </w:rPr>
      </w:pPr>
      <w:r w:rsidRPr="005D4171">
        <w:rPr>
          <w:rFonts w:ascii="Arial" w:hAnsi="Arial" w:cs="Arial"/>
          <w:sz w:val="22"/>
          <w:szCs w:val="22"/>
          <w:lang w:val="en"/>
        </w:rPr>
        <w:t>Guidance</w:t>
      </w:r>
    </w:p>
    <w:p w:rsidR="001A5CED" w:rsidRPr="005D4171" w:rsidRDefault="001A5CED" w:rsidP="001A5CED">
      <w:pPr>
        <w:pStyle w:val="Default"/>
        <w:spacing w:after="240"/>
        <w:rPr>
          <w:color w:val="auto"/>
          <w:sz w:val="22"/>
          <w:szCs w:val="22"/>
        </w:rPr>
      </w:pPr>
      <w:r w:rsidRPr="005D4171">
        <w:rPr>
          <w:color w:val="auto"/>
          <w:sz w:val="22"/>
          <w:szCs w:val="22"/>
        </w:rPr>
        <w:t xml:space="preserve">Section 22 exempts information requested by an applicant if it is intended for future publication. It encourages public authorities to place information in the public domain proactively. </w:t>
      </w:r>
    </w:p>
    <w:p w:rsidR="001A5CED" w:rsidRPr="005D4171" w:rsidRDefault="001A5CED" w:rsidP="001A5CED">
      <w:pPr>
        <w:pStyle w:val="Default"/>
        <w:spacing w:after="240"/>
        <w:rPr>
          <w:color w:val="auto"/>
          <w:sz w:val="22"/>
          <w:szCs w:val="22"/>
        </w:rPr>
      </w:pPr>
      <w:r w:rsidRPr="005D4171">
        <w:rPr>
          <w:color w:val="auto"/>
          <w:sz w:val="22"/>
          <w:szCs w:val="22"/>
        </w:rPr>
        <w:t xml:space="preserve">The Freedom of Information Act recognises the desirability of information being freely available in its own right, but section 22 also acknowledges that public authorities must have freedom to be able to determine their own publication timetables. This allows them to deal with the necessary preparation, administration and context of publication. Where information is intended to be made available, individual requests for information should not determine the publication timetables of public authorities. This protection is afforded whether it is the public authority itself or another person which intends to publish – whether an individual, a company or another public authority. </w:t>
      </w:r>
    </w:p>
    <w:p w:rsidR="001A5CED" w:rsidRPr="005D4171" w:rsidRDefault="001A5CED" w:rsidP="001A5CED">
      <w:pPr>
        <w:pStyle w:val="Default"/>
        <w:spacing w:after="240"/>
        <w:rPr>
          <w:color w:val="auto"/>
          <w:sz w:val="22"/>
          <w:szCs w:val="22"/>
        </w:rPr>
      </w:pPr>
      <w:r w:rsidRPr="005D4171">
        <w:rPr>
          <w:color w:val="auto"/>
          <w:sz w:val="22"/>
          <w:szCs w:val="22"/>
        </w:rPr>
        <w:t xml:space="preserve">The starting point for section 22 is that it exempts information which is held by a public authority with a view to its publication, by the authority or any other person, at some future date. The exact date, however, does not necessarily have to be decided already. When using the section 22 exemption, you should consider whether it is possible and appropriate to disclose the expected publication date. </w:t>
      </w:r>
    </w:p>
    <w:p w:rsidR="001A5CED" w:rsidRPr="005D4171" w:rsidRDefault="001A5CED" w:rsidP="001A5CED">
      <w:pPr>
        <w:pStyle w:val="Default"/>
        <w:spacing w:after="240"/>
        <w:rPr>
          <w:color w:val="auto"/>
          <w:sz w:val="22"/>
          <w:szCs w:val="22"/>
        </w:rPr>
      </w:pPr>
      <w:r w:rsidRPr="005D4171">
        <w:rPr>
          <w:color w:val="auto"/>
          <w:sz w:val="22"/>
          <w:szCs w:val="22"/>
        </w:rPr>
        <w:t xml:space="preserve">Section 22 is subject to two important qualifications: </w:t>
      </w:r>
    </w:p>
    <w:p w:rsidR="001A5CED" w:rsidRPr="005D4171" w:rsidRDefault="001A5CED" w:rsidP="001A5CED">
      <w:pPr>
        <w:pStyle w:val="Default"/>
        <w:spacing w:after="183"/>
        <w:rPr>
          <w:color w:val="auto"/>
          <w:sz w:val="22"/>
          <w:szCs w:val="22"/>
        </w:rPr>
      </w:pPr>
      <w:r w:rsidRPr="005D4171">
        <w:rPr>
          <w:color w:val="auto"/>
          <w:sz w:val="22"/>
          <w:szCs w:val="22"/>
        </w:rPr>
        <w:t xml:space="preserve">- it must be reasonable in all the circumstances to withhold the information until the date of publication </w:t>
      </w:r>
    </w:p>
    <w:p w:rsidR="001A5CED" w:rsidRPr="005D4171" w:rsidRDefault="001A5CED" w:rsidP="001A5CED">
      <w:pPr>
        <w:pStyle w:val="Default"/>
        <w:rPr>
          <w:color w:val="auto"/>
          <w:sz w:val="22"/>
          <w:szCs w:val="22"/>
        </w:rPr>
      </w:pPr>
      <w:r w:rsidRPr="005D4171">
        <w:rPr>
          <w:color w:val="auto"/>
          <w:sz w:val="22"/>
          <w:szCs w:val="22"/>
        </w:rPr>
        <w:t xml:space="preserve">- the public interest test must be satisfied </w:t>
      </w:r>
    </w:p>
    <w:p w:rsidR="001A5CED" w:rsidRPr="005D4171" w:rsidRDefault="001A5CED" w:rsidP="001A5CED">
      <w:pPr>
        <w:pStyle w:val="Default"/>
        <w:rPr>
          <w:color w:val="auto"/>
          <w:sz w:val="22"/>
          <w:szCs w:val="22"/>
        </w:rPr>
      </w:pPr>
    </w:p>
    <w:p w:rsidR="001A5CED" w:rsidRPr="005D4171" w:rsidRDefault="001A5CED" w:rsidP="001A5CED">
      <w:pPr>
        <w:pStyle w:val="Default"/>
        <w:spacing w:after="240"/>
        <w:rPr>
          <w:color w:val="auto"/>
          <w:sz w:val="22"/>
          <w:szCs w:val="22"/>
        </w:rPr>
      </w:pPr>
      <w:r w:rsidRPr="005D4171">
        <w:rPr>
          <w:color w:val="auto"/>
          <w:sz w:val="22"/>
          <w:szCs w:val="22"/>
        </w:rPr>
        <w:t xml:space="preserve">These qualifications recognise that sometimes there will be an overriding public interest in the information being released prior to the intended publication date. Public authorities should not be able to avoid putting information in the public domain by adopting unreasonable publication timetables or an 'intention' to publish where there is little prospect of that happening within a reasonable timescale. </w:t>
      </w: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jc w:val="center"/>
        <w:rPr>
          <w:rFonts w:ascii="Arial" w:hAnsi="Arial" w:cs="Arial"/>
          <w:b/>
          <w:snapToGrid w:val="0"/>
          <w:sz w:val="22"/>
          <w:szCs w:val="22"/>
          <w:u w:val="single"/>
        </w:rPr>
      </w:pPr>
      <w:r w:rsidRPr="005D4171">
        <w:rPr>
          <w:rFonts w:ascii="Arial" w:hAnsi="Arial" w:cs="Arial"/>
          <w:b/>
          <w:snapToGrid w:val="0"/>
          <w:sz w:val="22"/>
          <w:szCs w:val="22"/>
          <w:u w:val="single"/>
        </w:rPr>
        <w:t>EXPLANATION OF FOIA - SECTION 44 – PROHIBITIONS ON DISCLOSURE</w:t>
      </w:r>
    </w:p>
    <w:p w:rsidR="001A5CED" w:rsidRPr="005D4171" w:rsidRDefault="001A5CED" w:rsidP="001A5CED">
      <w:pPr>
        <w:jc w:val="center"/>
        <w:rPr>
          <w:rFonts w:ascii="Arial" w:hAnsi="Arial" w:cs="Arial"/>
          <w:b/>
          <w:snapToGrid w:val="0"/>
          <w:sz w:val="22"/>
          <w:szCs w:val="22"/>
          <w:u w:val="single"/>
        </w:rPr>
      </w:pPr>
    </w:p>
    <w:p w:rsidR="001A5CED" w:rsidRPr="005D4171" w:rsidRDefault="001A5CED" w:rsidP="001A5CED">
      <w:pPr>
        <w:rPr>
          <w:rFonts w:ascii="Arial" w:hAnsi="Arial" w:cs="Arial"/>
          <w:color w:val="000000"/>
          <w:sz w:val="22"/>
          <w:szCs w:val="22"/>
        </w:rPr>
      </w:pPr>
      <w:r w:rsidRPr="005D4171">
        <w:rPr>
          <w:rFonts w:ascii="Arial" w:hAnsi="Arial" w:cs="Arial"/>
          <w:sz w:val="22"/>
          <w:szCs w:val="22"/>
        </w:rPr>
        <w:t>We</w:t>
      </w:r>
      <w:r w:rsidRPr="005D4171">
        <w:rPr>
          <w:rFonts w:ascii="Arial" w:hAnsi="Arial" w:cs="Arial"/>
          <w:color w:val="000000"/>
          <w:sz w:val="22"/>
          <w:szCs w:val="22"/>
        </w:rPr>
        <w:t xml:space="preserve"> have provided below additional information about Section 44 of the Freedom of Information Act. We have included some extracts from the legislation, as well as some of the guidance we use when applying it. We hope you find this information useful.</w:t>
      </w:r>
    </w:p>
    <w:p w:rsidR="001A5CED" w:rsidRPr="005D4171" w:rsidRDefault="001A5CED" w:rsidP="001A5CED">
      <w:pPr>
        <w:rPr>
          <w:rFonts w:ascii="Arial" w:hAnsi="Arial" w:cs="Arial"/>
          <w:color w:val="000000"/>
          <w:sz w:val="22"/>
          <w:szCs w:val="22"/>
        </w:rPr>
      </w:pPr>
    </w:p>
    <w:p w:rsidR="001A5CED" w:rsidRPr="005D4171" w:rsidRDefault="001A5CED" w:rsidP="001A5CED">
      <w:pPr>
        <w:rPr>
          <w:rFonts w:ascii="Arial" w:hAnsi="Arial" w:cs="Arial"/>
          <w:b/>
          <w:color w:val="000000"/>
          <w:sz w:val="22"/>
          <w:szCs w:val="22"/>
        </w:rPr>
      </w:pPr>
      <w:r w:rsidRPr="005D4171">
        <w:rPr>
          <w:rFonts w:ascii="Arial" w:hAnsi="Arial" w:cs="Arial"/>
          <w:b/>
          <w:color w:val="000000"/>
          <w:sz w:val="22"/>
          <w:szCs w:val="22"/>
        </w:rPr>
        <w:t>The legislation</w:t>
      </w:r>
    </w:p>
    <w:p w:rsidR="001A5CED" w:rsidRPr="005D4171" w:rsidRDefault="001A5CED" w:rsidP="001A5CED">
      <w:pPr>
        <w:rPr>
          <w:rFonts w:ascii="Arial" w:hAnsi="Arial" w:cs="Arial"/>
          <w:b/>
          <w:snapToGrid w:val="0"/>
          <w:sz w:val="22"/>
          <w:szCs w:val="22"/>
          <w:u w:val="single"/>
        </w:rPr>
      </w:pPr>
    </w:p>
    <w:p w:rsidR="001A5CED" w:rsidRPr="005D4171" w:rsidRDefault="001A5CED" w:rsidP="001A5CED">
      <w:pPr>
        <w:spacing w:after="120"/>
        <w:rPr>
          <w:rFonts w:ascii="Arial" w:hAnsi="Arial" w:cs="Arial"/>
          <w:b/>
          <w:snapToGrid w:val="0"/>
          <w:sz w:val="22"/>
          <w:szCs w:val="22"/>
        </w:rPr>
      </w:pPr>
      <w:r w:rsidRPr="005D4171">
        <w:rPr>
          <w:rFonts w:ascii="Arial" w:hAnsi="Arial" w:cs="Arial"/>
          <w:b/>
          <w:snapToGrid w:val="0"/>
          <w:sz w:val="22"/>
          <w:szCs w:val="22"/>
          <w:u w:val="single"/>
        </w:rPr>
        <w:t>Section 1:</w:t>
      </w:r>
      <w:r w:rsidRPr="005D4171">
        <w:rPr>
          <w:rFonts w:ascii="Arial" w:hAnsi="Arial" w:cs="Arial"/>
          <w:b/>
          <w:snapToGrid w:val="0"/>
          <w:sz w:val="22"/>
          <w:szCs w:val="22"/>
        </w:rPr>
        <w:t xml:space="preserve"> Right of Access to information held by public authorities</w:t>
      </w:r>
    </w:p>
    <w:p w:rsidR="001A5CED" w:rsidRPr="005D4171" w:rsidRDefault="001A5CED" w:rsidP="001A5CED">
      <w:pPr>
        <w:spacing w:after="120"/>
        <w:rPr>
          <w:rFonts w:ascii="Arial" w:hAnsi="Arial" w:cs="Arial"/>
          <w:sz w:val="22"/>
          <w:szCs w:val="22"/>
        </w:rPr>
      </w:pPr>
      <w:r w:rsidRPr="005D4171">
        <w:rPr>
          <w:rFonts w:ascii="Arial" w:hAnsi="Arial" w:cs="Arial"/>
          <w:sz w:val="22"/>
          <w:szCs w:val="22"/>
        </w:rPr>
        <w:t xml:space="preserve">(1) Any person making a request for information to a public authority is entitled— </w:t>
      </w:r>
    </w:p>
    <w:p w:rsidR="001A5CED" w:rsidRPr="005D4171" w:rsidRDefault="001A5CED" w:rsidP="001A5CED">
      <w:pPr>
        <w:spacing w:after="120"/>
        <w:ind w:left="1440" w:hanging="720"/>
        <w:rPr>
          <w:rFonts w:ascii="Arial" w:hAnsi="Arial" w:cs="Arial"/>
          <w:sz w:val="22"/>
          <w:szCs w:val="22"/>
        </w:rPr>
      </w:pPr>
      <w:r w:rsidRPr="005D4171">
        <w:rPr>
          <w:rFonts w:ascii="Arial" w:hAnsi="Arial" w:cs="Arial"/>
          <w:sz w:val="22"/>
          <w:szCs w:val="22"/>
        </w:rPr>
        <w:t>(a)</w:t>
      </w:r>
      <w:r w:rsidRPr="005D4171">
        <w:rPr>
          <w:rFonts w:ascii="Arial" w:hAnsi="Arial" w:cs="Arial"/>
          <w:sz w:val="22"/>
          <w:szCs w:val="22"/>
        </w:rPr>
        <w:tab/>
        <w:t xml:space="preserve">to be informed in writing by the public authority whether it holds information of the description specified in the request, and </w:t>
      </w:r>
    </w:p>
    <w:p w:rsidR="001A5CED" w:rsidRPr="005D4171" w:rsidRDefault="001A5CED" w:rsidP="001A5CED">
      <w:pPr>
        <w:spacing w:after="120"/>
        <w:ind w:firstLine="720"/>
        <w:rPr>
          <w:rFonts w:ascii="Arial" w:hAnsi="Arial" w:cs="Arial"/>
          <w:sz w:val="22"/>
          <w:szCs w:val="22"/>
        </w:rPr>
      </w:pPr>
      <w:r w:rsidRPr="005D4171">
        <w:rPr>
          <w:rFonts w:ascii="Arial" w:hAnsi="Arial" w:cs="Arial"/>
          <w:sz w:val="22"/>
          <w:szCs w:val="22"/>
        </w:rPr>
        <w:t xml:space="preserve">(b) </w:t>
      </w:r>
      <w:r w:rsidRPr="005D4171">
        <w:rPr>
          <w:rFonts w:ascii="Arial" w:hAnsi="Arial" w:cs="Arial"/>
          <w:sz w:val="22"/>
          <w:szCs w:val="22"/>
        </w:rPr>
        <w:tab/>
        <w:t xml:space="preserve">if that is the case, to have that information communicated to him. </w:t>
      </w:r>
    </w:p>
    <w:p w:rsidR="001A5CED" w:rsidRPr="005D4171" w:rsidRDefault="001A5CED" w:rsidP="001A5CED">
      <w:pPr>
        <w:rPr>
          <w:rFonts w:ascii="Arial" w:hAnsi="Arial" w:cs="Arial"/>
          <w:b/>
          <w:snapToGrid w:val="0"/>
          <w:sz w:val="22"/>
          <w:szCs w:val="22"/>
        </w:rPr>
      </w:pPr>
    </w:p>
    <w:p w:rsidR="001A5CED" w:rsidRPr="005D4171" w:rsidRDefault="001A5CED" w:rsidP="001A5CED">
      <w:pPr>
        <w:shd w:val="clear" w:color="auto" w:fill="FFFFFF"/>
        <w:spacing w:after="120"/>
        <w:outlineLvl w:val="3"/>
        <w:rPr>
          <w:rFonts w:ascii="Arial" w:hAnsi="Arial" w:cs="Arial"/>
          <w:b/>
          <w:color w:val="000000"/>
          <w:sz w:val="22"/>
          <w:szCs w:val="22"/>
          <w:lang w:val="en"/>
        </w:rPr>
      </w:pPr>
      <w:bookmarkStart w:id="1" w:name="appropriate"/>
      <w:bookmarkStart w:id="2" w:name="The_appropriate_limit"/>
      <w:bookmarkEnd w:id="1"/>
      <w:bookmarkEnd w:id="2"/>
      <w:r w:rsidRPr="005D4171">
        <w:rPr>
          <w:rStyle w:val="legdslegp1no"/>
          <w:rFonts w:ascii="Arial" w:hAnsi="Arial" w:cs="Arial"/>
          <w:b/>
          <w:color w:val="000000"/>
          <w:sz w:val="22"/>
          <w:szCs w:val="22"/>
          <w:u w:val="single"/>
          <w:lang w:val="en"/>
        </w:rPr>
        <w:t>Section 44:</w:t>
      </w:r>
      <w:r w:rsidRPr="005D4171">
        <w:rPr>
          <w:rStyle w:val="legdslegp1grouptitlefirst"/>
          <w:rFonts w:ascii="Arial" w:hAnsi="Arial" w:cs="Arial"/>
          <w:color w:val="000000"/>
          <w:sz w:val="22"/>
          <w:szCs w:val="22"/>
          <w:lang w:val="en"/>
        </w:rPr>
        <w:t xml:space="preserve"> </w:t>
      </w:r>
      <w:r w:rsidRPr="005D4171">
        <w:rPr>
          <w:rStyle w:val="legdslegp1grouptitlefirst"/>
          <w:rFonts w:ascii="Arial" w:hAnsi="Arial" w:cs="Arial"/>
          <w:b/>
          <w:color w:val="000000"/>
          <w:sz w:val="22"/>
          <w:szCs w:val="22"/>
          <w:lang w:val="en"/>
        </w:rPr>
        <w:t>Prohibitions on disclosure.</w:t>
      </w:r>
    </w:p>
    <w:p w:rsidR="001A5CED" w:rsidRPr="005D4171" w:rsidRDefault="001A5CED" w:rsidP="001A5CED">
      <w:pPr>
        <w:spacing w:after="120"/>
        <w:rPr>
          <w:rFonts w:ascii="Arial" w:hAnsi="Arial" w:cs="Arial"/>
          <w:sz w:val="22"/>
          <w:szCs w:val="22"/>
        </w:rPr>
      </w:pPr>
      <w:r w:rsidRPr="005D4171">
        <w:rPr>
          <w:rFonts w:ascii="Arial" w:hAnsi="Arial" w:cs="Arial"/>
          <w:sz w:val="22"/>
          <w:szCs w:val="22"/>
        </w:rPr>
        <w:t>(1) Information is exempt information if its disclosure (otherwise than under this Act) by the public authority holding it—</w:t>
      </w:r>
    </w:p>
    <w:p w:rsidR="001A5CED" w:rsidRPr="005D4171" w:rsidRDefault="001A5CED" w:rsidP="001A5CED">
      <w:pPr>
        <w:spacing w:after="120"/>
        <w:ind w:firstLine="720"/>
        <w:rPr>
          <w:rFonts w:ascii="Arial" w:hAnsi="Arial" w:cs="Arial"/>
          <w:sz w:val="22"/>
          <w:szCs w:val="22"/>
        </w:rPr>
      </w:pPr>
      <w:r w:rsidRPr="005D4171">
        <w:rPr>
          <w:rFonts w:ascii="Arial" w:hAnsi="Arial" w:cs="Arial"/>
          <w:sz w:val="22"/>
          <w:szCs w:val="22"/>
        </w:rPr>
        <w:t>(a)</w:t>
      </w:r>
      <w:r w:rsidRPr="005D4171">
        <w:rPr>
          <w:rFonts w:ascii="Arial" w:hAnsi="Arial" w:cs="Arial"/>
          <w:sz w:val="22"/>
          <w:szCs w:val="22"/>
        </w:rPr>
        <w:tab/>
        <w:t>is prohibited by or under any enactment,</w:t>
      </w:r>
    </w:p>
    <w:p w:rsidR="001A5CED" w:rsidRPr="005D4171" w:rsidRDefault="001A5CED" w:rsidP="001A5CED">
      <w:pPr>
        <w:spacing w:after="120"/>
        <w:ind w:firstLine="720"/>
        <w:rPr>
          <w:rFonts w:ascii="Arial" w:hAnsi="Arial" w:cs="Arial"/>
          <w:sz w:val="22"/>
          <w:szCs w:val="22"/>
        </w:rPr>
      </w:pPr>
      <w:r w:rsidRPr="005D4171">
        <w:rPr>
          <w:rFonts w:ascii="Arial" w:hAnsi="Arial" w:cs="Arial"/>
          <w:sz w:val="22"/>
          <w:szCs w:val="22"/>
        </w:rPr>
        <w:t>(b)</w:t>
      </w:r>
      <w:r w:rsidRPr="005D4171">
        <w:rPr>
          <w:rFonts w:ascii="Arial" w:hAnsi="Arial" w:cs="Arial"/>
          <w:sz w:val="22"/>
          <w:szCs w:val="22"/>
        </w:rPr>
        <w:tab/>
        <w:t>is incompatible with any Community obligation, or</w:t>
      </w:r>
    </w:p>
    <w:p w:rsidR="001A5CED" w:rsidRPr="005D4171" w:rsidRDefault="001A5CED" w:rsidP="001A5CED">
      <w:pPr>
        <w:spacing w:after="120"/>
        <w:ind w:firstLine="720"/>
        <w:rPr>
          <w:rFonts w:ascii="Arial" w:hAnsi="Arial" w:cs="Arial"/>
          <w:sz w:val="22"/>
          <w:szCs w:val="22"/>
        </w:rPr>
      </w:pPr>
      <w:r w:rsidRPr="005D4171">
        <w:rPr>
          <w:rFonts w:ascii="Arial" w:hAnsi="Arial" w:cs="Arial"/>
          <w:sz w:val="22"/>
          <w:szCs w:val="22"/>
        </w:rPr>
        <w:t>(c)</w:t>
      </w:r>
      <w:r w:rsidRPr="005D4171">
        <w:rPr>
          <w:rFonts w:ascii="Arial" w:hAnsi="Arial" w:cs="Arial"/>
          <w:sz w:val="22"/>
          <w:szCs w:val="22"/>
        </w:rPr>
        <w:tab/>
        <w:t>would constitute or be punishable as a contempt of court.</w:t>
      </w:r>
    </w:p>
    <w:p w:rsidR="001A5CED" w:rsidRPr="005D4171" w:rsidRDefault="001A5CED" w:rsidP="001A5CED">
      <w:pPr>
        <w:spacing w:after="120"/>
        <w:rPr>
          <w:rFonts w:ascii="Arial" w:hAnsi="Arial" w:cs="Arial"/>
          <w:sz w:val="22"/>
          <w:szCs w:val="22"/>
        </w:rPr>
      </w:pPr>
      <w:r w:rsidRPr="005D4171">
        <w:rPr>
          <w:rFonts w:ascii="Arial" w:hAnsi="Arial" w:cs="Arial"/>
          <w:sz w:val="22"/>
          <w:szCs w:val="22"/>
        </w:rPr>
        <w:t>(2) The duty to confirm or deny does not arise if the confirmation or denial that would have to be given to comply with section 1(1) (a) would (apart from this Act) fall within any of paragraphs (a) to (c) of subsection (1).</w:t>
      </w:r>
    </w:p>
    <w:p w:rsidR="001A5CED" w:rsidRPr="005D4171" w:rsidRDefault="001A5CED" w:rsidP="001A5CED">
      <w:pPr>
        <w:spacing w:after="120"/>
        <w:rPr>
          <w:rFonts w:ascii="Arial" w:hAnsi="Arial" w:cs="Arial"/>
          <w:b/>
          <w:sz w:val="22"/>
          <w:szCs w:val="22"/>
        </w:rPr>
      </w:pPr>
    </w:p>
    <w:p w:rsidR="001A5CED" w:rsidRPr="005D4171" w:rsidRDefault="001A5CED" w:rsidP="001A5CED">
      <w:pPr>
        <w:spacing w:after="120"/>
        <w:rPr>
          <w:rFonts w:ascii="Arial" w:hAnsi="Arial" w:cs="Arial"/>
          <w:b/>
          <w:sz w:val="22"/>
          <w:szCs w:val="22"/>
        </w:rPr>
      </w:pPr>
      <w:r w:rsidRPr="005D4171">
        <w:rPr>
          <w:rFonts w:ascii="Arial" w:hAnsi="Arial" w:cs="Arial"/>
          <w:b/>
          <w:sz w:val="22"/>
          <w:szCs w:val="22"/>
        </w:rPr>
        <w:t>Guidance</w:t>
      </w:r>
    </w:p>
    <w:p w:rsidR="001A5CED" w:rsidRPr="005D4171" w:rsidRDefault="001A5CED" w:rsidP="001A5CED">
      <w:pPr>
        <w:spacing w:after="120"/>
        <w:rPr>
          <w:rFonts w:ascii="Arial" w:hAnsi="Arial" w:cs="Arial"/>
          <w:sz w:val="22"/>
          <w:szCs w:val="22"/>
        </w:rPr>
      </w:pPr>
      <w:r w:rsidRPr="005D4171">
        <w:rPr>
          <w:rFonts w:ascii="Arial" w:hAnsi="Arial" w:cs="Arial"/>
          <w:sz w:val="22"/>
          <w:szCs w:val="22"/>
        </w:rPr>
        <w:t xml:space="preserve">Section 44 applies: </w:t>
      </w:r>
    </w:p>
    <w:p w:rsidR="001A5CED" w:rsidRPr="005D4171" w:rsidRDefault="001A5CED" w:rsidP="001A5CED">
      <w:pPr>
        <w:numPr>
          <w:ilvl w:val="0"/>
          <w:numId w:val="12"/>
        </w:numPr>
        <w:ind w:left="714" w:hanging="357"/>
        <w:rPr>
          <w:rFonts w:ascii="Arial" w:hAnsi="Arial" w:cs="Arial"/>
          <w:sz w:val="22"/>
          <w:szCs w:val="22"/>
        </w:rPr>
      </w:pPr>
      <w:r w:rsidRPr="005D4171">
        <w:rPr>
          <w:rFonts w:ascii="Arial" w:hAnsi="Arial" w:cs="Arial"/>
          <w:sz w:val="22"/>
          <w:szCs w:val="22"/>
        </w:rPr>
        <w:t xml:space="preserve">where there is an existing statutory bar to disclosure </w:t>
      </w:r>
    </w:p>
    <w:p w:rsidR="001A5CED" w:rsidRPr="005D4171" w:rsidRDefault="001A5CED" w:rsidP="001A5CED">
      <w:pPr>
        <w:numPr>
          <w:ilvl w:val="0"/>
          <w:numId w:val="12"/>
        </w:numPr>
        <w:ind w:left="714" w:hanging="357"/>
        <w:rPr>
          <w:rFonts w:ascii="Arial" w:hAnsi="Arial" w:cs="Arial"/>
          <w:sz w:val="22"/>
          <w:szCs w:val="22"/>
        </w:rPr>
      </w:pPr>
      <w:r w:rsidRPr="005D4171">
        <w:rPr>
          <w:rFonts w:ascii="Arial" w:hAnsi="Arial" w:cs="Arial"/>
          <w:sz w:val="22"/>
          <w:szCs w:val="22"/>
        </w:rPr>
        <w:t xml:space="preserve">where disclosure would be incompatible with a European Community obligation </w:t>
      </w:r>
    </w:p>
    <w:p w:rsidR="001A5CED" w:rsidRPr="005D4171" w:rsidRDefault="001A5CED" w:rsidP="001A5CED">
      <w:pPr>
        <w:numPr>
          <w:ilvl w:val="0"/>
          <w:numId w:val="12"/>
        </w:numPr>
        <w:ind w:left="714" w:hanging="357"/>
        <w:rPr>
          <w:rFonts w:ascii="Arial" w:hAnsi="Arial" w:cs="Arial"/>
          <w:sz w:val="22"/>
          <w:szCs w:val="22"/>
        </w:rPr>
      </w:pPr>
      <w:r w:rsidRPr="005D4171">
        <w:rPr>
          <w:rFonts w:ascii="Arial" w:hAnsi="Arial" w:cs="Arial"/>
          <w:sz w:val="22"/>
          <w:szCs w:val="22"/>
        </w:rPr>
        <w:t xml:space="preserve">where disclosure would constitute contempt of court at common law </w:t>
      </w:r>
    </w:p>
    <w:p w:rsidR="001A5CED" w:rsidRPr="005D4171" w:rsidRDefault="001A5CED" w:rsidP="001A5CED">
      <w:pPr>
        <w:ind w:left="357"/>
        <w:rPr>
          <w:rFonts w:ascii="Arial" w:hAnsi="Arial" w:cs="Arial"/>
          <w:sz w:val="22"/>
          <w:szCs w:val="22"/>
        </w:rPr>
      </w:pPr>
    </w:p>
    <w:p w:rsidR="001A5CED" w:rsidRPr="005D4171" w:rsidRDefault="001A5CED" w:rsidP="001A5CED">
      <w:pPr>
        <w:spacing w:after="120"/>
        <w:rPr>
          <w:rFonts w:ascii="Arial" w:hAnsi="Arial" w:cs="Arial"/>
          <w:sz w:val="22"/>
          <w:szCs w:val="22"/>
        </w:rPr>
      </w:pPr>
      <w:r w:rsidRPr="005D4171">
        <w:rPr>
          <w:rFonts w:ascii="Arial" w:hAnsi="Arial" w:cs="Arial"/>
          <w:sz w:val="22"/>
          <w:szCs w:val="22"/>
        </w:rPr>
        <w:t>The Human Rights Act 1998 can be a statutory bar to the disclosure of information.</w:t>
      </w:r>
    </w:p>
    <w:p w:rsidR="001A5CED" w:rsidRPr="005D4171" w:rsidRDefault="001A5CED" w:rsidP="001A5CED">
      <w:pPr>
        <w:spacing w:after="120"/>
        <w:rPr>
          <w:rFonts w:ascii="Arial" w:hAnsi="Arial" w:cs="Arial"/>
          <w:sz w:val="22"/>
          <w:szCs w:val="22"/>
        </w:rPr>
      </w:pPr>
      <w:r w:rsidRPr="005D4171">
        <w:rPr>
          <w:rFonts w:ascii="Arial" w:hAnsi="Arial" w:cs="Arial"/>
          <w:sz w:val="22"/>
          <w:szCs w:val="22"/>
        </w:rPr>
        <w:t>This exemption overrides the normal right of access to information under the Freedom of Information Act where another enactment otherwise prohibits it. In these cases, not only will the information be exempt, but the public authority will have no discretion to release voluntarily either. If the disclosure would be unlawful (regardless of whether any penalty might result) then the prohibition must be observed. This applies whether disclosure would be a criminal offence, subject to regulatory or civil law enforcement, including public law challenge.</w:t>
      </w:r>
    </w:p>
    <w:p w:rsidR="001A5CED" w:rsidRPr="005D4171" w:rsidRDefault="001A5CED" w:rsidP="001A5CED">
      <w:pPr>
        <w:spacing w:after="120"/>
        <w:rPr>
          <w:rFonts w:ascii="Arial" w:hAnsi="Arial" w:cs="Arial"/>
          <w:sz w:val="22"/>
          <w:szCs w:val="22"/>
        </w:rPr>
      </w:pPr>
      <w:r w:rsidRPr="005D4171">
        <w:rPr>
          <w:rFonts w:ascii="Arial" w:hAnsi="Arial" w:cs="Arial"/>
          <w:sz w:val="22"/>
          <w:szCs w:val="22"/>
        </w:rPr>
        <w:t xml:space="preserve">This exemption will include prohibitions both: </w:t>
      </w:r>
    </w:p>
    <w:p w:rsidR="001A5CED" w:rsidRPr="005D4171" w:rsidRDefault="001A5CED" w:rsidP="001A5CED">
      <w:pPr>
        <w:numPr>
          <w:ilvl w:val="0"/>
          <w:numId w:val="13"/>
        </w:numPr>
        <w:spacing w:after="120"/>
        <w:ind w:left="714" w:hanging="357"/>
        <w:rPr>
          <w:rFonts w:ascii="Arial" w:hAnsi="Arial" w:cs="Arial"/>
          <w:sz w:val="22"/>
          <w:szCs w:val="22"/>
        </w:rPr>
      </w:pPr>
      <w:r w:rsidRPr="005D4171">
        <w:rPr>
          <w:rFonts w:ascii="Arial" w:hAnsi="Arial" w:cs="Arial"/>
          <w:sz w:val="22"/>
          <w:szCs w:val="22"/>
        </w:rPr>
        <w:t>In primary legislation (i.e. Acts of Parliament). For example section 21 of the Local Government Finance Act 1992. The section makes it an offence to disclose or use certain information gathered by HM Revenues and Customs other than for the purpose of valuing property.</w:t>
      </w:r>
    </w:p>
    <w:p w:rsidR="001A5CED" w:rsidRPr="005D4171" w:rsidRDefault="001A5CED" w:rsidP="001A5CED">
      <w:pPr>
        <w:ind w:left="720"/>
        <w:rPr>
          <w:rFonts w:ascii="Arial" w:hAnsi="Arial" w:cs="Arial"/>
          <w:b/>
          <w:snapToGrid w:val="0"/>
          <w:sz w:val="22"/>
          <w:szCs w:val="22"/>
          <w:u w:val="single"/>
        </w:rPr>
      </w:pPr>
      <w:r w:rsidRPr="005D4171">
        <w:rPr>
          <w:rFonts w:ascii="Arial" w:hAnsi="Arial" w:cs="Arial"/>
          <w:sz w:val="22"/>
          <w:szCs w:val="22"/>
        </w:rPr>
        <w:t>In any sort of secondary legislation made on a statutory basis (e.g. orders,      rules, regulations or codes) – for example, part 31.22 of the Civil Procedure Rules, which covers the use of documents disclosed in civil proceedings.</w:t>
      </w:r>
    </w:p>
    <w:p w:rsidR="001A5CED" w:rsidRPr="00DB6761" w:rsidRDefault="001A5CED" w:rsidP="00DB6761">
      <w:pPr>
        <w:rPr>
          <w:rFonts w:ascii="Arial" w:hAnsi="Arial" w:cs="Arial"/>
          <w:b/>
          <w:sz w:val="22"/>
          <w:szCs w:val="22"/>
        </w:rPr>
      </w:pPr>
    </w:p>
    <w:sectPr w:rsidR="001A5CED" w:rsidRPr="00DB6761" w:rsidSect="002179DD">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5D" w:rsidRDefault="0082475D">
      <w:r>
        <w:separator/>
      </w:r>
    </w:p>
  </w:endnote>
  <w:endnote w:type="continuationSeparator" w:id="0">
    <w:p w:rsidR="0082475D" w:rsidRDefault="0082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5D" w:rsidRDefault="0082475D">
      <w:r>
        <w:separator/>
      </w:r>
    </w:p>
  </w:footnote>
  <w:footnote w:type="continuationSeparator" w:id="0">
    <w:p w:rsidR="0082475D" w:rsidRDefault="00824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5FE4"/>
    <w:multiLevelType w:val="hybridMultilevel"/>
    <w:tmpl w:val="0D20DF8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6558EE"/>
    <w:multiLevelType w:val="hybridMultilevel"/>
    <w:tmpl w:val="F228A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51EF8"/>
    <w:multiLevelType w:val="hybridMultilevel"/>
    <w:tmpl w:val="B4D4C6B4"/>
    <w:lvl w:ilvl="0" w:tplc="BBCC330C">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83C1CFF"/>
    <w:multiLevelType w:val="hybridMultilevel"/>
    <w:tmpl w:val="C8DA0D86"/>
    <w:lvl w:ilvl="0" w:tplc="6BB2E3C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D25619"/>
    <w:multiLevelType w:val="hybridMultilevel"/>
    <w:tmpl w:val="A6F0F6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D253A"/>
    <w:multiLevelType w:val="hybridMultilevel"/>
    <w:tmpl w:val="956CC142"/>
    <w:lvl w:ilvl="0" w:tplc="443E6358">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0"/>
  </w:num>
  <w:num w:numId="6">
    <w:abstractNumId w:val="12"/>
  </w:num>
  <w:num w:numId="7">
    <w:abstractNumId w:val="1"/>
  </w:num>
  <w:num w:numId="8">
    <w:abstractNumId w:val="7"/>
    <w:lvlOverride w:ilvl="0"/>
    <w:lvlOverride w:ilvl="1"/>
    <w:lvlOverride w:ilvl="2"/>
    <w:lvlOverride w:ilvl="3"/>
    <w:lvlOverride w:ilvl="4"/>
    <w:lvlOverride w:ilvl="5"/>
    <w:lvlOverride w:ilvl="6"/>
    <w:lvlOverride w:ilvl="7"/>
    <w:lvlOverride w:ilv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017C"/>
    <w:rsid w:val="00002458"/>
    <w:rsid w:val="000048C2"/>
    <w:rsid w:val="000170AC"/>
    <w:rsid w:val="00041B16"/>
    <w:rsid w:val="00043251"/>
    <w:rsid w:val="00043C1B"/>
    <w:rsid w:val="00044305"/>
    <w:rsid w:val="00045B2C"/>
    <w:rsid w:val="00046BDA"/>
    <w:rsid w:val="0005437E"/>
    <w:rsid w:val="00082C51"/>
    <w:rsid w:val="000900D8"/>
    <w:rsid w:val="00094A32"/>
    <w:rsid w:val="000A2BCA"/>
    <w:rsid w:val="000A7CC5"/>
    <w:rsid w:val="000C123E"/>
    <w:rsid w:val="000C16C8"/>
    <w:rsid w:val="000C26ED"/>
    <w:rsid w:val="000C3855"/>
    <w:rsid w:val="000C484A"/>
    <w:rsid w:val="000D3FAF"/>
    <w:rsid w:val="000F7A5E"/>
    <w:rsid w:val="0010512E"/>
    <w:rsid w:val="001174B3"/>
    <w:rsid w:val="0012209B"/>
    <w:rsid w:val="001224E4"/>
    <w:rsid w:val="00144E73"/>
    <w:rsid w:val="001462FD"/>
    <w:rsid w:val="0014686B"/>
    <w:rsid w:val="00150A41"/>
    <w:rsid w:val="00160F61"/>
    <w:rsid w:val="00175AA3"/>
    <w:rsid w:val="00194F0F"/>
    <w:rsid w:val="001967C1"/>
    <w:rsid w:val="001A5CED"/>
    <w:rsid w:val="001A6C9B"/>
    <w:rsid w:val="001B3848"/>
    <w:rsid w:val="001B42AD"/>
    <w:rsid w:val="001B6205"/>
    <w:rsid w:val="001B7037"/>
    <w:rsid w:val="001C27E9"/>
    <w:rsid w:val="001C43C6"/>
    <w:rsid w:val="001C7145"/>
    <w:rsid w:val="001D01A8"/>
    <w:rsid w:val="001E28D7"/>
    <w:rsid w:val="001F1E5C"/>
    <w:rsid w:val="001F2C5D"/>
    <w:rsid w:val="001F400A"/>
    <w:rsid w:val="001F4613"/>
    <w:rsid w:val="002019CA"/>
    <w:rsid w:val="0020568D"/>
    <w:rsid w:val="00210880"/>
    <w:rsid w:val="00214ADD"/>
    <w:rsid w:val="00215230"/>
    <w:rsid w:val="002179DD"/>
    <w:rsid w:val="0022089E"/>
    <w:rsid w:val="00223AFD"/>
    <w:rsid w:val="00227F5F"/>
    <w:rsid w:val="002305E5"/>
    <w:rsid w:val="002361AF"/>
    <w:rsid w:val="00236806"/>
    <w:rsid w:val="0024677F"/>
    <w:rsid w:val="00250CF9"/>
    <w:rsid w:val="00261982"/>
    <w:rsid w:val="00272241"/>
    <w:rsid w:val="00272BD6"/>
    <w:rsid w:val="00280067"/>
    <w:rsid w:val="00286CFB"/>
    <w:rsid w:val="002938B8"/>
    <w:rsid w:val="00294C3E"/>
    <w:rsid w:val="002A03D0"/>
    <w:rsid w:val="002A5AE7"/>
    <w:rsid w:val="002B7C2A"/>
    <w:rsid w:val="002D70A4"/>
    <w:rsid w:val="002F44A7"/>
    <w:rsid w:val="0030269E"/>
    <w:rsid w:val="003028D8"/>
    <w:rsid w:val="00303620"/>
    <w:rsid w:val="00331B2A"/>
    <w:rsid w:val="00334847"/>
    <w:rsid w:val="00342DF2"/>
    <w:rsid w:val="00360981"/>
    <w:rsid w:val="00367970"/>
    <w:rsid w:val="00377547"/>
    <w:rsid w:val="003811A5"/>
    <w:rsid w:val="003A0606"/>
    <w:rsid w:val="003A3143"/>
    <w:rsid w:val="003A62F0"/>
    <w:rsid w:val="003B2A1B"/>
    <w:rsid w:val="003B3A46"/>
    <w:rsid w:val="003C6F32"/>
    <w:rsid w:val="003C7298"/>
    <w:rsid w:val="003D7ABD"/>
    <w:rsid w:val="003E1417"/>
    <w:rsid w:val="003F6C63"/>
    <w:rsid w:val="00410709"/>
    <w:rsid w:val="00415CEF"/>
    <w:rsid w:val="004253BB"/>
    <w:rsid w:val="004256E1"/>
    <w:rsid w:val="0043092E"/>
    <w:rsid w:val="00451424"/>
    <w:rsid w:val="00454BBE"/>
    <w:rsid w:val="00456152"/>
    <w:rsid w:val="004604CB"/>
    <w:rsid w:val="00460C9A"/>
    <w:rsid w:val="004649C4"/>
    <w:rsid w:val="0049131C"/>
    <w:rsid w:val="0049298A"/>
    <w:rsid w:val="004A23FF"/>
    <w:rsid w:val="004A257E"/>
    <w:rsid w:val="004A62D8"/>
    <w:rsid w:val="004A688F"/>
    <w:rsid w:val="004A7421"/>
    <w:rsid w:val="004A76A5"/>
    <w:rsid w:val="004A7DDA"/>
    <w:rsid w:val="004B0692"/>
    <w:rsid w:val="004D3D3C"/>
    <w:rsid w:val="004E1E12"/>
    <w:rsid w:val="004E4E6C"/>
    <w:rsid w:val="004F07B6"/>
    <w:rsid w:val="0050214F"/>
    <w:rsid w:val="00502CED"/>
    <w:rsid w:val="00511776"/>
    <w:rsid w:val="00511BA4"/>
    <w:rsid w:val="0051422E"/>
    <w:rsid w:val="005202DD"/>
    <w:rsid w:val="005356A6"/>
    <w:rsid w:val="00543186"/>
    <w:rsid w:val="005433DB"/>
    <w:rsid w:val="00543874"/>
    <w:rsid w:val="005459A4"/>
    <w:rsid w:val="00547059"/>
    <w:rsid w:val="00551955"/>
    <w:rsid w:val="0056654C"/>
    <w:rsid w:val="00570059"/>
    <w:rsid w:val="00572825"/>
    <w:rsid w:val="00573AEB"/>
    <w:rsid w:val="0058118C"/>
    <w:rsid w:val="00581833"/>
    <w:rsid w:val="005A67DD"/>
    <w:rsid w:val="005B7296"/>
    <w:rsid w:val="005C2AFE"/>
    <w:rsid w:val="005C787E"/>
    <w:rsid w:val="005D0A14"/>
    <w:rsid w:val="005D0D3E"/>
    <w:rsid w:val="005D4F42"/>
    <w:rsid w:val="005D6F79"/>
    <w:rsid w:val="005D7BA2"/>
    <w:rsid w:val="005E3947"/>
    <w:rsid w:val="005E690C"/>
    <w:rsid w:val="005E73DE"/>
    <w:rsid w:val="005F2BD5"/>
    <w:rsid w:val="0060549E"/>
    <w:rsid w:val="00610420"/>
    <w:rsid w:val="006201B1"/>
    <w:rsid w:val="00621071"/>
    <w:rsid w:val="006269C1"/>
    <w:rsid w:val="0062751E"/>
    <w:rsid w:val="006329ED"/>
    <w:rsid w:val="0063554F"/>
    <w:rsid w:val="00640E73"/>
    <w:rsid w:val="00650BA6"/>
    <w:rsid w:val="00653F17"/>
    <w:rsid w:val="00666493"/>
    <w:rsid w:val="00670F26"/>
    <w:rsid w:val="00672C95"/>
    <w:rsid w:val="00683A93"/>
    <w:rsid w:val="00691A67"/>
    <w:rsid w:val="00691F60"/>
    <w:rsid w:val="00695E48"/>
    <w:rsid w:val="006A5214"/>
    <w:rsid w:val="006A6F3A"/>
    <w:rsid w:val="006A788B"/>
    <w:rsid w:val="006C5F8A"/>
    <w:rsid w:val="006C7713"/>
    <w:rsid w:val="006D3253"/>
    <w:rsid w:val="006D71CF"/>
    <w:rsid w:val="006E228A"/>
    <w:rsid w:val="006E61E2"/>
    <w:rsid w:val="006E6F3C"/>
    <w:rsid w:val="006F3E05"/>
    <w:rsid w:val="0070501F"/>
    <w:rsid w:val="00705AA1"/>
    <w:rsid w:val="00707F63"/>
    <w:rsid w:val="0074784B"/>
    <w:rsid w:val="007546D3"/>
    <w:rsid w:val="00755A08"/>
    <w:rsid w:val="00764F67"/>
    <w:rsid w:val="00765142"/>
    <w:rsid w:val="00774F54"/>
    <w:rsid w:val="007935E1"/>
    <w:rsid w:val="007A73F2"/>
    <w:rsid w:val="007A7F78"/>
    <w:rsid w:val="007D076F"/>
    <w:rsid w:val="007E63F3"/>
    <w:rsid w:val="007F101A"/>
    <w:rsid w:val="007F2CB3"/>
    <w:rsid w:val="00804BEF"/>
    <w:rsid w:val="00810F9C"/>
    <w:rsid w:val="00813C5D"/>
    <w:rsid w:val="00815869"/>
    <w:rsid w:val="0081625B"/>
    <w:rsid w:val="0082036C"/>
    <w:rsid w:val="0082475D"/>
    <w:rsid w:val="0082675A"/>
    <w:rsid w:val="00826D98"/>
    <w:rsid w:val="008277C9"/>
    <w:rsid w:val="00832722"/>
    <w:rsid w:val="00837883"/>
    <w:rsid w:val="0089382D"/>
    <w:rsid w:val="008B4B42"/>
    <w:rsid w:val="008C0C12"/>
    <w:rsid w:val="008C1D8E"/>
    <w:rsid w:val="008D5A2F"/>
    <w:rsid w:val="008E3B9D"/>
    <w:rsid w:val="008E63B4"/>
    <w:rsid w:val="00905693"/>
    <w:rsid w:val="00905F6B"/>
    <w:rsid w:val="00924FBE"/>
    <w:rsid w:val="00926C82"/>
    <w:rsid w:val="00945E73"/>
    <w:rsid w:val="0095421E"/>
    <w:rsid w:val="00960BAF"/>
    <w:rsid w:val="00961D5A"/>
    <w:rsid w:val="00965927"/>
    <w:rsid w:val="00965EE4"/>
    <w:rsid w:val="009707BE"/>
    <w:rsid w:val="00970C43"/>
    <w:rsid w:val="009754D9"/>
    <w:rsid w:val="009947C2"/>
    <w:rsid w:val="009A2D8D"/>
    <w:rsid w:val="009B2B92"/>
    <w:rsid w:val="009B624A"/>
    <w:rsid w:val="009C4241"/>
    <w:rsid w:val="009C43C2"/>
    <w:rsid w:val="009C5A3C"/>
    <w:rsid w:val="009D7293"/>
    <w:rsid w:val="009E501C"/>
    <w:rsid w:val="009F505A"/>
    <w:rsid w:val="00A017EB"/>
    <w:rsid w:val="00A024E7"/>
    <w:rsid w:val="00A15DBA"/>
    <w:rsid w:val="00A17394"/>
    <w:rsid w:val="00A20052"/>
    <w:rsid w:val="00A24C9F"/>
    <w:rsid w:val="00A25E02"/>
    <w:rsid w:val="00A4070B"/>
    <w:rsid w:val="00A46D72"/>
    <w:rsid w:val="00A526DA"/>
    <w:rsid w:val="00A63BC2"/>
    <w:rsid w:val="00A64A8E"/>
    <w:rsid w:val="00A6714E"/>
    <w:rsid w:val="00A71EB7"/>
    <w:rsid w:val="00A7287B"/>
    <w:rsid w:val="00A760D7"/>
    <w:rsid w:val="00A774A1"/>
    <w:rsid w:val="00A861E9"/>
    <w:rsid w:val="00A909BC"/>
    <w:rsid w:val="00A92149"/>
    <w:rsid w:val="00AA3A3A"/>
    <w:rsid w:val="00AA56A6"/>
    <w:rsid w:val="00AB3DC4"/>
    <w:rsid w:val="00AB4C6C"/>
    <w:rsid w:val="00AE0F76"/>
    <w:rsid w:val="00AF2585"/>
    <w:rsid w:val="00AF3830"/>
    <w:rsid w:val="00AF4ED2"/>
    <w:rsid w:val="00AF5C62"/>
    <w:rsid w:val="00AF6F11"/>
    <w:rsid w:val="00B04D12"/>
    <w:rsid w:val="00B14D8E"/>
    <w:rsid w:val="00B15E3E"/>
    <w:rsid w:val="00B17AF9"/>
    <w:rsid w:val="00B205E2"/>
    <w:rsid w:val="00B23949"/>
    <w:rsid w:val="00B26D47"/>
    <w:rsid w:val="00B27CC9"/>
    <w:rsid w:val="00B31AE1"/>
    <w:rsid w:val="00B329C8"/>
    <w:rsid w:val="00B44D97"/>
    <w:rsid w:val="00B50BC9"/>
    <w:rsid w:val="00B51EDF"/>
    <w:rsid w:val="00B55A9E"/>
    <w:rsid w:val="00B57DA9"/>
    <w:rsid w:val="00B658A6"/>
    <w:rsid w:val="00B73437"/>
    <w:rsid w:val="00B87999"/>
    <w:rsid w:val="00B93C7C"/>
    <w:rsid w:val="00BB7AD6"/>
    <w:rsid w:val="00BC314D"/>
    <w:rsid w:val="00BE4A49"/>
    <w:rsid w:val="00BF247F"/>
    <w:rsid w:val="00BF39E3"/>
    <w:rsid w:val="00BF3BD2"/>
    <w:rsid w:val="00C05429"/>
    <w:rsid w:val="00C13A16"/>
    <w:rsid w:val="00C17004"/>
    <w:rsid w:val="00C27387"/>
    <w:rsid w:val="00C30069"/>
    <w:rsid w:val="00C4691B"/>
    <w:rsid w:val="00C55EB9"/>
    <w:rsid w:val="00C6378B"/>
    <w:rsid w:val="00C645B2"/>
    <w:rsid w:val="00C6591B"/>
    <w:rsid w:val="00C73F72"/>
    <w:rsid w:val="00C7614A"/>
    <w:rsid w:val="00C851FF"/>
    <w:rsid w:val="00C909C6"/>
    <w:rsid w:val="00C97F31"/>
    <w:rsid w:val="00CB26F6"/>
    <w:rsid w:val="00CB2D04"/>
    <w:rsid w:val="00CC10BC"/>
    <w:rsid w:val="00CC6084"/>
    <w:rsid w:val="00CD297A"/>
    <w:rsid w:val="00CD375B"/>
    <w:rsid w:val="00CE699C"/>
    <w:rsid w:val="00CE711D"/>
    <w:rsid w:val="00CE7297"/>
    <w:rsid w:val="00CF776B"/>
    <w:rsid w:val="00D04B99"/>
    <w:rsid w:val="00D04C55"/>
    <w:rsid w:val="00D06B66"/>
    <w:rsid w:val="00D13DEA"/>
    <w:rsid w:val="00D14CE4"/>
    <w:rsid w:val="00D16D43"/>
    <w:rsid w:val="00D20FD2"/>
    <w:rsid w:val="00D31A00"/>
    <w:rsid w:val="00D32D0F"/>
    <w:rsid w:val="00D46247"/>
    <w:rsid w:val="00D64392"/>
    <w:rsid w:val="00D715AD"/>
    <w:rsid w:val="00D71F9D"/>
    <w:rsid w:val="00D75C5E"/>
    <w:rsid w:val="00D800AE"/>
    <w:rsid w:val="00D87EAC"/>
    <w:rsid w:val="00D90D66"/>
    <w:rsid w:val="00D92167"/>
    <w:rsid w:val="00D92D2F"/>
    <w:rsid w:val="00DA1EB6"/>
    <w:rsid w:val="00DB4993"/>
    <w:rsid w:val="00DB6761"/>
    <w:rsid w:val="00DC4007"/>
    <w:rsid w:val="00DD351D"/>
    <w:rsid w:val="00DE38E1"/>
    <w:rsid w:val="00DF2F25"/>
    <w:rsid w:val="00DF4FFE"/>
    <w:rsid w:val="00E00A18"/>
    <w:rsid w:val="00E02A9F"/>
    <w:rsid w:val="00E02D92"/>
    <w:rsid w:val="00E0591C"/>
    <w:rsid w:val="00E0712F"/>
    <w:rsid w:val="00E1544C"/>
    <w:rsid w:val="00E20E7B"/>
    <w:rsid w:val="00E31004"/>
    <w:rsid w:val="00E36BAC"/>
    <w:rsid w:val="00E4055F"/>
    <w:rsid w:val="00E46366"/>
    <w:rsid w:val="00E5461B"/>
    <w:rsid w:val="00E61970"/>
    <w:rsid w:val="00E61C9C"/>
    <w:rsid w:val="00E62D1F"/>
    <w:rsid w:val="00E829FA"/>
    <w:rsid w:val="00E86E27"/>
    <w:rsid w:val="00E906CA"/>
    <w:rsid w:val="00E971CE"/>
    <w:rsid w:val="00EA4594"/>
    <w:rsid w:val="00EB157B"/>
    <w:rsid w:val="00EB4FA0"/>
    <w:rsid w:val="00EC087B"/>
    <w:rsid w:val="00ED0CEF"/>
    <w:rsid w:val="00ED7A81"/>
    <w:rsid w:val="00ED7C29"/>
    <w:rsid w:val="00EE45BA"/>
    <w:rsid w:val="00EE646B"/>
    <w:rsid w:val="00F108BC"/>
    <w:rsid w:val="00F14D7D"/>
    <w:rsid w:val="00F17B88"/>
    <w:rsid w:val="00F30E2F"/>
    <w:rsid w:val="00F35B4A"/>
    <w:rsid w:val="00F40076"/>
    <w:rsid w:val="00F4377D"/>
    <w:rsid w:val="00F805A3"/>
    <w:rsid w:val="00F82B19"/>
    <w:rsid w:val="00F855C3"/>
    <w:rsid w:val="00F925D7"/>
    <w:rsid w:val="00FA188B"/>
    <w:rsid w:val="00FA316D"/>
    <w:rsid w:val="00FC1B80"/>
    <w:rsid w:val="00FC3D79"/>
    <w:rsid w:val="00FC434B"/>
    <w:rsid w:val="00FC5DBB"/>
    <w:rsid w:val="00FD3A7F"/>
    <w:rsid w:val="00FD6CDE"/>
    <w:rsid w:val="00FF2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F0B91A-EC83-44DF-AF87-0BA4A1C5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73"/>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4686B"/>
    <w:rPr>
      <w:rFonts w:ascii="Tahoma" w:hAnsi="Tahoma" w:cs="Tahoma"/>
      <w:sz w:val="16"/>
      <w:szCs w:val="16"/>
    </w:rPr>
  </w:style>
  <w:style w:type="paragraph" w:customStyle="1" w:styleId="msolistparagraph0">
    <w:name w:val="msolistparagraph"/>
    <w:basedOn w:val="Normal"/>
    <w:semiHidden/>
    <w:rsid w:val="0005437E"/>
    <w:pPr>
      <w:ind w:left="720"/>
    </w:pPr>
    <w:rPr>
      <w:rFonts w:ascii="Calibri" w:eastAsia="Calibri" w:hAnsi="Calibri"/>
      <w:sz w:val="22"/>
      <w:szCs w:val="22"/>
    </w:rPr>
  </w:style>
  <w:style w:type="paragraph" w:styleId="BodyText2">
    <w:name w:val="Body Text 2"/>
    <w:basedOn w:val="Normal"/>
    <w:rsid w:val="006329ED"/>
    <w:rPr>
      <w:rFonts w:ascii="Arial" w:hAnsi="Arial"/>
      <w:i/>
      <w:sz w:val="22"/>
    </w:rPr>
  </w:style>
  <w:style w:type="character" w:customStyle="1" w:styleId="legdslegp1no">
    <w:name w:val="legds legp1no"/>
    <w:basedOn w:val="DefaultParagraphFont"/>
    <w:rsid w:val="006329ED"/>
  </w:style>
  <w:style w:type="character" w:customStyle="1" w:styleId="legdslegp1grouptitlefirst">
    <w:name w:val="legds legp1grouptitlefirst"/>
    <w:basedOn w:val="DefaultParagraphFont"/>
    <w:rsid w:val="006329ED"/>
  </w:style>
  <w:style w:type="character" w:customStyle="1" w:styleId="legdsleglhslegp2no">
    <w:name w:val="legds leglhs legp2no"/>
    <w:basedOn w:val="DefaultParagraphFont"/>
    <w:rsid w:val="006329ED"/>
  </w:style>
  <w:style w:type="character" w:customStyle="1" w:styleId="legdslegrhslegp2text">
    <w:name w:val="legds legrhs legp2text"/>
    <w:basedOn w:val="DefaultParagraphFont"/>
    <w:rsid w:val="006329ED"/>
  </w:style>
  <w:style w:type="character" w:customStyle="1" w:styleId="legdsleglhslegp3no">
    <w:name w:val="legds leglhs legp3no"/>
    <w:basedOn w:val="DefaultParagraphFont"/>
    <w:rsid w:val="006329ED"/>
  </w:style>
  <w:style w:type="character" w:customStyle="1" w:styleId="legdslegrhslegp3text">
    <w:name w:val="legds legrhs legp3text"/>
    <w:basedOn w:val="DefaultParagraphFont"/>
    <w:rsid w:val="0063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5793">
      <w:bodyDiv w:val="1"/>
      <w:marLeft w:val="0"/>
      <w:marRight w:val="0"/>
      <w:marTop w:val="0"/>
      <w:marBottom w:val="0"/>
      <w:divBdr>
        <w:top w:val="none" w:sz="0" w:space="0" w:color="auto"/>
        <w:left w:val="none" w:sz="0" w:space="0" w:color="auto"/>
        <w:bottom w:val="none" w:sz="0" w:space="0" w:color="auto"/>
        <w:right w:val="none" w:sz="0" w:space="0" w:color="auto"/>
      </w:divBdr>
      <w:divsChild>
        <w:div w:id="1208301096">
          <w:marLeft w:val="0"/>
          <w:marRight w:val="0"/>
          <w:marTop w:val="0"/>
          <w:marBottom w:val="0"/>
          <w:divBdr>
            <w:top w:val="none" w:sz="0" w:space="0" w:color="auto"/>
            <w:left w:val="none" w:sz="0" w:space="0" w:color="auto"/>
            <w:bottom w:val="none" w:sz="0" w:space="0" w:color="auto"/>
            <w:right w:val="none" w:sz="0" w:space="0" w:color="auto"/>
          </w:divBdr>
          <w:divsChild>
            <w:div w:id="18417950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5567">
      <w:bodyDiv w:val="1"/>
      <w:marLeft w:val="0"/>
      <w:marRight w:val="0"/>
      <w:marTop w:val="0"/>
      <w:marBottom w:val="0"/>
      <w:divBdr>
        <w:top w:val="none" w:sz="0" w:space="0" w:color="auto"/>
        <w:left w:val="none" w:sz="0" w:space="0" w:color="auto"/>
        <w:bottom w:val="none" w:sz="0" w:space="0" w:color="auto"/>
        <w:right w:val="none" w:sz="0" w:space="0" w:color="auto"/>
      </w:divBdr>
      <w:divsChild>
        <w:div w:id="450829485">
          <w:marLeft w:val="0"/>
          <w:marRight w:val="0"/>
          <w:marTop w:val="0"/>
          <w:marBottom w:val="0"/>
          <w:divBdr>
            <w:top w:val="none" w:sz="0" w:space="0" w:color="auto"/>
            <w:left w:val="none" w:sz="0" w:space="0" w:color="auto"/>
            <w:bottom w:val="none" w:sz="0" w:space="0" w:color="auto"/>
            <w:right w:val="none" w:sz="0" w:space="0" w:color="auto"/>
          </w:divBdr>
          <w:divsChild>
            <w:div w:id="751198939">
              <w:marLeft w:val="0"/>
              <w:marRight w:val="0"/>
              <w:marTop w:val="0"/>
              <w:marBottom w:val="0"/>
              <w:divBdr>
                <w:top w:val="none" w:sz="0" w:space="0" w:color="auto"/>
                <w:left w:val="none" w:sz="0" w:space="0" w:color="auto"/>
                <w:bottom w:val="none" w:sz="0" w:space="0" w:color="auto"/>
                <w:right w:val="none" w:sz="0" w:space="0" w:color="auto"/>
              </w:divBdr>
              <w:divsChild>
                <w:div w:id="1960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4789">
      <w:bodyDiv w:val="1"/>
      <w:marLeft w:val="0"/>
      <w:marRight w:val="0"/>
      <w:marTop w:val="0"/>
      <w:marBottom w:val="0"/>
      <w:divBdr>
        <w:top w:val="none" w:sz="0" w:space="0" w:color="auto"/>
        <w:left w:val="none" w:sz="0" w:space="0" w:color="auto"/>
        <w:bottom w:val="none" w:sz="0" w:space="0" w:color="auto"/>
        <w:right w:val="none" w:sz="0" w:space="0" w:color="auto"/>
      </w:divBdr>
    </w:div>
    <w:div w:id="951205966">
      <w:bodyDiv w:val="1"/>
      <w:marLeft w:val="0"/>
      <w:marRight w:val="0"/>
      <w:marTop w:val="0"/>
      <w:marBottom w:val="0"/>
      <w:divBdr>
        <w:top w:val="none" w:sz="0" w:space="0" w:color="auto"/>
        <w:left w:val="none" w:sz="0" w:space="0" w:color="auto"/>
        <w:bottom w:val="none" w:sz="0" w:space="0" w:color="auto"/>
        <w:right w:val="none" w:sz="0" w:space="0" w:color="auto"/>
      </w:divBdr>
      <w:divsChild>
        <w:div w:id="1770657808">
          <w:marLeft w:val="0"/>
          <w:marRight w:val="0"/>
          <w:marTop w:val="0"/>
          <w:marBottom w:val="0"/>
          <w:divBdr>
            <w:top w:val="none" w:sz="0" w:space="0" w:color="auto"/>
            <w:left w:val="none" w:sz="0" w:space="0" w:color="auto"/>
            <w:bottom w:val="none" w:sz="0" w:space="0" w:color="auto"/>
            <w:right w:val="none" w:sz="0" w:space="0" w:color="auto"/>
          </w:divBdr>
          <w:divsChild>
            <w:div w:id="531965207">
              <w:marLeft w:val="0"/>
              <w:marRight w:val="0"/>
              <w:marTop w:val="0"/>
              <w:marBottom w:val="0"/>
              <w:divBdr>
                <w:top w:val="none" w:sz="0" w:space="0" w:color="auto"/>
                <w:left w:val="none" w:sz="0" w:space="0" w:color="auto"/>
                <w:bottom w:val="none" w:sz="0" w:space="0" w:color="auto"/>
                <w:right w:val="none" w:sz="0" w:space="0" w:color="auto"/>
              </w:divBdr>
              <w:divsChild>
                <w:div w:id="962612450">
                  <w:marLeft w:val="0"/>
                  <w:marRight w:val="0"/>
                  <w:marTop w:val="0"/>
                  <w:marBottom w:val="0"/>
                  <w:divBdr>
                    <w:top w:val="none" w:sz="0" w:space="0" w:color="auto"/>
                    <w:left w:val="none" w:sz="0" w:space="0" w:color="auto"/>
                    <w:bottom w:val="none" w:sz="0" w:space="0" w:color="auto"/>
                    <w:right w:val="none" w:sz="0" w:space="0" w:color="auto"/>
                  </w:divBdr>
                  <w:divsChild>
                    <w:div w:id="13026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6514">
      <w:bodyDiv w:val="1"/>
      <w:marLeft w:val="0"/>
      <w:marRight w:val="0"/>
      <w:marTop w:val="0"/>
      <w:marBottom w:val="0"/>
      <w:divBdr>
        <w:top w:val="none" w:sz="0" w:space="0" w:color="auto"/>
        <w:left w:val="none" w:sz="0" w:space="0" w:color="auto"/>
        <w:bottom w:val="none" w:sz="0" w:space="0" w:color="auto"/>
        <w:right w:val="none" w:sz="0" w:space="0" w:color="auto"/>
      </w:divBdr>
      <w:divsChild>
        <w:div w:id="892348931">
          <w:marLeft w:val="0"/>
          <w:marRight w:val="0"/>
          <w:marTop w:val="0"/>
          <w:marBottom w:val="0"/>
          <w:divBdr>
            <w:top w:val="none" w:sz="0" w:space="0" w:color="auto"/>
            <w:left w:val="none" w:sz="0" w:space="0" w:color="auto"/>
            <w:bottom w:val="none" w:sz="0" w:space="0" w:color="auto"/>
            <w:right w:val="none" w:sz="0" w:space="0" w:color="auto"/>
          </w:divBdr>
          <w:divsChild>
            <w:div w:id="4890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5057">
      <w:bodyDiv w:val="1"/>
      <w:marLeft w:val="0"/>
      <w:marRight w:val="0"/>
      <w:marTop w:val="0"/>
      <w:marBottom w:val="0"/>
      <w:divBdr>
        <w:top w:val="none" w:sz="0" w:space="0" w:color="auto"/>
        <w:left w:val="none" w:sz="0" w:space="0" w:color="auto"/>
        <w:bottom w:val="none" w:sz="0" w:space="0" w:color="auto"/>
        <w:right w:val="none" w:sz="0" w:space="0" w:color="auto"/>
      </w:divBdr>
      <w:divsChild>
        <w:div w:id="1495027212">
          <w:marLeft w:val="0"/>
          <w:marRight w:val="0"/>
          <w:marTop w:val="0"/>
          <w:marBottom w:val="0"/>
          <w:divBdr>
            <w:top w:val="none" w:sz="0" w:space="0" w:color="auto"/>
            <w:left w:val="none" w:sz="0" w:space="0" w:color="auto"/>
            <w:bottom w:val="none" w:sz="0" w:space="0" w:color="auto"/>
            <w:right w:val="none" w:sz="0" w:space="0" w:color="auto"/>
          </w:divBdr>
          <w:divsChild>
            <w:div w:id="172303512">
              <w:marLeft w:val="0"/>
              <w:marRight w:val="0"/>
              <w:marTop w:val="0"/>
              <w:marBottom w:val="0"/>
              <w:divBdr>
                <w:top w:val="none" w:sz="0" w:space="0" w:color="auto"/>
                <w:left w:val="none" w:sz="0" w:space="0" w:color="auto"/>
                <w:bottom w:val="none" w:sz="0" w:space="0" w:color="auto"/>
                <w:right w:val="none" w:sz="0" w:space="0" w:color="auto"/>
              </w:divBdr>
            </w:div>
            <w:div w:id="648873402">
              <w:marLeft w:val="0"/>
              <w:marRight w:val="0"/>
              <w:marTop w:val="0"/>
              <w:marBottom w:val="0"/>
              <w:divBdr>
                <w:top w:val="none" w:sz="0" w:space="0" w:color="auto"/>
                <w:left w:val="none" w:sz="0" w:space="0" w:color="auto"/>
                <w:bottom w:val="none" w:sz="0" w:space="0" w:color="auto"/>
                <w:right w:val="none" w:sz="0" w:space="0" w:color="auto"/>
              </w:divBdr>
            </w:div>
            <w:div w:id="1014310783">
              <w:marLeft w:val="0"/>
              <w:marRight w:val="0"/>
              <w:marTop w:val="0"/>
              <w:marBottom w:val="0"/>
              <w:divBdr>
                <w:top w:val="none" w:sz="0" w:space="0" w:color="auto"/>
                <w:left w:val="none" w:sz="0" w:space="0" w:color="auto"/>
                <w:bottom w:val="none" w:sz="0" w:space="0" w:color="auto"/>
                <w:right w:val="none" w:sz="0" w:space="0" w:color="auto"/>
              </w:divBdr>
            </w:div>
            <w:div w:id="1712267487">
              <w:marLeft w:val="0"/>
              <w:marRight w:val="0"/>
              <w:marTop w:val="0"/>
              <w:marBottom w:val="0"/>
              <w:divBdr>
                <w:top w:val="none" w:sz="0" w:space="0" w:color="auto"/>
                <w:left w:val="none" w:sz="0" w:space="0" w:color="auto"/>
                <w:bottom w:val="none" w:sz="0" w:space="0" w:color="auto"/>
                <w:right w:val="none" w:sz="0" w:space="0" w:color="auto"/>
              </w:divBdr>
            </w:div>
            <w:div w:id="1772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8894">
      <w:bodyDiv w:val="1"/>
      <w:marLeft w:val="0"/>
      <w:marRight w:val="0"/>
      <w:marTop w:val="0"/>
      <w:marBottom w:val="0"/>
      <w:divBdr>
        <w:top w:val="none" w:sz="0" w:space="0" w:color="auto"/>
        <w:left w:val="none" w:sz="0" w:space="0" w:color="auto"/>
        <w:bottom w:val="none" w:sz="0" w:space="0" w:color="auto"/>
        <w:right w:val="none" w:sz="0" w:space="0" w:color="auto"/>
      </w:divBdr>
    </w:div>
    <w:div w:id="1892501114">
      <w:bodyDiv w:val="1"/>
      <w:marLeft w:val="0"/>
      <w:marRight w:val="0"/>
      <w:marTop w:val="0"/>
      <w:marBottom w:val="0"/>
      <w:divBdr>
        <w:top w:val="none" w:sz="0" w:space="0" w:color="auto"/>
        <w:left w:val="none" w:sz="0" w:space="0" w:color="auto"/>
        <w:bottom w:val="none" w:sz="0" w:space="0" w:color="auto"/>
        <w:right w:val="none" w:sz="0" w:space="0" w:color="auto"/>
      </w:divBdr>
      <w:divsChild>
        <w:div w:id="404911422">
          <w:marLeft w:val="0"/>
          <w:marRight w:val="0"/>
          <w:marTop w:val="0"/>
          <w:marBottom w:val="0"/>
          <w:divBdr>
            <w:top w:val="none" w:sz="0" w:space="0" w:color="auto"/>
            <w:left w:val="none" w:sz="0" w:space="0" w:color="auto"/>
            <w:bottom w:val="none" w:sz="0" w:space="0" w:color="auto"/>
            <w:right w:val="none" w:sz="0" w:space="0" w:color="auto"/>
          </w:divBdr>
          <w:divsChild>
            <w:div w:id="1771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2299">
      <w:bodyDiv w:val="1"/>
      <w:marLeft w:val="0"/>
      <w:marRight w:val="0"/>
      <w:marTop w:val="0"/>
      <w:marBottom w:val="0"/>
      <w:divBdr>
        <w:top w:val="none" w:sz="0" w:space="0" w:color="auto"/>
        <w:left w:val="none" w:sz="0" w:space="0" w:color="auto"/>
        <w:bottom w:val="none" w:sz="0" w:space="0" w:color="auto"/>
        <w:right w:val="none" w:sz="0" w:space="0" w:color="auto"/>
      </w:divBdr>
    </w:div>
    <w:div w:id="2097285859">
      <w:bodyDiv w:val="1"/>
      <w:marLeft w:val="0"/>
      <w:marRight w:val="0"/>
      <w:marTop w:val="0"/>
      <w:marBottom w:val="0"/>
      <w:divBdr>
        <w:top w:val="none" w:sz="0" w:space="0" w:color="auto"/>
        <w:left w:val="none" w:sz="0" w:space="0" w:color="auto"/>
        <w:bottom w:val="none" w:sz="0" w:space="0" w:color="auto"/>
        <w:right w:val="none" w:sz="0" w:space="0" w:color="auto"/>
      </w:divBdr>
      <w:divsChild>
        <w:div w:id="118197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ta.access@justice.gsi.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o.gov.uk/Global/contact_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FOI 108152 Safeguarding Vulnerable Groups Act</vt:lpstr>
    </vt:vector>
  </TitlesOfParts>
  <Company>Ministry of Justice</Company>
  <LinksUpToDate>false</LinksUpToDate>
  <CharactersWithSpaces>9660</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3014678</vt:i4>
      </vt:variant>
      <vt:variant>
        <vt:i4>6</vt:i4>
      </vt:variant>
      <vt:variant>
        <vt:i4>0</vt:i4>
      </vt:variant>
      <vt:variant>
        <vt:i4>5</vt:i4>
      </vt:variant>
      <vt:variant>
        <vt:lpwstr>mailto:bwreese88@gmail.com</vt:lpwstr>
      </vt:variant>
      <vt:variant>
        <vt:lpwstr/>
      </vt:variant>
      <vt:variant>
        <vt:i4>4128881</vt:i4>
      </vt:variant>
      <vt:variant>
        <vt:i4>3</vt:i4>
      </vt:variant>
      <vt:variant>
        <vt:i4>0</vt:i4>
      </vt:variant>
      <vt:variant>
        <vt:i4>5</vt:i4>
      </vt:variant>
      <vt:variant>
        <vt:lpwstr>www.justice.gov.uk</vt:lpwstr>
      </vt:variant>
      <vt:variant>
        <vt:lpwstr/>
      </vt:variant>
      <vt:variant>
        <vt:i4>1441916</vt:i4>
      </vt:variant>
      <vt:variant>
        <vt:i4>0</vt:i4>
      </vt:variant>
      <vt:variant>
        <vt:i4>0</vt:i4>
      </vt:variant>
      <vt:variant>
        <vt:i4>5</vt:i4>
      </vt:variant>
      <vt:variant>
        <vt:lpwstr>statistics@justice.gsi.gov.uk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108152 Safeguarding Vulnerable Groups Act</dc:title>
  <dc:subject>FOI Release</dc:subject>
  <dc:creator>MOJ</dc:creator>
  <cp:keywords/>
  <dc:description/>
  <cp:lastModifiedBy>Cox, Allan</cp:lastModifiedBy>
  <cp:revision>2</cp:revision>
  <cp:lastPrinted>2012-08-30T14:06:00Z</cp:lastPrinted>
  <dcterms:created xsi:type="dcterms:W3CDTF">2017-01-18T16:32:00Z</dcterms:created>
  <dcterms:modified xsi:type="dcterms:W3CDTF">2017-01-18T16:32:00Z</dcterms:modified>
</cp:coreProperties>
</file>