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F1" w:rsidRDefault="000641F1"/>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AF6F11" w:rsidRPr="00916399" w:rsidTr="00CF776B">
        <w:tblPrEx>
          <w:tblCellMar>
            <w:top w:w="0" w:type="dxa"/>
            <w:left w:w="0" w:type="dxa"/>
            <w:bottom w:w="0" w:type="dxa"/>
            <w:right w:w="0" w:type="dxa"/>
          </w:tblCellMar>
        </w:tblPrEx>
        <w:trPr>
          <w:cantSplit/>
          <w:trHeight w:val="1361"/>
        </w:trPr>
        <w:tc>
          <w:tcPr>
            <w:tcW w:w="7334" w:type="dxa"/>
            <w:gridSpan w:val="2"/>
            <w:tcBorders>
              <w:top w:val="nil"/>
            </w:tcBorders>
          </w:tcPr>
          <w:p w:rsidR="00AF6F11" w:rsidRPr="00024393" w:rsidRDefault="00AF6F11" w:rsidP="000E0EFA">
            <w:pPr>
              <w:jc w:val="both"/>
              <w:rPr>
                <w:rFonts w:ascii="Arial" w:hAnsi="Arial"/>
                <w:sz w:val="22"/>
              </w:rPr>
            </w:pPr>
            <w:r w:rsidRPr="00024393">
              <w:rPr>
                <w:rFonts w:ascii="Arial" w:hAnsi="Arial"/>
                <w:sz w:val="22"/>
              </w:rPr>
              <w:t xml:space="preserve">   </w:t>
            </w:r>
            <w:r w:rsidR="002E3266" w:rsidRPr="00024393">
              <w:rPr>
                <w:rFonts w:ascii="Arial" w:hAnsi="Arial"/>
                <w:noProof/>
                <w:sz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180" w:type="dxa"/>
          </w:tcPr>
          <w:p w:rsidR="00AF6F11" w:rsidRPr="00024393" w:rsidRDefault="00AF6F11" w:rsidP="000E0EFA">
            <w:pPr>
              <w:pStyle w:val="MOJnormal"/>
              <w:jc w:val="both"/>
              <w:rPr>
                <w:sz w:val="22"/>
              </w:rPr>
            </w:pPr>
          </w:p>
        </w:tc>
        <w:tc>
          <w:tcPr>
            <w:tcW w:w="3145" w:type="dxa"/>
            <w:vMerge w:val="restart"/>
            <w:tcBorders>
              <w:top w:val="nil"/>
            </w:tcBorders>
          </w:tcPr>
          <w:p w:rsidR="00916399" w:rsidRPr="00916399" w:rsidRDefault="00916399" w:rsidP="000E0EFA">
            <w:pPr>
              <w:tabs>
                <w:tab w:val="left" w:pos="170"/>
              </w:tabs>
              <w:jc w:val="both"/>
              <w:rPr>
                <w:rFonts w:ascii="Arial" w:hAnsi="Arial"/>
                <w:sz w:val="22"/>
                <w:szCs w:val="22"/>
              </w:rPr>
            </w:pPr>
          </w:p>
          <w:p w:rsidR="00916399" w:rsidRPr="00916399" w:rsidRDefault="00916399" w:rsidP="000E0EFA">
            <w:pPr>
              <w:tabs>
                <w:tab w:val="left" w:pos="170"/>
              </w:tabs>
              <w:jc w:val="both"/>
              <w:rPr>
                <w:rFonts w:ascii="Arial" w:hAnsi="Arial"/>
                <w:sz w:val="22"/>
                <w:szCs w:val="22"/>
                <w:lang w:val="fr-FR"/>
              </w:rPr>
            </w:pPr>
          </w:p>
          <w:p w:rsidR="00AF6F11" w:rsidRPr="00916399" w:rsidRDefault="00AF6F11" w:rsidP="000E0EFA">
            <w:pPr>
              <w:tabs>
                <w:tab w:val="left" w:pos="170"/>
              </w:tabs>
              <w:jc w:val="both"/>
              <w:rPr>
                <w:rFonts w:ascii="Arial" w:hAnsi="Arial"/>
                <w:sz w:val="22"/>
                <w:szCs w:val="22"/>
                <w:lang w:val="fr-FR"/>
              </w:rPr>
            </w:pPr>
          </w:p>
          <w:p w:rsidR="008361BB" w:rsidRPr="00916399" w:rsidRDefault="008361BB" w:rsidP="000E0EFA">
            <w:pPr>
              <w:tabs>
                <w:tab w:val="left" w:pos="170"/>
              </w:tabs>
              <w:jc w:val="both"/>
              <w:rPr>
                <w:rFonts w:ascii="Arial" w:hAnsi="Arial"/>
                <w:sz w:val="22"/>
                <w:szCs w:val="22"/>
                <w:lang w:val="fr-FR"/>
              </w:rPr>
            </w:pPr>
          </w:p>
        </w:tc>
      </w:tr>
      <w:tr w:rsidR="00AF6F11" w:rsidRPr="001B3919" w:rsidTr="00CF776B">
        <w:tblPrEx>
          <w:tblCellMar>
            <w:top w:w="0" w:type="dxa"/>
            <w:left w:w="0" w:type="dxa"/>
            <w:bottom w:w="0" w:type="dxa"/>
            <w:right w:w="0" w:type="dxa"/>
          </w:tblCellMar>
        </w:tblPrEx>
        <w:trPr>
          <w:cantSplit/>
          <w:trHeight w:val="1259"/>
        </w:trPr>
        <w:tc>
          <w:tcPr>
            <w:tcW w:w="1214" w:type="dxa"/>
          </w:tcPr>
          <w:p w:rsidR="00AF6F11" w:rsidRPr="00916399" w:rsidRDefault="00AF6F11" w:rsidP="000E0EFA">
            <w:pPr>
              <w:pStyle w:val="MOJtext-otheraddress"/>
              <w:jc w:val="both"/>
              <w:rPr>
                <w:rFonts w:cs="Arial"/>
                <w:sz w:val="22"/>
                <w:lang w:val="fr-FR"/>
              </w:rPr>
            </w:pPr>
          </w:p>
        </w:tc>
        <w:tc>
          <w:tcPr>
            <w:tcW w:w="6120" w:type="dxa"/>
          </w:tcPr>
          <w:p w:rsidR="001A51AD" w:rsidRPr="00604DCF" w:rsidRDefault="001A51AD" w:rsidP="000E0EFA">
            <w:pPr>
              <w:jc w:val="both"/>
              <w:rPr>
                <w:rFonts w:ascii="Arial" w:hAnsi="Arial" w:cs="Arial"/>
              </w:rPr>
            </w:pPr>
          </w:p>
          <w:p w:rsidR="00467C20" w:rsidRPr="00604DCF" w:rsidRDefault="00D96196" w:rsidP="000E0EFA">
            <w:pPr>
              <w:spacing w:line="280" w:lineRule="atLeast"/>
              <w:jc w:val="both"/>
              <w:rPr>
                <w:rFonts w:ascii="Arial" w:hAnsi="Arial" w:cs="Arial"/>
                <w:sz w:val="20"/>
                <w:szCs w:val="20"/>
              </w:rPr>
            </w:pPr>
            <w:r w:rsidRPr="00604DCF">
              <w:rPr>
                <w:rFonts w:ascii="Arial" w:hAnsi="Arial" w:cs="Arial"/>
                <w:sz w:val="20"/>
                <w:szCs w:val="20"/>
              </w:rPr>
              <w:t xml:space="preserve"> </w:t>
            </w:r>
          </w:p>
          <w:p w:rsidR="00B51B4C" w:rsidRPr="00604DCF" w:rsidRDefault="00B51B4C" w:rsidP="000E0EFA">
            <w:pPr>
              <w:spacing w:line="280" w:lineRule="atLeast"/>
              <w:jc w:val="both"/>
              <w:rPr>
                <w:rFonts w:ascii="Arial" w:hAnsi="Arial" w:cs="Arial"/>
                <w:sz w:val="22"/>
                <w:szCs w:val="22"/>
              </w:rPr>
            </w:pPr>
          </w:p>
        </w:tc>
        <w:tc>
          <w:tcPr>
            <w:tcW w:w="180" w:type="dxa"/>
          </w:tcPr>
          <w:p w:rsidR="00AF6F11" w:rsidRPr="001B3919" w:rsidRDefault="00AF6F11" w:rsidP="000E0EFA">
            <w:pPr>
              <w:pStyle w:val="MOJnormal"/>
              <w:jc w:val="both"/>
              <w:rPr>
                <w:sz w:val="22"/>
              </w:rPr>
            </w:pPr>
          </w:p>
        </w:tc>
        <w:tc>
          <w:tcPr>
            <w:tcW w:w="3145" w:type="dxa"/>
            <w:vMerge/>
          </w:tcPr>
          <w:p w:rsidR="00AF6F11" w:rsidRPr="001B3919" w:rsidRDefault="00AF6F11" w:rsidP="000E0EFA">
            <w:pPr>
              <w:pStyle w:val="MOJtext-otheraddress"/>
              <w:jc w:val="both"/>
              <w:rPr>
                <w:sz w:val="22"/>
                <w:szCs w:val="22"/>
              </w:rPr>
            </w:pPr>
          </w:p>
        </w:tc>
      </w:tr>
      <w:tr w:rsidR="00AF6F11" w:rsidRPr="00024393" w:rsidTr="00CF776B">
        <w:tblPrEx>
          <w:tblCellMar>
            <w:top w:w="0" w:type="dxa"/>
            <w:left w:w="0" w:type="dxa"/>
            <w:bottom w:w="0" w:type="dxa"/>
            <w:right w:w="0" w:type="dxa"/>
          </w:tblCellMar>
        </w:tblPrEx>
        <w:trPr>
          <w:cantSplit/>
          <w:trHeight w:val="73"/>
        </w:trPr>
        <w:tc>
          <w:tcPr>
            <w:tcW w:w="1214" w:type="dxa"/>
          </w:tcPr>
          <w:p w:rsidR="00AF6F11" w:rsidRPr="001B3919" w:rsidRDefault="00AF6F11" w:rsidP="000E0EFA">
            <w:pPr>
              <w:pStyle w:val="MOJnormal"/>
              <w:jc w:val="both"/>
              <w:rPr>
                <w:sz w:val="22"/>
              </w:rPr>
            </w:pPr>
          </w:p>
        </w:tc>
        <w:tc>
          <w:tcPr>
            <w:tcW w:w="6120" w:type="dxa"/>
          </w:tcPr>
          <w:p w:rsidR="00AF6F11" w:rsidRPr="008361BB" w:rsidRDefault="00AF6F11" w:rsidP="00CF58FB">
            <w:pPr>
              <w:spacing w:line="280" w:lineRule="atLeast"/>
              <w:jc w:val="both"/>
              <w:rPr>
                <w:rFonts w:ascii="Arial" w:hAnsi="Arial"/>
                <w:i/>
                <w:sz w:val="22"/>
                <w:szCs w:val="22"/>
              </w:rPr>
            </w:pPr>
            <w:r w:rsidRPr="008361BB">
              <w:rPr>
                <w:rFonts w:ascii="Arial" w:hAnsi="Arial"/>
                <w:sz w:val="22"/>
                <w:szCs w:val="22"/>
              </w:rPr>
              <w:t xml:space="preserve">Our Reference: </w:t>
            </w:r>
            <w:r w:rsidR="005F725E" w:rsidRPr="008361BB">
              <w:rPr>
                <w:rFonts w:ascii="Arial" w:hAnsi="Arial"/>
                <w:sz w:val="22"/>
                <w:szCs w:val="22"/>
              </w:rPr>
              <w:t>FOI</w:t>
            </w:r>
            <w:r w:rsidR="00024393" w:rsidRPr="008361BB">
              <w:rPr>
                <w:rFonts w:ascii="Arial" w:hAnsi="Arial"/>
                <w:sz w:val="22"/>
                <w:szCs w:val="22"/>
              </w:rPr>
              <w:t>/</w:t>
            </w:r>
            <w:r w:rsidR="00F9729E">
              <w:rPr>
                <w:rFonts w:ascii="Arial" w:hAnsi="Arial"/>
                <w:sz w:val="22"/>
                <w:szCs w:val="22"/>
              </w:rPr>
              <w:t>10</w:t>
            </w:r>
            <w:r w:rsidR="003E1789">
              <w:rPr>
                <w:rFonts w:ascii="Arial" w:hAnsi="Arial"/>
                <w:sz w:val="22"/>
                <w:szCs w:val="22"/>
              </w:rPr>
              <w:t>7</w:t>
            </w:r>
            <w:r w:rsidR="00CF58FB">
              <w:rPr>
                <w:rFonts w:ascii="Arial" w:hAnsi="Arial"/>
                <w:sz w:val="22"/>
                <w:szCs w:val="22"/>
              </w:rPr>
              <w:t>912</w:t>
            </w:r>
          </w:p>
        </w:tc>
        <w:tc>
          <w:tcPr>
            <w:tcW w:w="180" w:type="dxa"/>
          </w:tcPr>
          <w:p w:rsidR="00AF6F11" w:rsidRPr="00024393" w:rsidRDefault="00AF6F11" w:rsidP="000E0EFA">
            <w:pPr>
              <w:spacing w:line="280" w:lineRule="atLeast"/>
              <w:jc w:val="both"/>
              <w:rPr>
                <w:rFonts w:ascii="Arial" w:hAnsi="Arial"/>
                <w:sz w:val="22"/>
              </w:rPr>
            </w:pPr>
            <w:r w:rsidRPr="00024393">
              <w:rPr>
                <w:rFonts w:ascii="Arial" w:hAnsi="Arial"/>
                <w:sz w:val="22"/>
              </w:rPr>
              <w:tab/>
            </w:r>
          </w:p>
        </w:tc>
        <w:tc>
          <w:tcPr>
            <w:tcW w:w="3145" w:type="dxa"/>
          </w:tcPr>
          <w:p w:rsidR="00AF6F11" w:rsidRPr="00083E7B" w:rsidRDefault="00870A13" w:rsidP="003E1789">
            <w:pPr>
              <w:pStyle w:val="MOJnormal"/>
              <w:jc w:val="both"/>
              <w:rPr>
                <w:sz w:val="22"/>
                <w:szCs w:val="22"/>
              </w:rPr>
            </w:pPr>
            <w:r>
              <w:rPr>
                <w:sz w:val="22"/>
                <w:szCs w:val="22"/>
              </w:rPr>
              <w:t>January</w:t>
            </w:r>
            <w:r w:rsidR="00F9729E">
              <w:rPr>
                <w:sz w:val="22"/>
                <w:szCs w:val="22"/>
              </w:rPr>
              <w:t xml:space="preserve"> </w:t>
            </w:r>
            <w:r w:rsidR="00024393" w:rsidRPr="00083E7B">
              <w:rPr>
                <w:sz w:val="22"/>
                <w:szCs w:val="22"/>
              </w:rPr>
              <w:t>201</w:t>
            </w:r>
            <w:r>
              <w:rPr>
                <w:sz w:val="22"/>
                <w:szCs w:val="22"/>
              </w:rPr>
              <w:t>7</w:t>
            </w:r>
          </w:p>
        </w:tc>
      </w:tr>
    </w:tbl>
    <w:p w:rsidR="00E36BAC" w:rsidRPr="00024393" w:rsidRDefault="00E36BAC" w:rsidP="000E0EFA">
      <w:pPr>
        <w:jc w:val="both"/>
      </w:pPr>
    </w:p>
    <w:p w:rsidR="00837883" w:rsidRPr="00083E7B" w:rsidRDefault="00837883" w:rsidP="000E0EFA">
      <w:pPr>
        <w:jc w:val="both"/>
        <w:rPr>
          <w:rFonts w:ascii="Arial" w:hAnsi="Arial" w:cs="Arial"/>
          <w:sz w:val="22"/>
          <w:szCs w:val="22"/>
        </w:rPr>
      </w:pPr>
    </w:p>
    <w:p w:rsidR="00837883" w:rsidRPr="00083E7B" w:rsidRDefault="00837883" w:rsidP="008517F0">
      <w:pPr>
        <w:jc w:val="center"/>
        <w:rPr>
          <w:rFonts w:ascii="Arial" w:hAnsi="Arial" w:cs="Arial"/>
          <w:b/>
          <w:sz w:val="22"/>
          <w:szCs w:val="22"/>
        </w:rPr>
      </w:pPr>
      <w:r w:rsidRPr="00083E7B">
        <w:rPr>
          <w:rFonts w:ascii="Arial" w:hAnsi="Arial" w:cs="Arial"/>
          <w:b/>
          <w:sz w:val="22"/>
          <w:szCs w:val="22"/>
        </w:rPr>
        <w:t xml:space="preserve">Freedom of Information </w:t>
      </w:r>
      <w:r w:rsidR="00672C95" w:rsidRPr="00083E7B">
        <w:rPr>
          <w:rFonts w:ascii="Arial" w:hAnsi="Arial" w:cs="Arial"/>
          <w:b/>
          <w:sz w:val="22"/>
          <w:szCs w:val="22"/>
        </w:rPr>
        <w:t>Request</w:t>
      </w:r>
    </w:p>
    <w:p w:rsidR="005D0A14" w:rsidRPr="00083E7B" w:rsidRDefault="005D0A14" w:rsidP="000E0EFA">
      <w:pPr>
        <w:jc w:val="both"/>
        <w:rPr>
          <w:rFonts w:ascii="Arial" w:hAnsi="Arial" w:cs="Arial"/>
          <w:sz w:val="22"/>
          <w:szCs w:val="22"/>
        </w:rPr>
      </w:pPr>
    </w:p>
    <w:p w:rsidR="00CF58FB" w:rsidRPr="00CF58FB" w:rsidRDefault="00870A13" w:rsidP="00870A13">
      <w:pPr>
        <w:spacing w:after="120"/>
        <w:jc w:val="both"/>
        <w:rPr>
          <w:rFonts w:ascii="Arial" w:hAnsi="Arial" w:cs="Arial"/>
          <w:sz w:val="22"/>
          <w:szCs w:val="22"/>
        </w:rPr>
      </w:pPr>
      <w:r>
        <w:rPr>
          <w:rFonts w:ascii="Arial" w:hAnsi="Arial" w:cs="Arial"/>
          <w:sz w:val="22"/>
          <w:szCs w:val="22"/>
        </w:rPr>
        <w:t>Y</w:t>
      </w:r>
      <w:r w:rsidR="00A94C03">
        <w:rPr>
          <w:rFonts w:ascii="Arial" w:hAnsi="Arial" w:cs="Arial"/>
          <w:sz w:val="22"/>
          <w:szCs w:val="22"/>
        </w:rPr>
        <w:t>ou asked for the following information</w:t>
      </w:r>
      <w:r w:rsidR="00CF58FB" w:rsidRPr="00CF58FB">
        <w:rPr>
          <w:rFonts w:ascii="Arial" w:hAnsi="Arial" w:cs="Arial"/>
          <w:sz w:val="22"/>
          <w:szCs w:val="22"/>
        </w:rPr>
        <w:t xml:space="preserve">. </w:t>
      </w:r>
    </w:p>
    <w:p w:rsidR="00CF58FB" w:rsidRPr="00303C6E" w:rsidRDefault="00CF58FB" w:rsidP="00CF58FB">
      <w:pPr>
        <w:rPr>
          <w:rFonts w:ascii="Arial" w:hAnsi="Arial" w:cs="Arial"/>
          <w:sz w:val="22"/>
          <w:szCs w:val="22"/>
        </w:rPr>
      </w:pPr>
    </w:p>
    <w:p w:rsidR="00CF58FB" w:rsidRDefault="00CF58FB" w:rsidP="00CF58FB">
      <w:pPr>
        <w:rPr>
          <w:rFonts w:ascii="Arial" w:hAnsi="Arial" w:cs="Arial"/>
          <w:b/>
          <w:i/>
          <w:sz w:val="22"/>
          <w:szCs w:val="22"/>
        </w:rPr>
      </w:pPr>
      <w:r w:rsidRPr="00071D26">
        <w:rPr>
          <w:rFonts w:ascii="Arial" w:hAnsi="Arial" w:cs="Arial"/>
          <w:b/>
          <w:i/>
          <w:sz w:val="22"/>
          <w:szCs w:val="22"/>
        </w:rPr>
        <w:t>Could you please break down Table 4 (the police force area table) in this release by age (i.e. 10 to 17 and 18+) for the years 2009 to 2016?</w:t>
      </w:r>
      <w:r w:rsidR="00153B29">
        <w:rPr>
          <w:rFonts w:ascii="Arial" w:hAnsi="Arial" w:cs="Arial"/>
          <w:b/>
          <w:i/>
          <w:sz w:val="22"/>
          <w:szCs w:val="22"/>
        </w:rPr>
        <w:t>”</w:t>
      </w:r>
    </w:p>
    <w:p w:rsidR="00844767" w:rsidRDefault="00844767" w:rsidP="000E0EFA">
      <w:pPr>
        <w:jc w:val="both"/>
        <w:rPr>
          <w:rFonts w:ascii="Arial" w:hAnsi="Arial" w:cs="Arial"/>
          <w:sz w:val="22"/>
          <w:szCs w:val="22"/>
        </w:rPr>
      </w:pPr>
    </w:p>
    <w:p w:rsidR="00844767" w:rsidRPr="00375CD1" w:rsidRDefault="00844767" w:rsidP="00153B29">
      <w:pPr>
        <w:rPr>
          <w:rFonts w:ascii="Arial" w:hAnsi="Arial" w:cs="Arial"/>
          <w:color w:val="000000"/>
          <w:sz w:val="22"/>
          <w:szCs w:val="22"/>
        </w:rPr>
      </w:pPr>
      <w:r w:rsidRPr="00375CD1">
        <w:rPr>
          <w:rFonts w:ascii="Arial" w:hAnsi="Arial" w:cs="Arial"/>
          <w:color w:val="000000"/>
          <w:sz w:val="22"/>
          <w:szCs w:val="22"/>
        </w:rPr>
        <w:t>Your request has been handled under the Freedom of Information Act 2000</w:t>
      </w:r>
      <w:r w:rsidR="00153B29">
        <w:rPr>
          <w:rFonts w:ascii="Arial" w:hAnsi="Arial" w:cs="Arial"/>
          <w:color w:val="000000"/>
          <w:sz w:val="22"/>
          <w:szCs w:val="22"/>
        </w:rPr>
        <w:t xml:space="preserve"> (FOIA)</w:t>
      </w:r>
      <w:r w:rsidRPr="00375CD1">
        <w:rPr>
          <w:rFonts w:ascii="Arial" w:hAnsi="Arial" w:cs="Arial"/>
          <w:color w:val="000000"/>
          <w:sz w:val="22"/>
          <w:szCs w:val="22"/>
        </w:rPr>
        <w:t>.</w:t>
      </w:r>
      <w:r w:rsidR="00A94C03">
        <w:rPr>
          <w:rFonts w:ascii="Arial" w:hAnsi="Arial" w:cs="Arial"/>
          <w:color w:val="000000"/>
          <w:sz w:val="22"/>
          <w:szCs w:val="22"/>
        </w:rPr>
        <w:t xml:space="preserve"> Please accept my apologies for the dela</w:t>
      </w:r>
      <w:bookmarkStart w:id="0" w:name="_GoBack"/>
      <w:bookmarkEnd w:id="0"/>
      <w:r w:rsidR="00A94C03">
        <w:rPr>
          <w:rFonts w:ascii="Arial" w:hAnsi="Arial" w:cs="Arial"/>
          <w:color w:val="000000"/>
          <w:sz w:val="22"/>
          <w:szCs w:val="22"/>
        </w:rPr>
        <w:t>y in this response.</w:t>
      </w:r>
    </w:p>
    <w:p w:rsidR="00844767" w:rsidRPr="00375CD1" w:rsidRDefault="00844767" w:rsidP="000E0EFA">
      <w:pPr>
        <w:jc w:val="both"/>
        <w:rPr>
          <w:rFonts w:ascii="Arial" w:hAnsi="Arial" w:cs="Arial"/>
          <w:color w:val="000000"/>
          <w:sz w:val="22"/>
          <w:szCs w:val="22"/>
        </w:rPr>
      </w:pPr>
    </w:p>
    <w:p w:rsidR="00844767" w:rsidRDefault="00844767" w:rsidP="00153B29">
      <w:pPr>
        <w:autoSpaceDE w:val="0"/>
        <w:autoSpaceDN w:val="0"/>
        <w:adjustRightInd w:val="0"/>
        <w:rPr>
          <w:rFonts w:ascii="Arial" w:hAnsi="Arial" w:cs="Arial"/>
          <w:color w:val="000000"/>
          <w:sz w:val="22"/>
          <w:szCs w:val="22"/>
        </w:rPr>
      </w:pPr>
      <w:r w:rsidRPr="00375CD1">
        <w:rPr>
          <w:rFonts w:ascii="Arial" w:hAnsi="Arial" w:cs="Arial"/>
          <w:color w:val="000000"/>
          <w:sz w:val="22"/>
          <w:szCs w:val="22"/>
        </w:rPr>
        <w:t>I can confirm that the MoJ holds the data that you have requested</w:t>
      </w:r>
      <w:r w:rsidR="00B771BF">
        <w:rPr>
          <w:rFonts w:ascii="Arial" w:hAnsi="Arial" w:cs="Arial"/>
          <w:color w:val="000000"/>
          <w:sz w:val="22"/>
          <w:szCs w:val="22"/>
        </w:rPr>
        <w:t xml:space="preserve">. </w:t>
      </w:r>
      <w:r w:rsidR="00A94C03">
        <w:rPr>
          <w:rFonts w:ascii="Arial" w:hAnsi="Arial" w:cs="Arial"/>
          <w:color w:val="000000"/>
          <w:sz w:val="22"/>
          <w:szCs w:val="22"/>
        </w:rPr>
        <w:t>Please see the attached file.</w:t>
      </w:r>
    </w:p>
    <w:p w:rsidR="005A7B50" w:rsidRDefault="005A7B50" w:rsidP="000E0EFA">
      <w:pPr>
        <w:autoSpaceDE w:val="0"/>
        <w:autoSpaceDN w:val="0"/>
        <w:adjustRightInd w:val="0"/>
        <w:jc w:val="both"/>
        <w:rPr>
          <w:rFonts w:ascii="Arial" w:hAnsi="Arial" w:cs="Arial"/>
          <w:color w:val="000000"/>
          <w:sz w:val="22"/>
          <w:szCs w:val="22"/>
        </w:rPr>
      </w:pPr>
    </w:p>
    <w:p w:rsidR="005D5551" w:rsidRDefault="001778B9" w:rsidP="00153B29">
      <w:pPr>
        <w:rPr>
          <w:rFonts w:ascii="Arial" w:hAnsi="Arial" w:cs="Arial"/>
          <w:sz w:val="22"/>
          <w:szCs w:val="22"/>
        </w:rPr>
      </w:pPr>
      <w:r>
        <w:rPr>
          <w:rFonts w:ascii="Arial" w:hAnsi="Arial" w:cs="Arial"/>
          <w:color w:val="000000"/>
          <w:sz w:val="22"/>
          <w:szCs w:val="22"/>
        </w:rPr>
        <w:t>The table in the accompanying file presents the number of knife possession offences</w:t>
      </w:r>
      <w:r w:rsidR="005C0BCE">
        <w:rPr>
          <w:rFonts w:ascii="Arial" w:hAnsi="Arial" w:cs="Arial"/>
          <w:color w:val="000000"/>
          <w:sz w:val="22"/>
          <w:szCs w:val="22"/>
        </w:rPr>
        <w:t xml:space="preserve"> in Table 4 of the </w:t>
      </w:r>
      <w:r w:rsidR="005C0BCE" w:rsidRPr="00A94C03">
        <w:rPr>
          <w:rFonts w:ascii="Arial" w:hAnsi="Arial" w:cs="Arial"/>
          <w:i/>
          <w:sz w:val="22"/>
          <w:szCs w:val="22"/>
        </w:rPr>
        <w:t>Knife Possession Sentencing</w:t>
      </w:r>
      <w:r w:rsidR="005C0BCE">
        <w:rPr>
          <w:rFonts w:ascii="Arial" w:hAnsi="Arial" w:cs="Arial"/>
          <w:sz w:val="22"/>
          <w:szCs w:val="22"/>
        </w:rPr>
        <w:t xml:space="preserve"> publication</w:t>
      </w:r>
      <w:r>
        <w:rPr>
          <w:rFonts w:ascii="Arial" w:hAnsi="Arial" w:cs="Arial"/>
          <w:color w:val="000000"/>
          <w:sz w:val="22"/>
          <w:szCs w:val="22"/>
        </w:rPr>
        <w:t>, broken down by the age group of the offender</w:t>
      </w:r>
      <w:r w:rsidR="00372746">
        <w:rPr>
          <w:rFonts w:ascii="Arial" w:hAnsi="Arial" w:cs="Arial"/>
          <w:color w:val="000000"/>
          <w:sz w:val="22"/>
          <w:szCs w:val="22"/>
        </w:rPr>
        <w:t xml:space="preserve">. </w:t>
      </w:r>
      <w:r w:rsidR="00CF58FB">
        <w:rPr>
          <w:rFonts w:ascii="Arial" w:hAnsi="Arial" w:cs="Arial"/>
          <w:sz w:val="22"/>
          <w:szCs w:val="22"/>
        </w:rPr>
        <w:t xml:space="preserve">Please note that the </w:t>
      </w:r>
      <w:r w:rsidR="00372746">
        <w:rPr>
          <w:rFonts w:ascii="Arial" w:hAnsi="Arial" w:cs="Arial"/>
          <w:sz w:val="22"/>
          <w:szCs w:val="22"/>
        </w:rPr>
        <w:t>number of offences committed by offenders in each age group</w:t>
      </w:r>
      <w:r w:rsidR="00931B74">
        <w:rPr>
          <w:rFonts w:ascii="Arial" w:hAnsi="Arial" w:cs="Arial"/>
          <w:sz w:val="22"/>
          <w:szCs w:val="22"/>
        </w:rPr>
        <w:t xml:space="preserve"> may not sum</w:t>
      </w:r>
      <w:r w:rsidR="00CF58FB">
        <w:rPr>
          <w:rFonts w:ascii="Arial" w:hAnsi="Arial" w:cs="Arial"/>
          <w:sz w:val="22"/>
          <w:szCs w:val="22"/>
        </w:rPr>
        <w:t xml:space="preserve"> to the relevant totals given in </w:t>
      </w:r>
      <w:r w:rsidR="005C0BCE">
        <w:rPr>
          <w:rFonts w:ascii="Arial" w:hAnsi="Arial" w:cs="Arial"/>
          <w:sz w:val="22"/>
          <w:szCs w:val="22"/>
        </w:rPr>
        <w:t>the</w:t>
      </w:r>
      <w:r w:rsidR="00372746">
        <w:rPr>
          <w:rFonts w:ascii="Arial" w:hAnsi="Arial" w:cs="Arial"/>
          <w:sz w:val="22"/>
          <w:szCs w:val="22"/>
        </w:rPr>
        <w:t xml:space="preserve"> publication </w:t>
      </w:r>
      <w:r w:rsidR="00CF58FB">
        <w:rPr>
          <w:rFonts w:ascii="Arial" w:hAnsi="Arial" w:cs="Arial"/>
          <w:sz w:val="22"/>
          <w:szCs w:val="22"/>
        </w:rPr>
        <w:t>as the separate figures exclude a small number of offences where the offender’s age group is unknown.</w:t>
      </w:r>
    </w:p>
    <w:p w:rsidR="008F6663" w:rsidRDefault="008F6663" w:rsidP="00153B29">
      <w:pPr>
        <w:rPr>
          <w:rFonts w:ascii="Arial" w:hAnsi="Arial" w:cs="Arial"/>
          <w:sz w:val="22"/>
          <w:szCs w:val="22"/>
        </w:rPr>
      </w:pPr>
    </w:p>
    <w:p w:rsidR="00A94C03" w:rsidRPr="0022527E" w:rsidRDefault="00A94C03" w:rsidP="00A94C03">
      <w:pPr>
        <w:autoSpaceDE w:val="0"/>
        <w:autoSpaceDN w:val="0"/>
        <w:rPr>
          <w:rFonts w:ascii="Arial" w:hAnsi="Arial" w:cs="Arial"/>
          <w:sz w:val="22"/>
          <w:szCs w:val="22"/>
        </w:rPr>
      </w:pPr>
      <w:bookmarkStart w:id="1" w:name="OLE_LINK18"/>
      <w:bookmarkStart w:id="2" w:name="OLE_LINK17"/>
      <w:r w:rsidRPr="0022527E">
        <w:rPr>
          <w:rFonts w:ascii="Arial" w:hAnsi="Arial" w:cs="Arial"/>
          <w:sz w:val="22"/>
          <w:szCs w:val="22"/>
        </w:rPr>
        <w:t>If a request is made for information and the total figure amounts to five people or fewer, the MoJ must consider whether this could lead to the identification of individuals and whether disclosure of this information would be in breach of our statutory obligations under the</w:t>
      </w:r>
      <w:r>
        <w:rPr>
          <w:rFonts w:ascii="Arial" w:hAnsi="Arial" w:cs="Arial"/>
          <w:sz w:val="22"/>
          <w:szCs w:val="22"/>
        </w:rPr>
        <w:t xml:space="preserve"> Data Protection Act 1998 (</w:t>
      </w:r>
      <w:r w:rsidRPr="0022527E">
        <w:rPr>
          <w:rFonts w:ascii="Arial" w:hAnsi="Arial" w:cs="Arial"/>
          <w:sz w:val="22"/>
          <w:szCs w:val="22"/>
        </w:rPr>
        <w:t>DPA</w:t>
      </w:r>
      <w:r>
        <w:rPr>
          <w:rFonts w:ascii="Arial" w:hAnsi="Arial" w:cs="Arial"/>
          <w:sz w:val="22"/>
          <w:szCs w:val="22"/>
        </w:rPr>
        <w:t>)</w:t>
      </w:r>
      <w:r w:rsidRPr="0022527E">
        <w:rPr>
          <w:rFonts w:ascii="Arial" w:hAnsi="Arial" w:cs="Arial"/>
          <w:sz w:val="22"/>
          <w:szCs w:val="22"/>
        </w:rPr>
        <w:t>. We believe that the release of the some of this information would risk identification of the individuals concerned, and therefore be unlawful under the DPA. For this reason, MoJ has chosen not to provide an exact figure in cases where the true number falls between one and five. However, it should not be assumed that the actual figure represented falls at any particular point within this scale; 'five or fewer' is used as a replacement value from which it would be difficult to isolate or extract any individual data.</w:t>
      </w:r>
    </w:p>
    <w:p w:rsidR="0022527E" w:rsidRPr="00A94C03" w:rsidRDefault="00A94C03" w:rsidP="00A94C03">
      <w:pPr>
        <w:spacing w:after="120"/>
        <w:rPr>
          <w:rFonts w:ascii="Garamond" w:hAnsi="Garamond"/>
          <w:sz w:val="22"/>
          <w:szCs w:val="22"/>
        </w:rPr>
      </w:pPr>
      <w:r>
        <w:rPr>
          <w:rFonts w:ascii="Arial" w:hAnsi="Arial" w:cs="Arial"/>
          <w:sz w:val="22"/>
          <w:szCs w:val="22"/>
        </w:rPr>
        <w:br/>
      </w:r>
      <w:r w:rsidR="00562CA5">
        <w:rPr>
          <w:rFonts w:ascii="Arial" w:hAnsi="Arial" w:cs="Arial"/>
          <w:sz w:val="22"/>
          <w:szCs w:val="22"/>
        </w:rPr>
        <w:t xml:space="preserve">We are not obliged, under </w:t>
      </w:r>
      <w:r w:rsidR="00562CA5">
        <w:rPr>
          <w:rFonts w:ascii="Arial" w:hAnsi="Arial"/>
          <w:color w:val="000000"/>
          <w:sz w:val="22"/>
          <w:szCs w:val="22"/>
        </w:rPr>
        <w:t xml:space="preserve">section 40(2) of the </w:t>
      </w:r>
      <w:r w:rsidR="00C84F42">
        <w:rPr>
          <w:rFonts w:ascii="Arial" w:hAnsi="Arial"/>
          <w:color w:val="000000"/>
          <w:sz w:val="22"/>
          <w:szCs w:val="22"/>
        </w:rPr>
        <w:t>FOIA</w:t>
      </w:r>
      <w:r w:rsidR="00562CA5">
        <w:rPr>
          <w:rFonts w:ascii="Arial" w:hAnsi="Arial"/>
          <w:color w:val="000000"/>
          <w:sz w:val="22"/>
          <w:szCs w:val="22"/>
        </w:rPr>
        <w:t xml:space="preserve">, </w:t>
      </w:r>
      <w:r w:rsidR="00AF5D5A">
        <w:rPr>
          <w:rFonts w:ascii="Arial" w:hAnsi="Arial" w:cs="Arial"/>
          <w:sz w:val="22"/>
          <w:szCs w:val="22"/>
        </w:rPr>
        <w:t>to provide information</w:t>
      </w:r>
      <w:r w:rsidR="00562CA5">
        <w:rPr>
          <w:rFonts w:ascii="Arial" w:hAnsi="Arial" w:cs="Arial"/>
          <w:sz w:val="22"/>
          <w:szCs w:val="22"/>
        </w:rPr>
        <w:t xml:space="preserve"> if releasing would contravene any of the provisions </w:t>
      </w:r>
      <w:r>
        <w:rPr>
          <w:rFonts w:ascii="Arial" w:hAnsi="Arial" w:cs="Arial"/>
          <w:sz w:val="22"/>
          <w:szCs w:val="22"/>
        </w:rPr>
        <w:t>in the DPA</w:t>
      </w:r>
      <w:r w:rsidR="00562CA5">
        <w:rPr>
          <w:rFonts w:ascii="Arial" w:hAnsi="Arial" w:cs="Arial"/>
          <w:sz w:val="22"/>
          <w:szCs w:val="22"/>
        </w:rPr>
        <w:t>.</w:t>
      </w:r>
      <w:bookmarkStart w:id="3" w:name="OLE_LINK2"/>
      <w:bookmarkStart w:id="4" w:name="OLE_LINK1"/>
      <w:bookmarkEnd w:id="1"/>
      <w:bookmarkEnd w:id="2"/>
      <w:r>
        <w:rPr>
          <w:rFonts w:ascii="Garamond" w:hAnsi="Garamond"/>
          <w:sz w:val="22"/>
          <w:szCs w:val="22"/>
        </w:rPr>
        <w:t xml:space="preserve"> </w:t>
      </w:r>
      <w:r w:rsidR="00C84F42" w:rsidRPr="0022527E">
        <w:rPr>
          <w:rFonts w:ascii="Arial" w:hAnsi="Arial" w:cs="Arial"/>
          <w:sz w:val="22"/>
          <w:szCs w:val="22"/>
        </w:rPr>
        <w:t xml:space="preserve">In this instance we believe that the release of </w:t>
      </w:r>
      <w:r>
        <w:rPr>
          <w:rFonts w:ascii="Arial" w:hAnsi="Arial" w:cs="Arial"/>
          <w:sz w:val="22"/>
          <w:szCs w:val="22"/>
        </w:rPr>
        <w:t>low figures</w:t>
      </w:r>
      <w:r w:rsidR="00C84F42" w:rsidRPr="0022527E">
        <w:rPr>
          <w:rFonts w:ascii="Arial" w:hAnsi="Arial" w:cs="Arial"/>
          <w:sz w:val="22"/>
          <w:szCs w:val="22"/>
        </w:rPr>
        <w:t xml:space="preserve"> would</w:t>
      </w:r>
      <w:r>
        <w:rPr>
          <w:rFonts w:ascii="Arial" w:hAnsi="Arial" w:cs="Arial"/>
          <w:sz w:val="22"/>
          <w:szCs w:val="22"/>
        </w:rPr>
        <w:t xml:space="preserve"> allow identification and would</w:t>
      </w:r>
      <w:r w:rsidR="00111475">
        <w:rPr>
          <w:rFonts w:ascii="Arial" w:hAnsi="Arial" w:cs="Arial"/>
          <w:sz w:val="22"/>
          <w:szCs w:val="22"/>
        </w:rPr>
        <w:t xml:space="preserve"> be unlawful and</w:t>
      </w:r>
      <w:r w:rsidR="00C84F42" w:rsidRPr="0022527E">
        <w:rPr>
          <w:rFonts w:ascii="Arial" w:hAnsi="Arial" w:cs="Arial"/>
          <w:sz w:val="22"/>
          <w:szCs w:val="22"/>
        </w:rPr>
        <w:t xml:space="preserve"> </w:t>
      </w:r>
      <w:r>
        <w:rPr>
          <w:rFonts w:ascii="Arial" w:hAnsi="Arial" w:cs="Arial"/>
          <w:sz w:val="22"/>
          <w:szCs w:val="22"/>
        </w:rPr>
        <w:t xml:space="preserve">therefore </w:t>
      </w:r>
      <w:r w:rsidR="00C84F42" w:rsidRPr="0022527E">
        <w:rPr>
          <w:rFonts w:ascii="Arial" w:hAnsi="Arial" w:cs="Arial"/>
          <w:sz w:val="22"/>
          <w:szCs w:val="22"/>
        </w:rPr>
        <w:t xml:space="preserve">contravene the first data protection principle. </w:t>
      </w:r>
    </w:p>
    <w:p w:rsidR="0022527E" w:rsidRPr="0022527E" w:rsidRDefault="0022527E" w:rsidP="0022527E">
      <w:pPr>
        <w:autoSpaceDE w:val="0"/>
        <w:autoSpaceDN w:val="0"/>
        <w:rPr>
          <w:rFonts w:ascii="Arial" w:hAnsi="Arial" w:cs="Arial"/>
          <w:sz w:val="22"/>
          <w:szCs w:val="22"/>
        </w:rPr>
      </w:pPr>
    </w:p>
    <w:p w:rsidR="00C84F42" w:rsidRDefault="00C84F42" w:rsidP="00C84F42">
      <w:pPr>
        <w:spacing w:after="120"/>
        <w:rPr>
          <w:rFonts w:ascii="Garamond" w:hAnsi="Garamond"/>
          <w:sz w:val="22"/>
          <w:szCs w:val="22"/>
        </w:rPr>
      </w:pPr>
    </w:p>
    <w:bookmarkEnd w:id="3"/>
    <w:bookmarkEnd w:id="4"/>
    <w:p w:rsidR="00C84F42" w:rsidRDefault="00C84F42" w:rsidP="00C84F42">
      <w:pPr>
        <w:rPr>
          <w:rFonts w:ascii="Arial" w:hAnsi="Arial" w:cs="Arial"/>
          <w:sz w:val="22"/>
          <w:szCs w:val="22"/>
        </w:rPr>
      </w:pPr>
      <w:r>
        <w:rPr>
          <w:rFonts w:ascii="Arial" w:hAnsi="Arial" w:cs="Arial"/>
          <w:sz w:val="22"/>
          <w:szCs w:val="22"/>
        </w:rPr>
        <w:t>The terms of this exemption in the FOIA mean that we do not have to consider whether or not it would be in the public interest for you to have the information.</w:t>
      </w:r>
    </w:p>
    <w:p w:rsidR="008517F0" w:rsidRDefault="008517F0" w:rsidP="00C84F42">
      <w:pPr>
        <w:rPr>
          <w:rFonts w:ascii="Arial" w:hAnsi="Arial" w:cs="Arial"/>
          <w:sz w:val="22"/>
          <w:szCs w:val="22"/>
        </w:rPr>
      </w:pPr>
    </w:p>
    <w:p w:rsidR="005D5551" w:rsidRDefault="008517F0" w:rsidP="0022527E">
      <w:pPr>
        <w:autoSpaceDE w:val="0"/>
        <w:autoSpaceDN w:val="0"/>
        <w:adjustRightInd w:val="0"/>
        <w:rPr>
          <w:rFonts w:ascii="Arial" w:hAnsi="Arial" w:cs="Arial"/>
          <w:sz w:val="22"/>
          <w:szCs w:val="22"/>
        </w:rPr>
      </w:pPr>
      <w:r>
        <w:rPr>
          <w:rFonts w:ascii="Arial" w:hAnsi="Arial" w:cs="Arial"/>
          <w:sz w:val="22"/>
          <w:szCs w:val="22"/>
        </w:rPr>
        <w:lastRenderedPageBreak/>
        <w:t xml:space="preserve">You can find out more about </w:t>
      </w:r>
      <w:r w:rsidR="00A94C03">
        <w:rPr>
          <w:rFonts w:ascii="Arial" w:hAnsi="Arial" w:cs="Arial"/>
          <w:sz w:val="22"/>
          <w:szCs w:val="22"/>
        </w:rPr>
        <w:t>s</w:t>
      </w:r>
      <w:r>
        <w:rPr>
          <w:rFonts w:ascii="Arial" w:hAnsi="Arial" w:cs="Arial"/>
          <w:sz w:val="22"/>
          <w:szCs w:val="22"/>
        </w:rPr>
        <w:t xml:space="preserve">ection 40(2) by reading the extract from the </w:t>
      </w:r>
      <w:r w:rsidR="00A94C03">
        <w:rPr>
          <w:rFonts w:ascii="Arial" w:hAnsi="Arial" w:cs="Arial"/>
          <w:sz w:val="22"/>
          <w:szCs w:val="22"/>
        </w:rPr>
        <w:t>FOIA</w:t>
      </w:r>
      <w:r>
        <w:rPr>
          <w:rFonts w:ascii="Arial" w:hAnsi="Arial" w:cs="Arial"/>
          <w:sz w:val="22"/>
          <w:szCs w:val="22"/>
        </w:rPr>
        <w:t xml:space="preserve"> and some guidance points we consider when applying the exemption, attached at the end of this letter.</w:t>
      </w:r>
    </w:p>
    <w:p w:rsidR="00C84F42" w:rsidRPr="000D618F" w:rsidRDefault="00C84F42" w:rsidP="000E0EFA">
      <w:pPr>
        <w:jc w:val="both"/>
        <w:rPr>
          <w:rFonts w:ascii="Arial" w:hAnsi="Arial" w:cs="Arial"/>
          <w:sz w:val="22"/>
          <w:szCs w:val="22"/>
        </w:rPr>
      </w:pPr>
    </w:p>
    <w:p w:rsidR="006B52DE" w:rsidRPr="008517F0" w:rsidRDefault="006B52DE" w:rsidP="008517F0">
      <w:pPr>
        <w:autoSpaceDE w:val="0"/>
        <w:autoSpaceDN w:val="0"/>
        <w:adjustRightInd w:val="0"/>
        <w:rPr>
          <w:rFonts w:ascii="Arial" w:hAnsi="Arial" w:cs="Arial"/>
          <w:color w:val="000000"/>
          <w:sz w:val="22"/>
          <w:szCs w:val="22"/>
        </w:rPr>
      </w:pPr>
      <w:r w:rsidRPr="000D618F">
        <w:rPr>
          <w:rFonts w:ascii="Arial" w:hAnsi="Arial" w:cs="Arial"/>
          <w:color w:val="000000"/>
          <w:sz w:val="22"/>
          <w:szCs w:val="22"/>
        </w:rPr>
        <w:t>The figures provided have been drawn from an extract of the Police National Computer (PNC) data held by the Department. The PNC holds details of all convictions and cautions given for recordable offences and include a number of offences where it is not possible for offenders to be given a custodial sentence. As with any large scale recording system the PNC is subject to possible errors with data entry and processing so data provided may be subject to revision.</w:t>
      </w:r>
    </w:p>
    <w:p w:rsidR="006B52DE" w:rsidRPr="000D618F" w:rsidRDefault="006B52DE" w:rsidP="000E0EFA">
      <w:pPr>
        <w:autoSpaceDE w:val="0"/>
        <w:autoSpaceDN w:val="0"/>
        <w:adjustRightInd w:val="0"/>
        <w:jc w:val="both"/>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70A13" w:rsidRDefault="00870A13" w:rsidP="00870A13">
      <w:pPr>
        <w:autoSpaceDE w:val="0"/>
        <w:autoSpaceDN w:val="0"/>
        <w:adjustRightInd w:val="0"/>
        <w:rPr>
          <w:rFonts w:ascii="Arial" w:hAnsi="Arial" w:cs="Arial"/>
          <w:sz w:val="22"/>
          <w:szCs w:val="22"/>
        </w:rPr>
      </w:pPr>
    </w:p>
    <w:p w:rsidR="008517F0" w:rsidRDefault="00870A13" w:rsidP="00870A13">
      <w:pPr>
        <w:autoSpaceDE w:val="0"/>
        <w:autoSpaceDN w:val="0"/>
        <w:adjustRightInd w:val="0"/>
        <w:rPr>
          <w:rFonts w:ascii="Arial" w:hAnsi="Arial" w:cs="Arial"/>
          <w:sz w:val="22"/>
          <w:szCs w:val="22"/>
        </w:rPr>
      </w:pPr>
      <w:r>
        <w:rPr>
          <w:rFonts w:ascii="Arial" w:hAnsi="Arial" w:cs="Arial"/>
          <w:sz w:val="22"/>
          <w:szCs w:val="22"/>
        </w:rPr>
        <w:t xml:space="preserve"> </w:t>
      </w:r>
    </w:p>
    <w:p w:rsidR="008517F0" w:rsidRDefault="008517F0" w:rsidP="008517F0">
      <w:pPr>
        <w:rPr>
          <w:rFonts w:ascii="Arial" w:hAnsi="Arial" w:cs="Arial"/>
          <w:sz w:val="22"/>
          <w:szCs w:val="22"/>
        </w:rPr>
      </w:pPr>
      <w:r>
        <w:rPr>
          <w:rFonts w:ascii="Arial" w:hAnsi="Arial" w:cs="Arial"/>
          <w:b/>
          <w:snapToGrid w:val="0"/>
          <w:sz w:val="22"/>
          <w:u w:val="single"/>
        </w:rPr>
        <w:t>EXPLANATION OF FOIA - SECTION 40(2) – INFORMATION RELATING TO THIRD PARTIES</w:t>
      </w:r>
    </w:p>
    <w:p w:rsidR="008517F0" w:rsidRDefault="008517F0" w:rsidP="008517F0">
      <w:pPr>
        <w:jc w:val="center"/>
        <w:rPr>
          <w:rFonts w:ascii="Arial" w:hAnsi="Arial" w:cs="Arial"/>
          <w:b/>
          <w:snapToGrid w:val="0"/>
          <w:sz w:val="22"/>
          <w:u w:val="single"/>
        </w:rPr>
      </w:pPr>
    </w:p>
    <w:p w:rsidR="008517F0" w:rsidRDefault="008517F0" w:rsidP="008517F0">
      <w:pPr>
        <w:rPr>
          <w:rFonts w:ascii="Arial" w:hAnsi="Arial" w:cs="Arial"/>
          <w:color w:val="000000"/>
          <w:sz w:val="22"/>
          <w:szCs w:val="22"/>
        </w:rPr>
      </w:pPr>
      <w:r>
        <w:rPr>
          <w:rFonts w:ascii="Arial" w:hAnsi="Arial" w:cs="Arial"/>
          <w:sz w:val="22"/>
          <w:szCs w:val="22"/>
        </w:rPr>
        <w:t>We</w:t>
      </w:r>
      <w:r>
        <w:rPr>
          <w:rFonts w:ascii="Arial" w:hAnsi="Arial" w:cs="Arial"/>
          <w:color w:val="000000"/>
          <w:sz w:val="22"/>
          <w:szCs w:val="22"/>
        </w:rPr>
        <w:t xml:space="preserve"> have provided below additional information about Section 40(2) of the Freedom of Information Act. We have included some extracts from the legislation, as well as some of the guidance we use when applying it. We hope you find this information useful.</w:t>
      </w:r>
    </w:p>
    <w:p w:rsidR="008517F0" w:rsidRDefault="008517F0" w:rsidP="008517F0">
      <w:pPr>
        <w:rPr>
          <w:rFonts w:ascii="Arial" w:hAnsi="Arial" w:cs="Arial"/>
          <w:color w:val="000000"/>
          <w:sz w:val="22"/>
          <w:szCs w:val="22"/>
        </w:rPr>
      </w:pPr>
    </w:p>
    <w:p w:rsidR="008517F0" w:rsidRDefault="008517F0" w:rsidP="008517F0">
      <w:pPr>
        <w:rPr>
          <w:rFonts w:ascii="Arial" w:hAnsi="Arial" w:cs="Arial"/>
          <w:b/>
          <w:color w:val="000000"/>
          <w:sz w:val="22"/>
          <w:szCs w:val="22"/>
        </w:rPr>
      </w:pPr>
      <w:r>
        <w:rPr>
          <w:rFonts w:ascii="Arial" w:hAnsi="Arial" w:cs="Arial"/>
          <w:b/>
          <w:color w:val="000000"/>
          <w:sz w:val="22"/>
          <w:szCs w:val="22"/>
        </w:rPr>
        <w:t>The legislation</w:t>
      </w:r>
    </w:p>
    <w:p w:rsidR="008517F0" w:rsidRDefault="008517F0" w:rsidP="008517F0">
      <w:pPr>
        <w:rPr>
          <w:rFonts w:ascii="Arial" w:hAnsi="Arial" w:cs="Arial"/>
          <w:b/>
          <w:snapToGrid w:val="0"/>
          <w:sz w:val="22"/>
          <w:u w:val="single"/>
        </w:rPr>
      </w:pPr>
    </w:p>
    <w:p w:rsidR="008517F0" w:rsidRDefault="008517F0" w:rsidP="008517F0">
      <w:pPr>
        <w:spacing w:after="120"/>
        <w:rPr>
          <w:rFonts w:ascii="Arial" w:hAnsi="Arial" w:cs="Arial"/>
          <w:b/>
          <w:snapToGrid w:val="0"/>
          <w:sz w:val="22"/>
        </w:rPr>
      </w:pPr>
      <w:r>
        <w:rPr>
          <w:rFonts w:ascii="Arial" w:hAnsi="Arial" w:cs="Arial"/>
          <w:b/>
          <w:snapToGrid w:val="0"/>
          <w:sz w:val="22"/>
          <w:u w:val="single"/>
        </w:rPr>
        <w:t>Section 1:</w:t>
      </w:r>
      <w:r>
        <w:rPr>
          <w:rFonts w:ascii="Arial" w:hAnsi="Arial" w:cs="Arial"/>
          <w:b/>
          <w:snapToGrid w:val="0"/>
          <w:sz w:val="22"/>
        </w:rPr>
        <w:t xml:space="preserve"> Right of Access to information held by public authorities</w:t>
      </w:r>
    </w:p>
    <w:p w:rsidR="008517F0" w:rsidRDefault="008517F0" w:rsidP="008517F0">
      <w:pPr>
        <w:spacing w:after="120"/>
        <w:rPr>
          <w:rFonts w:ascii="Arial" w:hAnsi="Arial" w:cs="Arial"/>
          <w:sz w:val="22"/>
          <w:szCs w:val="22"/>
        </w:rPr>
      </w:pPr>
      <w:r>
        <w:rPr>
          <w:rFonts w:ascii="Arial" w:hAnsi="Arial" w:cs="Arial"/>
          <w:sz w:val="22"/>
          <w:szCs w:val="22"/>
        </w:rPr>
        <w:t xml:space="preserve">(1) Any person making a request for information to a public authority is entitled— </w:t>
      </w:r>
    </w:p>
    <w:p w:rsidR="008517F0" w:rsidRDefault="008517F0" w:rsidP="008517F0">
      <w:pPr>
        <w:spacing w:after="120"/>
        <w:ind w:left="1440" w:hanging="720"/>
        <w:rPr>
          <w:rFonts w:ascii="Arial" w:hAnsi="Arial" w:cs="Arial"/>
          <w:sz w:val="22"/>
          <w:szCs w:val="22"/>
        </w:rPr>
      </w:pPr>
      <w:r>
        <w:rPr>
          <w:rFonts w:ascii="Arial" w:hAnsi="Arial" w:cs="Arial"/>
          <w:sz w:val="22"/>
          <w:szCs w:val="22"/>
        </w:rPr>
        <w:t>(a)</w:t>
      </w:r>
      <w:r>
        <w:rPr>
          <w:rFonts w:ascii="Arial" w:hAnsi="Arial" w:cs="Arial"/>
          <w:sz w:val="22"/>
          <w:szCs w:val="22"/>
        </w:rPr>
        <w:tab/>
        <w:t xml:space="preserve">to be informed in writing by the public authority whether it holds information of the description specified in the request, and </w:t>
      </w:r>
    </w:p>
    <w:p w:rsidR="008517F0" w:rsidRDefault="008517F0" w:rsidP="008517F0">
      <w:pPr>
        <w:spacing w:after="120"/>
        <w:ind w:firstLine="720"/>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if that is the case, to have that information communicated to him. </w:t>
      </w:r>
    </w:p>
    <w:p w:rsidR="008517F0" w:rsidRDefault="008517F0" w:rsidP="008517F0">
      <w:pPr>
        <w:spacing w:after="120"/>
        <w:rPr>
          <w:rFonts w:ascii="Arial" w:hAnsi="Arial" w:cs="Arial"/>
          <w:b/>
          <w:snapToGrid w:val="0"/>
          <w:sz w:val="22"/>
          <w:u w:val="single"/>
        </w:rPr>
      </w:pPr>
    </w:p>
    <w:p w:rsidR="008517F0" w:rsidRDefault="008517F0" w:rsidP="008517F0">
      <w:pPr>
        <w:spacing w:after="120"/>
        <w:rPr>
          <w:rFonts w:ascii="Arial" w:hAnsi="Arial" w:cs="Arial"/>
          <w:b/>
          <w:snapToGrid w:val="0"/>
          <w:sz w:val="22"/>
        </w:rPr>
      </w:pPr>
      <w:r>
        <w:rPr>
          <w:rFonts w:ascii="Arial" w:hAnsi="Arial" w:cs="Arial"/>
          <w:b/>
          <w:snapToGrid w:val="0"/>
          <w:sz w:val="22"/>
          <w:u w:val="single"/>
        </w:rPr>
        <w:t>Section 40:</w:t>
      </w:r>
      <w:r>
        <w:rPr>
          <w:rFonts w:ascii="Arial" w:hAnsi="Arial" w:cs="Arial"/>
          <w:b/>
          <w:snapToGrid w:val="0"/>
          <w:sz w:val="22"/>
        </w:rPr>
        <w:t xml:space="preserve"> Personal Information.</w:t>
      </w:r>
    </w:p>
    <w:p w:rsidR="008517F0" w:rsidRDefault="008517F0" w:rsidP="008517F0">
      <w:pPr>
        <w:shd w:val="clear" w:color="auto" w:fill="FFFFFF"/>
        <w:spacing w:after="120"/>
        <w:rPr>
          <w:rFonts w:ascii="Arial" w:hAnsi="Arial" w:cs="Arial"/>
          <w:color w:val="000000"/>
          <w:sz w:val="22"/>
          <w:szCs w:val="22"/>
          <w:lang w:val="en"/>
        </w:rPr>
      </w:pPr>
      <w:r>
        <w:rPr>
          <w:rFonts w:ascii="Arial" w:hAnsi="Arial" w:cs="Arial"/>
          <w:sz w:val="22"/>
          <w:szCs w:val="22"/>
        </w:rPr>
        <w:t>(1) Any information to which a request for information relates is exempt information if it constitutes personal data of which the applicant is the data subject.</w:t>
      </w:r>
    </w:p>
    <w:p w:rsidR="008517F0" w:rsidRDefault="008517F0" w:rsidP="008517F0">
      <w:pPr>
        <w:shd w:val="clear" w:color="auto" w:fill="FFFFFF"/>
        <w:spacing w:after="120"/>
        <w:rPr>
          <w:rFonts w:ascii="Arial" w:hAnsi="Arial" w:cs="Arial"/>
          <w:color w:val="000000"/>
          <w:sz w:val="22"/>
          <w:szCs w:val="22"/>
          <w:lang w:val="en"/>
        </w:rPr>
      </w:pPr>
      <w:r>
        <w:rPr>
          <w:rFonts w:ascii="Arial" w:hAnsi="Arial" w:cs="Arial"/>
          <w:sz w:val="22"/>
          <w:szCs w:val="22"/>
        </w:rPr>
        <w:t>(2) Any information to which a request for information relates is also exempt information if—</w:t>
      </w:r>
    </w:p>
    <w:p w:rsidR="008517F0" w:rsidRDefault="008517F0" w:rsidP="008517F0">
      <w:pPr>
        <w:shd w:val="clear" w:color="auto" w:fill="FFFFFF"/>
        <w:spacing w:after="120"/>
        <w:ind w:firstLine="720"/>
        <w:rPr>
          <w:rFonts w:ascii="Arial" w:hAnsi="Arial" w:cs="Arial"/>
          <w:color w:val="000000"/>
          <w:sz w:val="22"/>
          <w:szCs w:val="22"/>
          <w:lang w:val="en"/>
        </w:rPr>
      </w:pPr>
      <w:r>
        <w:rPr>
          <w:rFonts w:ascii="Arial" w:hAnsi="Arial" w:cs="Arial"/>
          <w:sz w:val="22"/>
          <w:szCs w:val="22"/>
        </w:rPr>
        <w:t>(a)</w:t>
      </w:r>
      <w:r>
        <w:rPr>
          <w:rFonts w:ascii="Arial" w:hAnsi="Arial" w:cs="Arial"/>
          <w:sz w:val="22"/>
          <w:szCs w:val="22"/>
        </w:rPr>
        <w:tab/>
        <w:t>it constitutes personal data which do not fall within subsection (1), and</w:t>
      </w:r>
    </w:p>
    <w:p w:rsidR="008517F0" w:rsidRDefault="008517F0" w:rsidP="008517F0">
      <w:pPr>
        <w:shd w:val="clear" w:color="auto" w:fill="FFFFFF"/>
        <w:spacing w:after="120"/>
        <w:ind w:firstLine="720"/>
        <w:rPr>
          <w:rFonts w:ascii="Arial" w:hAnsi="Arial" w:cs="Arial"/>
          <w:color w:val="000000"/>
          <w:sz w:val="22"/>
          <w:szCs w:val="22"/>
          <w:lang w:val="en"/>
        </w:rPr>
      </w:pPr>
      <w:r>
        <w:rPr>
          <w:rFonts w:ascii="Arial" w:hAnsi="Arial" w:cs="Arial"/>
          <w:sz w:val="22"/>
          <w:szCs w:val="22"/>
        </w:rPr>
        <w:t>(b)</w:t>
      </w:r>
      <w:r>
        <w:rPr>
          <w:rFonts w:ascii="Arial" w:hAnsi="Arial" w:cs="Arial"/>
          <w:sz w:val="22"/>
          <w:szCs w:val="22"/>
        </w:rPr>
        <w:tab/>
        <w:t>either the first or the second condition below is satisfied.</w:t>
      </w:r>
    </w:p>
    <w:p w:rsidR="008517F0" w:rsidRDefault="008517F0" w:rsidP="008517F0">
      <w:pPr>
        <w:shd w:val="clear" w:color="auto" w:fill="FFFFFF"/>
        <w:spacing w:after="120"/>
        <w:rPr>
          <w:rFonts w:ascii="Arial" w:hAnsi="Arial" w:cs="Arial"/>
          <w:color w:val="000000"/>
          <w:sz w:val="22"/>
          <w:szCs w:val="22"/>
          <w:lang w:val="en"/>
        </w:rPr>
      </w:pPr>
      <w:r>
        <w:rPr>
          <w:rFonts w:ascii="Arial" w:hAnsi="Arial" w:cs="Arial"/>
          <w:sz w:val="22"/>
          <w:szCs w:val="22"/>
        </w:rPr>
        <w:t>(3) The first condition is—</w:t>
      </w:r>
    </w:p>
    <w:p w:rsidR="008517F0" w:rsidRDefault="008517F0" w:rsidP="008517F0">
      <w:pPr>
        <w:shd w:val="clear" w:color="auto" w:fill="FFFFFF"/>
        <w:spacing w:after="120"/>
        <w:ind w:left="1440" w:hanging="720"/>
        <w:rPr>
          <w:rFonts w:ascii="Arial" w:hAnsi="Arial" w:cs="Arial"/>
          <w:color w:val="000000"/>
          <w:sz w:val="22"/>
          <w:szCs w:val="22"/>
          <w:lang w:val="en"/>
        </w:rPr>
      </w:pPr>
      <w:r>
        <w:rPr>
          <w:rFonts w:ascii="Arial" w:hAnsi="Arial" w:cs="Arial"/>
          <w:sz w:val="22"/>
          <w:szCs w:val="22"/>
        </w:rPr>
        <w:t>(a)</w:t>
      </w:r>
      <w:r>
        <w:rPr>
          <w:rFonts w:ascii="Arial" w:hAnsi="Arial" w:cs="Arial"/>
          <w:sz w:val="22"/>
          <w:szCs w:val="22"/>
        </w:rPr>
        <w:tab/>
        <w:t>in a case where the information falls within any of paragraphs (a) to (d) of the definition of “data” in section 1(1) of the Data Protection Act 1998, that the disclosure of the information to a member of the public otherwise than under this Act would contravene—</w:t>
      </w:r>
    </w:p>
    <w:p w:rsidR="008517F0" w:rsidRDefault="008517F0" w:rsidP="008517F0">
      <w:pPr>
        <w:shd w:val="clear" w:color="auto" w:fill="FFFFFF"/>
        <w:spacing w:after="120"/>
        <w:ind w:left="1440" w:firstLine="720"/>
        <w:rPr>
          <w:rFonts w:ascii="Arial" w:hAnsi="Arial" w:cs="Arial"/>
          <w:color w:val="000000"/>
          <w:sz w:val="22"/>
          <w:szCs w:val="22"/>
          <w:lang w:val="en"/>
        </w:rPr>
      </w:pPr>
      <w:r>
        <w:rPr>
          <w:rFonts w:ascii="Arial" w:hAnsi="Arial" w:cs="Arial"/>
          <w:sz w:val="22"/>
          <w:szCs w:val="22"/>
        </w:rPr>
        <w:t>(i)</w:t>
      </w:r>
      <w:r>
        <w:rPr>
          <w:rFonts w:ascii="Arial" w:hAnsi="Arial" w:cs="Arial"/>
          <w:sz w:val="22"/>
          <w:szCs w:val="22"/>
        </w:rPr>
        <w:tab/>
        <w:t>any of the data protection principles, or</w:t>
      </w:r>
    </w:p>
    <w:p w:rsidR="008517F0" w:rsidRDefault="008517F0" w:rsidP="008517F0">
      <w:pPr>
        <w:shd w:val="clear" w:color="auto" w:fill="FFFFFF"/>
        <w:spacing w:after="120"/>
        <w:ind w:left="2880" w:hanging="720"/>
        <w:rPr>
          <w:rFonts w:ascii="Arial" w:hAnsi="Arial" w:cs="Arial"/>
          <w:color w:val="000000"/>
          <w:sz w:val="22"/>
          <w:szCs w:val="22"/>
          <w:lang w:val="en"/>
        </w:rPr>
      </w:pPr>
      <w:r>
        <w:rPr>
          <w:rFonts w:ascii="Arial" w:hAnsi="Arial" w:cs="Arial"/>
          <w:sz w:val="22"/>
          <w:szCs w:val="22"/>
        </w:rPr>
        <w:t>(ii)</w:t>
      </w:r>
      <w:r>
        <w:rPr>
          <w:rFonts w:ascii="Arial" w:hAnsi="Arial" w:cs="Arial"/>
          <w:sz w:val="22"/>
          <w:szCs w:val="22"/>
        </w:rPr>
        <w:tab/>
        <w:t>section 10 of that Act (right to prevent processing likely to cause  damage or distress), and</w:t>
      </w:r>
    </w:p>
    <w:p w:rsidR="008517F0" w:rsidRDefault="008517F0" w:rsidP="008517F0">
      <w:pPr>
        <w:shd w:val="clear" w:color="auto" w:fill="FFFFFF"/>
        <w:spacing w:after="120"/>
        <w:ind w:left="1440" w:hanging="720"/>
        <w:rPr>
          <w:rFonts w:ascii="Arial" w:hAnsi="Arial" w:cs="Arial"/>
          <w:color w:val="000000"/>
          <w:sz w:val="22"/>
          <w:szCs w:val="22"/>
          <w:lang w:val="en"/>
        </w:rPr>
      </w:pPr>
      <w:r>
        <w:rPr>
          <w:rFonts w:ascii="Arial" w:hAnsi="Arial" w:cs="Arial"/>
          <w:sz w:val="22"/>
          <w:szCs w:val="22"/>
        </w:rPr>
        <w:t>(b)</w:t>
      </w:r>
      <w:r>
        <w:rPr>
          <w:rFonts w:ascii="Arial" w:hAnsi="Arial" w:cs="Arial"/>
          <w:sz w:val="22"/>
          <w:szCs w:val="22"/>
        </w:rPr>
        <w:tab/>
        <w:t>in any other case, that the disclosure of the information to a member of the public otherwise than under this Act would contravene any of the data protection principles if the exemptions in section 33A(1) of the Data Protection Act 1998 (which relate to manual data held by public authorities) were disregarded.</w:t>
      </w:r>
    </w:p>
    <w:p w:rsidR="008517F0" w:rsidRDefault="008517F0" w:rsidP="008517F0">
      <w:pPr>
        <w:pStyle w:val="Heading2"/>
        <w:spacing w:after="120" w:afterAutospacing="0"/>
        <w:rPr>
          <w:rFonts w:ascii="Arial" w:hAnsi="Arial" w:cs="Arial"/>
          <w:sz w:val="22"/>
          <w:szCs w:val="22"/>
          <w:lang w:val="en"/>
        </w:rPr>
      </w:pPr>
      <w:r>
        <w:rPr>
          <w:rFonts w:ascii="Arial" w:hAnsi="Arial" w:cs="Arial"/>
          <w:sz w:val="22"/>
          <w:szCs w:val="22"/>
          <w:lang w:val="en"/>
        </w:rPr>
        <w:t>Guidance</w:t>
      </w:r>
    </w:p>
    <w:p w:rsidR="008517F0" w:rsidRDefault="008517F0" w:rsidP="008517F0">
      <w:pPr>
        <w:pStyle w:val="Default"/>
        <w:spacing w:after="120"/>
        <w:rPr>
          <w:color w:val="auto"/>
          <w:sz w:val="22"/>
          <w:szCs w:val="22"/>
        </w:rPr>
      </w:pPr>
      <w:r>
        <w:rPr>
          <w:color w:val="auto"/>
          <w:sz w:val="22"/>
          <w:szCs w:val="22"/>
        </w:rPr>
        <w:t xml:space="preserve">Section 40 of the Freedom of Information Act applies to: </w:t>
      </w:r>
    </w:p>
    <w:p w:rsidR="008517F0" w:rsidRDefault="008517F0" w:rsidP="008517F0">
      <w:pPr>
        <w:pStyle w:val="Default"/>
        <w:numPr>
          <w:ilvl w:val="0"/>
          <w:numId w:val="7"/>
        </w:numPr>
        <w:ind w:left="357" w:hanging="357"/>
        <w:rPr>
          <w:color w:val="auto"/>
          <w:sz w:val="22"/>
          <w:szCs w:val="22"/>
        </w:rPr>
      </w:pPr>
      <w:r>
        <w:rPr>
          <w:color w:val="auto"/>
          <w:sz w:val="22"/>
          <w:szCs w:val="22"/>
        </w:rPr>
        <w:t xml:space="preserve">requests for the personal data of the applicant him or herself </w:t>
      </w:r>
    </w:p>
    <w:p w:rsidR="008517F0" w:rsidRDefault="008517F0" w:rsidP="008517F0">
      <w:pPr>
        <w:pStyle w:val="Default"/>
        <w:numPr>
          <w:ilvl w:val="0"/>
          <w:numId w:val="7"/>
        </w:numPr>
        <w:ind w:left="357" w:hanging="357"/>
        <w:rPr>
          <w:color w:val="auto"/>
          <w:sz w:val="22"/>
          <w:szCs w:val="22"/>
        </w:rPr>
      </w:pPr>
      <w:r>
        <w:rPr>
          <w:color w:val="auto"/>
          <w:sz w:val="22"/>
          <w:szCs w:val="22"/>
        </w:rPr>
        <w:t xml:space="preserve">requests for the personal data of someone else (a third party) </w:t>
      </w:r>
    </w:p>
    <w:p w:rsidR="008517F0" w:rsidRDefault="008517F0" w:rsidP="008517F0">
      <w:pPr>
        <w:pStyle w:val="Default"/>
        <w:rPr>
          <w:color w:val="auto"/>
          <w:sz w:val="22"/>
          <w:szCs w:val="22"/>
        </w:rPr>
      </w:pPr>
    </w:p>
    <w:p w:rsidR="008517F0" w:rsidRDefault="008517F0" w:rsidP="008517F0">
      <w:pPr>
        <w:pStyle w:val="Default"/>
        <w:spacing w:after="120"/>
        <w:rPr>
          <w:color w:val="auto"/>
          <w:sz w:val="22"/>
          <w:szCs w:val="22"/>
        </w:rPr>
      </w:pPr>
      <w:r>
        <w:rPr>
          <w:color w:val="auto"/>
          <w:sz w:val="22"/>
          <w:szCs w:val="22"/>
        </w:rPr>
        <w:t>Personal data of a third party: Personal data of a third party is exempt under section 40(2) if its disclosure to a member of the public would contravene one or more of the data protection principles and a request must be refused.</w:t>
      </w:r>
    </w:p>
    <w:p w:rsidR="008517F0" w:rsidRDefault="008517F0" w:rsidP="008517F0">
      <w:pPr>
        <w:pStyle w:val="Default"/>
        <w:spacing w:after="120"/>
        <w:rPr>
          <w:color w:val="auto"/>
          <w:sz w:val="22"/>
          <w:szCs w:val="22"/>
        </w:rPr>
      </w:pPr>
      <w:r>
        <w:rPr>
          <w:color w:val="auto"/>
          <w:sz w:val="22"/>
          <w:szCs w:val="22"/>
          <w:u w:val="single"/>
        </w:rPr>
        <w:t>The Data Protection Principles</w:t>
      </w:r>
      <w:r>
        <w:rPr>
          <w:color w:val="auto"/>
          <w:sz w:val="22"/>
          <w:szCs w:val="22"/>
        </w:rPr>
        <w:t xml:space="preserve">: </w:t>
      </w:r>
    </w:p>
    <w:p w:rsidR="008517F0" w:rsidRDefault="008517F0" w:rsidP="008517F0">
      <w:pPr>
        <w:pStyle w:val="Default"/>
        <w:spacing w:after="120"/>
        <w:rPr>
          <w:color w:val="auto"/>
          <w:sz w:val="22"/>
          <w:szCs w:val="22"/>
        </w:rPr>
      </w:pPr>
      <w:r>
        <w:rPr>
          <w:color w:val="auto"/>
          <w:sz w:val="22"/>
          <w:szCs w:val="22"/>
        </w:rPr>
        <w:t>The data protection principles are a statutory code for the processing of personal data. They are set out in Part I of Schedule 1 to the Data Protection Act.</w:t>
      </w:r>
    </w:p>
    <w:p w:rsidR="008517F0" w:rsidRDefault="008517F0" w:rsidP="008517F0">
      <w:pPr>
        <w:pStyle w:val="Default"/>
        <w:spacing w:after="120"/>
        <w:rPr>
          <w:color w:val="auto"/>
          <w:sz w:val="22"/>
          <w:szCs w:val="22"/>
        </w:rPr>
      </w:pPr>
      <w:r>
        <w:rPr>
          <w:color w:val="auto"/>
          <w:sz w:val="22"/>
          <w:szCs w:val="22"/>
        </w:rPr>
        <w:t xml:space="preserve">Three data protection principles require personal data to be: </w:t>
      </w:r>
    </w:p>
    <w:p w:rsidR="008517F0" w:rsidRDefault="008517F0" w:rsidP="008517F0">
      <w:pPr>
        <w:pStyle w:val="Default"/>
        <w:numPr>
          <w:ilvl w:val="0"/>
          <w:numId w:val="8"/>
        </w:numPr>
        <w:ind w:left="714" w:hanging="357"/>
        <w:rPr>
          <w:color w:val="auto"/>
          <w:sz w:val="22"/>
          <w:szCs w:val="22"/>
        </w:rPr>
      </w:pPr>
      <w:r>
        <w:rPr>
          <w:color w:val="auto"/>
          <w:sz w:val="22"/>
          <w:szCs w:val="22"/>
        </w:rPr>
        <w:t xml:space="preserve">fairly and lawfully processed </w:t>
      </w:r>
    </w:p>
    <w:p w:rsidR="008517F0" w:rsidRDefault="008517F0" w:rsidP="008517F0">
      <w:pPr>
        <w:pStyle w:val="Default"/>
        <w:numPr>
          <w:ilvl w:val="0"/>
          <w:numId w:val="8"/>
        </w:numPr>
        <w:ind w:left="714" w:hanging="357"/>
        <w:rPr>
          <w:color w:val="auto"/>
          <w:sz w:val="22"/>
          <w:szCs w:val="22"/>
        </w:rPr>
      </w:pPr>
      <w:r>
        <w:rPr>
          <w:color w:val="auto"/>
          <w:sz w:val="22"/>
          <w:szCs w:val="22"/>
        </w:rPr>
        <w:t xml:space="preserve">processed for specified and lawful purposes </w:t>
      </w:r>
    </w:p>
    <w:p w:rsidR="008517F0" w:rsidRDefault="008517F0" w:rsidP="008517F0">
      <w:pPr>
        <w:pStyle w:val="Default"/>
        <w:numPr>
          <w:ilvl w:val="0"/>
          <w:numId w:val="8"/>
        </w:numPr>
        <w:ind w:left="714" w:hanging="357"/>
        <w:rPr>
          <w:color w:val="auto"/>
          <w:sz w:val="22"/>
          <w:szCs w:val="22"/>
        </w:rPr>
      </w:pPr>
      <w:r>
        <w:rPr>
          <w:color w:val="auto"/>
          <w:sz w:val="22"/>
          <w:szCs w:val="22"/>
        </w:rPr>
        <w:t xml:space="preserve">adequate, relevant and not excessive </w:t>
      </w:r>
    </w:p>
    <w:p w:rsidR="008517F0" w:rsidRDefault="008517F0" w:rsidP="008517F0">
      <w:pPr>
        <w:pStyle w:val="Default"/>
        <w:numPr>
          <w:ilvl w:val="0"/>
          <w:numId w:val="8"/>
        </w:numPr>
        <w:ind w:left="714" w:hanging="357"/>
        <w:rPr>
          <w:color w:val="auto"/>
          <w:sz w:val="22"/>
          <w:szCs w:val="22"/>
        </w:rPr>
      </w:pPr>
      <w:r>
        <w:rPr>
          <w:color w:val="auto"/>
          <w:sz w:val="22"/>
          <w:szCs w:val="22"/>
        </w:rPr>
        <w:t xml:space="preserve">accurate, and kept up to date </w:t>
      </w:r>
    </w:p>
    <w:p w:rsidR="008517F0" w:rsidRDefault="008517F0" w:rsidP="008517F0">
      <w:pPr>
        <w:pStyle w:val="Default"/>
        <w:numPr>
          <w:ilvl w:val="0"/>
          <w:numId w:val="8"/>
        </w:numPr>
        <w:ind w:left="714" w:hanging="357"/>
        <w:rPr>
          <w:color w:val="auto"/>
          <w:sz w:val="22"/>
          <w:szCs w:val="22"/>
        </w:rPr>
      </w:pPr>
      <w:r>
        <w:rPr>
          <w:color w:val="auto"/>
          <w:sz w:val="22"/>
          <w:szCs w:val="22"/>
        </w:rPr>
        <w:t xml:space="preserve">not kept longer than necessary </w:t>
      </w:r>
    </w:p>
    <w:p w:rsidR="008517F0" w:rsidRDefault="008517F0" w:rsidP="008517F0">
      <w:pPr>
        <w:pStyle w:val="Default"/>
        <w:numPr>
          <w:ilvl w:val="0"/>
          <w:numId w:val="8"/>
        </w:numPr>
        <w:ind w:left="714" w:hanging="357"/>
        <w:rPr>
          <w:color w:val="auto"/>
          <w:sz w:val="22"/>
          <w:szCs w:val="22"/>
        </w:rPr>
      </w:pPr>
      <w:r>
        <w:rPr>
          <w:color w:val="auto"/>
          <w:sz w:val="22"/>
          <w:szCs w:val="22"/>
        </w:rPr>
        <w:t xml:space="preserve">processed in accordance with individuals' rights under the Data Protection Act </w:t>
      </w:r>
    </w:p>
    <w:p w:rsidR="008517F0" w:rsidRDefault="008517F0" w:rsidP="008517F0">
      <w:pPr>
        <w:pStyle w:val="Default"/>
        <w:numPr>
          <w:ilvl w:val="0"/>
          <w:numId w:val="8"/>
        </w:numPr>
        <w:ind w:left="714" w:hanging="357"/>
        <w:rPr>
          <w:color w:val="auto"/>
          <w:sz w:val="22"/>
          <w:szCs w:val="22"/>
        </w:rPr>
      </w:pPr>
      <w:r>
        <w:rPr>
          <w:color w:val="auto"/>
          <w:sz w:val="22"/>
          <w:szCs w:val="22"/>
        </w:rPr>
        <w:t xml:space="preserve">kept secure </w:t>
      </w:r>
    </w:p>
    <w:p w:rsidR="008517F0" w:rsidRDefault="008517F0" w:rsidP="008517F0">
      <w:pPr>
        <w:pStyle w:val="Default"/>
        <w:numPr>
          <w:ilvl w:val="0"/>
          <w:numId w:val="8"/>
        </w:numPr>
        <w:spacing w:after="120"/>
        <w:ind w:left="714" w:hanging="357"/>
        <w:rPr>
          <w:color w:val="auto"/>
          <w:sz w:val="22"/>
          <w:szCs w:val="22"/>
        </w:rPr>
      </w:pPr>
      <w:r>
        <w:rPr>
          <w:color w:val="auto"/>
          <w:sz w:val="22"/>
          <w:szCs w:val="22"/>
        </w:rPr>
        <w:t xml:space="preserve">not transferred to non-EEA (European Economic Area) countries without  adequate protection </w:t>
      </w:r>
    </w:p>
    <w:p w:rsidR="008517F0" w:rsidRDefault="008517F0" w:rsidP="008517F0">
      <w:pPr>
        <w:pStyle w:val="Default"/>
        <w:spacing w:after="120"/>
        <w:rPr>
          <w:color w:val="auto"/>
          <w:sz w:val="22"/>
          <w:szCs w:val="22"/>
        </w:rPr>
      </w:pPr>
      <w:r>
        <w:rPr>
          <w:color w:val="auto"/>
          <w:sz w:val="22"/>
          <w:szCs w:val="22"/>
        </w:rPr>
        <w:t xml:space="preserve">The principle most likely to be relevant to the disclosure of information under the Freedom of Information Act is the first principle. This requires personal information to be: </w:t>
      </w:r>
    </w:p>
    <w:p w:rsidR="008517F0" w:rsidRDefault="008517F0" w:rsidP="008517F0">
      <w:pPr>
        <w:pStyle w:val="Default"/>
        <w:numPr>
          <w:ilvl w:val="0"/>
          <w:numId w:val="9"/>
        </w:numPr>
        <w:ind w:left="714" w:hanging="357"/>
        <w:rPr>
          <w:color w:val="auto"/>
          <w:sz w:val="22"/>
          <w:szCs w:val="22"/>
        </w:rPr>
      </w:pPr>
      <w:r>
        <w:rPr>
          <w:color w:val="auto"/>
          <w:sz w:val="22"/>
          <w:szCs w:val="22"/>
        </w:rPr>
        <w:t xml:space="preserve">processed ‘fairly’ </w:t>
      </w:r>
    </w:p>
    <w:p w:rsidR="008517F0" w:rsidRDefault="008517F0" w:rsidP="008517F0">
      <w:pPr>
        <w:pStyle w:val="Default"/>
        <w:numPr>
          <w:ilvl w:val="0"/>
          <w:numId w:val="9"/>
        </w:numPr>
        <w:ind w:left="714" w:hanging="357"/>
        <w:rPr>
          <w:color w:val="auto"/>
          <w:sz w:val="22"/>
          <w:szCs w:val="22"/>
        </w:rPr>
      </w:pPr>
      <w:r>
        <w:rPr>
          <w:color w:val="auto"/>
          <w:sz w:val="22"/>
          <w:szCs w:val="22"/>
        </w:rPr>
        <w:t xml:space="preserve">processed ‘lawfully’ </w:t>
      </w:r>
    </w:p>
    <w:p w:rsidR="008517F0" w:rsidRDefault="008517F0" w:rsidP="008517F0">
      <w:pPr>
        <w:pStyle w:val="Default"/>
        <w:numPr>
          <w:ilvl w:val="0"/>
          <w:numId w:val="9"/>
        </w:numPr>
        <w:spacing w:after="120"/>
        <w:ind w:left="714" w:hanging="357"/>
        <w:rPr>
          <w:color w:val="auto"/>
          <w:sz w:val="22"/>
          <w:szCs w:val="22"/>
        </w:rPr>
      </w:pPr>
      <w:r>
        <w:rPr>
          <w:color w:val="auto"/>
          <w:sz w:val="22"/>
          <w:szCs w:val="22"/>
        </w:rPr>
        <w:t xml:space="preserve">not processed at all unless one of the ‘conditions’ for fair processing is met </w:t>
      </w:r>
    </w:p>
    <w:p w:rsidR="008517F0" w:rsidRDefault="008517F0" w:rsidP="008517F0">
      <w:pPr>
        <w:pStyle w:val="Default"/>
        <w:spacing w:after="120"/>
        <w:rPr>
          <w:color w:val="auto"/>
          <w:sz w:val="22"/>
          <w:szCs w:val="22"/>
        </w:rPr>
      </w:pPr>
      <w:r>
        <w:rPr>
          <w:color w:val="auto"/>
          <w:sz w:val="22"/>
          <w:szCs w:val="22"/>
        </w:rPr>
        <w:t>Processing in this context includes disclosure.</w:t>
      </w:r>
    </w:p>
    <w:p w:rsidR="008517F0" w:rsidRDefault="008517F0" w:rsidP="008517F0">
      <w:pPr>
        <w:pStyle w:val="Default"/>
        <w:spacing w:after="240"/>
        <w:rPr>
          <w:color w:val="auto"/>
          <w:sz w:val="22"/>
          <w:szCs w:val="22"/>
        </w:rPr>
      </w:pPr>
      <w:r>
        <w:rPr>
          <w:color w:val="auto"/>
          <w:sz w:val="22"/>
          <w:szCs w:val="22"/>
        </w:rPr>
        <w:t>In most cases, personal data will be exempt if disclosure would be ‘unfair’. Disclosure of personal data relating to a third party will often breach the fair processing principle if there was a legitimate expectation by a third party that this information would remain confidential.</w:t>
      </w:r>
    </w:p>
    <w:p w:rsidR="008517F0" w:rsidRDefault="008517F0" w:rsidP="000E0EFA">
      <w:pPr>
        <w:autoSpaceDE w:val="0"/>
        <w:autoSpaceDN w:val="0"/>
        <w:adjustRightInd w:val="0"/>
        <w:jc w:val="both"/>
        <w:rPr>
          <w:rFonts w:ascii="Arial" w:hAnsi="Arial" w:cs="Arial"/>
          <w:sz w:val="22"/>
          <w:szCs w:val="22"/>
        </w:rPr>
      </w:pPr>
    </w:p>
    <w:p w:rsidR="00E20E7B" w:rsidRPr="00083E7B" w:rsidRDefault="00E20E7B" w:rsidP="000E0EFA">
      <w:pPr>
        <w:jc w:val="both"/>
      </w:pPr>
    </w:p>
    <w:sectPr w:rsidR="00E20E7B" w:rsidRPr="00083E7B"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0D3" w:rsidRDefault="00AD20D3">
      <w:r>
        <w:separator/>
      </w:r>
    </w:p>
  </w:endnote>
  <w:endnote w:type="continuationSeparator" w:id="0">
    <w:p w:rsidR="00AD20D3" w:rsidRDefault="00AD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0F" w:rsidRPr="002179DD" w:rsidRDefault="00665D0F"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0D3" w:rsidRDefault="00AD20D3">
      <w:r>
        <w:separator/>
      </w:r>
    </w:p>
  </w:footnote>
  <w:footnote w:type="continuationSeparator" w:id="0">
    <w:p w:rsidR="00AD20D3" w:rsidRDefault="00AD2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A382D"/>
    <w:multiLevelType w:val="hybridMultilevel"/>
    <w:tmpl w:val="9D18413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4"/>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104F1"/>
    <w:rsid w:val="000155BF"/>
    <w:rsid w:val="00015B50"/>
    <w:rsid w:val="00024393"/>
    <w:rsid w:val="00043A04"/>
    <w:rsid w:val="00043C1B"/>
    <w:rsid w:val="00044305"/>
    <w:rsid w:val="000502CD"/>
    <w:rsid w:val="000641F1"/>
    <w:rsid w:val="00083E7B"/>
    <w:rsid w:val="000900D8"/>
    <w:rsid w:val="000906D4"/>
    <w:rsid w:val="000A2BCA"/>
    <w:rsid w:val="000A59DF"/>
    <w:rsid w:val="000B5CFC"/>
    <w:rsid w:val="000C2D74"/>
    <w:rsid w:val="000C3855"/>
    <w:rsid w:val="000D618F"/>
    <w:rsid w:val="000E0EFA"/>
    <w:rsid w:val="000E3E66"/>
    <w:rsid w:val="00111475"/>
    <w:rsid w:val="00111DDF"/>
    <w:rsid w:val="00150A41"/>
    <w:rsid w:val="00153B29"/>
    <w:rsid w:val="001778B9"/>
    <w:rsid w:val="001811D3"/>
    <w:rsid w:val="001A3B2A"/>
    <w:rsid w:val="001A4320"/>
    <w:rsid w:val="001A51AD"/>
    <w:rsid w:val="001A6C9B"/>
    <w:rsid w:val="001B3848"/>
    <w:rsid w:val="001B3919"/>
    <w:rsid w:val="001B3A4A"/>
    <w:rsid w:val="001C27E9"/>
    <w:rsid w:val="001C28B4"/>
    <w:rsid w:val="001D01A8"/>
    <w:rsid w:val="001D072B"/>
    <w:rsid w:val="001E2B17"/>
    <w:rsid w:val="001F400A"/>
    <w:rsid w:val="001F41CC"/>
    <w:rsid w:val="002130C4"/>
    <w:rsid w:val="002179DD"/>
    <w:rsid w:val="0022089E"/>
    <w:rsid w:val="00223AFD"/>
    <w:rsid w:val="0022527E"/>
    <w:rsid w:val="002464CC"/>
    <w:rsid w:val="0024680F"/>
    <w:rsid w:val="00253E50"/>
    <w:rsid w:val="00280067"/>
    <w:rsid w:val="00287F79"/>
    <w:rsid w:val="002938B8"/>
    <w:rsid w:val="00294F18"/>
    <w:rsid w:val="002A2FF9"/>
    <w:rsid w:val="002C74F2"/>
    <w:rsid w:val="002E3266"/>
    <w:rsid w:val="002E3E34"/>
    <w:rsid w:val="002F3867"/>
    <w:rsid w:val="00303620"/>
    <w:rsid w:val="00303C34"/>
    <w:rsid w:val="003041AE"/>
    <w:rsid w:val="003102C5"/>
    <w:rsid w:val="003131F8"/>
    <w:rsid w:val="003247A6"/>
    <w:rsid w:val="003278C8"/>
    <w:rsid w:val="00331B2A"/>
    <w:rsid w:val="00335CDF"/>
    <w:rsid w:val="00363030"/>
    <w:rsid w:val="00365430"/>
    <w:rsid w:val="00366FD3"/>
    <w:rsid w:val="00372746"/>
    <w:rsid w:val="00374F10"/>
    <w:rsid w:val="00377547"/>
    <w:rsid w:val="003A62F0"/>
    <w:rsid w:val="003B2B84"/>
    <w:rsid w:val="003C7298"/>
    <w:rsid w:val="003D66DD"/>
    <w:rsid w:val="003E1789"/>
    <w:rsid w:val="003E7F30"/>
    <w:rsid w:val="003F4642"/>
    <w:rsid w:val="003F6C63"/>
    <w:rsid w:val="004253BB"/>
    <w:rsid w:val="0043092E"/>
    <w:rsid w:val="0043132E"/>
    <w:rsid w:val="004437AC"/>
    <w:rsid w:val="00460C9A"/>
    <w:rsid w:val="004625BA"/>
    <w:rsid w:val="00467C20"/>
    <w:rsid w:val="00484A49"/>
    <w:rsid w:val="00484F24"/>
    <w:rsid w:val="0049131C"/>
    <w:rsid w:val="00497692"/>
    <w:rsid w:val="004A4A15"/>
    <w:rsid w:val="004A7421"/>
    <w:rsid w:val="004E1876"/>
    <w:rsid w:val="004E1E12"/>
    <w:rsid w:val="004F24A6"/>
    <w:rsid w:val="00517A9B"/>
    <w:rsid w:val="005202DD"/>
    <w:rsid w:val="00562CA5"/>
    <w:rsid w:val="00593BC7"/>
    <w:rsid w:val="005A7B50"/>
    <w:rsid w:val="005B7296"/>
    <w:rsid w:val="005C0BCE"/>
    <w:rsid w:val="005C1B7D"/>
    <w:rsid w:val="005C2AFE"/>
    <w:rsid w:val="005D0A14"/>
    <w:rsid w:val="005D4F42"/>
    <w:rsid w:val="005D5551"/>
    <w:rsid w:val="005F6C18"/>
    <w:rsid w:val="005F7203"/>
    <w:rsid w:val="005F725E"/>
    <w:rsid w:val="006027E9"/>
    <w:rsid w:val="006042B1"/>
    <w:rsid w:val="00604DCF"/>
    <w:rsid w:val="00607E27"/>
    <w:rsid w:val="006201B1"/>
    <w:rsid w:val="006269C1"/>
    <w:rsid w:val="0063150F"/>
    <w:rsid w:val="00665D0F"/>
    <w:rsid w:val="00672C95"/>
    <w:rsid w:val="00675366"/>
    <w:rsid w:val="00684F37"/>
    <w:rsid w:val="00696982"/>
    <w:rsid w:val="006B52DE"/>
    <w:rsid w:val="006C17F0"/>
    <w:rsid w:val="006C5F8A"/>
    <w:rsid w:val="006D1379"/>
    <w:rsid w:val="006D13B8"/>
    <w:rsid w:val="006D1F8D"/>
    <w:rsid w:val="006E0DB4"/>
    <w:rsid w:val="006E60CB"/>
    <w:rsid w:val="00707F63"/>
    <w:rsid w:val="0074315D"/>
    <w:rsid w:val="0075054A"/>
    <w:rsid w:val="00752DB5"/>
    <w:rsid w:val="007546D3"/>
    <w:rsid w:val="007662E1"/>
    <w:rsid w:val="00771EA5"/>
    <w:rsid w:val="00784F37"/>
    <w:rsid w:val="007965AD"/>
    <w:rsid w:val="007B1DA6"/>
    <w:rsid w:val="007E2AD8"/>
    <w:rsid w:val="007E3DE3"/>
    <w:rsid w:val="007F2CB3"/>
    <w:rsid w:val="007F4269"/>
    <w:rsid w:val="007F47C6"/>
    <w:rsid w:val="0080061A"/>
    <w:rsid w:val="008017BE"/>
    <w:rsid w:val="008078FF"/>
    <w:rsid w:val="008150E4"/>
    <w:rsid w:val="0081625B"/>
    <w:rsid w:val="008361BB"/>
    <w:rsid w:val="00837883"/>
    <w:rsid w:val="00844767"/>
    <w:rsid w:val="008517F0"/>
    <w:rsid w:val="00861180"/>
    <w:rsid w:val="00870A13"/>
    <w:rsid w:val="0088130B"/>
    <w:rsid w:val="00886ADA"/>
    <w:rsid w:val="00896A01"/>
    <w:rsid w:val="008B5DC4"/>
    <w:rsid w:val="008C0C12"/>
    <w:rsid w:val="008C1540"/>
    <w:rsid w:val="008F6663"/>
    <w:rsid w:val="00905F6B"/>
    <w:rsid w:val="0090766F"/>
    <w:rsid w:val="00916399"/>
    <w:rsid w:val="00923BF8"/>
    <w:rsid w:val="00931314"/>
    <w:rsid w:val="00931B74"/>
    <w:rsid w:val="00937C48"/>
    <w:rsid w:val="0094156C"/>
    <w:rsid w:val="00945029"/>
    <w:rsid w:val="00953564"/>
    <w:rsid w:val="009767BD"/>
    <w:rsid w:val="00982D98"/>
    <w:rsid w:val="00983463"/>
    <w:rsid w:val="0099688A"/>
    <w:rsid w:val="009A161F"/>
    <w:rsid w:val="009A68CB"/>
    <w:rsid w:val="009B4BC3"/>
    <w:rsid w:val="009B624A"/>
    <w:rsid w:val="009C5987"/>
    <w:rsid w:val="009D05D4"/>
    <w:rsid w:val="009E501C"/>
    <w:rsid w:val="00A00C56"/>
    <w:rsid w:val="00A202A4"/>
    <w:rsid w:val="00A243C8"/>
    <w:rsid w:val="00A31157"/>
    <w:rsid w:val="00A33B85"/>
    <w:rsid w:val="00A4070B"/>
    <w:rsid w:val="00A42D6D"/>
    <w:rsid w:val="00A46D72"/>
    <w:rsid w:val="00A51745"/>
    <w:rsid w:val="00A57C83"/>
    <w:rsid w:val="00A64A8E"/>
    <w:rsid w:val="00A64DC3"/>
    <w:rsid w:val="00A73CB5"/>
    <w:rsid w:val="00A83150"/>
    <w:rsid w:val="00A86FA5"/>
    <w:rsid w:val="00A94C03"/>
    <w:rsid w:val="00AA3A3A"/>
    <w:rsid w:val="00AB029B"/>
    <w:rsid w:val="00AB35C2"/>
    <w:rsid w:val="00AB3DC4"/>
    <w:rsid w:val="00AC19ED"/>
    <w:rsid w:val="00AC1D74"/>
    <w:rsid w:val="00AC55F6"/>
    <w:rsid w:val="00AD20D3"/>
    <w:rsid w:val="00AF5D5A"/>
    <w:rsid w:val="00AF6F11"/>
    <w:rsid w:val="00B05F82"/>
    <w:rsid w:val="00B1507D"/>
    <w:rsid w:val="00B167DE"/>
    <w:rsid w:val="00B17AF9"/>
    <w:rsid w:val="00B20E27"/>
    <w:rsid w:val="00B26D47"/>
    <w:rsid w:val="00B27CC9"/>
    <w:rsid w:val="00B329C8"/>
    <w:rsid w:val="00B41E9A"/>
    <w:rsid w:val="00B51B4C"/>
    <w:rsid w:val="00B55A9E"/>
    <w:rsid w:val="00B658A6"/>
    <w:rsid w:val="00B771BF"/>
    <w:rsid w:val="00B85F50"/>
    <w:rsid w:val="00B87999"/>
    <w:rsid w:val="00B93C7C"/>
    <w:rsid w:val="00BB0718"/>
    <w:rsid w:val="00BB23AE"/>
    <w:rsid w:val="00BC52BF"/>
    <w:rsid w:val="00BD42DA"/>
    <w:rsid w:val="00BE0A9E"/>
    <w:rsid w:val="00BE2753"/>
    <w:rsid w:val="00BE5BA1"/>
    <w:rsid w:val="00BF247F"/>
    <w:rsid w:val="00C0706D"/>
    <w:rsid w:val="00C07120"/>
    <w:rsid w:val="00C21E38"/>
    <w:rsid w:val="00C27387"/>
    <w:rsid w:val="00C4691B"/>
    <w:rsid w:val="00C4780E"/>
    <w:rsid w:val="00C560F8"/>
    <w:rsid w:val="00C848EF"/>
    <w:rsid w:val="00C84F42"/>
    <w:rsid w:val="00C85FE4"/>
    <w:rsid w:val="00C903CC"/>
    <w:rsid w:val="00C97F31"/>
    <w:rsid w:val="00CB1A39"/>
    <w:rsid w:val="00CF3707"/>
    <w:rsid w:val="00CF58FB"/>
    <w:rsid w:val="00CF776B"/>
    <w:rsid w:val="00D15515"/>
    <w:rsid w:val="00D16D43"/>
    <w:rsid w:val="00D31A00"/>
    <w:rsid w:val="00D43FAD"/>
    <w:rsid w:val="00D64A1A"/>
    <w:rsid w:val="00D671B4"/>
    <w:rsid w:val="00D71F9D"/>
    <w:rsid w:val="00D85C84"/>
    <w:rsid w:val="00D90D66"/>
    <w:rsid w:val="00D92167"/>
    <w:rsid w:val="00D96196"/>
    <w:rsid w:val="00DA36DC"/>
    <w:rsid w:val="00DB3939"/>
    <w:rsid w:val="00DB4C2E"/>
    <w:rsid w:val="00DB5C0C"/>
    <w:rsid w:val="00DC09B7"/>
    <w:rsid w:val="00DD0AC1"/>
    <w:rsid w:val="00DD195D"/>
    <w:rsid w:val="00DF2461"/>
    <w:rsid w:val="00DF3541"/>
    <w:rsid w:val="00DF4FFE"/>
    <w:rsid w:val="00E00A18"/>
    <w:rsid w:val="00E0591C"/>
    <w:rsid w:val="00E1544C"/>
    <w:rsid w:val="00E20E7B"/>
    <w:rsid w:val="00E3354C"/>
    <w:rsid w:val="00E36BAC"/>
    <w:rsid w:val="00E40709"/>
    <w:rsid w:val="00E86E27"/>
    <w:rsid w:val="00EA795C"/>
    <w:rsid w:val="00EB3342"/>
    <w:rsid w:val="00EC650D"/>
    <w:rsid w:val="00EC7B17"/>
    <w:rsid w:val="00ED7C29"/>
    <w:rsid w:val="00EE0FB6"/>
    <w:rsid w:val="00EE33A4"/>
    <w:rsid w:val="00EF2324"/>
    <w:rsid w:val="00F0275F"/>
    <w:rsid w:val="00F32662"/>
    <w:rsid w:val="00F3372A"/>
    <w:rsid w:val="00F35B4A"/>
    <w:rsid w:val="00F37759"/>
    <w:rsid w:val="00F40D92"/>
    <w:rsid w:val="00F4377D"/>
    <w:rsid w:val="00F633C0"/>
    <w:rsid w:val="00F92B09"/>
    <w:rsid w:val="00F96633"/>
    <w:rsid w:val="00F9729E"/>
    <w:rsid w:val="00FB60BF"/>
    <w:rsid w:val="00FC17B6"/>
    <w:rsid w:val="00FD6CDE"/>
    <w:rsid w:val="00FE0B89"/>
    <w:rsid w:val="00FF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2D485A-74B4-4D60-AB30-6C7F25E2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customStyle="1" w:styleId="msolistparagraph0">
    <w:name w:val="msolistparagraph"/>
    <w:basedOn w:val="Normal"/>
    <w:rsid w:val="00BC52BF"/>
    <w:pPr>
      <w:ind w:left="720"/>
    </w:pPr>
    <w:rPr>
      <w:rFonts w:ascii="Cambria" w:hAnsi="Cambria"/>
    </w:rPr>
  </w:style>
  <w:style w:type="character" w:styleId="CommentReference">
    <w:name w:val="annotation reference"/>
    <w:semiHidden/>
    <w:rsid w:val="00EC650D"/>
    <w:rPr>
      <w:sz w:val="16"/>
      <w:szCs w:val="16"/>
    </w:rPr>
  </w:style>
  <w:style w:type="paragraph" w:styleId="CommentText">
    <w:name w:val="annotation text"/>
    <w:basedOn w:val="Normal"/>
    <w:semiHidden/>
    <w:rsid w:val="00EC650D"/>
    <w:rPr>
      <w:sz w:val="20"/>
      <w:szCs w:val="20"/>
    </w:rPr>
  </w:style>
  <w:style w:type="paragraph" w:styleId="CommentSubject">
    <w:name w:val="annotation subject"/>
    <w:basedOn w:val="CommentText"/>
    <w:next w:val="CommentText"/>
    <w:semiHidden/>
    <w:rsid w:val="00EC650D"/>
    <w:rPr>
      <w:b/>
      <w:bCs/>
    </w:rPr>
  </w:style>
  <w:style w:type="paragraph" w:styleId="BalloonText">
    <w:name w:val="Balloon Text"/>
    <w:basedOn w:val="Normal"/>
    <w:semiHidden/>
    <w:rsid w:val="00EC650D"/>
    <w:rPr>
      <w:rFonts w:ascii="Tahoma" w:hAnsi="Tahoma" w:cs="Tahoma"/>
      <w:sz w:val="16"/>
      <w:szCs w:val="16"/>
    </w:rPr>
  </w:style>
  <w:style w:type="character" w:customStyle="1" w:styleId="Heading2Char">
    <w:name w:val="Heading 2 Char"/>
    <w:link w:val="Heading2"/>
    <w:rsid w:val="008517F0"/>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8867">
      <w:bodyDiv w:val="1"/>
      <w:marLeft w:val="0"/>
      <w:marRight w:val="0"/>
      <w:marTop w:val="0"/>
      <w:marBottom w:val="0"/>
      <w:divBdr>
        <w:top w:val="none" w:sz="0" w:space="0" w:color="auto"/>
        <w:left w:val="none" w:sz="0" w:space="0" w:color="auto"/>
        <w:bottom w:val="none" w:sz="0" w:space="0" w:color="auto"/>
        <w:right w:val="none" w:sz="0" w:space="0" w:color="auto"/>
      </w:divBdr>
    </w:div>
    <w:div w:id="154298799">
      <w:bodyDiv w:val="1"/>
      <w:marLeft w:val="0"/>
      <w:marRight w:val="0"/>
      <w:marTop w:val="0"/>
      <w:marBottom w:val="0"/>
      <w:divBdr>
        <w:top w:val="none" w:sz="0" w:space="0" w:color="auto"/>
        <w:left w:val="none" w:sz="0" w:space="0" w:color="auto"/>
        <w:bottom w:val="none" w:sz="0" w:space="0" w:color="auto"/>
        <w:right w:val="none" w:sz="0" w:space="0" w:color="auto"/>
      </w:divBdr>
    </w:div>
    <w:div w:id="391932579">
      <w:bodyDiv w:val="1"/>
      <w:marLeft w:val="0"/>
      <w:marRight w:val="0"/>
      <w:marTop w:val="0"/>
      <w:marBottom w:val="0"/>
      <w:divBdr>
        <w:top w:val="none" w:sz="0" w:space="0" w:color="auto"/>
        <w:left w:val="none" w:sz="0" w:space="0" w:color="auto"/>
        <w:bottom w:val="none" w:sz="0" w:space="0" w:color="auto"/>
        <w:right w:val="none" w:sz="0" w:space="0" w:color="auto"/>
      </w:divBdr>
    </w:div>
    <w:div w:id="443426152">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5763">
      <w:bodyDiv w:val="1"/>
      <w:marLeft w:val="0"/>
      <w:marRight w:val="0"/>
      <w:marTop w:val="0"/>
      <w:marBottom w:val="0"/>
      <w:divBdr>
        <w:top w:val="none" w:sz="0" w:space="0" w:color="auto"/>
        <w:left w:val="none" w:sz="0" w:space="0" w:color="auto"/>
        <w:bottom w:val="none" w:sz="0" w:space="0" w:color="auto"/>
        <w:right w:val="none" w:sz="0" w:space="0" w:color="auto"/>
      </w:divBdr>
    </w:div>
    <w:div w:id="635380206">
      <w:bodyDiv w:val="1"/>
      <w:marLeft w:val="0"/>
      <w:marRight w:val="0"/>
      <w:marTop w:val="0"/>
      <w:marBottom w:val="0"/>
      <w:divBdr>
        <w:top w:val="none" w:sz="0" w:space="0" w:color="auto"/>
        <w:left w:val="none" w:sz="0" w:space="0" w:color="auto"/>
        <w:bottom w:val="none" w:sz="0" w:space="0" w:color="auto"/>
        <w:right w:val="none" w:sz="0" w:space="0" w:color="auto"/>
      </w:divBdr>
    </w:div>
    <w:div w:id="692145793">
      <w:bodyDiv w:val="1"/>
      <w:marLeft w:val="0"/>
      <w:marRight w:val="0"/>
      <w:marTop w:val="0"/>
      <w:marBottom w:val="0"/>
      <w:divBdr>
        <w:top w:val="none" w:sz="0" w:space="0" w:color="auto"/>
        <w:left w:val="none" w:sz="0" w:space="0" w:color="auto"/>
        <w:bottom w:val="none" w:sz="0" w:space="0" w:color="auto"/>
        <w:right w:val="none" w:sz="0" w:space="0" w:color="auto"/>
      </w:divBdr>
      <w:divsChild>
        <w:div w:id="1208301096">
          <w:marLeft w:val="0"/>
          <w:marRight w:val="0"/>
          <w:marTop w:val="0"/>
          <w:marBottom w:val="0"/>
          <w:divBdr>
            <w:top w:val="none" w:sz="0" w:space="0" w:color="auto"/>
            <w:left w:val="none" w:sz="0" w:space="0" w:color="auto"/>
            <w:bottom w:val="none" w:sz="0" w:space="0" w:color="auto"/>
            <w:right w:val="none" w:sz="0" w:space="0" w:color="auto"/>
          </w:divBdr>
          <w:divsChild>
            <w:div w:id="184179507">
              <w:marLeft w:val="0"/>
              <w:marRight w:val="0"/>
              <w:marTop w:val="0"/>
              <w:marBottom w:val="0"/>
              <w:divBdr>
                <w:top w:val="none" w:sz="0" w:space="0" w:color="auto"/>
                <w:left w:val="none" w:sz="0" w:space="0" w:color="auto"/>
                <w:bottom w:val="none" w:sz="0" w:space="0" w:color="auto"/>
                <w:right w:val="none" w:sz="0" w:space="0" w:color="auto"/>
              </w:divBdr>
              <w:divsChild>
                <w:div w:id="17379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9263">
      <w:bodyDiv w:val="1"/>
      <w:marLeft w:val="0"/>
      <w:marRight w:val="0"/>
      <w:marTop w:val="0"/>
      <w:marBottom w:val="0"/>
      <w:divBdr>
        <w:top w:val="none" w:sz="0" w:space="0" w:color="auto"/>
        <w:left w:val="none" w:sz="0" w:space="0" w:color="auto"/>
        <w:bottom w:val="none" w:sz="0" w:space="0" w:color="auto"/>
        <w:right w:val="none" w:sz="0" w:space="0" w:color="auto"/>
      </w:divBdr>
      <w:divsChild>
        <w:div w:id="448086799">
          <w:marLeft w:val="0"/>
          <w:marRight w:val="0"/>
          <w:marTop w:val="0"/>
          <w:marBottom w:val="0"/>
          <w:divBdr>
            <w:top w:val="none" w:sz="0" w:space="0" w:color="auto"/>
            <w:left w:val="none" w:sz="0" w:space="0" w:color="auto"/>
            <w:bottom w:val="none" w:sz="0" w:space="0" w:color="auto"/>
            <w:right w:val="none" w:sz="0" w:space="0" w:color="auto"/>
          </w:divBdr>
          <w:divsChild>
            <w:div w:id="139199936">
              <w:marLeft w:val="0"/>
              <w:marRight w:val="0"/>
              <w:marTop w:val="0"/>
              <w:marBottom w:val="0"/>
              <w:divBdr>
                <w:top w:val="none" w:sz="0" w:space="0" w:color="auto"/>
                <w:left w:val="none" w:sz="0" w:space="0" w:color="auto"/>
                <w:bottom w:val="none" w:sz="0" w:space="0" w:color="auto"/>
                <w:right w:val="none" w:sz="0" w:space="0" w:color="auto"/>
              </w:divBdr>
            </w:div>
            <w:div w:id="206963673">
              <w:marLeft w:val="0"/>
              <w:marRight w:val="0"/>
              <w:marTop w:val="0"/>
              <w:marBottom w:val="0"/>
              <w:divBdr>
                <w:top w:val="none" w:sz="0" w:space="0" w:color="auto"/>
                <w:left w:val="none" w:sz="0" w:space="0" w:color="auto"/>
                <w:bottom w:val="none" w:sz="0" w:space="0" w:color="auto"/>
                <w:right w:val="none" w:sz="0" w:space="0" w:color="auto"/>
              </w:divBdr>
            </w:div>
            <w:div w:id="554774767">
              <w:marLeft w:val="0"/>
              <w:marRight w:val="0"/>
              <w:marTop w:val="0"/>
              <w:marBottom w:val="0"/>
              <w:divBdr>
                <w:top w:val="none" w:sz="0" w:space="0" w:color="auto"/>
                <w:left w:val="none" w:sz="0" w:space="0" w:color="auto"/>
                <w:bottom w:val="none" w:sz="0" w:space="0" w:color="auto"/>
                <w:right w:val="none" w:sz="0" w:space="0" w:color="auto"/>
              </w:divBdr>
            </w:div>
            <w:div w:id="1062555937">
              <w:marLeft w:val="0"/>
              <w:marRight w:val="0"/>
              <w:marTop w:val="0"/>
              <w:marBottom w:val="0"/>
              <w:divBdr>
                <w:top w:val="none" w:sz="0" w:space="0" w:color="auto"/>
                <w:left w:val="none" w:sz="0" w:space="0" w:color="auto"/>
                <w:bottom w:val="none" w:sz="0" w:space="0" w:color="auto"/>
                <w:right w:val="none" w:sz="0" w:space="0" w:color="auto"/>
              </w:divBdr>
            </w:div>
            <w:div w:id="1083259296">
              <w:marLeft w:val="0"/>
              <w:marRight w:val="0"/>
              <w:marTop w:val="0"/>
              <w:marBottom w:val="0"/>
              <w:divBdr>
                <w:top w:val="none" w:sz="0" w:space="0" w:color="auto"/>
                <w:left w:val="none" w:sz="0" w:space="0" w:color="auto"/>
                <w:bottom w:val="none" w:sz="0" w:space="0" w:color="auto"/>
                <w:right w:val="none" w:sz="0" w:space="0" w:color="auto"/>
              </w:divBdr>
            </w:div>
            <w:div w:id="1148740932">
              <w:marLeft w:val="0"/>
              <w:marRight w:val="0"/>
              <w:marTop w:val="0"/>
              <w:marBottom w:val="0"/>
              <w:divBdr>
                <w:top w:val="none" w:sz="0" w:space="0" w:color="auto"/>
                <w:left w:val="none" w:sz="0" w:space="0" w:color="auto"/>
                <w:bottom w:val="none" w:sz="0" w:space="0" w:color="auto"/>
                <w:right w:val="none" w:sz="0" w:space="0" w:color="auto"/>
              </w:divBdr>
            </w:div>
            <w:div w:id="1215770703">
              <w:marLeft w:val="0"/>
              <w:marRight w:val="0"/>
              <w:marTop w:val="0"/>
              <w:marBottom w:val="0"/>
              <w:divBdr>
                <w:top w:val="none" w:sz="0" w:space="0" w:color="auto"/>
                <w:left w:val="none" w:sz="0" w:space="0" w:color="auto"/>
                <w:bottom w:val="none" w:sz="0" w:space="0" w:color="auto"/>
                <w:right w:val="none" w:sz="0" w:space="0" w:color="auto"/>
              </w:divBdr>
            </w:div>
            <w:div w:id="1364402297">
              <w:marLeft w:val="0"/>
              <w:marRight w:val="0"/>
              <w:marTop w:val="0"/>
              <w:marBottom w:val="0"/>
              <w:divBdr>
                <w:top w:val="none" w:sz="0" w:space="0" w:color="auto"/>
                <w:left w:val="none" w:sz="0" w:space="0" w:color="auto"/>
                <w:bottom w:val="none" w:sz="0" w:space="0" w:color="auto"/>
                <w:right w:val="none" w:sz="0" w:space="0" w:color="auto"/>
              </w:divBdr>
            </w:div>
            <w:div w:id="1666470297">
              <w:marLeft w:val="0"/>
              <w:marRight w:val="0"/>
              <w:marTop w:val="0"/>
              <w:marBottom w:val="0"/>
              <w:divBdr>
                <w:top w:val="none" w:sz="0" w:space="0" w:color="auto"/>
                <w:left w:val="none" w:sz="0" w:space="0" w:color="auto"/>
                <w:bottom w:val="none" w:sz="0" w:space="0" w:color="auto"/>
                <w:right w:val="none" w:sz="0" w:space="0" w:color="auto"/>
              </w:divBdr>
            </w:div>
            <w:div w:id="17899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0275">
      <w:bodyDiv w:val="1"/>
      <w:marLeft w:val="0"/>
      <w:marRight w:val="0"/>
      <w:marTop w:val="0"/>
      <w:marBottom w:val="0"/>
      <w:divBdr>
        <w:top w:val="none" w:sz="0" w:space="0" w:color="auto"/>
        <w:left w:val="none" w:sz="0" w:space="0" w:color="auto"/>
        <w:bottom w:val="none" w:sz="0" w:space="0" w:color="auto"/>
        <w:right w:val="none" w:sz="0" w:space="0" w:color="auto"/>
      </w:divBdr>
    </w:div>
    <w:div w:id="1057240883">
      <w:bodyDiv w:val="1"/>
      <w:marLeft w:val="0"/>
      <w:marRight w:val="0"/>
      <w:marTop w:val="0"/>
      <w:marBottom w:val="0"/>
      <w:divBdr>
        <w:top w:val="none" w:sz="0" w:space="0" w:color="auto"/>
        <w:left w:val="none" w:sz="0" w:space="0" w:color="auto"/>
        <w:bottom w:val="none" w:sz="0" w:space="0" w:color="auto"/>
        <w:right w:val="none" w:sz="0" w:space="0" w:color="auto"/>
      </w:divBdr>
    </w:div>
    <w:div w:id="1293513682">
      <w:bodyDiv w:val="1"/>
      <w:marLeft w:val="0"/>
      <w:marRight w:val="0"/>
      <w:marTop w:val="0"/>
      <w:marBottom w:val="0"/>
      <w:divBdr>
        <w:top w:val="none" w:sz="0" w:space="0" w:color="auto"/>
        <w:left w:val="none" w:sz="0" w:space="0" w:color="auto"/>
        <w:bottom w:val="none" w:sz="0" w:space="0" w:color="auto"/>
        <w:right w:val="none" w:sz="0" w:space="0" w:color="auto"/>
      </w:divBdr>
    </w:div>
    <w:div w:id="1323192255">
      <w:bodyDiv w:val="1"/>
      <w:marLeft w:val="0"/>
      <w:marRight w:val="0"/>
      <w:marTop w:val="0"/>
      <w:marBottom w:val="0"/>
      <w:divBdr>
        <w:top w:val="none" w:sz="0" w:space="0" w:color="auto"/>
        <w:left w:val="none" w:sz="0" w:space="0" w:color="auto"/>
        <w:bottom w:val="none" w:sz="0" w:space="0" w:color="auto"/>
        <w:right w:val="none" w:sz="0" w:space="0" w:color="auto"/>
      </w:divBdr>
    </w:div>
    <w:div w:id="1350328235">
      <w:bodyDiv w:val="1"/>
      <w:marLeft w:val="0"/>
      <w:marRight w:val="0"/>
      <w:marTop w:val="0"/>
      <w:marBottom w:val="0"/>
      <w:divBdr>
        <w:top w:val="none" w:sz="0" w:space="0" w:color="auto"/>
        <w:left w:val="none" w:sz="0" w:space="0" w:color="auto"/>
        <w:bottom w:val="none" w:sz="0" w:space="0" w:color="auto"/>
        <w:right w:val="none" w:sz="0" w:space="0" w:color="auto"/>
      </w:divBdr>
    </w:div>
    <w:div w:id="1473407128">
      <w:bodyDiv w:val="1"/>
      <w:marLeft w:val="0"/>
      <w:marRight w:val="0"/>
      <w:marTop w:val="0"/>
      <w:marBottom w:val="0"/>
      <w:divBdr>
        <w:top w:val="none" w:sz="0" w:space="0" w:color="auto"/>
        <w:left w:val="none" w:sz="0" w:space="0" w:color="auto"/>
        <w:bottom w:val="none" w:sz="0" w:space="0" w:color="auto"/>
        <w:right w:val="none" w:sz="0" w:space="0" w:color="auto"/>
      </w:divBdr>
    </w:div>
    <w:div w:id="1506631206">
      <w:bodyDiv w:val="1"/>
      <w:marLeft w:val="0"/>
      <w:marRight w:val="0"/>
      <w:marTop w:val="0"/>
      <w:marBottom w:val="0"/>
      <w:divBdr>
        <w:top w:val="none" w:sz="0" w:space="0" w:color="auto"/>
        <w:left w:val="none" w:sz="0" w:space="0" w:color="auto"/>
        <w:bottom w:val="none" w:sz="0" w:space="0" w:color="auto"/>
        <w:right w:val="none" w:sz="0" w:space="0" w:color="auto"/>
      </w:divBdr>
      <w:divsChild>
        <w:div w:id="374088769">
          <w:marLeft w:val="0"/>
          <w:marRight w:val="0"/>
          <w:marTop w:val="0"/>
          <w:marBottom w:val="0"/>
          <w:divBdr>
            <w:top w:val="none" w:sz="0" w:space="0" w:color="auto"/>
            <w:left w:val="none" w:sz="0" w:space="0" w:color="auto"/>
            <w:bottom w:val="none" w:sz="0" w:space="0" w:color="auto"/>
            <w:right w:val="none" w:sz="0" w:space="0" w:color="auto"/>
          </w:divBdr>
          <w:divsChild>
            <w:div w:id="396441923">
              <w:marLeft w:val="0"/>
              <w:marRight w:val="0"/>
              <w:marTop w:val="0"/>
              <w:marBottom w:val="0"/>
              <w:divBdr>
                <w:top w:val="none" w:sz="0" w:space="0" w:color="auto"/>
                <w:left w:val="none" w:sz="0" w:space="0" w:color="auto"/>
                <w:bottom w:val="none" w:sz="0" w:space="0" w:color="auto"/>
                <w:right w:val="none" w:sz="0" w:space="0" w:color="auto"/>
              </w:divBdr>
            </w:div>
            <w:div w:id="451288047">
              <w:marLeft w:val="0"/>
              <w:marRight w:val="0"/>
              <w:marTop w:val="0"/>
              <w:marBottom w:val="0"/>
              <w:divBdr>
                <w:top w:val="none" w:sz="0" w:space="0" w:color="auto"/>
                <w:left w:val="none" w:sz="0" w:space="0" w:color="auto"/>
                <w:bottom w:val="none" w:sz="0" w:space="0" w:color="auto"/>
                <w:right w:val="none" w:sz="0" w:space="0" w:color="auto"/>
              </w:divBdr>
            </w:div>
            <w:div w:id="503864132">
              <w:marLeft w:val="0"/>
              <w:marRight w:val="0"/>
              <w:marTop w:val="0"/>
              <w:marBottom w:val="0"/>
              <w:divBdr>
                <w:top w:val="none" w:sz="0" w:space="0" w:color="auto"/>
                <w:left w:val="none" w:sz="0" w:space="0" w:color="auto"/>
                <w:bottom w:val="none" w:sz="0" w:space="0" w:color="auto"/>
                <w:right w:val="none" w:sz="0" w:space="0" w:color="auto"/>
              </w:divBdr>
            </w:div>
            <w:div w:id="532890235">
              <w:marLeft w:val="0"/>
              <w:marRight w:val="0"/>
              <w:marTop w:val="0"/>
              <w:marBottom w:val="0"/>
              <w:divBdr>
                <w:top w:val="none" w:sz="0" w:space="0" w:color="auto"/>
                <w:left w:val="none" w:sz="0" w:space="0" w:color="auto"/>
                <w:bottom w:val="none" w:sz="0" w:space="0" w:color="auto"/>
                <w:right w:val="none" w:sz="0" w:space="0" w:color="auto"/>
              </w:divBdr>
            </w:div>
            <w:div w:id="849174001">
              <w:marLeft w:val="0"/>
              <w:marRight w:val="0"/>
              <w:marTop w:val="0"/>
              <w:marBottom w:val="0"/>
              <w:divBdr>
                <w:top w:val="none" w:sz="0" w:space="0" w:color="auto"/>
                <w:left w:val="none" w:sz="0" w:space="0" w:color="auto"/>
                <w:bottom w:val="none" w:sz="0" w:space="0" w:color="auto"/>
                <w:right w:val="none" w:sz="0" w:space="0" w:color="auto"/>
              </w:divBdr>
            </w:div>
            <w:div w:id="1283078060">
              <w:marLeft w:val="0"/>
              <w:marRight w:val="0"/>
              <w:marTop w:val="0"/>
              <w:marBottom w:val="0"/>
              <w:divBdr>
                <w:top w:val="none" w:sz="0" w:space="0" w:color="auto"/>
                <w:left w:val="none" w:sz="0" w:space="0" w:color="auto"/>
                <w:bottom w:val="none" w:sz="0" w:space="0" w:color="auto"/>
                <w:right w:val="none" w:sz="0" w:space="0" w:color="auto"/>
              </w:divBdr>
            </w:div>
            <w:div w:id="1284770995">
              <w:marLeft w:val="0"/>
              <w:marRight w:val="0"/>
              <w:marTop w:val="0"/>
              <w:marBottom w:val="0"/>
              <w:divBdr>
                <w:top w:val="none" w:sz="0" w:space="0" w:color="auto"/>
                <w:left w:val="none" w:sz="0" w:space="0" w:color="auto"/>
                <w:bottom w:val="none" w:sz="0" w:space="0" w:color="auto"/>
                <w:right w:val="none" w:sz="0" w:space="0" w:color="auto"/>
              </w:divBdr>
            </w:div>
            <w:div w:id="1435785965">
              <w:marLeft w:val="0"/>
              <w:marRight w:val="0"/>
              <w:marTop w:val="0"/>
              <w:marBottom w:val="0"/>
              <w:divBdr>
                <w:top w:val="none" w:sz="0" w:space="0" w:color="auto"/>
                <w:left w:val="none" w:sz="0" w:space="0" w:color="auto"/>
                <w:bottom w:val="none" w:sz="0" w:space="0" w:color="auto"/>
                <w:right w:val="none" w:sz="0" w:space="0" w:color="auto"/>
              </w:divBdr>
            </w:div>
            <w:div w:id="1514029726">
              <w:marLeft w:val="0"/>
              <w:marRight w:val="0"/>
              <w:marTop w:val="0"/>
              <w:marBottom w:val="0"/>
              <w:divBdr>
                <w:top w:val="none" w:sz="0" w:space="0" w:color="auto"/>
                <w:left w:val="none" w:sz="0" w:space="0" w:color="auto"/>
                <w:bottom w:val="none" w:sz="0" w:space="0" w:color="auto"/>
                <w:right w:val="none" w:sz="0" w:space="0" w:color="auto"/>
              </w:divBdr>
            </w:div>
            <w:div w:id="1600599858">
              <w:marLeft w:val="0"/>
              <w:marRight w:val="0"/>
              <w:marTop w:val="0"/>
              <w:marBottom w:val="0"/>
              <w:divBdr>
                <w:top w:val="none" w:sz="0" w:space="0" w:color="auto"/>
                <w:left w:val="none" w:sz="0" w:space="0" w:color="auto"/>
                <w:bottom w:val="none" w:sz="0" w:space="0" w:color="auto"/>
                <w:right w:val="none" w:sz="0" w:space="0" w:color="auto"/>
              </w:divBdr>
            </w:div>
            <w:div w:id="1780369437">
              <w:marLeft w:val="0"/>
              <w:marRight w:val="0"/>
              <w:marTop w:val="0"/>
              <w:marBottom w:val="0"/>
              <w:divBdr>
                <w:top w:val="none" w:sz="0" w:space="0" w:color="auto"/>
                <w:left w:val="none" w:sz="0" w:space="0" w:color="auto"/>
                <w:bottom w:val="none" w:sz="0" w:space="0" w:color="auto"/>
                <w:right w:val="none" w:sz="0" w:space="0" w:color="auto"/>
              </w:divBdr>
            </w:div>
            <w:div w:id="21197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6641">
      <w:bodyDiv w:val="1"/>
      <w:marLeft w:val="0"/>
      <w:marRight w:val="0"/>
      <w:marTop w:val="0"/>
      <w:marBottom w:val="0"/>
      <w:divBdr>
        <w:top w:val="none" w:sz="0" w:space="0" w:color="auto"/>
        <w:left w:val="none" w:sz="0" w:space="0" w:color="auto"/>
        <w:bottom w:val="none" w:sz="0" w:space="0" w:color="auto"/>
        <w:right w:val="none" w:sz="0" w:space="0" w:color="auto"/>
      </w:divBdr>
      <w:divsChild>
        <w:div w:id="1813786580">
          <w:marLeft w:val="0"/>
          <w:marRight w:val="0"/>
          <w:marTop w:val="0"/>
          <w:marBottom w:val="0"/>
          <w:divBdr>
            <w:top w:val="none" w:sz="0" w:space="0" w:color="auto"/>
            <w:left w:val="none" w:sz="0" w:space="0" w:color="auto"/>
            <w:bottom w:val="none" w:sz="0" w:space="0" w:color="auto"/>
            <w:right w:val="none" w:sz="0" w:space="0" w:color="auto"/>
          </w:divBdr>
          <w:divsChild>
            <w:div w:id="1372149585">
              <w:marLeft w:val="0"/>
              <w:marRight w:val="0"/>
              <w:marTop w:val="0"/>
              <w:marBottom w:val="0"/>
              <w:divBdr>
                <w:top w:val="none" w:sz="0" w:space="0" w:color="auto"/>
                <w:left w:val="none" w:sz="0" w:space="0" w:color="auto"/>
                <w:bottom w:val="none" w:sz="0" w:space="0" w:color="auto"/>
                <w:right w:val="none" w:sz="0" w:space="0" w:color="auto"/>
              </w:divBdr>
              <w:divsChild>
                <w:div w:id="1419865064">
                  <w:marLeft w:val="0"/>
                  <w:marRight w:val="0"/>
                  <w:marTop w:val="0"/>
                  <w:marBottom w:val="0"/>
                  <w:divBdr>
                    <w:top w:val="none" w:sz="0" w:space="0" w:color="auto"/>
                    <w:left w:val="none" w:sz="0" w:space="0" w:color="auto"/>
                    <w:bottom w:val="none" w:sz="0" w:space="0" w:color="auto"/>
                    <w:right w:val="none" w:sz="0" w:space="0" w:color="auto"/>
                  </w:divBdr>
                  <w:divsChild>
                    <w:div w:id="1821772416">
                      <w:marLeft w:val="0"/>
                      <w:marRight w:val="0"/>
                      <w:marTop w:val="0"/>
                      <w:marBottom w:val="0"/>
                      <w:divBdr>
                        <w:top w:val="none" w:sz="0" w:space="0" w:color="auto"/>
                        <w:left w:val="none" w:sz="0" w:space="0" w:color="auto"/>
                        <w:bottom w:val="none" w:sz="0" w:space="0" w:color="auto"/>
                        <w:right w:val="none" w:sz="0" w:space="0" w:color="auto"/>
                      </w:divBdr>
                      <w:divsChild>
                        <w:div w:id="8743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9715">
      <w:bodyDiv w:val="1"/>
      <w:marLeft w:val="0"/>
      <w:marRight w:val="0"/>
      <w:marTop w:val="0"/>
      <w:marBottom w:val="0"/>
      <w:divBdr>
        <w:top w:val="none" w:sz="0" w:space="0" w:color="auto"/>
        <w:left w:val="none" w:sz="0" w:space="0" w:color="auto"/>
        <w:bottom w:val="none" w:sz="0" w:space="0" w:color="auto"/>
        <w:right w:val="none" w:sz="0" w:space="0" w:color="auto"/>
      </w:divBdr>
    </w:div>
    <w:div w:id="20645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5550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Knife possession offences by prosecuting police force and age group</vt:lpstr>
    </vt:vector>
  </TitlesOfParts>
  <Company>Ministry of Justice</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Knife possession offences by prosecuting police force and age group</dc:title>
  <dc:subject>FOI Release</dc:subject>
  <dc:creator>Ministry of Justice</dc:creator>
  <cp:keywords/>
  <dc:description/>
  <cp:lastModifiedBy>Cox, Allan</cp:lastModifiedBy>
  <cp:revision>2</cp:revision>
  <cp:lastPrinted>2016-08-17T11:26:00Z</cp:lastPrinted>
  <dcterms:created xsi:type="dcterms:W3CDTF">2017-01-24T15:52:00Z</dcterms:created>
  <dcterms:modified xsi:type="dcterms:W3CDTF">2017-01-24T15:52:00Z</dcterms:modified>
</cp:coreProperties>
</file>