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RPr="00B70C24" w:rsidTr="009272F8"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B70C24" w:rsidRDefault="00AF6F11" w:rsidP="00CF776B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 w:rsidRPr="00B70C24">
              <w:rPr>
                <w:rFonts w:ascii="Arial" w:hAnsi="Arial"/>
                <w:sz w:val="22"/>
              </w:rPr>
              <w:t xml:space="preserve">   </w:t>
            </w:r>
            <w:r w:rsidR="00BB6F34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969770" cy="612775"/>
                  <wp:effectExtent l="19050" t="0" r="0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AF6F11" w:rsidRPr="009272F8" w:rsidRDefault="00AF6F11" w:rsidP="00CF776B">
            <w:pPr>
              <w:tabs>
                <w:tab w:val="left" w:pos="170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:rsidR="00AF6F11" w:rsidRPr="009272F8" w:rsidRDefault="00AF6F11" w:rsidP="00CF776B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AC1113" w:rsidTr="009272F8">
        <w:trPr>
          <w:cantSplit/>
          <w:trHeight w:val="1259"/>
        </w:trPr>
        <w:tc>
          <w:tcPr>
            <w:tcW w:w="1214" w:type="dxa"/>
          </w:tcPr>
          <w:p w:rsidR="00AF6F11" w:rsidRPr="00AC1113" w:rsidRDefault="00AF6F11" w:rsidP="00CF776B">
            <w:pPr>
              <w:pStyle w:val="MOJtext-otheraddress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AC1113" w:rsidRDefault="00452E02" w:rsidP="00CF776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AC111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0" w:type="dxa"/>
          </w:tcPr>
          <w:p w:rsidR="00AF6F11" w:rsidRPr="00AC1113" w:rsidRDefault="00AF6F11" w:rsidP="00CF776B">
            <w:pPr>
              <w:pStyle w:val="MOJ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AC1113" w:rsidRDefault="00AF6F11" w:rsidP="00CF776B">
            <w:pPr>
              <w:pStyle w:val="MOJtext-otheraddress"/>
              <w:rPr>
                <w:rFonts w:cs="Arial"/>
                <w:sz w:val="22"/>
                <w:szCs w:val="22"/>
              </w:rPr>
            </w:pPr>
          </w:p>
        </w:tc>
      </w:tr>
      <w:tr w:rsidR="00AF6F11" w:rsidRPr="008F30E5" w:rsidTr="009272F8">
        <w:trPr>
          <w:cantSplit/>
          <w:trHeight w:val="73"/>
        </w:trPr>
        <w:tc>
          <w:tcPr>
            <w:tcW w:w="1214" w:type="dxa"/>
          </w:tcPr>
          <w:p w:rsidR="00AF6F11" w:rsidRPr="008F30E5" w:rsidRDefault="00AF6F11" w:rsidP="00CF776B">
            <w:pPr>
              <w:pStyle w:val="MOJ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F30E5" w:rsidRDefault="00AF6F11" w:rsidP="001B0871">
            <w:pPr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8F30E5">
              <w:rPr>
                <w:rFonts w:ascii="Arial" w:hAnsi="Arial" w:cs="Arial"/>
                <w:b/>
                <w:sz w:val="22"/>
                <w:szCs w:val="22"/>
              </w:rPr>
              <w:t>Our Reference:</w:t>
            </w:r>
            <w:r w:rsidRPr="008F3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971">
              <w:rPr>
                <w:rFonts w:ascii="Arial" w:hAnsi="Arial" w:cs="Arial"/>
                <w:sz w:val="22"/>
                <w:szCs w:val="22"/>
              </w:rPr>
              <w:t>4</w:t>
            </w:r>
            <w:r w:rsidR="001B0871">
              <w:rPr>
                <w:rFonts w:ascii="Arial" w:hAnsi="Arial" w:cs="Arial"/>
                <w:sz w:val="22"/>
                <w:szCs w:val="22"/>
              </w:rPr>
              <w:t>53</w:t>
            </w:r>
            <w:r w:rsidR="00F52971">
              <w:rPr>
                <w:rFonts w:ascii="Arial" w:hAnsi="Arial" w:cs="Arial"/>
                <w:sz w:val="22"/>
                <w:szCs w:val="22"/>
              </w:rPr>
              <w:t>-16 FOI 10</w:t>
            </w:r>
            <w:r w:rsidR="001B0871">
              <w:rPr>
                <w:rFonts w:ascii="Arial" w:hAnsi="Arial" w:cs="Arial"/>
                <w:sz w:val="22"/>
                <w:szCs w:val="22"/>
              </w:rPr>
              <w:t>7013</w:t>
            </w:r>
          </w:p>
        </w:tc>
        <w:tc>
          <w:tcPr>
            <w:tcW w:w="180" w:type="dxa"/>
          </w:tcPr>
          <w:p w:rsidR="00AF6F11" w:rsidRPr="00E9107A" w:rsidRDefault="00AF6F11" w:rsidP="00CF776B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E9107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E9107A" w:rsidRDefault="00E9107A" w:rsidP="00E9107A">
            <w:pPr>
              <w:pStyle w:val="MOJ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September</w:t>
            </w:r>
            <w:r w:rsidR="00B97E43" w:rsidRPr="00E9107A">
              <w:rPr>
                <w:rFonts w:cs="Arial"/>
                <w:sz w:val="22"/>
                <w:szCs w:val="22"/>
              </w:rPr>
              <w:t xml:space="preserve"> 201</w:t>
            </w:r>
            <w:r w:rsidR="00A048AA" w:rsidRPr="00E9107A">
              <w:rPr>
                <w:rFonts w:cs="Arial"/>
                <w:sz w:val="22"/>
                <w:szCs w:val="22"/>
              </w:rPr>
              <w:t>6</w:t>
            </w:r>
          </w:p>
        </w:tc>
      </w:tr>
    </w:tbl>
    <w:p w:rsidR="00E36BAC" w:rsidRPr="008F30E5" w:rsidRDefault="00E36BAC">
      <w:pPr>
        <w:rPr>
          <w:rFonts w:ascii="Arial" w:hAnsi="Arial" w:cs="Arial"/>
          <w:sz w:val="22"/>
          <w:szCs w:val="22"/>
        </w:rPr>
      </w:pPr>
    </w:p>
    <w:p w:rsidR="00837883" w:rsidRPr="008F30E5" w:rsidRDefault="00837883">
      <w:pPr>
        <w:rPr>
          <w:rFonts w:ascii="Arial" w:hAnsi="Arial" w:cs="Arial"/>
          <w:sz w:val="22"/>
          <w:szCs w:val="22"/>
        </w:rPr>
      </w:pPr>
    </w:p>
    <w:p w:rsidR="00837883" w:rsidRPr="008F30E5" w:rsidRDefault="00837883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F30E5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8F30E5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8F30E5" w:rsidRDefault="005D0A14" w:rsidP="0081625B">
      <w:pPr>
        <w:rPr>
          <w:rFonts w:ascii="Arial" w:hAnsi="Arial" w:cs="Arial"/>
          <w:sz w:val="22"/>
          <w:szCs w:val="22"/>
        </w:rPr>
      </w:pPr>
    </w:p>
    <w:p w:rsidR="0081625B" w:rsidRPr="008F30E5" w:rsidRDefault="0081625B" w:rsidP="0081625B">
      <w:pPr>
        <w:rPr>
          <w:rFonts w:ascii="Arial" w:hAnsi="Arial" w:cs="Arial"/>
          <w:sz w:val="22"/>
          <w:szCs w:val="22"/>
        </w:rPr>
      </w:pPr>
    </w:p>
    <w:p w:rsidR="00B70C24" w:rsidRPr="008F30E5" w:rsidRDefault="004C5ED8" w:rsidP="00B70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70C24" w:rsidRPr="008F30E5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B70C24" w:rsidRPr="008F30E5">
        <w:rPr>
          <w:rFonts w:ascii="Arial" w:hAnsi="Arial" w:cs="Arial"/>
          <w:sz w:val="22"/>
          <w:szCs w:val="22"/>
        </w:rPr>
        <w:t xml:space="preserve"> for the following information from the Ministry of Justice (MoJ):</w:t>
      </w:r>
    </w:p>
    <w:p w:rsidR="0081625B" w:rsidRDefault="00E9767B" w:rsidP="002449A4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further breakdown of the published Courts by Criminal Justice Area CSV file, for the following magistrates’ courts:</w:t>
      </w:r>
    </w:p>
    <w:p w:rsidR="00E9767B" w:rsidRDefault="00E9767B" w:rsidP="002449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77"/>
        <w:rPr>
          <w:rFonts w:ascii="Arial" w:hAnsi="Arial" w:cs="Arial"/>
          <w:b/>
          <w:sz w:val="22"/>
          <w:szCs w:val="22"/>
        </w:rPr>
      </w:pPr>
      <w:r w:rsidRPr="00E9767B">
        <w:rPr>
          <w:rFonts w:ascii="Arial" w:hAnsi="Arial" w:cs="Arial"/>
          <w:b/>
          <w:sz w:val="22"/>
          <w:szCs w:val="22"/>
        </w:rPr>
        <w:t>Coventry Magistrates' Court</w:t>
      </w:r>
    </w:p>
    <w:p w:rsidR="00E9767B" w:rsidRPr="00E9767B" w:rsidRDefault="00E9767B" w:rsidP="00E9767B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b/>
          <w:sz w:val="22"/>
          <w:szCs w:val="22"/>
        </w:rPr>
      </w:pPr>
      <w:r w:rsidRPr="00E9767B">
        <w:rPr>
          <w:rFonts w:ascii="Arial" w:hAnsi="Arial" w:cs="Arial"/>
          <w:b/>
          <w:sz w:val="22"/>
          <w:szCs w:val="22"/>
        </w:rPr>
        <w:t>Ipswich Magistrates' Court</w:t>
      </w:r>
    </w:p>
    <w:p w:rsidR="00E9767B" w:rsidRPr="00E9767B" w:rsidRDefault="00E9767B" w:rsidP="00E9767B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b/>
          <w:sz w:val="22"/>
          <w:szCs w:val="22"/>
        </w:rPr>
      </w:pPr>
      <w:r w:rsidRPr="00E9767B">
        <w:rPr>
          <w:rFonts w:ascii="Arial" w:hAnsi="Arial" w:cs="Arial"/>
          <w:b/>
          <w:sz w:val="22"/>
          <w:szCs w:val="22"/>
        </w:rPr>
        <w:t>Swansea Magistrates' Court</w:t>
      </w:r>
    </w:p>
    <w:p w:rsidR="00E9767B" w:rsidRPr="00E9767B" w:rsidRDefault="00E9767B" w:rsidP="00E9767B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b/>
          <w:sz w:val="22"/>
          <w:szCs w:val="22"/>
        </w:rPr>
      </w:pPr>
      <w:r w:rsidRPr="00E9767B">
        <w:rPr>
          <w:rFonts w:ascii="Arial" w:hAnsi="Arial" w:cs="Arial"/>
          <w:b/>
          <w:sz w:val="22"/>
          <w:szCs w:val="22"/>
        </w:rPr>
        <w:t>Leicester Magistrates' Court</w:t>
      </w:r>
    </w:p>
    <w:p w:rsidR="00E9767B" w:rsidRDefault="00E9767B" w:rsidP="00E9767B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9767B">
        <w:rPr>
          <w:rFonts w:ascii="Arial" w:hAnsi="Arial" w:cs="Arial"/>
          <w:b/>
          <w:sz w:val="22"/>
          <w:szCs w:val="22"/>
        </w:rPr>
        <w:t>Northampton Magistrates Court</w:t>
      </w:r>
    </w:p>
    <w:p w:rsidR="00E9767B" w:rsidRDefault="00E9767B" w:rsidP="00E9767B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9767B">
        <w:rPr>
          <w:rFonts w:ascii="Arial" w:hAnsi="Arial" w:cs="Arial"/>
          <w:b/>
          <w:sz w:val="22"/>
          <w:szCs w:val="22"/>
        </w:rPr>
        <w:t>Wellingborough Magistrates' Court</w:t>
      </w:r>
    </w:p>
    <w:p w:rsidR="00E9767B" w:rsidRPr="008F30E5" w:rsidRDefault="00270E02" w:rsidP="00270E0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F30E5"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6C3F16" w:rsidRPr="006C3F16" w:rsidRDefault="00E9767B" w:rsidP="006C3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</w:t>
      </w:r>
      <w:r w:rsidRPr="00E9767B">
        <w:rPr>
          <w:rFonts w:ascii="Arial" w:hAnsi="Arial" w:cs="Arial"/>
          <w:sz w:val="22"/>
          <w:szCs w:val="22"/>
        </w:rPr>
        <w:t>magistrates’ court data</w:t>
      </w:r>
      <w:r w:rsidR="00D01F44">
        <w:rPr>
          <w:rFonts w:ascii="Arial" w:hAnsi="Arial" w:cs="Arial"/>
          <w:sz w:val="22"/>
          <w:szCs w:val="22"/>
        </w:rPr>
        <w:t xml:space="preserve"> are held</w:t>
      </w:r>
      <w:r w:rsidRPr="00E9767B">
        <w:rPr>
          <w:rFonts w:ascii="Arial" w:hAnsi="Arial" w:cs="Arial"/>
          <w:sz w:val="22"/>
          <w:szCs w:val="22"/>
        </w:rPr>
        <w:t xml:space="preserve"> at local justice area (small geographic divisions containing one or more magistrates’ courts) level rather than by individual court</w:t>
      </w:r>
      <w:r>
        <w:rPr>
          <w:rFonts w:ascii="Arial" w:hAnsi="Arial" w:cs="Arial"/>
          <w:sz w:val="22"/>
          <w:szCs w:val="22"/>
        </w:rPr>
        <w:t>.</w:t>
      </w:r>
      <w:r w:rsidR="006C3F16">
        <w:rPr>
          <w:rFonts w:ascii="Arial" w:hAnsi="Arial" w:cs="Arial"/>
          <w:sz w:val="22"/>
          <w:szCs w:val="22"/>
        </w:rPr>
        <w:t xml:space="preserve"> </w:t>
      </w:r>
      <w:r w:rsidR="006C3F16" w:rsidRPr="006C3F16">
        <w:rPr>
          <w:rFonts w:ascii="Arial" w:hAnsi="Arial" w:cs="Arial"/>
          <w:sz w:val="22"/>
          <w:szCs w:val="22"/>
        </w:rPr>
        <w:t xml:space="preserve">These Local Justice Area (LJA) codes are unique identifiers for a court as part of the judicial structure. The list of values also includes quasi- and non-court bodies whose decisions are recorded in the same or similar manner as a court case outcome. Note that this code structure is concerned with judicial structure; it does not refer to a physical location such as a court building. </w:t>
      </w:r>
    </w:p>
    <w:p w:rsidR="006C3F16" w:rsidRPr="006C3F16" w:rsidRDefault="006C3F16" w:rsidP="006C3F16">
      <w:pPr>
        <w:rPr>
          <w:rFonts w:ascii="Arial" w:hAnsi="Arial" w:cs="Arial"/>
          <w:sz w:val="22"/>
          <w:szCs w:val="22"/>
        </w:rPr>
      </w:pPr>
    </w:p>
    <w:p w:rsidR="006C3F16" w:rsidRPr="006C3F16" w:rsidRDefault="006C3F16" w:rsidP="006C3F16">
      <w:pPr>
        <w:rPr>
          <w:rFonts w:ascii="Arial" w:hAnsi="Arial" w:cs="Arial"/>
          <w:sz w:val="22"/>
          <w:szCs w:val="22"/>
        </w:rPr>
      </w:pPr>
      <w:r w:rsidRPr="006C3F16">
        <w:rPr>
          <w:rFonts w:ascii="Arial" w:hAnsi="Arial" w:cs="Arial"/>
          <w:sz w:val="22"/>
          <w:szCs w:val="22"/>
        </w:rPr>
        <w:t xml:space="preserve">An example of a National Court Code is: </w:t>
      </w:r>
    </w:p>
    <w:p w:rsidR="00E45428" w:rsidRDefault="006C3F16" w:rsidP="00E4542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1972 Norfolk m</w:t>
      </w:r>
      <w:r w:rsidRPr="006C3F16">
        <w:rPr>
          <w:rFonts w:ascii="Arial" w:hAnsi="Arial" w:cs="Arial"/>
          <w:b/>
          <w:sz w:val="22"/>
          <w:szCs w:val="22"/>
        </w:rPr>
        <w:t>agistrates</w:t>
      </w:r>
      <w:r>
        <w:rPr>
          <w:rFonts w:ascii="Arial" w:hAnsi="Arial" w:cs="Arial"/>
          <w:b/>
          <w:sz w:val="22"/>
          <w:szCs w:val="22"/>
        </w:rPr>
        <w:t>’ c</w:t>
      </w:r>
      <w:r w:rsidRPr="006C3F16">
        <w:rPr>
          <w:rFonts w:ascii="Arial" w:hAnsi="Arial" w:cs="Arial"/>
          <w:b/>
          <w:sz w:val="22"/>
          <w:szCs w:val="22"/>
        </w:rPr>
        <w:t>ourt</w:t>
      </w:r>
      <w:r w:rsidRPr="006C3F16">
        <w:rPr>
          <w:rFonts w:ascii="Arial" w:hAnsi="Arial" w:cs="Arial"/>
          <w:sz w:val="22"/>
          <w:szCs w:val="22"/>
        </w:rPr>
        <w:t xml:space="preserve"> (refers to the Local Justice Area (LJA) of Norfolk. Magistrates from this bench may habitually sit in any one of a number of physical court houses (e.g. Norwich, Kings Lynn, Great Yarmouth)).</w:t>
      </w:r>
    </w:p>
    <w:p w:rsidR="00270E02" w:rsidRPr="00270E02" w:rsidRDefault="00270E02" w:rsidP="00270E02">
      <w:pPr>
        <w:rPr>
          <w:rFonts w:ascii="Arial" w:hAnsi="Arial" w:cs="Arial"/>
          <w:sz w:val="22"/>
          <w:szCs w:val="22"/>
        </w:rPr>
      </w:pPr>
    </w:p>
    <w:p w:rsidR="006C3F16" w:rsidRDefault="00AD1B8D" w:rsidP="006C3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further correspondence, y</w:t>
      </w:r>
      <w:r w:rsidR="00270E02">
        <w:rPr>
          <w:rFonts w:ascii="Arial" w:hAnsi="Arial" w:cs="Arial"/>
          <w:sz w:val="22"/>
          <w:szCs w:val="22"/>
        </w:rPr>
        <w:t xml:space="preserve">ou also agreed to </w:t>
      </w:r>
      <w:r w:rsidR="00B26342">
        <w:rPr>
          <w:rFonts w:ascii="Arial" w:hAnsi="Arial" w:cs="Arial"/>
          <w:sz w:val="22"/>
          <w:szCs w:val="22"/>
        </w:rPr>
        <w:t xml:space="preserve">the </w:t>
      </w:r>
      <w:r w:rsidR="00270E02">
        <w:rPr>
          <w:rFonts w:ascii="Arial" w:hAnsi="Arial" w:cs="Arial"/>
          <w:sz w:val="22"/>
          <w:szCs w:val="22"/>
        </w:rPr>
        <w:t>remov</w:t>
      </w:r>
      <w:r w:rsidR="00B26342">
        <w:rPr>
          <w:rFonts w:ascii="Arial" w:hAnsi="Arial" w:cs="Arial"/>
          <w:sz w:val="22"/>
          <w:szCs w:val="22"/>
        </w:rPr>
        <w:t>al of</w:t>
      </w:r>
      <w:r w:rsidR="00270E02">
        <w:rPr>
          <w:rFonts w:ascii="Arial" w:hAnsi="Arial" w:cs="Arial"/>
          <w:sz w:val="22"/>
          <w:szCs w:val="22"/>
        </w:rPr>
        <w:t xml:space="preserve"> detailed sentence outcomes and detailed offence information from the CSV, in order to avoid identification of individuals.</w:t>
      </w:r>
      <w:r w:rsidR="00E9107A">
        <w:rPr>
          <w:rFonts w:ascii="Arial" w:hAnsi="Arial" w:cs="Arial"/>
          <w:sz w:val="22"/>
          <w:szCs w:val="22"/>
        </w:rPr>
        <w:t xml:space="preserve"> You also agreed to </w:t>
      </w:r>
      <w:r w:rsidR="00B26342">
        <w:rPr>
          <w:rFonts w:ascii="Arial" w:hAnsi="Arial" w:cs="Arial"/>
          <w:sz w:val="22"/>
          <w:szCs w:val="22"/>
        </w:rPr>
        <w:t xml:space="preserve">the </w:t>
      </w:r>
      <w:r w:rsidR="00E9107A">
        <w:rPr>
          <w:rFonts w:ascii="Arial" w:hAnsi="Arial" w:cs="Arial"/>
          <w:sz w:val="22"/>
          <w:szCs w:val="22"/>
        </w:rPr>
        <w:t>remov</w:t>
      </w:r>
      <w:r w:rsidR="00B26342">
        <w:rPr>
          <w:rFonts w:ascii="Arial" w:hAnsi="Arial" w:cs="Arial"/>
          <w:sz w:val="22"/>
          <w:szCs w:val="22"/>
        </w:rPr>
        <w:t>al</w:t>
      </w:r>
      <w:r w:rsidR="00C3322F">
        <w:rPr>
          <w:rFonts w:ascii="Arial" w:hAnsi="Arial" w:cs="Arial"/>
          <w:sz w:val="22"/>
          <w:szCs w:val="22"/>
        </w:rPr>
        <w:t xml:space="preserve"> of</w:t>
      </w:r>
      <w:r w:rsidR="00E9107A">
        <w:rPr>
          <w:rFonts w:ascii="Arial" w:hAnsi="Arial" w:cs="Arial"/>
          <w:sz w:val="22"/>
          <w:szCs w:val="22"/>
        </w:rPr>
        <w:t xml:space="preserve"> Swansea Magistrates’ Court from this request, due to data issues.</w:t>
      </w:r>
    </w:p>
    <w:p w:rsidR="00270E02" w:rsidRPr="006C3F16" w:rsidRDefault="00270E02" w:rsidP="006C3F16">
      <w:pPr>
        <w:rPr>
          <w:rFonts w:ascii="Arial" w:hAnsi="Arial" w:cs="Arial"/>
          <w:sz w:val="22"/>
          <w:szCs w:val="22"/>
        </w:rPr>
      </w:pPr>
    </w:p>
    <w:p w:rsidR="00B97E43" w:rsidRDefault="00E9767B" w:rsidP="00E97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basis, </w:t>
      </w:r>
      <w:r w:rsidR="0081625B" w:rsidRPr="008F30E5">
        <w:rPr>
          <w:rFonts w:ascii="Arial" w:hAnsi="Arial" w:cs="Arial"/>
          <w:sz w:val="22"/>
          <w:szCs w:val="22"/>
        </w:rPr>
        <w:t>I can confirm that the department holds</w:t>
      </w:r>
      <w:r w:rsidR="00B70C24" w:rsidRPr="008F30E5">
        <w:rPr>
          <w:rFonts w:ascii="Arial" w:hAnsi="Arial" w:cs="Arial"/>
          <w:sz w:val="22"/>
          <w:szCs w:val="22"/>
        </w:rPr>
        <w:t xml:space="preserve"> the</w:t>
      </w:r>
      <w:r w:rsidR="0081625B" w:rsidRPr="008F30E5">
        <w:rPr>
          <w:rFonts w:ascii="Arial" w:hAnsi="Arial" w:cs="Arial"/>
          <w:sz w:val="22"/>
          <w:szCs w:val="22"/>
        </w:rPr>
        <w:t xml:space="preserve"> informatio</w:t>
      </w:r>
      <w:r w:rsidR="00AC1113" w:rsidRPr="008F30E5">
        <w:rPr>
          <w:rFonts w:ascii="Arial" w:hAnsi="Arial" w:cs="Arial"/>
          <w:sz w:val="22"/>
          <w:szCs w:val="22"/>
        </w:rPr>
        <w:t>n that you have asked for</w:t>
      </w:r>
      <w:r w:rsidR="000062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further breakdown of the Courts by Criminal Justice Area file, for the requested local justice areas, c</w:t>
      </w:r>
      <w:r w:rsidR="00F57456" w:rsidRPr="008F30E5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be viewed in the attached CSV file.</w:t>
      </w:r>
    </w:p>
    <w:p w:rsidR="00E45428" w:rsidRDefault="00E45428" w:rsidP="00E9767B">
      <w:pPr>
        <w:rPr>
          <w:rFonts w:ascii="Arial" w:hAnsi="Arial" w:cs="Arial"/>
          <w:sz w:val="22"/>
          <w:szCs w:val="22"/>
        </w:rPr>
      </w:pPr>
    </w:p>
    <w:p w:rsidR="00E45428" w:rsidRDefault="00E45428" w:rsidP="00E97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LJAs included in each court grouping are as follows:</w:t>
      </w:r>
    </w:p>
    <w:p w:rsidR="00E45428" w:rsidRDefault="00E45428" w:rsidP="00E9767B">
      <w:pPr>
        <w:rPr>
          <w:rFonts w:ascii="Arial" w:hAnsi="Arial" w:cs="Arial"/>
          <w:sz w:val="22"/>
          <w:szCs w:val="22"/>
        </w:rPr>
      </w:pPr>
    </w:p>
    <w:p w:rsidR="00E9107A" w:rsidRPr="008F30E5" w:rsidRDefault="00E9107A" w:rsidP="00E9767B">
      <w:pPr>
        <w:rPr>
          <w:rFonts w:ascii="Arial" w:hAnsi="Arial" w:cs="Arial"/>
          <w:sz w:val="22"/>
          <w:szCs w:val="22"/>
        </w:rPr>
      </w:pP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45428">
        <w:rPr>
          <w:rFonts w:ascii="Arial" w:hAnsi="Arial" w:cs="Arial"/>
          <w:sz w:val="22"/>
          <w:szCs w:val="22"/>
          <w:u w:val="single"/>
        </w:rPr>
        <w:t>Coventry</w:t>
      </w:r>
    </w:p>
    <w:p w:rsidR="00E45428" w:rsidRPr="00E45428" w:rsidRDefault="00E45428" w:rsidP="00E4542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428">
        <w:rPr>
          <w:rFonts w:ascii="Arial" w:hAnsi="Arial" w:cs="Arial"/>
          <w:sz w:val="22"/>
          <w:szCs w:val="22"/>
        </w:rPr>
        <w:lastRenderedPageBreak/>
        <w:t>2910</w:t>
      </w:r>
      <w:r>
        <w:rPr>
          <w:rFonts w:ascii="Arial" w:hAnsi="Arial" w:cs="Arial"/>
          <w:sz w:val="22"/>
          <w:szCs w:val="22"/>
        </w:rPr>
        <w:t xml:space="preserve"> </w:t>
      </w:r>
      <w:r w:rsidRPr="00E45428">
        <w:rPr>
          <w:rFonts w:ascii="Arial" w:hAnsi="Arial" w:cs="Arial"/>
          <w:sz w:val="22"/>
          <w:szCs w:val="22"/>
        </w:rPr>
        <w:t>Coventry District magistrates'</w:t>
      </w:r>
      <w:r w:rsidR="002E23F3">
        <w:rPr>
          <w:rFonts w:ascii="Arial" w:hAnsi="Arial" w:cs="Arial"/>
          <w:sz w:val="22"/>
          <w:szCs w:val="22"/>
        </w:rPr>
        <w:t xml:space="preserve"> court</w:t>
      </w:r>
      <w:r w:rsidRPr="00E45428">
        <w:rPr>
          <w:rFonts w:ascii="Arial" w:hAnsi="Arial" w:cs="Arial"/>
          <w:sz w:val="22"/>
          <w:szCs w:val="22"/>
        </w:rPr>
        <w:t xml:space="preserve"> (Note: </w:t>
      </w:r>
      <w:r>
        <w:rPr>
          <w:rFonts w:ascii="Arial" w:hAnsi="Arial" w:cs="Arial"/>
          <w:sz w:val="22"/>
          <w:szCs w:val="22"/>
        </w:rPr>
        <w:t>this closed in December 2013)</w:t>
      </w:r>
    </w:p>
    <w:p w:rsidR="00E45428" w:rsidRDefault="00E45428" w:rsidP="00E4542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428">
        <w:rPr>
          <w:rFonts w:ascii="Arial" w:hAnsi="Arial" w:cs="Arial"/>
          <w:sz w:val="22"/>
          <w:szCs w:val="22"/>
        </w:rPr>
        <w:t>2924</w:t>
      </w:r>
      <w:r>
        <w:rPr>
          <w:rFonts w:ascii="Arial" w:hAnsi="Arial" w:cs="Arial"/>
          <w:sz w:val="22"/>
          <w:szCs w:val="22"/>
        </w:rPr>
        <w:t xml:space="preserve"> </w:t>
      </w:r>
      <w:r w:rsidRPr="00E45428">
        <w:rPr>
          <w:rFonts w:ascii="Arial" w:hAnsi="Arial" w:cs="Arial"/>
          <w:sz w:val="22"/>
          <w:szCs w:val="22"/>
        </w:rPr>
        <w:t>Coventry and Warwickshire</w:t>
      </w:r>
      <w:r>
        <w:rPr>
          <w:rFonts w:ascii="Arial" w:hAnsi="Arial" w:cs="Arial"/>
          <w:sz w:val="22"/>
          <w:szCs w:val="22"/>
        </w:rPr>
        <w:t xml:space="preserve"> (Coventry) magistrates' court</w:t>
      </w:r>
    </w:p>
    <w:p w:rsidR="002E23F3" w:rsidRPr="00E45428" w:rsidRDefault="002E23F3" w:rsidP="002E23F3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45428">
        <w:rPr>
          <w:rFonts w:ascii="Arial" w:hAnsi="Arial" w:cs="Arial"/>
          <w:sz w:val="22"/>
          <w:szCs w:val="22"/>
          <w:u w:val="single"/>
        </w:rPr>
        <w:t>Ipswich</w:t>
      </w:r>
    </w:p>
    <w:p w:rsidR="00E45428" w:rsidRPr="00E45428" w:rsidRDefault="00E45428" w:rsidP="00E4542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2866 South East Suffolk magistrates'</w:t>
      </w:r>
      <w:r w:rsidRPr="00E45428">
        <w:rPr>
          <w:rFonts w:ascii="Arial" w:hAnsi="Arial" w:cs="Arial"/>
          <w:sz w:val="22"/>
          <w:szCs w:val="22"/>
        </w:rPr>
        <w:t xml:space="preserve"> court</w:t>
      </w:r>
    </w:p>
    <w:p w:rsidR="00E45428" w:rsidRDefault="00E45428" w:rsidP="002E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2870 Suffolk magistrates'</w:t>
      </w:r>
      <w:r w:rsidRPr="00E45428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ourt</w:t>
      </w: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Leicester</w:t>
      </w:r>
    </w:p>
    <w:p w:rsidR="00E45428" w:rsidRPr="00E45428" w:rsidRDefault="00E45428" w:rsidP="00921EC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2048 </w:t>
      </w:r>
      <w:r w:rsidRPr="00E45428">
        <w:rPr>
          <w:rFonts w:ascii="Arial" w:hAnsi="Arial" w:cs="Arial"/>
          <w:sz w:val="22"/>
          <w:szCs w:val="22"/>
        </w:rPr>
        <w:t>Leicester magistrates</w:t>
      </w:r>
      <w:r w:rsidR="002E23F3">
        <w:rPr>
          <w:rFonts w:ascii="Arial" w:hAnsi="Arial" w:cs="Arial"/>
          <w:sz w:val="22"/>
          <w:szCs w:val="22"/>
        </w:rPr>
        <w:t>' court (Note: this c</w:t>
      </w:r>
      <w:r>
        <w:rPr>
          <w:rFonts w:ascii="Arial" w:hAnsi="Arial" w:cs="Arial"/>
          <w:sz w:val="22"/>
          <w:szCs w:val="22"/>
        </w:rPr>
        <w:t xml:space="preserve">losed </w:t>
      </w:r>
      <w:r w:rsidR="002E23F3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31/12/2011)</w:t>
      </w:r>
    </w:p>
    <w:p w:rsidR="00E45428" w:rsidRPr="00E45428" w:rsidRDefault="002E23F3" w:rsidP="00E454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2089 </w:t>
      </w:r>
      <w:r w:rsidR="00E45428" w:rsidRPr="00E45428">
        <w:rPr>
          <w:rFonts w:ascii="Arial" w:hAnsi="Arial" w:cs="Arial"/>
          <w:sz w:val="22"/>
          <w:szCs w:val="22"/>
        </w:rPr>
        <w:t>Leicester, Market Harborough and Lutterworth magistrates'</w:t>
      </w:r>
      <w:r>
        <w:rPr>
          <w:rFonts w:ascii="Arial" w:hAnsi="Arial" w:cs="Arial"/>
          <w:sz w:val="22"/>
          <w:szCs w:val="22"/>
        </w:rPr>
        <w:t xml:space="preserve"> court </w:t>
      </w:r>
      <w:r w:rsidR="00E4542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Note: this c</w:t>
      </w:r>
      <w:r w:rsidR="00E45428">
        <w:rPr>
          <w:rFonts w:ascii="Arial" w:hAnsi="Arial" w:cs="Arial"/>
          <w:sz w:val="22"/>
          <w:szCs w:val="22"/>
        </w:rPr>
        <w:t xml:space="preserve">losed </w:t>
      </w:r>
      <w:r>
        <w:rPr>
          <w:rFonts w:ascii="Arial" w:hAnsi="Arial" w:cs="Arial"/>
          <w:sz w:val="22"/>
          <w:szCs w:val="22"/>
        </w:rPr>
        <w:t xml:space="preserve">on </w:t>
      </w:r>
      <w:r w:rsidR="00E45428">
        <w:rPr>
          <w:rFonts w:ascii="Arial" w:hAnsi="Arial" w:cs="Arial"/>
          <w:sz w:val="22"/>
          <w:szCs w:val="22"/>
        </w:rPr>
        <w:t>31/12/2013)</w:t>
      </w:r>
    </w:p>
    <w:p w:rsidR="00E45428" w:rsidRPr="00E45428" w:rsidRDefault="00E45428" w:rsidP="00E454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428">
        <w:rPr>
          <w:rFonts w:ascii="Arial" w:hAnsi="Arial" w:cs="Arial"/>
          <w:sz w:val="22"/>
          <w:szCs w:val="22"/>
        </w:rPr>
        <w:t>2100</w:t>
      </w:r>
      <w:r w:rsidR="002E23F3">
        <w:rPr>
          <w:rFonts w:ascii="Arial" w:hAnsi="Arial" w:cs="Arial"/>
          <w:sz w:val="22"/>
          <w:szCs w:val="22"/>
        </w:rPr>
        <w:t xml:space="preserve"> </w:t>
      </w:r>
      <w:r w:rsidRPr="00E45428">
        <w:rPr>
          <w:rFonts w:ascii="Arial" w:hAnsi="Arial" w:cs="Arial"/>
          <w:sz w:val="22"/>
          <w:szCs w:val="22"/>
        </w:rPr>
        <w:t xml:space="preserve">Leicester </w:t>
      </w:r>
      <w:r w:rsidR="002E23F3">
        <w:rPr>
          <w:rFonts w:ascii="Arial" w:hAnsi="Arial" w:cs="Arial"/>
          <w:sz w:val="22"/>
          <w:szCs w:val="22"/>
        </w:rPr>
        <w:t>and Rutland magistrates' court</w:t>
      </w: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5428" w:rsidRPr="00E45428" w:rsidRDefault="002E23F3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Northampton</w:t>
      </w:r>
    </w:p>
    <w:p w:rsidR="00E45428" w:rsidRPr="00E45428" w:rsidRDefault="00E45428" w:rsidP="00E45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428">
        <w:rPr>
          <w:rFonts w:ascii="Arial" w:hAnsi="Arial" w:cs="Arial"/>
          <w:sz w:val="22"/>
          <w:szCs w:val="22"/>
        </w:rPr>
        <w:t>2325</w:t>
      </w:r>
      <w:r w:rsidR="002E23F3">
        <w:rPr>
          <w:rFonts w:ascii="Arial" w:hAnsi="Arial" w:cs="Arial"/>
          <w:sz w:val="22"/>
          <w:szCs w:val="22"/>
        </w:rPr>
        <w:t xml:space="preserve"> N</w:t>
      </w:r>
      <w:r w:rsidRPr="00E45428">
        <w:rPr>
          <w:rFonts w:ascii="Arial" w:hAnsi="Arial" w:cs="Arial"/>
          <w:sz w:val="22"/>
          <w:szCs w:val="22"/>
        </w:rPr>
        <w:t>orthampt</w:t>
      </w:r>
      <w:r w:rsidR="002E23F3">
        <w:rPr>
          <w:rFonts w:ascii="Arial" w:hAnsi="Arial" w:cs="Arial"/>
          <w:sz w:val="22"/>
          <w:szCs w:val="22"/>
        </w:rPr>
        <w:t>on magistrates'</w:t>
      </w:r>
      <w:r w:rsidRPr="00E45428">
        <w:rPr>
          <w:rFonts w:ascii="Arial" w:hAnsi="Arial" w:cs="Arial"/>
          <w:sz w:val="22"/>
          <w:szCs w:val="22"/>
        </w:rPr>
        <w:t xml:space="preserve"> </w:t>
      </w:r>
      <w:r w:rsidR="002E23F3">
        <w:rPr>
          <w:rFonts w:ascii="Arial" w:hAnsi="Arial" w:cs="Arial"/>
          <w:sz w:val="22"/>
          <w:szCs w:val="22"/>
        </w:rPr>
        <w:t>court (Note: this closed on 31/12/2011)</w:t>
      </w:r>
    </w:p>
    <w:p w:rsidR="00E45428" w:rsidRPr="00E45428" w:rsidRDefault="00E45428" w:rsidP="00E45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428">
        <w:rPr>
          <w:rFonts w:ascii="Arial" w:hAnsi="Arial" w:cs="Arial"/>
          <w:sz w:val="22"/>
          <w:szCs w:val="22"/>
        </w:rPr>
        <w:t>2091</w:t>
      </w:r>
      <w:r w:rsidR="002E23F3">
        <w:rPr>
          <w:rFonts w:ascii="Arial" w:hAnsi="Arial" w:cs="Arial"/>
          <w:sz w:val="22"/>
          <w:szCs w:val="22"/>
        </w:rPr>
        <w:t xml:space="preserve"> </w:t>
      </w:r>
      <w:r w:rsidRPr="00E45428">
        <w:rPr>
          <w:rFonts w:ascii="Arial" w:hAnsi="Arial" w:cs="Arial"/>
          <w:sz w:val="22"/>
          <w:szCs w:val="22"/>
        </w:rPr>
        <w:t>Northampton, Daventry and Towcester magistrates</w:t>
      </w:r>
      <w:r w:rsidR="002E23F3">
        <w:rPr>
          <w:rFonts w:ascii="Arial" w:hAnsi="Arial" w:cs="Arial"/>
          <w:sz w:val="22"/>
          <w:szCs w:val="22"/>
        </w:rPr>
        <w:t>' court</w:t>
      </w: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5428" w:rsidRPr="00E45428" w:rsidRDefault="002E23F3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Wellingborough</w:t>
      </w:r>
    </w:p>
    <w:p w:rsidR="00E813DF" w:rsidRDefault="00E45428" w:rsidP="00E454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428">
        <w:rPr>
          <w:rFonts w:ascii="Arial" w:hAnsi="Arial" w:cs="Arial"/>
          <w:sz w:val="22"/>
          <w:szCs w:val="22"/>
        </w:rPr>
        <w:t>2328</w:t>
      </w:r>
      <w:r w:rsidR="002E23F3">
        <w:rPr>
          <w:rFonts w:ascii="Arial" w:hAnsi="Arial" w:cs="Arial"/>
          <w:sz w:val="22"/>
          <w:szCs w:val="22"/>
        </w:rPr>
        <w:t xml:space="preserve"> W</w:t>
      </w:r>
      <w:r w:rsidRPr="00E45428">
        <w:rPr>
          <w:rFonts w:ascii="Arial" w:hAnsi="Arial" w:cs="Arial"/>
          <w:sz w:val="22"/>
          <w:szCs w:val="22"/>
        </w:rPr>
        <w:t>ell</w:t>
      </w:r>
      <w:r w:rsidR="002E23F3">
        <w:rPr>
          <w:rFonts w:ascii="Arial" w:hAnsi="Arial" w:cs="Arial"/>
          <w:sz w:val="22"/>
          <w:szCs w:val="22"/>
        </w:rPr>
        <w:t>ingborough magistrates' court</w:t>
      </w:r>
    </w:p>
    <w:p w:rsidR="00E45428" w:rsidRPr="00E45428" w:rsidRDefault="00E45428" w:rsidP="00E454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45428" w:rsidRPr="00E45428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39" w:rsidRDefault="002A4A39">
      <w:r>
        <w:separator/>
      </w:r>
    </w:p>
  </w:endnote>
  <w:endnote w:type="continuationSeparator" w:id="0">
    <w:p w:rsidR="002A4A39" w:rsidRDefault="002A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39" w:rsidRPr="002179DD" w:rsidRDefault="002A4A39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39" w:rsidRDefault="002A4A39">
      <w:r>
        <w:separator/>
      </w:r>
    </w:p>
  </w:footnote>
  <w:footnote w:type="continuationSeparator" w:id="0">
    <w:p w:rsidR="002A4A39" w:rsidRDefault="002A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87224"/>
    <w:multiLevelType w:val="hybridMultilevel"/>
    <w:tmpl w:val="8B62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A14"/>
    <w:multiLevelType w:val="hybridMultilevel"/>
    <w:tmpl w:val="D7C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7A6"/>
    <w:multiLevelType w:val="hybridMultilevel"/>
    <w:tmpl w:val="6C78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5D7F"/>
    <w:multiLevelType w:val="hybridMultilevel"/>
    <w:tmpl w:val="58AE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78EF"/>
    <w:multiLevelType w:val="hybridMultilevel"/>
    <w:tmpl w:val="8990E69C"/>
    <w:lvl w:ilvl="0" w:tplc="0A6C1D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D3C1C"/>
    <w:multiLevelType w:val="hybridMultilevel"/>
    <w:tmpl w:val="74A4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E381B"/>
    <w:multiLevelType w:val="hybridMultilevel"/>
    <w:tmpl w:val="536C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317CC"/>
    <w:multiLevelType w:val="hybridMultilevel"/>
    <w:tmpl w:val="268C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3B3F"/>
    <w:multiLevelType w:val="hybridMultilevel"/>
    <w:tmpl w:val="65F0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620D"/>
    <w:rsid w:val="000228F3"/>
    <w:rsid w:val="00043C1B"/>
    <w:rsid w:val="00053627"/>
    <w:rsid w:val="00067996"/>
    <w:rsid w:val="00076AEF"/>
    <w:rsid w:val="000829FA"/>
    <w:rsid w:val="000900D8"/>
    <w:rsid w:val="000A2BCA"/>
    <w:rsid w:val="000A3ADF"/>
    <w:rsid w:val="000F00A8"/>
    <w:rsid w:val="000F26B8"/>
    <w:rsid w:val="00111E50"/>
    <w:rsid w:val="0013675E"/>
    <w:rsid w:val="00145A72"/>
    <w:rsid w:val="0014798A"/>
    <w:rsid w:val="00150A41"/>
    <w:rsid w:val="00166D7C"/>
    <w:rsid w:val="001842CB"/>
    <w:rsid w:val="001A2BA5"/>
    <w:rsid w:val="001A485D"/>
    <w:rsid w:val="001A6C9B"/>
    <w:rsid w:val="001B0871"/>
    <w:rsid w:val="001C27E9"/>
    <w:rsid w:val="001D01A8"/>
    <w:rsid w:val="001D0D46"/>
    <w:rsid w:val="001D7BC6"/>
    <w:rsid w:val="00201192"/>
    <w:rsid w:val="00201E1D"/>
    <w:rsid w:val="002141B6"/>
    <w:rsid w:val="002179DD"/>
    <w:rsid w:val="0022089E"/>
    <w:rsid w:val="002317A5"/>
    <w:rsid w:val="002449A4"/>
    <w:rsid w:val="00261B0E"/>
    <w:rsid w:val="00264E9E"/>
    <w:rsid w:val="00270E02"/>
    <w:rsid w:val="002A14B7"/>
    <w:rsid w:val="002A20EF"/>
    <w:rsid w:val="002A4A39"/>
    <w:rsid w:val="002D7821"/>
    <w:rsid w:val="002E23F3"/>
    <w:rsid w:val="002F1E16"/>
    <w:rsid w:val="0031163D"/>
    <w:rsid w:val="0037704D"/>
    <w:rsid w:val="00377547"/>
    <w:rsid w:val="00386B33"/>
    <w:rsid w:val="003B40A1"/>
    <w:rsid w:val="003C0D6F"/>
    <w:rsid w:val="003E76EE"/>
    <w:rsid w:val="003F6C63"/>
    <w:rsid w:val="004253BB"/>
    <w:rsid w:val="00434DCA"/>
    <w:rsid w:val="00452E02"/>
    <w:rsid w:val="004734B5"/>
    <w:rsid w:val="0047674E"/>
    <w:rsid w:val="0048410A"/>
    <w:rsid w:val="004A180C"/>
    <w:rsid w:val="004C5ED8"/>
    <w:rsid w:val="004C69BA"/>
    <w:rsid w:val="004E1E12"/>
    <w:rsid w:val="004E7ACF"/>
    <w:rsid w:val="00516361"/>
    <w:rsid w:val="005202DD"/>
    <w:rsid w:val="005245C6"/>
    <w:rsid w:val="00524A2C"/>
    <w:rsid w:val="00524D40"/>
    <w:rsid w:val="005846B4"/>
    <w:rsid w:val="005A04DC"/>
    <w:rsid w:val="005B7296"/>
    <w:rsid w:val="005C28D7"/>
    <w:rsid w:val="005C2AFE"/>
    <w:rsid w:val="005C3A12"/>
    <w:rsid w:val="005C64C4"/>
    <w:rsid w:val="005C675A"/>
    <w:rsid w:val="005C79D6"/>
    <w:rsid w:val="005D0A14"/>
    <w:rsid w:val="005E18D6"/>
    <w:rsid w:val="005E7E18"/>
    <w:rsid w:val="006067E8"/>
    <w:rsid w:val="006201B1"/>
    <w:rsid w:val="006269C1"/>
    <w:rsid w:val="00644BBE"/>
    <w:rsid w:val="0066078E"/>
    <w:rsid w:val="006656FB"/>
    <w:rsid w:val="0067234B"/>
    <w:rsid w:val="00672C95"/>
    <w:rsid w:val="00677062"/>
    <w:rsid w:val="006C3F16"/>
    <w:rsid w:val="006C5F8A"/>
    <w:rsid w:val="006D12C3"/>
    <w:rsid w:val="006E0113"/>
    <w:rsid w:val="006E4F5C"/>
    <w:rsid w:val="006E57DD"/>
    <w:rsid w:val="00707F63"/>
    <w:rsid w:val="00715FB1"/>
    <w:rsid w:val="00722E26"/>
    <w:rsid w:val="007B643E"/>
    <w:rsid w:val="007E7BAF"/>
    <w:rsid w:val="007E7F0F"/>
    <w:rsid w:val="007F2CB3"/>
    <w:rsid w:val="007F7232"/>
    <w:rsid w:val="0081625B"/>
    <w:rsid w:val="00833691"/>
    <w:rsid w:val="00837883"/>
    <w:rsid w:val="00842134"/>
    <w:rsid w:val="00881630"/>
    <w:rsid w:val="008F30E5"/>
    <w:rsid w:val="00921EC8"/>
    <w:rsid w:val="00923CB3"/>
    <w:rsid w:val="009272F8"/>
    <w:rsid w:val="00936939"/>
    <w:rsid w:val="009504DF"/>
    <w:rsid w:val="0099365A"/>
    <w:rsid w:val="009A6CDE"/>
    <w:rsid w:val="009B624A"/>
    <w:rsid w:val="009C10AA"/>
    <w:rsid w:val="009D4B2D"/>
    <w:rsid w:val="009E501C"/>
    <w:rsid w:val="009F2061"/>
    <w:rsid w:val="00A048AA"/>
    <w:rsid w:val="00A15836"/>
    <w:rsid w:val="00A4070B"/>
    <w:rsid w:val="00A40FE8"/>
    <w:rsid w:val="00AA3A3A"/>
    <w:rsid w:val="00AB3DC4"/>
    <w:rsid w:val="00AC1113"/>
    <w:rsid w:val="00AD1B8D"/>
    <w:rsid w:val="00AF6F11"/>
    <w:rsid w:val="00B26342"/>
    <w:rsid w:val="00B27CC9"/>
    <w:rsid w:val="00B479BA"/>
    <w:rsid w:val="00B55A9E"/>
    <w:rsid w:val="00B6714F"/>
    <w:rsid w:val="00B70C24"/>
    <w:rsid w:val="00B72011"/>
    <w:rsid w:val="00B81932"/>
    <w:rsid w:val="00B9137D"/>
    <w:rsid w:val="00B97E43"/>
    <w:rsid w:val="00BB6F34"/>
    <w:rsid w:val="00BC5CE7"/>
    <w:rsid w:val="00BD1779"/>
    <w:rsid w:val="00BD6489"/>
    <w:rsid w:val="00BF247F"/>
    <w:rsid w:val="00C00996"/>
    <w:rsid w:val="00C17FA3"/>
    <w:rsid w:val="00C21D91"/>
    <w:rsid w:val="00C235D5"/>
    <w:rsid w:val="00C3322F"/>
    <w:rsid w:val="00C442B9"/>
    <w:rsid w:val="00C448D0"/>
    <w:rsid w:val="00C44A91"/>
    <w:rsid w:val="00C519AC"/>
    <w:rsid w:val="00C9453E"/>
    <w:rsid w:val="00C96840"/>
    <w:rsid w:val="00C97C8D"/>
    <w:rsid w:val="00C97F31"/>
    <w:rsid w:val="00CB7109"/>
    <w:rsid w:val="00CC642D"/>
    <w:rsid w:val="00CC6F36"/>
    <w:rsid w:val="00CD1E9F"/>
    <w:rsid w:val="00CF776B"/>
    <w:rsid w:val="00D01F44"/>
    <w:rsid w:val="00D1279D"/>
    <w:rsid w:val="00D1784F"/>
    <w:rsid w:val="00D31A00"/>
    <w:rsid w:val="00D35EA6"/>
    <w:rsid w:val="00D42A45"/>
    <w:rsid w:val="00D71F9D"/>
    <w:rsid w:val="00D81476"/>
    <w:rsid w:val="00D8325C"/>
    <w:rsid w:val="00DA0311"/>
    <w:rsid w:val="00DB13D4"/>
    <w:rsid w:val="00DD7228"/>
    <w:rsid w:val="00DF4FFE"/>
    <w:rsid w:val="00E015A9"/>
    <w:rsid w:val="00E0591C"/>
    <w:rsid w:val="00E07EDE"/>
    <w:rsid w:val="00E1544C"/>
    <w:rsid w:val="00E341FC"/>
    <w:rsid w:val="00E36BAC"/>
    <w:rsid w:val="00E45428"/>
    <w:rsid w:val="00E70ED4"/>
    <w:rsid w:val="00E813DF"/>
    <w:rsid w:val="00E873AE"/>
    <w:rsid w:val="00E9107A"/>
    <w:rsid w:val="00E9588E"/>
    <w:rsid w:val="00E9767B"/>
    <w:rsid w:val="00ED7C29"/>
    <w:rsid w:val="00F158B0"/>
    <w:rsid w:val="00F2523A"/>
    <w:rsid w:val="00F3343C"/>
    <w:rsid w:val="00F35B4A"/>
    <w:rsid w:val="00F52971"/>
    <w:rsid w:val="00F57456"/>
    <w:rsid w:val="00F80D88"/>
    <w:rsid w:val="00F80F4D"/>
    <w:rsid w:val="00F9166D"/>
    <w:rsid w:val="00F97127"/>
    <w:rsid w:val="00FA5FE6"/>
    <w:rsid w:val="00FB7014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89BC4C-4229-405E-AE9E-7FA7055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6939"/>
    <w:rPr>
      <w:sz w:val="16"/>
      <w:szCs w:val="16"/>
    </w:rPr>
  </w:style>
  <w:style w:type="paragraph" w:styleId="CommentText">
    <w:name w:val="annotation text"/>
    <w:basedOn w:val="Normal"/>
    <w:semiHidden/>
    <w:rsid w:val="00936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939"/>
    <w:rPr>
      <w:b/>
      <w:bCs/>
    </w:rPr>
  </w:style>
  <w:style w:type="paragraph" w:styleId="ListParagraph">
    <w:name w:val="List Paragraph"/>
    <w:basedOn w:val="Normal"/>
    <w:uiPriority w:val="34"/>
    <w:qFormat/>
    <w:rsid w:val="006C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107013 Criminal Justice Statistics by Area</vt:lpstr>
    </vt:vector>
  </TitlesOfParts>
  <Company>Ministry of Justice</Company>
  <LinksUpToDate>false</LinksUpToDate>
  <CharactersWithSpaces>2637</CharactersWithSpaces>
  <SharedDoc>false</SharedDoc>
  <HLinks>
    <vt:vector size="42" baseType="variant">
      <vt:variant>
        <vt:i4>2883679</vt:i4>
      </vt:variant>
      <vt:variant>
        <vt:i4>18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http://www.justice.gov.uk/information-access-rights/foi-guidance-for-practitioners/exemptions-guidance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mailto:eatonheli@gmail.com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107013 Criminal Justice Statistics by Area</dc:title>
  <dc:subject>FOI Release</dc:subject>
  <dc:creator>MOJ</dc:creator>
  <cp:keywords/>
  <dc:description/>
  <cp:lastModifiedBy>Isaacs, Gordon</cp:lastModifiedBy>
  <cp:revision>2</cp:revision>
  <cp:lastPrinted>2013-05-08T14:35:00Z</cp:lastPrinted>
  <dcterms:created xsi:type="dcterms:W3CDTF">2017-02-01T10:53:00Z</dcterms:created>
  <dcterms:modified xsi:type="dcterms:W3CDTF">2017-02-01T10:53:00Z</dcterms:modified>
</cp:coreProperties>
</file>